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D7E8F" w14:textId="77777777" w:rsidR="007F787D" w:rsidRDefault="00000000" w:rsidP="006D6E8A">
      <w:pPr>
        <w:tabs>
          <w:tab w:val="left" w:pos="1440"/>
          <w:tab w:val="left" w:pos="4680"/>
          <w:tab w:val="center" w:pos="7200"/>
        </w:tabs>
        <w:spacing w:after="0"/>
        <w:jc w:val="center"/>
        <w:rPr>
          <w:sz w:val="36"/>
        </w:rPr>
      </w:pPr>
      <w:bookmarkStart w:id="0" w:name="MarkDocLoc"/>
      <w:bookmarkEnd w:id="0"/>
      <w:r>
        <w:rPr>
          <w:b/>
          <w:sz w:val="36"/>
        </w:rPr>
        <w:t>IN THE SUPREME COURT OF CALIFORNIA</w:t>
      </w:r>
    </w:p>
    <w:p w14:paraId="7BBD7E90" w14:textId="77777777" w:rsidR="006D6E8A" w:rsidRDefault="006D6E8A" w:rsidP="006D6E8A">
      <w:pPr>
        <w:tabs>
          <w:tab w:val="left" w:pos="1440"/>
          <w:tab w:val="left" w:pos="4680"/>
          <w:tab w:val="center" w:pos="7200"/>
        </w:tabs>
        <w:spacing w:after="0"/>
        <w:jc w:val="center"/>
      </w:pPr>
    </w:p>
    <w:p w14:paraId="7BBD7E91" w14:textId="3D3C4ECE" w:rsidR="006D6E8A" w:rsidRDefault="00000000" w:rsidP="006D6E8A">
      <w:pPr>
        <w:tabs>
          <w:tab w:val="left" w:pos="1440"/>
          <w:tab w:val="left" w:pos="4680"/>
          <w:tab w:val="center" w:pos="7200"/>
        </w:tabs>
        <w:spacing w:after="0"/>
        <w:jc w:val="center"/>
      </w:pPr>
      <w:r>
        <w:t>THE PEOPLE</w:t>
      </w:r>
      <w:r w:rsidR="00243A53">
        <w:t>,</w:t>
      </w:r>
    </w:p>
    <w:p w14:paraId="7BBD7E92" w14:textId="77777777" w:rsidR="006D6E8A" w:rsidRDefault="00000000" w:rsidP="006D6E8A">
      <w:pPr>
        <w:tabs>
          <w:tab w:val="left" w:pos="1440"/>
          <w:tab w:val="left" w:pos="4680"/>
          <w:tab w:val="center" w:pos="7200"/>
        </w:tabs>
        <w:spacing w:after="0"/>
        <w:jc w:val="center"/>
      </w:pPr>
      <w:r>
        <w:t>Plaintiff and Respondent,</w:t>
      </w:r>
    </w:p>
    <w:p w14:paraId="7BBD7E93" w14:textId="77777777" w:rsidR="006D6E8A" w:rsidRDefault="00000000" w:rsidP="006D6E8A">
      <w:pPr>
        <w:tabs>
          <w:tab w:val="left" w:pos="1440"/>
          <w:tab w:val="left" w:pos="4680"/>
          <w:tab w:val="center" w:pos="7200"/>
        </w:tabs>
        <w:spacing w:after="0"/>
        <w:jc w:val="center"/>
      </w:pPr>
      <w:r>
        <w:t>v.</w:t>
      </w:r>
    </w:p>
    <w:p w14:paraId="7BBD7E94" w14:textId="77777777" w:rsidR="006D6E8A" w:rsidRDefault="00000000" w:rsidP="006D6E8A">
      <w:pPr>
        <w:tabs>
          <w:tab w:val="left" w:pos="1440"/>
          <w:tab w:val="left" w:pos="4680"/>
          <w:tab w:val="center" w:pos="7200"/>
        </w:tabs>
        <w:spacing w:after="0"/>
        <w:jc w:val="center"/>
      </w:pPr>
      <w:r>
        <w:t>MARLON FLORES,</w:t>
      </w:r>
    </w:p>
    <w:p w14:paraId="7BBD7E95" w14:textId="77777777" w:rsidR="006D6E8A" w:rsidRDefault="00000000" w:rsidP="006D6E8A">
      <w:pPr>
        <w:tabs>
          <w:tab w:val="left" w:pos="1440"/>
          <w:tab w:val="left" w:pos="4680"/>
          <w:tab w:val="center" w:pos="7200"/>
        </w:tabs>
        <w:spacing w:after="0"/>
        <w:jc w:val="center"/>
      </w:pPr>
      <w:r>
        <w:t>Defendant and Appellant.</w:t>
      </w:r>
    </w:p>
    <w:p w14:paraId="7BBD7E96" w14:textId="77777777" w:rsidR="006D6E8A" w:rsidRDefault="006D6E8A" w:rsidP="006D6E8A">
      <w:pPr>
        <w:tabs>
          <w:tab w:val="left" w:pos="1440"/>
          <w:tab w:val="left" w:pos="4680"/>
          <w:tab w:val="center" w:pos="7200"/>
        </w:tabs>
        <w:spacing w:after="0"/>
        <w:jc w:val="center"/>
      </w:pPr>
    </w:p>
    <w:p w14:paraId="7BBD7E97" w14:textId="77777777" w:rsidR="006D6E8A" w:rsidRDefault="00000000" w:rsidP="006D6E8A">
      <w:pPr>
        <w:tabs>
          <w:tab w:val="left" w:pos="1440"/>
          <w:tab w:val="left" w:pos="4680"/>
          <w:tab w:val="center" w:pos="7200"/>
        </w:tabs>
        <w:spacing w:after="0"/>
        <w:jc w:val="center"/>
      </w:pPr>
      <w:r>
        <w:t>S267522</w:t>
      </w:r>
    </w:p>
    <w:p w14:paraId="7BBD7E98" w14:textId="77777777" w:rsidR="006D6E8A" w:rsidRDefault="006D6E8A" w:rsidP="006D6E8A">
      <w:pPr>
        <w:tabs>
          <w:tab w:val="left" w:pos="1440"/>
          <w:tab w:val="left" w:pos="4680"/>
          <w:tab w:val="center" w:pos="7200"/>
        </w:tabs>
        <w:spacing w:after="0"/>
        <w:jc w:val="center"/>
      </w:pPr>
    </w:p>
    <w:p w14:paraId="7BBD7E99" w14:textId="77777777" w:rsidR="006D6E8A" w:rsidRDefault="00000000" w:rsidP="006D6E8A">
      <w:pPr>
        <w:tabs>
          <w:tab w:val="left" w:pos="1440"/>
          <w:tab w:val="left" w:pos="4680"/>
          <w:tab w:val="center" w:pos="7200"/>
        </w:tabs>
        <w:spacing w:after="0"/>
        <w:jc w:val="center"/>
      </w:pPr>
      <w:r>
        <w:t>Second Appellate District, Division Eight</w:t>
      </w:r>
    </w:p>
    <w:p w14:paraId="7BBD7E9A" w14:textId="77777777" w:rsidR="006D6E8A" w:rsidRDefault="00000000" w:rsidP="006D6E8A">
      <w:pPr>
        <w:tabs>
          <w:tab w:val="left" w:pos="1440"/>
          <w:tab w:val="left" w:pos="4680"/>
          <w:tab w:val="center" w:pos="7200"/>
        </w:tabs>
        <w:spacing w:after="0"/>
        <w:jc w:val="center"/>
      </w:pPr>
      <w:r>
        <w:t>B305359</w:t>
      </w:r>
    </w:p>
    <w:p w14:paraId="7BBD7E9B" w14:textId="77777777" w:rsidR="006D6E8A" w:rsidRDefault="006D6E8A" w:rsidP="006D6E8A">
      <w:pPr>
        <w:tabs>
          <w:tab w:val="left" w:pos="1440"/>
          <w:tab w:val="left" w:pos="4680"/>
          <w:tab w:val="center" w:pos="7200"/>
        </w:tabs>
        <w:spacing w:after="0"/>
        <w:jc w:val="center"/>
      </w:pPr>
    </w:p>
    <w:p w14:paraId="7BBD7E9C" w14:textId="77777777" w:rsidR="006D6E8A" w:rsidRDefault="00000000" w:rsidP="006D6E8A">
      <w:pPr>
        <w:tabs>
          <w:tab w:val="left" w:pos="1440"/>
          <w:tab w:val="left" w:pos="4680"/>
          <w:tab w:val="center" w:pos="7200"/>
        </w:tabs>
        <w:spacing w:after="0"/>
        <w:jc w:val="center"/>
      </w:pPr>
      <w:r>
        <w:t>Los Angeles County Superior Court</w:t>
      </w:r>
    </w:p>
    <w:p w14:paraId="7BBD7E9D" w14:textId="77777777" w:rsidR="006D6E8A" w:rsidRDefault="00000000" w:rsidP="006D6E8A">
      <w:pPr>
        <w:tabs>
          <w:tab w:val="left" w:pos="1440"/>
          <w:tab w:val="left" w:pos="4680"/>
          <w:tab w:val="center" w:pos="7200"/>
        </w:tabs>
        <w:spacing w:after="0"/>
        <w:jc w:val="center"/>
      </w:pPr>
      <w:r>
        <w:t>BA477784</w:t>
      </w:r>
    </w:p>
    <w:p w14:paraId="7BBD7E9E" w14:textId="77777777" w:rsidR="006D6E8A" w:rsidRDefault="006D6E8A" w:rsidP="006D6E8A">
      <w:pPr>
        <w:pBdr>
          <w:bottom w:val="single" w:sz="4" w:space="1" w:color="auto"/>
        </w:pBdr>
        <w:tabs>
          <w:tab w:val="left" w:pos="1440"/>
          <w:tab w:val="left" w:pos="4680"/>
          <w:tab w:val="center" w:pos="7200"/>
        </w:tabs>
        <w:spacing w:after="0"/>
        <w:jc w:val="center"/>
      </w:pPr>
    </w:p>
    <w:p w14:paraId="7BBD7E9F" w14:textId="77777777" w:rsidR="006D6E8A" w:rsidRDefault="006D6E8A" w:rsidP="006D6E8A">
      <w:pPr>
        <w:tabs>
          <w:tab w:val="left" w:pos="1440"/>
          <w:tab w:val="left" w:pos="4680"/>
          <w:tab w:val="center" w:pos="7200"/>
        </w:tabs>
        <w:spacing w:after="0"/>
        <w:jc w:val="center"/>
      </w:pPr>
    </w:p>
    <w:p w14:paraId="7BBD7EA0" w14:textId="77777777" w:rsidR="006D6E8A" w:rsidRDefault="00000000" w:rsidP="006D6E8A">
      <w:pPr>
        <w:tabs>
          <w:tab w:val="left" w:pos="1440"/>
          <w:tab w:val="left" w:pos="4680"/>
          <w:tab w:val="center" w:pos="7200"/>
        </w:tabs>
        <w:spacing w:after="0"/>
        <w:jc w:val="center"/>
      </w:pPr>
      <w:r>
        <w:t>May 2, 2024</w:t>
      </w:r>
    </w:p>
    <w:p w14:paraId="7BBD7EA1" w14:textId="77777777" w:rsidR="006D6E8A" w:rsidRDefault="006D6E8A" w:rsidP="006D6E8A">
      <w:pPr>
        <w:tabs>
          <w:tab w:val="left" w:pos="1440"/>
          <w:tab w:val="left" w:pos="4680"/>
          <w:tab w:val="center" w:pos="7200"/>
        </w:tabs>
        <w:spacing w:after="0"/>
        <w:jc w:val="center"/>
      </w:pPr>
    </w:p>
    <w:p w14:paraId="7BBD7EA2" w14:textId="77777777" w:rsidR="006D6E8A" w:rsidRDefault="00000000" w:rsidP="006D6E8A">
      <w:pPr>
        <w:tabs>
          <w:tab w:val="left" w:pos="1440"/>
          <w:tab w:val="left" w:pos="4680"/>
          <w:tab w:val="center" w:pos="7200"/>
        </w:tabs>
        <w:spacing w:after="0"/>
        <w:jc w:val="left"/>
      </w:pPr>
      <w:r>
        <w:t xml:space="preserve">Justice Corrigan authored the opinion of the Court, in which </w:t>
      </w:r>
      <w:r w:rsidR="00042395">
        <w:t>Chief Justice Guerrero and Justices Liu, Kruger</w:t>
      </w:r>
      <w:r w:rsidR="00DB0660">
        <w:t>, Groban</w:t>
      </w:r>
      <w:r w:rsidR="00042395">
        <w:t>, Jenkins, and Evans</w:t>
      </w:r>
      <w:r>
        <w:t xml:space="preserve"> concur</w:t>
      </w:r>
      <w:r w:rsidR="00290BDE">
        <w:t>red</w:t>
      </w:r>
      <w:r>
        <w:t>.</w:t>
      </w:r>
    </w:p>
    <w:p w14:paraId="7BBD7EA3" w14:textId="77777777" w:rsidR="00042395" w:rsidRDefault="00042395" w:rsidP="006D6E8A">
      <w:pPr>
        <w:tabs>
          <w:tab w:val="left" w:pos="1440"/>
          <w:tab w:val="left" w:pos="4680"/>
          <w:tab w:val="center" w:pos="7200"/>
        </w:tabs>
        <w:spacing w:after="0"/>
        <w:jc w:val="left"/>
      </w:pPr>
    </w:p>
    <w:p w14:paraId="7BBD7EA4" w14:textId="77777777" w:rsidR="00042395" w:rsidRDefault="00000000" w:rsidP="006D6E8A">
      <w:pPr>
        <w:tabs>
          <w:tab w:val="left" w:pos="1440"/>
          <w:tab w:val="left" w:pos="4680"/>
          <w:tab w:val="center" w:pos="7200"/>
        </w:tabs>
        <w:spacing w:after="0"/>
        <w:jc w:val="left"/>
      </w:pPr>
      <w:r>
        <w:t xml:space="preserve">Justice Evans filed a concurring opinion, in which Justices Liu, Kruger, </w:t>
      </w:r>
      <w:r w:rsidR="00913C14">
        <w:t xml:space="preserve">Groban, </w:t>
      </w:r>
      <w:r>
        <w:t>and Jenkins concurred.</w:t>
      </w:r>
    </w:p>
    <w:p w14:paraId="7BBD7EA5" w14:textId="77777777" w:rsidR="006D6E8A" w:rsidRPr="006D6E8A" w:rsidRDefault="006D6E8A" w:rsidP="006D6E8A">
      <w:pPr>
        <w:pBdr>
          <w:bottom w:val="single" w:sz="4" w:space="1" w:color="auto"/>
        </w:pBdr>
        <w:tabs>
          <w:tab w:val="left" w:pos="1440"/>
          <w:tab w:val="left" w:pos="4680"/>
          <w:tab w:val="center" w:pos="7200"/>
        </w:tabs>
        <w:spacing w:line="480" w:lineRule="atLeast"/>
        <w:jc w:val="left"/>
      </w:pPr>
      <w:bookmarkStart w:id="1" w:name="Return"/>
      <w:bookmarkEnd w:id="1"/>
    </w:p>
    <w:p w14:paraId="7BBD7EA6" w14:textId="77777777" w:rsidR="006D6E8A" w:rsidRDefault="006D6E8A">
      <w:pPr>
        <w:tabs>
          <w:tab w:val="left" w:pos="1440"/>
          <w:tab w:val="left" w:pos="4680"/>
          <w:tab w:val="center" w:pos="7200"/>
        </w:tabs>
        <w:spacing w:line="480" w:lineRule="atLeast"/>
        <w:sectPr w:rsidR="006D6E8A" w:rsidSect="006D6E8A">
          <w:headerReference w:type="default" r:id="rId7"/>
          <w:footerReference w:type="default" r:id="rId8"/>
          <w:pgSz w:w="12240" w:h="15840"/>
          <w:pgMar w:top="1800" w:right="2160" w:bottom="1440" w:left="2160" w:header="720" w:footer="720" w:gutter="0"/>
          <w:cols w:space="720"/>
          <w:titlePg/>
          <w:docGrid w:linePitch="367"/>
        </w:sectPr>
      </w:pPr>
    </w:p>
    <w:p w14:paraId="7BBD7EA7" w14:textId="77777777" w:rsidR="006D6E8A" w:rsidRDefault="00000000" w:rsidP="006D6E8A">
      <w:pPr>
        <w:tabs>
          <w:tab w:val="left" w:pos="1440"/>
          <w:tab w:val="left" w:pos="4680"/>
          <w:tab w:val="center" w:pos="7200"/>
        </w:tabs>
        <w:jc w:val="center"/>
      </w:pPr>
      <w:r>
        <w:lastRenderedPageBreak/>
        <w:t>PEOPLE v. FLORES</w:t>
      </w:r>
    </w:p>
    <w:p w14:paraId="7BBD7EA8" w14:textId="77777777" w:rsidR="006D6E8A" w:rsidRDefault="00000000" w:rsidP="006D6E8A">
      <w:pPr>
        <w:tabs>
          <w:tab w:val="left" w:pos="1440"/>
          <w:tab w:val="left" w:pos="4680"/>
          <w:tab w:val="center" w:pos="7200"/>
        </w:tabs>
        <w:jc w:val="center"/>
      </w:pPr>
      <w:r>
        <w:t>S267522</w:t>
      </w:r>
    </w:p>
    <w:p w14:paraId="7BBD7EA9" w14:textId="77777777" w:rsidR="006D6E8A" w:rsidRDefault="006D6E8A" w:rsidP="006D6E8A">
      <w:pPr>
        <w:tabs>
          <w:tab w:val="left" w:pos="1440"/>
          <w:tab w:val="left" w:pos="4680"/>
          <w:tab w:val="center" w:pos="7200"/>
        </w:tabs>
        <w:jc w:val="center"/>
      </w:pPr>
    </w:p>
    <w:p w14:paraId="7BBD7EAA" w14:textId="77777777" w:rsidR="006D6E8A" w:rsidRDefault="00000000" w:rsidP="006D6E8A">
      <w:pPr>
        <w:tabs>
          <w:tab w:val="left" w:pos="1440"/>
          <w:tab w:val="left" w:pos="4680"/>
          <w:tab w:val="center" w:pos="7200"/>
        </w:tabs>
        <w:jc w:val="center"/>
      </w:pPr>
      <w:r>
        <w:t>Opinion of the Court by Corrigan, J.</w:t>
      </w:r>
    </w:p>
    <w:p w14:paraId="7BBD7EAB" w14:textId="77777777" w:rsidR="006D6E8A" w:rsidRPr="006D6E8A" w:rsidRDefault="006D6E8A" w:rsidP="006D6E8A">
      <w:pPr>
        <w:tabs>
          <w:tab w:val="left" w:pos="1440"/>
          <w:tab w:val="left" w:pos="4680"/>
          <w:tab w:val="center" w:pos="7200"/>
        </w:tabs>
        <w:jc w:val="center"/>
      </w:pPr>
    </w:p>
    <w:p w14:paraId="7BBD7EAC" w14:textId="77777777" w:rsidR="0023386A" w:rsidRPr="006D6E8A" w:rsidRDefault="00000000" w:rsidP="00C44BDD">
      <w:pPr>
        <w:tabs>
          <w:tab w:val="left" w:pos="1440"/>
        </w:tabs>
        <w:ind w:firstLine="720"/>
      </w:pPr>
      <w:r>
        <w:t xml:space="preserve">Police officers detained defendant, Marlon Flores, on a dark evening in an area known for narcotics and gang activity.  The Court of Appeal held the totality of circumstances </w:t>
      </w:r>
      <w:r w:rsidR="00C44BDD">
        <w:t xml:space="preserve">described below </w:t>
      </w:r>
      <w:r>
        <w:t xml:space="preserve">provided reasonable suspicion for the detention.  We reverse. </w:t>
      </w:r>
      <w:r w:rsidR="005A3E97">
        <w:t xml:space="preserve">   </w:t>
      </w:r>
      <w:r w:rsidR="00A46FB9" w:rsidRPr="006D6E8A">
        <w:t xml:space="preserve">   </w:t>
      </w:r>
    </w:p>
    <w:p w14:paraId="7BBD7EAD" w14:textId="77777777" w:rsidR="0023386A" w:rsidRPr="006D6E8A" w:rsidRDefault="00000000" w:rsidP="006D6E8A">
      <w:pPr>
        <w:pStyle w:val="Heading1"/>
      </w:pPr>
      <w:r w:rsidRPr="006D6E8A">
        <w:t>I.  BACKGROUND</w:t>
      </w:r>
    </w:p>
    <w:p w14:paraId="7BBD7EAE" w14:textId="77777777" w:rsidR="00584477" w:rsidRPr="006D6E8A" w:rsidRDefault="00000000" w:rsidP="006D6E8A">
      <w:pPr>
        <w:tabs>
          <w:tab w:val="left" w:pos="1440"/>
        </w:tabs>
        <w:ind w:firstLine="720"/>
      </w:pPr>
      <w:r w:rsidRPr="006D6E8A">
        <w:t>The following facts were adduced at the suppression hearing</w:t>
      </w:r>
      <w:r w:rsidR="007B48A6" w:rsidRPr="006D6E8A">
        <w:t xml:space="preserve">, at which Los Angeles Police Officer </w:t>
      </w:r>
      <w:r w:rsidR="006B2C21" w:rsidRPr="006D6E8A">
        <w:t xml:space="preserve">Daniel </w:t>
      </w:r>
      <w:r w:rsidR="007B48A6" w:rsidRPr="006D6E8A">
        <w:t xml:space="preserve">Guy was the </w:t>
      </w:r>
      <w:r w:rsidR="009D6D02">
        <w:t xml:space="preserve">only </w:t>
      </w:r>
      <w:r w:rsidR="007B48A6" w:rsidRPr="006D6E8A">
        <w:t xml:space="preserve">witness.  In May 2019, around </w:t>
      </w:r>
      <w:r w:rsidR="005B271A" w:rsidRPr="006D6E8A">
        <w:t>10:00 p.m.</w:t>
      </w:r>
      <w:r w:rsidR="0023386A" w:rsidRPr="006D6E8A">
        <w:t xml:space="preserve">, </w:t>
      </w:r>
      <w:r w:rsidR="00781EF2">
        <w:t>O</w:t>
      </w:r>
      <w:r w:rsidR="005B271A" w:rsidRPr="006D6E8A">
        <w:t xml:space="preserve">fficer Guy and </w:t>
      </w:r>
      <w:r w:rsidR="007B48A6" w:rsidRPr="006D6E8A">
        <w:t xml:space="preserve">his partner, </w:t>
      </w:r>
      <w:r w:rsidR="005B271A" w:rsidRPr="006D6E8A">
        <w:t>Michael Marino</w:t>
      </w:r>
      <w:r w:rsidR="007B48A6" w:rsidRPr="006D6E8A">
        <w:t>,</w:t>
      </w:r>
      <w:r w:rsidR="005B271A" w:rsidRPr="006D6E8A">
        <w:t xml:space="preserve"> were on patrol in the area of Mariposa Avenue.  Guy considered the </w:t>
      </w:r>
      <w:r w:rsidR="006B2C21" w:rsidRPr="006D6E8A">
        <w:t xml:space="preserve">location </w:t>
      </w:r>
      <w:r w:rsidR="005B271A" w:rsidRPr="006D6E8A">
        <w:t xml:space="preserve">to be </w:t>
      </w:r>
      <w:r w:rsidR="005B271A" w:rsidRPr="005E28F4">
        <w:t>a “known narcotic</w:t>
      </w:r>
      <w:r w:rsidR="007D57A9" w:rsidRPr="005E28F4">
        <w:t>[</w:t>
      </w:r>
      <w:r w:rsidR="005B271A" w:rsidRPr="005E28F4">
        <w:t>s</w:t>
      </w:r>
      <w:r w:rsidR="007D57A9" w:rsidRPr="005E28F4">
        <w:t>]</w:t>
      </w:r>
      <w:r w:rsidR="005B271A" w:rsidRPr="005E28F4">
        <w:t xml:space="preserve"> area[]” and “gang hangout</w:t>
      </w:r>
      <w:r w:rsidR="00733EAC" w:rsidRPr="005E28F4">
        <w:t>.</w:t>
      </w:r>
      <w:r w:rsidR="005B271A" w:rsidRPr="005E28F4">
        <w:t>”</w:t>
      </w:r>
      <w:r w:rsidR="00733EAC" w:rsidRPr="005E28F4">
        <w:t xml:space="preserve">  He </w:t>
      </w:r>
      <w:r w:rsidR="005B271A" w:rsidRPr="005E28F4">
        <w:t>had</w:t>
      </w:r>
      <w:r w:rsidR="005B271A" w:rsidRPr="006D6E8A">
        <w:t xml:space="preserve"> arrested someone</w:t>
      </w:r>
      <w:r w:rsidR="006B2C21" w:rsidRPr="006D6E8A">
        <w:t xml:space="preserve"> in the vicinity</w:t>
      </w:r>
      <w:r w:rsidR="005B271A" w:rsidRPr="006D6E8A">
        <w:t xml:space="preserve"> the night before for narcotics crimes.  As the officers drove by</w:t>
      </w:r>
      <w:r w:rsidR="00A36588" w:rsidRPr="006D6E8A">
        <w:t xml:space="preserve"> a cul-de-sac</w:t>
      </w:r>
      <w:r w:rsidR="005B271A" w:rsidRPr="006D6E8A">
        <w:t xml:space="preserve">, they saw </w:t>
      </w:r>
      <w:r w:rsidR="00105F6B" w:rsidRPr="006D6E8A">
        <w:t xml:space="preserve">Flores </w:t>
      </w:r>
      <w:r w:rsidR="005B271A" w:rsidRPr="006D6E8A">
        <w:t xml:space="preserve">standing </w:t>
      </w:r>
      <w:r w:rsidR="0029194B" w:rsidRPr="006D6E8A">
        <w:t xml:space="preserve">alone </w:t>
      </w:r>
      <w:r w:rsidR="00A36588" w:rsidRPr="006D6E8A">
        <w:t xml:space="preserve">in the street </w:t>
      </w:r>
      <w:r w:rsidRPr="006D6E8A">
        <w:t xml:space="preserve">beside a </w:t>
      </w:r>
      <w:r w:rsidR="005B271A" w:rsidRPr="006D6E8A">
        <w:t xml:space="preserve">Nissan parked </w:t>
      </w:r>
      <w:r w:rsidRPr="006D6E8A">
        <w:t xml:space="preserve">at </w:t>
      </w:r>
      <w:r w:rsidR="005B271A" w:rsidRPr="006D6E8A">
        <w:t xml:space="preserve">a red curb.  </w:t>
      </w:r>
      <w:r w:rsidRPr="006D6E8A">
        <w:t>Flores</w:t>
      </w:r>
      <w:r w:rsidR="005B271A" w:rsidRPr="006D6E8A">
        <w:t xml:space="preserve"> looked at the officers</w:t>
      </w:r>
      <w:r w:rsidR="00ED0AE7" w:rsidRPr="006D6E8A">
        <w:t>, walked around the back of the</w:t>
      </w:r>
      <w:r w:rsidR="00307BB5" w:rsidRPr="006D6E8A">
        <w:t xml:space="preserve"> car</w:t>
      </w:r>
      <w:r w:rsidR="00ED0AE7" w:rsidRPr="006D6E8A">
        <w:t xml:space="preserve">, then </w:t>
      </w:r>
      <w:r w:rsidR="005B271A" w:rsidRPr="006D6E8A">
        <w:t>“ducked</w:t>
      </w:r>
      <w:r w:rsidR="003D0996" w:rsidRPr="006D6E8A">
        <w:t>”</w:t>
      </w:r>
      <w:r w:rsidR="005B271A" w:rsidRPr="006D6E8A">
        <w:t xml:space="preserve"> behind </w:t>
      </w:r>
      <w:r w:rsidR="00ED0AE7" w:rsidRPr="006D6E8A">
        <w:t>it</w:t>
      </w:r>
      <w:r w:rsidR="00A36588" w:rsidRPr="006D6E8A">
        <w:t>.</w:t>
      </w:r>
      <w:r w:rsidR="005B271A" w:rsidRPr="006D6E8A">
        <w:t xml:space="preserve">  </w:t>
      </w:r>
      <w:r w:rsidR="00C65725" w:rsidRPr="006D6E8A">
        <w:t xml:space="preserve">The officers </w:t>
      </w:r>
      <w:r w:rsidR="003D0996" w:rsidRPr="006D6E8A">
        <w:t xml:space="preserve">pulled up and </w:t>
      </w:r>
      <w:r w:rsidR="00C65725" w:rsidRPr="006D6E8A">
        <w:t xml:space="preserve">parked behind the Nissan.    </w:t>
      </w:r>
    </w:p>
    <w:p w14:paraId="7BBD7EAF" w14:textId="77777777" w:rsidR="00012AE4" w:rsidRPr="006D6E8A" w:rsidRDefault="00000000" w:rsidP="006D6E8A">
      <w:pPr>
        <w:tabs>
          <w:tab w:val="left" w:pos="1440"/>
        </w:tabs>
        <w:ind w:firstLine="720"/>
      </w:pPr>
      <w:r w:rsidRPr="006D6E8A">
        <w:t>Officer Marino’s body camera captured the interaction between Flores</w:t>
      </w:r>
      <w:r w:rsidR="00307BB5" w:rsidRPr="006D6E8A">
        <w:t xml:space="preserve"> and the officers</w:t>
      </w:r>
      <w:r w:rsidRPr="006D6E8A">
        <w:t>.</w:t>
      </w:r>
      <w:r w:rsidR="00B8611D" w:rsidRPr="006D6E8A">
        <w:t xml:space="preserve">  </w:t>
      </w:r>
      <w:r w:rsidR="00FF7E2B" w:rsidRPr="006D6E8A">
        <w:t xml:space="preserve">The video </w:t>
      </w:r>
      <w:r w:rsidR="00230576" w:rsidRPr="006D6E8A">
        <w:t>begins as the officers park the</w:t>
      </w:r>
      <w:r w:rsidR="00FF7E2B" w:rsidRPr="006D6E8A">
        <w:t xml:space="preserve"> patrol car</w:t>
      </w:r>
      <w:r w:rsidR="003F5360" w:rsidRPr="006D6E8A">
        <w:t xml:space="preserve"> but remain inside</w:t>
      </w:r>
      <w:r w:rsidR="00FF7E2B" w:rsidRPr="006D6E8A">
        <w:t xml:space="preserve">.  At 0:15 seconds, </w:t>
      </w:r>
      <w:r w:rsidRPr="006D6E8A">
        <w:t xml:space="preserve">Flores’s head comes into view from behind the Nissan.  </w:t>
      </w:r>
      <w:r w:rsidR="00797EAB" w:rsidRPr="006D6E8A">
        <w:t>He is in darkness.  Flores stands and se</w:t>
      </w:r>
      <w:r w:rsidRPr="006D6E8A">
        <w:t xml:space="preserve">ems to be making a stretching motion with one arm.  </w:t>
      </w:r>
      <w:r w:rsidR="00FF7E2B" w:rsidRPr="006D6E8A">
        <w:t xml:space="preserve">At 0:37 seconds, </w:t>
      </w:r>
      <w:r w:rsidRPr="006D6E8A">
        <w:t xml:space="preserve">he </w:t>
      </w:r>
      <w:r w:rsidR="0003776F">
        <w:t xml:space="preserve">disappears from </w:t>
      </w:r>
      <w:r w:rsidR="004F1AE1">
        <w:t>sight</w:t>
      </w:r>
      <w:r w:rsidRPr="006D6E8A">
        <w:t xml:space="preserve">.  A few seconds </w:t>
      </w:r>
      <w:r w:rsidR="004F1AE1">
        <w:t>later</w:t>
      </w:r>
      <w:r w:rsidRPr="006D6E8A">
        <w:t xml:space="preserve">, he raises his head, then drops back out of </w:t>
      </w:r>
      <w:r w:rsidRPr="006D6E8A">
        <w:lastRenderedPageBreak/>
        <w:t>view.</w:t>
      </w:r>
      <w:r w:rsidR="005D5BF9" w:rsidRPr="006D6E8A">
        <w:t xml:space="preserve">  </w:t>
      </w:r>
      <w:r w:rsidR="00FF7E2B" w:rsidRPr="006D6E8A">
        <w:t>At 0:</w:t>
      </w:r>
      <w:r w:rsidR="005D5BF9" w:rsidRPr="006D6E8A">
        <w:t>50 seconds</w:t>
      </w:r>
      <w:r w:rsidR="00FF7E2B" w:rsidRPr="006D6E8A">
        <w:t xml:space="preserve">, </w:t>
      </w:r>
      <w:r w:rsidR="00230576" w:rsidRPr="006D6E8A">
        <w:t xml:space="preserve">the </w:t>
      </w:r>
      <w:r w:rsidR="005D5BF9" w:rsidRPr="006D6E8A">
        <w:t xml:space="preserve">officers </w:t>
      </w:r>
      <w:r w:rsidR="00230576" w:rsidRPr="006D6E8A">
        <w:t>step</w:t>
      </w:r>
      <w:r w:rsidRPr="006D6E8A">
        <w:t xml:space="preserve"> out of the car and approach </w:t>
      </w:r>
      <w:r w:rsidR="003F5360" w:rsidRPr="006D6E8A">
        <w:t>him</w:t>
      </w:r>
      <w:r w:rsidR="005D5BF9" w:rsidRPr="006D6E8A">
        <w:t xml:space="preserve">.  A flashlight </w:t>
      </w:r>
      <w:r w:rsidRPr="006D6E8A">
        <w:t xml:space="preserve">illuminates the way.  </w:t>
      </w:r>
      <w:r w:rsidR="00FF7E2B" w:rsidRPr="006D6E8A">
        <w:t xml:space="preserve">At 0:55 seconds, Flores </w:t>
      </w:r>
      <w:r w:rsidR="001B6595">
        <w:t>appears on the camera’s recording</w:t>
      </w:r>
      <w:r w:rsidR="00FF7E2B" w:rsidRPr="006D6E8A">
        <w:t xml:space="preserve">.  He is </w:t>
      </w:r>
      <w:r w:rsidR="007F5037">
        <w:t>bent over</w:t>
      </w:r>
      <w:r w:rsidR="003F5360" w:rsidRPr="006D6E8A">
        <w:t xml:space="preserve"> and</w:t>
      </w:r>
      <w:r w:rsidRPr="006D6E8A">
        <w:t xml:space="preserve"> facing away from the </w:t>
      </w:r>
      <w:r w:rsidR="00225D83">
        <w:t>officers</w:t>
      </w:r>
      <w:r w:rsidR="000507F6">
        <w:t xml:space="preserve"> </w:t>
      </w:r>
      <w:r w:rsidRPr="006D6E8A">
        <w:t xml:space="preserve">with both hands near his right shoe.  </w:t>
      </w:r>
      <w:r w:rsidR="003F5360" w:rsidRPr="006D6E8A">
        <w:t xml:space="preserve">When </w:t>
      </w:r>
      <w:r w:rsidR="00230576" w:rsidRPr="006D6E8A">
        <w:t>Marino</w:t>
      </w:r>
      <w:r w:rsidR="005D5BF9" w:rsidRPr="006D6E8A">
        <w:t xml:space="preserve"> trains his flashlight on Flores, Flores</w:t>
      </w:r>
      <w:r w:rsidRPr="006D6E8A">
        <w:t xml:space="preserve"> does not </w:t>
      </w:r>
      <w:r w:rsidR="005D5BF9" w:rsidRPr="006D6E8A">
        <w:t xml:space="preserve">look around.  He </w:t>
      </w:r>
      <w:r w:rsidRPr="006D6E8A">
        <w:t xml:space="preserve">remains </w:t>
      </w:r>
      <w:r w:rsidR="007F5037">
        <w:t>bent over</w:t>
      </w:r>
      <w:r w:rsidRPr="006D6E8A">
        <w:t xml:space="preserve"> and continues moving his </w:t>
      </w:r>
      <w:r w:rsidR="00E431A8">
        <w:t>hands</w:t>
      </w:r>
      <w:r w:rsidRPr="006D6E8A">
        <w:t xml:space="preserve"> near his feet.  </w:t>
      </w:r>
      <w:r w:rsidR="003F5360" w:rsidRPr="006D6E8A">
        <w:t xml:space="preserve">The officers make no inquiry, but at </w:t>
      </w:r>
      <w:r w:rsidRPr="006D6E8A">
        <w:t xml:space="preserve">1:03, </w:t>
      </w:r>
      <w:r w:rsidR="00230576" w:rsidRPr="006D6E8A">
        <w:t>one of the</w:t>
      </w:r>
      <w:r w:rsidR="003F5360" w:rsidRPr="006D6E8A">
        <w:t>m</w:t>
      </w:r>
      <w:r w:rsidR="00230576" w:rsidRPr="006D6E8A">
        <w:t xml:space="preserve"> tells </w:t>
      </w:r>
      <w:r w:rsidR="00FF7E2B" w:rsidRPr="006D6E8A">
        <w:t>Flores</w:t>
      </w:r>
      <w:r w:rsidRPr="006D6E8A">
        <w:t xml:space="preserve"> to stand up.  </w:t>
      </w:r>
      <w:r w:rsidR="00FF7E2B" w:rsidRPr="006D6E8A">
        <w:t xml:space="preserve">Flores </w:t>
      </w:r>
      <w:r w:rsidRPr="006D6E8A">
        <w:t xml:space="preserve">remains </w:t>
      </w:r>
      <w:r w:rsidR="007F5037">
        <w:t>bent over</w:t>
      </w:r>
      <w:r w:rsidRPr="006D6E8A">
        <w:t xml:space="preserve">.  </w:t>
      </w:r>
      <w:r w:rsidR="003F5360" w:rsidRPr="006D6E8A">
        <w:t xml:space="preserve">When </w:t>
      </w:r>
      <w:r w:rsidR="005646EB" w:rsidRPr="006D6E8A">
        <w:t>Marino walks up behind Flores</w:t>
      </w:r>
      <w:r w:rsidR="003F5360" w:rsidRPr="006D6E8A">
        <w:t xml:space="preserve">, </w:t>
      </w:r>
      <w:r w:rsidR="005646EB" w:rsidRPr="006D6E8A">
        <w:t xml:space="preserve">Guy comes around the Nissan and approaches from the other side.  </w:t>
      </w:r>
      <w:r w:rsidRPr="006D6E8A">
        <w:t xml:space="preserve">At 1:12, </w:t>
      </w:r>
      <w:r w:rsidR="005646EB" w:rsidRPr="006D6E8A">
        <w:t xml:space="preserve">Marino </w:t>
      </w:r>
      <w:r w:rsidRPr="006D6E8A">
        <w:t xml:space="preserve">again </w:t>
      </w:r>
      <w:r w:rsidR="003F5360" w:rsidRPr="006D6E8A">
        <w:t xml:space="preserve">directs </w:t>
      </w:r>
      <w:r w:rsidR="00FF7E2B" w:rsidRPr="006D6E8A">
        <w:t xml:space="preserve">Flores </w:t>
      </w:r>
      <w:r w:rsidRPr="006D6E8A">
        <w:t>to stand</w:t>
      </w:r>
      <w:r w:rsidR="00307BB5" w:rsidRPr="006D6E8A">
        <w:t>.</w:t>
      </w:r>
      <w:r w:rsidRPr="006D6E8A">
        <w:t xml:space="preserve">  At 1:14, the officer says, “Hey, hurry up,” and </w:t>
      </w:r>
      <w:r w:rsidR="00FF7E2B" w:rsidRPr="006D6E8A">
        <w:t xml:space="preserve">Flores </w:t>
      </w:r>
      <w:r w:rsidRPr="006D6E8A">
        <w:t xml:space="preserve">begins to </w:t>
      </w:r>
      <w:r w:rsidR="003F5360" w:rsidRPr="006D6E8A">
        <w:t>straighten</w:t>
      </w:r>
      <w:r w:rsidRPr="006D6E8A">
        <w:t xml:space="preserve">.  At 1:16, an officer tells </w:t>
      </w:r>
      <w:r w:rsidR="00023660" w:rsidRPr="006D6E8A">
        <w:t>Flores</w:t>
      </w:r>
      <w:r w:rsidRPr="006D6E8A">
        <w:t>, “</w:t>
      </w:r>
      <w:r w:rsidR="00D80299">
        <w:t>Y</w:t>
      </w:r>
      <w:r w:rsidRPr="006D6E8A">
        <w:t xml:space="preserve">our hands behind your head.”  </w:t>
      </w:r>
      <w:r w:rsidR="00FF7E2B" w:rsidRPr="006D6E8A">
        <w:t xml:space="preserve">Flores </w:t>
      </w:r>
      <w:r w:rsidRPr="006D6E8A">
        <w:t xml:space="preserve">complies and is </w:t>
      </w:r>
      <w:r w:rsidR="003F5360" w:rsidRPr="006D6E8A">
        <w:t xml:space="preserve">directly </w:t>
      </w:r>
      <w:r w:rsidRPr="006D6E8A">
        <w:t>placed in handcuffs.</w:t>
      </w:r>
      <w:r w:rsidR="006F2F6E" w:rsidRPr="006D6E8A">
        <w:t xml:space="preserve">  </w:t>
      </w:r>
    </w:p>
    <w:p w14:paraId="7BBD7EB0" w14:textId="77777777" w:rsidR="005B271A" w:rsidRPr="006D6E8A" w:rsidRDefault="00000000" w:rsidP="006D6E8A">
      <w:pPr>
        <w:tabs>
          <w:tab w:val="left" w:pos="1440"/>
        </w:tabs>
        <w:ind w:firstLine="720"/>
      </w:pPr>
      <w:r w:rsidRPr="006D6E8A">
        <w:t xml:space="preserve">Officer Guy testified that he </w:t>
      </w:r>
      <w:r w:rsidR="00012AE4" w:rsidRPr="006D6E8A">
        <w:t xml:space="preserve">detained Flores because he believed </w:t>
      </w:r>
      <w:r w:rsidRPr="006D6E8A">
        <w:t xml:space="preserve">Flores </w:t>
      </w:r>
      <w:r w:rsidR="00401E32">
        <w:t xml:space="preserve">acted “suspicious[ly]” by </w:t>
      </w:r>
      <w:r w:rsidRPr="006D6E8A">
        <w:t xml:space="preserve">“attempting to conceal himself from the police” </w:t>
      </w:r>
      <w:r w:rsidR="005B3615">
        <w:t>and then</w:t>
      </w:r>
      <w:r w:rsidRPr="006D6E8A">
        <w:t xml:space="preserve"> “pretend[ing] to tie his shoe</w:t>
      </w:r>
      <w:r w:rsidR="005B3615">
        <w:t>.</w:t>
      </w:r>
      <w:r w:rsidRPr="006D6E8A">
        <w:t xml:space="preserve">” </w:t>
      </w:r>
      <w:r w:rsidR="00401E32">
        <w:t xml:space="preserve"> </w:t>
      </w:r>
      <w:r w:rsidR="005B3615">
        <w:t xml:space="preserve">The officer </w:t>
      </w:r>
      <w:r w:rsidRPr="006D6E8A">
        <w:t xml:space="preserve">suspected </w:t>
      </w:r>
      <w:r w:rsidR="005B3615">
        <w:t>Flores</w:t>
      </w:r>
      <w:r w:rsidR="00E431A8">
        <w:t xml:space="preserve"> </w:t>
      </w:r>
      <w:r w:rsidRPr="006D6E8A">
        <w:t xml:space="preserve">was “loitering for the use or sales of narcotics.”  </w:t>
      </w:r>
      <w:r w:rsidR="000262EC" w:rsidRPr="006D6E8A">
        <w:t>Guy gave no reason why he though</w:t>
      </w:r>
      <w:r w:rsidR="0065612E">
        <w:t>t</w:t>
      </w:r>
      <w:r w:rsidR="000262EC" w:rsidRPr="006D6E8A">
        <w:t xml:space="preserve"> so, other than the area and Flores’s </w:t>
      </w:r>
      <w:r w:rsidR="005B3615">
        <w:t>behavior upon seeing the police.</w:t>
      </w:r>
      <w:r w:rsidR="000262EC" w:rsidRPr="006D6E8A">
        <w:t xml:space="preserve">  </w:t>
      </w:r>
      <w:r w:rsidR="0006682C" w:rsidRPr="006D6E8A">
        <w:t xml:space="preserve">During a </w:t>
      </w:r>
      <w:r w:rsidR="00AE186D" w:rsidRPr="006D6E8A">
        <w:t>pat-down searc</w:t>
      </w:r>
      <w:r w:rsidR="00012AE4" w:rsidRPr="006D6E8A">
        <w:t>h</w:t>
      </w:r>
      <w:r w:rsidR="0006682C" w:rsidRPr="006D6E8A">
        <w:t xml:space="preserve">, </w:t>
      </w:r>
      <w:r w:rsidRPr="006D6E8A">
        <w:t>the Nissan</w:t>
      </w:r>
      <w:r w:rsidR="000262EC" w:rsidRPr="006D6E8A">
        <w:t>’s “blinkers activated” as if the officer had “hit the key fob.”</w:t>
      </w:r>
      <w:r w:rsidRPr="006D6E8A">
        <w:t xml:space="preserve">  Officer Guy pointed his flashlight into the car and </w:t>
      </w:r>
      <w:r w:rsidR="00457510" w:rsidRPr="006D6E8A">
        <w:t xml:space="preserve">saw what looked like a drug </w:t>
      </w:r>
      <w:r w:rsidRPr="006D6E8A">
        <w:t xml:space="preserve">pipe.  </w:t>
      </w:r>
      <w:r w:rsidR="005A705F" w:rsidRPr="006D6E8A">
        <w:t xml:space="preserve">In response to the officer’s inquiries, Flores said that </w:t>
      </w:r>
      <w:r w:rsidR="00230576" w:rsidRPr="006D6E8A">
        <w:t xml:space="preserve">the Nissan </w:t>
      </w:r>
      <w:r w:rsidR="00307BB5" w:rsidRPr="006D6E8A">
        <w:t xml:space="preserve">was his and his wallet, </w:t>
      </w:r>
      <w:r w:rsidR="00263FB1">
        <w:t>and</w:t>
      </w:r>
      <w:r w:rsidR="00307BB5" w:rsidRPr="006D6E8A">
        <w:t xml:space="preserve"> identification, </w:t>
      </w:r>
      <w:r w:rsidR="00AE186D" w:rsidRPr="006D6E8A">
        <w:t>w</w:t>
      </w:r>
      <w:r w:rsidR="00263FB1">
        <w:t>ere</w:t>
      </w:r>
      <w:r w:rsidR="00AE186D" w:rsidRPr="006D6E8A">
        <w:t xml:space="preserve"> in the </w:t>
      </w:r>
      <w:r w:rsidRPr="006D6E8A">
        <w:t>driver’s side door</w:t>
      </w:r>
      <w:r w:rsidR="004F1AE1">
        <w:t xml:space="preserve"> pocket</w:t>
      </w:r>
      <w:r w:rsidRPr="006D6E8A">
        <w:t xml:space="preserve">.  Guy retrieved </w:t>
      </w:r>
      <w:r w:rsidR="00230576" w:rsidRPr="006D6E8A">
        <w:t>the wallet</w:t>
      </w:r>
      <w:r w:rsidR="005A705F" w:rsidRPr="006D6E8A">
        <w:t xml:space="preserve">, </w:t>
      </w:r>
      <w:r w:rsidR="0006682C" w:rsidRPr="006D6E8A">
        <w:t xml:space="preserve">looked </w:t>
      </w:r>
      <w:r w:rsidR="005A705F" w:rsidRPr="006D6E8A">
        <w:t>inside, and found a folded dollar bill containing suspected methamphetamine</w:t>
      </w:r>
      <w:r w:rsidR="00230576" w:rsidRPr="006D6E8A">
        <w:t xml:space="preserve">.  </w:t>
      </w:r>
      <w:r w:rsidR="00CC38C5">
        <w:t xml:space="preserve">Officers also recovered a revolver from a </w:t>
      </w:r>
      <w:r w:rsidR="004F1AE1">
        <w:t>backpack.</w:t>
      </w:r>
      <w:r w:rsidRPr="006D6E8A">
        <w:t xml:space="preserve">  </w:t>
      </w:r>
    </w:p>
    <w:p w14:paraId="7BBD7EB1" w14:textId="77777777" w:rsidR="00023660" w:rsidRPr="006D6E8A" w:rsidRDefault="00000000" w:rsidP="006D6E8A">
      <w:pPr>
        <w:tabs>
          <w:tab w:val="left" w:pos="1440"/>
        </w:tabs>
        <w:ind w:firstLine="720"/>
      </w:pPr>
      <w:r w:rsidRPr="006D6E8A">
        <w:t xml:space="preserve">The trial court denied </w:t>
      </w:r>
      <w:r w:rsidR="00230576" w:rsidRPr="006D6E8A">
        <w:t xml:space="preserve">Flores’s </w:t>
      </w:r>
      <w:r w:rsidRPr="006D6E8A">
        <w:t>motion to suppress</w:t>
      </w:r>
      <w:r w:rsidR="00CB0DF7" w:rsidRPr="006D6E8A">
        <w:t xml:space="preserve"> </w:t>
      </w:r>
      <w:r w:rsidR="0037303F" w:rsidRPr="006D6E8A">
        <w:t xml:space="preserve">the </w:t>
      </w:r>
      <w:r w:rsidRPr="006D6E8A">
        <w:t>evidence</w:t>
      </w:r>
      <w:r w:rsidR="00CB0DF7" w:rsidRPr="006D6E8A">
        <w:t xml:space="preserve"> seized.  The court reasoned</w:t>
      </w:r>
      <w:r w:rsidRPr="006D6E8A">
        <w:t xml:space="preserve"> that </w:t>
      </w:r>
      <w:r w:rsidR="00230576" w:rsidRPr="006D6E8A">
        <w:t xml:space="preserve">Flores’s </w:t>
      </w:r>
      <w:r w:rsidRPr="006D6E8A">
        <w:t>act</w:t>
      </w:r>
      <w:r w:rsidR="00426B32" w:rsidRPr="006D6E8A">
        <w:t>s</w:t>
      </w:r>
      <w:r w:rsidRPr="006D6E8A">
        <w:t xml:space="preserve"> of “ducking</w:t>
      </w:r>
      <w:r w:rsidR="00426B32" w:rsidRPr="006D6E8A">
        <w:t>,”</w:t>
      </w:r>
      <w:r w:rsidRPr="006D6E8A">
        <w:t xml:space="preserve"> </w:t>
      </w:r>
      <w:r w:rsidR="00426B32" w:rsidRPr="006D6E8A">
        <w:t>“</w:t>
      </w:r>
      <w:r w:rsidRPr="006D6E8A">
        <w:t>remaining hunched over</w:t>
      </w:r>
      <w:r w:rsidR="00426B32" w:rsidRPr="006D6E8A">
        <w:t>,</w:t>
      </w:r>
      <w:r w:rsidR="00667238" w:rsidRPr="006D6E8A">
        <w:t>”</w:t>
      </w:r>
      <w:r w:rsidR="00426B32" w:rsidRPr="006D6E8A">
        <w:t xml:space="preserve"> and “toying with his feet</w:t>
      </w:r>
      <w:r w:rsidR="0037303F" w:rsidRPr="006D6E8A">
        <w:t>,</w:t>
      </w:r>
      <w:r w:rsidR="00426B32" w:rsidRPr="006D6E8A">
        <w:t>”</w:t>
      </w:r>
      <w:r w:rsidR="00667238" w:rsidRPr="006D6E8A">
        <w:t xml:space="preserve"> </w:t>
      </w:r>
      <w:r w:rsidR="00667238" w:rsidRPr="006D6E8A">
        <w:lastRenderedPageBreak/>
        <w:t>even after the officers approached and told him to stand</w:t>
      </w:r>
      <w:r w:rsidR="0037303F" w:rsidRPr="006D6E8A">
        <w:t xml:space="preserve">, </w:t>
      </w:r>
      <w:r w:rsidR="00667238" w:rsidRPr="006D6E8A">
        <w:t>was</w:t>
      </w:r>
      <w:r w:rsidR="00D37EAF" w:rsidRPr="006D6E8A">
        <w:t xml:space="preserve"> “odd behavior” and “suspicious.”  The court </w:t>
      </w:r>
      <w:r w:rsidR="00CB0DF7" w:rsidRPr="006D6E8A">
        <w:t xml:space="preserve">observed that </w:t>
      </w:r>
      <w:r w:rsidR="00D37EAF" w:rsidRPr="006D6E8A">
        <w:t xml:space="preserve">“any normal human being would stand up and say, ‘Oh, you scared me’ or ‘Oh, what can I help you with?’ or ‘Oh, why are you coming towards me?’ ”  It found Flores’s behavior </w:t>
      </w:r>
      <w:r w:rsidR="00667238" w:rsidRPr="006D6E8A">
        <w:t>“</w:t>
      </w:r>
      <w:r w:rsidRPr="006D6E8A">
        <w:t>more than enough for this Court to find that there were articulable facts to find suspicion and enough for the officer</w:t>
      </w:r>
      <w:r w:rsidR="00E20D49">
        <w:t>s</w:t>
      </w:r>
      <w:r w:rsidRPr="006D6E8A">
        <w:t xml:space="preserve"> to detain him, enough for the officers to thereafter question about identification.”  </w:t>
      </w:r>
    </w:p>
    <w:p w14:paraId="7BBD7EB2" w14:textId="77777777" w:rsidR="007D5386" w:rsidRPr="006D6E8A" w:rsidRDefault="00000000" w:rsidP="006D6E8A">
      <w:pPr>
        <w:tabs>
          <w:tab w:val="left" w:pos="1440"/>
        </w:tabs>
        <w:ind w:firstLine="720"/>
      </w:pPr>
      <w:r w:rsidRPr="006D6E8A">
        <w:t xml:space="preserve">Flores </w:t>
      </w:r>
      <w:r w:rsidR="005B271A" w:rsidRPr="006D6E8A">
        <w:t>pleaded no contest to one count of carrying a loaded firearm</w:t>
      </w:r>
      <w:r w:rsidR="0037303F" w:rsidRPr="006D6E8A">
        <w:t>.</w:t>
      </w:r>
      <w:r w:rsidR="005B271A" w:rsidRPr="006D6E8A">
        <w:t xml:space="preserve"> </w:t>
      </w:r>
      <w:r w:rsidR="0037303F" w:rsidRPr="006D6E8A">
        <w:t xml:space="preserve"> </w:t>
      </w:r>
      <w:r w:rsidR="005B271A" w:rsidRPr="006D6E8A">
        <w:t>(Pen. Code, § 25850, subd. (a)</w:t>
      </w:r>
      <w:r w:rsidR="0037303F" w:rsidRPr="006D6E8A">
        <w:t>.</w:t>
      </w:r>
      <w:r w:rsidR="005B271A" w:rsidRPr="006D6E8A">
        <w:t>)</w:t>
      </w:r>
      <w:r w:rsidR="0037303F" w:rsidRPr="006D6E8A">
        <w:t xml:space="preserve">  I</w:t>
      </w:r>
      <w:r w:rsidR="005B271A" w:rsidRPr="006D6E8A">
        <w:t>n exchange</w:t>
      </w:r>
      <w:r w:rsidR="003222A4">
        <w:t>,</w:t>
      </w:r>
      <w:r w:rsidR="005B271A" w:rsidRPr="006D6E8A">
        <w:t xml:space="preserve"> one count of </w:t>
      </w:r>
      <w:r w:rsidR="0037303F" w:rsidRPr="006D6E8A">
        <w:t xml:space="preserve">armed </w:t>
      </w:r>
      <w:r w:rsidR="005B271A" w:rsidRPr="006D6E8A">
        <w:t>possession of methamphetamine</w:t>
      </w:r>
      <w:r w:rsidR="0037303F" w:rsidRPr="006D6E8A">
        <w:t xml:space="preserve"> was dismissed.  </w:t>
      </w:r>
      <w:r w:rsidR="005B271A" w:rsidRPr="006D6E8A">
        <w:t>(Health &amp; Saf. Code, § 11370.1, subd. (a)</w:t>
      </w:r>
      <w:r w:rsidR="0037303F" w:rsidRPr="006D6E8A">
        <w:t>.</w:t>
      </w:r>
      <w:r w:rsidR="005B271A" w:rsidRPr="006D6E8A">
        <w:t>)</w:t>
      </w:r>
      <w:r w:rsidR="00CB0DF7" w:rsidRPr="006D6E8A">
        <w:t xml:space="preserve">  Pursuant to the terms of the bargain, he was ordered to serve </w:t>
      </w:r>
      <w:r w:rsidR="005B271A" w:rsidRPr="006D6E8A">
        <w:t>three years</w:t>
      </w:r>
      <w:r w:rsidR="00DD129A">
        <w:t>’</w:t>
      </w:r>
      <w:r w:rsidR="005B271A" w:rsidRPr="006D6E8A">
        <w:t xml:space="preserve"> probation</w:t>
      </w:r>
      <w:r w:rsidR="00307BB5" w:rsidRPr="006D6E8A">
        <w:t>.</w:t>
      </w:r>
      <w:r w:rsidR="00E147B3">
        <w:t xml:space="preserve">  Conditions included five days in county jail, 90 days in residential drug treatment</w:t>
      </w:r>
      <w:r w:rsidR="002951E6">
        <w:t>,</w:t>
      </w:r>
      <w:r w:rsidR="00E147B3">
        <w:t xml:space="preserve"> and 90 days of outpatient treatment.  </w:t>
      </w:r>
    </w:p>
    <w:p w14:paraId="7BBD7EB3" w14:textId="77777777" w:rsidR="00C377D6" w:rsidRPr="006D6E8A" w:rsidRDefault="00000000" w:rsidP="006D6E8A">
      <w:pPr>
        <w:tabs>
          <w:tab w:val="left" w:pos="1440"/>
        </w:tabs>
        <w:ind w:firstLine="720"/>
      </w:pPr>
      <w:r w:rsidRPr="006D6E8A">
        <w:t xml:space="preserve">The Court of Appeal affirmed the judgment in a divided opinion.  The majority </w:t>
      </w:r>
      <w:r w:rsidR="0088117C" w:rsidRPr="006D6E8A">
        <w:t xml:space="preserve">concluded that Flores was not detained until </w:t>
      </w:r>
      <w:r w:rsidR="006634E8">
        <w:t>he was ordered</w:t>
      </w:r>
      <w:r w:rsidR="0088117C" w:rsidRPr="006D6E8A">
        <w:t xml:space="preserve"> to </w:t>
      </w:r>
      <w:r w:rsidR="008B0798" w:rsidRPr="006D6E8A">
        <w:t>stand</w:t>
      </w:r>
      <w:r w:rsidR="001C73AC" w:rsidRPr="006D6E8A">
        <w:t xml:space="preserve"> </w:t>
      </w:r>
      <w:r w:rsidR="008B0798" w:rsidRPr="006D6E8A">
        <w:t xml:space="preserve">and </w:t>
      </w:r>
      <w:r w:rsidR="007D559E" w:rsidRPr="006D6E8A">
        <w:t>p</w:t>
      </w:r>
      <w:r w:rsidR="008B0798" w:rsidRPr="006D6E8A">
        <w:t xml:space="preserve">ut his </w:t>
      </w:r>
      <w:r w:rsidR="0088117C" w:rsidRPr="006D6E8A">
        <w:t>hands behind his head.  (</w:t>
      </w:r>
      <w:r w:rsidR="0088117C" w:rsidRPr="006D6E8A">
        <w:rPr>
          <w:i/>
          <w:iCs/>
        </w:rPr>
        <w:t>People v. Flores</w:t>
      </w:r>
      <w:r w:rsidR="0088117C" w:rsidRPr="006D6E8A">
        <w:t xml:space="preserve"> (2021) 60 Cal.App.5th 978, 989</w:t>
      </w:r>
      <w:r w:rsidR="004633A2" w:rsidRPr="006D6E8A">
        <w:t xml:space="preserve"> (</w:t>
      </w:r>
      <w:r w:rsidR="004633A2" w:rsidRPr="006D6E8A">
        <w:rPr>
          <w:i/>
          <w:iCs/>
        </w:rPr>
        <w:t>Flores</w:t>
      </w:r>
      <w:r w:rsidR="004633A2" w:rsidRPr="006D6E8A">
        <w:t>)</w:t>
      </w:r>
      <w:r w:rsidR="0088117C" w:rsidRPr="006D6E8A">
        <w:t xml:space="preserve">.)  It </w:t>
      </w:r>
      <w:r w:rsidRPr="006D6E8A">
        <w:t>found reasonable suspicion justified the detention based on the following facts:  (1)</w:t>
      </w:r>
      <w:r w:rsidR="004633A2" w:rsidRPr="006D6E8A">
        <w:t> </w:t>
      </w:r>
      <w:r w:rsidR="00361067">
        <w:t>“</w:t>
      </w:r>
      <w:r w:rsidRPr="006D6E8A">
        <w:t>Flores saw police and tried to avoid contact with them by ducking down behind a parked car”</w:t>
      </w:r>
      <w:r w:rsidR="003E0A7C">
        <w:t>;</w:t>
      </w:r>
      <w:r w:rsidRPr="006D6E8A">
        <w:t xml:space="preserve"> (2) during the ducking and crouching, Flores continually moved his hands, keeping them out of sight of the </w:t>
      </w:r>
      <w:r w:rsidR="004633A2" w:rsidRPr="006D6E8A">
        <w:t>police</w:t>
      </w:r>
      <w:r w:rsidRPr="006D6E8A">
        <w:t xml:space="preserve">; (3) as </w:t>
      </w:r>
      <w:r w:rsidR="004633A2" w:rsidRPr="006D6E8A">
        <w:t xml:space="preserve">they </w:t>
      </w:r>
      <w:r w:rsidRPr="006D6E8A">
        <w:t>approached, Flores “persisted in his odd crouch position for ‘far too long a period of time’</w:t>
      </w:r>
      <w:r w:rsidR="003E0A7C">
        <w:t> </w:t>
      </w:r>
      <w:r w:rsidRPr="006D6E8A">
        <w:t>”</w:t>
      </w:r>
      <w:r w:rsidR="003E0A7C">
        <w:t>;</w:t>
      </w:r>
      <w:r w:rsidRPr="006D6E8A">
        <w:t xml:space="preserve"> and </w:t>
      </w:r>
      <w:r w:rsidR="00163943" w:rsidRPr="006D6E8A">
        <w:t xml:space="preserve">(4) </w:t>
      </w:r>
      <w:r w:rsidRPr="006D6E8A">
        <w:t xml:space="preserve">the activity occurred at 10:00 p.m. </w:t>
      </w:r>
      <w:r w:rsidR="005C5C74">
        <w:t>“</w:t>
      </w:r>
      <w:r w:rsidRPr="006D6E8A">
        <w:t>on a cul-de-sac known for its illegal drug and gang activity.”  (</w:t>
      </w:r>
      <w:r w:rsidR="0088117C" w:rsidRPr="006D6E8A">
        <w:rPr>
          <w:i/>
          <w:iCs/>
        </w:rPr>
        <w:t>Id</w:t>
      </w:r>
      <w:r w:rsidR="0088117C" w:rsidRPr="006D6E8A">
        <w:t xml:space="preserve">. at pp. </w:t>
      </w:r>
      <w:r w:rsidRPr="006D6E8A">
        <w:t xml:space="preserve">989, 986.)  As for whether Flores was simply engaged in the act of tying his shoe, the majority observed that “innocent possibilities” exist, but an officer “would have valid suspicions if </w:t>
      </w:r>
      <w:r w:rsidRPr="006D6E8A">
        <w:lastRenderedPageBreak/>
        <w:t>the person picked an unlikely moment for the task</w:t>
      </w:r>
      <w:r w:rsidR="00541099">
        <w:t> </w:t>
      </w:r>
      <w:r w:rsidRPr="006D6E8A">
        <w:t>— in the dark, just after seeing police, and just after ducking once already</w:t>
      </w:r>
      <w:r w:rsidR="00541099">
        <w:t> </w:t>
      </w:r>
      <w:r w:rsidRPr="006D6E8A">
        <w:t xml:space="preserve">— and if the person took an unusually long time at it.  The trial court found </w:t>
      </w:r>
      <w:r w:rsidR="00163943" w:rsidRPr="006D6E8A">
        <w:t>Flores</w:t>
      </w:r>
      <w:r w:rsidRPr="006D6E8A">
        <w:t xml:space="preserve"> kept crouching for a suspiciously long time.  Common sense takes context into account.”  (</w:t>
      </w:r>
      <w:r w:rsidRPr="006D6E8A">
        <w:rPr>
          <w:i/>
          <w:iCs/>
        </w:rPr>
        <w:t>Id</w:t>
      </w:r>
      <w:r w:rsidRPr="006D6E8A">
        <w:t>. at p. 990</w:t>
      </w:r>
      <w:r w:rsidR="00FE1C8E" w:rsidRPr="006D6E8A">
        <w:t xml:space="preserve">; see also </w:t>
      </w:r>
      <w:r w:rsidR="00FE1C8E" w:rsidRPr="006D6E8A">
        <w:rPr>
          <w:i/>
          <w:iCs/>
        </w:rPr>
        <w:t>In re Tony C.</w:t>
      </w:r>
      <w:r w:rsidR="00FE1C8E" w:rsidRPr="006D6E8A">
        <w:t xml:space="preserve"> (1978) 21 Cal.3d 888, 89</w:t>
      </w:r>
      <w:r w:rsidR="008902A8" w:rsidRPr="006D6E8A">
        <w:t>4</w:t>
      </w:r>
      <w:r w:rsidR="00C94986" w:rsidRPr="006D6E8A">
        <w:t xml:space="preserve"> (</w:t>
      </w:r>
      <w:r w:rsidR="00C94986" w:rsidRPr="006D6E8A">
        <w:rPr>
          <w:i/>
          <w:iCs/>
        </w:rPr>
        <w:t>Tony C</w:t>
      </w:r>
      <w:r w:rsidR="00C94986" w:rsidRPr="006D6E8A">
        <w:t>.).</w:t>
      </w:r>
      <w:r w:rsidRPr="006D6E8A">
        <w:t>)</w:t>
      </w:r>
    </w:p>
    <w:p w14:paraId="7BBD7EB4" w14:textId="77777777" w:rsidR="006F3445" w:rsidRPr="006D6E8A" w:rsidRDefault="00000000" w:rsidP="006D6E8A">
      <w:pPr>
        <w:tabs>
          <w:tab w:val="left" w:pos="1440"/>
        </w:tabs>
        <w:ind w:firstLine="720"/>
      </w:pPr>
      <w:r w:rsidRPr="006D6E8A">
        <w:t xml:space="preserve">Justice Stratton opined </w:t>
      </w:r>
      <w:r w:rsidR="008902A8" w:rsidRPr="006D6E8A">
        <w:t xml:space="preserve">in dissent that </w:t>
      </w:r>
      <w:r w:rsidRPr="006D6E8A">
        <w:t xml:space="preserve">the detention </w:t>
      </w:r>
      <w:r w:rsidR="0088117C" w:rsidRPr="006D6E8A">
        <w:t>began when officers parked their car, shined a light on Flores, and approached him from two sides.  (</w:t>
      </w:r>
      <w:r w:rsidR="0088117C" w:rsidRPr="006D6E8A">
        <w:rPr>
          <w:i/>
          <w:iCs/>
        </w:rPr>
        <w:t>Flores</w:t>
      </w:r>
      <w:r w:rsidR="0088117C" w:rsidRPr="006D6E8A">
        <w:t xml:space="preserve">, </w:t>
      </w:r>
      <w:r w:rsidR="0088117C" w:rsidRPr="006D6E8A">
        <w:rPr>
          <w:i/>
          <w:iCs/>
        </w:rPr>
        <w:t>supra</w:t>
      </w:r>
      <w:r w:rsidR="0088117C" w:rsidRPr="006D6E8A">
        <w:t>, 60 Cal.App.5th at p. 992 (dis. opn. of Stratton, J.)</w:t>
      </w:r>
      <w:r w:rsidR="008A0C33" w:rsidRPr="006D6E8A">
        <w:t>.)</w:t>
      </w:r>
      <w:r w:rsidR="0088117C" w:rsidRPr="006D6E8A">
        <w:t xml:space="preserve">  But even if the detention occurred later, after Flores’s prolonged crouching, she was unpersuaded that reasonable suspicion </w:t>
      </w:r>
      <w:r w:rsidR="008902A8" w:rsidRPr="006D6E8A">
        <w:t>was established</w:t>
      </w:r>
      <w:r w:rsidRPr="006D6E8A">
        <w:t xml:space="preserve">.  </w:t>
      </w:r>
      <w:r w:rsidR="0088117C" w:rsidRPr="006D6E8A">
        <w:t xml:space="preserve">Justice Stratton </w:t>
      </w:r>
      <w:r w:rsidRPr="006D6E8A">
        <w:t>accepted the trial court’s factual finding that Flores ducked to avoid police contact, but she noted that he had a right to</w:t>
      </w:r>
      <w:r w:rsidR="008902A8" w:rsidRPr="006D6E8A">
        <w:t xml:space="preserve"> do so</w:t>
      </w:r>
      <w:r w:rsidRPr="006D6E8A">
        <w:t>.  (</w:t>
      </w:r>
      <w:r w:rsidR="004633A2" w:rsidRPr="006D6E8A">
        <w:rPr>
          <w:i/>
          <w:iCs/>
        </w:rPr>
        <w:t>Id</w:t>
      </w:r>
      <w:r w:rsidR="004633A2" w:rsidRPr="006D6E8A">
        <w:t xml:space="preserve">. </w:t>
      </w:r>
      <w:r w:rsidR="0008230C" w:rsidRPr="006D6E8A">
        <w:t>at p. 993</w:t>
      </w:r>
      <w:r w:rsidR="004633A2" w:rsidRPr="006D6E8A">
        <w:t xml:space="preserve">, </w:t>
      </w:r>
      <w:r w:rsidRPr="006D6E8A">
        <w:t xml:space="preserve">citing </w:t>
      </w:r>
      <w:r w:rsidRPr="006D6E8A">
        <w:rPr>
          <w:i/>
          <w:iCs/>
        </w:rPr>
        <w:t>Florida</w:t>
      </w:r>
      <w:r w:rsidRPr="006D6E8A">
        <w:t xml:space="preserve"> </w:t>
      </w:r>
      <w:r w:rsidRPr="006D6E8A">
        <w:rPr>
          <w:i/>
          <w:iCs/>
        </w:rPr>
        <w:t>v.</w:t>
      </w:r>
      <w:r w:rsidRPr="006D6E8A">
        <w:t xml:space="preserve"> </w:t>
      </w:r>
      <w:r w:rsidRPr="006D6E8A">
        <w:rPr>
          <w:i/>
        </w:rPr>
        <w:t>Royer</w:t>
      </w:r>
      <w:r w:rsidRPr="006D6E8A">
        <w:t xml:space="preserve"> (1983) 460 U.S. 491, 497–498</w:t>
      </w:r>
      <w:r w:rsidR="00A838B7">
        <w:t xml:space="preserve"> (plur</w:t>
      </w:r>
      <w:r w:rsidR="000C69EB">
        <w:t>.</w:t>
      </w:r>
      <w:r w:rsidR="00A838B7">
        <w:t xml:space="preserve"> opn.</w:t>
      </w:r>
      <w:r w:rsidR="000C69EB">
        <w:t xml:space="preserve"> of White, J.</w:t>
      </w:r>
      <w:r w:rsidR="00A838B7">
        <w:t>)</w:t>
      </w:r>
      <w:r w:rsidR="00496357">
        <w:t xml:space="preserve"> (</w:t>
      </w:r>
      <w:r w:rsidR="00496357" w:rsidRPr="00496357">
        <w:rPr>
          <w:i/>
          <w:iCs/>
        </w:rPr>
        <w:t>Royer</w:t>
      </w:r>
      <w:r w:rsidR="00496357">
        <w:t>)</w:t>
      </w:r>
      <w:r w:rsidRPr="006D6E8A">
        <w:t>.)</w:t>
      </w:r>
      <w:r w:rsidR="0008230C" w:rsidRPr="006D6E8A">
        <w:t xml:space="preserve">  In her view, Flores’s behavior was “neither abnormal nor suspicious” </w:t>
      </w:r>
      <w:r w:rsidR="00163943" w:rsidRPr="006D6E8A">
        <w:t xml:space="preserve">given the </w:t>
      </w:r>
      <w:r w:rsidR="0008230C" w:rsidRPr="006D6E8A">
        <w:t>“deep-seated mistrust certain communities feel toward police and how that mistrust manifests in the behavior of people interacting with them.”  (</w:t>
      </w:r>
      <w:r w:rsidR="0008230C" w:rsidRPr="006D6E8A">
        <w:rPr>
          <w:i/>
          <w:iCs/>
        </w:rPr>
        <w:t>Flores</w:t>
      </w:r>
      <w:r w:rsidR="0008230C" w:rsidRPr="006D6E8A">
        <w:t>, at pp. 993</w:t>
      </w:r>
      <w:r w:rsidR="003222A4">
        <w:t xml:space="preserve">, </w:t>
      </w:r>
      <w:r w:rsidR="0008230C" w:rsidRPr="006D6E8A">
        <w:t xml:space="preserve">994.)  </w:t>
      </w:r>
    </w:p>
    <w:p w14:paraId="7BBD7EB5" w14:textId="77777777" w:rsidR="00C377D6" w:rsidRPr="006D6E8A" w:rsidRDefault="00000000" w:rsidP="006D6E8A">
      <w:pPr>
        <w:tabs>
          <w:tab w:val="left" w:pos="1440"/>
        </w:tabs>
        <w:ind w:firstLine="720"/>
      </w:pPr>
      <w:r w:rsidRPr="006D6E8A">
        <w:t xml:space="preserve">We granted review to determine whether Flores’s detention was justified on these facts.  </w:t>
      </w:r>
    </w:p>
    <w:p w14:paraId="7BBD7EB6" w14:textId="77777777" w:rsidR="005B271A" w:rsidRPr="006D6E8A" w:rsidRDefault="00000000" w:rsidP="006D6E8A">
      <w:pPr>
        <w:pStyle w:val="Heading1"/>
      </w:pPr>
      <w:r w:rsidRPr="006D6E8A">
        <w:t>II.  DISCUSSION</w:t>
      </w:r>
    </w:p>
    <w:p w14:paraId="7BBD7EB7" w14:textId="77777777" w:rsidR="000707EF" w:rsidRDefault="00000000" w:rsidP="006D6E8A">
      <w:pPr>
        <w:tabs>
          <w:tab w:val="left" w:pos="1440"/>
        </w:tabs>
        <w:ind w:firstLine="720"/>
      </w:pPr>
      <w:r w:rsidRPr="006D6E8A">
        <w:t>“[T]he Fourth Amendment permits an officer to initiate a brief investigative .</w:t>
      </w:r>
      <w:r w:rsidR="00541099">
        <w:t> </w:t>
      </w:r>
      <w:r w:rsidRPr="006D6E8A">
        <w:t>.</w:t>
      </w:r>
      <w:r w:rsidR="00541099">
        <w:t> </w:t>
      </w:r>
      <w:r w:rsidRPr="006D6E8A">
        <w:t xml:space="preserve">. stop when [the officer] has ‘a particularized and objective basis for suspecting the particular person stopped of criminal activity.’  [Citations.]  ‘Although a mere “hunch” does not create reasonable suspicion, the level of suspicion the standard requires is considerably less than proof of wrongdoing by a preponderance of the evidence, and obviously </w:t>
      </w:r>
      <w:r w:rsidRPr="006D6E8A">
        <w:lastRenderedPageBreak/>
        <w:t xml:space="preserve">less than is necessary for probable cause.’  [Citations.]  [¶]  Because it is a ‘less demanding’ standard, ‘reasonable suspicion can be established with information that is different in quantity or content than that required to establish probable cause.’  [Citation.]  The standard ‘depends on the factual and practical considerations of everyday life on which </w:t>
      </w:r>
      <w:r w:rsidRPr="002C25C5">
        <w:t>reasonable and prudent men</w:t>
      </w:r>
      <w:r w:rsidRPr="00A838B7">
        <w:t>,</w:t>
      </w:r>
      <w:r w:rsidRPr="006D6E8A">
        <w:t xml:space="preserve"> not legal technicians, act.’  [Citation.]  Courts ‘cannot reasonably demand scientific certainty . . . where none exists.’  [Citation.]  Rather, they must permit officers to make ‘commonsense judgments and inferences about human behavior.’</w:t>
      </w:r>
      <w:r w:rsidR="007B0407">
        <w:t> </w:t>
      </w:r>
      <w:r w:rsidRPr="006D6E8A">
        <w:t>”  (</w:t>
      </w:r>
      <w:r w:rsidRPr="006D6E8A">
        <w:rPr>
          <w:i/>
          <w:iCs/>
        </w:rPr>
        <w:t>Kansas v. Glover</w:t>
      </w:r>
      <w:r w:rsidRPr="006D6E8A">
        <w:t xml:space="preserve"> (2020) 589 U.S. </w:t>
      </w:r>
      <w:r w:rsidR="000D61CA">
        <w:t>376</w:t>
      </w:r>
      <w:r w:rsidR="004001E6">
        <w:t xml:space="preserve">, </w:t>
      </w:r>
      <w:r w:rsidR="000D61CA">
        <w:t xml:space="preserve">380–381 </w:t>
      </w:r>
      <w:r w:rsidR="004826BE" w:rsidRPr="006D6E8A">
        <w:t>(</w:t>
      </w:r>
      <w:r w:rsidR="004826BE" w:rsidRPr="006D6E8A">
        <w:rPr>
          <w:i/>
          <w:iCs/>
        </w:rPr>
        <w:t>Glover</w:t>
      </w:r>
      <w:r w:rsidR="004826BE" w:rsidRPr="006D6E8A">
        <w:t>)</w:t>
      </w:r>
      <w:r w:rsidR="00A838B7">
        <w:t>, italics omitted</w:t>
      </w:r>
      <w:r w:rsidRPr="006D6E8A">
        <w:t>.)</w:t>
      </w:r>
      <w:r w:rsidR="00523514">
        <w:t xml:space="preserve">  </w:t>
      </w:r>
    </w:p>
    <w:p w14:paraId="7BBD7EB8" w14:textId="77777777" w:rsidR="00F960A3" w:rsidRDefault="00000000" w:rsidP="00F960A3">
      <w:pPr>
        <w:tabs>
          <w:tab w:val="left" w:pos="1440"/>
        </w:tabs>
        <w:ind w:firstLine="720"/>
      </w:pPr>
      <w:r>
        <w:t xml:space="preserve">In </w:t>
      </w:r>
      <w:r w:rsidRPr="00CC6DBB">
        <w:rPr>
          <w:i/>
          <w:iCs/>
        </w:rPr>
        <w:t>Terry v. Ohio</w:t>
      </w:r>
      <w:r>
        <w:t xml:space="preserve"> (1968) 392 U.S. 1 (</w:t>
      </w:r>
      <w:r w:rsidRPr="00CC6DBB">
        <w:rPr>
          <w:i/>
          <w:iCs/>
        </w:rPr>
        <w:t>Terry</w:t>
      </w:r>
      <w:r>
        <w:t xml:space="preserve">), the United States Supreme Court </w:t>
      </w:r>
      <w:r w:rsidRPr="002811AF">
        <w:t>first recognized the validity of a brief investigative detention, short of arrest, based on reasonable suspicion of criminal activity</w:t>
      </w:r>
      <w:r>
        <w:t xml:space="preserve">.  </w:t>
      </w:r>
      <w:r w:rsidR="00D32E8F">
        <w:t>(</w:t>
      </w:r>
      <w:r w:rsidR="00D32E8F" w:rsidRPr="002811AF">
        <w:rPr>
          <w:i/>
          <w:iCs/>
        </w:rPr>
        <w:t>Id</w:t>
      </w:r>
      <w:r w:rsidR="00D32E8F">
        <w:t>. at p</w:t>
      </w:r>
      <w:r w:rsidR="0056721C">
        <w:t>p</w:t>
      </w:r>
      <w:r w:rsidR="00D32E8F">
        <w:t xml:space="preserve">. </w:t>
      </w:r>
      <w:r w:rsidR="009E018E">
        <w:t xml:space="preserve">21–22, </w:t>
      </w:r>
      <w:r w:rsidR="0056721C">
        <w:t xml:space="preserve">27, </w:t>
      </w:r>
      <w:r w:rsidR="00926031">
        <w:t xml:space="preserve">30.)  </w:t>
      </w:r>
      <w:r>
        <w:t xml:space="preserve">It distinguished that requirement from the more demanding standard of probable cause necessary to justify an arrest. </w:t>
      </w:r>
      <w:r w:rsidR="00E663B7">
        <w:t xml:space="preserve"> </w:t>
      </w:r>
      <w:r>
        <w:t xml:space="preserve">A review of </w:t>
      </w:r>
      <w:r w:rsidRPr="00CC6DBB">
        <w:rPr>
          <w:i/>
          <w:iCs/>
        </w:rPr>
        <w:t>Terry</w:t>
      </w:r>
      <w:r>
        <w:t xml:space="preserve"> and its role in the evolution of Fourth Amendment jurisprudence provides illuminating context and perspective.  It demonstrates the serious consideration given to judicial review of police investigative conduct over more than 50 years.  </w:t>
      </w:r>
    </w:p>
    <w:p w14:paraId="7BBD7EB9" w14:textId="77777777" w:rsidR="00F960A3" w:rsidRDefault="00000000" w:rsidP="00F960A3">
      <w:pPr>
        <w:tabs>
          <w:tab w:val="left" w:pos="1440"/>
        </w:tabs>
        <w:ind w:firstLine="720"/>
      </w:pPr>
      <w:r>
        <w:t xml:space="preserve">In </w:t>
      </w:r>
      <w:r w:rsidRPr="00165F9E">
        <w:rPr>
          <w:i/>
          <w:iCs/>
        </w:rPr>
        <w:t>Terry</w:t>
      </w:r>
      <w:r>
        <w:t xml:space="preserve"> </w:t>
      </w:r>
      <w:r w:rsidRPr="00165F9E">
        <w:t>a plainclothes detective</w:t>
      </w:r>
      <w:r>
        <w:t xml:space="preserve"> was on foot patrol in downtown Cleveland, watching particularly for the presence of shoplifters and pickpockets.  At 2:30 in the afternoon he noticed two men he had not seen before standing on a corner. The detective did not approach the pair, but simply observed them for 10 to 12 minutes.  During that time the detective saw the men stand on the corner.  Then each </w:t>
      </w:r>
      <w:r w:rsidR="009541B4">
        <w:t>separately</w:t>
      </w:r>
      <w:r>
        <w:t xml:space="preserve"> walked down the street, paused to look in a particular shop window, walked </w:t>
      </w:r>
      <w:r>
        <w:lastRenderedPageBreak/>
        <w:t xml:space="preserve">for a short distance past the shop, then retraced his steps, paused again at the same window, and rejoined his companion back on the corner, where they conferred.  Each man separately engaged in that process </w:t>
      </w:r>
      <w:r w:rsidR="00837B30">
        <w:t>five</w:t>
      </w:r>
      <w:r>
        <w:t xml:space="preserve"> or </w:t>
      </w:r>
      <w:r w:rsidR="00837B30">
        <w:t>six</w:t>
      </w:r>
      <w:r>
        <w:t xml:space="preserve"> times.  </w:t>
      </w:r>
      <w:r w:rsidR="00CF1779">
        <w:t>(</w:t>
      </w:r>
      <w:r w:rsidR="00CF1779" w:rsidRPr="00403AE5">
        <w:rPr>
          <w:i/>
          <w:iCs/>
        </w:rPr>
        <w:t>Terry</w:t>
      </w:r>
      <w:r w:rsidR="00CF1779">
        <w:t xml:space="preserve">, </w:t>
      </w:r>
      <w:r w:rsidR="00CF1779" w:rsidRPr="00403AE5">
        <w:rPr>
          <w:i/>
          <w:iCs/>
        </w:rPr>
        <w:t>supra</w:t>
      </w:r>
      <w:r w:rsidR="00CF1779">
        <w:t xml:space="preserve">, 392 U.S. at pp. </w:t>
      </w:r>
      <w:r w:rsidR="00B55467">
        <w:t>5–</w:t>
      </w:r>
      <w:r w:rsidR="004508C4">
        <w:t xml:space="preserve">6.)  </w:t>
      </w:r>
      <w:r>
        <w:t xml:space="preserve">After what the Court described as the </w:t>
      </w:r>
      <w:r w:rsidR="0090440F">
        <w:t>“</w:t>
      </w:r>
      <w:r>
        <w:t>elaborately casual and oft-repeated reconnaissance of the store window” (</w:t>
      </w:r>
      <w:r w:rsidR="0090440F" w:rsidRPr="00403AE5">
        <w:rPr>
          <w:i/>
          <w:iCs/>
        </w:rPr>
        <w:t>id</w:t>
      </w:r>
      <w:r w:rsidR="0090440F">
        <w:t xml:space="preserve">. at p. </w:t>
      </w:r>
      <w:r w:rsidR="00403AE5">
        <w:t>6),</w:t>
      </w:r>
      <w:r>
        <w:t xml:space="preserve"> the men left the corner together.  </w:t>
      </w:r>
    </w:p>
    <w:p w14:paraId="7BBD7EBA" w14:textId="77777777" w:rsidR="00F960A3" w:rsidRDefault="00000000" w:rsidP="00F960A3">
      <w:pPr>
        <w:tabs>
          <w:tab w:val="left" w:pos="1440"/>
        </w:tabs>
        <w:ind w:firstLine="720"/>
      </w:pPr>
      <w:r>
        <w:t>The detective decided to investigate further because he suspected the two men were “</w:t>
      </w:r>
      <w:r w:rsidR="00AC3A24">
        <w:t> </w:t>
      </w:r>
      <w:r w:rsidR="00E36C1E">
        <w:t>‘</w:t>
      </w:r>
      <w:r>
        <w:t>casing a job, a stick-up.</w:t>
      </w:r>
      <w:r w:rsidR="001E2F85">
        <w:t>’ </w:t>
      </w:r>
      <w:r>
        <w:t xml:space="preserve">” </w:t>
      </w:r>
      <w:r w:rsidR="001E2F85">
        <w:t xml:space="preserve"> </w:t>
      </w:r>
      <w:r>
        <w:t>(</w:t>
      </w:r>
      <w:r w:rsidR="001E2F85" w:rsidRPr="003326FB">
        <w:rPr>
          <w:i/>
          <w:iCs/>
        </w:rPr>
        <w:t>Terry</w:t>
      </w:r>
      <w:r w:rsidR="001E2F85">
        <w:t xml:space="preserve">, </w:t>
      </w:r>
      <w:r w:rsidR="001E2F85" w:rsidRPr="003326FB">
        <w:rPr>
          <w:i/>
          <w:iCs/>
        </w:rPr>
        <w:t>supra</w:t>
      </w:r>
      <w:r w:rsidR="001E2F85">
        <w:t>, 392 U.S. at p. 6</w:t>
      </w:r>
      <w:r>
        <w:t xml:space="preserve">.) </w:t>
      </w:r>
      <w:r w:rsidR="007A48A6">
        <w:t xml:space="preserve"> </w:t>
      </w:r>
      <w:r>
        <w:t xml:space="preserve">He also suspected they might be armed.  The men stopped in front of another store nearby and met with a third man.  The detective had seen them talk briefly with the third man when the pair was at the original corner from which they had conducted their “oft-repeated reconnaissance.”  </w:t>
      </w:r>
      <w:r w:rsidR="007738E7">
        <w:t>(</w:t>
      </w:r>
      <w:r w:rsidR="007738E7" w:rsidRPr="003326FB">
        <w:rPr>
          <w:i/>
          <w:iCs/>
        </w:rPr>
        <w:t>Ibid</w:t>
      </w:r>
      <w:r w:rsidR="007738E7">
        <w:t xml:space="preserve">.)  </w:t>
      </w:r>
      <w:r>
        <w:t xml:space="preserve">The detective had no more information beyond what he had observed.  He approached the three men, </w:t>
      </w:r>
      <w:r w:rsidR="007738E7">
        <w:t>identified</w:t>
      </w:r>
      <w:r>
        <w:t xml:space="preserve"> himself as an officer, and asked for their names.  </w:t>
      </w:r>
      <w:r w:rsidR="005E6CE4">
        <w:t>(</w:t>
      </w:r>
      <w:r w:rsidR="005E6CE4" w:rsidRPr="000F726A">
        <w:rPr>
          <w:i/>
          <w:iCs/>
        </w:rPr>
        <w:t>Id</w:t>
      </w:r>
      <w:r w:rsidR="005E6CE4">
        <w:t xml:space="preserve">. at pp. 6–7.)  </w:t>
      </w:r>
      <w:r>
        <w:t>After they “</w:t>
      </w:r>
      <w:r w:rsidR="009F5976">
        <w:t> </w:t>
      </w:r>
      <w:r w:rsidR="00A8698D">
        <w:t>‘</w:t>
      </w:r>
      <w:r>
        <w:t>mumbled something</w:t>
      </w:r>
      <w:r w:rsidR="009F5976">
        <w:t>’ </w:t>
      </w:r>
      <w:r>
        <w:t>” (</w:t>
      </w:r>
      <w:r w:rsidR="009F5976" w:rsidRPr="000F726A">
        <w:rPr>
          <w:i/>
          <w:iCs/>
        </w:rPr>
        <w:t>id</w:t>
      </w:r>
      <w:r w:rsidR="009F5976">
        <w:t xml:space="preserve">. at </w:t>
      </w:r>
      <w:r>
        <w:t xml:space="preserve">p. </w:t>
      </w:r>
      <w:r w:rsidR="002A4A4F">
        <w:t>7</w:t>
      </w:r>
      <w:r>
        <w:t>)</w:t>
      </w:r>
      <w:r w:rsidR="009F5976">
        <w:t>,</w:t>
      </w:r>
      <w:r>
        <w:t xml:space="preserve"> the detective grabbed </w:t>
      </w:r>
      <w:r w:rsidRPr="00B96CEF">
        <w:t>Terry</w:t>
      </w:r>
      <w:r>
        <w:t>, patted him down for weapons</w:t>
      </w:r>
      <w:r w:rsidR="00B96CEF">
        <w:t>,</w:t>
      </w:r>
      <w:r>
        <w:t xml:space="preserve"> and ultimately removed a revolver from his interior coat pocket.  A second gun was found in his companion’s overcoat.</w:t>
      </w:r>
      <w:r w:rsidR="002A4A4F">
        <w:t xml:space="preserve">  (</w:t>
      </w:r>
      <w:r w:rsidR="002A4A4F" w:rsidRPr="000F726A">
        <w:rPr>
          <w:i/>
          <w:iCs/>
        </w:rPr>
        <w:t>Ibid</w:t>
      </w:r>
      <w:r w:rsidR="002A4A4F">
        <w:t>.)</w:t>
      </w:r>
      <w:r>
        <w:t xml:space="preserve">  </w:t>
      </w:r>
    </w:p>
    <w:p w14:paraId="7BBD7EBB" w14:textId="77777777" w:rsidR="00F960A3" w:rsidRDefault="00000000" w:rsidP="00F960A3">
      <w:pPr>
        <w:tabs>
          <w:tab w:val="left" w:pos="1440"/>
        </w:tabs>
        <w:ind w:firstLine="720"/>
      </w:pPr>
      <w:r>
        <w:t xml:space="preserve">Chief Justice Warren wrote the opinion of the court. </w:t>
      </w:r>
      <w:r w:rsidR="00667AC9">
        <w:t xml:space="preserve"> </w:t>
      </w:r>
      <w:r>
        <w:t xml:space="preserve">He began its discussion by quoting </w:t>
      </w:r>
      <w:r w:rsidRPr="00141DDA">
        <w:rPr>
          <w:i/>
          <w:iCs/>
        </w:rPr>
        <w:t>Union Pac</w:t>
      </w:r>
      <w:r w:rsidR="00E36E4F" w:rsidRPr="00141DDA">
        <w:rPr>
          <w:i/>
          <w:iCs/>
        </w:rPr>
        <w:t>ific</w:t>
      </w:r>
      <w:r w:rsidRPr="00141DDA">
        <w:rPr>
          <w:i/>
          <w:iCs/>
        </w:rPr>
        <w:t xml:space="preserve"> R</w:t>
      </w:r>
      <w:r w:rsidR="00E36E4F" w:rsidRPr="00141DDA">
        <w:rPr>
          <w:i/>
          <w:iCs/>
        </w:rPr>
        <w:t>ailroad</w:t>
      </w:r>
      <w:r w:rsidRPr="00141DDA">
        <w:rPr>
          <w:i/>
          <w:iCs/>
        </w:rPr>
        <w:t xml:space="preserve"> Co. v. Botsford</w:t>
      </w:r>
      <w:r>
        <w:t xml:space="preserve"> (1891) 141 U.S. 250, which observed: </w:t>
      </w:r>
      <w:r w:rsidR="00763F1E">
        <w:t xml:space="preserve"> </w:t>
      </w:r>
      <w:r>
        <w:t>“</w:t>
      </w:r>
      <w:r w:rsidR="00C319E8">
        <w:t> ‘</w:t>
      </w:r>
      <w:r>
        <w:t>No right is held more sacred, or is more carefully guarded</w:t>
      </w:r>
      <w:r w:rsidR="00882D2A">
        <w:t>,</w:t>
      </w:r>
      <w:r w:rsidR="00FE5947">
        <w:t xml:space="preserve"> </w:t>
      </w:r>
      <w:r w:rsidR="00763F1E">
        <w:t>by the common law</w:t>
      </w:r>
      <w:r w:rsidR="000B569E">
        <w:t>,</w:t>
      </w:r>
      <w:r>
        <w:t xml:space="preserve"> than the right of every individual to the possession and control of his own person, free from all restraint or interference of others, unless by clear and unquestionable authority of law.</w:t>
      </w:r>
      <w:r w:rsidR="00C319E8">
        <w:t>’ </w:t>
      </w:r>
      <w:r>
        <w:t>”  (</w:t>
      </w:r>
      <w:r w:rsidR="00763F1E" w:rsidRPr="002573FE">
        <w:rPr>
          <w:i/>
          <w:iCs/>
        </w:rPr>
        <w:t>Terry</w:t>
      </w:r>
      <w:r w:rsidR="00763F1E">
        <w:t xml:space="preserve">, </w:t>
      </w:r>
      <w:r w:rsidR="00763F1E" w:rsidRPr="002573FE">
        <w:rPr>
          <w:i/>
          <w:iCs/>
        </w:rPr>
        <w:t>supra</w:t>
      </w:r>
      <w:r w:rsidR="00763F1E">
        <w:t xml:space="preserve">, </w:t>
      </w:r>
      <w:r w:rsidR="00415BAC">
        <w:t>392 U.S. at p. 9</w:t>
      </w:r>
      <w:r w:rsidR="00C319E8">
        <w:t xml:space="preserve">, quoting </w:t>
      </w:r>
      <w:r w:rsidR="00C319E8" w:rsidRPr="006C3B12">
        <w:rPr>
          <w:i/>
          <w:iCs/>
        </w:rPr>
        <w:t>Union Pacific Railroad Co</w:t>
      </w:r>
      <w:r w:rsidR="006C3B12">
        <w:t>.</w:t>
      </w:r>
      <w:r w:rsidR="00C319E8">
        <w:t>, at p. 251</w:t>
      </w:r>
      <w:r>
        <w:t xml:space="preserve">.)  </w:t>
      </w:r>
    </w:p>
    <w:p w14:paraId="7BBD7EBC" w14:textId="77777777" w:rsidR="00F960A3" w:rsidRDefault="00000000" w:rsidP="00F960A3">
      <w:pPr>
        <w:tabs>
          <w:tab w:val="left" w:pos="1440"/>
        </w:tabs>
        <w:ind w:firstLine="720"/>
      </w:pPr>
      <w:r>
        <w:lastRenderedPageBreak/>
        <w:t xml:space="preserve">The Chief Justice went on to note: </w:t>
      </w:r>
      <w:r w:rsidR="00FA2B73">
        <w:t xml:space="preserve"> </w:t>
      </w:r>
      <w:r>
        <w:t>“We would be less than candid if we did not acknowledge that this question [whether the detective’s actions violated the Fourth Amendment] thrusts to the fore difficult and troublesome issues regarding a sensitive area of police activity</w:t>
      </w:r>
      <w:r w:rsidR="00541099">
        <w:t> —</w:t>
      </w:r>
      <w:r>
        <w:t xml:space="preserve"> issues which have never before been squarely presented to this Court.  Reflective of the tensions involved are the practical and constitutional arguments </w:t>
      </w:r>
      <w:r w:rsidR="00941FB0">
        <w:t>.</w:t>
      </w:r>
      <w:r w:rsidR="00541099">
        <w:t> </w:t>
      </w:r>
      <w:r w:rsidR="00941FB0">
        <w:t>.</w:t>
      </w:r>
      <w:r w:rsidR="00541099">
        <w:t> </w:t>
      </w:r>
      <w:r w:rsidR="00941FB0">
        <w:t>.</w:t>
      </w:r>
      <w:r>
        <w:t xml:space="preserve"> on both sides of the public debate over the power of </w:t>
      </w:r>
      <w:r w:rsidR="00857E2B">
        <w:t xml:space="preserve">the </w:t>
      </w:r>
      <w:r>
        <w:t xml:space="preserve">police to ‘stop and frisk’ </w:t>
      </w:r>
      <w:r w:rsidR="00941FB0">
        <w:t>.</w:t>
      </w:r>
      <w:r w:rsidR="00541099">
        <w:t> </w:t>
      </w:r>
      <w:r w:rsidR="00941FB0">
        <w:t>.</w:t>
      </w:r>
      <w:r w:rsidR="00541099">
        <w:t> </w:t>
      </w:r>
      <w:r w:rsidR="00941FB0">
        <w:t xml:space="preserve">. </w:t>
      </w:r>
      <w:r>
        <w:t>suspicious persons.”  (</w:t>
      </w:r>
      <w:r w:rsidR="00941FB0" w:rsidRPr="00A124B6">
        <w:rPr>
          <w:i/>
          <w:iCs/>
        </w:rPr>
        <w:t>Terry</w:t>
      </w:r>
      <w:r w:rsidR="00941FB0">
        <w:t xml:space="preserve">, </w:t>
      </w:r>
      <w:r w:rsidR="00941FB0" w:rsidRPr="00A124B6">
        <w:rPr>
          <w:i/>
          <w:iCs/>
        </w:rPr>
        <w:t>supra</w:t>
      </w:r>
      <w:r w:rsidR="00941FB0">
        <w:t xml:space="preserve">, </w:t>
      </w:r>
      <w:r w:rsidR="00A124B6">
        <w:t>392 U.S. at pp. 9–10</w:t>
      </w:r>
      <w:r>
        <w:t xml:space="preserve">.) </w:t>
      </w:r>
    </w:p>
    <w:p w14:paraId="7BBD7EBD" w14:textId="77777777" w:rsidR="00F960A3" w:rsidRDefault="00000000" w:rsidP="00F960A3">
      <w:pPr>
        <w:tabs>
          <w:tab w:val="left" w:pos="1440"/>
        </w:tabs>
        <w:ind w:firstLine="720"/>
      </w:pPr>
      <w:r>
        <w:t xml:space="preserve">The </w:t>
      </w:r>
      <w:r w:rsidR="00834177">
        <w:t xml:space="preserve">opinion </w:t>
      </w:r>
      <w:r>
        <w:t>forcefully rejected the contention that a stop</w:t>
      </w:r>
      <w:r w:rsidR="008E48E3">
        <w:t>-</w:t>
      </w:r>
      <w:r>
        <w:t>and</w:t>
      </w:r>
      <w:r w:rsidR="008E48E3">
        <w:t>-</w:t>
      </w:r>
      <w:r>
        <w:t>frisk detention is a “</w:t>
      </w:r>
      <w:r w:rsidR="009C6454">
        <w:t> ‘</w:t>
      </w:r>
      <w:r>
        <w:t>petty indignity.</w:t>
      </w:r>
      <w:r w:rsidR="009C6454">
        <w:t>’ </w:t>
      </w:r>
      <w:r>
        <w:t>”</w:t>
      </w:r>
      <w:r w:rsidR="009C6454">
        <w:t xml:space="preserve">  (</w:t>
      </w:r>
      <w:r w:rsidR="009C6454" w:rsidRPr="00A60F72">
        <w:rPr>
          <w:i/>
          <w:iCs/>
        </w:rPr>
        <w:t>Terry</w:t>
      </w:r>
      <w:r w:rsidR="009C6454">
        <w:t xml:space="preserve">, </w:t>
      </w:r>
      <w:r w:rsidR="009C6454" w:rsidRPr="00A60F72">
        <w:rPr>
          <w:i/>
          <w:iCs/>
        </w:rPr>
        <w:t>supra</w:t>
      </w:r>
      <w:r w:rsidR="009C6454">
        <w:t xml:space="preserve">, 392 U.S. at p. </w:t>
      </w:r>
      <w:r w:rsidR="00A368E5">
        <w:t>17.)</w:t>
      </w:r>
      <w:r>
        <w:t xml:space="preserve">  “It is a serious intrusion </w:t>
      </w:r>
      <w:r w:rsidR="00A368E5">
        <w:t>up</w:t>
      </w:r>
      <w:r>
        <w:t xml:space="preserve">on the sanctity of the person, which may inflict great indignity and arouse strong resentment, and </w:t>
      </w:r>
      <w:r w:rsidR="00430CAD">
        <w:t xml:space="preserve">it </w:t>
      </w:r>
      <w:r>
        <w:t>is not to be undertaken lightly.”  (</w:t>
      </w:r>
      <w:r w:rsidR="00BE30A3" w:rsidRPr="00A60F72">
        <w:rPr>
          <w:i/>
          <w:iCs/>
        </w:rPr>
        <w:t>Ibid</w:t>
      </w:r>
      <w:r w:rsidR="00BE30A3">
        <w:t>.)</w:t>
      </w:r>
      <w:r>
        <w:t xml:space="preserve"> </w:t>
      </w:r>
      <w:r w:rsidR="00B238E9">
        <w:t xml:space="preserve"> </w:t>
      </w:r>
      <w:r w:rsidR="001F6AF9">
        <w:t xml:space="preserve">The </w:t>
      </w:r>
      <w:r w:rsidR="00834177">
        <w:t>opinion</w:t>
      </w:r>
      <w:r>
        <w:t xml:space="preserve"> considered the argument that permitting a temporary detention like that involved in </w:t>
      </w:r>
      <w:r w:rsidRPr="002B1880">
        <w:rPr>
          <w:i/>
          <w:iCs/>
        </w:rPr>
        <w:t>Terry</w:t>
      </w:r>
      <w:r>
        <w:t xml:space="preserve"> would “only serve to exacerbate police-community tensions in the crowded centers of our Nation’s cities.”  </w:t>
      </w:r>
      <w:r w:rsidR="00CD18AC">
        <w:t>(</w:t>
      </w:r>
      <w:r w:rsidR="00CD18AC" w:rsidRPr="002B1880">
        <w:rPr>
          <w:i/>
          <w:iCs/>
        </w:rPr>
        <w:t>Id</w:t>
      </w:r>
      <w:r w:rsidR="00CD18AC">
        <w:t xml:space="preserve">. at p. 12.)  </w:t>
      </w:r>
      <w:r>
        <w:t xml:space="preserve">It acknowledged </w:t>
      </w:r>
      <w:r w:rsidR="00E87662">
        <w:t xml:space="preserve">that </w:t>
      </w:r>
      <w:r>
        <w:t>the “degree of community resentment aroused by particular practices is clearly relevant to an assessment of the quality of the intrusion upon reasonable expectations of personal security caused by those practices.</w:t>
      </w:r>
      <w:r w:rsidR="005010C5">
        <w:t xml:space="preserve">”  </w:t>
      </w:r>
      <w:r>
        <w:t>(</w:t>
      </w:r>
      <w:r w:rsidR="00F959EA" w:rsidRPr="002B1880">
        <w:rPr>
          <w:i/>
          <w:iCs/>
        </w:rPr>
        <w:t>Id</w:t>
      </w:r>
      <w:r w:rsidR="00F959EA">
        <w:t xml:space="preserve">. at p. 17, </w:t>
      </w:r>
      <w:r>
        <w:t>fn. 14.</w:t>
      </w:r>
      <w:r w:rsidR="00F959EA">
        <w:t>)</w:t>
      </w:r>
      <w:r>
        <w:t xml:space="preserve">  </w:t>
      </w:r>
      <w:r w:rsidRPr="00C06B00">
        <w:t xml:space="preserve">The </w:t>
      </w:r>
      <w:r w:rsidRPr="00C95DF1">
        <w:rPr>
          <w:i/>
          <w:iCs/>
        </w:rPr>
        <w:t>Terry</w:t>
      </w:r>
      <w:r w:rsidRPr="00C06B00">
        <w:t xml:space="preserve"> majority concluded that the officer had reasonable suspicion to suspect the two men were engaged in criminal activity and to fear for his safety.</w:t>
      </w:r>
      <w:r>
        <w:t xml:space="preserve">  </w:t>
      </w:r>
      <w:r w:rsidR="0012034C">
        <w:t>(</w:t>
      </w:r>
      <w:r w:rsidR="0012034C" w:rsidRPr="00C95DF1">
        <w:rPr>
          <w:i/>
          <w:iCs/>
        </w:rPr>
        <w:t>Id</w:t>
      </w:r>
      <w:r w:rsidR="0012034C">
        <w:t xml:space="preserve">. at pp. </w:t>
      </w:r>
      <w:r w:rsidR="00C623C2">
        <w:t>22–2</w:t>
      </w:r>
      <w:r w:rsidR="002B1880">
        <w:t>3</w:t>
      </w:r>
      <w:r w:rsidR="001F12A8">
        <w:t>, 27</w:t>
      </w:r>
      <w:r w:rsidR="00B55B1A">
        <w:t>–28</w:t>
      </w:r>
      <w:r w:rsidR="004D4B3C">
        <w:t>, 30</w:t>
      </w:r>
      <w:r w:rsidR="00C623C2">
        <w:t xml:space="preserve">.)  </w:t>
      </w:r>
      <w:r>
        <w:t>As a result the “</w:t>
      </w:r>
      <w:r w:rsidR="00122C86">
        <w:t> ‘</w:t>
      </w:r>
      <w:r w:rsidR="008878FE">
        <w:t>stop</w:t>
      </w:r>
      <w:r>
        <w:t xml:space="preserve"> and frisk</w:t>
      </w:r>
      <w:r w:rsidR="00122C86">
        <w:t>’ </w:t>
      </w:r>
      <w:r>
        <w:t>”</w:t>
      </w:r>
      <w:r w:rsidR="00122C86">
        <w:t xml:space="preserve"> (</w:t>
      </w:r>
      <w:r w:rsidR="00122C86" w:rsidRPr="00163C20">
        <w:rPr>
          <w:i/>
          <w:iCs/>
        </w:rPr>
        <w:t>id</w:t>
      </w:r>
      <w:r w:rsidR="00122C86">
        <w:t>. at p. 10)</w:t>
      </w:r>
      <w:r>
        <w:t xml:space="preserve"> was permitted</w:t>
      </w:r>
      <w:r w:rsidR="00D25ADB">
        <w:t>,</w:t>
      </w:r>
      <w:r>
        <w:t xml:space="preserve"> and the weapon</w:t>
      </w:r>
      <w:r w:rsidR="000A1AF3">
        <w:t>s</w:t>
      </w:r>
      <w:r>
        <w:t xml:space="preserve"> recovered were admissible in </w:t>
      </w:r>
      <w:r w:rsidR="00C85274">
        <w:t xml:space="preserve">the underlying criminal </w:t>
      </w:r>
      <w:r>
        <w:t>proceeding</w:t>
      </w:r>
      <w:r w:rsidR="00017D3D">
        <w:t xml:space="preserve"> (</w:t>
      </w:r>
      <w:r w:rsidR="00D21DC3">
        <w:rPr>
          <w:i/>
          <w:iCs/>
        </w:rPr>
        <w:t>i</w:t>
      </w:r>
      <w:r w:rsidR="00017D3D" w:rsidRPr="00510AB6">
        <w:rPr>
          <w:i/>
          <w:iCs/>
        </w:rPr>
        <w:t>d</w:t>
      </w:r>
      <w:r w:rsidR="00017D3D">
        <w:t>. at p</w:t>
      </w:r>
      <w:r w:rsidR="00B562A8">
        <w:t>p</w:t>
      </w:r>
      <w:r w:rsidR="00017D3D">
        <w:t xml:space="preserve">. </w:t>
      </w:r>
      <w:r w:rsidR="00B562A8">
        <w:t xml:space="preserve">8, </w:t>
      </w:r>
      <w:r w:rsidR="007A6D3F">
        <w:t>30)</w:t>
      </w:r>
      <w:r w:rsidR="00020417">
        <w:t>.</w:t>
      </w:r>
    </w:p>
    <w:p w14:paraId="7BBD7EBE" w14:textId="77777777" w:rsidR="00CA0D34" w:rsidRDefault="00000000" w:rsidP="00F960A3">
      <w:pPr>
        <w:tabs>
          <w:tab w:val="left" w:pos="1440"/>
        </w:tabs>
        <w:ind w:firstLine="720"/>
      </w:pPr>
      <w:r>
        <w:t xml:space="preserve">In the years since </w:t>
      </w:r>
      <w:r w:rsidRPr="00355303">
        <w:rPr>
          <w:i/>
          <w:iCs/>
        </w:rPr>
        <w:t>Terry</w:t>
      </w:r>
      <w:r>
        <w:t xml:space="preserve"> was decided, courts around the country have repeatedly addressed and applied its standards for </w:t>
      </w:r>
      <w:r>
        <w:lastRenderedPageBreak/>
        <w:t xml:space="preserve">considering Fourth Amendment challenges to evidence recovered </w:t>
      </w:r>
      <w:r w:rsidR="005A6DA4">
        <w:t>during</w:t>
      </w:r>
      <w:r>
        <w:t xml:space="preserve"> investigative detentions.  We do the same here.  </w:t>
      </w:r>
    </w:p>
    <w:p w14:paraId="7BBD7EBF" w14:textId="77777777" w:rsidR="00B562BF" w:rsidRPr="006D6E8A" w:rsidRDefault="00000000" w:rsidP="00B562BF">
      <w:pPr>
        <w:tabs>
          <w:tab w:val="left" w:pos="1440"/>
        </w:tabs>
        <w:ind w:firstLine="720"/>
      </w:pPr>
      <w:r>
        <w:t>“</w:t>
      </w:r>
      <w:r w:rsidR="00541099">
        <w:t> </w:t>
      </w:r>
      <w:r>
        <w:t>‘In reviewing a trial court’s ruling on a motion to suppress evidence, we defer to that court’s factual findings, express or implied, if they are supported by substantial evidence.  [Citation.]  We exercise our independent judgment in determining whether, on the facts presented, the search or seizure was reasonable under the Fourth Amendment.’ ”  (</w:t>
      </w:r>
      <w:r w:rsidRPr="002C25C5">
        <w:rPr>
          <w:i/>
          <w:iCs/>
        </w:rPr>
        <w:t>People v. Silveria and Travis</w:t>
      </w:r>
      <w:r>
        <w:t xml:space="preserve"> (2020) 10 Cal.5th 195, 232.)</w:t>
      </w:r>
      <w:r w:rsidR="009165F0">
        <w:t xml:space="preserve">  </w:t>
      </w:r>
      <w:r w:rsidR="009165F0" w:rsidRPr="006B6C54">
        <w:t xml:space="preserve">In </w:t>
      </w:r>
      <w:r w:rsidR="009470C8">
        <w:t>doing so</w:t>
      </w:r>
      <w:r w:rsidR="004B23B7">
        <w:t xml:space="preserve"> we do not consider each</w:t>
      </w:r>
      <w:r w:rsidR="00C16DA2">
        <w:t xml:space="preserve"> fact</w:t>
      </w:r>
      <w:r w:rsidR="004B23B7">
        <w:t xml:space="preserve"> in isolation.  Instead</w:t>
      </w:r>
      <w:r w:rsidR="00052FB5">
        <w:t>,</w:t>
      </w:r>
      <w:r w:rsidR="004B23B7">
        <w:t xml:space="preserve"> </w:t>
      </w:r>
      <w:r w:rsidR="009165F0">
        <w:t>“</w:t>
      </w:r>
      <w:r w:rsidR="009165F0" w:rsidRPr="006B6C54">
        <w:t>we must consider ‘the totality of the circumstances</w:t>
      </w:r>
      <w:r w:rsidR="007B0407">
        <w:t> </w:t>
      </w:r>
      <w:r w:rsidR="009165F0" w:rsidRPr="006B6C54">
        <w:t>— the whole picture.’</w:t>
      </w:r>
      <w:r w:rsidR="007B0407">
        <w:t> </w:t>
      </w:r>
      <w:r w:rsidR="009165F0" w:rsidRPr="006B6C54">
        <w:t>”  (</w:t>
      </w:r>
      <w:r w:rsidR="009165F0" w:rsidRPr="00CB0582">
        <w:rPr>
          <w:i/>
          <w:iCs/>
        </w:rPr>
        <w:t>United States v. Sokolow</w:t>
      </w:r>
      <w:r w:rsidR="009165F0" w:rsidRPr="006B6C54">
        <w:t xml:space="preserve"> (1989) 490 U.S. 1,</w:t>
      </w:r>
      <w:r w:rsidR="009165F0">
        <w:t xml:space="preserve"> </w:t>
      </w:r>
      <w:r w:rsidR="009165F0" w:rsidRPr="006B6C54">
        <w:t>8 (</w:t>
      </w:r>
      <w:r w:rsidR="009165F0" w:rsidRPr="00CB0582">
        <w:rPr>
          <w:i/>
          <w:iCs/>
        </w:rPr>
        <w:t>Sokolow</w:t>
      </w:r>
      <w:r w:rsidR="009165F0" w:rsidRPr="006B6C54">
        <w:t>)</w:t>
      </w:r>
      <w:r w:rsidR="009165F0">
        <w:t xml:space="preserve">, quoting </w:t>
      </w:r>
      <w:r w:rsidR="009165F0" w:rsidRPr="00CB0582">
        <w:rPr>
          <w:i/>
          <w:iCs/>
        </w:rPr>
        <w:t>United States v. Cortez</w:t>
      </w:r>
      <w:r w:rsidR="009165F0">
        <w:t xml:space="preserve"> (1981) 449 U.S. 411, 417 (</w:t>
      </w:r>
      <w:r w:rsidR="009165F0" w:rsidRPr="00CB0582">
        <w:rPr>
          <w:i/>
          <w:iCs/>
        </w:rPr>
        <w:t>Cortez</w:t>
      </w:r>
      <w:r w:rsidR="009165F0">
        <w:t>)</w:t>
      </w:r>
      <w:r w:rsidR="009165F0" w:rsidRPr="006B6C54">
        <w:t>.)</w:t>
      </w:r>
    </w:p>
    <w:p w14:paraId="7BBD7EC0" w14:textId="77777777" w:rsidR="001278E7" w:rsidRPr="006D6E8A" w:rsidRDefault="00000000" w:rsidP="006D6E8A">
      <w:pPr>
        <w:tabs>
          <w:tab w:val="left" w:pos="1440"/>
        </w:tabs>
        <w:ind w:firstLine="720"/>
      </w:pPr>
      <w:r>
        <w:t>We need not determine the precise moment t</w:t>
      </w:r>
      <w:r w:rsidR="00E04C54">
        <w:t>his</w:t>
      </w:r>
      <w:r>
        <w:t xml:space="preserve"> detention took place.  </w:t>
      </w:r>
      <w:r w:rsidR="00B72260" w:rsidRPr="006D6E8A">
        <w:t xml:space="preserve">There is no dispute that Flores was detained before any incriminating evidence was recovered.  One fair interpretation of the facts is that Flores </w:t>
      </w:r>
      <w:r w:rsidR="009255F2">
        <w:t xml:space="preserve">initially </w:t>
      </w:r>
      <w:r w:rsidR="00B72260" w:rsidRPr="006D6E8A">
        <w:t xml:space="preserve">tried to </w:t>
      </w:r>
      <w:r w:rsidR="009255F2">
        <w:t>avoid being seen by</w:t>
      </w:r>
      <w:r w:rsidR="00B72260" w:rsidRPr="006D6E8A">
        <w:t xml:space="preserve"> the officers</w:t>
      </w:r>
      <w:r w:rsidR="00215185">
        <w:t xml:space="preserve">.  Thereafter, and somewhat inconsistently, he stood and was in view for </w:t>
      </w:r>
      <w:r w:rsidR="00960DFD">
        <w:t>several</w:t>
      </w:r>
      <w:r w:rsidR="00215185">
        <w:t xml:space="preserve"> seconds.  He</w:t>
      </w:r>
      <w:r w:rsidR="009255F2">
        <w:t xml:space="preserve"> then </w:t>
      </w:r>
      <w:r w:rsidR="00B72260" w:rsidRPr="006D6E8A">
        <w:t xml:space="preserve">failed to acknowledge </w:t>
      </w:r>
      <w:r w:rsidR="0004241D">
        <w:t>the officers’</w:t>
      </w:r>
      <w:r w:rsidR="00B72260" w:rsidRPr="006D6E8A">
        <w:t xml:space="preserve"> approach, and sought to avoid interacting with them.  But</w:t>
      </w:r>
      <w:r w:rsidR="00526072">
        <w:t xml:space="preserve"> as we explain,</w:t>
      </w:r>
      <w:r w:rsidR="00B72260" w:rsidRPr="006D6E8A">
        <w:t xml:space="preserve"> t</w:t>
      </w:r>
      <w:r w:rsidR="00792774" w:rsidRPr="006D6E8A">
        <w:t xml:space="preserve">his behavior, </w:t>
      </w:r>
      <w:r w:rsidRPr="006D6E8A">
        <w:t xml:space="preserve">along with </w:t>
      </w:r>
      <w:r w:rsidR="00792774" w:rsidRPr="006D6E8A">
        <w:t xml:space="preserve">Flores’s </w:t>
      </w:r>
      <w:r w:rsidRPr="006D6E8A">
        <w:t xml:space="preserve">presence in a high crime area at night, </w:t>
      </w:r>
      <w:r w:rsidR="00B112C8" w:rsidRPr="006D6E8A">
        <w:t xml:space="preserve">did not provide a particularized and objective basis for suspecting that Flores was </w:t>
      </w:r>
      <w:r w:rsidR="00B72260" w:rsidRPr="006D6E8A">
        <w:t>doing something illegal</w:t>
      </w:r>
      <w:r w:rsidRPr="006D6E8A">
        <w:t>.</w:t>
      </w:r>
      <w:r w:rsidR="00CF45FA" w:rsidRPr="006D6E8A">
        <w:t xml:space="preserve">  </w:t>
      </w:r>
    </w:p>
    <w:p w14:paraId="7BBD7EC1" w14:textId="77777777" w:rsidR="00F128D7" w:rsidRPr="006D6E8A" w:rsidRDefault="00000000" w:rsidP="006D6E8A">
      <w:pPr>
        <w:tabs>
          <w:tab w:val="left" w:pos="1440"/>
        </w:tabs>
        <w:ind w:firstLine="720"/>
      </w:pPr>
      <w:r w:rsidRPr="006D6E8A">
        <w:t xml:space="preserve">It is </w:t>
      </w:r>
      <w:r w:rsidR="00380E24" w:rsidRPr="006D6E8A">
        <w:t>settled</w:t>
      </w:r>
      <w:r w:rsidRPr="006D6E8A">
        <w:t xml:space="preserve"> that a person may decline to engage in a consensual encounter with police.  “The person approached</w:t>
      </w:r>
      <w:r w:rsidR="009A051A">
        <w:t xml:space="preserve"> . . .</w:t>
      </w:r>
      <w:r w:rsidRPr="006D6E8A">
        <w:t xml:space="preserve"> need not answer any question put to him; indeed, he may decline to listen to the questions at all and may go on his way.”  (</w:t>
      </w:r>
      <w:r w:rsidRPr="006D6E8A">
        <w:rPr>
          <w:i/>
          <w:iCs/>
        </w:rPr>
        <w:t>Royer</w:t>
      </w:r>
      <w:r w:rsidR="00496357" w:rsidRPr="00496357">
        <w:t xml:space="preserve">, </w:t>
      </w:r>
      <w:r w:rsidR="00496357" w:rsidRPr="00496357">
        <w:rPr>
          <w:i/>
          <w:iCs/>
        </w:rPr>
        <w:t>supra</w:t>
      </w:r>
      <w:r w:rsidR="00496357" w:rsidRPr="00496357">
        <w:t>,</w:t>
      </w:r>
      <w:r w:rsidR="00496357">
        <w:rPr>
          <w:i/>
          <w:iCs/>
        </w:rPr>
        <w:t xml:space="preserve"> </w:t>
      </w:r>
      <w:r w:rsidRPr="006D6E8A">
        <w:t xml:space="preserve">460 U.S. </w:t>
      </w:r>
      <w:r w:rsidR="00496357">
        <w:t xml:space="preserve">at pp. </w:t>
      </w:r>
      <w:r w:rsidR="008A0C33" w:rsidRPr="006D6E8A">
        <w:t>497–</w:t>
      </w:r>
      <w:r w:rsidRPr="006D6E8A">
        <w:t>498</w:t>
      </w:r>
      <w:r w:rsidR="00C10521">
        <w:t xml:space="preserve"> (plur</w:t>
      </w:r>
      <w:r w:rsidR="000C69EB">
        <w:t>.</w:t>
      </w:r>
      <w:r w:rsidR="00C10521">
        <w:t xml:space="preserve"> opn.</w:t>
      </w:r>
      <w:r w:rsidR="000C69EB">
        <w:t xml:space="preserve"> of White, J.</w:t>
      </w:r>
      <w:r w:rsidR="00C10521">
        <w:t xml:space="preserve">); accord, </w:t>
      </w:r>
      <w:r w:rsidR="00C10521" w:rsidRPr="006D6E8A">
        <w:rPr>
          <w:i/>
          <w:iCs/>
        </w:rPr>
        <w:lastRenderedPageBreak/>
        <w:t>Illinois v. Wardlow</w:t>
      </w:r>
      <w:r w:rsidR="00C10521" w:rsidRPr="006D6E8A">
        <w:t xml:space="preserve"> (2000) 528 U.S. 119, 125 (</w:t>
      </w:r>
      <w:r w:rsidR="00C10521" w:rsidRPr="006D6E8A">
        <w:rPr>
          <w:i/>
          <w:iCs/>
        </w:rPr>
        <w:t>Wardlow</w:t>
      </w:r>
      <w:r w:rsidR="00C10521" w:rsidRPr="006D6E8A">
        <w:t>)</w:t>
      </w:r>
      <w:r w:rsidRPr="006D6E8A">
        <w:t xml:space="preserve">.)  Such </w:t>
      </w:r>
      <w:r w:rsidR="00740DFC" w:rsidRPr="006D6E8A">
        <w:t>“refusal to cooperate, without more, does not furnish the minimal level of objective justification needed for a detention or seizure.”  (</w:t>
      </w:r>
      <w:r w:rsidR="008A0C33" w:rsidRPr="006D6E8A">
        <w:rPr>
          <w:i/>
          <w:iCs/>
        </w:rPr>
        <w:t>Florida v.</w:t>
      </w:r>
      <w:r w:rsidR="008A0C33" w:rsidRPr="006D6E8A">
        <w:t xml:space="preserve"> </w:t>
      </w:r>
      <w:r w:rsidR="00740DFC" w:rsidRPr="006D6E8A">
        <w:rPr>
          <w:i/>
          <w:iCs/>
        </w:rPr>
        <w:t>Bostick</w:t>
      </w:r>
      <w:r w:rsidR="00740DFC" w:rsidRPr="006D6E8A">
        <w:t xml:space="preserve"> </w:t>
      </w:r>
      <w:r w:rsidR="008A0C33" w:rsidRPr="006D6E8A">
        <w:t xml:space="preserve">(1991) </w:t>
      </w:r>
      <w:r w:rsidR="00740DFC" w:rsidRPr="006D6E8A">
        <w:t xml:space="preserve">501 U.S. </w:t>
      </w:r>
      <w:r w:rsidR="008A0C33" w:rsidRPr="006D6E8A">
        <w:t xml:space="preserve">429, </w:t>
      </w:r>
      <w:r w:rsidR="00740DFC" w:rsidRPr="006D6E8A">
        <w:t>437</w:t>
      </w:r>
      <w:r w:rsidR="00410BCB" w:rsidRPr="006D6E8A">
        <w:t xml:space="preserve"> (</w:t>
      </w:r>
      <w:r w:rsidR="00410BCB" w:rsidRPr="006D6E8A">
        <w:rPr>
          <w:i/>
          <w:iCs/>
        </w:rPr>
        <w:t>Bostick</w:t>
      </w:r>
      <w:r w:rsidR="00410BCB" w:rsidRPr="006D6E8A">
        <w:t>)</w:t>
      </w:r>
      <w:r w:rsidR="00C10521">
        <w:t>; accord</w:t>
      </w:r>
      <w:r w:rsidR="0082572E">
        <w:t>,</w:t>
      </w:r>
      <w:r w:rsidR="00C10521">
        <w:t xml:space="preserve"> </w:t>
      </w:r>
      <w:r w:rsidR="00C10521" w:rsidRPr="00720D3B">
        <w:rPr>
          <w:i/>
          <w:iCs/>
        </w:rPr>
        <w:t>Wardlow</w:t>
      </w:r>
      <w:r w:rsidR="00720D3B">
        <w:t>,</w:t>
      </w:r>
      <w:r w:rsidR="00C10521">
        <w:t xml:space="preserve"> at p. 125</w:t>
      </w:r>
      <w:r w:rsidR="00740DFC" w:rsidRPr="006D6E8A">
        <w:t>.)</w:t>
      </w:r>
      <w:r w:rsidRPr="006D6E8A">
        <w:t xml:space="preserve">  The reason that a </w:t>
      </w:r>
      <w:r w:rsidR="00E8680F">
        <w:t xml:space="preserve">truly </w:t>
      </w:r>
      <w:r w:rsidRPr="006D6E8A">
        <w:t xml:space="preserve">consensual encounter </w:t>
      </w:r>
      <w:r w:rsidR="00E8680F">
        <w:t>does not implicate the Fourth Amendment</w:t>
      </w:r>
      <w:r w:rsidRPr="006D6E8A">
        <w:t xml:space="preserve"> is that the officer is simply approaching a person in a public place and engaging in “</w:t>
      </w:r>
      <w:r w:rsidR="00410BCB" w:rsidRPr="006D6E8A">
        <w:t> </w:t>
      </w:r>
      <w:r w:rsidRPr="006D6E8A">
        <w:t>‘personal intercourse</w:t>
      </w:r>
      <w:r w:rsidR="00AA07E7" w:rsidRPr="006D6E8A">
        <w:t>.</w:t>
      </w:r>
      <w:r w:rsidRPr="006D6E8A">
        <w:t>’ ”</w:t>
      </w:r>
      <w:r w:rsidR="00AA07E7" w:rsidRPr="006D6E8A">
        <w:t xml:space="preserve">  </w:t>
      </w:r>
      <w:r w:rsidRPr="006D6E8A">
        <w:t>(</w:t>
      </w:r>
      <w:r w:rsidRPr="006D6E8A">
        <w:rPr>
          <w:i/>
          <w:iCs/>
        </w:rPr>
        <w:t>Bostick</w:t>
      </w:r>
      <w:r w:rsidRPr="006D6E8A">
        <w:t>,</w:t>
      </w:r>
      <w:r w:rsidRPr="006D6E8A">
        <w:rPr>
          <w:i/>
          <w:iCs/>
        </w:rPr>
        <w:t xml:space="preserve"> </w:t>
      </w:r>
      <w:r w:rsidR="008A0C33" w:rsidRPr="006D6E8A">
        <w:t>at p.</w:t>
      </w:r>
      <w:r w:rsidRPr="006D6E8A">
        <w:t xml:space="preserve"> 434, quoting </w:t>
      </w:r>
      <w:r w:rsidRPr="006D6E8A">
        <w:rPr>
          <w:i/>
          <w:iCs/>
        </w:rPr>
        <w:t>Terry</w:t>
      </w:r>
      <w:r w:rsidR="0057093A" w:rsidRPr="0057093A">
        <w:t>,</w:t>
      </w:r>
      <w:r w:rsidR="0057093A">
        <w:rPr>
          <w:i/>
          <w:iCs/>
        </w:rPr>
        <w:t xml:space="preserve"> supra</w:t>
      </w:r>
      <w:r w:rsidR="0057093A" w:rsidRPr="0057093A">
        <w:t>,</w:t>
      </w:r>
      <w:r w:rsidR="0057093A">
        <w:rPr>
          <w:i/>
          <w:iCs/>
        </w:rPr>
        <w:t xml:space="preserve"> </w:t>
      </w:r>
      <w:r w:rsidRPr="006D6E8A">
        <w:t xml:space="preserve">392 U.S. </w:t>
      </w:r>
      <w:r w:rsidR="0057093A">
        <w:t xml:space="preserve">at p. </w:t>
      </w:r>
      <w:r w:rsidRPr="006D6E8A">
        <w:t xml:space="preserve">19, fn. 16; </w:t>
      </w:r>
      <w:r w:rsidR="00A838B7">
        <w:t xml:space="preserve">accord, </w:t>
      </w:r>
      <w:r w:rsidRPr="006D6E8A">
        <w:rPr>
          <w:i/>
          <w:iCs/>
        </w:rPr>
        <w:t>Royer</w:t>
      </w:r>
      <w:r w:rsidRPr="006D6E8A">
        <w:t xml:space="preserve">, </w:t>
      </w:r>
      <w:r w:rsidR="00A13A1F" w:rsidRPr="006D6E8A">
        <w:t xml:space="preserve">at p. </w:t>
      </w:r>
      <w:r w:rsidRPr="006D6E8A">
        <w:t>497</w:t>
      </w:r>
      <w:r w:rsidR="00720D3B">
        <w:t xml:space="preserve"> (plur</w:t>
      </w:r>
      <w:r w:rsidR="000C69EB">
        <w:t>.</w:t>
      </w:r>
      <w:r w:rsidR="00720D3B">
        <w:t xml:space="preserve"> opn.</w:t>
      </w:r>
      <w:r w:rsidR="000C69EB">
        <w:t xml:space="preserve"> of White, J.</w:t>
      </w:r>
      <w:r w:rsidR="00720D3B">
        <w:t>)</w:t>
      </w:r>
      <w:r w:rsidRPr="006D6E8A">
        <w:t>.)</w:t>
      </w:r>
      <w:r>
        <w:rPr>
          <w:rStyle w:val="FootnoteReference"/>
        </w:rPr>
        <w:footnoteReference w:id="2"/>
      </w:r>
      <w:r w:rsidRPr="006D6E8A">
        <w:t xml:space="preserve">  </w:t>
      </w:r>
      <w:r w:rsidR="00AA07E7" w:rsidRPr="006D6E8A">
        <w:t xml:space="preserve">Officers, like others, may do so.  But </w:t>
      </w:r>
      <w:r w:rsidR="006040BB">
        <w:t>t</w:t>
      </w:r>
      <w:r w:rsidRPr="006D6E8A">
        <w:t>he officer must have legal cause to command the civilian’s attention and cooperation.  (</w:t>
      </w:r>
      <w:r w:rsidR="00E10070" w:rsidRPr="00CA581C">
        <w:rPr>
          <w:i/>
          <w:iCs/>
        </w:rPr>
        <w:t>Royer</w:t>
      </w:r>
      <w:r w:rsidR="00E10070" w:rsidRPr="00E10070">
        <w:t>, at p. 49</w:t>
      </w:r>
      <w:r w:rsidR="00E10070">
        <w:t>8</w:t>
      </w:r>
      <w:r w:rsidR="00E10070" w:rsidRPr="00E10070">
        <w:t xml:space="preserve"> (plur. opn. of White,</w:t>
      </w:r>
      <w:r w:rsidR="00CA581C">
        <w:t> </w:t>
      </w:r>
      <w:r w:rsidR="00E10070" w:rsidRPr="00E10070">
        <w:t>J.)</w:t>
      </w:r>
      <w:r w:rsidRPr="006D6E8A">
        <w:t xml:space="preserve">.)  </w:t>
      </w:r>
    </w:p>
    <w:p w14:paraId="7BBD7EC2" w14:textId="77777777" w:rsidR="006248D3" w:rsidRPr="006D6E8A" w:rsidRDefault="00000000" w:rsidP="006D6E8A">
      <w:pPr>
        <w:tabs>
          <w:tab w:val="left" w:pos="1440"/>
        </w:tabs>
        <w:ind w:firstLine="720"/>
      </w:pPr>
      <w:r w:rsidRPr="006D6E8A">
        <w:t>N</w:t>
      </w:r>
      <w:r w:rsidR="001278E7" w:rsidRPr="006D6E8A">
        <w:t xml:space="preserve">onetheless, </w:t>
      </w:r>
      <w:r w:rsidR="0082572E">
        <w:t>“</w:t>
      </w:r>
      <w:r w:rsidR="00F16A61" w:rsidRPr="006D6E8A">
        <w:t xml:space="preserve">the </w:t>
      </w:r>
      <w:r w:rsidR="00F16A61" w:rsidRPr="006D6E8A">
        <w:rPr>
          <w:i/>
          <w:iCs/>
        </w:rPr>
        <w:t>manner</w:t>
      </w:r>
      <w:r w:rsidR="00F16A61" w:rsidRPr="006D6E8A">
        <w:t xml:space="preserve"> in which a person </w:t>
      </w:r>
      <w:r w:rsidR="00BC49B4" w:rsidRPr="006D6E8A">
        <w:t>avoids</w:t>
      </w:r>
      <w:r w:rsidR="00F16A61" w:rsidRPr="006D6E8A">
        <w:t xml:space="preserve"> police contact</w:t>
      </w:r>
      <w:r w:rsidR="0082572E">
        <w:t xml:space="preserve">” may be “considered by police officers in the field or by courts assessing reasonable cause for” a detention.  </w:t>
      </w:r>
      <w:r w:rsidR="00706A5A" w:rsidRPr="006D6E8A">
        <w:t>(</w:t>
      </w:r>
      <w:r w:rsidR="00706A5A" w:rsidRPr="006D6E8A">
        <w:rPr>
          <w:i/>
          <w:iCs/>
        </w:rPr>
        <w:t>People v. Souza</w:t>
      </w:r>
      <w:r w:rsidR="00706A5A" w:rsidRPr="006D6E8A">
        <w:t xml:space="preserve"> (1994) 9 Cal.4th 224, 234</w:t>
      </w:r>
      <w:r w:rsidR="00B112C8" w:rsidRPr="006D6E8A">
        <w:t xml:space="preserve"> (</w:t>
      </w:r>
      <w:r w:rsidR="00B112C8" w:rsidRPr="006D6E8A">
        <w:rPr>
          <w:i/>
          <w:iCs/>
        </w:rPr>
        <w:t>Souza</w:t>
      </w:r>
      <w:r w:rsidR="00B112C8" w:rsidRPr="006D6E8A">
        <w:t>)</w:t>
      </w:r>
      <w:r w:rsidR="00706A5A" w:rsidRPr="006D6E8A">
        <w:t xml:space="preserve">.)  </w:t>
      </w:r>
      <w:r w:rsidRPr="006D6E8A">
        <w:t>The relevant inquiry is the “</w:t>
      </w:r>
      <w:r w:rsidR="00410BCB" w:rsidRPr="006D6E8A">
        <w:t> </w:t>
      </w:r>
      <w:r w:rsidRPr="006D6E8A">
        <w:t>‘degree of suspicion that attaches to particular types of noncriminal acts.’ ”  (</w:t>
      </w:r>
      <w:r w:rsidRPr="006D6E8A">
        <w:rPr>
          <w:i/>
          <w:iCs/>
        </w:rPr>
        <w:t>Sok</w:t>
      </w:r>
      <w:r w:rsidR="008A0C33" w:rsidRPr="006D6E8A">
        <w:rPr>
          <w:i/>
          <w:iCs/>
        </w:rPr>
        <w:t>o</w:t>
      </w:r>
      <w:r w:rsidRPr="006D6E8A">
        <w:rPr>
          <w:i/>
          <w:iCs/>
        </w:rPr>
        <w:t>low</w:t>
      </w:r>
      <w:r w:rsidR="00075773">
        <w:t xml:space="preserve">, </w:t>
      </w:r>
      <w:r w:rsidR="00075773" w:rsidRPr="006A4E54">
        <w:rPr>
          <w:i/>
          <w:iCs/>
        </w:rPr>
        <w:t>supra</w:t>
      </w:r>
      <w:r w:rsidR="00075773">
        <w:t>,</w:t>
      </w:r>
      <w:r w:rsidRPr="006D6E8A">
        <w:t xml:space="preserve"> 490 U.S. </w:t>
      </w:r>
      <w:r w:rsidR="00075773">
        <w:t xml:space="preserve">at p. </w:t>
      </w:r>
      <w:r w:rsidRPr="006D6E8A">
        <w:t xml:space="preserve">10, quoting </w:t>
      </w:r>
      <w:r w:rsidRPr="006D6E8A">
        <w:rPr>
          <w:i/>
          <w:iCs/>
        </w:rPr>
        <w:t>Illinois v. Gates</w:t>
      </w:r>
      <w:r w:rsidRPr="006D6E8A">
        <w:t xml:space="preserve"> (1983) 462 U.S. 213, 243–244, fn. 13.)  </w:t>
      </w:r>
    </w:p>
    <w:p w14:paraId="7BBD7EC3" w14:textId="77777777" w:rsidR="005B1997" w:rsidRDefault="00000000" w:rsidP="00F034AD">
      <w:pPr>
        <w:tabs>
          <w:tab w:val="left" w:pos="1440"/>
        </w:tabs>
        <w:ind w:firstLine="720"/>
      </w:pPr>
      <w:r>
        <w:t xml:space="preserve">In particular, the </w:t>
      </w:r>
      <w:r w:rsidR="00B9403E">
        <w:t>S</w:t>
      </w:r>
      <w:r>
        <w:t xml:space="preserve">upreme </w:t>
      </w:r>
      <w:r w:rsidR="00B9403E">
        <w:t>C</w:t>
      </w:r>
      <w:r>
        <w:t xml:space="preserve">ourt has “recognized that nervous, evasive behavior is a pertinent factor in determining </w:t>
      </w:r>
      <w:r>
        <w:lastRenderedPageBreak/>
        <w:t>reasonable suspicion.”  (</w:t>
      </w:r>
      <w:r w:rsidRPr="002C25C5">
        <w:rPr>
          <w:i/>
          <w:iCs/>
        </w:rPr>
        <w:t>Wardlow</w:t>
      </w:r>
      <w:r>
        <w:t xml:space="preserve">, </w:t>
      </w:r>
      <w:r w:rsidRPr="002C25C5">
        <w:rPr>
          <w:i/>
          <w:iCs/>
        </w:rPr>
        <w:t>supra</w:t>
      </w:r>
      <w:r>
        <w:t xml:space="preserve">, 528 U.S. at p. 124.)  </w:t>
      </w:r>
      <w:r w:rsidR="00255779" w:rsidRPr="006D6E8A">
        <w:t xml:space="preserve">Examples </w:t>
      </w:r>
      <w:r w:rsidR="00B93834" w:rsidRPr="006D6E8A">
        <w:t>o</w:t>
      </w:r>
      <w:r w:rsidR="00AF332B" w:rsidRPr="006D6E8A">
        <w:t xml:space="preserve">f relevant behavior </w:t>
      </w:r>
      <w:r w:rsidR="00255779" w:rsidRPr="006D6E8A">
        <w:t xml:space="preserve">include </w:t>
      </w:r>
      <w:r w:rsidR="00F84DD9" w:rsidRPr="006D6E8A">
        <w:t xml:space="preserve">expressions of shock upon seeing an officer, ducking </w:t>
      </w:r>
      <w:r w:rsidR="00705D9C">
        <w:t xml:space="preserve">and </w:t>
      </w:r>
      <w:r w:rsidR="00DC2990" w:rsidRPr="006D6E8A">
        <w:t xml:space="preserve">hiding, </w:t>
      </w:r>
      <w:r w:rsidR="004519D4">
        <w:t xml:space="preserve">headlong flight, </w:t>
      </w:r>
      <w:r w:rsidR="000443F2" w:rsidRPr="006D6E8A">
        <w:t xml:space="preserve">a sudden change in direction, </w:t>
      </w:r>
      <w:r w:rsidR="0084181F" w:rsidRPr="006D6E8A">
        <w:t>walking</w:t>
      </w:r>
      <w:r w:rsidR="007024FA" w:rsidRPr="006D6E8A">
        <w:t xml:space="preserve"> </w:t>
      </w:r>
      <w:r w:rsidR="00756AF9" w:rsidRPr="006D6E8A">
        <w:t xml:space="preserve">quickly </w:t>
      </w:r>
      <w:r w:rsidR="007024FA" w:rsidRPr="006D6E8A">
        <w:t>away</w:t>
      </w:r>
      <w:r w:rsidR="00756AF9" w:rsidRPr="006D6E8A">
        <w:t xml:space="preserve"> while</w:t>
      </w:r>
      <w:r w:rsidR="007024FA" w:rsidRPr="006D6E8A">
        <w:t xml:space="preserve"> </w:t>
      </w:r>
      <w:r w:rsidR="00756AF9" w:rsidRPr="006D6E8A">
        <w:t xml:space="preserve">looking back at </w:t>
      </w:r>
      <w:r w:rsidR="00F84DD9" w:rsidRPr="006D6E8A">
        <w:t xml:space="preserve">the </w:t>
      </w:r>
      <w:r w:rsidR="00756AF9" w:rsidRPr="006D6E8A">
        <w:t xml:space="preserve">officer, </w:t>
      </w:r>
      <w:r w:rsidR="007024FA" w:rsidRPr="006D6E8A">
        <w:t>and failing to acknowledge the officer’s attempt to engage the suspect.</w:t>
      </w:r>
      <w:r w:rsidR="00255779" w:rsidRPr="006D6E8A">
        <w:t xml:space="preserve">  (</w:t>
      </w:r>
      <w:r w:rsidR="005A0F45" w:rsidRPr="006D6E8A">
        <w:t>See</w:t>
      </w:r>
      <w:r w:rsidR="00907C91" w:rsidRPr="006D6E8A">
        <w:t>, e.g.,</w:t>
      </w:r>
      <w:r w:rsidR="005A0F45" w:rsidRPr="006D6E8A">
        <w:t xml:space="preserve"> </w:t>
      </w:r>
      <w:r w:rsidR="00907C91" w:rsidRPr="006D6E8A">
        <w:rPr>
          <w:i/>
          <w:iCs/>
        </w:rPr>
        <w:t>District of Columbia v. Wesby</w:t>
      </w:r>
      <w:r w:rsidR="00907C91" w:rsidRPr="006D6E8A">
        <w:t xml:space="preserve"> (2018) 583 U.S. 48, 59</w:t>
      </w:r>
      <w:r w:rsidR="004826BE" w:rsidRPr="006D6E8A">
        <w:t xml:space="preserve"> (</w:t>
      </w:r>
      <w:r w:rsidR="004826BE" w:rsidRPr="006D6E8A">
        <w:rPr>
          <w:i/>
          <w:iCs/>
        </w:rPr>
        <w:t>Wesby</w:t>
      </w:r>
      <w:r w:rsidR="004826BE" w:rsidRPr="006D6E8A">
        <w:t>)</w:t>
      </w:r>
      <w:r w:rsidR="00907C91" w:rsidRPr="006D6E8A">
        <w:t>;</w:t>
      </w:r>
      <w:r w:rsidR="008A3F36">
        <w:t xml:space="preserve"> </w:t>
      </w:r>
      <w:r w:rsidR="008A3F36" w:rsidRPr="0062621D">
        <w:rPr>
          <w:i/>
          <w:iCs/>
        </w:rPr>
        <w:t>Wardlow</w:t>
      </w:r>
      <w:r w:rsidR="008A3F36">
        <w:t>, at p. 124;</w:t>
      </w:r>
      <w:r w:rsidR="00907C91" w:rsidRPr="006D6E8A">
        <w:t xml:space="preserve"> </w:t>
      </w:r>
      <w:r w:rsidR="008A14F9" w:rsidRPr="006D6E8A">
        <w:rPr>
          <w:i/>
          <w:iCs/>
        </w:rPr>
        <w:t>United States v. Brignoni-Ponce</w:t>
      </w:r>
      <w:r w:rsidR="008A14F9" w:rsidRPr="006D6E8A">
        <w:t xml:space="preserve"> (1975) 422 U.S. 873, 885</w:t>
      </w:r>
      <w:r w:rsidR="00A838B7">
        <w:t xml:space="preserve"> (</w:t>
      </w:r>
      <w:r w:rsidR="00A838B7" w:rsidRPr="002C25C5">
        <w:rPr>
          <w:i/>
          <w:iCs/>
        </w:rPr>
        <w:t>Brignoni-Ponce</w:t>
      </w:r>
      <w:r w:rsidR="00A838B7">
        <w:t>)</w:t>
      </w:r>
      <w:r w:rsidR="008A14F9" w:rsidRPr="006D6E8A">
        <w:t xml:space="preserve">; </w:t>
      </w:r>
      <w:r w:rsidR="00FD0D20" w:rsidRPr="006D6E8A">
        <w:rPr>
          <w:i/>
          <w:iCs/>
        </w:rPr>
        <w:t>Souza</w:t>
      </w:r>
      <w:r w:rsidR="00FD0D20" w:rsidRPr="006D6E8A">
        <w:t xml:space="preserve">, </w:t>
      </w:r>
      <w:r w:rsidR="009F2A34" w:rsidRPr="006D6E8A">
        <w:rPr>
          <w:i/>
          <w:iCs/>
        </w:rPr>
        <w:t>supra</w:t>
      </w:r>
      <w:r w:rsidR="009F2A34" w:rsidRPr="006D6E8A">
        <w:t xml:space="preserve">, </w:t>
      </w:r>
      <w:r w:rsidR="00FD0D20" w:rsidRPr="006D6E8A">
        <w:t>9 Cal.4th at p</w:t>
      </w:r>
      <w:r w:rsidR="00AF332B" w:rsidRPr="006D6E8A">
        <w:t>p</w:t>
      </w:r>
      <w:r w:rsidR="00FD0D20" w:rsidRPr="006D6E8A">
        <w:t xml:space="preserve">. </w:t>
      </w:r>
      <w:r w:rsidR="00DC5EE6">
        <w:t xml:space="preserve">234–235, </w:t>
      </w:r>
      <w:r w:rsidR="00AF332B" w:rsidRPr="006D6E8A">
        <w:t>241–</w:t>
      </w:r>
      <w:r w:rsidR="009F2A34" w:rsidRPr="006D6E8A">
        <w:t>242</w:t>
      </w:r>
      <w:r w:rsidR="00FD0D20" w:rsidRPr="006D6E8A">
        <w:t>;</w:t>
      </w:r>
      <w:r w:rsidR="005A0F45" w:rsidRPr="006D6E8A">
        <w:t xml:space="preserve"> </w:t>
      </w:r>
      <w:r w:rsidR="005A0F45" w:rsidRPr="006D6E8A">
        <w:rPr>
          <w:i/>
          <w:iCs/>
        </w:rPr>
        <w:t>People v. Garcia</w:t>
      </w:r>
      <w:r w:rsidR="005A0F45" w:rsidRPr="006D6E8A">
        <w:t xml:space="preserve"> (1981) 121 Cal.App.3d 239, 243, 245</w:t>
      </w:r>
      <w:r w:rsidR="00087C3A" w:rsidRPr="006D6E8A">
        <w:t>–246</w:t>
      </w:r>
      <w:r w:rsidR="005A0F45" w:rsidRPr="006D6E8A">
        <w:t xml:space="preserve">; </w:t>
      </w:r>
      <w:r w:rsidR="00C359A4" w:rsidRPr="006D6E8A">
        <w:rPr>
          <w:i/>
          <w:iCs/>
        </w:rPr>
        <w:t>Flores v. Superior Court</w:t>
      </w:r>
      <w:r w:rsidR="00C359A4" w:rsidRPr="006D6E8A">
        <w:t xml:space="preserve"> (1971) 17 Cal.App.3d 219, 221</w:t>
      </w:r>
      <w:r w:rsidR="005A0F45" w:rsidRPr="006D6E8A">
        <w:t>, 224</w:t>
      </w:r>
      <w:r w:rsidR="00255779" w:rsidRPr="006D6E8A">
        <w:t xml:space="preserve">.)  </w:t>
      </w:r>
      <w:r w:rsidR="00907C91" w:rsidRPr="006D6E8A">
        <w:t>R</w:t>
      </w:r>
      <w:r w:rsidR="00491A78" w:rsidRPr="006D6E8A">
        <w:t xml:space="preserve">epeated </w:t>
      </w:r>
      <w:r w:rsidR="00907C91" w:rsidRPr="006D6E8A">
        <w:t xml:space="preserve">or inordinate </w:t>
      </w:r>
      <w:r w:rsidR="00255779" w:rsidRPr="006D6E8A">
        <w:t xml:space="preserve">attempts to avoid </w:t>
      </w:r>
      <w:r w:rsidR="00491A78" w:rsidRPr="006D6E8A">
        <w:t xml:space="preserve">an officer </w:t>
      </w:r>
      <w:r w:rsidR="00907C91" w:rsidRPr="006D6E8A">
        <w:t xml:space="preserve">may </w:t>
      </w:r>
      <w:r w:rsidR="00F034AD">
        <w:t xml:space="preserve">be particularly noteworthy. </w:t>
      </w:r>
    </w:p>
    <w:p w14:paraId="7BBD7EC4" w14:textId="77777777" w:rsidR="00742859" w:rsidRPr="006D6E8A" w:rsidRDefault="00000000" w:rsidP="00742859">
      <w:pPr>
        <w:tabs>
          <w:tab w:val="left" w:pos="1440"/>
        </w:tabs>
        <w:ind w:firstLine="720"/>
      </w:pPr>
      <w:r w:rsidRPr="006D6E8A">
        <w:t>“[P]resence in an area of expected criminal activity” is</w:t>
      </w:r>
      <w:r>
        <w:t xml:space="preserve"> also</w:t>
      </w:r>
      <w:r w:rsidRPr="006D6E8A">
        <w:t xml:space="preserve"> a relevant consideration.  (</w:t>
      </w:r>
      <w:r w:rsidRPr="006D6E8A">
        <w:rPr>
          <w:i/>
          <w:iCs/>
        </w:rPr>
        <w:t>Wardlow</w:t>
      </w:r>
      <w:r w:rsidRPr="006D6E8A">
        <w:t xml:space="preserve">, </w:t>
      </w:r>
      <w:r w:rsidRPr="006D6E8A">
        <w:rPr>
          <w:i/>
          <w:iCs/>
        </w:rPr>
        <w:t>supra</w:t>
      </w:r>
      <w:r w:rsidRPr="006D6E8A">
        <w:t xml:space="preserve">, 528 U.S. at p. 124; accord, </w:t>
      </w:r>
      <w:r w:rsidRPr="006D6E8A">
        <w:rPr>
          <w:i/>
          <w:iCs/>
        </w:rPr>
        <w:t>Souza</w:t>
      </w:r>
      <w:r w:rsidRPr="006D6E8A">
        <w:t xml:space="preserve">, </w:t>
      </w:r>
      <w:r w:rsidRPr="006D6E8A">
        <w:rPr>
          <w:i/>
          <w:iCs/>
        </w:rPr>
        <w:t>supra</w:t>
      </w:r>
      <w:r w:rsidRPr="006D6E8A">
        <w:t>, 9 Cal.4</w:t>
      </w:r>
      <w:r w:rsidR="00B332DD">
        <w:t>th</w:t>
      </w:r>
      <w:r w:rsidRPr="006D6E8A">
        <w:t xml:space="preserve"> at p</w:t>
      </w:r>
      <w:r>
        <w:t>p</w:t>
      </w:r>
      <w:r w:rsidRPr="006D6E8A">
        <w:t>. 240</w:t>
      </w:r>
      <w:r>
        <w:t>–241</w:t>
      </w:r>
      <w:r w:rsidRPr="006D6E8A">
        <w:t>.)  “ ‘[I]t would be the height of naivete not to recognize that the frequency and intensity’</w:t>
      </w:r>
      <w:r>
        <w:t> </w:t>
      </w:r>
      <w:r w:rsidRPr="006D6E8A">
        <w:t>” of criminal activity is “</w:t>
      </w:r>
      <w:r>
        <w:t> </w:t>
      </w:r>
      <w:r w:rsidRPr="006D6E8A">
        <w:t>‘greater in certain quarters than in others.’</w:t>
      </w:r>
      <w:r>
        <w:t> </w:t>
      </w:r>
      <w:r w:rsidRPr="006D6E8A">
        <w:t>”  (</w:t>
      </w:r>
      <w:r w:rsidRPr="006D6E8A">
        <w:rPr>
          <w:i/>
          <w:iCs/>
        </w:rPr>
        <w:t>Souza</w:t>
      </w:r>
      <w:r w:rsidRPr="006D6E8A">
        <w:t xml:space="preserve">, at p. 241, quoting </w:t>
      </w:r>
      <w:r w:rsidRPr="006D6E8A">
        <w:rPr>
          <w:i/>
          <w:iCs/>
        </w:rPr>
        <w:t>People v. Holloway</w:t>
      </w:r>
      <w:r w:rsidRPr="006D6E8A">
        <w:t xml:space="preserve"> (1985) 176 Cal.App.3d 150, 155</w:t>
      </w:r>
      <w:r w:rsidRPr="00E84479">
        <w:t>.)  But it</w:t>
      </w:r>
      <w:r w:rsidRPr="003A6ED9">
        <w:t xml:space="preserve"> is</w:t>
      </w:r>
      <w:r w:rsidRPr="006D6E8A">
        <w:t xml:space="preserve"> equally true that a great many law</w:t>
      </w:r>
      <w:r>
        <w:t>-</w:t>
      </w:r>
      <w:r w:rsidRPr="006D6E8A">
        <w:t>abiding Californians live, work, or otherwise find themselves in areas where criminal activity is prevalent.  Their mere presence there cannot be said to transform them into suspects.  Instead, it is “a factor that can lend meaning to the person’s behavior.”  (</w:t>
      </w:r>
      <w:r w:rsidRPr="006D6E8A">
        <w:rPr>
          <w:i/>
          <w:iCs/>
        </w:rPr>
        <w:t>People v. Limon</w:t>
      </w:r>
      <w:r w:rsidRPr="006D6E8A">
        <w:t xml:space="preserve"> (1993) 17 Cal.App.4</w:t>
      </w:r>
      <w:r w:rsidR="00B332DD">
        <w:t>th</w:t>
      </w:r>
      <w:r w:rsidRPr="006D6E8A">
        <w:t xml:space="preserve"> 524, 532 (</w:t>
      </w:r>
      <w:r w:rsidRPr="003A6ED9">
        <w:rPr>
          <w:i/>
          <w:iCs/>
        </w:rPr>
        <w:t>Limon</w:t>
      </w:r>
      <w:r w:rsidRPr="003A6ED9">
        <w:t>).)  But “standing</w:t>
      </w:r>
      <w:r w:rsidRPr="006D6E8A">
        <w:t xml:space="preserve"> alone, [it] is not enough to support a reasonable, particularized suspicion that the person is committing a crime.”  (</w:t>
      </w:r>
      <w:r w:rsidRPr="006D6E8A">
        <w:rPr>
          <w:i/>
          <w:iCs/>
        </w:rPr>
        <w:t>Wardlow</w:t>
      </w:r>
      <w:r w:rsidRPr="006D6E8A">
        <w:t xml:space="preserve">, at p. 124; accord, </w:t>
      </w:r>
      <w:r w:rsidRPr="002C25C5">
        <w:rPr>
          <w:i/>
          <w:iCs/>
        </w:rPr>
        <w:t>Brown v. Texas</w:t>
      </w:r>
      <w:r>
        <w:t xml:space="preserve"> (1979) 443 U.S. 47, 52; </w:t>
      </w:r>
      <w:r w:rsidRPr="006D6E8A">
        <w:rPr>
          <w:i/>
          <w:iCs/>
        </w:rPr>
        <w:t xml:space="preserve">People v. Casares </w:t>
      </w:r>
      <w:r w:rsidRPr="006D6E8A">
        <w:t>(2016) 62 Cal.4</w:t>
      </w:r>
      <w:r>
        <w:t>th</w:t>
      </w:r>
      <w:r w:rsidRPr="006D6E8A">
        <w:t xml:space="preserve"> 808, 838; </w:t>
      </w:r>
      <w:r w:rsidRPr="006D6E8A">
        <w:rPr>
          <w:i/>
          <w:iCs/>
        </w:rPr>
        <w:t>Souza</w:t>
      </w:r>
      <w:r w:rsidRPr="006D6E8A">
        <w:t xml:space="preserve">, at p. 241.)  </w:t>
      </w:r>
    </w:p>
    <w:p w14:paraId="7BBD7EC5" w14:textId="77777777" w:rsidR="00A1279F" w:rsidRDefault="00000000" w:rsidP="00EA0220">
      <w:pPr>
        <w:tabs>
          <w:tab w:val="left" w:pos="1440"/>
        </w:tabs>
        <w:ind w:firstLine="720"/>
      </w:pPr>
      <w:r>
        <w:lastRenderedPageBreak/>
        <w:t>The record, considered in its totality, fails to support a reasonable suspicion that Flores</w:t>
      </w:r>
      <w:r w:rsidR="00907C91" w:rsidRPr="006D6E8A">
        <w:t xml:space="preserve"> was </w:t>
      </w:r>
      <w:r w:rsidR="00EA0220">
        <w:t xml:space="preserve">loitering for the purpose of committing a narcotics offense (as the officer suspected) or was otherwise </w:t>
      </w:r>
      <w:r w:rsidR="00907C91" w:rsidRPr="006D6E8A">
        <w:t>engaged in “</w:t>
      </w:r>
      <w:r w:rsidR="00410BCB" w:rsidRPr="006D6E8A">
        <w:t> </w:t>
      </w:r>
      <w:r w:rsidR="004826BE" w:rsidRPr="006D6E8A">
        <w:t>‘</w:t>
      </w:r>
      <w:r w:rsidR="00907C91" w:rsidRPr="006D6E8A">
        <w:t>criminal activity.</w:t>
      </w:r>
      <w:r w:rsidR="004826BE" w:rsidRPr="006D6E8A">
        <w:t>’</w:t>
      </w:r>
      <w:r w:rsidR="007B0407">
        <w:t> </w:t>
      </w:r>
      <w:r w:rsidR="00907C91" w:rsidRPr="006D6E8A">
        <w:t>”</w:t>
      </w:r>
      <w:r w:rsidR="004826BE" w:rsidRPr="006D6E8A">
        <w:t xml:space="preserve">  (</w:t>
      </w:r>
      <w:r w:rsidR="004826BE" w:rsidRPr="006D6E8A">
        <w:rPr>
          <w:i/>
          <w:iCs/>
        </w:rPr>
        <w:t>Glover</w:t>
      </w:r>
      <w:r w:rsidR="004826BE" w:rsidRPr="006D6E8A">
        <w:t xml:space="preserve">, </w:t>
      </w:r>
      <w:r w:rsidR="004826BE" w:rsidRPr="006D6E8A">
        <w:rPr>
          <w:i/>
          <w:iCs/>
        </w:rPr>
        <w:t>supra</w:t>
      </w:r>
      <w:r w:rsidR="004826BE" w:rsidRPr="006D6E8A">
        <w:t xml:space="preserve">, 589 U.S. at p. </w:t>
      </w:r>
      <w:r w:rsidR="002035E0">
        <w:t>380</w:t>
      </w:r>
      <w:r w:rsidR="004826BE" w:rsidRPr="006D6E8A">
        <w:t>.)</w:t>
      </w:r>
      <w:r>
        <w:t xml:space="preserve">  </w:t>
      </w:r>
      <w:r w:rsidR="00A71135">
        <w:t xml:space="preserve">An </w:t>
      </w:r>
      <w:r>
        <w:t>articulable and reasonable suspicion that a person is engaging in criminal activity</w:t>
      </w:r>
      <w:r w:rsidR="00A71135">
        <w:t xml:space="preserve"> is required to escalate </w:t>
      </w:r>
      <w:r>
        <w:t>a consensual encounter to a coercive detention.</w:t>
      </w:r>
      <w:r w:rsidR="00257076">
        <w:t xml:space="preserve">  </w:t>
      </w:r>
    </w:p>
    <w:p w14:paraId="7BBD7EC6" w14:textId="77777777" w:rsidR="00740DFC" w:rsidRPr="006D6E8A" w:rsidRDefault="00000000" w:rsidP="00257076">
      <w:pPr>
        <w:tabs>
          <w:tab w:val="left" w:pos="1440"/>
        </w:tabs>
        <w:ind w:firstLine="720"/>
      </w:pPr>
      <w:r>
        <w:t xml:space="preserve">Here, </w:t>
      </w:r>
      <w:r w:rsidR="00257076">
        <w:t>Flores</w:t>
      </w:r>
      <w:r w:rsidR="00907C91" w:rsidRPr="006D6E8A">
        <w:t xml:space="preserve"> </w:t>
      </w:r>
      <w:r w:rsidR="001D679B">
        <w:t xml:space="preserve">looked in the direction of </w:t>
      </w:r>
      <w:r>
        <w:t xml:space="preserve">the officers then </w:t>
      </w:r>
      <w:r w:rsidR="00770D0D">
        <w:t xml:space="preserve">walked behind a </w:t>
      </w:r>
      <w:r w:rsidR="001C5CAB">
        <w:t>car and ducked out of sight</w:t>
      </w:r>
      <w:r w:rsidR="00F445D7" w:rsidRPr="006D6E8A">
        <w:t xml:space="preserve">.  </w:t>
      </w:r>
      <w:r w:rsidR="001135DB">
        <w:t xml:space="preserve">As the officers parked, Flores </w:t>
      </w:r>
      <w:r w:rsidR="00FC1BCA">
        <w:t xml:space="preserve">raised his head, stood and stretched, then again disappeared </w:t>
      </w:r>
      <w:r w:rsidR="001135DB">
        <w:t>from sight</w:t>
      </w:r>
      <w:r w:rsidR="004D1C44">
        <w:t xml:space="preserve">.  A few seconds later he </w:t>
      </w:r>
      <w:r w:rsidR="001135DB">
        <w:t xml:space="preserve">raised his head a second time, and then dropped back out of view.  </w:t>
      </w:r>
      <w:r w:rsidR="00907C91" w:rsidRPr="006D6E8A">
        <w:t xml:space="preserve">When </w:t>
      </w:r>
      <w:r w:rsidR="00F445D7" w:rsidRPr="006D6E8A">
        <w:t>the officers approached</w:t>
      </w:r>
      <w:r w:rsidR="004B617E">
        <w:t xml:space="preserve"> on foot</w:t>
      </w:r>
      <w:r w:rsidR="00F445D7" w:rsidRPr="006D6E8A">
        <w:t xml:space="preserve">, </w:t>
      </w:r>
      <w:r w:rsidR="00907C91" w:rsidRPr="000F77AE">
        <w:t>he</w:t>
      </w:r>
      <w:r w:rsidR="00F445D7" w:rsidRPr="000F77AE">
        <w:t xml:space="preserve"> </w:t>
      </w:r>
      <w:r w:rsidR="00283433" w:rsidRPr="000F77AE">
        <w:t>remained bent over</w:t>
      </w:r>
      <w:r w:rsidR="00FD35C6" w:rsidRPr="000F77AE">
        <w:t xml:space="preserve"> </w:t>
      </w:r>
      <w:r w:rsidR="000F77AE" w:rsidRPr="00A676CC">
        <w:t>“toying with his feet.”  He</w:t>
      </w:r>
      <w:r w:rsidR="00FD35C6" w:rsidRPr="000F77AE">
        <w:t xml:space="preserve"> </w:t>
      </w:r>
      <w:r w:rsidR="00F445D7" w:rsidRPr="000F77AE">
        <w:t>did</w:t>
      </w:r>
      <w:r w:rsidR="00F445D7" w:rsidRPr="006D6E8A">
        <w:t xml:space="preserve"> not make eye contact or otherwise acknowledge their attempts to engage him.  </w:t>
      </w:r>
      <w:r w:rsidR="00152200" w:rsidRPr="006D6E8A">
        <w:t xml:space="preserve">It is not </w:t>
      </w:r>
      <w:r w:rsidR="008208E4">
        <w:t>out of the ordinary</w:t>
      </w:r>
      <w:r w:rsidR="00257076">
        <w:t xml:space="preserve"> </w:t>
      </w:r>
      <w:r w:rsidR="00152200" w:rsidRPr="006D6E8A">
        <w:t>for a person to engage in a pretext such as walking in another direction, pretending not to hear one’s name being called, or feigning</w:t>
      </w:r>
      <w:r w:rsidR="00907C91" w:rsidRPr="006D6E8A">
        <w:t xml:space="preserve"> cell phone use</w:t>
      </w:r>
      <w:r w:rsidR="00152200" w:rsidRPr="006D6E8A">
        <w:t xml:space="preserve"> to avoid an unwanted encounter.  </w:t>
      </w:r>
      <w:r w:rsidRPr="006D6E8A">
        <w:t xml:space="preserve">But </w:t>
      </w:r>
      <w:r w:rsidR="002219EA" w:rsidRPr="006D6E8A">
        <w:t>here</w:t>
      </w:r>
      <w:r w:rsidR="002371AB">
        <w:t>,</w:t>
      </w:r>
      <w:r w:rsidR="002219EA" w:rsidRPr="006D6E8A">
        <w:t xml:space="preserve"> Flores’s </w:t>
      </w:r>
      <w:r w:rsidR="00907C91" w:rsidRPr="006D6E8A">
        <w:t xml:space="preserve">apparent </w:t>
      </w:r>
      <w:r w:rsidR="002219EA" w:rsidRPr="006D6E8A">
        <w:t xml:space="preserve">pretext of tying his shoe, </w:t>
      </w:r>
      <w:r w:rsidRPr="006D6E8A">
        <w:t xml:space="preserve">combined with </w:t>
      </w:r>
      <w:r w:rsidR="002219EA" w:rsidRPr="006D6E8A">
        <w:t>his</w:t>
      </w:r>
      <w:r w:rsidRPr="006D6E8A">
        <w:t xml:space="preserve"> </w:t>
      </w:r>
      <w:r w:rsidR="00D02BAC">
        <w:t>repea</w:t>
      </w:r>
      <w:r w:rsidR="00F87C70">
        <w:t xml:space="preserve">tedly ducking down </w:t>
      </w:r>
      <w:r w:rsidR="009255F2">
        <w:t>behind the car</w:t>
      </w:r>
      <w:r w:rsidRPr="006D6E8A">
        <w:t xml:space="preserve">, </w:t>
      </w:r>
      <w:r w:rsidR="00743742">
        <w:t xml:space="preserve">could </w:t>
      </w:r>
      <w:r w:rsidR="008208E4">
        <w:t>reasonably</w:t>
      </w:r>
      <w:r w:rsidR="00743742">
        <w:t xml:space="preserve"> be construed as “odd” </w:t>
      </w:r>
      <w:r w:rsidR="000635F7">
        <w:t>a</w:t>
      </w:r>
      <w:r w:rsidR="00743742">
        <w:t>nd noteworthy</w:t>
      </w:r>
      <w:r w:rsidR="000635F7">
        <w:t xml:space="preserve"> behavior</w:t>
      </w:r>
      <w:r w:rsidR="00743742">
        <w:t xml:space="preserve">, </w:t>
      </w:r>
      <w:r w:rsidRPr="006D6E8A">
        <w:t>particularly when</w:t>
      </w:r>
      <w:r w:rsidR="004826BE" w:rsidRPr="006D6E8A">
        <w:t xml:space="preserve"> done</w:t>
      </w:r>
      <w:r w:rsidRPr="006D6E8A">
        <w:t xml:space="preserve"> in reaction to the sight of a uniformed police officer.</w:t>
      </w:r>
      <w:r w:rsidR="007A0577" w:rsidRPr="006D6E8A">
        <w:t xml:space="preserve">  (</w:t>
      </w:r>
      <w:r w:rsidR="006E6E22">
        <w:t xml:space="preserve">See </w:t>
      </w:r>
      <w:r w:rsidR="007A0577" w:rsidRPr="006D6E8A">
        <w:rPr>
          <w:i/>
          <w:iCs/>
        </w:rPr>
        <w:t>Wesby</w:t>
      </w:r>
      <w:r w:rsidR="004826BE" w:rsidRPr="006D6E8A">
        <w:t xml:space="preserve">, </w:t>
      </w:r>
      <w:r w:rsidR="004826BE" w:rsidRPr="006D6E8A">
        <w:rPr>
          <w:i/>
          <w:iCs/>
        </w:rPr>
        <w:t>supra</w:t>
      </w:r>
      <w:r w:rsidR="004826BE" w:rsidRPr="006D6E8A">
        <w:t xml:space="preserve">, </w:t>
      </w:r>
      <w:r w:rsidR="007A0577" w:rsidRPr="006D6E8A">
        <w:t xml:space="preserve">583 U.S. </w:t>
      </w:r>
      <w:r w:rsidR="004826BE" w:rsidRPr="006D6E8A">
        <w:t xml:space="preserve">at p. </w:t>
      </w:r>
      <w:r w:rsidR="007A0577" w:rsidRPr="006D6E8A">
        <w:t xml:space="preserve">59; </w:t>
      </w:r>
      <w:r w:rsidR="007A0577" w:rsidRPr="006D6E8A">
        <w:rPr>
          <w:i/>
          <w:iCs/>
        </w:rPr>
        <w:t>Wardlow</w:t>
      </w:r>
      <w:r w:rsidR="007A0577" w:rsidRPr="006D6E8A">
        <w:t xml:space="preserve">, </w:t>
      </w:r>
      <w:r w:rsidR="007A0577" w:rsidRPr="006D6E8A">
        <w:rPr>
          <w:i/>
          <w:iCs/>
        </w:rPr>
        <w:t>supra</w:t>
      </w:r>
      <w:r w:rsidR="007A0577" w:rsidRPr="006D6E8A">
        <w:t>, 528 U.S. at p. 124</w:t>
      </w:r>
      <w:r w:rsidR="00F11A34">
        <w:t xml:space="preserve">; </w:t>
      </w:r>
      <w:r w:rsidR="00F11A34" w:rsidRPr="002C25C5">
        <w:rPr>
          <w:i/>
          <w:iCs/>
        </w:rPr>
        <w:t>Souza</w:t>
      </w:r>
      <w:r w:rsidR="00F11A34">
        <w:t xml:space="preserve">, </w:t>
      </w:r>
      <w:r w:rsidR="00F11A34" w:rsidRPr="002C25C5">
        <w:rPr>
          <w:i/>
          <w:iCs/>
        </w:rPr>
        <w:t>supra</w:t>
      </w:r>
      <w:r w:rsidR="00F11A34">
        <w:t>, 9 Cal.4th at p. 234</w:t>
      </w:r>
      <w:r w:rsidR="007A0577" w:rsidRPr="00743742">
        <w:t>.)</w:t>
      </w:r>
      <w:r w:rsidRPr="006D6E8A">
        <w:t xml:space="preserve">  </w:t>
      </w:r>
      <w:r w:rsidR="008208E4">
        <w:t>Nonetheless,</w:t>
      </w:r>
      <w:r w:rsidRPr="006D6E8A">
        <w:t xml:space="preserve"> </w:t>
      </w:r>
      <w:r w:rsidR="004826BE" w:rsidRPr="006D6E8A">
        <w:t xml:space="preserve">it bears emphasis that the standard to justify a detention is not satisfied simply because a person’s behavior is “odd.”  </w:t>
      </w:r>
      <w:r>
        <w:t xml:space="preserve">A mere deviation from perceived social convention does not automatically signal criminal behavior.  </w:t>
      </w:r>
      <w:r w:rsidR="004826BE" w:rsidRPr="006D6E8A">
        <w:t xml:space="preserve">The particular </w:t>
      </w:r>
      <w:r w:rsidR="00803BC4">
        <w:t>conduct</w:t>
      </w:r>
      <w:r w:rsidR="004826BE" w:rsidRPr="006D6E8A">
        <w:t xml:space="preserve"> </w:t>
      </w:r>
      <w:r w:rsidR="00650B54">
        <w:t xml:space="preserve">relied upon </w:t>
      </w:r>
      <w:r w:rsidR="004826BE" w:rsidRPr="006D6E8A">
        <w:t xml:space="preserve">must, when considered in the totality of circumstances, support a reasonable suspicion that the person to be detained </w:t>
      </w:r>
      <w:r w:rsidR="00E9514D">
        <w:t>is</w:t>
      </w:r>
      <w:r w:rsidR="004826BE" w:rsidRPr="006D6E8A">
        <w:t xml:space="preserve">, or is about to be, engaged in activity “relating </w:t>
      </w:r>
      <w:r w:rsidR="004826BE" w:rsidRPr="006D6E8A">
        <w:lastRenderedPageBreak/>
        <w:t>to crime.”  (</w:t>
      </w:r>
      <w:r w:rsidR="006445FE" w:rsidRPr="006D6E8A">
        <w:rPr>
          <w:i/>
          <w:iCs/>
        </w:rPr>
        <w:t>Tony C</w:t>
      </w:r>
      <w:r w:rsidR="006445FE" w:rsidRPr="006D6E8A">
        <w:t xml:space="preserve">., </w:t>
      </w:r>
      <w:r w:rsidR="006445FE" w:rsidRPr="006D6E8A">
        <w:rPr>
          <w:i/>
          <w:iCs/>
        </w:rPr>
        <w:t>supra</w:t>
      </w:r>
      <w:r w:rsidR="006445FE" w:rsidRPr="006D6E8A">
        <w:t xml:space="preserve">, 21 Cal.3d at p. 893; accord, </w:t>
      </w:r>
      <w:r w:rsidR="006445FE" w:rsidRPr="006D6E8A">
        <w:rPr>
          <w:i/>
          <w:iCs/>
        </w:rPr>
        <w:t>Souza</w:t>
      </w:r>
      <w:r w:rsidR="006445FE" w:rsidRPr="006D6E8A">
        <w:t xml:space="preserve">, </w:t>
      </w:r>
      <w:r w:rsidR="006445FE" w:rsidRPr="006D6E8A">
        <w:rPr>
          <w:i/>
          <w:iCs/>
        </w:rPr>
        <w:t>supra</w:t>
      </w:r>
      <w:r w:rsidR="006445FE" w:rsidRPr="006D6E8A">
        <w:t xml:space="preserve">, 9 Cal.4th at p. 231.)  </w:t>
      </w:r>
    </w:p>
    <w:p w14:paraId="7BBD7EC7" w14:textId="77777777" w:rsidR="00606004" w:rsidRDefault="00000000" w:rsidP="00E84479">
      <w:pPr>
        <w:tabs>
          <w:tab w:val="left" w:pos="1440"/>
        </w:tabs>
        <w:ind w:firstLine="720"/>
      </w:pPr>
      <w:r>
        <w:t xml:space="preserve">The fact that </w:t>
      </w:r>
      <w:r w:rsidR="004C6FFD">
        <w:t>Flores</w:t>
      </w:r>
      <w:r>
        <w:t xml:space="preserve"> was present </w:t>
      </w:r>
      <w:r w:rsidR="004C6FFD">
        <w:t xml:space="preserve">in a </w:t>
      </w:r>
      <w:r w:rsidR="005976CE" w:rsidRPr="006D6E8A">
        <w:t>“</w:t>
      </w:r>
      <w:r w:rsidR="005976CE" w:rsidRPr="006A6816">
        <w:t>known narcotic[s] area</w:t>
      </w:r>
      <w:r w:rsidR="005976CE">
        <w:t>[]</w:t>
      </w:r>
      <w:r w:rsidR="005321A1">
        <w:t>,</w:t>
      </w:r>
      <w:r w:rsidR="005976CE" w:rsidRPr="006D6E8A">
        <w:t xml:space="preserve">” where the officer had arrested someone for </w:t>
      </w:r>
      <w:r w:rsidR="00641A1B">
        <w:t>drug</w:t>
      </w:r>
      <w:r w:rsidR="005976CE" w:rsidRPr="006D6E8A">
        <w:t>-related crimes the night before</w:t>
      </w:r>
      <w:r w:rsidR="005321A1">
        <w:t>,</w:t>
      </w:r>
      <w:r>
        <w:t xml:space="preserve"> does not tip the scales in favor of detention.  </w:t>
      </w:r>
      <w:r w:rsidR="00104FE9" w:rsidRPr="006D6E8A">
        <w:t xml:space="preserve">Notably, </w:t>
      </w:r>
      <w:r w:rsidR="00781EF2">
        <w:t>O</w:t>
      </w:r>
      <w:r w:rsidR="001A1306" w:rsidRPr="006D6E8A">
        <w:t>fficer Guy</w:t>
      </w:r>
      <w:r w:rsidR="00104FE9" w:rsidRPr="006D6E8A">
        <w:t xml:space="preserve"> did not see Flores engage in any conduct suggest</w:t>
      </w:r>
      <w:r w:rsidR="005D1AEF">
        <w:t>ing</w:t>
      </w:r>
      <w:r w:rsidR="00104FE9" w:rsidRPr="006D6E8A">
        <w:t xml:space="preserve"> he was there </w:t>
      </w:r>
      <w:r w:rsidR="00D16F8B" w:rsidRPr="006D6E8A">
        <w:t xml:space="preserve">to buy or sell </w:t>
      </w:r>
      <w:r w:rsidR="00104FE9" w:rsidRPr="006D6E8A">
        <w:t>drugs</w:t>
      </w:r>
      <w:r w:rsidR="004B41DD">
        <w:t xml:space="preserve"> or was otherwise involved in illegal conduct</w:t>
      </w:r>
      <w:r w:rsidR="00104FE9" w:rsidRPr="006D6E8A">
        <w:t xml:space="preserve">.  </w:t>
      </w:r>
      <w:r w:rsidR="00D16F8B" w:rsidRPr="006D6E8A">
        <w:t xml:space="preserve">He did not see </w:t>
      </w:r>
      <w:r w:rsidR="007543AA" w:rsidRPr="006D6E8A">
        <w:t>Flores</w:t>
      </w:r>
      <w:r w:rsidR="00104FE9" w:rsidRPr="006D6E8A">
        <w:t xml:space="preserve"> </w:t>
      </w:r>
      <w:r w:rsidR="007543AA" w:rsidRPr="006D6E8A">
        <w:t>interact with anyone</w:t>
      </w:r>
      <w:r w:rsidR="0033096C" w:rsidRPr="006D6E8A">
        <w:t>,</w:t>
      </w:r>
      <w:r w:rsidR="00B94966" w:rsidRPr="006D6E8A">
        <w:t xml:space="preserve"> or </w:t>
      </w:r>
      <w:r w:rsidR="00D16F8B" w:rsidRPr="006D6E8A">
        <w:t>retrieve or hide anything</w:t>
      </w:r>
      <w:r w:rsidR="0033096C" w:rsidRPr="006D6E8A">
        <w:t>.</w:t>
      </w:r>
      <w:r w:rsidR="00DE484C" w:rsidRPr="006D6E8A">
        <w:t xml:space="preserve">  (See </w:t>
      </w:r>
      <w:r w:rsidR="003D4C83" w:rsidRPr="006D6E8A">
        <w:rPr>
          <w:i/>
          <w:iCs/>
        </w:rPr>
        <w:t>Cornell v. City and County of San Francisco</w:t>
      </w:r>
      <w:r w:rsidR="003D4C83" w:rsidRPr="006D6E8A">
        <w:t xml:space="preserve"> (2017) 17 Cal.App.5th 766, 781; </w:t>
      </w:r>
      <w:r w:rsidR="00DE484C" w:rsidRPr="006D6E8A">
        <w:rPr>
          <w:i/>
          <w:iCs/>
        </w:rPr>
        <w:t>Limon</w:t>
      </w:r>
      <w:r w:rsidR="00EC3E37" w:rsidRPr="006D6E8A">
        <w:t>,</w:t>
      </w:r>
      <w:r w:rsidR="00EC3E37" w:rsidRPr="006D6E8A">
        <w:rPr>
          <w:i/>
          <w:iCs/>
        </w:rPr>
        <w:t xml:space="preserve"> supra</w:t>
      </w:r>
      <w:r w:rsidR="00EC3E37" w:rsidRPr="006D6E8A">
        <w:t>,</w:t>
      </w:r>
      <w:r w:rsidR="00EC3E37" w:rsidRPr="006D6E8A">
        <w:rPr>
          <w:i/>
          <w:iCs/>
        </w:rPr>
        <w:t xml:space="preserve"> </w:t>
      </w:r>
      <w:r w:rsidR="00DE484C" w:rsidRPr="006D6E8A">
        <w:t xml:space="preserve">17 Cal.App.4th </w:t>
      </w:r>
      <w:r w:rsidR="00EC3E37" w:rsidRPr="006D6E8A">
        <w:t xml:space="preserve">at pp. </w:t>
      </w:r>
      <w:r w:rsidR="00DE484C" w:rsidRPr="006D6E8A">
        <w:t>532–533</w:t>
      </w:r>
      <w:r w:rsidR="005D1AEF">
        <w:t>; Health &amp; Saf. Code, § 11532, subd. (b)</w:t>
      </w:r>
      <w:r w:rsidR="00DE484C" w:rsidRPr="006D6E8A">
        <w:t xml:space="preserve">.)  </w:t>
      </w:r>
      <w:r w:rsidR="00B94966" w:rsidRPr="006D6E8A">
        <w:t xml:space="preserve">He did not see anyone in the immediate vicinity.  </w:t>
      </w:r>
      <w:r w:rsidR="002D4F70">
        <w:t>No one had called for help or to report a crime in progress.</w:t>
      </w:r>
      <w:r w:rsidR="006A74B1">
        <w:t xml:space="preserve">  </w:t>
      </w:r>
      <w:r w:rsidR="00D56E55">
        <w:t xml:space="preserve">The hour was not particularly late.  </w:t>
      </w:r>
      <w:r w:rsidR="004175F1">
        <w:t xml:space="preserve">Although the officer testified that he </w:t>
      </w:r>
      <w:r w:rsidR="006A74B1">
        <w:t>suspected Flores of “loitering,” he did not see Flores standing in that location for more than a few moments before the officers pulled up in their patrol car.</w:t>
      </w:r>
      <w:r>
        <w:rPr>
          <w:rStyle w:val="FootnoteReference"/>
        </w:rPr>
        <w:footnoteReference w:id="3"/>
      </w:r>
      <w:r w:rsidR="00E96C97">
        <w:t xml:space="preserve">  </w:t>
      </w:r>
      <w:r w:rsidR="00B94966" w:rsidRPr="006D6E8A">
        <w:t>W</w:t>
      </w:r>
      <w:r w:rsidR="00C11FEE" w:rsidRPr="006D6E8A">
        <w:t xml:space="preserve">hen </w:t>
      </w:r>
      <w:r w:rsidR="00B93834" w:rsidRPr="006D6E8A">
        <w:t>Guy</w:t>
      </w:r>
      <w:r w:rsidR="00C11FEE" w:rsidRPr="006D6E8A">
        <w:t xml:space="preserve"> approached</w:t>
      </w:r>
      <w:r w:rsidR="00D73874">
        <w:t xml:space="preserve"> on foot</w:t>
      </w:r>
      <w:r w:rsidR="00C11FEE" w:rsidRPr="006D6E8A">
        <w:t xml:space="preserve">, he saw </w:t>
      </w:r>
      <w:r w:rsidR="00407776" w:rsidRPr="006D6E8A">
        <w:t>F</w:t>
      </w:r>
      <w:r w:rsidR="0033096C" w:rsidRPr="006D6E8A">
        <w:t xml:space="preserve">lores </w:t>
      </w:r>
      <w:r w:rsidR="00407776" w:rsidRPr="006D6E8A">
        <w:t xml:space="preserve">moving </w:t>
      </w:r>
      <w:r w:rsidR="0033096C" w:rsidRPr="006D6E8A">
        <w:t xml:space="preserve">his hands </w:t>
      </w:r>
      <w:r w:rsidR="004C1B7F">
        <w:t>near</w:t>
      </w:r>
      <w:r w:rsidR="0033096C" w:rsidRPr="006D6E8A">
        <w:t xml:space="preserve"> his feet</w:t>
      </w:r>
      <w:r w:rsidR="00104FE9" w:rsidRPr="006D6E8A">
        <w:t xml:space="preserve">.  But </w:t>
      </w:r>
      <w:r w:rsidR="00C11FEE" w:rsidRPr="006D6E8A">
        <w:t xml:space="preserve">the officer </w:t>
      </w:r>
      <w:r w:rsidR="00407776" w:rsidRPr="006D6E8A">
        <w:t xml:space="preserve">did not </w:t>
      </w:r>
      <w:r w:rsidR="00B94966" w:rsidRPr="006D6E8A">
        <w:t xml:space="preserve">say </w:t>
      </w:r>
      <w:r w:rsidR="000E24E0">
        <w:t xml:space="preserve">Flores </w:t>
      </w:r>
      <w:r w:rsidR="00190626">
        <w:t>appeared</w:t>
      </w:r>
      <w:r w:rsidR="000E24E0">
        <w:t xml:space="preserve"> to hide or discard </w:t>
      </w:r>
      <w:r w:rsidR="00DA1107">
        <w:t>anything</w:t>
      </w:r>
      <w:r w:rsidR="000E24E0">
        <w:t xml:space="preserve">.  </w:t>
      </w:r>
      <w:r w:rsidR="00A6361D">
        <w:t>Rather</w:t>
      </w:r>
      <w:r w:rsidR="00FF419A">
        <w:t xml:space="preserve">, he opined that Flores was “pretend[ing] to tie his shoe.” </w:t>
      </w:r>
      <w:r w:rsidR="001F7C92">
        <w:t xml:space="preserve"> </w:t>
      </w:r>
      <w:r w:rsidR="006A74B1">
        <w:t>Guy testified that the Nissan was parked at a red curb</w:t>
      </w:r>
      <w:r w:rsidR="002B54FC">
        <w:t xml:space="preserve">.  </w:t>
      </w:r>
      <w:r w:rsidR="00217EF9">
        <w:t xml:space="preserve">But he did not </w:t>
      </w:r>
      <w:r w:rsidR="005422F2">
        <w:t xml:space="preserve">explain how Flores’s </w:t>
      </w:r>
      <w:r w:rsidR="005422F2">
        <w:lastRenderedPageBreak/>
        <w:t xml:space="preserve">presence next to an illegally parked car </w:t>
      </w:r>
      <w:r w:rsidR="00B96A86">
        <w:t xml:space="preserve">justified a detention </w:t>
      </w:r>
      <w:r w:rsidR="005422F2">
        <w:t>under the totality of the circumstances.</w:t>
      </w:r>
      <w:r w:rsidR="00EA0220">
        <w:t xml:space="preserve">  </w:t>
      </w:r>
    </w:p>
    <w:p w14:paraId="7BBD7EC8" w14:textId="77777777" w:rsidR="00C91507" w:rsidRDefault="00000000" w:rsidP="00010CD9">
      <w:pPr>
        <w:tabs>
          <w:tab w:val="left" w:pos="1440"/>
        </w:tabs>
        <w:ind w:firstLine="720"/>
      </w:pPr>
      <w:r w:rsidRPr="006D6E8A">
        <w:t xml:space="preserve">In referring to factors not testified to in this case, we do not suggest that any of them must be established to justify a detention.  </w:t>
      </w:r>
      <w:r w:rsidR="00882C95">
        <w:t xml:space="preserve">Instead, </w:t>
      </w:r>
      <w:r w:rsidR="009E3CAA">
        <w:t>w</w:t>
      </w:r>
      <w:r w:rsidRPr="006D6E8A">
        <w:t xml:space="preserve">e point out that, if present, they would be relevant in weighing </w:t>
      </w:r>
      <w:r w:rsidR="0004493C">
        <w:t xml:space="preserve">all </w:t>
      </w:r>
      <w:r w:rsidRPr="006D6E8A">
        <w:t>the circumstances bearing on whether a detention was justified.  Likewise, facts that may appear benign in some contexts may</w:t>
      </w:r>
      <w:r w:rsidR="00580751">
        <w:t xml:space="preserve"> reasonably</w:t>
      </w:r>
      <w:r w:rsidRPr="006D6E8A">
        <w:t xml:space="preserve"> be considered less so in others.  Officers </w:t>
      </w:r>
      <w:r w:rsidR="00774719">
        <w:t>describing</w:t>
      </w:r>
      <w:r w:rsidRPr="006D6E8A">
        <w:t xml:space="preserve"> their decisions may certainly explain the salience of some circumstances in light of their training and experience.  As the high court pointed out in </w:t>
      </w:r>
      <w:r w:rsidRPr="006D6E8A">
        <w:rPr>
          <w:i/>
          <w:iCs/>
        </w:rPr>
        <w:t>Cortez</w:t>
      </w:r>
      <w:r w:rsidR="00EF75A0">
        <w:t xml:space="preserve">, </w:t>
      </w:r>
      <w:r w:rsidR="00EF75A0" w:rsidRPr="006A4E54">
        <w:rPr>
          <w:i/>
          <w:iCs/>
        </w:rPr>
        <w:t>supra</w:t>
      </w:r>
      <w:r w:rsidR="00EF75A0">
        <w:t xml:space="preserve">, </w:t>
      </w:r>
      <w:r w:rsidRPr="006D6E8A">
        <w:t xml:space="preserve">449 U.S. </w:t>
      </w:r>
      <w:r w:rsidR="00B21970">
        <w:t>at page</w:t>
      </w:r>
      <w:r w:rsidRPr="006D6E8A">
        <w:t xml:space="preserve"> 418, </w:t>
      </w:r>
      <w:r w:rsidR="00A17C72" w:rsidRPr="006D6E8A">
        <w:t>a</w:t>
      </w:r>
      <w:r w:rsidRPr="006D6E8A">
        <w:t xml:space="preserve"> trained police officer could draw inferences </w:t>
      </w:r>
      <w:r w:rsidR="00A17C72" w:rsidRPr="006D6E8A">
        <w:t>“</w:t>
      </w:r>
      <w:r w:rsidRPr="006D6E8A">
        <w:t xml:space="preserve">that might well elude an untrained person.”  </w:t>
      </w:r>
      <w:r w:rsidR="0059679E" w:rsidRPr="006D6E8A">
        <w:t xml:space="preserve">But the officer must articulate </w:t>
      </w:r>
      <w:r w:rsidR="00F97AB2">
        <w:t xml:space="preserve">that </w:t>
      </w:r>
      <w:r w:rsidR="0059679E" w:rsidRPr="006D6E8A">
        <w:t>experience and expertise as an objective circumstance justifying the detention.  (</w:t>
      </w:r>
      <w:r w:rsidR="0059679E" w:rsidRPr="006D6E8A">
        <w:rPr>
          <w:i/>
          <w:iCs/>
        </w:rPr>
        <w:t>I</w:t>
      </w:r>
      <w:r w:rsidR="004E67CE" w:rsidRPr="006D6E8A">
        <w:rPr>
          <w:i/>
          <w:iCs/>
        </w:rPr>
        <w:t>bi</w:t>
      </w:r>
      <w:r w:rsidR="0059679E" w:rsidRPr="006D6E8A">
        <w:rPr>
          <w:i/>
          <w:iCs/>
        </w:rPr>
        <w:t>d</w:t>
      </w:r>
      <w:r w:rsidR="0059679E" w:rsidRPr="006D6E8A">
        <w:t xml:space="preserve">.; </w:t>
      </w:r>
      <w:r w:rsidR="0059679E" w:rsidRPr="006D6E8A">
        <w:rPr>
          <w:i/>
          <w:iCs/>
        </w:rPr>
        <w:t>United States v. Arvizu</w:t>
      </w:r>
      <w:r w:rsidR="0059679E" w:rsidRPr="006D6E8A">
        <w:t xml:space="preserve"> (2002) 534 U.S. 266, </w:t>
      </w:r>
      <w:r w:rsidR="00DC089B">
        <w:t xml:space="preserve">273, </w:t>
      </w:r>
      <w:r w:rsidR="0059679E" w:rsidRPr="006D6E8A">
        <w:t>276</w:t>
      </w:r>
      <w:r w:rsidR="004E67CE" w:rsidRPr="006D6E8A">
        <w:t>–277</w:t>
      </w:r>
      <w:r w:rsidR="00010CD9">
        <w:t xml:space="preserve">; </w:t>
      </w:r>
      <w:r w:rsidR="00010CD9" w:rsidRPr="002C25C5">
        <w:rPr>
          <w:i/>
          <w:iCs/>
        </w:rPr>
        <w:t>Brignoni-Ponce</w:t>
      </w:r>
      <w:r w:rsidR="00D56E55" w:rsidRPr="002C25C5">
        <w:t>,</w:t>
      </w:r>
      <w:r w:rsidR="00D56E55">
        <w:rPr>
          <w:i/>
          <w:iCs/>
        </w:rPr>
        <w:t xml:space="preserve"> supra</w:t>
      </w:r>
      <w:r w:rsidR="00D56E55" w:rsidRPr="002C25C5">
        <w:t>,</w:t>
      </w:r>
      <w:r w:rsidR="00D56E55">
        <w:rPr>
          <w:i/>
          <w:iCs/>
        </w:rPr>
        <w:t xml:space="preserve"> </w:t>
      </w:r>
      <w:r w:rsidR="00010CD9">
        <w:t xml:space="preserve">422 U.S. </w:t>
      </w:r>
      <w:r w:rsidR="00D56E55">
        <w:t xml:space="preserve">at pp. </w:t>
      </w:r>
      <w:r w:rsidR="00010CD9">
        <w:t>884–885</w:t>
      </w:r>
      <w:r w:rsidR="0059679E" w:rsidRPr="006D6E8A">
        <w:t xml:space="preserve">.)  </w:t>
      </w:r>
      <w:r w:rsidR="00B93834" w:rsidRPr="006D6E8A">
        <w:t xml:space="preserve">In evaluating what was done it is important to consider the reasons given for doing it.  </w:t>
      </w:r>
      <w:r w:rsidR="00001508">
        <w:t>Requiring t</w:t>
      </w:r>
      <w:r w:rsidRPr="006D6E8A">
        <w:t>his articulation enable</w:t>
      </w:r>
      <w:r w:rsidR="00B93834" w:rsidRPr="006D6E8A">
        <w:t>s</w:t>
      </w:r>
      <w:r w:rsidRPr="006D6E8A">
        <w:t xml:space="preserve"> the court to determine, as a matter of law, whether the officer’s actions were justified in light of the protections afforded by the Fourth Amendment.  </w:t>
      </w:r>
    </w:p>
    <w:p w14:paraId="7BBD7EC9" w14:textId="77777777" w:rsidR="002A006C" w:rsidRDefault="00000000" w:rsidP="006D6E8A">
      <w:pPr>
        <w:tabs>
          <w:tab w:val="left" w:pos="1440"/>
        </w:tabs>
        <w:ind w:firstLine="720"/>
      </w:pPr>
      <w:r>
        <w:t xml:space="preserve">The Attorney General </w:t>
      </w:r>
      <w:r w:rsidR="00227C94">
        <w:t xml:space="preserve">relies </w:t>
      </w:r>
      <w:r w:rsidR="004B617E">
        <w:t xml:space="preserve">heavily </w:t>
      </w:r>
      <w:r w:rsidR="00227C94">
        <w:t xml:space="preserve">on </w:t>
      </w:r>
      <w:r w:rsidRPr="002C25C5">
        <w:rPr>
          <w:i/>
          <w:iCs/>
        </w:rPr>
        <w:t>Wardlow</w:t>
      </w:r>
      <w:r>
        <w:t xml:space="preserve">, </w:t>
      </w:r>
      <w:r w:rsidRPr="002C25C5">
        <w:rPr>
          <w:i/>
          <w:iCs/>
        </w:rPr>
        <w:t>supra</w:t>
      </w:r>
      <w:r>
        <w:t xml:space="preserve">, 528 U.S. 119 </w:t>
      </w:r>
      <w:r w:rsidR="00227C94">
        <w:t xml:space="preserve">to justify Flores’s detention, but </w:t>
      </w:r>
      <w:r w:rsidR="001E417C">
        <w:t xml:space="preserve">the facts of that case are </w:t>
      </w:r>
      <w:r w:rsidR="00B27D0A">
        <w:t>distinguishable</w:t>
      </w:r>
      <w:r w:rsidR="001E417C">
        <w:t xml:space="preserve">. </w:t>
      </w:r>
      <w:r>
        <w:t xml:space="preserve"> </w:t>
      </w:r>
      <w:r w:rsidR="00227C94">
        <w:t xml:space="preserve">There, </w:t>
      </w:r>
      <w:r w:rsidR="0088642D" w:rsidRPr="006D6E8A">
        <w:t>a four-car caravan of police vehicles converged on a Chicago area “known for heavy narcotics trafficking.”  (</w:t>
      </w:r>
      <w:r w:rsidR="0088642D" w:rsidRPr="006D6E8A">
        <w:rPr>
          <w:i/>
          <w:iCs/>
        </w:rPr>
        <w:t>Id</w:t>
      </w:r>
      <w:r w:rsidR="0088642D" w:rsidRPr="006D6E8A">
        <w:t xml:space="preserve">. at p. 121.)  </w:t>
      </w:r>
      <w:r w:rsidR="00164DCA" w:rsidRPr="006D6E8A">
        <w:t>“The officers were traveling together because they expected to find a crowd of people in the area, including lookouts and customers.”</w:t>
      </w:r>
      <w:r w:rsidR="004516BF">
        <w:t xml:space="preserve"> </w:t>
      </w:r>
      <w:r w:rsidR="00164DCA" w:rsidRPr="006D6E8A">
        <w:t xml:space="preserve"> (</w:t>
      </w:r>
      <w:r w:rsidR="00164DCA" w:rsidRPr="006D6E8A">
        <w:rPr>
          <w:i/>
          <w:iCs/>
        </w:rPr>
        <w:t>I</w:t>
      </w:r>
      <w:r w:rsidR="00410BCB" w:rsidRPr="006D6E8A">
        <w:rPr>
          <w:i/>
          <w:iCs/>
        </w:rPr>
        <w:t>bi</w:t>
      </w:r>
      <w:r w:rsidR="00164DCA" w:rsidRPr="006D6E8A">
        <w:rPr>
          <w:i/>
          <w:iCs/>
        </w:rPr>
        <w:t>d</w:t>
      </w:r>
      <w:r w:rsidR="00164DCA" w:rsidRPr="006D6E8A">
        <w:t xml:space="preserve">.)  </w:t>
      </w:r>
      <w:r w:rsidR="00DE484C" w:rsidRPr="006D6E8A">
        <w:t>The d</w:t>
      </w:r>
      <w:r w:rsidR="0088642D" w:rsidRPr="006D6E8A">
        <w:t xml:space="preserve">efendant, who was holding an opaque bag, looked in the direction of the officers and </w:t>
      </w:r>
      <w:r w:rsidR="00863710" w:rsidRPr="006D6E8A">
        <w:t>fled.  (</w:t>
      </w:r>
      <w:r w:rsidR="00863710" w:rsidRPr="006D6E8A">
        <w:rPr>
          <w:i/>
          <w:iCs/>
        </w:rPr>
        <w:t>Id</w:t>
      </w:r>
      <w:r w:rsidR="00863710" w:rsidRPr="006D6E8A">
        <w:t xml:space="preserve">. at pp. 121–122.)  The court </w:t>
      </w:r>
      <w:r w:rsidR="00DE484C" w:rsidRPr="006D6E8A">
        <w:t>held that t</w:t>
      </w:r>
      <w:r w:rsidR="00863710" w:rsidRPr="006D6E8A">
        <w:t xml:space="preserve">he defendant’s presence in a heavy narcotics area and his </w:t>
      </w:r>
      <w:r w:rsidR="00DE484C" w:rsidRPr="006D6E8A">
        <w:lastRenderedPageBreak/>
        <w:t>“</w:t>
      </w:r>
      <w:r w:rsidR="00410BCB" w:rsidRPr="006D6E8A">
        <w:t>[</w:t>
      </w:r>
      <w:r w:rsidR="00DE484C" w:rsidRPr="006D6E8A">
        <w:t>h</w:t>
      </w:r>
      <w:r w:rsidR="00410BCB" w:rsidRPr="006D6E8A">
        <w:t>]</w:t>
      </w:r>
      <w:r w:rsidR="00DE484C" w:rsidRPr="006D6E8A">
        <w:t xml:space="preserve">eadlong </w:t>
      </w:r>
      <w:r w:rsidR="00863710" w:rsidRPr="006D6E8A">
        <w:t>flight</w:t>
      </w:r>
      <w:r w:rsidR="002865F3">
        <w:t>”</w:t>
      </w:r>
      <w:r w:rsidR="00863710" w:rsidRPr="006D6E8A">
        <w:t xml:space="preserve"> upon seeing the police approach “justified [the officer] in suspecting that [the defendant] was involved in criminal activity, and, therefore, in investigating further.”  (</w:t>
      </w:r>
      <w:r w:rsidR="00801BFC" w:rsidRPr="006D6E8A">
        <w:rPr>
          <w:i/>
          <w:iCs/>
        </w:rPr>
        <w:t>Id</w:t>
      </w:r>
      <w:r w:rsidR="00801BFC" w:rsidRPr="006D6E8A">
        <w:t>. at p</w:t>
      </w:r>
      <w:r w:rsidR="00DE484C" w:rsidRPr="006D6E8A">
        <w:t>p</w:t>
      </w:r>
      <w:r w:rsidR="00801BFC" w:rsidRPr="006D6E8A">
        <w:t xml:space="preserve">. </w:t>
      </w:r>
      <w:r w:rsidR="00DE484C" w:rsidRPr="006D6E8A">
        <w:t xml:space="preserve">124, </w:t>
      </w:r>
      <w:r w:rsidR="00801BFC" w:rsidRPr="006D6E8A">
        <w:t>125.)</w:t>
      </w:r>
    </w:p>
    <w:p w14:paraId="7BBD7ECA" w14:textId="77777777" w:rsidR="00507B75" w:rsidRPr="0024353E" w:rsidRDefault="00000000" w:rsidP="006D6E8A">
      <w:pPr>
        <w:tabs>
          <w:tab w:val="left" w:pos="1440"/>
        </w:tabs>
        <w:ind w:firstLine="720"/>
      </w:pPr>
      <w:r>
        <w:t>Wardlow’s flight upon seeing the officers was a</w:t>
      </w:r>
      <w:r w:rsidR="00A83090">
        <w:t xml:space="preserve">n important </w:t>
      </w:r>
      <w:r>
        <w:t xml:space="preserve">factor in the analysis.  </w:t>
      </w:r>
      <w:r w:rsidR="00227C94">
        <w:t>T</w:t>
      </w:r>
      <w:r>
        <w:t xml:space="preserve">he high court recognized </w:t>
      </w:r>
      <w:r w:rsidR="00A43B3B">
        <w:t>that</w:t>
      </w:r>
      <w:r w:rsidR="008906A0">
        <w:t xml:space="preserve"> citizens have the right to </w:t>
      </w:r>
      <w:r>
        <w:t xml:space="preserve">ignore the police and go about </w:t>
      </w:r>
      <w:r w:rsidR="008906A0">
        <w:t>their</w:t>
      </w:r>
      <w:r>
        <w:t xml:space="preserve"> business, and the “ ‘refusal to cooperate, without more, does not furnish the minimal level of objective justification needed for a detention or seizure.’ ”  (</w:t>
      </w:r>
      <w:r w:rsidRPr="002C25C5">
        <w:rPr>
          <w:i/>
          <w:iCs/>
        </w:rPr>
        <w:t>Wardlow</w:t>
      </w:r>
      <w:r>
        <w:t xml:space="preserve">, </w:t>
      </w:r>
      <w:r w:rsidRPr="002C25C5">
        <w:rPr>
          <w:i/>
          <w:iCs/>
        </w:rPr>
        <w:t>supra</w:t>
      </w:r>
      <w:r>
        <w:t xml:space="preserve">, 528 U.S. at p. 125, quoting </w:t>
      </w:r>
      <w:r w:rsidRPr="002C25C5">
        <w:rPr>
          <w:i/>
          <w:iCs/>
        </w:rPr>
        <w:t>Bostick</w:t>
      </w:r>
      <w:r>
        <w:t xml:space="preserve">, </w:t>
      </w:r>
      <w:r w:rsidRPr="002C25C5">
        <w:rPr>
          <w:i/>
          <w:iCs/>
        </w:rPr>
        <w:t>supra</w:t>
      </w:r>
      <w:r>
        <w:t>, 501 U.S. at p. 437.)  But</w:t>
      </w:r>
      <w:r w:rsidR="004B617E">
        <w:t xml:space="preserve"> the court reasoned</w:t>
      </w:r>
      <w:r w:rsidR="00AA0BFE">
        <w:t xml:space="preserve"> that</w:t>
      </w:r>
      <w:r w:rsidR="004B617E">
        <w:t xml:space="preserve"> </w:t>
      </w:r>
      <w:r w:rsidRPr="003B5A46">
        <w:t>“unprovoked flight is simply not a mere refusal to cooperate.  Flight, by its very nature, is not ‘going about one’s business’; in fact, it is just the opposite.”  (</w:t>
      </w:r>
      <w:r w:rsidR="00A87E7E" w:rsidRPr="003760CA">
        <w:rPr>
          <w:i/>
          <w:iCs/>
        </w:rPr>
        <w:t>Wardlow</w:t>
      </w:r>
      <w:r w:rsidR="00A87E7E">
        <w:t>,</w:t>
      </w:r>
      <w:r w:rsidRPr="003B5A46">
        <w:t xml:space="preserve"> at p. 125.)  “Headlong flight</w:t>
      </w:r>
      <w:r w:rsidR="004516BF">
        <w:t> </w:t>
      </w:r>
      <w:r w:rsidRPr="003B5A46">
        <w:t>— wherever it occurs</w:t>
      </w:r>
      <w:r w:rsidR="004516BF">
        <w:t> </w:t>
      </w:r>
      <w:r w:rsidRPr="003B5A46">
        <w:t>— is the consummate act of evasion:  It is not necessarily indicative of wrongdoing, but it is certainly suggestive of such.”  (</w:t>
      </w:r>
      <w:r w:rsidRPr="002C25C5">
        <w:rPr>
          <w:i/>
          <w:iCs/>
        </w:rPr>
        <w:t>Id</w:t>
      </w:r>
      <w:r w:rsidRPr="003B5A46">
        <w:t xml:space="preserve">. at p. 124.)  </w:t>
      </w:r>
      <w:r>
        <w:t xml:space="preserve">Seven members of the high court reaffirmed this holding in 2018:  “ ‘[U]nprovoked flight upon noticing the police,’ we have explained, ‘is certainly suggestive’ of wrongdoing and can be treated as ‘suspicious behavior’ that factors into the totality of the circumstances.  [Citation.]  In fact, ‘deliberately furtive actions and flight at the approach of . . . law officers are </w:t>
      </w:r>
      <w:r w:rsidRPr="007F3DA7">
        <w:rPr>
          <w:i/>
          <w:iCs/>
        </w:rPr>
        <w:t>strong</w:t>
      </w:r>
      <w:r>
        <w:t xml:space="preserve"> indicia of </w:t>
      </w:r>
      <w:r w:rsidRPr="007F3DA7">
        <w:rPr>
          <w:i/>
          <w:iCs/>
        </w:rPr>
        <w:t>mens rea</w:t>
      </w:r>
      <w:r>
        <w:t>.’</w:t>
      </w:r>
      <w:r w:rsidR="00C87BBE">
        <w:t> </w:t>
      </w:r>
      <w:r>
        <w:t>”  (</w:t>
      </w:r>
      <w:r w:rsidRPr="00767F68">
        <w:rPr>
          <w:i/>
          <w:iCs/>
        </w:rPr>
        <w:t>Wesby</w:t>
      </w:r>
      <w:r w:rsidR="00227C94">
        <w:t xml:space="preserve">, </w:t>
      </w:r>
      <w:r w:rsidR="00227C94" w:rsidRPr="002C25C5">
        <w:rPr>
          <w:i/>
          <w:iCs/>
        </w:rPr>
        <w:t>supra</w:t>
      </w:r>
      <w:r w:rsidR="00227C94">
        <w:t xml:space="preserve">, </w:t>
      </w:r>
      <w:r>
        <w:t xml:space="preserve">583 U.S. </w:t>
      </w:r>
      <w:r w:rsidR="00227C94">
        <w:t xml:space="preserve">at p. </w:t>
      </w:r>
      <w:r>
        <w:t xml:space="preserve">59, quoting </w:t>
      </w:r>
      <w:r w:rsidRPr="00767F68">
        <w:rPr>
          <w:i/>
          <w:iCs/>
        </w:rPr>
        <w:t>Wardlow</w:t>
      </w:r>
      <w:r>
        <w:t>, at pp. 12</w:t>
      </w:r>
      <w:r w:rsidR="002865F3">
        <w:t>4</w:t>
      </w:r>
      <w:r>
        <w:t>–</w:t>
      </w:r>
      <w:r w:rsidRPr="0024353E">
        <w:t xml:space="preserve">125 &amp; </w:t>
      </w:r>
      <w:r w:rsidRPr="0024353E">
        <w:rPr>
          <w:i/>
          <w:iCs/>
        </w:rPr>
        <w:t>Sibron v. New York</w:t>
      </w:r>
      <w:r w:rsidRPr="0024353E">
        <w:t xml:space="preserve"> (1968) 392 U.S. 40, 66</w:t>
      </w:r>
      <w:r w:rsidR="002215A2">
        <w:t>;</w:t>
      </w:r>
      <w:r w:rsidR="00570E2A">
        <w:t xml:space="preserve"> accord, </w:t>
      </w:r>
      <w:r w:rsidR="00B42731" w:rsidRPr="0024353E">
        <w:rPr>
          <w:i/>
          <w:iCs/>
        </w:rPr>
        <w:t>Souza</w:t>
      </w:r>
      <w:r w:rsidR="00B42731" w:rsidRPr="0024353E">
        <w:t xml:space="preserve">, </w:t>
      </w:r>
      <w:r w:rsidR="00B42731" w:rsidRPr="0024353E">
        <w:rPr>
          <w:i/>
          <w:iCs/>
        </w:rPr>
        <w:t>supra</w:t>
      </w:r>
      <w:r w:rsidR="00B42731" w:rsidRPr="0024353E">
        <w:t>, 9 Cal.4th at pp. 234–235</w:t>
      </w:r>
      <w:r w:rsidRPr="0024353E">
        <w:t xml:space="preserve">.)  </w:t>
      </w:r>
    </w:p>
    <w:p w14:paraId="7BBD7ECB" w14:textId="77777777" w:rsidR="00AB3807" w:rsidRDefault="00000000" w:rsidP="00380BBF">
      <w:pPr>
        <w:tabs>
          <w:tab w:val="left" w:pos="1440"/>
        </w:tabs>
        <w:ind w:firstLine="720"/>
      </w:pPr>
      <w:r>
        <w:t xml:space="preserve">Flores’s </w:t>
      </w:r>
      <w:r w:rsidR="00CD6D8D">
        <w:t>disinclination to engage with the officers</w:t>
      </w:r>
      <w:r>
        <w:t xml:space="preserve"> </w:t>
      </w:r>
      <w:r w:rsidR="008906A0">
        <w:t xml:space="preserve">does not carry the same salience </w:t>
      </w:r>
      <w:r w:rsidR="001E417C">
        <w:t xml:space="preserve">as </w:t>
      </w:r>
      <w:r w:rsidR="00ED3EAC">
        <w:t>headlong flight</w:t>
      </w:r>
      <w:r w:rsidR="00CD446E">
        <w:t xml:space="preserve"> in the totality </w:t>
      </w:r>
      <w:r w:rsidR="00410D35">
        <w:t>of</w:t>
      </w:r>
      <w:r w:rsidR="00CD446E">
        <w:t xml:space="preserve"> the circumstances analysis</w:t>
      </w:r>
      <w:r w:rsidR="00ED3EAC">
        <w:t>.</w:t>
      </w:r>
      <w:r w:rsidR="001E417C">
        <w:t xml:space="preserve">  </w:t>
      </w:r>
      <w:r w:rsidR="008906A0">
        <w:t>His act</w:t>
      </w:r>
      <w:r w:rsidR="000A17F3">
        <w:t>s</w:t>
      </w:r>
      <w:r w:rsidR="008906A0">
        <w:t xml:space="preserve"> of ducking out of sight</w:t>
      </w:r>
      <w:r w:rsidR="000A17F3">
        <w:t>,</w:t>
      </w:r>
      <w:r w:rsidR="008426A1">
        <w:t xml:space="preserve"> </w:t>
      </w:r>
      <w:r w:rsidR="000A17F3">
        <w:t>bending with his hands by his shoe, and not acknowledging the officers’ presence</w:t>
      </w:r>
      <w:r w:rsidR="00306583">
        <w:t>,</w:t>
      </w:r>
      <w:r w:rsidR="000A17F3">
        <w:t xml:space="preserve"> </w:t>
      </w:r>
      <w:r w:rsidR="008906A0">
        <w:t>suggest an unwillingness to be observed</w:t>
      </w:r>
      <w:r w:rsidR="007E2A77">
        <w:t xml:space="preserve"> or </w:t>
      </w:r>
      <w:r w:rsidR="007E2A77">
        <w:lastRenderedPageBreak/>
        <w:t>interact</w:t>
      </w:r>
      <w:r w:rsidR="008906A0">
        <w:t xml:space="preserve">.  But </w:t>
      </w:r>
      <w:r w:rsidR="004A7761">
        <w:t>they are</w:t>
      </w:r>
      <w:r w:rsidR="008906A0">
        <w:t xml:space="preserve"> not the “consummate act of evasion.”  (</w:t>
      </w:r>
      <w:r w:rsidR="008906A0" w:rsidRPr="002C25C5">
        <w:rPr>
          <w:i/>
          <w:iCs/>
        </w:rPr>
        <w:t>Wardlow</w:t>
      </w:r>
      <w:r w:rsidR="008906A0">
        <w:t xml:space="preserve">, </w:t>
      </w:r>
      <w:r w:rsidR="008906A0" w:rsidRPr="002C25C5">
        <w:rPr>
          <w:i/>
          <w:iCs/>
        </w:rPr>
        <w:t>supra</w:t>
      </w:r>
      <w:r w:rsidR="008906A0">
        <w:t>, 528 U.S. at p. 12</w:t>
      </w:r>
      <w:r w:rsidR="00E22C42">
        <w:t>4</w:t>
      </w:r>
      <w:r w:rsidR="008906A0">
        <w:t xml:space="preserve">.)  </w:t>
      </w:r>
      <w:r w:rsidR="00C9743D">
        <w:t>T</w:t>
      </w:r>
      <w:r w:rsidR="00906F5D">
        <w:t xml:space="preserve">he officers certainly could have continued to observe Flores as he stood on the public street.  But </w:t>
      </w:r>
      <w:r w:rsidR="009A2105">
        <w:t xml:space="preserve">the behavior here, while noteworthy, </w:t>
      </w:r>
      <w:r w:rsidR="00C21A64">
        <w:t>does not</w:t>
      </w:r>
      <w:r w:rsidR="00906F5D">
        <w:t xml:space="preserve"> support a reasonable suspicion that he was engaged in </w:t>
      </w:r>
      <w:r w:rsidR="00906F5D">
        <w:rPr>
          <w:i/>
          <w:iCs/>
        </w:rPr>
        <w:t xml:space="preserve">illegal </w:t>
      </w:r>
      <w:r w:rsidR="00906F5D">
        <w:t xml:space="preserve">activity.  </w:t>
      </w:r>
      <w:r w:rsidR="0035063B">
        <w:t xml:space="preserve">In short, </w:t>
      </w:r>
      <w:r w:rsidR="00781EF2">
        <w:t>O</w:t>
      </w:r>
      <w:r w:rsidR="0035063B">
        <w:t>fficer Guy failed to articulate “more than an ‘inchoate and unparticularized suspicion or “hunch” ’ of criminal activity</w:t>
      </w:r>
      <w:r w:rsidR="00E22C42">
        <w:t>.</w:t>
      </w:r>
      <w:r w:rsidR="0035063B">
        <w:t>”  (</w:t>
      </w:r>
      <w:r w:rsidR="0035063B" w:rsidRPr="00804299">
        <w:rPr>
          <w:i/>
          <w:iCs/>
        </w:rPr>
        <w:t>Wardlow</w:t>
      </w:r>
      <w:r w:rsidR="0035063B">
        <w:t xml:space="preserve">, at p. 124, quoting </w:t>
      </w:r>
      <w:r w:rsidR="0035063B" w:rsidRPr="00804299">
        <w:rPr>
          <w:i/>
          <w:iCs/>
        </w:rPr>
        <w:t>Terry</w:t>
      </w:r>
      <w:r w:rsidR="0035063B">
        <w:t xml:space="preserve">, </w:t>
      </w:r>
      <w:r w:rsidR="0035063B" w:rsidRPr="00804299">
        <w:rPr>
          <w:i/>
          <w:iCs/>
        </w:rPr>
        <w:t>supra</w:t>
      </w:r>
      <w:r w:rsidR="0035063B">
        <w:t>, 392 U.S. at p. 27.)</w:t>
      </w:r>
    </w:p>
    <w:p w14:paraId="7BBD7ECC" w14:textId="77777777" w:rsidR="00CD6D8D" w:rsidRPr="006D6E8A" w:rsidRDefault="00000000" w:rsidP="00E667C9">
      <w:pPr>
        <w:tabs>
          <w:tab w:val="left" w:pos="1440"/>
        </w:tabs>
        <w:ind w:firstLine="720"/>
      </w:pPr>
      <w:r w:rsidRPr="00704780">
        <w:t>In his answer to the amici briefs, the Attorney General relies on</w:t>
      </w:r>
      <w:r w:rsidR="00F23A33">
        <w:t xml:space="preserve"> </w:t>
      </w:r>
      <w:r w:rsidRPr="00704780">
        <w:t xml:space="preserve">the statute </w:t>
      </w:r>
      <w:r w:rsidR="00744AF8">
        <w:t xml:space="preserve">that </w:t>
      </w:r>
      <w:r w:rsidRPr="00704780">
        <w:t>prohibit</w:t>
      </w:r>
      <w:r w:rsidR="00744AF8">
        <w:t xml:space="preserve">s </w:t>
      </w:r>
      <w:r w:rsidRPr="00704780">
        <w:t xml:space="preserve">loitering for the purpose of engaging in </w:t>
      </w:r>
      <w:r w:rsidR="003E6966">
        <w:t>certain drug</w:t>
      </w:r>
      <w:r w:rsidR="005F4173">
        <w:t xml:space="preserve"> </w:t>
      </w:r>
      <w:r w:rsidR="001F637B">
        <w:t>related</w:t>
      </w:r>
      <w:r w:rsidR="003E6966">
        <w:t xml:space="preserve"> offenses</w:t>
      </w:r>
      <w:r w:rsidRPr="00704780">
        <w:t xml:space="preserve"> to justify the detention.</w:t>
      </w:r>
      <w:r w:rsidR="006609ED">
        <w:t xml:space="preserve">  (See fn. 2, </w:t>
      </w:r>
      <w:r w:rsidR="006609ED" w:rsidRPr="00EB12AE">
        <w:rPr>
          <w:i/>
          <w:iCs/>
        </w:rPr>
        <w:t>ante</w:t>
      </w:r>
      <w:r w:rsidR="006609ED">
        <w:t xml:space="preserve">.)  </w:t>
      </w:r>
      <w:r w:rsidRPr="00704780">
        <w:t xml:space="preserve">Health and Safety Code section 11532 provides that a person’s attempt to “to conceal himself or herself or any object that reasonably could be involved in an unlawful drug-related activity” is a relevant circumstance in determining whether a person is loitering </w:t>
      </w:r>
      <w:r w:rsidR="00F24449">
        <w:t xml:space="preserve">with the requisite criminal intent, and further </w:t>
      </w:r>
      <w:r w:rsidRPr="00704780">
        <w:t xml:space="preserve">provides that the relevant circumstances listed in the statute “should be considered particularly salient if they occur in an area </w:t>
      </w:r>
      <w:r w:rsidR="00C93694">
        <w:t xml:space="preserve">that is </w:t>
      </w:r>
      <w:r w:rsidRPr="00704780">
        <w:t xml:space="preserve">known for unlawful drug </w:t>
      </w:r>
      <w:r w:rsidR="00722B47">
        <w:t>use</w:t>
      </w:r>
      <w:r w:rsidR="009A67B9">
        <w:t xml:space="preserve"> and </w:t>
      </w:r>
      <w:r w:rsidRPr="00704780">
        <w:t>trafficking</w:t>
      </w:r>
      <w:r w:rsidR="00677AA1">
        <w:t xml:space="preserve"> </w:t>
      </w:r>
      <w:r w:rsidRPr="00704780">
        <w:t>.</w:t>
      </w:r>
      <w:r w:rsidR="00677AA1">
        <w:t> . . .</w:t>
      </w:r>
      <w:r w:rsidRPr="00704780">
        <w:t>”  (</w:t>
      </w:r>
      <w:r w:rsidR="00392206" w:rsidRPr="00EB12AE">
        <w:rPr>
          <w:i/>
          <w:iCs/>
        </w:rPr>
        <w:t>Id</w:t>
      </w:r>
      <w:r w:rsidR="00392206">
        <w:t xml:space="preserve">., </w:t>
      </w:r>
      <w:r w:rsidRPr="00704780">
        <w:t>subds. (b)</w:t>
      </w:r>
      <w:r w:rsidR="009A67B9">
        <w:t>(3)</w:t>
      </w:r>
      <w:r w:rsidR="00FD68AE">
        <w:t xml:space="preserve">, </w:t>
      </w:r>
      <w:r w:rsidRPr="00704780">
        <w:t xml:space="preserve">(c).)  However, this pronouncement cannot supplant the standard of reasonable suspicion mandated by the Fourth Amendment.  In order to detain a citizen on suspicion of loitering, or of criminal activity more generally, officers must have “the level of suspicion sufficient to justify a </w:t>
      </w:r>
      <w:r w:rsidRPr="00EB12AE">
        <w:rPr>
          <w:i/>
          <w:iCs/>
        </w:rPr>
        <w:t>Terry</w:t>
      </w:r>
      <w:r w:rsidRPr="00704780">
        <w:t xml:space="preserve"> stop .</w:t>
      </w:r>
      <w:r w:rsidR="00E667C9">
        <w:t> </w:t>
      </w:r>
      <w:r w:rsidRPr="00704780">
        <w:t>.</w:t>
      </w:r>
      <w:r w:rsidR="00E667C9">
        <w:t> </w:t>
      </w:r>
      <w:r w:rsidRPr="00704780">
        <w:t>.</w:t>
      </w:r>
      <w:r w:rsidR="00E667C9">
        <w:t> </w:t>
      </w:r>
      <w:r w:rsidRPr="00704780">
        <w:t>.”  (</w:t>
      </w:r>
      <w:r w:rsidRPr="00EB12AE">
        <w:rPr>
          <w:i/>
          <w:iCs/>
        </w:rPr>
        <w:t>Kolender v. Lawson</w:t>
      </w:r>
      <w:r w:rsidRPr="00704780">
        <w:t xml:space="preserve"> (1983) 461 U.S. 352, 360 [discussing Pen. Code, former § 647, subd. (e)]; see also </w:t>
      </w:r>
      <w:r w:rsidRPr="00EB12AE">
        <w:rPr>
          <w:i/>
          <w:iCs/>
        </w:rPr>
        <w:t>id</w:t>
      </w:r>
      <w:r w:rsidRPr="00704780">
        <w:t>. at p. 353.)</w:t>
      </w:r>
      <w:r w:rsidR="0035063B" w:rsidRPr="006D6E8A">
        <w:t xml:space="preserve"> </w:t>
      </w:r>
      <w:r w:rsidR="00B115D5">
        <w:t xml:space="preserve"> </w:t>
      </w:r>
    </w:p>
    <w:p w14:paraId="7BBD7ECD" w14:textId="77777777" w:rsidR="00CF5D7B" w:rsidRPr="006D6E8A" w:rsidRDefault="00000000" w:rsidP="006D6E8A">
      <w:pPr>
        <w:tabs>
          <w:tab w:val="left" w:pos="1440"/>
        </w:tabs>
        <w:ind w:firstLine="720"/>
      </w:pPr>
      <w:r>
        <w:t xml:space="preserve">The facts here contrast with other cases in which we have upheld investigative detentions.  </w:t>
      </w:r>
      <w:r w:rsidR="00801BFC" w:rsidRPr="006D6E8A">
        <w:t xml:space="preserve">In </w:t>
      </w:r>
      <w:r w:rsidR="00801BFC" w:rsidRPr="006D6E8A">
        <w:rPr>
          <w:i/>
          <w:iCs/>
        </w:rPr>
        <w:t>Souza</w:t>
      </w:r>
      <w:r w:rsidR="00801BFC" w:rsidRPr="006D6E8A">
        <w:t xml:space="preserve">, </w:t>
      </w:r>
      <w:r w:rsidR="00801BFC" w:rsidRPr="006D6E8A">
        <w:rPr>
          <w:i/>
          <w:iCs/>
        </w:rPr>
        <w:t>supra</w:t>
      </w:r>
      <w:r w:rsidR="00801BFC" w:rsidRPr="006D6E8A">
        <w:t xml:space="preserve">, 9 Cal.4th 224, </w:t>
      </w:r>
      <w:r w:rsidR="00DD135B" w:rsidRPr="006D6E8A">
        <w:t>an officer was patrolling at 3</w:t>
      </w:r>
      <w:r w:rsidR="00410BCB" w:rsidRPr="006D6E8A">
        <w:t>:00</w:t>
      </w:r>
      <w:r w:rsidR="00DD135B" w:rsidRPr="006D6E8A">
        <w:t xml:space="preserve"> a.m. in a residential </w:t>
      </w:r>
      <w:r w:rsidR="00DD135B" w:rsidRPr="006D6E8A">
        <w:lastRenderedPageBreak/>
        <w:t xml:space="preserve">neighborhood </w:t>
      </w:r>
      <w:r w:rsidR="00485B87">
        <w:t xml:space="preserve">where </w:t>
      </w:r>
      <w:r w:rsidR="00DD135B" w:rsidRPr="006D6E8A">
        <w:t>burglar</w:t>
      </w:r>
      <w:r w:rsidR="00485B87">
        <w:t>ies</w:t>
      </w:r>
      <w:r w:rsidR="00DD135B" w:rsidRPr="006D6E8A">
        <w:t xml:space="preserve"> and drug activit</w:t>
      </w:r>
      <w:r w:rsidR="00485B87">
        <w:t>y were common</w:t>
      </w:r>
      <w:r w:rsidR="00DD135B" w:rsidRPr="006D6E8A">
        <w:t xml:space="preserve">.  He noticed </w:t>
      </w:r>
      <w:r w:rsidR="00855FAC" w:rsidRPr="006D6E8A">
        <w:t xml:space="preserve">Souza and another person </w:t>
      </w:r>
      <w:r w:rsidR="00DD135B" w:rsidRPr="006D6E8A">
        <w:t>standing near a car parked at the curb, in</w:t>
      </w:r>
      <w:r w:rsidR="00855FAC" w:rsidRPr="006D6E8A">
        <w:t xml:space="preserve"> almost</w:t>
      </w:r>
      <w:r w:rsidR="00DD135B" w:rsidRPr="006D6E8A">
        <w:t xml:space="preserve"> complete darkness.  The officer pulled up behind the parked car and activated his spotlight.  Immediately, two </w:t>
      </w:r>
      <w:r w:rsidR="00855FAC" w:rsidRPr="006D6E8A">
        <w:t xml:space="preserve">other </w:t>
      </w:r>
      <w:r w:rsidR="00DD135B" w:rsidRPr="006D6E8A">
        <w:t xml:space="preserve">people in the car bent down towards the floorboard area, </w:t>
      </w:r>
      <w:r w:rsidR="00855FAC" w:rsidRPr="006D6E8A">
        <w:t xml:space="preserve">whereupon Souza ran away.  He </w:t>
      </w:r>
      <w:r w:rsidR="00DD135B" w:rsidRPr="006D6E8A">
        <w:t xml:space="preserve">was </w:t>
      </w:r>
      <w:r w:rsidR="00855FAC" w:rsidRPr="006D6E8A">
        <w:t>apprehended</w:t>
      </w:r>
      <w:r w:rsidR="00DD135B" w:rsidRPr="006D6E8A">
        <w:t xml:space="preserve"> and searched, revealing contraband.  (</w:t>
      </w:r>
      <w:r w:rsidR="00DD135B" w:rsidRPr="006D6E8A">
        <w:rPr>
          <w:i/>
          <w:iCs/>
        </w:rPr>
        <w:t>Id</w:t>
      </w:r>
      <w:r w:rsidR="00DD135B" w:rsidRPr="006D6E8A">
        <w:t>. at p. 228.)  We held that the totality of these circumstances justified the detention:  “From these circumstances</w:t>
      </w:r>
      <w:r w:rsidR="004516BF">
        <w:t> </w:t>
      </w:r>
      <w:r w:rsidR="00DD135B" w:rsidRPr="006D6E8A">
        <w:t>—</w:t>
      </w:r>
      <w:r w:rsidR="00410BCB" w:rsidRPr="006D6E8A">
        <w:t xml:space="preserve"> </w:t>
      </w:r>
      <w:r w:rsidR="00DD135B" w:rsidRPr="006D6E8A">
        <w:t>the area’s reputation for criminal activity, the presence of two people near a parked car very late at night and in total darkness, and evasive conduct not only by defendant but by the two occupants of the parked car</w:t>
      </w:r>
      <w:r w:rsidR="004516BF">
        <w:t> </w:t>
      </w:r>
      <w:r w:rsidR="00DD135B" w:rsidRPr="006D6E8A">
        <w:t>—</w:t>
      </w:r>
      <w:r w:rsidR="00410BCB" w:rsidRPr="006D6E8A">
        <w:t xml:space="preserve"> </w:t>
      </w:r>
      <w:r w:rsidR="00DD135B" w:rsidRPr="006D6E8A">
        <w:t>Officer Stackhouse reasonably suspected that criminal activity was afoot.”  (</w:t>
      </w:r>
      <w:r w:rsidR="00DD135B" w:rsidRPr="006D6E8A">
        <w:rPr>
          <w:i/>
          <w:iCs/>
        </w:rPr>
        <w:t>Id</w:t>
      </w:r>
      <w:r w:rsidR="00DD135B" w:rsidRPr="006D6E8A">
        <w:t>. at p. 240.)</w:t>
      </w:r>
    </w:p>
    <w:p w14:paraId="7BBD7ECE" w14:textId="77777777" w:rsidR="004019F4" w:rsidRPr="006D6E8A" w:rsidRDefault="00000000" w:rsidP="006D6E8A">
      <w:pPr>
        <w:tabs>
          <w:tab w:val="left" w:pos="1440"/>
        </w:tabs>
        <w:ind w:firstLine="720"/>
      </w:pPr>
      <w:r w:rsidRPr="006D6E8A">
        <w:t xml:space="preserve">In </w:t>
      </w:r>
      <w:r w:rsidRPr="006D6E8A">
        <w:rPr>
          <w:i/>
          <w:iCs/>
        </w:rPr>
        <w:t>People v. Brown</w:t>
      </w:r>
      <w:r w:rsidRPr="006D6E8A">
        <w:t xml:space="preserve"> (</w:t>
      </w:r>
      <w:r w:rsidR="00915FB4" w:rsidRPr="006D6E8A">
        <w:t>2015) 61 Cal.4th 968</w:t>
      </w:r>
      <w:r w:rsidR="000641B5">
        <w:t xml:space="preserve"> (</w:t>
      </w:r>
      <w:r w:rsidR="000641B5" w:rsidRPr="000641B5">
        <w:rPr>
          <w:i/>
          <w:iCs/>
        </w:rPr>
        <w:t>Brown</w:t>
      </w:r>
      <w:r w:rsidR="000641B5">
        <w:t>)</w:t>
      </w:r>
      <w:r w:rsidRPr="006D6E8A">
        <w:t xml:space="preserve"> “a citizen living in a residential neighborhood made an emergency call seeking police assistance because a fight was happening in an alley behind the citizen’s home.  The caller gave a specific address .</w:t>
      </w:r>
      <w:r w:rsidR="00ED3E79">
        <w:t> </w:t>
      </w:r>
      <w:r w:rsidRPr="006D6E8A">
        <w:t>.</w:t>
      </w:r>
      <w:r w:rsidR="00ED3E79">
        <w:t> </w:t>
      </w:r>
      <w:r w:rsidRPr="006D6E8A">
        <w:t>. [and] heard screaming and a reference to a loaded gun.  The dispatcher heard screaming as well</w:t>
      </w:r>
      <w:r w:rsidR="00C239C1">
        <w:t xml:space="preserve"> </w:t>
      </w:r>
      <w:r w:rsidRPr="006D6E8A">
        <w:t>.</w:t>
      </w:r>
      <w:r w:rsidR="00C239C1">
        <w:t> </w:t>
      </w:r>
      <w:r w:rsidRPr="006D6E8A">
        <w:t>.</w:t>
      </w:r>
      <w:r w:rsidR="00C239C1">
        <w:t> </w:t>
      </w:r>
      <w:r w:rsidRPr="006D6E8A">
        <w:t>.</w:t>
      </w:r>
      <w:r w:rsidR="00C239C1">
        <w:t> </w:t>
      </w:r>
      <w:r w:rsidRPr="006D6E8A">
        <w:t>. [¶]  Within three minutes of dispatch [a deputy sheriff] arrived with lights and siren activated.  Brown, the only person in the alley, was driving a car away from the reported location of the fight.  It was after 10:30 p.m.”  (</w:t>
      </w:r>
      <w:r w:rsidRPr="006D6E8A">
        <w:rPr>
          <w:i/>
          <w:iCs/>
        </w:rPr>
        <w:t>Id</w:t>
      </w:r>
      <w:r w:rsidRPr="006D6E8A">
        <w:t>. at p. 986.)  The deputy yelled to Brown, “</w:t>
      </w:r>
      <w:r w:rsidR="00410BCB" w:rsidRPr="006D6E8A">
        <w:t> </w:t>
      </w:r>
      <w:r w:rsidRPr="006D6E8A">
        <w:t>‘Hey.  Did you see a fight?’  Brown did not respond and kept driving.”  (</w:t>
      </w:r>
      <w:r w:rsidRPr="006D6E8A">
        <w:rPr>
          <w:i/>
          <w:iCs/>
        </w:rPr>
        <w:t>Id</w:t>
      </w:r>
      <w:r w:rsidRPr="006D6E8A">
        <w:t xml:space="preserve">. at p. 973.)  “Brown left the alley but drove back toward the scene on the main street” </w:t>
      </w:r>
      <w:r w:rsidR="005624C3" w:rsidRPr="006D6E8A">
        <w:t>(</w:t>
      </w:r>
      <w:r w:rsidR="005624C3" w:rsidRPr="006D6E8A">
        <w:rPr>
          <w:i/>
          <w:iCs/>
        </w:rPr>
        <w:t>id</w:t>
      </w:r>
      <w:r w:rsidR="005624C3" w:rsidRPr="006D6E8A">
        <w:t xml:space="preserve">. at p. 986) </w:t>
      </w:r>
      <w:r w:rsidRPr="006D6E8A">
        <w:t>and parked a few houses down from the house</w:t>
      </w:r>
      <w:r w:rsidR="005624C3" w:rsidRPr="006D6E8A">
        <w:t xml:space="preserve"> behind which the fight had occurred </w:t>
      </w:r>
      <w:r w:rsidRPr="006D6E8A">
        <w:t>(</w:t>
      </w:r>
      <w:r w:rsidR="00331668">
        <w:rPr>
          <w:i/>
          <w:iCs/>
        </w:rPr>
        <w:t>i</w:t>
      </w:r>
      <w:r w:rsidRPr="006D6E8A">
        <w:rPr>
          <w:i/>
          <w:iCs/>
        </w:rPr>
        <w:t>d</w:t>
      </w:r>
      <w:r w:rsidRPr="006D6E8A">
        <w:t xml:space="preserve">. at p. </w:t>
      </w:r>
      <w:r w:rsidR="005624C3" w:rsidRPr="006D6E8A">
        <w:t>973</w:t>
      </w:r>
      <w:r w:rsidRPr="006D6E8A">
        <w:t>)</w:t>
      </w:r>
      <w:r w:rsidR="00331668">
        <w:t>.</w:t>
      </w:r>
      <w:r w:rsidRPr="006D6E8A">
        <w:t xml:space="preserve">  We concluded under these circumstances that “it was reasonable for [the deputy] to suspect the sole occupant of the alley may have been involved in the fight </w:t>
      </w:r>
      <w:r w:rsidRPr="006D6E8A">
        <w:lastRenderedPageBreak/>
        <w:t>and to effectuate a brief and minimally intrusive detention, which immediately yielded observations</w:t>
      </w:r>
      <w:r w:rsidR="005624C3" w:rsidRPr="006D6E8A">
        <w:t xml:space="preserve"> of criminal activity.</w:t>
      </w:r>
      <w:r w:rsidRPr="006D6E8A">
        <w:t>”</w:t>
      </w:r>
      <w:r w:rsidR="005624C3" w:rsidRPr="006D6E8A">
        <w:t xml:space="preserve">  (</w:t>
      </w:r>
      <w:r w:rsidR="005624C3" w:rsidRPr="006D6E8A">
        <w:rPr>
          <w:i/>
          <w:iCs/>
        </w:rPr>
        <w:t>Id</w:t>
      </w:r>
      <w:r w:rsidR="005624C3" w:rsidRPr="006D6E8A">
        <w:t xml:space="preserve">. at p. 987.)  </w:t>
      </w:r>
    </w:p>
    <w:p w14:paraId="7BBD7ECF" w14:textId="77777777" w:rsidR="001B1B45" w:rsidRDefault="00000000" w:rsidP="0035063B">
      <w:pPr>
        <w:tabs>
          <w:tab w:val="left" w:pos="1440"/>
        </w:tabs>
        <w:ind w:firstLine="720"/>
      </w:pPr>
      <w:r>
        <w:t xml:space="preserve">Here, </w:t>
      </w:r>
      <w:r w:rsidR="00855FAC" w:rsidRPr="000E0FD1">
        <w:t xml:space="preserve">unlike </w:t>
      </w:r>
      <w:r w:rsidR="000B2C61" w:rsidRPr="000E0FD1">
        <w:rPr>
          <w:i/>
          <w:iCs/>
        </w:rPr>
        <w:t>Wardlow</w:t>
      </w:r>
      <w:r w:rsidR="000B2C61" w:rsidRPr="006D6E8A">
        <w:t xml:space="preserve"> and </w:t>
      </w:r>
      <w:r w:rsidR="000B2C61" w:rsidRPr="006D6E8A">
        <w:rPr>
          <w:i/>
          <w:iCs/>
        </w:rPr>
        <w:t>Souza</w:t>
      </w:r>
      <w:r w:rsidR="000B2C61" w:rsidRPr="006D6E8A">
        <w:t xml:space="preserve">, there was no headlong flight.  The other factors discussed by </w:t>
      </w:r>
      <w:r w:rsidR="003E4BA4" w:rsidRPr="006D6E8A">
        <w:rPr>
          <w:i/>
          <w:iCs/>
        </w:rPr>
        <w:t>Souza</w:t>
      </w:r>
      <w:r w:rsidR="004516BF">
        <w:rPr>
          <w:i/>
          <w:iCs/>
        </w:rPr>
        <w:t> </w:t>
      </w:r>
      <w:r w:rsidR="003E4BA4" w:rsidRPr="006D6E8A">
        <w:t>—</w:t>
      </w:r>
      <w:r w:rsidR="00410BCB" w:rsidRPr="006D6E8A">
        <w:t xml:space="preserve"> </w:t>
      </w:r>
      <w:r w:rsidR="003E4BA4" w:rsidRPr="006D6E8A">
        <w:t>early morning hour</w:t>
      </w:r>
      <w:r w:rsidR="000B2C61" w:rsidRPr="006D6E8A">
        <w:t xml:space="preserve"> and </w:t>
      </w:r>
      <w:r w:rsidR="003E4BA4" w:rsidRPr="006D6E8A">
        <w:t>multiple persons all engaged in evasive conduct</w:t>
      </w:r>
      <w:r w:rsidR="004516BF">
        <w:t> </w:t>
      </w:r>
      <w:r w:rsidR="003E4BA4" w:rsidRPr="006D6E8A">
        <w:t>—</w:t>
      </w:r>
      <w:r w:rsidR="00410BCB" w:rsidRPr="006D6E8A">
        <w:t xml:space="preserve"> </w:t>
      </w:r>
      <w:r w:rsidR="006848AA" w:rsidRPr="006D6E8A">
        <w:t xml:space="preserve">were </w:t>
      </w:r>
      <w:r w:rsidR="000B2C61" w:rsidRPr="006D6E8A">
        <w:t xml:space="preserve">likewise </w:t>
      </w:r>
      <w:r w:rsidR="006848AA" w:rsidRPr="006D6E8A">
        <w:t>absent</w:t>
      </w:r>
      <w:r w:rsidR="003E4BA4" w:rsidRPr="006D6E8A">
        <w:t>.</w:t>
      </w:r>
      <w:r w:rsidR="000B2C61" w:rsidRPr="006D6E8A">
        <w:t xml:space="preserve">  </w:t>
      </w:r>
      <w:r w:rsidR="005624C3" w:rsidRPr="006D6E8A">
        <w:t xml:space="preserve">And, unlike </w:t>
      </w:r>
      <w:r w:rsidR="005624C3" w:rsidRPr="006D6E8A">
        <w:rPr>
          <w:i/>
          <w:iCs/>
        </w:rPr>
        <w:t>Brown</w:t>
      </w:r>
      <w:r w:rsidR="005624C3" w:rsidRPr="006D6E8A">
        <w:t>, there was no contemporary</w:t>
      </w:r>
      <w:r w:rsidR="00855FAC" w:rsidRPr="006D6E8A">
        <w:t xml:space="preserve"> citizen request for assistance due to </w:t>
      </w:r>
      <w:r w:rsidR="005624C3" w:rsidRPr="006D6E8A">
        <w:t xml:space="preserve">criminal activity in the location where Flores was </w:t>
      </w:r>
      <w:r w:rsidR="00855FAC" w:rsidRPr="006D6E8A">
        <w:t>seen</w:t>
      </w:r>
      <w:r w:rsidR="005624C3" w:rsidRPr="006D6E8A">
        <w:t>.</w:t>
      </w:r>
      <w:r w:rsidR="0035063B">
        <w:t xml:space="preserve">  The circumstances here, viewed in totality, are insufficient </w:t>
      </w:r>
      <w:r w:rsidR="0035063B" w:rsidRPr="006D6E8A">
        <w:t xml:space="preserve">to provide reasonable suspicion that </w:t>
      </w:r>
      <w:r w:rsidR="0035063B">
        <w:t>Flores</w:t>
      </w:r>
      <w:r w:rsidR="0035063B" w:rsidRPr="006D6E8A">
        <w:t xml:space="preserve"> was engaged in criminal activity.</w:t>
      </w:r>
      <w:r w:rsidR="0035063B">
        <w:t xml:space="preserve">  </w:t>
      </w:r>
    </w:p>
    <w:p w14:paraId="7BBD7ED0" w14:textId="77777777" w:rsidR="00AA0BFE" w:rsidRDefault="00000000" w:rsidP="00E10386">
      <w:pPr>
        <w:tabs>
          <w:tab w:val="left" w:pos="1440"/>
        </w:tabs>
        <w:ind w:firstLine="720"/>
      </w:pPr>
      <w:r>
        <w:t xml:space="preserve">Our conclusion does not leave officers without the means to </w:t>
      </w:r>
      <w:r w:rsidR="005F58EB">
        <w:t>follow up on</w:t>
      </w:r>
      <w:r>
        <w:t xml:space="preserve"> behavior they view as </w:t>
      </w:r>
      <w:r w:rsidR="005F58EB">
        <w:t>calling for additional investigation</w:t>
      </w:r>
      <w:r>
        <w:t xml:space="preserve">.  </w:t>
      </w:r>
      <w:r w:rsidR="000B2C61" w:rsidRPr="006D6E8A">
        <w:t xml:space="preserve">Flores was present in a high crime area and </w:t>
      </w:r>
      <w:r w:rsidR="000A7759">
        <w:t xml:space="preserve">repeatedly tried </w:t>
      </w:r>
      <w:r w:rsidR="000B2C61" w:rsidRPr="006D6E8A">
        <w:t xml:space="preserve">to </w:t>
      </w:r>
      <w:r w:rsidR="006B2F86" w:rsidRPr="006D6E8A">
        <w:t>avoid be</w:t>
      </w:r>
      <w:r w:rsidR="00016A1A" w:rsidRPr="006D6E8A">
        <w:t>ing</w:t>
      </w:r>
      <w:r w:rsidR="006B2F86" w:rsidRPr="006D6E8A">
        <w:t xml:space="preserve"> seen by</w:t>
      </w:r>
      <w:r w:rsidR="001348DD" w:rsidRPr="006D6E8A">
        <w:t>,</w:t>
      </w:r>
      <w:r w:rsidR="006B2F86" w:rsidRPr="006D6E8A">
        <w:t xml:space="preserve"> or engaging with</w:t>
      </w:r>
      <w:r w:rsidR="001348DD" w:rsidRPr="006D6E8A">
        <w:t>,</w:t>
      </w:r>
      <w:r w:rsidR="006B2F86" w:rsidRPr="006D6E8A">
        <w:t xml:space="preserve"> the </w:t>
      </w:r>
      <w:r w:rsidR="000B2C61" w:rsidRPr="006D6E8A">
        <w:t>police.</w:t>
      </w:r>
      <w:r w:rsidR="001C03F5">
        <w:t xml:space="preserve">  Those facts are certainly noteworthy.  The officers would have been well within the bounds of the Fourth Amendment to </w:t>
      </w:r>
      <w:r w:rsidR="00313D31">
        <w:t xml:space="preserve">continue to watch Flores as he stood on the street, as did the detective in </w:t>
      </w:r>
      <w:r w:rsidR="00313D31" w:rsidRPr="00162C80">
        <w:rPr>
          <w:i/>
          <w:iCs/>
        </w:rPr>
        <w:t>Terry</w:t>
      </w:r>
      <w:r w:rsidR="00313D31">
        <w:t xml:space="preserve">.  They were entitled to </w:t>
      </w:r>
      <w:r w:rsidR="001C03F5">
        <w:t xml:space="preserve">approach Flores and engage him in </w:t>
      </w:r>
      <w:r w:rsidR="00797721">
        <w:t xml:space="preserve">consensual </w:t>
      </w:r>
      <w:r w:rsidR="001C03F5">
        <w:t xml:space="preserve">conversation.  </w:t>
      </w:r>
      <w:r w:rsidR="00797721">
        <w:t xml:space="preserve">They could have asked if he needed assistance, or had himself noted anything out of the ordinary in the vicinity.  </w:t>
      </w:r>
      <w:r w:rsidR="001C03F5">
        <w:t xml:space="preserve">If they made additional observations while doing so, those observations may have changed the calculus. </w:t>
      </w:r>
      <w:r w:rsidR="000B2C61" w:rsidRPr="006D6E8A">
        <w:t xml:space="preserve"> </w:t>
      </w:r>
      <w:r w:rsidR="001C03F5">
        <w:t xml:space="preserve">But Flores’s </w:t>
      </w:r>
      <w:bookmarkStart w:id="2" w:name="_Hlk161061930"/>
      <w:r w:rsidR="007F6433">
        <w:t xml:space="preserve">mere </w:t>
      </w:r>
      <w:r w:rsidR="005D4124">
        <w:t>refusal to cooperate “d</w:t>
      </w:r>
      <w:r w:rsidR="001C03F5">
        <w:t>[id]</w:t>
      </w:r>
      <w:r w:rsidR="005D4124">
        <w:t xml:space="preserve"> not furnish the minimal level of objective justification needed for a detention or seizure.”  (</w:t>
      </w:r>
      <w:r w:rsidR="005D4124" w:rsidRPr="002C25C5">
        <w:rPr>
          <w:i/>
          <w:iCs/>
        </w:rPr>
        <w:t>Bostick</w:t>
      </w:r>
      <w:r w:rsidR="005D4124">
        <w:t xml:space="preserve">, </w:t>
      </w:r>
      <w:r w:rsidR="005D4124" w:rsidRPr="002C25C5">
        <w:rPr>
          <w:i/>
          <w:iCs/>
        </w:rPr>
        <w:t>supra</w:t>
      </w:r>
      <w:r w:rsidR="005D4124">
        <w:t xml:space="preserve">, 501 U.S. at p. 437; accord, </w:t>
      </w:r>
      <w:r w:rsidR="005D4124" w:rsidRPr="002C25C5">
        <w:rPr>
          <w:i/>
          <w:iCs/>
        </w:rPr>
        <w:t>Wardlow</w:t>
      </w:r>
      <w:r w:rsidR="005D4124">
        <w:t xml:space="preserve">, </w:t>
      </w:r>
      <w:r w:rsidR="005D4124" w:rsidRPr="002C25C5">
        <w:rPr>
          <w:i/>
          <w:iCs/>
        </w:rPr>
        <w:t>supra</w:t>
      </w:r>
      <w:r w:rsidR="005D4124">
        <w:t xml:space="preserve">, 528 U.S. at p. 125; </w:t>
      </w:r>
      <w:r w:rsidR="005D4124" w:rsidRPr="002C25C5">
        <w:rPr>
          <w:i/>
          <w:iCs/>
        </w:rPr>
        <w:t>Royer</w:t>
      </w:r>
      <w:r w:rsidR="005D4124">
        <w:t xml:space="preserve">, </w:t>
      </w:r>
      <w:r w:rsidR="005D4124" w:rsidRPr="002C25C5">
        <w:rPr>
          <w:i/>
          <w:iCs/>
        </w:rPr>
        <w:t>supra</w:t>
      </w:r>
      <w:r w:rsidR="005D4124">
        <w:t>, 460 U.S. at p. 498 (plur</w:t>
      </w:r>
      <w:r w:rsidR="000C69EB">
        <w:t>.</w:t>
      </w:r>
      <w:r w:rsidR="005D4124">
        <w:t xml:space="preserve"> op</w:t>
      </w:r>
      <w:r w:rsidR="00331668">
        <w:t>n.</w:t>
      </w:r>
      <w:r w:rsidR="000C69EB">
        <w:t xml:space="preserve"> of White, J.</w:t>
      </w:r>
      <w:r w:rsidR="005D4124">
        <w:t>).)</w:t>
      </w:r>
      <w:bookmarkEnd w:id="2"/>
    </w:p>
    <w:p w14:paraId="7BBD7ED1" w14:textId="77777777" w:rsidR="00151981" w:rsidRPr="00016005" w:rsidRDefault="00000000" w:rsidP="00D76E24">
      <w:pPr>
        <w:tabs>
          <w:tab w:val="left" w:pos="1440"/>
        </w:tabs>
        <w:ind w:firstLine="720"/>
        <w:rPr>
          <w:color w:val="000000" w:themeColor="text1"/>
        </w:rPr>
      </w:pPr>
      <w:bookmarkStart w:id="3" w:name="_Hlk164681632"/>
      <w:r>
        <w:lastRenderedPageBreak/>
        <w:t>The concurring opinion</w:t>
      </w:r>
      <w:r w:rsidR="00003F12">
        <w:t xml:space="preserve"> </w:t>
      </w:r>
      <w:r w:rsidR="003E32AC">
        <w:t>emphasize</w:t>
      </w:r>
      <w:r w:rsidR="009018DD">
        <w:t>s</w:t>
      </w:r>
      <w:r w:rsidR="00003F12">
        <w:t xml:space="preserve"> “the danger in considering ‘nervous’ and ‘evasive’ behavior</w:t>
      </w:r>
      <w:r w:rsidR="006F5F1B">
        <w:t>,</w:t>
      </w:r>
      <w:r w:rsidR="00003F12">
        <w:t xml:space="preserve">” </w:t>
      </w:r>
      <w:r w:rsidR="00482647">
        <w:t>including</w:t>
      </w:r>
      <w:r w:rsidR="006F5F1B">
        <w:t xml:space="preserve"> “ignoring or walking, driving, or running away from officers,” </w:t>
      </w:r>
      <w:r w:rsidR="00003F12">
        <w:t xml:space="preserve">given the real world experience of minority communities with police </w:t>
      </w:r>
      <w:r w:rsidR="00E5483E">
        <w:t>violence and racial profiling</w:t>
      </w:r>
      <w:r w:rsidR="00E97907">
        <w:t>.</w:t>
      </w:r>
      <w:r w:rsidR="0029343D">
        <w:t xml:space="preserve">  </w:t>
      </w:r>
      <w:r w:rsidR="00003F12">
        <w:t xml:space="preserve">(Conc. opn. of Evans, J., </w:t>
      </w:r>
      <w:r w:rsidR="00003F12" w:rsidRPr="0062621D">
        <w:rPr>
          <w:i/>
          <w:iCs/>
        </w:rPr>
        <w:t>post</w:t>
      </w:r>
      <w:r w:rsidR="00003F12">
        <w:t>, at p</w:t>
      </w:r>
      <w:r w:rsidR="00EC40BC">
        <w:t>p. 1, 2.)</w:t>
      </w:r>
      <w:bookmarkEnd w:id="3"/>
      <w:r w:rsidR="00EC40BC">
        <w:t xml:space="preserve">  </w:t>
      </w:r>
      <w:r w:rsidR="00A61ECA">
        <w:t xml:space="preserve">Flores, </w:t>
      </w:r>
      <w:r w:rsidR="00AA0BFE">
        <w:t>Justice Stratton in dissent</w:t>
      </w:r>
      <w:r w:rsidR="009E0824">
        <w:t xml:space="preserve"> below</w:t>
      </w:r>
      <w:r w:rsidR="00AA0BFE">
        <w:t xml:space="preserve">, </w:t>
      </w:r>
      <w:r w:rsidR="00A61ECA">
        <w:t xml:space="preserve">and </w:t>
      </w:r>
      <w:r w:rsidR="00AA0BFE">
        <w:t>amici</w:t>
      </w:r>
      <w:r>
        <w:rPr>
          <w:rStyle w:val="FootnoteReference"/>
        </w:rPr>
        <w:footnoteReference w:id="4"/>
      </w:r>
      <w:r w:rsidR="00A61ECA">
        <w:t xml:space="preserve"> here,</w:t>
      </w:r>
      <w:r w:rsidR="00AA0BFE">
        <w:t xml:space="preserve"> </w:t>
      </w:r>
      <w:r w:rsidR="003E32AC">
        <w:t xml:space="preserve">likewise </w:t>
      </w:r>
      <w:r w:rsidR="00AA0BFE">
        <w:t xml:space="preserve">highlight the issues of race </w:t>
      </w:r>
      <w:r w:rsidR="00C355C3">
        <w:t xml:space="preserve">or ethnicity </w:t>
      </w:r>
      <w:r w:rsidR="00AA0BFE">
        <w:t xml:space="preserve">and policing.  </w:t>
      </w:r>
      <w:r w:rsidR="00EC1C19">
        <w:t xml:space="preserve">They build on the </w:t>
      </w:r>
      <w:r w:rsidR="00EF4B80">
        <w:t xml:space="preserve">important </w:t>
      </w:r>
      <w:r w:rsidR="00EC1C19">
        <w:t xml:space="preserve">concerns voiced in </w:t>
      </w:r>
      <w:r w:rsidR="00EC1C19" w:rsidRPr="00016005">
        <w:rPr>
          <w:i/>
          <w:iCs/>
        </w:rPr>
        <w:t>Terry</w:t>
      </w:r>
      <w:r w:rsidR="00EC1C19">
        <w:t xml:space="preserve"> and augment them with the lessons of more recent history.  </w:t>
      </w:r>
      <w:r w:rsidR="007A4B70" w:rsidRPr="00950544">
        <w:t>Consistent with these arguments, s</w:t>
      </w:r>
      <w:r w:rsidR="00AA0BFE" w:rsidRPr="00950544">
        <w:t>ome out</w:t>
      </w:r>
      <w:r w:rsidR="00270F03" w:rsidRPr="00950544">
        <w:t>-</w:t>
      </w:r>
      <w:r w:rsidR="00AA0BFE" w:rsidRPr="00950544">
        <w:t>of</w:t>
      </w:r>
      <w:r w:rsidR="00270F03" w:rsidRPr="00950544">
        <w:t>-</w:t>
      </w:r>
      <w:r w:rsidR="00AA0BFE" w:rsidRPr="00950544">
        <w:t xml:space="preserve">state authorities hold that a community’s or group’s experience with law enforcement is a significant factor of which officers must be mindful and courts should consider in evaluating the objective reasonableness of any asserted suspicion of criminality.  (See, e.g., </w:t>
      </w:r>
      <w:r w:rsidR="00AA0BFE" w:rsidRPr="00950544">
        <w:rPr>
          <w:i/>
          <w:iCs/>
        </w:rPr>
        <w:t>United States v. Brown</w:t>
      </w:r>
      <w:r w:rsidR="00AA0BFE" w:rsidRPr="00950544">
        <w:t xml:space="preserve"> (9th Cir. 2019) 925 F.3d 1150, 1156–1157; </w:t>
      </w:r>
      <w:r w:rsidR="006A4B71" w:rsidRPr="00400B70">
        <w:rPr>
          <w:i/>
          <w:iCs/>
          <w:szCs w:val="27"/>
        </w:rPr>
        <w:t>Commonwealth v. Warren</w:t>
      </w:r>
      <w:r w:rsidR="006A4B71" w:rsidRPr="00400B70">
        <w:rPr>
          <w:szCs w:val="27"/>
        </w:rPr>
        <w:t xml:space="preserve"> (Mass. 2016) 58 N.E.3d 333</w:t>
      </w:r>
      <w:r w:rsidR="006A4B71">
        <w:rPr>
          <w:szCs w:val="27"/>
        </w:rPr>
        <w:t xml:space="preserve">, </w:t>
      </w:r>
      <w:r w:rsidR="00AA0BFE" w:rsidRPr="002C510C">
        <w:t xml:space="preserve">342.)  </w:t>
      </w:r>
      <w:r w:rsidR="00A63433">
        <w:t xml:space="preserve">In </w:t>
      </w:r>
      <w:r w:rsidR="006D69FE">
        <w:t xml:space="preserve">authorizing </w:t>
      </w:r>
      <w:r w:rsidR="003D4666">
        <w:t xml:space="preserve">“stop and frisk” detentions, the court in </w:t>
      </w:r>
      <w:r w:rsidR="00A63433" w:rsidRPr="00EB12AE">
        <w:rPr>
          <w:i/>
          <w:iCs/>
        </w:rPr>
        <w:t>Terry</w:t>
      </w:r>
      <w:r>
        <w:t xml:space="preserve"> recognized that “community resentment aroused by particular practices is clearly relevant” to assessing the nature of intrusions upon </w:t>
      </w:r>
      <w:r w:rsidR="00824A6B">
        <w:t>“</w:t>
      </w:r>
      <w:r w:rsidR="006E5F95">
        <w:t xml:space="preserve">reasonable expectations of </w:t>
      </w:r>
      <w:r>
        <w:t>personal security</w:t>
      </w:r>
      <w:r w:rsidR="00824A6B">
        <w:t>”</w:t>
      </w:r>
      <w:r>
        <w:t xml:space="preserve"> of those whom police encounter. </w:t>
      </w:r>
      <w:r w:rsidR="00E818E1">
        <w:t xml:space="preserve"> </w:t>
      </w:r>
      <w:r>
        <w:t>(</w:t>
      </w:r>
      <w:r w:rsidRPr="00870B65">
        <w:rPr>
          <w:i/>
          <w:iCs/>
        </w:rPr>
        <w:t>Terry</w:t>
      </w:r>
      <w:r w:rsidR="000C69EB">
        <w:t>,</w:t>
      </w:r>
      <w:r>
        <w:t xml:space="preserve"> </w:t>
      </w:r>
      <w:r w:rsidR="00421437" w:rsidRPr="00421437">
        <w:rPr>
          <w:i/>
          <w:iCs/>
        </w:rPr>
        <w:t>supra</w:t>
      </w:r>
      <w:r w:rsidR="00421437">
        <w:t xml:space="preserve">, </w:t>
      </w:r>
      <w:r w:rsidR="00926DC5">
        <w:t xml:space="preserve">392 U.S. </w:t>
      </w:r>
      <w:r>
        <w:t>at p.</w:t>
      </w:r>
      <w:r w:rsidR="00436F47">
        <w:t xml:space="preserve"> 17, fn. 14</w:t>
      </w:r>
      <w:r>
        <w:t xml:space="preserve">.)  </w:t>
      </w:r>
      <w:r w:rsidR="00465CBF">
        <w:t xml:space="preserve">With respect to the standard’s application </w:t>
      </w:r>
      <w:r w:rsidR="00610BB4">
        <w:t>in a given case</w:t>
      </w:r>
      <w:r w:rsidR="00036605">
        <w:t xml:space="preserve">, </w:t>
      </w:r>
      <w:r w:rsidR="00156133" w:rsidRPr="005F657E">
        <w:t xml:space="preserve">the </w:t>
      </w:r>
      <w:r w:rsidR="00FF46C5">
        <w:t xml:space="preserve">high </w:t>
      </w:r>
      <w:r w:rsidR="00156133" w:rsidRPr="005F657E">
        <w:t xml:space="preserve">court has consistently held that an objective evaluation of the totality of the circumstances is the touchstone of Fourth Amendment scrutiny. </w:t>
      </w:r>
      <w:r w:rsidR="00156133">
        <w:t xml:space="preserve"> </w:t>
      </w:r>
      <w:r w:rsidR="004B0861" w:rsidRPr="004B0861">
        <w:t xml:space="preserve">In making that assessment, it is imperative that the circumstances confronting both the officer and the citizen be judged against an objective </w:t>
      </w:r>
      <w:r w:rsidR="004B0861" w:rsidRPr="004B0861">
        <w:lastRenderedPageBreak/>
        <w:t>standard.  (</w:t>
      </w:r>
      <w:r w:rsidR="004B0861" w:rsidRPr="00E36E6E">
        <w:rPr>
          <w:i/>
          <w:iCs/>
        </w:rPr>
        <w:t>Ashcroft v. al-Kidd</w:t>
      </w:r>
      <w:r w:rsidR="004B0861" w:rsidRPr="004B0861">
        <w:t xml:space="preserve"> (2011) 563 U.S. 731, 736; </w:t>
      </w:r>
      <w:r w:rsidR="004B0861" w:rsidRPr="00E36E6E">
        <w:rPr>
          <w:i/>
          <w:iCs/>
        </w:rPr>
        <w:t>Michigan v. Chesternut</w:t>
      </w:r>
      <w:r w:rsidR="004B0861" w:rsidRPr="004B0861">
        <w:t xml:space="preserve"> (1988) 486 U.S. 567, 574</w:t>
      </w:r>
      <w:r w:rsidR="00665454">
        <w:t xml:space="preserve">; </w:t>
      </w:r>
      <w:r w:rsidR="00665454" w:rsidRPr="00E36E6E">
        <w:rPr>
          <w:i/>
          <w:iCs/>
        </w:rPr>
        <w:t>Terry</w:t>
      </w:r>
      <w:r w:rsidR="00665454">
        <w:t>, at p</w:t>
      </w:r>
      <w:r w:rsidR="00B93A93">
        <w:t>p</w:t>
      </w:r>
      <w:r w:rsidR="00665454">
        <w:t xml:space="preserve">. </w:t>
      </w:r>
      <w:r w:rsidR="00E36E6E">
        <w:t>21</w:t>
      </w:r>
      <w:r w:rsidR="00B93A93">
        <w:t>–22.</w:t>
      </w:r>
      <w:r w:rsidR="004B0861" w:rsidRPr="004B0861">
        <w:t xml:space="preserve">)  </w:t>
      </w:r>
    </w:p>
    <w:p w14:paraId="7BBD7ED2" w14:textId="77777777" w:rsidR="00920AD3" w:rsidRDefault="00000000" w:rsidP="00472009">
      <w:pPr>
        <w:tabs>
          <w:tab w:val="left" w:pos="1440"/>
        </w:tabs>
        <w:ind w:firstLine="720"/>
      </w:pPr>
      <w:r>
        <w:t xml:space="preserve">We apply well-established law </w:t>
      </w:r>
      <w:r w:rsidR="00B30A78">
        <w:t>in concluding</w:t>
      </w:r>
      <w:r>
        <w:t xml:space="preserve"> that the detention here was unauthorized</w:t>
      </w:r>
      <w:r w:rsidR="00046985">
        <w:t xml:space="preserve">.  In reaching that conclusion, we are not called upon to </w:t>
      </w:r>
      <w:r w:rsidR="00B45E7B">
        <w:t xml:space="preserve">grapple with the </w:t>
      </w:r>
      <w:r w:rsidR="0086672E">
        <w:t xml:space="preserve">important and </w:t>
      </w:r>
      <w:r w:rsidR="00B45E7B">
        <w:t>broader issues referenced above.</w:t>
      </w:r>
      <w:r w:rsidR="00DE7CFB">
        <w:t xml:space="preserve">  F</w:t>
      </w:r>
      <w:r>
        <w:t xml:space="preserve">lores had the right to decline further interaction with the officers and, under </w:t>
      </w:r>
      <w:r w:rsidRPr="00DE7CFB">
        <w:t>these facts,</w:t>
      </w:r>
      <w:r>
        <w:t xml:space="preserve"> the officers had no authority to compel him to do otherwise.  </w:t>
      </w:r>
      <w:r w:rsidR="00060688">
        <w:t xml:space="preserve">The trial court took the view that </w:t>
      </w:r>
      <w:r>
        <w:t>“any normal human being would stand up and say, ‘Oh, you scared me’ or ‘Oh, what can I help you with?’ or ‘Oh, why are you coming towards me?’</w:t>
      </w:r>
      <w:r w:rsidR="00E17EAC">
        <w:t> </w:t>
      </w:r>
      <w:r>
        <w:t xml:space="preserve">”  </w:t>
      </w:r>
      <w:r w:rsidR="004A7C35">
        <w:t>But</w:t>
      </w:r>
      <w:r w:rsidR="00BF68A4">
        <w:t xml:space="preserve"> </w:t>
      </w:r>
      <w:r>
        <w:t xml:space="preserve">the reactions </w:t>
      </w:r>
      <w:r w:rsidR="00BA7F64">
        <w:t>described by the court</w:t>
      </w:r>
      <w:r>
        <w:t xml:space="preserve"> are not the only neutral ways </w:t>
      </w:r>
      <w:r w:rsidR="00FD06FC">
        <w:t xml:space="preserve">that an ordinary person </w:t>
      </w:r>
      <w:r w:rsidR="00593F44">
        <w:t>might</w:t>
      </w:r>
      <w:r w:rsidR="00060688">
        <w:t xml:space="preserve"> </w:t>
      </w:r>
      <w:r>
        <w:t>interact with police, or declin</w:t>
      </w:r>
      <w:r w:rsidR="00593F44">
        <w:t>e</w:t>
      </w:r>
      <w:r>
        <w:t xml:space="preserve"> further interaction.</w:t>
      </w:r>
    </w:p>
    <w:p w14:paraId="7BBD7ED3" w14:textId="77777777" w:rsidR="005B148C" w:rsidRPr="00BD5AF2" w:rsidRDefault="00000000" w:rsidP="00920AD3">
      <w:pPr>
        <w:tabs>
          <w:tab w:val="left" w:pos="1440"/>
        </w:tabs>
        <w:ind w:firstLine="720"/>
        <w:rPr>
          <w:color w:val="000000" w:themeColor="text1"/>
        </w:rPr>
      </w:pPr>
      <w:r w:rsidRPr="00BD5AF2">
        <w:t>Notwithstanding today’s holding, it remains true that “nervous, evasive behavior” need not be ignored.  (</w:t>
      </w:r>
      <w:r w:rsidRPr="00BD5AF2">
        <w:rPr>
          <w:i/>
          <w:iCs/>
        </w:rPr>
        <w:t>Wardlow</w:t>
      </w:r>
      <w:r w:rsidRPr="00BD5AF2">
        <w:t xml:space="preserve">, </w:t>
      </w:r>
      <w:r w:rsidRPr="00BD5AF2">
        <w:rPr>
          <w:i/>
          <w:iCs/>
        </w:rPr>
        <w:t>supra</w:t>
      </w:r>
      <w:r w:rsidRPr="00BD5AF2">
        <w:t>, 528 U.S. at p. 124.)  It is “a pertinent factor in determining reasonable suspicion” based on all the circumstances.  (</w:t>
      </w:r>
      <w:r w:rsidRPr="00BD5AF2">
        <w:rPr>
          <w:i/>
          <w:iCs/>
        </w:rPr>
        <w:t>Ibid</w:t>
      </w:r>
      <w:r w:rsidRPr="00BD5AF2">
        <w:t>.)  Likewise, the possibility of an innocent explanation for evasive behavior, such as a desire to avoid police contact out of fear for one’s safety, does not render the behavior insignificant.  (</w:t>
      </w:r>
      <w:r w:rsidR="00AD5F77" w:rsidRPr="00BD5AF2">
        <w:rPr>
          <w:i/>
          <w:iCs/>
        </w:rPr>
        <w:t>Id</w:t>
      </w:r>
      <w:r w:rsidR="00AD5F77" w:rsidRPr="00BD5AF2">
        <w:t>.</w:t>
      </w:r>
      <w:r w:rsidRPr="00BD5AF2">
        <w:t xml:space="preserve"> at p. 125; </w:t>
      </w:r>
      <w:r w:rsidR="000641B5" w:rsidRPr="00BD5AF2">
        <w:rPr>
          <w:i/>
          <w:iCs/>
        </w:rPr>
        <w:t>Brown</w:t>
      </w:r>
      <w:r w:rsidR="000641B5" w:rsidRPr="00BD5AF2">
        <w:t xml:space="preserve">, </w:t>
      </w:r>
      <w:r w:rsidR="000641B5" w:rsidRPr="00BD5AF2">
        <w:rPr>
          <w:i/>
          <w:iCs/>
        </w:rPr>
        <w:t>supra</w:t>
      </w:r>
      <w:r w:rsidR="000641B5" w:rsidRPr="00BD5AF2">
        <w:t xml:space="preserve">, 61 Cal.4th at pp. 985–986; </w:t>
      </w:r>
      <w:r w:rsidRPr="00BD5AF2">
        <w:rPr>
          <w:i/>
          <w:iCs/>
        </w:rPr>
        <w:t>Souza</w:t>
      </w:r>
      <w:r w:rsidRPr="00BD5AF2">
        <w:t xml:space="preserve">, </w:t>
      </w:r>
      <w:r w:rsidRPr="00BD5AF2">
        <w:rPr>
          <w:i/>
          <w:iCs/>
        </w:rPr>
        <w:t>supra</w:t>
      </w:r>
      <w:r w:rsidRPr="00BD5AF2">
        <w:t>, 9 Cal.4th at p</w:t>
      </w:r>
      <w:r w:rsidR="000641B5" w:rsidRPr="00BD5AF2">
        <w:t>p</w:t>
      </w:r>
      <w:r w:rsidRPr="00BD5AF2">
        <w:t xml:space="preserve">. </w:t>
      </w:r>
      <w:r w:rsidR="000641B5" w:rsidRPr="00BD5AF2">
        <w:t xml:space="preserve">233, </w:t>
      </w:r>
      <w:r w:rsidRPr="00BD5AF2">
        <w:t xml:space="preserve">235; </w:t>
      </w:r>
      <w:r w:rsidRPr="00BD5AF2">
        <w:rPr>
          <w:i/>
          <w:iCs/>
        </w:rPr>
        <w:t>Tony C</w:t>
      </w:r>
      <w:r w:rsidRPr="00BD5AF2">
        <w:t xml:space="preserve">., </w:t>
      </w:r>
      <w:r w:rsidRPr="00BD5AF2">
        <w:rPr>
          <w:i/>
          <w:iCs/>
        </w:rPr>
        <w:t>supra</w:t>
      </w:r>
      <w:r w:rsidRPr="00BD5AF2">
        <w:t>, 21 Cal.3d at p. 894</w:t>
      </w:r>
      <w:r w:rsidRPr="00BD5AF2">
        <w:rPr>
          <w:color w:val="000000" w:themeColor="text1"/>
        </w:rPr>
        <w:t>.)</w:t>
      </w:r>
      <w:r w:rsidR="00D3292B" w:rsidRPr="004A59B6">
        <w:rPr>
          <w:color w:val="000000" w:themeColor="text1"/>
        </w:rPr>
        <w:t xml:space="preserve">  </w:t>
      </w:r>
      <w:r w:rsidR="00D3292B" w:rsidRPr="00BD5AF2">
        <w:rPr>
          <w:color w:val="000000" w:themeColor="text1"/>
        </w:rPr>
        <w:t xml:space="preserve">The </w:t>
      </w:r>
      <w:r w:rsidR="00D3292B" w:rsidRPr="00BD5AF2">
        <w:rPr>
          <w:i/>
          <w:iCs/>
          <w:color w:val="000000" w:themeColor="text1"/>
        </w:rPr>
        <w:t>Terry</w:t>
      </w:r>
      <w:r w:rsidR="00D3292B" w:rsidRPr="00BD5AF2">
        <w:rPr>
          <w:color w:val="000000" w:themeColor="text1"/>
        </w:rPr>
        <w:t xml:space="preserve"> court noted that the series of acts initially observed by the detective might each be innocent in and of themselves.  </w:t>
      </w:r>
      <w:r w:rsidR="004A59B6" w:rsidRPr="00BD5AF2">
        <w:rPr>
          <w:color w:val="000000" w:themeColor="text1"/>
        </w:rPr>
        <w:t>(</w:t>
      </w:r>
      <w:r w:rsidR="004A59B6" w:rsidRPr="00BD5AF2">
        <w:rPr>
          <w:i/>
          <w:iCs/>
          <w:color w:val="000000" w:themeColor="text1"/>
        </w:rPr>
        <w:t>Terry</w:t>
      </w:r>
      <w:r w:rsidR="004A59B6" w:rsidRPr="00BD5AF2">
        <w:rPr>
          <w:color w:val="000000" w:themeColor="text1"/>
        </w:rPr>
        <w:t xml:space="preserve">, </w:t>
      </w:r>
      <w:r w:rsidR="004A59B6" w:rsidRPr="00BD5AF2">
        <w:rPr>
          <w:i/>
          <w:iCs/>
          <w:color w:val="000000" w:themeColor="text1"/>
        </w:rPr>
        <w:t>supra</w:t>
      </w:r>
      <w:r w:rsidR="004A59B6" w:rsidRPr="00BD5AF2">
        <w:rPr>
          <w:color w:val="000000" w:themeColor="text1"/>
        </w:rPr>
        <w:t xml:space="preserve">, </w:t>
      </w:r>
      <w:r w:rsidR="009D1AAC" w:rsidRPr="00BD5AF2">
        <w:rPr>
          <w:color w:val="000000" w:themeColor="text1"/>
        </w:rPr>
        <w:t xml:space="preserve">392 U.S. at pp. </w:t>
      </w:r>
      <w:r w:rsidR="00D3292B" w:rsidRPr="00BD5AF2">
        <w:rPr>
          <w:color w:val="000000" w:themeColor="text1"/>
        </w:rPr>
        <w:t>22–23.)  “There is nothing unusual in two men standing together on a street corne</w:t>
      </w:r>
      <w:r w:rsidR="00A65252" w:rsidRPr="00BD5AF2">
        <w:rPr>
          <w:color w:val="000000" w:themeColor="text1"/>
        </w:rPr>
        <w:t>r</w:t>
      </w:r>
      <w:r w:rsidR="00C239C1">
        <w:rPr>
          <w:color w:val="000000" w:themeColor="text1"/>
        </w:rPr>
        <w:t xml:space="preserve"> </w:t>
      </w:r>
      <w:r w:rsidR="00A65252" w:rsidRPr="00BD5AF2">
        <w:rPr>
          <w:color w:val="000000" w:themeColor="text1"/>
        </w:rPr>
        <w:t>.</w:t>
      </w:r>
      <w:r w:rsidR="00C239C1">
        <w:rPr>
          <w:color w:val="000000" w:themeColor="text1"/>
        </w:rPr>
        <w:t> </w:t>
      </w:r>
      <w:r w:rsidR="00A65252" w:rsidRPr="00BD5AF2">
        <w:rPr>
          <w:color w:val="000000" w:themeColor="text1"/>
        </w:rPr>
        <w:t>.</w:t>
      </w:r>
      <w:r w:rsidR="00C239C1">
        <w:rPr>
          <w:color w:val="000000" w:themeColor="text1"/>
        </w:rPr>
        <w:t> </w:t>
      </w:r>
      <w:r w:rsidR="00A65252" w:rsidRPr="00BD5AF2">
        <w:rPr>
          <w:color w:val="000000" w:themeColor="text1"/>
        </w:rPr>
        <w:t>.</w:t>
      </w:r>
      <w:r w:rsidR="00C239C1">
        <w:rPr>
          <w:color w:val="000000" w:themeColor="text1"/>
        </w:rPr>
        <w:t> </w:t>
      </w:r>
      <w:r w:rsidR="00A65252" w:rsidRPr="00BD5AF2">
        <w:rPr>
          <w:color w:val="000000" w:themeColor="text1"/>
        </w:rPr>
        <w:t xml:space="preserve">.  </w:t>
      </w:r>
      <w:r w:rsidR="00D3292B" w:rsidRPr="00BD5AF2">
        <w:rPr>
          <w:color w:val="000000" w:themeColor="text1"/>
        </w:rPr>
        <w:t xml:space="preserve">Nor is there anything suspicious about people in such circumstances strolling up and down the street, singly or in pairs.  Store windows, moreover, are made to be looked in.” </w:t>
      </w:r>
      <w:r w:rsidR="005A1547" w:rsidRPr="00BD5AF2">
        <w:rPr>
          <w:color w:val="000000" w:themeColor="text1"/>
        </w:rPr>
        <w:t xml:space="preserve"> </w:t>
      </w:r>
      <w:r w:rsidR="00D3292B" w:rsidRPr="00BD5AF2">
        <w:rPr>
          <w:color w:val="000000" w:themeColor="text1"/>
        </w:rPr>
        <w:lastRenderedPageBreak/>
        <w:t>(</w:t>
      </w:r>
      <w:r w:rsidR="005A1547" w:rsidRPr="00BD5AF2">
        <w:rPr>
          <w:i/>
          <w:iCs/>
          <w:color w:val="000000" w:themeColor="text1"/>
        </w:rPr>
        <w:t>Ibid</w:t>
      </w:r>
      <w:r w:rsidR="005A1547" w:rsidRPr="00BD5AF2">
        <w:rPr>
          <w:color w:val="000000" w:themeColor="text1"/>
        </w:rPr>
        <w:t>.</w:t>
      </w:r>
      <w:r w:rsidR="00D3292B" w:rsidRPr="00BD5AF2">
        <w:rPr>
          <w:color w:val="000000" w:themeColor="text1"/>
        </w:rPr>
        <w:t xml:space="preserve">) </w:t>
      </w:r>
      <w:r w:rsidR="00541099" w:rsidRPr="00BD5AF2">
        <w:rPr>
          <w:color w:val="000000" w:themeColor="text1"/>
        </w:rPr>
        <w:t xml:space="preserve"> </w:t>
      </w:r>
      <w:r w:rsidR="00D3292B" w:rsidRPr="00BD5AF2">
        <w:rPr>
          <w:color w:val="000000" w:themeColor="text1"/>
        </w:rPr>
        <w:t xml:space="preserve">The court noted, however, that the particular facts the detective noted told a different story and justified some sort of further investigation. </w:t>
      </w:r>
      <w:r w:rsidR="00A53698" w:rsidRPr="00BD5AF2">
        <w:rPr>
          <w:color w:val="000000" w:themeColor="text1"/>
        </w:rPr>
        <w:t xml:space="preserve"> </w:t>
      </w:r>
      <w:r w:rsidR="00D3292B" w:rsidRPr="00BD5AF2">
        <w:rPr>
          <w:color w:val="000000" w:themeColor="text1"/>
        </w:rPr>
        <w:t>(</w:t>
      </w:r>
      <w:r w:rsidR="00CC54AB" w:rsidRPr="00BD5AF2">
        <w:rPr>
          <w:i/>
          <w:iCs/>
          <w:color w:val="000000" w:themeColor="text1"/>
        </w:rPr>
        <w:t>Id</w:t>
      </w:r>
      <w:r w:rsidR="00CC54AB" w:rsidRPr="00BD5AF2">
        <w:rPr>
          <w:color w:val="000000" w:themeColor="text1"/>
        </w:rPr>
        <w:t xml:space="preserve">. at </w:t>
      </w:r>
      <w:r w:rsidR="00D3292B" w:rsidRPr="00BD5AF2">
        <w:rPr>
          <w:color w:val="000000" w:themeColor="text1"/>
        </w:rPr>
        <w:t xml:space="preserve">p. 23.) </w:t>
      </w:r>
      <w:r w:rsidR="00D42C73" w:rsidRPr="00BD5AF2">
        <w:rPr>
          <w:color w:val="000000" w:themeColor="text1"/>
        </w:rPr>
        <w:t xml:space="preserve"> </w:t>
      </w:r>
      <w:r w:rsidR="00D3292B" w:rsidRPr="00BD5AF2">
        <w:rPr>
          <w:color w:val="000000" w:themeColor="text1"/>
        </w:rPr>
        <w:t>But the crux of the case did not turn on whether some form of further investigation was proper but whether</w:t>
      </w:r>
      <w:r w:rsidR="008E7E5D" w:rsidRPr="00BD5AF2">
        <w:rPr>
          <w:color w:val="000000" w:themeColor="text1"/>
        </w:rPr>
        <w:t>, in particular,</w:t>
      </w:r>
      <w:r w:rsidR="00D3292B" w:rsidRPr="00BD5AF2">
        <w:rPr>
          <w:color w:val="000000" w:themeColor="text1"/>
        </w:rPr>
        <w:t xml:space="preserve"> the</w:t>
      </w:r>
      <w:r w:rsidR="008A1A3C" w:rsidRPr="00BD5AF2">
        <w:rPr>
          <w:color w:val="000000" w:themeColor="text1"/>
        </w:rPr>
        <w:t>re</w:t>
      </w:r>
      <w:r w:rsidR="00D3292B" w:rsidRPr="00BD5AF2">
        <w:rPr>
          <w:color w:val="000000" w:themeColor="text1"/>
        </w:rPr>
        <w:t xml:space="preserve"> was justification for</w:t>
      </w:r>
      <w:r w:rsidR="00CE48BE" w:rsidRPr="00BD5AF2">
        <w:rPr>
          <w:color w:val="000000" w:themeColor="text1"/>
        </w:rPr>
        <w:t xml:space="preserve"> a detention, resulting in </w:t>
      </w:r>
      <w:r w:rsidR="00D3292B" w:rsidRPr="00BD5AF2">
        <w:rPr>
          <w:color w:val="000000" w:themeColor="text1"/>
        </w:rPr>
        <w:t>the “invasion of Terry’s personal security.”</w:t>
      </w:r>
      <w:r w:rsidR="00C239C1">
        <w:rPr>
          <w:color w:val="000000" w:themeColor="text1"/>
        </w:rPr>
        <w:t xml:space="preserve"> </w:t>
      </w:r>
      <w:r w:rsidR="00D3292B" w:rsidRPr="00BD5AF2">
        <w:rPr>
          <w:color w:val="000000" w:themeColor="text1"/>
        </w:rPr>
        <w:t xml:space="preserve"> (</w:t>
      </w:r>
      <w:r w:rsidR="00D3292B" w:rsidRPr="00BD5AF2">
        <w:rPr>
          <w:i/>
          <w:iCs/>
          <w:color w:val="000000" w:themeColor="text1"/>
        </w:rPr>
        <w:t>Ibid</w:t>
      </w:r>
      <w:r w:rsidR="00D3292B" w:rsidRPr="00BD5AF2">
        <w:rPr>
          <w:color w:val="000000" w:themeColor="text1"/>
        </w:rPr>
        <w:t xml:space="preserve">.) </w:t>
      </w:r>
      <w:r w:rsidR="003426C7" w:rsidRPr="00BD5AF2">
        <w:rPr>
          <w:color w:val="000000" w:themeColor="text1"/>
        </w:rPr>
        <w:t xml:space="preserve"> </w:t>
      </w:r>
      <w:r w:rsidR="00D3292B" w:rsidRPr="00BD5AF2">
        <w:rPr>
          <w:color w:val="000000" w:themeColor="text1"/>
        </w:rPr>
        <w:t>Based on the totality of circumstances, including a reasonable suspicion the men might be armed, the majority concluded the officer was within his lawful scope of authority to seize Terry and conduct a pat-down for weapons.</w:t>
      </w:r>
      <w:r w:rsidR="007D1466" w:rsidRPr="00BD5AF2">
        <w:rPr>
          <w:color w:val="000000" w:themeColor="text1"/>
        </w:rPr>
        <w:t xml:space="preserve">  (</w:t>
      </w:r>
      <w:r w:rsidR="001950EE" w:rsidRPr="00BD5AF2">
        <w:rPr>
          <w:i/>
          <w:iCs/>
        </w:rPr>
        <w:t>Id</w:t>
      </w:r>
      <w:r w:rsidR="001950EE" w:rsidRPr="00BD5AF2">
        <w:t>. at pp. 22–23, 27–28, 30.)</w:t>
      </w:r>
      <w:r w:rsidR="00D3292B" w:rsidRPr="00BD5AF2">
        <w:rPr>
          <w:color w:val="000000" w:themeColor="text1"/>
        </w:rPr>
        <w:t xml:space="preserve"> </w:t>
      </w:r>
      <w:r w:rsidRPr="00BD5AF2">
        <w:rPr>
          <w:color w:val="000000" w:themeColor="text1"/>
        </w:rPr>
        <w:t xml:space="preserve"> </w:t>
      </w:r>
    </w:p>
    <w:p w14:paraId="7BBD7ED4" w14:textId="77777777" w:rsidR="00920AD3" w:rsidRPr="00BD5AF2" w:rsidRDefault="00000000" w:rsidP="00920AD3">
      <w:pPr>
        <w:tabs>
          <w:tab w:val="left" w:pos="1440"/>
        </w:tabs>
        <w:ind w:firstLine="720"/>
      </w:pPr>
      <w:r w:rsidRPr="00BD5AF2">
        <w:rPr>
          <w:color w:val="000000" w:themeColor="text1"/>
        </w:rPr>
        <w:t xml:space="preserve">“In allowing such detentions, </w:t>
      </w:r>
      <w:r w:rsidRPr="00BD5AF2">
        <w:rPr>
          <w:i/>
          <w:iCs/>
          <w:color w:val="000000" w:themeColor="text1"/>
        </w:rPr>
        <w:t>Terry</w:t>
      </w:r>
      <w:r w:rsidRPr="00BD5AF2">
        <w:rPr>
          <w:color w:val="000000" w:themeColor="text1"/>
        </w:rPr>
        <w:t xml:space="preserve"> accepts the risk that </w:t>
      </w:r>
      <w:r w:rsidRPr="00BD5AF2">
        <w:t xml:space="preserve">officers may stop innocent people.  Indeed, the Fourth Amendment accepts that risk in connection with more drastic police action; persons arrested and detained on probable cause to believe they have committed a crime may turn out to be innocent. </w:t>
      </w:r>
      <w:r w:rsidR="004A59B6" w:rsidRPr="00BD5AF2">
        <w:t xml:space="preserve"> </w:t>
      </w:r>
      <w:r w:rsidRPr="00BD5AF2">
        <w:t xml:space="preserve">The </w:t>
      </w:r>
      <w:r w:rsidRPr="00BD5AF2">
        <w:rPr>
          <w:i/>
          <w:iCs/>
        </w:rPr>
        <w:t>Terry</w:t>
      </w:r>
      <w:r w:rsidRPr="00BD5AF2">
        <w:t xml:space="preserve"> stop is a far more minimal intrusion, simply allowing the officer to briefly investigate further.  If the officer does not learn facts rising to the level of probable cause, the individual must be allowed to go on his way.”  (</w:t>
      </w:r>
      <w:r w:rsidRPr="00BD5AF2">
        <w:rPr>
          <w:i/>
          <w:iCs/>
        </w:rPr>
        <w:t>Wardlow</w:t>
      </w:r>
      <w:r w:rsidRPr="00BD5AF2">
        <w:t xml:space="preserve">, </w:t>
      </w:r>
      <w:r w:rsidRPr="00BD5AF2">
        <w:rPr>
          <w:i/>
          <w:iCs/>
        </w:rPr>
        <w:t>supra</w:t>
      </w:r>
      <w:r w:rsidRPr="00BD5AF2">
        <w:t>, 528 U.S. at p. 126; accord,</w:t>
      </w:r>
      <w:r w:rsidR="000641B5" w:rsidRPr="00BD5AF2">
        <w:t xml:space="preserve"> </w:t>
      </w:r>
      <w:r w:rsidR="000641B5" w:rsidRPr="00BD5AF2">
        <w:rPr>
          <w:i/>
          <w:iCs/>
        </w:rPr>
        <w:t>Brown</w:t>
      </w:r>
      <w:r w:rsidR="000641B5" w:rsidRPr="00BD5AF2">
        <w:t xml:space="preserve">, </w:t>
      </w:r>
      <w:r w:rsidR="00B402D1" w:rsidRPr="00BD5AF2">
        <w:rPr>
          <w:i/>
          <w:iCs/>
        </w:rPr>
        <w:t>supra</w:t>
      </w:r>
      <w:r w:rsidR="00B402D1" w:rsidRPr="00BD5AF2">
        <w:t xml:space="preserve">, </w:t>
      </w:r>
      <w:r w:rsidR="00D9533D" w:rsidRPr="00BD5AF2">
        <w:t xml:space="preserve">61 Cal.4th </w:t>
      </w:r>
      <w:r w:rsidR="000641B5" w:rsidRPr="00BD5AF2">
        <w:t>at pp. 985–986;</w:t>
      </w:r>
      <w:r w:rsidRPr="00BD5AF2">
        <w:t xml:space="preserve"> </w:t>
      </w:r>
      <w:r w:rsidRPr="00BD5AF2">
        <w:rPr>
          <w:i/>
          <w:iCs/>
        </w:rPr>
        <w:t>Souza</w:t>
      </w:r>
      <w:r w:rsidRPr="00BD5AF2">
        <w:t xml:space="preserve">, </w:t>
      </w:r>
      <w:r w:rsidR="00B402D1" w:rsidRPr="00BD5AF2">
        <w:rPr>
          <w:i/>
          <w:iCs/>
        </w:rPr>
        <w:t>supra</w:t>
      </w:r>
      <w:r w:rsidR="00B402D1" w:rsidRPr="00BD5AF2">
        <w:t xml:space="preserve">, 9 Cal.4th </w:t>
      </w:r>
      <w:r w:rsidRPr="00BD5AF2">
        <w:t>at p</w:t>
      </w:r>
      <w:r w:rsidR="000641B5" w:rsidRPr="00BD5AF2">
        <w:t>p</w:t>
      </w:r>
      <w:r w:rsidRPr="00BD5AF2">
        <w:t>. 233</w:t>
      </w:r>
      <w:r w:rsidR="000641B5" w:rsidRPr="00BD5AF2">
        <w:t>, 235</w:t>
      </w:r>
      <w:r w:rsidRPr="00BD5AF2">
        <w:t xml:space="preserve">; </w:t>
      </w:r>
      <w:r w:rsidRPr="00BD5AF2">
        <w:rPr>
          <w:i/>
          <w:iCs/>
        </w:rPr>
        <w:t>Tony C</w:t>
      </w:r>
      <w:r w:rsidRPr="00BD5AF2">
        <w:t xml:space="preserve">., </w:t>
      </w:r>
      <w:r w:rsidR="00B402D1" w:rsidRPr="00BD5AF2">
        <w:rPr>
          <w:i/>
          <w:iCs/>
        </w:rPr>
        <w:t>supra</w:t>
      </w:r>
      <w:r w:rsidR="00B402D1" w:rsidRPr="00BD5AF2">
        <w:t xml:space="preserve">, 21 Cal.3d </w:t>
      </w:r>
      <w:r w:rsidRPr="00BD5AF2">
        <w:t xml:space="preserve">at p. 894.)  </w:t>
      </w:r>
    </w:p>
    <w:p w14:paraId="7BBD7ED5" w14:textId="77777777" w:rsidR="00920AD3" w:rsidRDefault="00000000" w:rsidP="00920AD3">
      <w:pPr>
        <w:tabs>
          <w:tab w:val="left" w:pos="1440"/>
        </w:tabs>
        <w:ind w:firstLine="720"/>
      </w:pPr>
      <w:r w:rsidRPr="00BD5AF2">
        <w:t xml:space="preserve">Writing separately in </w:t>
      </w:r>
      <w:r w:rsidRPr="00BD5AF2">
        <w:rPr>
          <w:i/>
          <w:iCs/>
        </w:rPr>
        <w:t>Wardl</w:t>
      </w:r>
      <w:r w:rsidR="000722EE">
        <w:rPr>
          <w:i/>
          <w:iCs/>
        </w:rPr>
        <w:t>o</w:t>
      </w:r>
      <w:r w:rsidRPr="00BD5AF2">
        <w:rPr>
          <w:i/>
          <w:iCs/>
        </w:rPr>
        <w:t>w</w:t>
      </w:r>
      <w:r w:rsidRPr="00BD5AF2">
        <w:t>, Justice Stevens discussed potentially innocent reasons that a person might flee from the police, including fear of police violence.</w:t>
      </w:r>
      <w:r w:rsidR="00C239C1">
        <w:t xml:space="preserve"> </w:t>
      </w:r>
      <w:r w:rsidRPr="00BD5AF2">
        <w:t xml:space="preserve"> (</w:t>
      </w:r>
      <w:r w:rsidRPr="00BD5AF2">
        <w:rPr>
          <w:i/>
          <w:iCs/>
        </w:rPr>
        <w:t>Wardlow</w:t>
      </w:r>
      <w:r w:rsidRPr="00BD5AF2">
        <w:t xml:space="preserve">, </w:t>
      </w:r>
      <w:r w:rsidRPr="00BD5AF2">
        <w:rPr>
          <w:i/>
          <w:iCs/>
        </w:rPr>
        <w:t>supra</w:t>
      </w:r>
      <w:r w:rsidRPr="00BD5AF2">
        <w:t>, 528 U.S. at pp. 1</w:t>
      </w:r>
      <w:r w:rsidR="005C0A6D" w:rsidRPr="00BD5AF2">
        <w:t>28</w:t>
      </w:r>
      <w:r w:rsidRPr="00BD5AF2">
        <w:t xml:space="preserve">–135 (conc. &amp; dis. opn. of Stevens, J.).)  But Justice Stevens did not argue that evasive behavior such as flight was of nominal or no significance to the reasonable suspicion inquiry.  Instead, he explained why the court correctly declined to adopt a bright line rule authorizing detention of </w:t>
      </w:r>
      <w:r w:rsidRPr="00BD5AF2">
        <w:lastRenderedPageBreak/>
        <w:t>persons who flee from the police:  “</w:t>
      </w:r>
      <w:r w:rsidR="005C0A6D" w:rsidRPr="00BD5AF2">
        <w:t> ‘</w:t>
      </w:r>
      <w:r w:rsidRPr="00BD5AF2">
        <w:t xml:space="preserve">[u]nprovoked, flight,’ in short, describes a category of activity too broad and varied to permit a </w:t>
      </w:r>
      <w:r w:rsidRPr="00BD5AF2">
        <w:rPr>
          <w:i/>
          <w:iCs/>
        </w:rPr>
        <w:t>per se</w:t>
      </w:r>
      <w:r w:rsidRPr="00BD5AF2">
        <w:t xml:space="preserve"> reasonable inference regarding the motivation for the activity</w:t>
      </w:r>
      <w:r w:rsidR="00C239C1">
        <w:t xml:space="preserve"> </w:t>
      </w:r>
      <w:r w:rsidRPr="00BD5AF2">
        <w:t>.</w:t>
      </w:r>
      <w:r w:rsidR="00C239C1">
        <w:t> </w:t>
      </w:r>
      <w:r w:rsidRPr="00BD5AF2">
        <w:t>.</w:t>
      </w:r>
      <w:r w:rsidR="00C239C1">
        <w:t> </w:t>
      </w:r>
      <w:r w:rsidRPr="00BD5AF2">
        <w:t>.</w:t>
      </w:r>
      <w:r w:rsidR="00C239C1">
        <w:t> </w:t>
      </w:r>
      <w:r w:rsidRPr="00BD5AF2">
        <w:t>.</w:t>
      </w:r>
      <w:r w:rsidR="00C239C1">
        <w:t xml:space="preserve"> </w:t>
      </w:r>
      <w:r w:rsidRPr="00BD5AF2">
        <w:t xml:space="preserve"> The totality of the circumstances, as always, must dictate the result.”  (</w:t>
      </w:r>
      <w:r w:rsidRPr="00BD5AF2">
        <w:rPr>
          <w:i/>
          <w:iCs/>
        </w:rPr>
        <w:t>Id</w:t>
      </w:r>
      <w:r w:rsidRPr="00BD5AF2">
        <w:t>. at p. 136</w:t>
      </w:r>
      <w:r w:rsidR="00FF28A4" w:rsidRPr="00BD5AF2">
        <w:t xml:space="preserve"> (c</w:t>
      </w:r>
      <w:r w:rsidRPr="00BD5AF2">
        <w:t>onc. &amp; dis. opn. of Stevens, J.</w:t>
      </w:r>
      <w:r w:rsidR="00FF28A4" w:rsidRPr="00BD5AF2">
        <w:t>).</w:t>
      </w:r>
      <w:r w:rsidRPr="00BD5AF2">
        <w:t>)</w:t>
      </w:r>
      <w:r>
        <w:t xml:space="preserve">  </w:t>
      </w:r>
    </w:p>
    <w:p w14:paraId="7BBD7ED6" w14:textId="77777777" w:rsidR="00FF28A4" w:rsidRPr="006D6E8A" w:rsidRDefault="00000000" w:rsidP="00FF28A4">
      <w:pPr>
        <w:tabs>
          <w:tab w:val="left" w:pos="1440"/>
        </w:tabs>
        <w:ind w:firstLine="720"/>
      </w:pPr>
      <w:r w:rsidRPr="006D6E8A">
        <w:t xml:space="preserve">As a matter of precedent and as a matter of sound reason, the establishment of reasonable suspicion will always be contextual.  It will be informed by the totality of circumstances and </w:t>
      </w:r>
      <w:r w:rsidR="001C0521">
        <w:t xml:space="preserve">objective </w:t>
      </w:r>
      <w:r w:rsidRPr="006D6E8A">
        <w:t>scrutiny of the reasons given for an officer’s decision to infringe upon “the right of every person to enjoy the use of public streets, buildings, parks, and other conveniences without unwarranted interference or harassment by agents of the law.”  (</w:t>
      </w:r>
      <w:r w:rsidRPr="006D6E8A">
        <w:rPr>
          <w:i/>
          <w:iCs/>
        </w:rPr>
        <w:t>Tony C</w:t>
      </w:r>
      <w:r w:rsidRPr="006D6E8A">
        <w:t xml:space="preserve">., </w:t>
      </w:r>
      <w:r w:rsidRPr="006D6E8A">
        <w:rPr>
          <w:i/>
          <w:iCs/>
        </w:rPr>
        <w:t>supra</w:t>
      </w:r>
      <w:r w:rsidRPr="006D6E8A">
        <w:t>, 21 Cal.3d at p. 893.)</w:t>
      </w:r>
    </w:p>
    <w:p w14:paraId="7BBD7ED7" w14:textId="77777777" w:rsidR="00B27D0A" w:rsidRDefault="00000000" w:rsidP="00FF28A4">
      <w:pPr>
        <w:tabs>
          <w:tab w:val="left" w:pos="1440"/>
        </w:tabs>
        <w:ind w:firstLine="720"/>
      </w:pPr>
      <w:r w:rsidRPr="006D6E8A">
        <w:t xml:space="preserve">To be clear, officers may observe what people do in public places.  They may consider what they see in plain view and determine whether what they observe merits further observation, inquiry, or intervention.  They may approach people in public, engage them in consensual conversation, and take note of their appearance and behavior.  </w:t>
      </w:r>
      <w:r>
        <w:t xml:space="preserve">Nervous behavior and attempts to conceal oneself may provide relevant context.  </w:t>
      </w:r>
      <w:r w:rsidRPr="006D6E8A">
        <w:t xml:space="preserve">But before </w:t>
      </w:r>
      <w:r>
        <w:t>officers</w:t>
      </w:r>
      <w:r w:rsidRPr="006D6E8A">
        <w:t xml:space="preserve"> may </w:t>
      </w:r>
      <w:r w:rsidRPr="006D6E8A">
        <w:rPr>
          <w:i/>
          <w:iCs/>
        </w:rPr>
        <w:t xml:space="preserve">detain </w:t>
      </w:r>
      <w:r w:rsidRPr="006D6E8A">
        <w:t>someone they must be able to articulate a legally cognizable reason to infringe on that person’s liberty.</w:t>
      </w:r>
      <w:r w:rsidR="00BE4B6C">
        <w:t xml:space="preserve">  </w:t>
      </w:r>
    </w:p>
    <w:p w14:paraId="7BBD7ED8" w14:textId="77777777" w:rsidR="00E15E9D" w:rsidRDefault="00000000" w:rsidP="006D6E8A">
      <w:pPr>
        <w:tabs>
          <w:tab w:val="left" w:pos="1440"/>
        </w:tabs>
        <w:ind w:firstLine="720"/>
      </w:pPr>
      <w:r w:rsidRPr="00FD160B">
        <w:t xml:space="preserve">The </w:t>
      </w:r>
      <w:r>
        <w:t>Fourth</w:t>
      </w:r>
      <w:r w:rsidRPr="00FD160B">
        <w:t xml:space="preserve"> Amendment recognizes a measured framework for acceptable official intrusion upon the life of any individual.  Police officers and private individuals may well occupy the same public space and have no particular interaction.  They may also engage in consensual encounters.  But </w:t>
      </w:r>
      <w:r w:rsidR="00625C9A">
        <w:t>b</w:t>
      </w:r>
      <w:r w:rsidRPr="00FD160B">
        <w:t xml:space="preserve">efore an officer </w:t>
      </w:r>
      <w:r w:rsidR="00274697">
        <w:t xml:space="preserve">can compel compliance with a show of authority, </w:t>
      </w:r>
      <w:r w:rsidR="00274697">
        <w:lastRenderedPageBreak/>
        <w:t xml:space="preserve">articulable facts must support a reasonable suspicion of criminal activity.  </w:t>
      </w:r>
      <w:r w:rsidR="00860959">
        <w:t xml:space="preserve">In the absence of such </w:t>
      </w:r>
      <w:r w:rsidR="00274697">
        <w:t>facts</w:t>
      </w:r>
      <w:r w:rsidR="00860959">
        <w:t xml:space="preserve">, the person is constitutionally protected and empowered to go on his or her way.  </w:t>
      </w:r>
    </w:p>
    <w:p w14:paraId="7BBD7ED9" w14:textId="77777777" w:rsidR="001B1D8C" w:rsidRPr="00AC12DD" w:rsidRDefault="00000000" w:rsidP="00AC12DD">
      <w:pPr>
        <w:tabs>
          <w:tab w:val="left" w:pos="1440"/>
        </w:tabs>
        <w:ind w:firstLine="720"/>
      </w:pPr>
      <w:r w:rsidRPr="006D6E8A">
        <w:t>The body of America’s Fourth Amendment jurisprudence reflects the effort to strike a balance between the state’s obligation to responsibly and legitimately meet the critical needs of public safety with the nation’s founding and enduring commitment to protect the individual liberty ensured to all its people.  The offic</w:t>
      </w:r>
      <w:r w:rsidRPr="009B68F0">
        <w:t>e</w:t>
      </w:r>
      <w:r w:rsidRPr="002C25C5">
        <w:t>rs</w:t>
      </w:r>
      <w:r w:rsidR="009B68F0">
        <w:t>’</w:t>
      </w:r>
      <w:r w:rsidRPr="006D6E8A">
        <w:t xml:space="preserve"> detention of Flores, under the circumstances relied upon here, failed to maintain that balance. </w:t>
      </w:r>
    </w:p>
    <w:p w14:paraId="7BBD7EDA" w14:textId="77777777" w:rsidR="005A5C8A" w:rsidRPr="006D6E8A" w:rsidRDefault="00000000" w:rsidP="006D6E8A">
      <w:pPr>
        <w:pStyle w:val="Heading1"/>
      </w:pPr>
      <w:r w:rsidRPr="006D6E8A">
        <w:t>III.  DISPOSITION</w:t>
      </w:r>
    </w:p>
    <w:p w14:paraId="7BBD7EDB" w14:textId="77777777" w:rsidR="005A5C8A" w:rsidRDefault="00000000" w:rsidP="00E97DD8">
      <w:pPr>
        <w:tabs>
          <w:tab w:val="left" w:pos="1440"/>
        </w:tabs>
        <w:ind w:firstLine="720"/>
      </w:pPr>
      <w:r w:rsidRPr="006D6E8A">
        <w:t>W</w:t>
      </w:r>
      <w:r w:rsidR="00234F6E" w:rsidRPr="006D6E8A">
        <w:t xml:space="preserve">e reverse the judgment of the Court of Appeal.  The matter is remanded with directions that the case be returned to the trial court to permit Flores to withdraw his no contest plea and the court </w:t>
      </w:r>
      <w:r w:rsidR="00A93A99">
        <w:t xml:space="preserve">to </w:t>
      </w:r>
      <w:r w:rsidR="00234F6E" w:rsidRPr="006D6E8A">
        <w:t>enter an order granting Flores’s suppression motion.  (</w:t>
      </w:r>
      <w:r w:rsidR="00234F6E" w:rsidRPr="006D6E8A">
        <w:rPr>
          <w:i/>
          <w:iCs/>
        </w:rPr>
        <w:t>People v. Ovieda</w:t>
      </w:r>
      <w:r w:rsidR="00234F6E" w:rsidRPr="006D6E8A">
        <w:t xml:space="preserve"> (2019) 7 Cal.5th 1034, 1053; </w:t>
      </w:r>
      <w:r w:rsidR="00234F6E" w:rsidRPr="006D6E8A">
        <w:rPr>
          <w:i/>
          <w:iCs/>
        </w:rPr>
        <w:t>People v. Miller</w:t>
      </w:r>
      <w:r w:rsidR="00234F6E" w:rsidRPr="006D6E8A">
        <w:t xml:space="preserve"> (1983) 33 Cal.3d 545, 556.)</w:t>
      </w:r>
      <w:r w:rsidR="002E5064" w:rsidRPr="006D6E8A">
        <w:t xml:space="preserve">  </w:t>
      </w:r>
    </w:p>
    <w:p w14:paraId="7BBD7EDC" w14:textId="77777777" w:rsidR="009A0453" w:rsidRDefault="009A0453" w:rsidP="00E97DD8">
      <w:pPr>
        <w:tabs>
          <w:tab w:val="left" w:pos="1440"/>
        </w:tabs>
        <w:ind w:firstLine="720"/>
      </w:pPr>
    </w:p>
    <w:p w14:paraId="7BBD7EDD" w14:textId="77777777" w:rsidR="005A5C8A" w:rsidRPr="006D6E8A" w:rsidRDefault="00000000" w:rsidP="006D6E8A">
      <w:pPr>
        <w:ind w:left="4320" w:firstLine="720"/>
        <w:rPr>
          <w:b/>
        </w:rPr>
      </w:pPr>
      <w:r w:rsidRPr="006D6E8A">
        <w:rPr>
          <w:b/>
        </w:rPr>
        <w:t>CORRIGAN, J.</w:t>
      </w:r>
    </w:p>
    <w:p w14:paraId="7BBD7EDE" w14:textId="77777777" w:rsidR="005B271A" w:rsidRDefault="00000000" w:rsidP="006D6E8A">
      <w:pPr>
        <w:tabs>
          <w:tab w:val="left" w:pos="1440"/>
        </w:tabs>
        <w:rPr>
          <w:b/>
          <w:bCs/>
        </w:rPr>
      </w:pPr>
      <w:r w:rsidRPr="006D6E8A">
        <w:rPr>
          <w:b/>
          <w:bCs/>
        </w:rPr>
        <w:t>We Concur:</w:t>
      </w:r>
    </w:p>
    <w:p w14:paraId="7BBD7EDF" w14:textId="77777777" w:rsidR="00042395" w:rsidRPr="00042395" w:rsidRDefault="00000000" w:rsidP="00042395">
      <w:pPr>
        <w:tabs>
          <w:tab w:val="left" w:pos="1440"/>
        </w:tabs>
        <w:spacing w:after="0" w:line="240" w:lineRule="auto"/>
        <w:rPr>
          <w:b/>
          <w:bCs/>
        </w:rPr>
      </w:pPr>
      <w:r w:rsidRPr="00042395">
        <w:rPr>
          <w:b/>
          <w:bCs/>
        </w:rPr>
        <w:t>GUERRERO, C. J.</w:t>
      </w:r>
    </w:p>
    <w:p w14:paraId="7BBD7EE0" w14:textId="77777777" w:rsidR="00042395" w:rsidRPr="00042395" w:rsidRDefault="00000000" w:rsidP="00042395">
      <w:pPr>
        <w:tabs>
          <w:tab w:val="left" w:pos="1440"/>
        </w:tabs>
        <w:spacing w:after="0" w:line="240" w:lineRule="auto"/>
        <w:rPr>
          <w:b/>
          <w:bCs/>
        </w:rPr>
      </w:pPr>
      <w:r w:rsidRPr="00042395">
        <w:rPr>
          <w:b/>
          <w:bCs/>
        </w:rPr>
        <w:t>LIU, J.</w:t>
      </w:r>
    </w:p>
    <w:p w14:paraId="7BBD7EE1" w14:textId="77777777" w:rsidR="00042395" w:rsidRPr="00042395" w:rsidRDefault="00000000" w:rsidP="00042395">
      <w:pPr>
        <w:tabs>
          <w:tab w:val="left" w:pos="1440"/>
        </w:tabs>
        <w:spacing w:after="0" w:line="240" w:lineRule="auto"/>
        <w:rPr>
          <w:b/>
          <w:bCs/>
        </w:rPr>
      </w:pPr>
      <w:r w:rsidRPr="00042395">
        <w:rPr>
          <w:b/>
          <w:bCs/>
        </w:rPr>
        <w:t>KRUGER, J.</w:t>
      </w:r>
    </w:p>
    <w:p w14:paraId="7BBD7EE2" w14:textId="77777777" w:rsidR="00042395" w:rsidRPr="00042395" w:rsidRDefault="00000000" w:rsidP="00042395">
      <w:pPr>
        <w:tabs>
          <w:tab w:val="left" w:pos="1440"/>
        </w:tabs>
        <w:spacing w:after="0" w:line="240" w:lineRule="auto"/>
        <w:rPr>
          <w:b/>
          <w:bCs/>
        </w:rPr>
      </w:pPr>
      <w:r w:rsidRPr="00042395">
        <w:rPr>
          <w:b/>
          <w:bCs/>
        </w:rPr>
        <w:t>GROBAN, J.</w:t>
      </w:r>
    </w:p>
    <w:p w14:paraId="7BBD7EE3" w14:textId="77777777" w:rsidR="00042395" w:rsidRPr="00042395" w:rsidRDefault="00000000" w:rsidP="00042395">
      <w:pPr>
        <w:tabs>
          <w:tab w:val="left" w:pos="1440"/>
        </w:tabs>
        <w:spacing w:after="0" w:line="240" w:lineRule="auto"/>
        <w:rPr>
          <w:b/>
          <w:bCs/>
        </w:rPr>
      </w:pPr>
      <w:r w:rsidRPr="00042395">
        <w:rPr>
          <w:b/>
          <w:bCs/>
        </w:rPr>
        <w:t>JENKINS, J.</w:t>
      </w:r>
    </w:p>
    <w:p w14:paraId="03B1AF2D" w14:textId="77777777" w:rsidR="00BD21BD" w:rsidRDefault="00000000" w:rsidP="00042395">
      <w:pPr>
        <w:tabs>
          <w:tab w:val="left" w:pos="1440"/>
        </w:tabs>
        <w:spacing w:after="0" w:line="240" w:lineRule="auto"/>
        <w:rPr>
          <w:b/>
          <w:bCs/>
        </w:rPr>
        <w:sectPr w:rsidR="00BD21BD" w:rsidSect="006D6E8A">
          <w:footerReference w:type="first" r:id="rId9"/>
          <w:pgSz w:w="12240" w:h="15840"/>
          <w:pgMar w:top="1800" w:right="2160" w:bottom="1440" w:left="2160" w:header="720" w:footer="720" w:gutter="0"/>
          <w:pgNumType w:start="1"/>
          <w:cols w:space="720"/>
          <w:titlePg/>
          <w:docGrid w:linePitch="367"/>
        </w:sectPr>
      </w:pPr>
      <w:r w:rsidRPr="00042395">
        <w:rPr>
          <w:b/>
          <w:bCs/>
        </w:rPr>
        <w:t>EVANS, J.</w:t>
      </w:r>
    </w:p>
    <w:p w14:paraId="4637474F" w14:textId="77777777" w:rsidR="00C92DDF" w:rsidRDefault="00C92DDF" w:rsidP="00C92DDF">
      <w:pPr>
        <w:jc w:val="center"/>
      </w:pPr>
      <w:r>
        <w:lastRenderedPageBreak/>
        <w:t>PEOPLE v. FLORES</w:t>
      </w:r>
    </w:p>
    <w:p w14:paraId="51B786C7" w14:textId="77777777" w:rsidR="00C92DDF" w:rsidRDefault="00C92DDF" w:rsidP="00C92DDF">
      <w:pPr>
        <w:jc w:val="center"/>
      </w:pPr>
      <w:r>
        <w:t>S2</w:t>
      </w:r>
      <w:r w:rsidRPr="00016909">
        <w:t>67522</w:t>
      </w:r>
    </w:p>
    <w:p w14:paraId="08BA5B69" w14:textId="77777777" w:rsidR="00C92DDF" w:rsidRDefault="00C92DDF" w:rsidP="00C92DDF">
      <w:pPr>
        <w:jc w:val="center"/>
      </w:pPr>
    </w:p>
    <w:p w14:paraId="705179D2" w14:textId="77777777" w:rsidR="00C92DDF" w:rsidRDefault="00C92DDF" w:rsidP="00C92DDF">
      <w:pPr>
        <w:jc w:val="center"/>
      </w:pPr>
      <w:r>
        <w:t>Concurring Opinion by Justice Evans</w:t>
      </w:r>
    </w:p>
    <w:p w14:paraId="00BB73B7" w14:textId="77777777" w:rsidR="00C92DDF" w:rsidRDefault="00C92DDF" w:rsidP="00C92DDF">
      <w:pPr>
        <w:jc w:val="center"/>
      </w:pPr>
    </w:p>
    <w:p w14:paraId="3252E1DD" w14:textId="77777777" w:rsidR="00C92DDF" w:rsidRDefault="00C92DDF" w:rsidP="00C92DDF">
      <w:pPr>
        <w:ind w:firstLine="720"/>
      </w:pPr>
      <w:bookmarkStart w:id="4" w:name="mainstory"/>
      <w:bookmarkEnd w:id="4"/>
      <w:r w:rsidRPr="00107149">
        <w:t>I agree with today’s opinion that</w:t>
      </w:r>
      <w:r>
        <w:t xml:space="preserve"> the detention of defendant Marlon Flores was unlawful.</w:t>
      </w:r>
      <w:r w:rsidRPr="00107149">
        <w:t xml:space="preserve"> </w:t>
      </w:r>
      <w:r>
        <w:t xml:space="preserve"> In</w:t>
      </w:r>
      <w:r w:rsidRPr="00107149">
        <w:t xml:space="preserve"> bending </w:t>
      </w:r>
      <w:r>
        <w:t xml:space="preserve">over </w:t>
      </w:r>
      <w:r w:rsidRPr="00107149">
        <w:t xml:space="preserve">with his hands by his shoe and </w:t>
      </w:r>
      <w:r>
        <w:t>refraining from</w:t>
      </w:r>
      <w:r w:rsidRPr="00107149">
        <w:t xml:space="preserve"> acknowledging the officers’ presence,</w:t>
      </w:r>
      <w:r>
        <w:t xml:space="preserve"> Flores indicated he was either going about his business or attempting to avoid engaging with the police — both of which were within his rights to do.  As the majority concludes, the fact that Flores operated within his rights in a high crime area did not transform his behavior into grounds to detain him.  Based on the totality of the circumstances, there was no reasonable suspicion that Flores was engaged in criminal activity that would justify his detention.</w:t>
      </w:r>
    </w:p>
    <w:p w14:paraId="30AF9F79" w14:textId="77777777" w:rsidR="00C92DDF" w:rsidRDefault="00C92DDF" w:rsidP="00C92DDF">
      <w:pPr>
        <w:ind w:firstLine="720"/>
      </w:pPr>
      <w:r w:rsidRPr="00107149">
        <w:t xml:space="preserve">I write separately to </w:t>
      </w:r>
      <w:r>
        <w:t xml:space="preserve">explain why one’s attempts to avoid engaging with the police — in whatever lawful manner — must be viewed with care and caution when evaluating the legality of a detention.  The trial court’s observations and the Attorney General’s arguments highlight the danger in considering “nervous” and “evasive” behavior in the totality of the circumstances analysis when devoid of real world context.  </w:t>
      </w:r>
      <w:r w:rsidRPr="00107149">
        <w:t xml:space="preserve">The trial court’s rationale for deeming Flores’s conduct “suspicious” was that Flores </w:t>
      </w:r>
      <w:r>
        <w:t xml:space="preserve">failed to </w:t>
      </w:r>
      <w:r w:rsidRPr="00107149">
        <w:t>act as “any normal human being” would</w:t>
      </w:r>
      <w:r>
        <w:t>, specifically that</w:t>
      </w:r>
      <w:r w:rsidRPr="00107149">
        <w:t xml:space="preserve"> “</w:t>
      </w:r>
      <w:r>
        <w:t>a</w:t>
      </w:r>
      <w:r w:rsidRPr="00107149">
        <w:t>ny normal human being would stand up and say, ‘Oh, you scared me’ or ‘Oh, what can I help you</w:t>
      </w:r>
      <w:r>
        <w:t xml:space="preserve"> with</w:t>
      </w:r>
      <w:r w:rsidRPr="00107149">
        <w:t>?</w:t>
      </w:r>
      <w:r>
        <w:t>’</w:t>
      </w:r>
      <w:r w:rsidRPr="00107149">
        <w:t xml:space="preserve"> </w:t>
      </w:r>
      <w:r>
        <w:t>O</w:t>
      </w:r>
      <w:r w:rsidRPr="00107149">
        <w:t>r ‘Oh, why are you coming towards me?’</w:t>
      </w:r>
      <w:r>
        <w:t> </w:t>
      </w:r>
      <w:r w:rsidRPr="00107149">
        <w:t xml:space="preserve">” </w:t>
      </w:r>
      <w:r>
        <w:t xml:space="preserve"> </w:t>
      </w:r>
      <w:r>
        <w:rPr>
          <w:szCs w:val="27"/>
        </w:rPr>
        <w:t xml:space="preserve">By expecting Flores to interact with the police with pleasantries — even as police approached him like a suspect — the trial court seemed to </w:t>
      </w:r>
      <w:r>
        <w:rPr>
          <w:szCs w:val="27"/>
        </w:rPr>
        <w:lastRenderedPageBreak/>
        <w:t xml:space="preserve">indicate that Flores could not decline a “consensual” interaction unless he behaved in a very particular way.  This is clearly not the law.  </w:t>
      </w:r>
      <w:r w:rsidRPr="00107149">
        <w:t>(</w:t>
      </w:r>
      <w:r>
        <w:t xml:space="preserve">See </w:t>
      </w:r>
      <w:r w:rsidRPr="00107149">
        <w:rPr>
          <w:i/>
          <w:iCs/>
        </w:rPr>
        <w:t>Florida v. Royer</w:t>
      </w:r>
      <w:r w:rsidRPr="00107149">
        <w:t xml:space="preserve"> (1983) 460 U.S. 491, 497–498.) </w:t>
      </w:r>
      <w:r>
        <w:t xml:space="preserve"> While the Attorney General </w:t>
      </w:r>
      <w:r>
        <w:rPr>
          <w:szCs w:val="27"/>
        </w:rPr>
        <w:t xml:space="preserve">recognized Flores was within his legal right to decline interacting with the police, he too faulted Flores for failing to exercise this right in a particular manner.  </w:t>
      </w:r>
      <w:r>
        <w:t>D</w:t>
      </w:r>
      <w:r w:rsidRPr="00107149">
        <w:t>uring oral argument, the A</w:t>
      </w:r>
      <w:r>
        <w:t xml:space="preserve">ttorney </w:t>
      </w:r>
      <w:r w:rsidRPr="00107149">
        <w:t>G</w:t>
      </w:r>
      <w:r>
        <w:t>eneral</w:t>
      </w:r>
      <w:r w:rsidRPr="00107149">
        <w:t xml:space="preserve"> </w:t>
      </w:r>
      <w:r>
        <w:t>asserted</w:t>
      </w:r>
      <w:r w:rsidRPr="00107149">
        <w:t xml:space="preserve"> that Flores could have </w:t>
      </w:r>
      <w:r>
        <w:t xml:space="preserve">“simply </w:t>
      </w:r>
      <w:r w:rsidRPr="00107149">
        <w:t>gotten in his car</w:t>
      </w:r>
      <w:r>
        <w:t xml:space="preserve"> . . .</w:t>
      </w:r>
      <w:r w:rsidRPr="00107149">
        <w:t xml:space="preserve"> </w:t>
      </w:r>
      <w:r>
        <w:t>[and]</w:t>
      </w:r>
      <w:r w:rsidRPr="00107149">
        <w:t xml:space="preserve"> driven away</w:t>
      </w:r>
      <w:r>
        <w:t>,” “</w:t>
      </w:r>
      <w:r w:rsidRPr="00107149">
        <w:t>could have walked away</w:t>
      </w:r>
      <w:r>
        <w:t>,”</w:t>
      </w:r>
      <w:r w:rsidRPr="00107149">
        <w:t xml:space="preserve"> and </w:t>
      </w:r>
      <w:r>
        <w:t>“</w:t>
      </w:r>
      <w:r w:rsidRPr="00107149">
        <w:t xml:space="preserve">could have told the officers that he didn’t want to engage with them.” </w:t>
      </w:r>
      <w:r>
        <w:t xml:space="preserve"> While these technically may have been legally available options, such actions may have been and often are perceived by law enforcement as escalating behavior meriting an escalated police response, including potential pursuit and/or use of force.  (See, e.g., Eisenberg, </w:t>
      </w:r>
      <w:r w:rsidRPr="001B5FEF">
        <w:rPr>
          <w:i/>
          <w:iCs/>
        </w:rPr>
        <w:t>Criminal Law: Policing the Danger Narrative</w:t>
      </w:r>
      <w:r>
        <w:t xml:space="preserve"> (2023) 113 J. Crim. L. &amp; Criminology 473, 507</w:t>
      </w:r>
      <w:r w:rsidRPr="006847AB">
        <w:rPr>
          <w:szCs w:val="27"/>
        </w:rPr>
        <w:t>–</w:t>
      </w:r>
      <w:r>
        <w:t>508.)</w:t>
      </w:r>
    </w:p>
    <w:p w14:paraId="5C85AF2C" w14:textId="77777777" w:rsidR="00C92DDF" w:rsidRDefault="00C92DDF" w:rsidP="00C92DDF">
      <w:pPr>
        <w:ind w:firstLine="720"/>
      </w:pPr>
      <w:r>
        <w:rPr>
          <w:szCs w:val="27"/>
        </w:rPr>
        <w:t>Contrary to the trial court’s and Attorney General’s suggestions, the Fourth Amendment does not require that citizens engage or decline from engaging with police in a particular manner in order to be free from police detention.</w:t>
      </w:r>
      <w:r>
        <w:t xml:space="preserve">  It is therefore not surprising courts have concluded that </w:t>
      </w:r>
      <w:r>
        <w:rPr>
          <w:szCs w:val="27"/>
        </w:rPr>
        <w:t>attempting to avoid police interaction, including</w:t>
      </w:r>
      <w:r w:rsidRPr="00DA2618">
        <w:rPr>
          <w:szCs w:val="27"/>
        </w:rPr>
        <w:t xml:space="preserve"> </w:t>
      </w:r>
      <w:r>
        <w:rPr>
          <w:szCs w:val="27"/>
        </w:rPr>
        <w:t>ignoring or walking, driving, or running away from officers,</w:t>
      </w:r>
      <w:r w:rsidRPr="00DA2618">
        <w:rPr>
          <w:szCs w:val="27"/>
        </w:rPr>
        <w:t xml:space="preserve"> </w:t>
      </w:r>
      <w:r>
        <w:rPr>
          <w:szCs w:val="27"/>
        </w:rPr>
        <w:t xml:space="preserve">generally </w:t>
      </w:r>
      <w:r w:rsidRPr="00DA2618">
        <w:rPr>
          <w:szCs w:val="27"/>
        </w:rPr>
        <w:t xml:space="preserve">should have </w:t>
      </w:r>
      <w:r>
        <w:rPr>
          <w:szCs w:val="27"/>
        </w:rPr>
        <w:t>limited</w:t>
      </w:r>
      <w:r w:rsidRPr="00DA2618">
        <w:rPr>
          <w:szCs w:val="27"/>
        </w:rPr>
        <w:t xml:space="preserve"> significance</w:t>
      </w:r>
      <w:r>
        <w:rPr>
          <w:szCs w:val="27"/>
        </w:rPr>
        <w:t> </w:t>
      </w:r>
      <w:bookmarkStart w:id="5" w:name="_Hlk164858780"/>
      <w:r w:rsidRPr="00DA2618">
        <w:rPr>
          <w:szCs w:val="27"/>
        </w:rPr>
        <w:t>—</w:t>
      </w:r>
      <w:bookmarkEnd w:id="5"/>
      <w:r w:rsidRPr="00DA2618">
        <w:rPr>
          <w:szCs w:val="27"/>
        </w:rPr>
        <w:t xml:space="preserve"> if any</w:t>
      </w:r>
      <w:r>
        <w:rPr>
          <w:szCs w:val="27"/>
        </w:rPr>
        <w:t> </w:t>
      </w:r>
      <w:r w:rsidRPr="00DA2618">
        <w:rPr>
          <w:szCs w:val="27"/>
        </w:rPr>
        <w:t>— “[w]here a suspect is under no obligation to respond to a police officer’s inquiry.”</w:t>
      </w:r>
      <w:r>
        <w:rPr>
          <w:szCs w:val="27"/>
        </w:rPr>
        <w:t xml:space="preserve">  (</w:t>
      </w:r>
      <w:r w:rsidRPr="00400B70">
        <w:rPr>
          <w:i/>
          <w:iCs/>
          <w:szCs w:val="27"/>
        </w:rPr>
        <w:t>Commonwealth v. Warren</w:t>
      </w:r>
      <w:r w:rsidRPr="00400B70">
        <w:rPr>
          <w:szCs w:val="27"/>
        </w:rPr>
        <w:t xml:space="preserve"> (Mass. 2016) 58 N.E.3d 333</w:t>
      </w:r>
      <w:r>
        <w:rPr>
          <w:szCs w:val="27"/>
        </w:rPr>
        <w:t>, 341 (</w:t>
      </w:r>
      <w:r>
        <w:rPr>
          <w:i/>
          <w:iCs/>
          <w:szCs w:val="27"/>
        </w:rPr>
        <w:t>Warren</w:t>
      </w:r>
      <w:r>
        <w:rPr>
          <w:szCs w:val="27"/>
        </w:rPr>
        <w:t xml:space="preserve">).)  A contrary conclusion, these courts have reasoned, would enable </w:t>
      </w:r>
      <w:r w:rsidRPr="006847AB">
        <w:rPr>
          <w:szCs w:val="27"/>
        </w:rPr>
        <w:t>“</w:t>
      </w:r>
      <w:r>
        <w:rPr>
          <w:szCs w:val="27"/>
        </w:rPr>
        <w:t> ‘</w:t>
      </w:r>
      <w:r w:rsidRPr="006847AB">
        <w:rPr>
          <w:szCs w:val="27"/>
        </w:rPr>
        <w:t xml:space="preserve">the police </w:t>
      </w:r>
      <w:r>
        <w:rPr>
          <w:szCs w:val="27"/>
        </w:rPr>
        <w:t xml:space="preserve">[to] </w:t>
      </w:r>
      <w:r w:rsidRPr="006847AB">
        <w:rPr>
          <w:szCs w:val="27"/>
        </w:rPr>
        <w:t>turn a hunch into a reasonable suspicion by inducing the [</w:t>
      </w:r>
      <w:r>
        <w:rPr>
          <w:szCs w:val="27"/>
        </w:rPr>
        <w:t>behavior</w:t>
      </w:r>
      <w:r w:rsidRPr="006847AB">
        <w:rPr>
          <w:szCs w:val="27"/>
        </w:rPr>
        <w:t>] justifying the suspicion.’</w:t>
      </w:r>
      <w:r>
        <w:rPr>
          <w:szCs w:val="27"/>
        </w:rPr>
        <w:t> </w:t>
      </w:r>
      <w:r w:rsidRPr="006847AB">
        <w:rPr>
          <w:szCs w:val="27"/>
        </w:rPr>
        <w:t>”  (</w:t>
      </w:r>
      <w:r>
        <w:rPr>
          <w:i/>
          <w:iCs/>
          <w:szCs w:val="27"/>
        </w:rPr>
        <w:t>Ibid.</w:t>
      </w:r>
      <w:r w:rsidRPr="006847AB">
        <w:rPr>
          <w:szCs w:val="27"/>
        </w:rPr>
        <w:t>)</w:t>
      </w:r>
    </w:p>
    <w:p w14:paraId="0F9E14C0" w14:textId="77777777" w:rsidR="00C92DDF" w:rsidRDefault="00C92DDF" w:rsidP="00C92DDF">
      <w:pPr>
        <w:spacing w:after="0"/>
        <w:ind w:firstLine="720"/>
      </w:pPr>
      <w:r>
        <w:lastRenderedPageBreak/>
        <w:t>Importantly, naïve or ill-informed notions of police interactions must not shape our Fourth Amendment jurisprudence and must not compromise Californians’ Fourth Amendment rights.  I</w:t>
      </w:r>
      <w:r w:rsidRPr="00107149">
        <w:t xml:space="preserve">t </w:t>
      </w:r>
      <w:r>
        <w:t>may be</w:t>
      </w:r>
      <w:r w:rsidRPr="00107149">
        <w:t xml:space="preserve"> </w:t>
      </w:r>
      <w:r>
        <w:t>a reasonable response for</w:t>
      </w:r>
      <w:r w:rsidRPr="00107149">
        <w:t xml:space="preserve"> a</w:t>
      </w:r>
      <w:r>
        <w:t>n individual to</w:t>
      </w:r>
      <w:r w:rsidRPr="00107149">
        <w:t xml:space="preserve"> reflexively “freeze” or flee when being approached by officers.  (See Skalstad, </w:t>
      </w:r>
      <w:r w:rsidRPr="00107149">
        <w:rPr>
          <w:i/>
          <w:iCs/>
        </w:rPr>
        <w:t>Transformative Mediation Twenty Years Later: An Invitation to Discuss Post-Traumatic Stress Disorder and Legal Ethics</w:t>
      </w:r>
      <w:r w:rsidRPr="00107149">
        <w:t xml:space="preserve"> (2016) 1 Concordia L.Rev. 1, 17 [“the fight-flight-freeze response is a reflex and the product of the autonomic nervous system”].)</w:t>
      </w:r>
      <w:r>
        <w:t xml:space="preserve">  As numerous judges before us have recognized, many individuals </w:t>
      </w:r>
      <w:r w:rsidRPr="00DA2618">
        <w:rPr>
          <w:szCs w:val="27"/>
        </w:rPr>
        <w:t>—</w:t>
      </w:r>
      <w:r>
        <w:rPr>
          <w:szCs w:val="27"/>
        </w:rPr>
        <w:t xml:space="preserve"> including, particularly, people of color </w:t>
      </w:r>
      <w:r w:rsidRPr="00DA2618">
        <w:rPr>
          <w:szCs w:val="27"/>
        </w:rPr>
        <w:t>—</w:t>
      </w:r>
      <w:r>
        <w:t xml:space="preserve"> commonly hold a </w:t>
      </w:r>
      <w:r w:rsidRPr="00107149">
        <w:t xml:space="preserve">perception that engaging in any manner with police, including in </w:t>
      </w:r>
      <w:r>
        <w:t xml:space="preserve">seemingly </w:t>
      </w:r>
      <w:r w:rsidRPr="00107149">
        <w:t>casual or innocuous ways, entails a degree of risk to one’s safety.</w:t>
      </w:r>
      <w:r>
        <w:t xml:space="preserve">  (See </w:t>
      </w:r>
      <w:r>
        <w:rPr>
          <w:i/>
          <w:iCs/>
        </w:rPr>
        <w:t xml:space="preserve">Illinois v. Wardlow </w:t>
      </w:r>
      <w:r>
        <w:t xml:space="preserve">(2000) 528 U.S. 119, 132 (conc. opn. of Stevens, J.) [“Among some citizens, particularly minorities and those residing in high crime areas, there is also the possibility that the fleeing person is entirely innocent, but, with or without justification, believes that contact with the police can itself be dangerous”].)  This perception is based on the unfortunate and longstanding realities of policing in many minority communities across the country, as well as the police </w:t>
      </w:r>
      <w:r w:rsidRPr="004A3307">
        <w:t>killings of</w:t>
      </w:r>
      <w:r>
        <w:t xml:space="preserve"> Oscar Grant, </w:t>
      </w:r>
      <w:r w:rsidRPr="004A3307">
        <w:t xml:space="preserve">Eric Garner, </w:t>
      </w:r>
      <w:r>
        <w:t xml:space="preserve">Michael Brown, </w:t>
      </w:r>
      <w:r w:rsidRPr="004A3307">
        <w:t xml:space="preserve">Akai Gurley, Tamir Rice, Calvon Reid, Anthony Hill, Eric Harris, Dontay Ivy, Walter Scott, </w:t>
      </w:r>
      <w:r>
        <w:t xml:space="preserve">Freddie Gray, Jr., </w:t>
      </w:r>
      <w:r w:rsidRPr="004A3307">
        <w:t xml:space="preserve">Greg Gunn, Deravis Rogers, </w:t>
      </w:r>
      <w:r>
        <w:t xml:space="preserve">Terence Crutcher, </w:t>
      </w:r>
      <w:r w:rsidRPr="004A3307">
        <w:t>Jordan Edwards, Dennis Plowden</w:t>
      </w:r>
      <w:r>
        <w:t>, Jr.</w:t>
      </w:r>
      <w:r w:rsidRPr="004A3307">
        <w:t>, Stephon Clark, Chinedu Okobi, George Robinson, Jimmy Atchison, Javier Ambler</w:t>
      </w:r>
      <w:r>
        <w:t xml:space="preserve"> II</w:t>
      </w:r>
      <w:r w:rsidRPr="004A3307">
        <w:t xml:space="preserve">, </w:t>
      </w:r>
      <w:r>
        <w:t>R</w:t>
      </w:r>
      <w:r w:rsidRPr="004A3307">
        <w:t xml:space="preserve">yan Twyman, </w:t>
      </w:r>
      <w:r>
        <w:t xml:space="preserve">Elijah McClain, </w:t>
      </w:r>
      <w:r w:rsidRPr="004A3307">
        <w:t>Cameron Lamb, William Howard Green, Manuel Ellis, Breonna Taylor, Daniel Prude, George Floyd, Andre Hill, Calvin Wilks, Jr., Quadry Sanders,</w:t>
      </w:r>
      <w:r>
        <w:t xml:space="preserve"> </w:t>
      </w:r>
      <w:r w:rsidRPr="004A3307">
        <w:t>Jayland Walker,</w:t>
      </w:r>
      <w:r>
        <w:t xml:space="preserve"> Tyre Nichols,</w:t>
      </w:r>
      <w:r w:rsidRPr="004A3307">
        <w:t xml:space="preserve"> Ta</w:t>
      </w:r>
      <w:r>
        <w:t>’</w:t>
      </w:r>
      <w:r w:rsidRPr="004A3307">
        <w:t>Kiya Young</w:t>
      </w:r>
      <w:r>
        <w:t xml:space="preserve"> and her </w:t>
      </w:r>
      <w:r>
        <w:lastRenderedPageBreak/>
        <w:t>unborn child</w:t>
      </w:r>
      <w:r w:rsidRPr="004A3307">
        <w:t xml:space="preserve">, and </w:t>
      </w:r>
      <w:r>
        <w:t xml:space="preserve">thousands of </w:t>
      </w:r>
      <w:r w:rsidRPr="004A3307">
        <w:t xml:space="preserve">other people </w:t>
      </w:r>
      <w:r>
        <w:t>in the last decade alone.  (See, e.g., Police Shootings Database, The Washington Post, &lt;</w:t>
      </w:r>
      <w:r w:rsidRPr="001913C1">
        <w:t>https://www.washingtonpost.com/graphics/</w:t>
      </w:r>
    </w:p>
    <w:p w14:paraId="3E8EB8CE" w14:textId="77777777" w:rsidR="00C92DDF" w:rsidRDefault="00C92DDF" w:rsidP="00C92DDF">
      <w:r w:rsidRPr="001913C1">
        <w:t>investigations/police-shootings-database/</w:t>
      </w:r>
      <w:r>
        <w:t>&gt; [as of May 2, 2024].)</w:t>
      </w:r>
      <w:r>
        <w:rPr>
          <w:rStyle w:val="FootnoteReference"/>
        </w:rPr>
        <w:footnoteReference w:id="5"/>
      </w:r>
      <w:r>
        <w:t xml:space="preserve">  In short, p</w:t>
      </w:r>
      <w:r w:rsidRPr="00107149">
        <w:t xml:space="preserve">olice killings of Black and </w:t>
      </w:r>
      <w:r>
        <w:t>B</w:t>
      </w:r>
      <w:r w:rsidRPr="00107149">
        <w:t>rown children, men, and women “have occurred with distressing frequency throughout the country and here in California.”  (</w:t>
      </w:r>
      <w:r w:rsidRPr="00107149">
        <w:rPr>
          <w:i/>
          <w:iCs/>
        </w:rPr>
        <w:t xml:space="preserve">B.B. v. County of Los Angeles </w:t>
      </w:r>
      <w:r w:rsidRPr="00107149">
        <w:t>(2020) 10 Cal.5th 1, 30 (conc. opn. of Liu, J.).)</w:t>
      </w:r>
      <w:r>
        <w:t xml:space="preserve">  </w:t>
      </w:r>
      <w:r w:rsidRPr="00107149">
        <w:t>Due to th</w:t>
      </w:r>
      <w:r>
        <w:t>is</w:t>
      </w:r>
      <w:r w:rsidRPr="00107149">
        <w:t xml:space="preserve"> </w:t>
      </w:r>
      <w:r>
        <w:t>searing</w:t>
      </w:r>
      <w:r w:rsidRPr="00107149">
        <w:t xml:space="preserve"> history </w:t>
      </w:r>
      <w:r>
        <w:t xml:space="preserve">and the present day experiences </w:t>
      </w:r>
      <w:r w:rsidRPr="00107149">
        <w:t xml:space="preserve">of </w:t>
      </w:r>
      <w:r>
        <w:t>far too many people</w:t>
      </w:r>
      <w:r w:rsidRPr="00107149">
        <w:t xml:space="preserve"> in the United States, </w:t>
      </w:r>
      <w:r>
        <w:t xml:space="preserve">for generations, legions of </w:t>
      </w:r>
      <w:r w:rsidRPr="00107149">
        <w:t xml:space="preserve">parents in minority communities </w:t>
      </w:r>
      <w:r>
        <w:t>have</w:t>
      </w:r>
      <w:r w:rsidRPr="00107149">
        <w:t xml:space="preserve"> give</w:t>
      </w:r>
      <w:r>
        <w:t>n</w:t>
      </w:r>
      <w:r w:rsidRPr="00107149">
        <w:t xml:space="preserve"> their children “the talk”</w:t>
      </w:r>
      <w:r>
        <w:t xml:space="preserve"> — </w:t>
      </w:r>
      <w:r w:rsidRPr="00107149">
        <w:t>detail</w:t>
      </w:r>
      <w:r>
        <w:t>ing</w:t>
      </w:r>
      <w:r w:rsidRPr="00107149">
        <w:t xml:space="preserve"> survival techniques for how to navigate interactions with police “all out of fear of how an officer with a gun will react to them.” </w:t>
      </w:r>
      <w:r>
        <w:t xml:space="preserve"> </w:t>
      </w:r>
      <w:r w:rsidRPr="00107149">
        <w:t>(</w:t>
      </w:r>
      <w:r w:rsidRPr="00107149">
        <w:rPr>
          <w:i/>
          <w:iCs/>
        </w:rPr>
        <w:t>Utah v. Strieff</w:t>
      </w:r>
      <w:r w:rsidRPr="00107149">
        <w:t xml:space="preserve"> (2016) 57</w:t>
      </w:r>
      <w:r>
        <w:t>9</w:t>
      </w:r>
      <w:r w:rsidRPr="00107149">
        <w:t xml:space="preserve"> U.S. 232, 254 (dis. opn. of Sotomayor, J.).)</w:t>
      </w:r>
      <w:r>
        <w:t xml:space="preserve">  Given this context</w:t>
      </w:r>
      <w:r w:rsidRPr="00C4004F">
        <w:t xml:space="preserve">, </w:t>
      </w:r>
      <w:r>
        <w:t>it is apparent why</w:t>
      </w:r>
      <w:r w:rsidRPr="00C4004F">
        <w:t xml:space="preserve"> </w:t>
      </w:r>
      <w:r>
        <w:t xml:space="preserve">attempting to </w:t>
      </w:r>
      <w:r w:rsidRPr="00C4004F">
        <w:t>avoid</w:t>
      </w:r>
      <w:r>
        <w:t xml:space="preserve"> police officers</w:t>
      </w:r>
      <w:r w:rsidRPr="00C4004F">
        <w:t xml:space="preserve"> reflect</w:t>
      </w:r>
      <w:r>
        <w:t>s, for many people,</w:t>
      </w:r>
      <w:r w:rsidRPr="00C4004F">
        <w:t xml:space="preserve"> </w:t>
      </w:r>
      <w:r>
        <w:t xml:space="preserve">simply </w:t>
      </w:r>
      <w:r w:rsidRPr="00C4004F">
        <w:t>a desire to avoid risking injury or death</w:t>
      </w:r>
      <w:r>
        <w:t>.</w:t>
      </w:r>
      <w:r w:rsidRPr="00C4004F">
        <w:t xml:space="preserve"> </w:t>
      </w:r>
    </w:p>
    <w:p w14:paraId="04549360" w14:textId="77777777" w:rsidR="00C92DDF" w:rsidRDefault="00C92DDF" w:rsidP="00C92DDF">
      <w:pPr>
        <w:ind w:firstLine="720"/>
      </w:pPr>
      <w:r>
        <w:t>Despite growing recognition of the deep-seated issues in policing in our country, it is still the case that</w:t>
      </w:r>
      <w:r w:rsidRPr="00107149">
        <w:t xml:space="preserve"> communities of color disproportiona</w:t>
      </w:r>
      <w:r>
        <w:t>te</w:t>
      </w:r>
      <w:r w:rsidRPr="00107149">
        <w:t>ly experience heightened levels of polic</w:t>
      </w:r>
      <w:r>
        <w:t>e scrutiny and racial profiling</w:t>
      </w:r>
      <w:r w:rsidRPr="00107149">
        <w:t xml:space="preserve">. </w:t>
      </w:r>
      <w:r>
        <w:t xml:space="preserve"> “</w:t>
      </w:r>
      <w:r w:rsidRPr="006B5954">
        <w:t>Not only are Black people stopped and searched more often, but such searches are less likely to yield evidence or contraband.</w:t>
      </w:r>
      <w:r>
        <w:t>”</w:t>
      </w:r>
      <w:r w:rsidRPr="00107149">
        <w:t xml:space="preserve"> </w:t>
      </w:r>
      <w:r>
        <w:t xml:space="preserve"> </w:t>
      </w:r>
      <w:r w:rsidRPr="00107149">
        <w:t>(</w:t>
      </w:r>
      <w:r w:rsidRPr="00107149">
        <w:rPr>
          <w:i/>
          <w:iCs/>
        </w:rPr>
        <w:t xml:space="preserve">People v. McWilliams </w:t>
      </w:r>
      <w:r w:rsidRPr="00107149">
        <w:t>(2023) 14 Cal.5th 429, 451 (conc. opn. of Liu, J.)</w:t>
      </w:r>
      <w:r>
        <w:t>,</w:t>
      </w:r>
      <w:r w:rsidRPr="00523728">
        <w:t xml:space="preserve"> </w:t>
      </w:r>
      <w:r>
        <w:t xml:space="preserve">citing </w:t>
      </w:r>
      <w:r w:rsidRPr="00DF4ED4">
        <w:t>Lofstrom et al., Racial Disparities in Law Enforcement Stops (Oct. 2021) p. 25</w:t>
      </w:r>
      <w:r>
        <w:t xml:space="preserve"> and </w:t>
      </w:r>
      <w:r w:rsidRPr="00B03409">
        <w:t>Ayers &amp; Borowsky, A Study of Racially Disparate Outcomes in the Los Angeles Police Department (Oct. 2008) pp. 7</w:t>
      </w:r>
      <w:r w:rsidRPr="006847AB">
        <w:rPr>
          <w:szCs w:val="27"/>
        </w:rPr>
        <w:t>–</w:t>
      </w:r>
      <w:r w:rsidRPr="00B03409">
        <w:t>8</w:t>
      </w:r>
      <w:r>
        <w:t>.</w:t>
      </w:r>
      <w:r w:rsidRPr="00107149">
        <w:t xml:space="preserve">) </w:t>
      </w:r>
      <w:r>
        <w:t xml:space="preserve"> A </w:t>
      </w:r>
      <w:r>
        <w:lastRenderedPageBreak/>
        <w:t>recent report found that out of</w:t>
      </w:r>
      <w:r w:rsidRPr="00107149">
        <w:t xml:space="preserve"> </w:t>
      </w:r>
      <w:r>
        <w:t>more than 4.5 million</w:t>
      </w:r>
      <w:r w:rsidRPr="00107149">
        <w:t xml:space="preserve"> </w:t>
      </w:r>
      <w:r>
        <w:t xml:space="preserve">law enforcement </w:t>
      </w:r>
      <w:r w:rsidRPr="00107149">
        <w:t xml:space="preserve">stops recorded </w:t>
      </w:r>
      <w:r>
        <w:t>throughout California in 2022</w:t>
      </w:r>
      <w:r w:rsidRPr="00107149">
        <w:t>, Black individuals were stopped 131.5</w:t>
      </w:r>
      <w:r>
        <w:t> </w:t>
      </w:r>
      <w:r w:rsidRPr="00107149">
        <w:t xml:space="preserve">percent more frequently relative to their proportion of the population and Hispanic individuals comprised the </w:t>
      </w:r>
      <w:r>
        <w:t>largest racial group</w:t>
      </w:r>
      <w:r w:rsidRPr="00107149">
        <w:t xml:space="preserve"> of stopped individuals. </w:t>
      </w:r>
      <w:r>
        <w:t xml:space="preserve"> </w:t>
      </w:r>
      <w:r w:rsidRPr="00107149">
        <w:t xml:space="preserve">(Racial and Identity </w:t>
      </w:r>
      <w:r>
        <w:t xml:space="preserve">Profiling </w:t>
      </w:r>
      <w:r w:rsidRPr="00107149">
        <w:t>Advisory Board</w:t>
      </w:r>
      <w:r>
        <w:t>, Annual Report 2024 (Jan. 1, 2024)</w:t>
      </w:r>
      <w:r w:rsidRPr="00107149">
        <w:t xml:space="preserve"> pp. 6–7</w:t>
      </w:r>
      <w:r>
        <w:t xml:space="preserve"> &lt;</w:t>
      </w:r>
      <w:r w:rsidRPr="007E418A">
        <w:t>https://oag.ca.gov/system/files/media/ripa-board-report-2024.pdf</w:t>
      </w:r>
      <w:r>
        <w:t>&gt; [as of May 2, 2024].</w:t>
      </w:r>
      <w:r w:rsidRPr="00107149">
        <w:t>)</w:t>
      </w:r>
      <w:r>
        <w:t xml:space="preserve">  Stopped Black and Hispanic individuals were more likely to be searched than stopped White individuals, while officers arrested and handcuffed Native Americans at the highest rates.  (</w:t>
      </w:r>
      <w:r>
        <w:rPr>
          <w:i/>
          <w:iCs/>
        </w:rPr>
        <w:t>Id.</w:t>
      </w:r>
      <w:r>
        <w:t xml:space="preserve"> at pp. 37, 42, 48</w:t>
      </w:r>
      <w:r w:rsidRPr="00107149">
        <w:t>–</w:t>
      </w:r>
      <w:r>
        <w:t>49.)  Officers were less likely to discover contraband when searching individuals of every other racial or ethnic group as compared to White individuals.  (</w:t>
      </w:r>
      <w:r>
        <w:rPr>
          <w:i/>
          <w:iCs/>
        </w:rPr>
        <w:t>Id.</w:t>
      </w:r>
      <w:r>
        <w:t xml:space="preserve"> at p. 49 [“Discovery rates were lower during stops with searches of all racial or ethnic groups of color”]; see also </w:t>
      </w:r>
      <w:r>
        <w:rPr>
          <w:i/>
          <w:iCs/>
        </w:rPr>
        <w:t>ibid.</w:t>
      </w:r>
      <w:r>
        <w:t xml:space="preserve"> [“Compared to White individuals, Black individuals had a higher probability of being searched . . . despite being less likely to be found in possession of contraband or evidence”].)  Based on the reality illustrated by these statistics</w:t>
      </w:r>
      <w:r w:rsidRPr="00C4004F">
        <w:t xml:space="preserve">, </w:t>
      </w:r>
      <w:r>
        <w:t xml:space="preserve">attempting to </w:t>
      </w:r>
      <w:r w:rsidRPr="00C4004F">
        <w:t>avoid</w:t>
      </w:r>
      <w:r>
        <w:t xml:space="preserve"> police officers</w:t>
      </w:r>
      <w:r w:rsidRPr="00C4004F">
        <w:t xml:space="preserve"> may</w:t>
      </w:r>
      <w:r w:rsidRPr="009F76C3">
        <w:t xml:space="preserve"> </w:t>
      </w:r>
      <w:r>
        <w:t xml:space="preserve">also reflect, for some people, a </w:t>
      </w:r>
      <w:r w:rsidRPr="009F76C3">
        <w:t>“desire to avoid the recurring indignity of being racially profiled.”  (</w:t>
      </w:r>
      <w:r w:rsidRPr="00C704B0">
        <w:rPr>
          <w:i/>
          <w:iCs/>
        </w:rPr>
        <w:t>Warren</w:t>
      </w:r>
      <w:r w:rsidRPr="009F76C3">
        <w:t xml:space="preserve">, </w:t>
      </w:r>
      <w:r w:rsidRPr="00C704B0">
        <w:rPr>
          <w:i/>
          <w:iCs/>
        </w:rPr>
        <w:t>supra</w:t>
      </w:r>
      <w:r w:rsidRPr="009F76C3">
        <w:t>, 58 N.E.3d at p. 342.)</w:t>
      </w:r>
    </w:p>
    <w:p w14:paraId="3BA689DD" w14:textId="77777777" w:rsidR="00C92DDF" w:rsidRDefault="00C92DDF" w:rsidP="00C92DDF">
      <w:pPr>
        <w:ind w:firstLine="720"/>
      </w:pPr>
      <w:r>
        <w:t>Today’s opinion notes that some courts have begun accounting for the impact of racial disparities in policing in the totality of the circumstances analysis.</w:t>
      </w:r>
      <w:r>
        <w:rPr>
          <w:rStyle w:val="FootnoteReference"/>
        </w:rPr>
        <w:footnoteReference w:id="6"/>
      </w:r>
      <w:r>
        <w:t xml:space="preserve">  The opinion does not </w:t>
      </w:r>
      <w:r>
        <w:lastRenderedPageBreak/>
        <w:t>rely on such considerations, but neither does it foreclose future litigants from developing arguments about how r</w:t>
      </w:r>
      <w:r w:rsidRPr="00107149">
        <w:t>acial disparities in policing</w:t>
      </w:r>
      <w:r>
        <w:t xml:space="preserve"> might</w:t>
      </w:r>
      <w:r w:rsidRPr="00107149">
        <w:t xml:space="preserve"> inform </w:t>
      </w:r>
      <w:r>
        <w:t>one’s</w:t>
      </w:r>
      <w:r w:rsidRPr="00107149">
        <w:t xml:space="preserve"> decision to avoid contact with </w:t>
      </w:r>
      <w:r>
        <w:t xml:space="preserve">the </w:t>
      </w:r>
      <w:r w:rsidRPr="00107149">
        <w:t>police</w:t>
      </w:r>
      <w:r>
        <w:t>.  While the evaluation of whether an individual’s behavior supports a finding of reasonable suspicion is an objective one, a test that fails to account for the realities of so many Californians would not be a reasonable one.</w:t>
      </w:r>
    </w:p>
    <w:p w14:paraId="7F03C1C4" w14:textId="77777777" w:rsidR="00C92DDF" w:rsidRPr="00107149" w:rsidRDefault="00C92DDF" w:rsidP="00C92DDF">
      <w:pPr>
        <w:ind w:firstLine="720"/>
      </w:pPr>
      <w:r>
        <w:t xml:space="preserve">I concur.  </w:t>
      </w:r>
    </w:p>
    <w:p w14:paraId="4E2D7E47" w14:textId="77777777" w:rsidR="00C92DDF" w:rsidRPr="00D07763" w:rsidRDefault="00C92DDF" w:rsidP="00C92DDF">
      <w:pPr>
        <w:pStyle w:val="PRComments"/>
        <w:spacing w:afterLines="100" w:after="240" w:line="400" w:lineRule="exact"/>
        <w:ind w:right="0"/>
        <w:jc w:val="both"/>
        <w:rPr>
          <w:rFonts w:ascii="Century Schoolbook" w:hAnsi="Century Schoolbook"/>
          <w:sz w:val="27"/>
          <w:szCs w:val="27"/>
        </w:rPr>
      </w:pPr>
    </w:p>
    <w:p w14:paraId="42525038" w14:textId="77777777" w:rsidR="00C92DDF" w:rsidRDefault="00C92DDF" w:rsidP="00C92DDF">
      <w:pPr>
        <w:rPr>
          <w:b/>
          <w:szCs w:val="27"/>
        </w:rPr>
      </w:pPr>
      <w:r w:rsidRPr="00D07763">
        <w:rPr>
          <w:b/>
          <w:szCs w:val="27"/>
        </w:rPr>
        <w:tab/>
      </w:r>
      <w:r w:rsidRPr="00D07763">
        <w:rPr>
          <w:b/>
          <w:szCs w:val="27"/>
        </w:rPr>
        <w:tab/>
      </w:r>
      <w:r w:rsidRPr="00D07763">
        <w:rPr>
          <w:b/>
          <w:szCs w:val="27"/>
        </w:rPr>
        <w:tab/>
      </w:r>
      <w:r w:rsidRPr="00D07763">
        <w:rPr>
          <w:b/>
          <w:szCs w:val="27"/>
        </w:rPr>
        <w:tab/>
      </w:r>
      <w:r w:rsidRPr="00D07763">
        <w:rPr>
          <w:b/>
          <w:szCs w:val="27"/>
        </w:rPr>
        <w:tab/>
      </w:r>
      <w:r>
        <w:rPr>
          <w:b/>
          <w:szCs w:val="27"/>
        </w:rPr>
        <w:tab/>
      </w:r>
      <w:r>
        <w:rPr>
          <w:b/>
          <w:szCs w:val="27"/>
        </w:rPr>
        <w:tab/>
      </w:r>
      <w:r>
        <w:rPr>
          <w:b/>
          <w:szCs w:val="27"/>
        </w:rPr>
        <w:tab/>
        <w:t>EVANS</w:t>
      </w:r>
      <w:r w:rsidRPr="00D07763">
        <w:rPr>
          <w:b/>
          <w:szCs w:val="27"/>
        </w:rPr>
        <w:t>, J.</w:t>
      </w:r>
    </w:p>
    <w:p w14:paraId="6ADC59CB" w14:textId="77777777" w:rsidR="00C92DDF" w:rsidRDefault="00C92DDF" w:rsidP="00C92DDF">
      <w:pPr>
        <w:spacing w:line="240" w:lineRule="auto"/>
        <w:rPr>
          <w:b/>
          <w:szCs w:val="27"/>
        </w:rPr>
      </w:pPr>
      <w:r>
        <w:rPr>
          <w:b/>
          <w:szCs w:val="27"/>
        </w:rPr>
        <w:t>We Concur:</w:t>
      </w:r>
    </w:p>
    <w:p w14:paraId="226DBEB4" w14:textId="77777777" w:rsidR="00C92DDF" w:rsidRDefault="00C92DDF" w:rsidP="00C92DDF">
      <w:pPr>
        <w:spacing w:after="0" w:line="240" w:lineRule="auto"/>
        <w:rPr>
          <w:b/>
          <w:szCs w:val="27"/>
        </w:rPr>
      </w:pPr>
      <w:r>
        <w:rPr>
          <w:b/>
          <w:szCs w:val="27"/>
        </w:rPr>
        <w:t>LIU, J.</w:t>
      </w:r>
    </w:p>
    <w:p w14:paraId="6739BFE7" w14:textId="77777777" w:rsidR="00C92DDF" w:rsidRDefault="00C92DDF" w:rsidP="00C92DDF">
      <w:pPr>
        <w:spacing w:after="0" w:line="240" w:lineRule="auto"/>
        <w:rPr>
          <w:b/>
          <w:szCs w:val="27"/>
        </w:rPr>
      </w:pPr>
      <w:r>
        <w:rPr>
          <w:b/>
          <w:szCs w:val="27"/>
        </w:rPr>
        <w:t>KRUGER, J.</w:t>
      </w:r>
    </w:p>
    <w:p w14:paraId="2D83E9D2" w14:textId="77777777" w:rsidR="00C92DDF" w:rsidRDefault="00C92DDF" w:rsidP="00C92DDF">
      <w:pPr>
        <w:spacing w:after="0" w:line="240" w:lineRule="auto"/>
        <w:rPr>
          <w:b/>
          <w:szCs w:val="27"/>
        </w:rPr>
      </w:pPr>
      <w:r>
        <w:rPr>
          <w:b/>
          <w:szCs w:val="27"/>
        </w:rPr>
        <w:t>GROBAN, J.</w:t>
      </w:r>
    </w:p>
    <w:p w14:paraId="38ADDC28" w14:textId="77777777" w:rsidR="00C92DDF" w:rsidRPr="00574CF2" w:rsidRDefault="00C92DDF" w:rsidP="00C92DDF">
      <w:pPr>
        <w:spacing w:after="0" w:line="240" w:lineRule="auto"/>
      </w:pPr>
      <w:r>
        <w:rPr>
          <w:b/>
          <w:szCs w:val="27"/>
        </w:rPr>
        <w:t>JENKINS, J.</w:t>
      </w:r>
    </w:p>
    <w:p w14:paraId="68A536F3" w14:textId="77777777" w:rsidR="0000670F" w:rsidRDefault="0000670F" w:rsidP="00042395">
      <w:pPr>
        <w:tabs>
          <w:tab w:val="left" w:pos="1440"/>
        </w:tabs>
        <w:spacing w:after="0" w:line="240" w:lineRule="auto"/>
        <w:rPr>
          <w:b/>
          <w:bCs/>
        </w:rPr>
        <w:sectPr w:rsidR="0000670F" w:rsidSect="006A1466">
          <w:headerReference w:type="default" r:id="rId10"/>
          <w:footerReference w:type="default" r:id="rId11"/>
          <w:footerReference w:type="first" r:id="rId12"/>
          <w:footnotePr>
            <w:numRestart w:val="eachSect"/>
          </w:footnotePr>
          <w:pgSz w:w="12240" w:h="15840" w:code="1"/>
          <w:pgMar w:top="1800" w:right="2160" w:bottom="1440" w:left="2160" w:header="720" w:footer="720" w:gutter="0"/>
          <w:pgNumType w:start="1"/>
          <w:cols w:space="720"/>
          <w:titlePg/>
        </w:sectPr>
      </w:pPr>
    </w:p>
    <w:p w14:paraId="4CA7B0FD" w14:textId="77777777" w:rsidR="00AE6DAA" w:rsidRPr="00AE6DAA" w:rsidRDefault="00AE6DAA" w:rsidP="00AE6DAA">
      <w:pPr>
        <w:spacing w:after="0" w:line="240" w:lineRule="auto"/>
        <w:jc w:val="left"/>
        <w:rPr>
          <w:i/>
          <w:sz w:val="24"/>
          <w:szCs w:val="24"/>
        </w:rPr>
      </w:pPr>
      <w:r w:rsidRPr="00AE6DAA">
        <w:rPr>
          <w:i/>
          <w:sz w:val="24"/>
          <w:szCs w:val="24"/>
        </w:rPr>
        <w:lastRenderedPageBreak/>
        <w:t>See next page for addresses and telephone numbers for counsel who argued in Supreme Court.</w:t>
      </w:r>
    </w:p>
    <w:p w14:paraId="583DB10D" w14:textId="77777777" w:rsidR="00AE6DAA" w:rsidRPr="00AE6DAA" w:rsidRDefault="00AE6DAA" w:rsidP="00AE6DAA">
      <w:pPr>
        <w:spacing w:after="0" w:line="240" w:lineRule="auto"/>
        <w:jc w:val="left"/>
        <w:rPr>
          <w:i/>
          <w:sz w:val="24"/>
          <w:szCs w:val="24"/>
        </w:rPr>
      </w:pPr>
    </w:p>
    <w:p w14:paraId="51BE2314" w14:textId="77777777" w:rsidR="00AE6DAA" w:rsidRPr="00AE6DAA" w:rsidRDefault="00AE6DAA" w:rsidP="00AE6DAA">
      <w:pPr>
        <w:spacing w:after="0" w:line="240" w:lineRule="auto"/>
        <w:jc w:val="left"/>
        <w:rPr>
          <w:bCs/>
          <w:sz w:val="24"/>
          <w:szCs w:val="24"/>
        </w:rPr>
      </w:pPr>
      <w:r w:rsidRPr="00AE6DAA">
        <w:rPr>
          <w:b/>
          <w:sz w:val="24"/>
          <w:szCs w:val="24"/>
        </w:rPr>
        <w:t xml:space="preserve">Name of Opinion  </w:t>
      </w:r>
      <w:r w:rsidRPr="00AE6DAA">
        <w:rPr>
          <w:bCs/>
          <w:sz w:val="24"/>
          <w:szCs w:val="24"/>
        </w:rPr>
        <w:t>People v. Flores</w:t>
      </w:r>
    </w:p>
    <w:p w14:paraId="06548A90" w14:textId="77777777" w:rsidR="00AE6DAA" w:rsidRPr="00AE6DAA" w:rsidRDefault="00AE6DAA" w:rsidP="00AE6DAA">
      <w:pPr>
        <w:spacing w:after="0" w:line="240" w:lineRule="auto"/>
        <w:jc w:val="left"/>
        <w:rPr>
          <w:b/>
          <w:sz w:val="24"/>
          <w:szCs w:val="24"/>
        </w:rPr>
      </w:pPr>
      <w:r w:rsidRPr="00AE6DAA">
        <w:rPr>
          <w:b/>
          <w:sz w:val="24"/>
          <w:szCs w:val="24"/>
        </w:rPr>
        <w:t xml:space="preserve">__________________________________________________________ </w:t>
      </w:r>
    </w:p>
    <w:p w14:paraId="7454770C" w14:textId="77777777" w:rsidR="00AE6DAA" w:rsidRPr="00AE6DAA" w:rsidRDefault="00AE6DAA" w:rsidP="00AE6DAA">
      <w:pPr>
        <w:spacing w:after="0" w:line="240" w:lineRule="auto"/>
        <w:jc w:val="left"/>
        <w:rPr>
          <w:b/>
          <w:sz w:val="24"/>
          <w:szCs w:val="24"/>
        </w:rPr>
      </w:pPr>
    </w:p>
    <w:p w14:paraId="67680529" w14:textId="77777777" w:rsidR="00AE6DAA" w:rsidRPr="00AE6DAA" w:rsidRDefault="00AE6DAA" w:rsidP="00AE6DAA">
      <w:pPr>
        <w:spacing w:after="0" w:line="240" w:lineRule="auto"/>
        <w:jc w:val="left"/>
        <w:rPr>
          <w:sz w:val="24"/>
          <w:szCs w:val="24"/>
        </w:rPr>
      </w:pPr>
      <w:r w:rsidRPr="00AE6DAA">
        <w:rPr>
          <w:b/>
          <w:bCs/>
          <w:sz w:val="24"/>
          <w:szCs w:val="24"/>
          <w:u w:val="single"/>
        </w:rPr>
        <w:t>Procedural Posture</w:t>
      </w:r>
      <w:r w:rsidRPr="00AE6DAA">
        <w:rPr>
          <w:b/>
          <w:bCs/>
          <w:sz w:val="24"/>
          <w:szCs w:val="24"/>
        </w:rPr>
        <w:t xml:space="preserve"> </w:t>
      </w:r>
      <w:r w:rsidRPr="00AE6DAA">
        <w:rPr>
          <w:sz w:val="24"/>
          <w:szCs w:val="24"/>
        </w:rPr>
        <w:t>(see XX below)</w:t>
      </w:r>
    </w:p>
    <w:p w14:paraId="1C9AF533" w14:textId="77777777" w:rsidR="00AE6DAA" w:rsidRPr="00AE6DAA" w:rsidRDefault="00AE6DAA" w:rsidP="00AE6DAA">
      <w:pPr>
        <w:spacing w:after="0" w:line="240" w:lineRule="auto"/>
        <w:jc w:val="left"/>
        <w:rPr>
          <w:sz w:val="24"/>
          <w:szCs w:val="24"/>
        </w:rPr>
      </w:pPr>
      <w:r w:rsidRPr="00AE6DAA">
        <w:rPr>
          <w:b/>
          <w:bCs/>
          <w:sz w:val="24"/>
          <w:szCs w:val="24"/>
        </w:rPr>
        <w:t>Original Appeal</w:t>
      </w:r>
      <w:r w:rsidRPr="00AE6DAA">
        <w:rPr>
          <w:sz w:val="24"/>
          <w:szCs w:val="24"/>
        </w:rPr>
        <w:t xml:space="preserve"> </w:t>
      </w:r>
    </w:p>
    <w:p w14:paraId="7FBD704D" w14:textId="77777777" w:rsidR="00AE6DAA" w:rsidRPr="00AE6DAA" w:rsidRDefault="00AE6DAA" w:rsidP="00AE6DAA">
      <w:pPr>
        <w:spacing w:after="0" w:line="240" w:lineRule="auto"/>
        <w:jc w:val="left"/>
        <w:rPr>
          <w:b/>
          <w:bCs/>
          <w:sz w:val="24"/>
          <w:szCs w:val="24"/>
        </w:rPr>
      </w:pPr>
      <w:r w:rsidRPr="00AE6DAA">
        <w:rPr>
          <w:b/>
          <w:bCs/>
          <w:sz w:val="24"/>
          <w:szCs w:val="24"/>
        </w:rPr>
        <w:t>Original Proceeding</w:t>
      </w:r>
    </w:p>
    <w:p w14:paraId="218A44D1" w14:textId="77777777" w:rsidR="00AE6DAA" w:rsidRPr="00AE6DAA" w:rsidRDefault="00AE6DAA" w:rsidP="00AE6DAA">
      <w:pPr>
        <w:spacing w:after="0" w:line="240" w:lineRule="auto"/>
        <w:jc w:val="left"/>
        <w:rPr>
          <w:sz w:val="24"/>
          <w:szCs w:val="24"/>
        </w:rPr>
      </w:pPr>
      <w:r w:rsidRPr="00AE6DAA">
        <w:rPr>
          <w:b/>
          <w:bCs/>
          <w:sz w:val="24"/>
          <w:szCs w:val="24"/>
        </w:rPr>
        <w:t>Review Granted</w:t>
      </w:r>
      <w:r w:rsidRPr="00AE6DAA">
        <w:rPr>
          <w:sz w:val="24"/>
          <w:szCs w:val="24"/>
        </w:rPr>
        <w:t xml:space="preserve"> </w:t>
      </w:r>
      <w:r w:rsidRPr="00AE6DAA">
        <w:rPr>
          <w:b/>
          <w:bCs/>
          <w:sz w:val="24"/>
          <w:szCs w:val="24"/>
        </w:rPr>
        <w:t xml:space="preserve">(published) </w:t>
      </w:r>
      <w:r w:rsidRPr="00AE6DAA">
        <w:rPr>
          <w:sz w:val="24"/>
          <w:szCs w:val="24"/>
        </w:rPr>
        <w:t>XX 60 Cal.App.5th 978</w:t>
      </w:r>
    </w:p>
    <w:p w14:paraId="507ECFBB" w14:textId="77777777" w:rsidR="00AE6DAA" w:rsidRPr="00AE6DAA" w:rsidRDefault="00AE6DAA" w:rsidP="00AE6DAA">
      <w:pPr>
        <w:spacing w:after="0" w:line="240" w:lineRule="auto"/>
        <w:jc w:val="left"/>
        <w:rPr>
          <w:sz w:val="24"/>
          <w:szCs w:val="24"/>
        </w:rPr>
      </w:pPr>
      <w:r w:rsidRPr="00AE6DAA">
        <w:rPr>
          <w:b/>
          <w:bCs/>
          <w:sz w:val="24"/>
          <w:szCs w:val="24"/>
        </w:rPr>
        <w:t xml:space="preserve">Review Granted (unpublished) </w:t>
      </w:r>
    </w:p>
    <w:p w14:paraId="2BF40F8D" w14:textId="77777777" w:rsidR="00AE6DAA" w:rsidRPr="00AE6DAA" w:rsidRDefault="00AE6DAA" w:rsidP="00AE6DAA">
      <w:pPr>
        <w:spacing w:after="0" w:line="240" w:lineRule="auto"/>
        <w:jc w:val="left"/>
        <w:rPr>
          <w:b/>
          <w:bCs/>
          <w:sz w:val="24"/>
          <w:szCs w:val="24"/>
        </w:rPr>
      </w:pPr>
      <w:r w:rsidRPr="00AE6DAA">
        <w:rPr>
          <w:b/>
          <w:bCs/>
          <w:sz w:val="24"/>
          <w:szCs w:val="24"/>
        </w:rPr>
        <w:t>Rehearing Granted</w:t>
      </w:r>
    </w:p>
    <w:p w14:paraId="4D056D29" w14:textId="77777777" w:rsidR="00AE6DAA" w:rsidRPr="00AE6DAA" w:rsidRDefault="00AE6DAA" w:rsidP="00AE6DAA">
      <w:pPr>
        <w:spacing w:after="0" w:line="240" w:lineRule="auto"/>
        <w:jc w:val="left"/>
        <w:rPr>
          <w:b/>
          <w:sz w:val="24"/>
          <w:szCs w:val="24"/>
        </w:rPr>
      </w:pPr>
      <w:r w:rsidRPr="00AE6DAA">
        <w:rPr>
          <w:b/>
          <w:sz w:val="24"/>
          <w:szCs w:val="24"/>
        </w:rPr>
        <w:t xml:space="preserve">__________________________________________________________ </w:t>
      </w:r>
    </w:p>
    <w:p w14:paraId="6439AF09" w14:textId="77777777" w:rsidR="00AE6DAA" w:rsidRPr="00AE6DAA" w:rsidRDefault="00AE6DAA" w:rsidP="00AE6DAA">
      <w:pPr>
        <w:spacing w:after="0" w:line="240" w:lineRule="auto"/>
        <w:jc w:val="left"/>
        <w:rPr>
          <w:b/>
          <w:sz w:val="24"/>
          <w:szCs w:val="24"/>
        </w:rPr>
      </w:pPr>
    </w:p>
    <w:p w14:paraId="13FCD0C0" w14:textId="77777777" w:rsidR="00AE6DAA" w:rsidRPr="00AE6DAA" w:rsidRDefault="00AE6DAA" w:rsidP="00AE6DAA">
      <w:pPr>
        <w:spacing w:after="0" w:line="240" w:lineRule="auto"/>
        <w:jc w:val="left"/>
        <w:rPr>
          <w:bCs/>
          <w:sz w:val="24"/>
          <w:szCs w:val="24"/>
        </w:rPr>
      </w:pPr>
      <w:r w:rsidRPr="00AE6DAA">
        <w:rPr>
          <w:b/>
          <w:sz w:val="24"/>
          <w:szCs w:val="24"/>
        </w:rPr>
        <w:t>Opinion No.</w:t>
      </w:r>
      <w:r w:rsidRPr="00AE6DAA">
        <w:rPr>
          <w:sz w:val="24"/>
          <w:szCs w:val="24"/>
        </w:rPr>
        <w:t xml:space="preserve"> S267522</w:t>
      </w:r>
    </w:p>
    <w:p w14:paraId="64E11F7A" w14:textId="77777777" w:rsidR="00AE6DAA" w:rsidRPr="00AE6DAA" w:rsidRDefault="00AE6DAA" w:rsidP="00AE6DAA">
      <w:pPr>
        <w:spacing w:after="0" w:line="240" w:lineRule="auto"/>
        <w:jc w:val="left"/>
        <w:rPr>
          <w:bCs/>
          <w:sz w:val="24"/>
          <w:szCs w:val="24"/>
        </w:rPr>
      </w:pPr>
      <w:r w:rsidRPr="00AE6DAA">
        <w:rPr>
          <w:b/>
          <w:sz w:val="24"/>
          <w:szCs w:val="24"/>
        </w:rPr>
        <w:t>Date Filed:</w:t>
      </w:r>
      <w:r w:rsidRPr="00AE6DAA">
        <w:rPr>
          <w:sz w:val="24"/>
          <w:szCs w:val="24"/>
        </w:rPr>
        <w:t xml:space="preserve">  May 2, 2024</w:t>
      </w:r>
    </w:p>
    <w:p w14:paraId="2B818155" w14:textId="77777777" w:rsidR="00AE6DAA" w:rsidRPr="00AE6DAA" w:rsidRDefault="00AE6DAA" w:rsidP="00AE6DAA">
      <w:pPr>
        <w:spacing w:after="0" w:line="240" w:lineRule="auto"/>
        <w:jc w:val="left"/>
        <w:rPr>
          <w:b/>
          <w:sz w:val="24"/>
          <w:szCs w:val="24"/>
        </w:rPr>
      </w:pPr>
      <w:r w:rsidRPr="00AE6DAA">
        <w:rPr>
          <w:b/>
          <w:sz w:val="24"/>
          <w:szCs w:val="24"/>
        </w:rPr>
        <w:t xml:space="preserve">__________________________________________________________ </w:t>
      </w:r>
    </w:p>
    <w:p w14:paraId="224B76F1" w14:textId="77777777" w:rsidR="00AE6DAA" w:rsidRPr="00AE6DAA" w:rsidRDefault="00AE6DAA" w:rsidP="00AE6DAA">
      <w:pPr>
        <w:spacing w:after="0" w:line="240" w:lineRule="auto"/>
        <w:jc w:val="left"/>
        <w:rPr>
          <w:b/>
          <w:sz w:val="24"/>
          <w:szCs w:val="24"/>
        </w:rPr>
      </w:pPr>
    </w:p>
    <w:p w14:paraId="441EC5F4" w14:textId="77777777" w:rsidR="00AE6DAA" w:rsidRPr="00AE6DAA" w:rsidRDefault="00AE6DAA" w:rsidP="00AE6DAA">
      <w:pPr>
        <w:spacing w:after="0" w:line="240" w:lineRule="auto"/>
        <w:jc w:val="left"/>
        <w:rPr>
          <w:bCs/>
          <w:sz w:val="24"/>
          <w:szCs w:val="24"/>
        </w:rPr>
      </w:pPr>
      <w:r w:rsidRPr="00AE6DAA">
        <w:rPr>
          <w:b/>
          <w:sz w:val="24"/>
          <w:szCs w:val="24"/>
        </w:rPr>
        <w:t xml:space="preserve">Court:  </w:t>
      </w:r>
      <w:r w:rsidRPr="00AE6DAA">
        <w:rPr>
          <w:bCs/>
          <w:sz w:val="24"/>
          <w:szCs w:val="24"/>
        </w:rPr>
        <w:t>Superior</w:t>
      </w:r>
    </w:p>
    <w:p w14:paraId="6B9D09A4" w14:textId="77777777" w:rsidR="00AE6DAA" w:rsidRPr="00AE6DAA" w:rsidRDefault="00AE6DAA" w:rsidP="00AE6DAA">
      <w:pPr>
        <w:spacing w:after="0" w:line="240" w:lineRule="auto"/>
        <w:jc w:val="left"/>
        <w:rPr>
          <w:bCs/>
          <w:sz w:val="24"/>
          <w:szCs w:val="24"/>
        </w:rPr>
      </w:pPr>
      <w:r w:rsidRPr="00AE6DAA">
        <w:rPr>
          <w:b/>
          <w:sz w:val="24"/>
          <w:szCs w:val="24"/>
        </w:rPr>
        <w:t xml:space="preserve">County:  </w:t>
      </w:r>
      <w:r w:rsidRPr="00AE6DAA">
        <w:rPr>
          <w:bCs/>
          <w:sz w:val="24"/>
          <w:szCs w:val="24"/>
        </w:rPr>
        <w:t>Los Angeles</w:t>
      </w:r>
    </w:p>
    <w:p w14:paraId="0287B6EB" w14:textId="77777777" w:rsidR="00AE6DAA" w:rsidRPr="00AE6DAA" w:rsidRDefault="00AE6DAA" w:rsidP="00AE6DAA">
      <w:pPr>
        <w:spacing w:after="0" w:line="240" w:lineRule="auto"/>
        <w:ind w:left="720" w:hanging="720"/>
        <w:jc w:val="left"/>
        <w:rPr>
          <w:bCs/>
          <w:sz w:val="24"/>
          <w:szCs w:val="24"/>
        </w:rPr>
      </w:pPr>
      <w:r w:rsidRPr="00AE6DAA">
        <w:rPr>
          <w:b/>
          <w:sz w:val="24"/>
          <w:szCs w:val="24"/>
        </w:rPr>
        <w:t xml:space="preserve">Judge: </w:t>
      </w:r>
      <w:r w:rsidRPr="00AE6DAA">
        <w:rPr>
          <w:bCs/>
          <w:sz w:val="24"/>
          <w:szCs w:val="24"/>
        </w:rPr>
        <w:t xml:space="preserve"> Mildred Escobedo</w:t>
      </w:r>
    </w:p>
    <w:p w14:paraId="2B80FCDC" w14:textId="77777777" w:rsidR="00AE6DAA" w:rsidRPr="00AE6DAA" w:rsidRDefault="00AE6DAA" w:rsidP="00AE6DAA">
      <w:pPr>
        <w:spacing w:after="0" w:line="240" w:lineRule="auto"/>
        <w:jc w:val="left"/>
        <w:rPr>
          <w:b/>
          <w:sz w:val="24"/>
          <w:szCs w:val="24"/>
        </w:rPr>
      </w:pPr>
      <w:r w:rsidRPr="00AE6DAA">
        <w:rPr>
          <w:b/>
          <w:sz w:val="24"/>
          <w:szCs w:val="24"/>
        </w:rPr>
        <w:t xml:space="preserve">__________________________________________________________  </w:t>
      </w:r>
    </w:p>
    <w:p w14:paraId="0E715334" w14:textId="77777777" w:rsidR="00AE6DAA" w:rsidRPr="00AE6DAA" w:rsidRDefault="00AE6DAA" w:rsidP="00AE6DAA">
      <w:pPr>
        <w:spacing w:after="0" w:line="240" w:lineRule="auto"/>
        <w:jc w:val="left"/>
        <w:rPr>
          <w:b/>
          <w:sz w:val="24"/>
          <w:szCs w:val="24"/>
        </w:rPr>
      </w:pPr>
    </w:p>
    <w:p w14:paraId="2C919CC0" w14:textId="77777777" w:rsidR="00AE6DAA" w:rsidRPr="00AE6DAA" w:rsidRDefault="00AE6DAA" w:rsidP="00AE6DAA">
      <w:pPr>
        <w:spacing w:after="0" w:line="240" w:lineRule="auto"/>
        <w:jc w:val="left"/>
        <w:rPr>
          <w:b/>
          <w:sz w:val="24"/>
          <w:szCs w:val="24"/>
        </w:rPr>
      </w:pPr>
      <w:r w:rsidRPr="00AE6DAA">
        <w:rPr>
          <w:b/>
          <w:sz w:val="24"/>
          <w:szCs w:val="24"/>
        </w:rPr>
        <w:t>Counsel:</w:t>
      </w:r>
    </w:p>
    <w:p w14:paraId="693747B1" w14:textId="77777777" w:rsidR="00AE6DAA" w:rsidRPr="00AE6DAA" w:rsidRDefault="00AE6DAA" w:rsidP="00AE6DAA">
      <w:pPr>
        <w:spacing w:after="0" w:line="240" w:lineRule="auto"/>
        <w:jc w:val="left"/>
        <w:rPr>
          <w:b/>
          <w:sz w:val="24"/>
          <w:szCs w:val="24"/>
        </w:rPr>
      </w:pPr>
    </w:p>
    <w:p w14:paraId="08C63842" w14:textId="77777777" w:rsidR="00AE6DAA" w:rsidRPr="00AE6DAA" w:rsidRDefault="00AE6DAA" w:rsidP="00AE6DAA">
      <w:pPr>
        <w:spacing w:after="0" w:line="240" w:lineRule="auto"/>
        <w:jc w:val="left"/>
        <w:rPr>
          <w:color w:val="212121"/>
          <w:sz w:val="24"/>
          <w:szCs w:val="24"/>
          <w:shd w:val="clear" w:color="auto" w:fill="FFFFFF"/>
        </w:rPr>
      </w:pPr>
      <w:r w:rsidRPr="00AE6DAA">
        <w:rPr>
          <w:color w:val="212121"/>
          <w:sz w:val="24"/>
          <w:szCs w:val="24"/>
          <w:shd w:val="clear" w:color="auto" w:fill="FFFFFF"/>
        </w:rPr>
        <w:t>Richard L. Fitzer, under appointment by the Supreme Court, for Defendant and Appellant.</w:t>
      </w:r>
    </w:p>
    <w:p w14:paraId="3768DF1E" w14:textId="77777777" w:rsidR="00AE6DAA" w:rsidRPr="00AE6DAA" w:rsidRDefault="00AE6DAA" w:rsidP="00AE6DAA">
      <w:pPr>
        <w:spacing w:after="0" w:line="240" w:lineRule="auto"/>
        <w:jc w:val="left"/>
        <w:rPr>
          <w:color w:val="212121"/>
          <w:sz w:val="24"/>
          <w:szCs w:val="24"/>
          <w:shd w:val="clear" w:color="auto" w:fill="FFFFFF"/>
        </w:rPr>
      </w:pPr>
    </w:p>
    <w:p w14:paraId="4D446301" w14:textId="77777777" w:rsidR="00AE6DAA" w:rsidRPr="00AE6DAA" w:rsidRDefault="00AE6DAA" w:rsidP="00AE6DAA">
      <w:pPr>
        <w:spacing w:after="0" w:line="240" w:lineRule="auto"/>
        <w:jc w:val="left"/>
        <w:rPr>
          <w:color w:val="212121"/>
          <w:sz w:val="24"/>
          <w:szCs w:val="24"/>
          <w:shd w:val="clear" w:color="auto" w:fill="FFFFFF"/>
        </w:rPr>
      </w:pPr>
      <w:r w:rsidRPr="00AE6DAA">
        <w:rPr>
          <w:color w:val="212121"/>
          <w:sz w:val="24"/>
          <w:szCs w:val="24"/>
          <w:shd w:val="clear" w:color="auto" w:fill="FFFFFF"/>
        </w:rPr>
        <w:t>Ellen McDonnell, Public Defender (Contra Costa), and Gilbert Rivera, Deputy Public Defender, for the California Public Defenders Association and the Contra Costa County Public Defender as Amici Curiae on behalf of Defendant and Appellant.</w:t>
      </w:r>
    </w:p>
    <w:p w14:paraId="539706C9" w14:textId="77777777" w:rsidR="00AE6DAA" w:rsidRPr="00AE6DAA" w:rsidRDefault="00AE6DAA" w:rsidP="00AE6DAA">
      <w:pPr>
        <w:spacing w:after="0" w:line="240" w:lineRule="auto"/>
        <w:jc w:val="left"/>
        <w:rPr>
          <w:color w:val="212121"/>
          <w:sz w:val="24"/>
          <w:szCs w:val="24"/>
          <w:shd w:val="clear" w:color="auto" w:fill="FFFFFF"/>
        </w:rPr>
      </w:pPr>
    </w:p>
    <w:p w14:paraId="63EC3CA9" w14:textId="77777777" w:rsidR="00AE6DAA" w:rsidRPr="00AE6DAA" w:rsidRDefault="00AE6DAA" w:rsidP="00AE6DAA">
      <w:pPr>
        <w:spacing w:after="0" w:line="240" w:lineRule="auto"/>
        <w:jc w:val="left"/>
        <w:rPr>
          <w:color w:val="212121"/>
          <w:sz w:val="24"/>
          <w:szCs w:val="24"/>
          <w:shd w:val="clear" w:color="auto" w:fill="FFFFFF"/>
        </w:rPr>
      </w:pPr>
      <w:r w:rsidRPr="00AE6DAA">
        <w:rPr>
          <w:color w:val="212121"/>
          <w:sz w:val="24"/>
          <w:szCs w:val="24"/>
          <w:shd w:val="clear" w:color="auto" w:fill="FFFFFF"/>
        </w:rPr>
        <w:t>Galit Lipa, State Public Defender, and Jessie Hawk, Deputy State Public Defender, for the Office of the State Public Defender as Amicus Curiae on behalf of Defendant and Appellant.</w:t>
      </w:r>
    </w:p>
    <w:p w14:paraId="78E011F5" w14:textId="77777777" w:rsidR="00AE6DAA" w:rsidRPr="00AE6DAA" w:rsidRDefault="00AE6DAA" w:rsidP="00AE6DAA">
      <w:pPr>
        <w:spacing w:after="0" w:line="240" w:lineRule="auto"/>
        <w:jc w:val="left"/>
        <w:rPr>
          <w:color w:val="212121"/>
          <w:sz w:val="24"/>
          <w:szCs w:val="24"/>
          <w:shd w:val="clear" w:color="auto" w:fill="FFFFFF"/>
        </w:rPr>
      </w:pPr>
    </w:p>
    <w:p w14:paraId="471DD9CB" w14:textId="77777777" w:rsidR="00AE6DAA" w:rsidRPr="00AE6DAA" w:rsidRDefault="00AE6DAA" w:rsidP="00AE6DAA">
      <w:pPr>
        <w:spacing w:after="0" w:line="240" w:lineRule="auto"/>
        <w:jc w:val="left"/>
        <w:rPr>
          <w:color w:val="212121"/>
          <w:sz w:val="24"/>
          <w:szCs w:val="24"/>
          <w:shd w:val="clear" w:color="auto" w:fill="FFFFFF"/>
        </w:rPr>
      </w:pPr>
      <w:r w:rsidRPr="00AE6DAA">
        <w:rPr>
          <w:color w:val="212121"/>
          <w:sz w:val="24"/>
          <w:szCs w:val="24"/>
          <w:shd w:val="clear" w:color="auto" w:fill="FFFFFF"/>
        </w:rPr>
        <w:t xml:space="preserve">Xavier Becerra and Rob Bonta, Attorneys General, Lance E. Winters, Chief Assistant Attorney General, Susan Sullivan Pithey, Assistant Attorney General, Zee Rodriguez, Michael C. Keller, Chung L. Mar and Shezad H. Thakor, Deputy Attorneys General, for Plaintiff and Respondent. </w:t>
      </w:r>
      <w:r w:rsidRPr="00AE6DAA">
        <w:rPr>
          <w:color w:val="212121"/>
          <w:sz w:val="24"/>
          <w:szCs w:val="24"/>
          <w:shd w:val="clear" w:color="auto" w:fill="FFFFFF"/>
        </w:rPr>
        <w:br w:type="page"/>
      </w:r>
      <w:r w:rsidRPr="00AE6DAA">
        <w:rPr>
          <w:b/>
          <w:sz w:val="24"/>
          <w:szCs w:val="24"/>
        </w:rPr>
        <w:lastRenderedPageBreak/>
        <w:t xml:space="preserve">Counsel who argued in Supreme Court (not intended for publication with opinion): </w:t>
      </w:r>
    </w:p>
    <w:p w14:paraId="5F3908E7" w14:textId="77777777" w:rsidR="00AE6DAA" w:rsidRPr="00AE6DAA" w:rsidRDefault="00AE6DAA" w:rsidP="00AE6DAA">
      <w:pPr>
        <w:spacing w:after="0" w:line="240" w:lineRule="auto"/>
        <w:jc w:val="left"/>
        <w:rPr>
          <w:sz w:val="24"/>
          <w:szCs w:val="24"/>
        </w:rPr>
      </w:pPr>
    </w:p>
    <w:p w14:paraId="2A175CB0" w14:textId="77777777" w:rsidR="00AE6DAA" w:rsidRPr="00AE6DAA" w:rsidRDefault="00AE6DAA" w:rsidP="00AE6DAA">
      <w:pPr>
        <w:spacing w:after="0" w:line="240" w:lineRule="auto"/>
        <w:jc w:val="left"/>
        <w:rPr>
          <w:color w:val="212121"/>
          <w:sz w:val="24"/>
          <w:szCs w:val="24"/>
          <w:shd w:val="clear" w:color="auto" w:fill="FFFFFF"/>
        </w:rPr>
      </w:pPr>
      <w:r w:rsidRPr="00AE6DAA">
        <w:rPr>
          <w:color w:val="212121"/>
          <w:sz w:val="24"/>
          <w:szCs w:val="24"/>
          <w:shd w:val="clear" w:color="auto" w:fill="FFFFFF"/>
        </w:rPr>
        <w:t>Richard L. Fitzer</w:t>
      </w:r>
    </w:p>
    <w:p w14:paraId="5D4B8C73" w14:textId="77777777" w:rsidR="00AE6DAA" w:rsidRPr="00AE6DAA" w:rsidRDefault="00AE6DAA" w:rsidP="00AE6DAA">
      <w:pPr>
        <w:spacing w:after="0" w:line="240" w:lineRule="auto"/>
        <w:jc w:val="left"/>
        <w:rPr>
          <w:color w:val="212121"/>
          <w:sz w:val="24"/>
          <w:szCs w:val="24"/>
          <w:shd w:val="clear" w:color="auto" w:fill="FFFFFF"/>
        </w:rPr>
      </w:pPr>
      <w:r w:rsidRPr="00AE6DAA">
        <w:rPr>
          <w:color w:val="212121"/>
          <w:sz w:val="24"/>
          <w:szCs w:val="24"/>
          <w:shd w:val="clear" w:color="auto" w:fill="FFFFFF"/>
        </w:rPr>
        <w:t>Attorney at Law</w:t>
      </w:r>
    </w:p>
    <w:p w14:paraId="365800AE" w14:textId="77777777" w:rsidR="00AE6DAA" w:rsidRPr="00AE6DAA" w:rsidRDefault="00AE6DAA" w:rsidP="00AE6DAA">
      <w:pPr>
        <w:spacing w:after="0" w:line="240" w:lineRule="auto"/>
        <w:jc w:val="left"/>
        <w:rPr>
          <w:sz w:val="24"/>
          <w:szCs w:val="24"/>
        </w:rPr>
      </w:pPr>
      <w:r w:rsidRPr="00AE6DAA">
        <w:rPr>
          <w:sz w:val="24"/>
          <w:szCs w:val="24"/>
        </w:rPr>
        <w:t>6285 East Spring Street, 276N</w:t>
      </w:r>
    </w:p>
    <w:p w14:paraId="691ED213" w14:textId="77777777" w:rsidR="00AE6DAA" w:rsidRPr="00AE6DAA" w:rsidRDefault="00AE6DAA" w:rsidP="00AE6DAA">
      <w:pPr>
        <w:spacing w:after="0" w:line="240" w:lineRule="auto"/>
        <w:jc w:val="left"/>
        <w:rPr>
          <w:sz w:val="24"/>
          <w:szCs w:val="24"/>
        </w:rPr>
      </w:pPr>
      <w:r w:rsidRPr="00AE6DAA">
        <w:rPr>
          <w:sz w:val="24"/>
          <w:szCs w:val="24"/>
        </w:rPr>
        <w:t>Long Beach, CA 90808</w:t>
      </w:r>
    </w:p>
    <w:p w14:paraId="5E6E0BF3" w14:textId="77777777" w:rsidR="00AE6DAA" w:rsidRPr="00AE6DAA" w:rsidRDefault="00AE6DAA" w:rsidP="00AE6DAA">
      <w:pPr>
        <w:spacing w:after="0" w:line="240" w:lineRule="auto"/>
        <w:jc w:val="left"/>
        <w:rPr>
          <w:sz w:val="24"/>
          <w:szCs w:val="24"/>
        </w:rPr>
      </w:pPr>
      <w:r w:rsidRPr="00AE6DAA">
        <w:rPr>
          <w:sz w:val="24"/>
          <w:szCs w:val="24"/>
        </w:rPr>
        <w:t>(562) 429-4000</w:t>
      </w:r>
    </w:p>
    <w:p w14:paraId="3ECD5C71" w14:textId="77777777" w:rsidR="00AE6DAA" w:rsidRPr="00AE6DAA" w:rsidRDefault="00AE6DAA" w:rsidP="00AE6DAA">
      <w:pPr>
        <w:spacing w:after="0" w:line="240" w:lineRule="auto"/>
        <w:jc w:val="left"/>
        <w:rPr>
          <w:sz w:val="24"/>
          <w:szCs w:val="24"/>
        </w:rPr>
      </w:pPr>
    </w:p>
    <w:p w14:paraId="67603BDB" w14:textId="77777777" w:rsidR="00AE6DAA" w:rsidRPr="00AE6DAA" w:rsidRDefault="00AE6DAA" w:rsidP="00AE6DAA">
      <w:pPr>
        <w:spacing w:after="0" w:line="240" w:lineRule="auto"/>
        <w:jc w:val="left"/>
        <w:rPr>
          <w:color w:val="212121"/>
          <w:sz w:val="24"/>
          <w:szCs w:val="24"/>
          <w:shd w:val="clear" w:color="auto" w:fill="FFFFFF"/>
        </w:rPr>
      </w:pPr>
      <w:r w:rsidRPr="00AE6DAA">
        <w:rPr>
          <w:color w:val="212121"/>
          <w:sz w:val="24"/>
          <w:szCs w:val="24"/>
          <w:shd w:val="clear" w:color="auto" w:fill="FFFFFF"/>
        </w:rPr>
        <w:t>Shezad H. Thakor</w:t>
      </w:r>
    </w:p>
    <w:p w14:paraId="71E53478" w14:textId="77777777" w:rsidR="00AE6DAA" w:rsidRPr="00AE6DAA" w:rsidRDefault="00AE6DAA" w:rsidP="00AE6DAA">
      <w:pPr>
        <w:spacing w:after="0" w:line="240" w:lineRule="auto"/>
        <w:jc w:val="left"/>
        <w:rPr>
          <w:color w:val="212121"/>
          <w:sz w:val="24"/>
          <w:szCs w:val="24"/>
          <w:shd w:val="clear" w:color="auto" w:fill="FFFFFF"/>
        </w:rPr>
      </w:pPr>
      <w:r w:rsidRPr="00AE6DAA">
        <w:rPr>
          <w:color w:val="212121"/>
          <w:sz w:val="24"/>
          <w:szCs w:val="24"/>
          <w:shd w:val="clear" w:color="auto" w:fill="FFFFFF"/>
        </w:rPr>
        <w:t>Deputy Attorney General</w:t>
      </w:r>
    </w:p>
    <w:p w14:paraId="011ADFBA" w14:textId="77777777" w:rsidR="00AE6DAA" w:rsidRPr="00AE6DAA" w:rsidRDefault="00AE6DAA" w:rsidP="00AE6DAA">
      <w:pPr>
        <w:spacing w:after="0" w:line="240" w:lineRule="auto"/>
        <w:jc w:val="left"/>
        <w:rPr>
          <w:sz w:val="24"/>
          <w:szCs w:val="24"/>
        </w:rPr>
      </w:pPr>
      <w:r w:rsidRPr="00AE6DAA">
        <w:rPr>
          <w:sz w:val="24"/>
          <w:szCs w:val="24"/>
        </w:rPr>
        <w:t>300 South Spring Street, Suite 1702</w:t>
      </w:r>
    </w:p>
    <w:p w14:paraId="7F05870F" w14:textId="77777777" w:rsidR="00AE6DAA" w:rsidRPr="00AE6DAA" w:rsidRDefault="00AE6DAA" w:rsidP="00AE6DAA">
      <w:pPr>
        <w:spacing w:after="0" w:line="240" w:lineRule="auto"/>
        <w:jc w:val="left"/>
        <w:rPr>
          <w:sz w:val="24"/>
          <w:szCs w:val="24"/>
        </w:rPr>
      </w:pPr>
      <w:r w:rsidRPr="00AE6DAA">
        <w:rPr>
          <w:sz w:val="24"/>
          <w:szCs w:val="24"/>
        </w:rPr>
        <w:t>Los Angeles, CA 90013</w:t>
      </w:r>
    </w:p>
    <w:p w14:paraId="121B35E7" w14:textId="77777777" w:rsidR="00AE6DAA" w:rsidRPr="00AE6DAA" w:rsidRDefault="00AE6DAA" w:rsidP="00AE6DAA">
      <w:pPr>
        <w:spacing w:after="0" w:line="240" w:lineRule="auto"/>
        <w:jc w:val="left"/>
        <w:rPr>
          <w:sz w:val="24"/>
          <w:szCs w:val="24"/>
        </w:rPr>
      </w:pPr>
      <w:r w:rsidRPr="00AE6DAA">
        <w:rPr>
          <w:sz w:val="24"/>
          <w:szCs w:val="24"/>
        </w:rPr>
        <w:t>(213) 269-6109</w:t>
      </w:r>
    </w:p>
    <w:p w14:paraId="7BBD7EE4" w14:textId="77777777" w:rsidR="00467254" w:rsidRDefault="00467254" w:rsidP="00042395">
      <w:pPr>
        <w:tabs>
          <w:tab w:val="left" w:pos="1440"/>
        </w:tabs>
        <w:spacing w:after="0" w:line="240" w:lineRule="auto"/>
        <w:rPr>
          <w:b/>
          <w:bCs/>
        </w:rPr>
      </w:pPr>
    </w:p>
    <w:sectPr w:rsidR="00467254" w:rsidSect="00EC2BB8">
      <w:headerReference w:type="default" r:id="rId13"/>
      <w:footerReference w:type="default" r:id="rId14"/>
      <w:pgSz w:w="12240" w:h="15840"/>
      <w:pgMar w:top="1800" w:right="2160" w:bottom="1440" w:left="2160" w:header="720" w:footer="72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A2445" w14:textId="77777777" w:rsidR="0071177D" w:rsidRDefault="0071177D">
      <w:pPr>
        <w:spacing w:after="0" w:line="240" w:lineRule="auto"/>
      </w:pPr>
      <w:r>
        <w:separator/>
      </w:r>
    </w:p>
  </w:endnote>
  <w:endnote w:type="continuationSeparator" w:id="0">
    <w:p w14:paraId="552441BB" w14:textId="77777777" w:rsidR="0071177D" w:rsidRDefault="00711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D7EEB" w14:textId="77777777" w:rsidR="007F787D" w:rsidRDefault="00000000">
    <w:pPr>
      <w:pStyle w:val="Footer"/>
      <w:rPr>
        <w:noProof/>
      </w:rPr>
    </w:pPr>
    <w:r>
      <w:fldChar w:fldCharType="begin"/>
    </w:r>
    <w:r>
      <w:instrText>PAGE</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D7EEC" w14:textId="77777777" w:rsidR="006D6E8A" w:rsidRDefault="00000000">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70C23" w14:textId="77777777" w:rsidR="004C704C" w:rsidRDefault="00000000">
    <w:pPr>
      <w:pStyle w:val="Footer"/>
    </w:pPr>
    <w:r>
      <w:fldChar w:fldCharType="begin"/>
    </w:r>
    <w:r>
      <w:instrText>PAGE</w:instrText>
    </w:r>
    <w:r>
      <w:fldChar w:fldCharType="separate"/>
    </w:r>
    <w:r>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D986A" w14:textId="77777777" w:rsidR="004C704C" w:rsidRDefault="00000000">
    <w:pPr>
      <w:pStyle w:val="Footer"/>
    </w:pPr>
    <w:r>
      <w:fldChar w:fldCharType="begin"/>
    </w:r>
    <w:r>
      <w:instrText xml:space="preserve"> PAGE   \* MERGEFORMAT </w:instrText>
    </w:r>
    <w:r>
      <w:fldChar w:fldCharType="separate"/>
    </w:r>
    <w:r>
      <w:rPr>
        <w:noProof/>
      </w:rPr>
      <w:t>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20661" w14:textId="6FBB92CC" w:rsidR="00AE6DAA" w:rsidRPr="00AE6DAA" w:rsidRDefault="00AE6DAA" w:rsidP="00AE6D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AC988" w14:textId="77777777" w:rsidR="0071177D" w:rsidRDefault="0071177D">
      <w:r>
        <w:separator/>
      </w:r>
    </w:p>
  </w:footnote>
  <w:footnote w:type="continuationSeparator" w:id="0">
    <w:p w14:paraId="4A724999" w14:textId="77777777" w:rsidR="0071177D" w:rsidRDefault="0071177D">
      <w:pPr>
        <w:rPr>
          <w:sz w:val="22"/>
        </w:rPr>
      </w:pPr>
      <w:r>
        <w:continuationSeparator/>
      </w:r>
    </w:p>
  </w:footnote>
  <w:footnote w:type="continuationNotice" w:id="1">
    <w:p w14:paraId="12BF2BF8" w14:textId="77777777" w:rsidR="0071177D" w:rsidRDefault="0071177D">
      <w:pPr>
        <w:jc w:val="right"/>
        <w:rPr>
          <w:i/>
          <w:sz w:val="20"/>
        </w:rPr>
      </w:pPr>
    </w:p>
  </w:footnote>
  <w:footnote w:id="2">
    <w:p w14:paraId="7BBD7EED" w14:textId="77777777" w:rsidR="005B01ED" w:rsidRDefault="00000000">
      <w:pPr>
        <w:pStyle w:val="FootnoteText"/>
      </w:pPr>
      <w:r>
        <w:rPr>
          <w:rStyle w:val="FootnoteReference"/>
        </w:rPr>
        <w:footnoteRef/>
      </w:r>
      <w:r>
        <w:t xml:space="preserve"> </w:t>
      </w:r>
      <w:r w:rsidR="007D20B2">
        <w:tab/>
      </w:r>
      <w:r w:rsidR="007D20B2" w:rsidRPr="007D20B2">
        <w:t xml:space="preserve">As </w:t>
      </w:r>
      <w:r w:rsidR="007D20B2" w:rsidRPr="00700A31">
        <w:rPr>
          <w:i/>
          <w:iCs/>
        </w:rPr>
        <w:t>Terry</w:t>
      </w:r>
      <w:r w:rsidR="007D20B2" w:rsidRPr="007D20B2">
        <w:t xml:space="preserve"> noted: </w:t>
      </w:r>
      <w:r w:rsidR="006754A9">
        <w:t xml:space="preserve"> </w:t>
      </w:r>
      <w:r w:rsidR="007D20B2" w:rsidRPr="007D20B2">
        <w:t>“Street encounters between citizens and police officers are incredibly rich in diversity.  They range from wholly friendly exchanges of pleasantries or mutually useful information to hostile confrontations of armed men involving arrests, or injuries, or loss of life.  Moreover, hostile confrontations are not all of a piece.  Some of them begin in a friendly enough manner, only to take a different turn upon the injection of some unexpected element into the conversation.</w:t>
      </w:r>
      <w:r w:rsidR="006E176D">
        <w:t>”</w:t>
      </w:r>
      <w:r w:rsidR="007D20B2" w:rsidRPr="007D20B2">
        <w:t xml:space="preserve">  (</w:t>
      </w:r>
      <w:r w:rsidR="006754A9" w:rsidRPr="00700A31">
        <w:rPr>
          <w:i/>
          <w:iCs/>
        </w:rPr>
        <w:t>Terry</w:t>
      </w:r>
      <w:r w:rsidR="006754A9">
        <w:t xml:space="preserve">, </w:t>
      </w:r>
      <w:r w:rsidR="006754A9" w:rsidRPr="00700A31">
        <w:rPr>
          <w:i/>
          <w:iCs/>
        </w:rPr>
        <w:t>supra</w:t>
      </w:r>
      <w:r w:rsidR="006754A9">
        <w:t xml:space="preserve">, </w:t>
      </w:r>
      <w:r w:rsidR="000E6534">
        <w:t xml:space="preserve">392 U.S. at </w:t>
      </w:r>
      <w:r w:rsidR="007D20B2" w:rsidRPr="007D20B2">
        <w:t>p. 13.)</w:t>
      </w:r>
    </w:p>
  </w:footnote>
  <w:footnote w:id="3">
    <w:p w14:paraId="7BBD7EEE" w14:textId="77777777" w:rsidR="00E93AAE" w:rsidRDefault="00000000">
      <w:pPr>
        <w:pStyle w:val="FootnoteText"/>
      </w:pPr>
      <w:r>
        <w:rPr>
          <w:rStyle w:val="FootnoteReference"/>
        </w:rPr>
        <w:footnoteRef/>
      </w:r>
      <w:r>
        <w:t xml:space="preserve"> </w:t>
      </w:r>
      <w:r>
        <w:tab/>
      </w:r>
      <w:r w:rsidRPr="00942715">
        <w:t xml:space="preserve">Health and Safety Code section 11532 makes it a crime to “loiter in any public place in a manner and under circumstances manifesting the purpose and with the intent to commit” certain drug related crimes. </w:t>
      </w:r>
      <w:r>
        <w:t xml:space="preserve"> Section </w:t>
      </w:r>
      <w:r w:rsidRPr="00942715">
        <w:t xml:space="preserve">11530, subdivision (a) defines “Loiter” as “to delay or linger without a lawful purpose for being on the property and for the purpose of committing a crime as opportunity may be discovered.”  Because Flores was neither charged with nor convicted of </w:t>
      </w:r>
      <w:r>
        <w:t>loitering</w:t>
      </w:r>
      <w:r w:rsidRPr="00942715">
        <w:t>, we need not parse the statute</w:t>
      </w:r>
      <w:r w:rsidR="00607811">
        <w:t>s</w:t>
      </w:r>
      <w:r w:rsidRPr="00942715">
        <w:t xml:space="preserve"> in detail</w:t>
      </w:r>
      <w:r w:rsidR="00DE48FE">
        <w:t>.</w:t>
      </w:r>
    </w:p>
  </w:footnote>
  <w:footnote w:id="4">
    <w:p w14:paraId="7BBD7EEF" w14:textId="77777777" w:rsidR="00AA0BFE" w:rsidRDefault="00000000" w:rsidP="00AA0BFE">
      <w:pPr>
        <w:pStyle w:val="FootnoteText"/>
      </w:pPr>
      <w:r>
        <w:rPr>
          <w:rStyle w:val="FootnoteReference"/>
        </w:rPr>
        <w:footnoteRef/>
      </w:r>
      <w:r>
        <w:t xml:space="preserve"> </w:t>
      </w:r>
      <w:r>
        <w:tab/>
        <w:t>The Office of the State Public Defender, the California Public Defender’s Association, and the Contra Costa County Public Defender’s Office have filed amicus briefs in support of Flores.</w:t>
      </w:r>
    </w:p>
  </w:footnote>
  <w:footnote w:id="5">
    <w:p w14:paraId="00E3AD39" w14:textId="77777777" w:rsidR="00C92DDF" w:rsidRDefault="00C92DDF" w:rsidP="00C92DDF">
      <w:pPr>
        <w:pStyle w:val="FootnoteText"/>
      </w:pPr>
      <w:r>
        <w:rPr>
          <w:rStyle w:val="FootnoteReference"/>
        </w:rPr>
        <w:footnoteRef/>
      </w:r>
      <w:r>
        <w:t xml:space="preserve"> </w:t>
      </w:r>
      <w:r>
        <w:tab/>
      </w:r>
      <w:r>
        <w:rPr>
          <w:szCs w:val="27"/>
        </w:rPr>
        <w:t>All Internet citations in this opinion are archived by year, docket number, and case name at &lt;http://www.courts.ca.gov/ 38324.htm&gt;.</w:t>
      </w:r>
    </w:p>
  </w:footnote>
  <w:footnote w:id="6">
    <w:p w14:paraId="39790A25" w14:textId="77777777" w:rsidR="00C92DDF" w:rsidRDefault="00C92DDF" w:rsidP="00C92DDF">
      <w:pPr>
        <w:pStyle w:val="FootnoteText"/>
      </w:pPr>
      <w:r>
        <w:rPr>
          <w:rStyle w:val="FootnoteReference"/>
        </w:rPr>
        <w:footnoteRef/>
      </w:r>
      <w:r>
        <w:t xml:space="preserve"> </w:t>
      </w:r>
      <w:r>
        <w:tab/>
        <w:t xml:space="preserve">Today’s opinion also discusses the statute criminalizing loitering for the purpose of engaging in drug activity, Health and Safety section 11532.  (Maj. opn., </w:t>
      </w:r>
      <w:r w:rsidRPr="006E3C18">
        <w:rPr>
          <w:i/>
          <w:iCs/>
        </w:rPr>
        <w:t>ante</w:t>
      </w:r>
      <w:r>
        <w:t>, pp. 12, 15.)  The legality of that statute’s provisions is not directly before us.  In 2022, the governor signed legislation repealing Penal Code section 653.22, a statute criminalizing loitering for the purpose of engaging in prostitution.  The governor noted, “[T]</w:t>
      </w:r>
      <w:r w:rsidRPr="00DE0420">
        <w:t xml:space="preserve">he crime of loitering has disproportionately impacted Black and Brown women and members of the LGBTQ community. </w:t>
      </w:r>
      <w:r>
        <w:t xml:space="preserve"> </w:t>
      </w:r>
      <w:r w:rsidRPr="00DE0420">
        <w:t>Black adults accounted for 56.1% of the loitering charges in Los Angeles between 2017</w:t>
      </w:r>
      <w:r w:rsidRPr="00107149">
        <w:t>–</w:t>
      </w:r>
      <w:r w:rsidRPr="00DE0420">
        <w:t>2019, despite making up less than 10% of the city</w:t>
      </w:r>
      <w:r>
        <w:t>’</w:t>
      </w:r>
      <w:r w:rsidRPr="00DE0420">
        <w:t>s population.</w:t>
      </w:r>
      <w:r>
        <w:t xml:space="preserve">”  (Governor Gavin Newsom, </w:t>
      </w:r>
      <w:r w:rsidRPr="005E14CE">
        <w:t>Letter to State Senat</w:t>
      </w:r>
      <w:r>
        <w:t>ors re Sen. Bill No. 357 (2021</w:t>
      </w:r>
      <w:r w:rsidRPr="00107149">
        <w:t>–</w:t>
      </w:r>
      <w:r>
        <w:t xml:space="preserve">2022 Reg. Sess.) </w:t>
      </w:r>
      <w:r w:rsidRPr="005E14CE">
        <w:t>July 1, 2022</w:t>
      </w:r>
      <w:r>
        <w:t xml:space="preserve"> &lt;h</w:t>
      </w:r>
      <w:r w:rsidRPr="005810D7">
        <w:t>ttps://www.gov.ca.gov/wp-content/uploads/2022/07/SB357-Signing-Message-7.01.2022.pdf</w:t>
      </w:r>
      <w:r>
        <w:t>&gt; [as of May 2, 2024].)  The Legislature may wish to evaluate Health and Safety Code section 11532 to determine whether it presents similar constitutional concerns.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D7EE8" w14:textId="77777777" w:rsidR="006D6E8A" w:rsidRDefault="00000000">
    <w:pPr>
      <w:pStyle w:val="Header"/>
    </w:pPr>
    <w:r>
      <w:t>PEOPLE v. FLORES</w:t>
    </w:r>
  </w:p>
  <w:p w14:paraId="7BBD7EE9" w14:textId="77777777" w:rsidR="006D6E8A" w:rsidRDefault="00000000">
    <w:pPr>
      <w:pStyle w:val="Header"/>
    </w:pPr>
    <w:r>
      <w:t>Opinion of the Court by Corrigan, J.</w:t>
    </w:r>
  </w:p>
  <w:p w14:paraId="7BBD7EEA" w14:textId="77777777" w:rsidR="006D6E8A" w:rsidRDefault="006D6E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70E3F" w14:textId="77777777" w:rsidR="004C704C" w:rsidRDefault="00000000">
    <w:pPr>
      <w:pStyle w:val="Header"/>
    </w:pPr>
    <w:r>
      <w:t>PEOPLE v. FLORES</w:t>
    </w:r>
  </w:p>
  <w:p w14:paraId="1F3A8644" w14:textId="77777777" w:rsidR="004C704C" w:rsidRDefault="00000000">
    <w:pPr>
      <w:pStyle w:val="Header"/>
    </w:pPr>
    <w:r>
      <w:t>Evans, J., concurring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04792" w14:textId="4E7E8EC5" w:rsidR="00AE6DAA" w:rsidRPr="00AE6DAA" w:rsidRDefault="00AE6DAA" w:rsidP="00AE6D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removePersonalInformation/>
  <w:removeDateAndTime/>
  <w:printFractionalCharacterWidth/>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611"/>
    <w:rsid w:val="0000082E"/>
    <w:rsid w:val="00000DC4"/>
    <w:rsid w:val="0000102E"/>
    <w:rsid w:val="00001508"/>
    <w:rsid w:val="00003F12"/>
    <w:rsid w:val="0000670F"/>
    <w:rsid w:val="00010CD9"/>
    <w:rsid w:val="00011866"/>
    <w:rsid w:val="00011D64"/>
    <w:rsid w:val="00012557"/>
    <w:rsid w:val="00012AE4"/>
    <w:rsid w:val="00012AE7"/>
    <w:rsid w:val="0001471B"/>
    <w:rsid w:val="000150B5"/>
    <w:rsid w:val="00015213"/>
    <w:rsid w:val="00016005"/>
    <w:rsid w:val="00016A1A"/>
    <w:rsid w:val="00017D3D"/>
    <w:rsid w:val="00020417"/>
    <w:rsid w:val="00022DD4"/>
    <w:rsid w:val="00023660"/>
    <w:rsid w:val="000262EC"/>
    <w:rsid w:val="00027D82"/>
    <w:rsid w:val="00031498"/>
    <w:rsid w:val="0003186E"/>
    <w:rsid w:val="000325E4"/>
    <w:rsid w:val="00032D72"/>
    <w:rsid w:val="00036605"/>
    <w:rsid w:val="00036B6D"/>
    <w:rsid w:val="0003776F"/>
    <w:rsid w:val="00042395"/>
    <w:rsid w:val="0004241D"/>
    <w:rsid w:val="00043E91"/>
    <w:rsid w:val="000442B9"/>
    <w:rsid w:val="000443F2"/>
    <w:rsid w:val="0004493C"/>
    <w:rsid w:val="00046985"/>
    <w:rsid w:val="00047221"/>
    <w:rsid w:val="000507F6"/>
    <w:rsid w:val="00052FB5"/>
    <w:rsid w:val="00060688"/>
    <w:rsid w:val="000635F7"/>
    <w:rsid w:val="000641B5"/>
    <w:rsid w:val="00064E3B"/>
    <w:rsid w:val="0006682C"/>
    <w:rsid w:val="00066954"/>
    <w:rsid w:val="000707EF"/>
    <w:rsid w:val="000722EE"/>
    <w:rsid w:val="00072F67"/>
    <w:rsid w:val="00073253"/>
    <w:rsid w:val="000749F6"/>
    <w:rsid w:val="00075773"/>
    <w:rsid w:val="00075A98"/>
    <w:rsid w:val="0008230C"/>
    <w:rsid w:val="00087C3A"/>
    <w:rsid w:val="00091DEA"/>
    <w:rsid w:val="000935FD"/>
    <w:rsid w:val="00095C60"/>
    <w:rsid w:val="00097B88"/>
    <w:rsid w:val="000A038E"/>
    <w:rsid w:val="000A053D"/>
    <w:rsid w:val="000A17F3"/>
    <w:rsid w:val="000A1AF3"/>
    <w:rsid w:val="000A5265"/>
    <w:rsid w:val="000A7759"/>
    <w:rsid w:val="000B04D3"/>
    <w:rsid w:val="000B2058"/>
    <w:rsid w:val="000B28D3"/>
    <w:rsid w:val="000B2C61"/>
    <w:rsid w:val="000B4516"/>
    <w:rsid w:val="000B540F"/>
    <w:rsid w:val="000B569E"/>
    <w:rsid w:val="000B5C35"/>
    <w:rsid w:val="000C1260"/>
    <w:rsid w:val="000C2A90"/>
    <w:rsid w:val="000C69EB"/>
    <w:rsid w:val="000D1E2B"/>
    <w:rsid w:val="000D4AC5"/>
    <w:rsid w:val="000D61CA"/>
    <w:rsid w:val="000E0CB4"/>
    <w:rsid w:val="000E0FD1"/>
    <w:rsid w:val="000E124B"/>
    <w:rsid w:val="000E24E0"/>
    <w:rsid w:val="000E4267"/>
    <w:rsid w:val="000E448C"/>
    <w:rsid w:val="000E5747"/>
    <w:rsid w:val="000E5C2A"/>
    <w:rsid w:val="000E6534"/>
    <w:rsid w:val="000E7260"/>
    <w:rsid w:val="000F726A"/>
    <w:rsid w:val="000F77AE"/>
    <w:rsid w:val="00103356"/>
    <w:rsid w:val="00103C0D"/>
    <w:rsid w:val="001041F4"/>
    <w:rsid w:val="00104FE9"/>
    <w:rsid w:val="00105F6B"/>
    <w:rsid w:val="00110077"/>
    <w:rsid w:val="001135DB"/>
    <w:rsid w:val="00114951"/>
    <w:rsid w:val="00115983"/>
    <w:rsid w:val="0012034C"/>
    <w:rsid w:val="001204AC"/>
    <w:rsid w:val="00122090"/>
    <w:rsid w:val="00122A59"/>
    <w:rsid w:val="00122C86"/>
    <w:rsid w:val="0012481E"/>
    <w:rsid w:val="001276B9"/>
    <w:rsid w:val="001278E7"/>
    <w:rsid w:val="00127B23"/>
    <w:rsid w:val="0013217E"/>
    <w:rsid w:val="00132383"/>
    <w:rsid w:val="00133CDE"/>
    <w:rsid w:val="001348DD"/>
    <w:rsid w:val="00135138"/>
    <w:rsid w:val="00137D94"/>
    <w:rsid w:val="00141DDA"/>
    <w:rsid w:val="001421DF"/>
    <w:rsid w:val="00142A78"/>
    <w:rsid w:val="00145023"/>
    <w:rsid w:val="00151981"/>
    <w:rsid w:val="00152200"/>
    <w:rsid w:val="00152FBD"/>
    <w:rsid w:val="001530CA"/>
    <w:rsid w:val="00156133"/>
    <w:rsid w:val="00162003"/>
    <w:rsid w:val="00162C80"/>
    <w:rsid w:val="00163867"/>
    <w:rsid w:val="00163943"/>
    <w:rsid w:val="00163C20"/>
    <w:rsid w:val="00164DCA"/>
    <w:rsid w:val="00165F9E"/>
    <w:rsid w:val="00173BCC"/>
    <w:rsid w:val="00183C68"/>
    <w:rsid w:val="0018792B"/>
    <w:rsid w:val="00187CDF"/>
    <w:rsid w:val="00190626"/>
    <w:rsid w:val="00190E20"/>
    <w:rsid w:val="001916F6"/>
    <w:rsid w:val="00193BB3"/>
    <w:rsid w:val="00194752"/>
    <w:rsid w:val="00194EAC"/>
    <w:rsid w:val="001950EE"/>
    <w:rsid w:val="001960A5"/>
    <w:rsid w:val="001A1306"/>
    <w:rsid w:val="001A3B5A"/>
    <w:rsid w:val="001B1B45"/>
    <w:rsid w:val="001B1D8C"/>
    <w:rsid w:val="001B5A3A"/>
    <w:rsid w:val="001B6595"/>
    <w:rsid w:val="001C03F5"/>
    <w:rsid w:val="001C0521"/>
    <w:rsid w:val="001C29FD"/>
    <w:rsid w:val="001C2F6B"/>
    <w:rsid w:val="001C3267"/>
    <w:rsid w:val="001C4542"/>
    <w:rsid w:val="001C5CAB"/>
    <w:rsid w:val="001C6296"/>
    <w:rsid w:val="001C67D9"/>
    <w:rsid w:val="001C73AC"/>
    <w:rsid w:val="001D0827"/>
    <w:rsid w:val="001D0E38"/>
    <w:rsid w:val="001D679B"/>
    <w:rsid w:val="001E0486"/>
    <w:rsid w:val="001E09A1"/>
    <w:rsid w:val="001E17A7"/>
    <w:rsid w:val="001E2BB7"/>
    <w:rsid w:val="001E2F85"/>
    <w:rsid w:val="001E340C"/>
    <w:rsid w:val="001E367B"/>
    <w:rsid w:val="001E417C"/>
    <w:rsid w:val="001F12A8"/>
    <w:rsid w:val="001F2D95"/>
    <w:rsid w:val="001F637B"/>
    <w:rsid w:val="001F6AF9"/>
    <w:rsid w:val="001F7703"/>
    <w:rsid w:val="001F7C92"/>
    <w:rsid w:val="00200DD3"/>
    <w:rsid w:val="00201192"/>
    <w:rsid w:val="002035E0"/>
    <w:rsid w:val="00215119"/>
    <w:rsid w:val="00215185"/>
    <w:rsid w:val="00215559"/>
    <w:rsid w:val="002157FF"/>
    <w:rsid w:val="00215F36"/>
    <w:rsid w:val="002178F3"/>
    <w:rsid w:val="00217EF9"/>
    <w:rsid w:val="002215A2"/>
    <w:rsid w:val="002219EA"/>
    <w:rsid w:val="00224215"/>
    <w:rsid w:val="00225D83"/>
    <w:rsid w:val="00226397"/>
    <w:rsid w:val="00227C94"/>
    <w:rsid w:val="00230576"/>
    <w:rsid w:val="0023386A"/>
    <w:rsid w:val="00234F6E"/>
    <w:rsid w:val="0023717A"/>
    <w:rsid w:val="002371AB"/>
    <w:rsid w:val="0023738A"/>
    <w:rsid w:val="00241634"/>
    <w:rsid w:val="0024353E"/>
    <w:rsid w:val="00243A53"/>
    <w:rsid w:val="00244DEC"/>
    <w:rsid w:val="0024658D"/>
    <w:rsid w:val="00247CE6"/>
    <w:rsid w:val="002526D3"/>
    <w:rsid w:val="00253B35"/>
    <w:rsid w:val="00255779"/>
    <w:rsid w:val="00257076"/>
    <w:rsid w:val="002573FE"/>
    <w:rsid w:val="0026005B"/>
    <w:rsid w:val="0026213E"/>
    <w:rsid w:val="00262C62"/>
    <w:rsid w:val="00263FB1"/>
    <w:rsid w:val="00265C0F"/>
    <w:rsid w:val="00270F03"/>
    <w:rsid w:val="00274697"/>
    <w:rsid w:val="002811AF"/>
    <w:rsid w:val="00283433"/>
    <w:rsid w:val="002850E4"/>
    <w:rsid w:val="002865F3"/>
    <w:rsid w:val="002907CE"/>
    <w:rsid w:val="00290BDE"/>
    <w:rsid w:val="002913DD"/>
    <w:rsid w:val="0029194B"/>
    <w:rsid w:val="002928AD"/>
    <w:rsid w:val="0029343D"/>
    <w:rsid w:val="00294135"/>
    <w:rsid w:val="002951E6"/>
    <w:rsid w:val="00297696"/>
    <w:rsid w:val="002A006C"/>
    <w:rsid w:val="002A321A"/>
    <w:rsid w:val="002A3E7F"/>
    <w:rsid w:val="002A4A4F"/>
    <w:rsid w:val="002A69BE"/>
    <w:rsid w:val="002B1880"/>
    <w:rsid w:val="002B4504"/>
    <w:rsid w:val="002B4604"/>
    <w:rsid w:val="002B54FC"/>
    <w:rsid w:val="002B5980"/>
    <w:rsid w:val="002C2264"/>
    <w:rsid w:val="002C25C5"/>
    <w:rsid w:val="002C35CA"/>
    <w:rsid w:val="002C510C"/>
    <w:rsid w:val="002C795B"/>
    <w:rsid w:val="002D2806"/>
    <w:rsid w:val="002D4F70"/>
    <w:rsid w:val="002E2A5E"/>
    <w:rsid w:val="002E34A6"/>
    <w:rsid w:val="002E34C2"/>
    <w:rsid w:val="002E4815"/>
    <w:rsid w:val="002E5064"/>
    <w:rsid w:val="002E649F"/>
    <w:rsid w:val="002E7502"/>
    <w:rsid w:val="002F1289"/>
    <w:rsid w:val="002F24D8"/>
    <w:rsid w:val="002F45B4"/>
    <w:rsid w:val="002F719D"/>
    <w:rsid w:val="0030376F"/>
    <w:rsid w:val="00305B0A"/>
    <w:rsid w:val="00306583"/>
    <w:rsid w:val="0030697C"/>
    <w:rsid w:val="00307BB5"/>
    <w:rsid w:val="00312D26"/>
    <w:rsid w:val="00313A1F"/>
    <w:rsid w:val="00313D31"/>
    <w:rsid w:val="003202E0"/>
    <w:rsid w:val="003222A4"/>
    <w:rsid w:val="003234E2"/>
    <w:rsid w:val="00325387"/>
    <w:rsid w:val="003267CA"/>
    <w:rsid w:val="0033092A"/>
    <w:rsid w:val="0033096C"/>
    <w:rsid w:val="00331668"/>
    <w:rsid w:val="003326FB"/>
    <w:rsid w:val="00333526"/>
    <w:rsid w:val="00333897"/>
    <w:rsid w:val="003357BB"/>
    <w:rsid w:val="00335D7F"/>
    <w:rsid w:val="003370C8"/>
    <w:rsid w:val="0033750B"/>
    <w:rsid w:val="003426C7"/>
    <w:rsid w:val="00345EB2"/>
    <w:rsid w:val="0035063B"/>
    <w:rsid w:val="00351609"/>
    <w:rsid w:val="00354E3B"/>
    <w:rsid w:val="00355303"/>
    <w:rsid w:val="00356D65"/>
    <w:rsid w:val="00357DAC"/>
    <w:rsid w:val="00361067"/>
    <w:rsid w:val="0036252E"/>
    <w:rsid w:val="00362A9A"/>
    <w:rsid w:val="003635F3"/>
    <w:rsid w:val="0036670A"/>
    <w:rsid w:val="0037303F"/>
    <w:rsid w:val="00373EEA"/>
    <w:rsid w:val="003760CA"/>
    <w:rsid w:val="00380BBF"/>
    <w:rsid w:val="00380E24"/>
    <w:rsid w:val="0038478B"/>
    <w:rsid w:val="0038727C"/>
    <w:rsid w:val="00392206"/>
    <w:rsid w:val="003923CF"/>
    <w:rsid w:val="003942AE"/>
    <w:rsid w:val="00397C96"/>
    <w:rsid w:val="003A2239"/>
    <w:rsid w:val="003A223B"/>
    <w:rsid w:val="003A2365"/>
    <w:rsid w:val="003A44AD"/>
    <w:rsid w:val="003A6ED9"/>
    <w:rsid w:val="003B1235"/>
    <w:rsid w:val="003B16EA"/>
    <w:rsid w:val="003B26C3"/>
    <w:rsid w:val="003B3942"/>
    <w:rsid w:val="003B5A46"/>
    <w:rsid w:val="003C06F3"/>
    <w:rsid w:val="003C1413"/>
    <w:rsid w:val="003C4CB4"/>
    <w:rsid w:val="003C74C3"/>
    <w:rsid w:val="003D0996"/>
    <w:rsid w:val="003D4666"/>
    <w:rsid w:val="003D4C83"/>
    <w:rsid w:val="003D5E69"/>
    <w:rsid w:val="003D649D"/>
    <w:rsid w:val="003D786D"/>
    <w:rsid w:val="003D7AEF"/>
    <w:rsid w:val="003E045F"/>
    <w:rsid w:val="003E0A7C"/>
    <w:rsid w:val="003E0E9A"/>
    <w:rsid w:val="003E2429"/>
    <w:rsid w:val="003E3183"/>
    <w:rsid w:val="003E32AC"/>
    <w:rsid w:val="003E39B6"/>
    <w:rsid w:val="003E4A86"/>
    <w:rsid w:val="003E4BA4"/>
    <w:rsid w:val="003E6966"/>
    <w:rsid w:val="003F103D"/>
    <w:rsid w:val="003F2555"/>
    <w:rsid w:val="003F32CA"/>
    <w:rsid w:val="003F4F7B"/>
    <w:rsid w:val="003F5360"/>
    <w:rsid w:val="004001E6"/>
    <w:rsid w:val="00400B70"/>
    <w:rsid w:val="00400EAF"/>
    <w:rsid w:val="00401738"/>
    <w:rsid w:val="004019F4"/>
    <w:rsid w:val="00401E32"/>
    <w:rsid w:val="004037D8"/>
    <w:rsid w:val="00403AE5"/>
    <w:rsid w:val="00404801"/>
    <w:rsid w:val="00407776"/>
    <w:rsid w:val="00407E8F"/>
    <w:rsid w:val="00410BCB"/>
    <w:rsid w:val="00410D35"/>
    <w:rsid w:val="0041159B"/>
    <w:rsid w:val="004147B6"/>
    <w:rsid w:val="00415682"/>
    <w:rsid w:val="00415BAC"/>
    <w:rsid w:val="00416435"/>
    <w:rsid w:val="004175F1"/>
    <w:rsid w:val="00421437"/>
    <w:rsid w:val="00423EB7"/>
    <w:rsid w:val="00424951"/>
    <w:rsid w:val="00424F78"/>
    <w:rsid w:val="0042604D"/>
    <w:rsid w:val="00426611"/>
    <w:rsid w:val="00426B32"/>
    <w:rsid w:val="00430B83"/>
    <w:rsid w:val="00430CAD"/>
    <w:rsid w:val="004333D9"/>
    <w:rsid w:val="00436F47"/>
    <w:rsid w:val="00440686"/>
    <w:rsid w:val="0044686C"/>
    <w:rsid w:val="00446F91"/>
    <w:rsid w:val="004508C4"/>
    <w:rsid w:val="00450D0C"/>
    <w:rsid w:val="004516BF"/>
    <w:rsid w:val="004519D4"/>
    <w:rsid w:val="0045264C"/>
    <w:rsid w:val="00454304"/>
    <w:rsid w:val="004557FD"/>
    <w:rsid w:val="00457510"/>
    <w:rsid w:val="004633A2"/>
    <w:rsid w:val="004645C6"/>
    <w:rsid w:val="00465CBF"/>
    <w:rsid w:val="00467254"/>
    <w:rsid w:val="00471DBF"/>
    <w:rsid w:val="00472009"/>
    <w:rsid w:val="00474A9F"/>
    <w:rsid w:val="00481273"/>
    <w:rsid w:val="00482647"/>
    <w:rsid w:val="004826BE"/>
    <w:rsid w:val="00484084"/>
    <w:rsid w:val="00484FB8"/>
    <w:rsid w:val="00485B87"/>
    <w:rsid w:val="00490641"/>
    <w:rsid w:val="00491A78"/>
    <w:rsid w:val="00492185"/>
    <w:rsid w:val="00496357"/>
    <w:rsid w:val="00497F32"/>
    <w:rsid w:val="004A092E"/>
    <w:rsid w:val="004A0965"/>
    <w:rsid w:val="004A3013"/>
    <w:rsid w:val="004A59B6"/>
    <w:rsid w:val="004A5A41"/>
    <w:rsid w:val="004A7097"/>
    <w:rsid w:val="004A7761"/>
    <w:rsid w:val="004A7C35"/>
    <w:rsid w:val="004A7C47"/>
    <w:rsid w:val="004B0861"/>
    <w:rsid w:val="004B23B7"/>
    <w:rsid w:val="004B41DD"/>
    <w:rsid w:val="004B617E"/>
    <w:rsid w:val="004C05F4"/>
    <w:rsid w:val="004C17BE"/>
    <w:rsid w:val="004C1B7F"/>
    <w:rsid w:val="004C538D"/>
    <w:rsid w:val="004C6FFD"/>
    <w:rsid w:val="004C704C"/>
    <w:rsid w:val="004C74E6"/>
    <w:rsid w:val="004C7DB0"/>
    <w:rsid w:val="004D1C44"/>
    <w:rsid w:val="004D22DE"/>
    <w:rsid w:val="004D3205"/>
    <w:rsid w:val="004D4B3C"/>
    <w:rsid w:val="004E0F4A"/>
    <w:rsid w:val="004E2B0A"/>
    <w:rsid w:val="004E44E8"/>
    <w:rsid w:val="004E67CE"/>
    <w:rsid w:val="004E6840"/>
    <w:rsid w:val="004F1AE1"/>
    <w:rsid w:val="004F370D"/>
    <w:rsid w:val="004F575B"/>
    <w:rsid w:val="004F72C7"/>
    <w:rsid w:val="004F7697"/>
    <w:rsid w:val="005010C5"/>
    <w:rsid w:val="00504D63"/>
    <w:rsid w:val="00505ACF"/>
    <w:rsid w:val="00507B75"/>
    <w:rsid w:val="00510473"/>
    <w:rsid w:val="00510AB6"/>
    <w:rsid w:val="00512C93"/>
    <w:rsid w:val="0051559F"/>
    <w:rsid w:val="0051630A"/>
    <w:rsid w:val="00520305"/>
    <w:rsid w:val="00523514"/>
    <w:rsid w:val="00526072"/>
    <w:rsid w:val="00530981"/>
    <w:rsid w:val="0053133E"/>
    <w:rsid w:val="005321A1"/>
    <w:rsid w:val="0053393D"/>
    <w:rsid w:val="0053446C"/>
    <w:rsid w:val="00537629"/>
    <w:rsid w:val="00540EAC"/>
    <w:rsid w:val="00541099"/>
    <w:rsid w:val="005422F2"/>
    <w:rsid w:val="00542733"/>
    <w:rsid w:val="00543083"/>
    <w:rsid w:val="0054370B"/>
    <w:rsid w:val="00554A0E"/>
    <w:rsid w:val="00554CD0"/>
    <w:rsid w:val="005624C3"/>
    <w:rsid w:val="005646EB"/>
    <w:rsid w:val="00566E16"/>
    <w:rsid w:val="0056721C"/>
    <w:rsid w:val="0057093A"/>
    <w:rsid w:val="00570AFA"/>
    <w:rsid w:val="00570E2A"/>
    <w:rsid w:val="00570F2B"/>
    <w:rsid w:val="00575750"/>
    <w:rsid w:val="00580751"/>
    <w:rsid w:val="00580BFC"/>
    <w:rsid w:val="00584477"/>
    <w:rsid w:val="005850ED"/>
    <w:rsid w:val="00586F1B"/>
    <w:rsid w:val="00587A05"/>
    <w:rsid w:val="005914C2"/>
    <w:rsid w:val="00591D0A"/>
    <w:rsid w:val="00593F44"/>
    <w:rsid w:val="00595970"/>
    <w:rsid w:val="0059679E"/>
    <w:rsid w:val="005976CE"/>
    <w:rsid w:val="005A0F45"/>
    <w:rsid w:val="005A1547"/>
    <w:rsid w:val="005A20F1"/>
    <w:rsid w:val="005A32CF"/>
    <w:rsid w:val="005A3E97"/>
    <w:rsid w:val="005A5146"/>
    <w:rsid w:val="005A5C8A"/>
    <w:rsid w:val="005A5FB9"/>
    <w:rsid w:val="005A6DA4"/>
    <w:rsid w:val="005A705F"/>
    <w:rsid w:val="005B01ED"/>
    <w:rsid w:val="005B099A"/>
    <w:rsid w:val="005B148C"/>
    <w:rsid w:val="005B1997"/>
    <w:rsid w:val="005B1D08"/>
    <w:rsid w:val="005B271A"/>
    <w:rsid w:val="005B3615"/>
    <w:rsid w:val="005B4F37"/>
    <w:rsid w:val="005B68E5"/>
    <w:rsid w:val="005B6F5A"/>
    <w:rsid w:val="005B7CAE"/>
    <w:rsid w:val="005C0A6D"/>
    <w:rsid w:val="005C1CA5"/>
    <w:rsid w:val="005C5C74"/>
    <w:rsid w:val="005C6F5D"/>
    <w:rsid w:val="005D1AEF"/>
    <w:rsid w:val="005D25E9"/>
    <w:rsid w:val="005D27E2"/>
    <w:rsid w:val="005D281C"/>
    <w:rsid w:val="005D4124"/>
    <w:rsid w:val="005D4D2C"/>
    <w:rsid w:val="005D544D"/>
    <w:rsid w:val="005D5BF9"/>
    <w:rsid w:val="005D64AB"/>
    <w:rsid w:val="005E1F50"/>
    <w:rsid w:val="005E2705"/>
    <w:rsid w:val="005E28F4"/>
    <w:rsid w:val="005E6CE4"/>
    <w:rsid w:val="005F0964"/>
    <w:rsid w:val="005F4173"/>
    <w:rsid w:val="005F4790"/>
    <w:rsid w:val="005F58EB"/>
    <w:rsid w:val="005F657E"/>
    <w:rsid w:val="005F65F6"/>
    <w:rsid w:val="005F67FA"/>
    <w:rsid w:val="005F7365"/>
    <w:rsid w:val="006026D5"/>
    <w:rsid w:val="00604006"/>
    <w:rsid w:val="006040BB"/>
    <w:rsid w:val="00604C62"/>
    <w:rsid w:val="00605768"/>
    <w:rsid w:val="00606004"/>
    <w:rsid w:val="00606061"/>
    <w:rsid w:val="00607537"/>
    <w:rsid w:val="006077D1"/>
    <w:rsid w:val="00607811"/>
    <w:rsid w:val="00610BB4"/>
    <w:rsid w:val="00611C54"/>
    <w:rsid w:val="0061359C"/>
    <w:rsid w:val="00615385"/>
    <w:rsid w:val="00616558"/>
    <w:rsid w:val="00623EBD"/>
    <w:rsid w:val="006248D3"/>
    <w:rsid w:val="00625C9A"/>
    <w:rsid w:val="0062621D"/>
    <w:rsid w:val="0062752E"/>
    <w:rsid w:val="00635B76"/>
    <w:rsid w:val="00641A1B"/>
    <w:rsid w:val="006445FE"/>
    <w:rsid w:val="00644795"/>
    <w:rsid w:val="00645CD5"/>
    <w:rsid w:val="00650303"/>
    <w:rsid w:val="00650487"/>
    <w:rsid w:val="00650B54"/>
    <w:rsid w:val="0065612E"/>
    <w:rsid w:val="00657EE2"/>
    <w:rsid w:val="006609ED"/>
    <w:rsid w:val="00660D07"/>
    <w:rsid w:val="0066100A"/>
    <w:rsid w:val="00661BE0"/>
    <w:rsid w:val="006634E8"/>
    <w:rsid w:val="00665454"/>
    <w:rsid w:val="00667238"/>
    <w:rsid w:val="00667AC9"/>
    <w:rsid w:val="00671206"/>
    <w:rsid w:val="006720E3"/>
    <w:rsid w:val="00672676"/>
    <w:rsid w:val="00673472"/>
    <w:rsid w:val="006747EA"/>
    <w:rsid w:val="006754A9"/>
    <w:rsid w:val="00677AA1"/>
    <w:rsid w:val="006848AA"/>
    <w:rsid w:val="00685990"/>
    <w:rsid w:val="00692280"/>
    <w:rsid w:val="00694934"/>
    <w:rsid w:val="00697F6E"/>
    <w:rsid w:val="006A0800"/>
    <w:rsid w:val="006A1466"/>
    <w:rsid w:val="006A2369"/>
    <w:rsid w:val="006A353B"/>
    <w:rsid w:val="006A4B71"/>
    <w:rsid w:val="006A4E54"/>
    <w:rsid w:val="006A6617"/>
    <w:rsid w:val="006A6816"/>
    <w:rsid w:val="006A74B1"/>
    <w:rsid w:val="006B2C21"/>
    <w:rsid w:val="006B2F86"/>
    <w:rsid w:val="006B36F1"/>
    <w:rsid w:val="006B5D4D"/>
    <w:rsid w:val="006B670E"/>
    <w:rsid w:val="006B6C54"/>
    <w:rsid w:val="006B79BC"/>
    <w:rsid w:val="006B79E4"/>
    <w:rsid w:val="006C3B12"/>
    <w:rsid w:val="006C5C00"/>
    <w:rsid w:val="006C7FE6"/>
    <w:rsid w:val="006D15A5"/>
    <w:rsid w:val="006D1C51"/>
    <w:rsid w:val="006D4DB7"/>
    <w:rsid w:val="006D6196"/>
    <w:rsid w:val="006D69FE"/>
    <w:rsid w:val="006D6E8A"/>
    <w:rsid w:val="006D7982"/>
    <w:rsid w:val="006D7C26"/>
    <w:rsid w:val="006E0823"/>
    <w:rsid w:val="006E176D"/>
    <w:rsid w:val="006E5F95"/>
    <w:rsid w:val="006E6E22"/>
    <w:rsid w:val="006F1E18"/>
    <w:rsid w:val="006F2F6E"/>
    <w:rsid w:val="006F3445"/>
    <w:rsid w:val="006F448D"/>
    <w:rsid w:val="006F467E"/>
    <w:rsid w:val="006F5F1B"/>
    <w:rsid w:val="006F7175"/>
    <w:rsid w:val="006F71C7"/>
    <w:rsid w:val="00700A31"/>
    <w:rsid w:val="007024FA"/>
    <w:rsid w:val="00704780"/>
    <w:rsid w:val="00705D9C"/>
    <w:rsid w:val="00706A5A"/>
    <w:rsid w:val="007102E0"/>
    <w:rsid w:val="00710F3D"/>
    <w:rsid w:val="00710F67"/>
    <w:rsid w:val="0071177D"/>
    <w:rsid w:val="00714C9D"/>
    <w:rsid w:val="007153C0"/>
    <w:rsid w:val="00716609"/>
    <w:rsid w:val="007174DD"/>
    <w:rsid w:val="00720D3B"/>
    <w:rsid w:val="007216F6"/>
    <w:rsid w:val="00722B47"/>
    <w:rsid w:val="00722C9C"/>
    <w:rsid w:val="00733EAC"/>
    <w:rsid w:val="00740DFC"/>
    <w:rsid w:val="00742827"/>
    <w:rsid w:val="00742859"/>
    <w:rsid w:val="00743742"/>
    <w:rsid w:val="00744AF8"/>
    <w:rsid w:val="007529A1"/>
    <w:rsid w:val="007543AA"/>
    <w:rsid w:val="00756AF9"/>
    <w:rsid w:val="00763F1E"/>
    <w:rsid w:val="00765BD0"/>
    <w:rsid w:val="00767F68"/>
    <w:rsid w:val="00770486"/>
    <w:rsid w:val="00770AE7"/>
    <w:rsid w:val="00770D0D"/>
    <w:rsid w:val="0077221B"/>
    <w:rsid w:val="00773483"/>
    <w:rsid w:val="007738E7"/>
    <w:rsid w:val="00774719"/>
    <w:rsid w:val="00775AB6"/>
    <w:rsid w:val="00775ED0"/>
    <w:rsid w:val="00780290"/>
    <w:rsid w:val="007802B1"/>
    <w:rsid w:val="00781EF2"/>
    <w:rsid w:val="00783CFF"/>
    <w:rsid w:val="00785C36"/>
    <w:rsid w:val="0078613B"/>
    <w:rsid w:val="00786405"/>
    <w:rsid w:val="00792774"/>
    <w:rsid w:val="00792797"/>
    <w:rsid w:val="00795446"/>
    <w:rsid w:val="007973A3"/>
    <w:rsid w:val="00797721"/>
    <w:rsid w:val="00797EAB"/>
    <w:rsid w:val="007A016A"/>
    <w:rsid w:val="007A0577"/>
    <w:rsid w:val="007A09CA"/>
    <w:rsid w:val="007A2B20"/>
    <w:rsid w:val="007A48A6"/>
    <w:rsid w:val="007A4B70"/>
    <w:rsid w:val="007A5905"/>
    <w:rsid w:val="007A6D3F"/>
    <w:rsid w:val="007B0407"/>
    <w:rsid w:val="007B32E1"/>
    <w:rsid w:val="007B3D25"/>
    <w:rsid w:val="007B48A6"/>
    <w:rsid w:val="007B4DEB"/>
    <w:rsid w:val="007B7E71"/>
    <w:rsid w:val="007C3982"/>
    <w:rsid w:val="007D0FBC"/>
    <w:rsid w:val="007D1466"/>
    <w:rsid w:val="007D20B2"/>
    <w:rsid w:val="007D2832"/>
    <w:rsid w:val="007D5386"/>
    <w:rsid w:val="007D559E"/>
    <w:rsid w:val="007D57A9"/>
    <w:rsid w:val="007E03B0"/>
    <w:rsid w:val="007E2A77"/>
    <w:rsid w:val="007E56E2"/>
    <w:rsid w:val="007E7E6C"/>
    <w:rsid w:val="007F3DA7"/>
    <w:rsid w:val="007F5037"/>
    <w:rsid w:val="007F5874"/>
    <w:rsid w:val="007F6433"/>
    <w:rsid w:val="007F787D"/>
    <w:rsid w:val="00800F2F"/>
    <w:rsid w:val="00801BFC"/>
    <w:rsid w:val="00803BC4"/>
    <w:rsid w:val="00804299"/>
    <w:rsid w:val="00806444"/>
    <w:rsid w:val="00810A9A"/>
    <w:rsid w:val="00811A84"/>
    <w:rsid w:val="00812F94"/>
    <w:rsid w:val="008137D4"/>
    <w:rsid w:val="008141F5"/>
    <w:rsid w:val="008208E4"/>
    <w:rsid w:val="008230BF"/>
    <w:rsid w:val="008236F3"/>
    <w:rsid w:val="00824A6B"/>
    <w:rsid w:val="0082572E"/>
    <w:rsid w:val="008261E1"/>
    <w:rsid w:val="00830BF8"/>
    <w:rsid w:val="00831137"/>
    <w:rsid w:val="00832C11"/>
    <w:rsid w:val="00834177"/>
    <w:rsid w:val="008348F7"/>
    <w:rsid w:val="00837B30"/>
    <w:rsid w:val="0084181F"/>
    <w:rsid w:val="008426A1"/>
    <w:rsid w:val="008430C7"/>
    <w:rsid w:val="008504FA"/>
    <w:rsid w:val="008506A4"/>
    <w:rsid w:val="00852309"/>
    <w:rsid w:val="008540D3"/>
    <w:rsid w:val="00854B1D"/>
    <w:rsid w:val="00854D13"/>
    <w:rsid w:val="00854EBC"/>
    <w:rsid w:val="0085531E"/>
    <w:rsid w:val="00855FAC"/>
    <w:rsid w:val="00857E2B"/>
    <w:rsid w:val="008606ED"/>
    <w:rsid w:val="00860959"/>
    <w:rsid w:val="00863710"/>
    <w:rsid w:val="008648F2"/>
    <w:rsid w:val="0086672E"/>
    <w:rsid w:val="00870B65"/>
    <w:rsid w:val="00877933"/>
    <w:rsid w:val="0088117C"/>
    <w:rsid w:val="00882C95"/>
    <w:rsid w:val="00882D2A"/>
    <w:rsid w:val="00885DB8"/>
    <w:rsid w:val="0088642D"/>
    <w:rsid w:val="008878FE"/>
    <w:rsid w:val="008902A8"/>
    <w:rsid w:val="008906A0"/>
    <w:rsid w:val="00894269"/>
    <w:rsid w:val="00896364"/>
    <w:rsid w:val="008A0C33"/>
    <w:rsid w:val="008A14F9"/>
    <w:rsid w:val="008A1A3C"/>
    <w:rsid w:val="008A3F36"/>
    <w:rsid w:val="008A79D9"/>
    <w:rsid w:val="008B0798"/>
    <w:rsid w:val="008C0F5B"/>
    <w:rsid w:val="008C586D"/>
    <w:rsid w:val="008D5DAA"/>
    <w:rsid w:val="008E48E3"/>
    <w:rsid w:val="008E5AC2"/>
    <w:rsid w:val="008E7632"/>
    <w:rsid w:val="008E7E5D"/>
    <w:rsid w:val="008F35AE"/>
    <w:rsid w:val="008F427C"/>
    <w:rsid w:val="008F490F"/>
    <w:rsid w:val="009018DD"/>
    <w:rsid w:val="00903599"/>
    <w:rsid w:val="0090440F"/>
    <w:rsid w:val="009065C8"/>
    <w:rsid w:val="00906F5D"/>
    <w:rsid w:val="009070F5"/>
    <w:rsid w:val="00907340"/>
    <w:rsid w:val="00907C91"/>
    <w:rsid w:val="00910693"/>
    <w:rsid w:val="00911AE5"/>
    <w:rsid w:val="00913C14"/>
    <w:rsid w:val="00915FB4"/>
    <w:rsid w:val="009165F0"/>
    <w:rsid w:val="00916630"/>
    <w:rsid w:val="00920442"/>
    <w:rsid w:val="00920AD3"/>
    <w:rsid w:val="00921C64"/>
    <w:rsid w:val="009232C6"/>
    <w:rsid w:val="00923DBB"/>
    <w:rsid w:val="009255F2"/>
    <w:rsid w:val="00926031"/>
    <w:rsid w:val="00926DC5"/>
    <w:rsid w:val="009324D6"/>
    <w:rsid w:val="009333C7"/>
    <w:rsid w:val="00935462"/>
    <w:rsid w:val="00937715"/>
    <w:rsid w:val="00937A53"/>
    <w:rsid w:val="00941FB0"/>
    <w:rsid w:val="00942715"/>
    <w:rsid w:val="00942770"/>
    <w:rsid w:val="00943E8A"/>
    <w:rsid w:val="00945B7F"/>
    <w:rsid w:val="0094639E"/>
    <w:rsid w:val="009470C8"/>
    <w:rsid w:val="00947335"/>
    <w:rsid w:val="00950544"/>
    <w:rsid w:val="00951442"/>
    <w:rsid w:val="009541B4"/>
    <w:rsid w:val="00956127"/>
    <w:rsid w:val="009574DC"/>
    <w:rsid w:val="00960DFD"/>
    <w:rsid w:val="00961382"/>
    <w:rsid w:val="009626E9"/>
    <w:rsid w:val="0096271E"/>
    <w:rsid w:val="00965C0F"/>
    <w:rsid w:val="009708D0"/>
    <w:rsid w:val="00976F25"/>
    <w:rsid w:val="009866A7"/>
    <w:rsid w:val="009876B8"/>
    <w:rsid w:val="00987C9B"/>
    <w:rsid w:val="009928A3"/>
    <w:rsid w:val="00993B70"/>
    <w:rsid w:val="009A0453"/>
    <w:rsid w:val="009A051A"/>
    <w:rsid w:val="009A2105"/>
    <w:rsid w:val="009A3A4C"/>
    <w:rsid w:val="009A463B"/>
    <w:rsid w:val="009A67B9"/>
    <w:rsid w:val="009A7745"/>
    <w:rsid w:val="009B3843"/>
    <w:rsid w:val="009B3AF2"/>
    <w:rsid w:val="009B68F0"/>
    <w:rsid w:val="009C4722"/>
    <w:rsid w:val="009C49E0"/>
    <w:rsid w:val="009C5352"/>
    <w:rsid w:val="009C5FC1"/>
    <w:rsid w:val="009C6454"/>
    <w:rsid w:val="009D0B71"/>
    <w:rsid w:val="009D1275"/>
    <w:rsid w:val="009D1AAC"/>
    <w:rsid w:val="009D3C49"/>
    <w:rsid w:val="009D3CB1"/>
    <w:rsid w:val="009D6D02"/>
    <w:rsid w:val="009E018E"/>
    <w:rsid w:val="009E0824"/>
    <w:rsid w:val="009E0E21"/>
    <w:rsid w:val="009E3CAA"/>
    <w:rsid w:val="009E4C33"/>
    <w:rsid w:val="009E7CC1"/>
    <w:rsid w:val="009F0C52"/>
    <w:rsid w:val="009F2A34"/>
    <w:rsid w:val="009F2ADC"/>
    <w:rsid w:val="009F3F00"/>
    <w:rsid w:val="009F5976"/>
    <w:rsid w:val="00A00C3B"/>
    <w:rsid w:val="00A10BC7"/>
    <w:rsid w:val="00A10F82"/>
    <w:rsid w:val="00A11651"/>
    <w:rsid w:val="00A124B6"/>
    <w:rsid w:val="00A1279F"/>
    <w:rsid w:val="00A13A1F"/>
    <w:rsid w:val="00A14300"/>
    <w:rsid w:val="00A14BD2"/>
    <w:rsid w:val="00A17C72"/>
    <w:rsid w:val="00A21882"/>
    <w:rsid w:val="00A235A4"/>
    <w:rsid w:val="00A264CC"/>
    <w:rsid w:val="00A27254"/>
    <w:rsid w:val="00A30A26"/>
    <w:rsid w:val="00A33473"/>
    <w:rsid w:val="00A356E3"/>
    <w:rsid w:val="00A36588"/>
    <w:rsid w:val="00A368E5"/>
    <w:rsid w:val="00A37919"/>
    <w:rsid w:val="00A41DA4"/>
    <w:rsid w:val="00A43A4D"/>
    <w:rsid w:val="00A43B3B"/>
    <w:rsid w:val="00A46FB9"/>
    <w:rsid w:val="00A529A7"/>
    <w:rsid w:val="00A53698"/>
    <w:rsid w:val="00A55D3F"/>
    <w:rsid w:val="00A55ECC"/>
    <w:rsid w:val="00A56855"/>
    <w:rsid w:val="00A608F0"/>
    <w:rsid w:val="00A60F72"/>
    <w:rsid w:val="00A61ECA"/>
    <w:rsid w:val="00A62AA3"/>
    <w:rsid w:val="00A63433"/>
    <w:rsid w:val="00A6361D"/>
    <w:rsid w:val="00A64EF2"/>
    <w:rsid w:val="00A65252"/>
    <w:rsid w:val="00A676CC"/>
    <w:rsid w:val="00A71135"/>
    <w:rsid w:val="00A72822"/>
    <w:rsid w:val="00A7488D"/>
    <w:rsid w:val="00A8294A"/>
    <w:rsid w:val="00A83090"/>
    <w:rsid w:val="00A838B7"/>
    <w:rsid w:val="00A8698D"/>
    <w:rsid w:val="00A87BCE"/>
    <w:rsid w:val="00A87E7E"/>
    <w:rsid w:val="00A87F55"/>
    <w:rsid w:val="00A93A99"/>
    <w:rsid w:val="00A9451B"/>
    <w:rsid w:val="00A947A3"/>
    <w:rsid w:val="00A97A94"/>
    <w:rsid w:val="00AA07E7"/>
    <w:rsid w:val="00AA0BFE"/>
    <w:rsid w:val="00AA119B"/>
    <w:rsid w:val="00AA165B"/>
    <w:rsid w:val="00AA7C28"/>
    <w:rsid w:val="00AB2EAB"/>
    <w:rsid w:val="00AB3807"/>
    <w:rsid w:val="00AB52B6"/>
    <w:rsid w:val="00AB5BA2"/>
    <w:rsid w:val="00AC12DD"/>
    <w:rsid w:val="00AC2730"/>
    <w:rsid w:val="00AC3106"/>
    <w:rsid w:val="00AC39EB"/>
    <w:rsid w:val="00AC3A24"/>
    <w:rsid w:val="00AC3DF0"/>
    <w:rsid w:val="00AD1E1B"/>
    <w:rsid w:val="00AD26FD"/>
    <w:rsid w:val="00AD3334"/>
    <w:rsid w:val="00AD5F77"/>
    <w:rsid w:val="00AE186D"/>
    <w:rsid w:val="00AE1EEA"/>
    <w:rsid w:val="00AE21F6"/>
    <w:rsid w:val="00AE6DAA"/>
    <w:rsid w:val="00AF332B"/>
    <w:rsid w:val="00AF427E"/>
    <w:rsid w:val="00AF4388"/>
    <w:rsid w:val="00AF440C"/>
    <w:rsid w:val="00B06200"/>
    <w:rsid w:val="00B068DE"/>
    <w:rsid w:val="00B0782E"/>
    <w:rsid w:val="00B078AA"/>
    <w:rsid w:val="00B112C8"/>
    <w:rsid w:val="00B115D5"/>
    <w:rsid w:val="00B12806"/>
    <w:rsid w:val="00B13C9D"/>
    <w:rsid w:val="00B14CF3"/>
    <w:rsid w:val="00B169CF"/>
    <w:rsid w:val="00B204DE"/>
    <w:rsid w:val="00B212F3"/>
    <w:rsid w:val="00B21970"/>
    <w:rsid w:val="00B238E9"/>
    <w:rsid w:val="00B25B86"/>
    <w:rsid w:val="00B26527"/>
    <w:rsid w:val="00B27D0A"/>
    <w:rsid w:val="00B27F9A"/>
    <w:rsid w:val="00B30A78"/>
    <w:rsid w:val="00B3165D"/>
    <w:rsid w:val="00B324F6"/>
    <w:rsid w:val="00B325C0"/>
    <w:rsid w:val="00B332DD"/>
    <w:rsid w:val="00B357CF"/>
    <w:rsid w:val="00B358D9"/>
    <w:rsid w:val="00B35BCA"/>
    <w:rsid w:val="00B36718"/>
    <w:rsid w:val="00B36A60"/>
    <w:rsid w:val="00B402D1"/>
    <w:rsid w:val="00B4038E"/>
    <w:rsid w:val="00B41D84"/>
    <w:rsid w:val="00B42074"/>
    <w:rsid w:val="00B42731"/>
    <w:rsid w:val="00B45998"/>
    <w:rsid w:val="00B45E7B"/>
    <w:rsid w:val="00B4603A"/>
    <w:rsid w:val="00B479A2"/>
    <w:rsid w:val="00B5213D"/>
    <w:rsid w:val="00B536F0"/>
    <w:rsid w:val="00B55467"/>
    <w:rsid w:val="00B55B1A"/>
    <w:rsid w:val="00B56262"/>
    <w:rsid w:val="00B562A8"/>
    <w:rsid w:val="00B562BF"/>
    <w:rsid w:val="00B62162"/>
    <w:rsid w:val="00B65808"/>
    <w:rsid w:val="00B700F5"/>
    <w:rsid w:val="00B72260"/>
    <w:rsid w:val="00B77B33"/>
    <w:rsid w:val="00B83C89"/>
    <w:rsid w:val="00B8611D"/>
    <w:rsid w:val="00B92D70"/>
    <w:rsid w:val="00B93834"/>
    <w:rsid w:val="00B93A93"/>
    <w:rsid w:val="00B9403E"/>
    <w:rsid w:val="00B94966"/>
    <w:rsid w:val="00B94D72"/>
    <w:rsid w:val="00B96A86"/>
    <w:rsid w:val="00B96CEF"/>
    <w:rsid w:val="00BA36B8"/>
    <w:rsid w:val="00BA50B9"/>
    <w:rsid w:val="00BA6B0A"/>
    <w:rsid w:val="00BA7F64"/>
    <w:rsid w:val="00BC067A"/>
    <w:rsid w:val="00BC13B8"/>
    <w:rsid w:val="00BC2993"/>
    <w:rsid w:val="00BC3D6F"/>
    <w:rsid w:val="00BC3EA3"/>
    <w:rsid w:val="00BC49B4"/>
    <w:rsid w:val="00BD21BD"/>
    <w:rsid w:val="00BD3D6F"/>
    <w:rsid w:val="00BD5AF2"/>
    <w:rsid w:val="00BD618C"/>
    <w:rsid w:val="00BE07D5"/>
    <w:rsid w:val="00BE30A3"/>
    <w:rsid w:val="00BE43DB"/>
    <w:rsid w:val="00BE451F"/>
    <w:rsid w:val="00BE4B6C"/>
    <w:rsid w:val="00BF1FE1"/>
    <w:rsid w:val="00BF3D9A"/>
    <w:rsid w:val="00BF5E1B"/>
    <w:rsid w:val="00BF5F9A"/>
    <w:rsid w:val="00BF68A4"/>
    <w:rsid w:val="00BF775B"/>
    <w:rsid w:val="00BF7826"/>
    <w:rsid w:val="00BF7F2F"/>
    <w:rsid w:val="00C02EAB"/>
    <w:rsid w:val="00C04043"/>
    <w:rsid w:val="00C04D26"/>
    <w:rsid w:val="00C06088"/>
    <w:rsid w:val="00C06B00"/>
    <w:rsid w:val="00C06EF3"/>
    <w:rsid w:val="00C07A44"/>
    <w:rsid w:val="00C10521"/>
    <w:rsid w:val="00C11FEE"/>
    <w:rsid w:val="00C1407F"/>
    <w:rsid w:val="00C16DA2"/>
    <w:rsid w:val="00C21381"/>
    <w:rsid w:val="00C21A64"/>
    <w:rsid w:val="00C22233"/>
    <w:rsid w:val="00C231A5"/>
    <w:rsid w:val="00C239C1"/>
    <w:rsid w:val="00C25D09"/>
    <w:rsid w:val="00C319E8"/>
    <w:rsid w:val="00C341A8"/>
    <w:rsid w:val="00C355C3"/>
    <w:rsid w:val="00C359A4"/>
    <w:rsid w:val="00C36105"/>
    <w:rsid w:val="00C377D6"/>
    <w:rsid w:val="00C44BDD"/>
    <w:rsid w:val="00C45ED5"/>
    <w:rsid w:val="00C4798A"/>
    <w:rsid w:val="00C51C9F"/>
    <w:rsid w:val="00C531E2"/>
    <w:rsid w:val="00C5384E"/>
    <w:rsid w:val="00C569C1"/>
    <w:rsid w:val="00C620D1"/>
    <w:rsid w:val="00C623C2"/>
    <w:rsid w:val="00C653F0"/>
    <w:rsid w:val="00C65725"/>
    <w:rsid w:val="00C719AA"/>
    <w:rsid w:val="00C719DF"/>
    <w:rsid w:val="00C83782"/>
    <w:rsid w:val="00C85274"/>
    <w:rsid w:val="00C865B2"/>
    <w:rsid w:val="00C87BBE"/>
    <w:rsid w:val="00C91507"/>
    <w:rsid w:val="00C92DDF"/>
    <w:rsid w:val="00C93694"/>
    <w:rsid w:val="00C94986"/>
    <w:rsid w:val="00C95223"/>
    <w:rsid w:val="00C958DB"/>
    <w:rsid w:val="00C95DF1"/>
    <w:rsid w:val="00C9743D"/>
    <w:rsid w:val="00CA0D34"/>
    <w:rsid w:val="00CA3D2C"/>
    <w:rsid w:val="00CA581C"/>
    <w:rsid w:val="00CA6441"/>
    <w:rsid w:val="00CA684A"/>
    <w:rsid w:val="00CA7B21"/>
    <w:rsid w:val="00CB0582"/>
    <w:rsid w:val="00CB0DF7"/>
    <w:rsid w:val="00CB3C02"/>
    <w:rsid w:val="00CC38C5"/>
    <w:rsid w:val="00CC54AB"/>
    <w:rsid w:val="00CC5F46"/>
    <w:rsid w:val="00CC6DBB"/>
    <w:rsid w:val="00CD18AC"/>
    <w:rsid w:val="00CD209E"/>
    <w:rsid w:val="00CD446E"/>
    <w:rsid w:val="00CD6D8D"/>
    <w:rsid w:val="00CE3425"/>
    <w:rsid w:val="00CE48BE"/>
    <w:rsid w:val="00CE5EF1"/>
    <w:rsid w:val="00CE6D36"/>
    <w:rsid w:val="00CE7BB4"/>
    <w:rsid w:val="00CE7D9B"/>
    <w:rsid w:val="00CF1779"/>
    <w:rsid w:val="00CF19C2"/>
    <w:rsid w:val="00CF2B0D"/>
    <w:rsid w:val="00CF40FE"/>
    <w:rsid w:val="00CF43B8"/>
    <w:rsid w:val="00CF45FA"/>
    <w:rsid w:val="00CF5D7B"/>
    <w:rsid w:val="00CF6DEB"/>
    <w:rsid w:val="00D00400"/>
    <w:rsid w:val="00D0225F"/>
    <w:rsid w:val="00D02BAC"/>
    <w:rsid w:val="00D03131"/>
    <w:rsid w:val="00D07738"/>
    <w:rsid w:val="00D11CAB"/>
    <w:rsid w:val="00D15BFC"/>
    <w:rsid w:val="00D16F8B"/>
    <w:rsid w:val="00D21DC3"/>
    <w:rsid w:val="00D25ADB"/>
    <w:rsid w:val="00D3292B"/>
    <w:rsid w:val="00D32969"/>
    <w:rsid w:val="00D32E8F"/>
    <w:rsid w:val="00D36EDF"/>
    <w:rsid w:val="00D3714E"/>
    <w:rsid w:val="00D37D66"/>
    <w:rsid w:val="00D37EAF"/>
    <w:rsid w:val="00D42BA6"/>
    <w:rsid w:val="00D42C73"/>
    <w:rsid w:val="00D455EB"/>
    <w:rsid w:val="00D54FA9"/>
    <w:rsid w:val="00D56E55"/>
    <w:rsid w:val="00D6168D"/>
    <w:rsid w:val="00D62339"/>
    <w:rsid w:val="00D63E76"/>
    <w:rsid w:val="00D720D0"/>
    <w:rsid w:val="00D73874"/>
    <w:rsid w:val="00D75C35"/>
    <w:rsid w:val="00D76E24"/>
    <w:rsid w:val="00D77DDC"/>
    <w:rsid w:val="00D77F22"/>
    <w:rsid w:val="00D80299"/>
    <w:rsid w:val="00D80F88"/>
    <w:rsid w:val="00D9533D"/>
    <w:rsid w:val="00D95765"/>
    <w:rsid w:val="00D95CF1"/>
    <w:rsid w:val="00D97006"/>
    <w:rsid w:val="00D97947"/>
    <w:rsid w:val="00DA1107"/>
    <w:rsid w:val="00DA6611"/>
    <w:rsid w:val="00DB01E6"/>
    <w:rsid w:val="00DB03D0"/>
    <w:rsid w:val="00DB0660"/>
    <w:rsid w:val="00DB1434"/>
    <w:rsid w:val="00DC089B"/>
    <w:rsid w:val="00DC2990"/>
    <w:rsid w:val="00DC5EE6"/>
    <w:rsid w:val="00DD02EA"/>
    <w:rsid w:val="00DD0FBC"/>
    <w:rsid w:val="00DD129A"/>
    <w:rsid w:val="00DD135B"/>
    <w:rsid w:val="00DD5B86"/>
    <w:rsid w:val="00DD7129"/>
    <w:rsid w:val="00DE0C39"/>
    <w:rsid w:val="00DE484C"/>
    <w:rsid w:val="00DE48FE"/>
    <w:rsid w:val="00DE5F57"/>
    <w:rsid w:val="00DE7CFB"/>
    <w:rsid w:val="00DF10D9"/>
    <w:rsid w:val="00DF5E28"/>
    <w:rsid w:val="00E04811"/>
    <w:rsid w:val="00E04B20"/>
    <w:rsid w:val="00E04C54"/>
    <w:rsid w:val="00E079E7"/>
    <w:rsid w:val="00E10070"/>
    <w:rsid w:val="00E10386"/>
    <w:rsid w:val="00E144BC"/>
    <w:rsid w:val="00E147B3"/>
    <w:rsid w:val="00E15C74"/>
    <w:rsid w:val="00E15E9D"/>
    <w:rsid w:val="00E17336"/>
    <w:rsid w:val="00E17C7B"/>
    <w:rsid w:val="00E17EAC"/>
    <w:rsid w:val="00E17F98"/>
    <w:rsid w:val="00E204BF"/>
    <w:rsid w:val="00E20D49"/>
    <w:rsid w:val="00E22C42"/>
    <w:rsid w:val="00E22E54"/>
    <w:rsid w:val="00E23E17"/>
    <w:rsid w:val="00E245FA"/>
    <w:rsid w:val="00E26AC1"/>
    <w:rsid w:val="00E2703E"/>
    <w:rsid w:val="00E30CDD"/>
    <w:rsid w:val="00E32192"/>
    <w:rsid w:val="00E32758"/>
    <w:rsid w:val="00E35F4C"/>
    <w:rsid w:val="00E36C1E"/>
    <w:rsid w:val="00E36E4F"/>
    <w:rsid w:val="00E36E6E"/>
    <w:rsid w:val="00E373B8"/>
    <w:rsid w:val="00E40C60"/>
    <w:rsid w:val="00E431A8"/>
    <w:rsid w:val="00E43C5A"/>
    <w:rsid w:val="00E47D9D"/>
    <w:rsid w:val="00E52603"/>
    <w:rsid w:val="00E5483E"/>
    <w:rsid w:val="00E54BAD"/>
    <w:rsid w:val="00E64F48"/>
    <w:rsid w:val="00E660A1"/>
    <w:rsid w:val="00E663B7"/>
    <w:rsid w:val="00E667C9"/>
    <w:rsid w:val="00E75734"/>
    <w:rsid w:val="00E818E1"/>
    <w:rsid w:val="00E84479"/>
    <w:rsid w:val="00E86162"/>
    <w:rsid w:val="00E8680F"/>
    <w:rsid w:val="00E87662"/>
    <w:rsid w:val="00E939B9"/>
    <w:rsid w:val="00E93AAE"/>
    <w:rsid w:val="00E9514D"/>
    <w:rsid w:val="00E9521E"/>
    <w:rsid w:val="00E96C97"/>
    <w:rsid w:val="00E97907"/>
    <w:rsid w:val="00E97DD8"/>
    <w:rsid w:val="00EA0220"/>
    <w:rsid w:val="00EA1C98"/>
    <w:rsid w:val="00EA62C9"/>
    <w:rsid w:val="00EB12AE"/>
    <w:rsid w:val="00EB2B5F"/>
    <w:rsid w:val="00EB2F5D"/>
    <w:rsid w:val="00EB7E57"/>
    <w:rsid w:val="00EC1C19"/>
    <w:rsid w:val="00EC3E37"/>
    <w:rsid w:val="00EC40BC"/>
    <w:rsid w:val="00EC4294"/>
    <w:rsid w:val="00ED0AE7"/>
    <w:rsid w:val="00ED1D7D"/>
    <w:rsid w:val="00ED3E79"/>
    <w:rsid w:val="00ED3EAC"/>
    <w:rsid w:val="00ED6E93"/>
    <w:rsid w:val="00EE5323"/>
    <w:rsid w:val="00EE61F6"/>
    <w:rsid w:val="00EE6EF2"/>
    <w:rsid w:val="00EE76C2"/>
    <w:rsid w:val="00EF1FE8"/>
    <w:rsid w:val="00EF44A4"/>
    <w:rsid w:val="00EF4B80"/>
    <w:rsid w:val="00EF6B56"/>
    <w:rsid w:val="00EF75A0"/>
    <w:rsid w:val="00F034AD"/>
    <w:rsid w:val="00F05206"/>
    <w:rsid w:val="00F061C2"/>
    <w:rsid w:val="00F07A2B"/>
    <w:rsid w:val="00F116D8"/>
    <w:rsid w:val="00F11A34"/>
    <w:rsid w:val="00F128D7"/>
    <w:rsid w:val="00F16594"/>
    <w:rsid w:val="00F16A61"/>
    <w:rsid w:val="00F23A33"/>
    <w:rsid w:val="00F24449"/>
    <w:rsid w:val="00F24C06"/>
    <w:rsid w:val="00F24D86"/>
    <w:rsid w:val="00F25AAE"/>
    <w:rsid w:val="00F401D7"/>
    <w:rsid w:val="00F445D7"/>
    <w:rsid w:val="00F47723"/>
    <w:rsid w:val="00F5068F"/>
    <w:rsid w:val="00F511E1"/>
    <w:rsid w:val="00F52802"/>
    <w:rsid w:val="00F54234"/>
    <w:rsid w:val="00F547FB"/>
    <w:rsid w:val="00F57B1D"/>
    <w:rsid w:val="00F60521"/>
    <w:rsid w:val="00F60BDA"/>
    <w:rsid w:val="00F61F44"/>
    <w:rsid w:val="00F733DD"/>
    <w:rsid w:val="00F74805"/>
    <w:rsid w:val="00F74C60"/>
    <w:rsid w:val="00F7547A"/>
    <w:rsid w:val="00F84DD9"/>
    <w:rsid w:val="00F85DD9"/>
    <w:rsid w:val="00F874FE"/>
    <w:rsid w:val="00F87C70"/>
    <w:rsid w:val="00F91268"/>
    <w:rsid w:val="00F93AAF"/>
    <w:rsid w:val="00F945B1"/>
    <w:rsid w:val="00F959EA"/>
    <w:rsid w:val="00F960A3"/>
    <w:rsid w:val="00F96E72"/>
    <w:rsid w:val="00F97AB2"/>
    <w:rsid w:val="00FA2B73"/>
    <w:rsid w:val="00FA2ED1"/>
    <w:rsid w:val="00FA64F1"/>
    <w:rsid w:val="00FB09A7"/>
    <w:rsid w:val="00FB3C57"/>
    <w:rsid w:val="00FB5682"/>
    <w:rsid w:val="00FC0D1B"/>
    <w:rsid w:val="00FC16DA"/>
    <w:rsid w:val="00FC1BCA"/>
    <w:rsid w:val="00FC28AB"/>
    <w:rsid w:val="00FC344B"/>
    <w:rsid w:val="00FC5337"/>
    <w:rsid w:val="00FC618B"/>
    <w:rsid w:val="00FC63CF"/>
    <w:rsid w:val="00FC7F05"/>
    <w:rsid w:val="00FD06FC"/>
    <w:rsid w:val="00FD0D20"/>
    <w:rsid w:val="00FD160B"/>
    <w:rsid w:val="00FD1EAA"/>
    <w:rsid w:val="00FD35C6"/>
    <w:rsid w:val="00FD68AE"/>
    <w:rsid w:val="00FE1C8E"/>
    <w:rsid w:val="00FE403B"/>
    <w:rsid w:val="00FE5947"/>
    <w:rsid w:val="00FE5EAB"/>
    <w:rsid w:val="00FE61AD"/>
    <w:rsid w:val="00FE6B83"/>
    <w:rsid w:val="00FE7691"/>
    <w:rsid w:val="00FE77E9"/>
    <w:rsid w:val="00FF28A4"/>
    <w:rsid w:val="00FF419A"/>
    <w:rsid w:val="00FF46C5"/>
    <w:rsid w:val="00FF7874"/>
    <w:rsid w:val="00FF7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BD7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E8A"/>
    <w:pPr>
      <w:spacing w:after="100" w:line="400" w:lineRule="exact"/>
      <w:jc w:val="both"/>
    </w:pPr>
    <w:rPr>
      <w:rFonts w:ascii="Century Schoolbook" w:hAnsi="Century Schoolbook"/>
      <w:sz w:val="27"/>
    </w:rPr>
  </w:style>
  <w:style w:type="paragraph" w:styleId="Heading1">
    <w:name w:val="heading 1"/>
    <w:basedOn w:val="Normal"/>
    <w:next w:val="Normal"/>
    <w:qFormat/>
    <w:rsid w:val="006D6E8A"/>
    <w:pPr>
      <w:keepNext/>
      <w:spacing w:before="140" w:line="240" w:lineRule="atLeast"/>
      <w:jc w:val="center"/>
      <w:outlineLvl w:val="0"/>
    </w:pPr>
    <w:rPr>
      <w:b/>
      <w:smallCaps/>
    </w:rPr>
  </w:style>
  <w:style w:type="paragraph" w:styleId="Heading2">
    <w:name w:val="heading 2"/>
    <w:basedOn w:val="Normal"/>
    <w:next w:val="Normal"/>
    <w:qFormat/>
    <w:rsid w:val="006D6E8A"/>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6D6E8A"/>
    <w:pPr>
      <w:keepNext/>
      <w:tabs>
        <w:tab w:val="left" w:pos="1584"/>
      </w:tabs>
      <w:spacing w:before="140" w:line="240" w:lineRule="atLeast"/>
      <w:ind w:left="1584" w:hanging="432"/>
      <w:jc w:val="left"/>
      <w:outlineLvl w:val="2"/>
    </w:pPr>
    <w:rPr>
      <w:i/>
    </w:rPr>
  </w:style>
  <w:style w:type="paragraph" w:styleId="Heading4">
    <w:name w:val="heading 4"/>
    <w:basedOn w:val="Normal"/>
    <w:rsid w:val="006D6E8A"/>
    <w:pPr>
      <w:keepNext/>
      <w:tabs>
        <w:tab w:val="left" w:pos="2016"/>
      </w:tabs>
      <w:spacing w:before="140" w:line="240" w:lineRule="atLeast"/>
      <w:ind w:left="2016" w:hanging="432"/>
      <w:jc w:val="left"/>
      <w:outlineLvl w:val="3"/>
    </w:pPr>
    <w:rPr>
      <w:i/>
    </w:rPr>
  </w:style>
  <w:style w:type="paragraph" w:styleId="Heading5">
    <w:name w:val="heading 5"/>
    <w:basedOn w:val="Normal"/>
    <w:rsid w:val="006D6E8A"/>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6D6E8A"/>
    <w:pPr>
      <w:ind w:left="720"/>
    </w:pPr>
  </w:style>
  <w:style w:type="paragraph" w:styleId="Footer">
    <w:name w:val="footer"/>
    <w:basedOn w:val="Normal"/>
    <w:qFormat/>
    <w:rsid w:val="006D6E8A"/>
    <w:pPr>
      <w:tabs>
        <w:tab w:val="center" w:pos="3960"/>
        <w:tab w:val="right" w:pos="10080"/>
      </w:tabs>
      <w:spacing w:after="0" w:line="240" w:lineRule="auto"/>
      <w:jc w:val="center"/>
    </w:pPr>
    <w:rPr>
      <w:sz w:val="22"/>
    </w:rPr>
  </w:style>
  <w:style w:type="paragraph" w:styleId="Header">
    <w:name w:val="header"/>
    <w:basedOn w:val="Normal"/>
    <w:qFormat/>
    <w:rsid w:val="006D6E8A"/>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6D6E8A"/>
    <w:rPr>
      <w:rFonts w:ascii="Century Schoolbook" w:hAnsi="Century Schoolbook"/>
      <w:b/>
      <w:i w:val="0"/>
      <w:position w:val="4"/>
      <w:sz w:val="27"/>
      <w:vertAlign w:val="superscript"/>
    </w:rPr>
  </w:style>
  <w:style w:type="paragraph" w:styleId="FootnoteText">
    <w:name w:val="footnote text"/>
    <w:basedOn w:val="Normal"/>
    <w:rsid w:val="006D6E8A"/>
    <w:pPr>
      <w:spacing w:line="300" w:lineRule="exact"/>
    </w:pPr>
  </w:style>
  <w:style w:type="paragraph" w:customStyle="1" w:styleId="Title1">
    <w:name w:val="Title1"/>
    <w:basedOn w:val="Normal"/>
    <w:rsid w:val="006D6E8A"/>
    <w:pPr>
      <w:tabs>
        <w:tab w:val="left" w:pos="5760"/>
        <w:tab w:val="left" w:pos="6480"/>
      </w:tabs>
      <w:spacing w:line="240" w:lineRule="atLeast"/>
    </w:pPr>
  </w:style>
  <w:style w:type="paragraph" w:customStyle="1" w:styleId="Recommend">
    <w:name w:val="Recommend"/>
    <w:basedOn w:val="Normal"/>
    <w:rsid w:val="006D6E8A"/>
  </w:style>
  <w:style w:type="paragraph" w:customStyle="1" w:styleId="Summary">
    <w:name w:val="Summary"/>
    <w:basedOn w:val="Normal"/>
    <w:rsid w:val="006D6E8A"/>
    <w:pPr>
      <w:ind w:left="2160" w:hanging="2160"/>
    </w:pPr>
  </w:style>
  <w:style w:type="paragraph" w:customStyle="1" w:styleId="Text">
    <w:name w:val="Text"/>
    <w:basedOn w:val="Normal"/>
    <w:rsid w:val="006D6E8A"/>
    <w:pPr>
      <w:tabs>
        <w:tab w:val="left" w:pos="720"/>
        <w:tab w:val="left" w:pos="1440"/>
        <w:tab w:val="left" w:pos="2160"/>
        <w:tab w:val="center" w:pos="4320"/>
      </w:tabs>
      <w:spacing w:line="480" w:lineRule="atLeast"/>
      <w:ind w:firstLine="540"/>
    </w:pPr>
  </w:style>
  <w:style w:type="paragraph" w:styleId="Date">
    <w:name w:val="Date"/>
    <w:basedOn w:val="Normal"/>
    <w:semiHidden/>
    <w:rsid w:val="006D6E8A"/>
    <w:pPr>
      <w:jc w:val="right"/>
    </w:pPr>
  </w:style>
  <w:style w:type="character" w:styleId="PageNumber">
    <w:name w:val="page number"/>
    <w:basedOn w:val="DefaultParagraphFont"/>
    <w:semiHidden/>
    <w:rsid w:val="006D6E8A"/>
  </w:style>
  <w:style w:type="paragraph" w:customStyle="1" w:styleId="subject">
    <w:name w:val="subject"/>
    <w:basedOn w:val="Normal"/>
    <w:rsid w:val="006D6E8A"/>
    <w:pPr>
      <w:tabs>
        <w:tab w:val="left" w:pos="1008"/>
      </w:tabs>
      <w:ind w:left="990" w:hanging="990"/>
    </w:pPr>
    <w:rPr>
      <w:b/>
    </w:rPr>
  </w:style>
  <w:style w:type="paragraph" w:customStyle="1" w:styleId="Titles">
    <w:name w:val="Titles"/>
    <w:basedOn w:val="Normal"/>
    <w:rsid w:val="006D6E8A"/>
    <w:pPr>
      <w:tabs>
        <w:tab w:val="left" w:pos="2160"/>
      </w:tabs>
      <w:ind w:left="2160" w:hanging="2160"/>
    </w:pPr>
    <w:rPr>
      <w:b/>
    </w:rPr>
  </w:style>
  <w:style w:type="paragraph" w:styleId="TOAHeading">
    <w:name w:val="toa heading"/>
    <w:basedOn w:val="Normal"/>
    <w:next w:val="Normal"/>
    <w:semiHidden/>
    <w:rsid w:val="006D6E8A"/>
    <w:pPr>
      <w:spacing w:before="120"/>
    </w:pPr>
    <w:rPr>
      <w:b/>
    </w:rPr>
  </w:style>
  <w:style w:type="paragraph" w:styleId="TOC1">
    <w:name w:val="toc 1"/>
    <w:basedOn w:val="Normal"/>
    <w:next w:val="Normal"/>
    <w:autoRedefine/>
    <w:semiHidden/>
    <w:rsid w:val="006D6E8A"/>
  </w:style>
  <w:style w:type="paragraph" w:styleId="TOC2">
    <w:name w:val="toc 2"/>
    <w:basedOn w:val="Normal"/>
    <w:next w:val="Normal"/>
    <w:autoRedefine/>
    <w:semiHidden/>
    <w:rsid w:val="006D6E8A"/>
    <w:pPr>
      <w:ind w:left="259"/>
    </w:pPr>
  </w:style>
  <w:style w:type="paragraph" w:styleId="TOC3">
    <w:name w:val="toc 3"/>
    <w:basedOn w:val="Normal"/>
    <w:next w:val="Normal"/>
    <w:autoRedefine/>
    <w:semiHidden/>
    <w:rsid w:val="006D6E8A"/>
    <w:pPr>
      <w:ind w:left="520"/>
    </w:pPr>
  </w:style>
  <w:style w:type="paragraph" w:styleId="TOC4">
    <w:name w:val="toc 4"/>
    <w:basedOn w:val="Normal"/>
    <w:next w:val="Normal"/>
    <w:autoRedefine/>
    <w:semiHidden/>
    <w:rsid w:val="006D6E8A"/>
    <w:pPr>
      <w:ind w:left="780"/>
    </w:pPr>
  </w:style>
  <w:style w:type="paragraph" w:styleId="TOC5">
    <w:name w:val="toc 5"/>
    <w:basedOn w:val="Normal"/>
    <w:next w:val="Normal"/>
    <w:autoRedefine/>
    <w:semiHidden/>
    <w:rsid w:val="006D6E8A"/>
    <w:pPr>
      <w:ind w:left="1040"/>
    </w:pPr>
  </w:style>
  <w:style w:type="paragraph" w:styleId="TOC6">
    <w:name w:val="toc 6"/>
    <w:basedOn w:val="Normal"/>
    <w:next w:val="Normal"/>
    <w:autoRedefine/>
    <w:semiHidden/>
    <w:rsid w:val="006D6E8A"/>
    <w:pPr>
      <w:ind w:left="1300"/>
    </w:pPr>
  </w:style>
  <w:style w:type="paragraph" w:styleId="TOC7">
    <w:name w:val="toc 7"/>
    <w:basedOn w:val="Normal"/>
    <w:next w:val="Normal"/>
    <w:autoRedefine/>
    <w:semiHidden/>
    <w:rsid w:val="006D6E8A"/>
    <w:pPr>
      <w:ind w:left="1560"/>
    </w:pPr>
  </w:style>
  <w:style w:type="paragraph" w:styleId="TOC8">
    <w:name w:val="toc 8"/>
    <w:basedOn w:val="Normal"/>
    <w:next w:val="Normal"/>
    <w:autoRedefine/>
    <w:semiHidden/>
    <w:rsid w:val="006D6E8A"/>
    <w:pPr>
      <w:ind w:left="1820"/>
    </w:pPr>
  </w:style>
  <w:style w:type="paragraph" w:styleId="TOC9">
    <w:name w:val="toc 9"/>
    <w:basedOn w:val="Normal"/>
    <w:next w:val="Normal"/>
    <w:autoRedefine/>
    <w:semiHidden/>
    <w:rsid w:val="006D6E8A"/>
    <w:pPr>
      <w:ind w:left="2080"/>
    </w:pPr>
  </w:style>
  <w:style w:type="paragraph" w:customStyle="1" w:styleId="Contents">
    <w:name w:val="Contents"/>
    <w:basedOn w:val="Normal"/>
    <w:rsid w:val="006D6E8A"/>
    <w:pPr>
      <w:jc w:val="center"/>
    </w:pPr>
    <w:rPr>
      <w:b/>
      <w:spacing w:val="100"/>
    </w:rPr>
  </w:style>
  <w:style w:type="character" w:styleId="Hyperlink">
    <w:name w:val="Hyperlink"/>
    <w:basedOn w:val="DefaultParagraphFont"/>
    <w:uiPriority w:val="99"/>
    <w:unhideWhenUsed/>
    <w:rsid w:val="00FF7E2B"/>
    <w:rPr>
      <w:color w:val="0000FF" w:themeColor="hyperlink"/>
      <w:u w:val="single"/>
    </w:rPr>
  </w:style>
  <w:style w:type="character" w:styleId="FollowedHyperlink">
    <w:name w:val="FollowedHyperlink"/>
    <w:basedOn w:val="DefaultParagraphFont"/>
    <w:uiPriority w:val="99"/>
    <w:semiHidden/>
    <w:unhideWhenUsed/>
    <w:rsid w:val="007543AA"/>
    <w:rPr>
      <w:color w:val="800080" w:themeColor="followedHyperlink"/>
      <w:u w:val="single"/>
    </w:rPr>
  </w:style>
  <w:style w:type="paragraph" w:styleId="Revision">
    <w:name w:val="Revision"/>
    <w:hidden/>
    <w:uiPriority w:val="99"/>
    <w:semiHidden/>
    <w:rsid w:val="007B48A6"/>
    <w:rPr>
      <w:sz w:val="26"/>
    </w:rPr>
  </w:style>
  <w:style w:type="character" w:styleId="CommentReference">
    <w:name w:val="annotation reference"/>
    <w:basedOn w:val="DefaultParagraphFont"/>
    <w:uiPriority w:val="99"/>
    <w:semiHidden/>
    <w:unhideWhenUsed/>
    <w:rsid w:val="006B2C21"/>
    <w:rPr>
      <w:sz w:val="16"/>
      <w:szCs w:val="16"/>
    </w:rPr>
  </w:style>
  <w:style w:type="paragraph" w:styleId="CommentText">
    <w:name w:val="annotation text"/>
    <w:basedOn w:val="Normal"/>
    <w:link w:val="CommentTextChar"/>
    <w:uiPriority w:val="99"/>
    <w:unhideWhenUsed/>
    <w:rsid w:val="006B2C21"/>
    <w:rPr>
      <w:sz w:val="20"/>
    </w:rPr>
  </w:style>
  <w:style w:type="character" w:customStyle="1" w:styleId="CommentTextChar">
    <w:name w:val="Comment Text Char"/>
    <w:basedOn w:val="DefaultParagraphFont"/>
    <w:link w:val="CommentText"/>
    <w:uiPriority w:val="99"/>
    <w:rsid w:val="006B2C21"/>
  </w:style>
  <w:style w:type="paragraph" w:styleId="CommentSubject">
    <w:name w:val="annotation subject"/>
    <w:basedOn w:val="CommentText"/>
    <w:next w:val="CommentText"/>
    <w:link w:val="CommentSubjectChar"/>
    <w:uiPriority w:val="99"/>
    <w:semiHidden/>
    <w:unhideWhenUsed/>
    <w:rsid w:val="006B2C21"/>
    <w:rPr>
      <w:b/>
      <w:bCs/>
    </w:rPr>
  </w:style>
  <w:style w:type="character" w:customStyle="1" w:styleId="CommentSubjectChar">
    <w:name w:val="Comment Subject Char"/>
    <w:basedOn w:val="CommentTextChar"/>
    <w:link w:val="CommentSubject"/>
    <w:uiPriority w:val="99"/>
    <w:semiHidden/>
    <w:rsid w:val="006B2C21"/>
    <w:rPr>
      <w:b/>
      <w:bCs/>
    </w:rPr>
  </w:style>
  <w:style w:type="paragraph" w:styleId="BodyText">
    <w:name w:val="Body Text"/>
    <w:basedOn w:val="Normal"/>
    <w:link w:val="BodyTextChar"/>
    <w:qFormat/>
    <w:rsid w:val="006D6E8A"/>
  </w:style>
  <w:style w:type="character" w:customStyle="1" w:styleId="BodyTextChar">
    <w:name w:val="Body Text Char"/>
    <w:basedOn w:val="DefaultParagraphFont"/>
    <w:link w:val="BodyText"/>
    <w:rsid w:val="006D6E8A"/>
    <w:rPr>
      <w:rFonts w:ascii="Century Schoolbook" w:hAnsi="Century Schoolbook"/>
      <w:sz w:val="27"/>
    </w:rPr>
  </w:style>
  <w:style w:type="character" w:styleId="PlaceholderText">
    <w:name w:val="Placeholder Text"/>
    <w:basedOn w:val="DefaultParagraphFont"/>
    <w:uiPriority w:val="99"/>
    <w:semiHidden/>
    <w:rsid w:val="00593F44"/>
    <w:rPr>
      <w:color w:val="808080"/>
    </w:rPr>
  </w:style>
  <w:style w:type="paragraph" w:customStyle="1" w:styleId="PRComments">
    <w:name w:val="PR Comments"/>
    <w:basedOn w:val="Normal"/>
    <w:rsid w:val="00C92DDF"/>
    <w:pPr>
      <w:spacing w:after="0" w:line="360" w:lineRule="atLeast"/>
      <w:ind w:right="-360"/>
      <w:jc w:val="left"/>
    </w:pPr>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92B67-27FA-4541-944D-7E5144D7E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7381</Words>
  <Characters>42077</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2024-05-01T16:58:00Z</dcterms:created>
  <dcterms:modified xsi:type="dcterms:W3CDTF">2024-05-01T17:41:00Z</dcterms:modified>
</cp:coreProperties>
</file>