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90E4B" w:rsidP="00406C70" w14:paraId="5A66686F" w14:textId="77777777">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406C70" w:rsidP="00406C70" w14:paraId="5A666870" w14:textId="77777777">
      <w:pPr>
        <w:tabs>
          <w:tab w:val="left" w:pos="1440"/>
          <w:tab w:val="left" w:pos="4680"/>
          <w:tab w:val="center" w:pos="7200"/>
        </w:tabs>
        <w:spacing w:after="0"/>
        <w:jc w:val="center"/>
      </w:pPr>
    </w:p>
    <w:p w:rsidR="00406C70" w:rsidP="00406C70" w14:paraId="5A666871" w14:textId="77777777">
      <w:pPr>
        <w:tabs>
          <w:tab w:val="left" w:pos="1440"/>
          <w:tab w:val="left" w:pos="4680"/>
          <w:tab w:val="center" w:pos="7200"/>
        </w:tabs>
        <w:spacing w:after="0"/>
        <w:jc w:val="center"/>
      </w:pPr>
      <w:r>
        <w:t>BRIANNA MCKEE HAGGERTY</w:t>
      </w:r>
      <w:r w:rsidR="004949CD">
        <w:t>,</w:t>
      </w:r>
    </w:p>
    <w:p w:rsidR="00406C70" w:rsidP="00406C70" w14:paraId="5A666872" w14:textId="77777777">
      <w:pPr>
        <w:tabs>
          <w:tab w:val="left" w:pos="1440"/>
          <w:tab w:val="left" w:pos="4680"/>
          <w:tab w:val="center" w:pos="7200"/>
        </w:tabs>
        <w:spacing w:after="0"/>
        <w:jc w:val="center"/>
      </w:pPr>
      <w:r>
        <w:t>Plaintiff and Appellant</w:t>
      </w:r>
      <w:r w:rsidR="003D52D8">
        <w:t>,</w:t>
      </w:r>
    </w:p>
    <w:p w:rsidR="00406C70" w:rsidP="00406C70" w14:paraId="5A666873" w14:textId="77777777">
      <w:pPr>
        <w:tabs>
          <w:tab w:val="left" w:pos="1440"/>
          <w:tab w:val="left" w:pos="4680"/>
          <w:tab w:val="center" w:pos="7200"/>
        </w:tabs>
        <w:spacing w:after="0"/>
        <w:jc w:val="center"/>
      </w:pPr>
      <w:r>
        <w:t>v.</w:t>
      </w:r>
    </w:p>
    <w:p w:rsidR="00406C70" w:rsidP="00406C70" w14:paraId="5A666874" w14:textId="77777777">
      <w:pPr>
        <w:tabs>
          <w:tab w:val="left" w:pos="1440"/>
          <w:tab w:val="left" w:pos="4680"/>
          <w:tab w:val="center" w:pos="7200"/>
        </w:tabs>
        <w:spacing w:after="0"/>
        <w:jc w:val="center"/>
      </w:pPr>
      <w:r>
        <w:t>NANCY F. THORNTON et al.</w:t>
      </w:r>
      <w:r w:rsidR="003D52D8">
        <w:t>,</w:t>
      </w:r>
    </w:p>
    <w:p w:rsidR="00406C70" w:rsidP="00406C70" w14:paraId="5A666875" w14:textId="77777777">
      <w:pPr>
        <w:tabs>
          <w:tab w:val="left" w:pos="1440"/>
          <w:tab w:val="left" w:pos="4680"/>
          <w:tab w:val="center" w:pos="7200"/>
        </w:tabs>
        <w:spacing w:after="0"/>
        <w:jc w:val="center"/>
      </w:pPr>
      <w:r>
        <w:t>Defendants and Respondents</w:t>
      </w:r>
      <w:r w:rsidR="003D52D8">
        <w:t>.</w:t>
      </w:r>
    </w:p>
    <w:p w:rsidR="00406C70" w:rsidP="00406C70" w14:paraId="5A666876" w14:textId="77777777">
      <w:pPr>
        <w:tabs>
          <w:tab w:val="left" w:pos="1440"/>
          <w:tab w:val="left" w:pos="4680"/>
          <w:tab w:val="center" w:pos="7200"/>
        </w:tabs>
        <w:spacing w:after="0"/>
        <w:jc w:val="center"/>
      </w:pPr>
    </w:p>
    <w:p w:rsidR="00406C70" w:rsidP="00406C70" w14:paraId="5A666877" w14:textId="77777777">
      <w:pPr>
        <w:tabs>
          <w:tab w:val="left" w:pos="1440"/>
          <w:tab w:val="left" w:pos="4680"/>
          <w:tab w:val="center" w:pos="7200"/>
        </w:tabs>
        <w:spacing w:after="0"/>
        <w:jc w:val="center"/>
      </w:pPr>
      <w:r>
        <w:t>S271483</w:t>
      </w:r>
    </w:p>
    <w:p w:rsidR="00406C70" w:rsidP="00406C70" w14:paraId="5A666878" w14:textId="77777777">
      <w:pPr>
        <w:tabs>
          <w:tab w:val="left" w:pos="1440"/>
          <w:tab w:val="left" w:pos="4680"/>
          <w:tab w:val="center" w:pos="7200"/>
        </w:tabs>
        <w:spacing w:after="0"/>
        <w:jc w:val="center"/>
      </w:pPr>
    </w:p>
    <w:p w:rsidR="00406C70" w:rsidP="00406C70" w14:paraId="5A666879" w14:textId="77777777">
      <w:pPr>
        <w:tabs>
          <w:tab w:val="left" w:pos="1440"/>
          <w:tab w:val="left" w:pos="4680"/>
          <w:tab w:val="center" w:pos="7200"/>
        </w:tabs>
        <w:spacing w:after="0"/>
        <w:jc w:val="center"/>
      </w:pPr>
      <w:r>
        <w:t>Fourth Appellate District, Division One</w:t>
      </w:r>
    </w:p>
    <w:p w:rsidR="00406C70" w:rsidP="00406C70" w14:paraId="5A66687A" w14:textId="77777777">
      <w:pPr>
        <w:tabs>
          <w:tab w:val="left" w:pos="1440"/>
          <w:tab w:val="left" w:pos="4680"/>
          <w:tab w:val="center" w:pos="7200"/>
        </w:tabs>
        <w:spacing w:after="0"/>
        <w:jc w:val="center"/>
      </w:pPr>
      <w:r>
        <w:t>D078049</w:t>
      </w:r>
    </w:p>
    <w:p w:rsidR="00406C70" w:rsidP="00406C70" w14:paraId="5A66687B" w14:textId="77777777">
      <w:pPr>
        <w:tabs>
          <w:tab w:val="left" w:pos="1440"/>
          <w:tab w:val="left" w:pos="4680"/>
          <w:tab w:val="center" w:pos="7200"/>
        </w:tabs>
        <w:spacing w:after="0"/>
        <w:jc w:val="center"/>
      </w:pPr>
    </w:p>
    <w:p w:rsidR="00406C70" w:rsidP="00406C70" w14:paraId="5A66687C" w14:textId="77777777">
      <w:pPr>
        <w:tabs>
          <w:tab w:val="left" w:pos="1440"/>
          <w:tab w:val="left" w:pos="4680"/>
          <w:tab w:val="center" w:pos="7200"/>
        </w:tabs>
        <w:spacing w:after="0"/>
        <w:jc w:val="center"/>
      </w:pPr>
      <w:r>
        <w:t>San Diego County</w:t>
      </w:r>
      <w:r w:rsidR="004861BB">
        <w:t xml:space="preserve"> Superior Court</w:t>
      </w:r>
    </w:p>
    <w:p w:rsidR="00406C70" w:rsidP="00406C70" w14:paraId="5A66687D" w14:textId="77777777">
      <w:pPr>
        <w:tabs>
          <w:tab w:val="left" w:pos="1440"/>
          <w:tab w:val="left" w:pos="4680"/>
          <w:tab w:val="center" w:pos="7200"/>
        </w:tabs>
        <w:spacing w:after="0"/>
        <w:jc w:val="center"/>
      </w:pPr>
      <w:r>
        <w:t>37-2019-00028694</w:t>
      </w:r>
      <w:r w:rsidR="00CF6ECC">
        <w:t>-PR-TR-CTL</w:t>
      </w:r>
    </w:p>
    <w:p w:rsidR="00406C70" w:rsidP="00406C70" w14:paraId="5A66687E" w14:textId="77777777">
      <w:pPr>
        <w:pBdr>
          <w:bottom w:val="single" w:sz="4" w:space="1" w:color="auto"/>
        </w:pBdr>
        <w:tabs>
          <w:tab w:val="left" w:pos="1440"/>
          <w:tab w:val="left" w:pos="4680"/>
          <w:tab w:val="center" w:pos="7200"/>
        </w:tabs>
        <w:spacing w:after="0"/>
        <w:jc w:val="center"/>
      </w:pPr>
    </w:p>
    <w:p w:rsidR="00406C70" w:rsidP="00406C70" w14:paraId="5A66687F" w14:textId="77777777">
      <w:pPr>
        <w:tabs>
          <w:tab w:val="left" w:pos="1440"/>
          <w:tab w:val="left" w:pos="4680"/>
          <w:tab w:val="center" w:pos="7200"/>
        </w:tabs>
        <w:spacing w:after="0"/>
        <w:jc w:val="center"/>
      </w:pPr>
    </w:p>
    <w:p w:rsidR="00406C70" w:rsidP="00406C70" w14:paraId="5A666880" w14:textId="77777777">
      <w:pPr>
        <w:tabs>
          <w:tab w:val="left" w:pos="1440"/>
          <w:tab w:val="left" w:pos="4680"/>
          <w:tab w:val="center" w:pos="7200"/>
        </w:tabs>
        <w:spacing w:after="0"/>
        <w:jc w:val="center"/>
      </w:pPr>
      <w:r>
        <w:rPr>
          <w:szCs w:val="26"/>
        </w:rPr>
        <w:t>February 8</w:t>
      </w:r>
      <w:r>
        <w:t>, 202</w:t>
      </w:r>
      <w:r w:rsidR="00AE0921">
        <w:t>4</w:t>
      </w:r>
    </w:p>
    <w:p w:rsidR="00406C70" w:rsidP="00406C70" w14:paraId="5A666882" w14:textId="77777777">
      <w:pPr>
        <w:tabs>
          <w:tab w:val="left" w:pos="1440"/>
          <w:tab w:val="left" w:pos="4680"/>
          <w:tab w:val="center" w:pos="7200"/>
        </w:tabs>
        <w:spacing w:after="0"/>
        <w:jc w:val="left"/>
      </w:pPr>
    </w:p>
    <w:p w:rsidR="00406C70" w:rsidP="00406C70" w14:paraId="5A666883" w14:textId="3D7E09AA">
      <w:pPr>
        <w:pBdr>
          <w:bottom w:val="single" w:sz="4" w:space="1" w:color="auto"/>
        </w:pBdr>
        <w:tabs>
          <w:tab w:val="left" w:pos="1440"/>
          <w:tab w:val="left" w:pos="4680"/>
          <w:tab w:val="center" w:pos="7200"/>
        </w:tabs>
        <w:spacing w:after="0"/>
        <w:jc w:val="left"/>
        <w:rPr>
          <w:lang w:bidi="en-US"/>
        </w:rPr>
      </w:pPr>
      <w:r>
        <w:t xml:space="preserve">Justice Liu authored the opinion of the Court, in which </w:t>
      </w:r>
      <w:r w:rsidR="00300BC1">
        <w:t xml:space="preserve">Acting Chief Justice </w:t>
      </w:r>
      <w:r>
        <w:t xml:space="preserve">Kruger </w:t>
      </w:r>
      <w:r w:rsidR="00300BC1">
        <w:t xml:space="preserve">and </w:t>
      </w:r>
      <w:r w:rsidRPr="006A2867" w:rsidR="006A2867">
        <w:t xml:space="preserve">Justices Corrigan, Groban, Jenkins, </w:t>
      </w:r>
      <w:r w:rsidR="0057327C">
        <w:t xml:space="preserve">Evans, </w:t>
      </w:r>
      <w:r w:rsidRPr="006A2867" w:rsidR="006A2867">
        <w:t xml:space="preserve">and </w:t>
      </w:r>
      <w:r w:rsidR="006F43D8">
        <w:t>Poochig</w:t>
      </w:r>
      <w:r w:rsidRPr="001242E2" w:rsidR="001242E2">
        <w:t>i</w:t>
      </w:r>
      <w:r w:rsidR="006F43D8">
        <w:t>a</w:t>
      </w:r>
      <w:r w:rsidRPr="001242E2" w:rsidR="001242E2">
        <w:t>n</w:t>
      </w:r>
      <w:r>
        <w:rPr>
          <w:b/>
          <w:position w:val="4"/>
          <w:vertAlign w:val="superscript"/>
        </w:rPr>
        <w:footnoteReference w:customMarkFollows="1" w:id="2"/>
        <w:t xml:space="preserve">*</w:t>
      </w:r>
      <w:r w:rsidRPr="001242E2" w:rsidR="001242E2">
        <w:t xml:space="preserve"> </w:t>
      </w:r>
      <w:r w:rsidR="00094C93">
        <w:t>concurred.</w:t>
      </w:r>
    </w:p>
    <w:p w:rsidR="00406C70" w:rsidRPr="00406C70" w:rsidP="00406C70" w14:paraId="5A666884" w14:textId="77777777">
      <w:pPr>
        <w:pBdr>
          <w:bottom w:val="single" w:sz="4" w:space="1" w:color="auto"/>
        </w:pBdr>
        <w:tabs>
          <w:tab w:val="left" w:pos="1440"/>
          <w:tab w:val="left" w:pos="4680"/>
          <w:tab w:val="center" w:pos="7200"/>
        </w:tabs>
        <w:spacing w:line="480" w:lineRule="atLeast"/>
        <w:jc w:val="left"/>
      </w:pPr>
      <w:bookmarkStart w:id="1" w:name="Return"/>
      <w:bookmarkEnd w:id="1"/>
    </w:p>
    <w:p w:rsidR="00406C70" w:rsidP="00990E4B" w14:paraId="5A666885" w14:textId="77777777">
      <w:pPr>
        <w:tabs>
          <w:tab w:val="left" w:pos="1440"/>
          <w:tab w:val="left" w:pos="4680"/>
          <w:tab w:val="center" w:pos="7200"/>
        </w:tabs>
        <w:spacing w:line="480" w:lineRule="atLeast"/>
        <w:sectPr w:rsidSect="00406C70">
          <w:headerReference w:type="default" r:id="rId6"/>
          <w:footerReference w:type="default" r:id="rId7"/>
          <w:pgSz w:w="12240" w:h="15840"/>
          <w:pgMar w:top="1800" w:right="2160" w:bottom="1440" w:left="2160" w:header="720" w:footer="720" w:gutter="0"/>
          <w:cols w:space="720"/>
          <w:titlePg/>
          <w:docGrid w:linePitch="367"/>
        </w:sectPr>
      </w:pPr>
    </w:p>
    <w:p w:rsidR="00000518" w:rsidRPr="00000518" w:rsidP="00000518" w14:paraId="5A666886" w14:textId="77777777">
      <w:pPr>
        <w:keepNext/>
        <w:tabs>
          <w:tab w:val="left" w:pos="1440"/>
        </w:tabs>
        <w:jc w:val="center"/>
        <w:rPr>
          <w:rFonts w:cstheme="minorHAnsi"/>
          <w:szCs w:val="26"/>
        </w:rPr>
      </w:pPr>
      <w:bookmarkStart w:id="2" w:name="mainstory"/>
      <w:bookmarkEnd w:id="2"/>
      <w:r w:rsidRPr="00000518">
        <w:rPr>
          <w:rFonts w:cstheme="minorHAnsi"/>
          <w:szCs w:val="26"/>
        </w:rPr>
        <w:t>HAGGERTY v. THORNTON</w:t>
      </w:r>
    </w:p>
    <w:p w:rsidR="00000518" w:rsidRPr="00000518" w:rsidP="00000518" w14:paraId="5A666887" w14:textId="149E6BB1">
      <w:pPr>
        <w:keepNext/>
        <w:tabs>
          <w:tab w:val="left" w:pos="1440"/>
        </w:tabs>
        <w:jc w:val="center"/>
        <w:rPr>
          <w:rFonts w:cstheme="minorHAnsi"/>
          <w:szCs w:val="26"/>
        </w:rPr>
      </w:pPr>
      <w:r w:rsidRPr="00000518">
        <w:rPr>
          <w:rFonts w:cstheme="minorHAnsi"/>
          <w:szCs w:val="26"/>
        </w:rPr>
        <w:t>S271483</w:t>
      </w:r>
    </w:p>
    <w:p w:rsidR="00000518" w:rsidRPr="00000518" w:rsidP="00000518" w14:paraId="5A666888" w14:textId="77777777">
      <w:pPr>
        <w:keepNext/>
        <w:tabs>
          <w:tab w:val="left" w:pos="1440"/>
        </w:tabs>
        <w:jc w:val="center"/>
        <w:rPr>
          <w:rFonts w:cstheme="minorHAnsi"/>
          <w:szCs w:val="26"/>
        </w:rPr>
      </w:pPr>
    </w:p>
    <w:p w:rsidR="00000518" w:rsidRPr="00000518" w:rsidP="00000518" w14:paraId="5A666889" w14:textId="77777777">
      <w:pPr>
        <w:keepNext/>
        <w:tabs>
          <w:tab w:val="left" w:pos="1440"/>
        </w:tabs>
        <w:jc w:val="center"/>
        <w:rPr>
          <w:rFonts w:cstheme="minorHAnsi"/>
          <w:szCs w:val="26"/>
        </w:rPr>
      </w:pPr>
      <w:r w:rsidRPr="00000518">
        <w:rPr>
          <w:rFonts w:cstheme="minorHAnsi"/>
          <w:szCs w:val="26"/>
        </w:rPr>
        <w:t>Opinion of the Court by Liu</w:t>
      </w:r>
      <w:r w:rsidR="008B73CC">
        <w:rPr>
          <w:rFonts w:cstheme="minorHAnsi"/>
          <w:szCs w:val="26"/>
        </w:rPr>
        <w:t>, J.</w:t>
      </w:r>
    </w:p>
    <w:p w:rsidR="00000518" w:rsidP="00406C70" w14:paraId="5A66688A" w14:textId="77777777">
      <w:pPr>
        <w:pStyle w:val="Text"/>
        <w:spacing w:line="400" w:lineRule="exact"/>
        <w:ind w:firstLine="547"/>
        <w:rPr>
          <w:rFonts w:cstheme="minorHAnsi"/>
          <w:szCs w:val="26"/>
        </w:rPr>
      </w:pPr>
    </w:p>
    <w:p w:rsidR="00990E4B" w:rsidRPr="00406C70" w:rsidP="00406C70" w14:paraId="5A66688B" w14:textId="77777777">
      <w:pPr>
        <w:pStyle w:val="Text"/>
        <w:spacing w:line="400" w:lineRule="exact"/>
        <w:ind w:firstLine="547"/>
        <w:rPr>
          <w:rFonts w:cstheme="minorHAnsi"/>
          <w:szCs w:val="26"/>
        </w:rPr>
      </w:pPr>
      <w:r w:rsidRPr="00406C70">
        <w:rPr>
          <w:rFonts w:cstheme="minorHAnsi"/>
          <w:szCs w:val="26"/>
        </w:rPr>
        <w:t>Th</w:t>
      </w:r>
      <w:r w:rsidRPr="00406C70" w:rsidR="0001667B">
        <w:rPr>
          <w:rFonts w:cstheme="minorHAnsi"/>
          <w:szCs w:val="26"/>
        </w:rPr>
        <w:t>is</w:t>
      </w:r>
      <w:r w:rsidRPr="00406C70">
        <w:rPr>
          <w:rFonts w:cstheme="minorHAnsi"/>
          <w:szCs w:val="26"/>
        </w:rPr>
        <w:t xml:space="preserve"> case concerns the method</w:t>
      </w:r>
      <w:r w:rsidRPr="00406C70" w:rsidR="00276840">
        <w:rPr>
          <w:rFonts w:cstheme="minorHAnsi"/>
          <w:szCs w:val="26"/>
        </w:rPr>
        <w:t>s</w:t>
      </w:r>
      <w:r w:rsidRPr="00406C70">
        <w:rPr>
          <w:rFonts w:cstheme="minorHAnsi"/>
          <w:szCs w:val="26"/>
        </w:rPr>
        <w:t xml:space="preserve"> </w:t>
      </w:r>
      <w:r w:rsidRPr="00406C70" w:rsidR="00A35139">
        <w:rPr>
          <w:rFonts w:cstheme="minorHAnsi"/>
          <w:szCs w:val="26"/>
        </w:rPr>
        <w:t>for</w:t>
      </w:r>
      <w:r w:rsidRPr="00406C70">
        <w:rPr>
          <w:rFonts w:cstheme="minorHAnsi"/>
          <w:szCs w:val="26"/>
        </w:rPr>
        <w:t xml:space="preserve"> modifying a </w:t>
      </w:r>
      <w:r w:rsidRPr="00406C70" w:rsidR="00242CA4">
        <w:rPr>
          <w:rFonts w:cstheme="minorHAnsi"/>
          <w:szCs w:val="26"/>
        </w:rPr>
        <w:t xml:space="preserve">revocable </w:t>
      </w:r>
      <w:r w:rsidRPr="00406C70">
        <w:rPr>
          <w:rFonts w:cstheme="minorHAnsi"/>
          <w:szCs w:val="26"/>
        </w:rPr>
        <w:t xml:space="preserve">trust.  </w:t>
      </w:r>
      <w:r w:rsidRPr="00406C70" w:rsidR="00C23DA3">
        <w:rPr>
          <w:rFonts w:cstheme="minorHAnsi"/>
          <w:szCs w:val="26"/>
        </w:rPr>
        <w:t>Section 15402 of t</w:t>
      </w:r>
      <w:r w:rsidRPr="00406C70">
        <w:rPr>
          <w:rFonts w:cstheme="minorHAnsi"/>
          <w:szCs w:val="26"/>
        </w:rPr>
        <w:t xml:space="preserve">he Probate Code </w:t>
      </w:r>
      <w:r w:rsidRPr="00406C70" w:rsidR="00C23DA3">
        <w:rPr>
          <w:rFonts w:cstheme="minorHAnsi"/>
          <w:szCs w:val="26"/>
        </w:rPr>
        <w:t xml:space="preserve">states that </w:t>
      </w:r>
      <w:r w:rsidRPr="00406C70">
        <w:rPr>
          <w:rFonts w:cstheme="minorHAnsi"/>
          <w:szCs w:val="26"/>
        </w:rPr>
        <w:t xml:space="preserve">“[u]nless the trust instrument provides otherwise, </w:t>
      </w:r>
      <w:r w:rsidRPr="00406C70" w:rsidR="00242CA4">
        <w:rPr>
          <w:rFonts w:cstheme="minorHAnsi"/>
          <w:szCs w:val="26"/>
        </w:rPr>
        <w:t xml:space="preserve">. . . </w:t>
      </w:r>
      <w:r w:rsidRPr="00406C70">
        <w:rPr>
          <w:rFonts w:cstheme="minorHAnsi"/>
          <w:szCs w:val="26"/>
        </w:rPr>
        <w:t>the settlor may modify the trust by the procedure for revocation</w:t>
      </w:r>
      <w:r w:rsidRPr="00406C70" w:rsidR="003405B3">
        <w:rPr>
          <w:rFonts w:cstheme="minorHAnsi"/>
          <w:szCs w:val="26"/>
        </w:rPr>
        <w:t>.</w:t>
      </w:r>
      <w:r w:rsidRPr="00406C70">
        <w:rPr>
          <w:rFonts w:cstheme="minorHAnsi"/>
          <w:szCs w:val="26"/>
        </w:rPr>
        <w:t xml:space="preserve">” </w:t>
      </w:r>
      <w:r w:rsidRPr="00406C70" w:rsidR="003405B3">
        <w:rPr>
          <w:rFonts w:cstheme="minorHAnsi"/>
          <w:szCs w:val="26"/>
        </w:rPr>
        <w:t xml:space="preserve"> </w:t>
      </w:r>
      <w:r w:rsidRPr="00406C70" w:rsidR="00A868D9">
        <w:rPr>
          <w:rFonts w:cstheme="minorHAnsi"/>
          <w:szCs w:val="26"/>
        </w:rPr>
        <w:t>(</w:t>
      </w:r>
      <w:r w:rsidRPr="00406C70" w:rsidR="003405B3">
        <w:rPr>
          <w:rFonts w:cstheme="minorHAnsi"/>
          <w:szCs w:val="26"/>
        </w:rPr>
        <w:t xml:space="preserve">Prob. Code, </w:t>
      </w:r>
      <w:r w:rsidRPr="00406C70" w:rsidR="00A868D9">
        <w:rPr>
          <w:rFonts w:cstheme="minorHAnsi"/>
          <w:szCs w:val="26"/>
        </w:rPr>
        <w:t xml:space="preserve">§ 15402; </w:t>
      </w:r>
      <w:r w:rsidRPr="00406C70" w:rsidR="00C25516">
        <w:rPr>
          <w:rFonts w:cstheme="minorHAnsi"/>
          <w:szCs w:val="26"/>
        </w:rPr>
        <w:t>all undesignated statutory references are to this code</w:t>
      </w:r>
      <w:r w:rsidRPr="00406C70" w:rsidR="003405B3">
        <w:rPr>
          <w:rFonts w:cstheme="minorHAnsi"/>
          <w:szCs w:val="26"/>
        </w:rPr>
        <w:t>.</w:t>
      </w:r>
      <w:r w:rsidRPr="00406C70" w:rsidR="00C25516">
        <w:rPr>
          <w:rFonts w:cstheme="minorHAnsi"/>
          <w:szCs w:val="26"/>
        </w:rPr>
        <w:t>)</w:t>
      </w:r>
      <w:r w:rsidRPr="00406C70" w:rsidR="00903108">
        <w:rPr>
          <w:rFonts w:cstheme="minorHAnsi"/>
          <w:szCs w:val="26"/>
        </w:rPr>
        <w:t xml:space="preserve"> </w:t>
      </w:r>
      <w:r w:rsidRPr="00406C70">
        <w:rPr>
          <w:rFonts w:cstheme="minorHAnsi"/>
          <w:szCs w:val="26"/>
        </w:rPr>
        <w:t xml:space="preserve"> Section 15401 sets out the procedures for revocation</w:t>
      </w:r>
      <w:r w:rsidRPr="00406C70" w:rsidR="00CC0E78">
        <w:rPr>
          <w:rFonts w:cstheme="minorHAnsi"/>
          <w:szCs w:val="26"/>
        </w:rPr>
        <w:t>:</w:t>
      </w:r>
      <w:r w:rsidRPr="00406C70">
        <w:rPr>
          <w:rFonts w:cstheme="minorHAnsi"/>
          <w:szCs w:val="26"/>
        </w:rPr>
        <w:t xml:space="preserve">  Trusts may be revoked by complying with any method provided in the trust instrument.  (§ 15401, subd. (a)(1).)  If the trust </w:t>
      </w:r>
      <w:r w:rsidRPr="00406C70" w:rsidR="00CC7DF9">
        <w:rPr>
          <w:rFonts w:cstheme="minorHAnsi"/>
          <w:szCs w:val="26"/>
        </w:rPr>
        <w:t xml:space="preserve">instrument </w:t>
      </w:r>
      <w:r w:rsidRPr="00406C70">
        <w:rPr>
          <w:rFonts w:cstheme="minorHAnsi"/>
          <w:szCs w:val="26"/>
        </w:rPr>
        <w:t xml:space="preserve">explicitly makes that method exclusive, then </w:t>
      </w:r>
      <w:r w:rsidRPr="00406C70" w:rsidR="00774070">
        <w:rPr>
          <w:rFonts w:cstheme="minorHAnsi"/>
          <w:szCs w:val="26"/>
        </w:rPr>
        <w:t>the trust</w:t>
      </w:r>
      <w:r w:rsidRPr="00406C70">
        <w:rPr>
          <w:rFonts w:cstheme="minorHAnsi"/>
          <w:szCs w:val="26"/>
        </w:rPr>
        <w:t xml:space="preserve"> may be revoked only in that manner.  </w:t>
      </w:r>
      <w:r w:rsidRPr="00406C70" w:rsidR="004F2164">
        <w:rPr>
          <w:rFonts w:cstheme="minorHAnsi"/>
          <w:szCs w:val="26"/>
        </w:rPr>
        <w:t xml:space="preserve">(§ 15401, subd. (a)(2).)  </w:t>
      </w:r>
      <w:r w:rsidRPr="00406C70">
        <w:rPr>
          <w:rFonts w:cstheme="minorHAnsi"/>
          <w:szCs w:val="26"/>
        </w:rPr>
        <w:t xml:space="preserve">If not, then the trust may also be revoked by </w:t>
      </w:r>
      <w:r w:rsidRPr="00406C70" w:rsidR="0078104B">
        <w:rPr>
          <w:rFonts w:cstheme="minorHAnsi"/>
          <w:szCs w:val="26"/>
        </w:rPr>
        <w:t xml:space="preserve">the statutory </w:t>
      </w:r>
      <w:r w:rsidRPr="00406C70" w:rsidR="006062FD">
        <w:rPr>
          <w:rFonts w:cstheme="minorHAnsi"/>
          <w:szCs w:val="26"/>
        </w:rPr>
        <w:t>method</w:t>
      </w:r>
      <w:r w:rsidRPr="00406C70" w:rsidR="0078104B">
        <w:rPr>
          <w:rFonts w:cstheme="minorHAnsi"/>
          <w:szCs w:val="26"/>
        </w:rPr>
        <w:t xml:space="preserve"> — </w:t>
      </w:r>
      <w:r w:rsidRPr="00406C70" w:rsidR="00AA6CB5">
        <w:rPr>
          <w:rFonts w:cstheme="minorHAnsi"/>
          <w:szCs w:val="26"/>
        </w:rPr>
        <w:t>“</w:t>
      </w:r>
      <w:r w:rsidRPr="00406C70">
        <w:rPr>
          <w:rFonts w:cstheme="minorHAnsi"/>
          <w:szCs w:val="26"/>
        </w:rPr>
        <w:t xml:space="preserve">a writing, other than a will, </w:t>
      </w:r>
      <w:r w:rsidRPr="00406C70" w:rsidR="00AA6CB5">
        <w:rPr>
          <w:rFonts w:cstheme="minorHAnsi"/>
          <w:szCs w:val="26"/>
        </w:rPr>
        <w:t>signed by the settlor or any other person holding the power of revocation and delivered to the trustee during the lifetime of the settlor or the person holding the power of revocation.</w:t>
      </w:r>
      <w:r w:rsidRPr="00406C70" w:rsidR="00BE13BA">
        <w:rPr>
          <w:rFonts w:cstheme="minorHAnsi"/>
          <w:szCs w:val="26"/>
        </w:rPr>
        <w:t xml:space="preserve">”  </w:t>
      </w:r>
      <w:r w:rsidRPr="00406C70">
        <w:rPr>
          <w:rFonts w:cstheme="minorHAnsi"/>
          <w:szCs w:val="26"/>
        </w:rPr>
        <w:t>(</w:t>
      </w:r>
      <w:r w:rsidRPr="00FC32E3" w:rsidR="004F2164">
        <w:rPr>
          <w:rFonts w:cstheme="minorHAnsi"/>
          <w:i/>
          <w:iCs/>
          <w:szCs w:val="26"/>
        </w:rPr>
        <w:t>Ibid</w:t>
      </w:r>
      <w:r w:rsidRPr="00FC32E3">
        <w:rPr>
          <w:rFonts w:cstheme="minorHAnsi"/>
          <w:i/>
          <w:iCs/>
          <w:szCs w:val="26"/>
        </w:rPr>
        <w:t>.</w:t>
      </w:r>
      <w:r w:rsidRPr="00406C70">
        <w:rPr>
          <w:rFonts w:cstheme="minorHAnsi"/>
          <w:szCs w:val="26"/>
        </w:rPr>
        <w:t xml:space="preserve">) </w:t>
      </w:r>
    </w:p>
    <w:p w:rsidR="00990E4B" w:rsidRPr="00406C70" w:rsidP="00406C70" w14:paraId="5A66688C" w14:textId="77777777">
      <w:pPr>
        <w:tabs>
          <w:tab w:val="left" w:pos="1440"/>
        </w:tabs>
        <w:ind w:firstLine="720"/>
        <w:rPr>
          <w:rFonts w:cstheme="minorHAnsi"/>
          <w:szCs w:val="26"/>
        </w:rPr>
      </w:pPr>
      <w:r w:rsidRPr="00406C70">
        <w:rPr>
          <w:rFonts w:cstheme="minorHAnsi"/>
          <w:szCs w:val="26"/>
        </w:rPr>
        <w:t xml:space="preserve">It is </w:t>
      </w:r>
      <w:r w:rsidRPr="00406C70" w:rsidR="00D2245D">
        <w:rPr>
          <w:rFonts w:cstheme="minorHAnsi"/>
          <w:szCs w:val="26"/>
        </w:rPr>
        <w:t xml:space="preserve">undisputed </w:t>
      </w:r>
      <w:r w:rsidRPr="00406C70">
        <w:rPr>
          <w:rFonts w:cstheme="minorHAnsi"/>
          <w:szCs w:val="26"/>
        </w:rPr>
        <w:t xml:space="preserve">that if the trust instrument is silent on modification, the trust may be modified in the same manner in which it could be revoked, either via the statutory </w:t>
      </w:r>
      <w:r w:rsidRPr="00406C70" w:rsidR="006062FD">
        <w:rPr>
          <w:rFonts w:cstheme="minorHAnsi"/>
          <w:szCs w:val="26"/>
        </w:rPr>
        <w:t xml:space="preserve">method </w:t>
      </w:r>
      <w:r w:rsidRPr="00406C70">
        <w:rPr>
          <w:rFonts w:cstheme="minorHAnsi"/>
          <w:szCs w:val="26"/>
        </w:rPr>
        <w:t xml:space="preserve">or </w:t>
      </w:r>
      <w:r w:rsidRPr="00406C70" w:rsidR="004709F3">
        <w:rPr>
          <w:rFonts w:cstheme="minorHAnsi"/>
          <w:szCs w:val="26"/>
        </w:rPr>
        <w:t xml:space="preserve">via </w:t>
      </w:r>
      <w:r w:rsidRPr="00406C70" w:rsidR="00BC3670">
        <w:rPr>
          <w:rFonts w:cstheme="minorHAnsi"/>
          <w:szCs w:val="26"/>
        </w:rPr>
        <w:t xml:space="preserve">any </w:t>
      </w:r>
      <w:r w:rsidRPr="00406C70" w:rsidR="004709F3">
        <w:rPr>
          <w:rFonts w:cstheme="minorHAnsi"/>
          <w:szCs w:val="26"/>
        </w:rPr>
        <w:t>revocation method</w:t>
      </w:r>
      <w:r w:rsidRPr="00406C70">
        <w:rPr>
          <w:rFonts w:cstheme="minorHAnsi"/>
          <w:szCs w:val="26"/>
        </w:rPr>
        <w:t xml:space="preserve"> provided in the trust instrument.  </w:t>
      </w:r>
      <w:r w:rsidRPr="00406C70" w:rsidR="00297712">
        <w:rPr>
          <w:rFonts w:cstheme="minorHAnsi"/>
          <w:szCs w:val="26"/>
        </w:rPr>
        <w:t xml:space="preserve">In this case, we consider the </w:t>
      </w:r>
      <w:r w:rsidRPr="00406C70" w:rsidR="00887127">
        <w:rPr>
          <w:rFonts w:cstheme="minorHAnsi"/>
          <w:szCs w:val="26"/>
        </w:rPr>
        <w:t xml:space="preserve">circumstances under which the statutory </w:t>
      </w:r>
      <w:r w:rsidRPr="00406C70" w:rsidR="006062FD">
        <w:rPr>
          <w:rFonts w:cstheme="minorHAnsi"/>
          <w:szCs w:val="26"/>
        </w:rPr>
        <w:t xml:space="preserve">method </w:t>
      </w:r>
      <w:r w:rsidRPr="00406C70" w:rsidR="00887127">
        <w:rPr>
          <w:rFonts w:cstheme="minorHAnsi"/>
          <w:szCs w:val="26"/>
        </w:rPr>
        <w:t>is available for modification if the trust instrument specifies a method for modification</w:t>
      </w:r>
      <w:r w:rsidRPr="00406C70" w:rsidR="00DC548F">
        <w:rPr>
          <w:rFonts w:cstheme="minorHAnsi"/>
          <w:szCs w:val="26"/>
        </w:rPr>
        <w:t xml:space="preserve">. </w:t>
      </w:r>
      <w:r w:rsidRPr="00406C70" w:rsidR="00277B63">
        <w:rPr>
          <w:rFonts w:cstheme="minorHAnsi"/>
          <w:szCs w:val="26"/>
        </w:rPr>
        <w:t xml:space="preserve"> </w:t>
      </w:r>
      <w:r w:rsidRPr="00406C70" w:rsidR="002B51C4">
        <w:rPr>
          <w:rFonts w:cstheme="minorHAnsi"/>
          <w:szCs w:val="26"/>
        </w:rPr>
        <w:t>W</w:t>
      </w:r>
      <w:r w:rsidRPr="00406C70" w:rsidR="00317427">
        <w:rPr>
          <w:rFonts w:cstheme="minorHAnsi"/>
          <w:szCs w:val="26"/>
        </w:rPr>
        <w:t xml:space="preserve">e </w:t>
      </w:r>
      <w:r w:rsidRPr="00406C70">
        <w:rPr>
          <w:rFonts w:cstheme="minorHAnsi"/>
          <w:szCs w:val="26"/>
        </w:rPr>
        <w:t xml:space="preserve">hold that </w:t>
      </w:r>
      <w:r w:rsidRPr="00406C70" w:rsidR="00E962DF">
        <w:rPr>
          <w:rFonts w:cstheme="minorHAnsi"/>
          <w:szCs w:val="26"/>
        </w:rPr>
        <w:t xml:space="preserve">under section 15402, </w:t>
      </w:r>
      <w:r w:rsidRPr="00406C70" w:rsidR="00734CAC">
        <w:rPr>
          <w:rFonts w:cstheme="minorHAnsi"/>
          <w:szCs w:val="26"/>
        </w:rPr>
        <w:t xml:space="preserve">a trust may be modified via the </w:t>
      </w:r>
      <w:r w:rsidRPr="00406C70" w:rsidR="00A86AA1">
        <w:rPr>
          <w:rFonts w:cstheme="minorHAnsi"/>
          <w:szCs w:val="26"/>
        </w:rPr>
        <w:t xml:space="preserve">section 15401 </w:t>
      </w:r>
      <w:r w:rsidRPr="00406C70" w:rsidR="001A668C">
        <w:rPr>
          <w:rFonts w:cstheme="minorHAnsi"/>
          <w:szCs w:val="26"/>
        </w:rPr>
        <w:t>procedures for revocation</w:t>
      </w:r>
      <w:r w:rsidRPr="00406C70" w:rsidR="006062FD">
        <w:rPr>
          <w:rFonts w:cstheme="minorHAnsi"/>
          <w:szCs w:val="26"/>
        </w:rPr>
        <w:t>, including the statutory method,</w:t>
      </w:r>
      <w:r w:rsidRPr="00406C70" w:rsidR="001A668C">
        <w:rPr>
          <w:rFonts w:cstheme="minorHAnsi"/>
          <w:szCs w:val="26"/>
        </w:rPr>
        <w:t xml:space="preserve"> unless the trust instrument provides a method of modification and </w:t>
      </w:r>
      <w:r w:rsidRPr="00406C70" w:rsidR="00CB4F9F">
        <w:rPr>
          <w:rFonts w:cstheme="minorHAnsi"/>
          <w:szCs w:val="26"/>
        </w:rPr>
        <w:t xml:space="preserve">explicitly </w:t>
      </w:r>
      <w:r w:rsidRPr="00406C70" w:rsidR="001A668C">
        <w:rPr>
          <w:rFonts w:cstheme="minorHAnsi"/>
          <w:szCs w:val="26"/>
        </w:rPr>
        <w:t xml:space="preserve">makes it exclusive, or otherwise </w:t>
      </w:r>
      <w:r w:rsidRPr="00406C70" w:rsidR="0066114E">
        <w:rPr>
          <w:rFonts w:cstheme="minorHAnsi"/>
          <w:szCs w:val="26"/>
        </w:rPr>
        <w:t xml:space="preserve">expressly </w:t>
      </w:r>
      <w:r w:rsidRPr="00406C70" w:rsidR="001A668C">
        <w:rPr>
          <w:rFonts w:cstheme="minorHAnsi"/>
          <w:szCs w:val="26"/>
        </w:rPr>
        <w:t>precludes the use of revocation procedures for modification.</w:t>
      </w:r>
    </w:p>
    <w:p w:rsidR="00990E4B" w:rsidRPr="00406C70" w:rsidP="00406C70" w14:paraId="5A66688D" w14:textId="77777777">
      <w:pPr>
        <w:keepNext/>
        <w:tabs>
          <w:tab w:val="left" w:pos="1440"/>
        </w:tabs>
        <w:jc w:val="center"/>
        <w:rPr>
          <w:rFonts w:cstheme="minorHAnsi"/>
          <w:b/>
          <w:bCs/>
          <w:szCs w:val="26"/>
        </w:rPr>
      </w:pPr>
      <w:r w:rsidRPr="00406C70">
        <w:rPr>
          <w:rFonts w:cstheme="minorHAnsi"/>
          <w:b/>
          <w:bCs/>
          <w:szCs w:val="26"/>
        </w:rPr>
        <w:t>I</w:t>
      </w:r>
      <w:r w:rsidRPr="00406C70">
        <w:rPr>
          <w:rFonts w:cstheme="minorHAnsi"/>
          <w:szCs w:val="26"/>
        </w:rPr>
        <w:t>.</w:t>
      </w:r>
    </w:p>
    <w:p w:rsidR="00990E4B" w:rsidRPr="00406C70" w:rsidP="00406C70" w14:paraId="5A66688E" w14:textId="77777777">
      <w:pPr>
        <w:pStyle w:val="Text"/>
        <w:spacing w:line="400" w:lineRule="exact"/>
        <w:ind w:firstLine="547"/>
        <w:rPr>
          <w:rFonts w:cstheme="minorHAnsi"/>
          <w:szCs w:val="26"/>
        </w:rPr>
      </w:pPr>
      <w:r w:rsidRPr="00406C70">
        <w:rPr>
          <w:rFonts w:cstheme="minorHAnsi"/>
          <w:szCs w:val="26"/>
        </w:rPr>
        <w:t xml:space="preserve">Brianna McKee Haggerty appeals an order of the probate court finding a trust agreement was validly amended, thereby excluding her from distribution.  Haggerty’s aunt, Jeane M. Bertsch, created a trust in 2015.  The trust agreement included </w:t>
      </w:r>
      <w:r w:rsidRPr="00406C70" w:rsidR="00753AA4">
        <w:rPr>
          <w:rFonts w:cstheme="minorHAnsi"/>
          <w:szCs w:val="26"/>
        </w:rPr>
        <w:t xml:space="preserve">a provision reserving </w:t>
      </w:r>
      <w:r w:rsidRPr="00406C70">
        <w:rPr>
          <w:rFonts w:cstheme="minorHAnsi"/>
          <w:szCs w:val="26"/>
        </w:rPr>
        <w:t>“[t]he right by an acknowledged instrument in writing to revoke or amend this Agreement or any trust hereunder.”  In 2016, Bertsch drafted an amendment providing for a distribution to Haggerty.  The amendment was signed by Bertsch and notar</w:t>
      </w:r>
      <w:r w:rsidR="002A2BB0">
        <w:rPr>
          <w:rFonts w:cstheme="minorHAnsi"/>
          <w:szCs w:val="26"/>
        </w:rPr>
        <w:t>ized</w:t>
      </w:r>
      <w:r w:rsidRPr="00406C70">
        <w:rPr>
          <w:rFonts w:cstheme="minorHAnsi"/>
          <w:szCs w:val="26"/>
        </w:rPr>
        <w:t>.</w:t>
      </w:r>
    </w:p>
    <w:p w:rsidR="00990E4B" w:rsidRPr="00406C70" w:rsidP="00406C70" w14:paraId="5A66688F" w14:textId="77777777">
      <w:pPr>
        <w:pStyle w:val="Text"/>
        <w:spacing w:line="400" w:lineRule="exact"/>
        <w:ind w:firstLine="547"/>
        <w:rPr>
          <w:rFonts w:cstheme="minorHAnsi"/>
          <w:szCs w:val="26"/>
        </w:rPr>
      </w:pPr>
      <w:r w:rsidRPr="00406C70">
        <w:rPr>
          <w:rFonts w:cstheme="minorHAnsi"/>
          <w:szCs w:val="26"/>
        </w:rPr>
        <w:t>In 2018, Bertsch drafted an amendment</w:t>
      </w:r>
      <w:r w:rsidRPr="00406C70" w:rsidR="00317427">
        <w:rPr>
          <w:rFonts w:cstheme="minorHAnsi"/>
          <w:szCs w:val="26"/>
        </w:rPr>
        <w:t xml:space="preserve"> </w:t>
      </w:r>
      <w:r w:rsidRPr="00406C70">
        <w:rPr>
          <w:rFonts w:cstheme="minorHAnsi"/>
          <w:szCs w:val="26"/>
        </w:rPr>
        <w:t xml:space="preserve">providing that half of her assets </w:t>
      </w:r>
      <w:r w:rsidRPr="00406C70" w:rsidR="00317427">
        <w:rPr>
          <w:rFonts w:cstheme="minorHAnsi"/>
          <w:szCs w:val="26"/>
        </w:rPr>
        <w:t>w</w:t>
      </w:r>
      <w:r w:rsidRPr="00406C70">
        <w:rPr>
          <w:rFonts w:cstheme="minorHAnsi"/>
          <w:szCs w:val="26"/>
        </w:rPr>
        <w:t>ould go to</w:t>
      </w:r>
      <w:r w:rsidRPr="00406C70" w:rsidR="003D0C5E">
        <w:rPr>
          <w:rFonts w:cstheme="minorHAnsi"/>
          <w:szCs w:val="26"/>
        </w:rPr>
        <w:t xml:space="preserve"> various beneficiaries</w:t>
      </w:r>
      <w:r w:rsidRPr="00406C70" w:rsidR="00317427">
        <w:rPr>
          <w:rFonts w:cstheme="minorHAnsi"/>
          <w:szCs w:val="26"/>
        </w:rPr>
        <w:t xml:space="preserve"> upon her death</w:t>
      </w:r>
      <w:r w:rsidRPr="00406C70" w:rsidR="003D0C5E">
        <w:rPr>
          <w:rFonts w:cstheme="minorHAnsi"/>
          <w:szCs w:val="26"/>
        </w:rPr>
        <w:t>, including</w:t>
      </w:r>
      <w:r w:rsidRPr="00406C70">
        <w:rPr>
          <w:rFonts w:cstheme="minorHAnsi"/>
          <w:szCs w:val="26"/>
        </w:rPr>
        <w:t xml:space="preserve"> </w:t>
      </w:r>
      <w:r w:rsidRPr="00406C70" w:rsidR="003D0C5E">
        <w:rPr>
          <w:rFonts w:cstheme="minorHAnsi"/>
          <w:szCs w:val="26"/>
        </w:rPr>
        <w:t xml:space="preserve">the </w:t>
      </w:r>
      <w:r w:rsidRPr="00406C70">
        <w:rPr>
          <w:rFonts w:cstheme="minorHAnsi"/>
          <w:szCs w:val="26"/>
        </w:rPr>
        <w:t>Union of Concerned Scientists</w:t>
      </w:r>
      <w:r w:rsidRPr="00406C70" w:rsidR="003D0C5E">
        <w:rPr>
          <w:rFonts w:cstheme="minorHAnsi"/>
          <w:szCs w:val="26"/>
        </w:rPr>
        <w:t xml:space="preserve">, </w:t>
      </w:r>
      <w:r w:rsidRPr="00406C70" w:rsidR="00F542F1">
        <w:rPr>
          <w:rFonts w:cstheme="minorHAnsi"/>
          <w:szCs w:val="26"/>
        </w:rPr>
        <w:t>Patricia Galligan,</w:t>
      </w:r>
      <w:r w:rsidRPr="00406C70">
        <w:rPr>
          <w:rFonts w:cstheme="minorHAnsi"/>
          <w:szCs w:val="26"/>
        </w:rPr>
        <w:t xml:space="preserve"> and </w:t>
      </w:r>
      <w:r w:rsidRPr="00406C70" w:rsidR="009A4AE1">
        <w:rPr>
          <w:rFonts w:cstheme="minorHAnsi"/>
          <w:szCs w:val="26"/>
        </w:rPr>
        <w:t>Racquel Kolsrud</w:t>
      </w:r>
      <w:r w:rsidRPr="00406C70" w:rsidR="00190E1A">
        <w:rPr>
          <w:rFonts w:cstheme="minorHAnsi"/>
          <w:szCs w:val="26"/>
        </w:rPr>
        <w:t>, who are respondents in this case</w:t>
      </w:r>
      <w:r w:rsidRPr="00406C70" w:rsidR="009A4AE1">
        <w:rPr>
          <w:rFonts w:cstheme="minorHAnsi"/>
          <w:szCs w:val="26"/>
        </w:rPr>
        <w:t xml:space="preserve">.  </w:t>
      </w:r>
      <w:r w:rsidRPr="00406C70">
        <w:rPr>
          <w:rFonts w:cstheme="minorHAnsi"/>
          <w:szCs w:val="26"/>
        </w:rPr>
        <w:t>Haggerty was not listed as one of the beneficiaries.  The 2018 amendment was signed by Bertsch but not notarized.</w:t>
      </w:r>
      <w:r w:rsidRPr="00406C70" w:rsidR="00E956F6">
        <w:rPr>
          <w:rFonts w:cstheme="minorHAnsi"/>
          <w:szCs w:val="26"/>
        </w:rPr>
        <w:t xml:space="preserve">  </w:t>
      </w:r>
      <w:r w:rsidRPr="00406C70" w:rsidR="00755022">
        <w:rPr>
          <w:rFonts w:cstheme="minorHAnsi"/>
          <w:szCs w:val="26"/>
        </w:rPr>
        <w:t xml:space="preserve">Thus, </w:t>
      </w:r>
      <w:r w:rsidRPr="00406C70" w:rsidR="00C57494">
        <w:rPr>
          <w:rFonts w:cstheme="minorHAnsi"/>
          <w:szCs w:val="26"/>
        </w:rPr>
        <w:t>the 2018</w:t>
      </w:r>
      <w:r w:rsidRPr="00406C70" w:rsidR="00755022">
        <w:rPr>
          <w:rFonts w:cstheme="minorHAnsi"/>
          <w:szCs w:val="26"/>
        </w:rPr>
        <w:t xml:space="preserve"> </w:t>
      </w:r>
      <w:r w:rsidRPr="00406C70" w:rsidR="003925F0">
        <w:rPr>
          <w:rFonts w:cstheme="minorHAnsi"/>
          <w:szCs w:val="26"/>
        </w:rPr>
        <w:t>amendment</w:t>
      </w:r>
      <w:r w:rsidRPr="00406C70" w:rsidR="00A15A90">
        <w:rPr>
          <w:rFonts w:cstheme="minorHAnsi"/>
          <w:szCs w:val="26"/>
        </w:rPr>
        <w:t xml:space="preserve"> was compliant </w:t>
      </w:r>
      <w:r w:rsidRPr="00406C70" w:rsidR="000D63E6">
        <w:rPr>
          <w:rFonts w:cstheme="minorHAnsi"/>
          <w:szCs w:val="26"/>
        </w:rPr>
        <w:t xml:space="preserve">with the </w:t>
      </w:r>
      <w:r w:rsidRPr="00406C70" w:rsidR="00755022">
        <w:rPr>
          <w:rFonts w:cstheme="minorHAnsi"/>
          <w:szCs w:val="26"/>
        </w:rPr>
        <w:t xml:space="preserve">statutory method but </w:t>
      </w:r>
      <w:r w:rsidRPr="00406C70" w:rsidR="009545F1">
        <w:rPr>
          <w:rFonts w:cstheme="minorHAnsi"/>
          <w:szCs w:val="26"/>
        </w:rPr>
        <w:t xml:space="preserve">not </w:t>
      </w:r>
      <w:r w:rsidRPr="00406C70" w:rsidR="000D63E6">
        <w:rPr>
          <w:rFonts w:cstheme="minorHAnsi"/>
          <w:szCs w:val="26"/>
        </w:rPr>
        <w:t xml:space="preserve">with </w:t>
      </w:r>
      <w:r w:rsidRPr="00406C70" w:rsidR="009545F1">
        <w:rPr>
          <w:rFonts w:cstheme="minorHAnsi"/>
          <w:szCs w:val="26"/>
        </w:rPr>
        <w:t xml:space="preserve">the method of modification specified in the trust instrument.  </w:t>
      </w:r>
    </w:p>
    <w:p w:rsidR="00121FC5" w:rsidRPr="00406C70" w:rsidP="00406C70" w14:paraId="5A666890" w14:textId="77777777">
      <w:pPr>
        <w:ind w:firstLine="720"/>
        <w:rPr>
          <w:rFonts w:cstheme="minorHAnsi"/>
          <w:szCs w:val="26"/>
        </w:rPr>
      </w:pPr>
      <w:r w:rsidRPr="00406C70">
        <w:rPr>
          <w:rFonts w:cstheme="minorHAnsi"/>
          <w:szCs w:val="26"/>
        </w:rPr>
        <w:t>After Bertsch’s death, Haggerty filed a petition to determine the validity of the 2018 amendment</w:t>
      </w:r>
      <w:r w:rsidRPr="00406C70" w:rsidR="00704566">
        <w:rPr>
          <w:rFonts w:cstheme="minorHAnsi"/>
          <w:szCs w:val="26"/>
        </w:rPr>
        <w:t xml:space="preserve">. </w:t>
      </w:r>
      <w:r w:rsidRPr="00406C70">
        <w:rPr>
          <w:rFonts w:cstheme="minorHAnsi"/>
          <w:szCs w:val="26"/>
        </w:rPr>
        <w:t xml:space="preserve"> </w:t>
      </w:r>
      <w:r w:rsidRPr="00406C70" w:rsidR="00704566">
        <w:rPr>
          <w:rFonts w:cstheme="minorHAnsi"/>
          <w:szCs w:val="26"/>
        </w:rPr>
        <w:t xml:space="preserve">Haggerty argued that the amendment </w:t>
      </w:r>
      <w:r w:rsidRPr="00406C70">
        <w:rPr>
          <w:rFonts w:cstheme="minorHAnsi"/>
          <w:szCs w:val="26"/>
        </w:rPr>
        <w:t>do</w:t>
      </w:r>
      <w:r w:rsidRPr="00406C70" w:rsidR="00B91AF8">
        <w:rPr>
          <w:rFonts w:cstheme="minorHAnsi"/>
          <w:szCs w:val="26"/>
        </w:rPr>
        <w:t>es</w:t>
      </w:r>
      <w:r w:rsidRPr="00406C70">
        <w:rPr>
          <w:rFonts w:cstheme="minorHAnsi"/>
          <w:szCs w:val="26"/>
        </w:rPr>
        <w:t xml:space="preserve"> not qualify as </w:t>
      </w:r>
      <w:r w:rsidRPr="00406C70" w:rsidR="00B91AF8">
        <w:rPr>
          <w:rFonts w:cstheme="minorHAnsi"/>
          <w:szCs w:val="26"/>
        </w:rPr>
        <w:t xml:space="preserve">an </w:t>
      </w:r>
      <w:r w:rsidRPr="00406C70">
        <w:rPr>
          <w:rFonts w:cstheme="minorHAnsi"/>
          <w:szCs w:val="26"/>
        </w:rPr>
        <w:t xml:space="preserve">“acknowledged instrument” because </w:t>
      </w:r>
      <w:r w:rsidRPr="00406C70" w:rsidR="00B91AF8">
        <w:rPr>
          <w:rFonts w:cstheme="minorHAnsi"/>
          <w:szCs w:val="26"/>
        </w:rPr>
        <w:t>it was</w:t>
      </w:r>
      <w:r w:rsidRPr="00406C70">
        <w:rPr>
          <w:rFonts w:cstheme="minorHAnsi"/>
          <w:szCs w:val="26"/>
        </w:rPr>
        <w:t xml:space="preserve"> not notarized</w:t>
      </w:r>
      <w:r w:rsidRPr="00406C70" w:rsidR="00704566">
        <w:rPr>
          <w:rFonts w:cstheme="minorHAnsi"/>
          <w:szCs w:val="26"/>
        </w:rPr>
        <w:t xml:space="preserve"> and therefore </w:t>
      </w:r>
      <w:r w:rsidRPr="00406C70" w:rsidR="00B91AF8">
        <w:rPr>
          <w:rFonts w:cstheme="minorHAnsi"/>
          <w:szCs w:val="26"/>
        </w:rPr>
        <w:t xml:space="preserve">was </w:t>
      </w:r>
      <w:r w:rsidRPr="00406C70" w:rsidR="00704566">
        <w:rPr>
          <w:rFonts w:cstheme="minorHAnsi"/>
          <w:szCs w:val="26"/>
        </w:rPr>
        <w:t xml:space="preserve">not modified pursuant to the method of modification </w:t>
      </w:r>
      <w:r w:rsidRPr="00406C70" w:rsidR="004657F7">
        <w:rPr>
          <w:rFonts w:cstheme="minorHAnsi"/>
          <w:szCs w:val="26"/>
        </w:rPr>
        <w:t xml:space="preserve">specified </w:t>
      </w:r>
      <w:r w:rsidRPr="00406C70" w:rsidR="00704566">
        <w:rPr>
          <w:rFonts w:cstheme="minorHAnsi"/>
          <w:szCs w:val="26"/>
        </w:rPr>
        <w:t>in the trust instrument</w:t>
      </w:r>
      <w:r w:rsidRPr="00406C70">
        <w:rPr>
          <w:rFonts w:cstheme="minorHAnsi"/>
          <w:szCs w:val="26"/>
        </w:rPr>
        <w:t>.  In a minute order, the probate court held that the 2018 amendment was valid.</w:t>
      </w:r>
    </w:p>
    <w:p w:rsidR="00317427" w:rsidRPr="00406C70" w:rsidP="00406C70" w14:paraId="5A666891" w14:textId="77777777">
      <w:pPr>
        <w:ind w:firstLine="720"/>
        <w:rPr>
          <w:rFonts w:cstheme="minorHAnsi"/>
          <w:szCs w:val="26"/>
        </w:rPr>
      </w:pPr>
      <w:r w:rsidRPr="00406C70">
        <w:rPr>
          <w:rFonts w:cstheme="minorHAnsi"/>
          <w:szCs w:val="26"/>
        </w:rPr>
        <w:t>The Court of Appeal affirmed</w:t>
      </w:r>
      <w:r w:rsidRPr="00406C70" w:rsidR="00943BE0">
        <w:rPr>
          <w:rFonts w:cstheme="minorHAnsi"/>
          <w:szCs w:val="26"/>
        </w:rPr>
        <w:t xml:space="preserve">, holding that Bertsch’s 2018 amendment was </w:t>
      </w:r>
      <w:r w:rsidRPr="00406C70" w:rsidR="00267DB9">
        <w:rPr>
          <w:rFonts w:cstheme="minorHAnsi"/>
          <w:szCs w:val="26"/>
        </w:rPr>
        <w:t>a valid</w:t>
      </w:r>
      <w:r w:rsidRPr="00406C70" w:rsidR="00943BE0">
        <w:rPr>
          <w:rFonts w:cstheme="minorHAnsi"/>
          <w:szCs w:val="26"/>
        </w:rPr>
        <w:t xml:space="preserve"> </w:t>
      </w:r>
      <w:r w:rsidRPr="00406C70" w:rsidR="00267DB9">
        <w:rPr>
          <w:rFonts w:cstheme="minorHAnsi"/>
          <w:szCs w:val="26"/>
        </w:rPr>
        <w:t xml:space="preserve">modification </w:t>
      </w:r>
      <w:r w:rsidRPr="00406C70" w:rsidR="00943BE0">
        <w:rPr>
          <w:rFonts w:cstheme="minorHAnsi"/>
          <w:szCs w:val="26"/>
        </w:rPr>
        <w:t xml:space="preserve">pursuant to the statutory </w:t>
      </w:r>
      <w:r w:rsidRPr="00406C70" w:rsidR="006062FD">
        <w:rPr>
          <w:rFonts w:cstheme="minorHAnsi"/>
          <w:szCs w:val="26"/>
        </w:rPr>
        <w:t>method</w:t>
      </w:r>
      <w:r w:rsidRPr="00406C70">
        <w:rPr>
          <w:rFonts w:cstheme="minorHAnsi"/>
          <w:szCs w:val="26"/>
        </w:rPr>
        <w:t>.  (</w:t>
      </w:r>
      <w:r w:rsidRPr="00406C70">
        <w:rPr>
          <w:rFonts w:cstheme="minorHAnsi"/>
          <w:i/>
          <w:iCs/>
          <w:szCs w:val="26"/>
        </w:rPr>
        <w:t>Haggerty v. Thornton</w:t>
      </w:r>
      <w:r w:rsidRPr="00406C70">
        <w:rPr>
          <w:rFonts w:cstheme="minorHAnsi"/>
          <w:szCs w:val="26"/>
        </w:rPr>
        <w:t xml:space="preserve"> (2021) 68 Cal.App.5th 1003, 101</w:t>
      </w:r>
      <w:r w:rsidRPr="00406C70" w:rsidR="005930F6">
        <w:rPr>
          <w:rFonts w:cstheme="minorHAnsi"/>
          <w:szCs w:val="26"/>
        </w:rPr>
        <w:t>2</w:t>
      </w:r>
      <w:r w:rsidRPr="00406C70">
        <w:rPr>
          <w:rFonts w:cstheme="minorHAnsi"/>
          <w:szCs w:val="26"/>
        </w:rPr>
        <w:t xml:space="preserve"> (</w:t>
      </w:r>
      <w:r w:rsidRPr="00406C70">
        <w:rPr>
          <w:rFonts w:cstheme="minorHAnsi"/>
          <w:i/>
          <w:iCs/>
          <w:szCs w:val="26"/>
        </w:rPr>
        <w:t>Haggerty</w:t>
      </w:r>
      <w:r w:rsidRPr="00406C70">
        <w:rPr>
          <w:rFonts w:cstheme="minorHAnsi"/>
          <w:szCs w:val="26"/>
        </w:rPr>
        <w:t>)</w:t>
      </w:r>
      <w:r w:rsidRPr="00406C70" w:rsidR="00563112">
        <w:rPr>
          <w:rFonts w:cstheme="minorHAnsi"/>
          <w:szCs w:val="26"/>
        </w:rPr>
        <w:t>; see §</w:t>
      </w:r>
      <w:r w:rsidRPr="00406C70">
        <w:rPr>
          <w:rFonts w:cstheme="minorHAnsi"/>
          <w:szCs w:val="26"/>
        </w:rPr>
        <w:t>§</w:t>
      </w:r>
      <w:r w:rsidRPr="00406C70" w:rsidR="00563112">
        <w:rPr>
          <w:rFonts w:cstheme="minorHAnsi"/>
          <w:szCs w:val="26"/>
        </w:rPr>
        <w:t> 15401, subd. (a)(2)</w:t>
      </w:r>
      <w:r w:rsidRPr="00406C70">
        <w:rPr>
          <w:rFonts w:cstheme="minorHAnsi"/>
          <w:szCs w:val="26"/>
        </w:rPr>
        <w:t>,</w:t>
      </w:r>
      <w:r w:rsidRPr="00406C70" w:rsidR="00563112">
        <w:rPr>
          <w:rFonts w:cstheme="minorHAnsi"/>
          <w:szCs w:val="26"/>
        </w:rPr>
        <w:t xml:space="preserve"> 15402</w:t>
      </w:r>
      <w:r w:rsidRPr="00406C70">
        <w:rPr>
          <w:rFonts w:cstheme="minorHAnsi"/>
          <w:szCs w:val="26"/>
        </w:rPr>
        <w:t xml:space="preserve">.)  </w:t>
      </w:r>
      <w:r w:rsidRPr="00406C70" w:rsidR="00561E5E">
        <w:rPr>
          <w:rFonts w:cstheme="minorHAnsi"/>
          <w:szCs w:val="26"/>
        </w:rPr>
        <w:t xml:space="preserve">The court concluded that the statutory </w:t>
      </w:r>
      <w:r w:rsidRPr="00406C70" w:rsidR="006062FD">
        <w:rPr>
          <w:rFonts w:cstheme="minorHAnsi"/>
          <w:szCs w:val="26"/>
        </w:rPr>
        <w:t>method</w:t>
      </w:r>
      <w:r w:rsidRPr="00406C70" w:rsidR="00561E5E">
        <w:rPr>
          <w:rFonts w:cstheme="minorHAnsi"/>
          <w:szCs w:val="26"/>
        </w:rPr>
        <w:t xml:space="preserve"> </w:t>
      </w:r>
      <w:r w:rsidRPr="00406C70" w:rsidR="005F1F52">
        <w:rPr>
          <w:rFonts w:cstheme="minorHAnsi"/>
          <w:szCs w:val="26"/>
        </w:rPr>
        <w:t>wa</w:t>
      </w:r>
      <w:r w:rsidRPr="00406C70" w:rsidR="001C66C9">
        <w:rPr>
          <w:rFonts w:cstheme="minorHAnsi"/>
          <w:szCs w:val="26"/>
        </w:rPr>
        <w:t xml:space="preserve">s </w:t>
      </w:r>
      <w:r w:rsidRPr="00406C70" w:rsidR="00561E5E">
        <w:rPr>
          <w:rFonts w:cstheme="minorHAnsi"/>
          <w:szCs w:val="26"/>
        </w:rPr>
        <w:t xml:space="preserve">available for modification </w:t>
      </w:r>
      <w:r w:rsidRPr="00406C70" w:rsidR="005F1F52">
        <w:rPr>
          <w:rFonts w:cstheme="minorHAnsi"/>
          <w:szCs w:val="26"/>
        </w:rPr>
        <w:t xml:space="preserve">because </w:t>
      </w:r>
      <w:r w:rsidRPr="00406C70" w:rsidR="0041341F">
        <w:rPr>
          <w:rFonts w:cstheme="minorHAnsi"/>
          <w:szCs w:val="26"/>
        </w:rPr>
        <w:t xml:space="preserve">Bertsch’s </w:t>
      </w:r>
      <w:r w:rsidRPr="00406C70" w:rsidR="00C126DF">
        <w:rPr>
          <w:rFonts w:cstheme="minorHAnsi"/>
          <w:szCs w:val="26"/>
        </w:rPr>
        <w:t xml:space="preserve">trust </w:t>
      </w:r>
      <w:r w:rsidRPr="00406C70" w:rsidR="0041341F">
        <w:rPr>
          <w:rFonts w:cstheme="minorHAnsi"/>
          <w:szCs w:val="26"/>
        </w:rPr>
        <w:t xml:space="preserve">agreement </w:t>
      </w:r>
      <w:r w:rsidRPr="00406C70" w:rsidR="00413E97">
        <w:rPr>
          <w:rFonts w:cstheme="minorHAnsi"/>
          <w:szCs w:val="26"/>
        </w:rPr>
        <w:t>“d</w:t>
      </w:r>
      <w:r w:rsidRPr="00406C70" w:rsidR="00981CF1">
        <w:rPr>
          <w:rFonts w:cstheme="minorHAnsi"/>
          <w:szCs w:val="26"/>
        </w:rPr>
        <w:t>oes</w:t>
      </w:r>
      <w:r w:rsidRPr="00406C70" w:rsidR="00413E97">
        <w:rPr>
          <w:rFonts w:cstheme="minorHAnsi"/>
          <w:szCs w:val="26"/>
        </w:rPr>
        <w:t xml:space="preserve"> not distinguish between revocation and modification” and because “the method of revocation and </w:t>
      </w:r>
      <w:r w:rsidRPr="00406C70" w:rsidR="00981CF1">
        <w:rPr>
          <w:rFonts w:cstheme="minorHAnsi"/>
          <w:szCs w:val="26"/>
        </w:rPr>
        <w:t xml:space="preserve">modification described in the trust </w:t>
      </w:r>
      <w:r w:rsidR="00777B6E">
        <w:rPr>
          <w:rFonts w:cstheme="minorHAnsi"/>
          <w:szCs w:val="26"/>
        </w:rPr>
        <w:t>agreement</w:t>
      </w:r>
      <w:r w:rsidRPr="00406C70" w:rsidR="00777B6E">
        <w:rPr>
          <w:rFonts w:cstheme="minorHAnsi"/>
          <w:szCs w:val="26"/>
        </w:rPr>
        <w:t xml:space="preserve"> </w:t>
      </w:r>
      <w:r w:rsidRPr="00406C70" w:rsidR="00981CF1">
        <w:rPr>
          <w:rFonts w:cstheme="minorHAnsi"/>
          <w:szCs w:val="26"/>
        </w:rPr>
        <w:t xml:space="preserve">is not explicitly exclusive.”  </w:t>
      </w:r>
      <w:r w:rsidRPr="00406C70" w:rsidR="00C126DF">
        <w:rPr>
          <w:rFonts w:cstheme="minorHAnsi"/>
          <w:szCs w:val="26"/>
        </w:rPr>
        <w:t>(</w:t>
      </w:r>
      <w:r w:rsidRPr="00406C70" w:rsidR="008522AC">
        <w:rPr>
          <w:rFonts w:cstheme="minorHAnsi"/>
          <w:i/>
          <w:iCs/>
          <w:szCs w:val="26"/>
        </w:rPr>
        <w:t>Haggerty</w:t>
      </w:r>
      <w:r w:rsidRPr="00406C70" w:rsidR="008522AC">
        <w:rPr>
          <w:rFonts w:cstheme="minorHAnsi"/>
          <w:szCs w:val="26"/>
        </w:rPr>
        <w:t xml:space="preserve">, </w:t>
      </w:r>
      <w:r w:rsidRPr="00406C70" w:rsidR="00D8111F">
        <w:rPr>
          <w:rFonts w:cstheme="minorHAnsi"/>
          <w:szCs w:val="26"/>
        </w:rPr>
        <w:t>at p. 1012.</w:t>
      </w:r>
      <w:r w:rsidRPr="00406C70" w:rsidR="00C126DF">
        <w:rPr>
          <w:rFonts w:cstheme="minorHAnsi"/>
          <w:szCs w:val="26"/>
        </w:rPr>
        <w:t>)</w:t>
      </w:r>
      <w:r w:rsidRPr="00406C70" w:rsidR="00405E43">
        <w:rPr>
          <w:rFonts w:cstheme="minorHAnsi"/>
          <w:szCs w:val="26"/>
        </w:rPr>
        <w:t xml:space="preserve"> </w:t>
      </w:r>
    </w:p>
    <w:p w:rsidR="0055777D" w:rsidRPr="00406C70" w:rsidP="00406C70" w14:paraId="5A666892" w14:textId="77777777">
      <w:pPr>
        <w:ind w:firstLine="720"/>
        <w:rPr>
          <w:rFonts w:cstheme="minorHAnsi"/>
          <w:szCs w:val="26"/>
        </w:rPr>
      </w:pPr>
      <w:r w:rsidRPr="00406C70">
        <w:rPr>
          <w:rFonts w:cstheme="minorHAnsi"/>
          <w:szCs w:val="26"/>
        </w:rPr>
        <w:t xml:space="preserve">We granted review to resolve </w:t>
      </w:r>
      <w:r w:rsidRPr="00406C70" w:rsidR="00FB4A10">
        <w:rPr>
          <w:rFonts w:cstheme="minorHAnsi"/>
          <w:szCs w:val="26"/>
        </w:rPr>
        <w:t xml:space="preserve">a split of authority </w:t>
      </w:r>
      <w:r w:rsidRPr="00406C70" w:rsidR="005D53C7">
        <w:rPr>
          <w:rFonts w:cstheme="minorHAnsi"/>
          <w:szCs w:val="26"/>
        </w:rPr>
        <w:t xml:space="preserve">regarding </w:t>
      </w:r>
      <w:r w:rsidRPr="00406C70" w:rsidR="00CC53EC">
        <w:rPr>
          <w:rFonts w:cstheme="minorHAnsi"/>
          <w:szCs w:val="26"/>
        </w:rPr>
        <w:t xml:space="preserve">the circumstances under which the statutory </w:t>
      </w:r>
      <w:r w:rsidRPr="00406C70" w:rsidR="006062FD">
        <w:rPr>
          <w:rFonts w:cstheme="minorHAnsi"/>
          <w:szCs w:val="26"/>
        </w:rPr>
        <w:t xml:space="preserve">method </w:t>
      </w:r>
      <w:r w:rsidRPr="00406C70" w:rsidR="00CC456A">
        <w:rPr>
          <w:rFonts w:cstheme="minorHAnsi"/>
          <w:szCs w:val="26"/>
        </w:rPr>
        <w:t>is available for</w:t>
      </w:r>
      <w:r w:rsidRPr="00406C70" w:rsidR="002F6AB4">
        <w:rPr>
          <w:rFonts w:cstheme="minorHAnsi"/>
          <w:szCs w:val="26"/>
        </w:rPr>
        <w:t xml:space="preserve"> modification</w:t>
      </w:r>
      <w:r w:rsidRPr="00406C70" w:rsidR="00C83A14">
        <w:rPr>
          <w:rFonts w:cstheme="minorHAnsi"/>
          <w:szCs w:val="26"/>
        </w:rPr>
        <w:t xml:space="preserve"> when a method of modification is specified in the trust instrument</w:t>
      </w:r>
      <w:r w:rsidRPr="00406C70" w:rsidR="00AA4151">
        <w:rPr>
          <w:rFonts w:cstheme="minorHAnsi"/>
          <w:szCs w:val="26"/>
        </w:rPr>
        <w:t>.</w:t>
      </w:r>
    </w:p>
    <w:p w:rsidR="008D74DE" w:rsidRPr="00406C70" w:rsidP="00FC32E3" w14:paraId="5A666893" w14:textId="77777777">
      <w:pPr>
        <w:keepNext/>
        <w:jc w:val="center"/>
        <w:rPr>
          <w:rFonts w:cstheme="minorHAnsi"/>
          <w:b/>
          <w:bCs/>
          <w:szCs w:val="26"/>
        </w:rPr>
      </w:pPr>
      <w:r w:rsidRPr="00406C70">
        <w:rPr>
          <w:rFonts w:cstheme="minorHAnsi"/>
          <w:b/>
          <w:bCs/>
          <w:szCs w:val="26"/>
        </w:rPr>
        <w:t>II.</w:t>
      </w:r>
    </w:p>
    <w:p w:rsidR="00E31E2B" w:rsidRPr="00406C70" w:rsidP="00406C70" w14:paraId="5A666894" w14:textId="77777777">
      <w:pPr>
        <w:pStyle w:val="Text"/>
        <w:spacing w:line="400" w:lineRule="exact"/>
        <w:ind w:firstLine="720"/>
        <w:rPr>
          <w:rFonts w:cstheme="minorHAnsi"/>
          <w:szCs w:val="26"/>
        </w:rPr>
      </w:pPr>
      <w:r w:rsidRPr="00406C70">
        <w:rPr>
          <w:rFonts w:cstheme="minorHAnsi"/>
          <w:szCs w:val="26"/>
        </w:rPr>
        <w:t>Assembly Bill No. 2652</w:t>
      </w:r>
      <w:r w:rsidRPr="00406C70" w:rsidR="00A63129">
        <w:rPr>
          <w:rFonts w:cstheme="minorHAnsi"/>
          <w:szCs w:val="26"/>
        </w:rPr>
        <w:t xml:space="preserve"> </w:t>
      </w:r>
      <w:r w:rsidRPr="00406C70" w:rsidR="00221FD6">
        <w:rPr>
          <w:rFonts w:cstheme="minorHAnsi"/>
          <w:szCs w:val="26"/>
        </w:rPr>
        <w:t>(1985–1986 Reg. Sess.)</w:t>
      </w:r>
      <w:r w:rsidR="00221FD6">
        <w:rPr>
          <w:rFonts w:cstheme="minorHAnsi"/>
          <w:szCs w:val="26"/>
        </w:rPr>
        <w:t xml:space="preserve"> </w:t>
      </w:r>
      <w:r w:rsidRPr="00406C70" w:rsidR="00A63129">
        <w:rPr>
          <w:rFonts w:cstheme="minorHAnsi"/>
          <w:szCs w:val="26"/>
        </w:rPr>
        <w:t xml:space="preserve">enacted sections 15401 and 15402 </w:t>
      </w:r>
      <w:r w:rsidRPr="00406C70" w:rsidR="00B11F41">
        <w:rPr>
          <w:rFonts w:cstheme="minorHAnsi"/>
          <w:szCs w:val="26"/>
        </w:rPr>
        <w:t xml:space="preserve">in 1986 </w:t>
      </w:r>
      <w:r w:rsidRPr="00406C70" w:rsidR="00A63129">
        <w:rPr>
          <w:rFonts w:cstheme="minorHAnsi"/>
          <w:szCs w:val="26"/>
        </w:rPr>
        <w:t xml:space="preserve">as part of </w:t>
      </w:r>
      <w:r w:rsidRPr="00406C70" w:rsidR="00E451F6">
        <w:rPr>
          <w:rFonts w:cstheme="minorHAnsi"/>
          <w:szCs w:val="26"/>
        </w:rPr>
        <w:t>a</w:t>
      </w:r>
      <w:r w:rsidRPr="00406C70" w:rsidR="00A63129">
        <w:rPr>
          <w:rFonts w:cstheme="minorHAnsi"/>
          <w:szCs w:val="26"/>
        </w:rPr>
        <w:t xml:space="preserve"> general reorganization of trust laws recommended by the California Law Revision Commission</w:t>
      </w:r>
      <w:r w:rsidR="005464F3">
        <w:rPr>
          <w:rFonts w:cstheme="minorHAnsi"/>
          <w:szCs w:val="26"/>
        </w:rPr>
        <w:t xml:space="preserve"> (Commission)</w:t>
      </w:r>
      <w:r w:rsidRPr="00406C70" w:rsidR="00A63129">
        <w:rPr>
          <w:rFonts w:cstheme="minorHAnsi"/>
          <w:szCs w:val="26"/>
        </w:rPr>
        <w:t>.  (</w:t>
      </w:r>
      <w:r w:rsidR="007209DE">
        <w:rPr>
          <w:rFonts w:cstheme="minorHAnsi"/>
          <w:szCs w:val="26"/>
        </w:rPr>
        <w:t>See</w:t>
      </w:r>
      <w:r w:rsidRPr="00406C70" w:rsidR="0078554C">
        <w:rPr>
          <w:rFonts w:cstheme="minorHAnsi"/>
          <w:szCs w:val="26"/>
        </w:rPr>
        <w:t xml:space="preserve"> </w:t>
      </w:r>
      <w:r w:rsidRPr="00406C70" w:rsidR="00A63129">
        <w:rPr>
          <w:rFonts w:cstheme="minorHAnsi"/>
          <w:i/>
          <w:iCs/>
          <w:szCs w:val="26"/>
        </w:rPr>
        <w:t>Huscher v. Wells Fargo Bank</w:t>
      </w:r>
      <w:r w:rsidRPr="00406C70" w:rsidR="00A63129">
        <w:rPr>
          <w:rFonts w:cstheme="minorHAnsi"/>
          <w:szCs w:val="26"/>
        </w:rPr>
        <w:t xml:space="preserve"> (2004) 121 Cal.App.4th 956, 960, fn. 2 (</w:t>
      </w:r>
      <w:r w:rsidRPr="00406C70" w:rsidR="00A63129">
        <w:rPr>
          <w:rFonts w:cstheme="minorHAnsi"/>
          <w:i/>
          <w:iCs/>
          <w:szCs w:val="26"/>
        </w:rPr>
        <w:t>Huscher</w:t>
      </w:r>
      <w:r w:rsidRPr="00406C70" w:rsidR="00A63129">
        <w:rPr>
          <w:rFonts w:cstheme="minorHAnsi"/>
          <w:szCs w:val="26"/>
        </w:rPr>
        <w:t>); Recommendation Proposing the Trust Law</w:t>
      </w:r>
      <w:r w:rsidRPr="00406C70" w:rsidR="00E84B23">
        <w:rPr>
          <w:rFonts w:cstheme="minorHAnsi"/>
          <w:szCs w:val="26"/>
        </w:rPr>
        <w:t xml:space="preserve"> (Dec. </w:t>
      </w:r>
      <w:r w:rsidRPr="00406C70" w:rsidR="0003093F">
        <w:rPr>
          <w:rFonts w:cstheme="minorHAnsi"/>
          <w:szCs w:val="26"/>
        </w:rPr>
        <w:t>1985)</w:t>
      </w:r>
      <w:r w:rsidRPr="00406C70" w:rsidR="00E84B23">
        <w:rPr>
          <w:rFonts w:cstheme="minorHAnsi"/>
          <w:szCs w:val="26"/>
        </w:rPr>
        <w:t xml:space="preserve"> </w:t>
      </w:r>
      <w:r w:rsidRPr="00406C70" w:rsidR="00A63129">
        <w:rPr>
          <w:rFonts w:cstheme="minorHAnsi"/>
          <w:szCs w:val="26"/>
        </w:rPr>
        <w:t>18</w:t>
      </w:r>
      <w:r w:rsidRPr="00406C70" w:rsidR="004B1C01">
        <w:rPr>
          <w:rFonts w:cstheme="minorHAnsi"/>
          <w:szCs w:val="26"/>
        </w:rPr>
        <w:t> </w:t>
      </w:r>
      <w:r w:rsidRPr="00406C70" w:rsidR="00A63129">
        <w:rPr>
          <w:rFonts w:cstheme="minorHAnsi"/>
          <w:szCs w:val="26"/>
        </w:rPr>
        <w:t xml:space="preserve">Cal. Law Revision Com. Rep. </w:t>
      </w:r>
      <w:r w:rsidRPr="00406C70" w:rsidR="00FC4406">
        <w:rPr>
          <w:rFonts w:cstheme="minorHAnsi"/>
          <w:szCs w:val="26"/>
        </w:rPr>
        <w:t xml:space="preserve">(1986) </w:t>
      </w:r>
      <w:r w:rsidR="00653617">
        <w:rPr>
          <w:rFonts w:cstheme="minorHAnsi"/>
          <w:szCs w:val="26"/>
        </w:rPr>
        <w:t xml:space="preserve">pp. </w:t>
      </w:r>
      <w:r w:rsidRPr="00406C70" w:rsidR="005701B5">
        <w:rPr>
          <w:rFonts w:cstheme="minorHAnsi"/>
          <w:szCs w:val="26"/>
        </w:rPr>
        <w:t>567–569</w:t>
      </w:r>
      <w:r w:rsidRPr="00406C70" w:rsidR="0075769D">
        <w:rPr>
          <w:rFonts w:cstheme="minorHAnsi"/>
          <w:szCs w:val="26"/>
        </w:rPr>
        <w:t xml:space="preserve"> </w:t>
      </w:r>
      <w:r w:rsidRPr="00406C70" w:rsidR="00A63129">
        <w:rPr>
          <w:rFonts w:cstheme="minorHAnsi"/>
          <w:szCs w:val="26"/>
        </w:rPr>
        <w:t>(</w:t>
      </w:r>
      <w:r w:rsidRPr="00AA130A" w:rsidR="00A63129">
        <w:rPr>
          <w:rFonts w:cstheme="minorHAnsi"/>
          <w:szCs w:val="26"/>
        </w:rPr>
        <w:t>Recommendation Proposing the Trust Law</w:t>
      </w:r>
      <w:r w:rsidRPr="00406C70" w:rsidR="00A63129">
        <w:rPr>
          <w:rFonts w:cstheme="minorHAnsi"/>
          <w:szCs w:val="26"/>
        </w:rPr>
        <w:t xml:space="preserve">).)  </w:t>
      </w:r>
      <w:r w:rsidRPr="00406C70" w:rsidR="00317427">
        <w:rPr>
          <w:rFonts w:cstheme="minorHAnsi"/>
          <w:szCs w:val="26"/>
        </w:rPr>
        <w:t>R</w:t>
      </w:r>
      <w:r w:rsidRPr="00406C70" w:rsidR="00A63129">
        <w:rPr>
          <w:rFonts w:cstheme="minorHAnsi"/>
          <w:szCs w:val="26"/>
        </w:rPr>
        <w:t xml:space="preserve">evocation was </w:t>
      </w:r>
      <w:r w:rsidRPr="00406C70" w:rsidR="00317427">
        <w:rPr>
          <w:rFonts w:cstheme="minorHAnsi"/>
          <w:szCs w:val="26"/>
        </w:rPr>
        <w:t xml:space="preserve">previously </w:t>
      </w:r>
      <w:r w:rsidRPr="00406C70" w:rsidR="00A63129">
        <w:rPr>
          <w:rFonts w:cstheme="minorHAnsi"/>
          <w:szCs w:val="26"/>
        </w:rPr>
        <w:t xml:space="preserve">governed by Civil Code </w:t>
      </w:r>
      <w:r w:rsidRPr="00406C70" w:rsidR="00B16120">
        <w:rPr>
          <w:rFonts w:cstheme="minorHAnsi"/>
          <w:szCs w:val="26"/>
        </w:rPr>
        <w:t xml:space="preserve">former </w:t>
      </w:r>
      <w:r w:rsidRPr="00406C70" w:rsidR="00A63129">
        <w:rPr>
          <w:rFonts w:cstheme="minorHAnsi"/>
          <w:szCs w:val="26"/>
        </w:rPr>
        <w:t>section 2280.</w:t>
      </w:r>
      <w:r w:rsidRPr="00406C70" w:rsidR="00CA175C">
        <w:rPr>
          <w:rStyle w:val="FootnoteReference"/>
          <w:rFonts w:cstheme="minorHAnsi"/>
        </w:rPr>
        <w:t xml:space="preserve"> </w:t>
      </w:r>
      <w:r w:rsidRPr="00406C70" w:rsidR="00A63129">
        <w:rPr>
          <w:rFonts w:cstheme="minorHAnsi"/>
          <w:szCs w:val="26"/>
        </w:rPr>
        <w:t xml:space="preserve">  (</w:t>
      </w:r>
      <w:r w:rsidRPr="00406C70" w:rsidR="00A63129">
        <w:rPr>
          <w:rFonts w:cstheme="minorHAnsi"/>
          <w:i/>
          <w:iCs/>
          <w:szCs w:val="26"/>
        </w:rPr>
        <w:t>Huscher</w:t>
      </w:r>
      <w:r w:rsidRPr="00406C70" w:rsidR="00A63129">
        <w:rPr>
          <w:rFonts w:cstheme="minorHAnsi"/>
          <w:szCs w:val="26"/>
        </w:rPr>
        <w:t>, at p. 961.)  No statute specifically addressed modification.  Rather, courts held that</w:t>
      </w:r>
      <w:r w:rsidR="008741B8">
        <w:rPr>
          <w:rFonts w:cstheme="minorHAnsi"/>
          <w:szCs w:val="26"/>
        </w:rPr>
        <w:t>,</w:t>
      </w:r>
      <w:r w:rsidRPr="00406C70" w:rsidR="00A63129">
        <w:rPr>
          <w:rFonts w:cstheme="minorHAnsi"/>
          <w:szCs w:val="26"/>
        </w:rPr>
        <w:t xml:space="preserve"> in general</w:t>
      </w:r>
      <w:r w:rsidR="008741B8">
        <w:rPr>
          <w:rFonts w:cstheme="minorHAnsi"/>
          <w:szCs w:val="26"/>
        </w:rPr>
        <w:t>,</w:t>
      </w:r>
      <w:r w:rsidRPr="00406C70" w:rsidR="00A63129">
        <w:rPr>
          <w:rFonts w:cstheme="minorHAnsi"/>
          <w:szCs w:val="26"/>
        </w:rPr>
        <w:t xml:space="preserve"> </w:t>
      </w:r>
      <w:r w:rsidRPr="00406C70" w:rsidR="004467BE">
        <w:rPr>
          <w:rFonts w:cstheme="minorHAnsi"/>
          <w:szCs w:val="26"/>
        </w:rPr>
        <w:t>the</w:t>
      </w:r>
      <w:r w:rsidRPr="00406C70" w:rsidR="00A63129">
        <w:rPr>
          <w:rFonts w:cstheme="minorHAnsi"/>
          <w:szCs w:val="26"/>
        </w:rPr>
        <w:t xml:space="preserve"> power of revocation implied the power of modification</w:t>
      </w:r>
      <w:r w:rsidRPr="00406C70" w:rsidR="00D0623D">
        <w:rPr>
          <w:rFonts w:cstheme="minorHAnsi"/>
          <w:szCs w:val="26"/>
        </w:rPr>
        <w:t>,</w:t>
      </w:r>
      <w:r w:rsidRPr="00406C70" w:rsidR="00A63129">
        <w:rPr>
          <w:rFonts w:cstheme="minorHAnsi"/>
          <w:szCs w:val="26"/>
        </w:rPr>
        <w:t xml:space="preserve"> and </w:t>
      </w:r>
      <w:r w:rsidRPr="00406C70" w:rsidR="00D0623D">
        <w:rPr>
          <w:rFonts w:cstheme="minorHAnsi"/>
          <w:szCs w:val="26"/>
        </w:rPr>
        <w:t xml:space="preserve">they </w:t>
      </w:r>
      <w:r w:rsidRPr="00406C70" w:rsidR="00A63129">
        <w:rPr>
          <w:rFonts w:cstheme="minorHAnsi"/>
          <w:szCs w:val="26"/>
        </w:rPr>
        <w:t>applied the rules governing trust revocation to trust modification.  (</w:t>
      </w:r>
      <w:r w:rsidRPr="00406C70" w:rsidR="00347C2F">
        <w:rPr>
          <w:rFonts w:cstheme="minorHAnsi"/>
          <w:i/>
          <w:iCs/>
          <w:szCs w:val="26"/>
        </w:rPr>
        <w:t>Id.</w:t>
      </w:r>
      <w:r w:rsidRPr="00406C70" w:rsidR="00A63129">
        <w:rPr>
          <w:rFonts w:cstheme="minorHAnsi"/>
          <w:szCs w:val="26"/>
        </w:rPr>
        <w:t xml:space="preserve">, </w:t>
      </w:r>
      <w:r w:rsidRPr="00406C70" w:rsidR="005D1FBF">
        <w:rPr>
          <w:rFonts w:cstheme="minorHAnsi"/>
          <w:szCs w:val="26"/>
        </w:rPr>
        <w:t xml:space="preserve">at </w:t>
      </w:r>
      <w:r w:rsidRPr="00406C70" w:rsidR="00A63129">
        <w:rPr>
          <w:rFonts w:cstheme="minorHAnsi"/>
          <w:szCs w:val="26"/>
        </w:rPr>
        <w:t xml:space="preserve">p. 962, fn. 5; see </w:t>
      </w:r>
      <w:r w:rsidRPr="00406C70" w:rsidR="00A63129">
        <w:rPr>
          <w:rFonts w:cstheme="minorHAnsi"/>
          <w:i/>
          <w:iCs/>
          <w:szCs w:val="26"/>
        </w:rPr>
        <w:t>Estate of Lindstrom</w:t>
      </w:r>
      <w:r w:rsidRPr="00406C70" w:rsidR="00A63129">
        <w:rPr>
          <w:rFonts w:cstheme="minorHAnsi"/>
          <w:szCs w:val="26"/>
        </w:rPr>
        <w:t xml:space="preserve"> (1987) 191</w:t>
      </w:r>
      <w:r w:rsidRPr="00406C70" w:rsidR="008C69C8">
        <w:rPr>
          <w:rFonts w:cstheme="minorHAnsi"/>
          <w:szCs w:val="26"/>
        </w:rPr>
        <w:t> </w:t>
      </w:r>
      <w:r w:rsidRPr="00406C70" w:rsidR="00A63129">
        <w:rPr>
          <w:rFonts w:cstheme="minorHAnsi"/>
          <w:szCs w:val="26"/>
        </w:rPr>
        <w:t>Cal.App.3d 375, 385, fn. 11 [“</w:t>
      </w:r>
      <w:r w:rsidR="008741B8">
        <w:rPr>
          <w:rFonts w:cstheme="minorHAnsi"/>
          <w:szCs w:val="26"/>
        </w:rPr>
        <w:t>[</w:t>
      </w:r>
      <w:r w:rsidRPr="00406C70" w:rsidR="00A63129">
        <w:rPr>
          <w:rFonts w:cstheme="minorHAnsi"/>
          <w:szCs w:val="26"/>
        </w:rPr>
        <w:t>R</w:t>
      </w:r>
      <w:r w:rsidR="008741B8">
        <w:rPr>
          <w:rFonts w:cstheme="minorHAnsi"/>
          <w:szCs w:val="26"/>
        </w:rPr>
        <w:t>]</w:t>
      </w:r>
      <w:r w:rsidRPr="00406C70" w:rsidR="00A63129">
        <w:rPr>
          <w:rFonts w:cstheme="minorHAnsi"/>
          <w:szCs w:val="26"/>
        </w:rPr>
        <w:t>evocation and amendment are fungible.  ‘The unrestricted power to revoke implies a power to amend without revoking; i.e., it is unnecessary for the trustor to take the circuitous steps of complete revocation and creation of a new trust with the desired changes.’ ”].)</w:t>
      </w:r>
    </w:p>
    <w:p w:rsidR="00C566C5" w:rsidRPr="00406C70" w:rsidP="00406C70" w14:paraId="5A666895" w14:textId="77777777">
      <w:pPr>
        <w:pStyle w:val="Text"/>
        <w:spacing w:line="400" w:lineRule="exact"/>
        <w:ind w:firstLine="547"/>
        <w:rPr>
          <w:rFonts w:cstheme="minorHAnsi"/>
          <w:szCs w:val="26"/>
        </w:rPr>
      </w:pPr>
      <w:r w:rsidRPr="00406C70">
        <w:rPr>
          <w:rFonts w:cstheme="minorHAnsi"/>
          <w:szCs w:val="26"/>
        </w:rPr>
        <w:t>Since 1986</w:t>
      </w:r>
      <w:r w:rsidRPr="00406C70" w:rsidR="007D2C28">
        <w:rPr>
          <w:rFonts w:cstheme="minorHAnsi"/>
          <w:szCs w:val="26"/>
        </w:rPr>
        <w:t xml:space="preserve">, two separate statutory </w:t>
      </w:r>
      <w:r w:rsidRPr="00406C70">
        <w:rPr>
          <w:rFonts w:cstheme="minorHAnsi"/>
          <w:szCs w:val="26"/>
        </w:rPr>
        <w:t xml:space="preserve">provisions have </w:t>
      </w:r>
      <w:r w:rsidRPr="00406C70" w:rsidR="007D2C28">
        <w:rPr>
          <w:rFonts w:cstheme="minorHAnsi"/>
          <w:szCs w:val="26"/>
        </w:rPr>
        <w:t>govern</w:t>
      </w:r>
      <w:r w:rsidRPr="00406C70">
        <w:rPr>
          <w:rFonts w:cstheme="minorHAnsi"/>
          <w:szCs w:val="26"/>
        </w:rPr>
        <w:t>ed</w:t>
      </w:r>
      <w:r w:rsidRPr="00406C70" w:rsidR="007D2C28">
        <w:rPr>
          <w:rFonts w:cstheme="minorHAnsi"/>
          <w:szCs w:val="26"/>
        </w:rPr>
        <w:t xml:space="preserve"> </w:t>
      </w:r>
      <w:r w:rsidRPr="00406C70" w:rsidR="00FF11F3">
        <w:rPr>
          <w:rFonts w:cstheme="minorHAnsi"/>
          <w:szCs w:val="26"/>
        </w:rPr>
        <w:t xml:space="preserve">trust </w:t>
      </w:r>
      <w:r w:rsidRPr="00406C70" w:rsidR="007D2C28">
        <w:rPr>
          <w:rFonts w:cstheme="minorHAnsi"/>
          <w:szCs w:val="26"/>
        </w:rPr>
        <w:t xml:space="preserve">revocation and modification.  </w:t>
      </w:r>
      <w:r w:rsidRPr="00406C70" w:rsidR="00B90EF8">
        <w:rPr>
          <w:rFonts w:cstheme="minorHAnsi"/>
          <w:szCs w:val="26"/>
        </w:rPr>
        <w:t>S</w:t>
      </w:r>
      <w:r w:rsidRPr="00406C70" w:rsidR="00CF3D37">
        <w:rPr>
          <w:rFonts w:cstheme="minorHAnsi"/>
          <w:szCs w:val="26"/>
        </w:rPr>
        <w:t>ection 15401</w:t>
      </w:r>
      <w:r w:rsidRPr="00406C70" w:rsidR="00B90EF8">
        <w:rPr>
          <w:rFonts w:cstheme="minorHAnsi"/>
          <w:szCs w:val="26"/>
        </w:rPr>
        <w:t xml:space="preserve"> governs the procedures for revocation.  Under this provision</w:t>
      </w:r>
      <w:r w:rsidRPr="00406C70" w:rsidR="00CF3D37">
        <w:rPr>
          <w:rFonts w:cstheme="minorHAnsi"/>
          <w:szCs w:val="26"/>
        </w:rPr>
        <w:t xml:space="preserve">, </w:t>
      </w:r>
      <w:r w:rsidRPr="00406C70" w:rsidR="00B322BF">
        <w:rPr>
          <w:rFonts w:cstheme="minorHAnsi"/>
          <w:szCs w:val="26"/>
        </w:rPr>
        <w:t>a revocable trust</w:t>
      </w:r>
      <w:r w:rsidRPr="00406C70" w:rsidR="00CF3D37">
        <w:rPr>
          <w:rFonts w:cstheme="minorHAnsi"/>
          <w:szCs w:val="26"/>
        </w:rPr>
        <w:t xml:space="preserve"> </w:t>
      </w:r>
      <w:r w:rsidRPr="00406C70" w:rsidR="00C15B65">
        <w:rPr>
          <w:rFonts w:cstheme="minorHAnsi"/>
          <w:szCs w:val="26"/>
        </w:rPr>
        <w:t xml:space="preserve">“may be revoked in whole or in part by any of the following methods:  </w:t>
      </w:r>
      <w:r w:rsidRPr="00406C70" w:rsidR="00D87B76">
        <w:rPr>
          <w:rFonts w:cstheme="minorHAnsi"/>
          <w:szCs w:val="26"/>
        </w:rPr>
        <w:t xml:space="preserve">[¶] </w:t>
      </w:r>
      <w:r w:rsidRPr="00406C70" w:rsidR="00C15B65">
        <w:rPr>
          <w:rFonts w:cstheme="minorHAnsi"/>
          <w:szCs w:val="26"/>
        </w:rPr>
        <w:t xml:space="preserve">(1) By compliance with any method of revocation provided in the trust instrument.  </w:t>
      </w:r>
      <w:r w:rsidRPr="00406C70" w:rsidR="00D87B76">
        <w:rPr>
          <w:rFonts w:cstheme="minorHAnsi"/>
          <w:szCs w:val="26"/>
        </w:rPr>
        <w:t xml:space="preserve">[¶] </w:t>
      </w:r>
      <w:r w:rsidRPr="00406C70" w:rsidR="00C15B65">
        <w:rPr>
          <w:rFonts w:cstheme="minorHAnsi"/>
          <w:szCs w:val="26"/>
        </w:rPr>
        <w:t>(2) By a writing, other than a will, signed by the settlor or any other person holding the power of revocation and delivered to the trustee during the lifetime of the settlor or the person holding the power of revocation.</w:t>
      </w:r>
      <w:r w:rsidRPr="00406C70" w:rsidR="001B2913">
        <w:rPr>
          <w:rFonts w:cstheme="minorHAnsi"/>
          <w:szCs w:val="26"/>
        </w:rPr>
        <w:t>”</w:t>
      </w:r>
      <w:r w:rsidRPr="00406C70" w:rsidR="00C15B65">
        <w:rPr>
          <w:rFonts w:cstheme="minorHAnsi"/>
          <w:szCs w:val="26"/>
        </w:rPr>
        <w:t xml:space="preserve">  </w:t>
      </w:r>
      <w:r w:rsidRPr="00406C70" w:rsidR="001B2913">
        <w:rPr>
          <w:rFonts w:cstheme="minorHAnsi"/>
          <w:szCs w:val="26"/>
        </w:rPr>
        <w:t xml:space="preserve">(§ 15401, subd. (a)(1)–(2).)  </w:t>
      </w:r>
      <w:r w:rsidRPr="00406C70" w:rsidR="00FB0897">
        <w:rPr>
          <w:rFonts w:cstheme="minorHAnsi"/>
          <w:szCs w:val="26"/>
        </w:rPr>
        <w:t>We</w:t>
      </w:r>
      <w:r w:rsidRPr="00406C70" w:rsidR="001E6DB9">
        <w:rPr>
          <w:rFonts w:cstheme="minorHAnsi"/>
          <w:szCs w:val="26"/>
        </w:rPr>
        <w:t xml:space="preserve"> will refer to the</w:t>
      </w:r>
      <w:r w:rsidRPr="00406C70" w:rsidR="001B2913">
        <w:rPr>
          <w:rFonts w:cstheme="minorHAnsi"/>
          <w:szCs w:val="26"/>
        </w:rPr>
        <w:t xml:space="preserve"> second method </w:t>
      </w:r>
      <w:r w:rsidRPr="00406C70" w:rsidR="000034EA">
        <w:rPr>
          <w:rFonts w:cstheme="minorHAnsi"/>
          <w:szCs w:val="26"/>
        </w:rPr>
        <w:t xml:space="preserve">as the </w:t>
      </w:r>
      <w:r w:rsidRPr="00406C70" w:rsidR="007A365C">
        <w:rPr>
          <w:rFonts w:cstheme="minorHAnsi"/>
          <w:szCs w:val="26"/>
        </w:rPr>
        <w:t xml:space="preserve">statutory </w:t>
      </w:r>
      <w:r w:rsidRPr="00406C70" w:rsidR="006062FD">
        <w:rPr>
          <w:rFonts w:cstheme="minorHAnsi"/>
          <w:szCs w:val="26"/>
        </w:rPr>
        <w:t>method</w:t>
      </w:r>
      <w:r w:rsidRPr="00406C70" w:rsidR="007A365C">
        <w:rPr>
          <w:rFonts w:cstheme="minorHAnsi"/>
          <w:szCs w:val="26"/>
        </w:rPr>
        <w:t xml:space="preserve">.  </w:t>
      </w:r>
      <w:r w:rsidRPr="00406C70" w:rsidR="00C803AB">
        <w:rPr>
          <w:rFonts w:cstheme="minorHAnsi"/>
          <w:szCs w:val="26"/>
        </w:rPr>
        <w:t xml:space="preserve">Section 15401 </w:t>
      </w:r>
      <w:r w:rsidRPr="00406C70" w:rsidR="00D0623D">
        <w:rPr>
          <w:rFonts w:cstheme="minorHAnsi"/>
          <w:szCs w:val="26"/>
        </w:rPr>
        <w:t>further provides</w:t>
      </w:r>
      <w:r w:rsidRPr="00406C70" w:rsidR="003E6755">
        <w:rPr>
          <w:rFonts w:cstheme="minorHAnsi"/>
          <w:szCs w:val="26"/>
        </w:rPr>
        <w:t xml:space="preserve">:  </w:t>
      </w:r>
      <w:r w:rsidRPr="00406C70" w:rsidR="007A365C">
        <w:rPr>
          <w:rFonts w:cstheme="minorHAnsi"/>
          <w:szCs w:val="26"/>
        </w:rPr>
        <w:t>“</w:t>
      </w:r>
      <w:r w:rsidRPr="00406C70" w:rsidR="00C15B65">
        <w:rPr>
          <w:rFonts w:cstheme="minorHAnsi"/>
          <w:szCs w:val="26"/>
        </w:rPr>
        <w:t xml:space="preserve">If the trust instrument explicitly makes the method of revocation provided in the trust instrument the exclusive method of revocation, the trust may not be revoked pursuant to </w:t>
      </w:r>
      <w:r w:rsidRPr="00406C70" w:rsidR="00C709DD">
        <w:rPr>
          <w:rFonts w:cstheme="minorHAnsi"/>
          <w:szCs w:val="26"/>
        </w:rPr>
        <w:t xml:space="preserve">[the statutory </w:t>
      </w:r>
      <w:r w:rsidRPr="00406C70" w:rsidR="006062FD">
        <w:rPr>
          <w:rFonts w:cstheme="minorHAnsi"/>
          <w:szCs w:val="26"/>
        </w:rPr>
        <w:t>method</w:t>
      </w:r>
      <w:r w:rsidRPr="00406C70" w:rsidR="00C709DD">
        <w:rPr>
          <w:rFonts w:cstheme="minorHAnsi"/>
          <w:szCs w:val="26"/>
        </w:rPr>
        <w:t>]</w:t>
      </w:r>
      <w:r w:rsidRPr="00406C70" w:rsidR="00C15B65">
        <w:rPr>
          <w:rFonts w:cstheme="minorHAnsi"/>
          <w:szCs w:val="26"/>
        </w:rPr>
        <w:t xml:space="preserve">.” </w:t>
      </w:r>
      <w:r w:rsidRPr="00406C70" w:rsidR="00CF3D37">
        <w:rPr>
          <w:rFonts w:cstheme="minorHAnsi"/>
          <w:szCs w:val="26"/>
        </w:rPr>
        <w:t xml:space="preserve"> (§ 15401, subd. (a)</w:t>
      </w:r>
      <w:r w:rsidRPr="00406C70">
        <w:rPr>
          <w:rFonts w:cstheme="minorHAnsi"/>
          <w:szCs w:val="26"/>
        </w:rPr>
        <w:t>(2)</w:t>
      </w:r>
      <w:r w:rsidRPr="00406C70" w:rsidR="00CF3D37">
        <w:rPr>
          <w:rFonts w:cstheme="minorHAnsi"/>
          <w:szCs w:val="26"/>
        </w:rPr>
        <w:t xml:space="preserve">.)  </w:t>
      </w:r>
    </w:p>
    <w:p w:rsidR="00766A6A" w:rsidRPr="00406C70" w:rsidP="00406C70" w14:paraId="5A666896" w14:textId="77777777">
      <w:pPr>
        <w:pStyle w:val="Text"/>
        <w:spacing w:line="400" w:lineRule="exact"/>
        <w:ind w:firstLine="720"/>
        <w:rPr>
          <w:rFonts w:cstheme="minorHAnsi"/>
          <w:szCs w:val="26"/>
        </w:rPr>
      </w:pPr>
      <w:r w:rsidRPr="00406C70">
        <w:rPr>
          <w:rFonts w:cstheme="minorHAnsi"/>
          <w:szCs w:val="26"/>
        </w:rPr>
        <w:t>Section 15402</w:t>
      </w:r>
      <w:r w:rsidRPr="00406C70" w:rsidR="00A917B0">
        <w:rPr>
          <w:rFonts w:cstheme="minorHAnsi"/>
          <w:szCs w:val="26"/>
        </w:rPr>
        <w:t xml:space="preserve"> </w:t>
      </w:r>
      <w:r w:rsidRPr="00406C70" w:rsidR="00B345C0">
        <w:rPr>
          <w:rFonts w:cstheme="minorHAnsi"/>
          <w:szCs w:val="26"/>
        </w:rPr>
        <w:t>governs the procedures for modification</w:t>
      </w:r>
      <w:r w:rsidRPr="00406C70" w:rsidR="00A917B0">
        <w:rPr>
          <w:rFonts w:cstheme="minorHAnsi"/>
          <w:szCs w:val="26"/>
        </w:rPr>
        <w:t xml:space="preserve">.  It provides:  “Unless the trust instrument provides otherwise, if a trust is revocable by the settlor, the settlor may modify the trust by the procedure for revocation.”  </w:t>
      </w:r>
      <w:r w:rsidRPr="00406C70" w:rsidR="00895372">
        <w:rPr>
          <w:rFonts w:cstheme="minorHAnsi"/>
          <w:szCs w:val="26"/>
        </w:rPr>
        <w:t xml:space="preserve">(§ 15402.)  </w:t>
      </w:r>
      <w:r w:rsidRPr="00406C70" w:rsidR="00FA7CA4">
        <w:rPr>
          <w:rFonts w:cstheme="minorHAnsi"/>
          <w:szCs w:val="26"/>
        </w:rPr>
        <w:t>“</w:t>
      </w:r>
      <w:r w:rsidRPr="00406C70" w:rsidR="00FB5B68">
        <w:rPr>
          <w:rFonts w:cstheme="minorHAnsi"/>
          <w:szCs w:val="26"/>
        </w:rPr>
        <w:t>Thus, i</w:t>
      </w:r>
      <w:r w:rsidRPr="00406C70" w:rsidR="004E10F7">
        <w:rPr>
          <w:rFonts w:cstheme="minorHAnsi"/>
          <w:szCs w:val="26"/>
        </w:rPr>
        <w:t xml:space="preserve">f the </w:t>
      </w:r>
      <w:r w:rsidRPr="00406C70" w:rsidR="002E4CBB">
        <w:rPr>
          <w:rFonts w:cstheme="minorHAnsi"/>
          <w:szCs w:val="26"/>
        </w:rPr>
        <w:t>trust instrument is silent on modification, the trust may be modified in the same manner in which it could be revoked,</w:t>
      </w:r>
      <w:r w:rsidRPr="00406C70" w:rsidR="00FA7CA4">
        <w:rPr>
          <w:rFonts w:cstheme="minorHAnsi"/>
          <w:szCs w:val="26"/>
        </w:rPr>
        <w:t>”</w:t>
      </w:r>
      <w:r w:rsidRPr="00406C70" w:rsidR="002E4CBB">
        <w:rPr>
          <w:rFonts w:cstheme="minorHAnsi"/>
          <w:szCs w:val="26"/>
        </w:rPr>
        <w:t xml:space="preserve"> either </w:t>
      </w:r>
      <w:r w:rsidRPr="00406C70" w:rsidR="00F8638E">
        <w:rPr>
          <w:rFonts w:cstheme="minorHAnsi"/>
          <w:szCs w:val="26"/>
        </w:rPr>
        <w:t xml:space="preserve">via </w:t>
      </w:r>
      <w:r w:rsidRPr="00406C70" w:rsidR="00D3136F">
        <w:rPr>
          <w:rFonts w:cstheme="minorHAnsi"/>
          <w:szCs w:val="26"/>
        </w:rPr>
        <w:t xml:space="preserve">the statutory </w:t>
      </w:r>
      <w:r w:rsidRPr="00406C70" w:rsidR="006062FD">
        <w:rPr>
          <w:rFonts w:cstheme="minorHAnsi"/>
          <w:szCs w:val="26"/>
        </w:rPr>
        <w:t xml:space="preserve">method </w:t>
      </w:r>
      <w:r w:rsidRPr="00406C70" w:rsidR="002E4CBB">
        <w:rPr>
          <w:rFonts w:cstheme="minorHAnsi"/>
          <w:szCs w:val="26"/>
        </w:rPr>
        <w:t xml:space="preserve">or </w:t>
      </w:r>
      <w:r w:rsidRPr="00406C70" w:rsidR="007A76BF">
        <w:rPr>
          <w:rFonts w:cstheme="minorHAnsi"/>
          <w:szCs w:val="26"/>
        </w:rPr>
        <w:t>via the revocation method</w:t>
      </w:r>
      <w:r w:rsidRPr="00406C70" w:rsidR="002E4CBB">
        <w:rPr>
          <w:rFonts w:cstheme="minorHAnsi"/>
          <w:szCs w:val="26"/>
        </w:rPr>
        <w:t xml:space="preserve"> provided in the trust instrument.  </w:t>
      </w:r>
      <w:r w:rsidRPr="00406C70" w:rsidR="00224873">
        <w:rPr>
          <w:rFonts w:cstheme="minorHAnsi"/>
          <w:szCs w:val="26"/>
        </w:rPr>
        <w:t>(</w:t>
      </w:r>
      <w:r w:rsidRPr="00406C70" w:rsidR="00224873">
        <w:rPr>
          <w:rFonts w:cstheme="minorHAnsi"/>
          <w:i/>
          <w:iCs/>
          <w:szCs w:val="26"/>
        </w:rPr>
        <w:t>King v. Lynch</w:t>
      </w:r>
      <w:r w:rsidRPr="00406C70" w:rsidR="00224873">
        <w:rPr>
          <w:rFonts w:cstheme="minorHAnsi"/>
          <w:szCs w:val="26"/>
        </w:rPr>
        <w:t xml:space="preserve"> (2012) 204 Cal.App.4th 1186, 1192 (</w:t>
      </w:r>
      <w:r w:rsidRPr="00406C70" w:rsidR="00224873">
        <w:rPr>
          <w:rFonts w:cstheme="minorHAnsi"/>
          <w:i/>
          <w:iCs/>
          <w:szCs w:val="26"/>
        </w:rPr>
        <w:t>King</w:t>
      </w:r>
      <w:r w:rsidRPr="00406C70" w:rsidR="00224873">
        <w:rPr>
          <w:rFonts w:cstheme="minorHAnsi"/>
          <w:szCs w:val="26"/>
        </w:rPr>
        <w:t xml:space="preserve">); </w:t>
      </w:r>
      <w:r w:rsidRPr="00406C70" w:rsidR="00FA7CA4">
        <w:rPr>
          <w:rFonts w:cstheme="minorHAnsi"/>
          <w:szCs w:val="26"/>
        </w:rPr>
        <w:t xml:space="preserve">accord, </w:t>
      </w:r>
      <w:r w:rsidRPr="00406C70" w:rsidR="00FA7CA4">
        <w:rPr>
          <w:i/>
          <w:iCs/>
        </w:rPr>
        <w:t>Diaz v. Zuniga</w:t>
      </w:r>
      <w:r w:rsidRPr="00406C70" w:rsidR="00FA7CA4">
        <w:t xml:space="preserve"> (2023) 91 Cal.App.5th 916, 922 (</w:t>
      </w:r>
      <w:r w:rsidRPr="00406C70" w:rsidR="00FA7CA4">
        <w:rPr>
          <w:i/>
          <w:iCs/>
        </w:rPr>
        <w:t>Diaz</w:t>
      </w:r>
      <w:r w:rsidRPr="00406C70" w:rsidR="00FA7CA4">
        <w:t xml:space="preserve">); </w:t>
      </w:r>
      <w:r w:rsidRPr="00406C70" w:rsidR="00195812">
        <w:rPr>
          <w:rFonts w:cstheme="minorHAnsi"/>
          <w:i/>
          <w:iCs/>
          <w:szCs w:val="26"/>
        </w:rPr>
        <w:t xml:space="preserve">Balistreri v. Balistreri </w:t>
      </w:r>
      <w:r w:rsidRPr="00406C70" w:rsidR="00195812">
        <w:rPr>
          <w:rFonts w:cstheme="minorHAnsi"/>
          <w:szCs w:val="26"/>
        </w:rPr>
        <w:t>(2022) 75</w:t>
      </w:r>
      <w:r w:rsidRPr="00406C70" w:rsidR="00285F53">
        <w:rPr>
          <w:rFonts w:cstheme="minorHAnsi"/>
          <w:szCs w:val="26"/>
        </w:rPr>
        <w:t> </w:t>
      </w:r>
      <w:r w:rsidRPr="00406C70" w:rsidR="00195812">
        <w:rPr>
          <w:rFonts w:cstheme="minorHAnsi"/>
          <w:szCs w:val="26"/>
        </w:rPr>
        <w:t>Cal.App.5th 511, 516 (</w:t>
      </w:r>
      <w:r w:rsidRPr="00406C70" w:rsidR="00195812">
        <w:rPr>
          <w:rFonts w:cstheme="minorHAnsi"/>
          <w:i/>
          <w:iCs/>
          <w:szCs w:val="26"/>
        </w:rPr>
        <w:t>Balistreri</w:t>
      </w:r>
      <w:r w:rsidRPr="00406C70" w:rsidR="00195812">
        <w:rPr>
          <w:rFonts w:cstheme="minorHAnsi"/>
          <w:szCs w:val="26"/>
        </w:rPr>
        <w:t xml:space="preserve">); </w:t>
      </w:r>
      <w:r w:rsidRPr="00406C70" w:rsidR="00224873">
        <w:rPr>
          <w:rFonts w:cstheme="minorHAnsi"/>
          <w:i/>
          <w:iCs/>
          <w:szCs w:val="26"/>
        </w:rPr>
        <w:t>Pena v. Dey</w:t>
      </w:r>
      <w:r w:rsidRPr="00406C70" w:rsidR="00224873">
        <w:rPr>
          <w:rFonts w:cstheme="minorHAnsi"/>
          <w:szCs w:val="26"/>
        </w:rPr>
        <w:t xml:space="preserve"> (2019) 39 Cal.App.5th 546 (</w:t>
      </w:r>
      <w:r w:rsidRPr="00406C70" w:rsidR="00224873">
        <w:rPr>
          <w:rFonts w:cstheme="minorHAnsi"/>
          <w:i/>
          <w:iCs/>
          <w:szCs w:val="26"/>
        </w:rPr>
        <w:t>Pena</w:t>
      </w:r>
      <w:r w:rsidRPr="00406C70" w:rsidR="00224873">
        <w:rPr>
          <w:rFonts w:cstheme="minorHAnsi"/>
          <w:szCs w:val="26"/>
        </w:rPr>
        <w:t xml:space="preserve">).)  </w:t>
      </w:r>
      <w:r w:rsidRPr="00406C70" w:rsidR="00CC45FC">
        <w:rPr>
          <w:rFonts w:cstheme="minorHAnsi"/>
          <w:szCs w:val="26"/>
        </w:rPr>
        <w:t xml:space="preserve">But </w:t>
      </w:r>
      <w:r w:rsidRPr="00406C70" w:rsidR="00D416BF">
        <w:rPr>
          <w:rFonts w:cstheme="minorHAnsi"/>
          <w:szCs w:val="26"/>
        </w:rPr>
        <w:t>a revocable trust may not be modified “by the procedure for revocation” where</w:t>
      </w:r>
      <w:r w:rsidRPr="00406C70" w:rsidR="00CC45FC">
        <w:rPr>
          <w:rFonts w:cstheme="minorHAnsi"/>
          <w:szCs w:val="26"/>
        </w:rPr>
        <w:t xml:space="preserve"> the trust instrument “provides otherwise.”  </w:t>
      </w:r>
      <w:r w:rsidRPr="00406C70" w:rsidR="00B345C0">
        <w:rPr>
          <w:rFonts w:cstheme="minorHAnsi"/>
          <w:szCs w:val="26"/>
        </w:rPr>
        <w:t xml:space="preserve">(§ 15402.)  </w:t>
      </w:r>
      <w:r w:rsidRPr="00406C70" w:rsidR="00842AAE">
        <w:rPr>
          <w:rFonts w:cstheme="minorHAnsi"/>
          <w:szCs w:val="26"/>
        </w:rPr>
        <w:t>Th</w:t>
      </w:r>
      <w:r w:rsidRPr="00406C70" w:rsidR="00695440">
        <w:rPr>
          <w:rFonts w:cstheme="minorHAnsi"/>
          <w:szCs w:val="26"/>
        </w:rPr>
        <w:t>is case</w:t>
      </w:r>
      <w:r w:rsidRPr="00406C70" w:rsidR="0032005C">
        <w:rPr>
          <w:rFonts w:cstheme="minorHAnsi"/>
          <w:szCs w:val="26"/>
        </w:rPr>
        <w:t xml:space="preserve"> </w:t>
      </w:r>
      <w:r w:rsidRPr="00406C70" w:rsidR="00965B99">
        <w:rPr>
          <w:rFonts w:cstheme="minorHAnsi"/>
          <w:szCs w:val="26"/>
        </w:rPr>
        <w:t xml:space="preserve">turns on the meaning of </w:t>
      </w:r>
      <w:r w:rsidRPr="00406C70" w:rsidR="00D416BF">
        <w:rPr>
          <w:rFonts w:cstheme="minorHAnsi"/>
          <w:szCs w:val="26"/>
        </w:rPr>
        <w:t>“provides otherwise</w:t>
      </w:r>
      <w:r w:rsidRPr="00406C70" w:rsidR="00965B99">
        <w:rPr>
          <w:rFonts w:cstheme="minorHAnsi"/>
          <w:szCs w:val="26"/>
        </w:rPr>
        <w:t>.</w:t>
      </w:r>
      <w:r w:rsidRPr="00406C70" w:rsidR="00D416BF">
        <w:rPr>
          <w:rFonts w:cstheme="minorHAnsi"/>
          <w:szCs w:val="26"/>
        </w:rPr>
        <w:t>”</w:t>
      </w:r>
      <w:r w:rsidRPr="00406C70" w:rsidR="00965B99">
        <w:rPr>
          <w:rFonts w:cstheme="minorHAnsi"/>
          <w:szCs w:val="26"/>
        </w:rPr>
        <w:t xml:space="preserve">  </w:t>
      </w:r>
    </w:p>
    <w:p w:rsidR="00BD531F" w:rsidRPr="00406C70" w:rsidP="00406C70" w14:paraId="5A666897" w14:textId="77777777">
      <w:pPr>
        <w:pStyle w:val="Text"/>
        <w:spacing w:line="400" w:lineRule="exact"/>
        <w:ind w:firstLine="720"/>
        <w:rPr>
          <w:rFonts w:cstheme="minorHAnsi"/>
          <w:szCs w:val="26"/>
        </w:rPr>
      </w:pPr>
      <w:r w:rsidRPr="00406C70">
        <w:rPr>
          <w:rFonts w:cstheme="minorHAnsi"/>
          <w:szCs w:val="26"/>
        </w:rPr>
        <w:t xml:space="preserve">The </w:t>
      </w:r>
      <w:r w:rsidRPr="00406C70" w:rsidR="00C84FB3">
        <w:rPr>
          <w:rFonts w:cstheme="minorHAnsi"/>
          <w:szCs w:val="26"/>
        </w:rPr>
        <w:t>C</w:t>
      </w:r>
      <w:r w:rsidRPr="00406C70">
        <w:rPr>
          <w:rFonts w:cstheme="minorHAnsi"/>
          <w:szCs w:val="26"/>
        </w:rPr>
        <w:t xml:space="preserve">ourts </w:t>
      </w:r>
      <w:r w:rsidRPr="00406C70" w:rsidR="00C84FB3">
        <w:rPr>
          <w:rFonts w:cstheme="minorHAnsi"/>
          <w:szCs w:val="26"/>
        </w:rPr>
        <w:t xml:space="preserve">of Appeal </w:t>
      </w:r>
      <w:r w:rsidRPr="00406C70">
        <w:rPr>
          <w:rFonts w:cstheme="minorHAnsi"/>
          <w:szCs w:val="26"/>
        </w:rPr>
        <w:t xml:space="preserve">have put forward three </w:t>
      </w:r>
      <w:r w:rsidRPr="00406C70" w:rsidR="005E4CCE">
        <w:rPr>
          <w:rFonts w:cstheme="minorHAnsi"/>
          <w:szCs w:val="26"/>
        </w:rPr>
        <w:t>interpretations</w:t>
      </w:r>
      <w:r w:rsidRPr="00406C70" w:rsidR="007B633F">
        <w:rPr>
          <w:rFonts w:cstheme="minorHAnsi"/>
          <w:szCs w:val="26"/>
        </w:rPr>
        <w:t>.</w:t>
      </w:r>
      <w:r w:rsidRPr="00406C70" w:rsidR="004B12FB">
        <w:rPr>
          <w:rFonts w:cstheme="minorHAnsi"/>
          <w:szCs w:val="26"/>
        </w:rPr>
        <w:t xml:space="preserve">  </w:t>
      </w:r>
      <w:r w:rsidRPr="00406C70" w:rsidR="007A0A19">
        <w:rPr>
          <w:rFonts w:cstheme="minorHAnsi"/>
          <w:szCs w:val="26"/>
        </w:rPr>
        <w:t xml:space="preserve">One interpretation, </w:t>
      </w:r>
      <w:r w:rsidRPr="00406C70" w:rsidR="0098712A">
        <w:rPr>
          <w:rFonts w:cstheme="minorHAnsi"/>
          <w:szCs w:val="26"/>
        </w:rPr>
        <w:t xml:space="preserve">advanced by </w:t>
      </w:r>
      <w:r w:rsidRPr="00406C70" w:rsidR="007A0A19">
        <w:rPr>
          <w:rFonts w:cstheme="minorHAnsi"/>
          <w:i/>
          <w:iCs/>
          <w:szCs w:val="26"/>
        </w:rPr>
        <w:t>King</w:t>
      </w:r>
      <w:r w:rsidRPr="00406C70" w:rsidR="007A0A19">
        <w:rPr>
          <w:rFonts w:cstheme="minorHAnsi"/>
          <w:szCs w:val="26"/>
        </w:rPr>
        <w:t>, is that “</w:t>
      </w:r>
      <w:r w:rsidRPr="00406C70" w:rsidR="009E79D4">
        <w:rPr>
          <w:rFonts w:cstheme="minorHAnsi"/>
          <w:szCs w:val="26"/>
        </w:rPr>
        <w:t> </w:t>
      </w:r>
      <w:r w:rsidRPr="00406C70" w:rsidR="007A0A19">
        <w:rPr>
          <w:rFonts w:cstheme="minorHAnsi"/>
          <w:szCs w:val="26"/>
        </w:rPr>
        <w:t>‘</w:t>
      </w:r>
      <w:r w:rsidR="00BC5AFD">
        <w:rPr>
          <w:rFonts w:cstheme="minorHAnsi"/>
          <w:szCs w:val="26"/>
        </w:rPr>
        <w:t>[</w:t>
      </w:r>
      <w:r w:rsidRPr="00406C70" w:rsidR="007A0A19">
        <w:rPr>
          <w:rFonts w:cstheme="minorHAnsi"/>
          <w:szCs w:val="26"/>
        </w:rPr>
        <w:t>u</w:t>
      </w:r>
      <w:r w:rsidR="00BC5AFD">
        <w:rPr>
          <w:rFonts w:cstheme="minorHAnsi"/>
          <w:szCs w:val="26"/>
        </w:rPr>
        <w:t>]</w:t>
      </w:r>
      <w:r w:rsidRPr="00406C70" w:rsidR="007A0A19">
        <w:rPr>
          <w:rFonts w:cstheme="minorHAnsi"/>
          <w:szCs w:val="26"/>
        </w:rPr>
        <w:t>nless the trust instrument provides otherwise’ indicates that if any modification method is specified in the trust, that method must be used to amend the trust.”  (</w:t>
      </w:r>
      <w:r w:rsidRPr="00406C70" w:rsidR="007A0A19">
        <w:rPr>
          <w:rFonts w:cstheme="minorHAnsi"/>
          <w:i/>
          <w:iCs/>
          <w:szCs w:val="26"/>
        </w:rPr>
        <w:t>King</w:t>
      </w:r>
      <w:r w:rsidRPr="00406C70" w:rsidR="007A0A19">
        <w:rPr>
          <w:rFonts w:cstheme="minorHAnsi"/>
          <w:szCs w:val="26"/>
        </w:rPr>
        <w:t xml:space="preserve">, </w:t>
      </w:r>
      <w:r w:rsidRPr="00406C70" w:rsidR="007A0A19">
        <w:rPr>
          <w:rFonts w:cstheme="minorHAnsi"/>
          <w:i/>
          <w:iCs/>
          <w:szCs w:val="26"/>
        </w:rPr>
        <w:t>supra</w:t>
      </w:r>
      <w:r w:rsidRPr="00406C70" w:rsidR="007A0A19">
        <w:rPr>
          <w:rFonts w:cstheme="minorHAnsi"/>
          <w:szCs w:val="26"/>
        </w:rPr>
        <w:t>,</w:t>
      </w:r>
      <w:r w:rsidRPr="00406C70" w:rsidR="007A0A19">
        <w:rPr>
          <w:rFonts w:cstheme="minorHAnsi"/>
          <w:i/>
          <w:iCs/>
          <w:szCs w:val="26"/>
        </w:rPr>
        <w:t xml:space="preserve"> </w:t>
      </w:r>
      <w:r w:rsidRPr="00406C70" w:rsidR="007A0A19">
        <w:rPr>
          <w:rFonts w:cstheme="minorHAnsi"/>
          <w:szCs w:val="26"/>
        </w:rPr>
        <w:t xml:space="preserve">204 Cal.App.4th at p. 1193; </w:t>
      </w:r>
      <w:r w:rsidRPr="00406C70" w:rsidR="00CF7ED2">
        <w:rPr>
          <w:rFonts w:cstheme="minorHAnsi"/>
          <w:szCs w:val="26"/>
        </w:rPr>
        <w:t>accord,</w:t>
      </w:r>
      <w:r w:rsidRPr="00406C70" w:rsidR="007A0A19">
        <w:rPr>
          <w:rFonts w:cstheme="minorHAnsi"/>
          <w:szCs w:val="26"/>
        </w:rPr>
        <w:t xml:space="preserve"> </w:t>
      </w:r>
      <w:r w:rsidRPr="00406C70" w:rsidR="00A039A4">
        <w:rPr>
          <w:rFonts w:cstheme="minorHAnsi"/>
          <w:i/>
          <w:iCs/>
          <w:szCs w:val="26"/>
        </w:rPr>
        <w:t>Diaz</w:t>
      </w:r>
      <w:r w:rsidRPr="00406C70" w:rsidR="00A039A4">
        <w:rPr>
          <w:rFonts w:cstheme="minorHAnsi"/>
          <w:szCs w:val="26"/>
        </w:rPr>
        <w:t xml:space="preserve">, </w:t>
      </w:r>
      <w:r w:rsidRPr="00406C70" w:rsidR="00A039A4">
        <w:rPr>
          <w:rFonts w:cstheme="minorHAnsi"/>
          <w:i/>
          <w:iCs/>
          <w:szCs w:val="26"/>
        </w:rPr>
        <w:t>supra</w:t>
      </w:r>
      <w:r w:rsidRPr="00406C70" w:rsidR="00A039A4">
        <w:rPr>
          <w:rFonts w:cstheme="minorHAnsi"/>
          <w:szCs w:val="26"/>
        </w:rPr>
        <w:t xml:space="preserve">, 91 Cal.App.5th at p. 924 [following </w:t>
      </w:r>
      <w:r w:rsidRPr="00406C70" w:rsidR="00A039A4">
        <w:rPr>
          <w:rFonts w:cstheme="minorHAnsi"/>
          <w:i/>
          <w:iCs/>
          <w:szCs w:val="26"/>
        </w:rPr>
        <w:t>King</w:t>
      </w:r>
      <w:r w:rsidRPr="00406C70" w:rsidR="00A039A4">
        <w:rPr>
          <w:rFonts w:cstheme="minorHAnsi"/>
          <w:szCs w:val="26"/>
        </w:rPr>
        <w:t xml:space="preserve">]; </w:t>
      </w:r>
      <w:r w:rsidRPr="00406C70" w:rsidR="007A0A19">
        <w:rPr>
          <w:rFonts w:cstheme="minorHAnsi"/>
          <w:i/>
          <w:iCs/>
          <w:szCs w:val="26"/>
        </w:rPr>
        <w:t>Balistreri</w:t>
      </w:r>
      <w:r w:rsidRPr="00406C70" w:rsidR="007A0A19">
        <w:rPr>
          <w:rFonts w:cstheme="minorHAnsi"/>
          <w:szCs w:val="26"/>
        </w:rPr>
        <w:t xml:space="preserve">, </w:t>
      </w:r>
      <w:r w:rsidRPr="00406C70" w:rsidR="007A0A19">
        <w:rPr>
          <w:rFonts w:cstheme="minorHAnsi"/>
          <w:i/>
          <w:iCs/>
          <w:szCs w:val="26"/>
        </w:rPr>
        <w:t>supra</w:t>
      </w:r>
      <w:r w:rsidRPr="00406C70" w:rsidR="007A0A19">
        <w:rPr>
          <w:rFonts w:cstheme="minorHAnsi"/>
          <w:szCs w:val="26"/>
        </w:rPr>
        <w:t>, 75 Cal.App.5th at p. 518 [</w:t>
      </w:r>
      <w:r w:rsidRPr="00406C70" w:rsidR="00072C32">
        <w:rPr>
          <w:rFonts w:cstheme="minorHAnsi"/>
          <w:szCs w:val="26"/>
        </w:rPr>
        <w:t>same</w:t>
      </w:r>
      <w:r w:rsidRPr="00406C70" w:rsidR="007A0A19">
        <w:rPr>
          <w:rFonts w:cstheme="minorHAnsi"/>
          <w:szCs w:val="26"/>
        </w:rPr>
        <w:t xml:space="preserve">]; </w:t>
      </w:r>
      <w:r w:rsidRPr="00406C70" w:rsidR="007A0A19">
        <w:rPr>
          <w:rFonts w:cstheme="minorHAnsi"/>
          <w:i/>
          <w:iCs/>
          <w:szCs w:val="26"/>
        </w:rPr>
        <w:t>Pena</w:t>
      </w:r>
      <w:r w:rsidRPr="00406C70" w:rsidR="007A0A19">
        <w:rPr>
          <w:rFonts w:cstheme="minorHAnsi"/>
          <w:szCs w:val="26"/>
        </w:rPr>
        <w:t>,</w:t>
      </w:r>
      <w:r w:rsidRPr="00406C70" w:rsidR="007A0A19">
        <w:rPr>
          <w:rFonts w:cstheme="minorHAnsi"/>
          <w:i/>
          <w:iCs/>
          <w:szCs w:val="26"/>
        </w:rPr>
        <w:t xml:space="preserve"> supra</w:t>
      </w:r>
      <w:r w:rsidRPr="00406C70" w:rsidR="007A0A19">
        <w:rPr>
          <w:rFonts w:cstheme="minorHAnsi"/>
          <w:szCs w:val="26"/>
        </w:rPr>
        <w:t>,</w:t>
      </w:r>
      <w:r w:rsidRPr="00406C70" w:rsidR="007A0A19">
        <w:rPr>
          <w:rFonts w:cstheme="minorHAnsi"/>
          <w:i/>
          <w:iCs/>
          <w:szCs w:val="26"/>
        </w:rPr>
        <w:t xml:space="preserve"> </w:t>
      </w:r>
      <w:r w:rsidRPr="00406C70" w:rsidR="007A0A19">
        <w:rPr>
          <w:rFonts w:cstheme="minorHAnsi"/>
          <w:szCs w:val="26"/>
        </w:rPr>
        <w:t>39 Cal.App.5th at p. 552 [same]</w:t>
      </w:r>
      <w:r w:rsidRPr="00406C70" w:rsidR="00244BDE">
        <w:rPr>
          <w:rFonts w:cstheme="minorHAnsi"/>
          <w:szCs w:val="26"/>
        </w:rPr>
        <w:t xml:space="preserve">; </w:t>
      </w:r>
      <w:r w:rsidRPr="00406C70" w:rsidR="00C75F35">
        <w:rPr>
          <w:rFonts w:cstheme="minorHAnsi"/>
          <w:szCs w:val="26"/>
        </w:rPr>
        <w:t xml:space="preserve">see also </w:t>
      </w:r>
      <w:r w:rsidRPr="00406C70" w:rsidR="00244BDE">
        <w:rPr>
          <w:rFonts w:cstheme="minorHAnsi"/>
          <w:i/>
          <w:iCs/>
          <w:szCs w:val="26"/>
        </w:rPr>
        <w:t>Conservatorship of Irvine</w:t>
      </w:r>
      <w:r w:rsidRPr="00406C70" w:rsidR="00244BDE">
        <w:rPr>
          <w:rFonts w:cstheme="minorHAnsi"/>
          <w:szCs w:val="26"/>
        </w:rPr>
        <w:t xml:space="preserve"> (1995) 40 Cal.App.4th 1334</w:t>
      </w:r>
      <w:r w:rsidRPr="00406C70" w:rsidR="003F4EDD">
        <w:rPr>
          <w:rFonts w:cstheme="minorHAnsi"/>
          <w:szCs w:val="26"/>
        </w:rPr>
        <w:t>, 1334</w:t>
      </w:r>
      <w:r w:rsidRPr="00406C70" w:rsidR="00244BDE">
        <w:rPr>
          <w:rFonts w:cstheme="minorHAnsi"/>
          <w:szCs w:val="26"/>
        </w:rPr>
        <w:t xml:space="preserve"> (</w:t>
      </w:r>
      <w:r w:rsidRPr="00406C70" w:rsidR="00244BDE">
        <w:rPr>
          <w:rFonts w:cstheme="minorHAnsi"/>
          <w:i/>
          <w:iCs/>
          <w:szCs w:val="26"/>
        </w:rPr>
        <w:t>Irvine</w:t>
      </w:r>
      <w:r w:rsidRPr="00406C70" w:rsidR="00244BDE">
        <w:rPr>
          <w:rFonts w:cstheme="minorHAnsi"/>
          <w:szCs w:val="26"/>
        </w:rPr>
        <w:t>)</w:t>
      </w:r>
      <w:r w:rsidRPr="00406C70" w:rsidR="00201ACE">
        <w:rPr>
          <w:rFonts w:cstheme="minorHAnsi"/>
          <w:szCs w:val="26"/>
        </w:rPr>
        <w:t>.</w:t>
      </w:r>
      <w:r w:rsidRPr="00406C70" w:rsidR="006D4471">
        <w:rPr>
          <w:rStyle w:val="FootnoteReference"/>
          <w:rFonts w:cstheme="minorHAnsi"/>
        </w:rPr>
        <w:t xml:space="preserve"> </w:t>
      </w:r>
      <w:r w:rsidRPr="00406C70" w:rsidR="007A0A19">
        <w:rPr>
          <w:rFonts w:cstheme="minorHAnsi"/>
          <w:szCs w:val="26"/>
        </w:rPr>
        <w:t xml:space="preserve">)  A second interpretation, put forward by </w:t>
      </w:r>
      <w:r w:rsidRPr="00406C70" w:rsidR="007A0A19">
        <w:rPr>
          <w:rFonts w:cstheme="minorHAnsi"/>
          <w:i/>
          <w:iCs/>
          <w:szCs w:val="26"/>
        </w:rPr>
        <w:t xml:space="preserve">Huscher </w:t>
      </w:r>
      <w:r w:rsidRPr="00406C70" w:rsidR="007A0A19">
        <w:rPr>
          <w:rFonts w:cstheme="minorHAnsi"/>
          <w:szCs w:val="26"/>
        </w:rPr>
        <w:t xml:space="preserve">and </w:t>
      </w:r>
      <w:r w:rsidRPr="00406C70" w:rsidR="000E6A9A">
        <w:rPr>
          <w:rFonts w:cstheme="minorHAnsi"/>
          <w:szCs w:val="26"/>
        </w:rPr>
        <w:t xml:space="preserve">adopted by </w:t>
      </w:r>
      <w:r w:rsidRPr="00406C70" w:rsidR="007A0A19">
        <w:rPr>
          <w:rFonts w:cstheme="minorHAnsi"/>
          <w:szCs w:val="26"/>
        </w:rPr>
        <w:t xml:space="preserve">the </w:t>
      </w:r>
      <w:r w:rsidRPr="00406C70" w:rsidR="007A0A19">
        <w:rPr>
          <w:rFonts w:cstheme="minorHAnsi"/>
          <w:i/>
          <w:iCs/>
          <w:szCs w:val="26"/>
        </w:rPr>
        <w:t xml:space="preserve">King </w:t>
      </w:r>
      <w:r w:rsidRPr="00406C70" w:rsidR="007A0A19">
        <w:rPr>
          <w:rFonts w:cstheme="minorHAnsi"/>
          <w:szCs w:val="26"/>
        </w:rPr>
        <w:t>dissent</w:t>
      </w:r>
      <w:r w:rsidRPr="00406C70" w:rsidR="000E6A9A">
        <w:rPr>
          <w:rFonts w:cstheme="minorHAnsi"/>
          <w:szCs w:val="26"/>
        </w:rPr>
        <w:t xml:space="preserve"> and </w:t>
      </w:r>
      <w:r w:rsidRPr="00406C70" w:rsidR="00E86B7A">
        <w:rPr>
          <w:rFonts w:cstheme="minorHAnsi"/>
          <w:szCs w:val="26"/>
        </w:rPr>
        <w:t>by the Court of Appeal in this case</w:t>
      </w:r>
      <w:r w:rsidRPr="00406C70" w:rsidR="007A0A19">
        <w:rPr>
          <w:rFonts w:cstheme="minorHAnsi"/>
          <w:szCs w:val="26"/>
        </w:rPr>
        <w:t xml:space="preserve">, is that “unless the trust instrument provides otherwise” means “unless the trust provides a modification procedure and explicitly makes that method exclusive.”  </w:t>
      </w:r>
      <w:r w:rsidRPr="00406C70" w:rsidR="00CF2D26">
        <w:t>(</w:t>
      </w:r>
      <w:r w:rsidRPr="00406C70" w:rsidR="00CF2D26">
        <w:rPr>
          <w:rFonts w:cstheme="minorHAnsi"/>
          <w:i/>
          <w:iCs/>
          <w:szCs w:val="26"/>
        </w:rPr>
        <w:t>Huscher</w:t>
      </w:r>
      <w:r w:rsidRPr="00406C70" w:rsidR="0055193E">
        <w:rPr>
          <w:rFonts w:cstheme="minorHAnsi"/>
          <w:szCs w:val="26"/>
        </w:rPr>
        <w:t xml:space="preserve">, </w:t>
      </w:r>
      <w:r w:rsidRPr="00406C70" w:rsidR="0055193E">
        <w:rPr>
          <w:rFonts w:cstheme="minorHAnsi"/>
          <w:i/>
          <w:iCs/>
          <w:szCs w:val="26"/>
        </w:rPr>
        <w:t>supra</w:t>
      </w:r>
      <w:r w:rsidRPr="00406C70" w:rsidR="0055193E">
        <w:rPr>
          <w:rFonts w:cstheme="minorHAnsi"/>
          <w:szCs w:val="26"/>
        </w:rPr>
        <w:t>,</w:t>
      </w:r>
      <w:r w:rsidRPr="00406C70" w:rsidR="00CF2D26">
        <w:rPr>
          <w:rFonts w:cstheme="minorHAnsi"/>
          <w:i/>
          <w:iCs/>
          <w:szCs w:val="26"/>
        </w:rPr>
        <w:t xml:space="preserve"> </w:t>
      </w:r>
      <w:r w:rsidRPr="00406C70" w:rsidR="00CF2D26">
        <w:rPr>
          <w:rFonts w:cstheme="minorHAnsi"/>
          <w:szCs w:val="26"/>
        </w:rPr>
        <w:t>121</w:t>
      </w:r>
      <w:r w:rsidRPr="00406C70" w:rsidR="00DB0F1B">
        <w:rPr>
          <w:rFonts w:cstheme="minorHAnsi"/>
          <w:szCs w:val="26"/>
        </w:rPr>
        <w:t> </w:t>
      </w:r>
      <w:r w:rsidRPr="00406C70" w:rsidR="00CF2D26">
        <w:rPr>
          <w:rFonts w:cstheme="minorHAnsi"/>
          <w:szCs w:val="26"/>
        </w:rPr>
        <w:t xml:space="preserve">Cal.App.4th </w:t>
      </w:r>
      <w:r w:rsidRPr="00406C70" w:rsidR="0055193E">
        <w:rPr>
          <w:rFonts w:cstheme="minorHAnsi"/>
          <w:szCs w:val="26"/>
        </w:rPr>
        <w:t>at p. </w:t>
      </w:r>
      <w:r w:rsidRPr="00406C70" w:rsidR="00CF2D26">
        <w:rPr>
          <w:rFonts w:cstheme="minorHAnsi"/>
          <w:szCs w:val="26"/>
        </w:rPr>
        <w:t>967</w:t>
      </w:r>
      <w:r w:rsidRPr="00406C70" w:rsidR="007A0A19">
        <w:rPr>
          <w:rFonts w:cstheme="minorHAnsi"/>
          <w:szCs w:val="26"/>
        </w:rPr>
        <w:t xml:space="preserve">; </w:t>
      </w:r>
      <w:r w:rsidR="00FC32E3">
        <w:rPr>
          <w:rFonts w:cstheme="minorHAnsi"/>
          <w:szCs w:val="26"/>
        </w:rPr>
        <w:t xml:space="preserve">see </w:t>
      </w:r>
      <w:r w:rsidRPr="00406C70" w:rsidR="007A0A19">
        <w:rPr>
          <w:rFonts w:cstheme="minorHAnsi"/>
          <w:i/>
          <w:iCs/>
          <w:szCs w:val="26"/>
        </w:rPr>
        <w:t>Haggerty</w:t>
      </w:r>
      <w:r w:rsidRPr="00406C70" w:rsidR="007A0A19">
        <w:rPr>
          <w:rFonts w:cstheme="minorHAnsi"/>
          <w:szCs w:val="26"/>
        </w:rPr>
        <w:t xml:space="preserve">, </w:t>
      </w:r>
      <w:r w:rsidRPr="00406C70" w:rsidR="007A0A19">
        <w:rPr>
          <w:rFonts w:cstheme="minorHAnsi"/>
          <w:i/>
          <w:iCs/>
          <w:szCs w:val="26"/>
        </w:rPr>
        <w:t>supra</w:t>
      </w:r>
      <w:r w:rsidRPr="00406C70" w:rsidR="007A0A19">
        <w:rPr>
          <w:rFonts w:cstheme="minorHAnsi"/>
          <w:szCs w:val="26"/>
        </w:rPr>
        <w:t>, 68 Cal.App.5th at p. 101</w:t>
      </w:r>
      <w:r w:rsidRPr="00406C70" w:rsidR="00122E8A">
        <w:rPr>
          <w:rFonts w:cstheme="minorHAnsi"/>
          <w:szCs w:val="26"/>
        </w:rPr>
        <w:t>2;</w:t>
      </w:r>
      <w:r w:rsidRPr="00406C70" w:rsidR="00122E8A">
        <w:rPr>
          <w:rFonts w:cstheme="minorHAnsi"/>
          <w:i/>
          <w:iCs/>
          <w:szCs w:val="26"/>
        </w:rPr>
        <w:t xml:space="preserve"> King</w:t>
      </w:r>
      <w:r w:rsidRPr="00406C70" w:rsidR="00122E8A">
        <w:rPr>
          <w:rFonts w:cstheme="minorHAnsi"/>
          <w:szCs w:val="26"/>
        </w:rPr>
        <w:t>, at p. 1197 (dis. opn. of Detjen, J.)</w:t>
      </w:r>
      <w:r w:rsidRPr="00406C70" w:rsidR="00B42146">
        <w:rPr>
          <w:rFonts w:cstheme="minorHAnsi"/>
          <w:szCs w:val="26"/>
        </w:rPr>
        <w:t xml:space="preserve">.)  </w:t>
      </w:r>
      <w:r w:rsidRPr="00406C70" w:rsidR="00E86B7A">
        <w:rPr>
          <w:rFonts w:cstheme="minorHAnsi"/>
          <w:szCs w:val="26"/>
        </w:rPr>
        <w:t>The Court of Appeal here</w:t>
      </w:r>
      <w:r w:rsidRPr="00406C70" w:rsidR="00E86B7A">
        <w:rPr>
          <w:rFonts w:cstheme="minorHAnsi"/>
          <w:i/>
          <w:iCs/>
          <w:szCs w:val="26"/>
        </w:rPr>
        <w:t xml:space="preserve"> </w:t>
      </w:r>
      <w:r w:rsidRPr="00406C70" w:rsidR="00001438">
        <w:rPr>
          <w:rFonts w:cstheme="minorHAnsi"/>
          <w:szCs w:val="26"/>
        </w:rPr>
        <w:t xml:space="preserve">also advanced a third </w:t>
      </w:r>
      <w:r w:rsidRPr="00406C70" w:rsidR="006714AB">
        <w:rPr>
          <w:rFonts w:cstheme="minorHAnsi"/>
          <w:szCs w:val="26"/>
        </w:rPr>
        <w:t>interpretation</w:t>
      </w:r>
      <w:r w:rsidRPr="00406C70" w:rsidR="00E86B7A">
        <w:rPr>
          <w:rFonts w:cstheme="minorHAnsi"/>
          <w:szCs w:val="26"/>
        </w:rPr>
        <w:t xml:space="preserve">: </w:t>
      </w:r>
      <w:r w:rsidRPr="00406C70" w:rsidR="006714AB">
        <w:rPr>
          <w:rFonts w:cstheme="minorHAnsi"/>
          <w:szCs w:val="26"/>
        </w:rPr>
        <w:t xml:space="preserve"> </w:t>
      </w:r>
      <w:r w:rsidRPr="00406C70" w:rsidR="00C648F7">
        <w:rPr>
          <w:rFonts w:cstheme="minorHAnsi"/>
          <w:szCs w:val="26"/>
        </w:rPr>
        <w:t xml:space="preserve">that </w:t>
      </w:r>
      <w:r w:rsidRPr="00406C70">
        <w:rPr>
          <w:rFonts w:cstheme="minorHAnsi"/>
          <w:szCs w:val="26"/>
        </w:rPr>
        <w:t>“ ‘[u]nless the trust instrument provides otherwise’</w:t>
      </w:r>
      <w:r w:rsidRPr="00406C70" w:rsidR="006702AC">
        <w:rPr>
          <w:rFonts w:cstheme="minorHAnsi"/>
          <w:szCs w:val="26"/>
        </w:rPr>
        <w:t xml:space="preserve"> ” </w:t>
      </w:r>
      <w:r w:rsidRPr="00406C70" w:rsidR="00001438">
        <w:rPr>
          <w:rFonts w:cstheme="minorHAnsi"/>
          <w:szCs w:val="26"/>
        </w:rPr>
        <w:t xml:space="preserve">also </w:t>
      </w:r>
      <w:r w:rsidRPr="00406C70" w:rsidR="006702AC">
        <w:rPr>
          <w:rFonts w:cstheme="minorHAnsi"/>
          <w:szCs w:val="26"/>
        </w:rPr>
        <w:t>mean</w:t>
      </w:r>
      <w:r w:rsidRPr="00406C70" w:rsidR="0085705D">
        <w:rPr>
          <w:rFonts w:cstheme="minorHAnsi"/>
          <w:szCs w:val="26"/>
        </w:rPr>
        <w:t>s</w:t>
      </w:r>
      <w:r w:rsidRPr="00406C70" w:rsidR="006702AC">
        <w:rPr>
          <w:rFonts w:cstheme="minorHAnsi"/>
          <w:szCs w:val="26"/>
        </w:rPr>
        <w:t xml:space="preserve"> “</w:t>
      </w:r>
      <w:r w:rsidRPr="00406C70">
        <w:rPr>
          <w:rFonts w:cstheme="minorHAnsi"/>
          <w:szCs w:val="26"/>
        </w:rPr>
        <w:t>unless the trust instrument distinguishes between revocation and modification.</w:t>
      </w:r>
      <w:r w:rsidRPr="00406C70" w:rsidR="006702AC">
        <w:rPr>
          <w:rFonts w:cstheme="minorHAnsi"/>
          <w:szCs w:val="26"/>
        </w:rPr>
        <w:t>”</w:t>
      </w:r>
      <w:r w:rsidRPr="00406C70">
        <w:rPr>
          <w:rFonts w:cstheme="minorHAnsi"/>
          <w:szCs w:val="26"/>
        </w:rPr>
        <w:t xml:space="preserve"> </w:t>
      </w:r>
      <w:r w:rsidRPr="00406C70" w:rsidR="006702AC">
        <w:rPr>
          <w:rFonts w:cstheme="minorHAnsi"/>
          <w:szCs w:val="26"/>
        </w:rPr>
        <w:t xml:space="preserve"> (</w:t>
      </w:r>
      <w:r w:rsidRPr="00406C70">
        <w:rPr>
          <w:rFonts w:cstheme="minorHAnsi"/>
          <w:i/>
          <w:iCs/>
          <w:szCs w:val="26"/>
        </w:rPr>
        <w:t>Haggerty</w:t>
      </w:r>
      <w:r w:rsidRPr="00406C70" w:rsidR="006702AC">
        <w:rPr>
          <w:rFonts w:cstheme="minorHAnsi"/>
          <w:szCs w:val="26"/>
        </w:rPr>
        <w:t>, at p. </w:t>
      </w:r>
      <w:r w:rsidRPr="00406C70">
        <w:rPr>
          <w:rFonts w:cstheme="minorHAnsi"/>
          <w:szCs w:val="26"/>
        </w:rPr>
        <w:t>1011</w:t>
      </w:r>
      <w:r w:rsidRPr="00406C70" w:rsidR="006702AC">
        <w:rPr>
          <w:rFonts w:cstheme="minorHAnsi"/>
          <w:szCs w:val="26"/>
        </w:rPr>
        <w:t>.)</w:t>
      </w:r>
      <w:r w:rsidRPr="00406C70" w:rsidR="00B956B0">
        <w:rPr>
          <w:rStyle w:val="FootnoteReference"/>
          <w:rFonts w:cstheme="minorHAnsi"/>
          <w:szCs w:val="26"/>
        </w:rPr>
        <w:t xml:space="preserve"> </w:t>
      </w:r>
      <w:r w:rsidRPr="00406C70" w:rsidR="006702AC">
        <w:rPr>
          <w:rFonts w:cstheme="minorHAnsi"/>
          <w:szCs w:val="26"/>
        </w:rPr>
        <w:t xml:space="preserve"> </w:t>
      </w:r>
    </w:p>
    <w:p w:rsidR="002B1CBE" w:rsidRPr="00406C70" w:rsidP="00EA521D" w14:paraId="5A666898" w14:textId="77777777">
      <w:pPr>
        <w:pStyle w:val="Text"/>
        <w:spacing w:line="400" w:lineRule="exact"/>
        <w:ind w:firstLine="0"/>
        <w:jc w:val="center"/>
        <w:rPr>
          <w:rFonts w:cstheme="minorHAnsi"/>
          <w:b/>
          <w:bCs/>
          <w:szCs w:val="26"/>
        </w:rPr>
      </w:pPr>
      <w:r w:rsidRPr="00406C70">
        <w:rPr>
          <w:rFonts w:cstheme="minorHAnsi"/>
          <w:b/>
          <w:bCs/>
          <w:szCs w:val="26"/>
        </w:rPr>
        <w:t>A.</w:t>
      </w:r>
    </w:p>
    <w:p w:rsidR="00EA4789" w:rsidRPr="00406C70" w:rsidP="00406C70" w14:paraId="5A666899" w14:textId="77777777">
      <w:pPr>
        <w:pStyle w:val="Text"/>
        <w:spacing w:line="400" w:lineRule="exact"/>
        <w:ind w:firstLine="720"/>
        <w:rPr>
          <w:rFonts w:cstheme="minorHAnsi"/>
          <w:szCs w:val="26"/>
        </w:rPr>
      </w:pPr>
      <w:r w:rsidRPr="00406C70">
        <w:t xml:space="preserve">To </w:t>
      </w:r>
      <w:r w:rsidRPr="00406C70" w:rsidR="00E13D76">
        <w:t>resolve this issue</w:t>
      </w:r>
      <w:r w:rsidRPr="00406C70">
        <w:t>, we begin with the text</w:t>
      </w:r>
      <w:r w:rsidRPr="00406C70" w:rsidR="00377848">
        <w:t xml:space="preserve"> of section 15402</w:t>
      </w:r>
      <w:r w:rsidRPr="00406C70">
        <w:t xml:space="preserve">.  </w:t>
      </w:r>
      <w:r w:rsidRPr="00406C70">
        <w:rPr>
          <w:rFonts w:cstheme="minorHAnsi"/>
          <w:szCs w:val="26"/>
        </w:rPr>
        <w:t xml:space="preserve">As noted, the phrase “[u]nless the trust instrument provides otherwise” qualifies the provision that follows it, </w:t>
      </w:r>
      <w:r w:rsidRPr="00406C70" w:rsidR="00E13D76">
        <w:rPr>
          <w:rFonts w:cstheme="minorHAnsi"/>
          <w:szCs w:val="26"/>
        </w:rPr>
        <w:t xml:space="preserve">i.e., </w:t>
      </w:r>
      <w:r w:rsidRPr="00406C70">
        <w:rPr>
          <w:rFonts w:cstheme="minorHAnsi"/>
          <w:szCs w:val="26"/>
        </w:rPr>
        <w:t xml:space="preserve">that the settlor of a revocable trust “may modify the trust by the procedure for revocation.”  (§ 15402.)  </w:t>
      </w:r>
      <w:r w:rsidRPr="00406C70" w:rsidR="00B52BE9">
        <w:rPr>
          <w:rFonts w:cstheme="minorHAnsi"/>
          <w:szCs w:val="26"/>
        </w:rPr>
        <w:t>T</w:t>
      </w:r>
      <w:r w:rsidRPr="00406C70">
        <w:rPr>
          <w:rFonts w:cstheme="minorHAnsi"/>
          <w:szCs w:val="26"/>
        </w:rPr>
        <w:t xml:space="preserve">he most </w:t>
      </w:r>
      <w:r w:rsidRPr="00406C70" w:rsidR="00E13D76">
        <w:rPr>
          <w:rFonts w:cstheme="minorHAnsi"/>
          <w:szCs w:val="26"/>
        </w:rPr>
        <w:t xml:space="preserve">natural </w:t>
      </w:r>
      <w:r w:rsidRPr="00406C70">
        <w:rPr>
          <w:rFonts w:cstheme="minorHAnsi"/>
          <w:szCs w:val="26"/>
        </w:rPr>
        <w:t>reading of this sentence is that the settlor may modify the trust using any procedure for revocation unless the trust instrument says that the settlor may not (i.e., “provides otherwise”).  This is supported by the plain meaning of the term “otherwise.”  (</w:t>
      </w:r>
      <w:r w:rsidRPr="00406C70" w:rsidR="00E13D76">
        <w:rPr>
          <w:rFonts w:cstheme="minorHAnsi"/>
          <w:szCs w:val="26"/>
        </w:rPr>
        <w:t>S</w:t>
      </w:r>
      <w:r w:rsidRPr="00406C70">
        <w:rPr>
          <w:rFonts w:cstheme="minorHAnsi"/>
          <w:szCs w:val="26"/>
        </w:rPr>
        <w:t>ee</w:t>
      </w:r>
      <w:r w:rsidRPr="00406C70" w:rsidR="00E13D76">
        <w:rPr>
          <w:rFonts w:cstheme="minorHAnsi"/>
          <w:szCs w:val="26"/>
        </w:rPr>
        <w:t>, e.g.,</w:t>
      </w:r>
      <w:r w:rsidRPr="00406C70">
        <w:rPr>
          <w:rFonts w:cstheme="minorHAnsi"/>
          <w:szCs w:val="26"/>
        </w:rPr>
        <w:t xml:space="preserve"> </w:t>
      </w:r>
      <w:r w:rsidRPr="00406C70">
        <w:rPr>
          <w:rFonts w:cstheme="minorHAnsi"/>
          <w:i/>
          <w:iCs/>
          <w:szCs w:val="26"/>
        </w:rPr>
        <w:t>Marx v. Gen</w:t>
      </w:r>
      <w:r w:rsidR="0018091A">
        <w:rPr>
          <w:rFonts w:cstheme="minorHAnsi"/>
          <w:i/>
          <w:iCs/>
          <w:szCs w:val="26"/>
        </w:rPr>
        <w:t>eral</w:t>
      </w:r>
      <w:r w:rsidRPr="00406C70">
        <w:rPr>
          <w:rFonts w:cstheme="minorHAnsi"/>
          <w:i/>
          <w:iCs/>
          <w:szCs w:val="26"/>
        </w:rPr>
        <w:t xml:space="preserve"> Revenue Corp</w:t>
      </w:r>
      <w:r w:rsidRPr="00406C70">
        <w:rPr>
          <w:rFonts w:cstheme="minorHAnsi"/>
          <w:szCs w:val="26"/>
        </w:rPr>
        <w:t xml:space="preserve">. (2013) 568 U.S. 371, 377 [“A statute ‘provides otherwise’ than Rule 54(d)(1) if it is ‘contrary’ to the Rule.”].)  </w:t>
      </w:r>
      <w:r w:rsidRPr="00406C70" w:rsidR="00833EA3">
        <w:rPr>
          <w:rFonts w:cstheme="minorHAnsi"/>
          <w:szCs w:val="26"/>
        </w:rPr>
        <w:t xml:space="preserve">A trust </w:t>
      </w:r>
      <w:r w:rsidRPr="00406C70" w:rsidR="00861BBA">
        <w:rPr>
          <w:rFonts w:cstheme="minorHAnsi"/>
          <w:szCs w:val="26"/>
        </w:rPr>
        <w:t xml:space="preserve">term </w:t>
      </w:r>
      <w:r w:rsidRPr="00406C70" w:rsidR="00833EA3">
        <w:rPr>
          <w:rFonts w:cstheme="minorHAnsi"/>
          <w:szCs w:val="26"/>
        </w:rPr>
        <w:t xml:space="preserve">would be contrary to </w:t>
      </w:r>
      <w:r w:rsidRPr="00406C70" w:rsidR="009375E4">
        <w:rPr>
          <w:rFonts w:cstheme="minorHAnsi"/>
          <w:szCs w:val="26"/>
        </w:rPr>
        <w:t xml:space="preserve">the authorization provided in </w:t>
      </w:r>
      <w:r w:rsidRPr="00406C70" w:rsidR="00833EA3">
        <w:rPr>
          <w:rFonts w:cstheme="minorHAnsi"/>
          <w:szCs w:val="26"/>
        </w:rPr>
        <w:t xml:space="preserve">section 15402 if it were to </w:t>
      </w:r>
      <w:r w:rsidRPr="00406C70" w:rsidR="00111A69">
        <w:rPr>
          <w:rFonts w:cstheme="minorHAnsi"/>
          <w:szCs w:val="26"/>
        </w:rPr>
        <w:t xml:space="preserve">preclude </w:t>
      </w:r>
      <w:r w:rsidRPr="00406C70" w:rsidR="00833EA3">
        <w:rPr>
          <w:rFonts w:cstheme="minorHAnsi"/>
          <w:szCs w:val="26"/>
        </w:rPr>
        <w:t xml:space="preserve">the use of </w:t>
      </w:r>
      <w:r w:rsidRPr="00406C70" w:rsidR="00824E7B">
        <w:rPr>
          <w:rFonts w:cstheme="minorHAnsi"/>
          <w:szCs w:val="26"/>
        </w:rPr>
        <w:t xml:space="preserve">any of </w:t>
      </w:r>
      <w:r w:rsidRPr="00406C70" w:rsidR="00833EA3">
        <w:rPr>
          <w:rFonts w:cstheme="minorHAnsi"/>
          <w:szCs w:val="26"/>
        </w:rPr>
        <w:t xml:space="preserve">the </w:t>
      </w:r>
      <w:r w:rsidRPr="00406C70" w:rsidR="00861BBA">
        <w:rPr>
          <w:rFonts w:cstheme="minorHAnsi"/>
          <w:szCs w:val="26"/>
        </w:rPr>
        <w:t xml:space="preserve">section 15401 </w:t>
      </w:r>
      <w:r w:rsidRPr="00406C70" w:rsidR="00833EA3">
        <w:rPr>
          <w:rFonts w:cstheme="minorHAnsi"/>
          <w:szCs w:val="26"/>
        </w:rPr>
        <w:t>revocation procedures</w:t>
      </w:r>
      <w:r w:rsidRPr="00406C70" w:rsidR="00AB37DA">
        <w:rPr>
          <w:rFonts w:cstheme="minorHAnsi"/>
          <w:szCs w:val="26"/>
        </w:rPr>
        <w:t xml:space="preserve"> for modification</w:t>
      </w:r>
      <w:r w:rsidRPr="00406C70" w:rsidR="00833EA3">
        <w:rPr>
          <w:rFonts w:cstheme="minorHAnsi"/>
          <w:szCs w:val="26"/>
        </w:rPr>
        <w:t xml:space="preserve">.  It could do </w:t>
      </w:r>
      <w:r w:rsidRPr="00406C70" w:rsidR="001014E9">
        <w:rPr>
          <w:rFonts w:cstheme="minorHAnsi"/>
          <w:szCs w:val="26"/>
        </w:rPr>
        <w:t xml:space="preserve">so by </w:t>
      </w:r>
      <w:r w:rsidRPr="00406C70" w:rsidR="00E7782E">
        <w:rPr>
          <w:rFonts w:cstheme="minorHAnsi"/>
          <w:szCs w:val="26"/>
        </w:rPr>
        <w:t>specifying</w:t>
      </w:r>
      <w:r w:rsidRPr="00406C70" w:rsidR="001C7801">
        <w:rPr>
          <w:rFonts w:cstheme="minorHAnsi"/>
          <w:szCs w:val="26"/>
        </w:rPr>
        <w:t xml:space="preserve"> an exclusive method of modification in the trust instrument</w:t>
      </w:r>
      <w:r w:rsidRPr="00406C70" w:rsidR="002E3FCB">
        <w:rPr>
          <w:rFonts w:cstheme="minorHAnsi"/>
          <w:szCs w:val="26"/>
        </w:rPr>
        <w:t xml:space="preserve"> </w:t>
      </w:r>
      <w:r w:rsidRPr="00406C70" w:rsidR="001F630A">
        <w:rPr>
          <w:rFonts w:cstheme="minorHAnsi"/>
          <w:szCs w:val="26"/>
        </w:rPr>
        <w:t>(</w:t>
      </w:r>
      <w:r w:rsidRPr="00406C70" w:rsidR="0041078C">
        <w:rPr>
          <w:rFonts w:cstheme="minorHAnsi"/>
          <w:i/>
          <w:iCs/>
          <w:szCs w:val="26"/>
        </w:rPr>
        <w:t>Haggerty</w:t>
      </w:r>
      <w:r w:rsidRPr="00406C70" w:rsidR="0041078C">
        <w:rPr>
          <w:rFonts w:cstheme="minorHAnsi"/>
          <w:szCs w:val="26"/>
        </w:rPr>
        <w:t xml:space="preserve">, </w:t>
      </w:r>
      <w:r w:rsidRPr="00406C70" w:rsidR="0041078C">
        <w:rPr>
          <w:rFonts w:cstheme="minorHAnsi"/>
          <w:i/>
          <w:iCs/>
          <w:szCs w:val="26"/>
        </w:rPr>
        <w:t>supra</w:t>
      </w:r>
      <w:r w:rsidRPr="00406C70" w:rsidR="0041078C">
        <w:rPr>
          <w:rFonts w:cstheme="minorHAnsi"/>
          <w:szCs w:val="26"/>
        </w:rPr>
        <w:t>, 68 Cal.App.5th at p. 101</w:t>
      </w:r>
      <w:r w:rsidRPr="00406C70" w:rsidR="00D44A1B">
        <w:rPr>
          <w:rFonts w:cstheme="minorHAnsi"/>
          <w:szCs w:val="26"/>
        </w:rPr>
        <w:t>2</w:t>
      </w:r>
      <w:r w:rsidRPr="00406C70" w:rsidR="0041078C">
        <w:rPr>
          <w:rFonts w:cstheme="minorHAnsi"/>
          <w:szCs w:val="26"/>
        </w:rPr>
        <w:t xml:space="preserve">; </w:t>
      </w:r>
      <w:r w:rsidRPr="00406C70" w:rsidR="0041078C">
        <w:rPr>
          <w:rFonts w:cstheme="minorHAnsi"/>
          <w:i/>
          <w:iCs/>
          <w:szCs w:val="26"/>
        </w:rPr>
        <w:t>King</w:t>
      </w:r>
      <w:r w:rsidRPr="00406C70" w:rsidR="0041078C">
        <w:rPr>
          <w:rFonts w:cstheme="minorHAnsi"/>
          <w:szCs w:val="26"/>
        </w:rPr>
        <w:t>, 204 Cal.App.4th at p. 1196 (dis. op</w:t>
      </w:r>
      <w:r w:rsidRPr="00406C70" w:rsidR="00C221EB">
        <w:rPr>
          <w:rFonts w:cstheme="minorHAnsi"/>
          <w:szCs w:val="26"/>
        </w:rPr>
        <w:t>n</w:t>
      </w:r>
      <w:r w:rsidRPr="00406C70" w:rsidR="0041078C">
        <w:rPr>
          <w:rFonts w:cstheme="minorHAnsi"/>
          <w:szCs w:val="26"/>
        </w:rPr>
        <w:t xml:space="preserve">. of Detjen, J.); </w:t>
      </w:r>
      <w:r w:rsidRPr="00406C70" w:rsidR="001F630A">
        <w:rPr>
          <w:rFonts w:cstheme="minorHAnsi"/>
          <w:i/>
          <w:iCs/>
          <w:szCs w:val="26"/>
        </w:rPr>
        <w:t>Huscher</w:t>
      </w:r>
      <w:r w:rsidRPr="00406C70" w:rsidR="001F630A">
        <w:rPr>
          <w:rFonts w:cstheme="minorHAnsi"/>
          <w:szCs w:val="26"/>
        </w:rPr>
        <w:t xml:space="preserve">, </w:t>
      </w:r>
      <w:r w:rsidRPr="00406C70" w:rsidR="001F630A">
        <w:rPr>
          <w:rFonts w:cstheme="minorHAnsi"/>
          <w:i/>
          <w:iCs/>
          <w:szCs w:val="26"/>
        </w:rPr>
        <w:t>supra</w:t>
      </w:r>
      <w:r w:rsidRPr="00406C70" w:rsidR="001F630A">
        <w:rPr>
          <w:rFonts w:cstheme="minorHAnsi"/>
          <w:szCs w:val="26"/>
        </w:rPr>
        <w:t>, 121</w:t>
      </w:r>
      <w:r w:rsidRPr="00406C70" w:rsidR="002E4D9D">
        <w:rPr>
          <w:rFonts w:cstheme="minorHAnsi"/>
          <w:szCs w:val="26"/>
        </w:rPr>
        <w:t> </w:t>
      </w:r>
      <w:r w:rsidRPr="00406C70" w:rsidR="001F630A">
        <w:rPr>
          <w:rFonts w:cstheme="minorHAnsi"/>
          <w:szCs w:val="26"/>
        </w:rPr>
        <w:t xml:space="preserve">Cal.App.4th at p. 967) </w:t>
      </w:r>
      <w:r w:rsidRPr="00406C70" w:rsidR="002E3FCB">
        <w:rPr>
          <w:rFonts w:cstheme="minorHAnsi"/>
          <w:szCs w:val="26"/>
        </w:rPr>
        <w:t>or</w:t>
      </w:r>
      <w:r w:rsidRPr="00406C70" w:rsidR="002130F6">
        <w:rPr>
          <w:rFonts w:cstheme="minorHAnsi"/>
          <w:szCs w:val="26"/>
        </w:rPr>
        <w:t xml:space="preserve"> </w:t>
      </w:r>
      <w:r w:rsidRPr="00406C70" w:rsidR="001C7801">
        <w:rPr>
          <w:rFonts w:cstheme="minorHAnsi"/>
          <w:szCs w:val="26"/>
        </w:rPr>
        <w:t xml:space="preserve">by </w:t>
      </w:r>
      <w:r w:rsidRPr="00406C70" w:rsidR="002E3FCB">
        <w:rPr>
          <w:rFonts w:cstheme="minorHAnsi"/>
          <w:szCs w:val="26"/>
        </w:rPr>
        <w:t xml:space="preserve">otherwise </w:t>
      </w:r>
      <w:r w:rsidRPr="00406C70" w:rsidR="001014E9">
        <w:rPr>
          <w:rFonts w:cstheme="minorHAnsi"/>
          <w:szCs w:val="26"/>
        </w:rPr>
        <w:t xml:space="preserve">precluding </w:t>
      </w:r>
      <w:r w:rsidRPr="00406C70" w:rsidR="00115993">
        <w:rPr>
          <w:rFonts w:cstheme="minorHAnsi"/>
          <w:szCs w:val="26"/>
        </w:rPr>
        <w:t xml:space="preserve">modification via </w:t>
      </w:r>
      <w:r w:rsidRPr="00406C70" w:rsidR="00C41861">
        <w:rPr>
          <w:rFonts w:cstheme="minorHAnsi"/>
          <w:szCs w:val="26"/>
        </w:rPr>
        <w:t xml:space="preserve">the </w:t>
      </w:r>
      <w:r w:rsidRPr="00406C70" w:rsidR="000C1981">
        <w:rPr>
          <w:rFonts w:cstheme="minorHAnsi"/>
          <w:szCs w:val="26"/>
        </w:rPr>
        <w:t xml:space="preserve">revocation </w:t>
      </w:r>
      <w:r w:rsidRPr="00406C70" w:rsidR="00C41861">
        <w:rPr>
          <w:rFonts w:cstheme="minorHAnsi"/>
          <w:szCs w:val="26"/>
        </w:rPr>
        <w:t>procedures provided in section 15401.</w:t>
      </w:r>
      <w:r w:rsidRPr="00406C70">
        <w:rPr>
          <w:rFonts w:cstheme="minorHAnsi"/>
          <w:szCs w:val="26"/>
        </w:rPr>
        <w:t xml:space="preserve">  </w:t>
      </w:r>
      <w:r w:rsidRPr="00406C70" w:rsidR="00531FF0">
        <w:rPr>
          <w:rFonts w:cstheme="minorHAnsi"/>
          <w:szCs w:val="26"/>
        </w:rPr>
        <w:t>But a trust instrument that merely specifies a method of modification without limiting settlors to the use of that method does not preclude the use of the revocation procedures</w:t>
      </w:r>
      <w:r w:rsidRPr="00406C70" w:rsidR="00296D9D">
        <w:rPr>
          <w:rFonts w:cstheme="minorHAnsi"/>
          <w:szCs w:val="26"/>
        </w:rPr>
        <w:t xml:space="preserve"> and therefore does not </w:t>
      </w:r>
      <w:r w:rsidRPr="00406C70" w:rsidR="009375E4">
        <w:rPr>
          <w:rFonts w:cstheme="minorHAnsi"/>
          <w:szCs w:val="26"/>
        </w:rPr>
        <w:t>“</w:t>
      </w:r>
      <w:r w:rsidRPr="00406C70" w:rsidR="00296D9D">
        <w:rPr>
          <w:rFonts w:cstheme="minorHAnsi"/>
          <w:szCs w:val="26"/>
        </w:rPr>
        <w:t>provide</w:t>
      </w:r>
      <w:r w:rsidRPr="00406C70" w:rsidR="009375E4">
        <w:rPr>
          <w:rFonts w:cstheme="minorHAnsi"/>
          <w:szCs w:val="26"/>
        </w:rPr>
        <w:t>[]</w:t>
      </w:r>
      <w:r w:rsidRPr="00406C70" w:rsidR="00296D9D">
        <w:rPr>
          <w:rFonts w:cstheme="minorHAnsi"/>
          <w:szCs w:val="26"/>
        </w:rPr>
        <w:t xml:space="preserve"> otherwise</w:t>
      </w:r>
      <w:r w:rsidRPr="00406C70" w:rsidR="009375E4">
        <w:rPr>
          <w:rFonts w:cstheme="minorHAnsi"/>
          <w:szCs w:val="26"/>
        </w:rPr>
        <w:t>”</w:t>
      </w:r>
      <w:r w:rsidRPr="00406C70" w:rsidR="00296D9D">
        <w:rPr>
          <w:rFonts w:cstheme="minorHAnsi"/>
          <w:szCs w:val="26"/>
        </w:rPr>
        <w:t xml:space="preserve"> from the general</w:t>
      </w:r>
      <w:r w:rsidRPr="00406C70" w:rsidR="007D6D42">
        <w:rPr>
          <w:rFonts w:cstheme="minorHAnsi"/>
          <w:szCs w:val="26"/>
        </w:rPr>
        <w:t xml:space="preserve"> rule</w:t>
      </w:r>
      <w:r w:rsidRPr="00406C70" w:rsidR="00531FF0">
        <w:rPr>
          <w:rFonts w:cstheme="minorHAnsi"/>
          <w:szCs w:val="26"/>
        </w:rPr>
        <w:t>.</w:t>
      </w:r>
      <w:r w:rsidRPr="00406C70" w:rsidR="009375E4">
        <w:rPr>
          <w:rFonts w:cstheme="minorHAnsi"/>
          <w:szCs w:val="26"/>
        </w:rPr>
        <w:t xml:space="preserve">  (§ 15402.)</w:t>
      </w:r>
    </w:p>
    <w:p w:rsidR="00535D32" w:rsidRPr="00406C70" w:rsidP="00406C70" w14:paraId="5A66689A" w14:textId="77777777">
      <w:pPr>
        <w:pStyle w:val="Text"/>
        <w:spacing w:line="400" w:lineRule="exact"/>
        <w:ind w:firstLine="720"/>
        <w:rPr>
          <w:rFonts w:cstheme="minorHAnsi"/>
          <w:szCs w:val="26"/>
        </w:rPr>
      </w:pPr>
      <w:r w:rsidRPr="00406C70">
        <w:rPr>
          <w:rFonts w:cstheme="minorHAnsi"/>
          <w:szCs w:val="26"/>
        </w:rPr>
        <w:t>This interpretation is consistent with the Third Restatement of Trust Laws</w:t>
      </w:r>
      <w:r w:rsidRPr="00406C70" w:rsidR="00947E1B">
        <w:rPr>
          <w:rFonts w:cstheme="minorHAnsi"/>
          <w:szCs w:val="26"/>
        </w:rPr>
        <w:t xml:space="preserve">. </w:t>
      </w:r>
      <w:r w:rsidRPr="00406C70" w:rsidR="00377848">
        <w:rPr>
          <w:rFonts w:cstheme="minorHAnsi"/>
          <w:szCs w:val="26"/>
        </w:rPr>
        <w:t xml:space="preserve"> </w:t>
      </w:r>
      <w:r w:rsidRPr="00406C70" w:rsidR="00947E1B">
        <w:rPr>
          <w:rFonts w:cstheme="minorHAnsi"/>
          <w:szCs w:val="26"/>
        </w:rPr>
        <w:t xml:space="preserve">(See </w:t>
      </w:r>
      <w:r w:rsidRPr="00406C70" w:rsidR="00947E1B">
        <w:rPr>
          <w:rFonts w:cstheme="minorHAnsi"/>
          <w:i/>
          <w:iCs/>
          <w:szCs w:val="26"/>
        </w:rPr>
        <w:t>Estate of Giraldin</w:t>
      </w:r>
      <w:r w:rsidRPr="00406C70" w:rsidR="00947E1B">
        <w:rPr>
          <w:rFonts w:cstheme="minorHAnsi"/>
          <w:szCs w:val="26"/>
        </w:rPr>
        <w:t xml:space="preserve"> (2012) 55 Cal.4th 1058, 1072 [“California courts have considered the Restatement of Trusts in interpreting California trust law.”].)  The Restatement </w:t>
      </w:r>
      <w:r w:rsidRPr="00406C70">
        <w:rPr>
          <w:rFonts w:cstheme="minorHAnsi"/>
          <w:szCs w:val="26"/>
        </w:rPr>
        <w:t xml:space="preserve">provides:  “If the terms of the trust reserve to the settlor a power to </w:t>
      </w:r>
      <w:r w:rsidRPr="00406C70" w:rsidR="006259F1">
        <w:rPr>
          <w:rFonts w:cstheme="minorHAnsi"/>
          <w:szCs w:val="26"/>
        </w:rPr>
        <w:t>. . .</w:t>
      </w:r>
      <w:r w:rsidRPr="00406C70">
        <w:rPr>
          <w:rFonts w:cstheme="minorHAnsi"/>
          <w:szCs w:val="26"/>
        </w:rPr>
        <w:t xml:space="preserve"> amend the trust </w:t>
      </w:r>
      <w:r w:rsidRPr="0037090C">
        <w:rPr>
          <w:rFonts w:cstheme="minorHAnsi"/>
          <w:i/>
          <w:iCs/>
          <w:szCs w:val="26"/>
        </w:rPr>
        <w:t>exclusively</w:t>
      </w:r>
      <w:r w:rsidRPr="00406C70">
        <w:rPr>
          <w:rFonts w:cstheme="minorHAnsi"/>
          <w:szCs w:val="26"/>
        </w:rPr>
        <w:t xml:space="preserve"> by a particular procedure, the settlor can exercise the power only by substantial compliance with the method prescribed.”  (</w:t>
      </w:r>
      <w:r w:rsidRPr="00406C70" w:rsidR="00B33472">
        <w:rPr>
          <w:rFonts w:cstheme="minorHAnsi"/>
          <w:szCs w:val="26"/>
        </w:rPr>
        <w:t xml:space="preserve">Rest.3d </w:t>
      </w:r>
      <w:r w:rsidRPr="00406C70">
        <w:rPr>
          <w:rFonts w:cstheme="minorHAnsi"/>
          <w:szCs w:val="26"/>
        </w:rPr>
        <w:t>Trusts</w:t>
      </w:r>
      <w:r w:rsidRPr="00406C70" w:rsidR="00AD3215">
        <w:rPr>
          <w:rFonts w:cstheme="minorHAnsi"/>
          <w:szCs w:val="26"/>
        </w:rPr>
        <w:t>,</w:t>
      </w:r>
      <w:r w:rsidRPr="00406C70">
        <w:rPr>
          <w:rFonts w:cstheme="minorHAnsi"/>
          <w:szCs w:val="26"/>
        </w:rPr>
        <w:t xml:space="preserve"> § 63, com. </w:t>
      </w:r>
      <w:r w:rsidRPr="00AA130A">
        <w:rPr>
          <w:rFonts w:cstheme="minorHAnsi"/>
          <w:szCs w:val="26"/>
        </w:rPr>
        <w:t>i</w:t>
      </w:r>
      <w:r w:rsidRPr="00FD751E">
        <w:rPr>
          <w:rFonts w:cstheme="minorHAnsi"/>
          <w:szCs w:val="26"/>
        </w:rPr>
        <w:t>.</w:t>
      </w:r>
      <w:r w:rsidRPr="00406C70">
        <w:rPr>
          <w:rFonts w:cstheme="minorHAnsi"/>
          <w:szCs w:val="26"/>
        </w:rPr>
        <w:t xml:space="preserve">)  However, if “the terms of the trust provide a method for . . . amendment” but “do not make that method exclusive, . . . the settlor’s [modification] power can be exercised </w:t>
      </w:r>
      <w:r w:rsidRPr="00406C70">
        <w:rPr>
          <w:rFonts w:cstheme="minorHAnsi"/>
          <w:i/>
          <w:iCs/>
          <w:szCs w:val="26"/>
        </w:rPr>
        <w:t>either</w:t>
      </w:r>
      <w:r w:rsidRPr="00406C70">
        <w:rPr>
          <w:rFonts w:cstheme="minorHAnsi"/>
          <w:szCs w:val="26"/>
        </w:rPr>
        <w:t xml:space="preserve"> in the specified manner or by a method [that is available when no modification method is specified in the trust instrument].”  (</w:t>
      </w:r>
      <w:r w:rsidRPr="00406C70">
        <w:rPr>
          <w:rFonts w:cstheme="minorHAnsi"/>
          <w:i/>
          <w:iCs/>
          <w:szCs w:val="26"/>
        </w:rPr>
        <w:t>Id.</w:t>
      </w:r>
      <w:r w:rsidRPr="00406C70">
        <w:rPr>
          <w:rFonts w:cstheme="minorHAnsi"/>
          <w:szCs w:val="26"/>
        </w:rPr>
        <w:t>, § 63, com. </w:t>
      </w:r>
      <w:r w:rsidRPr="00AA130A">
        <w:rPr>
          <w:rFonts w:cstheme="minorHAnsi"/>
          <w:szCs w:val="26"/>
        </w:rPr>
        <w:t>i</w:t>
      </w:r>
      <w:r w:rsidR="009B508C">
        <w:rPr>
          <w:rFonts w:cstheme="minorHAnsi"/>
          <w:szCs w:val="26"/>
        </w:rPr>
        <w:t>;</w:t>
      </w:r>
      <w:r w:rsidRPr="00406C70">
        <w:rPr>
          <w:rFonts w:cstheme="minorHAnsi"/>
          <w:szCs w:val="26"/>
        </w:rPr>
        <w:t xml:space="preserve"> </w:t>
      </w:r>
      <w:r w:rsidR="009B508C">
        <w:rPr>
          <w:rFonts w:cstheme="minorHAnsi"/>
          <w:i/>
          <w:iCs/>
          <w:szCs w:val="26"/>
        </w:rPr>
        <w:t>id.</w:t>
      </w:r>
      <w:r w:rsidR="009B508C">
        <w:rPr>
          <w:rFonts w:cstheme="minorHAnsi"/>
          <w:szCs w:val="26"/>
        </w:rPr>
        <w:t xml:space="preserve">, </w:t>
      </w:r>
      <w:r w:rsidRPr="00406C70" w:rsidR="009B508C">
        <w:rPr>
          <w:rFonts w:cstheme="minorHAnsi"/>
          <w:szCs w:val="26"/>
        </w:rPr>
        <w:t>§ 63</w:t>
      </w:r>
      <w:r w:rsidR="009B508C">
        <w:rPr>
          <w:rFonts w:cstheme="minorHAnsi"/>
          <w:szCs w:val="26"/>
        </w:rPr>
        <w:t xml:space="preserve">, com. </w:t>
      </w:r>
      <w:r w:rsidRPr="00AA130A">
        <w:rPr>
          <w:rFonts w:cstheme="minorHAnsi"/>
          <w:szCs w:val="26"/>
        </w:rPr>
        <w:t>h</w:t>
      </w:r>
      <w:r w:rsidRPr="00406C70" w:rsidR="00A54A9C">
        <w:rPr>
          <w:rFonts w:cstheme="minorHAnsi"/>
          <w:szCs w:val="26"/>
        </w:rPr>
        <w:t>.)</w:t>
      </w:r>
    </w:p>
    <w:p w:rsidR="003B309D" w:rsidRPr="00406C70" w:rsidP="00406C70" w14:paraId="5A66689B" w14:textId="77777777">
      <w:pPr>
        <w:pStyle w:val="Text"/>
        <w:spacing w:line="400" w:lineRule="exact"/>
        <w:ind w:firstLine="720"/>
        <w:rPr>
          <w:rFonts w:cstheme="minorHAnsi"/>
          <w:szCs w:val="26"/>
        </w:rPr>
      </w:pPr>
      <w:r w:rsidRPr="00406C70">
        <w:rPr>
          <w:rFonts w:cstheme="minorHAnsi"/>
          <w:szCs w:val="26"/>
        </w:rPr>
        <w:t xml:space="preserve">In this case, the Court of Appeal held that a trust instrument may preclude the use of revocation procedures for modification by </w:t>
      </w:r>
      <w:r w:rsidRPr="00406C70" w:rsidR="007B57B4">
        <w:rPr>
          <w:rFonts w:cstheme="minorHAnsi"/>
          <w:szCs w:val="26"/>
        </w:rPr>
        <w:t>“</w:t>
      </w:r>
      <w:r w:rsidRPr="00406C70">
        <w:rPr>
          <w:rFonts w:cstheme="minorHAnsi"/>
          <w:szCs w:val="26"/>
        </w:rPr>
        <w:t>distinguish</w:t>
      </w:r>
      <w:r w:rsidRPr="00406C70" w:rsidR="007B57B4">
        <w:rPr>
          <w:rFonts w:cstheme="minorHAnsi"/>
          <w:szCs w:val="26"/>
        </w:rPr>
        <w:t>[</w:t>
      </w:r>
      <w:r w:rsidRPr="00406C70">
        <w:rPr>
          <w:rFonts w:cstheme="minorHAnsi"/>
          <w:szCs w:val="26"/>
        </w:rPr>
        <w:t>ing</w:t>
      </w:r>
      <w:r w:rsidRPr="00406C70" w:rsidR="007B57B4">
        <w:rPr>
          <w:rFonts w:cstheme="minorHAnsi"/>
          <w:szCs w:val="26"/>
        </w:rPr>
        <w:t>]</w:t>
      </w:r>
      <w:r w:rsidRPr="00406C70">
        <w:rPr>
          <w:rFonts w:cstheme="minorHAnsi"/>
          <w:szCs w:val="26"/>
        </w:rPr>
        <w:t xml:space="preserve"> between revocation and modification.</w:t>
      </w:r>
      <w:r w:rsidR="002A2BB0">
        <w:rPr>
          <w:rFonts w:cstheme="minorHAnsi"/>
          <w:szCs w:val="26"/>
        </w:rPr>
        <w:t>”</w:t>
      </w:r>
      <w:r w:rsidRPr="00406C70">
        <w:rPr>
          <w:rFonts w:cstheme="minorHAnsi"/>
          <w:szCs w:val="26"/>
        </w:rPr>
        <w:t xml:space="preserve">  (</w:t>
      </w:r>
      <w:r w:rsidRPr="00406C70">
        <w:rPr>
          <w:rFonts w:cstheme="minorHAnsi"/>
          <w:i/>
          <w:iCs/>
          <w:szCs w:val="26"/>
        </w:rPr>
        <w:t>Haggerty</w:t>
      </w:r>
      <w:r w:rsidRPr="00406C70">
        <w:rPr>
          <w:rFonts w:cstheme="minorHAnsi"/>
          <w:szCs w:val="26"/>
        </w:rPr>
        <w:t xml:space="preserve">, </w:t>
      </w:r>
      <w:r w:rsidRPr="00406C70">
        <w:rPr>
          <w:rFonts w:cstheme="minorHAnsi"/>
          <w:i/>
          <w:iCs/>
          <w:szCs w:val="26"/>
        </w:rPr>
        <w:t>supra</w:t>
      </w:r>
      <w:r w:rsidRPr="00406C70">
        <w:rPr>
          <w:rFonts w:cstheme="minorHAnsi"/>
          <w:szCs w:val="26"/>
        </w:rPr>
        <w:t>, 68 Cal.App</w:t>
      </w:r>
      <w:r w:rsidRPr="00406C70" w:rsidR="0033624E">
        <w:rPr>
          <w:rFonts w:cstheme="minorHAnsi"/>
          <w:szCs w:val="26"/>
        </w:rPr>
        <w:t>.</w:t>
      </w:r>
      <w:r w:rsidRPr="00406C70" w:rsidR="00F37CCA">
        <w:rPr>
          <w:rFonts w:cstheme="minorHAnsi"/>
          <w:szCs w:val="26"/>
        </w:rPr>
        <w:t>5th</w:t>
      </w:r>
      <w:r w:rsidRPr="00406C70">
        <w:rPr>
          <w:rFonts w:cstheme="minorHAnsi"/>
          <w:szCs w:val="26"/>
        </w:rPr>
        <w:t xml:space="preserve"> at p. 1011.)  On this view, by treating revocation and modification differently — such as by specifying different procedures for revocation and modification or by specifying a method for modification but not for revocation — the settlor “provides otherwise” from the general rule that a settlor “may modify the trust by the procedure for revocation.”  (§ 15402.)  </w:t>
      </w:r>
      <w:r w:rsidRPr="00406C70" w:rsidR="0034636B">
        <w:rPr>
          <w:rFonts w:cstheme="minorHAnsi"/>
          <w:szCs w:val="26"/>
        </w:rPr>
        <w:t>T</w:t>
      </w:r>
      <w:r w:rsidRPr="00406C70">
        <w:rPr>
          <w:rFonts w:cstheme="minorHAnsi"/>
          <w:szCs w:val="26"/>
        </w:rPr>
        <w:t>he court reasoned that distinguishing between revocation and modification is “ ‘</w:t>
      </w:r>
      <w:r w:rsidR="00CF0EBA">
        <w:rPr>
          <w:rFonts w:cstheme="minorHAnsi"/>
          <w:szCs w:val="26"/>
        </w:rPr>
        <w:t> “</w:t>
      </w:r>
      <w:r w:rsidRPr="00406C70">
        <w:rPr>
          <w:rFonts w:cstheme="minorHAnsi"/>
          <w:szCs w:val="26"/>
        </w:rPr>
        <w:t>contrary</w:t>
      </w:r>
      <w:r w:rsidR="00CF0EBA">
        <w:rPr>
          <w:rFonts w:cstheme="minorHAnsi"/>
          <w:szCs w:val="26"/>
        </w:rPr>
        <w:t>” </w:t>
      </w:r>
      <w:r w:rsidRPr="00406C70">
        <w:rPr>
          <w:rFonts w:cstheme="minorHAnsi"/>
          <w:szCs w:val="26"/>
        </w:rPr>
        <w:t>’ ” to the general rule that the method of modification is the same as the method of revocation.  (</w:t>
      </w:r>
      <w:r w:rsidRPr="00406C70">
        <w:rPr>
          <w:rFonts w:cstheme="minorHAnsi"/>
          <w:i/>
          <w:iCs/>
          <w:szCs w:val="26"/>
        </w:rPr>
        <w:t>Haggerty</w:t>
      </w:r>
      <w:r w:rsidRPr="00406C70">
        <w:rPr>
          <w:rFonts w:cstheme="minorHAnsi"/>
          <w:szCs w:val="26"/>
        </w:rPr>
        <w:t>, at p. 1011.)</w:t>
      </w:r>
      <w:r w:rsidRPr="00406C70">
        <w:rPr>
          <w:rStyle w:val="CommentReference"/>
          <w:sz w:val="27"/>
        </w:rPr>
        <w:t xml:space="preserve"> </w:t>
      </w:r>
      <w:r w:rsidRPr="00406C70">
        <w:rPr>
          <w:rFonts w:cstheme="minorHAnsi"/>
          <w:szCs w:val="26"/>
        </w:rPr>
        <w:t xml:space="preserve">  </w:t>
      </w:r>
    </w:p>
    <w:p w:rsidR="002A2BB0" w:rsidP="00406C70" w14:paraId="5A66689C" w14:textId="77777777">
      <w:pPr>
        <w:pStyle w:val="Text"/>
        <w:spacing w:line="400" w:lineRule="exact"/>
        <w:ind w:firstLine="720"/>
        <w:rPr>
          <w:rFonts w:cstheme="minorHAnsi"/>
          <w:szCs w:val="26"/>
        </w:rPr>
      </w:pPr>
      <w:r w:rsidRPr="00406C70">
        <w:rPr>
          <w:rFonts w:cstheme="minorHAnsi"/>
          <w:szCs w:val="26"/>
        </w:rPr>
        <w:t xml:space="preserve">In </w:t>
      </w:r>
      <w:r w:rsidRPr="00406C70">
        <w:rPr>
          <w:rFonts w:cstheme="minorHAnsi"/>
          <w:i/>
          <w:iCs/>
          <w:szCs w:val="26"/>
        </w:rPr>
        <w:t>King</w:t>
      </w:r>
      <w:r w:rsidRPr="00406C70">
        <w:rPr>
          <w:rFonts w:cstheme="minorHAnsi"/>
          <w:szCs w:val="26"/>
        </w:rPr>
        <w:t>, the court</w:t>
      </w:r>
      <w:r w:rsidRPr="00406C70">
        <w:rPr>
          <w:rFonts w:cstheme="minorHAnsi"/>
          <w:i/>
          <w:iCs/>
          <w:szCs w:val="26"/>
        </w:rPr>
        <w:t xml:space="preserve"> </w:t>
      </w:r>
      <w:r w:rsidRPr="00406C70">
        <w:rPr>
          <w:rFonts w:cstheme="minorHAnsi"/>
          <w:szCs w:val="26"/>
        </w:rPr>
        <w:t xml:space="preserve">held that a trust instrument “provides otherwise” </w:t>
      </w:r>
      <w:r w:rsidRPr="00406C70" w:rsidR="00780957">
        <w:rPr>
          <w:rFonts w:cstheme="minorHAnsi"/>
          <w:szCs w:val="26"/>
        </w:rPr>
        <w:t xml:space="preserve">from the general rule </w:t>
      </w:r>
      <w:r w:rsidRPr="00406C70">
        <w:rPr>
          <w:rFonts w:cstheme="minorHAnsi"/>
          <w:szCs w:val="26"/>
        </w:rPr>
        <w:t>if any modification method is specified in the trust, regardless of whether that method is made exclusive.  (</w:t>
      </w:r>
      <w:r w:rsidRPr="00406C70">
        <w:rPr>
          <w:rFonts w:cstheme="minorHAnsi"/>
          <w:i/>
          <w:iCs/>
          <w:szCs w:val="26"/>
        </w:rPr>
        <w:t>King</w:t>
      </w:r>
      <w:r w:rsidRPr="00406C70">
        <w:rPr>
          <w:rFonts w:cstheme="minorHAnsi"/>
          <w:szCs w:val="26"/>
        </w:rPr>
        <w:t xml:space="preserve">, </w:t>
      </w:r>
      <w:r w:rsidRPr="00406C70">
        <w:rPr>
          <w:rFonts w:cstheme="minorHAnsi"/>
          <w:i/>
          <w:iCs/>
          <w:szCs w:val="26"/>
        </w:rPr>
        <w:t>supra</w:t>
      </w:r>
      <w:r w:rsidRPr="00406C70">
        <w:rPr>
          <w:rFonts w:cstheme="minorHAnsi"/>
          <w:szCs w:val="26"/>
        </w:rPr>
        <w:t>,</w:t>
      </w:r>
      <w:r w:rsidRPr="00406C70">
        <w:rPr>
          <w:rFonts w:cstheme="minorHAnsi"/>
          <w:i/>
          <w:iCs/>
          <w:szCs w:val="26"/>
        </w:rPr>
        <w:t xml:space="preserve"> </w:t>
      </w:r>
      <w:r w:rsidRPr="00406C70">
        <w:rPr>
          <w:rFonts w:cstheme="minorHAnsi"/>
          <w:szCs w:val="26"/>
        </w:rPr>
        <w:t>204 Cal.App.</w:t>
      </w:r>
      <w:r w:rsidRPr="00406C70" w:rsidR="00A326A4">
        <w:rPr>
          <w:rFonts w:cstheme="minorHAnsi"/>
          <w:szCs w:val="26"/>
        </w:rPr>
        <w:t>4t</w:t>
      </w:r>
      <w:r w:rsidRPr="00406C70">
        <w:rPr>
          <w:rFonts w:cstheme="minorHAnsi"/>
          <w:szCs w:val="26"/>
        </w:rPr>
        <w:t xml:space="preserve">h at p. 1193; </w:t>
      </w:r>
      <w:r w:rsidRPr="00406C70" w:rsidR="00EA7A29">
        <w:rPr>
          <w:rFonts w:cstheme="minorHAnsi"/>
          <w:szCs w:val="26"/>
        </w:rPr>
        <w:t>accord,</w:t>
      </w:r>
      <w:r w:rsidRPr="00406C70">
        <w:rPr>
          <w:rFonts w:cstheme="minorHAnsi"/>
          <w:szCs w:val="26"/>
        </w:rPr>
        <w:t xml:space="preserve"> </w:t>
      </w:r>
      <w:r w:rsidRPr="00406C70" w:rsidR="008B7C00">
        <w:rPr>
          <w:rFonts w:cstheme="minorHAnsi"/>
          <w:i/>
          <w:iCs/>
          <w:szCs w:val="26"/>
        </w:rPr>
        <w:t>Diaz</w:t>
      </w:r>
      <w:r w:rsidRPr="00406C70" w:rsidR="008B7C00">
        <w:rPr>
          <w:rFonts w:cstheme="minorHAnsi"/>
          <w:szCs w:val="26"/>
        </w:rPr>
        <w:t xml:space="preserve">, </w:t>
      </w:r>
      <w:r w:rsidRPr="00406C70" w:rsidR="008B7C00">
        <w:rPr>
          <w:rFonts w:cstheme="minorHAnsi"/>
          <w:i/>
          <w:iCs/>
          <w:szCs w:val="26"/>
        </w:rPr>
        <w:t>supra</w:t>
      </w:r>
      <w:r w:rsidRPr="00406C70" w:rsidR="008B7C00">
        <w:rPr>
          <w:rFonts w:cstheme="minorHAnsi"/>
          <w:szCs w:val="26"/>
        </w:rPr>
        <w:t xml:space="preserve">, 91 Cal.App.5th at p. 924; </w:t>
      </w:r>
      <w:r w:rsidRPr="00406C70">
        <w:rPr>
          <w:rFonts w:cstheme="minorHAnsi"/>
          <w:i/>
          <w:iCs/>
          <w:szCs w:val="26"/>
        </w:rPr>
        <w:t>Balistreri</w:t>
      </w:r>
      <w:r w:rsidRPr="00406C70">
        <w:rPr>
          <w:rFonts w:cstheme="minorHAnsi"/>
          <w:szCs w:val="26"/>
        </w:rPr>
        <w:t xml:space="preserve">, </w:t>
      </w:r>
      <w:r w:rsidRPr="00406C70">
        <w:rPr>
          <w:rFonts w:cstheme="minorHAnsi"/>
          <w:i/>
          <w:iCs/>
          <w:szCs w:val="26"/>
        </w:rPr>
        <w:t>supra</w:t>
      </w:r>
      <w:r w:rsidRPr="00406C70">
        <w:rPr>
          <w:rFonts w:cstheme="minorHAnsi"/>
          <w:szCs w:val="26"/>
        </w:rPr>
        <w:t>, 75 Cal.App.</w:t>
      </w:r>
      <w:r w:rsidRPr="00406C70" w:rsidR="00C754F7">
        <w:rPr>
          <w:rFonts w:cstheme="minorHAnsi"/>
          <w:szCs w:val="26"/>
        </w:rPr>
        <w:t>5t</w:t>
      </w:r>
      <w:r w:rsidRPr="00406C70">
        <w:rPr>
          <w:rFonts w:cstheme="minorHAnsi"/>
          <w:szCs w:val="26"/>
        </w:rPr>
        <w:t xml:space="preserve">h at p. 518; </w:t>
      </w:r>
      <w:r w:rsidRPr="00406C70">
        <w:rPr>
          <w:rFonts w:cstheme="minorHAnsi"/>
          <w:i/>
          <w:iCs/>
          <w:szCs w:val="26"/>
        </w:rPr>
        <w:t>Pena</w:t>
      </w:r>
      <w:r w:rsidRPr="00406C70">
        <w:rPr>
          <w:rFonts w:cstheme="minorHAnsi"/>
          <w:szCs w:val="26"/>
        </w:rPr>
        <w:t>,</w:t>
      </w:r>
      <w:r w:rsidRPr="00406C70">
        <w:rPr>
          <w:rFonts w:cstheme="minorHAnsi"/>
          <w:i/>
          <w:iCs/>
          <w:szCs w:val="26"/>
        </w:rPr>
        <w:t xml:space="preserve"> supra</w:t>
      </w:r>
      <w:r w:rsidRPr="00406C70">
        <w:rPr>
          <w:rFonts w:cstheme="minorHAnsi"/>
          <w:szCs w:val="26"/>
        </w:rPr>
        <w:t>,</w:t>
      </w:r>
      <w:r w:rsidRPr="00406C70">
        <w:rPr>
          <w:rFonts w:cstheme="minorHAnsi"/>
          <w:i/>
          <w:iCs/>
          <w:szCs w:val="26"/>
        </w:rPr>
        <w:t xml:space="preserve"> </w:t>
      </w:r>
      <w:r w:rsidRPr="00406C70">
        <w:rPr>
          <w:rFonts w:cstheme="minorHAnsi"/>
          <w:szCs w:val="26"/>
        </w:rPr>
        <w:t>39 Cal.App.5th at p. 552.)  “[W]hen the Legislature enacted sections 15401 and 15402, it differentiated between trust revocations and modifications.  This indicates that the Legislature no longer intended the same rules to apply to both revocation and modification.  [¶] If we were to . </w:t>
      </w:r>
      <w:r w:rsidRPr="00406C70">
        <w:rPr>
          <w:rFonts w:cstheme="minorHAnsi"/>
          <w:szCs w:val="28"/>
        </w:rPr>
        <w:t>. .</w:t>
      </w:r>
      <w:r w:rsidRPr="00406C70">
        <w:rPr>
          <w:rFonts w:cstheme="minorHAnsi"/>
          <w:szCs w:val="26"/>
        </w:rPr>
        <w:t xml:space="preserve"> hold that a trust may be modified by the revocation procedures set forth in section 15401 unless the trust explicitly provides that the stated modification method is exclusive, section 15402 would become surplusage.  Rather than enacting section 15402, the Legislature could have combined revocation and modification into one statute.  Moreover, . </w:t>
      </w:r>
      <w:r w:rsidRPr="00406C70">
        <w:rPr>
          <w:rFonts w:cstheme="minorHAnsi"/>
          <w:szCs w:val="28"/>
        </w:rPr>
        <w:t xml:space="preserve">. . </w:t>
      </w:r>
      <w:r w:rsidRPr="00406C70">
        <w:rPr>
          <w:rFonts w:cstheme="minorHAnsi"/>
          <w:szCs w:val="26"/>
        </w:rPr>
        <w:t>the Legislature knew how to limit the exclusivity of a revocation method provided in a trust and chose not to impose such a limitation on modifications in section 15402.”  (</w:t>
      </w:r>
      <w:r w:rsidRPr="00406C70">
        <w:rPr>
          <w:rFonts w:cstheme="minorHAnsi"/>
          <w:i/>
          <w:iCs/>
          <w:szCs w:val="26"/>
        </w:rPr>
        <w:t>King</w:t>
      </w:r>
      <w:r w:rsidRPr="00406C70">
        <w:rPr>
          <w:rFonts w:cstheme="minorHAnsi"/>
          <w:szCs w:val="26"/>
        </w:rPr>
        <w:t>, at p. 1193.)</w:t>
      </w:r>
    </w:p>
    <w:p w:rsidR="00F05327" w:rsidRPr="00E45127" w:rsidP="00AA130A" w14:paraId="5A66689D" w14:textId="77777777">
      <w:pPr>
        <w:pStyle w:val="Text"/>
        <w:spacing w:line="400" w:lineRule="exact"/>
        <w:ind w:firstLine="0"/>
        <w:jc w:val="center"/>
        <w:rPr>
          <w:rFonts w:cstheme="minorHAnsi"/>
          <w:bCs/>
          <w:szCs w:val="26"/>
        </w:rPr>
      </w:pPr>
      <w:r w:rsidRPr="00AA130A">
        <w:rPr>
          <w:rFonts w:cstheme="minorHAnsi"/>
          <w:b/>
          <w:bCs/>
          <w:szCs w:val="26"/>
        </w:rPr>
        <w:t>B.</w:t>
      </w:r>
    </w:p>
    <w:p w:rsidR="004A7D15" w:rsidRPr="002A2BB0" w:rsidP="002A2BB0" w14:paraId="5A66689E" w14:textId="77777777">
      <w:pPr>
        <w:pStyle w:val="Text"/>
        <w:spacing w:line="400" w:lineRule="exact"/>
        <w:ind w:firstLine="720"/>
        <w:rPr>
          <w:rFonts w:cstheme="minorHAnsi"/>
          <w:szCs w:val="26"/>
        </w:rPr>
      </w:pPr>
      <w:r w:rsidRPr="00406C70">
        <w:rPr>
          <w:rFonts w:cstheme="minorHAnsi"/>
          <w:szCs w:val="26"/>
        </w:rPr>
        <w:t>D</w:t>
      </w:r>
      <w:r w:rsidRPr="00406C70" w:rsidR="0073583F">
        <w:rPr>
          <w:rFonts w:cstheme="minorHAnsi"/>
          <w:szCs w:val="26"/>
        </w:rPr>
        <w:t xml:space="preserve">espite </w:t>
      </w:r>
      <w:r w:rsidR="002A2BB0">
        <w:rPr>
          <w:rFonts w:cstheme="minorHAnsi"/>
          <w:szCs w:val="26"/>
        </w:rPr>
        <w:t xml:space="preserve">this </w:t>
      </w:r>
      <w:r w:rsidRPr="00406C70" w:rsidR="0073583F">
        <w:rPr>
          <w:rFonts w:cstheme="minorHAnsi"/>
          <w:szCs w:val="26"/>
        </w:rPr>
        <w:t xml:space="preserve">natural reading of the word “otherwise,” </w:t>
      </w:r>
      <w:r w:rsidRPr="00406C70" w:rsidR="00952E95">
        <w:rPr>
          <w:rFonts w:cstheme="minorHAnsi"/>
          <w:szCs w:val="26"/>
        </w:rPr>
        <w:t xml:space="preserve">several </w:t>
      </w:r>
      <w:r w:rsidRPr="00406C70" w:rsidR="00E93173">
        <w:rPr>
          <w:rFonts w:cstheme="minorHAnsi"/>
          <w:szCs w:val="26"/>
        </w:rPr>
        <w:t xml:space="preserve">Courts of Appeal have </w:t>
      </w:r>
      <w:r w:rsidRPr="00406C70" w:rsidR="001C0B53">
        <w:rPr>
          <w:rFonts w:cstheme="minorHAnsi"/>
          <w:szCs w:val="26"/>
        </w:rPr>
        <w:t xml:space="preserve">interpreted </w:t>
      </w:r>
      <w:r w:rsidRPr="00406C70" w:rsidR="00ED6711">
        <w:rPr>
          <w:rFonts w:cstheme="minorHAnsi"/>
          <w:szCs w:val="26"/>
        </w:rPr>
        <w:t xml:space="preserve">section 15402 </w:t>
      </w:r>
      <w:r w:rsidRPr="00406C70" w:rsidR="001C0B53">
        <w:rPr>
          <w:rFonts w:cstheme="minorHAnsi"/>
          <w:szCs w:val="26"/>
        </w:rPr>
        <w:t>differently</w:t>
      </w:r>
      <w:r w:rsidRPr="00406C70" w:rsidR="0073583F">
        <w:rPr>
          <w:rFonts w:cstheme="minorHAnsi"/>
          <w:szCs w:val="26"/>
        </w:rPr>
        <w:t xml:space="preserve">.  </w:t>
      </w:r>
      <w:r w:rsidRPr="00406C70" w:rsidR="003E598F">
        <w:rPr>
          <w:rFonts w:cstheme="minorHAnsi"/>
          <w:szCs w:val="26"/>
        </w:rPr>
        <w:t xml:space="preserve">Even if the text </w:t>
      </w:r>
      <w:r w:rsidR="002A2BB0">
        <w:rPr>
          <w:rFonts w:cstheme="minorHAnsi"/>
          <w:szCs w:val="26"/>
        </w:rPr>
        <w:t>is</w:t>
      </w:r>
      <w:r w:rsidRPr="00406C70" w:rsidR="003E598F">
        <w:rPr>
          <w:rFonts w:cstheme="minorHAnsi"/>
          <w:szCs w:val="26"/>
        </w:rPr>
        <w:t xml:space="preserve"> susceptible to more than one reasonable construction, </w:t>
      </w:r>
      <w:r w:rsidR="002A2BB0">
        <w:rPr>
          <w:rFonts w:cstheme="minorHAnsi"/>
          <w:szCs w:val="26"/>
        </w:rPr>
        <w:t>legislative</w:t>
      </w:r>
      <w:r w:rsidRPr="00406C70" w:rsidR="0073583F">
        <w:rPr>
          <w:rFonts w:cstheme="minorHAnsi"/>
          <w:szCs w:val="26"/>
        </w:rPr>
        <w:t xml:space="preserve"> history </w:t>
      </w:r>
      <w:r w:rsidR="002A2BB0">
        <w:rPr>
          <w:rFonts w:cstheme="minorHAnsi"/>
          <w:szCs w:val="26"/>
        </w:rPr>
        <w:t xml:space="preserve">supports the interpretation above.  The Legislature intended </w:t>
      </w:r>
      <w:r w:rsidRPr="00406C70" w:rsidR="0073583F">
        <w:t>section 15402 to codify the preexisting rule that the power of revocation implies the power of modification and to expand the availability of the statutory method for both revocation and modification.</w:t>
      </w:r>
    </w:p>
    <w:p w:rsidR="001C7E74" w:rsidRPr="00406C70" w:rsidP="00406C70" w14:paraId="5A66689F" w14:textId="77777777">
      <w:pPr>
        <w:pStyle w:val="Text"/>
        <w:spacing w:line="400" w:lineRule="exact"/>
        <w:ind w:firstLine="720"/>
        <w:rPr>
          <w:rFonts w:cstheme="minorHAnsi"/>
          <w:szCs w:val="26"/>
        </w:rPr>
      </w:pPr>
      <w:bookmarkStart w:id="3" w:name="_Hlk155361827"/>
      <w:r w:rsidRPr="00406C70">
        <w:rPr>
          <w:rFonts w:cstheme="minorHAnsi"/>
          <w:szCs w:val="26"/>
        </w:rPr>
        <w:t xml:space="preserve">Assembly Bill </w:t>
      </w:r>
      <w:r w:rsidRPr="00406C70" w:rsidR="00D8191E">
        <w:rPr>
          <w:rFonts w:cstheme="minorHAnsi"/>
          <w:szCs w:val="26"/>
        </w:rPr>
        <w:t xml:space="preserve">No. </w:t>
      </w:r>
      <w:r w:rsidRPr="00406C70">
        <w:rPr>
          <w:rFonts w:cstheme="minorHAnsi"/>
          <w:szCs w:val="26"/>
        </w:rPr>
        <w:t xml:space="preserve">2652 </w:t>
      </w:r>
      <w:r w:rsidRPr="00406C70" w:rsidR="00712F84">
        <w:rPr>
          <w:rFonts w:cstheme="minorHAnsi"/>
          <w:szCs w:val="26"/>
        </w:rPr>
        <w:t>(1985–1986 Reg. Sess.)</w:t>
      </w:r>
      <w:r w:rsidR="00712F84">
        <w:rPr>
          <w:rFonts w:cstheme="minorHAnsi"/>
          <w:szCs w:val="26"/>
        </w:rPr>
        <w:t xml:space="preserve"> </w:t>
      </w:r>
      <w:bookmarkEnd w:id="3"/>
      <w:r w:rsidRPr="00406C70">
        <w:rPr>
          <w:rFonts w:cstheme="minorHAnsi"/>
          <w:szCs w:val="26"/>
        </w:rPr>
        <w:t>was</w:t>
      </w:r>
      <w:r w:rsidRPr="00406C70" w:rsidR="00B31FAE">
        <w:rPr>
          <w:rFonts w:cstheme="minorHAnsi"/>
          <w:szCs w:val="26"/>
        </w:rPr>
        <w:t xml:space="preserve"> enacted</w:t>
      </w:r>
      <w:r w:rsidRPr="00406C70" w:rsidR="00AC359A">
        <w:rPr>
          <w:rFonts w:cstheme="minorHAnsi"/>
          <w:szCs w:val="26"/>
        </w:rPr>
        <w:t xml:space="preserve"> “</w:t>
      </w:r>
      <w:r w:rsidRPr="00406C70" w:rsidR="007E7EA1">
        <w:rPr>
          <w:rFonts w:cstheme="minorHAnsi"/>
          <w:szCs w:val="26"/>
        </w:rPr>
        <w:t xml:space="preserve">to effectuate </w:t>
      </w:r>
      <w:r w:rsidRPr="00406C70" w:rsidR="001D69B8">
        <w:rPr>
          <w:rFonts w:cstheme="minorHAnsi"/>
          <w:szCs w:val="26"/>
        </w:rPr>
        <w:t>r</w:t>
      </w:r>
      <w:r w:rsidRPr="00406C70" w:rsidR="007E7EA1">
        <w:rPr>
          <w:rFonts w:cstheme="minorHAnsi"/>
          <w:szCs w:val="26"/>
        </w:rPr>
        <w:t>ecommendations of the California Law Revision Commission</w:t>
      </w:r>
      <w:r w:rsidRPr="00406C70" w:rsidR="009657BF">
        <w:rPr>
          <w:rFonts w:cstheme="minorHAnsi"/>
          <w:szCs w:val="26"/>
        </w:rPr>
        <w:t>.</w:t>
      </w:r>
      <w:r w:rsidRPr="00406C70" w:rsidR="008D7AD1">
        <w:rPr>
          <w:rFonts w:cstheme="minorHAnsi"/>
          <w:szCs w:val="26"/>
        </w:rPr>
        <w:t>”</w:t>
      </w:r>
      <w:r w:rsidRPr="00406C70" w:rsidR="009657BF">
        <w:rPr>
          <w:rFonts w:cstheme="minorHAnsi"/>
          <w:szCs w:val="26"/>
        </w:rPr>
        <w:t xml:space="preserve">  </w:t>
      </w:r>
      <w:r w:rsidRPr="00406C70" w:rsidR="002968DB">
        <w:rPr>
          <w:rFonts w:cstheme="minorHAnsi"/>
          <w:szCs w:val="26"/>
        </w:rPr>
        <w:t>(</w:t>
      </w:r>
      <w:r w:rsidR="00A04069">
        <w:rPr>
          <w:rFonts w:cstheme="minorHAnsi"/>
          <w:szCs w:val="26"/>
        </w:rPr>
        <w:t xml:space="preserve">Exec. Sect. John H. DeMoully, letter to Chief Clerk James D. Driscoll </w:t>
      </w:r>
      <w:r w:rsidRPr="00406C70" w:rsidR="00254C97">
        <w:rPr>
          <w:rFonts w:cstheme="minorHAnsi"/>
          <w:szCs w:val="26"/>
        </w:rPr>
        <w:t xml:space="preserve">(May 2, 1986) </w:t>
      </w:r>
      <w:r w:rsidRPr="00406C70" w:rsidR="00DF582F">
        <w:rPr>
          <w:rFonts w:cstheme="minorHAnsi"/>
          <w:szCs w:val="26"/>
        </w:rPr>
        <w:t xml:space="preserve">4 Assem. J. (1985–1986 Reg. Sess.) </w:t>
      </w:r>
      <w:r w:rsidRPr="00406C70" w:rsidR="007568CF">
        <w:rPr>
          <w:rFonts w:cstheme="minorHAnsi"/>
          <w:szCs w:val="26"/>
        </w:rPr>
        <w:t xml:space="preserve">p. 7308.)  </w:t>
      </w:r>
      <w:r w:rsidRPr="00406C70" w:rsidR="00031BD1">
        <w:rPr>
          <w:rFonts w:cstheme="minorHAnsi"/>
          <w:szCs w:val="26"/>
        </w:rPr>
        <w:t xml:space="preserve">The Legislature thus relied on the </w:t>
      </w:r>
      <w:r w:rsidRPr="00406C70" w:rsidR="00B4183E">
        <w:rPr>
          <w:rFonts w:cstheme="minorHAnsi"/>
          <w:szCs w:val="26"/>
        </w:rPr>
        <w:t>intent</w:t>
      </w:r>
      <w:r w:rsidRPr="00406C70" w:rsidR="009636D7">
        <w:rPr>
          <w:rFonts w:cstheme="minorHAnsi"/>
          <w:szCs w:val="26"/>
        </w:rPr>
        <w:t xml:space="preserve"> and commentar</w:t>
      </w:r>
      <w:r w:rsidRPr="00406C70" w:rsidR="006E616C">
        <w:rPr>
          <w:rFonts w:cstheme="minorHAnsi"/>
          <w:szCs w:val="26"/>
        </w:rPr>
        <w:t>y</w:t>
      </w:r>
      <w:r w:rsidRPr="00406C70" w:rsidR="00B4183E">
        <w:rPr>
          <w:rFonts w:cstheme="minorHAnsi"/>
          <w:szCs w:val="26"/>
        </w:rPr>
        <w:t xml:space="preserve"> of the Commission in </w:t>
      </w:r>
      <w:r w:rsidRPr="00406C70" w:rsidR="007C0205">
        <w:rPr>
          <w:rFonts w:cstheme="minorHAnsi"/>
          <w:szCs w:val="26"/>
        </w:rPr>
        <w:t>passing</w:t>
      </w:r>
      <w:r w:rsidRPr="00406C70" w:rsidR="00B575FA">
        <w:rPr>
          <w:rFonts w:cstheme="minorHAnsi"/>
          <w:szCs w:val="26"/>
        </w:rPr>
        <w:t xml:space="preserve"> the bill.  (See</w:t>
      </w:r>
      <w:r w:rsidRPr="00406C70" w:rsidR="0014445F">
        <w:rPr>
          <w:rFonts w:cstheme="minorHAnsi"/>
          <w:szCs w:val="26"/>
        </w:rPr>
        <w:t xml:space="preserve"> e.g.,</w:t>
      </w:r>
      <w:r w:rsidRPr="00406C70" w:rsidR="00E14288">
        <w:rPr>
          <w:rFonts w:cstheme="minorHAnsi"/>
          <w:szCs w:val="26"/>
        </w:rPr>
        <w:t xml:space="preserve"> </w:t>
      </w:r>
      <w:r w:rsidRPr="00406C70" w:rsidR="00B55410">
        <w:rPr>
          <w:rFonts w:cstheme="minorHAnsi"/>
          <w:szCs w:val="26"/>
        </w:rPr>
        <w:t xml:space="preserve">Sen. Com. on Judiciary, Analysis of </w:t>
      </w:r>
      <w:r w:rsidRPr="00406C70" w:rsidR="007C0205">
        <w:rPr>
          <w:rFonts w:cstheme="minorHAnsi"/>
          <w:szCs w:val="26"/>
        </w:rPr>
        <w:t xml:space="preserve">Assem. Bill No. 2652 (1985–1986 Reg. Sess.) </w:t>
      </w:r>
      <w:r w:rsidRPr="00406C70" w:rsidR="00A92844">
        <w:rPr>
          <w:rFonts w:cstheme="minorHAnsi"/>
          <w:szCs w:val="26"/>
        </w:rPr>
        <w:t xml:space="preserve">as amended June 10, </w:t>
      </w:r>
      <w:r w:rsidRPr="00406C70" w:rsidR="004F6E8C">
        <w:rPr>
          <w:rFonts w:cstheme="minorHAnsi"/>
          <w:szCs w:val="26"/>
        </w:rPr>
        <w:t>1986</w:t>
      </w:r>
      <w:r w:rsidRPr="00406C70" w:rsidR="00704F5A">
        <w:rPr>
          <w:rFonts w:cstheme="minorHAnsi"/>
          <w:szCs w:val="26"/>
        </w:rPr>
        <w:t xml:space="preserve">, p. </w:t>
      </w:r>
      <w:r w:rsidR="00F231D4">
        <w:rPr>
          <w:rFonts w:cstheme="minorHAnsi"/>
          <w:szCs w:val="26"/>
        </w:rPr>
        <w:t>7</w:t>
      </w:r>
      <w:r w:rsidRPr="00406C70" w:rsidR="004F6E8C">
        <w:rPr>
          <w:rFonts w:cstheme="minorHAnsi"/>
          <w:szCs w:val="26"/>
        </w:rPr>
        <w:t xml:space="preserve"> </w:t>
      </w:r>
      <w:r w:rsidRPr="00406C70" w:rsidR="005D13DF">
        <w:rPr>
          <w:rFonts w:cstheme="minorHAnsi"/>
          <w:szCs w:val="26"/>
        </w:rPr>
        <w:t>[describing the “</w:t>
      </w:r>
      <w:r w:rsidRPr="00406C70" w:rsidR="006F67C9">
        <w:rPr>
          <w:rFonts w:cstheme="minorHAnsi"/>
          <w:szCs w:val="26"/>
        </w:rPr>
        <w:t xml:space="preserve">[n]eed for legislation” in terms of </w:t>
      </w:r>
      <w:r w:rsidRPr="00406C70" w:rsidR="001E3FD3">
        <w:rPr>
          <w:rFonts w:cstheme="minorHAnsi"/>
          <w:szCs w:val="26"/>
        </w:rPr>
        <w:t>what “[t]he Commission believes”</w:t>
      </w:r>
      <w:r w:rsidR="00F231D4">
        <w:rPr>
          <w:rFonts w:cstheme="minorHAnsi"/>
          <w:szCs w:val="26"/>
        </w:rPr>
        <w:t xml:space="preserve"> (underscoring omitted)</w:t>
      </w:r>
      <w:r w:rsidRPr="00406C70" w:rsidR="00366442">
        <w:rPr>
          <w:rFonts w:cstheme="minorHAnsi"/>
          <w:szCs w:val="26"/>
        </w:rPr>
        <w:t>];</w:t>
      </w:r>
      <w:r w:rsidRPr="00406C70" w:rsidR="00704F5A">
        <w:rPr>
          <w:rFonts w:cstheme="minorHAnsi"/>
          <w:szCs w:val="26"/>
        </w:rPr>
        <w:t xml:space="preserve"> </w:t>
      </w:r>
      <w:r w:rsidRPr="002E0848" w:rsidR="00704F5A">
        <w:rPr>
          <w:rFonts w:cstheme="minorHAnsi"/>
          <w:i/>
          <w:iCs/>
          <w:szCs w:val="26"/>
        </w:rPr>
        <w:t>i</w:t>
      </w:r>
      <w:r w:rsidR="00F231D4">
        <w:rPr>
          <w:rFonts w:cstheme="minorHAnsi"/>
          <w:i/>
          <w:iCs/>
          <w:szCs w:val="26"/>
        </w:rPr>
        <w:t>bi</w:t>
      </w:r>
      <w:r w:rsidRPr="002E0848" w:rsidR="00704F5A">
        <w:rPr>
          <w:rFonts w:cstheme="minorHAnsi"/>
          <w:i/>
          <w:iCs/>
          <w:szCs w:val="26"/>
        </w:rPr>
        <w:t>d</w:t>
      </w:r>
      <w:r w:rsidRPr="00406C70" w:rsidR="00704F5A">
        <w:rPr>
          <w:rFonts w:cstheme="minorHAnsi"/>
          <w:szCs w:val="26"/>
        </w:rPr>
        <w:t>. [</w:t>
      </w:r>
      <w:r w:rsidRPr="00406C70" w:rsidR="000677BC">
        <w:rPr>
          <w:rFonts w:cstheme="minorHAnsi"/>
          <w:szCs w:val="26"/>
        </w:rPr>
        <w:t xml:space="preserve">“This bill is a result of extensive study and recommendations by the California </w:t>
      </w:r>
      <w:r w:rsidR="005464F3">
        <w:rPr>
          <w:rFonts w:cstheme="minorHAnsi"/>
          <w:szCs w:val="26"/>
        </w:rPr>
        <w:t>[L]</w:t>
      </w:r>
      <w:r w:rsidRPr="00406C70" w:rsidR="000677BC">
        <w:rPr>
          <w:rFonts w:cstheme="minorHAnsi"/>
          <w:szCs w:val="26"/>
        </w:rPr>
        <w:t>aw Revision Commission.”]</w:t>
      </w:r>
      <w:r w:rsidR="002A2BB0">
        <w:rPr>
          <w:rFonts w:cstheme="minorHAnsi"/>
          <w:szCs w:val="26"/>
        </w:rPr>
        <w:t>.</w:t>
      </w:r>
      <w:r w:rsidRPr="00406C70" w:rsidR="000677BC">
        <w:rPr>
          <w:rFonts w:cstheme="minorHAnsi"/>
          <w:szCs w:val="26"/>
        </w:rPr>
        <w:t>)</w:t>
      </w:r>
      <w:r w:rsidRPr="00406C70" w:rsidR="00366442">
        <w:rPr>
          <w:rFonts w:cstheme="minorHAnsi"/>
          <w:szCs w:val="26"/>
        </w:rPr>
        <w:t xml:space="preserve"> </w:t>
      </w:r>
      <w:r w:rsidRPr="00406C70" w:rsidR="000677BC">
        <w:rPr>
          <w:rFonts w:cstheme="minorHAnsi"/>
          <w:szCs w:val="26"/>
        </w:rPr>
        <w:t xml:space="preserve"> </w:t>
      </w:r>
    </w:p>
    <w:p w:rsidR="00DE7D24" w:rsidRPr="00406C70" w:rsidP="00406C70" w14:paraId="5A6668A0" w14:textId="77777777">
      <w:pPr>
        <w:pStyle w:val="Text"/>
        <w:spacing w:line="400" w:lineRule="exact"/>
        <w:ind w:firstLine="720"/>
        <w:rPr>
          <w:rFonts w:cstheme="minorHAnsi"/>
          <w:szCs w:val="26"/>
        </w:rPr>
      </w:pPr>
      <w:r w:rsidRPr="00406C70">
        <w:rPr>
          <w:rFonts w:cstheme="minorHAnsi"/>
          <w:szCs w:val="26"/>
        </w:rPr>
        <w:t xml:space="preserve">In </w:t>
      </w:r>
      <w:r w:rsidRPr="00406C70" w:rsidR="0028245F">
        <w:rPr>
          <w:rFonts w:cstheme="minorHAnsi"/>
          <w:szCs w:val="26"/>
        </w:rPr>
        <w:t>explain</w:t>
      </w:r>
      <w:r w:rsidRPr="00406C70">
        <w:rPr>
          <w:rFonts w:cstheme="minorHAnsi"/>
          <w:szCs w:val="26"/>
        </w:rPr>
        <w:t>ing</w:t>
      </w:r>
      <w:r w:rsidRPr="00406C70" w:rsidR="0028245F">
        <w:rPr>
          <w:rFonts w:cstheme="minorHAnsi"/>
          <w:szCs w:val="26"/>
        </w:rPr>
        <w:t xml:space="preserve"> its decision to </w:t>
      </w:r>
      <w:r w:rsidRPr="00406C70" w:rsidR="00061A10">
        <w:rPr>
          <w:rFonts w:cstheme="minorHAnsi"/>
          <w:szCs w:val="26"/>
        </w:rPr>
        <w:t xml:space="preserve">recommend </w:t>
      </w:r>
      <w:r w:rsidRPr="00406C70" w:rsidR="0028245F">
        <w:rPr>
          <w:rFonts w:cstheme="minorHAnsi"/>
          <w:szCs w:val="26"/>
        </w:rPr>
        <w:t>codify</w:t>
      </w:r>
      <w:r w:rsidRPr="00406C70" w:rsidR="00061A10">
        <w:rPr>
          <w:rFonts w:cstheme="minorHAnsi"/>
          <w:szCs w:val="26"/>
        </w:rPr>
        <w:t>ing</w:t>
      </w:r>
      <w:r w:rsidRPr="00406C70" w:rsidR="0028245F">
        <w:rPr>
          <w:rFonts w:cstheme="minorHAnsi"/>
          <w:szCs w:val="26"/>
        </w:rPr>
        <w:t xml:space="preserve"> section 15402</w:t>
      </w:r>
      <w:r w:rsidRPr="00406C70">
        <w:rPr>
          <w:rFonts w:cstheme="minorHAnsi"/>
          <w:szCs w:val="26"/>
        </w:rPr>
        <w:t>, the Commission said</w:t>
      </w:r>
      <w:r w:rsidRPr="00406C70" w:rsidR="0028245F">
        <w:rPr>
          <w:rFonts w:cstheme="minorHAnsi"/>
          <w:szCs w:val="26"/>
        </w:rPr>
        <w:t xml:space="preserve">:  </w:t>
      </w:r>
      <w:r w:rsidRPr="00406C70" w:rsidR="00595922">
        <w:rPr>
          <w:rFonts w:cstheme="minorHAnsi"/>
          <w:szCs w:val="26"/>
        </w:rPr>
        <w:t>“Under general principles the settlor, or other person holding the power to revoke, may modify as well as terminate a revocable trust.</w:t>
      </w:r>
      <w:r w:rsidR="001C56B7">
        <w:rPr>
          <w:rFonts w:cstheme="minorHAnsi"/>
          <w:szCs w:val="26"/>
        </w:rPr>
        <w:t xml:space="preserve">  </w:t>
      </w:r>
      <w:r w:rsidRPr="00406C70" w:rsidR="00595922">
        <w:rPr>
          <w:rFonts w:cstheme="minorHAnsi"/>
          <w:szCs w:val="26"/>
        </w:rPr>
        <w:t>[</w:t>
      </w:r>
      <w:r w:rsidR="00FB0A1C">
        <w:rPr>
          <w:rFonts w:cstheme="minorHAnsi"/>
          <w:szCs w:val="26"/>
        </w:rPr>
        <w:t>Fn. omitted</w:t>
      </w:r>
      <w:r w:rsidRPr="00406C70" w:rsidR="00595922">
        <w:rPr>
          <w:rFonts w:cstheme="minorHAnsi"/>
          <w:szCs w:val="26"/>
        </w:rPr>
        <w:t>.]</w:t>
      </w:r>
      <w:r w:rsidRPr="00406C70" w:rsidR="00595922">
        <w:rPr>
          <w:rFonts w:cstheme="minorHAnsi"/>
          <w:i/>
          <w:iCs/>
          <w:szCs w:val="26"/>
        </w:rPr>
        <w:t xml:space="preserve"> </w:t>
      </w:r>
      <w:r w:rsidRPr="00406C70" w:rsidR="00595922">
        <w:rPr>
          <w:rFonts w:cstheme="minorHAnsi"/>
          <w:szCs w:val="26"/>
        </w:rPr>
        <w:t xml:space="preserve"> The proposed law codifies this rule and also makes clear that the method of modification is the same as the method of termination, barring a contrary provision in the trust.”  </w:t>
      </w:r>
      <w:r w:rsidRPr="00406C70" w:rsidR="007B6EF8">
        <w:rPr>
          <w:rFonts w:cstheme="minorHAnsi"/>
          <w:szCs w:val="26"/>
        </w:rPr>
        <w:t>(</w:t>
      </w:r>
      <w:r w:rsidRPr="00AA130A" w:rsidR="007B6EF8">
        <w:rPr>
          <w:rFonts w:cstheme="minorHAnsi"/>
          <w:szCs w:val="26"/>
        </w:rPr>
        <w:t>Recommendation</w:t>
      </w:r>
      <w:r w:rsidRPr="00653617" w:rsidR="007B6EF8">
        <w:rPr>
          <w:rFonts w:cstheme="minorHAnsi"/>
          <w:szCs w:val="26"/>
        </w:rPr>
        <w:t xml:space="preserve"> </w:t>
      </w:r>
      <w:r w:rsidRPr="00AA130A" w:rsidR="007B6EF8">
        <w:rPr>
          <w:rFonts w:cstheme="minorHAnsi"/>
          <w:szCs w:val="26"/>
        </w:rPr>
        <w:t>Proposing the Trust Law</w:t>
      </w:r>
      <w:r w:rsidRPr="00406C70" w:rsidR="007B6EF8">
        <w:rPr>
          <w:rFonts w:cstheme="minorHAnsi"/>
          <w:szCs w:val="26"/>
        </w:rPr>
        <w:t xml:space="preserve">, </w:t>
      </w:r>
      <w:r w:rsidRPr="00406C70" w:rsidR="00D632BB">
        <w:rPr>
          <w:rFonts w:cstheme="minorHAnsi"/>
          <w:i/>
          <w:iCs/>
          <w:szCs w:val="26"/>
        </w:rPr>
        <w:t>supra</w:t>
      </w:r>
      <w:r w:rsidRPr="00406C70" w:rsidR="00D632BB">
        <w:rPr>
          <w:rFonts w:cstheme="minorHAnsi"/>
          <w:szCs w:val="26"/>
        </w:rPr>
        <w:t>, at p. 568</w:t>
      </w:r>
      <w:r w:rsidRPr="00406C70" w:rsidR="00234F76">
        <w:rPr>
          <w:rFonts w:cstheme="minorHAnsi"/>
          <w:szCs w:val="26"/>
        </w:rPr>
        <w:t xml:space="preserve">; see also </w:t>
      </w:r>
      <w:r w:rsidRPr="00406C70" w:rsidR="00234F76">
        <w:rPr>
          <w:rFonts w:cstheme="minorHAnsi"/>
          <w:i/>
          <w:iCs/>
          <w:szCs w:val="26"/>
        </w:rPr>
        <w:t>id.</w:t>
      </w:r>
      <w:r w:rsidRPr="00406C70" w:rsidR="00234F76">
        <w:rPr>
          <w:rFonts w:cstheme="minorHAnsi"/>
          <w:szCs w:val="26"/>
        </w:rPr>
        <w:t xml:space="preserve"> at p. 636 </w:t>
      </w:r>
      <w:r w:rsidRPr="00406C70" w:rsidR="0060303D">
        <w:rPr>
          <w:rFonts w:cstheme="minorHAnsi"/>
          <w:szCs w:val="26"/>
        </w:rPr>
        <w:t>[</w:t>
      </w:r>
      <w:r w:rsidRPr="00406C70" w:rsidR="0060303D">
        <w:t>“Power to revoke includes power to modify”</w:t>
      </w:r>
      <w:r w:rsidR="0096737C">
        <w:t xml:space="preserve"> (boldface omitted)</w:t>
      </w:r>
      <w:r w:rsidRPr="00406C70" w:rsidR="0060303D">
        <w:rPr>
          <w:rFonts w:cstheme="minorHAnsi"/>
          <w:szCs w:val="26"/>
        </w:rPr>
        <w:t xml:space="preserve">]; </w:t>
      </w:r>
      <w:r w:rsidRPr="00406C70" w:rsidR="0060303D">
        <w:rPr>
          <w:rFonts w:cstheme="minorHAnsi"/>
          <w:i/>
          <w:iCs/>
          <w:szCs w:val="26"/>
        </w:rPr>
        <w:t>ibid.</w:t>
      </w:r>
      <w:r w:rsidRPr="00406C70" w:rsidR="0060303D">
        <w:rPr>
          <w:rFonts w:cstheme="minorHAnsi"/>
          <w:szCs w:val="26"/>
        </w:rPr>
        <w:t xml:space="preserve"> </w:t>
      </w:r>
      <w:r w:rsidRPr="00406C70" w:rsidR="00234F76">
        <w:rPr>
          <w:rFonts w:cstheme="minorHAnsi"/>
          <w:szCs w:val="26"/>
        </w:rPr>
        <w:t xml:space="preserve">[“Section 15402 </w:t>
      </w:r>
      <w:r w:rsidRPr="00406C70" w:rsidR="000C44E6">
        <w:rPr>
          <w:rFonts w:cstheme="minorHAnsi"/>
          <w:szCs w:val="26"/>
        </w:rPr>
        <w:t xml:space="preserve">. . . </w:t>
      </w:r>
      <w:r w:rsidRPr="00406C70" w:rsidR="00234F76">
        <w:rPr>
          <w:rFonts w:cstheme="minorHAnsi"/>
          <w:szCs w:val="26"/>
        </w:rPr>
        <w:t>codifies the general rule that a power of revocation implies the power of modification”]</w:t>
      </w:r>
      <w:r w:rsidRPr="00406C70" w:rsidR="00931177">
        <w:rPr>
          <w:rFonts w:cstheme="minorHAnsi"/>
          <w:szCs w:val="26"/>
        </w:rPr>
        <w:t xml:space="preserve">.)  </w:t>
      </w:r>
      <w:r w:rsidRPr="00406C70" w:rsidR="00BF2CA2">
        <w:rPr>
          <w:rFonts w:cstheme="minorHAnsi"/>
          <w:szCs w:val="26"/>
        </w:rPr>
        <w:t>T</w:t>
      </w:r>
      <w:r w:rsidRPr="00406C70" w:rsidR="005B1B16">
        <w:rPr>
          <w:rFonts w:cstheme="minorHAnsi"/>
          <w:szCs w:val="26"/>
        </w:rPr>
        <w:t xml:space="preserve">he </w:t>
      </w:r>
      <w:r w:rsidRPr="00406C70" w:rsidR="000344BC">
        <w:rPr>
          <w:rFonts w:cstheme="minorHAnsi"/>
          <w:szCs w:val="26"/>
        </w:rPr>
        <w:t>C</w:t>
      </w:r>
      <w:r w:rsidRPr="00406C70" w:rsidR="005B1B16">
        <w:rPr>
          <w:rFonts w:cstheme="minorHAnsi"/>
          <w:szCs w:val="26"/>
        </w:rPr>
        <w:t xml:space="preserve">ommission’s commentary makes clear that section 15402 was </w:t>
      </w:r>
      <w:r w:rsidRPr="00406C70" w:rsidR="007453FA">
        <w:rPr>
          <w:rFonts w:cstheme="minorHAnsi"/>
          <w:szCs w:val="26"/>
        </w:rPr>
        <w:t xml:space="preserve">enacted </w:t>
      </w:r>
      <w:r w:rsidRPr="00406C70" w:rsidR="00917AB8">
        <w:rPr>
          <w:rFonts w:cstheme="minorHAnsi"/>
          <w:szCs w:val="26"/>
        </w:rPr>
        <w:t xml:space="preserve">to codify the preexisting rule that </w:t>
      </w:r>
      <w:r w:rsidRPr="00406C70" w:rsidR="009F2149">
        <w:rPr>
          <w:rFonts w:cstheme="minorHAnsi"/>
          <w:szCs w:val="26"/>
        </w:rPr>
        <w:t xml:space="preserve">the power of revocation includes the power of modification, </w:t>
      </w:r>
      <w:r w:rsidRPr="00406C70" w:rsidR="00201ACE">
        <w:rPr>
          <w:rFonts w:cstheme="minorHAnsi"/>
          <w:szCs w:val="26"/>
        </w:rPr>
        <w:t xml:space="preserve">and </w:t>
      </w:r>
      <w:r w:rsidRPr="00406C70" w:rsidR="009F2149">
        <w:rPr>
          <w:rFonts w:cstheme="minorHAnsi"/>
          <w:szCs w:val="26"/>
        </w:rPr>
        <w:t>thus an available method of revocation is also an available method of modification</w:t>
      </w:r>
      <w:r w:rsidRPr="00406C70" w:rsidR="005A1261">
        <w:rPr>
          <w:rFonts w:cstheme="minorHAnsi"/>
          <w:szCs w:val="26"/>
        </w:rPr>
        <w:t xml:space="preserve"> unless</w:t>
      </w:r>
      <w:r w:rsidRPr="00406C70" w:rsidR="003D4E09">
        <w:rPr>
          <w:rFonts w:cstheme="minorHAnsi"/>
          <w:szCs w:val="26"/>
        </w:rPr>
        <w:t xml:space="preserve"> a trust term </w:t>
      </w:r>
      <w:r w:rsidRPr="00406C70" w:rsidR="00917AB8">
        <w:rPr>
          <w:rFonts w:cstheme="minorHAnsi"/>
          <w:szCs w:val="26"/>
        </w:rPr>
        <w:t>preclud</w:t>
      </w:r>
      <w:r w:rsidRPr="00406C70" w:rsidR="005A1261">
        <w:rPr>
          <w:rFonts w:cstheme="minorHAnsi"/>
          <w:szCs w:val="26"/>
        </w:rPr>
        <w:t>es</w:t>
      </w:r>
      <w:r w:rsidRPr="00406C70" w:rsidR="00917AB8">
        <w:rPr>
          <w:rFonts w:cstheme="minorHAnsi"/>
          <w:szCs w:val="26"/>
        </w:rPr>
        <w:t xml:space="preserve"> </w:t>
      </w:r>
      <w:r w:rsidRPr="00406C70" w:rsidR="00D142E0">
        <w:rPr>
          <w:rFonts w:cstheme="minorHAnsi"/>
          <w:szCs w:val="26"/>
        </w:rPr>
        <w:t xml:space="preserve">the use of </w:t>
      </w:r>
      <w:r w:rsidRPr="00406C70" w:rsidR="001C0538">
        <w:rPr>
          <w:rFonts w:cstheme="minorHAnsi"/>
          <w:szCs w:val="26"/>
        </w:rPr>
        <w:t xml:space="preserve">any method of </w:t>
      </w:r>
      <w:r w:rsidRPr="00406C70" w:rsidR="00D142E0">
        <w:rPr>
          <w:rFonts w:cstheme="minorHAnsi"/>
          <w:szCs w:val="26"/>
        </w:rPr>
        <w:t xml:space="preserve">revocation </w:t>
      </w:r>
      <w:r w:rsidRPr="00406C70" w:rsidR="00917AB8">
        <w:rPr>
          <w:rFonts w:cstheme="minorHAnsi"/>
          <w:szCs w:val="26"/>
        </w:rPr>
        <w:t>for modification</w:t>
      </w:r>
      <w:r w:rsidRPr="00406C70" w:rsidR="00CA63A0">
        <w:rPr>
          <w:rFonts w:cstheme="minorHAnsi"/>
          <w:szCs w:val="26"/>
        </w:rPr>
        <w:t xml:space="preserve">.  </w:t>
      </w:r>
      <w:r w:rsidRPr="00406C70" w:rsidR="005B1B16">
        <w:rPr>
          <w:rFonts w:cstheme="minorHAnsi"/>
          <w:szCs w:val="26"/>
        </w:rPr>
        <w:t>(</w:t>
      </w:r>
      <w:r w:rsidRPr="00AA130A" w:rsidR="00A04085">
        <w:rPr>
          <w:rFonts w:cstheme="minorHAnsi"/>
          <w:szCs w:val="26"/>
        </w:rPr>
        <w:t>Recommendation</w:t>
      </w:r>
      <w:r w:rsidRPr="00653617" w:rsidR="00A04085">
        <w:rPr>
          <w:rFonts w:cstheme="minorHAnsi"/>
          <w:szCs w:val="26"/>
        </w:rPr>
        <w:t xml:space="preserve"> </w:t>
      </w:r>
      <w:r w:rsidRPr="00AA130A" w:rsidR="00A04085">
        <w:rPr>
          <w:rFonts w:cstheme="minorHAnsi"/>
          <w:szCs w:val="26"/>
        </w:rPr>
        <w:t>Proposing the Trust Law</w:t>
      </w:r>
      <w:r w:rsidRPr="00406C70" w:rsidR="00A04085">
        <w:rPr>
          <w:rFonts w:cstheme="minorHAnsi"/>
          <w:szCs w:val="26"/>
        </w:rPr>
        <w:t xml:space="preserve">, </w:t>
      </w:r>
      <w:r w:rsidRPr="00406C70" w:rsidR="007610A3">
        <w:rPr>
          <w:rFonts w:cstheme="minorHAnsi"/>
          <w:szCs w:val="26"/>
        </w:rPr>
        <w:t>at p. 568.</w:t>
      </w:r>
      <w:r w:rsidRPr="00406C70" w:rsidR="005B1B16">
        <w:rPr>
          <w:rFonts w:cstheme="minorHAnsi"/>
          <w:szCs w:val="26"/>
        </w:rPr>
        <w:t xml:space="preserve">) </w:t>
      </w:r>
      <w:r w:rsidRPr="00406C70" w:rsidR="007610A3">
        <w:rPr>
          <w:rFonts w:cstheme="minorHAnsi"/>
          <w:szCs w:val="26"/>
        </w:rPr>
        <w:t xml:space="preserve"> </w:t>
      </w:r>
      <w:r w:rsidRPr="00406C70" w:rsidR="002B31B9">
        <w:rPr>
          <w:rFonts w:cstheme="minorHAnsi"/>
          <w:szCs w:val="26"/>
        </w:rPr>
        <w:t xml:space="preserve">Section 15402 </w:t>
      </w:r>
      <w:r w:rsidRPr="00406C70" w:rsidR="00773F31">
        <w:rPr>
          <w:rFonts w:cstheme="minorHAnsi"/>
          <w:szCs w:val="26"/>
        </w:rPr>
        <w:t xml:space="preserve">was not added, as </w:t>
      </w:r>
      <w:r w:rsidRPr="00406C70" w:rsidR="00773F31">
        <w:rPr>
          <w:rFonts w:cstheme="minorHAnsi"/>
          <w:i/>
          <w:iCs/>
          <w:szCs w:val="26"/>
        </w:rPr>
        <w:t xml:space="preserve">King </w:t>
      </w:r>
      <w:r w:rsidRPr="00406C70" w:rsidR="00773F31">
        <w:rPr>
          <w:rFonts w:cstheme="minorHAnsi"/>
          <w:szCs w:val="26"/>
        </w:rPr>
        <w:t xml:space="preserve">contends, to establish a different rule from section </w:t>
      </w:r>
      <w:r w:rsidRPr="00406C70" w:rsidR="00646346">
        <w:rPr>
          <w:rFonts w:cstheme="minorHAnsi"/>
          <w:szCs w:val="26"/>
        </w:rPr>
        <w:t>15401</w:t>
      </w:r>
      <w:r w:rsidRPr="00406C70" w:rsidR="00773F31">
        <w:rPr>
          <w:rFonts w:cstheme="minorHAnsi"/>
          <w:szCs w:val="26"/>
        </w:rPr>
        <w:t>.</w:t>
      </w:r>
      <w:r w:rsidRPr="00406C70" w:rsidR="00AA78D3">
        <w:rPr>
          <w:rFonts w:cstheme="minorHAnsi"/>
          <w:szCs w:val="26"/>
        </w:rPr>
        <w:t xml:space="preserve">  </w:t>
      </w:r>
      <w:r w:rsidRPr="00406C70" w:rsidR="00464313">
        <w:rPr>
          <w:rFonts w:cstheme="minorHAnsi"/>
          <w:szCs w:val="26"/>
        </w:rPr>
        <w:t>(</w:t>
      </w:r>
      <w:r w:rsidRPr="00406C70" w:rsidR="00464313">
        <w:rPr>
          <w:rFonts w:cstheme="minorHAnsi"/>
          <w:i/>
          <w:iCs/>
          <w:szCs w:val="26"/>
        </w:rPr>
        <w:t>King</w:t>
      </w:r>
      <w:r w:rsidRPr="00406C70" w:rsidR="00464313">
        <w:rPr>
          <w:rFonts w:cstheme="minorHAnsi"/>
          <w:szCs w:val="26"/>
        </w:rPr>
        <w:t xml:space="preserve">, </w:t>
      </w:r>
      <w:r w:rsidRPr="00406C70" w:rsidR="00464313">
        <w:rPr>
          <w:rFonts w:cstheme="minorHAnsi"/>
          <w:i/>
          <w:iCs/>
          <w:szCs w:val="26"/>
        </w:rPr>
        <w:t>supra</w:t>
      </w:r>
      <w:r w:rsidRPr="00406C70" w:rsidR="00464313">
        <w:rPr>
          <w:rFonts w:cstheme="minorHAnsi"/>
          <w:szCs w:val="26"/>
        </w:rPr>
        <w:t>,</w:t>
      </w:r>
      <w:r w:rsidRPr="00406C70" w:rsidR="00464313">
        <w:rPr>
          <w:rFonts w:cstheme="minorHAnsi"/>
          <w:i/>
          <w:iCs/>
          <w:szCs w:val="26"/>
        </w:rPr>
        <w:t xml:space="preserve"> </w:t>
      </w:r>
      <w:r w:rsidRPr="00406C70" w:rsidR="00464313">
        <w:rPr>
          <w:rFonts w:cstheme="minorHAnsi"/>
          <w:szCs w:val="26"/>
        </w:rPr>
        <w:t>204 Cal.App.4th at p. 1193</w:t>
      </w:r>
      <w:r w:rsidRPr="00406C70" w:rsidR="002338FE">
        <w:rPr>
          <w:rFonts w:cstheme="minorHAnsi"/>
          <w:szCs w:val="26"/>
        </w:rPr>
        <w:t>.</w:t>
      </w:r>
      <w:r w:rsidRPr="00406C70" w:rsidR="00464313">
        <w:rPr>
          <w:rFonts w:cstheme="minorHAnsi"/>
          <w:szCs w:val="26"/>
        </w:rPr>
        <w:t xml:space="preserve">)  </w:t>
      </w:r>
      <w:r w:rsidRPr="00406C70" w:rsidR="00BF56BB">
        <w:rPr>
          <w:rFonts w:cstheme="minorHAnsi"/>
          <w:szCs w:val="26"/>
        </w:rPr>
        <w:t xml:space="preserve">Nothing in the Commission’s statements </w:t>
      </w:r>
      <w:r w:rsidR="002A2BB0">
        <w:rPr>
          <w:rFonts w:cstheme="minorHAnsi"/>
          <w:szCs w:val="26"/>
        </w:rPr>
        <w:t>proposed</w:t>
      </w:r>
      <w:r w:rsidRPr="00406C70" w:rsidR="00BF56BB">
        <w:rPr>
          <w:rFonts w:cstheme="minorHAnsi"/>
          <w:szCs w:val="26"/>
        </w:rPr>
        <w:t xml:space="preserve"> treat</w:t>
      </w:r>
      <w:r w:rsidR="002A2BB0">
        <w:rPr>
          <w:rFonts w:cstheme="minorHAnsi"/>
          <w:szCs w:val="26"/>
        </w:rPr>
        <w:t>ing</w:t>
      </w:r>
      <w:r w:rsidRPr="00406C70" w:rsidR="00BF56BB">
        <w:rPr>
          <w:rFonts w:cstheme="minorHAnsi"/>
          <w:szCs w:val="26"/>
        </w:rPr>
        <w:t xml:space="preserve"> modification differently </w:t>
      </w:r>
      <w:r w:rsidRPr="00406C70">
        <w:rPr>
          <w:rFonts w:cstheme="minorHAnsi"/>
          <w:szCs w:val="26"/>
        </w:rPr>
        <w:t xml:space="preserve">from </w:t>
      </w:r>
      <w:r w:rsidRPr="00406C70" w:rsidR="00BF56BB">
        <w:rPr>
          <w:rFonts w:cstheme="minorHAnsi"/>
          <w:szCs w:val="26"/>
        </w:rPr>
        <w:t>revocation</w:t>
      </w:r>
      <w:r w:rsidRPr="00406C70" w:rsidR="00BD3C1C">
        <w:rPr>
          <w:rFonts w:cstheme="minorHAnsi"/>
          <w:szCs w:val="26"/>
        </w:rPr>
        <w:t xml:space="preserve"> or chang</w:t>
      </w:r>
      <w:r w:rsidR="002A2BB0">
        <w:rPr>
          <w:rFonts w:cstheme="minorHAnsi"/>
          <w:szCs w:val="26"/>
        </w:rPr>
        <w:t>ing</w:t>
      </w:r>
      <w:r w:rsidRPr="00406C70" w:rsidR="00BD3C1C">
        <w:rPr>
          <w:rFonts w:cstheme="minorHAnsi"/>
          <w:szCs w:val="26"/>
        </w:rPr>
        <w:t xml:space="preserve"> the preexisting rule</w:t>
      </w:r>
      <w:r w:rsidRPr="00406C70" w:rsidR="00BF56BB">
        <w:rPr>
          <w:rFonts w:cstheme="minorHAnsi"/>
          <w:szCs w:val="26"/>
        </w:rPr>
        <w:t xml:space="preserve">.  In fact, all </w:t>
      </w:r>
      <w:r w:rsidRPr="00406C70">
        <w:rPr>
          <w:rFonts w:cstheme="minorHAnsi"/>
          <w:szCs w:val="26"/>
        </w:rPr>
        <w:t xml:space="preserve">of </w:t>
      </w:r>
      <w:r w:rsidRPr="00406C70" w:rsidR="00BF56BB">
        <w:rPr>
          <w:rFonts w:cstheme="minorHAnsi"/>
          <w:szCs w:val="26"/>
        </w:rPr>
        <w:t xml:space="preserve">the </w:t>
      </w:r>
      <w:r w:rsidRPr="00406C70">
        <w:rPr>
          <w:rFonts w:cstheme="minorHAnsi"/>
          <w:szCs w:val="26"/>
        </w:rPr>
        <w:t xml:space="preserve">Commission’s </w:t>
      </w:r>
      <w:r w:rsidRPr="00406C70" w:rsidR="00BF56BB">
        <w:rPr>
          <w:rFonts w:cstheme="minorHAnsi"/>
          <w:szCs w:val="26"/>
        </w:rPr>
        <w:t xml:space="preserve">statements about modification </w:t>
      </w:r>
      <w:r w:rsidRPr="00406C70">
        <w:rPr>
          <w:rFonts w:cstheme="minorHAnsi"/>
          <w:szCs w:val="26"/>
        </w:rPr>
        <w:t xml:space="preserve">indicate </w:t>
      </w:r>
      <w:r w:rsidRPr="00406C70" w:rsidR="00BF56BB">
        <w:rPr>
          <w:rFonts w:cstheme="minorHAnsi"/>
          <w:szCs w:val="26"/>
        </w:rPr>
        <w:t xml:space="preserve">that modification should be </w:t>
      </w:r>
      <w:r w:rsidRPr="00406C70" w:rsidR="00BD0E5C">
        <w:rPr>
          <w:rFonts w:cstheme="minorHAnsi"/>
          <w:szCs w:val="26"/>
        </w:rPr>
        <w:t xml:space="preserve">governed by the procedures for revocation </w:t>
      </w:r>
      <w:r w:rsidRPr="00406C70" w:rsidR="00BF56BB">
        <w:rPr>
          <w:rFonts w:cstheme="minorHAnsi"/>
          <w:szCs w:val="26"/>
        </w:rPr>
        <w:t>unless the settlor makes clear an intention to establish a different rule.</w:t>
      </w:r>
    </w:p>
    <w:p w:rsidR="00966B54" w:rsidRPr="00406C70" w:rsidP="00406C70" w14:paraId="5A6668A1" w14:textId="77777777">
      <w:pPr>
        <w:pStyle w:val="Text"/>
        <w:spacing w:line="400" w:lineRule="exact"/>
        <w:ind w:firstLine="720"/>
        <w:rPr>
          <w:rFonts w:cstheme="minorHAnsi"/>
          <w:szCs w:val="26"/>
        </w:rPr>
      </w:pPr>
      <w:r w:rsidRPr="00406C70">
        <w:rPr>
          <w:rFonts w:cstheme="minorHAnsi"/>
          <w:i/>
          <w:iCs/>
          <w:szCs w:val="26"/>
        </w:rPr>
        <w:t xml:space="preserve">King </w:t>
      </w:r>
      <w:r w:rsidRPr="00406C70" w:rsidR="0089583E">
        <w:rPr>
          <w:rFonts w:cstheme="minorHAnsi"/>
          <w:szCs w:val="26"/>
        </w:rPr>
        <w:t xml:space="preserve">contends </w:t>
      </w:r>
      <w:r w:rsidRPr="00406C70">
        <w:rPr>
          <w:rFonts w:cstheme="minorHAnsi"/>
          <w:szCs w:val="26"/>
        </w:rPr>
        <w:t>that if section 15402 merely incorporated the procedures of section 15401 for modifications, then section 15402 would be surplusage.  (</w:t>
      </w:r>
      <w:r w:rsidRPr="00406C70">
        <w:rPr>
          <w:rFonts w:cstheme="minorHAnsi"/>
          <w:i/>
          <w:iCs/>
          <w:szCs w:val="26"/>
        </w:rPr>
        <w:t>King</w:t>
      </w:r>
      <w:r w:rsidRPr="00406C70">
        <w:rPr>
          <w:rFonts w:cstheme="minorHAnsi"/>
          <w:szCs w:val="26"/>
        </w:rPr>
        <w:t xml:space="preserve">, </w:t>
      </w:r>
      <w:r w:rsidRPr="00406C70">
        <w:rPr>
          <w:rFonts w:cstheme="minorHAnsi"/>
          <w:i/>
          <w:iCs/>
          <w:szCs w:val="26"/>
        </w:rPr>
        <w:t>supra</w:t>
      </w:r>
      <w:r w:rsidRPr="00406C70">
        <w:rPr>
          <w:rFonts w:cstheme="minorHAnsi"/>
          <w:szCs w:val="26"/>
        </w:rPr>
        <w:t xml:space="preserve">, 204 Cal.App.4th at p. 1193.)  But </w:t>
      </w:r>
      <w:r w:rsidRPr="00406C70" w:rsidR="00A80AED">
        <w:rPr>
          <w:rFonts w:cstheme="minorHAnsi"/>
          <w:szCs w:val="26"/>
        </w:rPr>
        <w:t xml:space="preserve">the </w:t>
      </w:r>
      <w:r w:rsidR="00A64ED6">
        <w:rPr>
          <w:rFonts w:cstheme="minorHAnsi"/>
          <w:szCs w:val="26"/>
        </w:rPr>
        <w:t>Legislature</w:t>
      </w:r>
      <w:r w:rsidRPr="00406C70" w:rsidR="00A80AED">
        <w:rPr>
          <w:rFonts w:cstheme="minorHAnsi"/>
          <w:szCs w:val="26"/>
        </w:rPr>
        <w:t xml:space="preserve"> </w:t>
      </w:r>
      <w:r w:rsidRPr="00406C70">
        <w:rPr>
          <w:rFonts w:cstheme="minorHAnsi"/>
          <w:szCs w:val="26"/>
        </w:rPr>
        <w:t xml:space="preserve">had reason to </w:t>
      </w:r>
      <w:r w:rsidR="005248E7">
        <w:rPr>
          <w:rFonts w:cstheme="minorHAnsi"/>
          <w:szCs w:val="26"/>
        </w:rPr>
        <w:t xml:space="preserve">accept the Commission’s recommendation and </w:t>
      </w:r>
      <w:r w:rsidRPr="00406C70">
        <w:rPr>
          <w:rFonts w:cstheme="minorHAnsi"/>
          <w:szCs w:val="26"/>
        </w:rPr>
        <w:t xml:space="preserve">codify the common law rule that revocation procedures can be used for modification.  An appellate court had expressed uncertainty about the legal underpinnings of the rule.  (See </w:t>
      </w:r>
      <w:r w:rsidRPr="00406C70">
        <w:rPr>
          <w:rFonts w:cstheme="minorHAnsi"/>
          <w:i/>
          <w:iCs/>
          <w:szCs w:val="26"/>
        </w:rPr>
        <w:t>Hei</w:t>
      </w:r>
      <w:r w:rsidR="00B03554">
        <w:rPr>
          <w:rFonts w:cstheme="minorHAnsi"/>
          <w:i/>
          <w:iCs/>
          <w:szCs w:val="26"/>
        </w:rPr>
        <w:t>f</w:t>
      </w:r>
      <w:r w:rsidRPr="00406C70">
        <w:rPr>
          <w:rFonts w:cstheme="minorHAnsi"/>
          <w:i/>
          <w:iCs/>
          <w:szCs w:val="26"/>
        </w:rPr>
        <w:t>etz v. Bank of Am</w:t>
      </w:r>
      <w:r w:rsidR="007B05A0">
        <w:rPr>
          <w:rFonts w:cstheme="minorHAnsi"/>
          <w:i/>
          <w:iCs/>
          <w:szCs w:val="26"/>
        </w:rPr>
        <w:t>erica</w:t>
      </w:r>
      <w:r w:rsidRPr="00406C70">
        <w:rPr>
          <w:rFonts w:cstheme="minorHAnsi"/>
          <w:szCs w:val="26"/>
        </w:rPr>
        <w:t xml:space="preserve"> (1957) 147 Cal.App.2d 776, 781 [“ ‘Does power to revoke include power to amend?  It has been held that it does not where the only power reserved is to revoke the trust in its entirety.  Where the terms of the trust are less explicit, the answer is more doubtful.  The Restatement </w:t>
      </w:r>
      <w:r w:rsidR="00791CA0">
        <w:rPr>
          <w:rFonts w:cstheme="minorHAnsi"/>
          <w:szCs w:val="26"/>
        </w:rPr>
        <w:t xml:space="preserve">[of Trusts] </w:t>
      </w:r>
      <w:r w:rsidRPr="00406C70">
        <w:rPr>
          <w:rFonts w:cstheme="minorHAnsi"/>
          <w:szCs w:val="26"/>
        </w:rPr>
        <w:t>(§ 331</w:t>
      </w:r>
      <w:r w:rsidR="00791CA0">
        <w:rPr>
          <w:rFonts w:cstheme="minorHAnsi"/>
          <w:szCs w:val="26"/>
        </w:rPr>
        <w:t xml:space="preserve">[, com.] </w:t>
      </w:r>
      <w:r w:rsidRPr="00406C70">
        <w:rPr>
          <w:rFonts w:cstheme="minorHAnsi"/>
          <w:szCs w:val="26"/>
        </w:rPr>
        <w:t xml:space="preserve">g) is favorable to the view that the power to amend is included in the power to revoke.  The authorities upon the point do not seem to be numerous.  As a practical proposition, the principle referred to, if it exists, is too uncertain, too dependent on language furnishing only disputable evidence of intent, to provide a safe working rule.’ ”].)  In the Commission’s reports recommending that the Legislature enact section 15402, it cited </w:t>
      </w:r>
      <w:r w:rsidRPr="00406C70">
        <w:rPr>
          <w:rFonts w:cstheme="minorHAnsi"/>
          <w:i/>
          <w:iCs/>
          <w:szCs w:val="26"/>
        </w:rPr>
        <w:t>Hei</w:t>
      </w:r>
      <w:r w:rsidR="00B03554">
        <w:rPr>
          <w:rFonts w:cstheme="minorHAnsi"/>
          <w:i/>
          <w:iCs/>
          <w:szCs w:val="26"/>
        </w:rPr>
        <w:t>f</w:t>
      </w:r>
      <w:r w:rsidRPr="00406C70">
        <w:rPr>
          <w:rFonts w:cstheme="minorHAnsi"/>
          <w:i/>
          <w:iCs/>
          <w:szCs w:val="26"/>
        </w:rPr>
        <w:t>etz</w:t>
      </w:r>
      <w:r w:rsidRPr="00406C70">
        <w:rPr>
          <w:rFonts w:cstheme="minorHAnsi"/>
          <w:szCs w:val="26"/>
        </w:rPr>
        <w:t xml:space="preserve">, suggesting that the legal uncertainty </w:t>
      </w:r>
      <w:r w:rsidRPr="00406C70">
        <w:rPr>
          <w:rFonts w:cstheme="minorHAnsi"/>
          <w:i/>
          <w:iCs/>
          <w:szCs w:val="26"/>
        </w:rPr>
        <w:t>Hei</w:t>
      </w:r>
      <w:r w:rsidR="00B03554">
        <w:rPr>
          <w:rFonts w:cstheme="minorHAnsi"/>
          <w:i/>
          <w:iCs/>
          <w:szCs w:val="26"/>
        </w:rPr>
        <w:t>f</w:t>
      </w:r>
      <w:r w:rsidRPr="00406C70">
        <w:rPr>
          <w:rFonts w:cstheme="minorHAnsi"/>
          <w:i/>
          <w:iCs/>
          <w:szCs w:val="26"/>
        </w:rPr>
        <w:t>etz</w:t>
      </w:r>
      <w:r w:rsidRPr="00406C70">
        <w:rPr>
          <w:rFonts w:cstheme="minorHAnsi"/>
          <w:szCs w:val="26"/>
        </w:rPr>
        <w:t xml:space="preserve"> identified may have contributed to its decision to recommend formalizing the common law rule.  (See, e.g., </w:t>
      </w:r>
      <w:r w:rsidRPr="00AA130A">
        <w:rPr>
          <w:rFonts w:cstheme="minorHAnsi"/>
          <w:szCs w:val="26"/>
        </w:rPr>
        <w:t>Recommendation Proposing the Trust Law</w:t>
      </w:r>
      <w:r w:rsidRPr="00406C70">
        <w:rPr>
          <w:rFonts w:cstheme="minorHAnsi"/>
          <w:szCs w:val="26"/>
        </w:rPr>
        <w:t xml:space="preserve">, </w:t>
      </w:r>
      <w:r w:rsidRPr="00406C70">
        <w:rPr>
          <w:rFonts w:cstheme="minorHAnsi"/>
          <w:i/>
          <w:iCs/>
          <w:szCs w:val="26"/>
        </w:rPr>
        <w:t>supra</w:t>
      </w:r>
      <w:r w:rsidRPr="00406C70">
        <w:rPr>
          <w:rFonts w:cstheme="minorHAnsi"/>
          <w:szCs w:val="26"/>
        </w:rPr>
        <w:t>,</w:t>
      </w:r>
      <w:r w:rsidRPr="00406C70">
        <w:rPr>
          <w:rFonts w:cstheme="minorHAnsi"/>
          <w:i/>
          <w:iCs/>
          <w:szCs w:val="26"/>
        </w:rPr>
        <w:t xml:space="preserve"> </w:t>
      </w:r>
      <w:r w:rsidRPr="00406C70">
        <w:rPr>
          <w:rFonts w:cstheme="minorHAnsi"/>
          <w:szCs w:val="26"/>
        </w:rPr>
        <w:t xml:space="preserve">at pp. 568, fn. 253, 636.)  </w:t>
      </w:r>
    </w:p>
    <w:p w:rsidR="00837BF0" w:rsidRPr="00406C70" w:rsidP="00406C70" w14:paraId="5A6668A2" w14:textId="77777777">
      <w:pPr>
        <w:pStyle w:val="Text"/>
        <w:spacing w:line="400" w:lineRule="exact"/>
        <w:ind w:firstLine="720"/>
        <w:rPr>
          <w:rFonts w:cstheme="minorHAnsi"/>
          <w:szCs w:val="26"/>
        </w:rPr>
      </w:pPr>
      <w:r w:rsidRPr="00406C70">
        <w:rPr>
          <w:rFonts w:cstheme="minorHAnsi"/>
          <w:szCs w:val="26"/>
        </w:rPr>
        <w:t xml:space="preserve">A later amendment to section 15401 underscores that the </w:t>
      </w:r>
      <w:r w:rsidRPr="00406C70" w:rsidR="00AB099A">
        <w:rPr>
          <w:rFonts w:cstheme="minorHAnsi"/>
          <w:szCs w:val="26"/>
        </w:rPr>
        <w:t xml:space="preserve">Legislature </w:t>
      </w:r>
      <w:r w:rsidRPr="00406C70">
        <w:rPr>
          <w:rFonts w:cstheme="minorHAnsi"/>
          <w:szCs w:val="26"/>
        </w:rPr>
        <w:t xml:space="preserve">intended revocation procedures to govern modification.  In 1988, </w:t>
      </w:r>
      <w:r w:rsidRPr="00406C70" w:rsidR="00654EFC">
        <w:rPr>
          <w:rFonts w:cstheme="minorHAnsi"/>
          <w:szCs w:val="26"/>
        </w:rPr>
        <w:t xml:space="preserve">in response to a proposal by </w:t>
      </w:r>
      <w:r w:rsidRPr="00406C70">
        <w:rPr>
          <w:rFonts w:cstheme="minorHAnsi"/>
          <w:szCs w:val="26"/>
        </w:rPr>
        <w:t xml:space="preserve">the Commission, the Legislature enacted a change to what is now subdivision (c) of section 15401 relating to attorneys in fact.  The relevant statutory provision previously stated that “[a] trust may not be </w:t>
      </w:r>
      <w:r w:rsidRPr="00406C70">
        <w:rPr>
          <w:rFonts w:cstheme="minorHAnsi"/>
          <w:i/>
          <w:iCs/>
          <w:szCs w:val="26"/>
        </w:rPr>
        <w:t>revoked</w:t>
      </w:r>
      <w:r w:rsidRPr="00406C70">
        <w:rPr>
          <w:rFonts w:cstheme="minorHAnsi"/>
          <w:szCs w:val="26"/>
        </w:rPr>
        <w:t xml:space="preserve"> by an attorney.”  (Stats. 1986, ch. </w:t>
      </w:r>
      <w:r w:rsidRPr="00406C70" w:rsidR="00786E22">
        <w:rPr>
          <w:rFonts w:cstheme="minorHAnsi"/>
          <w:szCs w:val="26"/>
        </w:rPr>
        <w:t>820</w:t>
      </w:r>
      <w:r w:rsidRPr="00406C70">
        <w:rPr>
          <w:rFonts w:cstheme="minorHAnsi"/>
          <w:szCs w:val="26"/>
        </w:rPr>
        <w:t>, § 40, p. </w:t>
      </w:r>
      <w:r w:rsidRPr="00406C70" w:rsidR="00786E22">
        <w:rPr>
          <w:rFonts w:cstheme="minorHAnsi"/>
          <w:szCs w:val="26"/>
        </w:rPr>
        <w:t>2</w:t>
      </w:r>
      <w:r w:rsidR="001232FB">
        <w:rPr>
          <w:rFonts w:cstheme="minorHAnsi"/>
          <w:szCs w:val="26"/>
        </w:rPr>
        <w:t>7</w:t>
      </w:r>
      <w:r w:rsidRPr="00406C70" w:rsidR="00786E22">
        <w:rPr>
          <w:rFonts w:cstheme="minorHAnsi"/>
          <w:szCs w:val="26"/>
        </w:rPr>
        <w:t>56</w:t>
      </w:r>
      <w:r w:rsidRPr="00406C70">
        <w:rPr>
          <w:rFonts w:cstheme="minorHAnsi"/>
          <w:szCs w:val="26"/>
        </w:rPr>
        <w:t xml:space="preserve">, italics added.)  </w:t>
      </w:r>
      <w:r w:rsidRPr="00406C70" w:rsidR="00654EFC">
        <w:rPr>
          <w:rFonts w:cstheme="minorHAnsi"/>
          <w:szCs w:val="26"/>
        </w:rPr>
        <w:t>T</w:t>
      </w:r>
      <w:r w:rsidRPr="00406C70">
        <w:rPr>
          <w:rFonts w:cstheme="minorHAnsi"/>
          <w:szCs w:val="26"/>
        </w:rPr>
        <w:t xml:space="preserve">he Legislature amended the statute to state that “[a] trust may not be </w:t>
      </w:r>
      <w:r w:rsidRPr="00406C70">
        <w:rPr>
          <w:rFonts w:cstheme="minorHAnsi"/>
          <w:i/>
          <w:iCs/>
          <w:szCs w:val="26"/>
        </w:rPr>
        <w:t>modified or revoked</w:t>
      </w:r>
      <w:r w:rsidRPr="00406C70">
        <w:rPr>
          <w:rFonts w:cstheme="minorHAnsi"/>
          <w:szCs w:val="26"/>
        </w:rPr>
        <w:t xml:space="preserve"> by an attorney.”  (Stats. 1988, ch. 113, §</w:t>
      </w:r>
      <w:r w:rsidRPr="00406C70" w:rsidR="00145224">
        <w:rPr>
          <w:rFonts w:cstheme="minorHAnsi"/>
          <w:szCs w:val="26"/>
        </w:rPr>
        <w:t> </w:t>
      </w:r>
      <w:r w:rsidRPr="00406C70">
        <w:rPr>
          <w:rFonts w:cstheme="minorHAnsi"/>
          <w:szCs w:val="26"/>
        </w:rPr>
        <w:t>19, p.</w:t>
      </w:r>
      <w:r w:rsidRPr="00406C70" w:rsidR="00145224">
        <w:rPr>
          <w:rFonts w:cstheme="minorHAnsi"/>
          <w:szCs w:val="26"/>
        </w:rPr>
        <w:t> </w:t>
      </w:r>
      <w:r w:rsidRPr="00406C70">
        <w:rPr>
          <w:rFonts w:cstheme="minorHAnsi"/>
          <w:szCs w:val="26"/>
        </w:rPr>
        <w:t>481, italics added.)  In proposing this change, the Commission explained that its goal was “to make clear that the rule applicable to revocation by an attorney in fact applies to modification,” which “is consistent with the rule provided in section 15402.”  (Recommendations Relating to Probate Law</w:t>
      </w:r>
      <w:r w:rsidRPr="00406C70" w:rsidR="00F75740">
        <w:rPr>
          <w:rFonts w:cstheme="minorHAnsi"/>
          <w:szCs w:val="26"/>
        </w:rPr>
        <w:t xml:space="preserve"> (Dec. </w:t>
      </w:r>
      <w:r w:rsidRPr="00406C70" w:rsidR="00174D3D">
        <w:rPr>
          <w:rFonts w:cstheme="minorHAnsi"/>
          <w:szCs w:val="26"/>
        </w:rPr>
        <w:t>1987)</w:t>
      </w:r>
      <w:r w:rsidRPr="00406C70" w:rsidR="00F75740">
        <w:rPr>
          <w:rFonts w:cstheme="minorHAnsi"/>
          <w:szCs w:val="26"/>
        </w:rPr>
        <w:t xml:space="preserve"> </w:t>
      </w:r>
      <w:r w:rsidRPr="00406C70">
        <w:rPr>
          <w:rFonts w:cstheme="minorHAnsi"/>
          <w:szCs w:val="26"/>
        </w:rPr>
        <w:t xml:space="preserve">19 Cal. Law Revision Com. Rep. </w:t>
      </w:r>
      <w:r w:rsidRPr="00406C70" w:rsidR="00653A68">
        <w:rPr>
          <w:rFonts w:cstheme="minorHAnsi"/>
          <w:szCs w:val="26"/>
        </w:rPr>
        <w:t xml:space="preserve">(1988) </w:t>
      </w:r>
      <w:r w:rsidRPr="00406C70" w:rsidR="00D3668C">
        <w:rPr>
          <w:rFonts w:cstheme="minorHAnsi"/>
          <w:szCs w:val="26"/>
        </w:rPr>
        <w:t>p. </w:t>
      </w:r>
      <w:r w:rsidRPr="00406C70">
        <w:rPr>
          <w:rFonts w:cstheme="minorHAnsi"/>
          <w:szCs w:val="26"/>
        </w:rPr>
        <w:t>1097.)</w:t>
      </w:r>
      <w:r w:rsidRPr="00406C70" w:rsidR="00E72BE1">
        <w:rPr>
          <w:rFonts w:cstheme="minorHAnsi"/>
          <w:szCs w:val="26"/>
        </w:rPr>
        <w:t xml:space="preserve">  There is no evidence that the Legislature </w:t>
      </w:r>
      <w:r w:rsidRPr="00406C70" w:rsidR="00D95DD8">
        <w:rPr>
          <w:rFonts w:cstheme="minorHAnsi"/>
          <w:szCs w:val="26"/>
        </w:rPr>
        <w:t>inten</w:t>
      </w:r>
      <w:r w:rsidRPr="00406C70" w:rsidR="00057C34">
        <w:rPr>
          <w:rFonts w:cstheme="minorHAnsi"/>
          <w:szCs w:val="26"/>
        </w:rPr>
        <w:t>ded to depart</w:t>
      </w:r>
      <w:r w:rsidRPr="00406C70" w:rsidR="005C386A">
        <w:rPr>
          <w:rFonts w:cstheme="minorHAnsi"/>
          <w:szCs w:val="26"/>
        </w:rPr>
        <w:t xml:space="preserve"> from this goal</w:t>
      </w:r>
      <w:r w:rsidRPr="00406C70" w:rsidR="00215E43">
        <w:rPr>
          <w:rFonts w:cstheme="minorHAnsi"/>
          <w:szCs w:val="26"/>
        </w:rPr>
        <w:t xml:space="preserve"> in enacting the amendment.</w:t>
      </w:r>
    </w:p>
    <w:p w:rsidR="0099401E" w:rsidRPr="00406C70" w:rsidP="00406C70" w14:paraId="5A6668A3" w14:textId="77777777">
      <w:pPr>
        <w:pStyle w:val="Text"/>
        <w:spacing w:line="400" w:lineRule="exact"/>
        <w:ind w:firstLine="720"/>
        <w:rPr>
          <w:rFonts w:cstheme="minorHAnsi"/>
          <w:szCs w:val="26"/>
        </w:rPr>
      </w:pPr>
      <w:r w:rsidRPr="00406C70">
        <w:t>I</w:t>
      </w:r>
      <w:r w:rsidRPr="00406C70" w:rsidR="006555C5">
        <w:t xml:space="preserve">t is also relevant </w:t>
      </w:r>
      <w:r w:rsidRPr="00406C70" w:rsidR="007A119E">
        <w:t xml:space="preserve">that the Commission </w:t>
      </w:r>
      <w:r w:rsidRPr="00406C70" w:rsidR="00967B8F">
        <w:t xml:space="preserve">proposed </w:t>
      </w:r>
      <w:r w:rsidRPr="00406C70" w:rsidR="007A119E">
        <w:t xml:space="preserve">to </w:t>
      </w:r>
      <w:r w:rsidRPr="00406C70" w:rsidR="00C7747D">
        <w:t xml:space="preserve">make the statutory </w:t>
      </w:r>
      <w:r w:rsidRPr="00406C70" w:rsidR="006062FD">
        <w:t>method</w:t>
      </w:r>
      <w:r w:rsidRPr="00406C70" w:rsidR="00C7747D">
        <w:t xml:space="preserve"> </w:t>
      </w:r>
      <w:r w:rsidRPr="00406C70" w:rsidR="00164820">
        <w:t>more readily available</w:t>
      </w:r>
      <w:r w:rsidRPr="00406C70" w:rsidR="0074604B">
        <w:t xml:space="preserve"> for modification and revocation</w:t>
      </w:r>
      <w:r w:rsidRPr="00406C70">
        <w:t xml:space="preserve">.  </w:t>
      </w:r>
      <w:r w:rsidRPr="00406C70" w:rsidR="009E6343">
        <w:t>The Commission repeatedly indicated that</w:t>
      </w:r>
      <w:r w:rsidRPr="00406C70" w:rsidR="0041579D">
        <w:t xml:space="preserve"> </w:t>
      </w:r>
      <w:r w:rsidRPr="00406C70" w:rsidR="0074604B">
        <w:t xml:space="preserve">the power of revocation </w:t>
      </w:r>
      <w:r w:rsidRPr="00406C70" w:rsidR="00A25269">
        <w:t xml:space="preserve">historically has </w:t>
      </w:r>
      <w:r w:rsidRPr="00406C70" w:rsidR="0074604B">
        <w:t>implie</w:t>
      </w:r>
      <w:r w:rsidRPr="00406C70" w:rsidR="00A25269">
        <w:t>d</w:t>
      </w:r>
      <w:r w:rsidRPr="00406C70" w:rsidR="0074604B">
        <w:t xml:space="preserve"> the power of modification </w:t>
      </w:r>
      <w:r w:rsidRPr="00406C70" w:rsidR="008A4102">
        <w:t xml:space="preserve">and </w:t>
      </w:r>
      <w:r w:rsidRPr="00406C70" w:rsidR="0041579D">
        <w:t xml:space="preserve">that </w:t>
      </w:r>
      <w:r w:rsidRPr="00406C70" w:rsidR="00CA3821">
        <w:t>the Commission’s</w:t>
      </w:r>
      <w:r w:rsidRPr="00406C70" w:rsidR="004963C2">
        <w:t xml:space="preserve"> intention was to codify that rule.  </w:t>
      </w:r>
      <w:r w:rsidRPr="00406C70" w:rsidR="009E6343">
        <w:t xml:space="preserve">(See, e.g., </w:t>
      </w:r>
      <w:r w:rsidRPr="0037090C" w:rsidR="009E6343">
        <w:rPr>
          <w:rFonts w:cstheme="minorHAnsi"/>
          <w:szCs w:val="26"/>
        </w:rPr>
        <w:t>Recommendation Proposing the Trust Law</w:t>
      </w:r>
      <w:r w:rsidRPr="00406C70" w:rsidR="009E6343">
        <w:rPr>
          <w:rFonts w:cstheme="minorHAnsi"/>
          <w:szCs w:val="26"/>
        </w:rPr>
        <w:t xml:space="preserve">, </w:t>
      </w:r>
      <w:r w:rsidRPr="00406C70" w:rsidR="009E6343">
        <w:rPr>
          <w:rFonts w:cstheme="minorHAnsi"/>
          <w:i/>
          <w:iCs/>
          <w:szCs w:val="26"/>
        </w:rPr>
        <w:t>supra</w:t>
      </w:r>
      <w:r w:rsidRPr="00406C70" w:rsidR="009E6343">
        <w:rPr>
          <w:rFonts w:cstheme="minorHAnsi"/>
          <w:szCs w:val="26"/>
        </w:rPr>
        <w:t>,</w:t>
      </w:r>
      <w:r w:rsidRPr="00406C70" w:rsidR="009E6343">
        <w:rPr>
          <w:rFonts w:cstheme="minorHAnsi"/>
          <w:i/>
          <w:iCs/>
          <w:szCs w:val="26"/>
        </w:rPr>
        <w:t xml:space="preserve"> </w:t>
      </w:r>
      <w:r w:rsidRPr="00406C70" w:rsidR="009E6343">
        <w:rPr>
          <w:rFonts w:cstheme="minorHAnsi"/>
          <w:szCs w:val="26"/>
        </w:rPr>
        <w:t xml:space="preserve">at pp. 568, 636.)  </w:t>
      </w:r>
      <w:r w:rsidRPr="00406C70" w:rsidR="00A25269">
        <w:t>Further, t</w:t>
      </w:r>
      <w:r w:rsidRPr="00406C70">
        <w:t xml:space="preserve">he Commission expressly stated its goal </w:t>
      </w:r>
      <w:r w:rsidRPr="00406C70" w:rsidR="00866512">
        <w:t>of</w:t>
      </w:r>
      <w:r w:rsidRPr="00406C70">
        <w:t xml:space="preserve"> expand</w:t>
      </w:r>
      <w:r w:rsidRPr="00406C70" w:rsidR="00866512">
        <w:t>ing</w:t>
      </w:r>
      <w:r w:rsidRPr="00406C70">
        <w:t xml:space="preserve"> </w:t>
      </w:r>
      <w:r w:rsidRPr="00406C70" w:rsidR="00A732C9">
        <w:t xml:space="preserve">the availability of </w:t>
      </w:r>
      <w:r w:rsidRPr="00406C70" w:rsidR="00183312">
        <w:t xml:space="preserve">the statutory </w:t>
      </w:r>
      <w:r w:rsidRPr="00406C70" w:rsidR="006062FD">
        <w:t xml:space="preserve">method </w:t>
      </w:r>
      <w:r w:rsidRPr="00406C70" w:rsidR="00183312">
        <w:t>for revocation</w:t>
      </w:r>
      <w:r w:rsidRPr="00406C70">
        <w:t>.</w:t>
      </w:r>
      <w:r w:rsidRPr="00406C70" w:rsidR="00183312">
        <w:t xml:space="preserve"> </w:t>
      </w:r>
      <w:r w:rsidRPr="00406C70">
        <w:t xml:space="preserve"> </w:t>
      </w:r>
      <w:r w:rsidRPr="00406C70" w:rsidR="00183312">
        <w:t>(</w:t>
      </w:r>
      <w:r w:rsidRPr="00406C70" w:rsidR="009E6343">
        <w:rPr>
          <w:rFonts w:cstheme="minorHAnsi"/>
          <w:i/>
          <w:iCs/>
          <w:szCs w:val="26"/>
        </w:rPr>
        <w:t>Id.</w:t>
      </w:r>
      <w:r w:rsidRPr="00406C70" w:rsidR="009E6343">
        <w:rPr>
          <w:rFonts w:cstheme="minorHAnsi"/>
          <w:szCs w:val="26"/>
        </w:rPr>
        <w:t>,</w:t>
      </w:r>
      <w:r w:rsidRPr="00406C70">
        <w:rPr>
          <w:rFonts w:cstheme="minorHAnsi"/>
          <w:i/>
          <w:iCs/>
          <w:szCs w:val="26"/>
        </w:rPr>
        <w:t xml:space="preserve"> </w:t>
      </w:r>
      <w:r w:rsidRPr="00406C70">
        <w:rPr>
          <w:rFonts w:cstheme="minorHAnsi"/>
          <w:szCs w:val="26"/>
        </w:rPr>
        <w:t xml:space="preserve">at p. 568.)  </w:t>
      </w:r>
      <w:r w:rsidRPr="00406C70" w:rsidR="00A25269">
        <w:rPr>
          <w:rFonts w:cstheme="minorHAnsi"/>
          <w:szCs w:val="26"/>
        </w:rPr>
        <w:t>These statements suggest</w:t>
      </w:r>
      <w:r w:rsidRPr="00406C70" w:rsidR="0098681F">
        <w:rPr>
          <w:rFonts w:cstheme="minorHAnsi"/>
          <w:szCs w:val="26"/>
        </w:rPr>
        <w:t xml:space="preserve"> that </w:t>
      </w:r>
      <w:r w:rsidRPr="00406C70" w:rsidR="0016651B">
        <w:rPr>
          <w:rFonts w:cstheme="minorHAnsi"/>
          <w:szCs w:val="26"/>
        </w:rPr>
        <w:t>the Commission</w:t>
      </w:r>
      <w:r w:rsidR="002A2BB0">
        <w:rPr>
          <w:rFonts w:cstheme="minorHAnsi"/>
          <w:szCs w:val="26"/>
        </w:rPr>
        <w:t xml:space="preserve"> and, in turn, the</w:t>
      </w:r>
      <w:r w:rsidRPr="00406C70" w:rsidR="006E616C">
        <w:rPr>
          <w:rFonts w:cstheme="minorHAnsi"/>
          <w:szCs w:val="26"/>
        </w:rPr>
        <w:t xml:space="preserve"> Legislature</w:t>
      </w:r>
      <w:r w:rsidR="002A2BB0">
        <w:rPr>
          <w:rFonts w:cstheme="minorHAnsi"/>
          <w:szCs w:val="26"/>
        </w:rPr>
        <w:t xml:space="preserve"> intended</w:t>
      </w:r>
      <w:r w:rsidRPr="00406C70" w:rsidR="006E616C">
        <w:rPr>
          <w:rFonts w:cstheme="minorHAnsi"/>
          <w:szCs w:val="26"/>
        </w:rPr>
        <w:t xml:space="preserve"> </w:t>
      </w:r>
      <w:r w:rsidRPr="00406C70" w:rsidR="006E14EE">
        <w:rPr>
          <w:rFonts w:cstheme="minorHAnsi"/>
          <w:szCs w:val="26"/>
        </w:rPr>
        <w:t>to expand the availability of</w:t>
      </w:r>
      <w:r w:rsidRPr="00406C70" w:rsidR="00DE1F4C">
        <w:rPr>
          <w:rFonts w:cstheme="minorHAnsi"/>
          <w:szCs w:val="26"/>
        </w:rPr>
        <w:t xml:space="preserve"> the </w:t>
      </w:r>
      <w:r w:rsidRPr="00406C70" w:rsidR="006E14EE">
        <w:rPr>
          <w:rFonts w:cstheme="minorHAnsi"/>
          <w:szCs w:val="26"/>
        </w:rPr>
        <w:t xml:space="preserve">statutory </w:t>
      </w:r>
      <w:r w:rsidRPr="00406C70" w:rsidR="006062FD">
        <w:rPr>
          <w:rFonts w:cstheme="minorHAnsi"/>
          <w:szCs w:val="26"/>
        </w:rPr>
        <w:t xml:space="preserve">method </w:t>
      </w:r>
      <w:r w:rsidRPr="00406C70" w:rsidR="00374672">
        <w:rPr>
          <w:rFonts w:cstheme="minorHAnsi"/>
          <w:szCs w:val="26"/>
        </w:rPr>
        <w:t xml:space="preserve">not solely for </w:t>
      </w:r>
      <w:r w:rsidRPr="00406C70" w:rsidR="006E14EE">
        <w:rPr>
          <w:rFonts w:cstheme="minorHAnsi"/>
          <w:szCs w:val="26"/>
        </w:rPr>
        <w:t>revocation</w:t>
      </w:r>
      <w:r w:rsidRPr="00406C70" w:rsidR="00374672">
        <w:rPr>
          <w:rFonts w:cstheme="minorHAnsi"/>
          <w:szCs w:val="26"/>
        </w:rPr>
        <w:t xml:space="preserve"> but also for modification, a process that the Commission viewed as </w:t>
      </w:r>
      <w:r w:rsidRPr="00406C70" w:rsidR="00115D3E">
        <w:rPr>
          <w:rFonts w:cstheme="minorHAnsi"/>
          <w:szCs w:val="26"/>
        </w:rPr>
        <w:t>implicit</w:t>
      </w:r>
      <w:r w:rsidRPr="00406C70" w:rsidR="00374672">
        <w:rPr>
          <w:rFonts w:cstheme="minorHAnsi"/>
          <w:szCs w:val="26"/>
        </w:rPr>
        <w:t xml:space="preserve"> </w:t>
      </w:r>
      <w:r w:rsidRPr="00406C70" w:rsidR="00654EFC">
        <w:rPr>
          <w:rFonts w:cstheme="minorHAnsi"/>
          <w:szCs w:val="26"/>
        </w:rPr>
        <w:t xml:space="preserve">in </w:t>
      </w:r>
      <w:r w:rsidRPr="00406C70" w:rsidR="00374672">
        <w:rPr>
          <w:rFonts w:cstheme="minorHAnsi"/>
          <w:szCs w:val="26"/>
        </w:rPr>
        <w:t xml:space="preserve">the power </w:t>
      </w:r>
      <w:r w:rsidRPr="00406C70" w:rsidR="004308C1">
        <w:rPr>
          <w:rFonts w:cstheme="minorHAnsi"/>
          <w:szCs w:val="26"/>
        </w:rPr>
        <w:t xml:space="preserve">of </w:t>
      </w:r>
      <w:r w:rsidRPr="00406C70" w:rsidR="00EB1BE4">
        <w:rPr>
          <w:rFonts w:cstheme="minorHAnsi"/>
          <w:szCs w:val="26"/>
        </w:rPr>
        <w:t>revocation</w:t>
      </w:r>
      <w:r w:rsidRPr="00406C70" w:rsidR="00374672">
        <w:rPr>
          <w:rFonts w:cstheme="minorHAnsi"/>
          <w:szCs w:val="26"/>
        </w:rPr>
        <w:t xml:space="preserve">. </w:t>
      </w:r>
      <w:r w:rsidRPr="00406C70" w:rsidR="009D1B16">
        <w:rPr>
          <w:rFonts w:cstheme="minorHAnsi"/>
          <w:szCs w:val="26"/>
        </w:rPr>
        <w:t xml:space="preserve"> </w:t>
      </w:r>
    </w:p>
    <w:p w:rsidR="00D63D30" w:rsidRPr="00406C70" w:rsidP="00406C70" w14:paraId="5A6668A4" w14:textId="77777777">
      <w:pPr>
        <w:pStyle w:val="Text"/>
        <w:spacing w:line="400" w:lineRule="exact"/>
        <w:ind w:firstLine="720"/>
        <w:rPr>
          <w:rFonts w:cstheme="minorHAnsi"/>
          <w:szCs w:val="26"/>
        </w:rPr>
      </w:pPr>
      <w:r w:rsidRPr="00406C70">
        <w:t>In</w:t>
      </w:r>
      <w:r w:rsidRPr="00406C70" w:rsidR="00AB75B4">
        <w:t xml:space="preserve"> </w:t>
      </w:r>
      <w:r w:rsidRPr="00406C70" w:rsidR="00121306">
        <w:t>explain</w:t>
      </w:r>
      <w:r w:rsidRPr="00406C70">
        <w:t>ing</w:t>
      </w:r>
      <w:r w:rsidRPr="00406C70" w:rsidR="00121306">
        <w:t xml:space="preserve"> its </w:t>
      </w:r>
      <w:r w:rsidRPr="00406C70" w:rsidR="00EE52B6">
        <w:t xml:space="preserve">proposal </w:t>
      </w:r>
      <w:r w:rsidRPr="00406C70" w:rsidR="00121306">
        <w:t xml:space="preserve">to expand the availability of the statutory </w:t>
      </w:r>
      <w:r w:rsidRPr="00406C70" w:rsidR="006062FD">
        <w:t>method</w:t>
      </w:r>
      <w:r w:rsidRPr="00406C70">
        <w:t>, the Commission</w:t>
      </w:r>
      <w:r w:rsidRPr="00406C70" w:rsidR="00121306">
        <w:t xml:space="preserve"> </w:t>
      </w:r>
      <w:r w:rsidRPr="00406C70" w:rsidR="00AB75B4">
        <w:t xml:space="preserve">said that </w:t>
      </w:r>
      <w:r w:rsidRPr="00406C70" w:rsidR="00551F2D">
        <w:t xml:space="preserve">under Civil Code </w:t>
      </w:r>
      <w:r w:rsidR="00E45B58">
        <w:t xml:space="preserve">former </w:t>
      </w:r>
      <w:r w:rsidRPr="00406C70" w:rsidR="00551F2D">
        <w:t>section 2280</w:t>
      </w:r>
      <w:r w:rsidRPr="00406C70" w:rsidR="00121306">
        <w:t xml:space="preserve">, </w:t>
      </w:r>
      <w:r w:rsidRPr="00406C70" w:rsidR="00551F2D">
        <w:t>“</w:t>
      </w:r>
      <w:r w:rsidRPr="00406C70" w:rsidR="00551F2D">
        <w:rPr>
          <w:rFonts w:cstheme="minorHAnsi"/>
          <w:szCs w:val="26"/>
        </w:rPr>
        <w:t xml:space="preserve">California courts generally </w:t>
      </w:r>
      <w:r w:rsidRPr="00406C70" w:rsidR="000A7949">
        <w:rPr>
          <w:rFonts w:cstheme="minorHAnsi"/>
          <w:szCs w:val="26"/>
        </w:rPr>
        <w:t>. . </w:t>
      </w:r>
      <w:r w:rsidRPr="00406C70" w:rsidR="000A7949">
        <w:rPr>
          <w:rFonts w:cstheme="minorHAnsi"/>
          <w:szCs w:val="28"/>
        </w:rPr>
        <w:t>.</w:t>
      </w:r>
      <w:r w:rsidRPr="00406C70" w:rsidR="00551F2D">
        <w:rPr>
          <w:rFonts w:cstheme="minorHAnsi"/>
          <w:szCs w:val="26"/>
        </w:rPr>
        <w:t xml:space="preserve"> held that where the trust instrument prescribes a method of revocation, the prescribed procedure must be followed rather than the statutory method.</w:t>
      </w:r>
      <w:r w:rsidRPr="00406C70" w:rsidR="004022A9">
        <w:rPr>
          <w:rFonts w:cstheme="minorHAnsi"/>
          <w:szCs w:val="26"/>
        </w:rPr>
        <w:t xml:space="preserve">  </w:t>
      </w:r>
      <w:r w:rsidRPr="00406C70" w:rsidR="00786E22">
        <w:rPr>
          <w:rFonts w:cstheme="minorHAnsi"/>
          <w:szCs w:val="26"/>
        </w:rPr>
        <w:t>[</w:t>
      </w:r>
      <w:r w:rsidR="00E45B58">
        <w:rPr>
          <w:rFonts w:cstheme="minorHAnsi"/>
          <w:szCs w:val="26"/>
        </w:rPr>
        <w:t>Fn</w:t>
      </w:r>
      <w:r w:rsidRPr="00406C70" w:rsidR="00786E22">
        <w:rPr>
          <w:rFonts w:cstheme="minorHAnsi"/>
          <w:szCs w:val="26"/>
        </w:rPr>
        <w:t>.</w:t>
      </w:r>
      <w:r w:rsidR="00E45B58">
        <w:rPr>
          <w:rFonts w:cstheme="minorHAnsi"/>
          <w:szCs w:val="26"/>
        </w:rPr>
        <w:t xml:space="preserve"> omitted.</w:t>
      </w:r>
      <w:r w:rsidRPr="00406C70" w:rsidR="00786E22">
        <w:rPr>
          <w:rFonts w:cstheme="minorHAnsi"/>
          <w:szCs w:val="26"/>
        </w:rPr>
        <w:t xml:space="preserve">]  </w:t>
      </w:r>
      <w:r w:rsidRPr="00406C70" w:rsidR="004022A9">
        <w:rPr>
          <w:rFonts w:cstheme="minorHAnsi"/>
          <w:szCs w:val="26"/>
        </w:rPr>
        <w:t xml:space="preserve">This </w:t>
      </w:r>
      <w:r w:rsidRPr="00406C70" w:rsidR="00551F2D">
        <w:rPr>
          <w:rFonts w:cstheme="minorHAnsi"/>
          <w:szCs w:val="26"/>
        </w:rPr>
        <w:t>rule [was] defended on the grounds that the settlor may wish to establish a more complicated manner of revocation than that provided by statute where there is a concern about ‘future senility or future undue influence while in a weakened condition.’ ”  (</w:t>
      </w:r>
      <w:r w:rsidRPr="0037090C" w:rsidR="006866D5">
        <w:rPr>
          <w:rFonts w:cstheme="minorHAnsi"/>
          <w:szCs w:val="26"/>
        </w:rPr>
        <w:t>Recommendation Proposing the Trust Law</w:t>
      </w:r>
      <w:r w:rsidRPr="00406C70" w:rsidR="006866D5">
        <w:rPr>
          <w:rFonts w:cstheme="minorHAnsi"/>
          <w:szCs w:val="26"/>
        </w:rPr>
        <w:t xml:space="preserve">, </w:t>
      </w:r>
      <w:r w:rsidRPr="00406C70" w:rsidR="006866D5">
        <w:rPr>
          <w:rFonts w:cstheme="minorHAnsi"/>
          <w:i/>
          <w:iCs/>
          <w:szCs w:val="26"/>
        </w:rPr>
        <w:t>supra</w:t>
      </w:r>
      <w:r w:rsidRPr="00406C70" w:rsidR="006866D5">
        <w:rPr>
          <w:rFonts w:cstheme="minorHAnsi"/>
          <w:szCs w:val="26"/>
        </w:rPr>
        <w:t>,</w:t>
      </w:r>
      <w:r w:rsidRPr="00406C70" w:rsidR="006866D5">
        <w:rPr>
          <w:rFonts w:cstheme="minorHAnsi"/>
          <w:i/>
          <w:iCs/>
          <w:szCs w:val="26"/>
        </w:rPr>
        <w:t xml:space="preserve"> </w:t>
      </w:r>
      <w:r w:rsidRPr="00406C70" w:rsidR="006866D5">
        <w:rPr>
          <w:rFonts w:cstheme="minorHAnsi"/>
          <w:szCs w:val="26"/>
        </w:rPr>
        <w:t xml:space="preserve">at </w:t>
      </w:r>
      <w:r w:rsidRPr="00406C70" w:rsidR="00551F2D">
        <w:rPr>
          <w:rFonts w:cstheme="minorHAnsi"/>
          <w:szCs w:val="26"/>
        </w:rPr>
        <w:t>pp. 567–568.)  However, the Commission pointed out, this prior “rule may be criticized as defeating the clear intention of the settlor who attempts to revoke a revocable trust by the statutory method, in circumstances that do not involve undue influence or a lack of capacity.  In fact, the settlor may have forgotten about the method provided in the trust, or may not be aware of the case-law rule [that prescribing an</w:t>
      </w:r>
      <w:r w:rsidRPr="00406C70" w:rsidR="005A05F6">
        <w:rPr>
          <w:rFonts w:cstheme="minorHAnsi"/>
          <w:szCs w:val="26"/>
        </w:rPr>
        <w:t>other</w:t>
      </w:r>
      <w:r w:rsidRPr="00406C70" w:rsidR="00551F2D">
        <w:rPr>
          <w:rFonts w:cstheme="minorHAnsi"/>
          <w:szCs w:val="26"/>
        </w:rPr>
        <w:t xml:space="preserve"> procedure in the trust instrument would displace the statutory method].”  </w:t>
      </w:r>
      <w:r w:rsidRPr="00406C70" w:rsidR="00551F2D">
        <w:t>(</w:t>
      </w:r>
      <w:r w:rsidRPr="00406C70" w:rsidR="00374672">
        <w:rPr>
          <w:rFonts w:cstheme="minorHAnsi"/>
          <w:i/>
          <w:iCs/>
          <w:szCs w:val="26"/>
        </w:rPr>
        <w:t>Id</w:t>
      </w:r>
      <w:r w:rsidRPr="00406C70" w:rsidR="00374672">
        <w:rPr>
          <w:rFonts w:cstheme="minorHAnsi"/>
          <w:szCs w:val="26"/>
        </w:rPr>
        <w:t>.</w:t>
      </w:r>
      <w:r w:rsidRPr="00406C70" w:rsidR="00551F2D">
        <w:rPr>
          <w:rFonts w:cstheme="minorHAnsi"/>
          <w:szCs w:val="26"/>
        </w:rPr>
        <w:t>,</w:t>
      </w:r>
      <w:r w:rsidRPr="00406C70" w:rsidR="00551F2D">
        <w:rPr>
          <w:rFonts w:cstheme="minorHAnsi"/>
          <w:i/>
          <w:iCs/>
          <w:szCs w:val="26"/>
        </w:rPr>
        <w:t xml:space="preserve"> </w:t>
      </w:r>
      <w:r w:rsidRPr="00406C70" w:rsidR="00551F2D">
        <w:rPr>
          <w:rFonts w:cstheme="minorHAnsi"/>
          <w:szCs w:val="26"/>
        </w:rPr>
        <w:t xml:space="preserve">at p. 568.)  </w:t>
      </w:r>
    </w:p>
    <w:p w:rsidR="0039643E" w:rsidRPr="00406C70" w:rsidP="00406C70" w14:paraId="5A6668A5" w14:textId="77777777">
      <w:pPr>
        <w:pStyle w:val="Text"/>
        <w:spacing w:line="400" w:lineRule="exact"/>
        <w:ind w:firstLine="720"/>
        <w:rPr>
          <w:rFonts w:cstheme="minorHAnsi"/>
          <w:szCs w:val="26"/>
        </w:rPr>
      </w:pPr>
      <w:r w:rsidRPr="00406C70">
        <w:rPr>
          <w:rFonts w:cstheme="minorHAnsi"/>
          <w:szCs w:val="26"/>
        </w:rPr>
        <w:t xml:space="preserve">Taking these competing concerns into account, the Commission proposed </w:t>
      </w:r>
      <w:r w:rsidRPr="00406C70" w:rsidR="004F1919">
        <w:rPr>
          <w:rFonts w:cstheme="minorHAnsi"/>
          <w:szCs w:val="26"/>
        </w:rPr>
        <w:t>section 15401</w:t>
      </w:r>
      <w:r w:rsidRPr="00406C70" w:rsidR="00184B95">
        <w:rPr>
          <w:rFonts w:cstheme="minorHAnsi"/>
          <w:szCs w:val="26"/>
        </w:rPr>
        <w:t xml:space="preserve">, subdivision </w:t>
      </w:r>
      <w:r w:rsidRPr="00406C70" w:rsidR="005156FD">
        <w:rPr>
          <w:rFonts w:cstheme="minorHAnsi"/>
          <w:szCs w:val="26"/>
        </w:rPr>
        <w:t>(a)(2),</w:t>
      </w:r>
      <w:r w:rsidRPr="00406C70" w:rsidR="004F1919">
        <w:rPr>
          <w:rFonts w:cstheme="minorHAnsi"/>
          <w:szCs w:val="26"/>
        </w:rPr>
        <w:t xml:space="preserve"> </w:t>
      </w:r>
      <w:r w:rsidRPr="00406C70" w:rsidR="005156FD">
        <w:rPr>
          <w:rFonts w:cstheme="minorHAnsi"/>
          <w:szCs w:val="26"/>
        </w:rPr>
        <w:t xml:space="preserve">which </w:t>
      </w:r>
      <w:r w:rsidRPr="00406C70" w:rsidR="008444DC">
        <w:rPr>
          <w:rFonts w:cstheme="minorHAnsi"/>
          <w:szCs w:val="26"/>
        </w:rPr>
        <w:t xml:space="preserve">was adopted by the Legislature to </w:t>
      </w:r>
      <w:r w:rsidRPr="00406C70" w:rsidR="00A25269">
        <w:rPr>
          <w:rFonts w:cstheme="minorHAnsi"/>
          <w:szCs w:val="26"/>
        </w:rPr>
        <w:t xml:space="preserve">prioritize </w:t>
      </w:r>
      <w:r w:rsidRPr="00406C70">
        <w:rPr>
          <w:rFonts w:cstheme="minorHAnsi"/>
          <w:szCs w:val="26"/>
        </w:rPr>
        <w:t xml:space="preserve">the availability of the statutory </w:t>
      </w:r>
      <w:r w:rsidRPr="00406C70" w:rsidR="006062FD">
        <w:rPr>
          <w:rFonts w:cstheme="minorHAnsi"/>
          <w:szCs w:val="26"/>
        </w:rPr>
        <w:t>method</w:t>
      </w:r>
      <w:r w:rsidRPr="00406C70" w:rsidR="005156FD">
        <w:rPr>
          <w:rFonts w:cstheme="minorHAnsi"/>
          <w:szCs w:val="26"/>
        </w:rPr>
        <w:t xml:space="preserve"> </w:t>
      </w:r>
      <w:r w:rsidRPr="00406C70" w:rsidR="00A25269">
        <w:rPr>
          <w:rFonts w:cstheme="minorHAnsi"/>
          <w:szCs w:val="26"/>
        </w:rPr>
        <w:t xml:space="preserve">while </w:t>
      </w:r>
      <w:r w:rsidRPr="00406C70">
        <w:rPr>
          <w:rFonts w:cstheme="minorHAnsi"/>
          <w:szCs w:val="26"/>
        </w:rPr>
        <w:t>allow</w:t>
      </w:r>
      <w:r w:rsidRPr="00406C70" w:rsidR="00A25269">
        <w:rPr>
          <w:rFonts w:cstheme="minorHAnsi"/>
          <w:szCs w:val="26"/>
        </w:rPr>
        <w:t>ing</w:t>
      </w:r>
      <w:r w:rsidRPr="00406C70">
        <w:rPr>
          <w:rFonts w:cstheme="minorHAnsi"/>
          <w:szCs w:val="26"/>
        </w:rPr>
        <w:t xml:space="preserve"> settlors to bind themselves to more onerous procedures if they desire.  </w:t>
      </w:r>
      <w:r w:rsidRPr="00406C70" w:rsidR="004F0CCA">
        <w:rPr>
          <w:rFonts w:cstheme="minorHAnsi"/>
          <w:szCs w:val="26"/>
        </w:rPr>
        <w:t xml:space="preserve">The Commission explained, </w:t>
      </w:r>
      <w:r w:rsidRPr="00406C70" w:rsidR="006232D6">
        <w:t>“</w:t>
      </w:r>
      <w:r w:rsidRPr="00406C70" w:rsidR="006232D6">
        <w:rPr>
          <w:rFonts w:cstheme="minorHAnsi"/>
          <w:szCs w:val="26"/>
        </w:rPr>
        <w:t xml:space="preserve">The proposed law adopts a compromise position that </w:t>
      </w:r>
      <w:r w:rsidRPr="00406C70">
        <w:rPr>
          <w:rFonts w:cstheme="minorHAnsi"/>
          <w:szCs w:val="26"/>
        </w:rPr>
        <w:t>makes available the statutory method of revoking by delivery of a written instrument to the trustee during the settlor’s lifetime except where the trust instrument explicitly makes exclusive the method of revocation specified in the trust.  This allows a settlor to establish a more protective revocation scheme, but also honors the settlor’s intention where the intent to make the scheme exclusive is not expressed in the trust instrument.”  (</w:t>
      </w:r>
      <w:r w:rsidRPr="0037090C" w:rsidR="00D36BB1">
        <w:rPr>
          <w:rFonts w:cstheme="minorHAnsi"/>
          <w:szCs w:val="26"/>
        </w:rPr>
        <w:t>Recommendation Proposing the Trust Law</w:t>
      </w:r>
      <w:r w:rsidRPr="00406C70" w:rsidR="00D36BB1">
        <w:rPr>
          <w:rFonts w:cstheme="minorHAnsi"/>
          <w:szCs w:val="26"/>
        </w:rPr>
        <w:t xml:space="preserve">, </w:t>
      </w:r>
      <w:r w:rsidRPr="00406C70" w:rsidR="00D36BB1">
        <w:rPr>
          <w:rFonts w:cstheme="minorHAnsi"/>
          <w:i/>
          <w:iCs/>
          <w:szCs w:val="26"/>
        </w:rPr>
        <w:t>supra</w:t>
      </w:r>
      <w:r w:rsidRPr="00406C70" w:rsidR="00D36BB1">
        <w:rPr>
          <w:rFonts w:cstheme="minorHAnsi"/>
          <w:szCs w:val="26"/>
        </w:rPr>
        <w:t>,</w:t>
      </w:r>
      <w:r w:rsidRPr="00406C70" w:rsidR="00D36BB1">
        <w:rPr>
          <w:rFonts w:cstheme="minorHAnsi"/>
          <w:i/>
          <w:iCs/>
          <w:szCs w:val="26"/>
        </w:rPr>
        <w:t xml:space="preserve"> </w:t>
      </w:r>
      <w:r w:rsidRPr="00406C70" w:rsidR="00D36BB1">
        <w:rPr>
          <w:rFonts w:cstheme="minorHAnsi"/>
          <w:szCs w:val="26"/>
        </w:rPr>
        <w:t>at p. 568</w:t>
      </w:r>
      <w:r w:rsidRPr="00406C70" w:rsidR="00CA0727">
        <w:rPr>
          <w:rFonts w:cstheme="minorHAnsi"/>
          <w:szCs w:val="26"/>
        </w:rPr>
        <w:t>.)</w:t>
      </w:r>
      <w:r w:rsidRPr="00406C70">
        <w:rPr>
          <w:rFonts w:cstheme="minorHAnsi"/>
          <w:szCs w:val="26"/>
        </w:rPr>
        <w:t xml:space="preserve">  </w:t>
      </w:r>
    </w:p>
    <w:p w:rsidR="000F4EA0" w:rsidRPr="00406C70" w:rsidP="00406C70" w14:paraId="5A6668A6" w14:textId="77777777">
      <w:pPr>
        <w:pStyle w:val="Text"/>
        <w:spacing w:line="400" w:lineRule="exact"/>
        <w:ind w:firstLine="720"/>
        <w:rPr>
          <w:rFonts w:cstheme="minorHAnsi"/>
          <w:szCs w:val="26"/>
        </w:rPr>
      </w:pPr>
      <w:r w:rsidRPr="00406C70">
        <w:rPr>
          <w:rFonts w:cstheme="minorHAnsi"/>
          <w:szCs w:val="26"/>
        </w:rPr>
        <w:t>T</w:t>
      </w:r>
      <w:r w:rsidRPr="00406C70" w:rsidR="00AA6751">
        <w:rPr>
          <w:rFonts w:cstheme="minorHAnsi"/>
          <w:szCs w:val="26"/>
        </w:rPr>
        <w:t>he</w:t>
      </w:r>
      <w:r w:rsidRPr="00406C70" w:rsidR="00BC31A1">
        <w:rPr>
          <w:rFonts w:cstheme="minorHAnsi"/>
          <w:szCs w:val="26"/>
        </w:rPr>
        <w:t xml:space="preserve"> </w:t>
      </w:r>
      <w:r w:rsidRPr="00406C70" w:rsidR="00AA6751">
        <w:rPr>
          <w:rFonts w:cstheme="minorHAnsi"/>
          <w:szCs w:val="26"/>
        </w:rPr>
        <w:t xml:space="preserve">Court of Appeal </w:t>
      </w:r>
      <w:r w:rsidRPr="00406C70">
        <w:rPr>
          <w:rFonts w:cstheme="minorHAnsi"/>
          <w:szCs w:val="26"/>
        </w:rPr>
        <w:t xml:space="preserve">in this case </w:t>
      </w:r>
      <w:r w:rsidRPr="00406C70" w:rsidR="00BC31A1">
        <w:rPr>
          <w:rFonts w:cstheme="minorHAnsi"/>
          <w:szCs w:val="26"/>
        </w:rPr>
        <w:t>sai</w:t>
      </w:r>
      <w:r w:rsidRPr="00406C70" w:rsidR="00563386">
        <w:rPr>
          <w:rFonts w:cstheme="minorHAnsi"/>
          <w:szCs w:val="26"/>
        </w:rPr>
        <w:t>d that a trust instrument preclude</w:t>
      </w:r>
      <w:r w:rsidRPr="00406C70" w:rsidR="00863A25">
        <w:rPr>
          <w:rFonts w:cstheme="minorHAnsi"/>
          <w:szCs w:val="26"/>
        </w:rPr>
        <w:t>s</w:t>
      </w:r>
      <w:r w:rsidRPr="00406C70" w:rsidR="00563386">
        <w:rPr>
          <w:rFonts w:cstheme="minorHAnsi"/>
          <w:szCs w:val="26"/>
        </w:rPr>
        <w:t xml:space="preserve"> the use of revocation procedures for modification </w:t>
      </w:r>
      <w:r w:rsidRPr="00406C70" w:rsidR="004A308C">
        <w:rPr>
          <w:rFonts w:cstheme="minorHAnsi"/>
          <w:szCs w:val="26"/>
        </w:rPr>
        <w:t>when it</w:t>
      </w:r>
      <w:r w:rsidRPr="00406C70" w:rsidR="00563386">
        <w:rPr>
          <w:rFonts w:cstheme="minorHAnsi"/>
          <w:szCs w:val="26"/>
        </w:rPr>
        <w:t xml:space="preserve"> </w:t>
      </w:r>
      <w:r w:rsidRPr="00406C70" w:rsidR="00FE2CFC">
        <w:rPr>
          <w:rFonts w:cstheme="minorHAnsi"/>
          <w:szCs w:val="26"/>
        </w:rPr>
        <w:t>“distinguish</w:t>
      </w:r>
      <w:r w:rsidRPr="00406C70" w:rsidR="004A308C">
        <w:rPr>
          <w:rFonts w:cstheme="minorHAnsi"/>
          <w:szCs w:val="26"/>
        </w:rPr>
        <w:t>es</w:t>
      </w:r>
      <w:r w:rsidRPr="00406C70" w:rsidR="00FE2CFC">
        <w:rPr>
          <w:rFonts w:cstheme="minorHAnsi"/>
          <w:szCs w:val="26"/>
        </w:rPr>
        <w:t xml:space="preserve"> between revocation and modificatio</w:t>
      </w:r>
      <w:r w:rsidRPr="00406C70" w:rsidR="00652C03">
        <w:rPr>
          <w:rFonts w:cstheme="minorHAnsi"/>
          <w:szCs w:val="26"/>
        </w:rPr>
        <w:t>n</w:t>
      </w:r>
      <w:r w:rsidRPr="00406C70" w:rsidR="004C0084">
        <w:rPr>
          <w:rFonts w:cstheme="minorHAnsi"/>
          <w:szCs w:val="26"/>
        </w:rPr>
        <w:t>.”</w:t>
      </w:r>
      <w:r w:rsidRPr="00406C70" w:rsidR="00E12583">
        <w:rPr>
          <w:rFonts w:cstheme="minorHAnsi"/>
          <w:szCs w:val="26"/>
        </w:rPr>
        <w:t xml:space="preserve">  </w:t>
      </w:r>
      <w:r w:rsidRPr="00406C70" w:rsidR="00563386">
        <w:rPr>
          <w:rFonts w:cstheme="minorHAnsi"/>
          <w:szCs w:val="26"/>
        </w:rPr>
        <w:t>(</w:t>
      </w:r>
      <w:r w:rsidRPr="00406C70" w:rsidR="00563386">
        <w:rPr>
          <w:rFonts w:cstheme="minorHAnsi"/>
          <w:i/>
          <w:iCs/>
          <w:szCs w:val="26"/>
        </w:rPr>
        <w:t>Haggerty</w:t>
      </w:r>
      <w:r w:rsidRPr="00406C70" w:rsidR="00563386">
        <w:rPr>
          <w:rFonts w:cstheme="minorHAnsi"/>
          <w:szCs w:val="26"/>
        </w:rPr>
        <w:t xml:space="preserve">, </w:t>
      </w:r>
      <w:r w:rsidRPr="00406C70" w:rsidR="00563386">
        <w:rPr>
          <w:rFonts w:cstheme="minorHAnsi"/>
          <w:i/>
          <w:iCs/>
          <w:szCs w:val="26"/>
        </w:rPr>
        <w:t>supra</w:t>
      </w:r>
      <w:r w:rsidRPr="00406C70" w:rsidR="00563386">
        <w:rPr>
          <w:rFonts w:cstheme="minorHAnsi"/>
          <w:szCs w:val="26"/>
        </w:rPr>
        <w:t>, 68 Cal.App</w:t>
      </w:r>
      <w:r w:rsidRPr="00406C70" w:rsidR="00234D1D">
        <w:rPr>
          <w:rFonts w:cstheme="minorHAnsi"/>
          <w:szCs w:val="26"/>
        </w:rPr>
        <w:t>.</w:t>
      </w:r>
      <w:r w:rsidRPr="00406C70" w:rsidR="00563386">
        <w:rPr>
          <w:rFonts w:cstheme="minorHAnsi"/>
          <w:szCs w:val="26"/>
        </w:rPr>
        <w:t xml:space="preserve">5th at p. 1011.)  </w:t>
      </w:r>
      <w:r w:rsidRPr="00406C70" w:rsidR="004A308C">
        <w:rPr>
          <w:rFonts w:cstheme="minorHAnsi"/>
          <w:szCs w:val="26"/>
        </w:rPr>
        <w:t xml:space="preserve">However, the mere fact that a trust instrument distinguishes between modification and revocation by authorizing certain procedures for revocation and other procedures for modification </w:t>
      </w:r>
      <w:r w:rsidRPr="00406C70" w:rsidR="00957F3D">
        <w:rPr>
          <w:rFonts w:cstheme="minorHAnsi"/>
          <w:szCs w:val="26"/>
        </w:rPr>
        <w:t xml:space="preserve">does not </w:t>
      </w:r>
      <w:r w:rsidRPr="00406C70" w:rsidR="00DB292E">
        <w:rPr>
          <w:rFonts w:cstheme="minorHAnsi"/>
          <w:szCs w:val="26"/>
        </w:rPr>
        <w:t xml:space="preserve">suffice to </w:t>
      </w:r>
      <w:r w:rsidRPr="00406C70" w:rsidR="00685A32">
        <w:rPr>
          <w:rFonts w:cstheme="minorHAnsi"/>
          <w:szCs w:val="26"/>
        </w:rPr>
        <w:t xml:space="preserve">preclude the use of </w:t>
      </w:r>
      <w:r w:rsidRPr="00406C70" w:rsidR="005E3F70">
        <w:rPr>
          <w:rFonts w:cstheme="minorHAnsi"/>
          <w:szCs w:val="26"/>
        </w:rPr>
        <w:t>revocation</w:t>
      </w:r>
      <w:r w:rsidRPr="00406C70" w:rsidR="00685A32">
        <w:rPr>
          <w:rFonts w:cstheme="minorHAnsi"/>
          <w:szCs w:val="26"/>
        </w:rPr>
        <w:t xml:space="preserve"> procedures for modification.  </w:t>
      </w:r>
      <w:r w:rsidRPr="00406C70" w:rsidR="00D44C0D">
        <w:rPr>
          <w:rFonts w:cstheme="minorHAnsi"/>
          <w:szCs w:val="26"/>
        </w:rPr>
        <w:t xml:space="preserve">The </w:t>
      </w:r>
      <w:r w:rsidRPr="00406C70" w:rsidR="00FD7766">
        <w:rPr>
          <w:rFonts w:cstheme="minorHAnsi"/>
          <w:szCs w:val="26"/>
        </w:rPr>
        <w:t>legislative history supports the view that the settlor may modify the trust using any procedure for revocation unless the trust instrument says the settlor may not</w:t>
      </w:r>
      <w:r w:rsidRPr="00406C70" w:rsidR="002824E7">
        <w:rPr>
          <w:rFonts w:cstheme="minorHAnsi"/>
          <w:szCs w:val="26"/>
        </w:rPr>
        <w:t xml:space="preserve">.  </w:t>
      </w:r>
      <w:r w:rsidRPr="00406C70" w:rsidR="004A308C">
        <w:rPr>
          <w:rFonts w:cstheme="minorHAnsi"/>
          <w:szCs w:val="26"/>
        </w:rPr>
        <w:t>I</w:t>
      </w:r>
      <w:r w:rsidRPr="00406C70" w:rsidR="00BC340D">
        <w:rPr>
          <w:rFonts w:cstheme="minorHAnsi"/>
          <w:szCs w:val="26"/>
        </w:rPr>
        <w:t xml:space="preserve">f a trust </w:t>
      </w:r>
      <w:r w:rsidRPr="00406C70" w:rsidR="00BC31A1">
        <w:rPr>
          <w:rFonts w:cstheme="minorHAnsi"/>
          <w:szCs w:val="26"/>
        </w:rPr>
        <w:t xml:space="preserve">were to </w:t>
      </w:r>
      <w:r w:rsidRPr="00406C70" w:rsidR="00BC340D">
        <w:rPr>
          <w:rFonts w:cstheme="minorHAnsi"/>
          <w:szCs w:val="26"/>
        </w:rPr>
        <w:t>provide that it “</w:t>
      </w:r>
      <w:r w:rsidRPr="00406C70" w:rsidR="00BC340D">
        <w:rPr>
          <w:rFonts w:cstheme="minorHAnsi"/>
          <w:i/>
          <w:iCs/>
          <w:szCs w:val="26"/>
        </w:rPr>
        <w:t xml:space="preserve">may only </w:t>
      </w:r>
      <w:r w:rsidRPr="00406C70" w:rsidR="00BC340D">
        <w:rPr>
          <w:rFonts w:cstheme="minorHAnsi"/>
          <w:szCs w:val="26"/>
        </w:rPr>
        <w:t xml:space="preserve">be modified by an acknowledged instrument in writing,” then the trust would preclude modification </w:t>
      </w:r>
      <w:r w:rsidRPr="00406C70" w:rsidR="00AF239D">
        <w:rPr>
          <w:rFonts w:cstheme="minorHAnsi"/>
          <w:szCs w:val="26"/>
        </w:rPr>
        <w:t xml:space="preserve">via </w:t>
      </w:r>
      <w:r w:rsidRPr="00406C70" w:rsidR="001F6005">
        <w:rPr>
          <w:rFonts w:cstheme="minorHAnsi"/>
          <w:szCs w:val="26"/>
        </w:rPr>
        <w:t xml:space="preserve">any </w:t>
      </w:r>
      <w:r w:rsidRPr="00406C70" w:rsidR="007329FF">
        <w:rPr>
          <w:rFonts w:cstheme="minorHAnsi"/>
          <w:szCs w:val="26"/>
        </w:rPr>
        <w:t xml:space="preserve">different </w:t>
      </w:r>
      <w:r w:rsidRPr="00406C70" w:rsidR="001F6005">
        <w:rPr>
          <w:rFonts w:cstheme="minorHAnsi"/>
          <w:szCs w:val="26"/>
        </w:rPr>
        <w:t>method of revocation</w:t>
      </w:r>
      <w:r w:rsidRPr="00406C70" w:rsidR="00475F6A">
        <w:rPr>
          <w:rFonts w:cstheme="minorHAnsi"/>
          <w:szCs w:val="26"/>
        </w:rPr>
        <w:t>, including the statutory method</w:t>
      </w:r>
      <w:r w:rsidRPr="00406C70" w:rsidR="004A308C">
        <w:rPr>
          <w:rFonts w:cstheme="minorHAnsi"/>
          <w:szCs w:val="26"/>
        </w:rPr>
        <w:t>, regardless of whether the trust distinguishes between revocation and modification</w:t>
      </w:r>
      <w:r w:rsidRPr="00406C70" w:rsidR="00BC340D">
        <w:rPr>
          <w:rFonts w:cstheme="minorHAnsi"/>
          <w:szCs w:val="26"/>
        </w:rPr>
        <w:t xml:space="preserve">.  </w:t>
      </w:r>
      <w:r w:rsidRPr="00406C70" w:rsidR="004A308C">
        <w:rPr>
          <w:rFonts w:cstheme="minorHAnsi"/>
          <w:szCs w:val="26"/>
        </w:rPr>
        <w:t>But</w:t>
      </w:r>
      <w:r w:rsidRPr="00406C70" w:rsidR="00BC340D">
        <w:rPr>
          <w:rFonts w:cstheme="minorHAnsi"/>
          <w:szCs w:val="26"/>
        </w:rPr>
        <w:t xml:space="preserve"> if a trust </w:t>
      </w:r>
      <w:r w:rsidRPr="00406C70" w:rsidR="00BC31A1">
        <w:rPr>
          <w:rFonts w:cstheme="minorHAnsi"/>
          <w:szCs w:val="26"/>
        </w:rPr>
        <w:t xml:space="preserve">were to simply </w:t>
      </w:r>
      <w:r w:rsidRPr="00406C70" w:rsidR="00BC340D">
        <w:rPr>
          <w:rFonts w:cstheme="minorHAnsi"/>
          <w:szCs w:val="26"/>
        </w:rPr>
        <w:t>provide that it “</w:t>
      </w:r>
      <w:r w:rsidRPr="00406C70" w:rsidR="00BC340D">
        <w:rPr>
          <w:rFonts w:cstheme="minorHAnsi"/>
          <w:i/>
          <w:iCs/>
          <w:szCs w:val="26"/>
        </w:rPr>
        <w:t>may</w:t>
      </w:r>
      <w:r w:rsidRPr="00406C70" w:rsidR="00BC340D">
        <w:rPr>
          <w:rFonts w:cstheme="minorHAnsi"/>
          <w:szCs w:val="26"/>
        </w:rPr>
        <w:t xml:space="preserve"> be modified by an acknowledged instrument in writing,” then the trust would not preclude modification via </w:t>
      </w:r>
      <w:r w:rsidRPr="00406C70" w:rsidR="00A46625">
        <w:rPr>
          <w:rFonts w:cstheme="minorHAnsi"/>
          <w:szCs w:val="26"/>
        </w:rPr>
        <w:t>any</w:t>
      </w:r>
      <w:r w:rsidRPr="00406C70" w:rsidR="00BC340D">
        <w:rPr>
          <w:rFonts w:cstheme="minorHAnsi"/>
          <w:szCs w:val="26"/>
        </w:rPr>
        <w:t xml:space="preserve"> </w:t>
      </w:r>
      <w:r w:rsidRPr="00406C70" w:rsidR="00E1777D">
        <w:rPr>
          <w:rFonts w:cstheme="minorHAnsi"/>
          <w:szCs w:val="26"/>
        </w:rPr>
        <w:t xml:space="preserve">method of </w:t>
      </w:r>
      <w:r w:rsidRPr="00406C70" w:rsidR="0007073A">
        <w:rPr>
          <w:rFonts w:cstheme="minorHAnsi"/>
          <w:szCs w:val="26"/>
        </w:rPr>
        <w:t>revocation</w:t>
      </w:r>
      <w:r w:rsidRPr="00406C70" w:rsidR="00082517">
        <w:rPr>
          <w:rFonts w:cstheme="minorHAnsi"/>
          <w:szCs w:val="26"/>
        </w:rPr>
        <w:t xml:space="preserve">, </w:t>
      </w:r>
      <w:r w:rsidRPr="00406C70" w:rsidR="004A308C">
        <w:rPr>
          <w:rFonts w:cstheme="minorHAnsi"/>
          <w:szCs w:val="26"/>
        </w:rPr>
        <w:t xml:space="preserve">again </w:t>
      </w:r>
      <w:r w:rsidRPr="00406C70" w:rsidR="00082517">
        <w:rPr>
          <w:rFonts w:cstheme="minorHAnsi"/>
          <w:szCs w:val="26"/>
        </w:rPr>
        <w:t xml:space="preserve">regardless of whether the trust </w:t>
      </w:r>
      <w:r w:rsidRPr="00406C70" w:rsidR="00012515">
        <w:rPr>
          <w:rFonts w:cstheme="minorHAnsi"/>
          <w:szCs w:val="26"/>
        </w:rPr>
        <w:t>treats modification and revocation differently.</w:t>
      </w:r>
    </w:p>
    <w:p w:rsidR="00FC55EE" w:rsidRPr="00406C70" w:rsidP="00406C70" w14:paraId="5A6668A7" w14:textId="77777777">
      <w:pPr>
        <w:pStyle w:val="Text"/>
        <w:spacing w:line="400" w:lineRule="exact"/>
        <w:ind w:firstLine="720"/>
        <w:rPr>
          <w:rFonts w:cstheme="minorHAnsi"/>
          <w:szCs w:val="26"/>
        </w:rPr>
      </w:pPr>
      <w:r w:rsidRPr="00406C70">
        <w:rPr>
          <w:rFonts w:cstheme="minorHAnsi"/>
          <w:szCs w:val="26"/>
        </w:rPr>
        <w:t xml:space="preserve">In sum, </w:t>
      </w:r>
      <w:r w:rsidRPr="00406C70" w:rsidR="004A308C">
        <w:rPr>
          <w:rFonts w:cstheme="minorHAnsi"/>
          <w:szCs w:val="26"/>
        </w:rPr>
        <w:t xml:space="preserve">legislative history supports the view that </w:t>
      </w:r>
      <w:r w:rsidRPr="00406C70">
        <w:rPr>
          <w:rFonts w:cstheme="minorHAnsi"/>
          <w:szCs w:val="26"/>
        </w:rPr>
        <w:t xml:space="preserve">the statutory </w:t>
      </w:r>
      <w:r w:rsidRPr="00406C70" w:rsidR="006062FD">
        <w:rPr>
          <w:rFonts w:cstheme="minorHAnsi"/>
          <w:szCs w:val="26"/>
        </w:rPr>
        <w:t xml:space="preserve">method </w:t>
      </w:r>
      <w:r w:rsidRPr="00406C70" w:rsidR="00AA65CD">
        <w:rPr>
          <w:rFonts w:cstheme="minorHAnsi"/>
          <w:szCs w:val="26"/>
        </w:rPr>
        <w:t xml:space="preserve">is </w:t>
      </w:r>
      <w:r w:rsidRPr="00406C70">
        <w:rPr>
          <w:rFonts w:cstheme="minorHAnsi"/>
          <w:szCs w:val="26"/>
        </w:rPr>
        <w:t xml:space="preserve">available for modification unless the trust instrument </w:t>
      </w:r>
      <w:r w:rsidRPr="00406C70" w:rsidR="00001933">
        <w:rPr>
          <w:rFonts w:cstheme="minorHAnsi"/>
          <w:szCs w:val="26"/>
        </w:rPr>
        <w:t xml:space="preserve">“provides otherwise” by </w:t>
      </w:r>
      <w:r w:rsidRPr="00406C70" w:rsidR="002007EF">
        <w:rPr>
          <w:rFonts w:cstheme="minorHAnsi"/>
          <w:szCs w:val="26"/>
        </w:rPr>
        <w:t xml:space="preserve">expressly </w:t>
      </w:r>
      <w:r w:rsidRPr="00406C70">
        <w:rPr>
          <w:rFonts w:cstheme="minorHAnsi"/>
          <w:szCs w:val="26"/>
        </w:rPr>
        <w:t>preclud</w:t>
      </w:r>
      <w:r w:rsidRPr="00406C70" w:rsidR="002007EF">
        <w:rPr>
          <w:rFonts w:cstheme="minorHAnsi"/>
          <w:szCs w:val="26"/>
        </w:rPr>
        <w:t>ing</w:t>
      </w:r>
      <w:r w:rsidRPr="00406C70">
        <w:rPr>
          <w:rFonts w:cstheme="minorHAnsi"/>
          <w:szCs w:val="26"/>
        </w:rPr>
        <w:t xml:space="preserve"> it or </w:t>
      </w:r>
      <w:r w:rsidRPr="00406C70" w:rsidR="00001933">
        <w:rPr>
          <w:rFonts w:cstheme="minorHAnsi"/>
          <w:szCs w:val="26"/>
        </w:rPr>
        <w:t xml:space="preserve">by </w:t>
      </w:r>
      <w:r w:rsidRPr="00406C70" w:rsidR="004A308C">
        <w:rPr>
          <w:rFonts w:cstheme="minorHAnsi"/>
          <w:szCs w:val="26"/>
        </w:rPr>
        <w:t xml:space="preserve">explicitly </w:t>
      </w:r>
      <w:r w:rsidRPr="00406C70">
        <w:rPr>
          <w:rFonts w:cstheme="minorHAnsi"/>
          <w:szCs w:val="26"/>
        </w:rPr>
        <w:t>mak</w:t>
      </w:r>
      <w:r w:rsidRPr="00406C70" w:rsidR="00DD1897">
        <w:rPr>
          <w:rFonts w:cstheme="minorHAnsi"/>
          <w:szCs w:val="26"/>
        </w:rPr>
        <w:t>ing</w:t>
      </w:r>
      <w:r w:rsidRPr="00406C70">
        <w:rPr>
          <w:rFonts w:cstheme="minorHAnsi"/>
          <w:szCs w:val="26"/>
        </w:rPr>
        <w:t xml:space="preserve"> a different procedure exclusive.</w:t>
      </w:r>
    </w:p>
    <w:p w:rsidR="00F91F16" w:rsidRPr="00406C70" w:rsidP="00EA521D" w14:paraId="5A6668A8" w14:textId="77777777">
      <w:pPr>
        <w:pStyle w:val="Text"/>
        <w:spacing w:line="400" w:lineRule="exact"/>
        <w:ind w:firstLine="0"/>
        <w:jc w:val="center"/>
        <w:rPr>
          <w:rFonts w:cstheme="minorHAnsi"/>
          <w:szCs w:val="26"/>
        </w:rPr>
      </w:pPr>
      <w:r w:rsidRPr="00406C70">
        <w:rPr>
          <w:rFonts w:cstheme="minorHAnsi"/>
          <w:b/>
          <w:bCs/>
          <w:szCs w:val="26"/>
        </w:rPr>
        <w:t>C</w:t>
      </w:r>
      <w:r w:rsidRPr="00406C70" w:rsidR="00F91973">
        <w:rPr>
          <w:rFonts w:cstheme="minorHAnsi"/>
          <w:b/>
          <w:bCs/>
          <w:szCs w:val="26"/>
        </w:rPr>
        <w:t>.</w:t>
      </w:r>
    </w:p>
    <w:p w:rsidR="007F4EA3" w:rsidRPr="00406C70" w:rsidP="00406C70" w14:paraId="5A6668A9" w14:textId="77777777">
      <w:pPr>
        <w:pStyle w:val="Text"/>
        <w:spacing w:line="400" w:lineRule="exact"/>
        <w:ind w:firstLine="720"/>
        <w:rPr>
          <w:rFonts w:cstheme="minorHAnsi"/>
          <w:szCs w:val="26"/>
        </w:rPr>
      </w:pPr>
      <w:r w:rsidRPr="00406C70">
        <w:rPr>
          <w:rFonts w:cstheme="minorHAnsi"/>
          <w:szCs w:val="26"/>
        </w:rPr>
        <w:t xml:space="preserve">Haggerty </w:t>
      </w:r>
      <w:r w:rsidRPr="00406C70" w:rsidR="00022EFE">
        <w:rPr>
          <w:rFonts w:cstheme="minorHAnsi"/>
          <w:szCs w:val="26"/>
        </w:rPr>
        <w:t xml:space="preserve">and </w:t>
      </w:r>
      <w:r w:rsidRPr="00406C70" w:rsidR="009C6A13">
        <w:rPr>
          <w:rFonts w:cstheme="minorHAnsi"/>
          <w:szCs w:val="26"/>
        </w:rPr>
        <w:t>a</w:t>
      </w:r>
      <w:r w:rsidRPr="00406C70" w:rsidR="00022EFE">
        <w:rPr>
          <w:rFonts w:cstheme="minorHAnsi"/>
          <w:szCs w:val="26"/>
        </w:rPr>
        <w:t>mic</w:t>
      </w:r>
      <w:r w:rsidRPr="00406C70" w:rsidR="00297BB6">
        <w:rPr>
          <w:rFonts w:cstheme="minorHAnsi"/>
          <w:szCs w:val="26"/>
        </w:rPr>
        <w:t>us curiae</w:t>
      </w:r>
      <w:r w:rsidRPr="00406C70" w:rsidR="00022EFE">
        <w:rPr>
          <w:rFonts w:cstheme="minorHAnsi"/>
          <w:szCs w:val="26"/>
        </w:rPr>
        <w:t xml:space="preserve"> </w:t>
      </w:r>
      <w:r w:rsidRPr="00406C70">
        <w:rPr>
          <w:rFonts w:cstheme="minorHAnsi"/>
          <w:szCs w:val="26"/>
        </w:rPr>
        <w:t xml:space="preserve">argue that policy reasons support making modification more difficult than revocation.  </w:t>
      </w:r>
      <w:r w:rsidR="002A2BB0">
        <w:rPr>
          <w:rFonts w:cstheme="minorHAnsi"/>
          <w:szCs w:val="26"/>
        </w:rPr>
        <w:t xml:space="preserve">According to Haggerty, </w:t>
      </w:r>
      <w:r w:rsidRPr="00406C70">
        <w:rPr>
          <w:rFonts w:cstheme="minorHAnsi"/>
          <w:szCs w:val="26"/>
        </w:rPr>
        <w:t>“</w:t>
      </w:r>
      <w:r w:rsidR="002A2BB0">
        <w:rPr>
          <w:rFonts w:cstheme="minorHAnsi"/>
          <w:szCs w:val="26"/>
        </w:rPr>
        <w:t>[t]</w:t>
      </w:r>
      <w:r w:rsidRPr="00406C70">
        <w:rPr>
          <w:rFonts w:cstheme="minorHAnsi"/>
          <w:szCs w:val="26"/>
        </w:rPr>
        <w:t xml:space="preserve">he Legislature had reason to make modification presumptively more difficult than revocation.  An unscrupulous caretaker or counsel cannot usurp an elder’s assets by inducing her to revoke the trust, because intestacy laws would keep the estate within the family.  Only if the trustor modified the trust and selected a different beneficiary could the usurper take her assets.”  </w:t>
      </w:r>
      <w:r w:rsidRPr="00406C70" w:rsidR="00F91049">
        <w:rPr>
          <w:rFonts w:cstheme="minorHAnsi"/>
          <w:szCs w:val="26"/>
        </w:rPr>
        <w:t>But</w:t>
      </w:r>
      <w:r w:rsidRPr="00406C70" w:rsidR="005B145F">
        <w:rPr>
          <w:rFonts w:cstheme="minorHAnsi"/>
          <w:szCs w:val="26"/>
        </w:rPr>
        <w:t>,</w:t>
      </w:r>
      <w:r w:rsidRPr="00406C70" w:rsidR="00F91049">
        <w:rPr>
          <w:rFonts w:cstheme="minorHAnsi"/>
          <w:szCs w:val="26"/>
        </w:rPr>
        <w:t xml:space="preserve"> as respondents note, </w:t>
      </w:r>
      <w:r w:rsidRPr="00406C70" w:rsidR="00B1770B">
        <w:rPr>
          <w:rFonts w:cstheme="minorHAnsi"/>
          <w:szCs w:val="26"/>
        </w:rPr>
        <w:t xml:space="preserve">treating modification more restrictively than revocation is not necessarily more protective of </w:t>
      </w:r>
      <w:r w:rsidRPr="00406C70" w:rsidR="005B145F">
        <w:rPr>
          <w:rFonts w:cstheme="minorHAnsi"/>
          <w:szCs w:val="26"/>
        </w:rPr>
        <w:t>settlors</w:t>
      </w:r>
      <w:r w:rsidRPr="00406C70" w:rsidR="00FA4598">
        <w:rPr>
          <w:rFonts w:cstheme="minorHAnsi"/>
          <w:szCs w:val="26"/>
        </w:rPr>
        <w:t>:</w:t>
      </w:r>
      <w:r w:rsidRPr="00406C70" w:rsidR="005B145F">
        <w:rPr>
          <w:rFonts w:cstheme="minorHAnsi"/>
          <w:szCs w:val="26"/>
        </w:rPr>
        <w:t xml:space="preserve">  “</w:t>
      </w:r>
      <w:r w:rsidRPr="00406C70" w:rsidR="000355C7">
        <w:rPr>
          <w:rFonts w:cstheme="minorHAnsi"/>
          <w:szCs w:val="26"/>
        </w:rPr>
        <w:t>The [undue] influencer could induce the settlor to simply revoke the trust and create a new one, which has the same effect as modifying the trust.  And even without either revocation or modification, an influencer can induce a settlor to transfer assets out of the trust and into the influencer’s control.</w:t>
      </w:r>
      <w:r w:rsidRPr="00406C70" w:rsidR="00B83604">
        <w:rPr>
          <w:rFonts w:cstheme="minorHAnsi"/>
          <w:szCs w:val="26"/>
        </w:rPr>
        <w:t xml:space="preserve">”  Further, the influencer may well </w:t>
      </w:r>
      <w:r w:rsidRPr="00406C70" w:rsidR="00084C3C">
        <w:rPr>
          <w:rFonts w:cstheme="minorHAnsi"/>
          <w:szCs w:val="26"/>
        </w:rPr>
        <w:t>“</w:t>
      </w:r>
      <w:r w:rsidRPr="00406C70" w:rsidR="00B83604">
        <w:rPr>
          <w:rFonts w:cstheme="minorHAnsi"/>
          <w:szCs w:val="26"/>
        </w:rPr>
        <w:t>be a family member who would inherit if the trust is revoked.</w:t>
      </w:r>
      <w:r w:rsidRPr="00406C70" w:rsidR="00084C3C">
        <w:rPr>
          <w:rFonts w:cstheme="minorHAnsi"/>
          <w:szCs w:val="26"/>
        </w:rPr>
        <w:t xml:space="preserve">”  </w:t>
      </w:r>
      <w:r w:rsidRPr="00406C70" w:rsidR="00213ABC">
        <w:rPr>
          <w:rFonts w:cstheme="minorHAnsi"/>
          <w:szCs w:val="26"/>
        </w:rPr>
        <w:t xml:space="preserve">  </w:t>
      </w:r>
    </w:p>
    <w:p w:rsidR="009E63EA" w:rsidRPr="00406C70" w:rsidP="00406C70" w14:paraId="5A6668AA" w14:textId="77777777">
      <w:pPr>
        <w:pStyle w:val="Text"/>
        <w:spacing w:line="400" w:lineRule="exact"/>
        <w:ind w:firstLine="720"/>
      </w:pPr>
      <w:r w:rsidRPr="00406C70">
        <w:rPr>
          <w:rFonts w:cstheme="minorHAnsi"/>
          <w:szCs w:val="26"/>
        </w:rPr>
        <w:t>In any event</w:t>
      </w:r>
      <w:r w:rsidRPr="00406C70" w:rsidR="00B1770B">
        <w:rPr>
          <w:rFonts w:cstheme="minorHAnsi"/>
          <w:szCs w:val="26"/>
        </w:rPr>
        <w:t xml:space="preserve">, although </w:t>
      </w:r>
      <w:r w:rsidRPr="00406C70" w:rsidR="00BF55A6">
        <w:rPr>
          <w:rFonts w:cstheme="minorHAnsi"/>
          <w:szCs w:val="26"/>
        </w:rPr>
        <w:t xml:space="preserve">there </w:t>
      </w:r>
      <w:r w:rsidRPr="00406C70" w:rsidR="00D352FF">
        <w:rPr>
          <w:rFonts w:cstheme="minorHAnsi"/>
          <w:szCs w:val="26"/>
        </w:rPr>
        <w:t xml:space="preserve">are reasons </w:t>
      </w:r>
      <w:r w:rsidRPr="00406C70" w:rsidR="00CC3489">
        <w:rPr>
          <w:rFonts w:cstheme="minorHAnsi"/>
          <w:szCs w:val="26"/>
        </w:rPr>
        <w:t xml:space="preserve">why </w:t>
      </w:r>
      <w:r w:rsidRPr="00406C70" w:rsidR="0032271D">
        <w:rPr>
          <w:rFonts w:cstheme="minorHAnsi"/>
          <w:szCs w:val="26"/>
        </w:rPr>
        <w:t xml:space="preserve">the Legislature could have decided to treat modification more restrictively, </w:t>
      </w:r>
      <w:r w:rsidRPr="00406C70" w:rsidR="00B21E4C">
        <w:rPr>
          <w:rFonts w:cstheme="minorHAnsi"/>
          <w:szCs w:val="26"/>
        </w:rPr>
        <w:t xml:space="preserve">the question </w:t>
      </w:r>
      <w:r w:rsidRPr="00406C70">
        <w:rPr>
          <w:rFonts w:cstheme="minorHAnsi"/>
          <w:szCs w:val="26"/>
        </w:rPr>
        <w:t>here</w:t>
      </w:r>
      <w:r w:rsidRPr="00406C70" w:rsidR="00B21E4C">
        <w:rPr>
          <w:rFonts w:cstheme="minorHAnsi"/>
          <w:szCs w:val="26"/>
        </w:rPr>
        <w:t xml:space="preserve"> is what policy choices the Legislature actually made, not what choices it </w:t>
      </w:r>
      <w:r w:rsidRPr="00406C70">
        <w:rPr>
          <w:rFonts w:cstheme="minorHAnsi"/>
          <w:szCs w:val="26"/>
        </w:rPr>
        <w:t xml:space="preserve">reasonably </w:t>
      </w:r>
      <w:r w:rsidRPr="00406C70" w:rsidR="00B21E4C">
        <w:rPr>
          <w:rFonts w:cstheme="minorHAnsi"/>
          <w:szCs w:val="26"/>
        </w:rPr>
        <w:t>could have made.</w:t>
      </w:r>
      <w:r w:rsidRPr="00406C70" w:rsidR="0020391C">
        <w:rPr>
          <w:rFonts w:cstheme="minorHAnsi"/>
          <w:szCs w:val="26"/>
        </w:rPr>
        <w:t xml:space="preserve"> </w:t>
      </w:r>
      <w:r w:rsidRPr="00406C70" w:rsidR="00B21E4C">
        <w:rPr>
          <w:rFonts w:cstheme="minorHAnsi"/>
          <w:szCs w:val="26"/>
        </w:rPr>
        <w:t xml:space="preserve"> </w:t>
      </w:r>
      <w:r w:rsidRPr="00406C70" w:rsidR="002C26B4">
        <w:rPr>
          <w:rFonts w:cstheme="minorHAnsi"/>
          <w:szCs w:val="26"/>
        </w:rPr>
        <w:t xml:space="preserve">As noted </w:t>
      </w:r>
      <w:r w:rsidRPr="00406C70" w:rsidR="0020391C">
        <w:rPr>
          <w:rFonts w:cstheme="minorHAnsi"/>
          <w:szCs w:val="26"/>
        </w:rPr>
        <w:t>(</w:t>
      </w:r>
      <w:r w:rsidRPr="00406C70" w:rsidR="0020391C">
        <w:rPr>
          <w:rFonts w:cstheme="minorHAnsi"/>
          <w:i/>
          <w:iCs/>
          <w:szCs w:val="26"/>
        </w:rPr>
        <w:t>ante</w:t>
      </w:r>
      <w:r w:rsidRPr="00406C70" w:rsidR="0020391C">
        <w:rPr>
          <w:rFonts w:cstheme="minorHAnsi"/>
          <w:szCs w:val="26"/>
        </w:rPr>
        <w:t xml:space="preserve">, </w:t>
      </w:r>
      <w:r w:rsidR="003F5690">
        <w:rPr>
          <w:rFonts w:cstheme="minorHAnsi"/>
          <w:szCs w:val="26"/>
        </w:rPr>
        <w:t xml:space="preserve">at </w:t>
      </w:r>
      <w:r w:rsidRPr="00406C70" w:rsidR="0020391C">
        <w:rPr>
          <w:rFonts w:cstheme="minorHAnsi"/>
          <w:szCs w:val="26"/>
        </w:rPr>
        <w:t>p</w:t>
      </w:r>
      <w:r w:rsidRPr="00406C70" w:rsidR="003110CD">
        <w:rPr>
          <w:rFonts w:cstheme="minorHAnsi"/>
          <w:szCs w:val="26"/>
        </w:rPr>
        <w:t>p</w:t>
      </w:r>
      <w:r w:rsidRPr="00406C70" w:rsidR="0020391C">
        <w:rPr>
          <w:rFonts w:cstheme="minorHAnsi"/>
          <w:szCs w:val="26"/>
        </w:rPr>
        <w:t>. </w:t>
      </w:r>
      <w:r w:rsidRPr="00406C70" w:rsidR="003110CD">
        <w:rPr>
          <w:rFonts w:cstheme="minorHAnsi"/>
          <w:szCs w:val="26"/>
        </w:rPr>
        <w:t>11–12</w:t>
      </w:r>
      <w:r w:rsidRPr="00406C70" w:rsidR="0020391C">
        <w:rPr>
          <w:rFonts w:cstheme="minorHAnsi"/>
          <w:szCs w:val="26"/>
        </w:rPr>
        <w:t xml:space="preserve">), </w:t>
      </w:r>
      <w:r w:rsidRPr="00406C70" w:rsidR="00091B81">
        <w:rPr>
          <w:rFonts w:cstheme="minorHAnsi"/>
          <w:szCs w:val="26"/>
        </w:rPr>
        <w:t xml:space="preserve">the Commission considered </w:t>
      </w:r>
      <w:r w:rsidRPr="00406C70" w:rsidR="00F361BB">
        <w:rPr>
          <w:rFonts w:cstheme="minorHAnsi"/>
          <w:szCs w:val="26"/>
        </w:rPr>
        <w:t xml:space="preserve">the </w:t>
      </w:r>
      <w:r w:rsidRPr="00406C70" w:rsidR="00091B81">
        <w:rPr>
          <w:rFonts w:cstheme="minorHAnsi"/>
          <w:szCs w:val="26"/>
        </w:rPr>
        <w:t xml:space="preserve">policy concern </w:t>
      </w:r>
      <w:r w:rsidRPr="00406C70" w:rsidR="00F361BB">
        <w:rPr>
          <w:rFonts w:cstheme="minorHAnsi"/>
          <w:szCs w:val="26"/>
        </w:rPr>
        <w:t xml:space="preserve">that </w:t>
      </w:r>
      <w:r w:rsidRPr="00406C70" w:rsidR="007C12B1">
        <w:rPr>
          <w:rFonts w:cstheme="minorHAnsi"/>
          <w:szCs w:val="26"/>
        </w:rPr>
        <w:t xml:space="preserve">more restrictive procedures for revocation and modification might better protect settlors from undue influence.  After weighing the various policy considerations, it </w:t>
      </w:r>
      <w:r w:rsidRPr="00406C70" w:rsidR="0085694B">
        <w:rPr>
          <w:rFonts w:cstheme="minorHAnsi"/>
          <w:szCs w:val="26"/>
        </w:rPr>
        <w:t>proposed</w:t>
      </w:r>
      <w:r w:rsidRPr="00406C70" w:rsidR="00091B81">
        <w:rPr>
          <w:rFonts w:cstheme="minorHAnsi"/>
          <w:szCs w:val="26"/>
        </w:rPr>
        <w:t xml:space="preserve"> a “compromise position</w:t>
      </w:r>
      <w:r w:rsidRPr="00406C70" w:rsidR="002C26B4">
        <w:rPr>
          <w:rFonts w:cstheme="minorHAnsi"/>
          <w:szCs w:val="26"/>
        </w:rPr>
        <w:t>”</w:t>
      </w:r>
      <w:r w:rsidRPr="00406C70" w:rsidR="00091B81">
        <w:rPr>
          <w:rFonts w:cstheme="minorHAnsi"/>
          <w:szCs w:val="26"/>
        </w:rPr>
        <w:t xml:space="preserve"> that </w:t>
      </w:r>
      <w:r w:rsidRPr="00406C70" w:rsidR="002C26B4">
        <w:rPr>
          <w:rFonts w:cstheme="minorHAnsi"/>
          <w:szCs w:val="26"/>
        </w:rPr>
        <w:t xml:space="preserve">preferences the availability of the statutory </w:t>
      </w:r>
      <w:r w:rsidRPr="00406C70" w:rsidR="006062FD">
        <w:rPr>
          <w:rFonts w:cstheme="minorHAnsi"/>
          <w:szCs w:val="26"/>
        </w:rPr>
        <w:t xml:space="preserve">method </w:t>
      </w:r>
      <w:r w:rsidRPr="00406C70" w:rsidR="002C26B4">
        <w:rPr>
          <w:rFonts w:cstheme="minorHAnsi"/>
          <w:szCs w:val="26"/>
        </w:rPr>
        <w:t>unless the settlor explicitly binds him</w:t>
      </w:r>
      <w:r w:rsidRPr="00406C70" w:rsidR="00883800">
        <w:rPr>
          <w:rFonts w:cstheme="minorHAnsi"/>
          <w:szCs w:val="26"/>
        </w:rPr>
        <w:t>self</w:t>
      </w:r>
      <w:r w:rsidRPr="00406C70" w:rsidR="002C26B4">
        <w:rPr>
          <w:rFonts w:cstheme="minorHAnsi"/>
          <w:szCs w:val="26"/>
        </w:rPr>
        <w:t xml:space="preserve"> or herself to a different rule.  </w:t>
      </w:r>
      <w:r w:rsidRPr="00406C70" w:rsidR="0020391C">
        <w:rPr>
          <w:rFonts w:cstheme="minorHAnsi"/>
          <w:szCs w:val="26"/>
        </w:rPr>
        <w:t>(</w:t>
      </w:r>
      <w:r w:rsidRPr="0037090C" w:rsidR="0020391C">
        <w:rPr>
          <w:rFonts w:cstheme="minorHAnsi"/>
          <w:szCs w:val="26"/>
        </w:rPr>
        <w:t>Recommendation Proposing the Trust Law</w:t>
      </w:r>
      <w:r w:rsidRPr="00406C70" w:rsidR="0020391C">
        <w:rPr>
          <w:rFonts w:cstheme="minorHAnsi"/>
          <w:szCs w:val="26"/>
        </w:rPr>
        <w:t xml:space="preserve">, </w:t>
      </w:r>
      <w:r w:rsidRPr="00406C70" w:rsidR="0020391C">
        <w:rPr>
          <w:rFonts w:cstheme="minorHAnsi"/>
          <w:i/>
          <w:iCs/>
          <w:szCs w:val="26"/>
        </w:rPr>
        <w:t>supra</w:t>
      </w:r>
      <w:r w:rsidRPr="00406C70" w:rsidR="0020391C">
        <w:rPr>
          <w:rFonts w:cstheme="minorHAnsi"/>
          <w:szCs w:val="26"/>
        </w:rPr>
        <w:t>,</w:t>
      </w:r>
      <w:r w:rsidRPr="00406C70" w:rsidR="0020391C">
        <w:rPr>
          <w:rFonts w:cstheme="minorHAnsi"/>
          <w:i/>
          <w:iCs/>
          <w:szCs w:val="26"/>
        </w:rPr>
        <w:t xml:space="preserve"> </w:t>
      </w:r>
      <w:r w:rsidRPr="00406C70" w:rsidR="0020391C">
        <w:rPr>
          <w:rFonts w:cstheme="minorHAnsi"/>
          <w:szCs w:val="26"/>
        </w:rPr>
        <w:t>at p.</w:t>
      </w:r>
      <w:r w:rsidRPr="00406C70">
        <w:rPr>
          <w:rFonts w:cstheme="minorHAnsi"/>
          <w:szCs w:val="26"/>
        </w:rPr>
        <w:t> </w:t>
      </w:r>
      <w:r w:rsidRPr="00406C70" w:rsidR="0020391C">
        <w:rPr>
          <w:rFonts w:cstheme="minorHAnsi"/>
          <w:szCs w:val="26"/>
        </w:rPr>
        <w:t>568.)</w:t>
      </w:r>
      <w:r w:rsidRPr="00406C70">
        <w:rPr>
          <w:rFonts w:cstheme="minorHAnsi"/>
          <w:szCs w:val="26"/>
        </w:rPr>
        <w:t xml:space="preserve">  </w:t>
      </w:r>
      <w:r w:rsidRPr="00406C70" w:rsidR="00125B68">
        <w:rPr>
          <w:rFonts w:cstheme="minorHAnsi"/>
          <w:szCs w:val="26"/>
        </w:rPr>
        <w:t>We presume that</w:t>
      </w:r>
      <w:r w:rsidRPr="00406C70" w:rsidR="00E35F42">
        <w:rPr>
          <w:rFonts w:cstheme="minorHAnsi"/>
          <w:szCs w:val="26"/>
        </w:rPr>
        <w:t xml:space="preserve"> when</w:t>
      </w:r>
      <w:r w:rsidRPr="00406C70" w:rsidR="00125B68">
        <w:rPr>
          <w:rFonts w:cstheme="minorHAnsi"/>
          <w:szCs w:val="26"/>
        </w:rPr>
        <w:t xml:space="preserve"> the Legislature adopted this proposal</w:t>
      </w:r>
      <w:r w:rsidR="00FC32E3">
        <w:rPr>
          <w:rFonts w:cstheme="minorHAnsi"/>
          <w:szCs w:val="26"/>
        </w:rPr>
        <w:t>,</w:t>
      </w:r>
      <w:r w:rsidRPr="00406C70" w:rsidR="00E35F42">
        <w:rPr>
          <w:rFonts w:cstheme="minorHAnsi"/>
          <w:szCs w:val="26"/>
        </w:rPr>
        <w:t xml:space="preserve"> it was mindful</w:t>
      </w:r>
      <w:r w:rsidRPr="00406C70" w:rsidR="004D3CA5">
        <w:rPr>
          <w:rFonts w:cstheme="minorHAnsi"/>
          <w:szCs w:val="26"/>
        </w:rPr>
        <w:t xml:space="preserve"> of</w:t>
      </w:r>
      <w:r w:rsidRPr="00406C70" w:rsidR="000453F4">
        <w:rPr>
          <w:rFonts w:cstheme="minorHAnsi"/>
          <w:szCs w:val="26"/>
        </w:rPr>
        <w:t xml:space="preserve"> </w:t>
      </w:r>
      <w:r w:rsidRPr="00406C70" w:rsidR="004D3CA5">
        <w:rPr>
          <w:rFonts w:cstheme="minorHAnsi"/>
          <w:szCs w:val="26"/>
        </w:rPr>
        <w:t>existing</w:t>
      </w:r>
      <w:r w:rsidRPr="00406C70" w:rsidR="0093265D">
        <w:rPr>
          <w:rFonts w:cstheme="minorHAnsi"/>
          <w:szCs w:val="26"/>
        </w:rPr>
        <w:t xml:space="preserve"> protections </w:t>
      </w:r>
      <w:r w:rsidRPr="00406C70" w:rsidR="004D3CA5">
        <w:rPr>
          <w:rFonts w:cstheme="minorHAnsi"/>
          <w:szCs w:val="26"/>
        </w:rPr>
        <w:t>against the</w:t>
      </w:r>
      <w:r w:rsidRPr="00406C70" w:rsidR="000453F4">
        <w:rPr>
          <w:rFonts w:cstheme="minorHAnsi"/>
          <w:szCs w:val="26"/>
        </w:rPr>
        <w:t xml:space="preserve"> dangers raised by Haggerty and amicus curiae, including</w:t>
      </w:r>
      <w:r w:rsidRPr="00406C70" w:rsidR="0093265D">
        <w:rPr>
          <w:rFonts w:cstheme="minorHAnsi"/>
          <w:szCs w:val="26"/>
        </w:rPr>
        <w:t xml:space="preserve"> the tort principles of undue influence</w:t>
      </w:r>
      <w:r w:rsidRPr="00406C70" w:rsidR="000453F4">
        <w:rPr>
          <w:rFonts w:cstheme="minorHAnsi"/>
          <w:szCs w:val="26"/>
        </w:rPr>
        <w:t xml:space="preserve"> and</w:t>
      </w:r>
      <w:r w:rsidRPr="00406C70" w:rsidR="00E2455C">
        <w:rPr>
          <w:rFonts w:cstheme="minorHAnsi"/>
          <w:szCs w:val="26"/>
        </w:rPr>
        <w:t xml:space="preserve"> fraud</w:t>
      </w:r>
      <w:r w:rsidRPr="00406C70" w:rsidR="000453F4">
        <w:rPr>
          <w:rFonts w:cstheme="minorHAnsi"/>
          <w:szCs w:val="26"/>
        </w:rPr>
        <w:t>.</w:t>
      </w:r>
      <w:r w:rsidRPr="00406C70" w:rsidR="00E2455C">
        <w:rPr>
          <w:rFonts w:cstheme="minorHAnsi"/>
          <w:szCs w:val="26"/>
        </w:rPr>
        <w:t xml:space="preserve"> </w:t>
      </w:r>
      <w:r w:rsidRPr="00406C70" w:rsidR="0093265D">
        <w:rPr>
          <w:rFonts w:cstheme="minorHAnsi"/>
          <w:szCs w:val="26"/>
        </w:rPr>
        <w:t xml:space="preserve"> </w:t>
      </w:r>
      <w:r w:rsidRPr="00406C70" w:rsidR="00E35F42">
        <w:t xml:space="preserve">(See, e.g., </w:t>
      </w:r>
      <w:r w:rsidRPr="00406C70" w:rsidR="00E35F42">
        <w:rPr>
          <w:i/>
          <w:iCs/>
        </w:rPr>
        <w:t xml:space="preserve">Tuolumne Jobs &amp; Small Business Alliance v. Superior Court </w:t>
      </w:r>
      <w:r w:rsidRPr="00406C70" w:rsidR="00E35F42">
        <w:t>(2014) 59 Cal.4th 1029, 1039 [“ ‘The Legislature is presumed to be aware of all laws in existence when it passes or amends a statute.’ ”].)</w:t>
      </w:r>
    </w:p>
    <w:p w:rsidR="00B07AB7" w:rsidRPr="00406C70" w:rsidP="00406C70" w14:paraId="5A6668AB" w14:textId="77777777">
      <w:pPr>
        <w:pStyle w:val="Text"/>
        <w:spacing w:line="400" w:lineRule="exact"/>
        <w:ind w:firstLine="720"/>
        <w:rPr>
          <w:rFonts w:cstheme="minorHAnsi"/>
          <w:szCs w:val="26"/>
        </w:rPr>
      </w:pPr>
      <w:r w:rsidRPr="00406C70">
        <w:rPr>
          <w:rFonts w:cstheme="minorHAnsi"/>
          <w:szCs w:val="26"/>
        </w:rPr>
        <w:t xml:space="preserve">Alternative </w:t>
      </w:r>
      <w:r w:rsidRPr="00406C70" w:rsidR="0020391C">
        <w:rPr>
          <w:rFonts w:cstheme="minorHAnsi"/>
          <w:szCs w:val="26"/>
        </w:rPr>
        <w:t xml:space="preserve">policy arguments regarding whether modifications should be treated more restrictively than revocations are best directed to the Legislature, which may amend the trust laws if it chooses.  Our task is to give effect to the statute as we find it.  Under the statute, </w:t>
      </w:r>
      <w:r w:rsidRPr="00406C70" w:rsidR="007F5E4E">
        <w:rPr>
          <w:rFonts w:cstheme="minorHAnsi"/>
          <w:szCs w:val="26"/>
        </w:rPr>
        <w:t xml:space="preserve">the procedures for </w:t>
      </w:r>
      <w:r w:rsidRPr="00406C70" w:rsidR="0020391C">
        <w:rPr>
          <w:rFonts w:cstheme="minorHAnsi"/>
          <w:szCs w:val="26"/>
        </w:rPr>
        <w:t>revocation</w:t>
      </w:r>
      <w:r w:rsidRPr="00406C70" w:rsidR="007F5E4E">
        <w:rPr>
          <w:rFonts w:cstheme="minorHAnsi"/>
          <w:szCs w:val="26"/>
        </w:rPr>
        <w:t xml:space="preserve"> </w:t>
      </w:r>
      <w:r w:rsidRPr="00406C70" w:rsidR="00BF3510">
        <w:rPr>
          <w:rFonts w:cstheme="minorHAnsi"/>
          <w:szCs w:val="26"/>
        </w:rPr>
        <w:t xml:space="preserve">can be used for </w:t>
      </w:r>
      <w:r w:rsidRPr="00406C70" w:rsidR="007F5E4E">
        <w:rPr>
          <w:rFonts w:cstheme="minorHAnsi"/>
          <w:szCs w:val="26"/>
        </w:rPr>
        <w:t xml:space="preserve">modification </w:t>
      </w:r>
      <w:r w:rsidRPr="00406C70" w:rsidR="0020391C">
        <w:rPr>
          <w:rFonts w:cstheme="minorHAnsi"/>
          <w:szCs w:val="26"/>
        </w:rPr>
        <w:t xml:space="preserve">unless the trust instrument </w:t>
      </w:r>
      <w:r w:rsidRPr="00406C70" w:rsidR="00F23968">
        <w:rPr>
          <w:rFonts w:cstheme="minorHAnsi"/>
          <w:szCs w:val="26"/>
        </w:rPr>
        <w:t xml:space="preserve">provides a method of modification and makes it exclusive, or otherwise </w:t>
      </w:r>
      <w:r w:rsidRPr="00406C70" w:rsidR="00DC165F">
        <w:rPr>
          <w:rFonts w:cstheme="minorHAnsi"/>
          <w:szCs w:val="26"/>
        </w:rPr>
        <w:t xml:space="preserve">expressly </w:t>
      </w:r>
      <w:r w:rsidRPr="00406C70" w:rsidR="00F23968">
        <w:rPr>
          <w:rFonts w:cstheme="minorHAnsi"/>
          <w:szCs w:val="26"/>
        </w:rPr>
        <w:t>precludes the use of revocation procedures for modification.</w:t>
      </w:r>
      <w:r w:rsidRPr="00406C70" w:rsidR="0020391C">
        <w:rPr>
          <w:rFonts w:cstheme="minorHAnsi"/>
          <w:szCs w:val="26"/>
        </w:rPr>
        <w:t xml:space="preserve">  </w:t>
      </w:r>
      <w:r w:rsidRPr="00406C70" w:rsidR="004A0F19">
        <w:rPr>
          <w:rFonts w:cstheme="minorHAnsi"/>
          <w:szCs w:val="26"/>
        </w:rPr>
        <w:t>W</w:t>
      </w:r>
      <w:r w:rsidRPr="00406C70">
        <w:rPr>
          <w:rFonts w:cstheme="minorHAnsi"/>
          <w:szCs w:val="26"/>
        </w:rPr>
        <w:t xml:space="preserve">e </w:t>
      </w:r>
      <w:r w:rsidRPr="00406C70" w:rsidR="006E6A69">
        <w:rPr>
          <w:rFonts w:cstheme="minorHAnsi"/>
          <w:szCs w:val="26"/>
        </w:rPr>
        <w:t xml:space="preserve">disapprove </w:t>
      </w:r>
      <w:r w:rsidRPr="00406C70" w:rsidR="006E6A69">
        <w:rPr>
          <w:rFonts w:cstheme="minorHAnsi"/>
          <w:i/>
          <w:iCs/>
          <w:szCs w:val="26"/>
        </w:rPr>
        <w:t>King</w:t>
      </w:r>
      <w:r w:rsidRPr="00406C70" w:rsidR="00906E2F">
        <w:rPr>
          <w:rFonts w:cstheme="minorHAnsi"/>
          <w:i/>
          <w:iCs/>
          <w:szCs w:val="26"/>
        </w:rPr>
        <w:t xml:space="preserve"> v. Lynch</w:t>
      </w:r>
      <w:r w:rsidRPr="00406C70" w:rsidR="0011636D">
        <w:rPr>
          <w:rFonts w:cstheme="minorHAnsi"/>
          <w:szCs w:val="26"/>
        </w:rPr>
        <w:t xml:space="preserve">, </w:t>
      </w:r>
      <w:r w:rsidRPr="00406C70" w:rsidR="0011636D">
        <w:rPr>
          <w:rFonts w:cstheme="minorHAnsi"/>
          <w:i/>
          <w:iCs/>
          <w:szCs w:val="26"/>
        </w:rPr>
        <w:t>supra</w:t>
      </w:r>
      <w:r w:rsidRPr="00406C70" w:rsidR="0011636D">
        <w:rPr>
          <w:rFonts w:cstheme="minorHAnsi"/>
          <w:szCs w:val="26"/>
        </w:rPr>
        <w:t xml:space="preserve">, </w:t>
      </w:r>
      <w:r w:rsidRPr="00406C70">
        <w:rPr>
          <w:rFonts w:cstheme="minorHAnsi"/>
          <w:szCs w:val="26"/>
        </w:rPr>
        <w:t>204</w:t>
      </w:r>
      <w:r w:rsidRPr="00406C70" w:rsidR="008F7332">
        <w:rPr>
          <w:rFonts w:cstheme="minorHAnsi"/>
          <w:szCs w:val="26"/>
        </w:rPr>
        <w:t> </w:t>
      </w:r>
      <w:r w:rsidRPr="00406C70">
        <w:rPr>
          <w:rFonts w:cstheme="minorHAnsi"/>
          <w:szCs w:val="26"/>
        </w:rPr>
        <w:t xml:space="preserve">Cal.App.4th </w:t>
      </w:r>
      <w:r w:rsidRPr="00406C70" w:rsidR="004D6A1B">
        <w:rPr>
          <w:rFonts w:cstheme="minorHAnsi"/>
          <w:szCs w:val="26"/>
        </w:rPr>
        <w:t>1186</w:t>
      </w:r>
      <w:r w:rsidRPr="00406C70" w:rsidR="00980994">
        <w:rPr>
          <w:rFonts w:cstheme="minorHAnsi"/>
          <w:szCs w:val="26"/>
        </w:rPr>
        <w:t>;</w:t>
      </w:r>
      <w:r w:rsidRPr="00406C70" w:rsidR="006E6A69">
        <w:rPr>
          <w:rFonts w:cstheme="minorHAnsi"/>
          <w:szCs w:val="26"/>
        </w:rPr>
        <w:t xml:space="preserve"> </w:t>
      </w:r>
      <w:r w:rsidRPr="00406C70" w:rsidR="006E6A69">
        <w:rPr>
          <w:rFonts w:cstheme="minorHAnsi"/>
          <w:i/>
          <w:iCs/>
          <w:szCs w:val="26"/>
        </w:rPr>
        <w:t>Balistreri</w:t>
      </w:r>
      <w:r w:rsidRPr="00406C70" w:rsidR="004D6A1B">
        <w:rPr>
          <w:rFonts w:cstheme="minorHAnsi"/>
          <w:i/>
          <w:iCs/>
          <w:szCs w:val="26"/>
        </w:rPr>
        <w:t xml:space="preserve"> </w:t>
      </w:r>
      <w:r w:rsidRPr="00406C70" w:rsidR="00F66901">
        <w:rPr>
          <w:rFonts w:cstheme="minorHAnsi"/>
          <w:i/>
          <w:iCs/>
          <w:szCs w:val="26"/>
        </w:rPr>
        <w:t>v. Balistreri</w:t>
      </w:r>
      <w:r w:rsidRPr="00406C70" w:rsidR="00F66901">
        <w:rPr>
          <w:rFonts w:cstheme="minorHAnsi"/>
          <w:szCs w:val="26"/>
        </w:rPr>
        <w:t xml:space="preserve">, </w:t>
      </w:r>
      <w:r w:rsidRPr="00406C70" w:rsidR="00F66901">
        <w:rPr>
          <w:rFonts w:cstheme="minorHAnsi"/>
          <w:i/>
          <w:iCs/>
          <w:szCs w:val="26"/>
        </w:rPr>
        <w:t>supra</w:t>
      </w:r>
      <w:r w:rsidRPr="00406C70" w:rsidR="00F66901">
        <w:rPr>
          <w:rFonts w:cstheme="minorHAnsi"/>
          <w:szCs w:val="26"/>
        </w:rPr>
        <w:t>,</w:t>
      </w:r>
      <w:r w:rsidRPr="00406C70" w:rsidR="00F66901">
        <w:rPr>
          <w:rFonts w:cstheme="minorHAnsi"/>
          <w:i/>
          <w:iCs/>
          <w:szCs w:val="26"/>
        </w:rPr>
        <w:t xml:space="preserve"> </w:t>
      </w:r>
      <w:r w:rsidRPr="00406C70" w:rsidR="00F66901">
        <w:rPr>
          <w:rFonts w:cstheme="minorHAnsi"/>
          <w:szCs w:val="26"/>
        </w:rPr>
        <w:t>75 Cal.App.5th 511</w:t>
      </w:r>
      <w:r w:rsidRPr="00406C70" w:rsidR="00980994">
        <w:rPr>
          <w:rFonts w:cstheme="minorHAnsi"/>
          <w:szCs w:val="26"/>
        </w:rPr>
        <w:t>;</w:t>
      </w:r>
      <w:r w:rsidRPr="00406C70" w:rsidR="006E6A69">
        <w:rPr>
          <w:rFonts w:cstheme="minorHAnsi"/>
          <w:szCs w:val="26"/>
        </w:rPr>
        <w:t xml:space="preserve"> </w:t>
      </w:r>
      <w:r w:rsidRPr="00406C70" w:rsidR="006E6A69">
        <w:rPr>
          <w:rFonts w:cstheme="minorHAnsi"/>
          <w:i/>
          <w:iCs/>
          <w:szCs w:val="26"/>
        </w:rPr>
        <w:t>Diaz</w:t>
      </w:r>
      <w:r w:rsidRPr="00406C70" w:rsidR="00F66901">
        <w:rPr>
          <w:rFonts w:cstheme="minorHAnsi"/>
          <w:i/>
          <w:iCs/>
          <w:szCs w:val="26"/>
        </w:rPr>
        <w:t xml:space="preserve"> </w:t>
      </w:r>
      <w:r w:rsidRPr="00406C70" w:rsidR="00F66901">
        <w:rPr>
          <w:i/>
          <w:iCs/>
        </w:rPr>
        <w:t>v. Zuniga</w:t>
      </w:r>
      <w:r w:rsidRPr="00406C70" w:rsidR="00F66901">
        <w:t xml:space="preserve">, </w:t>
      </w:r>
      <w:r w:rsidRPr="00406C70" w:rsidR="00F66901">
        <w:rPr>
          <w:i/>
          <w:iCs/>
        </w:rPr>
        <w:t>supra</w:t>
      </w:r>
      <w:r w:rsidRPr="00406C70" w:rsidR="00F66901">
        <w:t>, 91 Cal.App.5th 916</w:t>
      </w:r>
      <w:r w:rsidRPr="00406C70" w:rsidR="00BA40AB">
        <w:t>;</w:t>
      </w:r>
      <w:r w:rsidRPr="00406C70" w:rsidR="006E6A69">
        <w:rPr>
          <w:rFonts w:cstheme="minorHAnsi"/>
          <w:szCs w:val="26"/>
        </w:rPr>
        <w:t xml:space="preserve"> </w:t>
      </w:r>
      <w:r w:rsidRPr="00406C70" w:rsidR="006E6A69">
        <w:rPr>
          <w:rFonts w:cstheme="minorHAnsi"/>
          <w:i/>
          <w:iCs/>
          <w:szCs w:val="26"/>
        </w:rPr>
        <w:t>Pena</w:t>
      </w:r>
      <w:r w:rsidRPr="00406C70" w:rsidR="00F66901">
        <w:rPr>
          <w:rFonts w:cstheme="minorHAnsi"/>
          <w:i/>
          <w:iCs/>
          <w:szCs w:val="26"/>
        </w:rPr>
        <w:t xml:space="preserve"> v. Dey</w:t>
      </w:r>
      <w:r w:rsidRPr="00406C70" w:rsidR="00F66901">
        <w:rPr>
          <w:rFonts w:cstheme="minorHAnsi"/>
          <w:szCs w:val="26"/>
        </w:rPr>
        <w:t xml:space="preserve">, </w:t>
      </w:r>
      <w:r w:rsidRPr="00406C70" w:rsidR="00F66901">
        <w:rPr>
          <w:rFonts w:cstheme="minorHAnsi"/>
          <w:i/>
          <w:iCs/>
          <w:szCs w:val="26"/>
        </w:rPr>
        <w:t>supra</w:t>
      </w:r>
      <w:r w:rsidRPr="00406C70" w:rsidR="00F66901">
        <w:rPr>
          <w:rFonts w:cstheme="minorHAnsi"/>
          <w:szCs w:val="26"/>
        </w:rPr>
        <w:t>, 39 Cal.App.5th 546</w:t>
      </w:r>
      <w:r w:rsidRPr="00406C70" w:rsidR="00BA40AB">
        <w:rPr>
          <w:rFonts w:cstheme="minorHAnsi"/>
          <w:szCs w:val="26"/>
        </w:rPr>
        <w:t>;</w:t>
      </w:r>
      <w:r w:rsidRPr="00406C70" w:rsidR="006E6A69">
        <w:rPr>
          <w:rFonts w:cstheme="minorHAnsi"/>
          <w:szCs w:val="26"/>
        </w:rPr>
        <w:t xml:space="preserve"> </w:t>
      </w:r>
      <w:r w:rsidRPr="00406C70" w:rsidR="00F66901">
        <w:rPr>
          <w:rFonts w:cstheme="minorHAnsi"/>
          <w:i/>
          <w:iCs/>
          <w:szCs w:val="26"/>
        </w:rPr>
        <w:t>Conservatorship of Irvine</w:t>
      </w:r>
      <w:r w:rsidRPr="00406C70" w:rsidR="00F66901">
        <w:rPr>
          <w:rFonts w:cstheme="minorHAnsi"/>
          <w:szCs w:val="26"/>
        </w:rPr>
        <w:t xml:space="preserve">, </w:t>
      </w:r>
      <w:r w:rsidRPr="00406C70" w:rsidR="00F66901">
        <w:rPr>
          <w:rFonts w:cstheme="minorHAnsi"/>
          <w:i/>
          <w:iCs/>
          <w:szCs w:val="26"/>
        </w:rPr>
        <w:t>supra</w:t>
      </w:r>
      <w:r w:rsidRPr="00406C70" w:rsidR="00F66901">
        <w:rPr>
          <w:rFonts w:cstheme="minorHAnsi"/>
          <w:szCs w:val="26"/>
        </w:rPr>
        <w:t>, 40 Cal.App.4th 1334</w:t>
      </w:r>
      <w:r w:rsidRPr="00406C70" w:rsidR="00BA40AB">
        <w:rPr>
          <w:rFonts w:cstheme="minorHAnsi"/>
          <w:szCs w:val="26"/>
        </w:rPr>
        <w:t>;</w:t>
      </w:r>
      <w:r w:rsidRPr="00406C70" w:rsidR="006E6A69">
        <w:rPr>
          <w:rFonts w:cstheme="minorHAnsi"/>
          <w:szCs w:val="26"/>
        </w:rPr>
        <w:t xml:space="preserve"> and </w:t>
      </w:r>
      <w:r w:rsidRPr="00406C70" w:rsidR="006E6A69">
        <w:rPr>
          <w:rFonts w:cstheme="minorHAnsi"/>
          <w:i/>
          <w:iCs/>
          <w:szCs w:val="26"/>
        </w:rPr>
        <w:t>Haggerty</w:t>
      </w:r>
      <w:r w:rsidRPr="00406C70" w:rsidR="009D0FF9">
        <w:rPr>
          <w:rFonts w:cstheme="minorHAnsi"/>
          <w:i/>
          <w:iCs/>
          <w:szCs w:val="26"/>
        </w:rPr>
        <w:t xml:space="preserve"> v. Thornton</w:t>
      </w:r>
      <w:r w:rsidRPr="00406C70" w:rsidR="009D0FF9">
        <w:rPr>
          <w:rFonts w:cstheme="minorHAnsi"/>
          <w:szCs w:val="26"/>
        </w:rPr>
        <w:t xml:space="preserve">, </w:t>
      </w:r>
      <w:r w:rsidRPr="00406C70" w:rsidR="009D0FF9">
        <w:rPr>
          <w:rFonts w:cstheme="minorHAnsi"/>
          <w:i/>
          <w:iCs/>
          <w:szCs w:val="26"/>
        </w:rPr>
        <w:t>supra</w:t>
      </w:r>
      <w:r w:rsidRPr="00406C70" w:rsidR="009D0FF9">
        <w:rPr>
          <w:rFonts w:cstheme="minorHAnsi"/>
          <w:szCs w:val="26"/>
        </w:rPr>
        <w:t>,</w:t>
      </w:r>
      <w:r w:rsidRPr="00406C70" w:rsidR="009D0FF9">
        <w:rPr>
          <w:rFonts w:cstheme="minorHAnsi"/>
          <w:i/>
          <w:iCs/>
          <w:szCs w:val="26"/>
        </w:rPr>
        <w:t xml:space="preserve"> </w:t>
      </w:r>
      <w:r w:rsidRPr="00406C70" w:rsidR="009D0FF9">
        <w:rPr>
          <w:rFonts w:cstheme="minorHAnsi"/>
          <w:szCs w:val="26"/>
        </w:rPr>
        <w:t>68 Cal.App.5th 1003</w:t>
      </w:r>
      <w:r w:rsidRPr="00406C70" w:rsidR="006E6A69">
        <w:rPr>
          <w:rFonts w:cstheme="minorHAnsi"/>
          <w:szCs w:val="26"/>
        </w:rPr>
        <w:t xml:space="preserve">, to the extent that they are </w:t>
      </w:r>
      <w:r w:rsidRPr="00406C70">
        <w:rPr>
          <w:rFonts w:cstheme="minorHAnsi"/>
          <w:szCs w:val="26"/>
        </w:rPr>
        <w:t>inconsistent with</w:t>
      </w:r>
      <w:r w:rsidRPr="00406C70" w:rsidR="006E6A69">
        <w:rPr>
          <w:rFonts w:cstheme="minorHAnsi"/>
          <w:szCs w:val="26"/>
        </w:rPr>
        <w:t xml:space="preserve"> this holding.</w:t>
      </w:r>
    </w:p>
    <w:p w:rsidR="000A785A" w:rsidP="00406C70" w14:paraId="5A6668AC" w14:textId="77777777">
      <w:pPr>
        <w:pStyle w:val="Text"/>
        <w:spacing w:line="400" w:lineRule="exact"/>
        <w:ind w:firstLine="720"/>
        <w:rPr>
          <w:szCs w:val="26"/>
        </w:rPr>
      </w:pPr>
      <w:r w:rsidRPr="00406C70">
        <w:rPr>
          <w:szCs w:val="26"/>
        </w:rPr>
        <w:t xml:space="preserve">Finally, Haggerty argues that our decision should </w:t>
      </w:r>
      <w:r w:rsidRPr="00406C70" w:rsidR="004C197D">
        <w:rPr>
          <w:szCs w:val="26"/>
        </w:rPr>
        <w:t>apply only prospectively</w:t>
      </w:r>
      <w:r w:rsidRPr="00406C70" w:rsidR="00433CD2">
        <w:rPr>
          <w:szCs w:val="26"/>
        </w:rPr>
        <w:t xml:space="preserve"> and that </w:t>
      </w:r>
      <w:r w:rsidRPr="002E0848" w:rsidR="00433CD2">
        <w:rPr>
          <w:i/>
          <w:iCs/>
          <w:szCs w:val="26"/>
        </w:rPr>
        <w:t>King</w:t>
      </w:r>
      <w:r w:rsidRPr="00406C70" w:rsidR="00433CD2">
        <w:rPr>
          <w:szCs w:val="26"/>
        </w:rPr>
        <w:t xml:space="preserve"> should control </w:t>
      </w:r>
      <w:r w:rsidRPr="00406C70" w:rsidR="00621564">
        <w:rPr>
          <w:szCs w:val="26"/>
        </w:rPr>
        <w:t>th</w:t>
      </w:r>
      <w:r w:rsidRPr="00406C70" w:rsidR="009670A6">
        <w:rPr>
          <w:szCs w:val="26"/>
        </w:rPr>
        <w:t>is case</w:t>
      </w:r>
      <w:r w:rsidRPr="00406C70" w:rsidR="00621564">
        <w:rPr>
          <w:szCs w:val="26"/>
        </w:rPr>
        <w:t xml:space="preserve"> </w:t>
      </w:r>
      <w:r w:rsidRPr="00406C70" w:rsidR="00433CD2">
        <w:rPr>
          <w:szCs w:val="26"/>
        </w:rPr>
        <w:t xml:space="preserve">because “it was the prevailing law when Ms. Bertsch devised her trust.”  </w:t>
      </w:r>
      <w:r w:rsidRPr="00406C70" w:rsidR="00655586">
        <w:rPr>
          <w:szCs w:val="26"/>
        </w:rPr>
        <w:t>But the court below was “ ‘not bound by an opinion of another District Court of Appeal.’</w:t>
      </w:r>
      <w:r w:rsidRPr="00406C70" w:rsidR="00655586">
        <w:t> </w:t>
      </w:r>
      <w:r w:rsidRPr="00406C70" w:rsidR="00655586">
        <w:rPr>
          <w:szCs w:val="26"/>
        </w:rPr>
        <w:t>”  (</w:t>
      </w:r>
      <w:r w:rsidRPr="00406C70" w:rsidR="00655586">
        <w:rPr>
          <w:i/>
          <w:iCs/>
          <w:szCs w:val="26"/>
        </w:rPr>
        <w:t>People v. Kim</w:t>
      </w:r>
      <w:r w:rsidRPr="00406C70" w:rsidR="00655586">
        <w:rPr>
          <w:szCs w:val="26"/>
        </w:rPr>
        <w:t xml:space="preserve"> (2011) 193 Cal.App.4th 836, 847.)  Moreover, </w:t>
      </w:r>
      <w:r w:rsidRPr="00406C70" w:rsidR="00474543">
        <w:t>“ ‘judicial construction of a statute is an authoritative statement of what the statute meant before as well as after the decision of the case giving rise to that construction</w:t>
      </w:r>
      <w:r w:rsidRPr="00406C70" w:rsidR="002143B7">
        <w:t>.</w:t>
      </w:r>
      <w:r w:rsidRPr="00406C70" w:rsidR="00474543">
        <w:t xml:space="preserve">’ ” </w:t>
      </w:r>
      <w:r w:rsidRPr="00406C70" w:rsidR="002143B7">
        <w:t xml:space="preserve"> </w:t>
      </w:r>
      <w:r w:rsidRPr="00406C70" w:rsidR="00474543">
        <w:t>(</w:t>
      </w:r>
      <w:r w:rsidRPr="00406C70" w:rsidR="00474543">
        <w:rPr>
          <w:i/>
          <w:iCs/>
        </w:rPr>
        <w:t xml:space="preserve">Vazquez v. Jan-Pro Franchising Internat., Inc. </w:t>
      </w:r>
      <w:r w:rsidRPr="00406C70" w:rsidR="00474543">
        <w:t xml:space="preserve">(2021) 10 Cal.5th 944, 951, quoting </w:t>
      </w:r>
      <w:r w:rsidRPr="00406C70" w:rsidR="00474543">
        <w:rPr>
          <w:i/>
          <w:iCs/>
        </w:rPr>
        <w:t>Rivers v. Roadway Express, Inc.</w:t>
      </w:r>
      <w:r w:rsidRPr="00406C70" w:rsidR="00474543">
        <w:t xml:space="preserve"> (1994) 511 U.S. 298, 312–313</w:t>
      </w:r>
      <w:r w:rsidRPr="00406C70" w:rsidR="00406BDB">
        <w:t>)</w:t>
      </w:r>
      <w:r w:rsidRPr="00406C70" w:rsidR="00474543">
        <w:t>.</w:t>
      </w:r>
      <w:r w:rsidRPr="00406C70" w:rsidR="00B95223">
        <w:t xml:space="preserve"> </w:t>
      </w:r>
      <w:r w:rsidRPr="00406C70" w:rsidR="00474543">
        <w:rPr>
          <w:szCs w:val="26"/>
        </w:rPr>
        <w:t xml:space="preserve"> </w:t>
      </w:r>
      <w:r w:rsidRPr="00406C70" w:rsidR="00AD2DA8">
        <w:rPr>
          <w:szCs w:val="26"/>
        </w:rPr>
        <w:t xml:space="preserve">This rule generally applies absent narrow exceptions based on fairness and public policy.  </w:t>
      </w:r>
      <w:r w:rsidRPr="00406C70" w:rsidR="00E10978">
        <w:rPr>
          <w:szCs w:val="26"/>
        </w:rPr>
        <w:t>(</w:t>
      </w:r>
      <w:r w:rsidRPr="006503B9" w:rsidR="00E10978">
        <w:rPr>
          <w:i/>
          <w:iCs/>
          <w:szCs w:val="26"/>
        </w:rPr>
        <w:t>Ferra v. Loews Hollywood Hotel, LLC</w:t>
      </w:r>
      <w:r w:rsidRPr="00406C70" w:rsidR="00E10978">
        <w:rPr>
          <w:szCs w:val="26"/>
        </w:rPr>
        <w:t xml:space="preserve"> (2021) 11 Cal.5th 858, 878.)  </w:t>
      </w:r>
      <w:r w:rsidRPr="00406C70" w:rsidR="000E4B36">
        <w:rPr>
          <w:szCs w:val="26"/>
        </w:rPr>
        <w:t>Haggerty does not argue</w:t>
      </w:r>
      <w:r w:rsidRPr="00406C70" w:rsidR="00655586">
        <w:rPr>
          <w:szCs w:val="26"/>
        </w:rPr>
        <w:t xml:space="preserve"> that </w:t>
      </w:r>
      <w:r w:rsidRPr="00406C70" w:rsidR="005E39DF">
        <w:rPr>
          <w:szCs w:val="26"/>
        </w:rPr>
        <w:t>any of those exceptions apply</w:t>
      </w:r>
      <w:r w:rsidRPr="00406C70" w:rsidR="00655586">
        <w:rPr>
          <w:szCs w:val="26"/>
        </w:rPr>
        <w:t xml:space="preserve"> here</w:t>
      </w:r>
      <w:r w:rsidR="002A2BB0">
        <w:rPr>
          <w:szCs w:val="26"/>
        </w:rPr>
        <w:t>, and we see no reason to depart from the usual rule.</w:t>
      </w:r>
    </w:p>
    <w:p w:rsidR="000A785A" w14:paraId="5A6668AD" w14:textId="77777777">
      <w:pPr>
        <w:spacing w:after="0" w:line="240" w:lineRule="auto"/>
        <w:jc w:val="left"/>
        <w:rPr>
          <w:szCs w:val="26"/>
        </w:rPr>
      </w:pPr>
      <w:r>
        <w:rPr>
          <w:szCs w:val="26"/>
        </w:rPr>
        <w:br w:type="page"/>
      </w:r>
    </w:p>
    <w:p w:rsidR="00990E4B" w:rsidRPr="00406C70" w:rsidP="00EA521D" w14:paraId="5A6668AE" w14:textId="77777777">
      <w:pPr>
        <w:keepNext/>
        <w:keepLines/>
        <w:jc w:val="center"/>
        <w:outlineLvl w:val="0"/>
        <w:rPr>
          <w:rFonts w:cstheme="minorHAnsi"/>
          <w:b/>
          <w:szCs w:val="26"/>
        </w:rPr>
      </w:pPr>
      <w:r w:rsidRPr="00406C70">
        <w:rPr>
          <w:rFonts w:cstheme="minorHAnsi"/>
          <w:b/>
          <w:bCs/>
          <w:szCs w:val="26"/>
        </w:rPr>
        <w:t>CONCLUSION</w:t>
      </w:r>
    </w:p>
    <w:p w:rsidR="00990E4B" w:rsidRPr="00406C70" w:rsidP="00406C70" w14:paraId="5A6668AF" w14:textId="77777777">
      <w:pPr>
        <w:keepNext/>
        <w:ind w:firstLine="720"/>
        <w:rPr>
          <w:rFonts w:cstheme="minorHAnsi"/>
          <w:szCs w:val="26"/>
        </w:rPr>
      </w:pPr>
      <w:r w:rsidRPr="00406C70">
        <w:rPr>
          <w:rFonts w:cstheme="minorHAnsi"/>
          <w:szCs w:val="26"/>
        </w:rPr>
        <w:t>We affirm the judgment of the Court of Appeal and remand the case for further proceedings consistent with this opinion.</w:t>
      </w:r>
      <w:r w:rsidRPr="00406C70" w:rsidR="004B2875">
        <w:rPr>
          <w:rStyle w:val="FootnoteReference"/>
          <w:rFonts w:cstheme="minorHAnsi"/>
          <w:szCs w:val="26"/>
        </w:rPr>
        <w:t xml:space="preserve"> </w:t>
      </w:r>
    </w:p>
    <w:p w:rsidR="00915DEE" w:rsidRPr="00406C70" w:rsidP="00406C70" w14:paraId="5A6668B0" w14:textId="77777777">
      <w:pPr>
        <w:tabs>
          <w:tab w:val="left" w:pos="1440"/>
        </w:tabs>
        <w:ind w:firstLine="720"/>
        <w:rPr>
          <w:rFonts w:cstheme="minorHAnsi"/>
          <w:b/>
          <w:szCs w:val="26"/>
        </w:rPr>
      </w:pPr>
    </w:p>
    <w:p w:rsidR="004A0496" w:rsidRPr="00406C70" w:rsidP="00406C70" w14:paraId="5A6668B1" w14:textId="77777777">
      <w:pPr>
        <w:tabs>
          <w:tab w:val="left" w:pos="1440"/>
        </w:tabs>
        <w:ind w:firstLine="720"/>
        <w:rPr>
          <w:rFonts w:cstheme="minorHAnsi"/>
          <w:b/>
          <w:szCs w:val="26"/>
        </w:rPr>
      </w:pPr>
      <w:r w:rsidRPr="00406C70">
        <w:rPr>
          <w:rFonts w:cstheme="minorHAnsi"/>
          <w:b/>
          <w:szCs w:val="26"/>
        </w:rPr>
        <w:tab/>
      </w:r>
      <w:r w:rsidRPr="00406C70">
        <w:rPr>
          <w:rFonts w:cstheme="minorHAnsi"/>
          <w:b/>
          <w:szCs w:val="26"/>
        </w:rPr>
        <w:tab/>
      </w:r>
      <w:r w:rsidRPr="00406C70">
        <w:rPr>
          <w:rFonts w:cstheme="minorHAnsi"/>
          <w:b/>
          <w:szCs w:val="26"/>
        </w:rPr>
        <w:tab/>
      </w:r>
      <w:r w:rsidRPr="00406C70">
        <w:rPr>
          <w:rFonts w:cstheme="minorHAnsi"/>
          <w:b/>
          <w:szCs w:val="26"/>
        </w:rPr>
        <w:tab/>
      </w:r>
      <w:r w:rsidRPr="00406C70">
        <w:rPr>
          <w:rFonts w:cstheme="minorHAnsi"/>
          <w:b/>
          <w:szCs w:val="26"/>
        </w:rPr>
        <w:tab/>
      </w:r>
      <w:r w:rsidRPr="00406C70">
        <w:rPr>
          <w:rFonts w:cstheme="minorHAnsi"/>
          <w:b/>
          <w:szCs w:val="26"/>
        </w:rPr>
        <w:tab/>
        <w:t>LIU, J.</w:t>
      </w:r>
    </w:p>
    <w:p w:rsidR="003076F3" w:rsidP="003076F3" w14:paraId="5A6668B2" w14:textId="77777777">
      <w:pPr>
        <w:tabs>
          <w:tab w:val="left" w:pos="1440"/>
        </w:tabs>
        <w:rPr>
          <w:rFonts w:cstheme="minorHAnsi"/>
          <w:b/>
          <w:szCs w:val="26"/>
        </w:rPr>
      </w:pPr>
    </w:p>
    <w:p w:rsidR="0051735A" w:rsidP="003076F3" w14:paraId="5A6668B3" w14:textId="77777777">
      <w:pPr>
        <w:tabs>
          <w:tab w:val="left" w:pos="1440"/>
        </w:tabs>
        <w:rPr>
          <w:rFonts w:cstheme="minorHAnsi"/>
          <w:b/>
          <w:szCs w:val="26"/>
        </w:rPr>
      </w:pPr>
      <w:r>
        <w:rPr>
          <w:rFonts w:cstheme="minorHAnsi"/>
          <w:b/>
          <w:szCs w:val="26"/>
        </w:rPr>
        <w:t>We Concur:</w:t>
      </w:r>
    </w:p>
    <w:p w:rsidR="00235B75" w:rsidP="00692DDE" w14:paraId="3BF19680" w14:textId="3F2B5C79">
      <w:pPr>
        <w:spacing w:after="0" w:line="240" w:lineRule="auto"/>
        <w:rPr>
          <w:b/>
          <w:lang w:val="it-IT"/>
        </w:rPr>
      </w:pPr>
      <w:bookmarkStart w:id="4" w:name="_Hlk134778552"/>
      <w:r>
        <w:rPr>
          <w:b/>
          <w:lang w:val="it-IT"/>
        </w:rPr>
        <w:t>KRUGER</w:t>
      </w:r>
      <w:r>
        <w:rPr>
          <w:b/>
          <w:lang w:val="it-IT"/>
        </w:rPr>
        <w:t xml:space="preserve">, </w:t>
      </w:r>
      <w:r w:rsidR="00D32794">
        <w:rPr>
          <w:b/>
          <w:lang w:val="it-IT"/>
        </w:rPr>
        <w:t>A</w:t>
      </w:r>
      <w:r w:rsidR="00341D03">
        <w:rPr>
          <w:b/>
          <w:lang w:val="it-IT"/>
        </w:rPr>
        <w:t>cting</w:t>
      </w:r>
      <w:r w:rsidR="00D32794">
        <w:rPr>
          <w:b/>
          <w:lang w:val="it-IT"/>
        </w:rPr>
        <w:t xml:space="preserve"> C. J.</w:t>
      </w:r>
    </w:p>
    <w:p w:rsidR="00692DDE" w:rsidRPr="00692DDE" w:rsidP="00692DDE" w14:paraId="5A6668B4" w14:textId="5811BFA2">
      <w:pPr>
        <w:spacing w:after="0" w:line="240" w:lineRule="auto"/>
        <w:rPr>
          <w:b/>
          <w:lang w:val="it-IT"/>
        </w:rPr>
      </w:pPr>
      <w:r w:rsidRPr="00692DDE">
        <w:rPr>
          <w:b/>
          <w:lang w:val="it-IT"/>
        </w:rPr>
        <w:t>CORRIGAN, J.</w:t>
      </w:r>
    </w:p>
    <w:p w:rsidR="00692DDE" w:rsidRPr="00692DDE" w:rsidP="00692DDE" w14:paraId="5A6668B6" w14:textId="77777777">
      <w:pPr>
        <w:spacing w:after="0" w:line="240" w:lineRule="auto"/>
        <w:jc w:val="left"/>
        <w:rPr>
          <w:b/>
        </w:rPr>
      </w:pPr>
      <w:r w:rsidRPr="00692DDE">
        <w:rPr>
          <w:b/>
        </w:rPr>
        <w:t>GROBAN, J.</w:t>
      </w:r>
    </w:p>
    <w:p w:rsidR="00692DDE" w:rsidRPr="00692DDE" w:rsidP="00692DDE" w14:paraId="5A6668B7" w14:textId="77777777">
      <w:pPr>
        <w:spacing w:after="0" w:line="240" w:lineRule="auto"/>
        <w:jc w:val="left"/>
        <w:rPr>
          <w:b/>
        </w:rPr>
      </w:pPr>
      <w:r w:rsidRPr="00692DDE">
        <w:rPr>
          <w:b/>
        </w:rPr>
        <w:t>JENKINS, J.</w:t>
      </w:r>
    </w:p>
    <w:p w:rsidR="00692DDE" w:rsidRPr="00692DDE" w:rsidP="00692DDE" w14:paraId="5A6668B8" w14:textId="77777777">
      <w:pPr>
        <w:spacing w:after="0" w:line="240" w:lineRule="auto"/>
        <w:jc w:val="left"/>
        <w:rPr>
          <w:b/>
        </w:rPr>
      </w:pPr>
      <w:r w:rsidRPr="00692DDE">
        <w:rPr>
          <w:b/>
        </w:rPr>
        <w:t>EVANS, J.</w:t>
      </w:r>
    </w:p>
    <w:bookmarkEnd w:id="4"/>
    <w:p w:rsidR="00771DE5" w:rsidRPr="00771DE5" w:rsidP="00771DE5" w14:paraId="5A6668B9" w14:textId="77777777">
      <w:pPr>
        <w:spacing w:after="0" w:line="240" w:lineRule="auto"/>
        <w:rPr>
          <w:b/>
        </w:rPr>
      </w:pPr>
      <w:r>
        <w:rPr>
          <w:b/>
        </w:rPr>
        <w:t>POOCHIG</w:t>
      </w:r>
      <w:r w:rsidRPr="00771DE5">
        <w:rPr>
          <w:b/>
        </w:rPr>
        <w:t>I</w:t>
      </w:r>
      <w:r>
        <w:rPr>
          <w:b/>
        </w:rPr>
        <w:t>A</w:t>
      </w:r>
      <w:r w:rsidRPr="00771DE5">
        <w:rPr>
          <w:b/>
        </w:rPr>
        <w:t>N, J.</w:t>
      </w:r>
      <w:r>
        <w:rPr>
          <w:position w:val="4"/>
          <w:vertAlign w:val="superscript"/>
        </w:rPr>
        <w:footnoteReference w:customMarkFollows="1" w:id="3"/>
        <w:t xml:space="preserve">*</w:t>
      </w:r>
    </w:p>
    <w:p w:rsidR="00A73033" w:rsidP="003076F3" w14:paraId="10CD48E9" w14:textId="77777777">
      <w:pPr>
        <w:tabs>
          <w:tab w:val="left" w:pos="1440"/>
        </w:tabs>
        <w:rPr>
          <w:rFonts w:cstheme="minorHAnsi"/>
          <w:b/>
          <w:szCs w:val="26"/>
        </w:rPr>
        <w:sectPr w:rsidSect="00C7131F">
          <w:footerReference w:type="first" r:id="rId8"/>
          <w:pgSz w:w="12240" w:h="15840"/>
          <w:pgMar w:top="1800" w:right="2160" w:bottom="1440" w:left="2160" w:header="720" w:footer="720" w:gutter="0"/>
          <w:pgNumType w:start="1"/>
          <w:cols w:space="720"/>
          <w:titlePg/>
          <w:docGrid w:linePitch="367"/>
        </w:sectPr>
      </w:pPr>
    </w:p>
    <w:p w:rsidR="00A3687B" w:rsidRPr="00A3687B" w:rsidP="00A3687B" w14:paraId="345FA913" w14:textId="77777777">
      <w:pPr>
        <w:spacing w:after="0" w:line="240" w:lineRule="auto"/>
        <w:jc w:val="left"/>
        <w:rPr>
          <w:i/>
          <w:sz w:val="24"/>
          <w:szCs w:val="24"/>
        </w:rPr>
      </w:pPr>
      <w:r w:rsidRPr="00A3687B">
        <w:rPr>
          <w:i/>
          <w:sz w:val="24"/>
          <w:szCs w:val="24"/>
        </w:rPr>
        <w:t>See next page for addresses and telephone numbers for counsel who argued in Supreme Court.</w:t>
      </w:r>
    </w:p>
    <w:p w:rsidR="00A3687B" w:rsidRPr="00A3687B" w:rsidP="00A3687B" w14:paraId="54E61A5D" w14:textId="77777777">
      <w:pPr>
        <w:spacing w:after="0" w:line="240" w:lineRule="auto"/>
        <w:jc w:val="left"/>
        <w:rPr>
          <w:i/>
          <w:sz w:val="24"/>
          <w:szCs w:val="24"/>
        </w:rPr>
      </w:pPr>
    </w:p>
    <w:p w:rsidR="00A3687B" w:rsidRPr="00A3687B" w:rsidP="00A3687B" w14:paraId="1A8E412C" w14:textId="77777777">
      <w:pPr>
        <w:spacing w:after="0" w:line="240" w:lineRule="auto"/>
        <w:jc w:val="left"/>
        <w:rPr>
          <w:bCs/>
          <w:sz w:val="24"/>
          <w:szCs w:val="24"/>
        </w:rPr>
      </w:pPr>
      <w:r w:rsidRPr="00A3687B">
        <w:rPr>
          <w:b/>
          <w:sz w:val="24"/>
          <w:szCs w:val="24"/>
        </w:rPr>
        <w:t xml:space="preserve">Name of Opinion  </w:t>
      </w:r>
      <w:r w:rsidRPr="00A3687B">
        <w:rPr>
          <w:bCs/>
          <w:sz w:val="24"/>
          <w:szCs w:val="24"/>
        </w:rPr>
        <w:t>Haggerty v. Thornton</w:t>
      </w:r>
    </w:p>
    <w:p w:rsidR="00A3687B" w:rsidRPr="00A3687B" w:rsidP="00A3687B" w14:paraId="5E66F13A" w14:textId="77777777">
      <w:pPr>
        <w:spacing w:after="0" w:line="240" w:lineRule="auto"/>
        <w:jc w:val="left"/>
        <w:rPr>
          <w:b/>
          <w:sz w:val="24"/>
          <w:szCs w:val="24"/>
        </w:rPr>
      </w:pPr>
      <w:r w:rsidRPr="00A3687B">
        <w:rPr>
          <w:b/>
          <w:sz w:val="24"/>
          <w:szCs w:val="24"/>
        </w:rPr>
        <w:t xml:space="preserve">__________________________________________________________ </w:t>
      </w:r>
    </w:p>
    <w:p w:rsidR="00A3687B" w:rsidRPr="00A3687B" w:rsidP="00A3687B" w14:paraId="2E411969" w14:textId="77777777">
      <w:pPr>
        <w:spacing w:after="0" w:line="240" w:lineRule="auto"/>
        <w:jc w:val="left"/>
        <w:rPr>
          <w:b/>
          <w:sz w:val="24"/>
          <w:szCs w:val="24"/>
        </w:rPr>
      </w:pPr>
    </w:p>
    <w:p w:rsidR="00A3687B" w:rsidRPr="00A3687B" w:rsidP="00A3687B" w14:paraId="127894BC" w14:textId="77777777">
      <w:pPr>
        <w:spacing w:after="0" w:line="240" w:lineRule="auto"/>
        <w:jc w:val="left"/>
        <w:rPr>
          <w:sz w:val="24"/>
          <w:szCs w:val="24"/>
        </w:rPr>
      </w:pPr>
      <w:r w:rsidRPr="00A3687B">
        <w:rPr>
          <w:b/>
          <w:bCs/>
          <w:sz w:val="24"/>
          <w:szCs w:val="24"/>
          <w:u w:val="single"/>
        </w:rPr>
        <w:t>Procedural Posture</w:t>
      </w:r>
      <w:r w:rsidRPr="00A3687B">
        <w:rPr>
          <w:b/>
          <w:bCs/>
          <w:sz w:val="24"/>
          <w:szCs w:val="24"/>
        </w:rPr>
        <w:t xml:space="preserve"> </w:t>
      </w:r>
      <w:r w:rsidRPr="00A3687B">
        <w:rPr>
          <w:sz w:val="24"/>
          <w:szCs w:val="24"/>
        </w:rPr>
        <w:t>(see XX below)</w:t>
      </w:r>
    </w:p>
    <w:p w:rsidR="00A3687B" w:rsidRPr="00A3687B" w:rsidP="00A3687B" w14:paraId="36EE9DA1" w14:textId="77777777">
      <w:pPr>
        <w:spacing w:after="0" w:line="240" w:lineRule="auto"/>
        <w:jc w:val="left"/>
        <w:rPr>
          <w:sz w:val="24"/>
          <w:szCs w:val="24"/>
        </w:rPr>
      </w:pPr>
      <w:r w:rsidRPr="00A3687B">
        <w:rPr>
          <w:b/>
          <w:bCs/>
          <w:sz w:val="24"/>
          <w:szCs w:val="24"/>
        </w:rPr>
        <w:t>Original Appeal</w:t>
      </w:r>
      <w:r w:rsidRPr="00A3687B">
        <w:rPr>
          <w:sz w:val="24"/>
          <w:szCs w:val="24"/>
        </w:rPr>
        <w:t xml:space="preserve"> </w:t>
      </w:r>
    </w:p>
    <w:p w:rsidR="00A3687B" w:rsidRPr="00A3687B" w:rsidP="00A3687B" w14:paraId="7B21FF34" w14:textId="77777777">
      <w:pPr>
        <w:spacing w:after="0" w:line="240" w:lineRule="auto"/>
        <w:jc w:val="left"/>
        <w:rPr>
          <w:b/>
          <w:bCs/>
          <w:sz w:val="24"/>
          <w:szCs w:val="24"/>
        </w:rPr>
      </w:pPr>
      <w:r w:rsidRPr="00A3687B">
        <w:rPr>
          <w:b/>
          <w:bCs/>
          <w:sz w:val="24"/>
          <w:szCs w:val="24"/>
        </w:rPr>
        <w:t>Original Proceeding</w:t>
      </w:r>
    </w:p>
    <w:p w:rsidR="00A3687B" w:rsidRPr="00A3687B" w:rsidP="00A3687B" w14:paraId="6248664C" w14:textId="77777777">
      <w:pPr>
        <w:spacing w:after="0" w:line="240" w:lineRule="auto"/>
        <w:jc w:val="left"/>
        <w:rPr>
          <w:sz w:val="24"/>
          <w:szCs w:val="24"/>
        </w:rPr>
      </w:pPr>
      <w:r w:rsidRPr="00A3687B">
        <w:rPr>
          <w:b/>
          <w:bCs/>
          <w:sz w:val="24"/>
          <w:szCs w:val="24"/>
        </w:rPr>
        <w:t>Review Granted</w:t>
      </w:r>
      <w:r w:rsidRPr="00A3687B">
        <w:rPr>
          <w:sz w:val="24"/>
          <w:szCs w:val="24"/>
        </w:rPr>
        <w:t xml:space="preserve"> </w:t>
      </w:r>
      <w:r w:rsidRPr="00A3687B">
        <w:rPr>
          <w:b/>
          <w:bCs/>
          <w:sz w:val="24"/>
          <w:szCs w:val="24"/>
        </w:rPr>
        <w:t xml:space="preserve">(published) </w:t>
      </w:r>
      <w:r w:rsidRPr="00A3687B">
        <w:rPr>
          <w:sz w:val="24"/>
          <w:szCs w:val="24"/>
        </w:rPr>
        <w:t>XX 68 Cal.App.5th 1003</w:t>
      </w:r>
    </w:p>
    <w:p w:rsidR="00A3687B" w:rsidRPr="00A3687B" w:rsidP="00A3687B" w14:paraId="0E896DEB" w14:textId="77777777">
      <w:pPr>
        <w:spacing w:after="0" w:line="240" w:lineRule="auto"/>
        <w:jc w:val="left"/>
        <w:rPr>
          <w:sz w:val="24"/>
          <w:szCs w:val="24"/>
        </w:rPr>
      </w:pPr>
      <w:r w:rsidRPr="00A3687B">
        <w:rPr>
          <w:b/>
          <w:bCs/>
          <w:sz w:val="24"/>
          <w:szCs w:val="24"/>
        </w:rPr>
        <w:t xml:space="preserve">Review Granted (unpublished) </w:t>
      </w:r>
    </w:p>
    <w:p w:rsidR="00A3687B" w:rsidRPr="00A3687B" w:rsidP="00A3687B" w14:paraId="494A90F6" w14:textId="77777777">
      <w:pPr>
        <w:spacing w:after="0" w:line="240" w:lineRule="auto"/>
        <w:jc w:val="left"/>
        <w:rPr>
          <w:b/>
          <w:bCs/>
          <w:sz w:val="24"/>
          <w:szCs w:val="24"/>
        </w:rPr>
      </w:pPr>
      <w:r w:rsidRPr="00A3687B">
        <w:rPr>
          <w:b/>
          <w:bCs/>
          <w:sz w:val="24"/>
          <w:szCs w:val="24"/>
        </w:rPr>
        <w:t>Rehearing Granted</w:t>
      </w:r>
    </w:p>
    <w:p w:rsidR="00A3687B" w:rsidRPr="00A3687B" w:rsidP="00A3687B" w14:paraId="4CA7F6DF" w14:textId="77777777">
      <w:pPr>
        <w:spacing w:after="0" w:line="240" w:lineRule="auto"/>
        <w:jc w:val="left"/>
        <w:rPr>
          <w:b/>
          <w:sz w:val="24"/>
          <w:szCs w:val="24"/>
        </w:rPr>
      </w:pPr>
      <w:r w:rsidRPr="00A3687B">
        <w:rPr>
          <w:b/>
          <w:sz w:val="24"/>
          <w:szCs w:val="24"/>
        </w:rPr>
        <w:t xml:space="preserve">__________________________________________________________ </w:t>
      </w:r>
    </w:p>
    <w:p w:rsidR="00A3687B" w:rsidRPr="00A3687B" w:rsidP="00A3687B" w14:paraId="62B6AA1E" w14:textId="77777777">
      <w:pPr>
        <w:spacing w:after="0" w:line="240" w:lineRule="auto"/>
        <w:jc w:val="left"/>
        <w:rPr>
          <w:b/>
          <w:sz w:val="24"/>
          <w:szCs w:val="24"/>
        </w:rPr>
      </w:pPr>
    </w:p>
    <w:p w:rsidR="00A3687B" w:rsidRPr="00A3687B" w:rsidP="00A3687B" w14:paraId="14A92A53" w14:textId="77777777">
      <w:pPr>
        <w:spacing w:after="0" w:line="240" w:lineRule="auto"/>
        <w:jc w:val="left"/>
        <w:rPr>
          <w:bCs/>
          <w:sz w:val="24"/>
          <w:szCs w:val="24"/>
        </w:rPr>
      </w:pPr>
      <w:r w:rsidRPr="00A3687B">
        <w:rPr>
          <w:b/>
          <w:sz w:val="24"/>
          <w:szCs w:val="24"/>
        </w:rPr>
        <w:t>Opinion No.</w:t>
      </w:r>
      <w:r w:rsidRPr="00A3687B">
        <w:rPr>
          <w:sz w:val="24"/>
          <w:szCs w:val="24"/>
        </w:rPr>
        <w:t xml:space="preserve"> S271483</w:t>
      </w:r>
    </w:p>
    <w:p w:rsidR="00A3687B" w:rsidRPr="00A3687B" w:rsidP="00A3687B" w14:paraId="38C97B6F" w14:textId="77777777">
      <w:pPr>
        <w:spacing w:after="0" w:line="240" w:lineRule="auto"/>
        <w:jc w:val="left"/>
        <w:rPr>
          <w:bCs/>
          <w:sz w:val="24"/>
          <w:szCs w:val="24"/>
        </w:rPr>
      </w:pPr>
      <w:r w:rsidRPr="00A3687B">
        <w:rPr>
          <w:b/>
          <w:sz w:val="24"/>
          <w:szCs w:val="24"/>
        </w:rPr>
        <w:t>Date Filed:</w:t>
      </w:r>
      <w:r w:rsidRPr="00A3687B">
        <w:rPr>
          <w:sz w:val="24"/>
          <w:szCs w:val="24"/>
        </w:rPr>
        <w:t xml:space="preserve">  February 8, 2024</w:t>
      </w:r>
    </w:p>
    <w:p w:rsidR="00A3687B" w:rsidRPr="00A3687B" w:rsidP="00A3687B" w14:paraId="24911D87" w14:textId="77777777">
      <w:pPr>
        <w:spacing w:after="0" w:line="240" w:lineRule="auto"/>
        <w:jc w:val="left"/>
        <w:rPr>
          <w:b/>
          <w:sz w:val="24"/>
          <w:szCs w:val="24"/>
        </w:rPr>
      </w:pPr>
      <w:r w:rsidRPr="00A3687B">
        <w:rPr>
          <w:b/>
          <w:sz w:val="24"/>
          <w:szCs w:val="24"/>
        </w:rPr>
        <w:t xml:space="preserve">__________________________________________________________ </w:t>
      </w:r>
    </w:p>
    <w:p w:rsidR="00A3687B" w:rsidRPr="00A3687B" w:rsidP="00A3687B" w14:paraId="6E269377" w14:textId="77777777">
      <w:pPr>
        <w:spacing w:after="0" w:line="240" w:lineRule="auto"/>
        <w:jc w:val="left"/>
        <w:rPr>
          <w:b/>
          <w:sz w:val="24"/>
          <w:szCs w:val="24"/>
        </w:rPr>
      </w:pPr>
    </w:p>
    <w:p w:rsidR="00A3687B" w:rsidRPr="00A3687B" w:rsidP="00A3687B" w14:paraId="58F42AC0" w14:textId="77777777">
      <w:pPr>
        <w:spacing w:after="0" w:line="240" w:lineRule="auto"/>
        <w:jc w:val="left"/>
        <w:rPr>
          <w:bCs/>
          <w:sz w:val="24"/>
          <w:szCs w:val="24"/>
        </w:rPr>
      </w:pPr>
      <w:r w:rsidRPr="00A3687B">
        <w:rPr>
          <w:b/>
          <w:sz w:val="24"/>
          <w:szCs w:val="24"/>
        </w:rPr>
        <w:t xml:space="preserve">Court:  </w:t>
      </w:r>
      <w:r w:rsidRPr="00A3687B">
        <w:rPr>
          <w:bCs/>
          <w:sz w:val="24"/>
          <w:szCs w:val="24"/>
        </w:rPr>
        <w:t>Superior</w:t>
      </w:r>
      <w:r w:rsidRPr="00A3687B">
        <w:rPr>
          <w:b/>
          <w:sz w:val="24"/>
          <w:szCs w:val="24"/>
        </w:rPr>
        <w:t xml:space="preserve"> </w:t>
      </w:r>
    </w:p>
    <w:p w:rsidR="00A3687B" w:rsidRPr="00A3687B" w:rsidP="00A3687B" w14:paraId="2A18DE98" w14:textId="77777777">
      <w:pPr>
        <w:spacing w:after="0" w:line="240" w:lineRule="auto"/>
        <w:jc w:val="left"/>
        <w:rPr>
          <w:bCs/>
          <w:sz w:val="24"/>
          <w:szCs w:val="24"/>
        </w:rPr>
      </w:pPr>
      <w:r w:rsidRPr="00A3687B">
        <w:rPr>
          <w:b/>
          <w:sz w:val="24"/>
          <w:szCs w:val="24"/>
        </w:rPr>
        <w:t xml:space="preserve">County:  </w:t>
      </w:r>
      <w:r w:rsidRPr="00A3687B">
        <w:rPr>
          <w:bCs/>
          <w:sz w:val="24"/>
          <w:szCs w:val="24"/>
        </w:rPr>
        <w:t>San Diego</w:t>
      </w:r>
    </w:p>
    <w:p w:rsidR="00A3687B" w:rsidRPr="00A3687B" w:rsidP="00A3687B" w14:paraId="172034B4" w14:textId="77777777">
      <w:pPr>
        <w:spacing w:after="0" w:line="240" w:lineRule="auto"/>
        <w:ind w:left="720" w:hanging="720"/>
        <w:jc w:val="left"/>
        <w:rPr>
          <w:bCs/>
          <w:sz w:val="24"/>
          <w:szCs w:val="24"/>
        </w:rPr>
      </w:pPr>
      <w:r w:rsidRPr="00A3687B">
        <w:rPr>
          <w:b/>
          <w:sz w:val="24"/>
          <w:szCs w:val="24"/>
        </w:rPr>
        <w:t xml:space="preserve">Judge: </w:t>
      </w:r>
      <w:r w:rsidRPr="00A3687B">
        <w:rPr>
          <w:bCs/>
          <w:sz w:val="24"/>
          <w:szCs w:val="24"/>
        </w:rPr>
        <w:t xml:space="preserve"> Julia Craig Kelety</w:t>
      </w:r>
    </w:p>
    <w:p w:rsidR="00A3687B" w:rsidRPr="00A3687B" w:rsidP="00A3687B" w14:paraId="49929BCE" w14:textId="77777777">
      <w:pPr>
        <w:spacing w:after="0" w:line="240" w:lineRule="auto"/>
        <w:jc w:val="left"/>
        <w:rPr>
          <w:b/>
          <w:sz w:val="24"/>
          <w:szCs w:val="24"/>
        </w:rPr>
      </w:pPr>
      <w:r w:rsidRPr="00A3687B">
        <w:rPr>
          <w:b/>
          <w:sz w:val="24"/>
          <w:szCs w:val="24"/>
        </w:rPr>
        <w:t xml:space="preserve">__________________________________________________________  </w:t>
      </w:r>
    </w:p>
    <w:p w:rsidR="00A3687B" w:rsidRPr="00A3687B" w:rsidP="00A3687B" w14:paraId="18701371" w14:textId="77777777">
      <w:pPr>
        <w:spacing w:after="0" w:line="240" w:lineRule="auto"/>
        <w:jc w:val="left"/>
        <w:rPr>
          <w:b/>
          <w:sz w:val="24"/>
          <w:szCs w:val="24"/>
        </w:rPr>
      </w:pPr>
    </w:p>
    <w:p w:rsidR="00A3687B" w:rsidRPr="00A3687B" w:rsidP="00A3687B" w14:paraId="1EA69538" w14:textId="77777777">
      <w:pPr>
        <w:spacing w:after="0" w:line="240" w:lineRule="auto"/>
        <w:jc w:val="left"/>
        <w:rPr>
          <w:b/>
          <w:sz w:val="24"/>
          <w:szCs w:val="24"/>
        </w:rPr>
      </w:pPr>
      <w:r w:rsidRPr="00A3687B">
        <w:rPr>
          <w:b/>
          <w:sz w:val="24"/>
          <w:szCs w:val="24"/>
        </w:rPr>
        <w:t>Counsel:</w:t>
      </w:r>
    </w:p>
    <w:p w:rsidR="00A3687B" w:rsidRPr="00A3687B" w:rsidP="00A3687B" w14:paraId="77B73D89" w14:textId="77777777">
      <w:pPr>
        <w:spacing w:after="0" w:line="240" w:lineRule="auto"/>
        <w:jc w:val="left"/>
        <w:rPr>
          <w:b/>
          <w:sz w:val="24"/>
          <w:szCs w:val="24"/>
        </w:rPr>
      </w:pPr>
    </w:p>
    <w:p w:rsidR="00A3687B" w:rsidRPr="00A3687B" w:rsidP="00A3687B" w14:paraId="4BC0B9D0"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Blut Law Group, Elliot S. Blut; Keiter Appellate Law and Mitchell Keiter for Plaintiff and Appellant.</w:t>
      </w:r>
    </w:p>
    <w:p w:rsidR="00A3687B" w:rsidRPr="00A3687B" w:rsidP="00A3687B" w14:paraId="3BA542F2" w14:textId="77777777">
      <w:pPr>
        <w:spacing w:after="0" w:line="240" w:lineRule="auto"/>
        <w:jc w:val="left"/>
        <w:rPr>
          <w:color w:val="212121"/>
          <w:sz w:val="24"/>
          <w:szCs w:val="24"/>
          <w:shd w:val="clear" w:color="auto" w:fill="FFFFFF"/>
        </w:rPr>
      </w:pPr>
    </w:p>
    <w:p w:rsidR="00A3687B" w:rsidRPr="00A3687B" w:rsidP="00A3687B" w14:paraId="4E060459"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Ragghianti Freitas and Paul B. Gruwell for Sal J. Balistreri as Amicus Curiae on behalf of Plaintiff and Appellant.</w:t>
      </w:r>
    </w:p>
    <w:p w:rsidR="00A3687B" w:rsidRPr="00A3687B" w:rsidP="00A3687B" w14:paraId="57E19A48" w14:textId="77777777">
      <w:pPr>
        <w:spacing w:after="0" w:line="240" w:lineRule="auto"/>
        <w:jc w:val="left"/>
        <w:rPr>
          <w:color w:val="212121"/>
          <w:sz w:val="24"/>
          <w:szCs w:val="24"/>
          <w:shd w:val="clear" w:color="auto" w:fill="FFFFFF"/>
        </w:rPr>
      </w:pPr>
    </w:p>
    <w:p w:rsidR="00A3687B" w:rsidRPr="00A3687B" w:rsidP="00A3687B" w14:paraId="04E88EBB"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Artiano Shinoff, Howard A. Kipnis, Steven J. Barnes; Spero Law Office and Leah Spero for Defendant and Respondent Patricia Galligan.</w:t>
      </w:r>
    </w:p>
    <w:p w:rsidR="00A3687B" w:rsidRPr="00A3687B" w:rsidP="00A3687B" w14:paraId="68B855DA" w14:textId="77777777">
      <w:pPr>
        <w:spacing w:after="0" w:line="240" w:lineRule="auto"/>
        <w:jc w:val="left"/>
        <w:rPr>
          <w:color w:val="212121"/>
          <w:sz w:val="24"/>
          <w:szCs w:val="24"/>
          <w:shd w:val="clear" w:color="auto" w:fill="FFFFFF"/>
        </w:rPr>
      </w:pPr>
    </w:p>
    <w:p w:rsidR="00A3687B" w:rsidRPr="00A3687B" w:rsidP="00A3687B" w14:paraId="02C275B3"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Cross Law and Oleg Cross for Defendant and Respondent Racquel Kolsrud.</w:t>
      </w:r>
    </w:p>
    <w:p w:rsidR="00A3687B" w:rsidRPr="00A3687B" w:rsidP="00A3687B" w14:paraId="7929FDE9" w14:textId="77777777">
      <w:pPr>
        <w:spacing w:after="0" w:line="240" w:lineRule="auto"/>
        <w:jc w:val="left"/>
        <w:rPr>
          <w:color w:val="212121"/>
          <w:sz w:val="24"/>
          <w:szCs w:val="24"/>
          <w:shd w:val="clear" w:color="auto" w:fill="FFFFFF"/>
        </w:rPr>
      </w:pPr>
    </w:p>
    <w:p w:rsidR="00A3687B" w:rsidRPr="00A3687B" w:rsidP="00A3687B" w14:paraId="5AFEC217"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Higgs Fletcher &amp; Mack, John Morris, Roland H. Achtel, Scott J. Ingold and Rachel M. Garrard for Defendant and Respondent Union of Concerned Scientists.</w:t>
      </w:r>
    </w:p>
    <w:p w:rsidR="00A3687B" w:rsidRPr="00A3687B" w:rsidP="00A3687B" w14:paraId="7A68D33B" w14:textId="77777777">
      <w:pPr>
        <w:spacing w:after="0" w:line="240" w:lineRule="auto"/>
        <w:jc w:val="left"/>
        <w:rPr>
          <w:color w:val="212121"/>
          <w:sz w:val="24"/>
          <w:szCs w:val="24"/>
          <w:shd w:val="clear" w:color="auto" w:fill="FFFFFF"/>
        </w:rPr>
      </w:pPr>
    </w:p>
    <w:p w:rsidR="00A3687B" w:rsidRPr="00A3687B" w:rsidP="00A3687B" w14:paraId="227C6756"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No appearance for Defendants and Respondents San Diego Humane Society, Nancy F. Thornton, Jill Bousman, George Bousman, Jack Hebert, Larry Guentherman, Gail Spielman and Dean Spielman.</w:t>
      </w:r>
    </w:p>
    <w:p w:rsidR="00A3687B" w:rsidRPr="00A3687B" w:rsidP="00A3687B" w14:paraId="19950D1C" w14:textId="77777777">
      <w:pPr>
        <w:spacing w:after="0" w:line="240" w:lineRule="auto"/>
        <w:jc w:val="left"/>
        <w:rPr>
          <w:color w:val="212121"/>
          <w:sz w:val="24"/>
          <w:szCs w:val="24"/>
          <w:shd w:val="clear" w:color="auto" w:fill="FFFFFF"/>
        </w:rPr>
      </w:pPr>
    </w:p>
    <w:p w:rsidR="00A3687B" w:rsidRPr="00A3687B" w:rsidP="00A3687B" w14:paraId="0624ADDD"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Hartog, Baer, Zabronsky &amp; Verriere, David W. Baer and Kevin P. O’Brien for Mary A. Nivala Balistreri as Amicus Curiae on behalf of Defendants and Respondents.</w:t>
      </w:r>
      <w:r w:rsidRPr="00A3687B">
        <w:rPr>
          <w:color w:val="212121"/>
          <w:sz w:val="24"/>
          <w:szCs w:val="24"/>
          <w:shd w:val="clear" w:color="auto" w:fill="FFFFFF"/>
        </w:rPr>
        <w:br w:type="page"/>
      </w:r>
      <w:r w:rsidRPr="00A3687B">
        <w:rPr>
          <w:b/>
          <w:sz w:val="24"/>
          <w:szCs w:val="24"/>
        </w:rPr>
        <w:t xml:space="preserve">Counsel who argued in Supreme Court (not intended for publication with opinion): </w:t>
      </w:r>
    </w:p>
    <w:p w:rsidR="00A3687B" w:rsidRPr="00A3687B" w:rsidP="00A3687B" w14:paraId="482E9DB9" w14:textId="77777777">
      <w:pPr>
        <w:spacing w:after="0" w:line="240" w:lineRule="auto"/>
        <w:jc w:val="left"/>
        <w:rPr>
          <w:sz w:val="24"/>
          <w:szCs w:val="24"/>
        </w:rPr>
      </w:pPr>
    </w:p>
    <w:p w:rsidR="00A3687B" w:rsidRPr="00A3687B" w:rsidP="00A3687B" w14:paraId="3F65A304"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Mitchell Keiter</w:t>
      </w:r>
    </w:p>
    <w:p w:rsidR="00A3687B" w:rsidRPr="00A3687B" w:rsidP="00A3687B" w14:paraId="392B9E01" w14:textId="77777777">
      <w:pPr>
        <w:spacing w:after="0" w:line="240" w:lineRule="auto"/>
        <w:jc w:val="left"/>
        <w:rPr>
          <w:sz w:val="24"/>
          <w:szCs w:val="24"/>
        </w:rPr>
      </w:pPr>
      <w:r w:rsidRPr="00A3687B">
        <w:rPr>
          <w:sz w:val="24"/>
          <w:szCs w:val="24"/>
        </w:rPr>
        <w:t>Keiter Appellate Law</w:t>
      </w:r>
    </w:p>
    <w:p w:rsidR="00A3687B" w:rsidRPr="00A3687B" w:rsidP="00A3687B" w14:paraId="59596620" w14:textId="77777777">
      <w:pPr>
        <w:spacing w:after="0" w:line="240" w:lineRule="auto"/>
        <w:jc w:val="left"/>
        <w:rPr>
          <w:sz w:val="24"/>
          <w:szCs w:val="24"/>
        </w:rPr>
      </w:pPr>
      <w:r w:rsidRPr="00A3687B">
        <w:rPr>
          <w:sz w:val="24"/>
          <w:szCs w:val="24"/>
        </w:rPr>
        <w:t>424 South Beverly Drive</w:t>
      </w:r>
    </w:p>
    <w:p w:rsidR="00A3687B" w:rsidRPr="00A3687B" w:rsidP="00A3687B" w14:paraId="55AFCAB1" w14:textId="77777777">
      <w:pPr>
        <w:spacing w:after="0" w:line="240" w:lineRule="auto"/>
        <w:jc w:val="left"/>
        <w:rPr>
          <w:sz w:val="24"/>
          <w:szCs w:val="24"/>
        </w:rPr>
      </w:pPr>
      <w:r w:rsidRPr="00A3687B">
        <w:rPr>
          <w:sz w:val="24"/>
          <w:szCs w:val="24"/>
        </w:rPr>
        <w:t>Beverly Hills, CA 90212</w:t>
      </w:r>
    </w:p>
    <w:p w:rsidR="00A3687B" w:rsidRPr="00A3687B" w:rsidP="00A3687B" w14:paraId="53FFC5CF" w14:textId="77777777">
      <w:pPr>
        <w:spacing w:after="0" w:line="240" w:lineRule="auto"/>
        <w:jc w:val="left"/>
        <w:rPr>
          <w:sz w:val="24"/>
          <w:szCs w:val="24"/>
        </w:rPr>
      </w:pPr>
      <w:r w:rsidRPr="00A3687B">
        <w:rPr>
          <w:sz w:val="24"/>
          <w:szCs w:val="24"/>
        </w:rPr>
        <w:t>(310) 553-8533, ext. 145</w:t>
      </w:r>
    </w:p>
    <w:p w:rsidR="00A3687B" w:rsidRPr="00A3687B" w:rsidP="00A3687B" w14:paraId="16548A6A" w14:textId="77777777">
      <w:pPr>
        <w:spacing w:after="0" w:line="240" w:lineRule="auto"/>
        <w:jc w:val="left"/>
        <w:rPr>
          <w:sz w:val="24"/>
          <w:szCs w:val="24"/>
        </w:rPr>
      </w:pPr>
    </w:p>
    <w:p w:rsidR="00A3687B" w:rsidRPr="00A3687B" w:rsidP="00A3687B" w14:paraId="444ED3C8"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Leah Spero</w:t>
      </w:r>
    </w:p>
    <w:p w:rsidR="00A3687B" w:rsidRPr="00A3687B" w:rsidP="00A3687B" w14:paraId="1F1F803E"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Spero Law Office</w:t>
      </w:r>
    </w:p>
    <w:p w:rsidR="00A3687B" w:rsidRPr="00A3687B" w:rsidP="00A3687B" w14:paraId="1687832C" w14:textId="77777777">
      <w:pPr>
        <w:spacing w:after="0" w:line="240" w:lineRule="auto"/>
        <w:jc w:val="left"/>
        <w:rPr>
          <w:sz w:val="24"/>
          <w:szCs w:val="24"/>
        </w:rPr>
      </w:pPr>
      <w:r w:rsidRPr="00A3687B">
        <w:rPr>
          <w:sz w:val="24"/>
          <w:szCs w:val="24"/>
        </w:rPr>
        <w:t>255 Kansas Street, Suite 340</w:t>
      </w:r>
    </w:p>
    <w:p w:rsidR="00A3687B" w:rsidRPr="00A3687B" w:rsidP="00A3687B" w14:paraId="67BFEEBF" w14:textId="77777777">
      <w:pPr>
        <w:spacing w:after="0" w:line="240" w:lineRule="auto"/>
        <w:jc w:val="left"/>
        <w:rPr>
          <w:sz w:val="24"/>
          <w:szCs w:val="24"/>
        </w:rPr>
      </w:pPr>
      <w:r w:rsidRPr="00A3687B">
        <w:rPr>
          <w:sz w:val="24"/>
          <w:szCs w:val="24"/>
        </w:rPr>
        <w:t>San Francisco, CA 94103</w:t>
      </w:r>
    </w:p>
    <w:p w:rsidR="00A3687B" w:rsidRPr="00A3687B" w:rsidP="00A3687B" w14:paraId="49370554" w14:textId="77777777">
      <w:pPr>
        <w:spacing w:after="0" w:line="240" w:lineRule="auto"/>
        <w:jc w:val="left"/>
        <w:rPr>
          <w:sz w:val="24"/>
          <w:szCs w:val="24"/>
        </w:rPr>
      </w:pPr>
      <w:r w:rsidRPr="00A3687B">
        <w:rPr>
          <w:sz w:val="24"/>
          <w:szCs w:val="24"/>
        </w:rPr>
        <w:t>(415) 565-9600</w:t>
      </w:r>
    </w:p>
    <w:p w:rsidR="00A3687B" w:rsidRPr="00A3687B" w:rsidP="00A3687B" w14:paraId="5ED44F97" w14:textId="77777777">
      <w:pPr>
        <w:spacing w:after="0" w:line="240" w:lineRule="auto"/>
        <w:jc w:val="left"/>
        <w:rPr>
          <w:sz w:val="24"/>
          <w:szCs w:val="24"/>
        </w:rPr>
      </w:pPr>
    </w:p>
    <w:p w:rsidR="00A3687B" w:rsidRPr="00A3687B" w:rsidP="00A3687B" w14:paraId="11FE3929"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Roland H. Achtel</w:t>
      </w:r>
    </w:p>
    <w:p w:rsidR="00A3687B" w:rsidRPr="00A3687B" w:rsidP="00A3687B" w14:paraId="60E3A38C" w14:textId="77777777">
      <w:pPr>
        <w:spacing w:after="0" w:line="240" w:lineRule="auto"/>
        <w:jc w:val="left"/>
        <w:rPr>
          <w:color w:val="212121"/>
          <w:sz w:val="24"/>
          <w:szCs w:val="24"/>
          <w:shd w:val="clear" w:color="auto" w:fill="FFFFFF"/>
        </w:rPr>
      </w:pPr>
      <w:r w:rsidRPr="00A3687B">
        <w:rPr>
          <w:color w:val="212121"/>
          <w:sz w:val="24"/>
          <w:szCs w:val="24"/>
          <w:shd w:val="clear" w:color="auto" w:fill="FFFFFF"/>
        </w:rPr>
        <w:t>Higgs Fletcher &amp; Mack LLP</w:t>
      </w:r>
    </w:p>
    <w:p w:rsidR="00A3687B" w:rsidRPr="00A3687B" w:rsidP="00A3687B" w14:paraId="180620E8" w14:textId="77777777">
      <w:pPr>
        <w:spacing w:after="0" w:line="240" w:lineRule="auto"/>
        <w:jc w:val="left"/>
        <w:rPr>
          <w:sz w:val="24"/>
          <w:szCs w:val="24"/>
        </w:rPr>
      </w:pPr>
      <w:r w:rsidRPr="00A3687B">
        <w:rPr>
          <w:sz w:val="24"/>
          <w:szCs w:val="24"/>
        </w:rPr>
        <w:t>401 West A Street, Suite 2600</w:t>
      </w:r>
    </w:p>
    <w:p w:rsidR="00A3687B" w:rsidRPr="00A3687B" w:rsidP="00A3687B" w14:paraId="3E291F1A" w14:textId="77777777">
      <w:pPr>
        <w:spacing w:after="0" w:line="240" w:lineRule="auto"/>
        <w:jc w:val="left"/>
        <w:rPr>
          <w:sz w:val="24"/>
          <w:szCs w:val="24"/>
        </w:rPr>
      </w:pPr>
      <w:r w:rsidRPr="00A3687B">
        <w:rPr>
          <w:sz w:val="24"/>
          <w:szCs w:val="24"/>
        </w:rPr>
        <w:t>San Diego, CA 92101</w:t>
      </w:r>
    </w:p>
    <w:p w:rsidR="00A3687B" w:rsidRPr="00A3687B" w:rsidP="00A3687B" w14:paraId="4A9AF279" w14:textId="77777777">
      <w:pPr>
        <w:spacing w:after="0" w:line="240" w:lineRule="auto"/>
        <w:jc w:val="left"/>
        <w:rPr>
          <w:sz w:val="24"/>
          <w:szCs w:val="24"/>
        </w:rPr>
      </w:pPr>
      <w:r w:rsidRPr="00A3687B">
        <w:rPr>
          <w:sz w:val="24"/>
          <w:szCs w:val="24"/>
        </w:rPr>
        <w:t>(619) 236-1551</w:t>
      </w:r>
    </w:p>
    <w:p w:rsidR="00692DDE" w:rsidRPr="00406C70" w:rsidP="003076F3" w14:paraId="5A6668BA" w14:textId="77777777">
      <w:pPr>
        <w:tabs>
          <w:tab w:val="left" w:pos="1440"/>
        </w:tabs>
        <w:rPr>
          <w:rFonts w:cstheme="minorHAnsi"/>
          <w:b/>
          <w:szCs w:val="26"/>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6297060"/>
      <w:docPartObj>
        <w:docPartGallery w:val="Page Numbers (Bottom of Page)"/>
        <w:docPartUnique/>
      </w:docPartObj>
    </w:sdtPr>
    <w:sdtEndPr>
      <w:rPr>
        <w:noProof/>
      </w:rPr>
    </w:sdtEndPr>
    <w:sdtContent>
      <w:p w:rsidR="00C7131F" w14:paraId="5A6668C0"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C42823" w14:paraId="5A6668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6C70" w14:paraId="5A6668C2"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87B" w:rsidRPr="00A3687B" w:rsidP="00A3687B" w14:paraId="79B64D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E51" w:rsidP="00990E4B" w14:paraId="5A6668BB" w14:textId="77777777">
      <w:r>
        <w:separator/>
      </w:r>
    </w:p>
  </w:footnote>
  <w:footnote w:type="continuationSeparator" w:id="1">
    <w:p w:rsidR="004D6E51" w:rsidP="00990E4B" w14:paraId="5A6668BC" w14:textId="77777777">
      <w:r>
        <w:continuationSeparator/>
      </w:r>
    </w:p>
  </w:footnote>
  <w:footnote w:id="2">
    <w:p w:rsidR="001242E2" w:rsidP="001242E2" w14:paraId="5A6668C3" w14:textId="77777777">
      <w:pPr>
        <w:pStyle w:val="FootnoteText"/>
      </w:pPr>
      <w:r>
        <w:rPr>
          <w:rStyle w:val="FootnoteReference"/>
        </w:rPr>
        <w:t>*</w:t>
      </w:r>
      <w:r>
        <w:tab/>
      </w:r>
      <w:r w:rsidRPr="00444678" w:rsidR="00444678">
        <w:rPr>
          <w:szCs w:val="27"/>
          <w:lang w:bidi="en-US"/>
        </w:rPr>
        <w:t>Associate Justice of the Court of Appeal, Fifth Appellate District, assigned by the Chief Justice pursuant to article VI, section 6 of the California Constitution.</w:t>
      </w:r>
    </w:p>
  </w:footnote>
  <w:footnote w:id="3">
    <w:p w:rsidR="00771DE5" w:rsidP="00771DE5" w14:paraId="5A6668C4" w14:textId="77777777">
      <w:pPr>
        <w:pStyle w:val="FootnoteText"/>
      </w:pPr>
      <w:r>
        <w:rPr>
          <w:rStyle w:val="FootnoteReference"/>
        </w:rPr>
        <w:t>*</w:t>
      </w:r>
      <w:r>
        <w:t xml:space="preserve"> </w:t>
      </w:r>
      <w:r>
        <w:tab/>
      </w:r>
      <w:r w:rsidRPr="00100D7A" w:rsidR="00100D7A">
        <w:rPr>
          <w:szCs w:val="27"/>
          <w:lang w:bidi="en-US"/>
        </w:rPr>
        <w:t>Associate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35A" w14:paraId="5A6668BD" w14:textId="77777777">
    <w:pPr>
      <w:pStyle w:val="Header"/>
    </w:pPr>
    <w:r>
      <w:t>HAGGERTY v. THORNTON</w:t>
    </w:r>
  </w:p>
  <w:p w:rsidR="00406C70" w14:paraId="5A6668BE" w14:textId="77777777">
    <w:pPr>
      <w:pStyle w:val="Header"/>
    </w:pPr>
    <w:r>
      <w:t>Opinion of the Court by Liu</w:t>
    </w:r>
    <w:r w:rsidR="00103B27">
      <w:t>, J.</w:t>
    </w:r>
  </w:p>
  <w:p w:rsidR="00406C70" w14:paraId="5A6668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87B" w:rsidRPr="00A3687B" w:rsidP="00A3687B" w14:paraId="65A07F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E7445"/>
    <w:multiLevelType w:val="hybridMultilevel"/>
    <w:tmpl w:val="7ABC1BA4"/>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73409B8"/>
    <w:multiLevelType w:val="hybridMultilevel"/>
    <w:tmpl w:val="1E749ABA"/>
    <w:lvl w:ilvl="0">
      <w:start w:val="2"/>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4B"/>
    <w:rsid w:val="00000518"/>
    <w:rsid w:val="00001438"/>
    <w:rsid w:val="00001617"/>
    <w:rsid w:val="0000182B"/>
    <w:rsid w:val="00001933"/>
    <w:rsid w:val="000023BE"/>
    <w:rsid w:val="00003389"/>
    <w:rsid w:val="000034EA"/>
    <w:rsid w:val="00004628"/>
    <w:rsid w:val="00004871"/>
    <w:rsid w:val="00004942"/>
    <w:rsid w:val="000057C9"/>
    <w:rsid w:val="0000703D"/>
    <w:rsid w:val="000072D6"/>
    <w:rsid w:val="000104DE"/>
    <w:rsid w:val="00012515"/>
    <w:rsid w:val="00014558"/>
    <w:rsid w:val="00014A66"/>
    <w:rsid w:val="000151BF"/>
    <w:rsid w:val="00015CB5"/>
    <w:rsid w:val="000163BD"/>
    <w:rsid w:val="0001667B"/>
    <w:rsid w:val="000201ED"/>
    <w:rsid w:val="00022EFE"/>
    <w:rsid w:val="000237CD"/>
    <w:rsid w:val="00024C32"/>
    <w:rsid w:val="00024E66"/>
    <w:rsid w:val="0002533B"/>
    <w:rsid w:val="000253FD"/>
    <w:rsid w:val="00025FF7"/>
    <w:rsid w:val="00026115"/>
    <w:rsid w:val="00027311"/>
    <w:rsid w:val="00027ECA"/>
    <w:rsid w:val="00030176"/>
    <w:rsid w:val="0003093F"/>
    <w:rsid w:val="00031BD1"/>
    <w:rsid w:val="000321C7"/>
    <w:rsid w:val="00032DA4"/>
    <w:rsid w:val="00033CAC"/>
    <w:rsid w:val="000344BC"/>
    <w:rsid w:val="000348FF"/>
    <w:rsid w:val="000355C7"/>
    <w:rsid w:val="000357B2"/>
    <w:rsid w:val="0003626F"/>
    <w:rsid w:val="000368A6"/>
    <w:rsid w:val="00036E1C"/>
    <w:rsid w:val="00037039"/>
    <w:rsid w:val="00037D12"/>
    <w:rsid w:val="00037FA8"/>
    <w:rsid w:val="000403E9"/>
    <w:rsid w:val="000405CD"/>
    <w:rsid w:val="00040971"/>
    <w:rsid w:val="00040DB5"/>
    <w:rsid w:val="000424DE"/>
    <w:rsid w:val="000453F4"/>
    <w:rsid w:val="00045E9E"/>
    <w:rsid w:val="00046462"/>
    <w:rsid w:val="000469F6"/>
    <w:rsid w:val="000478FA"/>
    <w:rsid w:val="0005046E"/>
    <w:rsid w:val="000514FE"/>
    <w:rsid w:val="000536E4"/>
    <w:rsid w:val="00053EC7"/>
    <w:rsid w:val="0005418C"/>
    <w:rsid w:val="00055181"/>
    <w:rsid w:val="0005529B"/>
    <w:rsid w:val="00056513"/>
    <w:rsid w:val="000569A7"/>
    <w:rsid w:val="00056E74"/>
    <w:rsid w:val="00057C11"/>
    <w:rsid w:val="00057C34"/>
    <w:rsid w:val="00060B7E"/>
    <w:rsid w:val="000614B9"/>
    <w:rsid w:val="00061A10"/>
    <w:rsid w:val="00062046"/>
    <w:rsid w:val="00062A02"/>
    <w:rsid w:val="00063213"/>
    <w:rsid w:val="00063543"/>
    <w:rsid w:val="00063685"/>
    <w:rsid w:val="00064240"/>
    <w:rsid w:val="000659A5"/>
    <w:rsid w:val="00065F45"/>
    <w:rsid w:val="000677BC"/>
    <w:rsid w:val="0007073A"/>
    <w:rsid w:val="00070AFB"/>
    <w:rsid w:val="00071F82"/>
    <w:rsid w:val="00072C32"/>
    <w:rsid w:val="00072C99"/>
    <w:rsid w:val="00074A11"/>
    <w:rsid w:val="00076578"/>
    <w:rsid w:val="00076631"/>
    <w:rsid w:val="000771AA"/>
    <w:rsid w:val="00077AEC"/>
    <w:rsid w:val="000807FF"/>
    <w:rsid w:val="000809F1"/>
    <w:rsid w:val="00080CEF"/>
    <w:rsid w:val="0008185C"/>
    <w:rsid w:val="00081A30"/>
    <w:rsid w:val="00082517"/>
    <w:rsid w:val="000838EC"/>
    <w:rsid w:val="00083C71"/>
    <w:rsid w:val="000840FA"/>
    <w:rsid w:val="00084947"/>
    <w:rsid w:val="00084C3C"/>
    <w:rsid w:val="000862B0"/>
    <w:rsid w:val="000869B1"/>
    <w:rsid w:val="00087985"/>
    <w:rsid w:val="00091B81"/>
    <w:rsid w:val="00093B82"/>
    <w:rsid w:val="0009449A"/>
    <w:rsid w:val="0009482A"/>
    <w:rsid w:val="00094C93"/>
    <w:rsid w:val="000955CB"/>
    <w:rsid w:val="00095629"/>
    <w:rsid w:val="00097630"/>
    <w:rsid w:val="000976B3"/>
    <w:rsid w:val="000A006E"/>
    <w:rsid w:val="000A0620"/>
    <w:rsid w:val="000A1030"/>
    <w:rsid w:val="000A18D0"/>
    <w:rsid w:val="000A1AC4"/>
    <w:rsid w:val="000A226F"/>
    <w:rsid w:val="000A463A"/>
    <w:rsid w:val="000A46FA"/>
    <w:rsid w:val="000A4A70"/>
    <w:rsid w:val="000A50F2"/>
    <w:rsid w:val="000A50F5"/>
    <w:rsid w:val="000A612C"/>
    <w:rsid w:val="000A785A"/>
    <w:rsid w:val="000A7949"/>
    <w:rsid w:val="000B09D8"/>
    <w:rsid w:val="000B404D"/>
    <w:rsid w:val="000B41FE"/>
    <w:rsid w:val="000B5178"/>
    <w:rsid w:val="000B5974"/>
    <w:rsid w:val="000B6C59"/>
    <w:rsid w:val="000C0574"/>
    <w:rsid w:val="000C0929"/>
    <w:rsid w:val="000C1361"/>
    <w:rsid w:val="000C1981"/>
    <w:rsid w:val="000C2727"/>
    <w:rsid w:val="000C27B7"/>
    <w:rsid w:val="000C2B53"/>
    <w:rsid w:val="000C44E6"/>
    <w:rsid w:val="000C50AD"/>
    <w:rsid w:val="000C5B4D"/>
    <w:rsid w:val="000C66F8"/>
    <w:rsid w:val="000D0B03"/>
    <w:rsid w:val="000D149A"/>
    <w:rsid w:val="000D1869"/>
    <w:rsid w:val="000D24DB"/>
    <w:rsid w:val="000D2C0B"/>
    <w:rsid w:val="000D530E"/>
    <w:rsid w:val="000D63E6"/>
    <w:rsid w:val="000D7CA1"/>
    <w:rsid w:val="000E4416"/>
    <w:rsid w:val="000E449A"/>
    <w:rsid w:val="000E4898"/>
    <w:rsid w:val="000E4B36"/>
    <w:rsid w:val="000E697F"/>
    <w:rsid w:val="000E6A9A"/>
    <w:rsid w:val="000E7801"/>
    <w:rsid w:val="000E7A0B"/>
    <w:rsid w:val="000F0281"/>
    <w:rsid w:val="000F27E5"/>
    <w:rsid w:val="000F2E49"/>
    <w:rsid w:val="000F3EF0"/>
    <w:rsid w:val="000F49BC"/>
    <w:rsid w:val="000F4B96"/>
    <w:rsid w:val="000F4EA0"/>
    <w:rsid w:val="000F559B"/>
    <w:rsid w:val="000F77AA"/>
    <w:rsid w:val="00100574"/>
    <w:rsid w:val="00100D7A"/>
    <w:rsid w:val="001014E9"/>
    <w:rsid w:val="00102096"/>
    <w:rsid w:val="00102DB2"/>
    <w:rsid w:val="00103811"/>
    <w:rsid w:val="00103B27"/>
    <w:rsid w:val="00104C9C"/>
    <w:rsid w:val="00105F3A"/>
    <w:rsid w:val="00107663"/>
    <w:rsid w:val="001076DE"/>
    <w:rsid w:val="00110427"/>
    <w:rsid w:val="0011115F"/>
    <w:rsid w:val="00111A69"/>
    <w:rsid w:val="00111FBF"/>
    <w:rsid w:val="0011461B"/>
    <w:rsid w:val="00115993"/>
    <w:rsid w:val="00115D3E"/>
    <w:rsid w:val="0011636D"/>
    <w:rsid w:val="0011727F"/>
    <w:rsid w:val="00117719"/>
    <w:rsid w:val="00121306"/>
    <w:rsid w:val="00121732"/>
    <w:rsid w:val="00121FC5"/>
    <w:rsid w:val="00122E8A"/>
    <w:rsid w:val="001232FB"/>
    <w:rsid w:val="001242E2"/>
    <w:rsid w:val="001244D0"/>
    <w:rsid w:val="001246C6"/>
    <w:rsid w:val="00124D2B"/>
    <w:rsid w:val="00125645"/>
    <w:rsid w:val="00125859"/>
    <w:rsid w:val="00125B68"/>
    <w:rsid w:val="0012645A"/>
    <w:rsid w:val="00126E08"/>
    <w:rsid w:val="001305A5"/>
    <w:rsid w:val="001308BA"/>
    <w:rsid w:val="00131408"/>
    <w:rsid w:val="001320D3"/>
    <w:rsid w:val="00133107"/>
    <w:rsid w:val="00134314"/>
    <w:rsid w:val="001347F4"/>
    <w:rsid w:val="0013588C"/>
    <w:rsid w:val="0013670F"/>
    <w:rsid w:val="00137280"/>
    <w:rsid w:val="001414E3"/>
    <w:rsid w:val="00141AEB"/>
    <w:rsid w:val="00141FAA"/>
    <w:rsid w:val="0014445F"/>
    <w:rsid w:val="001445FC"/>
    <w:rsid w:val="001446DE"/>
    <w:rsid w:val="00144C50"/>
    <w:rsid w:val="00144DA3"/>
    <w:rsid w:val="00144DB5"/>
    <w:rsid w:val="00145224"/>
    <w:rsid w:val="001468B2"/>
    <w:rsid w:val="00146A0F"/>
    <w:rsid w:val="00146A64"/>
    <w:rsid w:val="00146B86"/>
    <w:rsid w:val="00146BF0"/>
    <w:rsid w:val="00147280"/>
    <w:rsid w:val="00147E54"/>
    <w:rsid w:val="00151073"/>
    <w:rsid w:val="00151598"/>
    <w:rsid w:val="001517D4"/>
    <w:rsid w:val="00151C51"/>
    <w:rsid w:val="00151C94"/>
    <w:rsid w:val="00152673"/>
    <w:rsid w:val="0015542A"/>
    <w:rsid w:val="0015595D"/>
    <w:rsid w:val="00155AF1"/>
    <w:rsid w:val="00155D91"/>
    <w:rsid w:val="00155E50"/>
    <w:rsid w:val="0015748C"/>
    <w:rsid w:val="0015749B"/>
    <w:rsid w:val="00157774"/>
    <w:rsid w:val="00161921"/>
    <w:rsid w:val="00164820"/>
    <w:rsid w:val="00164AFB"/>
    <w:rsid w:val="0016641F"/>
    <w:rsid w:val="0016651B"/>
    <w:rsid w:val="001670BF"/>
    <w:rsid w:val="00167323"/>
    <w:rsid w:val="00167B23"/>
    <w:rsid w:val="001709A3"/>
    <w:rsid w:val="00171C48"/>
    <w:rsid w:val="0017299A"/>
    <w:rsid w:val="00173FBA"/>
    <w:rsid w:val="00174D3D"/>
    <w:rsid w:val="00175727"/>
    <w:rsid w:val="00175B71"/>
    <w:rsid w:val="0017784A"/>
    <w:rsid w:val="001804BD"/>
    <w:rsid w:val="00180590"/>
    <w:rsid w:val="0018091A"/>
    <w:rsid w:val="00182959"/>
    <w:rsid w:val="001829DA"/>
    <w:rsid w:val="00182F83"/>
    <w:rsid w:val="0018317C"/>
    <w:rsid w:val="00183312"/>
    <w:rsid w:val="001833D0"/>
    <w:rsid w:val="00184B95"/>
    <w:rsid w:val="00184ED6"/>
    <w:rsid w:val="00190E1A"/>
    <w:rsid w:val="001918EB"/>
    <w:rsid w:val="00192F67"/>
    <w:rsid w:val="0019527A"/>
    <w:rsid w:val="001954FA"/>
    <w:rsid w:val="00195812"/>
    <w:rsid w:val="001970B5"/>
    <w:rsid w:val="00197852"/>
    <w:rsid w:val="00197EFB"/>
    <w:rsid w:val="001A0205"/>
    <w:rsid w:val="001A0517"/>
    <w:rsid w:val="001A0871"/>
    <w:rsid w:val="001A0B4A"/>
    <w:rsid w:val="001A2472"/>
    <w:rsid w:val="001A2A9D"/>
    <w:rsid w:val="001A5189"/>
    <w:rsid w:val="001A5703"/>
    <w:rsid w:val="001A61F8"/>
    <w:rsid w:val="001A668C"/>
    <w:rsid w:val="001A66B5"/>
    <w:rsid w:val="001B2388"/>
    <w:rsid w:val="001B2426"/>
    <w:rsid w:val="001B2913"/>
    <w:rsid w:val="001B2A92"/>
    <w:rsid w:val="001B2B9B"/>
    <w:rsid w:val="001B3764"/>
    <w:rsid w:val="001B5FA6"/>
    <w:rsid w:val="001B7177"/>
    <w:rsid w:val="001C0305"/>
    <w:rsid w:val="001C0538"/>
    <w:rsid w:val="001C0B53"/>
    <w:rsid w:val="001C13D9"/>
    <w:rsid w:val="001C14FC"/>
    <w:rsid w:val="001C26D8"/>
    <w:rsid w:val="001C2A88"/>
    <w:rsid w:val="001C328E"/>
    <w:rsid w:val="001C39BF"/>
    <w:rsid w:val="001C3C93"/>
    <w:rsid w:val="001C463A"/>
    <w:rsid w:val="001C4D65"/>
    <w:rsid w:val="001C56B7"/>
    <w:rsid w:val="001C5C9A"/>
    <w:rsid w:val="001C631F"/>
    <w:rsid w:val="001C6646"/>
    <w:rsid w:val="001C66C9"/>
    <w:rsid w:val="001C69C3"/>
    <w:rsid w:val="001C69FD"/>
    <w:rsid w:val="001C7801"/>
    <w:rsid w:val="001C7CBB"/>
    <w:rsid w:val="001C7E74"/>
    <w:rsid w:val="001D2192"/>
    <w:rsid w:val="001D3C86"/>
    <w:rsid w:val="001D460D"/>
    <w:rsid w:val="001D5157"/>
    <w:rsid w:val="001D6184"/>
    <w:rsid w:val="001D69B8"/>
    <w:rsid w:val="001E03B1"/>
    <w:rsid w:val="001E303A"/>
    <w:rsid w:val="001E320C"/>
    <w:rsid w:val="001E3FD3"/>
    <w:rsid w:val="001E5804"/>
    <w:rsid w:val="001E610D"/>
    <w:rsid w:val="001E6B01"/>
    <w:rsid w:val="001E6DB9"/>
    <w:rsid w:val="001E6E52"/>
    <w:rsid w:val="001E6FE9"/>
    <w:rsid w:val="001E70EE"/>
    <w:rsid w:val="001E796A"/>
    <w:rsid w:val="001F004A"/>
    <w:rsid w:val="001F0D05"/>
    <w:rsid w:val="001F0D42"/>
    <w:rsid w:val="001F1DAE"/>
    <w:rsid w:val="001F2280"/>
    <w:rsid w:val="001F29BB"/>
    <w:rsid w:val="001F3D34"/>
    <w:rsid w:val="001F6005"/>
    <w:rsid w:val="001F61B2"/>
    <w:rsid w:val="001F630A"/>
    <w:rsid w:val="002007EF"/>
    <w:rsid w:val="00200A0C"/>
    <w:rsid w:val="002011D2"/>
    <w:rsid w:val="00201636"/>
    <w:rsid w:val="00201ACE"/>
    <w:rsid w:val="0020248F"/>
    <w:rsid w:val="00202E4D"/>
    <w:rsid w:val="00202FD0"/>
    <w:rsid w:val="0020391C"/>
    <w:rsid w:val="00206826"/>
    <w:rsid w:val="00206879"/>
    <w:rsid w:val="0020699A"/>
    <w:rsid w:val="00206DAD"/>
    <w:rsid w:val="00207E74"/>
    <w:rsid w:val="002110E9"/>
    <w:rsid w:val="00212424"/>
    <w:rsid w:val="00212687"/>
    <w:rsid w:val="002130F6"/>
    <w:rsid w:val="00213ABC"/>
    <w:rsid w:val="002142C2"/>
    <w:rsid w:val="002143B7"/>
    <w:rsid w:val="00215325"/>
    <w:rsid w:val="00215AFB"/>
    <w:rsid w:val="00215B40"/>
    <w:rsid w:val="00215E43"/>
    <w:rsid w:val="002210CB"/>
    <w:rsid w:val="00221FD6"/>
    <w:rsid w:val="00222BF9"/>
    <w:rsid w:val="002243F9"/>
    <w:rsid w:val="00224873"/>
    <w:rsid w:val="00224983"/>
    <w:rsid w:val="00224A0C"/>
    <w:rsid w:val="00227D72"/>
    <w:rsid w:val="00227DE4"/>
    <w:rsid w:val="00230839"/>
    <w:rsid w:val="00230B15"/>
    <w:rsid w:val="002310A9"/>
    <w:rsid w:val="002319F1"/>
    <w:rsid w:val="00231CA9"/>
    <w:rsid w:val="002329BF"/>
    <w:rsid w:val="002338FE"/>
    <w:rsid w:val="00233B08"/>
    <w:rsid w:val="00233FDE"/>
    <w:rsid w:val="00234D1D"/>
    <w:rsid w:val="00234F76"/>
    <w:rsid w:val="00235B75"/>
    <w:rsid w:val="00235F0E"/>
    <w:rsid w:val="002362E3"/>
    <w:rsid w:val="00236CF8"/>
    <w:rsid w:val="002372D9"/>
    <w:rsid w:val="00241AD3"/>
    <w:rsid w:val="002427EB"/>
    <w:rsid w:val="00242CA4"/>
    <w:rsid w:val="00243BE0"/>
    <w:rsid w:val="00244816"/>
    <w:rsid w:val="00244BDE"/>
    <w:rsid w:val="00244C40"/>
    <w:rsid w:val="002503E8"/>
    <w:rsid w:val="002503FE"/>
    <w:rsid w:val="00250BC7"/>
    <w:rsid w:val="002518C2"/>
    <w:rsid w:val="00252004"/>
    <w:rsid w:val="00252E67"/>
    <w:rsid w:val="0025446F"/>
    <w:rsid w:val="00254C97"/>
    <w:rsid w:val="00254F1F"/>
    <w:rsid w:val="002568F1"/>
    <w:rsid w:val="002603DC"/>
    <w:rsid w:val="00260911"/>
    <w:rsid w:val="00262AB6"/>
    <w:rsid w:val="002631B6"/>
    <w:rsid w:val="002632C3"/>
    <w:rsid w:val="0026479C"/>
    <w:rsid w:val="002666AF"/>
    <w:rsid w:val="002667D7"/>
    <w:rsid w:val="00266C2B"/>
    <w:rsid w:val="002676B8"/>
    <w:rsid w:val="00267DB9"/>
    <w:rsid w:val="002705AE"/>
    <w:rsid w:val="00270C8E"/>
    <w:rsid w:val="00272641"/>
    <w:rsid w:val="002727BC"/>
    <w:rsid w:val="00273668"/>
    <w:rsid w:val="00273C8D"/>
    <w:rsid w:val="00276006"/>
    <w:rsid w:val="00276840"/>
    <w:rsid w:val="0027742D"/>
    <w:rsid w:val="002776ED"/>
    <w:rsid w:val="00277B63"/>
    <w:rsid w:val="00277E4F"/>
    <w:rsid w:val="00280D8D"/>
    <w:rsid w:val="00280FD4"/>
    <w:rsid w:val="00281DA5"/>
    <w:rsid w:val="0028245F"/>
    <w:rsid w:val="002824E7"/>
    <w:rsid w:val="002827F2"/>
    <w:rsid w:val="00284EEE"/>
    <w:rsid w:val="00285F53"/>
    <w:rsid w:val="00286314"/>
    <w:rsid w:val="00286319"/>
    <w:rsid w:val="00286BDE"/>
    <w:rsid w:val="00287DB4"/>
    <w:rsid w:val="002901C5"/>
    <w:rsid w:val="00291460"/>
    <w:rsid w:val="00291880"/>
    <w:rsid w:val="00291A58"/>
    <w:rsid w:val="00291EE5"/>
    <w:rsid w:val="00292310"/>
    <w:rsid w:val="00292331"/>
    <w:rsid w:val="00292BD9"/>
    <w:rsid w:val="002938C1"/>
    <w:rsid w:val="00293903"/>
    <w:rsid w:val="00293CAA"/>
    <w:rsid w:val="002944C4"/>
    <w:rsid w:val="00294807"/>
    <w:rsid w:val="00294C8C"/>
    <w:rsid w:val="002951F8"/>
    <w:rsid w:val="0029552E"/>
    <w:rsid w:val="00295D50"/>
    <w:rsid w:val="00295E00"/>
    <w:rsid w:val="00295F36"/>
    <w:rsid w:val="002968DB"/>
    <w:rsid w:val="00296A3A"/>
    <w:rsid w:val="00296BCE"/>
    <w:rsid w:val="00296D9D"/>
    <w:rsid w:val="00297712"/>
    <w:rsid w:val="00297A75"/>
    <w:rsid w:val="00297BB6"/>
    <w:rsid w:val="002A02C7"/>
    <w:rsid w:val="002A08EB"/>
    <w:rsid w:val="002A19C6"/>
    <w:rsid w:val="002A1C36"/>
    <w:rsid w:val="002A2624"/>
    <w:rsid w:val="002A2BB0"/>
    <w:rsid w:val="002A3070"/>
    <w:rsid w:val="002A31F1"/>
    <w:rsid w:val="002A3676"/>
    <w:rsid w:val="002A3F59"/>
    <w:rsid w:val="002A4C52"/>
    <w:rsid w:val="002A7358"/>
    <w:rsid w:val="002A7DD1"/>
    <w:rsid w:val="002A7FFC"/>
    <w:rsid w:val="002B06F1"/>
    <w:rsid w:val="002B0710"/>
    <w:rsid w:val="002B16E5"/>
    <w:rsid w:val="002B1CBE"/>
    <w:rsid w:val="002B1EAD"/>
    <w:rsid w:val="002B2187"/>
    <w:rsid w:val="002B2A0D"/>
    <w:rsid w:val="002B2C53"/>
    <w:rsid w:val="002B31B9"/>
    <w:rsid w:val="002B3993"/>
    <w:rsid w:val="002B3FEB"/>
    <w:rsid w:val="002B4563"/>
    <w:rsid w:val="002B47F2"/>
    <w:rsid w:val="002B4E9E"/>
    <w:rsid w:val="002B51C4"/>
    <w:rsid w:val="002B5FD0"/>
    <w:rsid w:val="002B6B9E"/>
    <w:rsid w:val="002B746F"/>
    <w:rsid w:val="002B7AEA"/>
    <w:rsid w:val="002C0B5B"/>
    <w:rsid w:val="002C1B6F"/>
    <w:rsid w:val="002C2392"/>
    <w:rsid w:val="002C26B4"/>
    <w:rsid w:val="002C373B"/>
    <w:rsid w:val="002C4071"/>
    <w:rsid w:val="002C5190"/>
    <w:rsid w:val="002C6080"/>
    <w:rsid w:val="002C616B"/>
    <w:rsid w:val="002C647D"/>
    <w:rsid w:val="002C7CE1"/>
    <w:rsid w:val="002D03EE"/>
    <w:rsid w:val="002D2A1D"/>
    <w:rsid w:val="002D38D2"/>
    <w:rsid w:val="002D38D7"/>
    <w:rsid w:val="002D4176"/>
    <w:rsid w:val="002D4673"/>
    <w:rsid w:val="002D579F"/>
    <w:rsid w:val="002D79B2"/>
    <w:rsid w:val="002D7BE1"/>
    <w:rsid w:val="002D7E2D"/>
    <w:rsid w:val="002E05E0"/>
    <w:rsid w:val="002E0848"/>
    <w:rsid w:val="002E1508"/>
    <w:rsid w:val="002E1E5D"/>
    <w:rsid w:val="002E22B7"/>
    <w:rsid w:val="002E24AE"/>
    <w:rsid w:val="002E3332"/>
    <w:rsid w:val="002E39CA"/>
    <w:rsid w:val="002E3ADB"/>
    <w:rsid w:val="002E3FCB"/>
    <w:rsid w:val="002E4557"/>
    <w:rsid w:val="002E4CBB"/>
    <w:rsid w:val="002E4D9D"/>
    <w:rsid w:val="002E4F93"/>
    <w:rsid w:val="002E5310"/>
    <w:rsid w:val="002F1AD7"/>
    <w:rsid w:val="002F1B3C"/>
    <w:rsid w:val="002F1F0E"/>
    <w:rsid w:val="002F28CD"/>
    <w:rsid w:val="002F2E71"/>
    <w:rsid w:val="002F3590"/>
    <w:rsid w:val="002F35D6"/>
    <w:rsid w:val="002F3AFC"/>
    <w:rsid w:val="002F4276"/>
    <w:rsid w:val="002F4586"/>
    <w:rsid w:val="002F5298"/>
    <w:rsid w:val="002F5845"/>
    <w:rsid w:val="002F69BC"/>
    <w:rsid w:val="002F6AB4"/>
    <w:rsid w:val="002F6AF8"/>
    <w:rsid w:val="002F6E4B"/>
    <w:rsid w:val="002F72F4"/>
    <w:rsid w:val="0030073E"/>
    <w:rsid w:val="00300BC1"/>
    <w:rsid w:val="0030249C"/>
    <w:rsid w:val="00302572"/>
    <w:rsid w:val="00302582"/>
    <w:rsid w:val="00302ECE"/>
    <w:rsid w:val="003033EF"/>
    <w:rsid w:val="003049C7"/>
    <w:rsid w:val="00304F10"/>
    <w:rsid w:val="003051EE"/>
    <w:rsid w:val="003059E2"/>
    <w:rsid w:val="0030703B"/>
    <w:rsid w:val="003076F3"/>
    <w:rsid w:val="00307FAD"/>
    <w:rsid w:val="003110CD"/>
    <w:rsid w:val="00312416"/>
    <w:rsid w:val="003134BA"/>
    <w:rsid w:val="00313663"/>
    <w:rsid w:val="00314A68"/>
    <w:rsid w:val="00315C9D"/>
    <w:rsid w:val="00316CE8"/>
    <w:rsid w:val="00317427"/>
    <w:rsid w:val="0031751A"/>
    <w:rsid w:val="003177A9"/>
    <w:rsid w:val="00317F2F"/>
    <w:rsid w:val="0032005C"/>
    <w:rsid w:val="003208C6"/>
    <w:rsid w:val="003214EA"/>
    <w:rsid w:val="0032271D"/>
    <w:rsid w:val="003276F2"/>
    <w:rsid w:val="00327D7A"/>
    <w:rsid w:val="00327FC8"/>
    <w:rsid w:val="0033113E"/>
    <w:rsid w:val="003316A5"/>
    <w:rsid w:val="00332E11"/>
    <w:rsid w:val="00333974"/>
    <w:rsid w:val="00334631"/>
    <w:rsid w:val="003346EB"/>
    <w:rsid w:val="00334C03"/>
    <w:rsid w:val="00334D09"/>
    <w:rsid w:val="00334EA9"/>
    <w:rsid w:val="003359AC"/>
    <w:rsid w:val="0033624E"/>
    <w:rsid w:val="00337E33"/>
    <w:rsid w:val="003405B3"/>
    <w:rsid w:val="003406C1"/>
    <w:rsid w:val="003409C3"/>
    <w:rsid w:val="00341D03"/>
    <w:rsid w:val="00342520"/>
    <w:rsid w:val="00342A46"/>
    <w:rsid w:val="00343A6F"/>
    <w:rsid w:val="00345876"/>
    <w:rsid w:val="00345B04"/>
    <w:rsid w:val="003461E2"/>
    <w:rsid w:val="0034636B"/>
    <w:rsid w:val="00347C2F"/>
    <w:rsid w:val="003500A7"/>
    <w:rsid w:val="00350239"/>
    <w:rsid w:val="00351B2C"/>
    <w:rsid w:val="003527D7"/>
    <w:rsid w:val="00352904"/>
    <w:rsid w:val="00353B97"/>
    <w:rsid w:val="00354310"/>
    <w:rsid w:val="00355055"/>
    <w:rsid w:val="0035508B"/>
    <w:rsid w:val="0035517B"/>
    <w:rsid w:val="00355AF4"/>
    <w:rsid w:val="00356364"/>
    <w:rsid w:val="00356A50"/>
    <w:rsid w:val="003609FF"/>
    <w:rsid w:val="00360B06"/>
    <w:rsid w:val="0036202E"/>
    <w:rsid w:val="00363459"/>
    <w:rsid w:val="00363A45"/>
    <w:rsid w:val="00365734"/>
    <w:rsid w:val="00366442"/>
    <w:rsid w:val="00366A0F"/>
    <w:rsid w:val="003672DE"/>
    <w:rsid w:val="00367949"/>
    <w:rsid w:val="003679EF"/>
    <w:rsid w:val="0037090C"/>
    <w:rsid w:val="00372D8E"/>
    <w:rsid w:val="00374672"/>
    <w:rsid w:val="00374FAB"/>
    <w:rsid w:val="00375CB9"/>
    <w:rsid w:val="0037675D"/>
    <w:rsid w:val="00376B3A"/>
    <w:rsid w:val="00377848"/>
    <w:rsid w:val="00377B60"/>
    <w:rsid w:val="0038023D"/>
    <w:rsid w:val="0038068D"/>
    <w:rsid w:val="0038197C"/>
    <w:rsid w:val="00381A4D"/>
    <w:rsid w:val="00381B70"/>
    <w:rsid w:val="0038238A"/>
    <w:rsid w:val="00382FF2"/>
    <w:rsid w:val="00385128"/>
    <w:rsid w:val="00385536"/>
    <w:rsid w:val="00385B86"/>
    <w:rsid w:val="00385D39"/>
    <w:rsid w:val="00385FF3"/>
    <w:rsid w:val="003865C8"/>
    <w:rsid w:val="0038759C"/>
    <w:rsid w:val="003925F0"/>
    <w:rsid w:val="00392BE7"/>
    <w:rsid w:val="00393668"/>
    <w:rsid w:val="0039468F"/>
    <w:rsid w:val="003946BE"/>
    <w:rsid w:val="0039643E"/>
    <w:rsid w:val="00396734"/>
    <w:rsid w:val="003979AB"/>
    <w:rsid w:val="003A15A8"/>
    <w:rsid w:val="003A1EE2"/>
    <w:rsid w:val="003A321E"/>
    <w:rsid w:val="003A47D5"/>
    <w:rsid w:val="003A51A0"/>
    <w:rsid w:val="003A5254"/>
    <w:rsid w:val="003A61D4"/>
    <w:rsid w:val="003A7248"/>
    <w:rsid w:val="003A790D"/>
    <w:rsid w:val="003A7B72"/>
    <w:rsid w:val="003B0185"/>
    <w:rsid w:val="003B141F"/>
    <w:rsid w:val="003B218D"/>
    <w:rsid w:val="003B2602"/>
    <w:rsid w:val="003B309D"/>
    <w:rsid w:val="003B38CA"/>
    <w:rsid w:val="003B3A76"/>
    <w:rsid w:val="003B4122"/>
    <w:rsid w:val="003B4B03"/>
    <w:rsid w:val="003B560C"/>
    <w:rsid w:val="003B5CAC"/>
    <w:rsid w:val="003B5CDA"/>
    <w:rsid w:val="003B6D9E"/>
    <w:rsid w:val="003C02FC"/>
    <w:rsid w:val="003C0B14"/>
    <w:rsid w:val="003C116A"/>
    <w:rsid w:val="003C1FCD"/>
    <w:rsid w:val="003C31A6"/>
    <w:rsid w:val="003C3FDA"/>
    <w:rsid w:val="003C557F"/>
    <w:rsid w:val="003C56D3"/>
    <w:rsid w:val="003C5C7B"/>
    <w:rsid w:val="003C7C05"/>
    <w:rsid w:val="003C7E66"/>
    <w:rsid w:val="003D0C5E"/>
    <w:rsid w:val="003D12E7"/>
    <w:rsid w:val="003D1A86"/>
    <w:rsid w:val="003D266E"/>
    <w:rsid w:val="003D26CF"/>
    <w:rsid w:val="003D30DB"/>
    <w:rsid w:val="003D355C"/>
    <w:rsid w:val="003D3B9D"/>
    <w:rsid w:val="003D3CB5"/>
    <w:rsid w:val="003D4E09"/>
    <w:rsid w:val="003D52D8"/>
    <w:rsid w:val="003D58D8"/>
    <w:rsid w:val="003D65D3"/>
    <w:rsid w:val="003D6FBF"/>
    <w:rsid w:val="003D794D"/>
    <w:rsid w:val="003D7971"/>
    <w:rsid w:val="003E0250"/>
    <w:rsid w:val="003E0E2E"/>
    <w:rsid w:val="003E2177"/>
    <w:rsid w:val="003E28C9"/>
    <w:rsid w:val="003E2C00"/>
    <w:rsid w:val="003E2E3C"/>
    <w:rsid w:val="003E31D6"/>
    <w:rsid w:val="003E3BBB"/>
    <w:rsid w:val="003E3D94"/>
    <w:rsid w:val="003E53B1"/>
    <w:rsid w:val="003E55C9"/>
    <w:rsid w:val="003E598F"/>
    <w:rsid w:val="003E6438"/>
    <w:rsid w:val="003E6755"/>
    <w:rsid w:val="003E6926"/>
    <w:rsid w:val="003E69F8"/>
    <w:rsid w:val="003E6ACD"/>
    <w:rsid w:val="003E6BCA"/>
    <w:rsid w:val="003E6FE6"/>
    <w:rsid w:val="003E7F2D"/>
    <w:rsid w:val="003F0475"/>
    <w:rsid w:val="003F077B"/>
    <w:rsid w:val="003F1361"/>
    <w:rsid w:val="003F194D"/>
    <w:rsid w:val="003F41DA"/>
    <w:rsid w:val="003F4843"/>
    <w:rsid w:val="003F4EDD"/>
    <w:rsid w:val="003F51C0"/>
    <w:rsid w:val="003F5690"/>
    <w:rsid w:val="003F57E2"/>
    <w:rsid w:val="003F68B0"/>
    <w:rsid w:val="003F6BCB"/>
    <w:rsid w:val="003F715D"/>
    <w:rsid w:val="003F7C8B"/>
    <w:rsid w:val="003F7F93"/>
    <w:rsid w:val="00400C5F"/>
    <w:rsid w:val="00401141"/>
    <w:rsid w:val="004022A9"/>
    <w:rsid w:val="004043B5"/>
    <w:rsid w:val="00404D91"/>
    <w:rsid w:val="00405E43"/>
    <w:rsid w:val="004061D7"/>
    <w:rsid w:val="00406511"/>
    <w:rsid w:val="00406BDB"/>
    <w:rsid w:val="00406C70"/>
    <w:rsid w:val="004100F6"/>
    <w:rsid w:val="0041078C"/>
    <w:rsid w:val="00411003"/>
    <w:rsid w:val="0041303D"/>
    <w:rsid w:val="0041341F"/>
    <w:rsid w:val="00413AF4"/>
    <w:rsid w:val="00413E97"/>
    <w:rsid w:val="0041463A"/>
    <w:rsid w:val="00414ACF"/>
    <w:rsid w:val="0041579D"/>
    <w:rsid w:val="00415AEF"/>
    <w:rsid w:val="00415FF2"/>
    <w:rsid w:val="004171AA"/>
    <w:rsid w:val="00420A40"/>
    <w:rsid w:val="00420CF6"/>
    <w:rsid w:val="00420E1B"/>
    <w:rsid w:val="0042130D"/>
    <w:rsid w:val="00422817"/>
    <w:rsid w:val="00422EB2"/>
    <w:rsid w:val="00423642"/>
    <w:rsid w:val="00423E82"/>
    <w:rsid w:val="00425031"/>
    <w:rsid w:val="0042701A"/>
    <w:rsid w:val="0042772B"/>
    <w:rsid w:val="00427776"/>
    <w:rsid w:val="004308C1"/>
    <w:rsid w:val="00430A36"/>
    <w:rsid w:val="00430FD5"/>
    <w:rsid w:val="00431611"/>
    <w:rsid w:val="004316E9"/>
    <w:rsid w:val="00431EC0"/>
    <w:rsid w:val="00433CD2"/>
    <w:rsid w:val="00440903"/>
    <w:rsid w:val="0044293B"/>
    <w:rsid w:val="00442BBA"/>
    <w:rsid w:val="00443685"/>
    <w:rsid w:val="004442A4"/>
    <w:rsid w:val="00444678"/>
    <w:rsid w:val="00444EB4"/>
    <w:rsid w:val="004457D1"/>
    <w:rsid w:val="004467BE"/>
    <w:rsid w:val="00446EBE"/>
    <w:rsid w:val="00447F01"/>
    <w:rsid w:val="004500C6"/>
    <w:rsid w:val="00450370"/>
    <w:rsid w:val="00451266"/>
    <w:rsid w:val="00451D50"/>
    <w:rsid w:val="004522F9"/>
    <w:rsid w:val="00452CFA"/>
    <w:rsid w:val="00453900"/>
    <w:rsid w:val="00453909"/>
    <w:rsid w:val="00455400"/>
    <w:rsid w:val="00457E09"/>
    <w:rsid w:val="00460D58"/>
    <w:rsid w:val="00460EAF"/>
    <w:rsid w:val="00461E92"/>
    <w:rsid w:val="0046250B"/>
    <w:rsid w:val="004629E6"/>
    <w:rsid w:val="0046339D"/>
    <w:rsid w:val="00464313"/>
    <w:rsid w:val="0046458B"/>
    <w:rsid w:val="00464C8D"/>
    <w:rsid w:val="0046545B"/>
    <w:rsid w:val="004657C3"/>
    <w:rsid w:val="004657F7"/>
    <w:rsid w:val="0046595B"/>
    <w:rsid w:val="0046717F"/>
    <w:rsid w:val="004709F3"/>
    <w:rsid w:val="00471768"/>
    <w:rsid w:val="00471D02"/>
    <w:rsid w:val="00473C75"/>
    <w:rsid w:val="0047443A"/>
    <w:rsid w:val="00474543"/>
    <w:rsid w:val="00475F6A"/>
    <w:rsid w:val="00477242"/>
    <w:rsid w:val="004804EE"/>
    <w:rsid w:val="00480659"/>
    <w:rsid w:val="00480D59"/>
    <w:rsid w:val="004814BB"/>
    <w:rsid w:val="00481547"/>
    <w:rsid w:val="004825AF"/>
    <w:rsid w:val="00483078"/>
    <w:rsid w:val="00483E2D"/>
    <w:rsid w:val="004853B4"/>
    <w:rsid w:val="00485A40"/>
    <w:rsid w:val="004861BB"/>
    <w:rsid w:val="004864BC"/>
    <w:rsid w:val="00490118"/>
    <w:rsid w:val="004906E4"/>
    <w:rsid w:val="00490872"/>
    <w:rsid w:val="00491BC6"/>
    <w:rsid w:val="0049288C"/>
    <w:rsid w:val="004928F2"/>
    <w:rsid w:val="00492AB3"/>
    <w:rsid w:val="00494368"/>
    <w:rsid w:val="004949CD"/>
    <w:rsid w:val="00494C92"/>
    <w:rsid w:val="0049500E"/>
    <w:rsid w:val="004955A6"/>
    <w:rsid w:val="004958A4"/>
    <w:rsid w:val="004959A3"/>
    <w:rsid w:val="004963C2"/>
    <w:rsid w:val="00496FB1"/>
    <w:rsid w:val="00497053"/>
    <w:rsid w:val="00497A37"/>
    <w:rsid w:val="00497C82"/>
    <w:rsid w:val="004A0201"/>
    <w:rsid w:val="004A0496"/>
    <w:rsid w:val="004A0F19"/>
    <w:rsid w:val="004A308C"/>
    <w:rsid w:val="004A318C"/>
    <w:rsid w:val="004A33CD"/>
    <w:rsid w:val="004A3710"/>
    <w:rsid w:val="004A3E33"/>
    <w:rsid w:val="004A58BE"/>
    <w:rsid w:val="004A5AB4"/>
    <w:rsid w:val="004A6797"/>
    <w:rsid w:val="004A6929"/>
    <w:rsid w:val="004A7455"/>
    <w:rsid w:val="004A79EF"/>
    <w:rsid w:val="004A7BCF"/>
    <w:rsid w:val="004A7D15"/>
    <w:rsid w:val="004B0A45"/>
    <w:rsid w:val="004B12FB"/>
    <w:rsid w:val="004B15E1"/>
    <w:rsid w:val="004B1C01"/>
    <w:rsid w:val="004B1CA7"/>
    <w:rsid w:val="004B2875"/>
    <w:rsid w:val="004B2B55"/>
    <w:rsid w:val="004B77B9"/>
    <w:rsid w:val="004B7901"/>
    <w:rsid w:val="004C0084"/>
    <w:rsid w:val="004C0369"/>
    <w:rsid w:val="004C1615"/>
    <w:rsid w:val="004C197D"/>
    <w:rsid w:val="004C265D"/>
    <w:rsid w:val="004C34AB"/>
    <w:rsid w:val="004C5E51"/>
    <w:rsid w:val="004C6E5A"/>
    <w:rsid w:val="004C788D"/>
    <w:rsid w:val="004D0417"/>
    <w:rsid w:val="004D09D0"/>
    <w:rsid w:val="004D0EF8"/>
    <w:rsid w:val="004D110B"/>
    <w:rsid w:val="004D1483"/>
    <w:rsid w:val="004D1AD7"/>
    <w:rsid w:val="004D1DE5"/>
    <w:rsid w:val="004D3CA5"/>
    <w:rsid w:val="004D4D48"/>
    <w:rsid w:val="004D4F10"/>
    <w:rsid w:val="004D5A1E"/>
    <w:rsid w:val="004D631D"/>
    <w:rsid w:val="004D6678"/>
    <w:rsid w:val="004D6A1B"/>
    <w:rsid w:val="004D6E51"/>
    <w:rsid w:val="004D7309"/>
    <w:rsid w:val="004E0929"/>
    <w:rsid w:val="004E0C4D"/>
    <w:rsid w:val="004E10F7"/>
    <w:rsid w:val="004E11BA"/>
    <w:rsid w:val="004E17EE"/>
    <w:rsid w:val="004E1DA4"/>
    <w:rsid w:val="004E1F6D"/>
    <w:rsid w:val="004E362D"/>
    <w:rsid w:val="004E4B1B"/>
    <w:rsid w:val="004E6C01"/>
    <w:rsid w:val="004F0CCA"/>
    <w:rsid w:val="004F1919"/>
    <w:rsid w:val="004F19DB"/>
    <w:rsid w:val="004F1B43"/>
    <w:rsid w:val="004F2164"/>
    <w:rsid w:val="004F261B"/>
    <w:rsid w:val="004F372E"/>
    <w:rsid w:val="004F3F82"/>
    <w:rsid w:val="004F46F7"/>
    <w:rsid w:val="004F51E9"/>
    <w:rsid w:val="004F57CA"/>
    <w:rsid w:val="004F5B1B"/>
    <w:rsid w:val="004F5C86"/>
    <w:rsid w:val="004F69D9"/>
    <w:rsid w:val="004F6B0A"/>
    <w:rsid w:val="004F6E8C"/>
    <w:rsid w:val="005008FD"/>
    <w:rsid w:val="00500AED"/>
    <w:rsid w:val="00500BED"/>
    <w:rsid w:val="005030D5"/>
    <w:rsid w:val="005039CE"/>
    <w:rsid w:val="00504C95"/>
    <w:rsid w:val="00505237"/>
    <w:rsid w:val="00505F88"/>
    <w:rsid w:val="00510225"/>
    <w:rsid w:val="00510668"/>
    <w:rsid w:val="005106BF"/>
    <w:rsid w:val="00510DDF"/>
    <w:rsid w:val="00513F80"/>
    <w:rsid w:val="00513F92"/>
    <w:rsid w:val="00514FD8"/>
    <w:rsid w:val="005156FD"/>
    <w:rsid w:val="005162BE"/>
    <w:rsid w:val="00516D08"/>
    <w:rsid w:val="0051725C"/>
    <w:rsid w:val="0051735A"/>
    <w:rsid w:val="00517499"/>
    <w:rsid w:val="00517A19"/>
    <w:rsid w:val="00517D74"/>
    <w:rsid w:val="00517F86"/>
    <w:rsid w:val="005201A5"/>
    <w:rsid w:val="00520946"/>
    <w:rsid w:val="00520CD8"/>
    <w:rsid w:val="005214D6"/>
    <w:rsid w:val="005222D1"/>
    <w:rsid w:val="00522558"/>
    <w:rsid w:val="00522E75"/>
    <w:rsid w:val="00522EAF"/>
    <w:rsid w:val="00522FFE"/>
    <w:rsid w:val="00523EAA"/>
    <w:rsid w:val="00524888"/>
    <w:rsid w:val="005248E7"/>
    <w:rsid w:val="005257B0"/>
    <w:rsid w:val="0052708E"/>
    <w:rsid w:val="00527093"/>
    <w:rsid w:val="00527713"/>
    <w:rsid w:val="00527F7B"/>
    <w:rsid w:val="00531FF0"/>
    <w:rsid w:val="00532FDD"/>
    <w:rsid w:val="005335A9"/>
    <w:rsid w:val="005340D6"/>
    <w:rsid w:val="005342ED"/>
    <w:rsid w:val="005355AF"/>
    <w:rsid w:val="00535D32"/>
    <w:rsid w:val="00537937"/>
    <w:rsid w:val="00537A5B"/>
    <w:rsid w:val="00541EF4"/>
    <w:rsid w:val="005435CF"/>
    <w:rsid w:val="00543BAD"/>
    <w:rsid w:val="005447B6"/>
    <w:rsid w:val="005464F3"/>
    <w:rsid w:val="005468A7"/>
    <w:rsid w:val="00547D55"/>
    <w:rsid w:val="00550F05"/>
    <w:rsid w:val="0055193E"/>
    <w:rsid w:val="00551F2D"/>
    <w:rsid w:val="00553A1D"/>
    <w:rsid w:val="00553AE2"/>
    <w:rsid w:val="00554383"/>
    <w:rsid w:val="005554B6"/>
    <w:rsid w:val="00556014"/>
    <w:rsid w:val="0055731E"/>
    <w:rsid w:val="00557627"/>
    <w:rsid w:val="0055777D"/>
    <w:rsid w:val="00561917"/>
    <w:rsid w:val="00561E5E"/>
    <w:rsid w:val="00562DC3"/>
    <w:rsid w:val="00563112"/>
    <w:rsid w:val="00563386"/>
    <w:rsid w:val="00564888"/>
    <w:rsid w:val="00564934"/>
    <w:rsid w:val="00567BBF"/>
    <w:rsid w:val="00567FEB"/>
    <w:rsid w:val="005701B5"/>
    <w:rsid w:val="0057204A"/>
    <w:rsid w:val="00572B4D"/>
    <w:rsid w:val="00572EDE"/>
    <w:rsid w:val="00573130"/>
    <w:rsid w:val="0057327C"/>
    <w:rsid w:val="005744B2"/>
    <w:rsid w:val="00575E35"/>
    <w:rsid w:val="005764FC"/>
    <w:rsid w:val="005768C0"/>
    <w:rsid w:val="00576FA4"/>
    <w:rsid w:val="00580494"/>
    <w:rsid w:val="00580951"/>
    <w:rsid w:val="00580CE8"/>
    <w:rsid w:val="0058130E"/>
    <w:rsid w:val="00581527"/>
    <w:rsid w:val="00581CA2"/>
    <w:rsid w:val="00581D27"/>
    <w:rsid w:val="0058226C"/>
    <w:rsid w:val="00583299"/>
    <w:rsid w:val="0058573B"/>
    <w:rsid w:val="00585BAB"/>
    <w:rsid w:val="00586F26"/>
    <w:rsid w:val="00587097"/>
    <w:rsid w:val="00587FC0"/>
    <w:rsid w:val="0059024B"/>
    <w:rsid w:val="00590857"/>
    <w:rsid w:val="00592898"/>
    <w:rsid w:val="005930F6"/>
    <w:rsid w:val="00593381"/>
    <w:rsid w:val="00593D59"/>
    <w:rsid w:val="00594DEF"/>
    <w:rsid w:val="00595922"/>
    <w:rsid w:val="00595B50"/>
    <w:rsid w:val="00595C9B"/>
    <w:rsid w:val="0059713C"/>
    <w:rsid w:val="0059736F"/>
    <w:rsid w:val="00597D62"/>
    <w:rsid w:val="005A05F6"/>
    <w:rsid w:val="005A0E40"/>
    <w:rsid w:val="005A1261"/>
    <w:rsid w:val="005A25E2"/>
    <w:rsid w:val="005A2CEA"/>
    <w:rsid w:val="005A3813"/>
    <w:rsid w:val="005A39FE"/>
    <w:rsid w:val="005A3C70"/>
    <w:rsid w:val="005A5C72"/>
    <w:rsid w:val="005B0623"/>
    <w:rsid w:val="005B09DC"/>
    <w:rsid w:val="005B10B2"/>
    <w:rsid w:val="005B145F"/>
    <w:rsid w:val="005B1B16"/>
    <w:rsid w:val="005B1B8F"/>
    <w:rsid w:val="005B20C0"/>
    <w:rsid w:val="005B2C7B"/>
    <w:rsid w:val="005B34E5"/>
    <w:rsid w:val="005B4E44"/>
    <w:rsid w:val="005B571A"/>
    <w:rsid w:val="005B5B86"/>
    <w:rsid w:val="005B5DB5"/>
    <w:rsid w:val="005B646A"/>
    <w:rsid w:val="005B69AF"/>
    <w:rsid w:val="005B780E"/>
    <w:rsid w:val="005C06FB"/>
    <w:rsid w:val="005C0A20"/>
    <w:rsid w:val="005C0D9F"/>
    <w:rsid w:val="005C0EA6"/>
    <w:rsid w:val="005C29CE"/>
    <w:rsid w:val="005C386A"/>
    <w:rsid w:val="005C3A4D"/>
    <w:rsid w:val="005C4557"/>
    <w:rsid w:val="005C4BAE"/>
    <w:rsid w:val="005C5175"/>
    <w:rsid w:val="005C70D3"/>
    <w:rsid w:val="005C7149"/>
    <w:rsid w:val="005C799C"/>
    <w:rsid w:val="005D0481"/>
    <w:rsid w:val="005D0604"/>
    <w:rsid w:val="005D0812"/>
    <w:rsid w:val="005D0B56"/>
    <w:rsid w:val="005D0F83"/>
    <w:rsid w:val="005D13DF"/>
    <w:rsid w:val="005D1B11"/>
    <w:rsid w:val="005D1FBF"/>
    <w:rsid w:val="005D3745"/>
    <w:rsid w:val="005D38D3"/>
    <w:rsid w:val="005D53C7"/>
    <w:rsid w:val="005D5489"/>
    <w:rsid w:val="005D6034"/>
    <w:rsid w:val="005D6551"/>
    <w:rsid w:val="005E002F"/>
    <w:rsid w:val="005E0BDD"/>
    <w:rsid w:val="005E2A08"/>
    <w:rsid w:val="005E3730"/>
    <w:rsid w:val="005E39DF"/>
    <w:rsid w:val="005E3F70"/>
    <w:rsid w:val="005E45A7"/>
    <w:rsid w:val="005E4CCE"/>
    <w:rsid w:val="005E4DB2"/>
    <w:rsid w:val="005E4E56"/>
    <w:rsid w:val="005E5805"/>
    <w:rsid w:val="005E5A94"/>
    <w:rsid w:val="005E6BD9"/>
    <w:rsid w:val="005F01E6"/>
    <w:rsid w:val="005F03C2"/>
    <w:rsid w:val="005F1C9F"/>
    <w:rsid w:val="005F1F52"/>
    <w:rsid w:val="005F2DDF"/>
    <w:rsid w:val="005F302D"/>
    <w:rsid w:val="005F3B16"/>
    <w:rsid w:val="005F4357"/>
    <w:rsid w:val="005F618C"/>
    <w:rsid w:val="005F6D0E"/>
    <w:rsid w:val="00600532"/>
    <w:rsid w:val="0060148A"/>
    <w:rsid w:val="00601A71"/>
    <w:rsid w:val="00602702"/>
    <w:rsid w:val="00602B89"/>
    <w:rsid w:val="0060303D"/>
    <w:rsid w:val="0060341D"/>
    <w:rsid w:val="00605EB2"/>
    <w:rsid w:val="006062FD"/>
    <w:rsid w:val="0060764F"/>
    <w:rsid w:val="00607771"/>
    <w:rsid w:val="00607EAD"/>
    <w:rsid w:val="0061027D"/>
    <w:rsid w:val="00610C24"/>
    <w:rsid w:val="00611000"/>
    <w:rsid w:val="00611799"/>
    <w:rsid w:val="00611DE1"/>
    <w:rsid w:val="0061204A"/>
    <w:rsid w:val="00613CF3"/>
    <w:rsid w:val="00614836"/>
    <w:rsid w:val="0061497C"/>
    <w:rsid w:val="00615684"/>
    <w:rsid w:val="00615B4D"/>
    <w:rsid w:val="006169D6"/>
    <w:rsid w:val="00617194"/>
    <w:rsid w:val="006179BF"/>
    <w:rsid w:val="0062058D"/>
    <w:rsid w:val="00621046"/>
    <w:rsid w:val="00621564"/>
    <w:rsid w:val="00622441"/>
    <w:rsid w:val="0062244C"/>
    <w:rsid w:val="006229BC"/>
    <w:rsid w:val="00622F33"/>
    <w:rsid w:val="006232D6"/>
    <w:rsid w:val="0062401C"/>
    <w:rsid w:val="006259F1"/>
    <w:rsid w:val="00626AEF"/>
    <w:rsid w:val="00626B1B"/>
    <w:rsid w:val="00627108"/>
    <w:rsid w:val="00630435"/>
    <w:rsid w:val="0063066D"/>
    <w:rsid w:val="006310EC"/>
    <w:rsid w:val="0063139F"/>
    <w:rsid w:val="00631D7B"/>
    <w:rsid w:val="0063207E"/>
    <w:rsid w:val="006322EC"/>
    <w:rsid w:val="006326C3"/>
    <w:rsid w:val="00632B4F"/>
    <w:rsid w:val="00632CAB"/>
    <w:rsid w:val="0063420A"/>
    <w:rsid w:val="006342F8"/>
    <w:rsid w:val="006345FF"/>
    <w:rsid w:val="006359DB"/>
    <w:rsid w:val="006371A7"/>
    <w:rsid w:val="0063751D"/>
    <w:rsid w:val="00637D2C"/>
    <w:rsid w:val="00641274"/>
    <w:rsid w:val="00642002"/>
    <w:rsid w:val="00642367"/>
    <w:rsid w:val="00642773"/>
    <w:rsid w:val="00643CBB"/>
    <w:rsid w:val="00644166"/>
    <w:rsid w:val="00644266"/>
    <w:rsid w:val="00644F13"/>
    <w:rsid w:val="0064547B"/>
    <w:rsid w:val="00646346"/>
    <w:rsid w:val="00646877"/>
    <w:rsid w:val="00646CE7"/>
    <w:rsid w:val="00646EEB"/>
    <w:rsid w:val="0064704C"/>
    <w:rsid w:val="006478F2"/>
    <w:rsid w:val="00647B95"/>
    <w:rsid w:val="006500B9"/>
    <w:rsid w:val="006501A4"/>
    <w:rsid w:val="006503B9"/>
    <w:rsid w:val="006523CD"/>
    <w:rsid w:val="00652C03"/>
    <w:rsid w:val="00653154"/>
    <w:rsid w:val="00653617"/>
    <w:rsid w:val="00653A68"/>
    <w:rsid w:val="00653BDB"/>
    <w:rsid w:val="00654743"/>
    <w:rsid w:val="00654EBC"/>
    <w:rsid w:val="00654EFC"/>
    <w:rsid w:val="00655586"/>
    <w:rsid w:val="006555C5"/>
    <w:rsid w:val="00655A8F"/>
    <w:rsid w:val="00656092"/>
    <w:rsid w:val="00656EF3"/>
    <w:rsid w:val="006609BE"/>
    <w:rsid w:val="00660B9C"/>
    <w:rsid w:val="00661047"/>
    <w:rsid w:val="0066114E"/>
    <w:rsid w:val="00662B0F"/>
    <w:rsid w:val="0066459E"/>
    <w:rsid w:val="00666BC0"/>
    <w:rsid w:val="006702AC"/>
    <w:rsid w:val="00670BF0"/>
    <w:rsid w:val="006714AB"/>
    <w:rsid w:val="0067150B"/>
    <w:rsid w:val="00671AAB"/>
    <w:rsid w:val="006742F5"/>
    <w:rsid w:val="00674B86"/>
    <w:rsid w:val="0067515E"/>
    <w:rsid w:val="006758CA"/>
    <w:rsid w:val="00675C41"/>
    <w:rsid w:val="00675DBE"/>
    <w:rsid w:val="00675EFE"/>
    <w:rsid w:val="0067611C"/>
    <w:rsid w:val="006762CE"/>
    <w:rsid w:val="0067655E"/>
    <w:rsid w:val="006777CD"/>
    <w:rsid w:val="00680731"/>
    <w:rsid w:val="00680F73"/>
    <w:rsid w:val="006810D1"/>
    <w:rsid w:val="006825AE"/>
    <w:rsid w:val="00682C42"/>
    <w:rsid w:val="00683099"/>
    <w:rsid w:val="006838C6"/>
    <w:rsid w:val="006838D0"/>
    <w:rsid w:val="00683944"/>
    <w:rsid w:val="00683A60"/>
    <w:rsid w:val="006847FA"/>
    <w:rsid w:val="00685A32"/>
    <w:rsid w:val="00685B41"/>
    <w:rsid w:val="0068600C"/>
    <w:rsid w:val="006866D5"/>
    <w:rsid w:val="00686928"/>
    <w:rsid w:val="00687028"/>
    <w:rsid w:val="00687A66"/>
    <w:rsid w:val="00691DAB"/>
    <w:rsid w:val="00692DDE"/>
    <w:rsid w:val="00693056"/>
    <w:rsid w:val="00693E38"/>
    <w:rsid w:val="00695440"/>
    <w:rsid w:val="00695929"/>
    <w:rsid w:val="006959C7"/>
    <w:rsid w:val="0069609B"/>
    <w:rsid w:val="00696D71"/>
    <w:rsid w:val="00697415"/>
    <w:rsid w:val="00697C3C"/>
    <w:rsid w:val="00697FED"/>
    <w:rsid w:val="006A02ED"/>
    <w:rsid w:val="006A0B73"/>
    <w:rsid w:val="006A0C9F"/>
    <w:rsid w:val="006A198D"/>
    <w:rsid w:val="006A1ED0"/>
    <w:rsid w:val="006A2867"/>
    <w:rsid w:val="006A2C2E"/>
    <w:rsid w:val="006A3972"/>
    <w:rsid w:val="006A48BD"/>
    <w:rsid w:val="006A58FA"/>
    <w:rsid w:val="006A75C4"/>
    <w:rsid w:val="006B1133"/>
    <w:rsid w:val="006B2B66"/>
    <w:rsid w:val="006B2FF6"/>
    <w:rsid w:val="006B3853"/>
    <w:rsid w:val="006B42A0"/>
    <w:rsid w:val="006B4A9F"/>
    <w:rsid w:val="006B6426"/>
    <w:rsid w:val="006B706B"/>
    <w:rsid w:val="006B71F3"/>
    <w:rsid w:val="006B761F"/>
    <w:rsid w:val="006B7944"/>
    <w:rsid w:val="006C0773"/>
    <w:rsid w:val="006C1F5A"/>
    <w:rsid w:val="006C21A2"/>
    <w:rsid w:val="006C2B6D"/>
    <w:rsid w:val="006C2EF6"/>
    <w:rsid w:val="006C3988"/>
    <w:rsid w:val="006C4002"/>
    <w:rsid w:val="006C43C2"/>
    <w:rsid w:val="006C4A03"/>
    <w:rsid w:val="006C4DC3"/>
    <w:rsid w:val="006C59D0"/>
    <w:rsid w:val="006C5C5E"/>
    <w:rsid w:val="006C6104"/>
    <w:rsid w:val="006C64A1"/>
    <w:rsid w:val="006C66C2"/>
    <w:rsid w:val="006D1057"/>
    <w:rsid w:val="006D2910"/>
    <w:rsid w:val="006D2C48"/>
    <w:rsid w:val="006D4471"/>
    <w:rsid w:val="006D5974"/>
    <w:rsid w:val="006D5A72"/>
    <w:rsid w:val="006D78ED"/>
    <w:rsid w:val="006E1086"/>
    <w:rsid w:val="006E117E"/>
    <w:rsid w:val="006E14EE"/>
    <w:rsid w:val="006E2064"/>
    <w:rsid w:val="006E25BF"/>
    <w:rsid w:val="006E2629"/>
    <w:rsid w:val="006E300A"/>
    <w:rsid w:val="006E313E"/>
    <w:rsid w:val="006E384D"/>
    <w:rsid w:val="006E434F"/>
    <w:rsid w:val="006E4BD0"/>
    <w:rsid w:val="006E5F7A"/>
    <w:rsid w:val="006E616C"/>
    <w:rsid w:val="006E6A69"/>
    <w:rsid w:val="006E70A1"/>
    <w:rsid w:val="006E7F45"/>
    <w:rsid w:val="006F0549"/>
    <w:rsid w:val="006F0C96"/>
    <w:rsid w:val="006F0D19"/>
    <w:rsid w:val="006F156D"/>
    <w:rsid w:val="006F23FD"/>
    <w:rsid w:val="006F2E8D"/>
    <w:rsid w:val="006F43D8"/>
    <w:rsid w:val="006F484A"/>
    <w:rsid w:val="006F4A17"/>
    <w:rsid w:val="006F4CB3"/>
    <w:rsid w:val="006F5E15"/>
    <w:rsid w:val="006F67C9"/>
    <w:rsid w:val="006F685F"/>
    <w:rsid w:val="006F69E5"/>
    <w:rsid w:val="00701A36"/>
    <w:rsid w:val="00703226"/>
    <w:rsid w:val="0070384E"/>
    <w:rsid w:val="0070402E"/>
    <w:rsid w:val="007043B9"/>
    <w:rsid w:val="00704566"/>
    <w:rsid w:val="0070476D"/>
    <w:rsid w:val="00704F5A"/>
    <w:rsid w:val="0070581D"/>
    <w:rsid w:val="00705ED2"/>
    <w:rsid w:val="00706ADE"/>
    <w:rsid w:val="00706C90"/>
    <w:rsid w:val="00706DEB"/>
    <w:rsid w:val="0070749E"/>
    <w:rsid w:val="00707FAD"/>
    <w:rsid w:val="0071037E"/>
    <w:rsid w:val="0071087E"/>
    <w:rsid w:val="00710B89"/>
    <w:rsid w:val="00711916"/>
    <w:rsid w:val="00712F84"/>
    <w:rsid w:val="00717191"/>
    <w:rsid w:val="0071761C"/>
    <w:rsid w:val="007209DE"/>
    <w:rsid w:val="00720E42"/>
    <w:rsid w:val="007212A7"/>
    <w:rsid w:val="0072378B"/>
    <w:rsid w:val="007250EB"/>
    <w:rsid w:val="00725D38"/>
    <w:rsid w:val="0072654B"/>
    <w:rsid w:val="00726B20"/>
    <w:rsid w:val="007270C5"/>
    <w:rsid w:val="007273F6"/>
    <w:rsid w:val="0073030F"/>
    <w:rsid w:val="007322BE"/>
    <w:rsid w:val="00732402"/>
    <w:rsid w:val="007329FF"/>
    <w:rsid w:val="007348A4"/>
    <w:rsid w:val="00734CAC"/>
    <w:rsid w:val="00734E3C"/>
    <w:rsid w:val="00734F91"/>
    <w:rsid w:val="007352AA"/>
    <w:rsid w:val="00735585"/>
    <w:rsid w:val="0073583F"/>
    <w:rsid w:val="0073612D"/>
    <w:rsid w:val="007363C0"/>
    <w:rsid w:val="00736EB1"/>
    <w:rsid w:val="007371FA"/>
    <w:rsid w:val="0073751F"/>
    <w:rsid w:val="00741403"/>
    <w:rsid w:val="007446B7"/>
    <w:rsid w:val="0074484A"/>
    <w:rsid w:val="007453FA"/>
    <w:rsid w:val="0074604B"/>
    <w:rsid w:val="00746C28"/>
    <w:rsid w:val="00747941"/>
    <w:rsid w:val="0075020B"/>
    <w:rsid w:val="00751522"/>
    <w:rsid w:val="007526C2"/>
    <w:rsid w:val="0075270A"/>
    <w:rsid w:val="0075386B"/>
    <w:rsid w:val="00753AA4"/>
    <w:rsid w:val="00754765"/>
    <w:rsid w:val="00755022"/>
    <w:rsid w:val="00755541"/>
    <w:rsid w:val="007559C2"/>
    <w:rsid w:val="007568CF"/>
    <w:rsid w:val="0075769D"/>
    <w:rsid w:val="007610A3"/>
    <w:rsid w:val="0076211D"/>
    <w:rsid w:val="007629D9"/>
    <w:rsid w:val="00762E43"/>
    <w:rsid w:val="00762E59"/>
    <w:rsid w:val="00763DAE"/>
    <w:rsid w:val="00766A6A"/>
    <w:rsid w:val="00766F71"/>
    <w:rsid w:val="00767565"/>
    <w:rsid w:val="0077065B"/>
    <w:rsid w:val="00770B35"/>
    <w:rsid w:val="00771DE5"/>
    <w:rsid w:val="007738A0"/>
    <w:rsid w:val="00773F31"/>
    <w:rsid w:val="00774070"/>
    <w:rsid w:val="00777B6E"/>
    <w:rsid w:val="00780957"/>
    <w:rsid w:val="00780A43"/>
    <w:rsid w:val="00780FC6"/>
    <w:rsid w:val="0078104B"/>
    <w:rsid w:val="00781822"/>
    <w:rsid w:val="00781908"/>
    <w:rsid w:val="00781A3B"/>
    <w:rsid w:val="00781AF3"/>
    <w:rsid w:val="00782B20"/>
    <w:rsid w:val="007840D3"/>
    <w:rsid w:val="0078476C"/>
    <w:rsid w:val="00785409"/>
    <w:rsid w:val="0078554C"/>
    <w:rsid w:val="00785976"/>
    <w:rsid w:val="00785B11"/>
    <w:rsid w:val="00786E22"/>
    <w:rsid w:val="00787936"/>
    <w:rsid w:val="0079036E"/>
    <w:rsid w:val="00790BD8"/>
    <w:rsid w:val="00791CA0"/>
    <w:rsid w:val="00792E82"/>
    <w:rsid w:val="00794879"/>
    <w:rsid w:val="007978F7"/>
    <w:rsid w:val="00797A62"/>
    <w:rsid w:val="007A02B2"/>
    <w:rsid w:val="007A031C"/>
    <w:rsid w:val="007A0A19"/>
    <w:rsid w:val="007A119E"/>
    <w:rsid w:val="007A14E1"/>
    <w:rsid w:val="007A238A"/>
    <w:rsid w:val="007A29BB"/>
    <w:rsid w:val="007A31E8"/>
    <w:rsid w:val="007A3433"/>
    <w:rsid w:val="007A365C"/>
    <w:rsid w:val="007A3DFC"/>
    <w:rsid w:val="007A44F8"/>
    <w:rsid w:val="007A4DC1"/>
    <w:rsid w:val="007A5420"/>
    <w:rsid w:val="007A5CA2"/>
    <w:rsid w:val="007A76BF"/>
    <w:rsid w:val="007B05A0"/>
    <w:rsid w:val="007B1274"/>
    <w:rsid w:val="007B1F5F"/>
    <w:rsid w:val="007B2815"/>
    <w:rsid w:val="007B2F64"/>
    <w:rsid w:val="007B33A6"/>
    <w:rsid w:val="007B3B1B"/>
    <w:rsid w:val="007B4537"/>
    <w:rsid w:val="007B57B4"/>
    <w:rsid w:val="007B5EEF"/>
    <w:rsid w:val="007B633F"/>
    <w:rsid w:val="007B6A4B"/>
    <w:rsid w:val="007B6EA5"/>
    <w:rsid w:val="007B6EF8"/>
    <w:rsid w:val="007B7145"/>
    <w:rsid w:val="007B7277"/>
    <w:rsid w:val="007B7829"/>
    <w:rsid w:val="007B7D1A"/>
    <w:rsid w:val="007C0205"/>
    <w:rsid w:val="007C12B1"/>
    <w:rsid w:val="007C2076"/>
    <w:rsid w:val="007C2E79"/>
    <w:rsid w:val="007C4241"/>
    <w:rsid w:val="007C4766"/>
    <w:rsid w:val="007C47DE"/>
    <w:rsid w:val="007C4858"/>
    <w:rsid w:val="007C5972"/>
    <w:rsid w:val="007C6BC1"/>
    <w:rsid w:val="007C738E"/>
    <w:rsid w:val="007C7D59"/>
    <w:rsid w:val="007C7DC6"/>
    <w:rsid w:val="007D1367"/>
    <w:rsid w:val="007D17AA"/>
    <w:rsid w:val="007D1884"/>
    <w:rsid w:val="007D1C09"/>
    <w:rsid w:val="007D277C"/>
    <w:rsid w:val="007D2C28"/>
    <w:rsid w:val="007D343C"/>
    <w:rsid w:val="007D4713"/>
    <w:rsid w:val="007D6D42"/>
    <w:rsid w:val="007D78AE"/>
    <w:rsid w:val="007D7A40"/>
    <w:rsid w:val="007E280B"/>
    <w:rsid w:val="007E3716"/>
    <w:rsid w:val="007E3BF9"/>
    <w:rsid w:val="007E4486"/>
    <w:rsid w:val="007E48AC"/>
    <w:rsid w:val="007E4B9A"/>
    <w:rsid w:val="007E56B1"/>
    <w:rsid w:val="007E6A00"/>
    <w:rsid w:val="007E6DC2"/>
    <w:rsid w:val="007E74CD"/>
    <w:rsid w:val="007E7A93"/>
    <w:rsid w:val="007E7EA1"/>
    <w:rsid w:val="007F15EB"/>
    <w:rsid w:val="007F1D53"/>
    <w:rsid w:val="007F3033"/>
    <w:rsid w:val="007F320F"/>
    <w:rsid w:val="007F4064"/>
    <w:rsid w:val="007F458A"/>
    <w:rsid w:val="007F4893"/>
    <w:rsid w:val="007F4EA3"/>
    <w:rsid w:val="007F528C"/>
    <w:rsid w:val="007F55B6"/>
    <w:rsid w:val="007F5E4E"/>
    <w:rsid w:val="00800D3C"/>
    <w:rsid w:val="0080228A"/>
    <w:rsid w:val="00804EB4"/>
    <w:rsid w:val="00805DF5"/>
    <w:rsid w:val="0080609C"/>
    <w:rsid w:val="00807646"/>
    <w:rsid w:val="00813670"/>
    <w:rsid w:val="00813FD3"/>
    <w:rsid w:val="008158D2"/>
    <w:rsid w:val="008233DD"/>
    <w:rsid w:val="0082341C"/>
    <w:rsid w:val="00824001"/>
    <w:rsid w:val="00824034"/>
    <w:rsid w:val="00824B1F"/>
    <w:rsid w:val="00824E7B"/>
    <w:rsid w:val="00825ABE"/>
    <w:rsid w:val="00825F2D"/>
    <w:rsid w:val="00826702"/>
    <w:rsid w:val="008275F3"/>
    <w:rsid w:val="00830136"/>
    <w:rsid w:val="00830BFF"/>
    <w:rsid w:val="00831AF0"/>
    <w:rsid w:val="00831AF6"/>
    <w:rsid w:val="00832798"/>
    <w:rsid w:val="00832A73"/>
    <w:rsid w:val="00832B3B"/>
    <w:rsid w:val="008333B3"/>
    <w:rsid w:val="00833E30"/>
    <w:rsid w:val="00833EA3"/>
    <w:rsid w:val="00834CE6"/>
    <w:rsid w:val="00835677"/>
    <w:rsid w:val="008356D4"/>
    <w:rsid w:val="00837BF0"/>
    <w:rsid w:val="00841120"/>
    <w:rsid w:val="00842662"/>
    <w:rsid w:val="00842AAE"/>
    <w:rsid w:val="008444DC"/>
    <w:rsid w:val="00844742"/>
    <w:rsid w:val="008457CB"/>
    <w:rsid w:val="00846CE2"/>
    <w:rsid w:val="0085174C"/>
    <w:rsid w:val="0085190D"/>
    <w:rsid w:val="00851991"/>
    <w:rsid w:val="00851EB8"/>
    <w:rsid w:val="008522AC"/>
    <w:rsid w:val="00853547"/>
    <w:rsid w:val="0085416C"/>
    <w:rsid w:val="00854445"/>
    <w:rsid w:val="00854702"/>
    <w:rsid w:val="0085694B"/>
    <w:rsid w:val="00856E27"/>
    <w:rsid w:val="0085705D"/>
    <w:rsid w:val="0085764B"/>
    <w:rsid w:val="00860BD7"/>
    <w:rsid w:val="008612AD"/>
    <w:rsid w:val="008617E4"/>
    <w:rsid w:val="00861BBA"/>
    <w:rsid w:val="00861CB1"/>
    <w:rsid w:val="008622E9"/>
    <w:rsid w:val="0086260B"/>
    <w:rsid w:val="00862D5C"/>
    <w:rsid w:val="00862E8A"/>
    <w:rsid w:val="00863343"/>
    <w:rsid w:val="00863782"/>
    <w:rsid w:val="00863A25"/>
    <w:rsid w:val="00864260"/>
    <w:rsid w:val="008648F3"/>
    <w:rsid w:val="0086491C"/>
    <w:rsid w:val="008658F1"/>
    <w:rsid w:val="00865A96"/>
    <w:rsid w:val="00865D53"/>
    <w:rsid w:val="008664FD"/>
    <w:rsid w:val="00866512"/>
    <w:rsid w:val="008678BF"/>
    <w:rsid w:val="008711E2"/>
    <w:rsid w:val="00871E43"/>
    <w:rsid w:val="0087312C"/>
    <w:rsid w:val="0087328A"/>
    <w:rsid w:val="00873F3A"/>
    <w:rsid w:val="00873F73"/>
    <w:rsid w:val="008741B8"/>
    <w:rsid w:val="008741F2"/>
    <w:rsid w:val="00874CB0"/>
    <w:rsid w:val="008750E6"/>
    <w:rsid w:val="008758DF"/>
    <w:rsid w:val="0087651F"/>
    <w:rsid w:val="008766DD"/>
    <w:rsid w:val="00876A20"/>
    <w:rsid w:val="00876CBE"/>
    <w:rsid w:val="00876D43"/>
    <w:rsid w:val="00877D93"/>
    <w:rsid w:val="0088085F"/>
    <w:rsid w:val="00882115"/>
    <w:rsid w:val="00883800"/>
    <w:rsid w:val="00883BDA"/>
    <w:rsid w:val="008844B8"/>
    <w:rsid w:val="00884D65"/>
    <w:rsid w:val="00884E0C"/>
    <w:rsid w:val="0088548A"/>
    <w:rsid w:val="00885A05"/>
    <w:rsid w:val="00885D41"/>
    <w:rsid w:val="008866AF"/>
    <w:rsid w:val="00887127"/>
    <w:rsid w:val="0089152C"/>
    <w:rsid w:val="00893B1E"/>
    <w:rsid w:val="00893C1D"/>
    <w:rsid w:val="008943A0"/>
    <w:rsid w:val="00895372"/>
    <w:rsid w:val="0089583E"/>
    <w:rsid w:val="008965CD"/>
    <w:rsid w:val="0089768F"/>
    <w:rsid w:val="00897A36"/>
    <w:rsid w:val="008A040A"/>
    <w:rsid w:val="008A05F7"/>
    <w:rsid w:val="008A06D9"/>
    <w:rsid w:val="008A0C06"/>
    <w:rsid w:val="008A2E11"/>
    <w:rsid w:val="008A4102"/>
    <w:rsid w:val="008A52F8"/>
    <w:rsid w:val="008A73CB"/>
    <w:rsid w:val="008A7BD4"/>
    <w:rsid w:val="008B1209"/>
    <w:rsid w:val="008B1387"/>
    <w:rsid w:val="008B1913"/>
    <w:rsid w:val="008B29DF"/>
    <w:rsid w:val="008B3444"/>
    <w:rsid w:val="008B413F"/>
    <w:rsid w:val="008B4BEF"/>
    <w:rsid w:val="008B4DB8"/>
    <w:rsid w:val="008B5772"/>
    <w:rsid w:val="008B60DC"/>
    <w:rsid w:val="008B64FD"/>
    <w:rsid w:val="008B73CC"/>
    <w:rsid w:val="008B7C00"/>
    <w:rsid w:val="008B7D8F"/>
    <w:rsid w:val="008B7E7D"/>
    <w:rsid w:val="008C14E1"/>
    <w:rsid w:val="008C1E2D"/>
    <w:rsid w:val="008C37AE"/>
    <w:rsid w:val="008C3945"/>
    <w:rsid w:val="008C3C57"/>
    <w:rsid w:val="008C4C0A"/>
    <w:rsid w:val="008C51AC"/>
    <w:rsid w:val="008C5449"/>
    <w:rsid w:val="008C6056"/>
    <w:rsid w:val="008C69C8"/>
    <w:rsid w:val="008D03F4"/>
    <w:rsid w:val="008D2326"/>
    <w:rsid w:val="008D2808"/>
    <w:rsid w:val="008D37C9"/>
    <w:rsid w:val="008D3F6E"/>
    <w:rsid w:val="008D44F2"/>
    <w:rsid w:val="008D4BE3"/>
    <w:rsid w:val="008D4C00"/>
    <w:rsid w:val="008D5F33"/>
    <w:rsid w:val="008D738A"/>
    <w:rsid w:val="008D74DE"/>
    <w:rsid w:val="008D7AD1"/>
    <w:rsid w:val="008E0C68"/>
    <w:rsid w:val="008E1884"/>
    <w:rsid w:val="008E1A3B"/>
    <w:rsid w:val="008E1BC2"/>
    <w:rsid w:val="008E1DC5"/>
    <w:rsid w:val="008E3072"/>
    <w:rsid w:val="008E3567"/>
    <w:rsid w:val="008E3747"/>
    <w:rsid w:val="008E393D"/>
    <w:rsid w:val="008E445A"/>
    <w:rsid w:val="008E45AA"/>
    <w:rsid w:val="008E4623"/>
    <w:rsid w:val="008E47D0"/>
    <w:rsid w:val="008E61B7"/>
    <w:rsid w:val="008E7370"/>
    <w:rsid w:val="008F1889"/>
    <w:rsid w:val="008F44B9"/>
    <w:rsid w:val="008F596A"/>
    <w:rsid w:val="008F6132"/>
    <w:rsid w:val="008F6D1B"/>
    <w:rsid w:val="008F7332"/>
    <w:rsid w:val="009001BC"/>
    <w:rsid w:val="00900DE4"/>
    <w:rsid w:val="009011BD"/>
    <w:rsid w:val="00901E74"/>
    <w:rsid w:val="009026A9"/>
    <w:rsid w:val="00903108"/>
    <w:rsid w:val="0090365D"/>
    <w:rsid w:val="009038F3"/>
    <w:rsid w:val="00904BF5"/>
    <w:rsid w:val="00905997"/>
    <w:rsid w:val="00905AED"/>
    <w:rsid w:val="00906D8E"/>
    <w:rsid w:val="00906E2F"/>
    <w:rsid w:val="009105B7"/>
    <w:rsid w:val="009113B6"/>
    <w:rsid w:val="00911B61"/>
    <w:rsid w:val="0091216B"/>
    <w:rsid w:val="00912693"/>
    <w:rsid w:val="00912AAB"/>
    <w:rsid w:val="00912C7D"/>
    <w:rsid w:val="00913065"/>
    <w:rsid w:val="00913C73"/>
    <w:rsid w:val="0091416B"/>
    <w:rsid w:val="00915DEE"/>
    <w:rsid w:val="0091656F"/>
    <w:rsid w:val="00917AB8"/>
    <w:rsid w:val="00921F7D"/>
    <w:rsid w:val="00922279"/>
    <w:rsid w:val="00922D64"/>
    <w:rsid w:val="00924072"/>
    <w:rsid w:val="0092486D"/>
    <w:rsid w:val="00925BD1"/>
    <w:rsid w:val="00926806"/>
    <w:rsid w:val="00926995"/>
    <w:rsid w:val="009309DD"/>
    <w:rsid w:val="00931177"/>
    <w:rsid w:val="0093197D"/>
    <w:rsid w:val="00931BD1"/>
    <w:rsid w:val="0093265D"/>
    <w:rsid w:val="00932CFA"/>
    <w:rsid w:val="00933614"/>
    <w:rsid w:val="00934621"/>
    <w:rsid w:val="009347E5"/>
    <w:rsid w:val="00934B9F"/>
    <w:rsid w:val="00934FFF"/>
    <w:rsid w:val="00935385"/>
    <w:rsid w:val="00935AF7"/>
    <w:rsid w:val="009360BE"/>
    <w:rsid w:val="0093649C"/>
    <w:rsid w:val="00937378"/>
    <w:rsid w:val="00937564"/>
    <w:rsid w:val="009375E4"/>
    <w:rsid w:val="00940574"/>
    <w:rsid w:val="009420F3"/>
    <w:rsid w:val="00942635"/>
    <w:rsid w:val="009426F3"/>
    <w:rsid w:val="0094272D"/>
    <w:rsid w:val="009432FC"/>
    <w:rsid w:val="0094342E"/>
    <w:rsid w:val="00943BE0"/>
    <w:rsid w:val="009441AF"/>
    <w:rsid w:val="009445CA"/>
    <w:rsid w:val="00944E7C"/>
    <w:rsid w:val="009453C3"/>
    <w:rsid w:val="009460B7"/>
    <w:rsid w:val="0094623E"/>
    <w:rsid w:val="0094674F"/>
    <w:rsid w:val="00947799"/>
    <w:rsid w:val="00947E1B"/>
    <w:rsid w:val="0095131E"/>
    <w:rsid w:val="00951B5C"/>
    <w:rsid w:val="00951F05"/>
    <w:rsid w:val="00952E95"/>
    <w:rsid w:val="00954550"/>
    <w:rsid w:val="009545F1"/>
    <w:rsid w:val="00954691"/>
    <w:rsid w:val="0095492D"/>
    <w:rsid w:val="00955714"/>
    <w:rsid w:val="00955F00"/>
    <w:rsid w:val="00956BE8"/>
    <w:rsid w:val="00957347"/>
    <w:rsid w:val="009574AC"/>
    <w:rsid w:val="009576BA"/>
    <w:rsid w:val="00957F3D"/>
    <w:rsid w:val="00961708"/>
    <w:rsid w:val="00961795"/>
    <w:rsid w:val="00962325"/>
    <w:rsid w:val="009624EB"/>
    <w:rsid w:val="009636D7"/>
    <w:rsid w:val="0096370E"/>
    <w:rsid w:val="00963C78"/>
    <w:rsid w:val="00964917"/>
    <w:rsid w:val="00965361"/>
    <w:rsid w:val="009654F4"/>
    <w:rsid w:val="00965528"/>
    <w:rsid w:val="009657BF"/>
    <w:rsid w:val="00965B99"/>
    <w:rsid w:val="009662B3"/>
    <w:rsid w:val="00966B54"/>
    <w:rsid w:val="009670A6"/>
    <w:rsid w:val="0096737C"/>
    <w:rsid w:val="00967663"/>
    <w:rsid w:val="00967B0F"/>
    <w:rsid w:val="00967B8F"/>
    <w:rsid w:val="009702E4"/>
    <w:rsid w:val="00970503"/>
    <w:rsid w:val="00970AEB"/>
    <w:rsid w:val="00972057"/>
    <w:rsid w:val="009728ED"/>
    <w:rsid w:val="00973384"/>
    <w:rsid w:val="00974A22"/>
    <w:rsid w:val="00974ED0"/>
    <w:rsid w:val="009764FF"/>
    <w:rsid w:val="0097669E"/>
    <w:rsid w:val="0097695B"/>
    <w:rsid w:val="00976DC4"/>
    <w:rsid w:val="0097787B"/>
    <w:rsid w:val="00977CEB"/>
    <w:rsid w:val="00980994"/>
    <w:rsid w:val="00980D62"/>
    <w:rsid w:val="00980EA2"/>
    <w:rsid w:val="009818FA"/>
    <w:rsid w:val="00981CF1"/>
    <w:rsid w:val="009820AB"/>
    <w:rsid w:val="00983A6D"/>
    <w:rsid w:val="009841FD"/>
    <w:rsid w:val="00984B48"/>
    <w:rsid w:val="0098536C"/>
    <w:rsid w:val="0098544B"/>
    <w:rsid w:val="00985B66"/>
    <w:rsid w:val="0098681F"/>
    <w:rsid w:val="0098712A"/>
    <w:rsid w:val="00987D13"/>
    <w:rsid w:val="00990E4B"/>
    <w:rsid w:val="00992653"/>
    <w:rsid w:val="00992AD0"/>
    <w:rsid w:val="00993B59"/>
    <w:rsid w:val="00993DA1"/>
    <w:rsid w:val="0099401E"/>
    <w:rsid w:val="009955F3"/>
    <w:rsid w:val="00996EBB"/>
    <w:rsid w:val="009A088E"/>
    <w:rsid w:val="009A3566"/>
    <w:rsid w:val="009A4550"/>
    <w:rsid w:val="009A4AE1"/>
    <w:rsid w:val="009A4C9C"/>
    <w:rsid w:val="009A4EF0"/>
    <w:rsid w:val="009A622E"/>
    <w:rsid w:val="009A6272"/>
    <w:rsid w:val="009A684C"/>
    <w:rsid w:val="009A7896"/>
    <w:rsid w:val="009B0572"/>
    <w:rsid w:val="009B1450"/>
    <w:rsid w:val="009B2490"/>
    <w:rsid w:val="009B34BD"/>
    <w:rsid w:val="009B3BAD"/>
    <w:rsid w:val="009B3DF2"/>
    <w:rsid w:val="009B4064"/>
    <w:rsid w:val="009B486E"/>
    <w:rsid w:val="009B4A1F"/>
    <w:rsid w:val="009B508C"/>
    <w:rsid w:val="009B6727"/>
    <w:rsid w:val="009B72A4"/>
    <w:rsid w:val="009B764D"/>
    <w:rsid w:val="009B7A1D"/>
    <w:rsid w:val="009B7D07"/>
    <w:rsid w:val="009C09C6"/>
    <w:rsid w:val="009C1117"/>
    <w:rsid w:val="009C12DB"/>
    <w:rsid w:val="009C175C"/>
    <w:rsid w:val="009C24C7"/>
    <w:rsid w:val="009C3D6C"/>
    <w:rsid w:val="009C5972"/>
    <w:rsid w:val="009C5A11"/>
    <w:rsid w:val="009C5AA7"/>
    <w:rsid w:val="009C6A13"/>
    <w:rsid w:val="009D0029"/>
    <w:rsid w:val="009D0FF9"/>
    <w:rsid w:val="009D110F"/>
    <w:rsid w:val="009D1B16"/>
    <w:rsid w:val="009D2EE6"/>
    <w:rsid w:val="009D3BB9"/>
    <w:rsid w:val="009D3F33"/>
    <w:rsid w:val="009D470B"/>
    <w:rsid w:val="009D52B3"/>
    <w:rsid w:val="009E00BF"/>
    <w:rsid w:val="009E014C"/>
    <w:rsid w:val="009E0B38"/>
    <w:rsid w:val="009E183F"/>
    <w:rsid w:val="009E2471"/>
    <w:rsid w:val="009E4B50"/>
    <w:rsid w:val="009E526F"/>
    <w:rsid w:val="009E56EA"/>
    <w:rsid w:val="009E6343"/>
    <w:rsid w:val="009E63EA"/>
    <w:rsid w:val="009E79D4"/>
    <w:rsid w:val="009F03AB"/>
    <w:rsid w:val="009F03D5"/>
    <w:rsid w:val="009F0693"/>
    <w:rsid w:val="009F0E10"/>
    <w:rsid w:val="009F10CB"/>
    <w:rsid w:val="009F2149"/>
    <w:rsid w:val="009F4B01"/>
    <w:rsid w:val="009F562B"/>
    <w:rsid w:val="009F5EDB"/>
    <w:rsid w:val="009F626D"/>
    <w:rsid w:val="009F7891"/>
    <w:rsid w:val="00A0202C"/>
    <w:rsid w:val="00A022B3"/>
    <w:rsid w:val="00A02D80"/>
    <w:rsid w:val="00A0304B"/>
    <w:rsid w:val="00A037B3"/>
    <w:rsid w:val="00A039A4"/>
    <w:rsid w:val="00A04069"/>
    <w:rsid w:val="00A04085"/>
    <w:rsid w:val="00A04BE2"/>
    <w:rsid w:val="00A04DB5"/>
    <w:rsid w:val="00A05087"/>
    <w:rsid w:val="00A051F0"/>
    <w:rsid w:val="00A0655F"/>
    <w:rsid w:val="00A1017D"/>
    <w:rsid w:val="00A11673"/>
    <w:rsid w:val="00A12591"/>
    <w:rsid w:val="00A15208"/>
    <w:rsid w:val="00A1562E"/>
    <w:rsid w:val="00A15A90"/>
    <w:rsid w:val="00A16322"/>
    <w:rsid w:val="00A20338"/>
    <w:rsid w:val="00A213CB"/>
    <w:rsid w:val="00A21538"/>
    <w:rsid w:val="00A21AC0"/>
    <w:rsid w:val="00A22240"/>
    <w:rsid w:val="00A24048"/>
    <w:rsid w:val="00A24330"/>
    <w:rsid w:val="00A25000"/>
    <w:rsid w:val="00A25269"/>
    <w:rsid w:val="00A3052E"/>
    <w:rsid w:val="00A3195B"/>
    <w:rsid w:val="00A31FB8"/>
    <w:rsid w:val="00A326A4"/>
    <w:rsid w:val="00A3380F"/>
    <w:rsid w:val="00A34C16"/>
    <w:rsid w:val="00A35139"/>
    <w:rsid w:val="00A355EC"/>
    <w:rsid w:val="00A35C26"/>
    <w:rsid w:val="00A36041"/>
    <w:rsid w:val="00A3687B"/>
    <w:rsid w:val="00A36E56"/>
    <w:rsid w:val="00A36EF7"/>
    <w:rsid w:val="00A404C7"/>
    <w:rsid w:val="00A420F2"/>
    <w:rsid w:val="00A4308A"/>
    <w:rsid w:val="00A4358D"/>
    <w:rsid w:val="00A436B6"/>
    <w:rsid w:val="00A445D5"/>
    <w:rsid w:val="00A446EB"/>
    <w:rsid w:val="00A44C6B"/>
    <w:rsid w:val="00A453AD"/>
    <w:rsid w:val="00A45834"/>
    <w:rsid w:val="00A45BD7"/>
    <w:rsid w:val="00A46625"/>
    <w:rsid w:val="00A5096D"/>
    <w:rsid w:val="00A53338"/>
    <w:rsid w:val="00A54074"/>
    <w:rsid w:val="00A5431B"/>
    <w:rsid w:val="00A54A9C"/>
    <w:rsid w:val="00A54B10"/>
    <w:rsid w:val="00A572F3"/>
    <w:rsid w:val="00A607C0"/>
    <w:rsid w:val="00A614E8"/>
    <w:rsid w:val="00A618A4"/>
    <w:rsid w:val="00A63129"/>
    <w:rsid w:val="00A6390C"/>
    <w:rsid w:val="00A64ED6"/>
    <w:rsid w:val="00A66BCF"/>
    <w:rsid w:val="00A674CE"/>
    <w:rsid w:val="00A67A5B"/>
    <w:rsid w:val="00A67D76"/>
    <w:rsid w:val="00A70A98"/>
    <w:rsid w:val="00A71B1F"/>
    <w:rsid w:val="00A72406"/>
    <w:rsid w:val="00A728B5"/>
    <w:rsid w:val="00A72B4A"/>
    <w:rsid w:val="00A73033"/>
    <w:rsid w:val="00A732C9"/>
    <w:rsid w:val="00A7359A"/>
    <w:rsid w:val="00A73B4B"/>
    <w:rsid w:val="00A73FF3"/>
    <w:rsid w:val="00A759C9"/>
    <w:rsid w:val="00A75A80"/>
    <w:rsid w:val="00A76892"/>
    <w:rsid w:val="00A76D9C"/>
    <w:rsid w:val="00A76DCB"/>
    <w:rsid w:val="00A80AED"/>
    <w:rsid w:val="00A80B90"/>
    <w:rsid w:val="00A80D85"/>
    <w:rsid w:val="00A81916"/>
    <w:rsid w:val="00A83F69"/>
    <w:rsid w:val="00A83F97"/>
    <w:rsid w:val="00A84D27"/>
    <w:rsid w:val="00A860BE"/>
    <w:rsid w:val="00A861A7"/>
    <w:rsid w:val="00A868D9"/>
    <w:rsid w:val="00A86AA1"/>
    <w:rsid w:val="00A870EC"/>
    <w:rsid w:val="00A9041C"/>
    <w:rsid w:val="00A90F03"/>
    <w:rsid w:val="00A917B0"/>
    <w:rsid w:val="00A91CCF"/>
    <w:rsid w:val="00A92844"/>
    <w:rsid w:val="00A929A0"/>
    <w:rsid w:val="00A92D01"/>
    <w:rsid w:val="00A93093"/>
    <w:rsid w:val="00A9380C"/>
    <w:rsid w:val="00A93CC2"/>
    <w:rsid w:val="00A943A0"/>
    <w:rsid w:val="00A94D63"/>
    <w:rsid w:val="00A969F5"/>
    <w:rsid w:val="00A96A0C"/>
    <w:rsid w:val="00A97017"/>
    <w:rsid w:val="00A97567"/>
    <w:rsid w:val="00A9773E"/>
    <w:rsid w:val="00AA0516"/>
    <w:rsid w:val="00AA1143"/>
    <w:rsid w:val="00AA130A"/>
    <w:rsid w:val="00AA1718"/>
    <w:rsid w:val="00AA1810"/>
    <w:rsid w:val="00AA1904"/>
    <w:rsid w:val="00AA23A1"/>
    <w:rsid w:val="00AA3628"/>
    <w:rsid w:val="00AA4151"/>
    <w:rsid w:val="00AA45B8"/>
    <w:rsid w:val="00AA478D"/>
    <w:rsid w:val="00AA50DC"/>
    <w:rsid w:val="00AA5DEE"/>
    <w:rsid w:val="00AA6311"/>
    <w:rsid w:val="00AA65CD"/>
    <w:rsid w:val="00AA6751"/>
    <w:rsid w:val="00AA685B"/>
    <w:rsid w:val="00AA6CB5"/>
    <w:rsid w:val="00AA78D3"/>
    <w:rsid w:val="00AA7D61"/>
    <w:rsid w:val="00AA7FB7"/>
    <w:rsid w:val="00AB099A"/>
    <w:rsid w:val="00AB17F7"/>
    <w:rsid w:val="00AB24B3"/>
    <w:rsid w:val="00AB3047"/>
    <w:rsid w:val="00AB37DA"/>
    <w:rsid w:val="00AB44E9"/>
    <w:rsid w:val="00AB5703"/>
    <w:rsid w:val="00AB6933"/>
    <w:rsid w:val="00AB75B4"/>
    <w:rsid w:val="00AB7FE9"/>
    <w:rsid w:val="00AC1A1D"/>
    <w:rsid w:val="00AC2C36"/>
    <w:rsid w:val="00AC359A"/>
    <w:rsid w:val="00AC37FB"/>
    <w:rsid w:val="00AC4532"/>
    <w:rsid w:val="00AC4961"/>
    <w:rsid w:val="00AC4FFD"/>
    <w:rsid w:val="00AC510D"/>
    <w:rsid w:val="00AC5ADB"/>
    <w:rsid w:val="00AC5D7A"/>
    <w:rsid w:val="00AC5E1B"/>
    <w:rsid w:val="00AC6E1B"/>
    <w:rsid w:val="00AC6E4B"/>
    <w:rsid w:val="00AC6F61"/>
    <w:rsid w:val="00AC7644"/>
    <w:rsid w:val="00AC77A4"/>
    <w:rsid w:val="00AD08A8"/>
    <w:rsid w:val="00AD0C47"/>
    <w:rsid w:val="00AD1229"/>
    <w:rsid w:val="00AD17A1"/>
    <w:rsid w:val="00AD1B89"/>
    <w:rsid w:val="00AD2AAC"/>
    <w:rsid w:val="00AD2DA8"/>
    <w:rsid w:val="00AD3215"/>
    <w:rsid w:val="00AD3B8D"/>
    <w:rsid w:val="00AD3CD5"/>
    <w:rsid w:val="00AD7DC8"/>
    <w:rsid w:val="00AE0189"/>
    <w:rsid w:val="00AE01A3"/>
    <w:rsid w:val="00AE0921"/>
    <w:rsid w:val="00AE1D7D"/>
    <w:rsid w:val="00AE22F7"/>
    <w:rsid w:val="00AE27A8"/>
    <w:rsid w:val="00AE39F3"/>
    <w:rsid w:val="00AE3B58"/>
    <w:rsid w:val="00AE3ED0"/>
    <w:rsid w:val="00AE40CF"/>
    <w:rsid w:val="00AE4BAD"/>
    <w:rsid w:val="00AE7368"/>
    <w:rsid w:val="00AF239D"/>
    <w:rsid w:val="00AF2A74"/>
    <w:rsid w:val="00AF384F"/>
    <w:rsid w:val="00AF3FC3"/>
    <w:rsid w:val="00AF432F"/>
    <w:rsid w:val="00AF4FBC"/>
    <w:rsid w:val="00B0109C"/>
    <w:rsid w:val="00B03554"/>
    <w:rsid w:val="00B03D90"/>
    <w:rsid w:val="00B03FFA"/>
    <w:rsid w:val="00B04294"/>
    <w:rsid w:val="00B05696"/>
    <w:rsid w:val="00B074F4"/>
    <w:rsid w:val="00B07AB7"/>
    <w:rsid w:val="00B07F6B"/>
    <w:rsid w:val="00B10A89"/>
    <w:rsid w:val="00B11F41"/>
    <w:rsid w:val="00B1323B"/>
    <w:rsid w:val="00B1451B"/>
    <w:rsid w:val="00B16120"/>
    <w:rsid w:val="00B16388"/>
    <w:rsid w:val="00B169E2"/>
    <w:rsid w:val="00B170D2"/>
    <w:rsid w:val="00B1770B"/>
    <w:rsid w:val="00B1791E"/>
    <w:rsid w:val="00B17D15"/>
    <w:rsid w:val="00B21E4C"/>
    <w:rsid w:val="00B23603"/>
    <w:rsid w:val="00B24367"/>
    <w:rsid w:val="00B24532"/>
    <w:rsid w:val="00B264AB"/>
    <w:rsid w:val="00B270B0"/>
    <w:rsid w:val="00B306D1"/>
    <w:rsid w:val="00B30786"/>
    <w:rsid w:val="00B30CEA"/>
    <w:rsid w:val="00B31159"/>
    <w:rsid w:val="00B31214"/>
    <w:rsid w:val="00B315C5"/>
    <w:rsid w:val="00B31FAE"/>
    <w:rsid w:val="00B322BF"/>
    <w:rsid w:val="00B33472"/>
    <w:rsid w:val="00B34156"/>
    <w:rsid w:val="00B3443F"/>
    <w:rsid w:val="00B344C9"/>
    <w:rsid w:val="00B345C0"/>
    <w:rsid w:val="00B3519B"/>
    <w:rsid w:val="00B3697A"/>
    <w:rsid w:val="00B37DB6"/>
    <w:rsid w:val="00B40C24"/>
    <w:rsid w:val="00B4183E"/>
    <w:rsid w:val="00B42146"/>
    <w:rsid w:val="00B4281E"/>
    <w:rsid w:val="00B42896"/>
    <w:rsid w:val="00B42BB5"/>
    <w:rsid w:val="00B435B6"/>
    <w:rsid w:val="00B43C2A"/>
    <w:rsid w:val="00B43FB5"/>
    <w:rsid w:val="00B45D01"/>
    <w:rsid w:val="00B46CD5"/>
    <w:rsid w:val="00B478A6"/>
    <w:rsid w:val="00B47909"/>
    <w:rsid w:val="00B501B6"/>
    <w:rsid w:val="00B51A0A"/>
    <w:rsid w:val="00B51D8D"/>
    <w:rsid w:val="00B52806"/>
    <w:rsid w:val="00B52869"/>
    <w:rsid w:val="00B52BE9"/>
    <w:rsid w:val="00B52E05"/>
    <w:rsid w:val="00B5380C"/>
    <w:rsid w:val="00B5472E"/>
    <w:rsid w:val="00B55410"/>
    <w:rsid w:val="00B575FA"/>
    <w:rsid w:val="00B617B9"/>
    <w:rsid w:val="00B61F7E"/>
    <w:rsid w:val="00B61FD5"/>
    <w:rsid w:val="00B62353"/>
    <w:rsid w:val="00B64CB9"/>
    <w:rsid w:val="00B6614C"/>
    <w:rsid w:val="00B66317"/>
    <w:rsid w:val="00B675BA"/>
    <w:rsid w:val="00B70DBC"/>
    <w:rsid w:val="00B71548"/>
    <w:rsid w:val="00B71FFF"/>
    <w:rsid w:val="00B72F57"/>
    <w:rsid w:val="00B73F24"/>
    <w:rsid w:val="00B803B1"/>
    <w:rsid w:val="00B81311"/>
    <w:rsid w:val="00B82127"/>
    <w:rsid w:val="00B83604"/>
    <w:rsid w:val="00B84479"/>
    <w:rsid w:val="00B84C89"/>
    <w:rsid w:val="00B84FBA"/>
    <w:rsid w:val="00B850FC"/>
    <w:rsid w:val="00B85BFE"/>
    <w:rsid w:val="00B87671"/>
    <w:rsid w:val="00B90EF8"/>
    <w:rsid w:val="00B9193C"/>
    <w:rsid w:val="00B91AF8"/>
    <w:rsid w:val="00B93A2E"/>
    <w:rsid w:val="00B9406C"/>
    <w:rsid w:val="00B9508C"/>
    <w:rsid w:val="00B95223"/>
    <w:rsid w:val="00B956B0"/>
    <w:rsid w:val="00B964F2"/>
    <w:rsid w:val="00B96573"/>
    <w:rsid w:val="00B9691C"/>
    <w:rsid w:val="00B97734"/>
    <w:rsid w:val="00B979EA"/>
    <w:rsid w:val="00BA087E"/>
    <w:rsid w:val="00BA1B51"/>
    <w:rsid w:val="00BA1F76"/>
    <w:rsid w:val="00BA40AB"/>
    <w:rsid w:val="00BA4CB0"/>
    <w:rsid w:val="00BA5434"/>
    <w:rsid w:val="00BA6928"/>
    <w:rsid w:val="00BA7CF3"/>
    <w:rsid w:val="00BB06B4"/>
    <w:rsid w:val="00BB0AAE"/>
    <w:rsid w:val="00BB0D14"/>
    <w:rsid w:val="00BB1213"/>
    <w:rsid w:val="00BB127D"/>
    <w:rsid w:val="00BB1A26"/>
    <w:rsid w:val="00BB2C2C"/>
    <w:rsid w:val="00BB2D93"/>
    <w:rsid w:val="00BB3436"/>
    <w:rsid w:val="00BB3804"/>
    <w:rsid w:val="00BB3B85"/>
    <w:rsid w:val="00BB584A"/>
    <w:rsid w:val="00BB5E67"/>
    <w:rsid w:val="00BC0298"/>
    <w:rsid w:val="00BC09FA"/>
    <w:rsid w:val="00BC10BD"/>
    <w:rsid w:val="00BC1A70"/>
    <w:rsid w:val="00BC2CB9"/>
    <w:rsid w:val="00BC31A1"/>
    <w:rsid w:val="00BC32A6"/>
    <w:rsid w:val="00BC340D"/>
    <w:rsid w:val="00BC3670"/>
    <w:rsid w:val="00BC36BA"/>
    <w:rsid w:val="00BC5017"/>
    <w:rsid w:val="00BC543F"/>
    <w:rsid w:val="00BC553A"/>
    <w:rsid w:val="00BC55BD"/>
    <w:rsid w:val="00BC5AFD"/>
    <w:rsid w:val="00BC5ED8"/>
    <w:rsid w:val="00BC5F02"/>
    <w:rsid w:val="00BC68DB"/>
    <w:rsid w:val="00BC7566"/>
    <w:rsid w:val="00BD071C"/>
    <w:rsid w:val="00BD0E5C"/>
    <w:rsid w:val="00BD1ACB"/>
    <w:rsid w:val="00BD22F2"/>
    <w:rsid w:val="00BD29DD"/>
    <w:rsid w:val="00BD3C1C"/>
    <w:rsid w:val="00BD4021"/>
    <w:rsid w:val="00BD42F0"/>
    <w:rsid w:val="00BD4387"/>
    <w:rsid w:val="00BD4B4B"/>
    <w:rsid w:val="00BD531F"/>
    <w:rsid w:val="00BD55BA"/>
    <w:rsid w:val="00BD6446"/>
    <w:rsid w:val="00BD6E53"/>
    <w:rsid w:val="00BD70D7"/>
    <w:rsid w:val="00BD7563"/>
    <w:rsid w:val="00BD7FBC"/>
    <w:rsid w:val="00BE0B4D"/>
    <w:rsid w:val="00BE13BA"/>
    <w:rsid w:val="00BE1DEC"/>
    <w:rsid w:val="00BE2ED4"/>
    <w:rsid w:val="00BE3E21"/>
    <w:rsid w:val="00BE48F7"/>
    <w:rsid w:val="00BE48F9"/>
    <w:rsid w:val="00BE4B57"/>
    <w:rsid w:val="00BE56C6"/>
    <w:rsid w:val="00BE58A5"/>
    <w:rsid w:val="00BE664E"/>
    <w:rsid w:val="00BE743A"/>
    <w:rsid w:val="00BF02BB"/>
    <w:rsid w:val="00BF247F"/>
    <w:rsid w:val="00BF2CA2"/>
    <w:rsid w:val="00BF3040"/>
    <w:rsid w:val="00BF3510"/>
    <w:rsid w:val="00BF55A6"/>
    <w:rsid w:val="00BF56BB"/>
    <w:rsid w:val="00BF60B2"/>
    <w:rsid w:val="00BF7137"/>
    <w:rsid w:val="00BF78C6"/>
    <w:rsid w:val="00BF7AAC"/>
    <w:rsid w:val="00BF7B85"/>
    <w:rsid w:val="00BF7EA3"/>
    <w:rsid w:val="00C00C77"/>
    <w:rsid w:val="00C0229D"/>
    <w:rsid w:val="00C03920"/>
    <w:rsid w:val="00C040C0"/>
    <w:rsid w:val="00C05349"/>
    <w:rsid w:val="00C05DD8"/>
    <w:rsid w:val="00C07193"/>
    <w:rsid w:val="00C072D4"/>
    <w:rsid w:val="00C07F57"/>
    <w:rsid w:val="00C122B4"/>
    <w:rsid w:val="00C126DF"/>
    <w:rsid w:val="00C12794"/>
    <w:rsid w:val="00C1285B"/>
    <w:rsid w:val="00C135A0"/>
    <w:rsid w:val="00C15443"/>
    <w:rsid w:val="00C155FC"/>
    <w:rsid w:val="00C15B65"/>
    <w:rsid w:val="00C15FF6"/>
    <w:rsid w:val="00C16E6D"/>
    <w:rsid w:val="00C1783A"/>
    <w:rsid w:val="00C20C9E"/>
    <w:rsid w:val="00C21AFA"/>
    <w:rsid w:val="00C221EB"/>
    <w:rsid w:val="00C2270D"/>
    <w:rsid w:val="00C22B2D"/>
    <w:rsid w:val="00C2348F"/>
    <w:rsid w:val="00C23937"/>
    <w:rsid w:val="00C23DA3"/>
    <w:rsid w:val="00C249E7"/>
    <w:rsid w:val="00C2528D"/>
    <w:rsid w:val="00C25516"/>
    <w:rsid w:val="00C269A3"/>
    <w:rsid w:val="00C271E5"/>
    <w:rsid w:val="00C273C4"/>
    <w:rsid w:val="00C274D0"/>
    <w:rsid w:val="00C2774D"/>
    <w:rsid w:val="00C27F43"/>
    <w:rsid w:val="00C3197A"/>
    <w:rsid w:val="00C32D4E"/>
    <w:rsid w:val="00C332EF"/>
    <w:rsid w:val="00C3348D"/>
    <w:rsid w:val="00C33DCC"/>
    <w:rsid w:val="00C34D4A"/>
    <w:rsid w:val="00C35487"/>
    <w:rsid w:val="00C35E30"/>
    <w:rsid w:val="00C36CD3"/>
    <w:rsid w:val="00C375EF"/>
    <w:rsid w:val="00C413C9"/>
    <w:rsid w:val="00C41861"/>
    <w:rsid w:val="00C42822"/>
    <w:rsid w:val="00C42823"/>
    <w:rsid w:val="00C43539"/>
    <w:rsid w:val="00C44234"/>
    <w:rsid w:val="00C44F14"/>
    <w:rsid w:val="00C455C5"/>
    <w:rsid w:val="00C4670D"/>
    <w:rsid w:val="00C468F5"/>
    <w:rsid w:val="00C469B0"/>
    <w:rsid w:val="00C475A5"/>
    <w:rsid w:val="00C5086F"/>
    <w:rsid w:val="00C513BA"/>
    <w:rsid w:val="00C5347B"/>
    <w:rsid w:val="00C54ADC"/>
    <w:rsid w:val="00C55F3E"/>
    <w:rsid w:val="00C566C5"/>
    <w:rsid w:val="00C56979"/>
    <w:rsid w:val="00C56EAC"/>
    <w:rsid w:val="00C57039"/>
    <w:rsid w:val="00C57494"/>
    <w:rsid w:val="00C57768"/>
    <w:rsid w:val="00C5799D"/>
    <w:rsid w:val="00C6043A"/>
    <w:rsid w:val="00C611A2"/>
    <w:rsid w:val="00C61AF3"/>
    <w:rsid w:val="00C62A39"/>
    <w:rsid w:val="00C62C79"/>
    <w:rsid w:val="00C63E14"/>
    <w:rsid w:val="00C6461B"/>
    <w:rsid w:val="00C648F7"/>
    <w:rsid w:val="00C660A6"/>
    <w:rsid w:val="00C66548"/>
    <w:rsid w:val="00C6675C"/>
    <w:rsid w:val="00C674EE"/>
    <w:rsid w:val="00C709DD"/>
    <w:rsid w:val="00C7131F"/>
    <w:rsid w:val="00C720D9"/>
    <w:rsid w:val="00C72B6D"/>
    <w:rsid w:val="00C74CB1"/>
    <w:rsid w:val="00C754F7"/>
    <w:rsid w:val="00C75F35"/>
    <w:rsid w:val="00C7747D"/>
    <w:rsid w:val="00C77953"/>
    <w:rsid w:val="00C803AB"/>
    <w:rsid w:val="00C806E9"/>
    <w:rsid w:val="00C81BB5"/>
    <w:rsid w:val="00C83A14"/>
    <w:rsid w:val="00C83F54"/>
    <w:rsid w:val="00C84FB3"/>
    <w:rsid w:val="00C85197"/>
    <w:rsid w:val="00C85C45"/>
    <w:rsid w:val="00C87D1A"/>
    <w:rsid w:val="00C901DD"/>
    <w:rsid w:val="00C902C5"/>
    <w:rsid w:val="00C92503"/>
    <w:rsid w:val="00C926B3"/>
    <w:rsid w:val="00C92C41"/>
    <w:rsid w:val="00C92F5C"/>
    <w:rsid w:val="00C95621"/>
    <w:rsid w:val="00C95AE2"/>
    <w:rsid w:val="00C96299"/>
    <w:rsid w:val="00CA0635"/>
    <w:rsid w:val="00CA0727"/>
    <w:rsid w:val="00CA07B1"/>
    <w:rsid w:val="00CA0BA1"/>
    <w:rsid w:val="00CA175C"/>
    <w:rsid w:val="00CA2B83"/>
    <w:rsid w:val="00CA3821"/>
    <w:rsid w:val="00CA3A10"/>
    <w:rsid w:val="00CA4154"/>
    <w:rsid w:val="00CA417D"/>
    <w:rsid w:val="00CA63A0"/>
    <w:rsid w:val="00CA66B6"/>
    <w:rsid w:val="00CB0001"/>
    <w:rsid w:val="00CB1E33"/>
    <w:rsid w:val="00CB1EFE"/>
    <w:rsid w:val="00CB2AF7"/>
    <w:rsid w:val="00CB3294"/>
    <w:rsid w:val="00CB3598"/>
    <w:rsid w:val="00CB37EE"/>
    <w:rsid w:val="00CB393A"/>
    <w:rsid w:val="00CB3BDB"/>
    <w:rsid w:val="00CB459A"/>
    <w:rsid w:val="00CB460C"/>
    <w:rsid w:val="00CB4F9F"/>
    <w:rsid w:val="00CB5816"/>
    <w:rsid w:val="00CC0E78"/>
    <w:rsid w:val="00CC14B4"/>
    <w:rsid w:val="00CC2AE2"/>
    <w:rsid w:val="00CC2C90"/>
    <w:rsid w:val="00CC3489"/>
    <w:rsid w:val="00CC3984"/>
    <w:rsid w:val="00CC456A"/>
    <w:rsid w:val="00CC45FC"/>
    <w:rsid w:val="00CC4D04"/>
    <w:rsid w:val="00CC53EC"/>
    <w:rsid w:val="00CC6583"/>
    <w:rsid w:val="00CC75AE"/>
    <w:rsid w:val="00CC79DD"/>
    <w:rsid w:val="00CC7DF9"/>
    <w:rsid w:val="00CD15A9"/>
    <w:rsid w:val="00CD1B68"/>
    <w:rsid w:val="00CD2CEA"/>
    <w:rsid w:val="00CD3EF9"/>
    <w:rsid w:val="00CD428C"/>
    <w:rsid w:val="00CD45C2"/>
    <w:rsid w:val="00CD543D"/>
    <w:rsid w:val="00CD61D2"/>
    <w:rsid w:val="00CD6A00"/>
    <w:rsid w:val="00CD7389"/>
    <w:rsid w:val="00CD7997"/>
    <w:rsid w:val="00CE19B4"/>
    <w:rsid w:val="00CE1E13"/>
    <w:rsid w:val="00CE20A5"/>
    <w:rsid w:val="00CE5B6F"/>
    <w:rsid w:val="00CE6104"/>
    <w:rsid w:val="00CE6586"/>
    <w:rsid w:val="00CE699D"/>
    <w:rsid w:val="00CE69B8"/>
    <w:rsid w:val="00CE7415"/>
    <w:rsid w:val="00CE7753"/>
    <w:rsid w:val="00CE7B87"/>
    <w:rsid w:val="00CF0EBA"/>
    <w:rsid w:val="00CF0EF3"/>
    <w:rsid w:val="00CF2D26"/>
    <w:rsid w:val="00CF3D37"/>
    <w:rsid w:val="00CF6390"/>
    <w:rsid w:val="00CF6405"/>
    <w:rsid w:val="00CF6D78"/>
    <w:rsid w:val="00CF6ECC"/>
    <w:rsid w:val="00CF7476"/>
    <w:rsid w:val="00CF7ED2"/>
    <w:rsid w:val="00D00885"/>
    <w:rsid w:val="00D0291F"/>
    <w:rsid w:val="00D03CFE"/>
    <w:rsid w:val="00D04775"/>
    <w:rsid w:val="00D0493F"/>
    <w:rsid w:val="00D0623D"/>
    <w:rsid w:val="00D06413"/>
    <w:rsid w:val="00D070DD"/>
    <w:rsid w:val="00D0742E"/>
    <w:rsid w:val="00D076EF"/>
    <w:rsid w:val="00D104FD"/>
    <w:rsid w:val="00D12A74"/>
    <w:rsid w:val="00D12A84"/>
    <w:rsid w:val="00D12D01"/>
    <w:rsid w:val="00D13882"/>
    <w:rsid w:val="00D13C0F"/>
    <w:rsid w:val="00D13CD3"/>
    <w:rsid w:val="00D13D70"/>
    <w:rsid w:val="00D142E0"/>
    <w:rsid w:val="00D1433A"/>
    <w:rsid w:val="00D14548"/>
    <w:rsid w:val="00D14F41"/>
    <w:rsid w:val="00D15AF6"/>
    <w:rsid w:val="00D15F69"/>
    <w:rsid w:val="00D16E3F"/>
    <w:rsid w:val="00D20258"/>
    <w:rsid w:val="00D20D37"/>
    <w:rsid w:val="00D2238C"/>
    <w:rsid w:val="00D2245D"/>
    <w:rsid w:val="00D22652"/>
    <w:rsid w:val="00D267C8"/>
    <w:rsid w:val="00D26F37"/>
    <w:rsid w:val="00D27C63"/>
    <w:rsid w:val="00D3136F"/>
    <w:rsid w:val="00D31A2C"/>
    <w:rsid w:val="00D32794"/>
    <w:rsid w:val="00D32E61"/>
    <w:rsid w:val="00D33213"/>
    <w:rsid w:val="00D342C8"/>
    <w:rsid w:val="00D34F93"/>
    <w:rsid w:val="00D350E3"/>
    <w:rsid w:val="00D352FF"/>
    <w:rsid w:val="00D35542"/>
    <w:rsid w:val="00D36039"/>
    <w:rsid w:val="00D3614C"/>
    <w:rsid w:val="00D363FC"/>
    <w:rsid w:val="00D3668C"/>
    <w:rsid w:val="00D36BB1"/>
    <w:rsid w:val="00D37E36"/>
    <w:rsid w:val="00D416BF"/>
    <w:rsid w:val="00D42229"/>
    <w:rsid w:val="00D42850"/>
    <w:rsid w:val="00D4296E"/>
    <w:rsid w:val="00D434A3"/>
    <w:rsid w:val="00D44609"/>
    <w:rsid w:val="00D44A1B"/>
    <w:rsid w:val="00D44C0D"/>
    <w:rsid w:val="00D450AF"/>
    <w:rsid w:val="00D47213"/>
    <w:rsid w:val="00D47278"/>
    <w:rsid w:val="00D475D7"/>
    <w:rsid w:val="00D47B9F"/>
    <w:rsid w:val="00D47F49"/>
    <w:rsid w:val="00D508A5"/>
    <w:rsid w:val="00D50B46"/>
    <w:rsid w:val="00D50E00"/>
    <w:rsid w:val="00D53137"/>
    <w:rsid w:val="00D53553"/>
    <w:rsid w:val="00D5385A"/>
    <w:rsid w:val="00D53A35"/>
    <w:rsid w:val="00D5454F"/>
    <w:rsid w:val="00D54BD5"/>
    <w:rsid w:val="00D559CE"/>
    <w:rsid w:val="00D55ACE"/>
    <w:rsid w:val="00D570A4"/>
    <w:rsid w:val="00D57162"/>
    <w:rsid w:val="00D6286F"/>
    <w:rsid w:val="00D628C9"/>
    <w:rsid w:val="00D632BB"/>
    <w:rsid w:val="00D63D30"/>
    <w:rsid w:val="00D65546"/>
    <w:rsid w:val="00D65E19"/>
    <w:rsid w:val="00D66545"/>
    <w:rsid w:val="00D66969"/>
    <w:rsid w:val="00D66AD9"/>
    <w:rsid w:val="00D66FBF"/>
    <w:rsid w:val="00D70369"/>
    <w:rsid w:val="00D71B2C"/>
    <w:rsid w:val="00D724FB"/>
    <w:rsid w:val="00D72523"/>
    <w:rsid w:val="00D72C14"/>
    <w:rsid w:val="00D73317"/>
    <w:rsid w:val="00D73A4C"/>
    <w:rsid w:val="00D73DF9"/>
    <w:rsid w:val="00D75195"/>
    <w:rsid w:val="00D753F3"/>
    <w:rsid w:val="00D77A62"/>
    <w:rsid w:val="00D8111F"/>
    <w:rsid w:val="00D8191E"/>
    <w:rsid w:val="00D81EEA"/>
    <w:rsid w:val="00D82CE1"/>
    <w:rsid w:val="00D831E8"/>
    <w:rsid w:val="00D87B76"/>
    <w:rsid w:val="00D9399E"/>
    <w:rsid w:val="00D94075"/>
    <w:rsid w:val="00D94982"/>
    <w:rsid w:val="00D95149"/>
    <w:rsid w:val="00D959BD"/>
    <w:rsid w:val="00D95DD8"/>
    <w:rsid w:val="00DA4A54"/>
    <w:rsid w:val="00DA5BEA"/>
    <w:rsid w:val="00DA5D32"/>
    <w:rsid w:val="00DA62D4"/>
    <w:rsid w:val="00DA6C7F"/>
    <w:rsid w:val="00DA795B"/>
    <w:rsid w:val="00DB086B"/>
    <w:rsid w:val="00DB0F1B"/>
    <w:rsid w:val="00DB1942"/>
    <w:rsid w:val="00DB1A9E"/>
    <w:rsid w:val="00DB2152"/>
    <w:rsid w:val="00DB292E"/>
    <w:rsid w:val="00DB41B1"/>
    <w:rsid w:val="00DB46B8"/>
    <w:rsid w:val="00DB5934"/>
    <w:rsid w:val="00DB5ABD"/>
    <w:rsid w:val="00DB669B"/>
    <w:rsid w:val="00DB7C07"/>
    <w:rsid w:val="00DC1456"/>
    <w:rsid w:val="00DC165F"/>
    <w:rsid w:val="00DC2559"/>
    <w:rsid w:val="00DC2664"/>
    <w:rsid w:val="00DC3124"/>
    <w:rsid w:val="00DC41CA"/>
    <w:rsid w:val="00DC548F"/>
    <w:rsid w:val="00DD0DDE"/>
    <w:rsid w:val="00DD1287"/>
    <w:rsid w:val="00DD1897"/>
    <w:rsid w:val="00DD3CB3"/>
    <w:rsid w:val="00DD5E54"/>
    <w:rsid w:val="00DD7DDD"/>
    <w:rsid w:val="00DE1F4C"/>
    <w:rsid w:val="00DE27A0"/>
    <w:rsid w:val="00DE2810"/>
    <w:rsid w:val="00DE28BE"/>
    <w:rsid w:val="00DE2E23"/>
    <w:rsid w:val="00DE3213"/>
    <w:rsid w:val="00DE33B1"/>
    <w:rsid w:val="00DE39B2"/>
    <w:rsid w:val="00DE3E2E"/>
    <w:rsid w:val="00DE453B"/>
    <w:rsid w:val="00DE4A76"/>
    <w:rsid w:val="00DE4C50"/>
    <w:rsid w:val="00DE5D87"/>
    <w:rsid w:val="00DE63F2"/>
    <w:rsid w:val="00DE6471"/>
    <w:rsid w:val="00DE79A1"/>
    <w:rsid w:val="00DE7D24"/>
    <w:rsid w:val="00DF00A5"/>
    <w:rsid w:val="00DF08C1"/>
    <w:rsid w:val="00DF10F5"/>
    <w:rsid w:val="00DF18AD"/>
    <w:rsid w:val="00DF18BC"/>
    <w:rsid w:val="00DF1E6A"/>
    <w:rsid w:val="00DF23A4"/>
    <w:rsid w:val="00DF3401"/>
    <w:rsid w:val="00DF393F"/>
    <w:rsid w:val="00DF3B16"/>
    <w:rsid w:val="00DF3B3A"/>
    <w:rsid w:val="00DF416F"/>
    <w:rsid w:val="00DF428E"/>
    <w:rsid w:val="00DF582F"/>
    <w:rsid w:val="00DF62E0"/>
    <w:rsid w:val="00DF6B93"/>
    <w:rsid w:val="00DF724A"/>
    <w:rsid w:val="00DF750B"/>
    <w:rsid w:val="00DF7EE7"/>
    <w:rsid w:val="00E00872"/>
    <w:rsid w:val="00E00F7B"/>
    <w:rsid w:val="00E0100F"/>
    <w:rsid w:val="00E037EF"/>
    <w:rsid w:val="00E03EDE"/>
    <w:rsid w:val="00E042C9"/>
    <w:rsid w:val="00E04CF3"/>
    <w:rsid w:val="00E0522A"/>
    <w:rsid w:val="00E058E5"/>
    <w:rsid w:val="00E060C4"/>
    <w:rsid w:val="00E06408"/>
    <w:rsid w:val="00E07EB3"/>
    <w:rsid w:val="00E10978"/>
    <w:rsid w:val="00E11466"/>
    <w:rsid w:val="00E1170B"/>
    <w:rsid w:val="00E11E07"/>
    <w:rsid w:val="00E12583"/>
    <w:rsid w:val="00E12CF6"/>
    <w:rsid w:val="00E13784"/>
    <w:rsid w:val="00E13B78"/>
    <w:rsid w:val="00E13C3E"/>
    <w:rsid w:val="00E13D76"/>
    <w:rsid w:val="00E14288"/>
    <w:rsid w:val="00E160BA"/>
    <w:rsid w:val="00E1694A"/>
    <w:rsid w:val="00E1777D"/>
    <w:rsid w:val="00E21C33"/>
    <w:rsid w:val="00E23330"/>
    <w:rsid w:val="00E23D2B"/>
    <w:rsid w:val="00E24193"/>
    <w:rsid w:val="00E2455C"/>
    <w:rsid w:val="00E25920"/>
    <w:rsid w:val="00E26579"/>
    <w:rsid w:val="00E26FC0"/>
    <w:rsid w:val="00E30FE0"/>
    <w:rsid w:val="00E31E2B"/>
    <w:rsid w:val="00E32744"/>
    <w:rsid w:val="00E32CB4"/>
    <w:rsid w:val="00E35F42"/>
    <w:rsid w:val="00E361CD"/>
    <w:rsid w:val="00E40276"/>
    <w:rsid w:val="00E405FC"/>
    <w:rsid w:val="00E40641"/>
    <w:rsid w:val="00E42AFE"/>
    <w:rsid w:val="00E44CF3"/>
    <w:rsid w:val="00E45127"/>
    <w:rsid w:val="00E451F6"/>
    <w:rsid w:val="00E459EC"/>
    <w:rsid w:val="00E45B58"/>
    <w:rsid w:val="00E46070"/>
    <w:rsid w:val="00E463A3"/>
    <w:rsid w:val="00E510BB"/>
    <w:rsid w:val="00E515B9"/>
    <w:rsid w:val="00E515C4"/>
    <w:rsid w:val="00E51791"/>
    <w:rsid w:val="00E52652"/>
    <w:rsid w:val="00E529E0"/>
    <w:rsid w:val="00E53658"/>
    <w:rsid w:val="00E54077"/>
    <w:rsid w:val="00E5586F"/>
    <w:rsid w:val="00E575CE"/>
    <w:rsid w:val="00E57A3C"/>
    <w:rsid w:val="00E6051C"/>
    <w:rsid w:val="00E64C79"/>
    <w:rsid w:val="00E660C7"/>
    <w:rsid w:val="00E661C2"/>
    <w:rsid w:val="00E67927"/>
    <w:rsid w:val="00E70B1C"/>
    <w:rsid w:val="00E70C37"/>
    <w:rsid w:val="00E71DFA"/>
    <w:rsid w:val="00E72BE1"/>
    <w:rsid w:val="00E72FB5"/>
    <w:rsid w:val="00E74917"/>
    <w:rsid w:val="00E75B40"/>
    <w:rsid w:val="00E7771F"/>
    <w:rsid w:val="00E777F8"/>
    <w:rsid w:val="00E7782E"/>
    <w:rsid w:val="00E8121A"/>
    <w:rsid w:val="00E8181C"/>
    <w:rsid w:val="00E81AA1"/>
    <w:rsid w:val="00E847C4"/>
    <w:rsid w:val="00E84B23"/>
    <w:rsid w:val="00E84F91"/>
    <w:rsid w:val="00E853B3"/>
    <w:rsid w:val="00E85589"/>
    <w:rsid w:val="00E85909"/>
    <w:rsid w:val="00E85AF6"/>
    <w:rsid w:val="00E85CF8"/>
    <w:rsid w:val="00E85E32"/>
    <w:rsid w:val="00E86548"/>
    <w:rsid w:val="00E86B7A"/>
    <w:rsid w:val="00E86D3D"/>
    <w:rsid w:val="00E879AD"/>
    <w:rsid w:val="00E87AE2"/>
    <w:rsid w:val="00E90EE2"/>
    <w:rsid w:val="00E91171"/>
    <w:rsid w:val="00E9192E"/>
    <w:rsid w:val="00E920DF"/>
    <w:rsid w:val="00E93173"/>
    <w:rsid w:val="00E946F5"/>
    <w:rsid w:val="00E94836"/>
    <w:rsid w:val="00E94992"/>
    <w:rsid w:val="00E94F7D"/>
    <w:rsid w:val="00E94FB8"/>
    <w:rsid w:val="00E956F6"/>
    <w:rsid w:val="00E962DF"/>
    <w:rsid w:val="00E96FA8"/>
    <w:rsid w:val="00EA0881"/>
    <w:rsid w:val="00EA1308"/>
    <w:rsid w:val="00EA4789"/>
    <w:rsid w:val="00EA521D"/>
    <w:rsid w:val="00EA6B1A"/>
    <w:rsid w:val="00EA75A6"/>
    <w:rsid w:val="00EA7647"/>
    <w:rsid w:val="00EA7A29"/>
    <w:rsid w:val="00EB0A8F"/>
    <w:rsid w:val="00EB1BE4"/>
    <w:rsid w:val="00EB2E91"/>
    <w:rsid w:val="00EB3BAB"/>
    <w:rsid w:val="00EB3DFE"/>
    <w:rsid w:val="00EB47ED"/>
    <w:rsid w:val="00EB4E60"/>
    <w:rsid w:val="00EC16D2"/>
    <w:rsid w:val="00EC2B23"/>
    <w:rsid w:val="00EC2BB2"/>
    <w:rsid w:val="00EC3E80"/>
    <w:rsid w:val="00EC59F4"/>
    <w:rsid w:val="00EC62EB"/>
    <w:rsid w:val="00EC6CA3"/>
    <w:rsid w:val="00EC7483"/>
    <w:rsid w:val="00EC7F44"/>
    <w:rsid w:val="00ED0197"/>
    <w:rsid w:val="00ED0282"/>
    <w:rsid w:val="00ED0FA6"/>
    <w:rsid w:val="00ED1100"/>
    <w:rsid w:val="00ED19E4"/>
    <w:rsid w:val="00ED1C9A"/>
    <w:rsid w:val="00ED2358"/>
    <w:rsid w:val="00ED24D4"/>
    <w:rsid w:val="00ED33AB"/>
    <w:rsid w:val="00ED4359"/>
    <w:rsid w:val="00ED438C"/>
    <w:rsid w:val="00ED6711"/>
    <w:rsid w:val="00ED6B90"/>
    <w:rsid w:val="00EE0275"/>
    <w:rsid w:val="00EE1986"/>
    <w:rsid w:val="00EE1F24"/>
    <w:rsid w:val="00EE2BC6"/>
    <w:rsid w:val="00EE32A0"/>
    <w:rsid w:val="00EE3833"/>
    <w:rsid w:val="00EE422D"/>
    <w:rsid w:val="00EE4275"/>
    <w:rsid w:val="00EE52B6"/>
    <w:rsid w:val="00EE6804"/>
    <w:rsid w:val="00EE741E"/>
    <w:rsid w:val="00EF03AD"/>
    <w:rsid w:val="00EF0632"/>
    <w:rsid w:val="00EF107E"/>
    <w:rsid w:val="00EF223B"/>
    <w:rsid w:val="00EF2458"/>
    <w:rsid w:val="00EF313E"/>
    <w:rsid w:val="00EF5F1C"/>
    <w:rsid w:val="00EF6336"/>
    <w:rsid w:val="00EF6847"/>
    <w:rsid w:val="00EF6940"/>
    <w:rsid w:val="00EF74FB"/>
    <w:rsid w:val="00F05327"/>
    <w:rsid w:val="00F05AA6"/>
    <w:rsid w:val="00F062AD"/>
    <w:rsid w:val="00F06FF9"/>
    <w:rsid w:val="00F07886"/>
    <w:rsid w:val="00F07BC2"/>
    <w:rsid w:val="00F07CEF"/>
    <w:rsid w:val="00F11518"/>
    <w:rsid w:val="00F11529"/>
    <w:rsid w:val="00F118B2"/>
    <w:rsid w:val="00F11E38"/>
    <w:rsid w:val="00F120EB"/>
    <w:rsid w:val="00F1295D"/>
    <w:rsid w:val="00F14A32"/>
    <w:rsid w:val="00F16729"/>
    <w:rsid w:val="00F170ED"/>
    <w:rsid w:val="00F206BE"/>
    <w:rsid w:val="00F20855"/>
    <w:rsid w:val="00F21E8B"/>
    <w:rsid w:val="00F21F31"/>
    <w:rsid w:val="00F231D4"/>
    <w:rsid w:val="00F23968"/>
    <w:rsid w:val="00F23F2C"/>
    <w:rsid w:val="00F24C5A"/>
    <w:rsid w:val="00F25783"/>
    <w:rsid w:val="00F25D5C"/>
    <w:rsid w:val="00F26037"/>
    <w:rsid w:val="00F328AD"/>
    <w:rsid w:val="00F32FC3"/>
    <w:rsid w:val="00F33427"/>
    <w:rsid w:val="00F34401"/>
    <w:rsid w:val="00F35211"/>
    <w:rsid w:val="00F35322"/>
    <w:rsid w:val="00F35C9B"/>
    <w:rsid w:val="00F361BB"/>
    <w:rsid w:val="00F36480"/>
    <w:rsid w:val="00F376D6"/>
    <w:rsid w:val="00F378F1"/>
    <w:rsid w:val="00F37AD5"/>
    <w:rsid w:val="00F37CCA"/>
    <w:rsid w:val="00F424D9"/>
    <w:rsid w:val="00F42D87"/>
    <w:rsid w:val="00F430C0"/>
    <w:rsid w:val="00F43205"/>
    <w:rsid w:val="00F441BB"/>
    <w:rsid w:val="00F44983"/>
    <w:rsid w:val="00F45216"/>
    <w:rsid w:val="00F45F30"/>
    <w:rsid w:val="00F46A90"/>
    <w:rsid w:val="00F51429"/>
    <w:rsid w:val="00F514DA"/>
    <w:rsid w:val="00F52DEB"/>
    <w:rsid w:val="00F542F1"/>
    <w:rsid w:val="00F54492"/>
    <w:rsid w:val="00F55EFE"/>
    <w:rsid w:val="00F60AAB"/>
    <w:rsid w:val="00F61DB9"/>
    <w:rsid w:val="00F62A78"/>
    <w:rsid w:val="00F634E6"/>
    <w:rsid w:val="00F6353B"/>
    <w:rsid w:val="00F636C4"/>
    <w:rsid w:val="00F63DCE"/>
    <w:rsid w:val="00F66901"/>
    <w:rsid w:val="00F67737"/>
    <w:rsid w:val="00F677C2"/>
    <w:rsid w:val="00F722E5"/>
    <w:rsid w:val="00F72C58"/>
    <w:rsid w:val="00F74341"/>
    <w:rsid w:val="00F74976"/>
    <w:rsid w:val="00F7502A"/>
    <w:rsid w:val="00F75740"/>
    <w:rsid w:val="00F75F3E"/>
    <w:rsid w:val="00F76EE1"/>
    <w:rsid w:val="00F7709F"/>
    <w:rsid w:val="00F770A8"/>
    <w:rsid w:val="00F777B0"/>
    <w:rsid w:val="00F80332"/>
    <w:rsid w:val="00F80495"/>
    <w:rsid w:val="00F806B5"/>
    <w:rsid w:val="00F81246"/>
    <w:rsid w:val="00F81C6B"/>
    <w:rsid w:val="00F822B4"/>
    <w:rsid w:val="00F8360B"/>
    <w:rsid w:val="00F83A6D"/>
    <w:rsid w:val="00F83AF5"/>
    <w:rsid w:val="00F84EC4"/>
    <w:rsid w:val="00F8638E"/>
    <w:rsid w:val="00F91049"/>
    <w:rsid w:val="00F91973"/>
    <w:rsid w:val="00F91F16"/>
    <w:rsid w:val="00F93C13"/>
    <w:rsid w:val="00F94998"/>
    <w:rsid w:val="00F953F0"/>
    <w:rsid w:val="00F976BF"/>
    <w:rsid w:val="00F977CA"/>
    <w:rsid w:val="00F97BFE"/>
    <w:rsid w:val="00FA0DD6"/>
    <w:rsid w:val="00FA117F"/>
    <w:rsid w:val="00FA1B1B"/>
    <w:rsid w:val="00FA1B1C"/>
    <w:rsid w:val="00FA4598"/>
    <w:rsid w:val="00FA5056"/>
    <w:rsid w:val="00FA5307"/>
    <w:rsid w:val="00FA5509"/>
    <w:rsid w:val="00FA6A5B"/>
    <w:rsid w:val="00FA7723"/>
    <w:rsid w:val="00FA7CA4"/>
    <w:rsid w:val="00FB0897"/>
    <w:rsid w:val="00FB0A1C"/>
    <w:rsid w:val="00FB0F05"/>
    <w:rsid w:val="00FB2179"/>
    <w:rsid w:val="00FB29D0"/>
    <w:rsid w:val="00FB2E52"/>
    <w:rsid w:val="00FB49A5"/>
    <w:rsid w:val="00FB4A10"/>
    <w:rsid w:val="00FB5B68"/>
    <w:rsid w:val="00FB5C7C"/>
    <w:rsid w:val="00FB603F"/>
    <w:rsid w:val="00FB61FF"/>
    <w:rsid w:val="00FB73E8"/>
    <w:rsid w:val="00FB7717"/>
    <w:rsid w:val="00FC15BA"/>
    <w:rsid w:val="00FC29B1"/>
    <w:rsid w:val="00FC32E3"/>
    <w:rsid w:val="00FC4406"/>
    <w:rsid w:val="00FC55EE"/>
    <w:rsid w:val="00FC60B9"/>
    <w:rsid w:val="00FC61CC"/>
    <w:rsid w:val="00FC6748"/>
    <w:rsid w:val="00FC70F6"/>
    <w:rsid w:val="00FC76A1"/>
    <w:rsid w:val="00FC7A9F"/>
    <w:rsid w:val="00FD0A71"/>
    <w:rsid w:val="00FD1B49"/>
    <w:rsid w:val="00FD29C8"/>
    <w:rsid w:val="00FD3F4D"/>
    <w:rsid w:val="00FD5557"/>
    <w:rsid w:val="00FD5A18"/>
    <w:rsid w:val="00FD706B"/>
    <w:rsid w:val="00FD751E"/>
    <w:rsid w:val="00FD75B5"/>
    <w:rsid w:val="00FD75D9"/>
    <w:rsid w:val="00FD7766"/>
    <w:rsid w:val="00FD7854"/>
    <w:rsid w:val="00FD7BC0"/>
    <w:rsid w:val="00FD7D76"/>
    <w:rsid w:val="00FE02DE"/>
    <w:rsid w:val="00FE1553"/>
    <w:rsid w:val="00FE1E22"/>
    <w:rsid w:val="00FE1E57"/>
    <w:rsid w:val="00FE2141"/>
    <w:rsid w:val="00FE2CFC"/>
    <w:rsid w:val="00FE2F3F"/>
    <w:rsid w:val="00FE37C8"/>
    <w:rsid w:val="00FE3D8E"/>
    <w:rsid w:val="00FE43BC"/>
    <w:rsid w:val="00FE43E3"/>
    <w:rsid w:val="00FE6048"/>
    <w:rsid w:val="00FE72C0"/>
    <w:rsid w:val="00FE75AB"/>
    <w:rsid w:val="00FF0C8E"/>
    <w:rsid w:val="00FF115F"/>
    <w:rsid w:val="00FF11F3"/>
    <w:rsid w:val="00FF1AB3"/>
    <w:rsid w:val="00FF2C76"/>
    <w:rsid w:val="00FF5010"/>
    <w:rsid w:val="00FF5152"/>
    <w:rsid w:val="00FF655E"/>
    <w:rsid w:val="00FF6D9B"/>
    <w:rsid w:val="00FF7A3B"/>
    <w:rsid w:val="00FF7B00"/>
    <w:rsid w:val="00FF7F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70"/>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406C70"/>
    <w:pPr>
      <w:keepNext/>
      <w:spacing w:before="140" w:line="240" w:lineRule="atLeast"/>
      <w:jc w:val="center"/>
      <w:outlineLvl w:val="0"/>
    </w:pPr>
    <w:rPr>
      <w:b/>
      <w:smallCaps/>
    </w:rPr>
  </w:style>
  <w:style w:type="paragraph" w:styleId="Heading2">
    <w:name w:val="heading 2"/>
    <w:basedOn w:val="Normal"/>
    <w:next w:val="Normal"/>
    <w:link w:val="Heading2Char"/>
    <w:qFormat/>
    <w:rsid w:val="00406C7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06C70"/>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406C70"/>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406C70"/>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FA1B1C"/>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1B1C"/>
    <w:pPr>
      <w:spacing w:before="240" w:after="60"/>
      <w:outlineLvl w:val="6"/>
    </w:pPr>
    <w:rPr>
      <w:sz w:val="24"/>
    </w:rPr>
  </w:style>
  <w:style w:type="paragraph" w:styleId="Heading8">
    <w:name w:val="heading 8"/>
    <w:basedOn w:val="Normal"/>
    <w:next w:val="Normal"/>
    <w:link w:val="Heading8Char"/>
    <w:uiPriority w:val="9"/>
    <w:semiHidden/>
    <w:unhideWhenUsed/>
    <w:qFormat/>
    <w:rsid w:val="00FA1B1C"/>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1B1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1C"/>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FA1B1C"/>
    <w:rPr>
      <w:rFonts w:ascii="Century Schoolbook" w:eastAsia="Times New Roman" w:hAnsi="Century Schoolbook"/>
      <w:b/>
      <w:sz w:val="27"/>
      <w:szCs w:val="20"/>
    </w:rPr>
  </w:style>
  <w:style w:type="character" w:customStyle="1" w:styleId="Heading3Char">
    <w:name w:val="Heading 3 Char"/>
    <w:basedOn w:val="DefaultParagraphFont"/>
    <w:link w:val="Heading3"/>
    <w:rsid w:val="00FA1B1C"/>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FA1B1C"/>
    <w:rPr>
      <w:b/>
      <w:bCs/>
    </w:rPr>
  </w:style>
  <w:style w:type="character" w:customStyle="1" w:styleId="Heading7Char">
    <w:name w:val="Heading 7 Char"/>
    <w:basedOn w:val="DefaultParagraphFont"/>
    <w:link w:val="Heading7"/>
    <w:uiPriority w:val="9"/>
    <w:semiHidden/>
    <w:rsid w:val="00FA1B1C"/>
    <w:rPr>
      <w:sz w:val="24"/>
      <w:szCs w:val="24"/>
    </w:rPr>
  </w:style>
  <w:style w:type="character" w:customStyle="1" w:styleId="Heading8Char">
    <w:name w:val="Heading 8 Char"/>
    <w:basedOn w:val="DefaultParagraphFont"/>
    <w:link w:val="Heading8"/>
    <w:uiPriority w:val="9"/>
    <w:semiHidden/>
    <w:rsid w:val="00FA1B1C"/>
    <w:rPr>
      <w:i/>
      <w:iCs/>
      <w:sz w:val="24"/>
      <w:szCs w:val="24"/>
    </w:rPr>
  </w:style>
  <w:style w:type="character" w:customStyle="1" w:styleId="Heading9Char">
    <w:name w:val="Heading 9 Char"/>
    <w:basedOn w:val="DefaultParagraphFont"/>
    <w:link w:val="Heading9"/>
    <w:uiPriority w:val="9"/>
    <w:semiHidden/>
    <w:rsid w:val="00FA1B1C"/>
    <w:rPr>
      <w:rFonts w:asciiTheme="majorHAnsi" w:eastAsiaTheme="majorEastAsia" w:hAnsiTheme="majorHAnsi"/>
    </w:rPr>
  </w:style>
  <w:style w:type="paragraph" w:styleId="Title">
    <w:name w:val="Title"/>
    <w:basedOn w:val="Normal"/>
    <w:next w:val="Normal"/>
    <w:link w:val="TitleChar"/>
    <w:uiPriority w:val="10"/>
    <w:qFormat/>
    <w:rsid w:val="00FA1B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B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B1C"/>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1B1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1B1C"/>
    <w:pPr>
      <w:outlineLvl w:val="9"/>
    </w:pPr>
  </w:style>
  <w:style w:type="paragraph" w:styleId="Footer">
    <w:name w:val="footer"/>
    <w:basedOn w:val="Normal"/>
    <w:link w:val="FooterChar"/>
    <w:uiPriority w:val="99"/>
    <w:qFormat/>
    <w:rsid w:val="00406C70"/>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990E4B"/>
    <w:rPr>
      <w:rFonts w:ascii="Century Schoolbook" w:eastAsia="Times New Roman" w:hAnsi="Century Schoolbook"/>
      <w:sz w:val="22"/>
      <w:szCs w:val="20"/>
    </w:rPr>
  </w:style>
  <w:style w:type="character" w:styleId="FootnoteReference">
    <w:name w:val="footnote reference"/>
    <w:basedOn w:val="DefaultParagraphFont"/>
    <w:rsid w:val="00406C70"/>
    <w:rPr>
      <w:rFonts w:ascii="Century Schoolbook" w:hAnsi="Century Schoolbook"/>
      <w:b/>
      <w:i w:val="0"/>
      <w:position w:val="4"/>
      <w:sz w:val="27"/>
      <w:vertAlign w:val="superscript"/>
    </w:rPr>
  </w:style>
  <w:style w:type="paragraph" w:styleId="FootnoteText">
    <w:name w:val="footnote text"/>
    <w:basedOn w:val="Normal"/>
    <w:link w:val="FootnoteTextChar"/>
    <w:rsid w:val="00406C70"/>
    <w:pPr>
      <w:spacing w:line="300" w:lineRule="exact"/>
    </w:pPr>
  </w:style>
  <w:style w:type="character" w:customStyle="1" w:styleId="FootnoteTextChar">
    <w:name w:val="Footnote Text Char"/>
    <w:basedOn w:val="DefaultParagraphFont"/>
    <w:link w:val="FootnoteText"/>
    <w:rsid w:val="00990E4B"/>
    <w:rPr>
      <w:rFonts w:ascii="Century Schoolbook" w:eastAsia="Times New Roman" w:hAnsi="Century Schoolbook"/>
      <w:sz w:val="27"/>
      <w:szCs w:val="20"/>
    </w:rPr>
  </w:style>
  <w:style w:type="paragraph" w:customStyle="1" w:styleId="Text">
    <w:name w:val="Text"/>
    <w:basedOn w:val="Normal"/>
    <w:rsid w:val="00406C70"/>
    <w:pPr>
      <w:tabs>
        <w:tab w:val="left" w:pos="720"/>
        <w:tab w:val="left" w:pos="1440"/>
        <w:tab w:val="left" w:pos="2160"/>
        <w:tab w:val="center" w:pos="4320"/>
      </w:tabs>
      <w:spacing w:line="480" w:lineRule="atLeast"/>
      <w:ind w:firstLine="540"/>
    </w:pPr>
  </w:style>
  <w:style w:type="character" w:styleId="CommentReference">
    <w:name w:val="annotation reference"/>
    <w:basedOn w:val="DefaultParagraphFont"/>
    <w:uiPriority w:val="99"/>
    <w:semiHidden/>
    <w:unhideWhenUsed/>
    <w:rsid w:val="00990E4B"/>
    <w:rPr>
      <w:sz w:val="16"/>
      <w:szCs w:val="16"/>
    </w:rPr>
  </w:style>
  <w:style w:type="paragraph" w:styleId="CommentText">
    <w:name w:val="annotation text"/>
    <w:basedOn w:val="Normal"/>
    <w:link w:val="CommentTextChar"/>
    <w:uiPriority w:val="99"/>
    <w:unhideWhenUsed/>
    <w:rsid w:val="00990E4B"/>
    <w:rPr>
      <w:sz w:val="20"/>
    </w:rPr>
  </w:style>
  <w:style w:type="character" w:customStyle="1" w:styleId="CommentTextChar">
    <w:name w:val="Comment Text Char"/>
    <w:basedOn w:val="DefaultParagraphFont"/>
    <w:link w:val="CommentText"/>
    <w:uiPriority w:val="99"/>
    <w:rsid w:val="00990E4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4A0C"/>
    <w:rPr>
      <w:b/>
      <w:bCs/>
    </w:rPr>
  </w:style>
  <w:style w:type="character" w:customStyle="1" w:styleId="CommentSubjectChar">
    <w:name w:val="Comment Subject Char"/>
    <w:basedOn w:val="CommentTextChar"/>
    <w:link w:val="CommentSubject"/>
    <w:uiPriority w:val="99"/>
    <w:semiHidden/>
    <w:rsid w:val="00224A0C"/>
    <w:rPr>
      <w:rFonts w:ascii="Times New Roman" w:eastAsia="Times New Roman" w:hAnsi="Times New Roman"/>
      <w:b/>
      <w:bCs/>
      <w:sz w:val="20"/>
      <w:szCs w:val="20"/>
    </w:rPr>
  </w:style>
  <w:style w:type="paragraph" w:styleId="ListParagraph">
    <w:name w:val="List Paragraph"/>
    <w:basedOn w:val="Normal"/>
    <w:uiPriority w:val="34"/>
    <w:rsid w:val="00392BE7"/>
    <w:pPr>
      <w:ind w:left="720"/>
      <w:contextualSpacing/>
    </w:pPr>
  </w:style>
  <w:style w:type="paragraph" w:styleId="Revision">
    <w:name w:val="Revision"/>
    <w:hidden/>
    <w:uiPriority w:val="99"/>
    <w:semiHidden/>
    <w:rsid w:val="00575E35"/>
    <w:rPr>
      <w:rFonts w:ascii="Times New Roman" w:eastAsia="Times New Roman" w:hAnsi="Times New Roman"/>
      <w:szCs w:val="20"/>
    </w:rPr>
  </w:style>
  <w:style w:type="paragraph" w:styleId="Header">
    <w:name w:val="header"/>
    <w:basedOn w:val="Normal"/>
    <w:link w:val="HeaderChar"/>
    <w:qFormat/>
    <w:rsid w:val="00406C70"/>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9B72A4"/>
    <w:rPr>
      <w:rFonts w:ascii="Century Schoolbook" w:eastAsia="Times New Roman" w:hAnsi="Century Schoolbook"/>
      <w:sz w:val="22"/>
      <w:szCs w:val="20"/>
    </w:rPr>
  </w:style>
  <w:style w:type="character" w:styleId="Hyperlink">
    <w:name w:val="Hyperlink"/>
    <w:basedOn w:val="DefaultParagraphFont"/>
    <w:uiPriority w:val="99"/>
    <w:unhideWhenUsed/>
    <w:rsid w:val="00786E22"/>
    <w:rPr>
      <w:color w:val="0000FF" w:themeColor="hyperlink"/>
      <w:u w:val="single"/>
    </w:rPr>
  </w:style>
  <w:style w:type="character" w:customStyle="1" w:styleId="UnresolvedMention1">
    <w:name w:val="Unresolved Mention1"/>
    <w:basedOn w:val="DefaultParagraphFont"/>
    <w:uiPriority w:val="99"/>
    <w:semiHidden/>
    <w:unhideWhenUsed/>
    <w:rsid w:val="00786E22"/>
    <w:rPr>
      <w:color w:val="605E5C"/>
      <w:shd w:val="clear" w:color="auto" w:fill="E1DFDD"/>
    </w:rPr>
  </w:style>
  <w:style w:type="character" w:customStyle="1" w:styleId="Heading4Char">
    <w:name w:val="Heading 4 Char"/>
    <w:basedOn w:val="DefaultParagraphFont"/>
    <w:link w:val="Heading4"/>
    <w:rsid w:val="0051735A"/>
    <w:rPr>
      <w:rFonts w:ascii="Century Schoolbook" w:eastAsia="Times New Roman" w:hAnsi="Century Schoolbook"/>
      <w:i/>
      <w:sz w:val="27"/>
      <w:szCs w:val="20"/>
    </w:rPr>
  </w:style>
  <w:style w:type="character" w:customStyle="1" w:styleId="Heading5Char">
    <w:name w:val="Heading 5 Char"/>
    <w:basedOn w:val="DefaultParagraphFont"/>
    <w:link w:val="Heading5"/>
    <w:rsid w:val="0051735A"/>
    <w:rPr>
      <w:rFonts w:ascii="Century Schoolbook" w:eastAsia="Times New Roman" w:hAnsi="Century Schoolbook"/>
      <w:i/>
      <w:sz w:val="27"/>
      <w:szCs w:val="20"/>
    </w:rPr>
  </w:style>
  <w:style w:type="paragraph" w:styleId="Date">
    <w:name w:val="Date"/>
    <w:basedOn w:val="Normal"/>
    <w:link w:val="DateChar"/>
    <w:semiHidden/>
    <w:rsid w:val="00406C70"/>
    <w:pPr>
      <w:jc w:val="right"/>
    </w:pPr>
  </w:style>
  <w:style w:type="character" w:customStyle="1" w:styleId="DateChar">
    <w:name w:val="Date Char"/>
    <w:basedOn w:val="DefaultParagraphFont"/>
    <w:link w:val="Date"/>
    <w:semiHidden/>
    <w:rsid w:val="0051735A"/>
    <w:rPr>
      <w:rFonts w:ascii="Century Schoolbook" w:eastAsia="Times New Roman" w:hAnsi="Century Schoolbook"/>
      <w:sz w:val="27"/>
      <w:szCs w:val="20"/>
    </w:rPr>
  </w:style>
  <w:style w:type="paragraph" w:styleId="NormalIndent">
    <w:name w:val="Normal Indent"/>
    <w:basedOn w:val="Normal"/>
    <w:semiHidden/>
    <w:rsid w:val="00406C70"/>
    <w:pPr>
      <w:ind w:left="720"/>
    </w:pPr>
  </w:style>
  <w:style w:type="character" w:styleId="PageNumber">
    <w:name w:val="page number"/>
    <w:basedOn w:val="DefaultParagraphFont"/>
    <w:semiHidden/>
    <w:rsid w:val="00406C70"/>
  </w:style>
  <w:style w:type="paragraph" w:customStyle="1" w:styleId="Recommend">
    <w:name w:val="Recommend"/>
    <w:basedOn w:val="Normal"/>
    <w:rsid w:val="00406C70"/>
  </w:style>
  <w:style w:type="paragraph" w:customStyle="1" w:styleId="subject">
    <w:name w:val="subject"/>
    <w:basedOn w:val="Normal"/>
    <w:rsid w:val="00406C70"/>
    <w:pPr>
      <w:tabs>
        <w:tab w:val="left" w:pos="1008"/>
      </w:tabs>
      <w:ind w:left="990" w:hanging="990"/>
    </w:pPr>
    <w:rPr>
      <w:b/>
    </w:rPr>
  </w:style>
  <w:style w:type="paragraph" w:customStyle="1" w:styleId="Summary">
    <w:name w:val="Summary"/>
    <w:basedOn w:val="Normal"/>
    <w:rsid w:val="00406C70"/>
    <w:pPr>
      <w:ind w:left="2160" w:hanging="2160"/>
    </w:pPr>
  </w:style>
  <w:style w:type="paragraph" w:customStyle="1" w:styleId="Title1">
    <w:name w:val="Title1"/>
    <w:basedOn w:val="Normal"/>
    <w:rsid w:val="00406C70"/>
    <w:pPr>
      <w:tabs>
        <w:tab w:val="left" w:pos="5760"/>
        <w:tab w:val="left" w:pos="6480"/>
      </w:tabs>
      <w:spacing w:line="240" w:lineRule="atLeast"/>
    </w:pPr>
  </w:style>
  <w:style w:type="paragraph" w:customStyle="1" w:styleId="Titles">
    <w:name w:val="Titles"/>
    <w:basedOn w:val="Normal"/>
    <w:rsid w:val="00406C70"/>
    <w:pPr>
      <w:tabs>
        <w:tab w:val="left" w:pos="2160"/>
      </w:tabs>
      <w:ind w:left="2160" w:hanging="2160"/>
    </w:pPr>
    <w:rPr>
      <w:b/>
    </w:rPr>
  </w:style>
  <w:style w:type="paragraph" w:styleId="TOAHeading">
    <w:name w:val="toa heading"/>
    <w:basedOn w:val="Normal"/>
    <w:next w:val="Normal"/>
    <w:semiHidden/>
    <w:rsid w:val="00406C70"/>
    <w:pPr>
      <w:spacing w:before="120"/>
    </w:pPr>
    <w:rPr>
      <w:b/>
    </w:rPr>
  </w:style>
  <w:style w:type="paragraph" w:styleId="TOC1">
    <w:name w:val="toc 1"/>
    <w:basedOn w:val="Normal"/>
    <w:next w:val="Normal"/>
    <w:autoRedefine/>
    <w:semiHidden/>
    <w:rsid w:val="00406C70"/>
  </w:style>
  <w:style w:type="paragraph" w:styleId="TOC2">
    <w:name w:val="toc 2"/>
    <w:basedOn w:val="Normal"/>
    <w:next w:val="Normal"/>
    <w:autoRedefine/>
    <w:semiHidden/>
    <w:rsid w:val="00406C70"/>
    <w:pPr>
      <w:ind w:left="259"/>
    </w:pPr>
  </w:style>
  <w:style w:type="paragraph" w:styleId="TOC3">
    <w:name w:val="toc 3"/>
    <w:basedOn w:val="Normal"/>
    <w:next w:val="Normal"/>
    <w:autoRedefine/>
    <w:semiHidden/>
    <w:rsid w:val="00406C70"/>
    <w:pPr>
      <w:ind w:left="520"/>
    </w:pPr>
  </w:style>
  <w:style w:type="paragraph" w:styleId="TOC4">
    <w:name w:val="toc 4"/>
    <w:basedOn w:val="Normal"/>
    <w:next w:val="Normal"/>
    <w:autoRedefine/>
    <w:semiHidden/>
    <w:rsid w:val="00406C70"/>
    <w:pPr>
      <w:ind w:left="780"/>
    </w:pPr>
  </w:style>
  <w:style w:type="paragraph" w:styleId="TOC5">
    <w:name w:val="toc 5"/>
    <w:basedOn w:val="Normal"/>
    <w:next w:val="Normal"/>
    <w:autoRedefine/>
    <w:semiHidden/>
    <w:rsid w:val="00406C70"/>
    <w:pPr>
      <w:ind w:left="1040"/>
    </w:pPr>
  </w:style>
  <w:style w:type="paragraph" w:styleId="TOC6">
    <w:name w:val="toc 6"/>
    <w:basedOn w:val="Normal"/>
    <w:next w:val="Normal"/>
    <w:autoRedefine/>
    <w:semiHidden/>
    <w:rsid w:val="00406C70"/>
    <w:pPr>
      <w:ind w:left="1300"/>
    </w:pPr>
  </w:style>
  <w:style w:type="paragraph" w:styleId="TOC7">
    <w:name w:val="toc 7"/>
    <w:basedOn w:val="Normal"/>
    <w:next w:val="Normal"/>
    <w:autoRedefine/>
    <w:semiHidden/>
    <w:rsid w:val="00406C70"/>
    <w:pPr>
      <w:ind w:left="1560"/>
    </w:pPr>
  </w:style>
  <w:style w:type="paragraph" w:styleId="TOC8">
    <w:name w:val="toc 8"/>
    <w:basedOn w:val="Normal"/>
    <w:next w:val="Normal"/>
    <w:autoRedefine/>
    <w:semiHidden/>
    <w:rsid w:val="00406C70"/>
    <w:pPr>
      <w:ind w:left="1820"/>
    </w:pPr>
  </w:style>
  <w:style w:type="paragraph" w:styleId="TOC9">
    <w:name w:val="toc 9"/>
    <w:basedOn w:val="Normal"/>
    <w:next w:val="Normal"/>
    <w:autoRedefine/>
    <w:semiHidden/>
    <w:rsid w:val="00406C70"/>
    <w:pPr>
      <w:ind w:left="2080"/>
    </w:pPr>
  </w:style>
  <w:style w:type="paragraph" w:customStyle="1" w:styleId="Contents">
    <w:name w:val="Contents"/>
    <w:basedOn w:val="Normal"/>
    <w:rsid w:val="00406C70"/>
    <w:pPr>
      <w:jc w:val="center"/>
    </w:pPr>
    <w:rPr>
      <w:b/>
      <w:spacing w:val="100"/>
    </w:rPr>
  </w:style>
  <w:style w:type="paragraph" w:styleId="BodyText">
    <w:name w:val="Body Text"/>
    <w:basedOn w:val="Normal"/>
    <w:link w:val="BodyTextChar"/>
    <w:qFormat/>
    <w:rsid w:val="00406C70"/>
  </w:style>
  <w:style w:type="character" w:customStyle="1" w:styleId="BodyTextChar">
    <w:name w:val="Body Text Char"/>
    <w:basedOn w:val="DefaultParagraphFont"/>
    <w:link w:val="BodyText"/>
    <w:rsid w:val="00406C70"/>
    <w:rPr>
      <w:rFonts w:ascii="Century Schoolbook" w:eastAsia="Times New Roman"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2115-F68D-4B0E-9154-F984AD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2024-02-07T19:23:50Z</dcterms:created>
  <dcterms:modified xsi:type="dcterms:W3CDTF">2024-02-07T19:23:50Z</dcterms:modified>
</cp:coreProperties>
</file>