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A8094" w14:textId="77777777" w:rsidR="00F649CE" w:rsidRPr="00D91C85" w:rsidRDefault="00590CB4" w:rsidP="00F649CE">
      <w:pPr>
        <w:tabs>
          <w:tab w:val="left" w:pos="1440"/>
          <w:tab w:val="left" w:pos="4680"/>
          <w:tab w:val="center" w:pos="7200"/>
        </w:tabs>
        <w:spacing w:after="0"/>
        <w:jc w:val="center"/>
        <w:rPr>
          <w:sz w:val="36"/>
        </w:rPr>
      </w:pPr>
      <w:bookmarkStart w:id="0" w:name="MarkDocLoc"/>
      <w:bookmarkStart w:id="1" w:name="_Hlk151364507"/>
      <w:bookmarkEnd w:id="0"/>
      <w:r w:rsidRPr="00D91C85">
        <w:rPr>
          <w:b/>
          <w:sz w:val="36"/>
        </w:rPr>
        <w:t>IN THE SUPREME COURT OF CALIFORNIA</w:t>
      </w:r>
    </w:p>
    <w:p w14:paraId="32AA8095" w14:textId="77777777" w:rsidR="00295DAB" w:rsidRDefault="00295DAB" w:rsidP="00295DAB">
      <w:pPr>
        <w:jc w:val="center"/>
        <w:rPr>
          <w:spacing w:val="100"/>
        </w:rPr>
      </w:pPr>
    </w:p>
    <w:p w14:paraId="32AA8096" w14:textId="77777777" w:rsidR="00295DAB" w:rsidRPr="00F649CE" w:rsidRDefault="00590CB4" w:rsidP="00F80E43">
      <w:pPr>
        <w:spacing w:after="0"/>
        <w:jc w:val="center"/>
      </w:pPr>
      <w:r w:rsidRPr="00F649CE">
        <w:t>TATANA SPICAKOVA ROMERO et al.</w:t>
      </w:r>
      <w:r w:rsidR="00F649CE">
        <w:t>,</w:t>
      </w:r>
    </w:p>
    <w:p w14:paraId="32AA8097" w14:textId="77777777" w:rsidR="00295DAB" w:rsidRPr="00F649CE" w:rsidRDefault="00590CB4" w:rsidP="00F80E43">
      <w:pPr>
        <w:spacing w:after="0"/>
        <w:jc w:val="center"/>
      </w:pPr>
      <w:r w:rsidRPr="00F649CE">
        <w:t>Plaintiffs, Cross-defendants</w:t>
      </w:r>
      <w:r w:rsidR="00F649CE" w:rsidRPr="00F649CE">
        <w:t xml:space="preserve"> and Appellants</w:t>
      </w:r>
      <w:r w:rsidR="00F649CE">
        <w:t>,</w:t>
      </w:r>
    </w:p>
    <w:p w14:paraId="32AA8098" w14:textId="77777777" w:rsidR="00295DAB" w:rsidRPr="00F649CE" w:rsidRDefault="00590CB4" w:rsidP="00295DAB">
      <w:pPr>
        <w:jc w:val="center"/>
      </w:pPr>
      <w:r w:rsidRPr="00F649CE">
        <w:t>v.</w:t>
      </w:r>
    </w:p>
    <w:p w14:paraId="32AA8099" w14:textId="77777777" w:rsidR="00295DAB" w:rsidRPr="00F649CE" w:rsidRDefault="00590CB4" w:rsidP="00F80E43">
      <w:pPr>
        <w:spacing w:after="0"/>
        <w:jc w:val="center"/>
      </w:pPr>
      <w:r w:rsidRPr="00F649CE">
        <w:t>LI-CHUAN SHIH et al.</w:t>
      </w:r>
      <w:r w:rsidR="00F649CE">
        <w:t>,</w:t>
      </w:r>
    </w:p>
    <w:p w14:paraId="32AA809A" w14:textId="77777777" w:rsidR="00295DAB" w:rsidRDefault="00590CB4" w:rsidP="00013F03">
      <w:pPr>
        <w:jc w:val="center"/>
      </w:pPr>
      <w:r w:rsidRPr="00F649CE">
        <w:t>Defendants, Cross-complainants and Respondents</w:t>
      </w:r>
      <w:r w:rsidR="00A46183">
        <w:t>;</w:t>
      </w:r>
    </w:p>
    <w:p w14:paraId="32AA809B" w14:textId="77777777" w:rsidR="00A46183" w:rsidRDefault="00590CB4" w:rsidP="00F80E43">
      <w:pPr>
        <w:spacing w:after="0"/>
        <w:jc w:val="center"/>
      </w:pPr>
      <w:r>
        <w:t>U.S. BANK NATIONAL ASSOCIATION,</w:t>
      </w:r>
    </w:p>
    <w:p w14:paraId="32AA809C" w14:textId="77777777" w:rsidR="00A46183" w:rsidRPr="00F649CE" w:rsidRDefault="00590CB4" w:rsidP="00F80E43">
      <w:pPr>
        <w:spacing w:after="0"/>
        <w:jc w:val="center"/>
      </w:pPr>
      <w:r>
        <w:t xml:space="preserve">Cross-defendant and </w:t>
      </w:r>
      <w:r>
        <w:t>Respondent.</w:t>
      </w:r>
    </w:p>
    <w:p w14:paraId="32AA809D" w14:textId="77777777" w:rsidR="00295DAB" w:rsidRPr="00F649CE" w:rsidRDefault="00295DAB" w:rsidP="00F80E43">
      <w:pPr>
        <w:spacing w:after="0"/>
        <w:jc w:val="center"/>
      </w:pPr>
    </w:p>
    <w:p w14:paraId="32AA809E" w14:textId="77777777" w:rsidR="00295DAB" w:rsidRPr="00F649CE" w:rsidRDefault="00590CB4" w:rsidP="00F80E43">
      <w:pPr>
        <w:spacing w:after="0"/>
        <w:jc w:val="center"/>
      </w:pPr>
      <w:r w:rsidRPr="00F649CE">
        <w:t>S275023</w:t>
      </w:r>
    </w:p>
    <w:p w14:paraId="32AA809F" w14:textId="77777777" w:rsidR="00295DAB" w:rsidRDefault="00295DAB" w:rsidP="00F80E43">
      <w:pPr>
        <w:tabs>
          <w:tab w:val="left" w:pos="1440"/>
          <w:tab w:val="left" w:pos="4680"/>
          <w:tab w:val="center" w:pos="7200"/>
        </w:tabs>
        <w:spacing w:after="0"/>
        <w:jc w:val="center"/>
        <w:rPr>
          <w:spacing w:val="100"/>
        </w:rPr>
      </w:pPr>
    </w:p>
    <w:p w14:paraId="32AA80A0" w14:textId="77777777" w:rsidR="00295DAB" w:rsidRPr="00F649CE" w:rsidRDefault="00590CB4" w:rsidP="00F80E43">
      <w:pPr>
        <w:spacing w:after="0"/>
        <w:jc w:val="center"/>
      </w:pPr>
      <w:r w:rsidRPr="00F649CE">
        <w:t>Second Appellate District, Division Eight</w:t>
      </w:r>
    </w:p>
    <w:p w14:paraId="32AA80A1" w14:textId="77777777" w:rsidR="00295DAB" w:rsidRPr="00F649CE" w:rsidRDefault="00590CB4" w:rsidP="00F80E43">
      <w:pPr>
        <w:spacing w:after="0"/>
        <w:jc w:val="center"/>
      </w:pPr>
      <w:r w:rsidRPr="00F649CE">
        <w:t>B310069</w:t>
      </w:r>
    </w:p>
    <w:p w14:paraId="32AA80A2" w14:textId="77777777" w:rsidR="00295DAB" w:rsidRPr="00F649CE" w:rsidRDefault="00295DAB" w:rsidP="00F80E43">
      <w:pPr>
        <w:spacing w:after="0"/>
        <w:jc w:val="center"/>
      </w:pPr>
    </w:p>
    <w:p w14:paraId="32AA80A3" w14:textId="77777777" w:rsidR="00295DAB" w:rsidRPr="00F649CE" w:rsidRDefault="00590CB4" w:rsidP="00F80E43">
      <w:pPr>
        <w:spacing w:after="0"/>
        <w:jc w:val="center"/>
      </w:pPr>
      <w:r w:rsidRPr="00F649CE">
        <w:t>Los Angeles County</w:t>
      </w:r>
      <w:r w:rsidR="00F649CE">
        <w:t xml:space="preserve"> </w:t>
      </w:r>
      <w:r w:rsidR="00F649CE" w:rsidRPr="00F649CE">
        <w:t>Superior Court</w:t>
      </w:r>
    </w:p>
    <w:p w14:paraId="32AA80A4" w14:textId="77777777" w:rsidR="00295DAB" w:rsidRPr="00F649CE" w:rsidRDefault="00590CB4" w:rsidP="00F80E43">
      <w:pPr>
        <w:pBdr>
          <w:bottom w:val="single" w:sz="4" w:space="1" w:color="auto"/>
        </w:pBdr>
        <w:spacing w:after="0"/>
        <w:jc w:val="center"/>
      </w:pPr>
      <w:r w:rsidRPr="00F649CE">
        <w:t>EC064933</w:t>
      </w:r>
    </w:p>
    <w:p w14:paraId="32AA80A5" w14:textId="77777777" w:rsidR="00A46183" w:rsidRPr="00D91C85" w:rsidRDefault="00A46183" w:rsidP="00A46183">
      <w:pPr>
        <w:pBdr>
          <w:bottom w:val="single" w:sz="4" w:space="1" w:color="auto"/>
        </w:pBdr>
        <w:tabs>
          <w:tab w:val="left" w:pos="1440"/>
          <w:tab w:val="left" w:pos="4680"/>
          <w:tab w:val="center" w:pos="7200"/>
        </w:tabs>
        <w:spacing w:after="0"/>
        <w:jc w:val="center"/>
      </w:pPr>
    </w:p>
    <w:p w14:paraId="32AA80A6" w14:textId="77777777" w:rsidR="002D2DDA" w:rsidRPr="00D91C85" w:rsidRDefault="002D2DDA" w:rsidP="002D2DDA">
      <w:pPr>
        <w:tabs>
          <w:tab w:val="left" w:pos="1440"/>
          <w:tab w:val="left" w:pos="4680"/>
          <w:tab w:val="center" w:pos="7200"/>
        </w:tabs>
        <w:spacing w:after="0"/>
        <w:jc w:val="center"/>
      </w:pPr>
    </w:p>
    <w:p w14:paraId="32AA80A7" w14:textId="77777777" w:rsidR="002D2DDA" w:rsidRPr="00D91C85" w:rsidRDefault="00590CB4" w:rsidP="002D2DDA">
      <w:pPr>
        <w:tabs>
          <w:tab w:val="left" w:pos="1440"/>
          <w:tab w:val="left" w:pos="4680"/>
          <w:tab w:val="center" w:pos="7200"/>
        </w:tabs>
        <w:spacing w:after="0"/>
        <w:jc w:val="center"/>
      </w:pPr>
      <w:r>
        <w:t>February 1</w:t>
      </w:r>
      <w:r w:rsidRPr="00D91C85">
        <w:t>, 202</w:t>
      </w:r>
      <w:r>
        <w:t>4</w:t>
      </w:r>
    </w:p>
    <w:p w14:paraId="32AA80A8" w14:textId="77777777" w:rsidR="002D2DDA" w:rsidRPr="00D91C85" w:rsidRDefault="002D2DDA" w:rsidP="002D2DDA">
      <w:pPr>
        <w:tabs>
          <w:tab w:val="left" w:pos="1440"/>
          <w:tab w:val="left" w:pos="4680"/>
          <w:tab w:val="center" w:pos="7200"/>
        </w:tabs>
        <w:spacing w:after="0"/>
        <w:jc w:val="center"/>
      </w:pPr>
    </w:p>
    <w:p w14:paraId="32AA80A9" w14:textId="77777777" w:rsidR="002D2DDA" w:rsidRPr="00043285" w:rsidRDefault="00590CB4" w:rsidP="002D2DDA">
      <w:pPr>
        <w:tabs>
          <w:tab w:val="left" w:pos="1440"/>
        </w:tabs>
        <w:spacing w:after="0"/>
        <w:jc w:val="left"/>
      </w:pPr>
      <w:r>
        <w:t xml:space="preserve">Justice Kruger authored the opinion of the Court, in which Chief Justice Guerrero and Justices Corrigan, Liu, </w:t>
      </w:r>
      <w:r>
        <w:t>Groban, Jenkins, and Evans concurred.</w:t>
      </w:r>
    </w:p>
    <w:p w14:paraId="32AA80AA" w14:textId="77777777" w:rsidR="00A46183" w:rsidRPr="00D91C85" w:rsidRDefault="00A46183" w:rsidP="00A46183">
      <w:pPr>
        <w:pBdr>
          <w:bottom w:val="single" w:sz="4" w:space="1" w:color="auto"/>
        </w:pBdr>
        <w:tabs>
          <w:tab w:val="left" w:pos="1440"/>
          <w:tab w:val="left" w:pos="4680"/>
          <w:tab w:val="center" w:pos="7200"/>
        </w:tabs>
        <w:spacing w:line="480" w:lineRule="atLeast"/>
        <w:jc w:val="left"/>
      </w:pPr>
      <w:bookmarkStart w:id="2" w:name="Return"/>
      <w:bookmarkEnd w:id="2"/>
    </w:p>
    <w:p w14:paraId="32AA80AB" w14:textId="77777777" w:rsidR="00A46183" w:rsidRPr="00D91C85" w:rsidRDefault="00A46183" w:rsidP="00A46183">
      <w:pPr>
        <w:tabs>
          <w:tab w:val="left" w:pos="1440"/>
          <w:tab w:val="left" w:pos="4680"/>
          <w:tab w:val="center" w:pos="7200"/>
        </w:tabs>
        <w:spacing w:line="480" w:lineRule="atLeast"/>
        <w:sectPr w:rsidR="00A46183" w:rsidRPr="00D91C85" w:rsidSect="00D91C85">
          <w:headerReference w:type="default" r:id="rId11"/>
          <w:footerReference w:type="default" r:id="rId12"/>
          <w:headerReference w:type="first" r:id="rId13"/>
          <w:pgSz w:w="12240" w:h="15840"/>
          <w:pgMar w:top="1800" w:right="2160" w:bottom="1440" w:left="2160" w:header="720" w:footer="720" w:gutter="0"/>
          <w:cols w:space="720"/>
          <w:titlePg/>
          <w:docGrid w:linePitch="367"/>
        </w:sectPr>
      </w:pPr>
    </w:p>
    <w:p w14:paraId="32AA80AC" w14:textId="77777777" w:rsidR="00F649CE" w:rsidRDefault="00590CB4" w:rsidP="00F649CE">
      <w:pPr>
        <w:keepNext/>
        <w:tabs>
          <w:tab w:val="left" w:pos="1440"/>
        </w:tabs>
        <w:jc w:val="center"/>
      </w:pPr>
      <w:r>
        <w:lastRenderedPageBreak/>
        <w:t>ROMERO v. SHIH</w:t>
      </w:r>
    </w:p>
    <w:p w14:paraId="32AA80AD" w14:textId="77777777" w:rsidR="00F649CE" w:rsidRDefault="00590CB4" w:rsidP="00F649CE">
      <w:pPr>
        <w:keepNext/>
        <w:tabs>
          <w:tab w:val="left" w:pos="1440"/>
        </w:tabs>
        <w:jc w:val="center"/>
      </w:pPr>
      <w:r>
        <w:t>S</w:t>
      </w:r>
      <w:r w:rsidR="00A46183">
        <w:t>275023</w:t>
      </w:r>
    </w:p>
    <w:p w14:paraId="32AA80AE" w14:textId="77777777" w:rsidR="00F649CE" w:rsidRDefault="00F649CE" w:rsidP="00F649CE">
      <w:pPr>
        <w:keepNext/>
        <w:tabs>
          <w:tab w:val="left" w:pos="1440"/>
        </w:tabs>
        <w:jc w:val="center"/>
      </w:pPr>
    </w:p>
    <w:p w14:paraId="32AA80AF" w14:textId="77777777" w:rsidR="00F649CE" w:rsidRDefault="00590CB4" w:rsidP="00F649CE">
      <w:pPr>
        <w:keepNext/>
        <w:tabs>
          <w:tab w:val="left" w:pos="1440"/>
        </w:tabs>
        <w:jc w:val="center"/>
      </w:pPr>
      <w:r>
        <w:t xml:space="preserve">Opinion of the Court by </w:t>
      </w:r>
      <w:r w:rsidR="00A46183">
        <w:t>Kruger,</w:t>
      </w:r>
      <w:r w:rsidRPr="00D91C85">
        <w:t> </w:t>
      </w:r>
      <w:r>
        <w:t>J.</w:t>
      </w:r>
    </w:p>
    <w:p w14:paraId="32AA80B0" w14:textId="77777777" w:rsidR="00F649CE" w:rsidRDefault="00F649CE" w:rsidP="00F649CE">
      <w:pPr>
        <w:keepNext/>
        <w:tabs>
          <w:tab w:val="left" w:pos="1440"/>
        </w:tabs>
        <w:jc w:val="center"/>
      </w:pPr>
    </w:p>
    <w:p w14:paraId="32AA80B1" w14:textId="77777777" w:rsidR="005D7FEB" w:rsidRDefault="00590CB4" w:rsidP="00C5395F">
      <w:pPr>
        <w:ind w:firstLine="720"/>
        <w:rPr>
          <w:szCs w:val="26"/>
        </w:rPr>
      </w:pPr>
      <w:r>
        <w:rPr>
          <w:szCs w:val="26"/>
        </w:rPr>
        <w:t xml:space="preserve">This </w:t>
      </w:r>
      <w:r w:rsidR="00E327C9">
        <w:rPr>
          <w:szCs w:val="26"/>
        </w:rPr>
        <w:t xml:space="preserve">dispute over a residential driveway in Sierra Madre raises a significant question about the </w:t>
      </w:r>
      <w:r>
        <w:rPr>
          <w:szCs w:val="26"/>
        </w:rPr>
        <w:t xml:space="preserve">law of easements.  </w:t>
      </w:r>
      <w:r w:rsidR="00625DDF">
        <w:rPr>
          <w:szCs w:val="26"/>
        </w:rPr>
        <w:t xml:space="preserve">Under </w:t>
      </w:r>
      <w:r w:rsidR="00D8302A">
        <w:rPr>
          <w:szCs w:val="26"/>
        </w:rPr>
        <w:t xml:space="preserve">California </w:t>
      </w:r>
      <w:r w:rsidR="00625DDF">
        <w:rPr>
          <w:szCs w:val="26"/>
        </w:rPr>
        <w:t xml:space="preserve">law, </w:t>
      </w:r>
      <w:r w:rsidR="00D8302A">
        <w:rPr>
          <w:szCs w:val="26"/>
        </w:rPr>
        <w:t xml:space="preserve">the parties to </w:t>
      </w:r>
      <w:r w:rsidR="005E7AFA">
        <w:rPr>
          <w:szCs w:val="26"/>
        </w:rPr>
        <w:t xml:space="preserve">a sale </w:t>
      </w:r>
      <w:r w:rsidR="00D8302A">
        <w:rPr>
          <w:szCs w:val="26"/>
        </w:rPr>
        <w:t xml:space="preserve">of real property </w:t>
      </w:r>
      <w:r w:rsidR="0007290A">
        <w:rPr>
          <w:szCs w:val="26"/>
        </w:rPr>
        <w:t xml:space="preserve">may grant or reserve </w:t>
      </w:r>
      <w:r w:rsidR="00885EFD">
        <w:rPr>
          <w:szCs w:val="26"/>
        </w:rPr>
        <w:t>easements</w:t>
      </w:r>
      <w:r w:rsidR="00242848">
        <w:rPr>
          <w:szCs w:val="26"/>
        </w:rPr>
        <w:t xml:space="preserve"> as part of </w:t>
      </w:r>
      <w:r w:rsidR="00D8302A">
        <w:rPr>
          <w:szCs w:val="26"/>
        </w:rPr>
        <w:t xml:space="preserve">the </w:t>
      </w:r>
      <w:r w:rsidR="00242848">
        <w:rPr>
          <w:szCs w:val="26"/>
        </w:rPr>
        <w:t>transaction</w:t>
      </w:r>
      <w:r w:rsidR="008C3218">
        <w:rPr>
          <w:szCs w:val="26"/>
        </w:rPr>
        <w:t xml:space="preserve">.  </w:t>
      </w:r>
      <w:r w:rsidR="0007290A">
        <w:rPr>
          <w:szCs w:val="26"/>
        </w:rPr>
        <w:t>This may be done expressly</w:t>
      </w:r>
      <w:r w:rsidR="00C47DCF">
        <w:rPr>
          <w:szCs w:val="26"/>
        </w:rPr>
        <w:t>,</w:t>
      </w:r>
      <w:r w:rsidR="0007290A">
        <w:rPr>
          <w:szCs w:val="26"/>
        </w:rPr>
        <w:t xml:space="preserve"> </w:t>
      </w:r>
      <w:r w:rsidR="00575B4D">
        <w:rPr>
          <w:szCs w:val="26"/>
        </w:rPr>
        <w:t xml:space="preserve">in a written instrument, </w:t>
      </w:r>
      <w:r w:rsidR="0007290A">
        <w:rPr>
          <w:szCs w:val="26"/>
        </w:rPr>
        <w:t>or impliedly</w:t>
      </w:r>
      <w:r w:rsidR="00575B4D">
        <w:rPr>
          <w:szCs w:val="26"/>
        </w:rPr>
        <w:t>, based on clear evidence of the parties’ intent</w:t>
      </w:r>
      <w:r w:rsidR="0007290A">
        <w:rPr>
          <w:szCs w:val="26"/>
        </w:rPr>
        <w:t xml:space="preserve">.  </w:t>
      </w:r>
      <w:r w:rsidR="00E15274">
        <w:rPr>
          <w:szCs w:val="26"/>
        </w:rPr>
        <w:t xml:space="preserve">In this case, </w:t>
      </w:r>
      <w:r w:rsidR="00387EF9">
        <w:rPr>
          <w:szCs w:val="26"/>
        </w:rPr>
        <w:t>the trial court concluded</w:t>
      </w:r>
      <w:r w:rsidR="00260E9D">
        <w:rPr>
          <w:szCs w:val="26"/>
        </w:rPr>
        <w:t xml:space="preserve"> that the parties to </w:t>
      </w:r>
      <w:r w:rsidR="005C6821">
        <w:rPr>
          <w:szCs w:val="26"/>
        </w:rPr>
        <w:t xml:space="preserve">a </w:t>
      </w:r>
      <w:r w:rsidR="00AD3CD5">
        <w:rPr>
          <w:szCs w:val="26"/>
        </w:rPr>
        <w:t xml:space="preserve">1986 </w:t>
      </w:r>
      <w:r w:rsidR="00260E9D">
        <w:rPr>
          <w:szCs w:val="26"/>
        </w:rPr>
        <w:t xml:space="preserve">division and sale of two adjacent residential properties </w:t>
      </w:r>
      <w:r w:rsidR="00CB5D15">
        <w:rPr>
          <w:szCs w:val="26"/>
        </w:rPr>
        <w:t xml:space="preserve">intended to create </w:t>
      </w:r>
      <w:r w:rsidR="00576691">
        <w:rPr>
          <w:szCs w:val="26"/>
        </w:rPr>
        <w:t xml:space="preserve">an implied easement over </w:t>
      </w:r>
      <w:r w:rsidR="00304272">
        <w:rPr>
          <w:szCs w:val="26"/>
        </w:rPr>
        <w:t xml:space="preserve">an </w:t>
      </w:r>
      <w:r w:rsidR="007333C0">
        <w:rPr>
          <w:szCs w:val="26"/>
        </w:rPr>
        <w:t xml:space="preserve">eight-foot-wide strip of land </w:t>
      </w:r>
      <w:r w:rsidR="007F49BF">
        <w:rPr>
          <w:szCs w:val="26"/>
        </w:rPr>
        <w:t>that belong</w:t>
      </w:r>
      <w:r w:rsidR="00CA2B4C">
        <w:rPr>
          <w:szCs w:val="26"/>
        </w:rPr>
        <w:t>ed</w:t>
      </w:r>
      <w:r w:rsidR="007F49BF">
        <w:rPr>
          <w:szCs w:val="26"/>
        </w:rPr>
        <w:t xml:space="preserve"> to one parcel, but </w:t>
      </w:r>
      <w:r w:rsidR="002D5F8A">
        <w:rPr>
          <w:szCs w:val="26"/>
        </w:rPr>
        <w:t xml:space="preserve">that </w:t>
      </w:r>
      <w:r w:rsidR="00CA2B4C">
        <w:rPr>
          <w:szCs w:val="26"/>
        </w:rPr>
        <w:t xml:space="preserve">had been </w:t>
      </w:r>
      <w:r w:rsidR="007F49BF">
        <w:rPr>
          <w:szCs w:val="26"/>
        </w:rPr>
        <w:t>used as the driveway to the home on the neighboring parcel.</w:t>
      </w:r>
      <w:r w:rsidR="00312A26">
        <w:rPr>
          <w:szCs w:val="26"/>
        </w:rPr>
        <w:t xml:space="preserve">  As a consequence, the current owners of the neighboring parcel may continue to use that strip of land as a driveway.</w:t>
      </w:r>
    </w:p>
    <w:p w14:paraId="32AA80B2" w14:textId="77777777" w:rsidR="001D031B" w:rsidRPr="00604925" w:rsidRDefault="00590CB4" w:rsidP="006F6960">
      <w:pPr>
        <w:ind w:firstLine="720"/>
        <w:rPr>
          <w:szCs w:val="26"/>
        </w:rPr>
      </w:pPr>
      <w:r>
        <w:rPr>
          <w:szCs w:val="26"/>
        </w:rPr>
        <w:t xml:space="preserve">The Court of Appeal reversed.  </w:t>
      </w:r>
      <w:r w:rsidR="00EF0E84">
        <w:rPr>
          <w:szCs w:val="26"/>
        </w:rPr>
        <w:t>The court</w:t>
      </w:r>
      <w:r w:rsidR="008F0EAA">
        <w:rPr>
          <w:szCs w:val="26"/>
        </w:rPr>
        <w:t xml:space="preserve"> </w:t>
      </w:r>
      <w:r w:rsidR="003517B0">
        <w:rPr>
          <w:szCs w:val="26"/>
        </w:rPr>
        <w:t xml:space="preserve">concluded </w:t>
      </w:r>
      <w:r w:rsidR="008F0EAA">
        <w:rPr>
          <w:szCs w:val="26"/>
        </w:rPr>
        <w:t>that</w:t>
      </w:r>
      <w:r w:rsidR="00635644">
        <w:rPr>
          <w:szCs w:val="26"/>
        </w:rPr>
        <w:t xml:space="preserve"> regardless of what the parties </w:t>
      </w:r>
      <w:r w:rsidR="00787964">
        <w:rPr>
          <w:szCs w:val="26"/>
        </w:rPr>
        <w:t>to th</w:t>
      </w:r>
      <w:r w:rsidR="004B7F1D">
        <w:rPr>
          <w:szCs w:val="26"/>
        </w:rPr>
        <w:t xml:space="preserve">e </w:t>
      </w:r>
      <w:r w:rsidR="00193294">
        <w:rPr>
          <w:szCs w:val="26"/>
        </w:rPr>
        <w:t xml:space="preserve">1986 </w:t>
      </w:r>
      <w:r w:rsidR="004B7F1D">
        <w:rPr>
          <w:szCs w:val="26"/>
        </w:rPr>
        <w:t xml:space="preserve">sale </w:t>
      </w:r>
      <w:r w:rsidR="00635644">
        <w:rPr>
          <w:szCs w:val="26"/>
        </w:rPr>
        <w:t xml:space="preserve">might have intended, </w:t>
      </w:r>
      <w:r w:rsidR="003A7ED0">
        <w:rPr>
          <w:szCs w:val="26"/>
        </w:rPr>
        <w:t xml:space="preserve">the </w:t>
      </w:r>
      <w:r w:rsidR="008F0EAA">
        <w:rPr>
          <w:szCs w:val="26"/>
        </w:rPr>
        <w:t xml:space="preserve">law prohibits </w:t>
      </w:r>
      <w:r w:rsidR="00ED4AE2" w:rsidRPr="00295DAB">
        <w:rPr>
          <w:szCs w:val="26"/>
        </w:rPr>
        <w:t xml:space="preserve">a court from recognizing an implied easement that </w:t>
      </w:r>
      <w:r w:rsidR="00EA30D1">
        <w:rPr>
          <w:szCs w:val="26"/>
        </w:rPr>
        <w:t xml:space="preserve">precludes </w:t>
      </w:r>
      <w:r w:rsidR="00ED4AE2" w:rsidRPr="00295DAB">
        <w:rPr>
          <w:szCs w:val="26"/>
        </w:rPr>
        <w:t xml:space="preserve">the property owners from </w:t>
      </w:r>
      <w:r w:rsidR="00EA30D1">
        <w:rPr>
          <w:szCs w:val="26"/>
        </w:rPr>
        <w:t xml:space="preserve">making </w:t>
      </w:r>
      <w:r w:rsidR="0034742F">
        <w:rPr>
          <w:szCs w:val="26"/>
        </w:rPr>
        <w:t xml:space="preserve">all or most </w:t>
      </w:r>
      <w:r w:rsidR="00ED4AE2" w:rsidRPr="00295DAB">
        <w:rPr>
          <w:szCs w:val="26"/>
        </w:rPr>
        <w:t>practical use</w:t>
      </w:r>
      <w:r w:rsidR="0034742F">
        <w:rPr>
          <w:szCs w:val="26"/>
        </w:rPr>
        <w:t>s</w:t>
      </w:r>
      <w:r w:rsidR="00ED4AE2" w:rsidRPr="00295DAB">
        <w:rPr>
          <w:szCs w:val="26"/>
        </w:rPr>
        <w:t xml:space="preserve"> of the easement area.  </w:t>
      </w:r>
      <w:r w:rsidR="00C61078">
        <w:rPr>
          <w:szCs w:val="26"/>
        </w:rPr>
        <w:t xml:space="preserve">Because </w:t>
      </w:r>
      <w:r w:rsidR="00DC113E">
        <w:rPr>
          <w:szCs w:val="26"/>
        </w:rPr>
        <w:t>recogniz</w:t>
      </w:r>
      <w:r w:rsidR="00F75663">
        <w:rPr>
          <w:szCs w:val="26"/>
        </w:rPr>
        <w:t>ing</w:t>
      </w:r>
      <w:r w:rsidR="00DC113E">
        <w:rPr>
          <w:szCs w:val="26"/>
        </w:rPr>
        <w:t xml:space="preserve"> </w:t>
      </w:r>
      <w:r w:rsidR="00083769">
        <w:rPr>
          <w:szCs w:val="26"/>
        </w:rPr>
        <w:t xml:space="preserve">the </w:t>
      </w:r>
      <w:r w:rsidR="00DC113E">
        <w:rPr>
          <w:szCs w:val="26"/>
        </w:rPr>
        <w:t xml:space="preserve">neighbors’ nonpossessory right to use the land as a driveway </w:t>
      </w:r>
      <w:r w:rsidR="00954989">
        <w:rPr>
          <w:szCs w:val="26"/>
        </w:rPr>
        <w:t xml:space="preserve">would </w:t>
      </w:r>
      <w:r w:rsidR="00DD4BB3">
        <w:rPr>
          <w:szCs w:val="26"/>
        </w:rPr>
        <w:t xml:space="preserve">effectively </w:t>
      </w:r>
      <w:r>
        <w:rPr>
          <w:szCs w:val="26"/>
        </w:rPr>
        <w:t xml:space="preserve">prevent </w:t>
      </w:r>
      <w:r w:rsidR="00954989">
        <w:rPr>
          <w:szCs w:val="26"/>
        </w:rPr>
        <w:t xml:space="preserve">the </w:t>
      </w:r>
      <w:r w:rsidR="008E4A4A">
        <w:rPr>
          <w:szCs w:val="26"/>
        </w:rPr>
        <w:t xml:space="preserve">property </w:t>
      </w:r>
      <w:r w:rsidR="00954989">
        <w:rPr>
          <w:szCs w:val="26"/>
        </w:rPr>
        <w:t xml:space="preserve">owners from </w:t>
      </w:r>
      <w:r w:rsidR="00DD4BB3">
        <w:rPr>
          <w:szCs w:val="26"/>
        </w:rPr>
        <w:t xml:space="preserve">using the land for their own purposes, </w:t>
      </w:r>
      <w:r w:rsidR="00897AE9">
        <w:rPr>
          <w:szCs w:val="26"/>
        </w:rPr>
        <w:t xml:space="preserve">the Court of Appeal </w:t>
      </w:r>
      <w:r w:rsidR="00311065">
        <w:rPr>
          <w:szCs w:val="26"/>
        </w:rPr>
        <w:t xml:space="preserve">concluded that </w:t>
      </w:r>
      <w:r w:rsidR="00907E50">
        <w:rPr>
          <w:szCs w:val="26"/>
        </w:rPr>
        <w:t xml:space="preserve">the </w:t>
      </w:r>
      <w:r w:rsidR="0013561E">
        <w:rPr>
          <w:szCs w:val="26"/>
        </w:rPr>
        <w:t xml:space="preserve">easement </w:t>
      </w:r>
      <w:r w:rsidR="00311065">
        <w:rPr>
          <w:szCs w:val="26"/>
        </w:rPr>
        <w:t xml:space="preserve">could </w:t>
      </w:r>
      <w:r w:rsidR="00C4721A">
        <w:rPr>
          <w:szCs w:val="26"/>
        </w:rPr>
        <w:t xml:space="preserve">have </w:t>
      </w:r>
      <w:r w:rsidR="00311065">
        <w:rPr>
          <w:szCs w:val="26"/>
        </w:rPr>
        <w:t>be</w:t>
      </w:r>
      <w:r w:rsidR="00C4721A">
        <w:rPr>
          <w:szCs w:val="26"/>
        </w:rPr>
        <w:t>en</w:t>
      </w:r>
      <w:r w:rsidR="00311065">
        <w:rPr>
          <w:szCs w:val="26"/>
        </w:rPr>
        <w:t xml:space="preserve"> </w:t>
      </w:r>
      <w:r w:rsidR="00574117">
        <w:rPr>
          <w:szCs w:val="26"/>
        </w:rPr>
        <w:t xml:space="preserve">created </w:t>
      </w:r>
      <w:r w:rsidR="00311065">
        <w:rPr>
          <w:szCs w:val="26"/>
        </w:rPr>
        <w:t xml:space="preserve">only </w:t>
      </w:r>
      <w:r w:rsidR="002B0647">
        <w:rPr>
          <w:szCs w:val="26"/>
        </w:rPr>
        <w:t>in a written instrument</w:t>
      </w:r>
      <w:r w:rsidR="005F2920">
        <w:rPr>
          <w:szCs w:val="26"/>
        </w:rPr>
        <w:t xml:space="preserve"> and not by implication</w:t>
      </w:r>
      <w:r w:rsidR="007D2435">
        <w:rPr>
          <w:szCs w:val="26"/>
        </w:rPr>
        <w:t>.</w:t>
      </w:r>
    </w:p>
    <w:p w14:paraId="32AA80B3" w14:textId="77777777" w:rsidR="0013561E" w:rsidRDefault="00590CB4" w:rsidP="007C4138">
      <w:pPr>
        <w:ind w:firstLine="720"/>
        <w:rPr>
          <w:szCs w:val="26"/>
        </w:rPr>
      </w:pPr>
      <w:r>
        <w:rPr>
          <w:szCs w:val="26"/>
        </w:rPr>
        <w:lastRenderedPageBreak/>
        <w:t>We</w:t>
      </w:r>
      <w:r w:rsidR="00024FF2" w:rsidRPr="00295DAB">
        <w:rPr>
          <w:szCs w:val="26"/>
        </w:rPr>
        <w:t xml:space="preserve"> </w:t>
      </w:r>
      <w:r w:rsidR="00BA6B01">
        <w:rPr>
          <w:szCs w:val="26"/>
        </w:rPr>
        <w:t>took</w:t>
      </w:r>
      <w:r w:rsidR="00170B58">
        <w:rPr>
          <w:szCs w:val="26"/>
        </w:rPr>
        <w:t xml:space="preserve"> this case to decide whether </w:t>
      </w:r>
      <w:r w:rsidR="00D759C0">
        <w:rPr>
          <w:szCs w:val="26"/>
        </w:rPr>
        <w:t xml:space="preserve">the law </w:t>
      </w:r>
      <w:r w:rsidR="00170B58">
        <w:rPr>
          <w:szCs w:val="26"/>
        </w:rPr>
        <w:t>imposes such a limitation</w:t>
      </w:r>
      <w:r w:rsidR="00D759C0">
        <w:rPr>
          <w:szCs w:val="26"/>
        </w:rPr>
        <w:t xml:space="preserve"> on the recognition of implied easements.  We </w:t>
      </w:r>
      <w:r w:rsidR="00170B58">
        <w:rPr>
          <w:szCs w:val="26"/>
        </w:rPr>
        <w:t xml:space="preserve">now conclude that it does not.  </w:t>
      </w:r>
      <w:r w:rsidR="00D759C0">
        <w:rPr>
          <w:szCs w:val="26"/>
        </w:rPr>
        <w:t xml:space="preserve">The evidentiary </w:t>
      </w:r>
      <w:r w:rsidR="00F14D6F">
        <w:rPr>
          <w:szCs w:val="26"/>
        </w:rPr>
        <w:t xml:space="preserve">standard </w:t>
      </w:r>
      <w:r w:rsidR="00D759C0">
        <w:rPr>
          <w:szCs w:val="26"/>
        </w:rPr>
        <w:t xml:space="preserve">for </w:t>
      </w:r>
      <w:r w:rsidR="00673565">
        <w:rPr>
          <w:szCs w:val="26"/>
        </w:rPr>
        <w:t>recognizing an implied easement is</w:t>
      </w:r>
      <w:r>
        <w:rPr>
          <w:szCs w:val="26"/>
        </w:rPr>
        <w:t xml:space="preserve"> a high one,</w:t>
      </w:r>
      <w:r w:rsidR="009C6CC6">
        <w:rPr>
          <w:szCs w:val="26"/>
        </w:rPr>
        <w:t xml:space="preserve"> and </w:t>
      </w:r>
      <w:r w:rsidR="00F52B47">
        <w:rPr>
          <w:szCs w:val="26"/>
        </w:rPr>
        <w:t>that standard</w:t>
      </w:r>
      <w:r w:rsidR="00D408C0">
        <w:rPr>
          <w:szCs w:val="26"/>
        </w:rPr>
        <w:t xml:space="preserve"> will naturally be more difficult to meet where, as here, </w:t>
      </w:r>
      <w:r>
        <w:rPr>
          <w:szCs w:val="26"/>
        </w:rPr>
        <w:t xml:space="preserve">the </w:t>
      </w:r>
      <w:r w:rsidR="00BA6B01">
        <w:rPr>
          <w:szCs w:val="26"/>
        </w:rPr>
        <w:t xml:space="preserve">nature of the </w:t>
      </w:r>
      <w:r>
        <w:rPr>
          <w:szCs w:val="26"/>
        </w:rPr>
        <w:t>easement effectively precludes t</w:t>
      </w:r>
      <w:r>
        <w:rPr>
          <w:szCs w:val="26"/>
        </w:rPr>
        <w:t>he</w:t>
      </w:r>
      <w:r w:rsidR="001A2F69">
        <w:rPr>
          <w:szCs w:val="26"/>
        </w:rPr>
        <w:t xml:space="preserve"> property owners </w:t>
      </w:r>
      <w:r w:rsidR="00E756A5">
        <w:rPr>
          <w:szCs w:val="26"/>
        </w:rPr>
        <w:t xml:space="preserve">from </w:t>
      </w:r>
      <w:r w:rsidR="00F52B47">
        <w:rPr>
          <w:szCs w:val="26"/>
        </w:rPr>
        <w:t xml:space="preserve">making </w:t>
      </w:r>
      <w:r w:rsidR="00E756A5">
        <w:rPr>
          <w:szCs w:val="26"/>
        </w:rPr>
        <w:t xml:space="preserve">most practical uses of the easement area.  But </w:t>
      </w:r>
      <w:r w:rsidR="00DF0CE1">
        <w:rPr>
          <w:szCs w:val="26"/>
        </w:rPr>
        <w:t xml:space="preserve">if </w:t>
      </w:r>
      <w:r w:rsidR="00E756A5">
        <w:rPr>
          <w:szCs w:val="26"/>
        </w:rPr>
        <w:t xml:space="preserve">there is clear evidence that the parties </w:t>
      </w:r>
      <w:r w:rsidR="00DF0CE1">
        <w:rPr>
          <w:szCs w:val="26"/>
        </w:rPr>
        <w:t xml:space="preserve">to the 1986 sale </w:t>
      </w:r>
      <w:r w:rsidR="00E756A5">
        <w:rPr>
          <w:szCs w:val="26"/>
        </w:rPr>
        <w:t xml:space="preserve">intended </w:t>
      </w:r>
      <w:r w:rsidR="00193294">
        <w:rPr>
          <w:szCs w:val="26"/>
        </w:rPr>
        <w:t xml:space="preserve">for the neighboring parcel’s preexisting use of the area to continue </w:t>
      </w:r>
      <w:r w:rsidR="000F14F8" w:rsidRPr="00B3552F">
        <w:rPr>
          <w:szCs w:val="26"/>
        </w:rPr>
        <w:t>after separation of title</w:t>
      </w:r>
      <w:r w:rsidR="00E756A5">
        <w:rPr>
          <w:szCs w:val="26"/>
        </w:rPr>
        <w:t xml:space="preserve">, </w:t>
      </w:r>
      <w:r w:rsidR="009767D8">
        <w:rPr>
          <w:szCs w:val="26"/>
        </w:rPr>
        <w:t xml:space="preserve">the law obligates </w:t>
      </w:r>
      <w:r w:rsidR="00E756A5">
        <w:rPr>
          <w:szCs w:val="26"/>
        </w:rPr>
        <w:t>courts to give effect to that inten</w:t>
      </w:r>
      <w:r w:rsidR="00763C26">
        <w:rPr>
          <w:szCs w:val="26"/>
        </w:rPr>
        <w:t>t</w:t>
      </w:r>
      <w:r w:rsidR="00E756A5">
        <w:rPr>
          <w:szCs w:val="26"/>
        </w:rPr>
        <w:t>.</w:t>
      </w:r>
    </w:p>
    <w:p w14:paraId="32AA80B4" w14:textId="77777777" w:rsidR="00ED7778" w:rsidRPr="00295DAB" w:rsidRDefault="00590CB4" w:rsidP="007C4138">
      <w:pPr>
        <w:ind w:firstLine="720"/>
        <w:rPr>
          <w:szCs w:val="26"/>
          <w:u w:val="single"/>
        </w:rPr>
      </w:pPr>
      <w:r>
        <w:rPr>
          <w:szCs w:val="26"/>
        </w:rPr>
        <w:t xml:space="preserve">We reverse and remand </w:t>
      </w:r>
      <w:r w:rsidR="002E7A6A">
        <w:rPr>
          <w:szCs w:val="26"/>
        </w:rPr>
        <w:t xml:space="preserve">for </w:t>
      </w:r>
      <w:r>
        <w:rPr>
          <w:szCs w:val="26"/>
        </w:rPr>
        <w:t xml:space="preserve">the Court of Appeal to </w:t>
      </w:r>
      <w:r w:rsidR="002E7A6A">
        <w:rPr>
          <w:szCs w:val="26"/>
        </w:rPr>
        <w:t xml:space="preserve">consider </w:t>
      </w:r>
      <w:r w:rsidR="007D0657">
        <w:rPr>
          <w:szCs w:val="26"/>
        </w:rPr>
        <w:t>whether</w:t>
      </w:r>
      <w:r>
        <w:rPr>
          <w:szCs w:val="26"/>
        </w:rPr>
        <w:t xml:space="preserve"> </w:t>
      </w:r>
      <w:r w:rsidR="00284B7D">
        <w:rPr>
          <w:szCs w:val="26"/>
        </w:rPr>
        <w:t>substantial</w:t>
      </w:r>
      <w:r w:rsidR="002E7A6A">
        <w:rPr>
          <w:szCs w:val="26"/>
        </w:rPr>
        <w:t xml:space="preserve"> </w:t>
      </w:r>
      <w:r>
        <w:rPr>
          <w:szCs w:val="26"/>
        </w:rPr>
        <w:t xml:space="preserve">evidence </w:t>
      </w:r>
      <w:r w:rsidR="00761C8F">
        <w:rPr>
          <w:szCs w:val="26"/>
        </w:rPr>
        <w:t xml:space="preserve">supports </w:t>
      </w:r>
      <w:r w:rsidR="00284B7D">
        <w:rPr>
          <w:szCs w:val="26"/>
        </w:rPr>
        <w:t xml:space="preserve">the trial court’s </w:t>
      </w:r>
      <w:r w:rsidR="007C5DFC">
        <w:rPr>
          <w:szCs w:val="26"/>
        </w:rPr>
        <w:t xml:space="preserve">finding </w:t>
      </w:r>
      <w:r w:rsidR="00284B7D">
        <w:rPr>
          <w:szCs w:val="26"/>
        </w:rPr>
        <w:t xml:space="preserve">that </w:t>
      </w:r>
      <w:r w:rsidR="00CD09D4">
        <w:rPr>
          <w:szCs w:val="26"/>
        </w:rPr>
        <w:t xml:space="preserve">an implied easement </w:t>
      </w:r>
      <w:r w:rsidR="00284B7D">
        <w:rPr>
          <w:szCs w:val="26"/>
        </w:rPr>
        <w:t xml:space="preserve">existed </w:t>
      </w:r>
      <w:r w:rsidR="00CD09D4">
        <w:rPr>
          <w:szCs w:val="26"/>
        </w:rPr>
        <w:t>under the circumstances of this case.</w:t>
      </w:r>
      <w:r w:rsidR="002C4FE7">
        <w:rPr>
          <w:szCs w:val="26"/>
        </w:rPr>
        <w:t xml:space="preserve"> </w:t>
      </w:r>
    </w:p>
    <w:p w14:paraId="32AA80B5" w14:textId="77777777" w:rsidR="003626FA" w:rsidRPr="00295DAB" w:rsidRDefault="00590CB4" w:rsidP="00F649CE">
      <w:pPr>
        <w:jc w:val="center"/>
        <w:rPr>
          <w:szCs w:val="26"/>
        </w:rPr>
      </w:pPr>
      <w:r w:rsidRPr="00295DAB">
        <w:rPr>
          <w:b/>
          <w:bCs/>
          <w:szCs w:val="26"/>
        </w:rPr>
        <w:t>I.</w:t>
      </w:r>
    </w:p>
    <w:p w14:paraId="32AA80B6" w14:textId="77777777" w:rsidR="00085EB1" w:rsidRDefault="00590CB4" w:rsidP="00295DAB">
      <w:pPr>
        <w:ind w:firstLine="720"/>
        <w:rPr>
          <w:szCs w:val="26"/>
        </w:rPr>
      </w:pPr>
      <w:r w:rsidRPr="00295DAB">
        <w:rPr>
          <w:szCs w:val="26"/>
        </w:rPr>
        <w:t>I</w:t>
      </w:r>
      <w:r w:rsidR="00454BDA" w:rsidRPr="00295DAB">
        <w:rPr>
          <w:szCs w:val="26"/>
        </w:rPr>
        <w:t xml:space="preserve">n the </w:t>
      </w:r>
      <w:r w:rsidR="00700E6C" w:rsidRPr="00295DAB">
        <w:rPr>
          <w:szCs w:val="26"/>
        </w:rPr>
        <w:t xml:space="preserve">early </w:t>
      </w:r>
      <w:r w:rsidR="00454BDA" w:rsidRPr="00295DAB">
        <w:rPr>
          <w:szCs w:val="26"/>
        </w:rPr>
        <w:t>1940</w:t>
      </w:r>
      <w:r w:rsidR="0015035A" w:rsidRPr="00295DAB">
        <w:rPr>
          <w:szCs w:val="26"/>
        </w:rPr>
        <w:t>’</w:t>
      </w:r>
      <w:r w:rsidR="00454BDA" w:rsidRPr="00295DAB">
        <w:rPr>
          <w:szCs w:val="26"/>
        </w:rPr>
        <w:t>s, Edwin and Ann Cutler</w:t>
      </w:r>
      <w:r w:rsidR="00602C49" w:rsidRPr="00295DAB">
        <w:rPr>
          <w:szCs w:val="26"/>
        </w:rPr>
        <w:t xml:space="preserve"> (the Cutlers)</w:t>
      </w:r>
      <w:r w:rsidR="00454BDA" w:rsidRPr="00295DAB">
        <w:rPr>
          <w:szCs w:val="26"/>
        </w:rPr>
        <w:t xml:space="preserve"> purchased adjacent parcels of property on </w:t>
      </w:r>
      <w:r w:rsidR="001E3ED2" w:rsidRPr="00295DAB">
        <w:rPr>
          <w:szCs w:val="26"/>
        </w:rPr>
        <w:t>W</w:t>
      </w:r>
      <w:r w:rsidR="00A627E5" w:rsidRPr="00295DAB">
        <w:rPr>
          <w:szCs w:val="26"/>
        </w:rPr>
        <w:t>est</w:t>
      </w:r>
      <w:r w:rsidR="001E3ED2" w:rsidRPr="00295DAB">
        <w:rPr>
          <w:szCs w:val="26"/>
        </w:rPr>
        <w:t xml:space="preserve"> </w:t>
      </w:r>
      <w:r w:rsidR="00454BDA" w:rsidRPr="00295DAB">
        <w:rPr>
          <w:szCs w:val="26"/>
        </w:rPr>
        <w:t>Alegria Avenue in Sierra Madre.</w:t>
      </w:r>
      <w:r w:rsidR="006D76B1" w:rsidRPr="00295DAB">
        <w:rPr>
          <w:szCs w:val="26"/>
        </w:rPr>
        <w:t xml:space="preserve">  </w:t>
      </w:r>
      <w:r w:rsidR="00914F63" w:rsidRPr="00295DAB">
        <w:rPr>
          <w:szCs w:val="26"/>
        </w:rPr>
        <w:t>Soon after</w:t>
      </w:r>
      <w:r w:rsidR="00A95100" w:rsidRPr="00295DAB">
        <w:rPr>
          <w:szCs w:val="26"/>
        </w:rPr>
        <w:t xml:space="preserve">, the Cutlers </w:t>
      </w:r>
      <w:r w:rsidR="0032378D" w:rsidRPr="00295DAB">
        <w:rPr>
          <w:szCs w:val="26"/>
        </w:rPr>
        <w:t xml:space="preserve">built </w:t>
      </w:r>
      <w:r w:rsidR="00A95100" w:rsidRPr="00295DAB">
        <w:rPr>
          <w:szCs w:val="26"/>
        </w:rPr>
        <w:t>a home on the parcel lying to the east, at 643 W</w:t>
      </w:r>
      <w:r w:rsidR="00A627E5" w:rsidRPr="00295DAB">
        <w:rPr>
          <w:szCs w:val="26"/>
        </w:rPr>
        <w:t>est</w:t>
      </w:r>
      <w:r w:rsidR="00A95100" w:rsidRPr="00295DAB">
        <w:rPr>
          <w:szCs w:val="26"/>
        </w:rPr>
        <w:t xml:space="preserve"> Alegria Avenue</w:t>
      </w:r>
      <w:r w:rsidR="00A627E5" w:rsidRPr="00295DAB">
        <w:rPr>
          <w:szCs w:val="26"/>
        </w:rPr>
        <w:t xml:space="preserve"> (the 643 </w:t>
      </w:r>
      <w:r w:rsidR="00DF2C88" w:rsidRPr="00295DAB">
        <w:rPr>
          <w:szCs w:val="26"/>
        </w:rPr>
        <w:t>P</w:t>
      </w:r>
      <w:r w:rsidR="00A627E5" w:rsidRPr="00295DAB">
        <w:rPr>
          <w:szCs w:val="26"/>
        </w:rPr>
        <w:t>roperty)</w:t>
      </w:r>
      <w:r w:rsidR="00D246DC">
        <w:rPr>
          <w:szCs w:val="26"/>
        </w:rPr>
        <w:t xml:space="preserve">.  </w:t>
      </w:r>
      <w:r w:rsidR="004E5374">
        <w:rPr>
          <w:szCs w:val="26"/>
        </w:rPr>
        <w:t xml:space="preserve">In the years that followed, the </w:t>
      </w:r>
      <w:r w:rsidR="00555BFC">
        <w:rPr>
          <w:szCs w:val="26"/>
        </w:rPr>
        <w:t xml:space="preserve">Cutlers </w:t>
      </w:r>
      <w:r w:rsidR="004E5374">
        <w:rPr>
          <w:szCs w:val="26"/>
        </w:rPr>
        <w:t xml:space="preserve">built </w:t>
      </w:r>
      <w:r w:rsidR="00A95100" w:rsidRPr="00295DAB">
        <w:rPr>
          <w:szCs w:val="26"/>
        </w:rPr>
        <w:t xml:space="preserve">a brick </w:t>
      </w:r>
      <w:r w:rsidR="00386981" w:rsidRPr="00295DAB">
        <w:rPr>
          <w:szCs w:val="26"/>
        </w:rPr>
        <w:t xml:space="preserve">garden </w:t>
      </w:r>
      <w:r w:rsidR="00A95100" w:rsidRPr="00295DAB">
        <w:rPr>
          <w:szCs w:val="26"/>
        </w:rPr>
        <w:t xml:space="preserve">planter in the front left corner of the yard and next to </w:t>
      </w:r>
      <w:r w:rsidR="00562519" w:rsidRPr="00295DAB">
        <w:rPr>
          <w:szCs w:val="26"/>
        </w:rPr>
        <w:t>it</w:t>
      </w:r>
      <w:r w:rsidR="00A95100" w:rsidRPr="00295DAB">
        <w:rPr>
          <w:szCs w:val="26"/>
        </w:rPr>
        <w:t xml:space="preserve">, a driveway running along the western edge of the property for its entire length.  The planter and driveway encroached </w:t>
      </w:r>
      <w:r w:rsidR="002E413F" w:rsidRPr="00295DAB">
        <w:rPr>
          <w:szCs w:val="26"/>
        </w:rPr>
        <w:t xml:space="preserve">by about eight feet </w:t>
      </w:r>
      <w:r w:rsidR="00A95100" w:rsidRPr="00295DAB">
        <w:rPr>
          <w:szCs w:val="26"/>
        </w:rPr>
        <w:t>onto the Cutler’s other parcel, which lay directly to the west at 651 W</w:t>
      </w:r>
      <w:r w:rsidR="00A627E5" w:rsidRPr="00295DAB">
        <w:rPr>
          <w:szCs w:val="26"/>
        </w:rPr>
        <w:t>est</w:t>
      </w:r>
      <w:r w:rsidR="00A95100" w:rsidRPr="00295DAB">
        <w:rPr>
          <w:szCs w:val="26"/>
        </w:rPr>
        <w:t xml:space="preserve"> Alegria Avenue</w:t>
      </w:r>
      <w:r w:rsidR="00A627E5" w:rsidRPr="00295DAB">
        <w:rPr>
          <w:szCs w:val="26"/>
        </w:rPr>
        <w:t xml:space="preserve"> (the 651 </w:t>
      </w:r>
      <w:r w:rsidR="00DF2C88" w:rsidRPr="00295DAB">
        <w:rPr>
          <w:szCs w:val="26"/>
        </w:rPr>
        <w:t>P</w:t>
      </w:r>
      <w:r w:rsidR="00A627E5" w:rsidRPr="00295DAB">
        <w:rPr>
          <w:szCs w:val="26"/>
        </w:rPr>
        <w:t>roperty)</w:t>
      </w:r>
      <w:r w:rsidR="00A95100" w:rsidRPr="00295DAB">
        <w:rPr>
          <w:szCs w:val="26"/>
        </w:rPr>
        <w:t>.</w:t>
      </w:r>
      <w:r w:rsidR="006D76B1" w:rsidRPr="00295DAB">
        <w:rPr>
          <w:szCs w:val="26"/>
        </w:rPr>
        <w:t xml:space="preserve">  </w:t>
      </w:r>
      <w:r w:rsidR="00397754" w:rsidRPr="00295DAB">
        <w:rPr>
          <w:szCs w:val="26"/>
        </w:rPr>
        <w:t>A chain-link fenc</w:t>
      </w:r>
      <w:r w:rsidR="00D817C5" w:rsidRPr="00295DAB">
        <w:rPr>
          <w:szCs w:val="26"/>
        </w:rPr>
        <w:t>e</w:t>
      </w:r>
      <w:r w:rsidR="00397754" w:rsidRPr="00295DAB">
        <w:rPr>
          <w:szCs w:val="26"/>
        </w:rPr>
        <w:t xml:space="preserve"> marked the </w:t>
      </w:r>
      <w:r w:rsidR="002E413F" w:rsidRPr="00295DAB">
        <w:rPr>
          <w:szCs w:val="26"/>
        </w:rPr>
        <w:t xml:space="preserve">western </w:t>
      </w:r>
      <w:r w:rsidR="00397754" w:rsidRPr="00295DAB">
        <w:rPr>
          <w:szCs w:val="26"/>
        </w:rPr>
        <w:t>edge of the driveway and planter, separating the</w:t>
      </w:r>
      <w:r w:rsidR="008C47D8" w:rsidRPr="00295DAB">
        <w:rPr>
          <w:szCs w:val="26"/>
        </w:rPr>
        <w:t xml:space="preserve"> 643 </w:t>
      </w:r>
      <w:r w:rsidR="00DF2C88" w:rsidRPr="00295DAB">
        <w:rPr>
          <w:szCs w:val="26"/>
        </w:rPr>
        <w:t>P</w:t>
      </w:r>
      <w:r w:rsidR="008C47D8" w:rsidRPr="00295DAB">
        <w:rPr>
          <w:szCs w:val="26"/>
        </w:rPr>
        <w:t>roperty and the</w:t>
      </w:r>
      <w:r w:rsidR="00397754" w:rsidRPr="00295DAB">
        <w:rPr>
          <w:szCs w:val="26"/>
        </w:rPr>
        <w:t xml:space="preserve"> </w:t>
      </w:r>
      <w:r w:rsidR="00255928" w:rsidRPr="00295DAB">
        <w:rPr>
          <w:szCs w:val="26"/>
        </w:rPr>
        <w:t>encroachments</w:t>
      </w:r>
      <w:r w:rsidR="00397754" w:rsidRPr="00295DAB">
        <w:rPr>
          <w:szCs w:val="26"/>
        </w:rPr>
        <w:t xml:space="preserve"> from the remainder of the 651 </w:t>
      </w:r>
      <w:r w:rsidR="00DF2C88" w:rsidRPr="00295DAB">
        <w:rPr>
          <w:szCs w:val="26"/>
        </w:rPr>
        <w:t>P</w:t>
      </w:r>
      <w:r w:rsidR="00397754" w:rsidRPr="00295DAB">
        <w:rPr>
          <w:szCs w:val="26"/>
        </w:rPr>
        <w:t xml:space="preserve">roperty.  </w:t>
      </w:r>
      <w:r w:rsidR="00973627" w:rsidRPr="00295DAB">
        <w:rPr>
          <w:szCs w:val="26"/>
        </w:rPr>
        <w:t>T</w:t>
      </w:r>
      <w:r w:rsidR="0036368E" w:rsidRPr="00295DAB">
        <w:rPr>
          <w:szCs w:val="26"/>
        </w:rPr>
        <w:t xml:space="preserve">he encroaching area </w:t>
      </w:r>
      <w:r w:rsidR="00973627" w:rsidRPr="00295DAB">
        <w:rPr>
          <w:szCs w:val="26"/>
        </w:rPr>
        <w:t xml:space="preserve">consisted of a </w:t>
      </w:r>
      <w:r w:rsidR="002E413F" w:rsidRPr="00295DAB">
        <w:rPr>
          <w:szCs w:val="26"/>
        </w:rPr>
        <w:t>strip of land</w:t>
      </w:r>
      <w:r w:rsidR="0036368E" w:rsidRPr="00295DAB">
        <w:rPr>
          <w:szCs w:val="26"/>
        </w:rPr>
        <w:t xml:space="preserve"> </w:t>
      </w:r>
      <w:r w:rsidR="00973627" w:rsidRPr="00295DAB">
        <w:rPr>
          <w:szCs w:val="26"/>
        </w:rPr>
        <w:t xml:space="preserve">measuring </w:t>
      </w:r>
      <w:r w:rsidR="0036368E" w:rsidRPr="00295DAB">
        <w:rPr>
          <w:szCs w:val="26"/>
        </w:rPr>
        <w:t xml:space="preserve">about 8 feet wide by about 157 feet </w:t>
      </w:r>
      <w:r w:rsidR="0036368E" w:rsidRPr="00295DAB">
        <w:rPr>
          <w:szCs w:val="26"/>
        </w:rPr>
        <w:lastRenderedPageBreak/>
        <w:t>long, for a total area of almost 1</w:t>
      </w:r>
      <w:r w:rsidR="004B771B" w:rsidRPr="00295DAB">
        <w:rPr>
          <w:szCs w:val="26"/>
        </w:rPr>
        <w:t>,</w:t>
      </w:r>
      <w:r w:rsidR="0036368E" w:rsidRPr="00295DAB">
        <w:rPr>
          <w:szCs w:val="26"/>
        </w:rPr>
        <w:t>300 square feet, or about 13 percent of the 651 Property’s 10,000</w:t>
      </w:r>
      <w:r w:rsidR="00250A8D" w:rsidRPr="00295DAB">
        <w:rPr>
          <w:szCs w:val="26"/>
        </w:rPr>
        <w:t>-</w:t>
      </w:r>
      <w:r w:rsidR="0036368E" w:rsidRPr="00295DAB">
        <w:rPr>
          <w:szCs w:val="26"/>
        </w:rPr>
        <w:t>square-foot lot.</w:t>
      </w:r>
      <w:r w:rsidR="00250A8D" w:rsidRPr="00295DAB">
        <w:rPr>
          <w:szCs w:val="26"/>
        </w:rPr>
        <w:t xml:space="preserve">  </w:t>
      </w:r>
    </w:p>
    <w:p w14:paraId="32AA80B7" w14:textId="77777777" w:rsidR="006A2C83" w:rsidRDefault="00590CB4" w:rsidP="00085EB1">
      <w:pPr>
        <w:ind w:firstLine="720"/>
        <w:rPr>
          <w:szCs w:val="26"/>
        </w:rPr>
      </w:pPr>
      <w:r w:rsidRPr="00295DAB">
        <w:rPr>
          <w:szCs w:val="26"/>
        </w:rPr>
        <w:t xml:space="preserve">Aside from </w:t>
      </w:r>
      <w:r w:rsidR="00190C1A" w:rsidRPr="00295DAB">
        <w:rPr>
          <w:szCs w:val="26"/>
        </w:rPr>
        <w:t>the</w:t>
      </w:r>
      <w:r w:rsidRPr="00295DAB">
        <w:rPr>
          <w:szCs w:val="26"/>
        </w:rPr>
        <w:t xml:space="preserve"> encroachment</w:t>
      </w:r>
      <w:r w:rsidR="001D031B" w:rsidRPr="00295DAB">
        <w:rPr>
          <w:szCs w:val="26"/>
        </w:rPr>
        <w:t>s</w:t>
      </w:r>
      <w:r w:rsidRPr="00295DAB">
        <w:rPr>
          <w:szCs w:val="26"/>
        </w:rPr>
        <w:t xml:space="preserve">, the </w:t>
      </w:r>
      <w:r w:rsidR="00A627E5" w:rsidRPr="00295DAB">
        <w:rPr>
          <w:szCs w:val="26"/>
        </w:rPr>
        <w:t xml:space="preserve">651 </w:t>
      </w:r>
      <w:r w:rsidR="00DF2C88" w:rsidRPr="00295DAB">
        <w:rPr>
          <w:szCs w:val="26"/>
        </w:rPr>
        <w:t>P</w:t>
      </w:r>
      <w:r w:rsidR="00A627E5" w:rsidRPr="00295DAB">
        <w:rPr>
          <w:szCs w:val="26"/>
        </w:rPr>
        <w:t>roperty</w:t>
      </w:r>
      <w:r w:rsidRPr="00295DAB">
        <w:rPr>
          <w:szCs w:val="26"/>
        </w:rPr>
        <w:t xml:space="preserve"> remained undeveloped for several decades.  </w:t>
      </w:r>
      <w:r w:rsidR="00397754" w:rsidRPr="00295DAB">
        <w:rPr>
          <w:szCs w:val="26"/>
        </w:rPr>
        <w:t xml:space="preserve">In </w:t>
      </w:r>
      <w:r w:rsidR="008C47D8" w:rsidRPr="00295DAB">
        <w:rPr>
          <w:szCs w:val="26"/>
        </w:rPr>
        <w:t>1985</w:t>
      </w:r>
      <w:r w:rsidR="00397754" w:rsidRPr="00295DAB">
        <w:rPr>
          <w:szCs w:val="26"/>
        </w:rPr>
        <w:t xml:space="preserve">, the Cutlers allowed their son </w:t>
      </w:r>
      <w:r w:rsidR="00A31A63" w:rsidRPr="00295DAB">
        <w:rPr>
          <w:szCs w:val="26"/>
        </w:rPr>
        <w:t>Bevon</w:t>
      </w:r>
      <w:r w:rsidR="001C7F94" w:rsidRPr="00295DAB">
        <w:rPr>
          <w:szCs w:val="26"/>
        </w:rPr>
        <w:t xml:space="preserve"> </w:t>
      </w:r>
      <w:r w:rsidR="00397754" w:rsidRPr="00295DAB">
        <w:rPr>
          <w:szCs w:val="26"/>
        </w:rPr>
        <w:t xml:space="preserve">and a family friend, David Shewmake, to build a </w:t>
      </w:r>
      <w:r w:rsidR="00190C1A" w:rsidRPr="00295DAB">
        <w:rPr>
          <w:szCs w:val="26"/>
        </w:rPr>
        <w:t>house</w:t>
      </w:r>
      <w:r w:rsidR="00397754" w:rsidRPr="00295DAB">
        <w:rPr>
          <w:szCs w:val="26"/>
        </w:rPr>
        <w:t xml:space="preserve"> on the 651 </w:t>
      </w:r>
      <w:r w:rsidR="00DF2C88" w:rsidRPr="00295DAB">
        <w:rPr>
          <w:szCs w:val="26"/>
        </w:rPr>
        <w:t>P</w:t>
      </w:r>
      <w:r w:rsidR="00397754" w:rsidRPr="00295DAB">
        <w:rPr>
          <w:szCs w:val="26"/>
        </w:rPr>
        <w:t>roperty</w:t>
      </w:r>
      <w:r w:rsidR="00085EB1">
        <w:rPr>
          <w:szCs w:val="26"/>
        </w:rPr>
        <w:t xml:space="preserve"> so that it could be sold </w:t>
      </w:r>
      <w:r w:rsidR="00FC4A2D">
        <w:rPr>
          <w:szCs w:val="26"/>
        </w:rPr>
        <w:t>for profit</w:t>
      </w:r>
      <w:r w:rsidR="00397754" w:rsidRPr="00295DAB">
        <w:rPr>
          <w:szCs w:val="26"/>
        </w:rPr>
        <w:t>.</w:t>
      </w:r>
      <w:r w:rsidR="00FC4A2D">
        <w:rPr>
          <w:szCs w:val="26"/>
        </w:rPr>
        <w:t xml:space="preserve">  </w:t>
      </w:r>
      <w:r w:rsidR="008C47D8" w:rsidRPr="00295DAB">
        <w:rPr>
          <w:szCs w:val="26"/>
        </w:rPr>
        <w:t>According to their arrangement, o</w:t>
      </w:r>
      <w:r w:rsidR="00190C1A" w:rsidRPr="00295DAB">
        <w:rPr>
          <w:szCs w:val="26"/>
        </w:rPr>
        <w:t xml:space="preserve">nce the house was built and sold, </w:t>
      </w:r>
      <w:r w:rsidR="00A31A63" w:rsidRPr="00295DAB">
        <w:rPr>
          <w:szCs w:val="26"/>
        </w:rPr>
        <w:t>Bevon</w:t>
      </w:r>
      <w:r w:rsidR="00190C1A" w:rsidRPr="00295DAB">
        <w:rPr>
          <w:szCs w:val="26"/>
        </w:rPr>
        <w:t xml:space="preserve"> and Shewmake would use the proceeds from the sale to pay the Cutlers for the </w:t>
      </w:r>
      <w:r w:rsidR="008A2901" w:rsidRPr="00295DAB">
        <w:rPr>
          <w:szCs w:val="26"/>
        </w:rPr>
        <w:t xml:space="preserve">land </w:t>
      </w:r>
      <w:r w:rsidR="00190C1A" w:rsidRPr="00295DAB">
        <w:rPr>
          <w:szCs w:val="26"/>
        </w:rPr>
        <w:t xml:space="preserve">and </w:t>
      </w:r>
      <w:r w:rsidR="00543232" w:rsidRPr="00295DAB">
        <w:rPr>
          <w:szCs w:val="26"/>
        </w:rPr>
        <w:t xml:space="preserve">would </w:t>
      </w:r>
      <w:r w:rsidR="00190C1A" w:rsidRPr="00295DAB">
        <w:rPr>
          <w:szCs w:val="26"/>
        </w:rPr>
        <w:t>retain the profits</w:t>
      </w:r>
      <w:r w:rsidR="008A2901" w:rsidRPr="00295DAB">
        <w:rPr>
          <w:szCs w:val="26"/>
        </w:rPr>
        <w:t xml:space="preserve"> on the house</w:t>
      </w:r>
      <w:r w:rsidR="00190C1A" w:rsidRPr="00295DAB">
        <w:rPr>
          <w:szCs w:val="26"/>
        </w:rPr>
        <w:t xml:space="preserve"> for themselves.  </w:t>
      </w:r>
    </w:p>
    <w:p w14:paraId="32AA80B8" w14:textId="77777777" w:rsidR="005C7FC4" w:rsidRDefault="00590CB4" w:rsidP="00085EB1">
      <w:pPr>
        <w:ind w:firstLine="720"/>
        <w:rPr>
          <w:szCs w:val="26"/>
        </w:rPr>
      </w:pPr>
      <w:r w:rsidRPr="00295DAB">
        <w:rPr>
          <w:szCs w:val="26"/>
        </w:rPr>
        <w:t xml:space="preserve">In furtherance of this project, Edwin Cutler applied to the city to adjust the boundary between the 643 </w:t>
      </w:r>
      <w:r w:rsidR="00DF2C88" w:rsidRPr="00295DAB">
        <w:rPr>
          <w:szCs w:val="26"/>
        </w:rPr>
        <w:t>P</w:t>
      </w:r>
      <w:r w:rsidRPr="00295DAB">
        <w:rPr>
          <w:szCs w:val="26"/>
        </w:rPr>
        <w:t xml:space="preserve">roperty </w:t>
      </w:r>
      <w:r w:rsidRPr="00295DAB">
        <w:rPr>
          <w:szCs w:val="26"/>
        </w:rPr>
        <w:t xml:space="preserve">and the 651 </w:t>
      </w:r>
      <w:r w:rsidR="00DF2C88" w:rsidRPr="00295DAB">
        <w:rPr>
          <w:szCs w:val="26"/>
        </w:rPr>
        <w:t>P</w:t>
      </w:r>
      <w:r w:rsidRPr="00295DAB">
        <w:rPr>
          <w:szCs w:val="26"/>
        </w:rPr>
        <w:t xml:space="preserve">roperty to the line marked by the </w:t>
      </w:r>
      <w:r w:rsidR="00543232" w:rsidRPr="00295DAB">
        <w:rPr>
          <w:szCs w:val="26"/>
        </w:rPr>
        <w:t>chain-link fence</w:t>
      </w:r>
      <w:r w:rsidRPr="00295DAB">
        <w:rPr>
          <w:szCs w:val="26"/>
        </w:rPr>
        <w:t>.</w:t>
      </w:r>
      <w:r w:rsidR="00D567AB" w:rsidRPr="00295DAB">
        <w:rPr>
          <w:szCs w:val="26"/>
        </w:rPr>
        <w:t xml:space="preserve">  The Sierra Madre Planning Commission approved his request, subject to a city engineer’s review of the parcel map and boundary line adjustment</w:t>
      </w:r>
      <w:r w:rsidR="00967B6E">
        <w:rPr>
          <w:szCs w:val="26"/>
        </w:rPr>
        <w:t>.  B</w:t>
      </w:r>
      <w:r w:rsidR="00D567AB" w:rsidRPr="00295DAB">
        <w:rPr>
          <w:szCs w:val="26"/>
        </w:rPr>
        <w:t xml:space="preserve">ut for reasons that </w:t>
      </w:r>
      <w:r w:rsidR="00D21758" w:rsidRPr="00295DAB">
        <w:rPr>
          <w:szCs w:val="26"/>
        </w:rPr>
        <w:t>are not clear from</w:t>
      </w:r>
      <w:r w:rsidR="00D567AB" w:rsidRPr="00295DAB">
        <w:rPr>
          <w:szCs w:val="26"/>
        </w:rPr>
        <w:t xml:space="preserve"> the record, </w:t>
      </w:r>
      <w:r w:rsidR="00C35E0D" w:rsidRPr="00295DAB">
        <w:rPr>
          <w:szCs w:val="26"/>
        </w:rPr>
        <w:t>the process was never completed</w:t>
      </w:r>
      <w:r w:rsidR="0019553A">
        <w:rPr>
          <w:szCs w:val="26"/>
        </w:rPr>
        <w:t xml:space="preserve"> and</w:t>
      </w:r>
      <w:r w:rsidR="00D567AB" w:rsidRPr="00295DAB">
        <w:rPr>
          <w:szCs w:val="26"/>
        </w:rPr>
        <w:t xml:space="preserve"> the </w:t>
      </w:r>
      <w:r w:rsidR="00D54B47" w:rsidRPr="00295DAB">
        <w:rPr>
          <w:szCs w:val="26"/>
        </w:rPr>
        <w:t xml:space="preserve">legal </w:t>
      </w:r>
      <w:r w:rsidR="00D567AB" w:rsidRPr="00295DAB">
        <w:rPr>
          <w:szCs w:val="26"/>
        </w:rPr>
        <w:t xml:space="preserve">boundary </w:t>
      </w:r>
      <w:r w:rsidR="00D54B47" w:rsidRPr="00295DAB">
        <w:rPr>
          <w:szCs w:val="26"/>
        </w:rPr>
        <w:t xml:space="preserve">line </w:t>
      </w:r>
      <w:r w:rsidR="00D567AB" w:rsidRPr="00295DAB">
        <w:rPr>
          <w:szCs w:val="26"/>
        </w:rPr>
        <w:t>remained as before.</w:t>
      </w:r>
      <w:r w:rsidR="00543232" w:rsidRPr="00295DAB">
        <w:rPr>
          <w:szCs w:val="26"/>
        </w:rPr>
        <w:t xml:space="preserve">  </w:t>
      </w:r>
    </w:p>
    <w:p w14:paraId="32AA80B9" w14:textId="77777777" w:rsidR="002026C9" w:rsidRPr="00295DAB" w:rsidRDefault="00590CB4" w:rsidP="00295DAB">
      <w:pPr>
        <w:ind w:firstLine="720"/>
        <w:rPr>
          <w:szCs w:val="26"/>
        </w:rPr>
      </w:pPr>
      <w:r w:rsidRPr="00295DAB">
        <w:rPr>
          <w:szCs w:val="26"/>
        </w:rPr>
        <w:t>Although the lot line adjustment had not been completed, the Cutlers</w:t>
      </w:r>
      <w:r w:rsidR="00E647B7" w:rsidRPr="00295DAB">
        <w:rPr>
          <w:szCs w:val="26"/>
        </w:rPr>
        <w:t xml:space="preserve">, </w:t>
      </w:r>
      <w:r w:rsidR="00A31A63" w:rsidRPr="00295DAB">
        <w:rPr>
          <w:szCs w:val="26"/>
        </w:rPr>
        <w:t>Bevon</w:t>
      </w:r>
      <w:r w:rsidR="00E647B7" w:rsidRPr="00295DAB">
        <w:rPr>
          <w:szCs w:val="26"/>
        </w:rPr>
        <w:t>, and Shewmake</w:t>
      </w:r>
      <w:r w:rsidRPr="00295DAB">
        <w:rPr>
          <w:szCs w:val="26"/>
        </w:rPr>
        <w:t xml:space="preserve"> proceeded </w:t>
      </w:r>
      <w:r w:rsidR="005C7FC4">
        <w:rPr>
          <w:szCs w:val="26"/>
        </w:rPr>
        <w:t xml:space="preserve">much </w:t>
      </w:r>
      <w:r w:rsidRPr="00295DAB">
        <w:rPr>
          <w:szCs w:val="26"/>
        </w:rPr>
        <w:t>as if it had been.</w:t>
      </w:r>
      <w:r w:rsidR="009758A6" w:rsidRPr="00295DAB">
        <w:rPr>
          <w:szCs w:val="26"/>
        </w:rPr>
        <w:t xml:space="preserve">  They obtained building permits from the city and completed construction on the house, and the chain-link fence separating the 651 </w:t>
      </w:r>
      <w:r w:rsidR="003C278E" w:rsidRPr="00295DAB">
        <w:rPr>
          <w:szCs w:val="26"/>
        </w:rPr>
        <w:t>P</w:t>
      </w:r>
      <w:r w:rsidR="009758A6" w:rsidRPr="00295DAB">
        <w:rPr>
          <w:szCs w:val="26"/>
        </w:rPr>
        <w:t xml:space="preserve">roperty from the 643 </w:t>
      </w:r>
      <w:r w:rsidR="00DF2C88" w:rsidRPr="00295DAB">
        <w:rPr>
          <w:szCs w:val="26"/>
        </w:rPr>
        <w:t>P</w:t>
      </w:r>
      <w:r w:rsidR="009758A6" w:rsidRPr="00295DAB">
        <w:rPr>
          <w:szCs w:val="26"/>
        </w:rPr>
        <w:t xml:space="preserve">roperty was replaced with a </w:t>
      </w:r>
      <w:r w:rsidR="002A57C0" w:rsidRPr="00295DAB">
        <w:rPr>
          <w:szCs w:val="26"/>
        </w:rPr>
        <w:t>concrete block wall</w:t>
      </w:r>
      <w:r w:rsidR="009758A6" w:rsidRPr="00295DAB">
        <w:rPr>
          <w:szCs w:val="26"/>
        </w:rPr>
        <w:t>.</w:t>
      </w:r>
      <w:r w:rsidR="00B2661C" w:rsidRPr="00295DAB">
        <w:rPr>
          <w:szCs w:val="26"/>
        </w:rPr>
        <w:t xml:space="preserve">  </w:t>
      </w:r>
    </w:p>
    <w:p w14:paraId="32AA80BA" w14:textId="77777777" w:rsidR="000675CB" w:rsidRPr="00295DAB" w:rsidRDefault="00590CB4" w:rsidP="00295DAB">
      <w:pPr>
        <w:ind w:firstLine="720"/>
        <w:rPr>
          <w:szCs w:val="26"/>
        </w:rPr>
      </w:pPr>
      <w:r w:rsidRPr="00295DAB">
        <w:rPr>
          <w:szCs w:val="26"/>
        </w:rPr>
        <w:t xml:space="preserve">In 1986, the Cutlers conveyed the 651 </w:t>
      </w:r>
      <w:r w:rsidR="00DF2C88" w:rsidRPr="00295DAB">
        <w:rPr>
          <w:szCs w:val="26"/>
        </w:rPr>
        <w:t>P</w:t>
      </w:r>
      <w:r w:rsidRPr="00295DAB">
        <w:rPr>
          <w:szCs w:val="26"/>
        </w:rPr>
        <w:t xml:space="preserve">roperty to </w:t>
      </w:r>
      <w:r w:rsidR="00A31A63" w:rsidRPr="00295DAB">
        <w:rPr>
          <w:szCs w:val="26"/>
        </w:rPr>
        <w:t>Bevon</w:t>
      </w:r>
      <w:r w:rsidRPr="00295DAB">
        <w:rPr>
          <w:szCs w:val="26"/>
        </w:rPr>
        <w:t xml:space="preserve"> and Shewmake, and </w:t>
      </w:r>
      <w:r w:rsidR="00754763" w:rsidRPr="00295DAB">
        <w:rPr>
          <w:szCs w:val="26"/>
        </w:rPr>
        <w:t xml:space="preserve">on </w:t>
      </w:r>
      <w:r w:rsidRPr="00295DAB">
        <w:rPr>
          <w:szCs w:val="26"/>
        </w:rPr>
        <w:t xml:space="preserve">the same day, </w:t>
      </w:r>
      <w:r w:rsidR="00A31A63" w:rsidRPr="00295DAB">
        <w:rPr>
          <w:szCs w:val="26"/>
        </w:rPr>
        <w:t>Bevon</w:t>
      </w:r>
      <w:r w:rsidRPr="00295DAB">
        <w:rPr>
          <w:szCs w:val="26"/>
        </w:rPr>
        <w:t xml:space="preserve"> and Shewmake</w:t>
      </w:r>
      <w:r w:rsidR="008A2901" w:rsidRPr="00295DAB">
        <w:rPr>
          <w:szCs w:val="26"/>
        </w:rPr>
        <w:t xml:space="preserve"> sold the property to another family.  Both grant deeds </w:t>
      </w:r>
      <w:r w:rsidR="007665BF" w:rsidRPr="00295DAB">
        <w:rPr>
          <w:szCs w:val="26"/>
        </w:rPr>
        <w:t>described the</w:t>
      </w:r>
      <w:r w:rsidR="008A2901" w:rsidRPr="00295DAB">
        <w:rPr>
          <w:szCs w:val="26"/>
        </w:rPr>
        <w:t xml:space="preserve"> 651 </w:t>
      </w:r>
      <w:r w:rsidR="00DF2C88" w:rsidRPr="00295DAB">
        <w:rPr>
          <w:szCs w:val="26"/>
        </w:rPr>
        <w:t>P</w:t>
      </w:r>
      <w:r w:rsidR="008A2901" w:rsidRPr="00295DAB">
        <w:rPr>
          <w:szCs w:val="26"/>
        </w:rPr>
        <w:t xml:space="preserve">roperty </w:t>
      </w:r>
      <w:r w:rsidR="00BD0A32">
        <w:rPr>
          <w:szCs w:val="26"/>
        </w:rPr>
        <w:t>according to</w:t>
      </w:r>
      <w:r w:rsidR="00BD0A32" w:rsidRPr="00295DAB">
        <w:rPr>
          <w:szCs w:val="26"/>
        </w:rPr>
        <w:t xml:space="preserve"> </w:t>
      </w:r>
      <w:r w:rsidR="007665BF" w:rsidRPr="00295DAB">
        <w:rPr>
          <w:szCs w:val="26"/>
        </w:rPr>
        <w:t>the original boundary line</w:t>
      </w:r>
      <w:r w:rsidR="00831051" w:rsidRPr="00295DAB">
        <w:rPr>
          <w:szCs w:val="26"/>
        </w:rPr>
        <w:t>s</w:t>
      </w:r>
      <w:r w:rsidR="007665BF" w:rsidRPr="00295DAB">
        <w:rPr>
          <w:szCs w:val="26"/>
        </w:rPr>
        <w:t>, without mentioning or accounting for the</w:t>
      </w:r>
      <w:r w:rsidR="00831051" w:rsidRPr="00295DAB">
        <w:rPr>
          <w:szCs w:val="26"/>
        </w:rPr>
        <w:t xml:space="preserve"> encroachments on the</w:t>
      </w:r>
      <w:r w:rsidR="007665BF" w:rsidRPr="00295DAB">
        <w:rPr>
          <w:szCs w:val="26"/>
        </w:rPr>
        <w:t xml:space="preserve"> strip of land along the </w:t>
      </w:r>
      <w:r w:rsidR="00831051" w:rsidRPr="00295DAB">
        <w:rPr>
          <w:szCs w:val="26"/>
        </w:rPr>
        <w:t xml:space="preserve">property’s </w:t>
      </w:r>
      <w:r w:rsidR="007665BF" w:rsidRPr="00295DAB">
        <w:rPr>
          <w:szCs w:val="26"/>
        </w:rPr>
        <w:t>eastern edge.</w:t>
      </w:r>
      <w:r w:rsidR="00D91B17" w:rsidRPr="00295DAB">
        <w:rPr>
          <w:szCs w:val="26"/>
        </w:rPr>
        <w:t xml:space="preserve">  </w:t>
      </w:r>
      <w:r w:rsidR="00921DC8">
        <w:rPr>
          <w:szCs w:val="26"/>
        </w:rPr>
        <w:t>I</w:t>
      </w:r>
      <w:r w:rsidR="00D91B17" w:rsidRPr="00295DAB">
        <w:rPr>
          <w:szCs w:val="26"/>
        </w:rPr>
        <w:t xml:space="preserve">n the years that </w:t>
      </w:r>
      <w:r w:rsidR="00D91B17" w:rsidRPr="00295DAB">
        <w:rPr>
          <w:szCs w:val="26"/>
        </w:rPr>
        <w:lastRenderedPageBreak/>
        <w:t xml:space="preserve">followed, the Cutlers executed several grant deeds for the 643 </w:t>
      </w:r>
      <w:r w:rsidR="00DF2C88" w:rsidRPr="00295DAB">
        <w:rPr>
          <w:szCs w:val="26"/>
        </w:rPr>
        <w:t>P</w:t>
      </w:r>
      <w:r w:rsidR="00D91B17" w:rsidRPr="00295DAB">
        <w:rPr>
          <w:szCs w:val="26"/>
        </w:rPr>
        <w:t xml:space="preserve">roperty that included a legal description of the </w:t>
      </w:r>
      <w:r w:rsidR="003C278E" w:rsidRPr="00295DAB">
        <w:rPr>
          <w:szCs w:val="26"/>
        </w:rPr>
        <w:t>eight-foot-wide strip</w:t>
      </w:r>
      <w:r w:rsidR="00D91B17" w:rsidRPr="00295DAB">
        <w:rPr>
          <w:szCs w:val="26"/>
        </w:rPr>
        <w:t>.  Because the lot line adjustment had not been completed, the Cutlers did not actually own th</w:t>
      </w:r>
      <w:r w:rsidR="002026C9" w:rsidRPr="00295DAB">
        <w:rPr>
          <w:szCs w:val="26"/>
        </w:rPr>
        <w:t>at</w:t>
      </w:r>
      <w:r w:rsidR="00D91B17" w:rsidRPr="00295DAB">
        <w:rPr>
          <w:szCs w:val="26"/>
        </w:rPr>
        <w:t xml:space="preserve"> </w:t>
      </w:r>
      <w:r w:rsidR="002026C9" w:rsidRPr="00295DAB">
        <w:rPr>
          <w:szCs w:val="26"/>
        </w:rPr>
        <w:t>strip of land</w:t>
      </w:r>
      <w:r w:rsidR="00D91B17" w:rsidRPr="00295DAB">
        <w:rPr>
          <w:szCs w:val="26"/>
        </w:rPr>
        <w:t xml:space="preserve">; those grant deeds were therefore “wild deeds,” outside the chain of title and ineffective to convey title to the </w:t>
      </w:r>
      <w:r w:rsidR="002026C9" w:rsidRPr="00295DAB">
        <w:rPr>
          <w:szCs w:val="26"/>
        </w:rPr>
        <w:t>area</w:t>
      </w:r>
      <w:r w:rsidR="00D91B17" w:rsidRPr="00295DAB">
        <w:rPr>
          <w:szCs w:val="26"/>
        </w:rPr>
        <w:t>.</w:t>
      </w:r>
      <w:r w:rsidR="00E23FCA" w:rsidRPr="00295DAB">
        <w:rPr>
          <w:szCs w:val="26"/>
        </w:rPr>
        <w:t xml:space="preserve">  (See </w:t>
      </w:r>
      <w:bookmarkStart w:id="3" w:name="_Hlk153805524"/>
      <w:r w:rsidR="00DC49E4" w:rsidRPr="00DA5651">
        <w:rPr>
          <w:szCs w:val="26"/>
        </w:rPr>
        <w:t>3</w:t>
      </w:r>
      <w:r w:rsidR="00E23FCA" w:rsidRPr="00DA5651">
        <w:rPr>
          <w:szCs w:val="26"/>
        </w:rPr>
        <w:t xml:space="preserve"> Miller &amp; Starr, Cal. Real Estate (4th ed. 2023) § 8</w:t>
      </w:r>
      <w:r w:rsidR="00575350">
        <w:rPr>
          <w:szCs w:val="26"/>
        </w:rPr>
        <w:t>:</w:t>
      </w:r>
      <w:r w:rsidR="00E23FCA" w:rsidRPr="00DA5651">
        <w:rPr>
          <w:szCs w:val="26"/>
        </w:rPr>
        <w:t>58</w:t>
      </w:r>
      <w:r w:rsidR="00202CB0" w:rsidRPr="00DA5651">
        <w:rPr>
          <w:szCs w:val="26"/>
        </w:rPr>
        <w:t>, p. 8-175</w:t>
      </w:r>
      <w:bookmarkEnd w:id="3"/>
      <w:r w:rsidR="00E23FCA" w:rsidRPr="00295DAB">
        <w:rPr>
          <w:szCs w:val="26"/>
        </w:rPr>
        <w:t xml:space="preserve"> [“If a deed purports to convey property that is not owned by the grantor, it is ineffective to convey the property, and it is a ‘wild deed’ that can have no effect on title of the person who holds real title to the property”</w:t>
      </w:r>
      <w:r w:rsidR="00DA5651">
        <w:rPr>
          <w:szCs w:val="26"/>
        </w:rPr>
        <w:t>]</w:t>
      </w:r>
      <w:r w:rsidR="00202CB0" w:rsidRPr="00295DAB">
        <w:rPr>
          <w:szCs w:val="26"/>
        </w:rPr>
        <w:t xml:space="preserve"> </w:t>
      </w:r>
      <w:r w:rsidR="00DA5651">
        <w:rPr>
          <w:szCs w:val="26"/>
        </w:rPr>
        <w:t>f</w:t>
      </w:r>
      <w:r w:rsidR="00202CB0" w:rsidRPr="00295DAB">
        <w:rPr>
          <w:szCs w:val="26"/>
        </w:rPr>
        <w:t>n. omitted.</w:t>
      </w:r>
      <w:r w:rsidR="00E23FCA" w:rsidRPr="00295DAB">
        <w:rPr>
          <w:szCs w:val="26"/>
        </w:rPr>
        <w:t>)</w:t>
      </w:r>
    </w:p>
    <w:p w14:paraId="32AA80BB" w14:textId="77777777" w:rsidR="000675CB" w:rsidRPr="00295DAB" w:rsidRDefault="00590CB4" w:rsidP="00295DAB">
      <w:pPr>
        <w:ind w:firstLine="720"/>
        <w:rPr>
          <w:szCs w:val="26"/>
        </w:rPr>
      </w:pPr>
      <w:r>
        <w:rPr>
          <w:szCs w:val="26"/>
        </w:rPr>
        <w:t xml:space="preserve">The properties </w:t>
      </w:r>
      <w:r>
        <w:rPr>
          <w:szCs w:val="26"/>
        </w:rPr>
        <w:t xml:space="preserve">remained in this configuration, </w:t>
      </w:r>
      <w:r w:rsidR="00A349A0" w:rsidRPr="00295DAB">
        <w:rPr>
          <w:szCs w:val="26"/>
        </w:rPr>
        <w:t xml:space="preserve">with the 643 </w:t>
      </w:r>
      <w:r w:rsidR="00DF2C88" w:rsidRPr="00295DAB">
        <w:rPr>
          <w:szCs w:val="26"/>
        </w:rPr>
        <w:t>P</w:t>
      </w:r>
      <w:r w:rsidR="00A349A0" w:rsidRPr="00295DAB">
        <w:rPr>
          <w:szCs w:val="26"/>
        </w:rPr>
        <w:t xml:space="preserve">roperty making use of the encroaching </w:t>
      </w:r>
      <w:r w:rsidR="003C278E" w:rsidRPr="00295DAB">
        <w:rPr>
          <w:szCs w:val="26"/>
        </w:rPr>
        <w:t>area</w:t>
      </w:r>
      <w:r w:rsidR="00A349A0" w:rsidRPr="00295DAB">
        <w:rPr>
          <w:szCs w:val="26"/>
        </w:rPr>
        <w:t xml:space="preserve"> as a garden planter and driveway</w:t>
      </w:r>
      <w:r w:rsidR="009200A8">
        <w:rPr>
          <w:szCs w:val="26"/>
        </w:rPr>
        <w:t xml:space="preserve">, </w:t>
      </w:r>
      <w:r w:rsidR="004A7E2D">
        <w:rPr>
          <w:szCs w:val="26"/>
        </w:rPr>
        <w:t xml:space="preserve">during </w:t>
      </w:r>
      <w:r w:rsidR="00FF07F2">
        <w:rPr>
          <w:szCs w:val="26"/>
        </w:rPr>
        <w:t xml:space="preserve">the next three </w:t>
      </w:r>
      <w:r w:rsidR="009200A8">
        <w:rPr>
          <w:szCs w:val="26"/>
        </w:rPr>
        <w:t>decades</w:t>
      </w:r>
      <w:r w:rsidR="00A349A0" w:rsidRPr="00295DAB">
        <w:rPr>
          <w:szCs w:val="26"/>
        </w:rPr>
        <w:t xml:space="preserve">.  </w:t>
      </w:r>
      <w:r w:rsidR="00C80785" w:rsidRPr="00295DAB">
        <w:rPr>
          <w:szCs w:val="26"/>
        </w:rPr>
        <w:t xml:space="preserve">The 651 </w:t>
      </w:r>
      <w:r w:rsidR="00DF2C88" w:rsidRPr="00295DAB">
        <w:rPr>
          <w:szCs w:val="26"/>
        </w:rPr>
        <w:t>P</w:t>
      </w:r>
      <w:r w:rsidR="00C80785" w:rsidRPr="00295DAB">
        <w:rPr>
          <w:szCs w:val="26"/>
        </w:rPr>
        <w:t xml:space="preserve">roperty was sold once during this </w:t>
      </w:r>
      <w:r w:rsidR="004A7E2D">
        <w:rPr>
          <w:szCs w:val="26"/>
        </w:rPr>
        <w:t>period</w:t>
      </w:r>
      <w:r w:rsidR="00C80785" w:rsidRPr="00295DAB">
        <w:rPr>
          <w:szCs w:val="26"/>
        </w:rPr>
        <w:t>, in 2005</w:t>
      </w:r>
      <w:r w:rsidR="00DC0369" w:rsidRPr="00295DAB">
        <w:rPr>
          <w:szCs w:val="26"/>
        </w:rPr>
        <w:t xml:space="preserve">.  Plaintiffs Cesar and Tatana Spicakova Romero (the Romeros) </w:t>
      </w:r>
      <w:r w:rsidR="004A7E2D">
        <w:rPr>
          <w:szCs w:val="26"/>
        </w:rPr>
        <w:t xml:space="preserve">then </w:t>
      </w:r>
      <w:r w:rsidR="00DC0369" w:rsidRPr="00295DAB">
        <w:rPr>
          <w:szCs w:val="26"/>
        </w:rPr>
        <w:t xml:space="preserve">purchased the </w:t>
      </w:r>
      <w:r w:rsidR="004B289D" w:rsidRPr="00295DAB">
        <w:rPr>
          <w:szCs w:val="26"/>
        </w:rPr>
        <w:t xml:space="preserve">651 Property in 2014.  That same year, </w:t>
      </w:r>
      <w:r w:rsidR="00EE120A" w:rsidRPr="00295DAB">
        <w:rPr>
          <w:szCs w:val="26"/>
        </w:rPr>
        <w:t xml:space="preserve">defendants </w:t>
      </w:r>
      <w:r w:rsidR="00DC0369" w:rsidRPr="00295DAB">
        <w:rPr>
          <w:szCs w:val="26"/>
        </w:rPr>
        <w:t>Li-Chuan Shih and Tun-Jen Ko (the Shih-Kos)</w:t>
      </w:r>
      <w:r w:rsidR="00EE120A" w:rsidRPr="00295DAB">
        <w:rPr>
          <w:szCs w:val="26"/>
        </w:rPr>
        <w:t xml:space="preserve"> </w:t>
      </w:r>
      <w:r w:rsidR="00070109" w:rsidRPr="00295DAB">
        <w:rPr>
          <w:szCs w:val="26"/>
        </w:rPr>
        <w:t>purchased the</w:t>
      </w:r>
      <w:r w:rsidR="003742F1" w:rsidRPr="00295DAB">
        <w:rPr>
          <w:szCs w:val="26"/>
        </w:rPr>
        <w:t xml:space="preserve"> </w:t>
      </w:r>
      <w:r w:rsidR="00ED1C26" w:rsidRPr="00295DAB">
        <w:rPr>
          <w:szCs w:val="26"/>
        </w:rPr>
        <w:t xml:space="preserve">643 </w:t>
      </w:r>
      <w:r w:rsidR="00DF2C88" w:rsidRPr="00295DAB">
        <w:rPr>
          <w:szCs w:val="26"/>
        </w:rPr>
        <w:t>P</w:t>
      </w:r>
      <w:r w:rsidR="00ED1C26" w:rsidRPr="00295DAB">
        <w:rPr>
          <w:szCs w:val="26"/>
        </w:rPr>
        <w:t>roperty</w:t>
      </w:r>
      <w:r w:rsidR="00F937F0" w:rsidRPr="00295DAB">
        <w:rPr>
          <w:szCs w:val="26"/>
        </w:rPr>
        <w:t xml:space="preserve"> from Ann Cutler’s estate</w:t>
      </w:r>
      <w:r w:rsidR="003742F1" w:rsidRPr="00295DAB">
        <w:rPr>
          <w:szCs w:val="26"/>
        </w:rPr>
        <w:t>.</w:t>
      </w:r>
    </w:p>
    <w:p w14:paraId="32AA80BC" w14:textId="77777777" w:rsidR="000675CB" w:rsidRPr="00295DAB" w:rsidRDefault="00590CB4" w:rsidP="00295DAB">
      <w:pPr>
        <w:ind w:firstLine="720"/>
        <w:rPr>
          <w:szCs w:val="26"/>
        </w:rPr>
      </w:pPr>
      <w:r w:rsidRPr="00295DAB">
        <w:rPr>
          <w:szCs w:val="26"/>
        </w:rPr>
        <w:t xml:space="preserve">At the time they purchased their respective properties, neither the </w:t>
      </w:r>
      <w:r w:rsidRPr="00295DAB">
        <w:rPr>
          <w:szCs w:val="26"/>
        </w:rPr>
        <w:t>Romeros nor the Shih-Kos were aware of any easements, encroachments, or boundary disputes</w:t>
      </w:r>
      <w:r w:rsidR="00522580" w:rsidRPr="00295DAB">
        <w:rPr>
          <w:szCs w:val="26"/>
        </w:rPr>
        <w:t>.  None had been disclosed by the sellers in the respective purchase agreements</w:t>
      </w:r>
      <w:r w:rsidR="00F42F99" w:rsidRPr="00295DAB">
        <w:rPr>
          <w:szCs w:val="26"/>
        </w:rPr>
        <w:t xml:space="preserve"> or advertising materials</w:t>
      </w:r>
      <w:r w:rsidR="00522580" w:rsidRPr="00295DAB">
        <w:rPr>
          <w:szCs w:val="26"/>
        </w:rPr>
        <w:t xml:space="preserve">, and neither party </w:t>
      </w:r>
      <w:r w:rsidR="00840888" w:rsidRPr="00295DAB">
        <w:rPr>
          <w:szCs w:val="26"/>
        </w:rPr>
        <w:t xml:space="preserve">had </w:t>
      </w:r>
      <w:r w:rsidR="00267D35" w:rsidRPr="00295DAB">
        <w:rPr>
          <w:szCs w:val="26"/>
        </w:rPr>
        <w:t>taken steps</w:t>
      </w:r>
      <w:r w:rsidR="00522580" w:rsidRPr="00295DAB">
        <w:rPr>
          <w:szCs w:val="26"/>
        </w:rPr>
        <w:t xml:space="preserve"> to verify that the </w:t>
      </w:r>
      <w:r w:rsidRPr="00295DAB">
        <w:rPr>
          <w:szCs w:val="26"/>
        </w:rPr>
        <w:t>concrete</w:t>
      </w:r>
      <w:r w:rsidRPr="00295DAB">
        <w:rPr>
          <w:szCs w:val="26"/>
        </w:rPr>
        <w:t xml:space="preserve"> </w:t>
      </w:r>
      <w:r w:rsidR="00401880" w:rsidRPr="00295DAB">
        <w:rPr>
          <w:szCs w:val="26"/>
        </w:rPr>
        <w:t>block wall separating the properties conformed to the true boundary line</w:t>
      </w:r>
      <w:r w:rsidR="00522580" w:rsidRPr="00295DAB">
        <w:rPr>
          <w:szCs w:val="26"/>
        </w:rPr>
        <w:t>.</w:t>
      </w:r>
      <w:r w:rsidR="00E647B7" w:rsidRPr="00295DAB">
        <w:rPr>
          <w:szCs w:val="26"/>
        </w:rPr>
        <w:t xml:space="preserve">  The Romeros did not discover that anything was amiss until about a year after purchasing the 651 </w:t>
      </w:r>
      <w:r w:rsidR="00DF2C88" w:rsidRPr="00295DAB">
        <w:rPr>
          <w:szCs w:val="26"/>
        </w:rPr>
        <w:t>P</w:t>
      </w:r>
      <w:r w:rsidR="00E647B7" w:rsidRPr="00295DAB">
        <w:rPr>
          <w:szCs w:val="26"/>
        </w:rPr>
        <w:t>roperty, when Cesar Romero was taking measurements in his front yard for a landscaping project</w:t>
      </w:r>
      <w:r w:rsidR="00914F63" w:rsidRPr="00295DAB">
        <w:rPr>
          <w:szCs w:val="26"/>
        </w:rPr>
        <w:t xml:space="preserve"> and realized that the yard was not as wide as he expected</w:t>
      </w:r>
      <w:r w:rsidR="00E647B7" w:rsidRPr="00295DAB">
        <w:rPr>
          <w:szCs w:val="26"/>
        </w:rPr>
        <w:t>.</w:t>
      </w:r>
      <w:r w:rsidR="00914F63" w:rsidRPr="00295DAB">
        <w:rPr>
          <w:szCs w:val="26"/>
        </w:rPr>
        <w:t xml:space="preserve">  The Romeros commissioned a survey, which confirmed that the </w:t>
      </w:r>
      <w:r w:rsidRPr="00295DAB">
        <w:rPr>
          <w:szCs w:val="26"/>
        </w:rPr>
        <w:t xml:space="preserve">643 </w:t>
      </w:r>
      <w:r w:rsidRPr="00295DAB">
        <w:rPr>
          <w:szCs w:val="26"/>
        </w:rPr>
        <w:lastRenderedPageBreak/>
        <w:t>Property</w:t>
      </w:r>
      <w:r w:rsidR="00914F63" w:rsidRPr="00295DAB">
        <w:rPr>
          <w:szCs w:val="26"/>
        </w:rPr>
        <w:t>’</w:t>
      </w:r>
      <w:r w:rsidRPr="00295DAB">
        <w:rPr>
          <w:szCs w:val="26"/>
        </w:rPr>
        <w:t>s</w:t>
      </w:r>
      <w:r w:rsidR="00914F63" w:rsidRPr="00295DAB">
        <w:rPr>
          <w:szCs w:val="26"/>
        </w:rPr>
        <w:t xml:space="preserve"> garden planter and driveway were encroaching on the 651 </w:t>
      </w:r>
      <w:r w:rsidR="00DF2C88" w:rsidRPr="00295DAB">
        <w:rPr>
          <w:szCs w:val="26"/>
        </w:rPr>
        <w:t>P</w:t>
      </w:r>
      <w:r w:rsidR="00914F63" w:rsidRPr="00295DAB">
        <w:rPr>
          <w:szCs w:val="26"/>
        </w:rPr>
        <w:t>roperty.</w:t>
      </w:r>
    </w:p>
    <w:p w14:paraId="32AA80BD" w14:textId="77777777" w:rsidR="000675CB" w:rsidRPr="00295DAB" w:rsidRDefault="00590CB4" w:rsidP="00295DAB">
      <w:pPr>
        <w:ind w:firstLine="720"/>
        <w:rPr>
          <w:szCs w:val="26"/>
        </w:rPr>
      </w:pPr>
      <w:r w:rsidRPr="00295DAB">
        <w:rPr>
          <w:szCs w:val="26"/>
        </w:rPr>
        <w:t>T</w:t>
      </w:r>
      <w:r w:rsidR="00914F63" w:rsidRPr="00295DAB">
        <w:rPr>
          <w:szCs w:val="26"/>
        </w:rPr>
        <w:t xml:space="preserve">he Romeros filed a lawsuit against the Shih-Kos, </w:t>
      </w:r>
      <w:r w:rsidR="00327485">
        <w:rPr>
          <w:szCs w:val="26"/>
        </w:rPr>
        <w:t xml:space="preserve">requesting </w:t>
      </w:r>
      <w:r w:rsidRPr="00295DAB">
        <w:rPr>
          <w:szCs w:val="26"/>
        </w:rPr>
        <w:t>that</w:t>
      </w:r>
      <w:r w:rsidR="00B9262A" w:rsidRPr="00295DAB">
        <w:rPr>
          <w:szCs w:val="26"/>
        </w:rPr>
        <w:t xml:space="preserve"> the Shih-Kos </w:t>
      </w:r>
      <w:r w:rsidR="00327485">
        <w:rPr>
          <w:szCs w:val="26"/>
        </w:rPr>
        <w:t xml:space="preserve">be ordered to </w:t>
      </w:r>
      <w:r w:rsidR="00B9262A" w:rsidRPr="00295DAB">
        <w:rPr>
          <w:szCs w:val="26"/>
        </w:rPr>
        <w:t>remove all encroachments and pay damages</w:t>
      </w:r>
      <w:r w:rsidR="00EA5EB0" w:rsidRPr="00295DAB">
        <w:rPr>
          <w:szCs w:val="26"/>
        </w:rPr>
        <w:t>.</w:t>
      </w:r>
      <w:r w:rsidR="0075269A" w:rsidRPr="00295DAB">
        <w:rPr>
          <w:szCs w:val="26"/>
        </w:rPr>
        <w:t xml:space="preserve">  </w:t>
      </w:r>
      <w:r w:rsidR="005932D9" w:rsidRPr="00295DAB">
        <w:rPr>
          <w:szCs w:val="26"/>
        </w:rPr>
        <w:t>T</w:t>
      </w:r>
      <w:r w:rsidR="0075269A" w:rsidRPr="00295DAB">
        <w:rPr>
          <w:szCs w:val="26"/>
        </w:rPr>
        <w:t xml:space="preserve">he Shih-Kos filed a cross-complaint </w:t>
      </w:r>
      <w:r w:rsidR="009F6A3D" w:rsidRPr="00295DAB">
        <w:rPr>
          <w:szCs w:val="26"/>
        </w:rPr>
        <w:t xml:space="preserve">alleging that when the Cutlers separated the 643 and 651 </w:t>
      </w:r>
      <w:r w:rsidR="00DF2C88" w:rsidRPr="00295DAB">
        <w:rPr>
          <w:szCs w:val="26"/>
        </w:rPr>
        <w:t>P</w:t>
      </w:r>
      <w:r w:rsidR="009F6A3D" w:rsidRPr="00295DAB">
        <w:rPr>
          <w:szCs w:val="26"/>
        </w:rPr>
        <w:t xml:space="preserve">roperties in 1986, they created an implied easement over the disputed area in favor of the 643 </w:t>
      </w:r>
      <w:r w:rsidR="00DF2C88" w:rsidRPr="00295DAB">
        <w:rPr>
          <w:szCs w:val="26"/>
        </w:rPr>
        <w:t>P</w:t>
      </w:r>
      <w:r w:rsidR="009F6A3D" w:rsidRPr="00295DAB">
        <w:rPr>
          <w:szCs w:val="26"/>
        </w:rPr>
        <w:t>roperty</w:t>
      </w:r>
      <w:r w:rsidR="008540D4" w:rsidRPr="00295DAB">
        <w:rPr>
          <w:szCs w:val="26"/>
        </w:rPr>
        <w:t>.  I</w:t>
      </w:r>
      <w:r w:rsidR="009F6A3D" w:rsidRPr="00295DAB">
        <w:rPr>
          <w:szCs w:val="26"/>
        </w:rPr>
        <w:t xml:space="preserve">n the alternative, the Shih-Kos asked the court to create </w:t>
      </w:r>
      <w:r w:rsidR="008540D4" w:rsidRPr="00295DAB">
        <w:rPr>
          <w:szCs w:val="26"/>
        </w:rPr>
        <w:t xml:space="preserve">an equitable easement in favor of the 643 </w:t>
      </w:r>
      <w:r w:rsidR="00DF2C88" w:rsidRPr="00295DAB">
        <w:rPr>
          <w:szCs w:val="26"/>
        </w:rPr>
        <w:t>P</w:t>
      </w:r>
      <w:r w:rsidR="008540D4" w:rsidRPr="00295DAB">
        <w:rPr>
          <w:szCs w:val="26"/>
        </w:rPr>
        <w:t xml:space="preserve">roperty over the disputed </w:t>
      </w:r>
      <w:r w:rsidRPr="00295DAB">
        <w:rPr>
          <w:szCs w:val="26"/>
        </w:rPr>
        <w:t>area</w:t>
      </w:r>
      <w:r w:rsidR="008540D4" w:rsidRPr="00295DAB">
        <w:rPr>
          <w:szCs w:val="26"/>
        </w:rPr>
        <w:t>, which would entitle the Romeros to compensation for the burden imposed on their property.</w:t>
      </w:r>
    </w:p>
    <w:p w14:paraId="32AA80BE" w14:textId="77777777" w:rsidR="00591074" w:rsidRDefault="00590CB4" w:rsidP="00295DAB">
      <w:pPr>
        <w:ind w:firstLine="720"/>
        <w:rPr>
          <w:szCs w:val="26"/>
        </w:rPr>
      </w:pPr>
      <w:r w:rsidRPr="00295DAB">
        <w:rPr>
          <w:szCs w:val="26"/>
        </w:rPr>
        <w:t>The matter proceeded to a bench trial</w:t>
      </w:r>
      <w:r w:rsidR="0075275B">
        <w:rPr>
          <w:szCs w:val="26"/>
        </w:rPr>
        <w:t xml:space="preserve"> focusing on the easement issue</w:t>
      </w:r>
      <w:r w:rsidRPr="00295DAB">
        <w:rPr>
          <w:szCs w:val="26"/>
        </w:rPr>
        <w:t xml:space="preserve">.  </w:t>
      </w:r>
      <w:r w:rsidR="0012595E" w:rsidRPr="00295DAB">
        <w:rPr>
          <w:szCs w:val="26"/>
        </w:rPr>
        <w:t>T</w:t>
      </w:r>
      <w:r w:rsidRPr="00295DAB">
        <w:rPr>
          <w:szCs w:val="26"/>
        </w:rPr>
        <w:t>he parties presented evidence regarding the history of the two properties and the circumstances surrounding th</w:t>
      </w:r>
      <w:r w:rsidRPr="00295DAB">
        <w:rPr>
          <w:szCs w:val="26"/>
        </w:rPr>
        <w:t xml:space="preserve">eir separation in 1986, discussed above, as well as </w:t>
      </w:r>
      <w:r w:rsidR="00982E94" w:rsidRPr="00295DAB">
        <w:rPr>
          <w:szCs w:val="26"/>
        </w:rPr>
        <w:t xml:space="preserve">evidence of </w:t>
      </w:r>
      <w:r w:rsidRPr="00295DAB">
        <w:rPr>
          <w:szCs w:val="26"/>
        </w:rPr>
        <w:t>the effect that the alleged easement would have on each property.  As relevant here,</w:t>
      </w:r>
      <w:r w:rsidR="0084681D" w:rsidRPr="00295DAB">
        <w:rPr>
          <w:szCs w:val="26"/>
        </w:rPr>
        <w:t xml:space="preserve"> the Shih-Ko</w:t>
      </w:r>
      <w:r w:rsidR="0012595E" w:rsidRPr="00295DAB">
        <w:rPr>
          <w:szCs w:val="26"/>
        </w:rPr>
        <w:t>s</w:t>
      </w:r>
      <w:r w:rsidR="0084681D" w:rsidRPr="00295DAB">
        <w:rPr>
          <w:szCs w:val="26"/>
        </w:rPr>
        <w:t xml:space="preserve">’ appraisal expert, Daniel Poyourow, testified about the uses of the disputed area that would remain to the </w:t>
      </w:r>
      <w:r w:rsidRPr="00295DAB">
        <w:rPr>
          <w:szCs w:val="26"/>
        </w:rPr>
        <w:t xml:space="preserve">Romeros’ </w:t>
      </w:r>
      <w:r w:rsidR="0084681D" w:rsidRPr="00295DAB">
        <w:rPr>
          <w:szCs w:val="26"/>
        </w:rPr>
        <w:t>651 Property if the trial court were to award an easement in favor of the 643 Property.</w:t>
      </w:r>
      <w:r w:rsidR="00C73413" w:rsidRPr="00295DAB">
        <w:rPr>
          <w:szCs w:val="26"/>
        </w:rPr>
        <w:t xml:space="preserve">  Poyourow explained that the Romeros could continue to use the easement area for “setback purposes”</w:t>
      </w:r>
      <w:r w:rsidR="00501CA3" w:rsidRPr="00295DAB">
        <w:rPr>
          <w:szCs w:val="26"/>
        </w:rPr>
        <w:t> </w:t>
      </w:r>
      <w:r w:rsidR="00C73413" w:rsidRPr="00295DAB">
        <w:rPr>
          <w:szCs w:val="26"/>
        </w:rPr>
        <w:t>— i.e., to calculate how far any structure must be set back from the true property line</w:t>
      </w:r>
      <w:r w:rsidR="00501CA3" w:rsidRPr="00295DAB">
        <w:rPr>
          <w:szCs w:val="26"/>
        </w:rPr>
        <w:t> </w:t>
      </w:r>
      <w:r w:rsidR="00C73413" w:rsidRPr="00295DAB">
        <w:rPr>
          <w:szCs w:val="26"/>
        </w:rPr>
        <w:t>— and for “FAR uses”</w:t>
      </w:r>
      <w:r w:rsidR="00501CA3" w:rsidRPr="00295DAB">
        <w:rPr>
          <w:szCs w:val="26"/>
        </w:rPr>
        <w:t> </w:t>
      </w:r>
      <w:r w:rsidR="00C73413" w:rsidRPr="00295DAB">
        <w:rPr>
          <w:szCs w:val="26"/>
        </w:rPr>
        <w:t xml:space="preserve">— apparently referring to the “floor area ratio,” or the permissible </w:t>
      </w:r>
      <w:r w:rsidR="003C278E" w:rsidRPr="00295DAB">
        <w:rPr>
          <w:szCs w:val="26"/>
        </w:rPr>
        <w:t xml:space="preserve">floor area </w:t>
      </w:r>
      <w:r w:rsidR="00C73413" w:rsidRPr="00295DAB">
        <w:rPr>
          <w:szCs w:val="26"/>
        </w:rPr>
        <w:t>of a building in relation to the size of the lot where the building is located.</w:t>
      </w:r>
      <w:r w:rsidR="006E3873" w:rsidRPr="00295DAB">
        <w:rPr>
          <w:szCs w:val="26"/>
        </w:rPr>
        <w:t xml:space="preserve">  He also testified that certain subsurface uses remained to the 651 Property</w:t>
      </w:r>
      <w:r w:rsidR="00501CA3" w:rsidRPr="00295DAB">
        <w:rPr>
          <w:szCs w:val="26"/>
        </w:rPr>
        <w:t> </w:t>
      </w:r>
      <w:r w:rsidR="006E3873" w:rsidRPr="00295DAB">
        <w:rPr>
          <w:szCs w:val="26"/>
        </w:rPr>
        <w:t>— e.g., for the running of underground pipes or cables.</w:t>
      </w:r>
      <w:r w:rsidR="0084681D" w:rsidRPr="00295DAB">
        <w:rPr>
          <w:szCs w:val="26"/>
        </w:rPr>
        <w:t xml:space="preserve">  </w:t>
      </w:r>
      <w:r w:rsidR="009D2EDB" w:rsidRPr="00295DAB">
        <w:rPr>
          <w:szCs w:val="26"/>
        </w:rPr>
        <w:t xml:space="preserve">On cross-examination, however, Poyourow acknowledged that his appraisal report had characterized the easement as “effectively </w:t>
      </w:r>
      <w:r w:rsidR="009D2EDB" w:rsidRPr="00295DAB">
        <w:rPr>
          <w:szCs w:val="26"/>
        </w:rPr>
        <w:lastRenderedPageBreak/>
        <w:t xml:space="preserve">exclusive” and that the potential for the 651 Property to take advantage of any remaining uses was “remote.”  </w:t>
      </w:r>
      <w:r w:rsidR="006E3873" w:rsidRPr="00295DAB">
        <w:rPr>
          <w:szCs w:val="26"/>
        </w:rPr>
        <w:t xml:space="preserve">Overall, </w:t>
      </w:r>
      <w:r w:rsidR="0084681D" w:rsidRPr="00295DAB">
        <w:rPr>
          <w:szCs w:val="26"/>
        </w:rPr>
        <w:t xml:space="preserve">Poyourow estimated that </w:t>
      </w:r>
      <w:r>
        <w:rPr>
          <w:szCs w:val="26"/>
        </w:rPr>
        <w:t xml:space="preserve">the “residual value” of the uses of the property to the </w:t>
      </w:r>
      <w:r w:rsidR="002154FD">
        <w:rPr>
          <w:szCs w:val="26"/>
        </w:rPr>
        <w:t xml:space="preserve">651 property </w:t>
      </w:r>
      <w:r>
        <w:rPr>
          <w:szCs w:val="26"/>
        </w:rPr>
        <w:t xml:space="preserve">represented approximately 2 percent of the value of the disputed </w:t>
      </w:r>
      <w:r>
        <w:rPr>
          <w:szCs w:val="26"/>
        </w:rPr>
        <w:t>area.</w:t>
      </w:r>
    </w:p>
    <w:p w14:paraId="32AA80BF" w14:textId="77777777" w:rsidR="00982E94" w:rsidRPr="00295DAB" w:rsidRDefault="00590CB4" w:rsidP="00295DAB">
      <w:pPr>
        <w:ind w:firstLine="720"/>
        <w:rPr>
          <w:szCs w:val="26"/>
        </w:rPr>
      </w:pPr>
      <w:r w:rsidRPr="00295DAB">
        <w:rPr>
          <w:szCs w:val="26"/>
        </w:rPr>
        <w:t xml:space="preserve">After </w:t>
      </w:r>
      <w:r w:rsidR="004E1352" w:rsidRPr="00295DAB">
        <w:rPr>
          <w:szCs w:val="26"/>
        </w:rPr>
        <w:t>the</w:t>
      </w:r>
      <w:r w:rsidRPr="00295DAB">
        <w:rPr>
          <w:szCs w:val="26"/>
        </w:rPr>
        <w:t xml:space="preserve"> bench trial, the trial court entered judgment for the Shih-Kos, concluding that they possessed an implied easement over the disputed strip of land</w:t>
      </w:r>
      <w:r w:rsidR="00CC5C50" w:rsidRPr="00295DAB">
        <w:rPr>
          <w:szCs w:val="26"/>
        </w:rPr>
        <w:t>.</w:t>
      </w:r>
      <w:r w:rsidRPr="00295DAB">
        <w:rPr>
          <w:szCs w:val="26"/>
        </w:rPr>
        <w:t xml:space="preserve">  The court found that it was “clear under the circumstances” that when the Cutlers separated</w:t>
      </w:r>
      <w:r w:rsidRPr="00295DAB">
        <w:rPr>
          <w:szCs w:val="26"/>
        </w:rPr>
        <w:t xml:space="preserve"> </w:t>
      </w:r>
      <w:r w:rsidR="00F46B77">
        <w:rPr>
          <w:szCs w:val="26"/>
        </w:rPr>
        <w:t xml:space="preserve">and sold </w:t>
      </w:r>
      <w:r w:rsidRPr="00295DAB">
        <w:rPr>
          <w:szCs w:val="26"/>
        </w:rPr>
        <w:t>the two properties</w:t>
      </w:r>
      <w:r w:rsidR="004D1A57" w:rsidRPr="00295DAB">
        <w:rPr>
          <w:szCs w:val="26"/>
        </w:rPr>
        <w:t xml:space="preserve"> in 1986</w:t>
      </w:r>
      <w:r w:rsidRPr="00295DAB">
        <w:rPr>
          <w:szCs w:val="26"/>
        </w:rPr>
        <w:t xml:space="preserve">, </w:t>
      </w:r>
      <w:r w:rsidR="00E95B84" w:rsidRPr="00295DAB">
        <w:rPr>
          <w:szCs w:val="26"/>
        </w:rPr>
        <w:t>“the parties to the transaction intended the 643 Property’s encroachment on the 651 Property would continue after the division.”</w:t>
      </w:r>
      <w:r w:rsidRPr="00295DAB">
        <w:rPr>
          <w:szCs w:val="26"/>
        </w:rPr>
        <w:t xml:space="preserve">  </w:t>
      </w:r>
      <w:r w:rsidR="004D1A57" w:rsidRPr="00295DAB">
        <w:rPr>
          <w:szCs w:val="26"/>
        </w:rPr>
        <w:t>Specifically, t</w:t>
      </w:r>
      <w:r w:rsidRPr="00295DAB">
        <w:rPr>
          <w:szCs w:val="26"/>
        </w:rPr>
        <w:t>he court noted that “all the Cutlers, the Shewmakes, and every successive</w:t>
      </w:r>
      <w:r w:rsidRPr="00295DAB">
        <w:rPr>
          <w:szCs w:val="26"/>
        </w:rPr>
        <w:t xml:space="preserve"> owner of either property (until now) </w:t>
      </w:r>
      <w:r w:rsidR="009F6E52">
        <w:rPr>
          <w:szCs w:val="26"/>
        </w:rPr>
        <w:t>[have]</w:t>
      </w:r>
      <w:r w:rsidR="009F6E52" w:rsidRPr="00295DAB">
        <w:rPr>
          <w:szCs w:val="26"/>
        </w:rPr>
        <w:t xml:space="preserve"> </w:t>
      </w:r>
      <w:r w:rsidRPr="00295DAB">
        <w:rPr>
          <w:szCs w:val="26"/>
        </w:rPr>
        <w:t>allowed for and/or behaved as if the 643 Property has the right to encroach upon the disputed strip of land with the driveway, planter, and block wall</w:t>
      </w:r>
      <w:r w:rsidR="00501CA3" w:rsidRPr="00295DAB">
        <w:rPr>
          <w:szCs w:val="26"/>
        </w:rPr>
        <w:t> </w:t>
      </w:r>
      <w:r w:rsidRPr="00295DAB">
        <w:rPr>
          <w:szCs w:val="26"/>
        </w:rPr>
        <w:t>— all of which have remained unchanged in their use and func</w:t>
      </w:r>
      <w:r w:rsidRPr="00295DAB">
        <w:rPr>
          <w:szCs w:val="26"/>
        </w:rPr>
        <w:t>tion since at least the initial property separation.”</w:t>
      </w:r>
      <w:r w:rsidR="00A33AD2" w:rsidRPr="00295DAB">
        <w:rPr>
          <w:szCs w:val="26"/>
        </w:rPr>
        <w:t xml:space="preserve">  The court </w:t>
      </w:r>
      <w:r w:rsidR="007F6AC2" w:rsidRPr="00295DAB">
        <w:rPr>
          <w:szCs w:val="26"/>
        </w:rPr>
        <w:t xml:space="preserve">also determined </w:t>
      </w:r>
      <w:r w:rsidR="00A33AD2" w:rsidRPr="00295DAB">
        <w:rPr>
          <w:szCs w:val="26"/>
        </w:rPr>
        <w:t xml:space="preserve">that the encroachment was reasonably necessary to the beneficial enjoyment of the 643 Property because </w:t>
      </w:r>
      <w:r w:rsidR="007F6AC2" w:rsidRPr="00295DAB">
        <w:rPr>
          <w:szCs w:val="26"/>
        </w:rPr>
        <w:t xml:space="preserve">without the easement, the 643 Property’s driveway would be </w:t>
      </w:r>
      <w:r w:rsidR="00C835E5" w:rsidRPr="00295DAB">
        <w:rPr>
          <w:szCs w:val="26"/>
        </w:rPr>
        <w:t xml:space="preserve">too </w:t>
      </w:r>
      <w:r w:rsidR="007F6AC2" w:rsidRPr="00295DAB">
        <w:rPr>
          <w:szCs w:val="26"/>
        </w:rPr>
        <w:t>narrow</w:t>
      </w:r>
      <w:r w:rsidR="00C835E5" w:rsidRPr="00295DAB">
        <w:rPr>
          <w:szCs w:val="26"/>
        </w:rPr>
        <w:t xml:space="preserve"> for normal use</w:t>
      </w:r>
      <w:r w:rsidR="007F6AC2" w:rsidRPr="00295DAB">
        <w:rPr>
          <w:szCs w:val="26"/>
        </w:rPr>
        <w:t>.</w:t>
      </w:r>
      <w:r w:rsidR="00D331A9" w:rsidRPr="00295DAB">
        <w:rPr>
          <w:szCs w:val="26"/>
        </w:rPr>
        <w:t xml:space="preserve">  </w:t>
      </w:r>
    </w:p>
    <w:p w14:paraId="32AA80C0" w14:textId="77777777" w:rsidR="008F32BD" w:rsidRDefault="00590CB4" w:rsidP="008F32BD">
      <w:pPr>
        <w:ind w:firstLine="720"/>
        <w:rPr>
          <w:szCs w:val="26"/>
        </w:rPr>
      </w:pPr>
      <w:r w:rsidRPr="00295DAB">
        <w:rPr>
          <w:szCs w:val="26"/>
        </w:rPr>
        <w:t xml:space="preserve">In </w:t>
      </w:r>
      <w:r w:rsidR="00722B9C">
        <w:rPr>
          <w:szCs w:val="26"/>
        </w:rPr>
        <w:t xml:space="preserve">finding an implied easement, </w:t>
      </w:r>
      <w:r w:rsidRPr="00295DAB">
        <w:rPr>
          <w:szCs w:val="26"/>
        </w:rPr>
        <w:t xml:space="preserve">the trial court rejected the Romeros’ argument that </w:t>
      </w:r>
      <w:r w:rsidR="007F6AC2" w:rsidRPr="00295DAB">
        <w:rPr>
          <w:szCs w:val="26"/>
        </w:rPr>
        <w:t xml:space="preserve">California law prohibits the </w:t>
      </w:r>
      <w:r w:rsidR="00722B9C">
        <w:rPr>
          <w:szCs w:val="26"/>
        </w:rPr>
        <w:t xml:space="preserve">recognition </w:t>
      </w:r>
      <w:r w:rsidR="007F6AC2" w:rsidRPr="00295DAB">
        <w:rPr>
          <w:szCs w:val="26"/>
        </w:rPr>
        <w:t>of an implied easement that would effectively exclude the property owner from any practical use of the disputed area</w:t>
      </w:r>
      <w:r w:rsidR="00EF5BD9">
        <w:rPr>
          <w:szCs w:val="26"/>
        </w:rPr>
        <w:t>.  The trial court reasoned that</w:t>
      </w:r>
      <w:r w:rsidR="007F6AC2" w:rsidRPr="00295DAB">
        <w:rPr>
          <w:szCs w:val="26"/>
        </w:rPr>
        <w:t xml:space="preserve"> “the focus of the [implied easement] analysis is what the parties intended at the time of the division or conveyance; whether their </w:t>
      </w:r>
      <w:r w:rsidR="005E43BD" w:rsidRPr="00295DAB">
        <w:rPr>
          <w:szCs w:val="26"/>
        </w:rPr>
        <w:t xml:space="preserve">intended </w:t>
      </w:r>
      <w:r w:rsidR="007F6AC2" w:rsidRPr="00295DAB">
        <w:rPr>
          <w:szCs w:val="26"/>
        </w:rPr>
        <w:t>use was exclusive or not is beside the point.”</w:t>
      </w:r>
      <w:r>
        <w:rPr>
          <w:szCs w:val="26"/>
        </w:rPr>
        <w:t xml:space="preserve">  </w:t>
      </w:r>
      <w:r w:rsidR="001A5D0B" w:rsidRPr="00295DAB">
        <w:rPr>
          <w:szCs w:val="26"/>
        </w:rPr>
        <w:t xml:space="preserve">The trial court ordered that the </w:t>
      </w:r>
      <w:r w:rsidR="00C57440" w:rsidRPr="00295DAB">
        <w:rPr>
          <w:szCs w:val="26"/>
        </w:rPr>
        <w:t xml:space="preserve">implied </w:t>
      </w:r>
      <w:r w:rsidR="001A5D0B" w:rsidRPr="00295DAB">
        <w:rPr>
          <w:szCs w:val="26"/>
        </w:rPr>
        <w:lastRenderedPageBreak/>
        <w:t>easement would run with the land and, “consistent with the original grantor and grantee’s intent in 1986, shall terminate if the 643 Property ceases its continued use of the easement for a driveway, planter and wall/fence.”</w:t>
      </w:r>
      <w:r w:rsidR="00982E94" w:rsidRPr="00295DAB">
        <w:rPr>
          <w:szCs w:val="26"/>
        </w:rPr>
        <w:t xml:space="preserve">  </w:t>
      </w:r>
    </w:p>
    <w:p w14:paraId="32AA80C1" w14:textId="77777777" w:rsidR="003933CD" w:rsidRPr="00295DAB" w:rsidRDefault="00590CB4" w:rsidP="008F32BD">
      <w:pPr>
        <w:ind w:firstLine="720"/>
        <w:rPr>
          <w:szCs w:val="26"/>
        </w:rPr>
      </w:pPr>
      <w:r w:rsidRPr="00295DAB">
        <w:rPr>
          <w:szCs w:val="26"/>
        </w:rPr>
        <w:t xml:space="preserve">In the alternative, the trial court created an equitable easement over the disputed area in the event the implied easement </w:t>
      </w:r>
      <w:r w:rsidR="00C730E7" w:rsidRPr="00295DAB">
        <w:rPr>
          <w:szCs w:val="26"/>
        </w:rPr>
        <w:t>w</w:t>
      </w:r>
      <w:r w:rsidR="00886706">
        <w:rPr>
          <w:szCs w:val="26"/>
        </w:rPr>
        <w:t>as</w:t>
      </w:r>
      <w:r w:rsidR="00C730E7" w:rsidRPr="00295DAB">
        <w:rPr>
          <w:szCs w:val="26"/>
        </w:rPr>
        <w:t xml:space="preserve"> </w:t>
      </w:r>
      <w:r w:rsidRPr="00295DAB">
        <w:rPr>
          <w:szCs w:val="26"/>
        </w:rPr>
        <w:t xml:space="preserve">overturned on appeal.  </w:t>
      </w:r>
      <w:r w:rsidR="00C730E7" w:rsidRPr="00295DAB">
        <w:rPr>
          <w:szCs w:val="26"/>
        </w:rPr>
        <w:t xml:space="preserve">The court relied on a series of appellate decisions permitting courts </w:t>
      </w:r>
      <w:r w:rsidR="001C0EE7" w:rsidRPr="00295DAB">
        <w:rPr>
          <w:szCs w:val="26"/>
        </w:rPr>
        <w:t xml:space="preserve">in certain situations </w:t>
      </w:r>
      <w:r w:rsidR="00C730E7" w:rsidRPr="00295DAB">
        <w:rPr>
          <w:szCs w:val="26"/>
        </w:rPr>
        <w:t xml:space="preserve">to exercise their powers in equity </w:t>
      </w:r>
      <w:r w:rsidRPr="00295DAB">
        <w:rPr>
          <w:szCs w:val="26"/>
        </w:rPr>
        <w:t>to fashion an interest in the owner’s land that will protect an innocent encroacher</w:t>
      </w:r>
      <w:r w:rsidR="00891603" w:rsidRPr="00295DAB">
        <w:rPr>
          <w:szCs w:val="26"/>
        </w:rPr>
        <w:t>’s use of the property</w:t>
      </w:r>
      <w:r w:rsidRPr="00295DAB">
        <w:rPr>
          <w:szCs w:val="26"/>
        </w:rPr>
        <w:t xml:space="preserve">, </w:t>
      </w:r>
      <w:r w:rsidR="00C730E7" w:rsidRPr="00295DAB">
        <w:rPr>
          <w:szCs w:val="26"/>
        </w:rPr>
        <w:t xml:space="preserve">on the condition that </w:t>
      </w:r>
      <w:r w:rsidRPr="00295DAB">
        <w:rPr>
          <w:szCs w:val="26"/>
        </w:rPr>
        <w:t>the encroacher pay damages to the property owner.  (</w:t>
      </w:r>
      <w:r w:rsidR="00C730E7" w:rsidRPr="00295DAB">
        <w:rPr>
          <w:szCs w:val="26"/>
        </w:rPr>
        <w:t xml:space="preserve">See generally </w:t>
      </w:r>
      <w:r w:rsidR="00C730E7" w:rsidRPr="00295DAB">
        <w:rPr>
          <w:i/>
          <w:iCs/>
          <w:szCs w:val="26"/>
        </w:rPr>
        <w:t>Hirshfield v. Schwartz</w:t>
      </w:r>
      <w:r w:rsidR="00C730E7" w:rsidRPr="00295DAB">
        <w:rPr>
          <w:szCs w:val="26"/>
        </w:rPr>
        <w:t xml:space="preserve"> (2001) 91 Cal.App.4th 749, 764–</w:t>
      </w:r>
      <w:r w:rsidR="0059561B" w:rsidRPr="00295DAB">
        <w:rPr>
          <w:szCs w:val="26"/>
        </w:rPr>
        <w:t>765</w:t>
      </w:r>
      <w:r w:rsidR="004A3DBC">
        <w:rPr>
          <w:szCs w:val="26"/>
        </w:rPr>
        <w:t xml:space="preserve"> (</w:t>
      </w:r>
      <w:r w:rsidR="004A3DBC" w:rsidRPr="004A3DBC">
        <w:rPr>
          <w:i/>
          <w:iCs/>
          <w:szCs w:val="26"/>
        </w:rPr>
        <w:t>Hirshfield</w:t>
      </w:r>
      <w:r w:rsidR="004A3DBC">
        <w:rPr>
          <w:szCs w:val="26"/>
        </w:rPr>
        <w:t>)</w:t>
      </w:r>
      <w:r w:rsidR="0059561B" w:rsidRPr="00295DAB">
        <w:rPr>
          <w:szCs w:val="26"/>
        </w:rPr>
        <w:t xml:space="preserve">.)  </w:t>
      </w:r>
      <w:r w:rsidR="00162B45">
        <w:rPr>
          <w:szCs w:val="26"/>
        </w:rPr>
        <w:t>T</w:t>
      </w:r>
      <w:r w:rsidR="006F0AD1" w:rsidRPr="00295DAB">
        <w:rPr>
          <w:szCs w:val="26"/>
        </w:rPr>
        <w:t xml:space="preserve">he court determined that </w:t>
      </w:r>
      <w:r w:rsidR="00162B45">
        <w:rPr>
          <w:szCs w:val="26"/>
        </w:rPr>
        <w:t xml:space="preserve">even </w:t>
      </w:r>
      <w:r w:rsidR="006F0AD1" w:rsidRPr="00295DAB">
        <w:rPr>
          <w:szCs w:val="26"/>
        </w:rPr>
        <w:t xml:space="preserve">if the Shih-Kos were ultimately found </w:t>
      </w:r>
      <w:r w:rsidR="002F146F" w:rsidRPr="00295DAB">
        <w:rPr>
          <w:szCs w:val="26"/>
        </w:rPr>
        <w:t xml:space="preserve">to have no preexisting right of use, </w:t>
      </w:r>
      <w:r w:rsidR="00F8100D" w:rsidRPr="00295DAB">
        <w:rPr>
          <w:szCs w:val="26"/>
        </w:rPr>
        <w:t xml:space="preserve">they </w:t>
      </w:r>
      <w:r w:rsidR="0033524B" w:rsidRPr="00295DAB">
        <w:rPr>
          <w:szCs w:val="26"/>
        </w:rPr>
        <w:t xml:space="preserve">could continue to use the disputed property but </w:t>
      </w:r>
      <w:r w:rsidR="00F8100D" w:rsidRPr="00295DAB">
        <w:rPr>
          <w:szCs w:val="26"/>
        </w:rPr>
        <w:t>would be obligated to pay damages to the Romeros in the amount of $69,000.</w:t>
      </w:r>
    </w:p>
    <w:p w14:paraId="32AA80C2" w14:textId="77777777" w:rsidR="006D6E0B" w:rsidRDefault="00590CB4" w:rsidP="00295DAB">
      <w:pPr>
        <w:ind w:firstLine="720"/>
        <w:rPr>
          <w:szCs w:val="26"/>
        </w:rPr>
      </w:pPr>
      <w:r w:rsidRPr="00295DAB">
        <w:rPr>
          <w:szCs w:val="26"/>
        </w:rPr>
        <w:t>The Court of Appeal reversed</w:t>
      </w:r>
      <w:r w:rsidR="003F4D06" w:rsidRPr="00295DAB">
        <w:rPr>
          <w:szCs w:val="26"/>
        </w:rPr>
        <w:t xml:space="preserve"> </w:t>
      </w:r>
      <w:r w:rsidR="005F5002">
        <w:rPr>
          <w:szCs w:val="26"/>
        </w:rPr>
        <w:t>on the implied easement issue</w:t>
      </w:r>
      <w:r w:rsidRPr="00295DAB">
        <w:rPr>
          <w:szCs w:val="26"/>
        </w:rPr>
        <w:t>.</w:t>
      </w:r>
      <w:r w:rsidR="003F4D06" w:rsidRPr="00295DAB">
        <w:rPr>
          <w:szCs w:val="26"/>
        </w:rPr>
        <w:t xml:space="preserve">  (</w:t>
      </w:r>
      <w:r w:rsidR="003F4D06" w:rsidRPr="00295DAB">
        <w:rPr>
          <w:i/>
          <w:iCs/>
          <w:szCs w:val="26"/>
        </w:rPr>
        <w:t>Romero v. Shih</w:t>
      </w:r>
      <w:r w:rsidR="00536C42">
        <w:rPr>
          <w:szCs w:val="26"/>
        </w:rPr>
        <w:t xml:space="preserve"> (2022)</w:t>
      </w:r>
      <w:r w:rsidR="005E43BD" w:rsidRPr="00295DAB">
        <w:rPr>
          <w:szCs w:val="26"/>
        </w:rPr>
        <w:t xml:space="preserve"> </w:t>
      </w:r>
      <w:r w:rsidR="003F4D06" w:rsidRPr="00295DAB">
        <w:rPr>
          <w:szCs w:val="26"/>
        </w:rPr>
        <w:t>78 Cal.App.5th</w:t>
      </w:r>
      <w:r w:rsidR="00536C42">
        <w:rPr>
          <w:szCs w:val="26"/>
        </w:rPr>
        <w:t xml:space="preserve"> 326,</w:t>
      </w:r>
      <w:r w:rsidR="003F4D06" w:rsidRPr="00295DAB">
        <w:rPr>
          <w:szCs w:val="26"/>
        </w:rPr>
        <w:t xml:space="preserve"> 362 (</w:t>
      </w:r>
      <w:r w:rsidR="003F4D06" w:rsidRPr="00295DAB">
        <w:rPr>
          <w:i/>
          <w:iCs/>
          <w:szCs w:val="26"/>
        </w:rPr>
        <w:t>Romero</w:t>
      </w:r>
      <w:r w:rsidR="003F4D06" w:rsidRPr="00295DAB">
        <w:rPr>
          <w:szCs w:val="26"/>
        </w:rPr>
        <w:t>).)</w:t>
      </w:r>
      <w:r w:rsidR="00982E94" w:rsidRPr="00295DAB">
        <w:rPr>
          <w:szCs w:val="26"/>
        </w:rPr>
        <w:t xml:space="preserve">  </w:t>
      </w:r>
      <w:r>
        <w:rPr>
          <w:szCs w:val="26"/>
        </w:rPr>
        <w:t>T</w:t>
      </w:r>
      <w:r w:rsidR="004052E8" w:rsidRPr="00295DAB">
        <w:rPr>
          <w:szCs w:val="26"/>
        </w:rPr>
        <w:t xml:space="preserve">he critical question, the </w:t>
      </w:r>
      <w:r w:rsidR="00A71E94">
        <w:rPr>
          <w:szCs w:val="26"/>
        </w:rPr>
        <w:t xml:space="preserve">appellate </w:t>
      </w:r>
      <w:r w:rsidR="004052E8" w:rsidRPr="00295DAB">
        <w:rPr>
          <w:szCs w:val="26"/>
        </w:rPr>
        <w:t xml:space="preserve">court concluded, was whether the easement was </w:t>
      </w:r>
      <w:r w:rsidR="001A4B1D">
        <w:rPr>
          <w:szCs w:val="26"/>
        </w:rPr>
        <w:t>“</w:t>
      </w:r>
      <w:r w:rsidR="004052E8" w:rsidRPr="00295DAB">
        <w:rPr>
          <w:szCs w:val="26"/>
        </w:rPr>
        <w:t>exclusive</w:t>
      </w:r>
      <w:r w:rsidR="00C5183C">
        <w:rPr>
          <w:szCs w:val="26"/>
        </w:rPr>
        <w:t>.</w:t>
      </w:r>
      <w:r w:rsidR="00BE420B">
        <w:rPr>
          <w:szCs w:val="26"/>
        </w:rPr>
        <w:t>”</w:t>
      </w:r>
      <w:r w:rsidR="00C5183C">
        <w:rPr>
          <w:szCs w:val="26"/>
        </w:rPr>
        <w:t xml:space="preserve">  </w:t>
      </w:r>
      <w:r w:rsidR="001A4B1D">
        <w:rPr>
          <w:szCs w:val="26"/>
        </w:rPr>
        <w:t>(</w:t>
      </w:r>
      <w:r w:rsidR="001A4B1D">
        <w:rPr>
          <w:i/>
          <w:iCs/>
          <w:szCs w:val="26"/>
        </w:rPr>
        <w:t>Id.</w:t>
      </w:r>
      <w:r w:rsidR="001A4B1D">
        <w:rPr>
          <w:szCs w:val="26"/>
        </w:rPr>
        <w:t xml:space="preserve"> at </w:t>
      </w:r>
      <w:r w:rsidR="00BE420B">
        <w:rPr>
          <w:szCs w:val="26"/>
        </w:rPr>
        <w:t>p</w:t>
      </w:r>
      <w:r w:rsidR="001A4B1D">
        <w:rPr>
          <w:szCs w:val="26"/>
        </w:rPr>
        <w:t>p. 349</w:t>
      </w:r>
      <w:r w:rsidR="00BE420B">
        <w:rPr>
          <w:szCs w:val="26"/>
        </w:rPr>
        <w:t>, 350</w:t>
      </w:r>
      <w:r w:rsidR="001A4B1D">
        <w:rPr>
          <w:szCs w:val="26"/>
        </w:rPr>
        <w:t>.)</w:t>
      </w:r>
      <w:r>
        <w:rPr>
          <w:szCs w:val="26"/>
        </w:rPr>
        <w:t xml:space="preserve">  Here, </w:t>
      </w:r>
      <w:r w:rsidR="007F49BF">
        <w:rPr>
          <w:szCs w:val="26"/>
        </w:rPr>
        <w:t xml:space="preserve">according to </w:t>
      </w:r>
      <w:r>
        <w:rPr>
          <w:szCs w:val="26"/>
        </w:rPr>
        <w:t>the Court of Appeal</w:t>
      </w:r>
      <w:r w:rsidR="00C5183C">
        <w:rPr>
          <w:szCs w:val="26"/>
        </w:rPr>
        <w:t>,</w:t>
      </w:r>
      <w:r>
        <w:rPr>
          <w:szCs w:val="26"/>
        </w:rPr>
        <w:t xml:space="preserve"> the implied easement was “</w:t>
      </w:r>
      <w:r w:rsidRPr="00295DAB">
        <w:rPr>
          <w:szCs w:val="26"/>
        </w:rPr>
        <w:t>exclusive</w:t>
      </w:r>
      <w:r>
        <w:rPr>
          <w:szCs w:val="26"/>
        </w:rPr>
        <w:t xml:space="preserve">” in the sense that </w:t>
      </w:r>
      <w:r w:rsidRPr="00295DAB">
        <w:rPr>
          <w:szCs w:val="26"/>
        </w:rPr>
        <w:t>the easement “essentially divests [the Romeros] of nearly all rights that owners customarily have in residential property, including access an</w:t>
      </w:r>
      <w:r w:rsidRPr="00295DAB">
        <w:rPr>
          <w:szCs w:val="26"/>
        </w:rPr>
        <w:t>d practical usage.”  (</w:t>
      </w:r>
      <w:r w:rsidR="00536C42" w:rsidRPr="007F49BF">
        <w:rPr>
          <w:i/>
          <w:iCs/>
          <w:szCs w:val="26"/>
        </w:rPr>
        <w:t>Id.</w:t>
      </w:r>
      <w:r w:rsidRPr="00295DAB">
        <w:rPr>
          <w:szCs w:val="26"/>
        </w:rPr>
        <w:t xml:space="preserve"> at </w:t>
      </w:r>
      <w:r>
        <w:rPr>
          <w:szCs w:val="26"/>
        </w:rPr>
        <w:t>p</w:t>
      </w:r>
      <w:r w:rsidRPr="00295DAB">
        <w:rPr>
          <w:szCs w:val="26"/>
        </w:rPr>
        <w:t>. 354.)</w:t>
      </w:r>
      <w:r>
        <w:rPr>
          <w:szCs w:val="26"/>
        </w:rPr>
        <w:t xml:space="preserve">  </w:t>
      </w:r>
    </w:p>
    <w:p w14:paraId="32AA80C3" w14:textId="77777777" w:rsidR="00982E94" w:rsidRPr="00295DAB" w:rsidRDefault="00590CB4" w:rsidP="00295DAB">
      <w:pPr>
        <w:ind w:firstLine="720"/>
        <w:rPr>
          <w:szCs w:val="26"/>
        </w:rPr>
      </w:pPr>
      <w:r>
        <w:rPr>
          <w:szCs w:val="26"/>
        </w:rPr>
        <w:t xml:space="preserve">The appellate court </w:t>
      </w:r>
      <w:r w:rsidR="00DC7275" w:rsidRPr="00295DAB">
        <w:rPr>
          <w:szCs w:val="26"/>
        </w:rPr>
        <w:t xml:space="preserve">acknowledged that California law has recognized </w:t>
      </w:r>
      <w:r w:rsidR="007F0CD5">
        <w:rPr>
          <w:szCs w:val="26"/>
        </w:rPr>
        <w:t xml:space="preserve">similarly </w:t>
      </w:r>
      <w:r w:rsidR="00DC7275" w:rsidRPr="00295DAB">
        <w:rPr>
          <w:szCs w:val="26"/>
        </w:rPr>
        <w:t>“exclusive</w:t>
      </w:r>
      <w:r w:rsidR="009F5CF8" w:rsidRPr="00295DAB">
        <w:rPr>
          <w:szCs w:val="26"/>
        </w:rPr>
        <w:t>”</w:t>
      </w:r>
      <w:r w:rsidR="00DC7275" w:rsidRPr="00295DAB">
        <w:rPr>
          <w:szCs w:val="26"/>
        </w:rPr>
        <w:t xml:space="preserve"> easements</w:t>
      </w:r>
      <w:r w:rsidR="00604310" w:rsidRPr="00295DAB">
        <w:rPr>
          <w:szCs w:val="26"/>
        </w:rPr>
        <w:t xml:space="preserve"> in cases where the easement was created by </w:t>
      </w:r>
      <w:r w:rsidR="00842E68" w:rsidRPr="00295DAB">
        <w:rPr>
          <w:szCs w:val="26"/>
        </w:rPr>
        <w:t xml:space="preserve">express </w:t>
      </w:r>
      <w:r w:rsidR="00604310" w:rsidRPr="00295DAB">
        <w:rPr>
          <w:szCs w:val="26"/>
        </w:rPr>
        <w:t xml:space="preserve">grant and </w:t>
      </w:r>
      <w:r w:rsidR="00BC1C92" w:rsidRPr="00295DAB">
        <w:rPr>
          <w:szCs w:val="26"/>
        </w:rPr>
        <w:t xml:space="preserve">the written instrument either explicitly </w:t>
      </w:r>
      <w:r w:rsidR="009F5CF8" w:rsidRPr="00295DAB">
        <w:rPr>
          <w:szCs w:val="26"/>
        </w:rPr>
        <w:t xml:space="preserve">provided </w:t>
      </w:r>
      <w:r w:rsidR="00BC1C92" w:rsidRPr="00295DAB">
        <w:rPr>
          <w:szCs w:val="26"/>
        </w:rPr>
        <w:t>or clearly implie</w:t>
      </w:r>
      <w:r w:rsidR="009F5CF8" w:rsidRPr="00295DAB">
        <w:rPr>
          <w:szCs w:val="26"/>
        </w:rPr>
        <w:t>d</w:t>
      </w:r>
      <w:r w:rsidR="00BC1C92" w:rsidRPr="00295DAB">
        <w:rPr>
          <w:szCs w:val="26"/>
        </w:rPr>
        <w:t xml:space="preserve"> </w:t>
      </w:r>
      <w:r w:rsidR="008C470D">
        <w:rPr>
          <w:szCs w:val="26"/>
        </w:rPr>
        <w:t>a</w:t>
      </w:r>
      <w:r w:rsidR="00DC7275" w:rsidRPr="00295DAB">
        <w:rPr>
          <w:szCs w:val="26"/>
        </w:rPr>
        <w:t xml:space="preserve"> right </w:t>
      </w:r>
      <w:r w:rsidR="00DC7275" w:rsidRPr="00295DAB">
        <w:rPr>
          <w:szCs w:val="26"/>
        </w:rPr>
        <w:lastRenderedPageBreak/>
        <w:t>to exclusive use of the easement area</w:t>
      </w:r>
      <w:r w:rsidR="006B3DB7" w:rsidRPr="00295DAB">
        <w:rPr>
          <w:szCs w:val="26"/>
        </w:rPr>
        <w:t xml:space="preserve"> (for instance, by indicating that the easement is </w:t>
      </w:r>
      <w:r w:rsidR="00842E68" w:rsidRPr="00295DAB">
        <w:rPr>
          <w:szCs w:val="26"/>
        </w:rPr>
        <w:t>“ ‘ </w:t>
      </w:r>
      <w:r w:rsidR="006B3DB7" w:rsidRPr="00295DAB">
        <w:rPr>
          <w:szCs w:val="26"/>
        </w:rPr>
        <w:t>“for parking and garage purposes</w:t>
      </w:r>
      <w:r w:rsidR="00842E68" w:rsidRPr="00295DAB">
        <w:rPr>
          <w:szCs w:val="26"/>
        </w:rPr>
        <w:t>” ’ </w:t>
      </w:r>
      <w:r w:rsidR="006B3DB7" w:rsidRPr="00295DAB">
        <w:rPr>
          <w:szCs w:val="26"/>
        </w:rPr>
        <w:t>”)</w:t>
      </w:r>
      <w:r w:rsidR="00501CA3" w:rsidRPr="00295DAB">
        <w:rPr>
          <w:szCs w:val="26"/>
        </w:rPr>
        <w:t>.</w:t>
      </w:r>
      <w:r w:rsidR="00DC7275" w:rsidRPr="00295DAB">
        <w:rPr>
          <w:szCs w:val="26"/>
        </w:rPr>
        <w:t xml:space="preserve">  (</w:t>
      </w:r>
      <w:r w:rsidR="000A3B1B" w:rsidRPr="000A3B1B">
        <w:rPr>
          <w:i/>
          <w:iCs/>
          <w:szCs w:val="26"/>
        </w:rPr>
        <w:t>Romero</w:t>
      </w:r>
      <w:r w:rsidR="000A3B1B">
        <w:rPr>
          <w:szCs w:val="26"/>
        </w:rPr>
        <w:t xml:space="preserve">, </w:t>
      </w:r>
      <w:r w:rsidR="000A3B1B" w:rsidRPr="000A3B1B">
        <w:rPr>
          <w:i/>
          <w:iCs/>
          <w:szCs w:val="26"/>
        </w:rPr>
        <w:t>supra</w:t>
      </w:r>
      <w:r w:rsidR="000A3B1B">
        <w:rPr>
          <w:szCs w:val="26"/>
        </w:rPr>
        <w:t>, 78 Cal.App.5th</w:t>
      </w:r>
      <w:r w:rsidR="00536C42">
        <w:rPr>
          <w:szCs w:val="26"/>
        </w:rPr>
        <w:t xml:space="preserve"> at p.</w:t>
      </w:r>
      <w:r w:rsidR="00555BFC">
        <w:rPr>
          <w:szCs w:val="26"/>
        </w:rPr>
        <w:t> </w:t>
      </w:r>
      <w:r w:rsidR="00536C42">
        <w:rPr>
          <w:szCs w:val="26"/>
        </w:rPr>
        <w:t>350,</w:t>
      </w:r>
      <w:r w:rsidR="00A71E94" w:rsidRPr="007F49BF">
        <w:rPr>
          <w:szCs w:val="26"/>
        </w:rPr>
        <w:t xml:space="preserve"> </w:t>
      </w:r>
      <w:r w:rsidR="00555BFC" w:rsidRPr="007F49BF">
        <w:rPr>
          <w:szCs w:val="26"/>
        </w:rPr>
        <w:t xml:space="preserve">citing </w:t>
      </w:r>
      <w:r w:rsidR="00555BFC" w:rsidRPr="00222CB6">
        <w:rPr>
          <w:i/>
          <w:iCs/>
          <w:szCs w:val="26"/>
        </w:rPr>
        <w:t>Blackmore v. Powell</w:t>
      </w:r>
      <w:r w:rsidR="00555BFC" w:rsidRPr="00222CB6">
        <w:rPr>
          <w:szCs w:val="26"/>
        </w:rPr>
        <w:t xml:space="preserve"> (2007) 150 Cal.App.4th 1593, 1599–1600</w:t>
      </w:r>
      <w:r w:rsidR="00555BFC">
        <w:rPr>
          <w:szCs w:val="26"/>
        </w:rPr>
        <w:t xml:space="preserve"> </w:t>
      </w:r>
      <w:r w:rsidR="00536C42">
        <w:rPr>
          <w:szCs w:val="26"/>
        </w:rPr>
        <w:t>(</w:t>
      </w:r>
      <w:r w:rsidR="00536C42">
        <w:rPr>
          <w:i/>
          <w:iCs/>
          <w:szCs w:val="26"/>
        </w:rPr>
        <w:t>Blackmore</w:t>
      </w:r>
      <w:r w:rsidR="00536C42">
        <w:rPr>
          <w:szCs w:val="26"/>
        </w:rPr>
        <w:t>)</w:t>
      </w:r>
      <w:r w:rsidR="00A71E94" w:rsidRPr="007F49BF">
        <w:rPr>
          <w:szCs w:val="26"/>
        </w:rPr>
        <w:t>.</w:t>
      </w:r>
      <w:r w:rsidR="00DC7275" w:rsidRPr="00222CB6">
        <w:rPr>
          <w:szCs w:val="26"/>
        </w:rPr>
        <w:t>)</w:t>
      </w:r>
      <w:r w:rsidR="00DC7275" w:rsidRPr="00295DAB">
        <w:rPr>
          <w:szCs w:val="26"/>
        </w:rPr>
        <w:t xml:space="preserve">  But the court held that the same rule should not obtain for easements implied by law.</w:t>
      </w:r>
      <w:r w:rsidRPr="00295DAB">
        <w:rPr>
          <w:szCs w:val="26"/>
        </w:rPr>
        <w:t xml:space="preserve">  </w:t>
      </w:r>
    </w:p>
    <w:p w14:paraId="32AA80C4" w14:textId="77777777" w:rsidR="00BA78CC" w:rsidRDefault="00590CB4" w:rsidP="00295DAB">
      <w:pPr>
        <w:ind w:firstLine="720"/>
        <w:rPr>
          <w:szCs w:val="26"/>
        </w:rPr>
      </w:pPr>
      <w:r>
        <w:rPr>
          <w:szCs w:val="26"/>
        </w:rPr>
        <w:t>T</w:t>
      </w:r>
      <w:r w:rsidR="00035A0D" w:rsidRPr="00295DAB">
        <w:rPr>
          <w:szCs w:val="26"/>
        </w:rPr>
        <w:t xml:space="preserve">he </w:t>
      </w:r>
      <w:r>
        <w:rPr>
          <w:szCs w:val="26"/>
        </w:rPr>
        <w:t xml:space="preserve">appellate </w:t>
      </w:r>
      <w:r w:rsidR="00035A0D" w:rsidRPr="00295DAB">
        <w:rPr>
          <w:szCs w:val="26"/>
        </w:rPr>
        <w:t xml:space="preserve">court relied </w:t>
      </w:r>
      <w:r>
        <w:rPr>
          <w:szCs w:val="26"/>
        </w:rPr>
        <w:t xml:space="preserve">for its conclusion </w:t>
      </w:r>
      <w:r w:rsidR="00035A0D" w:rsidRPr="00295DAB">
        <w:rPr>
          <w:szCs w:val="26"/>
        </w:rPr>
        <w:t xml:space="preserve">on a line of cases </w:t>
      </w:r>
      <w:r w:rsidR="008C470D">
        <w:rPr>
          <w:szCs w:val="26"/>
        </w:rPr>
        <w:t xml:space="preserve">concerning </w:t>
      </w:r>
      <w:r w:rsidR="00035A0D" w:rsidRPr="00295DAB">
        <w:rPr>
          <w:szCs w:val="26"/>
        </w:rPr>
        <w:t>prescriptive easements</w:t>
      </w:r>
      <w:r w:rsidR="00FE1207">
        <w:rPr>
          <w:szCs w:val="26"/>
        </w:rPr>
        <w:t xml:space="preserve">, which are easements acquired through the open, </w:t>
      </w:r>
      <w:r w:rsidR="00035A0D" w:rsidRPr="00295DAB">
        <w:rPr>
          <w:szCs w:val="26"/>
        </w:rPr>
        <w:t>continuous</w:t>
      </w:r>
      <w:r w:rsidR="00FE1207">
        <w:rPr>
          <w:szCs w:val="26"/>
        </w:rPr>
        <w:t>,</w:t>
      </w:r>
      <w:r w:rsidR="00035A0D" w:rsidRPr="00295DAB">
        <w:rPr>
          <w:szCs w:val="26"/>
        </w:rPr>
        <w:t xml:space="preserve"> and hostile use of </w:t>
      </w:r>
      <w:r w:rsidR="00FF50D6">
        <w:rPr>
          <w:szCs w:val="26"/>
        </w:rPr>
        <w:t>another’s</w:t>
      </w:r>
      <w:r w:rsidR="00035A0D" w:rsidRPr="00295DAB">
        <w:rPr>
          <w:szCs w:val="26"/>
        </w:rPr>
        <w:t xml:space="preserve"> land.  (</w:t>
      </w:r>
      <w:r w:rsidR="005E43BD" w:rsidRPr="00295DAB">
        <w:rPr>
          <w:i/>
          <w:iCs/>
          <w:szCs w:val="26"/>
        </w:rPr>
        <w:t>Romero</w:t>
      </w:r>
      <w:r w:rsidR="005E43BD" w:rsidRPr="00295DAB">
        <w:rPr>
          <w:szCs w:val="26"/>
        </w:rPr>
        <w:t xml:space="preserve">, </w:t>
      </w:r>
      <w:r w:rsidR="005E43BD" w:rsidRPr="00295DAB">
        <w:rPr>
          <w:i/>
          <w:iCs/>
          <w:szCs w:val="26"/>
        </w:rPr>
        <w:t>supra</w:t>
      </w:r>
      <w:r w:rsidR="005E43BD" w:rsidRPr="00295DAB">
        <w:rPr>
          <w:szCs w:val="26"/>
        </w:rPr>
        <w:t xml:space="preserve">, 78 Cal.App.5th </w:t>
      </w:r>
      <w:r w:rsidR="00035A0D" w:rsidRPr="00295DAB">
        <w:rPr>
          <w:szCs w:val="26"/>
        </w:rPr>
        <w:t>at pp.</w:t>
      </w:r>
      <w:r w:rsidR="00501CA3" w:rsidRPr="00295DAB">
        <w:rPr>
          <w:szCs w:val="26"/>
        </w:rPr>
        <w:t> </w:t>
      </w:r>
      <w:r w:rsidR="00035A0D" w:rsidRPr="00295DAB">
        <w:rPr>
          <w:szCs w:val="26"/>
        </w:rPr>
        <w:t xml:space="preserve">350–352.)  In those cases, </w:t>
      </w:r>
      <w:r w:rsidR="00580F3D">
        <w:rPr>
          <w:szCs w:val="26"/>
        </w:rPr>
        <w:t xml:space="preserve">several </w:t>
      </w:r>
      <w:r w:rsidR="00035A0D" w:rsidRPr="00295DAB">
        <w:rPr>
          <w:szCs w:val="26"/>
        </w:rPr>
        <w:t>appellate courts have held that</w:t>
      </w:r>
      <w:r w:rsidR="006C27EB" w:rsidRPr="00295DAB">
        <w:rPr>
          <w:szCs w:val="26"/>
        </w:rPr>
        <w:t xml:space="preserve"> </w:t>
      </w:r>
      <w:r w:rsidR="00200F50" w:rsidRPr="00295DAB">
        <w:rPr>
          <w:szCs w:val="26"/>
        </w:rPr>
        <w:t xml:space="preserve">a </w:t>
      </w:r>
      <w:r w:rsidR="006C27EB" w:rsidRPr="00295DAB">
        <w:rPr>
          <w:szCs w:val="26"/>
        </w:rPr>
        <w:t xml:space="preserve">court cannot </w:t>
      </w:r>
      <w:r w:rsidR="00FE1207">
        <w:rPr>
          <w:szCs w:val="26"/>
        </w:rPr>
        <w:t xml:space="preserve">recognize </w:t>
      </w:r>
      <w:r w:rsidR="00200F50" w:rsidRPr="00295DAB">
        <w:rPr>
          <w:szCs w:val="26"/>
        </w:rPr>
        <w:t xml:space="preserve">a </w:t>
      </w:r>
      <w:r w:rsidR="006C27EB" w:rsidRPr="00295DAB">
        <w:rPr>
          <w:szCs w:val="26"/>
        </w:rPr>
        <w:t>prescriptive easement that ha</w:t>
      </w:r>
      <w:r w:rsidR="00200F50" w:rsidRPr="00295DAB">
        <w:rPr>
          <w:szCs w:val="26"/>
        </w:rPr>
        <w:t>s</w:t>
      </w:r>
      <w:r w:rsidR="006C27EB" w:rsidRPr="00295DAB">
        <w:rPr>
          <w:szCs w:val="26"/>
        </w:rPr>
        <w:t xml:space="preserve"> the effect of leaving the fee title holder with no practical use of the </w:t>
      </w:r>
      <w:r w:rsidR="00982E94" w:rsidRPr="00295DAB">
        <w:rPr>
          <w:szCs w:val="26"/>
        </w:rPr>
        <w:t>land sub</w:t>
      </w:r>
      <w:r w:rsidR="006C27EB" w:rsidRPr="00295DAB">
        <w:rPr>
          <w:szCs w:val="26"/>
        </w:rPr>
        <w:t>ject to the easement.  (</w:t>
      </w:r>
      <w:r w:rsidR="006C27EB" w:rsidRPr="00295DAB">
        <w:rPr>
          <w:i/>
          <w:iCs/>
          <w:szCs w:val="26"/>
        </w:rPr>
        <w:t>Ibid.</w:t>
      </w:r>
      <w:r w:rsidR="006C27EB" w:rsidRPr="00295DAB">
        <w:rPr>
          <w:szCs w:val="26"/>
        </w:rPr>
        <w:t xml:space="preserve">)  </w:t>
      </w:r>
      <w:r w:rsidR="00035A0D" w:rsidRPr="00295DAB">
        <w:rPr>
          <w:szCs w:val="26"/>
        </w:rPr>
        <w:t>T</w:t>
      </w:r>
      <w:r w:rsidR="00D22D88">
        <w:rPr>
          <w:szCs w:val="26"/>
        </w:rPr>
        <w:t>o recognize such a prescriptive easement, t</w:t>
      </w:r>
      <w:r w:rsidR="00035A0D" w:rsidRPr="00295DAB">
        <w:rPr>
          <w:szCs w:val="26"/>
        </w:rPr>
        <w:t>he courts have reasoned</w:t>
      </w:r>
      <w:r w:rsidR="00D22D88">
        <w:rPr>
          <w:szCs w:val="26"/>
        </w:rPr>
        <w:t>,</w:t>
      </w:r>
      <w:r w:rsidR="00FE1207">
        <w:rPr>
          <w:szCs w:val="26"/>
        </w:rPr>
        <w:t xml:space="preserve"> </w:t>
      </w:r>
      <w:r w:rsidR="00035A0D" w:rsidRPr="00295DAB">
        <w:rPr>
          <w:szCs w:val="26"/>
        </w:rPr>
        <w:t xml:space="preserve">would </w:t>
      </w:r>
      <w:r w:rsidR="00F23BE4" w:rsidRPr="00295DAB">
        <w:rPr>
          <w:szCs w:val="26"/>
        </w:rPr>
        <w:t xml:space="preserve">undermine the integrity of the </w:t>
      </w:r>
      <w:r w:rsidR="00DE79BD">
        <w:rPr>
          <w:szCs w:val="26"/>
        </w:rPr>
        <w:t xml:space="preserve">statute governing the acquisition of </w:t>
      </w:r>
      <w:r w:rsidR="00AF50FB">
        <w:rPr>
          <w:szCs w:val="26"/>
        </w:rPr>
        <w:t xml:space="preserve">a </w:t>
      </w:r>
      <w:r w:rsidR="00DE79BD">
        <w:rPr>
          <w:szCs w:val="26"/>
        </w:rPr>
        <w:t xml:space="preserve">real property </w:t>
      </w:r>
      <w:r w:rsidR="00AF50FB">
        <w:rPr>
          <w:szCs w:val="26"/>
        </w:rPr>
        <w:t xml:space="preserve">estate </w:t>
      </w:r>
      <w:r w:rsidR="00DE79BD">
        <w:rPr>
          <w:szCs w:val="26"/>
        </w:rPr>
        <w:t xml:space="preserve">by </w:t>
      </w:r>
      <w:r w:rsidR="00F23BE4" w:rsidRPr="00295DAB">
        <w:rPr>
          <w:szCs w:val="26"/>
        </w:rPr>
        <w:t xml:space="preserve">adverse possession by permitting claimants </w:t>
      </w:r>
      <w:r w:rsidR="00035A0D" w:rsidRPr="00295DAB">
        <w:rPr>
          <w:szCs w:val="26"/>
        </w:rPr>
        <w:t>“ ‘to obtain the fruits of adverse possession</w:t>
      </w:r>
      <w:r w:rsidR="00A57D88" w:rsidRPr="00295DAB">
        <w:rPr>
          <w:szCs w:val="26"/>
        </w:rPr>
        <w:t>’ ”</w:t>
      </w:r>
      <w:r w:rsidR="00344F16" w:rsidRPr="00295DAB">
        <w:rPr>
          <w:szCs w:val="26"/>
        </w:rPr>
        <w:t xml:space="preserve"> </w:t>
      </w:r>
      <w:r w:rsidR="00646DEE">
        <w:rPr>
          <w:szCs w:val="26"/>
        </w:rPr>
        <w:t xml:space="preserve">without satisfying the statutory requirements, including the payment of taxes.  </w:t>
      </w:r>
      <w:r w:rsidR="00035A0D" w:rsidRPr="00295DAB">
        <w:rPr>
          <w:szCs w:val="26"/>
        </w:rPr>
        <w:t>(</w:t>
      </w:r>
      <w:r w:rsidR="00F23BE4" w:rsidRPr="00295DAB">
        <w:rPr>
          <w:i/>
          <w:iCs/>
          <w:szCs w:val="26"/>
        </w:rPr>
        <w:t>I</w:t>
      </w:r>
      <w:r w:rsidR="00035A0D" w:rsidRPr="00295DAB">
        <w:rPr>
          <w:i/>
          <w:iCs/>
          <w:szCs w:val="26"/>
        </w:rPr>
        <w:t>d.</w:t>
      </w:r>
      <w:r w:rsidR="00035A0D" w:rsidRPr="00295DAB">
        <w:rPr>
          <w:szCs w:val="26"/>
        </w:rPr>
        <w:t xml:space="preserve"> at p.</w:t>
      </w:r>
      <w:r w:rsidR="00501CA3" w:rsidRPr="00295DAB">
        <w:rPr>
          <w:szCs w:val="26"/>
        </w:rPr>
        <w:t> </w:t>
      </w:r>
      <w:r w:rsidR="00035A0D" w:rsidRPr="00295DAB">
        <w:rPr>
          <w:szCs w:val="26"/>
        </w:rPr>
        <w:t xml:space="preserve">350, quoting </w:t>
      </w:r>
      <w:r w:rsidR="00035A0D" w:rsidRPr="00295DAB">
        <w:rPr>
          <w:i/>
          <w:iCs/>
          <w:szCs w:val="26"/>
        </w:rPr>
        <w:t xml:space="preserve">Hansen </w:t>
      </w:r>
      <w:r w:rsidR="00F23BE4" w:rsidRPr="00295DAB">
        <w:rPr>
          <w:i/>
          <w:iCs/>
          <w:szCs w:val="26"/>
        </w:rPr>
        <w:t xml:space="preserve">v. Sandridge Partners, L.P. </w:t>
      </w:r>
      <w:r w:rsidR="00F23BE4" w:rsidRPr="00295DAB">
        <w:rPr>
          <w:szCs w:val="26"/>
        </w:rPr>
        <w:t>(2018) 22 Cal.App.5th 1020, 1033</w:t>
      </w:r>
      <w:r w:rsidR="00C15324" w:rsidRPr="00295DAB">
        <w:rPr>
          <w:szCs w:val="26"/>
        </w:rPr>
        <w:t xml:space="preserve"> (</w:t>
      </w:r>
      <w:r w:rsidR="00C15324" w:rsidRPr="00295DAB">
        <w:rPr>
          <w:i/>
          <w:iCs/>
          <w:szCs w:val="26"/>
        </w:rPr>
        <w:t>Hansen</w:t>
      </w:r>
      <w:r w:rsidR="00C15324" w:rsidRPr="00295DAB">
        <w:rPr>
          <w:szCs w:val="26"/>
        </w:rPr>
        <w:t>)</w:t>
      </w:r>
      <w:r w:rsidR="00F23BE4" w:rsidRPr="00295DAB">
        <w:rPr>
          <w:szCs w:val="26"/>
        </w:rPr>
        <w:t>.)</w:t>
      </w:r>
      <w:r w:rsidR="00D07077">
        <w:rPr>
          <w:szCs w:val="26"/>
        </w:rPr>
        <w:t xml:space="preserve">  </w:t>
      </w:r>
      <w:r w:rsidR="003B3C6D" w:rsidRPr="00295DAB">
        <w:rPr>
          <w:szCs w:val="26"/>
        </w:rPr>
        <w:t xml:space="preserve">The </w:t>
      </w:r>
      <w:r w:rsidR="00E53522">
        <w:rPr>
          <w:szCs w:val="26"/>
        </w:rPr>
        <w:t>Court of Appeal in this case found this rationale “</w:t>
      </w:r>
      <w:r w:rsidR="003B3C6D" w:rsidRPr="00295DAB">
        <w:rPr>
          <w:szCs w:val="26"/>
        </w:rPr>
        <w:t>based on the distinction between estates and easements</w:t>
      </w:r>
      <w:r w:rsidR="00501CA3" w:rsidRPr="00295DAB">
        <w:rPr>
          <w:szCs w:val="26"/>
        </w:rPr>
        <w:t> </w:t>
      </w:r>
      <w:r w:rsidR="003B3C6D" w:rsidRPr="00295DAB">
        <w:rPr>
          <w:szCs w:val="26"/>
        </w:rPr>
        <w:t>— equally applicable to exclusive implied easements.”  (</w:t>
      </w:r>
      <w:r w:rsidR="004013F3" w:rsidRPr="00295DAB">
        <w:rPr>
          <w:i/>
          <w:iCs/>
          <w:szCs w:val="26"/>
        </w:rPr>
        <w:t>Romero</w:t>
      </w:r>
      <w:r w:rsidR="004013F3" w:rsidRPr="00295DAB">
        <w:rPr>
          <w:szCs w:val="26"/>
        </w:rPr>
        <w:t xml:space="preserve">, </w:t>
      </w:r>
      <w:r w:rsidR="003B3C6D" w:rsidRPr="00295DAB">
        <w:rPr>
          <w:szCs w:val="26"/>
        </w:rPr>
        <w:t>at p.</w:t>
      </w:r>
      <w:r w:rsidR="00501CA3" w:rsidRPr="00295DAB">
        <w:rPr>
          <w:szCs w:val="26"/>
        </w:rPr>
        <w:t> </w:t>
      </w:r>
      <w:r w:rsidR="003B3C6D" w:rsidRPr="00295DAB">
        <w:rPr>
          <w:szCs w:val="26"/>
        </w:rPr>
        <w:t>352.)</w:t>
      </w:r>
      <w:r>
        <w:rPr>
          <w:rStyle w:val="FootnoteReference"/>
          <w:bCs/>
          <w:position w:val="6"/>
          <w:sz w:val="20"/>
          <w:vertAlign w:val="baseline"/>
        </w:rPr>
        <w:footnoteReference w:id="2"/>
      </w:r>
      <w:r w:rsidR="001E737F" w:rsidRPr="00295DAB">
        <w:rPr>
          <w:szCs w:val="26"/>
        </w:rPr>
        <w:t xml:space="preserve">  </w:t>
      </w:r>
    </w:p>
    <w:p w14:paraId="32AA80C5" w14:textId="77777777" w:rsidR="00982E94" w:rsidRPr="00295DAB" w:rsidRDefault="00590CB4" w:rsidP="00851902">
      <w:pPr>
        <w:ind w:firstLine="720"/>
        <w:rPr>
          <w:szCs w:val="26"/>
        </w:rPr>
      </w:pPr>
      <w:r>
        <w:rPr>
          <w:szCs w:val="26"/>
        </w:rPr>
        <w:lastRenderedPageBreak/>
        <w:t xml:space="preserve">Having concluded there could be </w:t>
      </w:r>
      <w:r w:rsidR="00ED315E" w:rsidRPr="00295DAB">
        <w:rPr>
          <w:szCs w:val="26"/>
        </w:rPr>
        <w:t>no implied easement over the disputed strip of land in favor of the 643 Property</w:t>
      </w:r>
      <w:r>
        <w:rPr>
          <w:szCs w:val="26"/>
        </w:rPr>
        <w:t xml:space="preserve"> </w:t>
      </w:r>
      <w:r w:rsidR="006B5D52" w:rsidRPr="00295DAB">
        <w:rPr>
          <w:szCs w:val="26"/>
        </w:rPr>
        <w:t>(</w:t>
      </w:r>
      <w:r w:rsidR="004A3DBC" w:rsidRPr="004A3DBC">
        <w:rPr>
          <w:i/>
          <w:iCs/>
          <w:szCs w:val="26"/>
        </w:rPr>
        <w:t>Romero</w:t>
      </w:r>
      <w:r w:rsidR="004A3DBC">
        <w:rPr>
          <w:szCs w:val="26"/>
        </w:rPr>
        <w:t xml:space="preserve">, </w:t>
      </w:r>
      <w:r w:rsidR="004A3DBC" w:rsidRPr="004A3DBC">
        <w:rPr>
          <w:i/>
          <w:iCs/>
          <w:szCs w:val="26"/>
        </w:rPr>
        <w:t>supra</w:t>
      </w:r>
      <w:r w:rsidR="004A3DBC">
        <w:rPr>
          <w:szCs w:val="26"/>
        </w:rPr>
        <w:t>, 78 Cal.App.5th</w:t>
      </w:r>
      <w:r w:rsidR="006B5D52" w:rsidRPr="00295DAB">
        <w:rPr>
          <w:szCs w:val="26"/>
        </w:rPr>
        <w:t xml:space="preserve"> at p.</w:t>
      </w:r>
      <w:r w:rsidR="00501CA3" w:rsidRPr="00295DAB">
        <w:rPr>
          <w:szCs w:val="26"/>
        </w:rPr>
        <w:t> </w:t>
      </w:r>
      <w:r w:rsidR="006B5D52" w:rsidRPr="00295DAB">
        <w:rPr>
          <w:szCs w:val="26"/>
        </w:rPr>
        <w:t>353)</w:t>
      </w:r>
      <w:r>
        <w:rPr>
          <w:szCs w:val="26"/>
        </w:rPr>
        <w:t xml:space="preserve">, the court </w:t>
      </w:r>
      <w:r w:rsidR="003876AE">
        <w:rPr>
          <w:szCs w:val="26"/>
        </w:rPr>
        <w:t xml:space="preserve">did not address </w:t>
      </w:r>
      <w:r w:rsidR="004E7CC7">
        <w:rPr>
          <w:szCs w:val="26"/>
        </w:rPr>
        <w:t xml:space="preserve">the Romeros’ </w:t>
      </w:r>
      <w:r w:rsidR="003876AE">
        <w:rPr>
          <w:szCs w:val="26"/>
        </w:rPr>
        <w:t xml:space="preserve">alternative </w:t>
      </w:r>
      <w:r w:rsidR="004E7CC7">
        <w:rPr>
          <w:szCs w:val="26"/>
        </w:rPr>
        <w:t xml:space="preserve">argument that </w:t>
      </w:r>
      <w:r w:rsidR="00386706" w:rsidRPr="00386706">
        <w:rPr>
          <w:szCs w:val="26"/>
        </w:rPr>
        <w:t xml:space="preserve">the implied easement </w:t>
      </w:r>
      <w:r w:rsidR="004E7CC7">
        <w:rPr>
          <w:szCs w:val="26"/>
        </w:rPr>
        <w:t xml:space="preserve">finding was </w:t>
      </w:r>
      <w:r w:rsidR="00386706" w:rsidRPr="00386706">
        <w:rPr>
          <w:szCs w:val="26"/>
        </w:rPr>
        <w:t>not supported by substantial evidence</w:t>
      </w:r>
      <w:r w:rsidR="004E7CC7">
        <w:rPr>
          <w:szCs w:val="26"/>
        </w:rPr>
        <w:t xml:space="preserve"> (</w:t>
      </w:r>
      <w:r w:rsidR="004E7CC7">
        <w:rPr>
          <w:i/>
          <w:iCs/>
          <w:szCs w:val="26"/>
        </w:rPr>
        <w:t>id.</w:t>
      </w:r>
      <w:r w:rsidR="004E7CC7">
        <w:rPr>
          <w:szCs w:val="26"/>
        </w:rPr>
        <w:t xml:space="preserve"> at p.</w:t>
      </w:r>
      <w:r w:rsidR="00F034FC">
        <w:rPr>
          <w:szCs w:val="26"/>
        </w:rPr>
        <w:t> </w:t>
      </w:r>
      <w:r w:rsidR="007E6CDD">
        <w:rPr>
          <w:szCs w:val="26"/>
        </w:rPr>
        <w:t xml:space="preserve">355).  </w:t>
      </w:r>
      <w:r w:rsidR="003876AE">
        <w:rPr>
          <w:szCs w:val="26"/>
        </w:rPr>
        <w:t>T</w:t>
      </w:r>
      <w:r w:rsidR="00545D04">
        <w:rPr>
          <w:szCs w:val="26"/>
        </w:rPr>
        <w:t>he court</w:t>
      </w:r>
      <w:r w:rsidR="007E6CDD">
        <w:rPr>
          <w:szCs w:val="26"/>
        </w:rPr>
        <w:t xml:space="preserve"> </w:t>
      </w:r>
      <w:r w:rsidR="003876AE">
        <w:rPr>
          <w:szCs w:val="26"/>
        </w:rPr>
        <w:t xml:space="preserve">did, however, </w:t>
      </w:r>
      <w:r>
        <w:rPr>
          <w:szCs w:val="26"/>
        </w:rPr>
        <w:t xml:space="preserve">affirm the </w:t>
      </w:r>
      <w:r w:rsidR="00DC7275" w:rsidRPr="00295DAB">
        <w:rPr>
          <w:szCs w:val="26"/>
        </w:rPr>
        <w:t xml:space="preserve">trial court’s imposition of an equitable easement </w:t>
      </w:r>
      <w:r w:rsidR="007D64FA" w:rsidRPr="00295DAB">
        <w:rPr>
          <w:szCs w:val="26"/>
        </w:rPr>
        <w:t>and upheld the award of $69,000 in damages to the Romeros</w:t>
      </w:r>
      <w:r w:rsidR="00DC7275" w:rsidRPr="00295DAB">
        <w:rPr>
          <w:szCs w:val="26"/>
        </w:rPr>
        <w:t xml:space="preserve"> (</w:t>
      </w:r>
      <w:r w:rsidR="000A3B1B" w:rsidRPr="000A3B1B">
        <w:rPr>
          <w:i/>
          <w:iCs/>
          <w:szCs w:val="26"/>
        </w:rPr>
        <w:t>i</w:t>
      </w:r>
      <w:r w:rsidR="00DC7275" w:rsidRPr="00295DAB">
        <w:rPr>
          <w:i/>
          <w:iCs/>
          <w:szCs w:val="26"/>
        </w:rPr>
        <w:t>d.</w:t>
      </w:r>
      <w:r w:rsidR="00DC7275" w:rsidRPr="00295DAB">
        <w:rPr>
          <w:szCs w:val="26"/>
        </w:rPr>
        <w:t xml:space="preserve"> at p.</w:t>
      </w:r>
      <w:r w:rsidR="00501CA3" w:rsidRPr="00295DAB">
        <w:rPr>
          <w:szCs w:val="26"/>
        </w:rPr>
        <w:t> </w:t>
      </w:r>
      <w:r w:rsidR="00DC7275" w:rsidRPr="00295DAB">
        <w:rPr>
          <w:szCs w:val="26"/>
        </w:rPr>
        <w:t>362)</w:t>
      </w:r>
      <w:r w:rsidR="000A3B1B">
        <w:rPr>
          <w:szCs w:val="26"/>
        </w:rPr>
        <w:t>.</w:t>
      </w:r>
      <w:r w:rsidR="00DC7275" w:rsidRPr="00295DAB">
        <w:rPr>
          <w:szCs w:val="26"/>
        </w:rPr>
        <w:t xml:space="preserve">  </w:t>
      </w:r>
    </w:p>
    <w:p w14:paraId="32AA80C6" w14:textId="77777777" w:rsidR="00CB0B09" w:rsidRPr="00295DAB" w:rsidRDefault="00590CB4" w:rsidP="00295DAB">
      <w:pPr>
        <w:ind w:firstLine="720"/>
        <w:rPr>
          <w:szCs w:val="26"/>
        </w:rPr>
      </w:pPr>
      <w:r>
        <w:rPr>
          <w:szCs w:val="26"/>
        </w:rPr>
        <w:t xml:space="preserve">Both sides petitioned for review.  </w:t>
      </w:r>
      <w:r w:rsidR="004B4A2F" w:rsidRPr="00295DAB">
        <w:rPr>
          <w:szCs w:val="26"/>
        </w:rPr>
        <w:t xml:space="preserve">We granted the </w:t>
      </w:r>
      <w:r w:rsidR="00B50DD9" w:rsidRPr="00295DAB">
        <w:rPr>
          <w:szCs w:val="26"/>
        </w:rPr>
        <w:t>Shih-Kos</w:t>
      </w:r>
      <w:r w:rsidR="004B4A2F" w:rsidRPr="00295DAB">
        <w:rPr>
          <w:szCs w:val="26"/>
        </w:rPr>
        <w:t xml:space="preserve">’ petition to decide </w:t>
      </w:r>
      <w:r w:rsidR="005E0A61" w:rsidRPr="00295DAB">
        <w:rPr>
          <w:szCs w:val="26"/>
        </w:rPr>
        <w:t xml:space="preserve">whether, as the Court of Appeal held, the </w:t>
      </w:r>
      <w:r w:rsidR="002E672F" w:rsidRPr="00295DAB">
        <w:rPr>
          <w:szCs w:val="26"/>
        </w:rPr>
        <w:t xml:space="preserve">law forbids recognition of </w:t>
      </w:r>
      <w:r w:rsidR="00C71F35" w:rsidRPr="00295DAB">
        <w:rPr>
          <w:szCs w:val="26"/>
        </w:rPr>
        <w:t xml:space="preserve">an </w:t>
      </w:r>
      <w:r w:rsidR="001A6B1D">
        <w:rPr>
          <w:szCs w:val="26"/>
        </w:rPr>
        <w:t xml:space="preserve">implied easement that would effectively exclude the property owners from </w:t>
      </w:r>
      <w:r w:rsidR="00FB561F">
        <w:rPr>
          <w:szCs w:val="26"/>
        </w:rPr>
        <w:t xml:space="preserve">most practical uses of </w:t>
      </w:r>
      <w:r w:rsidR="001A6B1D">
        <w:rPr>
          <w:szCs w:val="26"/>
        </w:rPr>
        <w:t>the easement area.</w:t>
      </w:r>
    </w:p>
    <w:p w14:paraId="32AA80C7" w14:textId="77777777" w:rsidR="00982E94" w:rsidRPr="00295DAB" w:rsidRDefault="00590CB4" w:rsidP="00BC116F">
      <w:pPr>
        <w:jc w:val="center"/>
        <w:rPr>
          <w:szCs w:val="26"/>
        </w:rPr>
      </w:pPr>
      <w:r w:rsidRPr="00295DAB">
        <w:rPr>
          <w:b/>
          <w:bCs/>
          <w:szCs w:val="26"/>
        </w:rPr>
        <w:t>II.</w:t>
      </w:r>
    </w:p>
    <w:p w14:paraId="32AA80C8" w14:textId="77777777" w:rsidR="0088780A" w:rsidRDefault="00590CB4" w:rsidP="00295DAB">
      <w:pPr>
        <w:ind w:firstLine="720"/>
        <w:rPr>
          <w:szCs w:val="26"/>
        </w:rPr>
      </w:pPr>
      <w:r w:rsidRPr="00295DAB">
        <w:rPr>
          <w:szCs w:val="26"/>
        </w:rPr>
        <w:t>“Interests in land can take several forms, including ‘estates’ and ‘easements.’ ”  (</w:t>
      </w:r>
      <w:r w:rsidRPr="00295DAB">
        <w:rPr>
          <w:i/>
          <w:iCs/>
          <w:szCs w:val="26"/>
        </w:rPr>
        <w:t>Hansen</w:t>
      </w:r>
      <w:r w:rsidRPr="00295DAB">
        <w:rPr>
          <w:szCs w:val="26"/>
        </w:rPr>
        <w:t xml:space="preserve">, </w:t>
      </w:r>
      <w:r w:rsidRPr="00295DAB">
        <w:rPr>
          <w:i/>
          <w:iCs/>
          <w:szCs w:val="26"/>
        </w:rPr>
        <w:t>supra</w:t>
      </w:r>
      <w:r w:rsidRPr="00295DAB">
        <w:rPr>
          <w:szCs w:val="26"/>
        </w:rPr>
        <w:t>, 22 Cal.App.5th at p.</w:t>
      </w:r>
      <w:r w:rsidR="00912216" w:rsidRPr="00295DAB">
        <w:rPr>
          <w:szCs w:val="26"/>
        </w:rPr>
        <w:t> </w:t>
      </w:r>
      <w:r w:rsidRPr="00295DAB">
        <w:rPr>
          <w:szCs w:val="26"/>
        </w:rPr>
        <w:t xml:space="preserve">1032.)  “An estate is an ownership interest in land that is, or may become, </w:t>
      </w:r>
      <w:r w:rsidRPr="00295DAB">
        <w:rPr>
          <w:szCs w:val="26"/>
        </w:rPr>
        <w:t>possessory.”  (</w:t>
      </w:r>
      <w:r w:rsidRPr="00295DAB">
        <w:rPr>
          <w:i/>
          <w:iCs/>
          <w:szCs w:val="26"/>
        </w:rPr>
        <w:t>Ibid.</w:t>
      </w:r>
      <w:r w:rsidRPr="00295DAB">
        <w:rPr>
          <w:szCs w:val="26"/>
        </w:rPr>
        <w:t>)</w:t>
      </w:r>
      <w:r w:rsidR="006E62A8" w:rsidRPr="00295DAB">
        <w:rPr>
          <w:szCs w:val="26"/>
        </w:rPr>
        <w:t xml:space="preserve">  “</w:t>
      </w:r>
      <w:r w:rsidR="00E41A3E">
        <w:rPr>
          <w:szCs w:val="26"/>
        </w:rPr>
        <w:t>A</w:t>
      </w:r>
      <w:r w:rsidR="006E62A8" w:rsidRPr="00295DAB">
        <w:rPr>
          <w:szCs w:val="26"/>
        </w:rPr>
        <w:t>n easement</w:t>
      </w:r>
      <w:r w:rsidR="00E41A3E">
        <w:rPr>
          <w:szCs w:val="26"/>
        </w:rPr>
        <w:t>,” by contrast, “</w:t>
      </w:r>
      <w:r w:rsidR="006E62A8" w:rsidRPr="00295DAB">
        <w:rPr>
          <w:szCs w:val="26"/>
        </w:rPr>
        <w:t xml:space="preserve">gives a nonpossessory and restricted right to a specific use or activity upon another’s property, which right must be </w:t>
      </w:r>
      <w:r w:rsidR="006E62A8" w:rsidRPr="00295DAB">
        <w:rPr>
          <w:i/>
          <w:iCs/>
          <w:szCs w:val="26"/>
        </w:rPr>
        <w:t>less</w:t>
      </w:r>
      <w:r w:rsidR="006E62A8" w:rsidRPr="00295DAB">
        <w:rPr>
          <w:szCs w:val="26"/>
        </w:rPr>
        <w:t xml:space="preserve"> than the right of ownership.”  (</w:t>
      </w:r>
      <w:r w:rsidR="006E62A8" w:rsidRPr="00295DAB">
        <w:rPr>
          <w:i/>
          <w:iCs/>
          <w:szCs w:val="26"/>
        </w:rPr>
        <w:t>Mehdizadeh v. Mincer</w:t>
      </w:r>
      <w:r w:rsidR="006E62A8" w:rsidRPr="00295DAB">
        <w:rPr>
          <w:szCs w:val="26"/>
        </w:rPr>
        <w:t xml:space="preserve"> (1996) 46 Cal.App.4th 1296, 1306 (</w:t>
      </w:r>
      <w:r w:rsidR="006E62A8" w:rsidRPr="00295DAB">
        <w:rPr>
          <w:i/>
          <w:iCs/>
          <w:szCs w:val="26"/>
        </w:rPr>
        <w:t>Mehdizadeh</w:t>
      </w:r>
      <w:r w:rsidR="006E62A8" w:rsidRPr="00295DAB">
        <w:rPr>
          <w:szCs w:val="26"/>
        </w:rPr>
        <w:t>).)</w:t>
      </w:r>
      <w:r w:rsidRPr="00295DAB">
        <w:rPr>
          <w:szCs w:val="26"/>
        </w:rPr>
        <w:t xml:space="preserve">  </w:t>
      </w:r>
    </w:p>
    <w:p w14:paraId="32AA80C9" w14:textId="77777777" w:rsidR="005E1508" w:rsidRDefault="00590CB4" w:rsidP="0076799A">
      <w:pPr>
        <w:ind w:firstLine="720"/>
        <w:rPr>
          <w:szCs w:val="26"/>
        </w:rPr>
      </w:pPr>
      <w:r w:rsidRPr="00295DAB">
        <w:rPr>
          <w:szCs w:val="26"/>
        </w:rPr>
        <w:t>The</w:t>
      </w:r>
      <w:r w:rsidR="004E0CBD">
        <w:rPr>
          <w:szCs w:val="26"/>
        </w:rPr>
        <w:t xml:space="preserve"> law recognizes several methods of </w:t>
      </w:r>
      <w:r w:rsidRPr="00295DAB">
        <w:rPr>
          <w:szCs w:val="26"/>
        </w:rPr>
        <w:t>creating an easement</w:t>
      </w:r>
      <w:r w:rsidR="00C474C7">
        <w:rPr>
          <w:szCs w:val="26"/>
        </w:rPr>
        <w:t xml:space="preserve">.  </w:t>
      </w:r>
      <w:r w:rsidR="00E92D57">
        <w:rPr>
          <w:szCs w:val="26"/>
        </w:rPr>
        <w:t xml:space="preserve">Among other methods, </w:t>
      </w:r>
      <w:r w:rsidR="00423D72">
        <w:rPr>
          <w:szCs w:val="26"/>
        </w:rPr>
        <w:t>the parties to a real property transaction may grant or reserve an easement as part of the conveyance of land</w:t>
      </w:r>
      <w:r w:rsidR="00E92D57">
        <w:rPr>
          <w:szCs w:val="26"/>
        </w:rPr>
        <w:t>;</w:t>
      </w:r>
      <w:r w:rsidR="001C6813" w:rsidRPr="00295DAB">
        <w:rPr>
          <w:szCs w:val="26"/>
        </w:rPr>
        <w:t xml:space="preserve"> </w:t>
      </w:r>
      <w:r w:rsidR="00A600AA">
        <w:rPr>
          <w:szCs w:val="26"/>
        </w:rPr>
        <w:t>a</w:t>
      </w:r>
      <w:r w:rsidR="008669E6">
        <w:rPr>
          <w:szCs w:val="26"/>
        </w:rPr>
        <w:t xml:space="preserve">n individual may acquire an easement </w:t>
      </w:r>
      <w:r w:rsidRPr="00295DAB">
        <w:rPr>
          <w:szCs w:val="26"/>
        </w:rPr>
        <w:t xml:space="preserve">by </w:t>
      </w:r>
      <w:r w:rsidRPr="00295DAB">
        <w:rPr>
          <w:szCs w:val="26"/>
        </w:rPr>
        <w:t>prescription</w:t>
      </w:r>
      <w:r w:rsidR="008669E6">
        <w:rPr>
          <w:szCs w:val="26"/>
        </w:rPr>
        <w:t xml:space="preserve">, through the </w:t>
      </w:r>
      <w:r w:rsidR="00374AA9">
        <w:rPr>
          <w:szCs w:val="26"/>
        </w:rPr>
        <w:t>continuous, hostile, and adverse use</w:t>
      </w:r>
      <w:r w:rsidR="008669E6">
        <w:rPr>
          <w:szCs w:val="26"/>
        </w:rPr>
        <w:t xml:space="preserve"> of the property</w:t>
      </w:r>
      <w:r w:rsidR="00E92D57">
        <w:rPr>
          <w:szCs w:val="26"/>
        </w:rPr>
        <w:t xml:space="preserve">; </w:t>
      </w:r>
      <w:r w:rsidR="008E7BE1">
        <w:rPr>
          <w:szCs w:val="26"/>
        </w:rPr>
        <w:t>or a court acting in equity may order that an easement be created under specified circumstances</w:t>
      </w:r>
      <w:r w:rsidRPr="00295DAB">
        <w:rPr>
          <w:szCs w:val="26"/>
        </w:rPr>
        <w:t xml:space="preserve">. </w:t>
      </w:r>
      <w:r w:rsidR="00A7499D" w:rsidRPr="00295DAB">
        <w:rPr>
          <w:szCs w:val="26"/>
        </w:rPr>
        <w:t xml:space="preserve"> (</w:t>
      </w:r>
      <w:r w:rsidRPr="00295DAB">
        <w:rPr>
          <w:szCs w:val="26"/>
        </w:rPr>
        <w:t>6 Miller &amp; Starr, Cal. Real Estate</w:t>
      </w:r>
      <w:r w:rsidR="001F4C79" w:rsidRPr="00295DAB">
        <w:rPr>
          <w:szCs w:val="26"/>
        </w:rPr>
        <w:t xml:space="preserve">, </w:t>
      </w:r>
      <w:r w:rsidR="001F4C79" w:rsidRPr="00295DAB">
        <w:rPr>
          <w:i/>
          <w:iCs/>
          <w:szCs w:val="26"/>
        </w:rPr>
        <w:t>supra</w:t>
      </w:r>
      <w:r w:rsidR="001F4C79" w:rsidRPr="00295DAB">
        <w:rPr>
          <w:szCs w:val="26"/>
        </w:rPr>
        <w:t xml:space="preserve">, </w:t>
      </w:r>
      <w:r w:rsidRPr="00295DAB">
        <w:rPr>
          <w:szCs w:val="26"/>
        </w:rPr>
        <w:t>§ 15:13</w:t>
      </w:r>
      <w:r w:rsidR="001F4C79" w:rsidRPr="00295DAB">
        <w:rPr>
          <w:szCs w:val="26"/>
        </w:rPr>
        <w:t>, pp. 15-70–15-72</w:t>
      </w:r>
      <w:r w:rsidR="00340661" w:rsidRPr="00295DAB">
        <w:rPr>
          <w:szCs w:val="26"/>
        </w:rPr>
        <w:t xml:space="preserve">.)  </w:t>
      </w:r>
      <w:r w:rsidR="00C474C7">
        <w:rPr>
          <w:szCs w:val="26"/>
        </w:rPr>
        <w:t>T</w:t>
      </w:r>
      <w:r w:rsidR="004B66E3" w:rsidRPr="00295DAB">
        <w:rPr>
          <w:szCs w:val="26"/>
        </w:rPr>
        <w:t xml:space="preserve">he </w:t>
      </w:r>
      <w:r w:rsidR="004B66E3" w:rsidRPr="00295DAB">
        <w:rPr>
          <w:szCs w:val="26"/>
        </w:rPr>
        <w:lastRenderedPageBreak/>
        <w:t xml:space="preserve">scope of </w:t>
      </w:r>
      <w:r w:rsidR="009A7AF6" w:rsidRPr="00295DAB">
        <w:rPr>
          <w:szCs w:val="26"/>
        </w:rPr>
        <w:t>the</w:t>
      </w:r>
      <w:r w:rsidR="004B66E3" w:rsidRPr="00295DAB">
        <w:rPr>
          <w:szCs w:val="26"/>
        </w:rPr>
        <w:t xml:space="preserve"> easement, like the scope of any servitude</w:t>
      </w:r>
      <w:r w:rsidR="00C30F17" w:rsidRPr="00295DAB">
        <w:rPr>
          <w:szCs w:val="26"/>
        </w:rPr>
        <w:t xml:space="preserve"> on land</w:t>
      </w:r>
      <w:r w:rsidR="004B66E3" w:rsidRPr="00295DAB">
        <w:rPr>
          <w:szCs w:val="26"/>
        </w:rPr>
        <w:t xml:space="preserve">, </w:t>
      </w:r>
      <w:r w:rsidRPr="00295DAB">
        <w:rPr>
          <w:szCs w:val="26"/>
        </w:rPr>
        <w:t>“is determined by the terms of the grant, or the nature of the enjoyment by which it was acquired.”</w:t>
      </w:r>
      <w:r w:rsidR="001F72DE">
        <w:rPr>
          <w:szCs w:val="26"/>
        </w:rPr>
        <w:t xml:space="preserve"> </w:t>
      </w:r>
      <w:r w:rsidR="00C474C7">
        <w:rPr>
          <w:szCs w:val="26"/>
        </w:rPr>
        <w:t xml:space="preserve"> (Civ. Code, §</w:t>
      </w:r>
      <w:r w:rsidR="001F72DE">
        <w:rPr>
          <w:szCs w:val="26"/>
        </w:rPr>
        <w:t> </w:t>
      </w:r>
      <w:r w:rsidR="00C474C7">
        <w:rPr>
          <w:szCs w:val="26"/>
        </w:rPr>
        <w:t>806.)</w:t>
      </w:r>
    </w:p>
    <w:p w14:paraId="32AA80CA" w14:textId="77777777" w:rsidR="0088780A" w:rsidRPr="00295DAB" w:rsidRDefault="00590CB4" w:rsidP="00295DAB">
      <w:pPr>
        <w:ind w:firstLine="720"/>
        <w:rPr>
          <w:szCs w:val="26"/>
        </w:rPr>
      </w:pPr>
      <w:r w:rsidRPr="00295DAB">
        <w:rPr>
          <w:szCs w:val="26"/>
        </w:rPr>
        <w:t xml:space="preserve">When an easement is granted or reserved </w:t>
      </w:r>
      <w:r w:rsidR="00C474C7">
        <w:rPr>
          <w:szCs w:val="26"/>
        </w:rPr>
        <w:t xml:space="preserve">as part of a real property </w:t>
      </w:r>
      <w:r w:rsidRPr="00295DAB">
        <w:rPr>
          <w:szCs w:val="26"/>
        </w:rPr>
        <w:t>t</w:t>
      </w:r>
      <w:r w:rsidRPr="00295DAB">
        <w:rPr>
          <w:szCs w:val="26"/>
        </w:rPr>
        <w:t xml:space="preserve">ransaction, the grant or reservation may appear expressly in the terms of a written instrument.  (See, e.g., </w:t>
      </w:r>
      <w:r w:rsidR="00934196" w:rsidRPr="00295DAB">
        <w:rPr>
          <w:i/>
          <w:iCs/>
          <w:szCs w:val="26"/>
        </w:rPr>
        <w:t>Gray v. McCormick</w:t>
      </w:r>
      <w:r w:rsidR="00934196" w:rsidRPr="00295DAB">
        <w:rPr>
          <w:szCs w:val="26"/>
        </w:rPr>
        <w:t xml:space="preserve"> (2008) 167 Cal.App.4th 1019</w:t>
      </w:r>
      <w:r w:rsidRPr="00295DAB">
        <w:rPr>
          <w:szCs w:val="26"/>
        </w:rPr>
        <w:t xml:space="preserve">.)  </w:t>
      </w:r>
      <w:r w:rsidR="00402491" w:rsidRPr="00295DAB">
        <w:rPr>
          <w:szCs w:val="26"/>
        </w:rPr>
        <w:t xml:space="preserve">But </w:t>
      </w:r>
      <w:r w:rsidR="00CD1869">
        <w:rPr>
          <w:szCs w:val="26"/>
        </w:rPr>
        <w:t xml:space="preserve">even without a writing, </w:t>
      </w:r>
      <w:r w:rsidR="0010593C" w:rsidRPr="00295DAB">
        <w:rPr>
          <w:szCs w:val="26"/>
        </w:rPr>
        <w:t>California law</w:t>
      </w:r>
      <w:r w:rsidR="002E5748">
        <w:rPr>
          <w:szCs w:val="26"/>
        </w:rPr>
        <w:t xml:space="preserve"> </w:t>
      </w:r>
      <w:r w:rsidR="007F005F">
        <w:rPr>
          <w:szCs w:val="26"/>
        </w:rPr>
        <w:t xml:space="preserve">recognizes </w:t>
      </w:r>
      <w:r w:rsidRPr="00295DAB">
        <w:rPr>
          <w:szCs w:val="26"/>
        </w:rPr>
        <w:t>the grant or reservation of the</w:t>
      </w:r>
      <w:r w:rsidR="00B748CE" w:rsidRPr="00295DAB">
        <w:rPr>
          <w:szCs w:val="26"/>
        </w:rPr>
        <w:t xml:space="preserve"> easement </w:t>
      </w:r>
      <w:r w:rsidR="00195B95">
        <w:rPr>
          <w:szCs w:val="26"/>
        </w:rPr>
        <w:t xml:space="preserve">by implication </w:t>
      </w:r>
      <w:r w:rsidR="00B43BF4">
        <w:rPr>
          <w:szCs w:val="26"/>
        </w:rPr>
        <w:t>in appropriate cases</w:t>
      </w:r>
      <w:r w:rsidR="00195B95">
        <w:rPr>
          <w:szCs w:val="26"/>
        </w:rPr>
        <w:t>.</w:t>
      </w:r>
      <w:r w:rsidR="00B748CE" w:rsidRPr="00295DAB">
        <w:rPr>
          <w:szCs w:val="26"/>
        </w:rPr>
        <w:t xml:space="preserve">  (</w:t>
      </w:r>
      <w:r w:rsidR="005709FE">
        <w:rPr>
          <w:szCs w:val="26"/>
        </w:rPr>
        <w:t>S</w:t>
      </w:r>
      <w:r w:rsidR="005709FE" w:rsidRPr="00295DAB">
        <w:rPr>
          <w:szCs w:val="26"/>
        </w:rPr>
        <w:t xml:space="preserve">ee, e.g., </w:t>
      </w:r>
      <w:r w:rsidR="005709FE" w:rsidRPr="00295DAB">
        <w:rPr>
          <w:i/>
          <w:iCs/>
          <w:szCs w:val="26"/>
        </w:rPr>
        <w:t>Fristoe v. Drapeau</w:t>
      </w:r>
      <w:r w:rsidR="005709FE">
        <w:rPr>
          <w:szCs w:val="26"/>
        </w:rPr>
        <w:t xml:space="preserve"> (1950) </w:t>
      </w:r>
      <w:r w:rsidR="005709FE" w:rsidRPr="00295DAB">
        <w:rPr>
          <w:szCs w:val="26"/>
        </w:rPr>
        <w:t>35 Cal.2d 5 (</w:t>
      </w:r>
      <w:r w:rsidR="005709FE" w:rsidRPr="00295DAB">
        <w:rPr>
          <w:i/>
          <w:iCs/>
          <w:szCs w:val="26"/>
        </w:rPr>
        <w:t>Fristoe</w:t>
      </w:r>
      <w:r w:rsidR="005709FE" w:rsidRPr="00295DAB">
        <w:rPr>
          <w:szCs w:val="26"/>
        </w:rPr>
        <w:t>)</w:t>
      </w:r>
      <w:r w:rsidR="005709FE">
        <w:rPr>
          <w:szCs w:val="26"/>
        </w:rPr>
        <w:t xml:space="preserve">; see generally </w:t>
      </w:r>
      <w:r w:rsidR="00B748CE" w:rsidRPr="00295DAB">
        <w:rPr>
          <w:szCs w:val="26"/>
        </w:rPr>
        <w:t>6 Miller &amp; Starr, Cal. Real Estate</w:t>
      </w:r>
      <w:r w:rsidR="001F4C79" w:rsidRPr="00295DAB">
        <w:rPr>
          <w:szCs w:val="26"/>
        </w:rPr>
        <w:t xml:space="preserve">, </w:t>
      </w:r>
      <w:r w:rsidR="001F4C79" w:rsidRPr="00295DAB">
        <w:rPr>
          <w:i/>
          <w:iCs/>
          <w:szCs w:val="26"/>
        </w:rPr>
        <w:t>supra</w:t>
      </w:r>
      <w:r w:rsidR="001F4C79" w:rsidRPr="00295DAB">
        <w:rPr>
          <w:szCs w:val="26"/>
        </w:rPr>
        <w:t xml:space="preserve">, </w:t>
      </w:r>
      <w:r w:rsidR="00B748CE" w:rsidRPr="00295DAB">
        <w:rPr>
          <w:szCs w:val="26"/>
        </w:rPr>
        <w:t>§ 15:19</w:t>
      </w:r>
      <w:r w:rsidR="001F4C79" w:rsidRPr="00295DAB">
        <w:rPr>
          <w:szCs w:val="26"/>
        </w:rPr>
        <w:t>, pp. 15-94–15-95</w:t>
      </w:r>
      <w:r w:rsidR="00B748CE" w:rsidRPr="00295DAB">
        <w:rPr>
          <w:szCs w:val="26"/>
        </w:rPr>
        <w:t>.)</w:t>
      </w:r>
      <w:r w:rsidR="00FB7BAF">
        <w:rPr>
          <w:szCs w:val="26"/>
        </w:rPr>
        <w:t xml:space="preserve">  </w:t>
      </w:r>
      <w:r w:rsidR="00FB7BAF" w:rsidRPr="00295DAB">
        <w:rPr>
          <w:szCs w:val="26"/>
        </w:rPr>
        <w:t>“ ‘The doctrine of implied easements is applied by the courts to carry into effect the intention of the parties as manifested by the facts and circumstances of the transaction.’ ”  (</w:t>
      </w:r>
      <w:r w:rsidR="00FB7BAF" w:rsidRPr="00295DAB">
        <w:rPr>
          <w:i/>
          <w:iCs/>
          <w:szCs w:val="26"/>
        </w:rPr>
        <w:t>Horowitz</w:t>
      </w:r>
      <w:r w:rsidR="00FB7BAF">
        <w:rPr>
          <w:i/>
          <w:iCs/>
          <w:szCs w:val="26"/>
        </w:rPr>
        <w:t xml:space="preserve"> v. Noble</w:t>
      </w:r>
      <w:r w:rsidR="00FB7BAF">
        <w:rPr>
          <w:szCs w:val="26"/>
        </w:rPr>
        <w:t xml:space="preserve"> (1978)</w:t>
      </w:r>
      <w:r w:rsidR="00FB7BAF" w:rsidRPr="00295DAB">
        <w:rPr>
          <w:szCs w:val="26"/>
        </w:rPr>
        <w:t xml:space="preserve"> 79 Cal.App.3d </w:t>
      </w:r>
      <w:r w:rsidR="00FB7BAF">
        <w:rPr>
          <w:szCs w:val="26"/>
        </w:rPr>
        <w:t>120,</w:t>
      </w:r>
      <w:r w:rsidR="00FB7BAF" w:rsidRPr="00295DAB">
        <w:rPr>
          <w:szCs w:val="26"/>
        </w:rPr>
        <w:t> 132</w:t>
      </w:r>
      <w:r w:rsidR="00FB7BAF">
        <w:rPr>
          <w:szCs w:val="26"/>
        </w:rPr>
        <w:t xml:space="preserve"> (</w:t>
      </w:r>
      <w:r w:rsidR="00FB7BAF">
        <w:rPr>
          <w:i/>
          <w:iCs/>
          <w:szCs w:val="26"/>
        </w:rPr>
        <w:t>Horowitz</w:t>
      </w:r>
      <w:r w:rsidR="00FB7BAF">
        <w:rPr>
          <w:szCs w:val="26"/>
        </w:rPr>
        <w:t>)</w:t>
      </w:r>
      <w:r w:rsidR="00FB7BAF" w:rsidRPr="00295DAB">
        <w:rPr>
          <w:szCs w:val="26"/>
        </w:rPr>
        <w:t>.)</w:t>
      </w:r>
    </w:p>
    <w:p w14:paraId="32AA80CB" w14:textId="77777777" w:rsidR="00FA70EF" w:rsidRPr="005F0385" w:rsidRDefault="00590CB4" w:rsidP="00295DAB">
      <w:pPr>
        <w:ind w:firstLine="720"/>
        <w:rPr>
          <w:szCs w:val="26"/>
        </w:rPr>
      </w:pPr>
      <w:r w:rsidRPr="00295DAB">
        <w:rPr>
          <w:szCs w:val="26"/>
        </w:rPr>
        <w:t xml:space="preserve">California has codified the </w:t>
      </w:r>
      <w:r w:rsidR="002D210E" w:rsidRPr="00295DAB">
        <w:rPr>
          <w:szCs w:val="26"/>
        </w:rPr>
        <w:t xml:space="preserve">doctrine </w:t>
      </w:r>
      <w:r w:rsidRPr="00295DAB">
        <w:rPr>
          <w:szCs w:val="26"/>
        </w:rPr>
        <w:t>of implied easements in Civil Code section 1104</w:t>
      </w:r>
      <w:r w:rsidR="001A1E93" w:rsidRPr="00295DAB">
        <w:rPr>
          <w:szCs w:val="26"/>
        </w:rPr>
        <w:t xml:space="preserve"> (section 1104)</w:t>
      </w:r>
      <w:r w:rsidR="0042589E" w:rsidRPr="00295DAB">
        <w:rPr>
          <w:szCs w:val="26"/>
        </w:rPr>
        <w:t xml:space="preserve">.  Section 1104, which has remained unchanged since its </w:t>
      </w:r>
      <w:r w:rsidR="00082FCA" w:rsidRPr="00295DAB">
        <w:rPr>
          <w:szCs w:val="26"/>
        </w:rPr>
        <w:t xml:space="preserve">1872 </w:t>
      </w:r>
      <w:r w:rsidR="0042589E" w:rsidRPr="00295DAB">
        <w:rPr>
          <w:szCs w:val="26"/>
        </w:rPr>
        <w:t>enactment, provides</w:t>
      </w:r>
      <w:r w:rsidRPr="00295DAB">
        <w:rPr>
          <w:szCs w:val="26"/>
        </w:rPr>
        <w:t>:</w:t>
      </w:r>
      <w:r w:rsidR="00B748CE" w:rsidRPr="00295DAB">
        <w:rPr>
          <w:szCs w:val="26"/>
        </w:rPr>
        <w:t xml:space="preserve">  </w:t>
      </w:r>
      <w:r w:rsidR="00CB0B09" w:rsidRPr="00295DAB">
        <w:rPr>
          <w:szCs w:val="26"/>
        </w:rPr>
        <w:t>“A transfer of real property passes all easements attached thereto, and creates in favor thereof an easement to use other real property of the person whose estate is transferred in the same manner and to the same extent as such property was obviously and permanently used by the person whose estate is transferred, for the benefit thereof, at the time when the transfer was agreed upon or completed.”</w:t>
      </w:r>
      <w:r w:rsidR="00B748CE" w:rsidRPr="00295DAB">
        <w:rPr>
          <w:szCs w:val="26"/>
        </w:rPr>
        <w:t xml:space="preserve">  </w:t>
      </w:r>
      <w:r w:rsidRPr="00295DAB">
        <w:rPr>
          <w:szCs w:val="26"/>
        </w:rPr>
        <w:t>In other wor</w:t>
      </w:r>
      <w:r w:rsidRPr="00295DAB">
        <w:rPr>
          <w:szCs w:val="26"/>
        </w:rPr>
        <w:t>ds,</w:t>
      </w:r>
      <w:r w:rsidR="008A6958" w:rsidRPr="00295DAB">
        <w:rPr>
          <w:szCs w:val="26"/>
        </w:rPr>
        <w:t xml:space="preserve"> when a grantor conveys a portion of an estate to another party but fails to expressly grant an easement in the written instrument, the law </w:t>
      </w:r>
      <w:r w:rsidR="008669C1" w:rsidRPr="00295DAB">
        <w:rPr>
          <w:szCs w:val="26"/>
        </w:rPr>
        <w:t>infers</w:t>
      </w:r>
      <w:r w:rsidR="003C05DD" w:rsidRPr="00295DAB">
        <w:rPr>
          <w:szCs w:val="26"/>
        </w:rPr>
        <w:t xml:space="preserve"> </w:t>
      </w:r>
      <w:r w:rsidR="008A6958" w:rsidRPr="00295DAB">
        <w:rPr>
          <w:szCs w:val="26"/>
        </w:rPr>
        <w:t>that the grantor and grantee intended the conveyed</w:t>
      </w:r>
      <w:r w:rsidR="00AA6EC6" w:rsidRPr="00295DAB">
        <w:rPr>
          <w:szCs w:val="26"/>
        </w:rPr>
        <w:t xml:space="preserve"> portion of the</w:t>
      </w:r>
      <w:r w:rsidR="008A6958" w:rsidRPr="00295DAB">
        <w:rPr>
          <w:szCs w:val="26"/>
        </w:rPr>
        <w:t xml:space="preserve"> property to enjoy any </w:t>
      </w:r>
      <w:r w:rsidR="002E2319" w:rsidRPr="00295DAB">
        <w:rPr>
          <w:szCs w:val="26"/>
        </w:rPr>
        <w:t xml:space="preserve">preexisting </w:t>
      </w:r>
      <w:r w:rsidR="008A6958" w:rsidRPr="00295DAB">
        <w:rPr>
          <w:szCs w:val="26"/>
        </w:rPr>
        <w:t xml:space="preserve">uses of the grantor’s remaining estate that were </w:t>
      </w:r>
      <w:r w:rsidR="00E37B13" w:rsidRPr="00295DAB">
        <w:rPr>
          <w:szCs w:val="26"/>
        </w:rPr>
        <w:t>“</w:t>
      </w:r>
      <w:r w:rsidR="008A6958" w:rsidRPr="00295DAB">
        <w:rPr>
          <w:szCs w:val="26"/>
        </w:rPr>
        <w:t>obvious</w:t>
      </w:r>
      <w:r w:rsidR="00E37B13" w:rsidRPr="00295DAB">
        <w:rPr>
          <w:szCs w:val="26"/>
        </w:rPr>
        <w:t>[]</w:t>
      </w:r>
      <w:r w:rsidR="00AA6EC6" w:rsidRPr="00295DAB">
        <w:rPr>
          <w:szCs w:val="26"/>
        </w:rPr>
        <w:t xml:space="preserve"> and permanent</w:t>
      </w:r>
      <w:r w:rsidR="00E37B13" w:rsidRPr="00295DAB">
        <w:rPr>
          <w:szCs w:val="26"/>
        </w:rPr>
        <w:t>[]</w:t>
      </w:r>
      <w:r w:rsidR="00066A45" w:rsidRPr="00295DAB">
        <w:rPr>
          <w:szCs w:val="26"/>
        </w:rPr>
        <w:t>,</w:t>
      </w:r>
      <w:r w:rsidR="00E37B13" w:rsidRPr="00295DAB">
        <w:rPr>
          <w:szCs w:val="26"/>
        </w:rPr>
        <w:t>”</w:t>
      </w:r>
      <w:r w:rsidR="00066A45" w:rsidRPr="00295DAB">
        <w:rPr>
          <w:szCs w:val="26"/>
        </w:rPr>
        <w:t xml:space="preserve"> and </w:t>
      </w:r>
      <w:r w:rsidR="00420FF0">
        <w:rPr>
          <w:szCs w:val="26"/>
        </w:rPr>
        <w:t xml:space="preserve">the law </w:t>
      </w:r>
      <w:r w:rsidR="00066A45" w:rsidRPr="00295DAB">
        <w:rPr>
          <w:szCs w:val="26"/>
        </w:rPr>
        <w:t xml:space="preserve">accordingly implies an easement.  </w:t>
      </w:r>
      <w:r w:rsidR="00F82F87" w:rsidRPr="00295DAB">
        <w:rPr>
          <w:szCs w:val="26"/>
        </w:rPr>
        <w:lastRenderedPageBreak/>
        <w:t>(</w:t>
      </w:r>
      <w:r w:rsidR="0058328F">
        <w:rPr>
          <w:szCs w:val="26"/>
        </w:rPr>
        <w:t>§ 1104; s</w:t>
      </w:r>
      <w:r w:rsidRPr="00295DAB">
        <w:rPr>
          <w:szCs w:val="26"/>
        </w:rPr>
        <w:t xml:space="preserve">ee, e.g., </w:t>
      </w:r>
      <w:r w:rsidRPr="00295DAB">
        <w:rPr>
          <w:i/>
          <w:iCs/>
          <w:szCs w:val="26"/>
        </w:rPr>
        <w:t>Kytasty v. Godwin</w:t>
      </w:r>
      <w:r w:rsidRPr="00295DAB">
        <w:rPr>
          <w:szCs w:val="26"/>
        </w:rPr>
        <w:t xml:space="preserve"> (1980) 102 Cal.App.3d 762, 768 [</w:t>
      </w:r>
      <w:r w:rsidR="004A3DBC">
        <w:rPr>
          <w:szCs w:val="26"/>
        </w:rPr>
        <w:t>§ </w:t>
      </w:r>
      <w:r w:rsidRPr="00295DAB">
        <w:rPr>
          <w:szCs w:val="26"/>
        </w:rPr>
        <w:t xml:space="preserve">1104 “creates an implied </w:t>
      </w:r>
      <w:r w:rsidRPr="00295DAB">
        <w:rPr>
          <w:szCs w:val="26"/>
        </w:rPr>
        <w:t>easement as an exception to the general rule that interests in real property can only be created by an express writing or by prescription”].)</w:t>
      </w:r>
      <w:r w:rsidR="007C79B6">
        <w:rPr>
          <w:szCs w:val="26"/>
        </w:rPr>
        <w:t xml:space="preserve">  </w:t>
      </w:r>
      <w:r w:rsidR="00044516">
        <w:rPr>
          <w:szCs w:val="26"/>
        </w:rPr>
        <w:t xml:space="preserve">“In such cases, for purposes of identification, the portion or parcel that is being used is called the ‘quasi-servient tenement,’ and the portion or parcel benefited by the use is called the ‘quasi-dominant tenement.’ ” </w:t>
      </w:r>
      <w:r w:rsidR="007A0B9D" w:rsidRPr="00295DAB">
        <w:rPr>
          <w:szCs w:val="26"/>
        </w:rPr>
        <w:t xml:space="preserve"> </w:t>
      </w:r>
      <w:r w:rsidR="00044516">
        <w:rPr>
          <w:szCs w:val="26"/>
        </w:rPr>
        <w:t>(</w:t>
      </w:r>
      <w:r w:rsidR="007A0B9D" w:rsidRPr="006F774A">
        <w:rPr>
          <w:szCs w:val="26"/>
        </w:rPr>
        <w:t xml:space="preserve">6 Miller &amp; Starr, Cal. Real Estate, </w:t>
      </w:r>
      <w:r w:rsidR="007A0B9D" w:rsidRPr="006F774A">
        <w:rPr>
          <w:i/>
          <w:iCs/>
          <w:szCs w:val="26"/>
        </w:rPr>
        <w:t>supra</w:t>
      </w:r>
      <w:r w:rsidR="007A0B9D" w:rsidRPr="006F774A">
        <w:rPr>
          <w:szCs w:val="26"/>
        </w:rPr>
        <w:t>, § 15:20, p. 15-98</w:t>
      </w:r>
      <w:r w:rsidR="005B205A">
        <w:rPr>
          <w:szCs w:val="26"/>
        </w:rPr>
        <w:t>, fn. omitted</w:t>
      </w:r>
      <w:r w:rsidR="007A0B9D" w:rsidRPr="00295DAB">
        <w:rPr>
          <w:szCs w:val="26"/>
        </w:rPr>
        <w:t>.</w:t>
      </w:r>
      <w:r w:rsidR="00044516">
        <w:rPr>
          <w:szCs w:val="26"/>
        </w:rPr>
        <w:t>)</w:t>
      </w:r>
      <w:r w:rsidR="005F0385">
        <w:rPr>
          <w:szCs w:val="26"/>
        </w:rPr>
        <w:t xml:space="preserve">  </w:t>
      </w:r>
      <w:r w:rsidR="00084E3E">
        <w:rPr>
          <w:szCs w:val="26"/>
        </w:rPr>
        <w:t>W</w:t>
      </w:r>
      <w:r w:rsidR="00617F62">
        <w:rPr>
          <w:szCs w:val="26"/>
        </w:rPr>
        <w:t>here the statutory conditions are otherwise satisfied,</w:t>
      </w:r>
      <w:r w:rsidR="005F0385">
        <w:rPr>
          <w:szCs w:val="26"/>
        </w:rPr>
        <w:t xml:space="preserve"> “if the owner conveys the quasi-dominant tenement, the grantee receives an implied easement for the use and benefit of his or her property over the quasi-servient tenement retained by the owner-grantor.”  (</w:t>
      </w:r>
      <w:r w:rsidR="005F0385">
        <w:rPr>
          <w:i/>
          <w:iCs/>
          <w:szCs w:val="26"/>
        </w:rPr>
        <w:t>Id.</w:t>
      </w:r>
      <w:r w:rsidR="005B205A">
        <w:rPr>
          <w:szCs w:val="26"/>
        </w:rPr>
        <w:t xml:space="preserve"> at p. 15-99.</w:t>
      </w:r>
      <w:r w:rsidR="005F0385">
        <w:rPr>
          <w:szCs w:val="26"/>
        </w:rPr>
        <w:t>)</w:t>
      </w:r>
    </w:p>
    <w:p w14:paraId="32AA80CC" w14:textId="77777777" w:rsidR="00532E96" w:rsidRPr="00295DAB" w:rsidRDefault="00590CB4" w:rsidP="0084406C">
      <w:pPr>
        <w:ind w:firstLine="720"/>
        <w:rPr>
          <w:szCs w:val="26"/>
        </w:rPr>
      </w:pPr>
      <w:r>
        <w:rPr>
          <w:szCs w:val="26"/>
        </w:rPr>
        <w:t xml:space="preserve">Though recognized </w:t>
      </w:r>
      <w:r w:rsidR="00B57DDB" w:rsidRPr="00295DAB">
        <w:rPr>
          <w:szCs w:val="26"/>
        </w:rPr>
        <w:t>in statutory law, the doctrine of implied easements is</w:t>
      </w:r>
      <w:r w:rsidR="00DE1ED9" w:rsidRPr="00295DAB">
        <w:rPr>
          <w:szCs w:val="26"/>
        </w:rPr>
        <w:t xml:space="preserve"> </w:t>
      </w:r>
      <w:r w:rsidR="00125983">
        <w:rPr>
          <w:szCs w:val="26"/>
        </w:rPr>
        <w:t>at least equally a</w:t>
      </w:r>
      <w:r w:rsidR="00B57DDB" w:rsidRPr="00295DAB">
        <w:rPr>
          <w:szCs w:val="26"/>
        </w:rPr>
        <w:t xml:space="preserve"> product of </w:t>
      </w:r>
      <w:r w:rsidR="00A56532">
        <w:rPr>
          <w:szCs w:val="26"/>
        </w:rPr>
        <w:t xml:space="preserve">the </w:t>
      </w:r>
      <w:r w:rsidR="00B57DDB" w:rsidRPr="00295DAB">
        <w:rPr>
          <w:szCs w:val="26"/>
        </w:rPr>
        <w:t>common la</w:t>
      </w:r>
      <w:r w:rsidR="00E57B56">
        <w:rPr>
          <w:szCs w:val="26"/>
        </w:rPr>
        <w:t xml:space="preserve">w as elaborated in judicial decisions.  </w:t>
      </w:r>
      <w:r w:rsidR="004149E4">
        <w:rPr>
          <w:szCs w:val="26"/>
        </w:rPr>
        <w:t xml:space="preserve">The cases make clear that the law of implied easements </w:t>
      </w:r>
      <w:r w:rsidR="00EC54BC">
        <w:rPr>
          <w:szCs w:val="26"/>
        </w:rPr>
        <w:t>is</w:t>
      </w:r>
      <w:r w:rsidR="00661235">
        <w:rPr>
          <w:szCs w:val="26"/>
        </w:rPr>
        <w:t xml:space="preserve"> </w:t>
      </w:r>
      <w:r w:rsidR="00EC54BC">
        <w:rPr>
          <w:szCs w:val="26"/>
        </w:rPr>
        <w:t>broader than section 1104</w:t>
      </w:r>
      <w:r w:rsidR="000D72BF">
        <w:rPr>
          <w:szCs w:val="26"/>
        </w:rPr>
        <w:t xml:space="preserve">, read in isolation, </w:t>
      </w:r>
      <w:r w:rsidR="00EC54BC">
        <w:rPr>
          <w:szCs w:val="26"/>
        </w:rPr>
        <w:t>might suggest</w:t>
      </w:r>
      <w:r w:rsidR="00C764F7">
        <w:rPr>
          <w:szCs w:val="26"/>
        </w:rPr>
        <w:t xml:space="preserve">.  </w:t>
      </w:r>
      <w:r w:rsidR="0084406C">
        <w:rPr>
          <w:szCs w:val="26"/>
        </w:rPr>
        <w:t xml:space="preserve">For instance, </w:t>
      </w:r>
      <w:r w:rsidR="00715D8B" w:rsidRPr="00295DAB">
        <w:rPr>
          <w:szCs w:val="26"/>
        </w:rPr>
        <w:t xml:space="preserve">“[a]lthough the Civil Code speaks only in terms of implying an easement in favor of a grantee, ‘California also recognizes easements by implied reservation.  The result is that a purchaser may take not only the obvious </w:t>
      </w:r>
      <w:r w:rsidR="00715D8B" w:rsidRPr="00295DAB">
        <w:rPr>
          <w:i/>
          <w:iCs/>
          <w:szCs w:val="26"/>
        </w:rPr>
        <w:t>benefits</w:t>
      </w:r>
      <w:r w:rsidR="00715D8B" w:rsidRPr="00295DAB">
        <w:rPr>
          <w:szCs w:val="26"/>
        </w:rPr>
        <w:t xml:space="preserve"> but the obvious </w:t>
      </w:r>
      <w:r w:rsidR="00715D8B" w:rsidRPr="00295DAB">
        <w:rPr>
          <w:i/>
          <w:iCs/>
          <w:szCs w:val="26"/>
        </w:rPr>
        <w:t>burdens</w:t>
      </w:r>
      <w:r w:rsidR="00715D8B" w:rsidRPr="00295DAB">
        <w:rPr>
          <w:szCs w:val="26"/>
        </w:rPr>
        <w:t xml:space="preserve"> as well.’ ”</w:t>
      </w:r>
      <w:r w:rsidR="00715D8B" w:rsidRPr="00295DAB">
        <w:rPr>
          <w:rStyle w:val="FootnoteReference"/>
          <w:szCs w:val="26"/>
        </w:rPr>
        <w:t xml:space="preserve"> </w:t>
      </w:r>
      <w:r w:rsidR="00715D8B" w:rsidRPr="00295DAB">
        <w:rPr>
          <w:szCs w:val="26"/>
        </w:rPr>
        <w:t xml:space="preserve">  (</w:t>
      </w:r>
      <w:r w:rsidR="00536C42">
        <w:rPr>
          <w:i/>
          <w:iCs/>
          <w:szCs w:val="26"/>
        </w:rPr>
        <w:t>Horowitz</w:t>
      </w:r>
      <w:r w:rsidR="00536C42" w:rsidRPr="000023EC">
        <w:rPr>
          <w:szCs w:val="26"/>
        </w:rPr>
        <w:t>,</w:t>
      </w:r>
      <w:r w:rsidR="00536C42">
        <w:rPr>
          <w:i/>
          <w:iCs/>
          <w:szCs w:val="26"/>
        </w:rPr>
        <w:t xml:space="preserve"> supra</w:t>
      </w:r>
      <w:r w:rsidR="00692F82">
        <w:rPr>
          <w:szCs w:val="26"/>
        </w:rPr>
        <w:t xml:space="preserve">, </w:t>
      </w:r>
      <w:r w:rsidR="00536C42">
        <w:rPr>
          <w:szCs w:val="26"/>
        </w:rPr>
        <w:t xml:space="preserve">79 Cal.App.3d </w:t>
      </w:r>
      <w:r w:rsidR="00692F82">
        <w:rPr>
          <w:szCs w:val="26"/>
        </w:rPr>
        <w:t>at p. 133</w:t>
      </w:r>
      <w:r w:rsidR="00020F95">
        <w:rPr>
          <w:szCs w:val="26"/>
        </w:rPr>
        <w:t>.</w:t>
      </w:r>
      <w:r w:rsidR="00715D8B" w:rsidRPr="00295DAB">
        <w:rPr>
          <w:szCs w:val="26"/>
        </w:rPr>
        <w:t>)</w:t>
      </w:r>
      <w:r w:rsidR="00B57DDB" w:rsidRPr="00295DAB">
        <w:rPr>
          <w:szCs w:val="26"/>
        </w:rPr>
        <w:t xml:space="preserve">  </w:t>
      </w:r>
      <w:r w:rsidR="00372485">
        <w:rPr>
          <w:szCs w:val="26"/>
        </w:rPr>
        <w:t xml:space="preserve">In a similar vein, this court has </w:t>
      </w:r>
      <w:r w:rsidR="008A6A1E" w:rsidRPr="00295DAB">
        <w:rPr>
          <w:szCs w:val="26"/>
        </w:rPr>
        <w:t xml:space="preserve">explained that “[t]he factors enumerated in section 1104 of the Civil Code are not exclusive of other possible factors which may have a bearing in ascertaining the extent of an easement created by implication.  Section 1104, which relates to the creation of easements by implied grant, </w:t>
      </w:r>
      <w:r w:rsidR="00106F5E" w:rsidRPr="00295DAB">
        <w:rPr>
          <w:szCs w:val="26"/>
        </w:rPr>
        <w:t xml:space="preserve">must be read with section 806 of the Civil Code, which defines the extent of all servitudes, and also </w:t>
      </w:r>
      <w:r w:rsidR="00A30475" w:rsidRPr="00295DAB">
        <w:rPr>
          <w:szCs w:val="26"/>
        </w:rPr>
        <w:t xml:space="preserve">in </w:t>
      </w:r>
      <w:r w:rsidR="00106F5E" w:rsidRPr="00295DAB">
        <w:rPr>
          <w:szCs w:val="26"/>
        </w:rPr>
        <w:t xml:space="preserve">the </w:t>
      </w:r>
      <w:r w:rsidR="00A30475" w:rsidRPr="00295DAB">
        <w:rPr>
          <w:szCs w:val="26"/>
        </w:rPr>
        <w:t xml:space="preserve">light of the common law rules </w:t>
      </w:r>
      <w:r w:rsidR="00A30475" w:rsidRPr="00295DAB">
        <w:rPr>
          <w:szCs w:val="26"/>
        </w:rPr>
        <w:lastRenderedPageBreak/>
        <w:t>governing easements by implication.”  (</w:t>
      </w:r>
      <w:r w:rsidR="00A30475" w:rsidRPr="00295DAB">
        <w:rPr>
          <w:i/>
          <w:iCs/>
          <w:szCs w:val="26"/>
        </w:rPr>
        <w:t>Fristoe</w:t>
      </w:r>
      <w:r w:rsidR="00A30475" w:rsidRPr="00295DAB">
        <w:rPr>
          <w:szCs w:val="26"/>
        </w:rPr>
        <w:t xml:space="preserve">, </w:t>
      </w:r>
      <w:r w:rsidR="00A30475" w:rsidRPr="00295DAB">
        <w:rPr>
          <w:i/>
          <w:iCs/>
          <w:szCs w:val="26"/>
        </w:rPr>
        <w:t>supra</w:t>
      </w:r>
      <w:r w:rsidR="00A30475" w:rsidRPr="00295DAB">
        <w:rPr>
          <w:szCs w:val="26"/>
        </w:rPr>
        <w:t>, 35 Cal.2d at p.</w:t>
      </w:r>
      <w:r w:rsidR="00912216" w:rsidRPr="00295DAB">
        <w:rPr>
          <w:szCs w:val="26"/>
        </w:rPr>
        <w:t> </w:t>
      </w:r>
      <w:r w:rsidR="001F4C79" w:rsidRPr="00295DAB">
        <w:rPr>
          <w:szCs w:val="26"/>
        </w:rPr>
        <w:t>9</w:t>
      </w:r>
      <w:r w:rsidR="00A30475" w:rsidRPr="00295DAB">
        <w:rPr>
          <w:szCs w:val="26"/>
        </w:rPr>
        <w:t>.)</w:t>
      </w:r>
      <w:r w:rsidR="000E2349" w:rsidRPr="00295DAB">
        <w:rPr>
          <w:szCs w:val="26"/>
        </w:rPr>
        <w:t xml:space="preserve">  </w:t>
      </w:r>
    </w:p>
    <w:p w14:paraId="32AA80CD" w14:textId="77777777" w:rsidR="008B5D16" w:rsidRPr="00295DAB" w:rsidRDefault="00590CB4" w:rsidP="00295DAB">
      <w:pPr>
        <w:ind w:firstLine="720"/>
        <w:rPr>
          <w:szCs w:val="26"/>
        </w:rPr>
      </w:pPr>
      <w:r w:rsidRPr="00295DAB">
        <w:rPr>
          <w:szCs w:val="26"/>
        </w:rPr>
        <w:t>Synthesizi</w:t>
      </w:r>
      <w:r w:rsidRPr="00295DAB">
        <w:rPr>
          <w:szCs w:val="26"/>
        </w:rPr>
        <w:t xml:space="preserve">ng </w:t>
      </w:r>
      <w:r w:rsidR="006C673D" w:rsidRPr="00295DAB">
        <w:rPr>
          <w:szCs w:val="26"/>
        </w:rPr>
        <w:t xml:space="preserve">the statutory text </w:t>
      </w:r>
      <w:r w:rsidRPr="00295DAB">
        <w:rPr>
          <w:szCs w:val="26"/>
        </w:rPr>
        <w:t>and common</w:t>
      </w:r>
      <w:r w:rsidR="001F4C79" w:rsidRPr="00295DAB">
        <w:rPr>
          <w:szCs w:val="26"/>
        </w:rPr>
        <w:t xml:space="preserve"> </w:t>
      </w:r>
      <w:r w:rsidRPr="00295DAB">
        <w:rPr>
          <w:szCs w:val="26"/>
        </w:rPr>
        <w:t xml:space="preserve">law elaboration of the doctrine, California appellate courts have summarized the elements </w:t>
      </w:r>
      <w:r w:rsidR="00AA6EC6" w:rsidRPr="00295DAB">
        <w:rPr>
          <w:szCs w:val="26"/>
        </w:rPr>
        <w:t>of an implied easement</w:t>
      </w:r>
      <w:r w:rsidRPr="00295DAB">
        <w:rPr>
          <w:szCs w:val="26"/>
        </w:rPr>
        <w:t xml:space="preserve"> as follows:  “[A]n </w:t>
      </w:r>
      <w:r w:rsidR="001F4C79" w:rsidRPr="00295DAB">
        <w:rPr>
          <w:szCs w:val="26"/>
        </w:rPr>
        <w:t>‘</w:t>
      </w:r>
      <w:r w:rsidR="000F1620" w:rsidRPr="00295DAB">
        <w:rPr>
          <w:szCs w:val="26"/>
        </w:rPr>
        <w:t xml:space="preserve">easement will be implied when, at the time of conveyance of property, the following conditions exist:  </w:t>
      </w:r>
      <w:r w:rsidR="004155F0">
        <w:rPr>
          <w:szCs w:val="26"/>
        </w:rPr>
        <w:t>(</w:t>
      </w:r>
      <w:r w:rsidR="000F1620" w:rsidRPr="00295DAB">
        <w:rPr>
          <w:szCs w:val="26"/>
        </w:rPr>
        <w:t xml:space="preserve">1) the owner of property conveys or transfers a portion of that property to another; </w:t>
      </w:r>
      <w:r w:rsidR="004155F0">
        <w:rPr>
          <w:szCs w:val="26"/>
        </w:rPr>
        <w:t>(</w:t>
      </w:r>
      <w:r w:rsidR="000F1620" w:rsidRPr="00295DAB">
        <w:rPr>
          <w:szCs w:val="26"/>
        </w:rPr>
        <w:t xml:space="preserve">2) the owner’s prior existing use of the property was of a nature that the parties must have intended or believed that the use would continue; meaning that the existing use must either have been known to the grantor and the grantee, or have been so obviously and apparently permanent that the parties should have known of the use; and </w:t>
      </w:r>
      <w:r w:rsidR="004155F0">
        <w:rPr>
          <w:szCs w:val="26"/>
        </w:rPr>
        <w:t>(</w:t>
      </w:r>
      <w:r w:rsidR="000F1620" w:rsidRPr="00295DAB">
        <w:rPr>
          <w:szCs w:val="26"/>
        </w:rPr>
        <w:t>3) the easement is reasonably necessary to the use and benefit of the quasi-dominant tenement.</w:t>
      </w:r>
      <w:r w:rsidR="00B51925" w:rsidRPr="00295DAB">
        <w:rPr>
          <w:szCs w:val="26"/>
        </w:rPr>
        <w:t>’</w:t>
      </w:r>
      <w:r w:rsidR="00BE394D" w:rsidRPr="00295DAB">
        <w:rPr>
          <w:szCs w:val="26"/>
        </w:rPr>
        <w:t> </w:t>
      </w:r>
      <w:r w:rsidR="000F1620" w:rsidRPr="00295DAB">
        <w:rPr>
          <w:szCs w:val="26"/>
        </w:rPr>
        <w:t>”  (</w:t>
      </w:r>
      <w:r w:rsidR="000F1620" w:rsidRPr="00295DAB">
        <w:rPr>
          <w:i/>
          <w:iCs/>
          <w:szCs w:val="26"/>
        </w:rPr>
        <w:t>Thorstrom v. Thorstrom</w:t>
      </w:r>
      <w:r w:rsidR="000F1620" w:rsidRPr="00295DAB">
        <w:rPr>
          <w:szCs w:val="26"/>
        </w:rPr>
        <w:t xml:space="preserve"> (2011) 196 Cal.App.4th 1406</w:t>
      </w:r>
      <w:r w:rsidRPr="00295DAB">
        <w:rPr>
          <w:szCs w:val="26"/>
        </w:rPr>
        <w:t>, 1420</w:t>
      </w:r>
      <w:r w:rsidR="00892349" w:rsidRPr="00295DAB">
        <w:rPr>
          <w:szCs w:val="26"/>
        </w:rPr>
        <w:t xml:space="preserve"> (</w:t>
      </w:r>
      <w:r w:rsidR="00892349" w:rsidRPr="00295DAB">
        <w:rPr>
          <w:i/>
          <w:iCs/>
          <w:szCs w:val="26"/>
        </w:rPr>
        <w:t>Thorstrom</w:t>
      </w:r>
      <w:r w:rsidR="00892349" w:rsidRPr="00295DAB">
        <w:rPr>
          <w:szCs w:val="26"/>
        </w:rPr>
        <w:t>)</w:t>
      </w:r>
      <w:r w:rsidR="00B51925" w:rsidRPr="00295DAB">
        <w:rPr>
          <w:szCs w:val="26"/>
        </w:rPr>
        <w:t>.)</w:t>
      </w:r>
      <w:r w:rsidR="00117914" w:rsidRPr="00295DAB">
        <w:rPr>
          <w:szCs w:val="26"/>
        </w:rPr>
        <w:t xml:space="preserve"> </w:t>
      </w:r>
      <w:r w:rsidR="00756D10" w:rsidRPr="00295DAB">
        <w:rPr>
          <w:szCs w:val="26"/>
        </w:rPr>
        <w:t xml:space="preserve"> </w:t>
      </w:r>
    </w:p>
    <w:p w14:paraId="32AA80CE" w14:textId="77777777" w:rsidR="0017629E" w:rsidRDefault="00590CB4" w:rsidP="00DF4E62">
      <w:pPr>
        <w:ind w:firstLine="720"/>
        <w:rPr>
          <w:szCs w:val="26"/>
        </w:rPr>
      </w:pPr>
      <w:r>
        <w:rPr>
          <w:szCs w:val="26"/>
        </w:rPr>
        <w:t>I</w:t>
      </w:r>
      <w:r w:rsidRPr="00295DAB">
        <w:rPr>
          <w:szCs w:val="26"/>
        </w:rPr>
        <w:t xml:space="preserve">mplied easements are </w:t>
      </w:r>
      <w:r>
        <w:rPr>
          <w:szCs w:val="26"/>
        </w:rPr>
        <w:t xml:space="preserve">not favored in the law.  </w:t>
      </w:r>
      <w:r w:rsidR="009E0EE4" w:rsidRPr="00295DAB">
        <w:rPr>
          <w:szCs w:val="26"/>
        </w:rPr>
        <w:t>B</w:t>
      </w:r>
      <w:r w:rsidRPr="00295DAB">
        <w:rPr>
          <w:szCs w:val="26"/>
        </w:rPr>
        <w:t xml:space="preserve">ecause an </w:t>
      </w:r>
      <w:r w:rsidR="00C75250">
        <w:rPr>
          <w:szCs w:val="26"/>
        </w:rPr>
        <w:t xml:space="preserve">implied </w:t>
      </w:r>
      <w:r w:rsidRPr="00295DAB">
        <w:rPr>
          <w:szCs w:val="26"/>
        </w:rPr>
        <w:t xml:space="preserve">easement deprives </w:t>
      </w:r>
      <w:r w:rsidR="003B567B">
        <w:rPr>
          <w:szCs w:val="26"/>
        </w:rPr>
        <w:t>the</w:t>
      </w:r>
      <w:r w:rsidR="003B567B" w:rsidRPr="00295DAB">
        <w:rPr>
          <w:szCs w:val="26"/>
        </w:rPr>
        <w:t xml:space="preserve"> </w:t>
      </w:r>
      <w:r w:rsidRPr="00295DAB">
        <w:rPr>
          <w:szCs w:val="26"/>
        </w:rPr>
        <w:t>property owner of</w:t>
      </w:r>
      <w:r w:rsidR="00063802">
        <w:rPr>
          <w:szCs w:val="26"/>
        </w:rPr>
        <w:t xml:space="preserve"> the </w:t>
      </w:r>
      <w:r w:rsidRPr="00295DAB">
        <w:rPr>
          <w:szCs w:val="26"/>
        </w:rPr>
        <w:t>exclusive use of that property,</w:t>
      </w:r>
      <w:r>
        <w:rPr>
          <w:szCs w:val="26"/>
        </w:rPr>
        <w:t xml:space="preserve"> courts do not lightly infer </w:t>
      </w:r>
      <w:r w:rsidR="003C1A1C">
        <w:rPr>
          <w:szCs w:val="26"/>
        </w:rPr>
        <w:t>that the parties intended to create one</w:t>
      </w:r>
      <w:r w:rsidRPr="00295DAB">
        <w:rPr>
          <w:szCs w:val="26"/>
        </w:rPr>
        <w:t>.  (</w:t>
      </w:r>
      <w:r w:rsidRPr="00295DAB">
        <w:rPr>
          <w:i/>
          <w:iCs/>
          <w:szCs w:val="26"/>
        </w:rPr>
        <w:t xml:space="preserve">Orr v. Kirk </w:t>
      </w:r>
      <w:r w:rsidRPr="00295DAB">
        <w:rPr>
          <w:szCs w:val="26"/>
        </w:rPr>
        <w:t xml:space="preserve">(1950) 100 Cal.App.2d 678, 681.)  </w:t>
      </w:r>
      <w:r w:rsidR="00DF4E62">
        <w:rPr>
          <w:szCs w:val="26"/>
        </w:rPr>
        <w:t xml:space="preserve">Moreover, </w:t>
      </w:r>
      <w:r w:rsidR="00CD0FF4">
        <w:rPr>
          <w:szCs w:val="26"/>
        </w:rPr>
        <w:t xml:space="preserve">given the ordinary </w:t>
      </w:r>
      <w:r w:rsidRPr="00295DAB">
        <w:rPr>
          <w:szCs w:val="26"/>
        </w:rPr>
        <w:t xml:space="preserve">rule that courts should construe a </w:t>
      </w:r>
      <w:r w:rsidR="00975DF5">
        <w:rPr>
          <w:szCs w:val="26"/>
        </w:rPr>
        <w:t xml:space="preserve">reservation in any grant </w:t>
      </w:r>
      <w:r w:rsidRPr="00295DAB">
        <w:rPr>
          <w:szCs w:val="26"/>
        </w:rPr>
        <w:t>against the grantor</w:t>
      </w:r>
      <w:r w:rsidR="00A8229B">
        <w:rPr>
          <w:szCs w:val="26"/>
        </w:rPr>
        <w:t xml:space="preserve">, a court “will imply an easement in favor of the grantee more easily than it will imply an easement in favor of </w:t>
      </w:r>
      <w:r w:rsidR="004A3DBC">
        <w:rPr>
          <w:szCs w:val="26"/>
        </w:rPr>
        <w:t>a</w:t>
      </w:r>
      <w:r w:rsidR="00A8229B">
        <w:rPr>
          <w:szCs w:val="26"/>
        </w:rPr>
        <w:t xml:space="preserve"> grantor.”  </w:t>
      </w:r>
      <w:r w:rsidRPr="00295DAB">
        <w:rPr>
          <w:szCs w:val="26"/>
        </w:rPr>
        <w:t>(</w:t>
      </w:r>
      <w:r w:rsidRPr="00295DAB">
        <w:rPr>
          <w:i/>
          <w:iCs/>
          <w:szCs w:val="26"/>
        </w:rPr>
        <w:t>Ibid.</w:t>
      </w:r>
      <w:r w:rsidRPr="00295DAB">
        <w:rPr>
          <w:szCs w:val="26"/>
        </w:rPr>
        <w:t>; see Civ. Code, § 1069 [“A grant is to be interpreted in favor of the grantee, except that a reservation in any grant .</w:t>
      </w:r>
      <w:r w:rsidR="00BE394D" w:rsidRPr="00295DAB">
        <w:rPr>
          <w:szCs w:val="26"/>
        </w:rPr>
        <w:t> </w:t>
      </w:r>
      <w:r w:rsidRPr="00295DAB">
        <w:rPr>
          <w:szCs w:val="26"/>
        </w:rPr>
        <w:t>.</w:t>
      </w:r>
      <w:r w:rsidR="00BE394D" w:rsidRPr="00295DAB">
        <w:rPr>
          <w:szCs w:val="26"/>
        </w:rPr>
        <w:t> </w:t>
      </w:r>
      <w:r w:rsidRPr="00295DAB">
        <w:rPr>
          <w:szCs w:val="26"/>
        </w:rPr>
        <w:t xml:space="preserve">. is to be </w:t>
      </w:r>
      <w:r w:rsidRPr="00295DAB">
        <w:rPr>
          <w:szCs w:val="26"/>
        </w:rPr>
        <w:t>interpreted in favor of the grantor.”].)</w:t>
      </w:r>
      <w:r w:rsidR="00DF4E62">
        <w:rPr>
          <w:szCs w:val="26"/>
        </w:rPr>
        <w:t xml:space="preserve">  In either case, </w:t>
      </w:r>
      <w:r w:rsidR="00304FB7" w:rsidRPr="00295DAB">
        <w:rPr>
          <w:szCs w:val="26"/>
        </w:rPr>
        <w:t xml:space="preserve">courts </w:t>
      </w:r>
      <w:r w:rsidR="00716514">
        <w:rPr>
          <w:szCs w:val="26"/>
        </w:rPr>
        <w:t xml:space="preserve">exercise substantial caution </w:t>
      </w:r>
      <w:r w:rsidR="00DF4E62">
        <w:rPr>
          <w:szCs w:val="26"/>
        </w:rPr>
        <w:t xml:space="preserve">in recognizing implied easements, requiring </w:t>
      </w:r>
      <w:r w:rsidR="00304FB7" w:rsidRPr="00295DAB">
        <w:rPr>
          <w:szCs w:val="26"/>
        </w:rPr>
        <w:t>“ ‘clear evidence’ ” of the parties’ intent</w:t>
      </w:r>
      <w:r w:rsidR="00840DBA">
        <w:rPr>
          <w:szCs w:val="26"/>
        </w:rPr>
        <w:t xml:space="preserve">, taking into account </w:t>
      </w:r>
      <w:r w:rsidR="004A3DBC">
        <w:rPr>
          <w:szCs w:val="26"/>
        </w:rPr>
        <w:t>“ </w:t>
      </w:r>
      <w:r w:rsidR="00840DBA">
        <w:rPr>
          <w:szCs w:val="26"/>
        </w:rPr>
        <w:t>‘</w:t>
      </w:r>
      <w:r w:rsidR="001F72DE">
        <w:rPr>
          <w:szCs w:val="26"/>
        </w:rPr>
        <w:t> </w:t>
      </w:r>
      <w:r w:rsidR="00840DBA">
        <w:rPr>
          <w:szCs w:val="26"/>
        </w:rPr>
        <w:t xml:space="preserve">“the circumstances attending the transaction, the </w:t>
      </w:r>
      <w:r w:rsidR="00840DBA">
        <w:rPr>
          <w:szCs w:val="26"/>
        </w:rPr>
        <w:lastRenderedPageBreak/>
        <w:t>particular situation of the parties, and the state of the thing granted.</w:t>
      </w:r>
      <w:r w:rsidR="004A3DBC">
        <w:rPr>
          <w:szCs w:val="26"/>
        </w:rPr>
        <w:t>” </w:t>
      </w:r>
      <w:r w:rsidR="00840DBA">
        <w:rPr>
          <w:szCs w:val="26"/>
        </w:rPr>
        <w:t>’</w:t>
      </w:r>
      <w:r w:rsidR="001F72DE">
        <w:rPr>
          <w:szCs w:val="26"/>
        </w:rPr>
        <w:t> </w:t>
      </w:r>
      <w:r w:rsidR="00840DBA">
        <w:rPr>
          <w:szCs w:val="26"/>
        </w:rPr>
        <w:t>”</w:t>
      </w:r>
      <w:r w:rsidR="00304FB7" w:rsidRPr="00295DAB">
        <w:rPr>
          <w:szCs w:val="26"/>
        </w:rPr>
        <w:t xml:space="preserve">  </w:t>
      </w:r>
      <w:r w:rsidR="00BD0A84" w:rsidRPr="00295DAB">
        <w:rPr>
          <w:szCs w:val="26"/>
        </w:rPr>
        <w:t>(</w:t>
      </w:r>
      <w:r w:rsidR="00BD0A84" w:rsidRPr="00295DAB">
        <w:rPr>
          <w:i/>
          <w:iCs/>
          <w:szCs w:val="26"/>
        </w:rPr>
        <w:t>Thorstrom</w:t>
      </w:r>
      <w:r w:rsidR="00BD0A84" w:rsidRPr="00295DAB">
        <w:rPr>
          <w:szCs w:val="26"/>
        </w:rPr>
        <w:t xml:space="preserve">, </w:t>
      </w:r>
      <w:r w:rsidR="00BD0A84" w:rsidRPr="00295DAB">
        <w:rPr>
          <w:i/>
          <w:iCs/>
          <w:szCs w:val="26"/>
        </w:rPr>
        <w:t>supra</w:t>
      </w:r>
      <w:r w:rsidR="00BD0A84" w:rsidRPr="00295DAB">
        <w:rPr>
          <w:szCs w:val="26"/>
        </w:rPr>
        <w:t>, 196 Cal.App.4th at p.</w:t>
      </w:r>
      <w:r w:rsidR="00BE394D" w:rsidRPr="00295DAB">
        <w:rPr>
          <w:szCs w:val="26"/>
        </w:rPr>
        <w:t> </w:t>
      </w:r>
      <w:r w:rsidR="00BD0A84" w:rsidRPr="00295DAB">
        <w:rPr>
          <w:szCs w:val="26"/>
        </w:rPr>
        <w:t>1420; accord</w:t>
      </w:r>
      <w:r w:rsidR="00BE394D" w:rsidRPr="00295DAB">
        <w:rPr>
          <w:szCs w:val="26"/>
        </w:rPr>
        <w:t>,</w:t>
      </w:r>
      <w:r w:rsidR="00BD0A84" w:rsidRPr="00295DAB">
        <w:rPr>
          <w:szCs w:val="26"/>
        </w:rPr>
        <w:t xml:space="preserve"> </w:t>
      </w:r>
      <w:r w:rsidR="00BD0A84" w:rsidRPr="00295DAB">
        <w:rPr>
          <w:i/>
          <w:iCs/>
          <w:szCs w:val="26"/>
        </w:rPr>
        <w:t xml:space="preserve">Walters v. Marler </w:t>
      </w:r>
      <w:r w:rsidR="00BD0A84" w:rsidRPr="00295DAB">
        <w:rPr>
          <w:szCs w:val="26"/>
        </w:rPr>
        <w:t xml:space="preserve">(1978) </w:t>
      </w:r>
      <w:r w:rsidR="009F614A" w:rsidRPr="00295DAB">
        <w:rPr>
          <w:szCs w:val="26"/>
        </w:rPr>
        <w:t xml:space="preserve">83 Cal.App.3d 1, 21, disapproved on other grounds in </w:t>
      </w:r>
      <w:r w:rsidR="009F614A" w:rsidRPr="00295DAB">
        <w:rPr>
          <w:i/>
          <w:iCs/>
          <w:szCs w:val="26"/>
        </w:rPr>
        <w:t xml:space="preserve">Gray v. Don Miller &amp; Associates, Inc. </w:t>
      </w:r>
      <w:r w:rsidR="009F614A" w:rsidRPr="00295DAB">
        <w:rPr>
          <w:szCs w:val="26"/>
        </w:rPr>
        <w:t xml:space="preserve">(1984) 35 Cal.3d 498, 507; </w:t>
      </w:r>
      <w:r w:rsidR="009F614A" w:rsidRPr="00295DAB">
        <w:rPr>
          <w:i/>
          <w:iCs/>
          <w:szCs w:val="26"/>
        </w:rPr>
        <w:t>Orr</w:t>
      </w:r>
      <w:r w:rsidR="009D14AA" w:rsidRPr="00295DAB">
        <w:rPr>
          <w:szCs w:val="26"/>
        </w:rPr>
        <w:t>,</w:t>
      </w:r>
      <w:r w:rsidR="009D14AA" w:rsidRPr="00295DAB">
        <w:rPr>
          <w:i/>
          <w:iCs/>
          <w:szCs w:val="26"/>
        </w:rPr>
        <w:t xml:space="preserve"> </w:t>
      </w:r>
      <w:r w:rsidR="009D14AA" w:rsidRPr="00295DAB">
        <w:rPr>
          <w:szCs w:val="26"/>
        </w:rPr>
        <w:t>a</w:t>
      </w:r>
      <w:r w:rsidR="009F614A" w:rsidRPr="00295DAB">
        <w:rPr>
          <w:szCs w:val="26"/>
        </w:rPr>
        <w:t>t p. 681.)</w:t>
      </w:r>
      <w:r w:rsidR="00692F82">
        <w:rPr>
          <w:szCs w:val="26"/>
        </w:rPr>
        <w:t xml:space="preserve">  </w:t>
      </w:r>
    </w:p>
    <w:p w14:paraId="32AA80CF" w14:textId="77777777" w:rsidR="007E367A" w:rsidRDefault="00590CB4" w:rsidP="003166DB">
      <w:pPr>
        <w:ind w:firstLine="720"/>
        <w:rPr>
          <w:szCs w:val="26"/>
        </w:rPr>
      </w:pPr>
      <w:r>
        <w:rPr>
          <w:szCs w:val="26"/>
        </w:rPr>
        <w:t>The</w:t>
      </w:r>
      <w:r w:rsidR="00253228">
        <w:rPr>
          <w:szCs w:val="26"/>
        </w:rPr>
        <w:t xml:space="preserve"> </w:t>
      </w:r>
      <w:r w:rsidR="006D5EF9">
        <w:rPr>
          <w:szCs w:val="26"/>
        </w:rPr>
        <w:t>question before us concerns the recognition of what the Court of Appeal had described as “</w:t>
      </w:r>
      <w:r w:rsidR="006D5EF9" w:rsidRPr="00886706">
        <w:rPr>
          <w:szCs w:val="26"/>
        </w:rPr>
        <w:t>exclusive</w:t>
      </w:r>
      <w:r w:rsidR="006D5EF9">
        <w:rPr>
          <w:szCs w:val="26"/>
        </w:rPr>
        <w:t xml:space="preserve">” implied easements, by which the court meant an </w:t>
      </w:r>
      <w:r w:rsidR="00125983">
        <w:rPr>
          <w:szCs w:val="26"/>
        </w:rPr>
        <w:t xml:space="preserve">implied </w:t>
      </w:r>
      <w:r w:rsidR="006D5EF9">
        <w:rPr>
          <w:szCs w:val="26"/>
        </w:rPr>
        <w:t xml:space="preserve">easement that </w:t>
      </w:r>
      <w:r w:rsidR="0076799A">
        <w:rPr>
          <w:szCs w:val="26"/>
        </w:rPr>
        <w:t>“only permits the dominant owner to use the easement area</w:t>
      </w:r>
      <w:r w:rsidR="000A3B1B">
        <w:rPr>
          <w:szCs w:val="26"/>
        </w:rPr>
        <w:t>.</w:t>
      </w:r>
      <w:r w:rsidR="0076799A">
        <w:rPr>
          <w:szCs w:val="26"/>
        </w:rPr>
        <w:t xml:space="preserve">” </w:t>
      </w:r>
      <w:r w:rsidR="000A3B1B">
        <w:rPr>
          <w:szCs w:val="26"/>
        </w:rPr>
        <w:t xml:space="preserve"> </w:t>
      </w:r>
      <w:r w:rsidR="0076799A">
        <w:rPr>
          <w:szCs w:val="26"/>
        </w:rPr>
        <w:t>(</w:t>
      </w:r>
      <w:r w:rsidR="0076799A">
        <w:rPr>
          <w:i/>
          <w:iCs/>
          <w:szCs w:val="26"/>
        </w:rPr>
        <w:t>Romero, supra</w:t>
      </w:r>
      <w:r w:rsidR="0076799A">
        <w:rPr>
          <w:szCs w:val="26"/>
        </w:rPr>
        <w:t xml:space="preserve">, </w:t>
      </w:r>
      <w:r w:rsidR="0004692A">
        <w:rPr>
          <w:szCs w:val="26"/>
        </w:rPr>
        <w:t xml:space="preserve">78 Cal.App.5th </w:t>
      </w:r>
      <w:r w:rsidR="0076799A">
        <w:rPr>
          <w:szCs w:val="26"/>
        </w:rPr>
        <w:t>at p.</w:t>
      </w:r>
      <w:r w:rsidR="001F72DE">
        <w:rPr>
          <w:szCs w:val="26"/>
        </w:rPr>
        <w:t> </w:t>
      </w:r>
      <w:r w:rsidR="0076799A">
        <w:rPr>
          <w:szCs w:val="26"/>
        </w:rPr>
        <w:t>349</w:t>
      </w:r>
      <w:r w:rsidR="006D5EF9">
        <w:rPr>
          <w:szCs w:val="26"/>
        </w:rPr>
        <w:t>.)</w:t>
      </w:r>
      <w:r w:rsidR="003166DB">
        <w:rPr>
          <w:szCs w:val="26"/>
        </w:rPr>
        <w:t xml:space="preserve">  </w:t>
      </w:r>
      <w:r w:rsidR="00F25E69">
        <w:rPr>
          <w:szCs w:val="26"/>
        </w:rPr>
        <w:t xml:space="preserve">Some clarification of this usage is helpful.  </w:t>
      </w:r>
      <w:r w:rsidR="00F25E69" w:rsidRPr="006F774A">
        <w:rPr>
          <w:szCs w:val="26"/>
        </w:rPr>
        <w:t xml:space="preserve">In general, the term </w:t>
      </w:r>
      <w:r w:rsidR="00A35452" w:rsidRPr="006F774A">
        <w:rPr>
          <w:szCs w:val="26"/>
        </w:rPr>
        <w:t>“</w:t>
      </w:r>
      <w:r w:rsidR="004A3DBC" w:rsidRPr="006F774A">
        <w:rPr>
          <w:szCs w:val="26"/>
        </w:rPr>
        <w:t> ‘</w:t>
      </w:r>
      <w:r w:rsidR="00A35452" w:rsidRPr="006F774A">
        <w:rPr>
          <w:szCs w:val="26"/>
        </w:rPr>
        <w:t>exclusive</w:t>
      </w:r>
      <w:r w:rsidR="004A3DBC" w:rsidRPr="006F774A">
        <w:rPr>
          <w:szCs w:val="26"/>
        </w:rPr>
        <w:t>’ </w:t>
      </w:r>
      <w:r w:rsidR="00A35452" w:rsidRPr="006F774A">
        <w:rPr>
          <w:szCs w:val="26"/>
        </w:rPr>
        <w:t xml:space="preserve">” </w:t>
      </w:r>
      <w:r w:rsidR="00D9030B" w:rsidRPr="006F774A">
        <w:rPr>
          <w:szCs w:val="26"/>
        </w:rPr>
        <w:t xml:space="preserve">in the context of </w:t>
      </w:r>
      <w:r w:rsidR="00295AEC" w:rsidRPr="006F774A">
        <w:rPr>
          <w:szCs w:val="26"/>
        </w:rPr>
        <w:t xml:space="preserve">easements and other </w:t>
      </w:r>
      <w:r w:rsidR="00D9030B" w:rsidRPr="006F774A">
        <w:rPr>
          <w:szCs w:val="26"/>
        </w:rPr>
        <w:t xml:space="preserve">servitudes </w:t>
      </w:r>
      <w:r w:rsidR="00A35452" w:rsidRPr="006F774A">
        <w:rPr>
          <w:szCs w:val="26"/>
        </w:rPr>
        <w:t xml:space="preserve">simply refers to </w:t>
      </w:r>
      <w:r w:rsidR="000C6B92" w:rsidRPr="006F774A">
        <w:rPr>
          <w:szCs w:val="26"/>
        </w:rPr>
        <w:t>“t</w:t>
      </w:r>
      <w:r w:rsidR="0005694B" w:rsidRPr="006F774A">
        <w:rPr>
          <w:szCs w:val="26"/>
        </w:rPr>
        <w:t>he right to exclude others.”  (</w:t>
      </w:r>
      <w:bookmarkStart w:id="4" w:name="_Hlk153805596"/>
      <w:r w:rsidR="001A14FC" w:rsidRPr="006F774A">
        <w:rPr>
          <w:szCs w:val="26"/>
        </w:rPr>
        <w:t>Rest.3d Property, Servitudes (2000) § 1.2, com. c, p. 14</w:t>
      </w:r>
      <w:bookmarkEnd w:id="4"/>
      <w:r w:rsidR="001A14FC" w:rsidRPr="006F774A">
        <w:rPr>
          <w:szCs w:val="26"/>
        </w:rPr>
        <w:t>.)</w:t>
      </w:r>
      <w:r w:rsidR="00D1033B">
        <w:rPr>
          <w:szCs w:val="26"/>
        </w:rPr>
        <w:t xml:space="preserve">  </w:t>
      </w:r>
      <w:r w:rsidR="002E50DA">
        <w:rPr>
          <w:szCs w:val="26"/>
        </w:rPr>
        <w:t xml:space="preserve">The </w:t>
      </w:r>
      <w:r w:rsidR="00AF6C40">
        <w:rPr>
          <w:szCs w:val="26"/>
        </w:rPr>
        <w:t xml:space="preserve">exclusivity of an easement is not </w:t>
      </w:r>
      <w:r w:rsidR="000D4EA3">
        <w:rPr>
          <w:szCs w:val="26"/>
        </w:rPr>
        <w:t>so much a binary attribute</w:t>
      </w:r>
      <w:r w:rsidR="001F72DE">
        <w:rPr>
          <w:szCs w:val="26"/>
        </w:rPr>
        <w:t> </w:t>
      </w:r>
      <w:r w:rsidR="000D4EA3">
        <w:rPr>
          <w:szCs w:val="26"/>
        </w:rPr>
        <w:t>— either an easement is exclusive or it is not</w:t>
      </w:r>
      <w:r w:rsidR="00EB13D5">
        <w:rPr>
          <w:szCs w:val="26"/>
        </w:rPr>
        <w:t> </w:t>
      </w:r>
      <w:r w:rsidR="000D4EA3">
        <w:rPr>
          <w:szCs w:val="26"/>
        </w:rPr>
        <w:t xml:space="preserve">— </w:t>
      </w:r>
      <w:r w:rsidR="005E6294">
        <w:rPr>
          <w:szCs w:val="26"/>
        </w:rPr>
        <w:t xml:space="preserve">as </w:t>
      </w:r>
      <w:r w:rsidR="00DD22BC">
        <w:rPr>
          <w:szCs w:val="26"/>
        </w:rPr>
        <w:t>a matter of degree</w:t>
      </w:r>
      <w:r w:rsidR="005E6294">
        <w:rPr>
          <w:szCs w:val="26"/>
        </w:rPr>
        <w:t xml:space="preserve">.  </w:t>
      </w:r>
      <w:r w:rsidR="0076799A">
        <w:rPr>
          <w:szCs w:val="26"/>
        </w:rPr>
        <w:t>(</w:t>
      </w:r>
      <w:r w:rsidR="00ED6FFB" w:rsidRPr="006F774A">
        <w:rPr>
          <w:i/>
          <w:iCs/>
          <w:szCs w:val="26"/>
        </w:rPr>
        <w:t>Ibid.</w:t>
      </w:r>
      <w:r w:rsidR="00E14CE6">
        <w:rPr>
          <w:szCs w:val="26"/>
        </w:rPr>
        <w:t xml:space="preserve"> [“The degree of exclusivity of the rights conferred by an easement . . . is highly variable</w:t>
      </w:r>
      <w:r w:rsidR="00922EDD">
        <w:rPr>
          <w:szCs w:val="26"/>
        </w:rPr>
        <w:t xml:space="preserve">.”].)  </w:t>
      </w:r>
      <w:r w:rsidR="00E909E8">
        <w:rPr>
          <w:szCs w:val="26"/>
        </w:rPr>
        <w:t>Exclusivity in this context “</w:t>
      </w:r>
      <w:r w:rsidR="00E14CE6">
        <w:rPr>
          <w:szCs w:val="26"/>
        </w:rPr>
        <w:t>includes two aspects: who may be excluded and the uses or area from which they may be excluded.”</w:t>
      </w:r>
      <w:r w:rsidR="0076799A">
        <w:rPr>
          <w:szCs w:val="26"/>
        </w:rPr>
        <w:t xml:space="preserve"> </w:t>
      </w:r>
      <w:r w:rsidR="00E909E8">
        <w:rPr>
          <w:szCs w:val="26"/>
        </w:rPr>
        <w:t xml:space="preserve"> (</w:t>
      </w:r>
      <w:r w:rsidR="00E909E8" w:rsidRPr="006F774A">
        <w:rPr>
          <w:i/>
          <w:iCs/>
          <w:szCs w:val="26"/>
        </w:rPr>
        <w:t>Ibid.</w:t>
      </w:r>
      <w:r w:rsidR="00E909E8">
        <w:rPr>
          <w:szCs w:val="26"/>
        </w:rPr>
        <w:t xml:space="preserve">)  </w:t>
      </w:r>
      <w:r w:rsidR="0076799A">
        <w:rPr>
          <w:szCs w:val="26"/>
        </w:rPr>
        <w:t xml:space="preserve">At </w:t>
      </w:r>
      <w:r w:rsidR="004632C3">
        <w:rPr>
          <w:szCs w:val="26"/>
        </w:rPr>
        <w:t xml:space="preserve">one </w:t>
      </w:r>
      <w:r w:rsidR="009B0A22">
        <w:rPr>
          <w:szCs w:val="26"/>
        </w:rPr>
        <w:t>end of the</w:t>
      </w:r>
      <w:r w:rsidR="0076799A">
        <w:rPr>
          <w:szCs w:val="26"/>
        </w:rPr>
        <w:t xml:space="preserve"> spectrum, </w:t>
      </w:r>
      <w:r w:rsidR="00BE0C25">
        <w:rPr>
          <w:szCs w:val="26"/>
        </w:rPr>
        <w:t xml:space="preserve">easement holders </w:t>
      </w:r>
      <w:r w:rsidR="0076799A">
        <w:rPr>
          <w:szCs w:val="26"/>
        </w:rPr>
        <w:t>may be limited to narrow, specific uses of the property, and may have “no right to exclude anyone from making any use that does not unreasonably interfere</w:t>
      </w:r>
      <w:r w:rsidR="00D51AB8">
        <w:rPr>
          <w:szCs w:val="26"/>
        </w:rPr>
        <w:t xml:space="preserve">” with those narrow uses.  </w:t>
      </w:r>
      <w:r w:rsidR="0076799A">
        <w:rPr>
          <w:szCs w:val="26"/>
        </w:rPr>
        <w:t>(</w:t>
      </w:r>
      <w:r w:rsidR="0076799A" w:rsidRPr="006F774A">
        <w:rPr>
          <w:i/>
          <w:iCs/>
          <w:szCs w:val="26"/>
        </w:rPr>
        <w:t>Ibid.</w:t>
      </w:r>
      <w:r w:rsidR="0076799A">
        <w:rPr>
          <w:szCs w:val="26"/>
        </w:rPr>
        <w:t xml:space="preserve">)  At </w:t>
      </w:r>
      <w:r w:rsidR="009B0A22">
        <w:rPr>
          <w:szCs w:val="26"/>
        </w:rPr>
        <w:t xml:space="preserve">the </w:t>
      </w:r>
      <w:r w:rsidR="001B6C02">
        <w:rPr>
          <w:szCs w:val="26"/>
        </w:rPr>
        <w:t>other end</w:t>
      </w:r>
      <w:r w:rsidR="00BE0C25">
        <w:rPr>
          <w:szCs w:val="26"/>
        </w:rPr>
        <w:t xml:space="preserve"> of the spectrum, easement</w:t>
      </w:r>
      <w:r w:rsidR="001B6C02">
        <w:rPr>
          <w:szCs w:val="26"/>
        </w:rPr>
        <w:t xml:space="preserve"> </w:t>
      </w:r>
      <w:r w:rsidR="0076799A">
        <w:rPr>
          <w:szCs w:val="26"/>
        </w:rPr>
        <w:t>holder</w:t>
      </w:r>
      <w:r w:rsidR="004C4B40">
        <w:rPr>
          <w:szCs w:val="26"/>
        </w:rPr>
        <w:t>s</w:t>
      </w:r>
      <w:r w:rsidR="0076799A">
        <w:rPr>
          <w:szCs w:val="26"/>
        </w:rPr>
        <w:t xml:space="preserve"> may possess “the right to exclude everyone, including the servient owner, from making any use of the land within the easement boundaries.”  (</w:t>
      </w:r>
      <w:r w:rsidR="0076799A" w:rsidRPr="006F774A">
        <w:rPr>
          <w:i/>
          <w:iCs/>
          <w:szCs w:val="26"/>
        </w:rPr>
        <w:t>Ibid.</w:t>
      </w:r>
      <w:r w:rsidR="0076799A">
        <w:rPr>
          <w:szCs w:val="26"/>
        </w:rPr>
        <w:t>)</w:t>
      </w:r>
      <w:r w:rsidR="001B3FAE">
        <w:rPr>
          <w:szCs w:val="26"/>
        </w:rPr>
        <w:t xml:space="preserve">  </w:t>
      </w:r>
      <w:r w:rsidR="00753AAC">
        <w:rPr>
          <w:szCs w:val="26"/>
        </w:rPr>
        <w:t xml:space="preserve">When the </w:t>
      </w:r>
      <w:r w:rsidR="00EF4304">
        <w:rPr>
          <w:szCs w:val="26"/>
        </w:rPr>
        <w:t>Court of Appeal in this case used the term “exclusive</w:t>
      </w:r>
      <w:r w:rsidR="00E212BC">
        <w:rPr>
          <w:szCs w:val="26"/>
        </w:rPr>
        <w:t>”</w:t>
      </w:r>
      <w:r w:rsidR="00EF4304">
        <w:rPr>
          <w:szCs w:val="26"/>
        </w:rPr>
        <w:t xml:space="preserve"> easement</w:t>
      </w:r>
      <w:r w:rsidR="00753AAC">
        <w:rPr>
          <w:szCs w:val="26"/>
        </w:rPr>
        <w:t xml:space="preserve">, it was </w:t>
      </w:r>
      <w:r w:rsidR="00EF4304">
        <w:rPr>
          <w:szCs w:val="26"/>
        </w:rPr>
        <w:t>refer</w:t>
      </w:r>
      <w:r w:rsidR="00753AAC">
        <w:rPr>
          <w:szCs w:val="26"/>
        </w:rPr>
        <w:t>ring</w:t>
      </w:r>
      <w:r w:rsidR="00EF4304">
        <w:rPr>
          <w:szCs w:val="26"/>
        </w:rPr>
        <w:t xml:space="preserve"> to easements that sit closer to the latter end of this spectrum</w:t>
      </w:r>
      <w:r w:rsidR="001F72DE">
        <w:rPr>
          <w:szCs w:val="26"/>
        </w:rPr>
        <w:t> </w:t>
      </w:r>
      <w:r w:rsidR="00E212BC">
        <w:rPr>
          <w:szCs w:val="26"/>
        </w:rPr>
        <w:t>—</w:t>
      </w:r>
      <w:r w:rsidR="009D03D8">
        <w:rPr>
          <w:szCs w:val="26"/>
        </w:rPr>
        <w:t xml:space="preserve"> to what we might </w:t>
      </w:r>
      <w:r w:rsidR="00125983">
        <w:rPr>
          <w:szCs w:val="26"/>
        </w:rPr>
        <w:t xml:space="preserve">consider </w:t>
      </w:r>
      <w:r w:rsidR="009D03D8">
        <w:rPr>
          <w:szCs w:val="26"/>
        </w:rPr>
        <w:t>“highly exclusive” or “broadly exclusive” easements.</w:t>
      </w:r>
      <w:r w:rsidR="006671E2">
        <w:rPr>
          <w:szCs w:val="26"/>
        </w:rPr>
        <w:t xml:space="preserve">  </w:t>
      </w:r>
    </w:p>
    <w:p w14:paraId="32AA80D0" w14:textId="77777777" w:rsidR="00FE1202" w:rsidRDefault="00590CB4" w:rsidP="003166DB">
      <w:pPr>
        <w:ind w:firstLine="720"/>
        <w:rPr>
          <w:szCs w:val="26"/>
        </w:rPr>
      </w:pPr>
      <w:r>
        <w:rPr>
          <w:szCs w:val="26"/>
        </w:rPr>
        <w:lastRenderedPageBreak/>
        <w:t>T</w:t>
      </w:r>
      <w:r w:rsidR="00F5793A">
        <w:rPr>
          <w:szCs w:val="26"/>
        </w:rPr>
        <w:t>h</w:t>
      </w:r>
      <w:r w:rsidR="00F20D1B">
        <w:rPr>
          <w:szCs w:val="26"/>
        </w:rPr>
        <w:t xml:space="preserve">ough an easement may be broadly exclusive, it is nonetheless </w:t>
      </w:r>
      <w:r w:rsidR="00F5793A">
        <w:rPr>
          <w:szCs w:val="26"/>
        </w:rPr>
        <w:t xml:space="preserve">necessarily </w:t>
      </w:r>
      <w:r w:rsidR="00D1661E">
        <w:rPr>
          <w:szCs w:val="26"/>
        </w:rPr>
        <w:t>limited in scope</w:t>
      </w:r>
      <w:r w:rsidR="00F5793A">
        <w:rPr>
          <w:szCs w:val="26"/>
        </w:rPr>
        <w:t xml:space="preserve">.  </w:t>
      </w:r>
      <w:r w:rsidR="006930F3">
        <w:rPr>
          <w:szCs w:val="26"/>
        </w:rPr>
        <w:t xml:space="preserve">An easement </w:t>
      </w:r>
      <w:r w:rsidR="00192837">
        <w:rPr>
          <w:szCs w:val="26"/>
        </w:rPr>
        <w:t>is “considered a nonpossessory interest in land because it generally authorizes limited uses of the burdened property for a particular purpose</w:t>
      </w:r>
      <w:r w:rsidR="00E912F7">
        <w:rPr>
          <w:szCs w:val="26"/>
        </w:rPr>
        <w:t>,</w:t>
      </w:r>
      <w:r w:rsidR="00192837">
        <w:rPr>
          <w:szCs w:val="26"/>
        </w:rPr>
        <w:t>”</w:t>
      </w:r>
      <w:r w:rsidR="00E05A7C">
        <w:rPr>
          <w:szCs w:val="26"/>
        </w:rPr>
        <w:t xml:space="preserve"> </w:t>
      </w:r>
      <w:r w:rsidR="00E912F7">
        <w:rPr>
          <w:szCs w:val="26"/>
        </w:rPr>
        <w:t xml:space="preserve">leaving </w:t>
      </w:r>
      <w:r w:rsidR="003B52B0">
        <w:rPr>
          <w:szCs w:val="26"/>
        </w:rPr>
        <w:t xml:space="preserve">the </w:t>
      </w:r>
      <w:r w:rsidR="00E05A7C">
        <w:rPr>
          <w:szCs w:val="26"/>
        </w:rPr>
        <w:t xml:space="preserve">property owner </w:t>
      </w:r>
      <w:r w:rsidR="00C967A7">
        <w:rPr>
          <w:szCs w:val="26"/>
        </w:rPr>
        <w:t>“</w:t>
      </w:r>
      <w:r w:rsidR="00E05A7C">
        <w:rPr>
          <w:szCs w:val="26"/>
        </w:rPr>
        <w:t xml:space="preserve">the right </w:t>
      </w:r>
      <w:r w:rsidR="00C967A7">
        <w:rPr>
          <w:szCs w:val="26"/>
        </w:rPr>
        <w:t>to make all uses of the land that do not unreasonably interfere</w:t>
      </w:r>
      <w:r w:rsidR="00635662">
        <w:rPr>
          <w:szCs w:val="26"/>
        </w:rPr>
        <w:t xml:space="preserve"> with exercise of the rights granted by the [easement].”</w:t>
      </w:r>
      <w:r w:rsidR="00192837">
        <w:rPr>
          <w:szCs w:val="26"/>
        </w:rPr>
        <w:t xml:space="preserve">  </w:t>
      </w:r>
      <w:r w:rsidR="00192837" w:rsidRPr="007F49BF">
        <w:rPr>
          <w:szCs w:val="26"/>
        </w:rPr>
        <w:t>(</w:t>
      </w:r>
      <w:bookmarkStart w:id="5" w:name="_Hlk153805615"/>
      <w:r w:rsidR="004A3DBC" w:rsidRPr="006F774A">
        <w:rPr>
          <w:szCs w:val="26"/>
        </w:rPr>
        <w:t xml:space="preserve">Rest.3d Property, Servitudes, </w:t>
      </w:r>
      <w:r w:rsidR="004A3DBC" w:rsidRPr="006F774A">
        <w:rPr>
          <w:i/>
          <w:iCs/>
          <w:szCs w:val="26"/>
        </w:rPr>
        <w:t>supra</w:t>
      </w:r>
      <w:r w:rsidR="004A3DBC" w:rsidRPr="006F774A">
        <w:rPr>
          <w:szCs w:val="26"/>
        </w:rPr>
        <w:t>, § 1.2,</w:t>
      </w:r>
      <w:r w:rsidR="00192837" w:rsidRPr="006F774A">
        <w:rPr>
          <w:szCs w:val="26"/>
        </w:rPr>
        <w:t xml:space="preserve"> com. d, </w:t>
      </w:r>
      <w:r w:rsidR="004A3DBC" w:rsidRPr="006F774A">
        <w:rPr>
          <w:szCs w:val="26"/>
        </w:rPr>
        <w:t>p</w:t>
      </w:r>
      <w:r w:rsidR="00192837" w:rsidRPr="006F774A">
        <w:rPr>
          <w:szCs w:val="26"/>
        </w:rPr>
        <w:t>p.</w:t>
      </w:r>
      <w:r w:rsidR="004A3DBC" w:rsidRPr="006F774A">
        <w:rPr>
          <w:szCs w:val="26"/>
        </w:rPr>
        <w:t> 14–</w:t>
      </w:r>
      <w:r w:rsidR="00631127" w:rsidRPr="006F774A">
        <w:rPr>
          <w:szCs w:val="26"/>
        </w:rPr>
        <w:t>15</w:t>
      </w:r>
      <w:bookmarkEnd w:id="5"/>
      <w:r w:rsidR="00192837" w:rsidRPr="007F49BF">
        <w:rPr>
          <w:szCs w:val="26"/>
        </w:rPr>
        <w:t>.)</w:t>
      </w:r>
      <w:r w:rsidR="004D0FFC">
        <w:rPr>
          <w:szCs w:val="26"/>
        </w:rPr>
        <w:t xml:space="preserve">  </w:t>
      </w:r>
      <w:r w:rsidR="0087011B">
        <w:rPr>
          <w:szCs w:val="26"/>
        </w:rPr>
        <w:t>Broad</w:t>
      </w:r>
      <w:r w:rsidR="00F20D1B">
        <w:rPr>
          <w:szCs w:val="26"/>
        </w:rPr>
        <w:t>ly e</w:t>
      </w:r>
      <w:r w:rsidR="00050DBD">
        <w:rPr>
          <w:szCs w:val="26"/>
        </w:rPr>
        <w:t>xclusive e</w:t>
      </w:r>
      <w:r w:rsidR="00CA73C2">
        <w:rPr>
          <w:szCs w:val="26"/>
        </w:rPr>
        <w:t xml:space="preserve">asements </w:t>
      </w:r>
      <w:r w:rsidR="006F28DB">
        <w:rPr>
          <w:szCs w:val="26"/>
        </w:rPr>
        <w:t xml:space="preserve">“may involve uses that make any actual use of the premises by the </w:t>
      </w:r>
      <w:r w:rsidR="00643CB3">
        <w:rPr>
          <w:szCs w:val="26"/>
        </w:rPr>
        <w:t>transferor</w:t>
      </w:r>
      <w:r w:rsidR="006F28DB">
        <w:rPr>
          <w:szCs w:val="26"/>
        </w:rPr>
        <w:t xml:space="preserve"> unlikely</w:t>
      </w:r>
      <w:r w:rsidR="00CA73C2">
        <w:rPr>
          <w:szCs w:val="26"/>
        </w:rPr>
        <w:t xml:space="preserve">, but they are still considered nonpossessory interests if the transferor is not excluded from the entire parcel and retains the right to make uses that would not interfere with </w:t>
      </w:r>
      <w:r w:rsidR="000D0C3C">
        <w:rPr>
          <w:szCs w:val="26"/>
        </w:rPr>
        <w:t>the easement.</w:t>
      </w:r>
      <w:r w:rsidR="006F28DB">
        <w:rPr>
          <w:szCs w:val="26"/>
        </w:rPr>
        <w:t>”  (</w:t>
      </w:r>
      <w:r w:rsidR="006F28DB" w:rsidRPr="006F774A">
        <w:rPr>
          <w:i/>
          <w:iCs/>
          <w:szCs w:val="26"/>
        </w:rPr>
        <w:t>Id.</w:t>
      </w:r>
      <w:r w:rsidR="004A3DBC" w:rsidRPr="006F774A">
        <w:rPr>
          <w:szCs w:val="26"/>
        </w:rPr>
        <w:t xml:space="preserve"> at p. 15</w:t>
      </w:r>
      <w:r w:rsidR="004A3DBC">
        <w:rPr>
          <w:szCs w:val="26"/>
        </w:rPr>
        <w:t>.</w:t>
      </w:r>
      <w:r w:rsidR="006F28DB">
        <w:rPr>
          <w:szCs w:val="26"/>
        </w:rPr>
        <w:t>)</w:t>
      </w:r>
      <w:r w:rsidR="003A35ED">
        <w:rPr>
          <w:szCs w:val="26"/>
        </w:rPr>
        <w:t xml:space="preserve">  When an exclusive easement has been established, a dominant tenement </w:t>
      </w:r>
      <w:r w:rsidR="00CF5344">
        <w:rPr>
          <w:szCs w:val="26"/>
        </w:rPr>
        <w:t xml:space="preserve">owner </w:t>
      </w:r>
      <w:r w:rsidR="003A35ED">
        <w:rPr>
          <w:szCs w:val="26"/>
        </w:rPr>
        <w:t xml:space="preserve">may use the easement area </w:t>
      </w:r>
      <w:r w:rsidR="00A9610B">
        <w:rPr>
          <w:szCs w:val="26"/>
        </w:rPr>
        <w:t xml:space="preserve">only </w:t>
      </w:r>
      <w:r w:rsidR="003A35ED">
        <w:rPr>
          <w:szCs w:val="26"/>
        </w:rPr>
        <w:t xml:space="preserve">for a limited set of purposes, and the </w:t>
      </w:r>
      <w:r w:rsidR="007F49BF">
        <w:rPr>
          <w:szCs w:val="26"/>
        </w:rPr>
        <w:t>easement may be terminated</w:t>
      </w:r>
      <w:r w:rsidR="003A35ED">
        <w:rPr>
          <w:szCs w:val="26"/>
        </w:rPr>
        <w:t xml:space="preserve"> if the dominant tenement </w:t>
      </w:r>
      <w:r w:rsidR="00CF5344">
        <w:rPr>
          <w:szCs w:val="26"/>
        </w:rPr>
        <w:t xml:space="preserve">owner </w:t>
      </w:r>
      <w:r w:rsidR="003A35ED">
        <w:rPr>
          <w:szCs w:val="26"/>
        </w:rPr>
        <w:t xml:space="preserve">ceases to use the area for </w:t>
      </w:r>
      <w:r w:rsidR="001D5D39">
        <w:rPr>
          <w:szCs w:val="26"/>
        </w:rPr>
        <w:t>th</w:t>
      </w:r>
      <w:r w:rsidR="00590B97">
        <w:rPr>
          <w:szCs w:val="26"/>
        </w:rPr>
        <w:t>ose</w:t>
      </w:r>
      <w:r w:rsidR="001D5D39">
        <w:rPr>
          <w:szCs w:val="26"/>
        </w:rPr>
        <w:t xml:space="preserve"> </w:t>
      </w:r>
      <w:r w:rsidR="003A35ED">
        <w:rPr>
          <w:szCs w:val="26"/>
        </w:rPr>
        <w:t xml:space="preserve">purposes.  </w:t>
      </w:r>
      <w:r w:rsidR="007F49BF">
        <w:rPr>
          <w:szCs w:val="26"/>
        </w:rPr>
        <w:t>(</w:t>
      </w:r>
      <w:bookmarkStart w:id="6" w:name="_Hlk153805670"/>
      <w:r w:rsidR="007F49BF" w:rsidRPr="006F774A">
        <w:rPr>
          <w:szCs w:val="26"/>
        </w:rPr>
        <w:t xml:space="preserve">6 Miller &amp; Starr, Cal. Real Estate, </w:t>
      </w:r>
      <w:r w:rsidR="007F49BF" w:rsidRPr="006F774A">
        <w:rPr>
          <w:i/>
          <w:iCs/>
          <w:szCs w:val="26"/>
        </w:rPr>
        <w:t>supra</w:t>
      </w:r>
      <w:r w:rsidR="007F49BF" w:rsidRPr="006F774A">
        <w:rPr>
          <w:szCs w:val="26"/>
        </w:rPr>
        <w:t>, §</w:t>
      </w:r>
      <w:r w:rsidR="001F72DE" w:rsidRPr="006F774A">
        <w:rPr>
          <w:szCs w:val="26"/>
        </w:rPr>
        <w:t> </w:t>
      </w:r>
      <w:r w:rsidR="007F49BF" w:rsidRPr="006F774A">
        <w:rPr>
          <w:szCs w:val="26"/>
        </w:rPr>
        <w:t>15.77, pp. 15-282–15-284</w:t>
      </w:r>
      <w:bookmarkEnd w:id="6"/>
      <w:r w:rsidR="007F49BF">
        <w:rPr>
          <w:szCs w:val="26"/>
        </w:rPr>
        <w:t xml:space="preserve">; </w:t>
      </w:r>
      <w:r w:rsidR="007F49BF">
        <w:rPr>
          <w:i/>
          <w:iCs/>
          <w:szCs w:val="26"/>
        </w:rPr>
        <w:t xml:space="preserve">McCarty v. Walton </w:t>
      </w:r>
      <w:r w:rsidR="007F49BF">
        <w:rPr>
          <w:szCs w:val="26"/>
        </w:rPr>
        <w:t>(1963) 212 Cal.App.2d 39, 45.)</w:t>
      </w:r>
      <w:r w:rsidR="006147D4">
        <w:rPr>
          <w:szCs w:val="26"/>
        </w:rPr>
        <w:t xml:space="preserve">  </w:t>
      </w:r>
    </w:p>
    <w:p w14:paraId="32AA80D1" w14:textId="77777777" w:rsidR="00FE1202" w:rsidRDefault="00590CB4" w:rsidP="00FE1202">
      <w:pPr>
        <w:ind w:firstLine="720"/>
        <w:rPr>
          <w:szCs w:val="26"/>
        </w:rPr>
      </w:pPr>
      <w:r>
        <w:rPr>
          <w:szCs w:val="26"/>
        </w:rPr>
        <w:t xml:space="preserve">The easement the trial court recognized here </w:t>
      </w:r>
      <w:r w:rsidR="008539B4" w:rsidRPr="00B3552F">
        <w:rPr>
          <w:szCs w:val="26"/>
        </w:rPr>
        <w:t>fit</w:t>
      </w:r>
      <w:r w:rsidR="006C7E95" w:rsidRPr="00B3552F">
        <w:rPr>
          <w:szCs w:val="26"/>
        </w:rPr>
        <w:t>s</w:t>
      </w:r>
      <w:r w:rsidR="008539B4">
        <w:rPr>
          <w:szCs w:val="26"/>
        </w:rPr>
        <w:t xml:space="preserve"> this model:  It </w:t>
      </w:r>
      <w:r>
        <w:rPr>
          <w:szCs w:val="26"/>
        </w:rPr>
        <w:t>was broad</w:t>
      </w:r>
      <w:r w:rsidR="009D1853">
        <w:rPr>
          <w:szCs w:val="26"/>
        </w:rPr>
        <w:t>ly exclusive</w:t>
      </w:r>
      <w:r>
        <w:rPr>
          <w:szCs w:val="26"/>
        </w:rPr>
        <w:t>,</w:t>
      </w:r>
      <w:r w:rsidR="00510391">
        <w:rPr>
          <w:szCs w:val="26"/>
        </w:rPr>
        <w:t xml:space="preserve"> in that it </w:t>
      </w:r>
      <w:r w:rsidR="00DB43B4">
        <w:rPr>
          <w:szCs w:val="26"/>
        </w:rPr>
        <w:t xml:space="preserve">gave </w:t>
      </w:r>
      <w:r>
        <w:rPr>
          <w:szCs w:val="26"/>
        </w:rPr>
        <w:t xml:space="preserve">the Shih-Kos a right to use the </w:t>
      </w:r>
      <w:r w:rsidR="00880E3B">
        <w:rPr>
          <w:szCs w:val="26"/>
        </w:rPr>
        <w:t xml:space="preserve">easement </w:t>
      </w:r>
      <w:r>
        <w:rPr>
          <w:szCs w:val="26"/>
        </w:rPr>
        <w:t xml:space="preserve">in a manner </w:t>
      </w:r>
      <w:r w:rsidR="00DB43B4">
        <w:rPr>
          <w:szCs w:val="26"/>
        </w:rPr>
        <w:t xml:space="preserve">that effectively excluded </w:t>
      </w:r>
      <w:r w:rsidR="00896183">
        <w:rPr>
          <w:szCs w:val="26"/>
        </w:rPr>
        <w:t xml:space="preserve">the </w:t>
      </w:r>
      <w:r w:rsidR="009D1853">
        <w:rPr>
          <w:szCs w:val="26"/>
        </w:rPr>
        <w:t xml:space="preserve">Romeros from most </w:t>
      </w:r>
      <w:r w:rsidR="008539B4">
        <w:rPr>
          <w:szCs w:val="26"/>
        </w:rPr>
        <w:t>practical uses</w:t>
      </w:r>
      <w:r w:rsidR="00880E3B">
        <w:rPr>
          <w:szCs w:val="26"/>
        </w:rPr>
        <w:t xml:space="preserve"> of the surface area</w:t>
      </w:r>
      <w:r w:rsidR="008539B4">
        <w:rPr>
          <w:szCs w:val="26"/>
        </w:rPr>
        <w:t xml:space="preserve">, </w:t>
      </w:r>
      <w:r w:rsidR="008B2BE0">
        <w:rPr>
          <w:szCs w:val="26"/>
        </w:rPr>
        <w:t xml:space="preserve">if not the areas below and above the surface, </w:t>
      </w:r>
      <w:r w:rsidR="008539B4">
        <w:rPr>
          <w:szCs w:val="26"/>
        </w:rPr>
        <w:t xml:space="preserve">but </w:t>
      </w:r>
      <w:r w:rsidR="00446043">
        <w:rPr>
          <w:szCs w:val="26"/>
        </w:rPr>
        <w:t xml:space="preserve">it was nonetheless limited </w:t>
      </w:r>
      <w:r w:rsidR="00B62210">
        <w:rPr>
          <w:szCs w:val="26"/>
        </w:rPr>
        <w:t>in that it preserved the Romeros’ property rights</w:t>
      </w:r>
      <w:r w:rsidR="00BB6D83">
        <w:rPr>
          <w:szCs w:val="26"/>
        </w:rPr>
        <w:t xml:space="preserve"> not inconsistent with the Shih-Kos’ usage, including the right to terminate the easement if the Shih-Kos ceased to use it</w:t>
      </w:r>
      <w:r w:rsidR="00DC068F">
        <w:rPr>
          <w:szCs w:val="26"/>
        </w:rPr>
        <w:t xml:space="preserve"> for </w:t>
      </w:r>
      <w:r w:rsidR="00282B1A">
        <w:rPr>
          <w:szCs w:val="26"/>
        </w:rPr>
        <w:t xml:space="preserve">the </w:t>
      </w:r>
      <w:r w:rsidR="00DC068F">
        <w:rPr>
          <w:szCs w:val="26"/>
        </w:rPr>
        <w:t>specified limited purposes</w:t>
      </w:r>
      <w:r w:rsidR="00BB6D83">
        <w:rPr>
          <w:szCs w:val="26"/>
        </w:rPr>
        <w:t>.</w:t>
      </w:r>
      <w:r w:rsidR="00665944">
        <w:rPr>
          <w:szCs w:val="26"/>
        </w:rPr>
        <w:t xml:space="preserve"> </w:t>
      </w:r>
    </w:p>
    <w:p w14:paraId="32AA80D2" w14:textId="77777777" w:rsidR="00125983" w:rsidRDefault="00590CB4" w:rsidP="00AC2F41">
      <w:pPr>
        <w:ind w:firstLine="720"/>
        <w:rPr>
          <w:szCs w:val="26"/>
        </w:rPr>
      </w:pPr>
      <w:r>
        <w:rPr>
          <w:szCs w:val="26"/>
        </w:rPr>
        <w:t xml:space="preserve">The question now before us is whether, </w:t>
      </w:r>
      <w:r w:rsidR="00665944">
        <w:rPr>
          <w:szCs w:val="26"/>
        </w:rPr>
        <w:t xml:space="preserve">as </w:t>
      </w:r>
      <w:r>
        <w:rPr>
          <w:szCs w:val="26"/>
        </w:rPr>
        <w:t xml:space="preserve">the Court of Appeal </w:t>
      </w:r>
      <w:r w:rsidR="00665944">
        <w:rPr>
          <w:szCs w:val="26"/>
        </w:rPr>
        <w:t xml:space="preserve">held, </w:t>
      </w:r>
      <w:r w:rsidR="005A44C6">
        <w:rPr>
          <w:szCs w:val="26"/>
        </w:rPr>
        <w:t>an</w:t>
      </w:r>
      <w:r w:rsidR="00C57440" w:rsidRPr="003B221B">
        <w:rPr>
          <w:szCs w:val="26"/>
        </w:rPr>
        <w:t xml:space="preserve"> implied easement</w:t>
      </w:r>
      <w:r w:rsidR="005A44C6">
        <w:rPr>
          <w:szCs w:val="26"/>
        </w:rPr>
        <w:t xml:space="preserve"> that excludes the servient </w:t>
      </w:r>
      <w:r w:rsidR="005A44C6">
        <w:rPr>
          <w:szCs w:val="26"/>
        </w:rPr>
        <w:lastRenderedPageBreak/>
        <w:t xml:space="preserve">tenement </w:t>
      </w:r>
      <w:r w:rsidR="00655FB1">
        <w:rPr>
          <w:szCs w:val="26"/>
        </w:rPr>
        <w:t xml:space="preserve">owner </w:t>
      </w:r>
      <w:r w:rsidR="005A44C6">
        <w:rPr>
          <w:szCs w:val="26"/>
        </w:rPr>
        <w:t xml:space="preserve">from making </w:t>
      </w:r>
      <w:r w:rsidR="00D53336">
        <w:rPr>
          <w:szCs w:val="26"/>
        </w:rPr>
        <w:t xml:space="preserve">most practical uses </w:t>
      </w:r>
      <w:r w:rsidR="005A44C6">
        <w:rPr>
          <w:szCs w:val="26"/>
        </w:rPr>
        <w:t>of the easement’s surface area</w:t>
      </w:r>
      <w:r w:rsidR="00717DA5">
        <w:rPr>
          <w:szCs w:val="26"/>
        </w:rPr>
        <w:t xml:space="preserve"> is impermissible as a matter of law.</w:t>
      </w:r>
      <w:r w:rsidR="002C4A30">
        <w:rPr>
          <w:szCs w:val="26"/>
        </w:rPr>
        <w:t xml:space="preserve">  </w:t>
      </w:r>
      <w:r w:rsidR="00D16A55">
        <w:rPr>
          <w:szCs w:val="26"/>
        </w:rPr>
        <w:t xml:space="preserve">As the Court of Appeal </w:t>
      </w:r>
      <w:r w:rsidR="00C2735B">
        <w:rPr>
          <w:szCs w:val="26"/>
        </w:rPr>
        <w:t xml:space="preserve">acknowledged, </w:t>
      </w:r>
      <w:r w:rsidR="009B7886">
        <w:rPr>
          <w:szCs w:val="26"/>
        </w:rPr>
        <w:t xml:space="preserve">effectively exclusive </w:t>
      </w:r>
      <w:r w:rsidR="00C2735B">
        <w:rPr>
          <w:szCs w:val="26"/>
        </w:rPr>
        <w:t xml:space="preserve">easements are not impermissible </w:t>
      </w:r>
      <w:r w:rsidR="005563B4">
        <w:rPr>
          <w:szCs w:val="26"/>
        </w:rPr>
        <w:t>as a general matter</w:t>
      </w:r>
      <w:r w:rsidR="00C2735B">
        <w:rPr>
          <w:szCs w:val="26"/>
        </w:rPr>
        <w:t xml:space="preserve">.  </w:t>
      </w:r>
      <w:r w:rsidR="009A399B">
        <w:rPr>
          <w:szCs w:val="26"/>
        </w:rPr>
        <w:t xml:space="preserve">Courts have upheld </w:t>
      </w:r>
      <w:r w:rsidR="0069195C">
        <w:rPr>
          <w:szCs w:val="26"/>
        </w:rPr>
        <w:t xml:space="preserve">granted or reserved </w:t>
      </w:r>
      <w:r w:rsidR="009A399B">
        <w:rPr>
          <w:szCs w:val="26"/>
        </w:rPr>
        <w:t xml:space="preserve">easements of </w:t>
      </w:r>
      <w:r w:rsidR="0069195C">
        <w:rPr>
          <w:szCs w:val="26"/>
        </w:rPr>
        <w:t xml:space="preserve">comparable </w:t>
      </w:r>
      <w:r w:rsidR="009A399B">
        <w:rPr>
          <w:szCs w:val="26"/>
        </w:rPr>
        <w:t>scope</w:t>
      </w:r>
      <w:r w:rsidR="00214A26">
        <w:rPr>
          <w:szCs w:val="26"/>
        </w:rPr>
        <w:t xml:space="preserve"> </w:t>
      </w:r>
      <w:r w:rsidR="009A399B">
        <w:rPr>
          <w:szCs w:val="26"/>
        </w:rPr>
        <w:t xml:space="preserve">where </w:t>
      </w:r>
      <w:r w:rsidR="00603184">
        <w:rPr>
          <w:szCs w:val="26"/>
        </w:rPr>
        <w:t xml:space="preserve">the </w:t>
      </w:r>
      <w:r w:rsidR="00FD1403">
        <w:rPr>
          <w:szCs w:val="26"/>
        </w:rPr>
        <w:t xml:space="preserve">parties have </w:t>
      </w:r>
      <w:r w:rsidR="00E77C9E">
        <w:rPr>
          <w:szCs w:val="26"/>
        </w:rPr>
        <w:t xml:space="preserve">expressly </w:t>
      </w:r>
      <w:r>
        <w:rPr>
          <w:szCs w:val="26"/>
        </w:rPr>
        <w:t xml:space="preserve">granted </w:t>
      </w:r>
      <w:r w:rsidR="00FD1403">
        <w:rPr>
          <w:szCs w:val="26"/>
        </w:rPr>
        <w:t>or reserved a</w:t>
      </w:r>
      <w:r w:rsidR="00E77C9E">
        <w:rPr>
          <w:szCs w:val="26"/>
        </w:rPr>
        <w:t xml:space="preserve"> restricted right of use as part of the transactio</w:t>
      </w:r>
      <w:r w:rsidR="00516876">
        <w:rPr>
          <w:szCs w:val="26"/>
        </w:rPr>
        <w:t>n</w:t>
      </w:r>
      <w:r w:rsidR="00603184">
        <w:rPr>
          <w:szCs w:val="26"/>
        </w:rPr>
        <w:t xml:space="preserve">.  </w:t>
      </w:r>
      <w:r w:rsidR="00B24A90" w:rsidRPr="00295DAB">
        <w:rPr>
          <w:szCs w:val="26"/>
        </w:rPr>
        <w:t>(</w:t>
      </w:r>
      <w:r w:rsidR="00B24A90" w:rsidRPr="00295DAB">
        <w:rPr>
          <w:i/>
          <w:iCs/>
          <w:szCs w:val="26"/>
        </w:rPr>
        <w:t>Romero</w:t>
      </w:r>
      <w:r w:rsidR="00B24A90" w:rsidRPr="00295DAB">
        <w:rPr>
          <w:szCs w:val="26"/>
        </w:rPr>
        <w:t xml:space="preserve">, </w:t>
      </w:r>
      <w:r w:rsidR="00B24A90" w:rsidRPr="00295DAB">
        <w:rPr>
          <w:i/>
          <w:iCs/>
          <w:szCs w:val="26"/>
        </w:rPr>
        <w:t>supra</w:t>
      </w:r>
      <w:r w:rsidR="00B24A90" w:rsidRPr="00295DAB">
        <w:rPr>
          <w:szCs w:val="26"/>
        </w:rPr>
        <w:t>, 78 Cal.App.5th at p. 350</w:t>
      </w:r>
      <w:r w:rsidR="00590B42">
        <w:rPr>
          <w:szCs w:val="26"/>
        </w:rPr>
        <w:t xml:space="preserve">; see, e.g., </w:t>
      </w:r>
      <w:r w:rsidR="00B24A90" w:rsidRPr="00295DAB">
        <w:rPr>
          <w:i/>
          <w:iCs/>
          <w:szCs w:val="26"/>
        </w:rPr>
        <w:t>Gray v. McCormick</w:t>
      </w:r>
      <w:r w:rsidR="00B24A90" w:rsidRPr="00295DAB">
        <w:rPr>
          <w:szCs w:val="26"/>
        </w:rPr>
        <w:t xml:space="preserve">, </w:t>
      </w:r>
      <w:r w:rsidR="00B24A90" w:rsidRPr="00295DAB">
        <w:rPr>
          <w:i/>
          <w:iCs/>
          <w:szCs w:val="26"/>
        </w:rPr>
        <w:t>supra</w:t>
      </w:r>
      <w:r w:rsidR="00B24A90" w:rsidRPr="00295DAB">
        <w:rPr>
          <w:szCs w:val="26"/>
        </w:rPr>
        <w:t>, 167 Cal.App.4th at p. 1029</w:t>
      </w:r>
      <w:r w:rsidR="000C5155">
        <w:rPr>
          <w:szCs w:val="26"/>
        </w:rPr>
        <w:t xml:space="preserve">; </w:t>
      </w:r>
      <w:r w:rsidR="00B24A90" w:rsidRPr="00295DAB">
        <w:rPr>
          <w:i/>
          <w:iCs/>
          <w:szCs w:val="26"/>
        </w:rPr>
        <w:t>Blackmore</w:t>
      </w:r>
      <w:r w:rsidR="00B24A90">
        <w:rPr>
          <w:szCs w:val="26"/>
        </w:rPr>
        <w:t xml:space="preserve">, </w:t>
      </w:r>
      <w:r w:rsidR="00B24A90">
        <w:rPr>
          <w:i/>
          <w:iCs/>
          <w:szCs w:val="26"/>
        </w:rPr>
        <w:t>supra</w:t>
      </w:r>
      <w:r w:rsidR="00B24A90">
        <w:rPr>
          <w:szCs w:val="26"/>
        </w:rPr>
        <w:t>,</w:t>
      </w:r>
      <w:r w:rsidR="00B24A90" w:rsidRPr="00295DAB">
        <w:rPr>
          <w:i/>
          <w:iCs/>
          <w:szCs w:val="26"/>
        </w:rPr>
        <w:t xml:space="preserve"> </w:t>
      </w:r>
      <w:r w:rsidR="00B24A90" w:rsidRPr="00295DAB">
        <w:rPr>
          <w:szCs w:val="26"/>
        </w:rPr>
        <w:t xml:space="preserve">150 Cal.App.4th </w:t>
      </w:r>
      <w:r w:rsidR="00B24A90">
        <w:rPr>
          <w:szCs w:val="26"/>
        </w:rPr>
        <w:t>at pp.</w:t>
      </w:r>
      <w:r w:rsidR="001F72DE">
        <w:rPr>
          <w:szCs w:val="26"/>
        </w:rPr>
        <w:t> </w:t>
      </w:r>
      <w:r w:rsidR="00B24A90" w:rsidRPr="00295DAB">
        <w:rPr>
          <w:szCs w:val="26"/>
        </w:rPr>
        <w:t>1599–1601.)</w:t>
      </w:r>
      <w:r>
        <w:rPr>
          <w:szCs w:val="26"/>
        </w:rPr>
        <w:t xml:space="preserve">  </w:t>
      </w:r>
      <w:r w:rsidR="007F49BF">
        <w:rPr>
          <w:szCs w:val="26"/>
        </w:rPr>
        <w:t>The Court of Appeal held</w:t>
      </w:r>
      <w:r w:rsidR="00274F44">
        <w:rPr>
          <w:szCs w:val="26"/>
        </w:rPr>
        <w:t>, however,</w:t>
      </w:r>
      <w:r w:rsidR="007F49BF">
        <w:rPr>
          <w:szCs w:val="26"/>
        </w:rPr>
        <w:t xml:space="preserve"> </w:t>
      </w:r>
      <w:r w:rsidR="007F49BF" w:rsidRPr="000E2598">
        <w:rPr>
          <w:szCs w:val="26"/>
        </w:rPr>
        <w:t xml:space="preserve">that California law prohibits courts from recognizing </w:t>
      </w:r>
      <w:r>
        <w:rPr>
          <w:szCs w:val="26"/>
        </w:rPr>
        <w:t xml:space="preserve">effectively </w:t>
      </w:r>
      <w:r w:rsidR="007F49BF">
        <w:rPr>
          <w:szCs w:val="26"/>
        </w:rPr>
        <w:t>exclusive</w:t>
      </w:r>
      <w:r w:rsidR="007F49BF" w:rsidRPr="000E2598">
        <w:rPr>
          <w:szCs w:val="26"/>
        </w:rPr>
        <w:t xml:space="preserve"> </w:t>
      </w:r>
      <w:r w:rsidR="007F49BF" w:rsidRPr="006B61CE">
        <w:rPr>
          <w:i/>
          <w:iCs/>
          <w:szCs w:val="26"/>
        </w:rPr>
        <w:t>implied</w:t>
      </w:r>
      <w:r w:rsidR="007F49BF" w:rsidRPr="000E2598">
        <w:rPr>
          <w:szCs w:val="26"/>
        </w:rPr>
        <w:t xml:space="preserve"> easements</w:t>
      </w:r>
      <w:r>
        <w:rPr>
          <w:szCs w:val="26"/>
        </w:rPr>
        <w:t>, as distinct from express easements</w:t>
      </w:r>
      <w:r w:rsidR="007F49BF">
        <w:rPr>
          <w:szCs w:val="26"/>
        </w:rPr>
        <w:t xml:space="preserve">.  </w:t>
      </w:r>
    </w:p>
    <w:p w14:paraId="32AA80D3" w14:textId="77777777" w:rsidR="007F49BF" w:rsidRPr="00295DAB" w:rsidRDefault="00590CB4" w:rsidP="00125983">
      <w:pPr>
        <w:ind w:firstLine="720"/>
        <w:rPr>
          <w:szCs w:val="26"/>
        </w:rPr>
      </w:pPr>
      <w:r>
        <w:rPr>
          <w:szCs w:val="26"/>
        </w:rPr>
        <w:t xml:space="preserve">The Court of Appeal </w:t>
      </w:r>
      <w:r w:rsidRPr="00295DAB">
        <w:rPr>
          <w:szCs w:val="26"/>
        </w:rPr>
        <w:t xml:space="preserve">relied </w:t>
      </w:r>
      <w:r>
        <w:rPr>
          <w:szCs w:val="26"/>
        </w:rPr>
        <w:t xml:space="preserve">for this conclusion </w:t>
      </w:r>
      <w:r w:rsidRPr="00295DAB">
        <w:rPr>
          <w:szCs w:val="26"/>
        </w:rPr>
        <w:t xml:space="preserve">on a </w:t>
      </w:r>
      <w:r w:rsidR="004C5D22">
        <w:rPr>
          <w:szCs w:val="26"/>
        </w:rPr>
        <w:t xml:space="preserve">line of cases </w:t>
      </w:r>
      <w:r w:rsidRPr="00295DAB">
        <w:rPr>
          <w:szCs w:val="26"/>
        </w:rPr>
        <w:t>pertaining to easements acquired by prescription.  The ca</w:t>
      </w:r>
      <w:r w:rsidRPr="00295DAB">
        <w:rPr>
          <w:szCs w:val="26"/>
        </w:rPr>
        <w:t>se</w:t>
      </w:r>
      <w:r w:rsidR="004C5D22">
        <w:rPr>
          <w:szCs w:val="26"/>
        </w:rPr>
        <w:t>s</w:t>
      </w:r>
      <w:r w:rsidRPr="00295DAB">
        <w:rPr>
          <w:szCs w:val="26"/>
        </w:rPr>
        <w:t xml:space="preserve"> begin with </w:t>
      </w:r>
      <w:r w:rsidRPr="00295DAB">
        <w:rPr>
          <w:i/>
          <w:iCs/>
          <w:szCs w:val="26"/>
        </w:rPr>
        <w:t>Raab v. Casper</w:t>
      </w:r>
      <w:r>
        <w:rPr>
          <w:szCs w:val="26"/>
        </w:rPr>
        <w:t xml:space="preserve"> (1975) </w:t>
      </w:r>
      <w:r w:rsidRPr="00295DAB">
        <w:rPr>
          <w:szCs w:val="26"/>
        </w:rPr>
        <w:t xml:space="preserve">51 Cal.App.3d 866, in which the defendants had </w:t>
      </w:r>
      <w:r>
        <w:rPr>
          <w:szCs w:val="26"/>
        </w:rPr>
        <w:t xml:space="preserve">built </w:t>
      </w:r>
      <w:r w:rsidRPr="00295DAB">
        <w:rPr>
          <w:szCs w:val="26"/>
        </w:rPr>
        <w:t xml:space="preserve">a house near the boundary line dividing their property from </w:t>
      </w:r>
      <w:r>
        <w:rPr>
          <w:szCs w:val="26"/>
        </w:rPr>
        <w:t>the plaintiffs’</w:t>
      </w:r>
      <w:r w:rsidRPr="00295DAB">
        <w:rPr>
          <w:szCs w:val="26"/>
        </w:rPr>
        <w:t xml:space="preserve"> property and inadvertently built “part of their driveway, utility lines, yard and landscap</w:t>
      </w:r>
      <w:r w:rsidRPr="00295DAB">
        <w:rPr>
          <w:szCs w:val="26"/>
        </w:rPr>
        <w:t>ing on plaintiffs’ land.”  (</w:t>
      </w:r>
      <w:r w:rsidRPr="00295DAB">
        <w:rPr>
          <w:i/>
          <w:iCs/>
          <w:szCs w:val="26"/>
        </w:rPr>
        <w:t xml:space="preserve">Id. </w:t>
      </w:r>
      <w:r w:rsidRPr="00295DAB">
        <w:rPr>
          <w:szCs w:val="26"/>
        </w:rPr>
        <w:t>at p. 876.)  The trial court awarded the defendants a prescriptive easement over the land containing the encroachments, but the Court of Appeal reversed.  (</w:t>
      </w:r>
      <w:r w:rsidRPr="00295DAB">
        <w:rPr>
          <w:i/>
          <w:iCs/>
          <w:szCs w:val="26"/>
        </w:rPr>
        <w:t>Id.</w:t>
      </w:r>
      <w:r w:rsidRPr="00295DAB">
        <w:rPr>
          <w:szCs w:val="26"/>
        </w:rPr>
        <w:t xml:space="preserve"> at p. 878.)  The appellate court understood the trial court’s ju</w:t>
      </w:r>
      <w:r w:rsidRPr="00295DAB">
        <w:rPr>
          <w:szCs w:val="26"/>
        </w:rPr>
        <w:t xml:space="preserve">dgment as “designed to exclude plaintiffs from defendants’ domestic establishment, employing the nomenclature of easement but designed to create the practical equivalent of an estate.” </w:t>
      </w:r>
      <w:r w:rsidR="001F72DE">
        <w:rPr>
          <w:szCs w:val="26"/>
        </w:rPr>
        <w:t xml:space="preserve"> </w:t>
      </w:r>
      <w:r w:rsidRPr="00295DAB">
        <w:rPr>
          <w:szCs w:val="26"/>
        </w:rPr>
        <w:t>(</w:t>
      </w:r>
      <w:r w:rsidRPr="00295DAB">
        <w:rPr>
          <w:i/>
          <w:iCs/>
          <w:szCs w:val="26"/>
        </w:rPr>
        <w:t>Id.</w:t>
      </w:r>
      <w:r w:rsidR="004A3DBC">
        <w:rPr>
          <w:szCs w:val="26"/>
        </w:rPr>
        <w:t xml:space="preserve"> at p. 877.</w:t>
      </w:r>
      <w:r w:rsidRPr="00295DAB">
        <w:rPr>
          <w:szCs w:val="26"/>
        </w:rPr>
        <w:t xml:space="preserve">)  “Achievement of that objective,” the court </w:t>
      </w:r>
      <w:r>
        <w:rPr>
          <w:szCs w:val="26"/>
        </w:rPr>
        <w:t>held</w:t>
      </w:r>
      <w:r w:rsidRPr="00295DAB">
        <w:rPr>
          <w:szCs w:val="26"/>
        </w:rPr>
        <w:t>, “re</w:t>
      </w:r>
      <w:r w:rsidRPr="00295DAB">
        <w:rPr>
          <w:szCs w:val="26"/>
        </w:rPr>
        <w:t>quired proof and findings of the elements of adverse possession, not prescriptive use.”  (</w:t>
      </w:r>
      <w:r w:rsidRPr="00295DAB">
        <w:rPr>
          <w:i/>
          <w:iCs/>
          <w:szCs w:val="26"/>
        </w:rPr>
        <w:t>Ibid.</w:t>
      </w:r>
      <w:r w:rsidRPr="00295DAB">
        <w:rPr>
          <w:szCs w:val="26"/>
        </w:rPr>
        <w:t xml:space="preserve">)  Because the defendants had not established the necessary elements of adverse possession — in particular, the requirement </w:t>
      </w:r>
      <w:r w:rsidRPr="00295DAB">
        <w:rPr>
          <w:szCs w:val="26"/>
        </w:rPr>
        <w:lastRenderedPageBreak/>
        <w:t>that the defendants paid taxes on the</w:t>
      </w:r>
      <w:r w:rsidRPr="00295DAB">
        <w:rPr>
          <w:szCs w:val="26"/>
        </w:rPr>
        <w:t xml:space="preserve"> disputed land (see Code Civ. Proc., § 325) — the court reversed the judgment.  (</w:t>
      </w:r>
      <w:r w:rsidRPr="00295DAB">
        <w:rPr>
          <w:i/>
          <w:iCs/>
          <w:szCs w:val="26"/>
        </w:rPr>
        <w:t>Raab</w:t>
      </w:r>
      <w:r w:rsidRPr="00295DAB">
        <w:rPr>
          <w:szCs w:val="26"/>
        </w:rPr>
        <w:t xml:space="preserve">, at pp. 877–878.)  </w:t>
      </w:r>
    </w:p>
    <w:p w14:paraId="32AA80D4" w14:textId="77777777" w:rsidR="007F49BF" w:rsidRDefault="00590CB4" w:rsidP="007F49BF">
      <w:pPr>
        <w:ind w:firstLine="720"/>
        <w:rPr>
          <w:szCs w:val="26"/>
        </w:rPr>
      </w:pPr>
      <w:r>
        <w:rPr>
          <w:szCs w:val="26"/>
        </w:rPr>
        <w:t xml:space="preserve">Several courts have since followed </w:t>
      </w:r>
      <w:r>
        <w:rPr>
          <w:i/>
          <w:iCs/>
          <w:szCs w:val="26"/>
        </w:rPr>
        <w:t>Raab</w:t>
      </w:r>
      <w:r>
        <w:rPr>
          <w:szCs w:val="26"/>
        </w:rPr>
        <w:t xml:space="preserve"> in prohibiting the acquisition of an easement by prescription where the easement would deprive the property ow</w:t>
      </w:r>
      <w:r>
        <w:rPr>
          <w:szCs w:val="26"/>
        </w:rPr>
        <w:t xml:space="preserve">ner of all or most practical uses of the easement area.  (See </w:t>
      </w:r>
      <w:r>
        <w:rPr>
          <w:i/>
          <w:iCs/>
          <w:szCs w:val="26"/>
        </w:rPr>
        <w:t>Hansen, supra</w:t>
      </w:r>
      <w:r>
        <w:rPr>
          <w:szCs w:val="26"/>
        </w:rPr>
        <w:t>, 22 Cal.App.5th at p.</w:t>
      </w:r>
      <w:r w:rsidR="001F72DE">
        <w:rPr>
          <w:szCs w:val="26"/>
        </w:rPr>
        <w:t> </w:t>
      </w:r>
      <w:r>
        <w:rPr>
          <w:szCs w:val="26"/>
        </w:rPr>
        <w:t xml:space="preserve">1034 [rejecting prescriptive easement for farming that would not allow the owner “to use the [d]isputed [l]and for any ‘practical purpose’ ”]; </w:t>
      </w:r>
      <w:r>
        <w:rPr>
          <w:i/>
          <w:iCs/>
          <w:szCs w:val="26"/>
        </w:rPr>
        <w:t>Mehdizadeh, sup</w:t>
      </w:r>
      <w:r>
        <w:rPr>
          <w:i/>
          <w:iCs/>
          <w:szCs w:val="26"/>
        </w:rPr>
        <w:t>ra</w:t>
      </w:r>
      <w:r>
        <w:rPr>
          <w:szCs w:val="26"/>
        </w:rPr>
        <w:t>, 46 Cal.App.4th at pp.</w:t>
      </w:r>
      <w:r w:rsidR="0004692A">
        <w:rPr>
          <w:szCs w:val="26"/>
        </w:rPr>
        <w:t> </w:t>
      </w:r>
      <w:r>
        <w:rPr>
          <w:szCs w:val="26"/>
        </w:rPr>
        <w:t>1305, 1308 [rejecting prescriptive easement that was limited to “landscaping and recreation” because the easement would leave the owner with “only a minimal right to use it”];</w:t>
      </w:r>
      <w:r w:rsidRPr="00CB3882">
        <w:rPr>
          <w:i/>
          <w:iCs/>
          <w:szCs w:val="26"/>
        </w:rPr>
        <w:t xml:space="preserve"> </w:t>
      </w:r>
      <w:r>
        <w:rPr>
          <w:i/>
          <w:iCs/>
          <w:szCs w:val="26"/>
        </w:rPr>
        <w:t>Silacci</w:t>
      </w:r>
      <w:r w:rsidR="00B3075A">
        <w:rPr>
          <w:i/>
          <w:iCs/>
          <w:szCs w:val="26"/>
        </w:rPr>
        <w:t xml:space="preserve"> v. Abramson</w:t>
      </w:r>
      <w:r w:rsidR="00B3075A">
        <w:rPr>
          <w:szCs w:val="26"/>
        </w:rPr>
        <w:t xml:space="preserve"> (1996) </w:t>
      </w:r>
      <w:r w:rsidRPr="00295DAB">
        <w:rPr>
          <w:szCs w:val="26"/>
        </w:rPr>
        <w:t xml:space="preserve">45 Cal.App.4th </w:t>
      </w:r>
      <w:r w:rsidR="00B3075A">
        <w:rPr>
          <w:szCs w:val="26"/>
        </w:rPr>
        <w:t xml:space="preserve">558, </w:t>
      </w:r>
      <w:r>
        <w:rPr>
          <w:szCs w:val="26"/>
        </w:rPr>
        <w:t xml:space="preserve">564 </w:t>
      </w:r>
      <w:r w:rsidR="000A3B1B">
        <w:rPr>
          <w:szCs w:val="26"/>
        </w:rPr>
        <w:t>(</w:t>
      </w:r>
      <w:r w:rsidR="000A3B1B" w:rsidRPr="000A3B1B">
        <w:rPr>
          <w:i/>
          <w:iCs/>
          <w:szCs w:val="26"/>
        </w:rPr>
        <w:t>Silacci</w:t>
      </w:r>
      <w:r w:rsidR="000A3B1B">
        <w:rPr>
          <w:szCs w:val="26"/>
        </w:rPr>
        <w:t xml:space="preserve">) </w:t>
      </w:r>
      <w:r>
        <w:rPr>
          <w:szCs w:val="26"/>
        </w:rPr>
        <w:t xml:space="preserve">[rejecting prescriptive easement for an enclosed yard that would “amount[] to giving [the true owner’s] land completely, without reservation, to [the encroacher]”]; </w:t>
      </w:r>
      <w:r>
        <w:rPr>
          <w:i/>
          <w:iCs/>
          <w:szCs w:val="26"/>
        </w:rPr>
        <w:t xml:space="preserve">Harrison v. Welch </w:t>
      </w:r>
      <w:r>
        <w:rPr>
          <w:szCs w:val="26"/>
        </w:rPr>
        <w:t>(2004) 116 Cal.App.4th 1084, 1093 [reje</w:t>
      </w:r>
      <w:r>
        <w:rPr>
          <w:szCs w:val="26"/>
        </w:rPr>
        <w:t>cting prescriptive easement for use as a woodshed because “</w:t>
      </w:r>
      <w:r w:rsidR="00B3075A">
        <w:rPr>
          <w:szCs w:val="26"/>
        </w:rPr>
        <w:t> ‘</w:t>
      </w:r>
      <w:r>
        <w:rPr>
          <w:szCs w:val="26"/>
        </w:rPr>
        <w:t>as a practical matter [such use] . . . prohibits the true owner from using his land</w:t>
      </w:r>
      <w:r w:rsidR="00B3075A">
        <w:rPr>
          <w:szCs w:val="26"/>
        </w:rPr>
        <w:t>’ </w:t>
      </w:r>
      <w:r>
        <w:rPr>
          <w:szCs w:val="26"/>
        </w:rPr>
        <w:t xml:space="preserve">”].)  </w:t>
      </w:r>
    </w:p>
    <w:p w14:paraId="32AA80D5" w14:textId="77777777" w:rsidR="007F49BF" w:rsidRPr="00295DAB" w:rsidRDefault="00590CB4" w:rsidP="007F49BF">
      <w:pPr>
        <w:ind w:firstLine="720"/>
        <w:rPr>
          <w:szCs w:val="26"/>
        </w:rPr>
      </w:pPr>
      <w:r>
        <w:rPr>
          <w:szCs w:val="26"/>
        </w:rPr>
        <w:t>The concern underlying this line of cases</w:t>
      </w:r>
      <w:r w:rsidR="00827E7B">
        <w:rPr>
          <w:szCs w:val="26"/>
        </w:rPr>
        <w:t> </w:t>
      </w:r>
      <w:r>
        <w:rPr>
          <w:szCs w:val="26"/>
        </w:rPr>
        <w:t xml:space="preserve">— that </w:t>
      </w:r>
      <w:r w:rsidRPr="00295DAB">
        <w:rPr>
          <w:szCs w:val="26"/>
        </w:rPr>
        <w:t xml:space="preserve">claimants could </w:t>
      </w:r>
      <w:r>
        <w:rPr>
          <w:szCs w:val="26"/>
        </w:rPr>
        <w:t>“obtain the fruits of adverse possessi</w:t>
      </w:r>
      <w:r>
        <w:rPr>
          <w:szCs w:val="26"/>
        </w:rPr>
        <w:t>on under the guise of a prescriptive easement”</w:t>
      </w:r>
      <w:r w:rsidR="00827E7B">
        <w:rPr>
          <w:szCs w:val="26"/>
        </w:rPr>
        <w:t> </w:t>
      </w:r>
      <w:r>
        <w:rPr>
          <w:szCs w:val="26"/>
        </w:rPr>
        <w:t xml:space="preserve">— </w:t>
      </w:r>
      <w:r w:rsidRPr="00295DAB">
        <w:rPr>
          <w:szCs w:val="26"/>
        </w:rPr>
        <w:t>arises because of the high degree of similarity between the elements of a prescriptive easement and the elements of adverse possession.  (</w:t>
      </w:r>
      <w:r w:rsidRPr="00295DAB">
        <w:rPr>
          <w:i/>
          <w:iCs/>
          <w:szCs w:val="26"/>
        </w:rPr>
        <w:t>Hansen</w:t>
      </w:r>
      <w:r w:rsidRPr="00295DAB">
        <w:rPr>
          <w:szCs w:val="26"/>
        </w:rPr>
        <w:t xml:space="preserve">, </w:t>
      </w:r>
      <w:r w:rsidR="0004692A" w:rsidRPr="0004692A">
        <w:rPr>
          <w:i/>
          <w:iCs/>
          <w:szCs w:val="26"/>
        </w:rPr>
        <w:t>supra</w:t>
      </w:r>
      <w:r w:rsidR="0004692A">
        <w:rPr>
          <w:szCs w:val="26"/>
        </w:rPr>
        <w:t xml:space="preserve">, 22 Cal.App.5th </w:t>
      </w:r>
      <w:r w:rsidRPr="00295DAB">
        <w:rPr>
          <w:szCs w:val="26"/>
        </w:rPr>
        <w:t>at p. 1033.)</w:t>
      </w:r>
      <w:r w:rsidRPr="00295DAB">
        <w:rPr>
          <w:i/>
          <w:iCs/>
          <w:szCs w:val="26"/>
        </w:rPr>
        <w:t xml:space="preserve">  </w:t>
      </w:r>
      <w:r w:rsidRPr="00295DAB">
        <w:rPr>
          <w:szCs w:val="26"/>
        </w:rPr>
        <w:t>Both the law of prescript</w:t>
      </w:r>
      <w:r w:rsidRPr="00295DAB">
        <w:rPr>
          <w:szCs w:val="26"/>
        </w:rPr>
        <w:t>ive easements and the law of adverse possession permit a party to acquire rights to property through their own unilateral conduct — that is, by using or occupying the property — and, generally speaking, the elements of the doctrines closely resemble each o</w:t>
      </w:r>
      <w:r w:rsidRPr="00295DAB">
        <w:rPr>
          <w:szCs w:val="26"/>
        </w:rPr>
        <w:t>ther.  (</w:t>
      </w:r>
      <w:r w:rsidR="000A3B1B" w:rsidRPr="000A3B1B">
        <w:rPr>
          <w:i/>
          <w:iCs/>
          <w:szCs w:val="26"/>
        </w:rPr>
        <w:t>Id.</w:t>
      </w:r>
      <w:r w:rsidRPr="00295DAB">
        <w:rPr>
          <w:szCs w:val="26"/>
        </w:rPr>
        <w:t xml:space="preserve"> at pp. 1032–1033.)  Crucially, however, adverse </w:t>
      </w:r>
      <w:r w:rsidRPr="00295DAB">
        <w:rPr>
          <w:szCs w:val="26"/>
        </w:rPr>
        <w:lastRenderedPageBreak/>
        <w:t>possession requires claimants to prove that they have paid taxes assessed against the property in order to claim title.  (</w:t>
      </w:r>
      <w:r w:rsidRPr="00295DAB">
        <w:rPr>
          <w:i/>
          <w:iCs/>
          <w:szCs w:val="26"/>
        </w:rPr>
        <w:t>Ibid.</w:t>
      </w:r>
      <w:r w:rsidRPr="00295DAB">
        <w:rPr>
          <w:szCs w:val="26"/>
        </w:rPr>
        <w:t xml:space="preserve">; Code Civ. Proc., § 325, subd. (b).)  </w:t>
      </w:r>
      <w:r>
        <w:rPr>
          <w:szCs w:val="26"/>
        </w:rPr>
        <w:t>The creation of easements by p</w:t>
      </w:r>
      <w:r>
        <w:rPr>
          <w:szCs w:val="26"/>
        </w:rPr>
        <w:t xml:space="preserve">rescription does not.  To ensure adherence to this statutory tax requirement, the courts in the </w:t>
      </w:r>
      <w:r>
        <w:rPr>
          <w:i/>
          <w:iCs/>
          <w:szCs w:val="26"/>
        </w:rPr>
        <w:t>Raab</w:t>
      </w:r>
      <w:r>
        <w:rPr>
          <w:szCs w:val="26"/>
        </w:rPr>
        <w:t xml:space="preserve"> line have considered it “</w:t>
      </w:r>
      <w:r w:rsidRPr="00295DAB">
        <w:rPr>
          <w:szCs w:val="26"/>
        </w:rPr>
        <w:t xml:space="preserve">especially important to maintain the distinction between easements and estates </w:t>
      </w:r>
      <w:r w:rsidRPr="00295DAB">
        <w:rPr>
          <w:i/>
          <w:iCs/>
          <w:szCs w:val="26"/>
        </w:rPr>
        <w:t>in the context of prescription</w:t>
      </w:r>
      <w:r w:rsidRPr="00295DAB">
        <w:rPr>
          <w:szCs w:val="26"/>
        </w:rPr>
        <w:t>.  (See Code Civ. Pro</w:t>
      </w:r>
      <w:r w:rsidRPr="00295DAB">
        <w:rPr>
          <w:szCs w:val="26"/>
        </w:rPr>
        <w:t>c</w:t>
      </w:r>
      <w:r w:rsidR="00D80E8B">
        <w:rPr>
          <w:szCs w:val="26"/>
        </w:rPr>
        <w:t>.</w:t>
      </w:r>
      <w:r w:rsidRPr="00295DAB">
        <w:rPr>
          <w:szCs w:val="26"/>
        </w:rPr>
        <w:t>, § 325, subd. (b).)  That is, if courts allowed claimants to obtain by prescription a functional estate without satisfying the statutory requirements of adverse possession, then Code of Civil Procedure section 325, subdivision (b)’s tax requirement woul</w:t>
      </w:r>
      <w:r w:rsidRPr="00295DAB">
        <w:rPr>
          <w:szCs w:val="26"/>
        </w:rPr>
        <w:t>d be nullified.”  (</w:t>
      </w:r>
      <w:r w:rsidRPr="00295DAB">
        <w:rPr>
          <w:i/>
          <w:iCs/>
          <w:szCs w:val="26"/>
        </w:rPr>
        <w:t>Hansen</w:t>
      </w:r>
      <w:r w:rsidRPr="00295DAB">
        <w:rPr>
          <w:szCs w:val="26"/>
        </w:rPr>
        <w:t>, at p. 1036.</w:t>
      </w:r>
      <w:r>
        <w:rPr>
          <w:szCs w:val="26"/>
        </w:rPr>
        <w:t>)</w:t>
      </w:r>
      <w:r>
        <w:rPr>
          <w:rStyle w:val="FootnoteReference"/>
          <w:position w:val="6"/>
          <w:sz w:val="20"/>
          <w:vertAlign w:val="baseline"/>
        </w:rPr>
        <w:footnoteReference w:id="3"/>
      </w:r>
      <w:r w:rsidRPr="00295DAB">
        <w:rPr>
          <w:szCs w:val="26"/>
        </w:rPr>
        <w:t xml:space="preserve">  </w:t>
      </w:r>
    </w:p>
    <w:p w14:paraId="32AA80D6" w14:textId="77777777" w:rsidR="007F49BF" w:rsidRPr="00295DAB" w:rsidRDefault="00590CB4" w:rsidP="007F49BF">
      <w:pPr>
        <w:ind w:firstLine="720"/>
        <w:rPr>
          <w:szCs w:val="26"/>
        </w:rPr>
      </w:pPr>
      <w:r>
        <w:rPr>
          <w:szCs w:val="26"/>
        </w:rPr>
        <w:t>T</w:t>
      </w:r>
      <w:r w:rsidRPr="00295DAB">
        <w:rPr>
          <w:szCs w:val="26"/>
        </w:rPr>
        <w:t>he Court of Appeal in this case believed the logic of the exclusive prescriptive easement cases equally applicable to implied easement cases</w:t>
      </w:r>
      <w:r>
        <w:rPr>
          <w:szCs w:val="26"/>
        </w:rPr>
        <w:t>.  W</w:t>
      </w:r>
      <w:r w:rsidR="00AA4BF2">
        <w:rPr>
          <w:szCs w:val="26"/>
        </w:rPr>
        <w:t>e are not convinced</w:t>
      </w:r>
      <w:r w:rsidRPr="00295DAB">
        <w:rPr>
          <w:szCs w:val="26"/>
        </w:rPr>
        <w:t xml:space="preserve">.  </w:t>
      </w:r>
      <w:r>
        <w:rPr>
          <w:szCs w:val="26"/>
        </w:rPr>
        <w:t xml:space="preserve">Prescriptive easement cases like </w:t>
      </w:r>
      <w:r>
        <w:rPr>
          <w:i/>
          <w:iCs/>
          <w:szCs w:val="26"/>
        </w:rPr>
        <w:t>Raab</w:t>
      </w:r>
      <w:r>
        <w:rPr>
          <w:szCs w:val="26"/>
        </w:rPr>
        <w:t xml:space="preserve"> and </w:t>
      </w:r>
      <w:r>
        <w:rPr>
          <w:i/>
          <w:iCs/>
          <w:szCs w:val="26"/>
        </w:rPr>
        <w:t>Hansen</w:t>
      </w:r>
      <w:r>
        <w:rPr>
          <w:szCs w:val="26"/>
        </w:rPr>
        <w:t xml:space="preserve"> are </w:t>
      </w:r>
      <w:r w:rsidRPr="00295DAB">
        <w:rPr>
          <w:szCs w:val="26"/>
        </w:rPr>
        <w:t xml:space="preserve">grounded in a concern for maintaining the integrity of the adverse possession statute and its demanding standard for the acquisition of another’s </w:t>
      </w:r>
      <w:r w:rsidRPr="00295DAB">
        <w:rPr>
          <w:szCs w:val="26"/>
        </w:rPr>
        <w:lastRenderedPageBreak/>
        <w:t>property through occupation.  (</w:t>
      </w:r>
      <w:r w:rsidRPr="00295DAB">
        <w:rPr>
          <w:i/>
          <w:iCs/>
          <w:szCs w:val="26"/>
        </w:rPr>
        <w:t>Hansen</w:t>
      </w:r>
      <w:r w:rsidRPr="00295DAB">
        <w:rPr>
          <w:szCs w:val="26"/>
        </w:rPr>
        <w:t xml:space="preserve">, </w:t>
      </w:r>
      <w:r w:rsidRPr="00295DAB">
        <w:rPr>
          <w:i/>
          <w:iCs/>
          <w:szCs w:val="26"/>
        </w:rPr>
        <w:t>supra</w:t>
      </w:r>
      <w:r w:rsidRPr="00295DAB">
        <w:rPr>
          <w:szCs w:val="26"/>
        </w:rPr>
        <w:t>, 22 Cal.App.</w:t>
      </w:r>
      <w:r w:rsidRPr="00295DAB">
        <w:rPr>
          <w:szCs w:val="26"/>
        </w:rPr>
        <w:t>5th</w:t>
      </w:r>
      <w:r w:rsidRPr="00295DAB">
        <w:t xml:space="preserve"> </w:t>
      </w:r>
      <w:r w:rsidRPr="00295DAB">
        <w:rPr>
          <w:szCs w:val="26"/>
        </w:rPr>
        <w:t xml:space="preserve">at p. 1036.)  But as </w:t>
      </w:r>
      <w:r w:rsidRPr="00295DAB">
        <w:rPr>
          <w:i/>
          <w:iCs/>
          <w:szCs w:val="26"/>
        </w:rPr>
        <w:t xml:space="preserve">Hansen </w:t>
      </w:r>
      <w:r w:rsidRPr="00295DAB">
        <w:rPr>
          <w:szCs w:val="26"/>
        </w:rPr>
        <w:t>itself recognized, not all easement claims raise the same concerns.  (</w:t>
      </w:r>
      <w:r w:rsidRPr="00295DAB">
        <w:rPr>
          <w:i/>
          <w:iCs/>
          <w:szCs w:val="26"/>
        </w:rPr>
        <w:t>Ibid</w:t>
      </w:r>
      <w:r w:rsidRPr="00295DAB">
        <w:rPr>
          <w:szCs w:val="26"/>
        </w:rPr>
        <w:t xml:space="preserve">.)  </w:t>
      </w:r>
      <w:r>
        <w:rPr>
          <w:i/>
          <w:iCs/>
          <w:szCs w:val="26"/>
        </w:rPr>
        <w:t xml:space="preserve">Hansen </w:t>
      </w:r>
      <w:r>
        <w:rPr>
          <w:szCs w:val="26"/>
        </w:rPr>
        <w:t xml:space="preserve">acknowledged that courts have permitted exclusive express easements, for instance.  </w:t>
      </w:r>
      <w:r w:rsidRPr="00295DAB">
        <w:rPr>
          <w:szCs w:val="26"/>
        </w:rPr>
        <w:t>(</w:t>
      </w:r>
      <w:r w:rsidRPr="00295DAB">
        <w:rPr>
          <w:i/>
          <w:iCs/>
          <w:szCs w:val="26"/>
        </w:rPr>
        <w:t>Id.</w:t>
      </w:r>
      <w:r w:rsidRPr="00295DAB">
        <w:rPr>
          <w:szCs w:val="26"/>
        </w:rPr>
        <w:t xml:space="preserve"> at p. 1035.)  </w:t>
      </w:r>
      <w:r>
        <w:rPr>
          <w:szCs w:val="26"/>
        </w:rPr>
        <w:t xml:space="preserve">But it explained </w:t>
      </w:r>
      <w:r w:rsidRPr="00295DAB">
        <w:rPr>
          <w:szCs w:val="26"/>
        </w:rPr>
        <w:t>that, unlike in pre</w:t>
      </w:r>
      <w:r w:rsidRPr="00295DAB">
        <w:rPr>
          <w:szCs w:val="26"/>
        </w:rPr>
        <w:t>scriptive easement cases, express easement cases involve no danger that the claimant could shoehorn what is in reality a claim for adverse possession, which has nothing to do with the terms of a land transaction, into a cause of action for an express easem</w:t>
      </w:r>
      <w:r w:rsidRPr="00295DAB">
        <w:rPr>
          <w:szCs w:val="26"/>
        </w:rPr>
        <w:t>ent, which has everything to do with the terms of a land transaction and nothing to do with the claimant’s hostile use of the property.  (</w:t>
      </w:r>
      <w:r w:rsidRPr="00295DAB">
        <w:rPr>
          <w:i/>
          <w:iCs/>
          <w:szCs w:val="26"/>
        </w:rPr>
        <w:t xml:space="preserve">Id. </w:t>
      </w:r>
      <w:r w:rsidRPr="00295DAB">
        <w:rPr>
          <w:szCs w:val="26"/>
        </w:rPr>
        <w:t xml:space="preserve">at p. 1036.)  In other words, “permitting </w:t>
      </w:r>
      <w:r w:rsidRPr="00295DAB">
        <w:rPr>
          <w:i/>
          <w:iCs/>
          <w:szCs w:val="26"/>
        </w:rPr>
        <w:t xml:space="preserve">express </w:t>
      </w:r>
      <w:r w:rsidRPr="00295DAB">
        <w:rPr>
          <w:szCs w:val="26"/>
        </w:rPr>
        <w:t>exclusive easements does not create the same statutory nullifica</w:t>
      </w:r>
      <w:r w:rsidRPr="00295DAB">
        <w:rPr>
          <w:szCs w:val="26"/>
        </w:rPr>
        <w:t xml:space="preserve">tion issue that </w:t>
      </w:r>
      <w:r w:rsidRPr="00295DAB">
        <w:rPr>
          <w:i/>
          <w:iCs/>
          <w:szCs w:val="26"/>
        </w:rPr>
        <w:t xml:space="preserve">prescriptive </w:t>
      </w:r>
      <w:r w:rsidRPr="00295DAB">
        <w:rPr>
          <w:szCs w:val="26"/>
        </w:rPr>
        <w:t>exclusive easements do.”  (</w:t>
      </w:r>
      <w:r w:rsidRPr="00295DAB">
        <w:rPr>
          <w:i/>
          <w:iCs/>
          <w:szCs w:val="26"/>
        </w:rPr>
        <w:t>Ibid</w:t>
      </w:r>
      <w:r w:rsidRPr="00295DAB">
        <w:rPr>
          <w:szCs w:val="26"/>
        </w:rPr>
        <w:t>.)</w:t>
      </w:r>
    </w:p>
    <w:p w14:paraId="32AA80D7" w14:textId="77777777" w:rsidR="007F49BF" w:rsidRPr="00295DAB" w:rsidRDefault="00590CB4" w:rsidP="007F49BF">
      <w:pPr>
        <w:ind w:firstLine="720"/>
        <w:rPr>
          <w:szCs w:val="26"/>
        </w:rPr>
      </w:pPr>
      <w:r>
        <w:rPr>
          <w:szCs w:val="26"/>
        </w:rPr>
        <w:t xml:space="preserve">In this regard, </w:t>
      </w:r>
      <w:r w:rsidRPr="000023EC">
        <w:rPr>
          <w:szCs w:val="26"/>
        </w:rPr>
        <w:t>i</w:t>
      </w:r>
      <w:r w:rsidR="0009242E" w:rsidRPr="000023EC">
        <w:rPr>
          <w:szCs w:val="26"/>
        </w:rPr>
        <w:t>mplied</w:t>
      </w:r>
      <w:r w:rsidR="0009242E">
        <w:rPr>
          <w:szCs w:val="26"/>
        </w:rPr>
        <w:t xml:space="preserve"> easements</w:t>
      </w:r>
      <w:r w:rsidR="00397845">
        <w:rPr>
          <w:szCs w:val="26"/>
        </w:rPr>
        <w:t xml:space="preserve"> </w:t>
      </w:r>
      <w:r>
        <w:rPr>
          <w:szCs w:val="26"/>
        </w:rPr>
        <w:t xml:space="preserve">are </w:t>
      </w:r>
      <w:r w:rsidR="00397845">
        <w:rPr>
          <w:szCs w:val="26"/>
        </w:rPr>
        <w:t>similar</w:t>
      </w:r>
      <w:r>
        <w:rPr>
          <w:szCs w:val="26"/>
        </w:rPr>
        <w:t xml:space="preserve"> to express easements</w:t>
      </w:r>
      <w:r w:rsidR="009E7F4B">
        <w:rPr>
          <w:szCs w:val="26"/>
        </w:rPr>
        <w:t>; to recognize an implied easement creates no</w:t>
      </w:r>
      <w:r w:rsidR="002E3EEE">
        <w:rPr>
          <w:szCs w:val="26"/>
        </w:rPr>
        <w:t>ne of the</w:t>
      </w:r>
      <w:r w:rsidR="009E7F4B">
        <w:rPr>
          <w:szCs w:val="26"/>
        </w:rPr>
        <w:t xml:space="preserve"> statutory nullification concerns</w:t>
      </w:r>
      <w:r w:rsidR="002E3EEE">
        <w:rPr>
          <w:szCs w:val="26"/>
        </w:rPr>
        <w:t xml:space="preserve"> underlying the </w:t>
      </w:r>
      <w:r w:rsidR="002E3EEE">
        <w:rPr>
          <w:i/>
          <w:iCs/>
          <w:szCs w:val="26"/>
        </w:rPr>
        <w:t>Raab</w:t>
      </w:r>
      <w:r w:rsidR="002E3EEE">
        <w:rPr>
          <w:szCs w:val="26"/>
        </w:rPr>
        <w:t xml:space="preserve"> line of cases</w:t>
      </w:r>
      <w:r w:rsidRPr="00295DAB">
        <w:rPr>
          <w:szCs w:val="26"/>
        </w:rPr>
        <w:t xml:space="preserve">.  To </w:t>
      </w:r>
      <w:r w:rsidRPr="00295DAB">
        <w:rPr>
          <w:szCs w:val="26"/>
        </w:rPr>
        <w:t>establish the existence of an implied easement, a plaintiff must allege and prove a specific set of circumstances surrounding a particular land transaction:  that a common owner of property conveyed a portion of that property to another, that the parties t</w:t>
      </w:r>
      <w:r w:rsidRPr="00295DAB">
        <w:rPr>
          <w:szCs w:val="26"/>
        </w:rPr>
        <w:t>o the transaction must have intended to maintain the benefits and burdens between the newly divided estates after the separation of title, and that the resulting easement was reasonably necessary to the dominant estate.  (See 6 Miller &amp; Starr, Cal. Real Es</w:t>
      </w:r>
      <w:r w:rsidRPr="00295DAB">
        <w:rPr>
          <w:szCs w:val="26"/>
        </w:rPr>
        <w:t xml:space="preserve">tate, </w:t>
      </w:r>
      <w:r w:rsidRPr="00295DAB">
        <w:rPr>
          <w:i/>
          <w:iCs/>
          <w:szCs w:val="26"/>
        </w:rPr>
        <w:t>supra</w:t>
      </w:r>
      <w:r w:rsidRPr="00295DAB">
        <w:rPr>
          <w:szCs w:val="26"/>
        </w:rPr>
        <w:t xml:space="preserve">, § 15:20, pp. 15-97–15-102; accord, </w:t>
      </w:r>
      <w:r w:rsidRPr="00295DAB">
        <w:rPr>
          <w:i/>
          <w:iCs/>
          <w:szCs w:val="26"/>
        </w:rPr>
        <w:t>Thorstrom</w:t>
      </w:r>
      <w:r w:rsidRPr="00295DAB">
        <w:rPr>
          <w:szCs w:val="26"/>
        </w:rPr>
        <w:t xml:space="preserve">, </w:t>
      </w:r>
      <w:r w:rsidRPr="00295DAB">
        <w:rPr>
          <w:i/>
          <w:iCs/>
          <w:szCs w:val="26"/>
        </w:rPr>
        <w:t>supra</w:t>
      </w:r>
      <w:r w:rsidRPr="00295DAB">
        <w:rPr>
          <w:szCs w:val="26"/>
        </w:rPr>
        <w:t>, 196 Cal.App.4th at p. 1420.)  Those circumstances bear little resemblance to the elements of adverse possession, which, again, do</w:t>
      </w:r>
      <w:r w:rsidR="00AA1B0A">
        <w:rPr>
          <w:szCs w:val="26"/>
        </w:rPr>
        <w:t>es</w:t>
      </w:r>
      <w:r w:rsidRPr="00295DAB">
        <w:rPr>
          <w:szCs w:val="26"/>
        </w:rPr>
        <w:t xml:space="preserve"> not concern the terms (</w:t>
      </w:r>
      <w:r>
        <w:rPr>
          <w:szCs w:val="26"/>
        </w:rPr>
        <w:t xml:space="preserve">either </w:t>
      </w:r>
      <w:r w:rsidRPr="00295DAB">
        <w:rPr>
          <w:szCs w:val="26"/>
        </w:rPr>
        <w:t>express or implied) of a lan</w:t>
      </w:r>
      <w:r w:rsidRPr="00295DAB">
        <w:rPr>
          <w:szCs w:val="26"/>
        </w:rPr>
        <w:t xml:space="preserve">d transaction.  For </w:t>
      </w:r>
      <w:r w:rsidRPr="00295DAB">
        <w:rPr>
          <w:szCs w:val="26"/>
        </w:rPr>
        <w:lastRenderedPageBreak/>
        <w:t>that reason, there is little reason to fear that claimants might seek an implied easement merely as a means of circumventing the statutory tax requirement or some other adverse possession element.  Thus, while it may be necessary to pro</w:t>
      </w:r>
      <w:r w:rsidRPr="00295DAB">
        <w:rPr>
          <w:szCs w:val="26"/>
        </w:rPr>
        <w:t xml:space="preserve">hibit courts from recognizing prescriptive easements that effectively exclude the property owner from the easement area, the same is not true in express or implied easement cases.  (Cf. </w:t>
      </w:r>
      <w:r w:rsidRPr="00295DAB">
        <w:rPr>
          <w:i/>
          <w:iCs/>
          <w:szCs w:val="26"/>
        </w:rPr>
        <w:t>Hirshfield</w:t>
      </w:r>
      <w:r w:rsidRPr="00295DAB">
        <w:rPr>
          <w:szCs w:val="26"/>
        </w:rPr>
        <w:t>,</w:t>
      </w:r>
      <w:r w:rsidRPr="00295DAB">
        <w:rPr>
          <w:i/>
          <w:iCs/>
          <w:szCs w:val="26"/>
        </w:rPr>
        <w:t xml:space="preserve"> supra</w:t>
      </w:r>
      <w:r w:rsidRPr="00295DAB">
        <w:rPr>
          <w:szCs w:val="26"/>
        </w:rPr>
        <w:t>,</w:t>
      </w:r>
      <w:r w:rsidRPr="00295DAB">
        <w:rPr>
          <w:i/>
          <w:iCs/>
          <w:szCs w:val="26"/>
        </w:rPr>
        <w:t xml:space="preserve"> </w:t>
      </w:r>
      <w:r w:rsidRPr="00295DAB">
        <w:rPr>
          <w:szCs w:val="26"/>
        </w:rPr>
        <w:t>91 Cal.App.4th at pp. 768–769 [</w:t>
      </w:r>
      <w:r>
        <w:rPr>
          <w:szCs w:val="26"/>
        </w:rPr>
        <w:t>distinguishing equitable easements on the same ground]</w:t>
      </w:r>
      <w:r w:rsidRPr="00295DAB">
        <w:rPr>
          <w:szCs w:val="26"/>
        </w:rPr>
        <w:t>.)</w:t>
      </w:r>
    </w:p>
    <w:p w14:paraId="32AA80D8" w14:textId="77777777" w:rsidR="00AA1B0A" w:rsidRDefault="00590CB4" w:rsidP="00B24A90">
      <w:pPr>
        <w:ind w:firstLine="720"/>
        <w:rPr>
          <w:szCs w:val="26"/>
        </w:rPr>
      </w:pPr>
      <w:r>
        <w:rPr>
          <w:szCs w:val="26"/>
        </w:rPr>
        <w:t>Unlike in prescriptive easement cases, the court’s primary duty in cases involving easements created by grant or reservation</w:t>
      </w:r>
      <w:r w:rsidR="00827E7B">
        <w:rPr>
          <w:szCs w:val="26"/>
        </w:rPr>
        <w:t> </w:t>
      </w:r>
      <w:r>
        <w:rPr>
          <w:szCs w:val="26"/>
        </w:rPr>
        <w:t>— whether express or implied</w:t>
      </w:r>
      <w:r w:rsidR="00827E7B">
        <w:rPr>
          <w:szCs w:val="26"/>
        </w:rPr>
        <w:t> </w:t>
      </w:r>
      <w:r>
        <w:rPr>
          <w:szCs w:val="26"/>
        </w:rPr>
        <w:t>— is to give effect to the intent of the part</w:t>
      </w:r>
      <w:r>
        <w:rPr>
          <w:szCs w:val="26"/>
        </w:rPr>
        <w:t xml:space="preserve">ies to the relevant land transaction. </w:t>
      </w:r>
      <w:r w:rsidR="00CC2120" w:rsidRPr="00CC2120">
        <w:rPr>
          <w:szCs w:val="26"/>
        </w:rPr>
        <w:t xml:space="preserve">In cases involving express easements, at least, courts have long recognized this duty, even when following the parties’ intent produces unusually expansive rights of use.  As the Court of Appeal in this case acknowledged, courts have generally held that even when a written instrument does not </w:t>
      </w:r>
      <w:r w:rsidR="00711FC5">
        <w:rPr>
          <w:szCs w:val="26"/>
        </w:rPr>
        <w:t xml:space="preserve">explicitly </w:t>
      </w:r>
      <w:r w:rsidR="00CC2120" w:rsidRPr="00CC2120">
        <w:rPr>
          <w:szCs w:val="26"/>
        </w:rPr>
        <w:t>state that a granted easement is to be exclusive, courts may nevertheless recognize an exclusive easement where the</w:t>
      </w:r>
      <w:r w:rsidR="00711FC5">
        <w:rPr>
          <w:szCs w:val="26"/>
        </w:rPr>
        <w:t xml:space="preserve">re is </w:t>
      </w:r>
      <w:r w:rsidR="00CC2120" w:rsidRPr="00CC2120">
        <w:rPr>
          <w:szCs w:val="26"/>
        </w:rPr>
        <w:t xml:space="preserve">a clear indication of such an intention.  (See, e.g., </w:t>
      </w:r>
      <w:r w:rsidR="00CC2120" w:rsidRPr="00473F35">
        <w:rPr>
          <w:i/>
          <w:iCs/>
          <w:szCs w:val="26"/>
        </w:rPr>
        <w:t>Romero, supra</w:t>
      </w:r>
      <w:r w:rsidR="00CC2120" w:rsidRPr="00CC2120">
        <w:rPr>
          <w:szCs w:val="26"/>
        </w:rPr>
        <w:t>, 78 Cal.App.5th at p.</w:t>
      </w:r>
      <w:r w:rsidR="00596F47">
        <w:rPr>
          <w:szCs w:val="26"/>
        </w:rPr>
        <w:t> </w:t>
      </w:r>
      <w:r w:rsidR="00CC2120" w:rsidRPr="00CC2120">
        <w:rPr>
          <w:szCs w:val="26"/>
        </w:rPr>
        <w:t>350</w:t>
      </w:r>
      <w:r w:rsidR="00A3226E">
        <w:rPr>
          <w:szCs w:val="26"/>
        </w:rPr>
        <w:t xml:space="preserve">; </w:t>
      </w:r>
      <w:r w:rsidR="001B0739" w:rsidRPr="00295DAB">
        <w:rPr>
          <w:szCs w:val="26"/>
        </w:rPr>
        <w:t xml:space="preserve">cf. </w:t>
      </w:r>
      <w:r w:rsidR="001B0739" w:rsidRPr="00295DAB">
        <w:rPr>
          <w:i/>
          <w:iCs/>
          <w:szCs w:val="26"/>
        </w:rPr>
        <w:t xml:space="preserve">Pasadena v. California-Michigan etc. Co. </w:t>
      </w:r>
      <w:r w:rsidR="001B0739" w:rsidRPr="00295DAB">
        <w:rPr>
          <w:szCs w:val="26"/>
        </w:rPr>
        <w:t>(1941) 17 Cal.2d 576, 578–579 [case involving an express easement not</w:t>
      </w:r>
      <w:r w:rsidR="00F40CA3">
        <w:rPr>
          <w:szCs w:val="26"/>
        </w:rPr>
        <w:t>ed</w:t>
      </w:r>
      <w:r w:rsidR="001B0739" w:rsidRPr="00295DAB">
        <w:rPr>
          <w:szCs w:val="26"/>
        </w:rPr>
        <w:t xml:space="preserve"> that “[n]o intention to convey such a complete interest [</w:t>
      </w:r>
      <w:r w:rsidR="001B0739">
        <w:rPr>
          <w:szCs w:val="26"/>
        </w:rPr>
        <w:t xml:space="preserve">that would permit the dominant tenement </w:t>
      </w:r>
      <w:r w:rsidR="005B205A">
        <w:rPr>
          <w:szCs w:val="26"/>
        </w:rPr>
        <w:t xml:space="preserve">owner </w:t>
      </w:r>
      <w:r w:rsidR="001B0739">
        <w:rPr>
          <w:szCs w:val="26"/>
        </w:rPr>
        <w:t>to exclude others from the easement area</w:t>
      </w:r>
      <w:r w:rsidR="001B0739" w:rsidRPr="00295DAB">
        <w:rPr>
          <w:szCs w:val="26"/>
        </w:rPr>
        <w:t>] can be imputed to the owner of the servient tenement in the absence of a clear indication of such an intention”]</w:t>
      </w:r>
      <w:r w:rsidR="00CC2120" w:rsidRPr="00CC2120">
        <w:rPr>
          <w:szCs w:val="26"/>
        </w:rPr>
        <w:t xml:space="preserve">.)  </w:t>
      </w:r>
      <w:r>
        <w:rPr>
          <w:szCs w:val="26"/>
        </w:rPr>
        <w:t xml:space="preserve"> </w:t>
      </w:r>
    </w:p>
    <w:p w14:paraId="32AA80D9" w14:textId="77777777" w:rsidR="00B24A90" w:rsidRPr="00295DAB" w:rsidRDefault="00590CB4" w:rsidP="00B24A90">
      <w:pPr>
        <w:ind w:firstLine="720"/>
        <w:rPr>
          <w:szCs w:val="26"/>
        </w:rPr>
      </w:pPr>
      <w:r w:rsidRPr="00295DAB">
        <w:rPr>
          <w:szCs w:val="26"/>
        </w:rPr>
        <w:t xml:space="preserve">In </w:t>
      </w:r>
      <w:r w:rsidRPr="00295DAB">
        <w:rPr>
          <w:i/>
          <w:iCs/>
          <w:szCs w:val="26"/>
        </w:rPr>
        <w:t>Gray</w:t>
      </w:r>
      <w:r w:rsidR="00473F35">
        <w:rPr>
          <w:i/>
          <w:iCs/>
          <w:szCs w:val="26"/>
        </w:rPr>
        <w:t xml:space="preserve"> v. McCormick</w:t>
      </w:r>
      <w:r w:rsidRPr="00295DAB">
        <w:rPr>
          <w:szCs w:val="26"/>
        </w:rPr>
        <w:t xml:space="preserve">, </w:t>
      </w:r>
      <w:r w:rsidR="004D0ADC" w:rsidRPr="00295DAB">
        <w:rPr>
          <w:i/>
          <w:iCs/>
          <w:szCs w:val="26"/>
        </w:rPr>
        <w:t>supra</w:t>
      </w:r>
      <w:r w:rsidR="004D0ADC" w:rsidRPr="00295DAB">
        <w:rPr>
          <w:szCs w:val="26"/>
        </w:rPr>
        <w:t>, 167 Cal.App.4th at p</w:t>
      </w:r>
      <w:r w:rsidR="000A3B1B">
        <w:rPr>
          <w:szCs w:val="26"/>
        </w:rPr>
        <w:t>age</w:t>
      </w:r>
      <w:r w:rsidR="004D0ADC" w:rsidRPr="00295DAB">
        <w:rPr>
          <w:szCs w:val="26"/>
        </w:rPr>
        <w:t> 1022</w:t>
      </w:r>
      <w:r w:rsidR="004D0ADC">
        <w:rPr>
          <w:szCs w:val="26"/>
        </w:rPr>
        <w:t xml:space="preserve">, </w:t>
      </w:r>
      <w:r w:rsidRPr="00295DAB">
        <w:rPr>
          <w:szCs w:val="26"/>
        </w:rPr>
        <w:t xml:space="preserve">for example, the </w:t>
      </w:r>
      <w:r w:rsidRPr="00295DAB">
        <w:rPr>
          <w:szCs w:val="26"/>
        </w:rPr>
        <w:t xml:space="preserve">court enforced the express terms of a residential development’s Master Declaration of Covenants, </w:t>
      </w:r>
      <w:r w:rsidRPr="00295DAB">
        <w:rPr>
          <w:szCs w:val="26"/>
        </w:rPr>
        <w:lastRenderedPageBreak/>
        <w:t>Conditions, Restrictions and Reservation of Easements (Master CC&amp;Rs), which granted an “exclusive easement” to Lot 6, the dominant tenement, over a 16-foot-wid</w:t>
      </w:r>
      <w:r w:rsidRPr="00295DAB">
        <w:rPr>
          <w:szCs w:val="26"/>
        </w:rPr>
        <w:t>e by 90-foot-long strip of land on Lot 3, the servient tenement.</w:t>
      </w:r>
      <w:r w:rsidR="00903E39">
        <w:rPr>
          <w:szCs w:val="26"/>
        </w:rPr>
        <w:t xml:space="preserve">  </w:t>
      </w:r>
      <w:r w:rsidRPr="00295DAB">
        <w:rPr>
          <w:szCs w:val="26"/>
        </w:rPr>
        <w:t>The dominant tenement owners sought to improve the strip of land with a driveway, perimeter walls, and landscaping, and to prohibit the servient tenement owners from making any use of the ea</w:t>
      </w:r>
      <w:r w:rsidRPr="00295DAB">
        <w:rPr>
          <w:szCs w:val="26"/>
        </w:rPr>
        <w:t>sement area.  (</w:t>
      </w:r>
      <w:r w:rsidRPr="00295DAB">
        <w:rPr>
          <w:i/>
          <w:iCs/>
          <w:szCs w:val="26"/>
        </w:rPr>
        <w:t>Id.</w:t>
      </w:r>
      <w:r w:rsidRPr="00295DAB">
        <w:rPr>
          <w:szCs w:val="26"/>
        </w:rPr>
        <w:t xml:space="preserve"> at p. 1023.)  The servient tenement owners conceded that the Master CC&amp;Rs expressly created an easement, but they objected to the dominant tenement owners’ characterization of its scope.  Specifically, they argued that the label “exclusi</w:t>
      </w:r>
      <w:r w:rsidRPr="00295DAB">
        <w:rPr>
          <w:szCs w:val="26"/>
        </w:rPr>
        <w:t>ve” did not evince an intent to exclude them from their own property.  (</w:t>
      </w:r>
      <w:r w:rsidRPr="00295DAB">
        <w:rPr>
          <w:i/>
          <w:iCs/>
          <w:szCs w:val="26"/>
        </w:rPr>
        <w:t>Id.</w:t>
      </w:r>
      <w:r w:rsidRPr="00295DAB">
        <w:rPr>
          <w:szCs w:val="26"/>
        </w:rPr>
        <w:t xml:space="preserve"> at p. 1025.)  A contrary interpretation, they asserted, would violate the law by effectively “grant[ing] the owners of the dominant tenement fee ownership over the easement area.” </w:t>
      </w:r>
      <w:r w:rsidRPr="00295DAB">
        <w:rPr>
          <w:szCs w:val="26"/>
        </w:rPr>
        <w:t xml:space="preserve"> (</w:t>
      </w:r>
      <w:r w:rsidRPr="00295DAB">
        <w:rPr>
          <w:i/>
          <w:iCs/>
          <w:szCs w:val="26"/>
        </w:rPr>
        <w:t xml:space="preserve">Id. </w:t>
      </w:r>
      <w:r w:rsidRPr="00295DAB">
        <w:rPr>
          <w:szCs w:val="26"/>
        </w:rPr>
        <w:t xml:space="preserve">at p. 1029.)  The appellate court rejected the argument.  The court reasoned that the easement provision “repeatedly uses language of exclusivity,” and that any uncertainty about the meaning of that language was dispelled by the surrounding context, </w:t>
      </w:r>
      <w:r w:rsidRPr="00295DAB">
        <w:rPr>
          <w:szCs w:val="26"/>
        </w:rPr>
        <w:t>which imposed on the dominant tenement owners the costs of improving and maintaining the easement area and required them to indemnify the servient tenement owners for any liability resulting from the exclusive use of the easement.  (</w:t>
      </w:r>
      <w:r w:rsidRPr="00295DAB">
        <w:rPr>
          <w:i/>
          <w:iCs/>
          <w:szCs w:val="26"/>
        </w:rPr>
        <w:t>Id.</w:t>
      </w:r>
      <w:r w:rsidRPr="00295DAB">
        <w:rPr>
          <w:szCs w:val="26"/>
        </w:rPr>
        <w:t xml:space="preserve"> at p. 1026.)  </w:t>
      </w:r>
    </w:p>
    <w:p w14:paraId="32AA80DA" w14:textId="77777777" w:rsidR="004C5D22" w:rsidRDefault="00590CB4" w:rsidP="00B24A90">
      <w:pPr>
        <w:ind w:firstLine="720"/>
        <w:rPr>
          <w:szCs w:val="26"/>
        </w:rPr>
      </w:pPr>
      <w:r w:rsidRPr="00295DAB">
        <w:rPr>
          <w:szCs w:val="26"/>
        </w:rPr>
        <w:t>Simi</w:t>
      </w:r>
      <w:r w:rsidRPr="00295DAB">
        <w:rPr>
          <w:szCs w:val="26"/>
        </w:rPr>
        <w:t xml:space="preserve">larly, in </w:t>
      </w:r>
      <w:r w:rsidRPr="00295DAB">
        <w:rPr>
          <w:i/>
          <w:iCs/>
          <w:szCs w:val="26"/>
        </w:rPr>
        <w:t>Blackmore</w:t>
      </w:r>
      <w:r w:rsidRPr="00295DAB">
        <w:rPr>
          <w:szCs w:val="26"/>
        </w:rPr>
        <w:t xml:space="preserve">, </w:t>
      </w:r>
      <w:r w:rsidRPr="00295DAB">
        <w:rPr>
          <w:i/>
          <w:iCs/>
          <w:szCs w:val="26"/>
        </w:rPr>
        <w:t>supra</w:t>
      </w:r>
      <w:r w:rsidRPr="00295DAB">
        <w:rPr>
          <w:szCs w:val="26"/>
        </w:rPr>
        <w:t>, 150 Cal.App.4th at p</w:t>
      </w:r>
      <w:r w:rsidR="00827E7B">
        <w:rPr>
          <w:szCs w:val="26"/>
        </w:rPr>
        <w:t>age</w:t>
      </w:r>
      <w:r w:rsidRPr="00295DAB">
        <w:rPr>
          <w:szCs w:val="26"/>
        </w:rPr>
        <w:t> 1597</w:t>
      </w:r>
      <w:r>
        <w:rPr>
          <w:szCs w:val="26"/>
        </w:rPr>
        <w:t xml:space="preserve">, </w:t>
      </w:r>
      <w:r w:rsidRPr="00295DAB">
        <w:rPr>
          <w:szCs w:val="26"/>
        </w:rPr>
        <w:t xml:space="preserve">the court construed an express easement “for ‘parking and garage purposes’ over a defined area” on the servient tenement, holding that the dominant tenement </w:t>
      </w:r>
      <w:r w:rsidR="00110DE5">
        <w:rPr>
          <w:szCs w:val="26"/>
        </w:rPr>
        <w:t xml:space="preserve">owner </w:t>
      </w:r>
      <w:r w:rsidRPr="00295DAB">
        <w:rPr>
          <w:szCs w:val="26"/>
        </w:rPr>
        <w:t>could construct a garage on the eas</w:t>
      </w:r>
      <w:r w:rsidRPr="00295DAB">
        <w:rPr>
          <w:szCs w:val="26"/>
        </w:rPr>
        <w:t xml:space="preserve">ement area for </w:t>
      </w:r>
      <w:r w:rsidR="00CB2725">
        <w:rPr>
          <w:szCs w:val="26"/>
        </w:rPr>
        <w:t>the owner’s</w:t>
      </w:r>
      <w:r w:rsidR="00CB2725" w:rsidRPr="00295DAB">
        <w:rPr>
          <w:szCs w:val="26"/>
        </w:rPr>
        <w:t xml:space="preserve"> </w:t>
      </w:r>
      <w:r w:rsidRPr="00295DAB">
        <w:rPr>
          <w:szCs w:val="26"/>
        </w:rPr>
        <w:t xml:space="preserve">exclusive use.  The court concluded that “exclusive use of the garage” was “ ‘a necessary incident’ of the easement,” because “a </w:t>
      </w:r>
      <w:r w:rsidRPr="00295DAB">
        <w:rPr>
          <w:szCs w:val="26"/>
        </w:rPr>
        <w:lastRenderedPageBreak/>
        <w:t xml:space="preserve">shared garage would generate disputes about allocation of parking spaces, security, and maintenance </w:t>
      </w:r>
      <w:r w:rsidRPr="00295DAB">
        <w:rPr>
          <w:szCs w:val="26"/>
        </w:rPr>
        <w:t>costs.”  (</w:t>
      </w:r>
      <w:r w:rsidRPr="00295DAB">
        <w:rPr>
          <w:i/>
          <w:iCs/>
          <w:szCs w:val="26"/>
        </w:rPr>
        <w:t>Id.</w:t>
      </w:r>
      <w:r w:rsidRPr="00295DAB">
        <w:rPr>
          <w:szCs w:val="26"/>
        </w:rPr>
        <w:t xml:space="preserve"> at p. 1599.)  </w:t>
      </w:r>
    </w:p>
    <w:p w14:paraId="32AA80DB" w14:textId="77777777" w:rsidR="00B24A90" w:rsidRPr="00295DAB" w:rsidRDefault="00590CB4" w:rsidP="00090187">
      <w:pPr>
        <w:ind w:firstLine="720"/>
        <w:rPr>
          <w:szCs w:val="26"/>
        </w:rPr>
      </w:pPr>
      <w:r>
        <w:rPr>
          <w:szCs w:val="26"/>
        </w:rPr>
        <w:t xml:space="preserve">In such cases, </w:t>
      </w:r>
      <w:r w:rsidRPr="00295DAB">
        <w:rPr>
          <w:szCs w:val="26"/>
        </w:rPr>
        <w:t xml:space="preserve">California appellate courts have recognized that </w:t>
      </w:r>
      <w:r>
        <w:rPr>
          <w:szCs w:val="26"/>
        </w:rPr>
        <w:t>exclusive</w:t>
      </w:r>
      <w:r w:rsidRPr="00295DAB">
        <w:rPr>
          <w:szCs w:val="26"/>
        </w:rPr>
        <w:t xml:space="preserve"> easements, while rare, can exist where the </w:t>
      </w:r>
      <w:r>
        <w:rPr>
          <w:szCs w:val="26"/>
        </w:rPr>
        <w:t xml:space="preserve">parties’ </w:t>
      </w:r>
      <w:r w:rsidRPr="00295DAB">
        <w:rPr>
          <w:szCs w:val="26"/>
        </w:rPr>
        <w:t xml:space="preserve">intent is sufficiently clear </w:t>
      </w:r>
      <w:r>
        <w:rPr>
          <w:szCs w:val="26"/>
        </w:rPr>
        <w:t xml:space="preserve">in </w:t>
      </w:r>
      <w:r w:rsidRPr="00295DAB">
        <w:rPr>
          <w:szCs w:val="26"/>
        </w:rPr>
        <w:t xml:space="preserve">the written instrument creating the easement.  (See also </w:t>
      </w:r>
      <w:r w:rsidRPr="00295DAB">
        <w:rPr>
          <w:i/>
          <w:iCs/>
          <w:szCs w:val="26"/>
        </w:rPr>
        <w:t>Heath v. Ket</w:t>
      </w:r>
      <w:r w:rsidRPr="00295DAB">
        <w:rPr>
          <w:i/>
          <w:iCs/>
          <w:szCs w:val="26"/>
        </w:rPr>
        <w:t xml:space="preserve">tenhofen </w:t>
      </w:r>
      <w:r w:rsidRPr="00295DAB">
        <w:rPr>
          <w:szCs w:val="26"/>
        </w:rPr>
        <w:t xml:space="preserve">(1965) 236 Cal.App.2d 197, 206 [dominant tenement owner entitled to exclusive use of 10-foot-wide strip within easement area for parking].)  </w:t>
      </w:r>
      <w:r w:rsidR="00090187">
        <w:rPr>
          <w:szCs w:val="26"/>
        </w:rPr>
        <w:t>I</w:t>
      </w:r>
      <w:r w:rsidRPr="00295DAB">
        <w:rPr>
          <w:szCs w:val="26"/>
        </w:rPr>
        <w:t>mplied easement cases are not fundamentally dissimilar.  Just as in cases where a court must interpret th</w:t>
      </w:r>
      <w:r w:rsidRPr="00295DAB">
        <w:rPr>
          <w:szCs w:val="26"/>
        </w:rPr>
        <w:t>e terms of a written conveyance, the court’s duty in an implied easement case is to give effect to the intent of the parties.  (</w:t>
      </w:r>
      <w:r w:rsidRPr="00295DAB">
        <w:rPr>
          <w:i/>
          <w:iCs/>
          <w:szCs w:val="26"/>
        </w:rPr>
        <w:t>Fristoe</w:t>
      </w:r>
      <w:r w:rsidRPr="00295DAB">
        <w:rPr>
          <w:szCs w:val="26"/>
        </w:rPr>
        <w:t xml:space="preserve">, </w:t>
      </w:r>
      <w:r w:rsidRPr="00295DAB">
        <w:rPr>
          <w:i/>
          <w:iCs/>
          <w:szCs w:val="26"/>
        </w:rPr>
        <w:t>supra</w:t>
      </w:r>
      <w:r w:rsidRPr="00295DAB">
        <w:rPr>
          <w:szCs w:val="26"/>
        </w:rPr>
        <w:t xml:space="preserve">, 35 Cal.2d at p. 8.)  As we explained in </w:t>
      </w:r>
      <w:r w:rsidRPr="00295DAB">
        <w:rPr>
          <w:i/>
          <w:iCs/>
          <w:szCs w:val="26"/>
        </w:rPr>
        <w:t>Fristoe</w:t>
      </w:r>
      <w:r w:rsidRPr="00295DAB">
        <w:rPr>
          <w:szCs w:val="26"/>
        </w:rPr>
        <w:t>, this principle accords with the overarching instruction in Civi</w:t>
      </w:r>
      <w:r w:rsidRPr="00295DAB">
        <w:rPr>
          <w:szCs w:val="26"/>
        </w:rPr>
        <w:t>l Code section 806, that “ ‘the extent of a servitude is determined by the terms of the grant</w:t>
      </w:r>
      <w:r w:rsidR="006C1333">
        <w:rPr>
          <w:szCs w:val="26"/>
        </w:rPr>
        <w:t>.</w:t>
      </w:r>
      <w:r w:rsidRPr="00295DAB">
        <w:rPr>
          <w:szCs w:val="26"/>
        </w:rPr>
        <w:t>’ ”</w:t>
      </w:r>
      <w:r w:rsidR="006C1333">
        <w:rPr>
          <w:szCs w:val="26"/>
        </w:rPr>
        <w:t xml:space="preserve">  (</w:t>
      </w:r>
      <w:r w:rsidR="006C1333">
        <w:rPr>
          <w:i/>
          <w:iCs/>
          <w:szCs w:val="26"/>
        </w:rPr>
        <w:t>Fristoe</w:t>
      </w:r>
      <w:r w:rsidR="006C1333">
        <w:rPr>
          <w:szCs w:val="26"/>
        </w:rPr>
        <w:t>, at p.</w:t>
      </w:r>
      <w:r w:rsidR="00F034FC">
        <w:rPr>
          <w:szCs w:val="26"/>
        </w:rPr>
        <w:t> </w:t>
      </w:r>
      <w:r w:rsidR="006C1333">
        <w:rPr>
          <w:szCs w:val="26"/>
        </w:rPr>
        <w:t xml:space="preserve">9.) </w:t>
      </w:r>
      <w:r w:rsidRPr="00295DAB">
        <w:rPr>
          <w:szCs w:val="26"/>
        </w:rPr>
        <w:t xml:space="preserve"> </w:t>
      </w:r>
      <w:r w:rsidR="00FE1202">
        <w:rPr>
          <w:szCs w:val="26"/>
        </w:rPr>
        <w:t xml:space="preserve">We observed:  </w:t>
      </w:r>
      <w:r w:rsidRPr="00295DAB">
        <w:rPr>
          <w:szCs w:val="26"/>
        </w:rPr>
        <w:t>“Under this section . . .</w:t>
      </w:r>
      <w:r w:rsidR="006C1333">
        <w:rPr>
          <w:szCs w:val="26"/>
        </w:rPr>
        <w:t> ,</w:t>
      </w:r>
      <w:r w:rsidRPr="00295DAB">
        <w:rPr>
          <w:szCs w:val="26"/>
        </w:rPr>
        <w:t xml:space="preserve"> the controlling factor is the terms of the grant.  When the grant is implied, its terms must be inferred from all of the circumstances of the case.  The effect of section 806 is to establish intent as the criterion, and this is in accord with the rational</w:t>
      </w:r>
      <w:r w:rsidRPr="00295DAB">
        <w:rPr>
          <w:szCs w:val="26"/>
        </w:rPr>
        <w:t>e of the rules governing easements by implication.”  (</w:t>
      </w:r>
      <w:r w:rsidR="006E2D4A">
        <w:rPr>
          <w:i/>
          <w:iCs/>
          <w:szCs w:val="26"/>
        </w:rPr>
        <w:t>Ibid</w:t>
      </w:r>
      <w:r w:rsidR="006E2D4A" w:rsidRPr="008C1787">
        <w:rPr>
          <w:i/>
        </w:rPr>
        <w:t>.</w:t>
      </w:r>
      <w:r w:rsidRPr="00295DAB">
        <w:rPr>
          <w:szCs w:val="26"/>
        </w:rPr>
        <w:t>)</w:t>
      </w:r>
      <w:r w:rsidRPr="00295DAB">
        <w:rPr>
          <w:i/>
          <w:iCs/>
          <w:szCs w:val="26"/>
        </w:rPr>
        <w:t xml:space="preserve">  </w:t>
      </w:r>
      <w:r w:rsidR="0067124C">
        <w:rPr>
          <w:szCs w:val="26"/>
        </w:rPr>
        <w:t xml:space="preserve">Nothing in the language of the statutes suggests </w:t>
      </w:r>
      <w:r w:rsidR="0024451F">
        <w:rPr>
          <w:szCs w:val="26"/>
        </w:rPr>
        <w:t xml:space="preserve">a limitation to this principle whereby the parties must </w:t>
      </w:r>
      <w:r w:rsidR="0067124C">
        <w:rPr>
          <w:szCs w:val="26"/>
        </w:rPr>
        <w:t>preserve a certain quantum of practical uses for the owner.</w:t>
      </w:r>
      <w:r w:rsidR="00827E7B">
        <w:rPr>
          <w:szCs w:val="26"/>
        </w:rPr>
        <w:t xml:space="preserve">  (</w:t>
      </w:r>
      <w:r w:rsidR="0067124C">
        <w:rPr>
          <w:szCs w:val="26"/>
        </w:rPr>
        <w:t>See Civ. Code, §§</w:t>
      </w:r>
      <w:r w:rsidR="00827E7B">
        <w:rPr>
          <w:szCs w:val="26"/>
        </w:rPr>
        <w:t> </w:t>
      </w:r>
      <w:r w:rsidR="0067124C">
        <w:rPr>
          <w:szCs w:val="26"/>
        </w:rPr>
        <w:t xml:space="preserve">806, 1104.) </w:t>
      </w:r>
      <w:r w:rsidR="006B283D">
        <w:rPr>
          <w:szCs w:val="26"/>
        </w:rPr>
        <w:t xml:space="preserve"> </w:t>
      </w:r>
      <w:r>
        <w:rPr>
          <w:szCs w:val="26"/>
        </w:rPr>
        <w:t>T</w:t>
      </w:r>
      <w:r w:rsidRPr="00295DAB">
        <w:rPr>
          <w:szCs w:val="26"/>
        </w:rPr>
        <w:t>he scope of the burden imposed on the servient tenement is determined by the parties’ intent (</w:t>
      </w:r>
      <w:r w:rsidRPr="00295DAB">
        <w:rPr>
          <w:i/>
          <w:iCs/>
          <w:szCs w:val="26"/>
        </w:rPr>
        <w:t>ibid.</w:t>
      </w:r>
      <w:r w:rsidRPr="00295DAB">
        <w:rPr>
          <w:szCs w:val="26"/>
        </w:rPr>
        <w:t>), even if that intent was to create a privilege to use the property in a way that effectively precludes the property owners from making their own use o</w:t>
      </w:r>
      <w:r w:rsidRPr="00295DAB">
        <w:rPr>
          <w:szCs w:val="26"/>
        </w:rPr>
        <w:t>f the easement area</w:t>
      </w:r>
      <w:r>
        <w:rPr>
          <w:szCs w:val="26"/>
        </w:rPr>
        <w:t>.</w:t>
      </w:r>
    </w:p>
    <w:p w14:paraId="32AA80DC" w14:textId="77777777" w:rsidR="00B24A90" w:rsidRPr="00295DAB" w:rsidRDefault="00590CB4" w:rsidP="00B24A90">
      <w:pPr>
        <w:ind w:firstLine="720"/>
        <w:rPr>
          <w:szCs w:val="26"/>
        </w:rPr>
      </w:pPr>
      <w:r w:rsidRPr="00295DAB">
        <w:rPr>
          <w:szCs w:val="26"/>
        </w:rPr>
        <w:lastRenderedPageBreak/>
        <w:t>Although the parties have not cited, and we have not found, any cases directly addressing the question presented here</w:t>
      </w:r>
      <w:r w:rsidR="005E12D8">
        <w:rPr>
          <w:szCs w:val="26"/>
        </w:rPr>
        <w:t xml:space="preserve"> concerning implied easements</w:t>
      </w:r>
      <w:r w:rsidRPr="00295DAB">
        <w:rPr>
          <w:szCs w:val="26"/>
        </w:rPr>
        <w:t>,</w:t>
      </w:r>
      <w:r w:rsidR="00212130">
        <w:rPr>
          <w:szCs w:val="26"/>
        </w:rPr>
        <w:t xml:space="preserve"> </w:t>
      </w:r>
      <w:r w:rsidRPr="00295DAB">
        <w:rPr>
          <w:szCs w:val="26"/>
        </w:rPr>
        <w:t>California appellate courts have generally measured the scope of an implied easement by</w:t>
      </w:r>
      <w:r w:rsidRPr="00295DAB">
        <w:rPr>
          <w:szCs w:val="26"/>
        </w:rPr>
        <w:t xml:space="preserve"> following the intent of the parties, regardless of whether </w:t>
      </w:r>
      <w:r>
        <w:rPr>
          <w:szCs w:val="26"/>
        </w:rPr>
        <w:t xml:space="preserve">giving effect to that intended scope would mean </w:t>
      </w:r>
      <w:r w:rsidRPr="00295DAB">
        <w:rPr>
          <w:szCs w:val="26"/>
        </w:rPr>
        <w:t>preclud</w:t>
      </w:r>
      <w:r>
        <w:rPr>
          <w:szCs w:val="26"/>
        </w:rPr>
        <w:t>ing</w:t>
      </w:r>
      <w:r w:rsidRPr="00295DAB">
        <w:rPr>
          <w:szCs w:val="26"/>
        </w:rPr>
        <w:t xml:space="preserve"> the servient tenement </w:t>
      </w:r>
      <w:r w:rsidR="00110DE5">
        <w:rPr>
          <w:szCs w:val="26"/>
        </w:rPr>
        <w:t xml:space="preserve">owner </w:t>
      </w:r>
      <w:r w:rsidRPr="00295DAB">
        <w:rPr>
          <w:szCs w:val="26"/>
        </w:rPr>
        <w:t xml:space="preserve">from making </w:t>
      </w:r>
      <w:r>
        <w:rPr>
          <w:szCs w:val="26"/>
        </w:rPr>
        <w:t xml:space="preserve">most </w:t>
      </w:r>
      <w:r w:rsidRPr="00295DAB">
        <w:rPr>
          <w:szCs w:val="26"/>
        </w:rPr>
        <w:t>practical use</w:t>
      </w:r>
      <w:r>
        <w:rPr>
          <w:szCs w:val="26"/>
        </w:rPr>
        <w:t>s</w:t>
      </w:r>
      <w:r w:rsidRPr="00295DAB">
        <w:rPr>
          <w:szCs w:val="26"/>
        </w:rPr>
        <w:t xml:space="preserve"> of the land.</w:t>
      </w:r>
      <w:r>
        <w:rPr>
          <w:szCs w:val="26"/>
        </w:rPr>
        <w:t xml:space="preserve">  </w:t>
      </w:r>
      <w:r w:rsidRPr="00295DAB">
        <w:rPr>
          <w:szCs w:val="26"/>
        </w:rPr>
        <w:t xml:space="preserve">In </w:t>
      </w:r>
      <w:r w:rsidRPr="00295DAB">
        <w:rPr>
          <w:i/>
          <w:iCs/>
          <w:szCs w:val="26"/>
        </w:rPr>
        <w:t>Dixon v. Eastown Realty Co.</w:t>
      </w:r>
      <w:r w:rsidRPr="00295DAB">
        <w:rPr>
          <w:szCs w:val="26"/>
        </w:rPr>
        <w:t xml:space="preserve"> (1951) 105 Cal.App.2d 260, for e</w:t>
      </w:r>
      <w:r w:rsidRPr="00295DAB">
        <w:rPr>
          <w:szCs w:val="26"/>
        </w:rPr>
        <w:t>xample, the court recognized an implied easement over a small area of the plaintiffs’ land that contained an encroaching portion of the defendant’s garage, which effectively excluded the plaintiffs entirely from the disputed area.  (</w:t>
      </w:r>
      <w:r w:rsidRPr="00295DAB">
        <w:rPr>
          <w:i/>
          <w:iCs/>
          <w:szCs w:val="26"/>
        </w:rPr>
        <w:t>Id.</w:t>
      </w:r>
      <w:r w:rsidRPr="00295DAB">
        <w:rPr>
          <w:szCs w:val="26"/>
        </w:rPr>
        <w:t xml:space="preserve"> at pp. 263–264.)  L</w:t>
      </w:r>
      <w:r w:rsidRPr="00295DAB">
        <w:rPr>
          <w:szCs w:val="26"/>
        </w:rPr>
        <w:t xml:space="preserve">ikewise, in </w:t>
      </w:r>
      <w:r w:rsidRPr="00295DAB">
        <w:rPr>
          <w:i/>
          <w:iCs/>
          <w:szCs w:val="26"/>
        </w:rPr>
        <w:t>Zeller v. Browne</w:t>
      </w:r>
      <w:r w:rsidRPr="00295DAB">
        <w:rPr>
          <w:szCs w:val="26"/>
        </w:rPr>
        <w:t xml:space="preserve"> (1956) 143 Cal.App.2d 191, the court recognized an implied easement over a strip of land on the defendants’ property that contained a concrete walkway, stairway, and retaining wall, providing the plaintiff an apparently exclusi</w:t>
      </w:r>
      <w:r w:rsidRPr="00295DAB">
        <w:rPr>
          <w:szCs w:val="26"/>
        </w:rPr>
        <w:t>ve pathway to access a higher elevation at the rear of their house.  (</w:t>
      </w:r>
      <w:r w:rsidRPr="00295DAB">
        <w:rPr>
          <w:i/>
          <w:iCs/>
          <w:szCs w:val="26"/>
        </w:rPr>
        <w:t>Id.</w:t>
      </w:r>
      <w:r w:rsidRPr="00295DAB">
        <w:rPr>
          <w:szCs w:val="26"/>
        </w:rPr>
        <w:t xml:space="preserve"> at pp. 194–195.)  In </w:t>
      </w:r>
      <w:r w:rsidRPr="00295DAB">
        <w:rPr>
          <w:i/>
          <w:iCs/>
          <w:szCs w:val="26"/>
        </w:rPr>
        <w:t>Thorstrom</w:t>
      </w:r>
      <w:r w:rsidRPr="00295DAB">
        <w:rPr>
          <w:szCs w:val="26"/>
        </w:rPr>
        <w:t>, by contrast, the court reversed a trial court judgment “that granted defendants an implied easement for exclusive use of water from a well on” the pla</w:t>
      </w:r>
      <w:r w:rsidRPr="00295DAB">
        <w:rPr>
          <w:szCs w:val="26"/>
        </w:rPr>
        <w:t>intiff’s property.  (</w:t>
      </w:r>
      <w:r w:rsidRPr="00295DAB">
        <w:rPr>
          <w:i/>
          <w:iCs/>
          <w:szCs w:val="26"/>
        </w:rPr>
        <w:t>Thorstrom</w:t>
      </w:r>
      <w:r w:rsidRPr="00295DAB">
        <w:rPr>
          <w:szCs w:val="26"/>
        </w:rPr>
        <w:t xml:space="preserve">, </w:t>
      </w:r>
      <w:r w:rsidRPr="00295DAB">
        <w:rPr>
          <w:i/>
          <w:iCs/>
          <w:szCs w:val="26"/>
        </w:rPr>
        <w:t>supra</w:t>
      </w:r>
      <w:r w:rsidRPr="00295DAB">
        <w:rPr>
          <w:szCs w:val="26"/>
        </w:rPr>
        <w:t>, 196 Cal.App.4th at p. 1411.)  The court concluded that “the scope of the easement granted to defendants is excessive” (</w:t>
      </w:r>
      <w:r w:rsidRPr="00295DAB">
        <w:rPr>
          <w:i/>
          <w:iCs/>
          <w:szCs w:val="26"/>
        </w:rPr>
        <w:t>ibid.</w:t>
      </w:r>
      <w:r w:rsidRPr="00295DAB">
        <w:rPr>
          <w:szCs w:val="26"/>
        </w:rPr>
        <w:t>) — but not because implied easements</w:t>
      </w:r>
      <w:r>
        <w:rPr>
          <w:szCs w:val="26"/>
        </w:rPr>
        <w:t xml:space="preserve"> that prevent the servient tenement </w:t>
      </w:r>
      <w:r w:rsidR="00110DE5">
        <w:rPr>
          <w:szCs w:val="26"/>
        </w:rPr>
        <w:t xml:space="preserve">owner </w:t>
      </w:r>
      <w:r>
        <w:rPr>
          <w:szCs w:val="26"/>
        </w:rPr>
        <w:t>from using the</w:t>
      </w:r>
      <w:r>
        <w:rPr>
          <w:szCs w:val="26"/>
        </w:rPr>
        <w:t xml:space="preserve"> easement </w:t>
      </w:r>
      <w:r w:rsidRPr="00295DAB">
        <w:rPr>
          <w:szCs w:val="26"/>
        </w:rPr>
        <w:t>are impermissible as a matter of law.  Rather, the court held that the scope of the easement was impermissibly broad only because there was no evidence in the record suggesting that the well “was drilled, constructed and used to benefit defendant</w:t>
      </w:r>
      <w:r w:rsidRPr="00295DAB">
        <w:rPr>
          <w:szCs w:val="26"/>
        </w:rPr>
        <w:t>s’ parcel alone.”  (</w:t>
      </w:r>
      <w:r w:rsidR="00B3075A" w:rsidRPr="00370CEE">
        <w:rPr>
          <w:i/>
          <w:iCs/>
          <w:szCs w:val="26"/>
        </w:rPr>
        <w:t>I</w:t>
      </w:r>
      <w:r w:rsidR="00B3075A" w:rsidRPr="00B3075A">
        <w:rPr>
          <w:i/>
          <w:iCs/>
          <w:szCs w:val="26"/>
        </w:rPr>
        <w:t>d.</w:t>
      </w:r>
      <w:r w:rsidRPr="00295DAB">
        <w:rPr>
          <w:szCs w:val="26"/>
        </w:rPr>
        <w:t xml:space="preserve"> at p. 1423.)  Accordingly, the plaintiffs retained the right, as the owners of the servient tenement, to use the well on their </w:t>
      </w:r>
      <w:r w:rsidRPr="00295DAB">
        <w:rPr>
          <w:szCs w:val="26"/>
        </w:rPr>
        <w:lastRenderedPageBreak/>
        <w:t>property in any manner that did not interfere with the defendants’ own reasonable residential uses.  (</w:t>
      </w:r>
      <w:r w:rsidRPr="00295DAB">
        <w:rPr>
          <w:i/>
          <w:iCs/>
          <w:szCs w:val="26"/>
        </w:rPr>
        <w:t>Id.</w:t>
      </w:r>
      <w:r w:rsidRPr="00295DAB">
        <w:rPr>
          <w:szCs w:val="26"/>
        </w:rPr>
        <w:t xml:space="preserve"> at pp. 1423–1424; see </w:t>
      </w:r>
      <w:r w:rsidRPr="00295DAB">
        <w:rPr>
          <w:i/>
          <w:iCs/>
          <w:szCs w:val="26"/>
        </w:rPr>
        <w:t xml:space="preserve">Scruby v. Vintage Grapevine, Inc. </w:t>
      </w:r>
      <w:r w:rsidRPr="00295DAB">
        <w:rPr>
          <w:szCs w:val="26"/>
        </w:rPr>
        <w:t>(1995) 37 Cal.App.4th 697, 702 [“Every incident of ownership not inconsistent with the easement and the enjoyment of the same is reserved to the owner of the servient estate.”].)  The</w:t>
      </w:r>
      <w:r w:rsidR="005E12D8">
        <w:rPr>
          <w:szCs w:val="26"/>
        </w:rPr>
        <w:t xml:space="preserve"> reasoning of these cases suggests that </w:t>
      </w:r>
      <w:r w:rsidRPr="00295DAB">
        <w:rPr>
          <w:szCs w:val="26"/>
        </w:rPr>
        <w:t>an implied easement</w:t>
      </w:r>
      <w:r w:rsidR="005E12D8">
        <w:rPr>
          <w:szCs w:val="26"/>
        </w:rPr>
        <w:t>, like an express one,</w:t>
      </w:r>
      <w:r w:rsidRPr="00295DAB">
        <w:rPr>
          <w:szCs w:val="26"/>
        </w:rPr>
        <w:t xml:space="preserve"> may effectively exclude the servient tenement owner from the easement area in rare cases where the circumstances show that the relevant parties clearly intended that result.</w:t>
      </w:r>
    </w:p>
    <w:p w14:paraId="32AA80DD" w14:textId="77777777" w:rsidR="00B24A90" w:rsidRDefault="00590CB4" w:rsidP="00B24A90">
      <w:pPr>
        <w:ind w:firstLine="720"/>
        <w:rPr>
          <w:szCs w:val="26"/>
        </w:rPr>
      </w:pPr>
      <w:r>
        <w:rPr>
          <w:szCs w:val="26"/>
        </w:rPr>
        <w:t>Taking a different view, the Court of A</w:t>
      </w:r>
      <w:r>
        <w:rPr>
          <w:szCs w:val="26"/>
        </w:rPr>
        <w:t xml:space="preserve">ppeal posited that implied easements are essentially different from easements where </w:t>
      </w:r>
      <w:r w:rsidRPr="00295DAB">
        <w:rPr>
          <w:szCs w:val="26"/>
        </w:rPr>
        <w:t>“the language of the creating instrument clearly expresses an intention that the use of the easement area shall be exclusive to the dominant owner.”  (</w:t>
      </w:r>
      <w:r w:rsidRPr="00295DAB">
        <w:rPr>
          <w:i/>
          <w:iCs/>
          <w:szCs w:val="26"/>
        </w:rPr>
        <w:t>Romero</w:t>
      </w:r>
      <w:r w:rsidRPr="00295DAB">
        <w:rPr>
          <w:szCs w:val="26"/>
        </w:rPr>
        <w:t xml:space="preserve">, </w:t>
      </w:r>
      <w:r w:rsidRPr="00295DAB">
        <w:rPr>
          <w:i/>
          <w:iCs/>
          <w:szCs w:val="26"/>
        </w:rPr>
        <w:t>supra</w:t>
      </w:r>
      <w:r w:rsidRPr="00295DAB">
        <w:rPr>
          <w:szCs w:val="26"/>
        </w:rPr>
        <w:t>, 78 Cal</w:t>
      </w:r>
      <w:r w:rsidRPr="00295DAB">
        <w:rPr>
          <w:szCs w:val="26"/>
        </w:rPr>
        <w:t xml:space="preserve">.App.5th at p. 350.)  </w:t>
      </w:r>
      <w:r>
        <w:rPr>
          <w:szCs w:val="26"/>
        </w:rPr>
        <w:t xml:space="preserve">But the court did not explain why it thought that </w:t>
      </w:r>
      <w:r w:rsidR="005E12D8">
        <w:rPr>
          <w:szCs w:val="26"/>
        </w:rPr>
        <w:t xml:space="preserve">such an </w:t>
      </w:r>
      <w:r>
        <w:rPr>
          <w:szCs w:val="26"/>
        </w:rPr>
        <w:t>intention must be memorialized in the creating instrument and may not be found elsewhere.</w:t>
      </w:r>
      <w:r w:rsidR="00957883">
        <w:rPr>
          <w:szCs w:val="26"/>
        </w:rPr>
        <w:t xml:space="preserve">  </w:t>
      </w:r>
      <w:r>
        <w:rPr>
          <w:szCs w:val="26"/>
        </w:rPr>
        <w:t xml:space="preserve">Perhaps the court believed </w:t>
      </w:r>
      <w:r w:rsidRPr="00295DAB">
        <w:rPr>
          <w:szCs w:val="26"/>
        </w:rPr>
        <w:t>that in order to convey an interest as comprehensive as an</w:t>
      </w:r>
      <w:r w:rsidRPr="00295DAB">
        <w:rPr>
          <w:szCs w:val="26"/>
        </w:rPr>
        <w:t xml:space="preserve"> exclusive easement, a party should have to do so in writing</w:t>
      </w:r>
      <w:r>
        <w:rPr>
          <w:szCs w:val="26"/>
        </w:rPr>
        <w:t>, much as if the party were conveying ownership of the land</w:t>
      </w:r>
      <w:r w:rsidRPr="00295DAB">
        <w:rPr>
          <w:szCs w:val="26"/>
        </w:rPr>
        <w:t>.  (Cf. Civ. Code, § 1624, subd. (a)(3) [the Statute of Frauds, which requires a contract “for the sale of real property, or of an intere</w:t>
      </w:r>
      <w:r w:rsidRPr="00295DAB">
        <w:rPr>
          <w:szCs w:val="26"/>
        </w:rPr>
        <w:t>st therein,” to be made in writing].)</w:t>
      </w:r>
      <w:r>
        <w:rPr>
          <w:szCs w:val="26"/>
        </w:rPr>
        <w:t xml:space="preserve">  But the </w:t>
      </w:r>
      <w:r w:rsidRPr="00295DAB">
        <w:rPr>
          <w:szCs w:val="26"/>
        </w:rPr>
        <w:t>doctrine of implied easements is a settled exception to the Statute of Frauds</w:t>
      </w:r>
      <w:r w:rsidR="007F49BF">
        <w:rPr>
          <w:szCs w:val="26"/>
        </w:rPr>
        <w:t>.</w:t>
      </w:r>
      <w:r>
        <w:rPr>
          <w:szCs w:val="26"/>
        </w:rPr>
        <w:t xml:space="preserve"> </w:t>
      </w:r>
      <w:r w:rsidR="007F49BF">
        <w:rPr>
          <w:szCs w:val="26"/>
        </w:rPr>
        <w:t xml:space="preserve"> </w:t>
      </w:r>
      <w:r w:rsidRPr="00295DAB">
        <w:rPr>
          <w:szCs w:val="26"/>
        </w:rPr>
        <w:t xml:space="preserve">(1 Miller &amp; Starr, Cal. Real Estate, </w:t>
      </w:r>
      <w:r w:rsidRPr="00295DAB">
        <w:rPr>
          <w:i/>
          <w:iCs/>
          <w:szCs w:val="26"/>
        </w:rPr>
        <w:t>supra</w:t>
      </w:r>
      <w:r w:rsidRPr="00295DAB">
        <w:rPr>
          <w:szCs w:val="26"/>
        </w:rPr>
        <w:t>, § 1:74, pp. 1-277–1-278</w:t>
      </w:r>
      <w:r w:rsidR="007F49BF">
        <w:rPr>
          <w:szCs w:val="26"/>
        </w:rPr>
        <w:t>.</w:t>
      </w:r>
      <w:r w:rsidRPr="00295DAB">
        <w:rPr>
          <w:szCs w:val="26"/>
        </w:rPr>
        <w:t>)</w:t>
      </w:r>
      <w:r>
        <w:rPr>
          <w:szCs w:val="26"/>
        </w:rPr>
        <w:t xml:space="preserve"> </w:t>
      </w:r>
      <w:r w:rsidR="00AA7706">
        <w:rPr>
          <w:szCs w:val="26"/>
        </w:rPr>
        <w:t xml:space="preserve"> Courts have recognized this exception as necessary to avoid injustice when the circumstances of the transaction have mitigated the evidentiary concerns underlying the </w:t>
      </w:r>
      <w:r w:rsidR="007F49BF">
        <w:rPr>
          <w:szCs w:val="26"/>
        </w:rPr>
        <w:t xml:space="preserve">general rule that interests in land must be transferred in </w:t>
      </w:r>
      <w:r w:rsidR="007F49BF">
        <w:rPr>
          <w:szCs w:val="26"/>
        </w:rPr>
        <w:lastRenderedPageBreak/>
        <w:t>writing</w:t>
      </w:r>
      <w:r w:rsidR="00AA7706">
        <w:rPr>
          <w:szCs w:val="26"/>
        </w:rPr>
        <w:t xml:space="preserve">.  (See Rest.3d Property, Servitudes, </w:t>
      </w:r>
      <w:r w:rsidR="00AA7706">
        <w:rPr>
          <w:i/>
          <w:iCs/>
          <w:szCs w:val="26"/>
        </w:rPr>
        <w:t>supra</w:t>
      </w:r>
      <w:r w:rsidR="00AA7706">
        <w:rPr>
          <w:szCs w:val="26"/>
        </w:rPr>
        <w:t>, §</w:t>
      </w:r>
      <w:r w:rsidR="00596F47">
        <w:rPr>
          <w:szCs w:val="26"/>
        </w:rPr>
        <w:t> </w:t>
      </w:r>
      <w:r w:rsidR="00AA7706">
        <w:rPr>
          <w:szCs w:val="26"/>
        </w:rPr>
        <w:t>2.11, com. c, p. 155.)</w:t>
      </w:r>
      <w:r w:rsidR="00AA7706">
        <w:rPr>
          <w:i/>
          <w:iCs/>
          <w:szCs w:val="26"/>
        </w:rPr>
        <w:t xml:space="preserve"> </w:t>
      </w:r>
    </w:p>
    <w:p w14:paraId="32AA80DE" w14:textId="77777777" w:rsidR="00B24A90" w:rsidRDefault="00590CB4" w:rsidP="00B24A90">
      <w:pPr>
        <w:ind w:firstLine="720"/>
        <w:rPr>
          <w:szCs w:val="26"/>
        </w:rPr>
      </w:pPr>
      <w:r>
        <w:rPr>
          <w:szCs w:val="26"/>
        </w:rPr>
        <w:t xml:space="preserve">Or perhaps the </w:t>
      </w:r>
      <w:r w:rsidR="008B67E8">
        <w:rPr>
          <w:szCs w:val="26"/>
        </w:rPr>
        <w:t xml:space="preserve">appellate </w:t>
      </w:r>
      <w:r>
        <w:rPr>
          <w:szCs w:val="26"/>
        </w:rPr>
        <w:t>court’s concern was simply a practical one:  If a court is to recognize an easement so comprehensive as to effectively preclude the property owner’s practical use of the land, it should be very certain that this is what the parties</w:t>
      </w:r>
      <w:r>
        <w:rPr>
          <w:szCs w:val="26"/>
        </w:rPr>
        <w:t xml:space="preserve"> intended.  </w:t>
      </w:r>
      <w:r w:rsidR="00FE1202">
        <w:rPr>
          <w:szCs w:val="26"/>
        </w:rPr>
        <w:t xml:space="preserve">If this was </w:t>
      </w:r>
      <w:r w:rsidR="00AC5D81">
        <w:rPr>
          <w:szCs w:val="26"/>
        </w:rPr>
        <w:t xml:space="preserve">indeed </w:t>
      </w:r>
      <w:r w:rsidR="00FE1202">
        <w:rPr>
          <w:szCs w:val="26"/>
        </w:rPr>
        <w:t>the court’s concern, w</w:t>
      </w:r>
      <w:r>
        <w:rPr>
          <w:szCs w:val="26"/>
        </w:rPr>
        <w:t xml:space="preserve">e </w:t>
      </w:r>
      <w:r w:rsidR="00AC5D81">
        <w:rPr>
          <w:szCs w:val="26"/>
        </w:rPr>
        <w:t>share it</w:t>
      </w:r>
      <w:r>
        <w:rPr>
          <w:szCs w:val="26"/>
        </w:rPr>
        <w:t xml:space="preserve">.  But an express statement requirement goes farther than necessary to </w:t>
      </w:r>
      <w:r w:rsidR="003D280F">
        <w:rPr>
          <w:szCs w:val="26"/>
        </w:rPr>
        <w:t>respond to the concern</w:t>
      </w:r>
      <w:r>
        <w:rPr>
          <w:szCs w:val="26"/>
        </w:rPr>
        <w:t xml:space="preserve">.  </w:t>
      </w:r>
      <w:r w:rsidRPr="00295DAB">
        <w:rPr>
          <w:szCs w:val="26"/>
        </w:rPr>
        <w:t>Given the consequences of recognizing an easement where the parties’ intent to create one appears</w:t>
      </w:r>
      <w:r w:rsidRPr="00295DAB">
        <w:rPr>
          <w:szCs w:val="26"/>
        </w:rPr>
        <w:t xml:space="preserve"> only by implication rather than expressly in a written instrument, the common law already requires claimants seeking to establish such implied intent to clear a high bar:  The preexisting use of the quasi-servient tenement must have been “</w:t>
      </w:r>
      <w:r w:rsidR="00B3075A">
        <w:rPr>
          <w:szCs w:val="26"/>
        </w:rPr>
        <w:t> ‘</w:t>
      </w:r>
      <w:r w:rsidRPr="00295DAB">
        <w:rPr>
          <w:szCs w:val="26"/>
        </w:rPr>
        <w:t xml:space="preserve">so </w:t>
      </w:r>
      <w:r w:rsidRPr="00295DAB">
        <w:rPr>
          <w:szCs w:val="26"/>
        </w:rPr>
        <w:t>obviously and apparently permanent</w:t>
      </w:r>
      <w:r w:rsidR="00B3075A">
        <w:rPr>
          <w:szCs w:val="26"/>
        </w:rPr>
        <w:t>’ </w:t>
      </w:r>
      <w:r w:rsidRPr="00295DAB">
        <w:rPr>
          <w:szCs w:val="26"/>
        </w:rPr>
        <w:t>” that the law may conclude “</w:t>
      </w:r>
      <w:r w:rsidR="00B3075A">
        <w:rPr>
          <w:szCs w:val="26"/>
        </w:rPr>
        <w:t> ‘</w:t>
      </w:r>
      <w:r w:rsidRPr="00295DAB">
        <w:rPr>
          <w:szCs w:val="26"/>
        </w:rPr>
        <w:t xml:space="preserve">the parties </w:t>
      </w:r>
      <w:r w:rsidRPr="00295DAB">
        <w:rPr>
          <w:i/>
          <w:iCs/>
          <w:szCs w:val="26"/>
        </w:rPr>
        <w:t>must have</w:t>
      </w:r>
      <w:r w:rsidRPr="00295DAB">
        <w:rPr>
          <w:szCs w:val="26"/>
        </w:rPr>
        <w:t xml:space="preserve"> intended or believed that the use would continue</w:t>
      </w:r>
      <w:r w:rsidR="00B3075A">
        <w:rPr>
          <w:szCs w:val="26"/>
        </w:rPr>
        <w:t>’ </w:t>
      </w:r>
      <w:r w:rsidRPr="00295DAB">
        <w:rPr>
          <w:szCs w:val="26"/>
        </w:rPr>
        <w:t>” after the division of the property.  (</w:t>
      </w:r>
      <w:r w:rsidRPr="00295DAB">
        <w:rPr>
          <w:i/>
          <w:iCs/>
          <w:szCs w:val="26"/>
        </w:rPr>
        <w:t>Thorstrom</w:t>
      </w:r>
      <w:r w:rsidRPr="00295DAB">
        <w:rPr>
          <w:szCs w:val="26"/>
        </w:rPr>
        <w:t xml:space="preserve">, </w:t>
      </w:r>
      <w:r w:rsidRPr="00295DAB">
        <w:rPr>
          <w:i/>
          <w:iCs/>
          <w:szCs w:val="26"/>
        </w:rPr>
        <w:t>supra</w:t>
      </w:r>
      <w:r w:rsidRPr="00295DAB">
        <w:rPr>
          <w:szCs w:val="26"/>
        </w:rPr>
        <w:t xml:space="preserve">, 196 Cal.App.4th at p. 1420, italics added.)  </w:t>
      </w:r>
    </w:p>
    <w:p w14:paraId="32AA80DF" w14:textId="77777777" w:rsidR="00805FA8" w:rsidRPr="00295DAB" w:rsidRDefault="00590CB4" w:rsidP="00805FA8">
      <w:pPr>
        <w:ind w:firstLine="720"/>
        <w:rPr>
          <w:szCs w:val="26"/>
        </w:rPr>
      </w:pPr>
      <w:r>
        <w:rPr>
          <w:szCs w:val="26"/>
        </w:rPr>
        <w:t>Again, easeme</w:t>
      </w:r>
      <w:r>
        <w:rPr>
          <w:szCs w:val="26"/>
        </w:rPr>
        <w:t>nts by implication are not favored in the law.  But w</w:t>
      </w:r>
      <w:r w:rsidRPr="00295DAB">
        <w:rPr>
          <w:szCs w:val="26"/>
        </w:rPr>
        <w:t xml:space="preserve">here the circumstances of a land transaction clearly evince an intent to </w:t>
      </w:r>
      <w:r w:rsidR="00D30011">
        <w:rPr>
          <w:szCs w:val="26"/>
        </w:rPr>
        <w:t xml:space="preserve">continue </w:t>
      </w:r>
      <w:r w:rsidR="00B66116">
        <w:rPr>
          <w:szCs w:val="26"/>
        </w:rPr>
        <w:t xml:space="preserve">the quasi-dominant tenement’s </w:t>
      </w:r>
      <w:r w:rsidR="00D30011">
        <w:rPr>
          <w:szCs w:val="26"/>
        </w:rPr>
        <w:t>preexisting uses of the quasi-servient tenement</w:t>
      </w:r>
      <w:r w:rsidRPr="00295DAB">
        <w:rPr>
          <w:szCs w:val="26"/>
        </w:rPr>
        <w:t>, and where the circumstances also clearly e</w:t>
      </w:r>
      <w:r w:rsidRPr="00295DAB">
        <w:rPr>
          <w:szCs w:val="26"/>
        </w:rPr>
        <w:t>vince an intent that the easement be comprehensive in scope, the bar is cleared and the relevant legal requirements have been satisfied.  (</w:t>
      </w:r>
      <w:r w:rsidRPr="0092537C">
        <w:rPr>
          <w:szCs w:val="26"/>
        </w:rPr>
        <w:t xml:space="preserve">Cf. </w:t>
      </w:r>
      <w:bookmarkStart w:id="7" w:name="_Hlk153805734"/>
      <w:r w:rsidRPr="0092537C">
        <w:rPr>
          <w:szCs w:val="26"/>
        </w:rPr>
        <w:t xml:space="preserve">Rest.3d Property, Servitudes, </w:t>
      </w:r>
      <w:r w:rsidRPr="0092537C">
        <w:rPr>
          <w:i/>
          <w:iCs/>
          <w:szCs w:val="26"/>
        </w:rPr>
        <w:t>supra</w:t>
      </w:r>
      <w:r w:rsidRPr="0092537C">
        <w:rPr>
          <w:szCs w:val="26"/>
        </w:rPr>
        <w:t>, § 2.11, com. c, p. 155</w:t>
      </w:r>
      <w:bookmarkEnd w:id="7"/>
      <w:r w:rsidRPr="00295DAB">
        <w:rPr>
          <w:szCs w:val="26"/>
        </w:rPr>
        <w:t xml:space="preserve"> [“servitude burdens are established by implication on</w:t>
      </w:r>
      <w:r w:rsidRPr="00295DAB">
        <w:rPr>
          <w:szCs w:val="26"/>
        </w:rPr>
        <w:t>ly . . . where the evidentiary concerns underlying the Statute of Frauds have been met”].)</w:t>
      </w:r>
      <w:r>
        <w:rPr>
          <w:szCs w:val="26"/>
        </w:rPr>
        <w:t xml:space="preserve">  I</w:t>
      </w:r>
      <w:r w:rsidRPr="00295DAB">
        <w:rPr>
          <w:szCs w:val="26"/>
        </w:rPr>
        <w:t xml:space="preserve">n discerning the intended scope of an easement, we see little reason to distinguish between an intent clearly expressed in </w:t>
      </w:r>
      <w:r w:rsidRPr="00295DAB">
        <w:rPr>
          <w:szCs w:val="26"/>
        </w:rPr>
        <w:lastRenderedPageBreak/>
        <w:t xml:space="preserve">writing and an intent clearly </w:t>
      </w:r>
      <w:r>
        <w:rPr>
          <w:szCs w:val="26"/>
        </w:rPr>
        <w:t xml:space="preserve">inferable </w:t>
      </w:r>
      <w:r w:rsidRPr="00295DAB">
        <w:rPr>
          <w:szCs w:val="26"/>
        </w:rPr>
        <w:t>from “all the facts and circumstances.”  (</w:t>
      </w:r>
      <w:r w:rsidRPr="00295DAB">
        <w:rPr>
          <w:i/>
          <w:iCs/>
          <w:szCs w:val="26"/>
        </w:rPr>
        <w:t>Fristoe</w:t>
      </w:r>
      <w:r w:rsidRPr="00295DAB">
        <w:rPr>
          <w:szCs w:val="26"/>
        </w:rPr>
        <w:t xml:space="preserve">, </w:t>
      </w:r>
      <w:r w:rsidRPr="00295DAB">
        <w:rPr>
          <w:i/>
          <w:iCs/>
          <w:szCs w:val="26"/>
        </w:rPr>
        <w:t>supra</w:t>
      </w:r>
      <w:r w:rsidRPr="00295DAB">
        <w:rPr>
          <w:szCs w:val="26"/>
        </w:rPr>
        <w:t>, 35 Cal.2d at p. 8.)</w:t>
      </w:r>
      <w:r>
        <w:rPr>
          <w:szCs w:val="26"/>
        </w:rPr>
        <w:t xml:space="preserve">  </w:t>
      </w:r>
    </w:p>
    <w:p w14:paraId="32AA80E0" w14:textId="77777777" w:rsidR="00B24A90" w:rsidRPr="00295DAB" w:rsidRDefault="00590CB4" w:rsidP="00805FA8">
      <w:pPr>
        <w:ind w:firstLine="720"/>
        <w:rPr>
          <w:szCs w:val="26"/>
        </w:rPr>
      </w:pPr>
      <w:r>
        <w:rPr>
          <w:szCs w:val="26"/>
        </w:rPr>
        <w:t xml:space="preserve">To give effect to implied easements, even when those easements may be comprehensive in scope, </w:t>
      </w:r>
      <w:r w:rsidRPr="00295DAB">
        <w:rPr>
          <w:szCs w:val="26"/>
        </w:rPr>
        <w:t>protects the reasonable expectations of the parties to land transactions</w:t>
      </w:r>
      <w:r>
        <w:rPr>
          <w:szCs w:val="26"/>
        </w:rPr>
        <w:t xml:space="preserve"> in a mann</w:t>
      </w:r>
      <w:r>
        <w:rPr>
          <w:szCs w:val="26"/>
        </w:rPr>
        <w:t xml:space="preserve">er consistent with the usual presumption that the </w:t>
      </w:r>
      <w:r w:rsidRPr="00295DAB">
        <w:rPr>
          <w:szCs w:val="26"/>
        </w:rPr>
        <w:t>parties “</w:t>
      </w:r>
      <w:r w:rsidR="00B3075A">
        <w:rPr>
          <w:szCs w:val="26"/>
        </w:rPr>
        <w:t> ‘</w:t>
      </w:r>
      <w:r w:rsidRPr="00295DAB">
        <w:rPr>
          <w:szCs w:val="26"/>
        </w:rPr>
        <w:t>contract[ed] in reference to the condition of the property at the time of the sale.</w:t>
      </w:r>
      <w:r w:rsidR="00B3075A">
        <w:rPr>
          <w:szCs w:val="26"/>
        </w:rPr>
        <w:t>’ </w:t>
      </w:r>
      <w:r w:rsidRPr="00295DAB">
        <w:rPr>
          <w:szCs w:val="26"/>
        </w:rPr>
        <w:t>”  (</w:t>
      </w:r>
      <w:r w:rsidRPr="00295DAB">
        <w:rPr>
          <w:i/>
          <w:iCs/>
          <w:szCs w:val="26"/>
        </w:rPr>
        <w:t>Rosebrook v. Utz</w:t>
      </w:r>
      <w:r w:rsidRPr="00295DAB">
        <w:rPr>
          <w:szCs w:val="26"/>
        </w:rPr>
        <w:t xml:space="preserve"> (1941) 45 Cal.App.2d 726, 729 (</w:t>
      </w:r>
      <w:r w:rsidRPr="00295DAB">
        <w:rPr>
          <w:i/>
          <w:iCs/>
          <w:szCs w:val="26"/>
        </w:rPr>
        <w:t>Rosebrook</w:t>
      </w:r>
      <w:r w:rsidRPr="00295DAB">
        <w:rPr>
          <w:szCs w:val="26"/>
        </w:rPr>
        <w:t>).)  Here, for example, the trial court concluded</w:t>
      </w:r>
      <w:r w:rsidRPr="00295DAB">
        <w:rPr>
          <w:szCs w:val="26"/>
        </w:rPr>
        <w:t xml:space="preserve"> that any reasonable person observing the two properties in 1986, when the Cutlers divided them, would have assumed the 643 Property retained at least some continuing interest in the disputed strip of land.  </w:t>
      </w:r>
      <w:r w:rsidR="005521EB">
        <w:rPr>
          <w:szCs w:val="26"/>
        </w:rPr>
        <w:t xml:space="preserve">The trial court further found that </w:t>
      </w:r>
      <w:r w:rsidRPr="00295DAB">
        <w:rPr>
          <w:szCs w:val="26"/>
        </w:rPr>
        <w:t xml:space="preserve">the Cutlers’ </w:t>
      </w:r>
      <w:r w:rsidRPr="00295DAB">
        <w:rPr>
          <w:szCs w:val="26"/>
        </w:rPr>
        <w:t>successors made just that assumption:  For almost 30 years, between the original separation of the properties in 1986 and the Romeros’ discovery of the encroachments in 2015, “every successive owner of either property (until now) has allowed for and/or beh</w:t>
      </w:r>
      <w:r w:rsidRPr="00295DAB">
        <w:rPr>
          <w:szCs w:val="26"/>
        </w:rPr>
        <w:t xml:space="preserve">aved as if the 643 Property has the right to encroach upon the disputed strip of land with the driveway, planter, and block wall — all of which have remained unchanged in their use and function since at least the initial </w:t>
      </w:r>
      <w:r w:rsidRPr="0092537C">
        <w:rPr>
          <w:szCs w:val="26"/>
        </w:rPr>
        <w:t>property separation.”</w:t>
      </w:r>
      <w:r w:rsidRPr="00295DAB">
        <w:rPr>
          <w:szCs w:val="26"/>
        </w:rPr>
        <w:t xml:space="preserve">  </w:t>
      </w:r>
      <w:r w:rsidR="006625D9">
        <w:rPr>
          <w:szCs w:val="26"/>
        </w:rPr>
        <w:t>The question of w</w:t>
      </w:r>
      <w:r w:rsidR="00461829">
        <w:rPr>
          <w:szCs w:val="26"/>
        </w:rPr>
        <w:t>hether the</w:t>
      </w:r>
      <w:r w:rsidR="00EE3E69">
        <w:rPr>
          <w:szCs w:val="26"/>
        </w:rPr>
        <w:t xml:space="preserve"> trial court’s</w:t>
      </w:r>
      <w:r w:rsidR="00461829">
        <w:rPr>
          <w:szCs w:val="26"/>
        </w:rPr>
        <w:t xml:space="preserve"> </w:t>
      </w:r>
      <w:bookmarkStart w:id="8" w:name="_Hlk156477119"/>
      <w:r w:rsidR="00461829">
        <w:rPr>
          <w:szCs w:val="26"/>
        </w:rPr>
        <w:t xml:space="preserve">findings are supported by substantial evidence remains to be considered.  But if these are indeed the facts of the case, they offer a concrete illustration of </w:t>
      </w:r>
      <w:bookmarkEnd w:id="8"/>
      <w:r w:rsidR="00863B71">
        <w:rPr>
          <w:szCs w:val="26"/>
        </w:rPr>
        <w:t xml:space="preserve">why </w:t>
      </w:r>
      <w:r w:rsidRPr="00295DAB">
        <w:rPr>
          <w:szCs w:val="26"/>
        </w:rPr>
        <w:t>a blanket prohibition on exclusive implied easements would enco</w:t>
      </w:r>
      <w:r w:rsidRPr="00295DAB">
        <w:rPr>
          <w:szCs w:val="26"/>
        </w:rPr>
        <w:t>urage litigation to upset long-standing and until-now settled uses of the property.</w:t>
      </w:r>
    </w:p>
    <w:p w14:paraId="32AA80E1" w14:textId="77777777" w:rsidR="00B24A90" w:rsidRDefault="00590CB4" w:rsidP="006022E3">
      <w:pPr>
        <w:ind w:firstLine="720"/>
        <w:rPr>
          <w:szCs w:val="26"/>
        </w:rPr>
      </w:pPr>
      <w:r>
        <w:rPr>
          <w:szCs w:val="26"/>
        </w:rPr>
        <w:t>T</w:t>
      </w:r>
      <w:r w:rsidRPr="00295DAB">
        <w:rPr>
          <w:szCs w:val="26"/>
        </w:rPr>
        <w:t>he Romeros suggest</w:t>
      </w:r>
      <w:r>
        <w:rPr>
          <w:szCs w:val="26"/>
        </w:rPr>
        <w:t>, on the flip side,</w:t>
      </w:r>
      <w:r w:rsidRPr="00295DAB">
        <w:rPr>
          <w:szCs w:val="26"/>
        </w:rPr>
        <w:t xml:space="preserve"> that our conclusion will </w:t>
      </w:r>
      <w:r>
        <w:rPr>
          <w:szCs w:val="26"/>
        </w:rPr>
        <w:t xml:space="preserve">create </w:t>
      </w:r>
      <w:r w:rsidRPr="00295DAB">
        <w:rPr>
          <w:szCs w:val="26"/>
        </w:rPr>
        <w:t xml:space="preserve">uncertainty in land titles.  The argument is that by </w:t>
      </w:r>
      <w:r>
        <w:rPr>
          <w:szCs w:val="26"/>
        </w:rPr>
        <w:t>permitting the recognition of exclusive</w:t>
      </w:r>
      <w:r w:rsidRPr="00295DAB">
        <w:rPr>
          <w:szCs w:val="26"/>
        </w:rPr>
        <w:t xml:space="preserve"> implied easement</w:t>
      </w:r>
      <w:r>
        <w:rPr>
          <w:szCs w:val="26"/>
        </w:rPr>
        <w:t>s</w:t>
      </w:r>
      <w:r w:rsidRPr="00295DAB">
        <w:rPr>
          <w:szCs w:val="26"/>
        </w:rPr>
        <w:t xml:space="preserve">, we will undermine the ability of </w:t>
      </w:r>
      <w:r>
        <w:rPr>
          <w:szCs w:val="26"/>
        </w:rPr>
        <w:t xml:space="preserve">buyers </w:t>
      </w:r>
      <w:r w:rsidRPr="00295DAB">
        <w:rPr>
          <w:szCs w:val="26"/>
        </w:rPr>
        <w:t xml:space="preserve">to rely on readily available </w:t>
      </w:r>
      <w:r w:rsidRPr="00295DAB">
        <w:rPr>
          <w:szCs w:val="26"/>
        </w:rPr>
        <w:lastRenderedPageBreak/>
        <w:t>and accurate legal descriptions of property contained in recorded deeds.  (</w:t>
      </w:r>
      <w:r w:rsidRPr="00295DAB">
        <w:rPr>
          <w:szCs w:val="26"/>
        </w:rPr>
        <w:t>See</w:t>
      </w:r>
      <w:r w:rsidRPr="00295DAB">
        <w:rPr>
          <w:i/>
          <w:iCs/>
          <w:szCs w:val="26"/>
        </w:rPr>
        <w:t xml:space="preserve"> Mehdizadeh</w:t>
      </w:r>
      <w:r w:rsidRPr="00295DAB">
        <w:rPr>
          <w:szCs w:val="26"/>
        </w:rPr>
        <w:t xml:space="preserve">, </w:t>
      </w:r>
      <w:r w:rsidRPr="00295DAB">
        <w:rPr>
          <w:i/>
          <w:iCs/>
          <w:szCs w:val="26"/>
        </w:rPr>
        <w:t>supra</w:t>
      </w:r>
      <w:r w:rsidRPr="00295DAB">
        <w:rPr>
          <w:szCs w:val="26"/>
        </w:rPr>
        <w:t>, 46 Cal.App.4th at p. 1308.)  The same concern inheres</w:t>
      </w:r>
      <w:r>
        <w:rPr>
          <w:szCs w:val="26"/>
        </w:rPr>
        <w:t xml:space="preserve"> </w:t>
      </w:r>
      <w:r w:rsidRPr="00295DAB">
        <w:rPr>
          <w:szCs w:val="26"/>
        </w:rPr>
        <w:t xml:space="preserve">to </w:t>
      </w:r>
      <w:r>
        <w:rPr>
          <w:szCs w:val="26"/>
        </w:rPr>
        <w:t xml:space="preserve">some </w:t>
      </w:r>
      <w:r w:rsidRPr="00295DAB">
        <w:rPr>
          <w:szCs w:val="26"/>
        </w:rPr>
        <w:t>extent</w:t>
      </w:r>
      <w:r>
        <w:rPr>
          <w:szCs w:val="26"/>
        </w:rPr>
        <w:t xml:space="preserve"> </w:t>
      </w:r>
      <w:r w:rsidRPr="00295DAB">
        <w:rPr>
          <w:szCs w:val="26"/>
        </w:rPr>
        <w:t>in every case involving an implied easement, because an implied easement by definition is not expressly set out in any written conveyance.  The law</w:t>
      </w:r>
      <w:r>
        <w:rPr>
          <w:szCs w:val="26"/>
        </w:rPr>
        <w:t>, however, treats</w:t>
      </w:r>
      <w:r>
        <w:rPr>
          <w:szCs w:val="26"/>
        </w:rPr>
        <w:t xml:space="preserve"> that concern as outweighed by the interest in protecting </w:t>
      </w:r>
      <w:r w:rsidRPr="00295DAB">
        <w:rPr>
          <w:szCs w:val="26"/>
        </w:rPr>
        <w:t xml:space="preserve">the reasonable expectations of landowners and purchasers </w:t>
      </w:r>
      <w:r>
        <w:rPr>
          <w:szCs w:val="26"/>
        </w:rPr>
        <w:t xml:space="preserve">by </w:t>
      </w:r>
      <w:r w:rsidRPr="00295DAB">
        <w:rPr>
          <w:szCs w:val="26"/>
        </w:rPr>
        <w:t>giving effect to what the parties “</w:t>
      </w:r>
      <w:r w:rsidR="00B3075A">
        <w:rPr>
          <w:szCs w:val="26"/>
        </w:rPr>
        <w:t> ‘</w:t>
      </w:r>
      <w:r w:rsidRPr="00295DAB">
        <w:rPr>
          <w:szCs w:val="26"/>
        </w:rPr>
        <w:t>must have intended</w:t>
      </w:r>
      <w:r w:rsidR="00B3075A">
        <w:rPr>
          <w:szCs w:val="26"/>
        </w:rPr>
        <w:t>’ </w:t>
      </w:r>
      <w:r w:rsidRPr="00295DAB">
        <w:rPr>
          <w:szCs w:val="26"/>
        </w:rPr>
        <w:t>” given the “</w:t>
      </w:r>
      <w:r w:rsidR="00B3075A">
        <w:rPr>
          <w:szCs w:val="26"/>
        </w:rPr>
        <w:t> ‘</w:t>
      </w:r>
      <w:r w:rsidRPr="00295DAB">
        <w:rPr>
          <w:szCs w:val="26"/>
        </w:rPr>
        <w:t>obvious[] and apparently permanent</w:t>
      </w:r>
      <w:r w:rsidR="00B3075A">
        <w:rPr>
          <w:szCs w:val="26"/>
        </w:rPr>
        <w:t>’ </w:t>
      </w:r>
      <w:r w:rsidRPr="00295DAB">
        <w:rPr>
          <w:szCs w:val="26"/>
        </w:rPr>
        <w:t>” nature of the preexisting us</w:t>
      </w:r>
      <w:r w:rsidRPr="00295DAB">
        <w:rPr>
          <w:szCs w:val="26"/>
        </w:rPr>
        <w:t>e.  (</w:t>
      </w:r>
      <w:r w:rsidRPr="00295DAB">
        <w:rPr>
          <w:i/>
          <w:iCs/>
          <w:szCs w:val="26"/>
        </w:rPr>
        <w:t>Thorstrom</w:t>
      </w:r>
      <w:r w:rsidRPr="00295DAB">
        <w:rPr>
          <w:szCs w:val="26"/>
        </w:rPr>
        <w:t xml:space="preserve">, </w:t>
      </w:r>
      <w:r w:rsidRPr="00295DAB">
        <w:rPr>
          <w:i/>
          <w:iCs/>
          <w:szCs w:val="26"/>
        </w:rPr>
        <w:t>supra</w:t>
      </w:r>
      <w:r w:rsidRPr="00295DAB">
        <w:rPr>
          <w:szCs w:val="26"/>
        </w:rPr>
        <w:t>, 196 Cal.App.4th at p. 1420; see also</w:t>
      </w:r>
      <w:r w:rsidRPr="00295DAB">
        <w:rPr>
          <w:i/>
          <w:iCs/>
          <w:szCs w:val="26"/>
        </w:rPr>
        <w:t xml:space="preserve"> Rosebrook</w:t>
      </w:r>
      <w:r w:rsidRPr="00295DAB">
        <w:rPr>
          <w:szCs w:val="26"/>
        </w:rPr>
        <w:t xml:space="preserve">, </w:t>
      </w:r>
      <w:r w:rsidRPr="00295DAB">
        <w:rPr>
          <w:i/>
          <w:iCs/>
          <w:szCs w:val="26"/>
        </w:rPr>
        <w:t>supra</w:t>
      </w:r>
      <w:r w:rsidRPr="00295DAB">
        <w:rPr>
          <w:szCs w:val="26"/>
        </w:rPr>
        <w:t>, 45 Cal.App.2d at p. 729.)</w:t>
      </w:r>
      <w:r>
        <w:rPr>
          <w:rStyle w:val="FootnoteReference"/>
          <w:position w:val="6"/>
          <w:sz w:val="20"/>
          <w:vertAlign w:val="baseline"/>
        </w:rPr>
        <w:footnoteReference w:id="4"/>
      </w:r>
      <w:r w:rsidRPr="00295DAB">
        <w:rPr>
          <w:szCs w:val="26"/>
        </w:rPr>
        <w:t xml:space="preserve">  </w:t>
      </w:r>
    </w:p>
    <w:p w14:paraId="32AA80E2" w14:textId="77777777" w:rsidR="005E12D8" w:rsidRDefault="00590CB4" w:rsidP="007F49BF">
      <w:pPr>
        <w:ind w:firstLine="720"/>
        <w:rPr>
          <w:szCs w:val="26"/>
        </w:rPr>
      </w:pPr>
      <w:bookmarkStart w:id="9" w:name="_Hlk143597967"/>
      <w:r w:rsidRPr="00295DAB">
        <w:rPr>
          <w:szCs w:val="26"/>
        </w:rPr>
        <w:t>Contrary to the Romeros’ argument, our conclusion does not “pervert[] the classical distinction in real property law between ownership and use.”  (</w:t>
      </w:r>
      <w:r w:rsidR="00AA7706">
        <w:rPr>
          <w:i/>
          <w:iCs/>
          <w:szCs w:val="26"/>
        </w:rPr>
        <w:t>Silacci</w:t>
      </w:r>
      <w:r w:rsidR="00F33C5D" w:rsidRPr="00295DAB">
        <w:rPr>
          <w:szCs w:val="26"/>
        </w:rPr>
        <w:t xml:space="preserve">, </w:t>
      </w:r>
      <w:r w:rsidR="00F33C5D" w:rsidRPr="00295DAB">
        <w:rPr>
          <w:i/>
          <w:iCs/>
          <w:szCs w:val="26"/>
        </w:rPr>
        <w:t>supra</w:t>
      </w:r>
      <w:r w:rsidR="00F33C5D" w:rsidRPr="00295DAB">
        <w:rPr>
          <w:szCs w:val="26"/>
        </w:rPr>
        <w:t>,</w:t>
      </w:r>
      <w:r w:rsidRPr="00295DAB">
        <w:rPr>
          <w:szCs w:val="26"/>
        </w:rPr>
        <w:t xml:space="preserve"> </w:t>
      </w:r>
      <w:r w:rsidR="00AA7706">
        <w:rPr>
          <w:szCs w:val="26"/>
        </w:rPr>
        <w:t>45</w:t>
      </w:r>
      <w:r w:rsidR="00AA7706" w:rsidRPr="00295DAB">
        <w:rPr>
          <w:szCs w:val="26"/>
        </w:rPr>
        <w:t xml:space="preserve"> </w:t>
      </w:r>
      <w:r w:rsidRPr="00295DAB">
        <w:rPr>
          <w:szCs w:val="26"/>
        </w:rPr>
        <w:t xml:space="preserve">Cal.App.4th </w:t>
      </w:r>
      <w:r w:rsidR="00F33C5D" w:rsidRPr="00295DAB">
        <w:rPr>
          <w:szCs w:val="26"/>
        </w:rPr>
        <w:t>at p. </w:t>
      </w:r>
      <w:r w:rsidR="00AA7706">
        <w:rPr>
          <w:szCs w:val="26"/>
        </w:rPr>
        <w:t>564</w:t>
      </w:r>
      <w:r w:rsidRPr="00295DAB">
        <w:rPr>
          <w:szCs w:val="26"/>
        </w:rPr>
        <w:t>.)</w:t>
      </w:r>
      <w:r w:rsidR="00D404AC" w:rsidRPr="00295DAB">
        <w:rPr>
          <w:szCs w:val="26"/>
        </w:rPr>
        <w:t xml:space="preserve">  </w:t>
      </w:r>
      <w:r w:rsidR="00E0424E" w:rsidRPr="00295DAB">
        <w:rPr>
          <w:szCs w:val="26"/>
        </w:rPr>
        <w:t>A</w:t>
      </w:r>
      <w:r w:rsidR="00B86B32">
        <w:rPr>
          <w:szCs w:val="26"/>
        </w:rPr>
        <w:t xml:space="preserve">s we have already explained, </w:t>
      </w:r>
      <w:r w:rsidR="00E0424E" w:rsidRPr="00295DAB">
        <w:rPr>
          <w:szCs w:val="26"/>
        </w:rPr>
        <w:t xml:space="preserve">there </w:t>
      </w:r>
      <w:r w:rsidR="0070272C" w:rsidRPr="00295DAB">
        <w:rPr>
          <w:szCs w:val="26"/>
        </w:rPr>
        <w:t>remain</w:t>
      </w:r>
      <w:r w:rsidR="00E0424E" w:rsidRPr="00295DAB">
        <w:rPr>
          <w:szCs w:val="26"/>
        </w:rPr>
        <w:t xml:space="preserve"> important differences between an easement with </w:t>
      </w:r>
      <w:r w:rsidR="009C0076" w:rsidRPr="00295DAB">
        <w:rPr>
          <w:szCs w:val="26"/>
        </w:rPr>
        <w:t xml:space="preserve">even </w:t>
      </w:r>
      <w:r w:rsidR="00E0424E" w:rsidRPr="00295DAB">
        <w:rPr>
          <w:szCs w:val="26"/>
        </w:rPr>
        <w:t>this degree of exclusivity and an estate or ownership interest.</w:t>
      </w:r>
      <w:r w:rsidR="00B44972" w:rsidRPr="00295DAB">
        <w:rPr>
          <w:szCs w:val="26"/>
        </w:rPr>
        <w:t xml:space="preserve">  The trial court’s judgment granted the Shih-Kos the right to maintain the preexisting use of the disputed strip of land as a driveway, garden planter, and concrete block wall</w:t>
      </w:r>
      <w:r w:rsidR="00666F85" w:rsidRPr="00295DAB">
        <w:rPr>
          <w:szCs w:val="26"/>
        </w:rPr>
        <w:t>;</w:t>
      </w:r>
      <w:r w:rsidR="00BF68E6" w:rsidRPr="00295DAB">
        <w:rPr>
          <w:szCs w:val="26"/>
        </w:rPr>
        <w:t xml:space="preserve"> </w:t>
      </w:r>
      <w:r w:rsidR="00666F85" w:rsidRPr="00295DAB">
        <w:rPr>
          <w:szCs w:val="26"/>
        </w:rPr>
        <w:t>i</w:t>
      </w:r>
      <w:r w:rsidR="00BF68E6" w:rsidRPr="00295DAB">
        <w:rPr>
          <w:szCs w:val="26"/>
        </w:rPr>
        <w:t>t did not give the Shih-Kos the right to make any other use of the disputed area</w:t>
      </w:r>
      <w:r w:rsidR="00666F85" w:rsidRPr="00295DAB">
        <w:rPr>
          <w:szCs w:val="26"/>
        </w:rPr>
        <w:t>.  A</w:t>
      </w:r>
      <w:r w:rsidR="00BF68E6" w:rsidRPr="00295DAB">
        <w:rPr>
          <w:szCs w:val="26"/>
        </w:rPr>
        <w:t xml:space="preserve">nd although </w:t>
      </w:r>
      <w:r w:rsidR="00666F85" w:rsidRPr="00295DAB">
        <w:rPr>
          <w:szCs w:val="26"/>
        </w:rPr>
        <w:t>the trial court</w:t>
      </w:r>
      <w:r w:rsidR="00BF68E6" w:rsidRPr="00295DAB">
        <w:rPr>
          <w:szCs w:val="26"/>
        </w:rPr>
        <w:t xml:space="preserve"> determined the easement would run with the land, it ordered that the easement would terminate if the 643 Property ceased to use the disputed area for </w:t>
      </w:r>
      <w:r w:rsidR="00666F85" w:rsidRPr="00295DAB">
        <w:rPr>
          <w:szCs w:val="26"/>
        </w:rPr>
        <w:t xml:space="preserve">those </w:t>
      </w:r>
      <w:r w:rsidR="00666F85" w:rsidRPr="00295DAB">
        <w:rPr>
          <w:szCs w:val="26"/>
        </w:rPr>
        <w:lastRenderedPageBreak/>
        <w:t xml:space="preserve">preexisting, </w:t>
      </w:r>
      <w:r w:rsidR="00BF68E6" w:rsidRPr="00295DAB">
        <w:rPr>
          <w:szCs w:val="26"/>
        </w:rPr>
        <w:t>limited uses.</w:t>
      </w:r>
      <w:r w:rsidR="00DD6B7E" w:rsidRPr="00295DAB">
        <w:rPr>
          <w:szCs w:val="26"/>
        </w:rPr>
        <w:t xml:space="preserve">  </w:t>
      </w:r>
      <w:bookmarkStart w:id="10" w:name="_Hlk156478954"/>
      <w:r w:rsidR="0077003B">
        <w:rPr>
          <w:szCs w:val="26"/>
        </w:rPr>
        <w:t>The Romeros benefit from this limitation because they are provided certainty that the easement area will never be used for any activity that might have a more intrusive impact on their property</w:t>
      </w:r>
      <w:r w:rsidR="00354EAC" w:rsidRPr="007542AF">
        <w:rPr>
          <w:szCs w:val="26"/>
        </w:rPr>
        <w:t>.</w:t>
      </w:r>
      <w:r w:rsidR="0077003B">
        <w:rPr>
          <w:szCs w:val="26"/>
        </w:rPr>
        <w:t xml:space="preserve"> </w:t>
      </w:r>
      <w:bookmarkEnd w:id="10"/>
      <w:r w:rsidR="0077003B">
        <w:rPr>
          <w:szCs w:val="26"/>
        </w:rPr>
        <w:t xml:space="preserve"> </w:t>
      </w:r>
      <w:r w:rsidR="00DD6B7E" w:rsidRPr="00295DAB">
        <w:rPr>
          <w:szCs w:val="26"/>
        </w:rPr>
        <w:t xml:space="preserve">Moreover, as the Shih-Kos’ appraisal expert testified at trial, the Romeros retained </w:t>
      </w:r>
      <w:r w:rsidR="00666F85" w:rsidRPr="00295DAB">
        <w:rPr>
          <w:szCs w:val="26"/>
        </w:rPr>
        <w:t>any rights to use the strip of land that would not interfere with the 643 Property’s easement</w:t>
      </w:r>
      <w:r w:rsidR="00180FB3" w:rsidRPr="00295DAB">
        <w:rPr>
          <w:szCs w:val="26"/>
        </w:rPr>
        <w:t> </w:t>
      </w:r>
      <w:r w:rsidR="00666F85" w:rsidRPr="00295DAB">
        <w:rPr>
          <w:szCs w:val="26"/>
        </w:rPr>
        <w:t xml:space="preserve">— namely, the right to any subsurface uses, </w:t>
      </w:r>
      <w:r w:rsidR="00BD7697" w:rsidRPr="00295DAB">
        <w:rPr>
          <w:szCs w:val="26"/>
        </w:rPr>
        <w:t>however often there might be a need</w:t>
      </w:r>
      <w:r w:rsidR="00D37572" w:rsidRPr="00295DAB">
        <w:rPr>
          <w:szCs w:val="26"/>
        </w:rPr>
        <w:t xml:space="preserve"> for them</w:t>
      </w:r>
      <w:r w:rsidR="00666F85" w:rsidRPr="00295DAB">
        <w:rPr>
          <w:szCs w:val="26"/>
        </w:rPr>
        <w:t xml:space="preserve">, </w:t>
      </w:r>
      <w:r w:rsidR="00535C2B" w:rsidRPr="00295DAB">
        <w:rPr>
          <w:szCs w:val="26"/>
        </w:rPr>
        <w:t xml:space="preserve">and </w:t>
      </w:r>
      <w:r w:rsidR="00666F85" w:rsidRPr="00295DAB">
        <w:rPr>
          <w:szCs w:val="26"/>
        </w:rPr>
        <w:t xml:space="preserve">the right to use the easement area to calculate the </w:t>
      </w:r>
      <w:r w:rsidR="0046584C" w:rsidRPr="00295DAB">
        <w:rPr>
          <w:szCs w:val="26"/>
        </w:rPr>
        <w:t xml:space="preserve">minimum </w:t>
      </w:r>
      <w:r w:rsidR="00666F85" w:rsidRPr="00295DAB">
        <w:rPr>
          <w:szCs w:val="26"/>
        </w:rPr>
        <w:t>setback from the property line and the maximum floor area ratio of their home</w:t>
      </w:r>
      <w:r w:rsidR="00BD7697" w:rsidRPr="00295DAB">
        <w:rPr>
          <w:szCs w:val="26"/>
        </w:rPr>
        <w:t xml:space="preserve"> under applicable zoning laws</w:t>
      </w:r>
      <w:r w:rsidR="00666F85" w:rsidRPr="00295DAB">
        <w:rPr>
          <w:szCs w:val="26"/>
        </w:rPr>
        <w:t>.</w:t>
      </w:r>
    </w:p>
    <w:p w14:paraId="32AA80E3" w14:textId="77777777" w:rsidR="002A12FB" w:rsidRPr="00295DAB" w:rsidRDefault="00590CB4" w:rsidP="007F49BF">
      <w:pPr>
        <w:ind w:firstLine="720"/>
        <w:rPr>
          <w:szCs w:val="26"/>
        </w:rPr>
      </w:pPr>
      <w:r>
        <w:rPr>
          <w:szCs w:val="26"/>
        </w:rPr>
        <w:t>T</w:t>
      </w:r>
      <w:r w:rsidR="00DE213A">
        <w:rPr>
          <w:szCs w:val="26"/>
        </w:rPr>
        <w:t xml:space="preserve">he easement </w:t>
      </w:r>
      <w:r>
        <w:rPr>
          <w:szCs w:val="26"/>
        </w:rPr>
        <w:t xml:space="preserve">therefore </w:t>
      </w:r>
      <w:r w:rsidR="00C662E2">
        <w:rPr>
          <w:szCs w:val="26"/>
        </w:rPr>
        <w:t xml:space="preserve">is not so comprehensive in scope as to </w:t>
      </w:r>
      <w:r w:rsidR="0077003B">
        <w:rPr>
          <w:szCs w:val="26"/>
        </w:rPr>
        <w:t>extinguish the</w:t>
      </w:r>
      <w:r w:rsidR="001214A5">
        <w:rPr>
          <w:szCs w:val="26"/>
        </w:rPr>
        <w:t xml:space="preserve"> </w:t>
      </w:r>
      <w:r w:rsidR="0077003B">
        <w:rPr>
          <w:szCs w:val="26"/>
        </w:rPr>
        <w:t>servient tenement</w:t>
      </w:r>
      <w:r w:rsidR="00110DE5">
        <w:rPr>
          <w:szCs w:val="26"/>
        </w:rPr>
        <w:t xml:space="preserve"> owner</w:t>
      </w:r>
      <w:r w:rsidR="0077003B">
        <w:rPr>
          <w:szCs w:val="26"/>
        </w:rPr>
        <w:t>’s property rights in the</w:t>
      </w:r>
      <w:r w:rsidR="00893E19">
        <w:rPr>
          <w:szCs w:val="26"/>
        </w:rPr>
        <w:t xml:space="preserve"> disputed area</w:t>
      </w:r>
      <w:r w:rsidR="001214A5">
        <w:rPr>
          <w:szCs w:val="26"/>
        </w:rPr>
        <w:t>.</w:t>
      </w:r>
      <w:r w:rsidR="00DE213A">
        <w:rPr>
          <w:szCs w:val="26"/>
        </w:rPr>
        <w:t xml:space="preserve">  </w:t>
      </w:r>
      <w:r w:rsidR="001214A5">
        <w:rPr>
          <w:szCs w:val="26"/>
        </w:rPr>
        <w:t>T</w:t>
      </w:r>
      <w:r w:rsidR="00DE213A">
        <w:rPr>
          <w:szCs w:val="26"/>
        </w:rPr>
        <w:t xml:space="preserve">hough the Shih-Kos possess </w:t>
      </w:r>
      <w:r w:rsidR="0077003B">
        <w:rPr>
          <w:szCs w:val="26"/>
        </w:rPr>
        <w:t xml:space="preserve">a </w:t>
      </w:r>
      <w:r w:rsidR="00DE213A">
        <w:rPr>
          <w:szCs w:val="26"/>
        </w:rPr>
        <w:t xml:space="preserve">right to exclude the Romeros from the </w:t>
      </w:r>
      <w:r w:rsidR="00904CA7">
        <w:rPr>
          <w:szCs w:val="26"/>
        </w:rPr>
        <w:t>driveway</w:t>
      </w:r>
      <w:r w:rsidR="00DE213A">
        <w:rPr>
          <w:szCs w:val="26"/>
        </w:rPr>
        <w:t>, the</w:t>
      </w:r>
      <w:r w:rsidR="001214A5">
        <w:rPr>
          <w:szCs w:val="26"/>
        </w:rPr>
        <w:t xml:space="preserve">y are not permitted to exclude the Romeros from </w:t>
      </w:r>
      <w:r w:rsidR="001214A5">
        <w:rPr>
          <w:i/>
          <w:iCs/>
          <w:szCs w:val="26"/>
        </w:rPr>
        <w:t xml:space="preserve">all </w:t>
      </w:r>
      <w:r w:rsidR="001214A5">
        <w:rPr>
          <w:szCs w:val="26"/>
        </w:rPr>
        <w:t>potential uses of the easement</w:t>
      </w:r>
      <w:r w:rsidR="0077003B">
        <w:rPr>
          <w:szCs w:val="26"/>
        </w:rPr>
        <w:t>.</w:t>
      </w:r>
      <w:r w:rsidR="001214A5">
        <w:rPr>
          <w:szCs w:val="26"/>
        </w:rPr>
        <w:t xml:space="preserve"> </w:t>
      </w:r>
      <w:r w:rsidR="0077003B">
        <w:rPr>
          <w:szCs w:val="26"/>
        </w:rPr>
        <w:t xml:space="preserve"> A</w:t>
      </w:r>
      <w:r w:rsidR="001214A5">
        <w:rPr>
          <w:szCs w:val="26"/>
        </w:rPr>
        <w:t xml:space="preserve">nd because the Shih-Kos may only use the land for a driveway, a garden planter, and a concrete </w:t>
      </w:r>
      <w:r w:rsidR="009F6E52">
        <w:rPr>
          <w:szCs w:val="26"/>
        </w:rPr>
        <w:t xml:space="preserve">block </w:t>
      </w:r>
      <w:r w:rsidR="001214A5">
        <w:rPr>
          <w:szCs w:val="26"/>
        </w:rPr>
        <w:t xml:space="preserve">wall, the Romeros retain the </w:t>
      </w:r>
      <w:r w:rsidR="0077003B">
        <w:rPr>
          <w:szCs w:val="26"/>
        </w:rPr>
        <w:t xml:space="preserve">right to </w:t>
      </w:r>
      <w:r w:rsidR="00C662E2">
        <w:rPr>
          <w:szCs w:val="26"/>
        </w:rPr>
        <w:t>terminate the easement</w:t>
      </w:r>
      <w:r w:rsidR="0077003B">
        <w:rPr>
          <w:szCs w:val="26"/>
        </w:rPr>
        <w:t xml:space="preserve"> </w:t>
      </w:r>
      <w:r w:rsidR="007E6FE0">
        <w:rPr>
          <w:szCs w:val="26"/>
        </w:rPr>
        <w:t>if the property</w:t>
      </w:r>
      <w:r w:rsidR="0077003B">
        <w:rPr>
          <w:szCs w:val="26"/>
        </w:rPr>
        <w:t xml:space="preserve"> </w:t>
      </w:r>
      <w:r w:rsidR="007E6FE0">
        <w:rPr>
          <w:szCs w:val="26"/>
        </w:rPr>
        <w:t>is</w:t>
      </w:r>
      <w:r w:rsidR="0077003B">
        <w:rPr>
          <w:szCs w:val="26"/>
        </w:rPr>
        <w:t xml:space="preserve"> used for </w:t>
      </w:r>
      <w:r w:rsidR="007E6FE0">
        <w:rPr>
          <w:szCs w:val="26"/>
        </w:rPr>
        <w:t>another purpose</w:t>
      </w:r>
      <w:r w:rsidR="0077003B">
        <w:rPr>
          <w:szCs w:val="26"/>
        </w:rPr>
        <w:t>.</w:t>
      </w:r>
      <w:r w:rsidR="001214A5">
        <w:rPr>
          <w:szCs w:val="26"/>
        </w:rPr>
        <w:t xml:space="preserve"> </w:t>
      </w:r>
      <w:r w:rsidR="00DE213A">
        <w:rPr>
          <w:szCs w:val="26"/>
        </w:rPr>
        <w:t xml:space="preserve"> </w:t>
      </w:r>
      <w:r w:rsidR="004609D3" w:rsidRPr="00295DAB">
        <w:rPr>
          <w:szCs w:val="26"/>
        </w:rPr>
        <w:t>T</w:t>
      </w:r>
      <w:r w:rsidR="00AC72D5" w:rsidRPr="00295DAB">
        <w:rPr>
          <w:szCs w:val="26"/>
        </w:rPr>
        <w:t xml:space="preserve">hese differences are sufficient to distinguish the </w:t>
      </w:r>
      <w:r w:rsidR="00B43A57" w:rsidRPr="00295DAB">
        <w:rPr>
          <w:szCs w:val="26"/>
        </w:rPr>
        <w:t xml:space="preserve">rights accorded to the Shih-Kos </w:t>
      </w:r>
      <w:r w:rsidR="00AC72D5" w:rsidRPr="00295DAB">
        <w:rPr>
          <w:szCs w:val="26"/>
        </w:rPr>
        <w:t xml:space="preserve">by the trial court from </w:t>
      </w:r>
      <w:r w:rsidR="00B43A57" w:rsidRPr="00295DAB">
        <w:rPr>
          <w:szCs w:val="26"/>
        </w:rPr>
        <w:t>a fee interest.</w:t>
      </w:r>
      <w:r w:rsidR="009C0076" w:rsidRPr="00295DAB">
        <w:rPr>
          <w:szCs w:val="26"/>
        </w:rPr>
        <w:t xml:space="preserve">  (See </w:t>
      </w:r>
      <w:r w:rsidR="009C0076" w:rsidRPr="00295DAB">
        <w:rPr>
          <w:i/>
          <w:iCs/>
          <w:szCs w:val="26"/>
        </w:rPr>
        <w:t>Gray</w:t>
      </w:r>
      <w:r w:rsidR="00473F35">
        <w:rPr>
          <w:i/>
          <w:iCs/>
          <w:szCs w:val="26"/>
        </w:rPr>
        <w:t xml:space="preserve"> v. McCormick</w:t>
      </w:r>
      <w:r w:rsidR="009C0076" w:rsidRPr="00295DAB">
        <w:rPr>
          <w:szCs w:val="26"/>
        </w:rPr>
        <w:t xml:space="preserve">, </w:t>
      </w:r>
      <w:r w:rsidR="009C0076" w:rsidRPr="00295DAB">
        <w:rPr>
          <w:i/>
          <w:iCs/>
          <w:szCs w:val="26"/>
        </w:rPr>
        <w:t>supra</w:t>
      </w:r>
      <w:r w:rsidR="009C0076" w:rsidRPr="00295DAB">
        <w:rPr>
          <w:szCs w:val="26"/>
        </w:rPr>
        <w:t xml:space="preserve">, 167 Cal.App.4th </w:t>
      </w:r>
      <w:r w:rsidR="00900D4F">
        <w:rPr>
          <w:szCs w:val="26"/>
        </w:rPr>
        <w:t>at p. </w:t>
      </w:r>
      <w:r w:rsidR="009C0076" w:rsidRPr="00295DAB">
        <w:rPr>
          <w:szCs w:val="26"/>
        </w:rPr>
        <w:t xml:space="preserve">1031 [“Here, the owners of Lot 6 have not acquired fee title to the easement area; rather, their use of the [exclusive] easement area is limited to access, ingress and egress purposes, not all conceivable uses of the property.”]; </w:t>
      </w:r>
      <w:r w:rsidR="009C0076" w:rsidRPr="00295DAB">
        <w:rPr>
          <w:i/>
          <w:iCs/>
          <w:szCs w:val="26"/>
        </w:rPr>
        <w:t>Blackmore</w:t>
      </w:r>
      <w:r w:rsidR="009C0076" w:rsidRPr="00295DAB">
        <w:rPr>
          <w:szCs w:val="26"/>
        </w:rPr>
        <w:t xml:space="preserve">, </w:t>
      </w:r>
      <w:r w:rsidR="009C0076" w:rsidRPr="00295DAB">
        <w:rPr>
          <w:i/>
          <w:iCs/>
          <w:szCs w:val="26"/>
        </w:rPr>
        <w:t>supra</w:t>
      </w:r>
      <w:r w:rsidR="009C0076" w:rsidRPr="00295DAB">
        <w:rPr>
          <w:szCs w:val="26"/>
        </w:rPr>
        <w:t>,</w:t>
      </w:r>
      <w:r w:rsidR="009C0076" w:rsidRPr="00295DAB">
        <w:rPr>
          <w:i/>
          <w:iCs/>
          <w:szCs w:val="26"/>
        </w:rPr>
        <w:t xml:space="preserve"> </w:t>
      </w:r>
      <w:r w:rsidR="009C0076" w:rsidRPr="00295DAB">
        <w:rPr>
          <w:szCs w:val="26"/>
        </w:rPr>
        <w:t>150 Cal.App.4th at p.</w:t>
      </w:r>
      <w:r w:rsidR="00180FB3" w:rsidRPr="00295DAB">
        <w:rPr>
          <w:szCs w:val="26"/>
        </w:rPr>
        <w:t> </w:t>
      </w:r>
      <w:r w:rsidR="009C0076" w:rsidRPr="00295DAB">
        <w:rPr>
          <w:szCs w:val="26"/>
        </w:rPr>
        <w:t>1600 [noting that the exclusive use of a garage on the easement area “does not rise to fee ownership” because the rights given to the easement holder were “circumscribed” and the exclusivity was “intended solely to protect these restricted rights”]</w:t>
      </w:r>
      <w:r w:rsidR="00D37572" w:rsidRPr="00295DAB">
        <w:rPr>
          <w:szCs w:val="26"/>
        </w:rPr>
        <w:t xml:space="preserve">; see also </w:t>
      </w:r>
      <w:r w:rsidR="00D37572" w:rsidRPr="0092537C">
        <w:rPr>
          <w:szCs w:val="26"/>
        </w:rPr>
        <w:t>Rest.3d Property, Servitudes</w:t>
      </w:r>
      <w:r w:rsidR="007E3905" w:rsidRPr="0092537C">
        <w:rPr>
          <w:szCs w:val="26"/>
        </w:rPr>
        <w:t xml:space="preserve">, </w:t>
      </w:r>
      <w:r w:rsidR="007E3905" w:rsidRPr="0092537C">
        <w:rPr>
          <w:i/>
          <w:iCs/>
          <w:szCs w:val="26"/>
        </w:rPr>
        <w:t>supra</w:t>
      </w:r>
      <w:r w:rsidR="007E3905" w:rsidRPr="0092537C">
        <w:rPr>
          <w:szCs w:val="26"/>
        </w:rPr>
        <w:t xml:space="preserve">, </w:t>
      </w:r>
      <w:r w:rsidR="00D37572" w:rsidRPr="0092537C">
        <w:rPr>
          <w:szCs w:val="26"/>
        </w:rPr>
        <w:lastRenderedPageBreak/>
        <w:t>§ 1.2, com.</w:t>
      </w:r>
      <w:r w:rsidR="00827E7B" w:rsidRPr="0092537C">
        <w:rPr>
          <w:szCs w:val="26"/>
        </w:rPr>
        <w:t> </w:t>
      </w:r>
      <w:r w:rsidR="00D37572" w:rsidRPr="0092537C">
        <w:rPr>
          <w:szCs w:val="26"/>
        </w:rPr>
        <w:t>d</w:t>
      </w:r>
      <w:r w:rsidR="007E3905" w:rsidRPr="0092537C">
        <w:rPr>
          <w:szCs w:val="26"/>
        </w:rPr>
        <w:t>, p. 15</w:t>
      </w:r>
      <w:r w:rsidR="00D37572" w:rsidRPr="00295DAB">
        <w:rPr>
          <w:szCs w:val="26"/>
        </w:rPr>
        <w:t xml:space="preserve"> [“Easements and profits may authorize the exclusive use of portions of the servient estate, and may involve uses that make any actual use of the premises by the transferor unlikely, but they are still considered nonpossessory interests if the transferor is not excluded from the entire parcel and retains the right to make uses that would not interfere with the easement or profit.”]</w:t>
      </w:r>
      <w:r w:rsidR="009C0076" w:rsidRPr="00295DAB">
        <w:rPr>
          <w:szCs w:val="26"/>
        </w:rPr>
        <w:t>.)</w:t>
      </w:r>
      <w:r w:rsidR="00D37572" w:rsidRPr="00295DAB">
        <w:rPr>
          <w:szCs w:val="26"/>
          <w:vertAlign w:val="superscript"/>
        </w:rPr>
        <w:t xml:space="preserve"> </w:t>
      </w:r>
    </w:p>
    <w:p w14:paraId="32AA80E4" w14:textId="77777777" w:rsidR="002A12FB" w:rsidRPr="00295DAB" w:rsidRDefault="00590CB4" w:rsidP="00295DAB">
      <w:pPr>
        <w:ind w:firstLine="720"/>
        <w:rPr>
          <w:szCs w:val="26"/>
        </w:rPr>
      </w:pPr>
      <w:r w:rsidRPr="00295DAB">
        <w:rPr>
          <w:szCs w:val="26"/>
        </w:rPr>
        <w:t>T</w:t>
      </w:r>
      <w:r w:rsidR="009C0076" w:rsidRPr="00295DAB">
        <w:rPr>
          <w:szCs w:val="26"/>
        </w:rPr>
        <w:t xml:space="preserve">he Romeros </w:t>
      </w:r>
      <w:r w:rsidRPr="00295DAB">
        <w:rPr>
          <w:szCs w:val="26"/>
        </w:rPr>
        <w:t xml:space="preserve">also </w:t>
      </w:r>
      <w:r w:rsidR="009C0076" w:rsidRPr="00295DAB">
        <w:rPr>
          <w:szCs w:val="26"/>
        </w:rPr>
        <w:t>argue that our conclusion “contravenes the fundamental maxim of jurisprudence that equity must follow the law</w:t>
      </w:r>
      <w:r w:rsidR="00D12572" w:rsidRPr="00295DAB">
        <w:rPr>
          <w:szCs w:val="26"/>
        </w:rPr>
        <w:t>.</w:t>
      </w:r>
      <w:r w:rsidR="009C0076" w:rsidRPr="00295DAB">
        <w:rPr>
          <w:szCs w:val="26"/>
        </w:rPr>
        <w:t>”</w:t>
      </w:r>
      <w:r w:rsidR="006D4A0A" w:rsidRPr="00295DAB">
        <w:rPr>
          <w:szCs w:val="26"/>
        </w:rPr>
        <w:t xml:space="preserve">  </w:t>
      </w:r>
      <w:r w:rsidR="005E12D8">
        <w:rPr>
          <w:szCs w:val="26"/>
        </w:rPr>
        <w:t xml:space="preserve">They argue that </w:t>
      </w:r>
      <w:r w:rsidR="00D12572" w:rsidRPr="00295DAB">
        <w:rPr>
          <w:szCs w:val="26"/>
        </w:rPr>
        <w:t xml:space="preserve">the Legislature has created </w:t>
      </w:r>
      <w:r w:rsidR="005E12D8">
        <w:rPr>
          <w:szCs w:val="26"/>
        </w:rPr>
        <w:t xml:space="preserve">an exclusive path </w:t>
      </w:r>
      <w:r w:rsidR="00D12572" w:rsidRPr="00295DAB">
        <w:rPr>
          <w:szCs w:val="26"/>
        </w:rPr>
        <w:t>to obtain</w:t>
      </w:r>
      <w:r w:rsidR="005E12D8">
        <w:rPr>
          <w:szCs w:val="26"/>
        </w:rPr>
        <w:t>ing</w:t>
      </w:r>
      <w:r w:rsidR="00D12572" w:rsidRPr="00295DAB">
        <w:rPr>
          <w:szCs w:val="26"/>
        </w:rPr>
        <w:t xml:space="preserve"> title to property through adverse possession, in Code of Civil Procedure section 325, and we may not circumvent those requirements by recognizing an alternative means of accomplishing the same end.  </w:t>
      </w:r>
      <w:r w:rsidR="005F4A96" w:rsidRPr="00295DAB">
        <w:rPr>
          <w:szCs w:val="26"/>
        </w:rPr>
        <w:t xml:space="preserve">(See </w:t>
      </w:r>
      <w:r w:rsidR="005F4A96" w:rsidRPr="00295DAB">
        <w:rPr>
          <w:i/>
          <w:iCs/>
          <w:szCs w:val="26"/>
        </w:rPr>
        <w:t xml:space="preserve">Marsh v. Edelstein </w:t>
      </w:r>
      <w:r w:rsidR="005F4A96" w:rsidRPr="00295DAB">
        <w:rPr>
          <w:szCs w:val="26"/>
        </w:rPr>
        <w:t xml:space="preserve">(1970) 9 Cal.App.3d 132, 140–141.)  </w:t>
      </w:r>
      <w:r w:rsidR="00D12572" w:rsidRPr="00295DAB">
        <w:rPr>
          <w:szCs w:val="26"/>
        </w:rPr>
        <w:t xml:space="preserve">But </w:t>
      </w:r>
      <w:r w:rsidR="001530B4" w:rsidRPr="00295DAB">
        <w:rPr>
          <w:szCs w:val="26"/>
        </w:rPr>
        <w:t xml:space="preserve">the Shih-Kos are not seeking to obtain title to property through adverse possession.  </w:t>
      </w:r>
      <w:r w:rsidR="0035695A" w:rsidRPr="00295DAB">
        <w:rPr>
          <w:szCs w:val="26"/>
        </w:rPr>
        <w:t>A</w:t>
      </w:r>
      <w:r w:rsidR="008A1294" w:rsidRPr="00295DAB">
        <w:rPr>
          <w:szCs w:val="26"/>
        </w:rPr>
        <w:t>s we have explained, section 1104, which codifies the doctrine of implied easements, addresses a wholly different set of circumstances than the adverse possession statute.  I</w:t>
      </w:r>
      <w:r w:rsidR="00CC7088" w:rsidRPr="00295DAB">
        <w:rPr>
          <w:szCs w:val="26"/>
        </w:rPr>
        <w:t>n holding that exclusive implied easements are not impermissible as a matter of law, we do not “lend [our] aid to accomplish by indirection what the law or its clearly defined policy forbids to be done directly.”  (</w:t>
      </w:r>
      <w:r w:rsidR="008A1294" w:rsidRPr="00295DAB">
        <w:rPr>
          <w:i/>
          <w:iCs/>
          <w:szCs w:val="26"/>
        </w:rPr>
        <w:t>Marsh</w:t>
      </w:r>
      <w:r w:rsidR="008A1294" w:rsidRPr="00295DAB">
        <w:rPr>
          <w:szCs w:val="26"/>
        </w:rPr>
        <w:t>, at p.</w:t>
      </w:r>
      <w:r w:rsidR="00180FB3" w:rsidRPr="00295DAB">
        <w:rPr>
          <w:szCs w:val="26"/>
        </w:rPr>
        <w:t> </w:t>
      </w:r>
      <w:r w:rsidR="008A1294" w:rsidRPr="00295DAB">
        <w:rPr>
          <w:szCs w:val="26"/>
        </w:rPr>
        <w:t>14</w:t>
      </w:r>
      <w:r w:rsidR="007E3905" w:rsidRPr="00295DAB">
        <w:rPr>
          <w:szCs w:val="26"/>
        </w:rPr>
        <w:t>1</w:t>
      </w:r>
      <w:r w:rsidR="00CC7088" w:rsidRPr="00295DAB">
        <w:rPr>
          <w:i/>
          <w:iCs/>
          <w:szCs w:val="26"/>
        </w:rPr>
        <w:t>.</w:t>
      </w:r>
      <w:r w:rsidR="00CC7088" w:rsidRPr="00295DAB">
        <w:rPr>
          <w:szCs w:val="26"/>
        </w:rPr>
        <w:t xml:space="preserve">)  Instead, we </w:t>
      </w:r>
      <w:r w:rsidR="008A1294" w:rsidRPr="00295DAB">
        <w:rPr>
          <w:szCs w:val="26"/>
        </w:rPr>
        <w:t xml:space="preserve">interpret and apply section 1104 “in </w:t>
      </w:r>
      <w:r w:rsidR="007E3905" w:rsidRPr="00295DAB">
        <w:rPr>
          <w:szCs w:val="26"/>
        </w:rPr>
        <w:t xml:space="preserve">the </w:t>
      </w:r>
      <w:r w:rsidR="008A1294" w:rsidRPr="00295DAB">
        <w:rPr>
          <w:szCs w:val="26"/>
        </w:rPr>
        <w:t>light of the common law rules governing easements by implication.”  (</w:t>
      </w:r>
      <w:r w:rsidR="008A1294" w:rsidRPr="00295DAB">
        <w:rPr>
          <w:i/>
          <w:iCs/>
          <w:szCs w:val="26"/>
        </w:rPr>
        <w:t>Fristoe</w:t>
      </w:r>
      <w:r w:rsidR="008A1294" w:rsidRPr="00295DAB">
        <w:rPr>
          <w:szCs w:val="26"/>
        </w:rPr>
        <w:t xml:space="preserve">, </w:t>
      </w:r>
      <w:r w:rsidR="008A1294" w:rsidRPr="00295DAB">
        <w:rPr>
          <w:i/>
          <w:iCs/>
          <w:szCs w:val="26"/>
        </w:rPr>
        <w:t>supra</w:t>
      </w:r>
      <w:r w:rsidR="008A1294" w:rsidRPr="00295DAB">
        <w:rPr>
          <w:szCs w:val="26"/>
        </w:rPr>
        <w:t>, 35 Cal.2d at p.</w:t>
      </w:r>
      <w:r w:rsidR="00180FB3" w:rsidRPr="00295DAB">
        <w:rPr>
          <w:szCs w:val="26"/>
        </w:rPr>
        <w:t> </w:t>
      </w:r>
      <w:r w:rsidR="007E3905" w:rsidRPr="00295DAB">
        <w:rPr>
          <w:szCs w:val="26"/>
        </w:rPr>
        <w:t>9</w:t>
      </w:r>
      <w:r w:rsidR="008A1294" w:rsidRPr="00295DAB">
        <w:rPr>
          <w:szCs w:val="26"/>
        </w:rPr>
        <w:t>.)</w:t>
      </w:r>
      <w:bookmarkEnd w:id="9"/>
    </w:p>
    <w:p w14:paraId="32AA80E5" w14:textId="77777777" w:rsidR="00712CA4" w:rsidRPr="00295DAB" w:rsidRDefault="00590CB4" w:rsidP="00712CA4">
      <w:pPr>
        <w:ind w:firstLine="720"/>
        <w:rPr>
          <w:szCs w:val="26"/>
        </w:rPr>
      </w:pPr>
      <w:r w:rsidRPr="00295DAB">
        <w:rPr>
          <w:szCs w:val="26"/>
        </w:rPr>
        <w:t>Finally, i</w:t>
      </w:r>
      <w:r w:rsidR="00652D16" w:rsidRPr="00295DAB">
        <w:rPr>
          <w:szCs w:val="26"/>
        </w:rPr>
        <w:t>n their answering brief, the Romeros argue that the trial court’s judgment recognizing an exclusive implied easement violates the Due Process and Takings Clauses of the Fifth Amendment.</w:t>
      </w:r>
      <w:r w:rsidR="00045EC1" w:rsidRPr="00295DAB">
        <w:rPr>
          <w:szCs w:val="26"/>
        </w:rPr>
        <w:t xml:space="preserve"> </w:t>
      </w:r>
      <w:r w:rsidR="00652D16" w:rsidRPr="00295DAB">
        <w:rPr>
          <w:szCs w:val="26"/>
        </w:rPr>
        <w:t xml:space="preserve"> </w:t>
      </w:r>
      <w:r w:rsidR="000A2B0A">
        <w:rPr>
          <w:szCs w:val="26"/>
        </w:rPr>
        <w:t xml:space="preserve">The Romeros did not raise this issue below and therefore have forfeited the objection.  </w:t>
      </w:r>
      <w:r w:rsidR="00CB4264" w:rsidRPr="00295DAB">
        <w:rPr>
          <w:szCs w:val="26"/>
        </w:rPr>
        <w:t>(</w:t>
      </w:r>
      <w:r w:rsidR="003E4565" w:rsidRPr="00295DAB">
        <w:rPr>
          <w:szCs w:val="26"/>
        </w:rPr>
        <w:t xml:space="preserve">Cal. Rules of Court, </w:t>
      </w:r>
      <w:r w:rsidR="003E4565" w:rsidRPr="00295DAB">
        <w:rPr>
          <w:szCs w:val="26"/>
        </w:rPr>
        <w:lastRenderedPageBreak/>
        <w:t>rule 8.500(c)(1); s</w:t>
      </w:r>
      <w:r w:rsidR="00CB4264" w:rsidRPr="00295DAB">
        <w:rPr>
          <w:szCs w:val="26"/>
        </w:rPr>
        <w:t>ee</w:t>
      </w:r>
      <w:r w:rsidR="00B562D8">
        <w:rPr>
          <w:szCs w:val="26"/>
        </w:rPr>
        <w:t xml:space="preserve">, </w:t>
      </w:r>
      <w:r w:rsidR="00CB4264" w:rsidRPr="00295DAB">
        <w:rPr>
          <w:szCs w:val="26"/>
        </w:rPr>
        <w:t xml:space="preserve">e.g., </w:t>
      </w:r>
      <w:r w:rsidR="00502D52">
        <w:rPr>
          <w:i/>
          <w:iCs/>
          <w:szCs w:val="26"/>
        </w:rPr>
        <w:t>Lewis v. Superior Court</w:t>
      </w:r>
      <w:r w:rsidR="00502D52">
        <w:rPr>
          <w:szCs w:val="26"/>
        </w:rPr>
        <w:t xml:space="preserve"> (2017) 3 Cal.5th 561, 578.)  </w:t>
      </w:r>
      <w:r w:rsidR="00BC2F5B">
        <w:rPr>
          <w:szCs w:val="26"/>
        </w:rPr>
        <w:t>But the argument is without merit in any event.</w:t>
      </w:r>
      <w:r w:rsidR="00AD0708">
        <w:rPr>
          <w:szCs w:val="26"/>
        </w:rPr>
        <w:t xml:space="preserve">  </w:t>
      </w:r>
      <w:r w:rsidR="00EC2ABB" w:rsidRPr="00295DAB">
        <w:rPr>
          <w:szCs w:val="26"/>
        </w:rPr>
        <w:t>The trial court</w:t>
      </w:r>
      <w:r w:rsidR="00AD0708">
        <w:rPr>
          <w:szCs w:val="26"/>
        </w:rPr>
        <w:t xml:space="preserve">’s implied easement finding did not result in the </w:t>
      </w:r>
      <w:r w:rsidR="00AD0708">
        <w:rPr>
          <w:i/>
          <w:iCs/>
          <w:szCs w:val="26"/>
        </w:rPr>
        <w:t>creation</w:t>
      </w:r>
      <w:r w:rsidR="00AD0708">
        <w:rPr>
          <w:szCs w:val="26"/>
        </w:rPr>
        <w:t xml:space="preserve"> of any new property rights; it instead clarified the respective rights of the neighbors as determined by the intentions of the parties </w:t>
      </w:r>
      <w:r w:rsidR="0096113A">
        <w:rPr>
          <w:szCs w:val="26"/>
        </w:rPr>
        <w:t xml:space="preserve">at the time the two adjacent parcels were severed and sold to third parties.  </w:t>
      </w:r>
      <w:r w:rsidR="005C1661" w:rsidRPr="00295DAB">
        <w:rPr>
          <w:szCs w:val="26"/>
        </w:rPr>
        <w:t xml:space="preserve">(See § 1104 [providing that the </w:t>
      </w:r>
      <w:r w:rsidR="001C5864" w:rsidRPr="00295DAB">
        <w:rPr>
          <w:szCs w:val="26"/>
        </w:rPr>
        <w:t xml:space="preserve">implied easement passes </w:t>
      </w:r>
      <w:r w:rsidR="005C1661" w:rsidRPr="00295DAB">
        <w:rPr>
          <w:szCs w:val="26"/>
        </w:rPr>
        <w:t>at the time of the transfer that divides the grantor’s estate].)</w:t>
      </w:r>
      <w:r w:rsidR="00EC2ABB" w:rsidRPr="00295DAB">
        <w:rPr>
          <w:szCs w:val="26"/>
        </w:rPr>
        <w:t xml:space="preserve"> </w:t>
      </w:r>
      <w:r w:rsidR="005C1661" w:rsidRPr="00295DAB">
        <w:rPr>
          <w:szCs w:val="26"/>
        </w:rPr>
        <w:t xml:space="preserve"> </w:t>
      </w:r>
      <w:r w:rsidR="00EC2ABB" w:rsidRPr="00295DAB">
        <w:rPr>
          <w:szCs w:val="26"/>
        </w:rPr>
        <w:t xml:space="preserve">In other words, the </w:t>
      </w:r>
      <w:r w:rsidR="007A37F9">
        <w:rPr>
          <w:szCs w:val="26"/>
        </w:rPr>
        <w:t xml:space="preserve">trial court’s finding means the </w:t>
      </w:r>
      <w:r w:rsidR="00EC2ABB" w:rsidRPr="00295DAB">
        <w:rPr>
          <w:szCs w:val="26"/>
        </w:rPr>
        <w:t>Romeros purchased the 651 Property subject to the implied easement</w:t>
      </w:r>
      <w:r w:rsidR="005F4E66" w:rsidRPr="00295DAB">
        <w:rPr>
          <w:szCs w:val="26"/>
        </w:rPr>
        <w:t xml:space="preserve">; </w:t>
      </w:r>
      <w:r w:rsidR="00A10493">
        <w:rPr>
          <w:szCs w:val="26"/>
        </w:rPr>
        <w:t xml:space="preserve">their bundle of property rights never included the right to make </w:t>
      </w:r>
      <w:r w:rsidR="00BE075E">
        <w:rPr>
          <w:szCs w:val="26"/>
        </w:rPr>
        <w:t xml:space="preserve">practical </w:t>
      </w:r>
      <w:r w:rsidR="00A10493">
        <w:rPr>
          <w:szCs w:val="26"/>
        </w:rPr>
        <w:t>use of the easement’s surface area</w:t>
      </w:r>
      <w:r w:rsidR="00181422" w:rsidRPr="00295DAB">
        <w:rPr>
          <w:szCs w:val="26"/>
        </w:rPr>
        <w:t>.</w:t>
      </w:r>
      <w:r w:rsidR="00B00C79" w:rsidRPr="00295DAB">
        <w:rPr>
          <w:szCs w:val="26"/>
        </w:rPr>
        <w:t xml:space="preserve">  </w:t>
      </w:r>
      <w:r w:rsidR="00911B39">
        <w:rPr>
          <w:szCs w:val="26"/>
        </w:rPr>
        <w:t xml:space="preserve">This is not a </w:t>
      </w:r>
      <w:r>
        <w:rPr>
          <w:szCs w:val="26"/>
        </w:rPr>
        <w:t xml:space="preserve">taking.  </w:t>
      </w:r>
      <w:r w:rsidRPr="00295DAB">
        <w:rPr>
          <w:szCs w:val="26"/>
        </w:rPr>
        <w:t>(</w:t>
      </w:r>
      <w:r w:rsidRPr="00295DAB">
        <w:rPr>
          <w:i/>
          <w:iCs/>
          <w:szCs w:val="26"/>
        </w:rPr>
        <w:t xml:space="preserve">Stop the Beach Renourishment, Inc. v. Florida Dept. of Environmental Protection </w:t>
      </w:r>
      <w:r w:rsidRPr="00295DAB">
        <w:rPr>
          <w:szCs w:val="26"/>
        </w:rPr>
        <w:t xml:space="preserve">(2010) 560 U.S. 702, 715 (plur. opn. of Scalia, J.); </w:t>
      </w:r>
      <w:r w:rsidRPr="00295DAB">
        <w:rPr>
          <w:i/>
          <w:iCs/>
          <w:szCs w:val="26"/>
        </w:rPr>
        <w:t>id.</w:t>
      </w:r>
      <w:r w:rsidRPr="00295DAB">
        <w:rPr>
          <w:szCs w:val="26"/>
        </w:rPr>
        <w:t xml:space="preserve"> at p. 727 [“And insofar as courts merel</w:t>
      </w:r>
      <w:r w:rsidRPr="00295DAB">
        <w:rPr>
          <w:szCs w:val="26"/>
        </w:rPr>
        <w:t>y clarify and elaborate property entitlements that were previously unclear, they cannot be said to have taken an established property right.”].)</w:t>
      </w:r>
    </w:p>
    <w:p w14:paraId="32AA80E6" w14:textId="77777777" w:rsidR="001F2BDB" w:rsidRDefault="00590CB4" w:rsidP="00295DAB">
      <w:pPr>
        <w:ind w:firstLine="720"/>
        <w:rPr>
          <w:szCs w:val="26"/>
        </w:rPr>
      </w:pPr>
      <w:r w:rsidRPr="00295DAB">
        <w:rPr>
          <w:szCs w:val="26"/>
        </w:rPr>
        <w:t>Our conclusion does not end the proceedings</w:t>
      </w:r>
      <w:r w:rsidR="00362BE1" w:rsidRPr="00295DAB">
        <w:rPr>
          <w:szCs w:val="26"/>
        </w:rPr>
        <w:t xml:space="preserve"> in this case</w:t>
      </w:r>
      <w:r w:rsidRPr="00295DAB">
        <w:rPr>
          <w:szCs w:val="26"/>
        </w:rPr>
        <w:t xml:space="preserve">.  </w:t>
      </w:r>
      <w:r w:rsidR="00362BE1" w:rsidRPr="00295DAB">
        <w:rPr>
          <w:szCs w:val="26"/>
        </w:rPr>
        <w:t>As noted, t</w:t>
      </w:r>
      <w:r w:rsidRPr="00295DAB">
        <w:rPr>
          <w:szCs w:val="26"/>
        </w:rPr>
        <w:t>he Romeros contend that even if the law p</w:t>
      </w:r>
      <w:r w:rsidRPr="00295DAB">
        <w:rPr>
          <w:szCs w:val="26"/>
        </w:rPr>
        <w:t xml:space="preserve">ermits </w:t>
      </w:r>
      <w:r w:rsidR="00BE075E">
        <w:rPr>
          <w:szCs w:val="26"/>
        </w:rPr>
        <w:t>exclusive</w:t>
      </w:r>
      <w:r w:rsidRPr="00295DAB">
        <w:rPr>
          <w:szCs w:val="26"/>
        </w:rPr>
        <w:t xml:space="preserve"> easements by implication, substantial evidence does not support the trial court’s conclusion that an implied easement exists in this case.  Based on its conclusions </w:t>
      </w:r>
      <w:r w:rsidR="008C378B" w:rsidRPr="00295DAB">
        <w:rPr>
          <w:szCs w:val="26"/>
        </w:rPr>
        <w:t>on the exclusivity issue, t</w:t>
      </w:r>
      <w:r w:rsidRPr="00295DAB">
        <w:rPr>
          <w:szCs w:val="26"/>
        </w:rPr>
        <w:t xml:space="preserve">he Court of Appeal </w:t>
      </w:r>
      <w:r w:rsidR="008C378B" w:rsidRPr="00295DAB">
        <w:rPr>
          <w:szCs w:val="26"/>
        </w:rPr>
        <w:t>declined to evaluate the evidentiary support for the trial court’s finding</w:t>
      </w:r>
      <w:r w:rsidRPr="00295DAB">
        <w:rPr>
          <w:szCs w:val="26"/>
        </w:rPr>
        <w:t xml:space="preserve">.  </w:t>
      </w:r>
      <w:r w:rsidR="008C378B" w:rsidRPr="00295DAB">
        <w:rPr>
          <w:szCs w:val="26"/>
        </w:rPr>
        <w:t>We now remand for the Court of Appeal to consider the question.</w:t>
      </w:r>
      <w:r w:rsidR="003709CA" w:rsidRPr="00295DAB">
        <w:rPr>
          <w:szCs w:val="26"/>
        </w:rPr>
        <w:t xml:space="preserve">  </w:t>
      </w:r>
      <w:bookmarkStart w:id="11" w:name="_Hlk144197609"/>
    </w:p>
    <w:p w14:paraId="32AA80E7" w14:textId="77777777" w:rsidR="00E9204A" w:rsidRPr="008C1787" w:rsidRDefault="00590CB4" w:rsidP="00696232">
      <w:pPr>
        <w:ind w:firstLine="720"/>
        <w:rPr>
          <w:szCs w:val="26"/>
        </w:rPr>
      </w:pPr>
      <w:r w:rsidRPr="00295DAB">
        <w:rPr>
          <w:szCs w:val="26"/>
        </w:rPr>
        <w:t>To the extent the Romeros challenge the evidentiary showing of intent to create an easement across their property,</w:t>
      </w:r>
      <w:r>
        <w:rPr>
          <w:szCs w:val="26"/>
        </w:rPr>
        <w:t xml:space="preserve"> the </w:t>
      </w:r>
      <w:r w:rsidRPr="00295DAB">
        <w:rPr>
          <w:szCs w:val="26"/>
        </w:rPr>
        <w:t xml:space="preserve">issue for the court to consider is whether the evidence shows that the parties </w:t>
      </w:r>
      <w:r>
        <w:rPr>
          <w:szCs w:val="26"/>
        </w:rPr>
        <w:t xml:space="preserve">clearly </w:t>
      </w:r>
      <w:r w:rsidRPr="00295DAB">
        <w:rPr>
          <w:szCs w:val="26"/>
        </w:rPr>
        <w:t xml:space="preserve">intended for the preexisting use of the quasi-servient tenement to continue after the separation of title.  </w:t>
      </w:r>
      <w:r w:rsidR="00ED7672">
        <w:rPr>
          <w:szCs w:val="26"/>
        </w:rPr>
        <w:lastRenderedPageBreak/>
        <w:t xml:space="preserve">Remarking on this issue, </w:t>
      </w:r>
      <w:r w:rsidR="001F2BDB">
        <w:rPr>
          <w:szCs w:val="26"/>
        </w:rPr>
        <w:t>the Court of Appeal suggested, without formally deciding, that this question may be answered by evidence indicating that “the original grantor Edwin Cutler’s intent was . . . to effectuate a variance/lot line adjustment between the 643 and 651 properties.”  (</w:t>
      </w:r>
      <w:r w:rsidR="001F2BDB">
        <w:rPr>
          <w:i/>
          <w:iCs/>
          <w:szCs w:val="26"/>
        </w:rPr>
        <w:t>Romero, supra</w:t>
      </w:r>
      <w:r w:rsidR="001F2BDB">
        <w:rPr>
          <w:szCs w:val="26"/>
        </w:rPr>
        <w:t xml:space="preserve">, 78 Cal.App.5th at p. 354.) </w:t>
      </w:r>
      <w:r w:rsidR="001F2BDB">
        <w:rPr>
          <w:i/>
          <w:iCs/>
          <w:szCs w:val="26"/>
        </w:rPr>
        <w:t xml:space="preserve"> </w:t>
      </w:r>
      <w:r w:rsidR="00B91423">
        <w:rPr>
          <w:szCs w:val="26"/>
        </w:rPr>
        <w:t>We note, however, that c</w:t>
      </w:r>
      <w:r w:rsidR="001F2BDB">
        <w:rPr>
          <w:szCs w:val="26"/>
        </w:rPr>
        <w:t xml:space="preserve">onsidered in the abstract, evidence that a party intended to effectuate a variance does not eliminate the possibility that the parties also intended for the preexisting use of the quasi-servient tenement to continue after the separation of title.  </w:t>
      </w:r>
      <w:bookmarkEnd w:id="11"/>
      <w:r w:rsidR="00D13778">
        <w:rPr>
          <w:szCs w:val="26"/>
        </w:rPr>
        <w:t xml:space="preserve">We express no view on the issue as it arises in this case, nor do we express any view on the weight or significance to be given to the evidence of the </w:t>
      </w:r>
      <w:r w:rsidR="003A7101">
        <w:rPr>
          <w:szCs w:val="26"/>
        </w:rPr>
        <w:t>u</w:t>
      </w:r>
      <w:r w:rsidR="005F7160">
        <w:rPr>
          <w:szCs w:val="26"/>
        </w:rPr>
        <w:t>ncomplete</w:t>
      </w:r>
      <w:r w:rsidR="003A7101">
        <w:rPr>
          <w:szCs w:val="26"/>
        </w:rPr>
        <w:t>d</w:t>
      </w:r>
      <w:r w:rsidR="005F7160">
        <w:rPr>
          <w:szCs w:val="26"/>
        </w:rPr>
        <w:t xml:space="preserve"> </w:t>
      </w:r>
      <w:r w:rsidR="00D13778">
        <w:rPr>
          <w:szCs w:val="26"/>
        </w:rPr>
        <w:t>lot line adjustment among the other relevant facts presented here.  The matter is for the Court of Appeal to resolve in the first instance</w:t>
      </w:r>
      <w:r w:rsidR="00382CE8" w:rsidRPr="00295DAB">
        <w:rPr>
          <w:szCs w:val="26"/>
        </w:rPr>
        <w:t>.</w:t>
      </w:r>
    </w:p>
    <w:p w14:paraId="32AA80E8" w14:textId="77777777" w:rsidR="00982E94" w:rsidRPr="00295DAB" w:rsidRDefault="00590CB4" w:rsidP="00BC116F">
      <w:pPr>
        <w:jc w:val="center"/>
        <w:rPr>
          <w:szCs w:val="26"/>
        </w:rPr>
      </w:pPr>
      <w:r w:rsidRPr="00295DAB">
        <w:rPr>
          <w:b/>
          <w:bCs/>
          <w:szCs w:val="26"/>
        </w:rPr>
        <w:t>III.</w:t>
      </w:r>
    </w:p>
    <w:p w14:paraId="32AA80E9" w14:textId="77777777" w:rsidR="0060307D" w:rsidRPr="00295DAB" w:rsidRDefault="00590CB4" w:rsidP="00295DAB">
      <w:pPr>
        <w:ind w:firstLine="720"/>
        <w:rPr>
          <w:szCs w:val="26"/>
        </w:rPr>
      </w:pPr>
      <w:r w:rsidRPr="00295DAB">
        <w:rPr>
          <w:szCs w:val="26"/>
        </w:rPr>
        <w:t>We reverse the judgment of the Court of Appeal as to the cause of action for the implied easement and remand for further proceedings consistent with this opinion.</w:t>
      </w:r>
    </w:p>
    <w:p w14:paraId="32AA80EA" w14:textId="77777777" w:rsidR="00180FB3" w:rsidRPr="00295DAB" w:rsidRDefault="00180FB3" w:rsidP="00295DAB">
      <w:pPr>
        <w:ind w:firstLine="720"/>
        <w:rPr>
          <w:szCs w:val="26"/>
        </w:rPr>
      </w:pPr>
    </w:p>
    <w:p w14:paraId="32AA80EB" w14:textId="77777777" w:rsidR="00180FB3" w:rsidRPr="00EB13D5" w:rsidRDefault="00590CB4" w:rsidP="00295DAB">
      <w:pPr>
        <w:ind w:firstLine="720"/>
        <w:rPr>
          <w:b/>
          <w:bCs/>
          <w:szCs w:val="26"/>
        </w:rPr>
      </w:pPr>
      <w:r w:rsidRPr="00295DAB">
        <w:rPr>
          <w:szCs w:val="26"/>
        </w:rPr>
        <w:tab/>
      </w:r>
      <w:r w:rsidRPr="00295DAB">
        <w:rPr>
          <w:szCs w:val="26"/>
        </w:rPr>
        <w:tab/>
      </w:r>
      <w:r w:rsidRPr="00295DAB">
        <w:rPr>
          <w:szCs w:val="26"/>
        </w:rPr>
        <w:tab/>
      </w:r>
      <w:r w:rsidRPr="00295DAB">
        <w:rPr>
          <w:szCs w:val="26"/>
        </w:rPr>
        <w:tab/>
      </w:r>
      <w:r w:rsidRPr="00295DAB">
        <w:rPr>
          <w:szCs w:val="26"/>
        </w:rPr>
        <w:tab/>
      </w:r>
      <w:r w:rsidRPr="00295DAB">
        <w:rPr>
          <w:szCs w:val="26"/>
        </w:rPr>
        <w:tab/>
      </w:r>
      <w:r w:rsidR="00EB13D5">
        <w:rPr>
          <w:szCs w:val="26"/>
        </w:rPr>
        <w:t xml:space="preserve">             </w:t>
      </w:r>
      <w:r w:rsidRPr="00EB13D5">
        <w:rPr>
          <w:b/>
          <w:bCs/>
          <w:szCs w:val="26"/>
        </w:rPr>
        <w:t>KRUGER, J.</w:t>
      </w:r>
    </w:p>
    <w:p w14:paraId="32AA80EC" w14:textId="77777777" w:rsidR="008E56F9" w:rsidRDefault="00590CB4" w:rsidP="00295DAB">
      <w:pPr>
        <w:rPr>
          <w:b/>
          <w:bCs/>
          <w:szCs w:val="26"/>
        </w:rPr>
      </w:pPr>
      <w:r w:rsidRPr="00EB13D5">
        <w:rPr>
          <w:b/>
          <w:bCs/>
          <w:szCs w:val="26"/>
        </w:rPr>
        <w:t>We Concur:</w:t>
      </w:r>
      <w:bookmarkEnd w:id="1"/>
    </w:p>
    <w:p w14:paraId="32AA80ED" w14:textId="77777777" w:rsidR="002D2DDA" w:rsidRDefault="00590CB4" w:rsidP="002D2DDA">
      <w:pPr>
        <w:spacing w:after="0" w:line="240" w:lineRule="auto"/>
        <w:rPr>
          <w:b/>
          <w:bCs/>
          <w:szCs w:val="26"/>
        </w:rPr>
      </w:pPr>
      <w:r>
        <w:rPr>
          <w:b/>
          <w:bCs/>
          <w:szCs w:val="26"/>
        </w:rPr>
        <w:t>GUERRERO, C. J.</w:t>
      </w:r>
    </w:p>
    <w:p w14:paraId="32AA80EE" w14:textId="77777777" w:rsidR="002D2DDA" w:rsidRDefault="00590CB4" w:rsidP="002D2DDA">
      <w:pPr>
        <w:spacing w:after="0" w:line="240" w:lineRule="auto"/>
        <w:rPr>
          <w:b/>
          <w:bCs/>
          <w:szCs w:val="26"/>
        </w:rPr>
      </w:pPr>
      <w:r>
        <w:rPr>
          <w:b/>
          <w:bCs/>
          <w:szCs w:val="26"/>
        </w:rPr>
        <w:t>CORRIGAN, J.</w:t>
      </w:r>
    </w:p>
    <w:p w14:paraId="32AA80EF" w14:textId="77777777" w:rsidR="002D2DDA" w:rsidRDefault="00590CB4" w:rsidP="002D2DDA">
      <w:pPr>
        <w:spacing w:after="0" w:line="240" w:lineRule="auto"/>
        <w:rPr>
          <w:b/>
          <w:bCs/>
          <w:szCs w:val="26"/>
        </w:rPr>
      </w:pPr>
      <w:r>
        <w:rPr>
          <w:b/>
          <w:bCs/>
          <w:szCs w:val="26"/>
        </w:rPr>
        <w:t>LIU, J.</w:t>
      </w:r>
    </w:p>
    <w:p w14:paraId="32AA80F0" w14:textId="77777777" w:rsidR="002D2DDA" w:rsidRDefault="00590CB4" w:rsidP="002D2DDA">
      <w:pPr>
        <w:spacing w:after="0" w:line="240" w:lineRule="auto"/>
        <w:rPr>
          <w:b/>
          <w:bCs/>
          <w:szCs w:val="26"/>
        </w:rPr>
      </w:pPr>
      <w:r>
        <w:rPr>
          <w:b/>
          <w:bCs/>
          <w:szCs w:val="26"/>
        </w:rPr>
        <w:t>GROBAN, J.</w:t>
      </w:r>
    </w:p>
    <w:p w14:paraId="32AA80F1" w14:textId="77777777" w:rsidR="002D2DDA" w:rsidRDefault="00590CB4" w:rsidP="002D2DDA">
      <w:pPr>
        <w:spacing w:after="0" w:line="240" w:lineRule="auto"/>
        <w:rPr>
          <w:b/>
          <w:bCs/>
          <w:szCs w:val="26"/>
        </w:rPr>
      </w:pPr>
      <w:r>
        <w:rPr>
          <w:b/>
          <w:bCs/>
          <w:szCs w:val="26"/>
        </w:rPr>
        <w:t>JENKINS, J.</w:t>
      </w:r>
    </w:p>
    <w:p w14:paraId="32AA80F2" w14:textId="77777777" w:rsidR="002D2DDA" w:rsidRPr="00EB13D5" w:rsidRDefault="00590CB4" w:rsidP="002D2DDA">
      <w:pPr>
        <w:spacing w:after="0" w:line="240" w:lineRule="auto"/>
        <w:rPr>
          <w:b/>
          <w:bCs/>
          <w:szCs w:val="26"/>
        </w:rPr>
      </w:pPr>
      <w:r>
        <w:rPr>
          <w:b/>
          <w:bCs/>
          <w:szCs w:val="26"/>
        </w:rPr>
        <w:t>EVANS, J.</w:t>
      </w:r>
    </w:p>
    <w:p w14:paraId="6CD5033C" w14:textId="77777777" w:rsidR="002D31A2" w:rsidRDefault="002D31A2" w:rsidP="00295DAB">
      <w:pPr>
        <w:rPr>
          <w:b/>
          <w:bCs/>
          <w:szCs w:val="26"/>
        </w:rPr>
        <w:sectPr w:rsidR="002D31A2" w:rsidSect="00295DAB">
          <w:footerReference w:type="first" r:id="rId14"/>
          <w:pgSz w:w="12240" w:h="15840"/>
          <w:pgMar w:top="1800" w:right="2160" w:bottom="1440" w:left="2160" w:header="720" w:footer="720" w:gutter="0"/>
          <w:pgNumType w:start="1"/>
          <w:cols w:space="720"/>
          <w:titlePg/>
          <w:docGrid w:linePitch="367"/>
        </w:sectPr>
      </w:pPr>
    </w:p>
    <w:p w14:paraId="2C990EB9" w14:textId="77777777" w:rsidR="00F56C3C" w:rsidRPr="00F56C3C" w:rsidRDefault="00F56C3C" w:rsidP="00F56C3C">
      <w:pPr>
        <w:spacing w:after="0" w:line="240" w:lineRule="auto"/>
        <w:jc w:val="left"/>
        <w:rPr>
          <w:i/>
          <w:sz w:val="24"/>
          <w:szCs w:val="24"/>
        </w:rPr>
      </w:pPr>
      <w:r w:rsidRPr="00F56C3C">
        <w:rPr>
          <w:i/>
          <w:sz w:val="24"/>
          <w:szCs w:val="24"/>
        </w:rPr>
        <w:lastRenderedPageBreak/>
        <w:t>See next page for addresses and telephone numbers for counsel who argued in Supreme Court.</w:t>
      </w:r>
    </w:p>
    <w:p w14:paraId="06D6A5D4" w14:textId="77777777" w:rsidR="00F56C3C" w:rsidRPr="00F56C3C" w:rsidRDefault="00F56C3C" w:rsidP="00F56C3C">
      <w:pPr>
        <w:spacing w:after="0" w:line="240" w:lineRule="auto"/>
        <w:jc w:val="left"/>
        <w:rPr>
          <w:i/>
          <w:sz w:val="24"/>
          <w:szCs w:val="24"/>
        </w:rPr>
      </w:pPr>
    </w:p>
    <w:p w14:paraId="73A46897" w14:textId="77777777" w:rsidR="00F56C3C" w:rsidRPr="00F56C3C" w:rsidRDefault="00F56C3C" w:rsidP="00F56C3C">
      <w:pPr>
        <w:spacing w:after="0" w:line="240" w:lineRule="auto"/>
        <w:jc w:val="left"/>
        <w:rPr>
          <w:bCs/>
          <w:sz w:val="24"/>
          <w:szCs w:val="24"/>
        </w:rPr>
      </w:pPr>
      <w:r w:rsidRPr="00F56C3C">
        <w:rPr>
          <w:b/>
          <w:sz w:val="24"/>
          <w:szCs w:val="24"/>
        </w:rPr>
        <w:t xml:space="preserve">Name of Opinion  </w:t>
      </w:r>
      <w:r w:rsidRPr="00F56C3C">
        <w:rPr>
          <w:bCs/>
          <w:sz w:val="24"/>
          <w:szCs w:val="24"/>
        </w:rPr>
        <w:t>Romero v. Shih</w:t>
      </w:r>
    </w:p>
    <w:p w14:paraId="054D5A00" w14:textId="77777777" w:rsidR="00F56C3C" w:rsidRPr="00F56C3C" w:rsidRDefault="00F56C3C" w:rsidP="00F56C3C">
      <w:pPr>
        <w:spacing w:after="0" w:line="240" w:lineRule="auto"/>
        <w:jc w:val="left"/>
        <w:rPr>
          <w:b/>
          <w:sz w:val="24"/>
          <w:szCs w:val="24"/>
        </w:rPr>
      </w:pPr>
      <w:r w:rsidRPr="00F56C3C">
        <w:rPr>
          <w:b/>
          <w:sz w:val="24"/>
          <w:szCs w:val="24"/>
        </w:rPr>
        <w:t xml:space="preserve">__________________________________________________________ </w:t>
      </w:r>
    </w:p>
    <w:p w14:paraId="03827045" w14:textId="77777777" w:rsidR="00F56C3C" w:rsidRPr="00F56C3C" w:rsidRDefault="00F56C3C" w:rsidP="00F56C3C">
      <w:pPr>
        <w:spacing w:after="0" w:line="240" w:lineRule="auto"/>
        <w:jc w:val="left"/>
        <w:rPr>
          <w:b/>
          <w:sz w:val="24"/>
          <w:szCs w:val="24"/>
        </w:rPr>
      </w:pPr>
    </w:p>
    <w:p w14:paraId="3E19B85F" w14:textId="77777777" w:rsidR="00F56C3C" w:rsidRPr="00F56C3C" w:rsidRDefault="00F56C3C" w:rsidP="00F56C3C">
      <w:pPr>
        <w:spacing w:after="0" w:line="240" w:lineRule="auto"/>
        <w:jc w:val="left"/>
        <w:rPr>
          <w:sz w:val="24"/>
          <w:szCs w:val="24"/>
        </w:rPr>
      </w:pPr>
      <w:r w:rsidRPr="00F56C3C">
        <w:rPr>
          <w:b/>
          <w:bCs/>
          <w:sz w:val="24"/>
          <w:szCs w:val="24"/>
          <w:u w:val="single"/>
        </w:rPr>
        <w:t>Procedural Posture</w:t>
      </w:r>
      <w:r w:rsidRPr="00F56C3C">
        <w:rPr>
          <w:b/>
          <w:bCs/>
          <w:sz w:val="24"/>
          <w:szCs w:val="24"/>
        </w:rPr>
        <w:t xml:space="preserve"> </w:t>
      </w:r>
      <w:r w:rsidRPr="00F56C3C">
        <w:rPr>
          <w:sz w:val="24"/>
          <w:szCs w:val="24"/>
        </w:rPr>
        <w:t>(see XX below)</w:t>
      </w:r>
    </w:p>
    <w:p w14:paraId="7BC2DBEA" w14:textId="77777777" w:rsidR="00F56C3C" w:rsidRPr="00F56C3C" w:rsidRDefault="00F56C3C" w:rsidP="00F56C3C">
      <w:pPr>
        <w:spacing w:after="0" w:line="240" w:lineRule="auto"/>
        <w:jc w:val="left"/>
        <w:rPr>
          <w:sz w:val="24"/>
          <w:szCs w:val="24"/>
        </w:rPr>
      </w:pPr>
      <w:r w:rsidRPr="00F56C3C">
        <w:rPr>
          <w:b/>
          <w:bCs/>
          <w:sz w:val="24"/>
          <w:szCs w:val="24"/>
        </w:rPr>
        <w:t>Original Appeal</w:t>
      </w:r>
      <w:r w:rsidRPr="00F56C3C">
        <w:rPr>
          <w:sz w:val="24"/>
          <w:szCs w:val="24"/>
        </w:rPr>
        <w:t xml:space="preserve"> </w:t>
      </w:r>
    </w:p>
    <w:p w14:paraId="7D7BA42E" w14:textId="77777777" w:rsidR="00F56C3C" w:rsidRPr="00F56C3C" w:rsidRDefault="00F56C3C" w:rsidP="00F56C3C">
      <w:pPr>
        <w:spacing w:after="0" w:line="240" w:lineRule="auto"/>
        <w:jc w:val="left"/>
        <w:rPr>
          <w:b/>
          <w:bCs/>
          <w:sz w:val="24"/>
          <w:szCs w:val="24"/>
        </w:rPr>
      </w:pPr>
      <w:r w:rsidRPr="00F56C3C">
        <w:rPr>
          <w:b/>
          <w:bCs/>
          <w:sz w:val="24"/>
          <w:szCs w:val="24"/>
        </w:rPr>
        <w:t>Original Proceeding</w:t>
      </w:r>
    </w:p>
    <w:p w14:paraId="0B566270" w14:textId="77777777" w:rsidR="00F56C3C" w:rsidRPr="00F56C3C" w:rsidRDefault="00F56C3C" w:rsidP="00F56C3C">
      <w:pPr>
        <w:spacing w:after="0" w:line="240" w:lineRule="auto"/>
        <w:jc w:val="left"/>
        <w:rPr>
          <w:sz w:val="24"/>
          <w:szCs w:val="24"/>
        </w:rPr>
      </w:pPr>
      <w:r w:rsidRPr="00F56C3C">
        <w:rPr>
          <w:b/>
          <w:bCs/>
          <w:sz w:val="24"/>
          <w:szCs w:val="24"/>
        </w:rPr>
        <w:t>Review Granted</w:t>
      </w:r>
      <w:r w:rsidRPr="00F56C3C">
        <w:rPr>
          <w:sz w:val="24"/>
          <w:szCs w:val="24"/>
        </w:rPr>
        <w:t xml:space="preserve"> </w:t>
      </w:r>
      <w:r w:rsidRPr="00F56C3C">
        <w:rPr>
          <w:b/>
          <w:bCs/>
          <w:sz w:val="24"/>
          <w:szCs w:val="24"/>
        </w:rPr>
        <w:t xml:space="preserve">(published) </w:t>
      </w:r>
      <w:r w:rsidRPr="00F56C3C">
        <w:rPr>
          <w:sz w:val="24"/>
          <w:szCs w:val="24"/>
        </w:rPr>
        <w:t>XX 78 Cal.App.5th 326</w:t>
      </w:r>
    </w:p>
    <w:p w14:paraId="0C0B218E" w14:textId="77777777" w:rsidR="00F56C3C" w:rsidRPr="00F56C3C" w:rsidRDefault="00F56C3C" w:rsidP="00F56C3C">
      <w:pPr>
        <w:spacing w:after="0" w:line="240" w:lineRule="auto"/>
        <w:jc w:val="left"/>
        <w:rPr>
          <w:sz w:val="24"/>
          <w:szCs w:val="24"/>
        </w:rPr>
      </w:pPr>
      <w:r w:rsidRPr="00F56C3C">
        <w:rPr>
          <w:b/>
          <w:bCs/>
          <w:sz w:val="24"/>
          <w:szCs w:val="24"/>
        </w:rPr>
        <w:t xml:space="preserve">Review Granted (unpublished) </w:t>
      </w:r>
    </w:p>
    <w:p w14:paraId="22130746" w14:textId="77777777" w:rsidR="00F56C3C" w:rsidRPr="00F56C3C" w:rsidRDefault="00F56C3C" w:rsidP="00F56C3C">
      <w:pPr>
        <w:spacing w:after="0" w:line="240" w:lineRule="auto"/>
        <w:jc w:val="left"/>
        <w:rPr>
          <w:b/>
          <w:bCs/>
          <w:sz w:val="24"/>
          <w:szCs w:val="24"/>
        </w:rPr>
      </w:pPr>
      <w:r w:rsidRPr="00F56C3C">
        <w:rPr>
          <w:b/>
          <w:bCs/>
          <w:sz w:val="24"/>
          <w:szCs w:val="24"/>
        </w:rPr>
        <w:t>Rehearing Granted</w:t>
      </w:r>
    </w:p>
    <w:p w14:paraId="4F0AD53B" w14:textId="77777777" w:rsidR="00F56C3C" w:rsidRPr="00F56C3C" w:rsidRDefault="00F56C3C" w:rsidP="00F56C3C">
      <w:pPr>
        <w:spacing w:after="0" w:line="240" w:lineRule="auto"/>
        <w:jc w:val="left"/>
        <w:rPr>
          <w:b/>
          <w:sz w:val="24"/>
          <w:szCs w:val="24"/>
        </w:rPr>
      </w:pPr>
      <w:r w:rsidRPr="00F56C3C">
        <w:rPr>
          <w:b/>
          <w:sz w:val="24"/>
          <w:szCs w:val="24"/>
        </w:rPr>
        <w:t xml:space="preserve">__________________________________________________________ </w:t>
      </w:r>
    </w:p>
    <w:p w14:paraId="6DA3193D" w14:textId="77777777" w:rsidR="00F56C3C" w:rsidRPr="00F56C3C" w:rsidRDefault="00F56C3C" w:rsidP="00F56C3C">
      <w:pPr>
        <w:spacing w:after="0" w:line="240" w:lineRule="auto"/>
        <w:jc w:val="left"/>
        <w:rPr>
          <w:b/>
          <w:sz w:val="24"/>
          <w:szCs w:val="24"/>
        </w:rPr>
      </w:pPr>
    </w:p>
    <w:p w14:paraId="250C2D14" w14:textId="77777777" w:rsidR="00F56C3C" w:rsidRPr="00F56C3C" w:rsidRDefault="00F56C3C" w:rsidP="00F56C3C">
      <w:pPr>
        <w:spacing w:after="0" w:line="240" w:lineRule="auto"/>
        <w:jc w:val="left"/>
        <w:rPr>
          <w:bCs/>
          <w:sz w:val="24"/>
          <w:szCs w:val="24"/>
        </w:rPr>
      </w:pPr>
      <w:r w:rsidRPr="00F56C3C">
        <w:rPr>
          <w:b/>
          <w:sz w:val="24"/>
          <w:szCs w:val="24"/>
        </w:rPr>
        <w:t>Opinion No.</w:t>
      </w:r>
      <w:r w:rsidRPr="00F56C3C">
        <w:rPr>
          <w:sz w:val="24"/>
          <w:szCs w:val="24"/>
        </w:rPr>
        <w:t xml:space="preserve"> S275023</w:t>
      </w:r>
    </w:p>
    <w:p w14:paraId="5F2A0BBD" w14:textId="77777777" w:rsidR="00F56C3C" w:rsidRPr="00F56C3C" w:rsidRDefault="00F56C3C" w:rsidP="00F56C3C">
      <w:pPr>
        <w:spacing w:after="0" w:line="240" w:lineRule="auto"/>
        <w:jc w:val="left"/>
        <w:rPr>
          <w:bCs/>
          <w:sz w:val="24"/>
          <w:szCs w:val="24"/>
        </w:rPr>
      </w:pPr>
      <w:r w:rsidRPr="00F56C3C">
        <w:rPr>
          <w:b/>
          <w:sz w:val="24"/>
          <w:szCs w:val="24"/>
        </w:rPr>
        <w:t>Date Filed:</w:t>
      </w:r>
      <w:r w:rsidRPr="00F56C3C">
        <w:rPr>
          <w:sz w:val="24"/>
          <w:szCs w:val="24"/>
        </w:rPr>
        <w:t xml:space="preserve">  February 1, 2024</w:t>
      </w:r>
    </w:p>
    <w:p w14:paraId="6B1149B1" w14:textId="77777777" w:rsidR="00F56C3C" w:rsidRPr="00F56C3C" w:rsidRDefault="00F56C3C" w:rsidP="00F56C3C">
      <w:pPr>
        <w:spacing w:after="0" w:line="240" w:lineRule="auto"/>
        <w:jc w:val="left"/>
        <w:rPr>
          <w:b/>
          <w:sz w:val="24"/>
          <w:szCs w:val="24"/>
        </w:rPr>
      </w:pPr>
      <w:r w:rsidRPr="00F56C3C">
        <w:rPr>
          <w:b/>
          <w:sz w:val="24"/>
          <w:szCs w:val="24"/>
        </w:rPr>
        <w:t xml:space="preserve">__________________________________________________________ </w:t>
      </w:r>
    </w:p>
    <w:p w14:paraId="11450B0F" w14:textId="77777777" w:rsidR="00F56C3C" w:rsidRPr="00F56C3C" w:rsidRDefault="00F56C3C" w:rsidP="00F56C3C">
      <w:pPr>
        <w:spacing w:after="0" w:line="240" w:lineRule="auto"/>
        <w:jc w:val="left"/>
        <w:rPr>
          <w:b/>
          <w:sz w:val="24"/>
          <w:szCs w:val="24"/>
        </w:rPr>
      </w:pPr>
    </w:p>
    <w:p w14:paraId="20C5E663" w14:textId="77777777" w:rsidR="00F56C3C" w:rsidRPr="00F56C3C" w:rsidRDefault="00F56C3C" w:rsidP="00F56C3C">
      <w:pPr>
        <w:spacing w:after="0" w:line="240" w:lineRule="auto"/>
        <w:jc w:val="left"/>
        <w:rPr>
          <w:bCs/>
          <w:sz w:val="24"/>
          <w:szCs w:val="24"/>
        </w:rPr>
      </w:pPr>
      <w:r w:rsidRPr="00F56C3C">
        <w:rPr>
          <w:b/>
          <w:sz w:val="24"/>
          <w:szCs w:val="24"/>
        </w:rPr>
        <w:t xml:space="preserve">Court:  </w:t>
      </w:r>
      <w:r w:rsidRPr="00F56C3C">
        <w:rPr>
          <w:bCs/>
          <w:sz w:val="24"/>
          <w:szCs w:val="24"/>
        </w:rPr>
        <w:t>Superior</w:t>
      </w:r>
      <w:r w:rsidRPr="00F56C3C">
        <w:rPr>
          <w:b/>
          <w:sz w:val="24"/>
          <w:szCs w:val="24"/>
        </w:rPr>
        <w:t xml:space="preserve"> </w:t>
      </w:r>
    </w:p>
    <w:p w14:paraId="632436AF" w14:textId="77777777" w:rsidR="00F56C3C" w:rsidRPr="00F56C3C" w:rsidRDefault="00F56C3C" w:rsidP="00F56C3C">
      <w:pPr>
        <w:spacing w:after="0" w:line="240" w:lineRule="auto"/>
        <w:jc w:val="left"/>
        <w:rPr>
          <w:bCs/>
          <w:sz w:val="24"/>
          <w:szCs w:val="24"/>
        </w:rPr>
      </w:pPr>
      <w:r w:rsidRPr="00F56C3C">
        <w:rPr>
          <w:b/>
          <w:sz w:val="24"/>
          <w:szCs w:val="24"/>
        </w:rPr>
        <w:t xml:space="preserve">County:  </w:t>
      </w:r>
      <w:r w:rsidRPr="00F56C3C">
        <w:rPr>
          <w:bCs/>
          <w:sz w:val="24"/>
          <w:szCs w:val="24"/>
        </w:rPr>
        <w:t>Los Angeles</w:t>
      </w:r>
    </w:p>
    <w:p w14:paraId="7F52C5CA" w14:textId="77777777" w:rsidR="00F56C3C" w:rsidRPr="00F56C3C" w:rsidRDefault="00F56C3C" w:rsidP="00F56C3C">
      <w:pPr>
        <w:spacing w:after="0" w:line="240" w:lineRule="auto"/>
        <w:ind w:left="720" w:hanging="720"/>
        <w:jc w:val="left"/>
        <w:rPr>
          <w:bCs/>
          <w:sz w:val="24"/>
          <w:szCs w:val="24"/>
        </w:rPr>
      </w:pPr>
      <w:r w:rsidRPr="00F56C3C">
        <w:rPr>
          <w:b/>
          <w:sz w:val="24"/>
          <w:szCs w:val="24"/>
        </w:rPr>
        <w:t xml:space="preserve">Judge: </w:t>
      </w:r>
      <w:r w:rsidRPr="00F56C3C">
        <w:rPr>
          <w:bCs/>
          <w:sz w:val="24"/>
          <w:szCs w:val="24"/>
        </w:rPr>
        <w:t xml:space="preserve"> Curtis A. Kin</w:t>
      </w:r>
    </w:p>
    <w:p w14:paraId="257ADE01" w14:textId="77777777" w:rsidR="00F56C3C" w:rsidRPr="00F56C3C" w:rsidRDefault="00F56C3C" w:rsidP="00F56C3C">
      <w:pPr>
        <w:spacing w:after="0" w:line="240" w:lineRule="auto"/>
        <w:jc w:val="left"/>
        <w:rPr>
          <w:b/>
          <w:sz w:val="24"/>
          <w:szCs w:val="24"/>
        </w:rPr>
      </w:pPr>
      <w:r w:rsidRPr="00F56C3C">
        <w:rPr>
          <w:b/>
          <w:sz w:val="24"/>
          <w:szCs w:val="24"/>
        </w:rPr>
        <w:t xml:space="preserve">__________________________________________________________  </w:t>
      </w:r>
    </w:p>
    <w:p w14:paraId="75A39D82" w14:textId="77777777" w:rsidR="00F56C3C" w:rsidRPr="00F56C3C" w:rsidRDefault="00F56C3C" w:rsidP="00F56C3C">
      <w:pPr>
        <w:spacing w:after="0" w:line="240" w:lineRule="auto"/>
        <w:jc w:val="left"/>
        <w:rPr>
          <w:b/>
          <w:sz w:val="24"/>
          <w:szCs w:val="24"/>
        </w:rPr>
      </w:pPr>
    </w:p>
    <w:p w14:paraId="20DE7991" w14:textId="77777777" w:rsidR="00F56C3C" w:rsidRPr="00F56C3C" w:rsidRDefault="00F56C3C" w:rsidP="00F56C3C">
      <w:pPr>
        <w:spacing w:after="0" w:line="240" w:lineRule="auto"/>
        <w:jc w:val="left"/>
        <w:rPr>
          <w:b/>
          <w:sz w:val="24"/>
          <w:szCs w:val="24"/>
        </w:rPr>
      </w:pPr>
      <w:r w:rsidRPr="00F56C3C">
        <w:rPr>
          <w:b/>
          <w:sz w:val="24"/>
          <w:szCs w:val="24"/>
        </w:rPr>
        <w:t>Counsel:</w:t>
      </w:r>
    </w:p>
    <w:p w14:paraId="11EA748A" w14:textId="77777777" w:rsidR="00F56C3C" w:rsidRPr="00F56C3C" w:rsidRDefault="00F56C3C" w:rsidP="00F56C3C">
      <w:pPr>
        <w:spacing w:after="0" w:line="240" w:lineRule="auto"/>
        <w:jc w:val="left"/>
        <w:rPr>
          <w:b/>
          <w:sz w:val="24"/>
          <w:szCs w:val="24"/>
        </w:rPr>
      </w:pPr>
    </w:p>
    <w:p w14:paraId="6A8582D5" w14:textId="77777777" w:rsidR="00F56C3C" w:rsidRPr="00F56C3C" w:rsidRDefault="00F56C3C" w:rsidP="00F56C3C">
      <w:pPr>
        <w:spacing w:after="0" w:line="240" w:lineRule="auto"/>
        <w:jc w:val="left"/>
        <w:rPr>
          <w:color w:val="212121"/>
          <w:sz w:val="24"/>
          <w:szCs w:val="24"/>
          <w:shd w:val="clear" w:color="auto" w:fill="FFFFFF"/>
        </w:rPr>
      </w:pPr>
      <w:r w:rsidRPr="00F56C3C">
        <w:rPr>
          <w:color w:val="212121"/>
          <w:sz w:val="24"/>
          <w:szCs w:val="24"/>
          <w:shd w:val="clear" w:color="auto" w:fill="FFFFFF"/>
        </w:rPr>
        <w:t>McCormick, Barstow, Sheppard, Wayte &amp; Carruth and Scott M. Reddie for Plaintiffs, Cross-defendants and Appellants.</w:t>
      </w:r>
    </w:p>
    <w:p w14:paraId="1EF92822" w14:textId="77777777" w:rsidR="00F56C3C" w:rsidRPr="00F56C3C" w:rsidRDefault="00F56C3C" w:rsidP="00F56C3C">
      <w:pPr>
        <w:spacing w:after="0" w:line="240" w:lineRule="auto"/>
        <w:jc w:val="left"/>
        <w:rPr>
          <w:color w:val="212121"/>
          <w:sz w:val="24"/>
          <w:szCs w:val="24"/>
          <w:shd w:val="clear" w:color="auto" w:fill="FFFFFF"/>
        </w:rPr>
      </w:pPr>
    </w:p>
    <w:p w14:paraId="57855267" w14:textId="77777777" w:rsidR="00F56C3C" w:rsidRPr="00F56C3C" w:rsidRDefault="00F56C3C" w:rsidP="00F56C3C">
      <w:pPr>
        <w:spacing w:after="0" w:line="240" w:lineRule="auto"/>
        <w:jc w:val="left"/>
        <w:rPr>
          <w:color w:val="212121"/>
          <w:sz w:val="24"/>
          <w:szCs w:val="24"/>
          <w:shd w:val="clear" w:color="auto" w:fill="FFFFFF"/>
        </w:rPr>
      </w:pPr>
      <w:r w:rsidRPr="00F56C3C">
        <w:rPr>
          <w:color w:val="212121"/>
          <w:sz w:val="24"/>
          <w:szCs w:val="24"/>
          <w:shd w:val="clear" w:color="auto" w:fill="FFFFFF"/>
        </w:rPr>
        <w:t>Songstad Randall Coffee &amp; Humphrey, Janet E. Humphrey and Elyn C. Holt for Defendants, Cross-complainants and Respondents.</w:t>
      </w:r>
    </w:p>
    <w:p w14:paraId="30B72025" w14:textId="77777777" w:rsidR="00F56C3C" w:rsidRPr="00F56C3C" w:rsidRDefault="00F56C3C" w:rsidP="00F56C3C">
      <w:pPr>
        <w:spacing w:after="0" w:line="240" w:lineRule="auto"/>
        <w:jc w:val="left"/>
        <w:rPr>
          <w:color w:val="212121"/>
          <w:sz w:val="24"/>
          <w:szCs w:val="24"/>
          <w:shd w:val="clear" w:color="auto" w:fill="FFFFFF"/>
        </w:rPr>
      </w:pPr>
    </w:p>
    <w:p w14:paraId="7C590667" w14:textId="77777777" w:rsidR="00F56C3C" w:rsidRPr="00F56C3C" w:rsidRDefault="00F56C3C" w:rsidP="00F56C3C">
      <w:pPr>
        <w:spacing w:after="0" w:line="240" w:lineRule="auto"/>
        <w:jc w:val="left"/>
        <w:rPr>
          <w:color w:val="212121"/>
          <w:sz w:val="24"/>
          <w:szCs w:val="24"/>
          <w:shd w:val="clear" w:color="auto" w:fill="FFFFFF"/>
        </w:rPr>
      </w:pPr>
      <w:r w:rsidRPr="00F56C3C">
        <w:rPr>
          <w:color w:val="212121"/>
          <w:sz w:val="24"/>
          <w:szCs w:val="24"/>
          <w:shd w:val="clear" w:color="auto" w:fill="FFFFFF"/>
        </w:rPr>
        <w:t xml:space="preserve">No appearance for Cross-defendant and Respondent. </w:t>
      </w:r>
      <w:r w:rsidRPr="00F56C3C">
        <w:rPr>
          <w:color w:val="212121"/>
          <w:sz w:val="24"/>
          <w:szCs w:val="24"/>
          <w:shd w:val="clear" w:color="auto" w:fill="FFFFFF"/>
        </w:rPr>
        <w:br w:type="page"/>
      </w:r>
      <w:r w:rsidRPr="00F56C3C">
        <w:rPr>
          <w:b/>
          <w:sz w:val="24"/>
          <w:szCs w:val="24"/>
        </w:rPr>
        <w:lastRenderedPageBreak/>
        <w:t xml:space="preserve">Counsel who argued in Supreme Court (not intended for publication with opinion): </w:t>
      </w:r>
    </w:p>
    <w:p w14:paraId="7E578AE2" w14:textId="77777777" w:rsidR="00F56C3C" w:rsidRPr="00F56C3C" w:rsidRDefault="00F56C3C" w:rsidP="00F56C3C">
      <w:pPr>
        <w:spacing w:after="0" w:line="240" w:lineRule="auto"/>
        <w:jc w:val="left"/>
        <w:rPr>
          <w:sz w:val="24"/>
          <w:szCs w:val="24"/>
        </w:rPr>
      </w:pPr>
    </w:p>
    <w:p w14:paraId="7F780ED6" w14:textId="77777777" w:rsidR="00F56C3C" w:rsidRPr="00F56C3C" w:rsidRDefault="00F56C3C" w:rsidP="00F56C3C">
      <w:pPr>
        <w:spacing w:after="0" w:line="240" w:lineRule="auto"/>
        <w:jc w:val="left"/>
        <w:rPr>
          <w:sz w:val="24"/>
          <w:szCs w:val="24"/>
        </w:rPr>
      </w:pPr>
      <w:r w:rsidRPr="00F56C3C">
        <w:rPr>
          <w:sz w:val="24"/>
          <w:szCs w:val="24"/>
        </w:rPr>
        <w:t>Scott M. Reddie</w:t>
      </w:r>
    </w:p>
    <w:p w14:paraId="3BDE28FE" w14:textId="77777777" w:rsidR="00F56C3C" w:rsidRPr="00F56C3C" w:rsidRDefault="00F56C3C" w:rsidP="00F56C3C">
      <w:pPr>
        <w:spacing w:after="0" w:line="240" w:lineRule="auto"/>
        <w:jc w:val="left"/>
        <w:rPr>
          <w:color w:val="212121"/>
          <w:sz w:val="24"/>
          <w:szCs w:val="24"/>
          <w:shd w:val="clear" w:color="auto" w:fill="FFFFFF"/>
        </w:rPr>
      </w:pPr>
      <w:r w:rsidRPr="00F56C3C">
        <w:rPr>
          <w:color w:val="212121"/>
          <w:sz w:val="24"/>
          <w:szCs w:val="24"/>
          <w:shd w:val="clear" w:color="auto" w:fill="FFFFFF"/>
        </w:rPr>
        <w:t>McCormick, Barstow, Sheppard, Wayte &amp; Carruth LLP</w:t>
      </w:r>
    </w:p>
    <w:p w14:paraId="54D77ED9" w14:textId="77777777" w:rsidR="00F56C3C" w:rsidRPr="00F56C3C" w:rsidRDefault="00F56C3C" w:rsidP="00F56C3C">
      <w:pPr>
        <w:spacing w:after="0" w:line="240" w:lineRule="auto"/>
        <w:jc w:val="left"/>
        <w:rPr>
          <w:sz w:val="24"/>
          <w:szCs w:val="24"/>
        </w:rPr>
      </w:pPr>
      <w:r w:rsidRPr="00F56C3C">
        <w:rPr>
          <w:sz w:val="24"/>
          <w:szCs w:val="24"/>
        </w:rPr>
        <w:t>7647 North Fresno Street</w:t>
      </w:r>
    </w:p>
    <w:p w14:paraId="6A2A3E38" w14:textId="77777777" w:rsidR="00F56C3C" w:rsidRPr="00F56C3C" w:rsidRDefault="00F56C3C" w:rsidP="00F56C3C">
      <w:pPr>
        <w:spacing w:after="0" w:line="240" w:lineRule="auto"/>
        <w:jc w:val="left"/>
        <w:rPr>
          <w:sz w:val="24"/>
          <w:szCs w:val="24"/>
        </w:rPr>
      </w:pPr>
      <w:r w:rsidRPr="00F56C3C">
        <w:rPr>
          <w:sz w:val="24"/>
          <w:szCs w:val="24"/>
        </w:rPr>
        <w:t>Fresno, CA 93720</w:t>
      </w:r>
    </w:p>
    <w:p w14:paraId="71A1E00E" w14:textId="77777777" w:rsidR="00F56C3C" w:rsidRPr="00F56C3C" w:rsidRDefault="00F56C3C" w:rsidP="00F56C3C">
      <w:pPr>
        <w:spacing w:after="0" w:line="240" w:lineRule="auto"/>
        <w:jc w:val="left"/>
        <w:rPr>
          <w:sz w:val="24"/>
          <w:szCs w:val="24"/>
        </w:rPr>
      </w:pPr>
      <w:r w:rsidRPr="00F56C3C">
        <w:rPr>
          <w:sz w:val="24"/>
          <w:szCs w:val="24"/>
        </w:rPr>
        <w:t>(559) 433-2156</w:t>
      </w:r>
    </w:p>
    <w:p w14:paraId="6A1D60A2" w14:textId="77777777" w:rsidR="00F56C3C" w:rsidRPr="00F56C3C" w:rsidRDefault="00F56C3C" w:rsidP="00F56C3C">
      <w:pPr>
        <w:spacing w:after="0" w:line="240" w:lineRule="auto"/>
        <w:jc w:val="left"/>
        <w:rPr>
          <w:sz w:val="24"/>
          <w:szCs w:val="24"/>
        </w:rPr>
      </w:pPr>
    </w:p>
    <w:p w14:paraId="04112842" w14:textId="77777777" w:rsidR="00F56C3C" w:rsidRPr="00F56C3C" w:rsidRDefault="00F56C3C" w:rsidP="00F56C3C">
      <w:pPr>
        <w:spacing w:after="0" w:line="240" w:lineRule="auto"/>
        <w:jc w:val="left"/>
        <w:rPr>
          <w:color w:val="212121"/>
          <w:sz w:val="24"/>
          <w:szCs w:val="24"/>
          <w:shd w:val="clear" w:color="auto" w:fill="FFFFFF"/>
        </w:rPr>
      </w:pPr>
      <w:r w:rsidRPr="00F56C3C">
        <w:rPr>
          <w:color w:val="212121"/>
          <w:sz w:val="24"/>
          <w:szCs w:val="24"/>
          <w:shd w:val="clear" w:color="auto" w:fill="FFFFFF"/>
        </w:rPr>
        <w:t>Janet E. Humphrey</w:t>
      </w:r>
    </w:p>
    <w:p w14:paraId="214213B1" w14:textId="77777777" w:rsidR="00F56C3C" w:rsidRPr="00F56C3C" w:rsidRDefault="00F56C3C" w:rsidP="00F56C3C">
      <w:pPr>
        <w:spacing w:after="0" w:line="240" w:lineRule="auto"/>
        <w:jc w:val="left"/>
        <w:rPr>
          <w:sz w:val="24"/>
          <w:szCs w:val="24"/>
        </w:rPr>
      </w:pPr>
      <w:r w:rsidRPr="00F56C3C">
        <w:rPr>
          <w:sz w:val="24"/>
          <w:szCs w:val="24"/>
        </w:rPr>
        <w:t>Songstad Randall Coffee &amp; Humphrey LLP</w:t>
      </w:r>
    </w:p>
    <w:p w14:paraId="7EFA2B1D" w14:textId="77777777" w:rsidR="00F56C3C" w:rsidRPr="00F56C3C" w:rsidRDefault="00F56C3C" w:rsidP="00F56C3C">
      <w:pPr>
        <w:spacing w:after="0" w:line="240" w:lineRule="auto"/>
        <w:jc w:val="left"/>
        <w:rPr>
          <w:sz w:val="24"/>
          <w:szCs w:val="24"/>
        </w:rPr>
      </w:pPr>
      <w:r w:rsidRPr="00F56C3C">
        <w:rPr>
          <w:sz w:val="24"/>
          <w:szCs w:val="24"/>
        </w:rPr>
        <w:t>3200 Park Center Drive, Suite 950</w:t>
      </w:r>
    </w:p>
    <w:p w14:paraId="5E54F21E" w14:textId="77777777" w:rsidR="00F56C3C" w:rsidRPr="00F56C3C" w:rsidRDefault="00F56C3C" w:rsidP="00F56C3C">
      <w:pPr>
        <w:spacing w:after="0" w:line="240" w:lineRule="auto"/>
        <w:jc w:val="left"/>
        <w:rPr>
          <w:sz w:val="24"/>
          <w:szCs w:val="24"/>
        </w:rPr>
      </w:pPr>
      <w:r w:rsidRPr="00F56C3C">
        <w:rPr>
          <w:sz w:val="24"/>
          <w:szCs w:val="24"/>
        </w:rPr>
        <w:t>Costa Mesa, CA 92626</w:t>
      </w:r>
    </w:p>
    <w:p w14:paraId="7BD94907" w14:textId="77777777" w:rsidR="00F56C3C" w:rsidRPr="00F56C3C" w:rsidRDefault="00F56C3C" w:rsidP="00F56C3C">
      <w:pPr>
        <w:spacing w:after="0" w:line="240" w:lineRule="auto"/>
        <w:jc w:val="left"/>
        <w:rPr>
          <w:sz w:val="24"/>
          <w:szCs w:val="24"/>
        </w:rPr>
      </w:pPr>
      <w:r w:rsidRPr="00F56C3C">
        <w:rPr>
          <w:sz w:val="24"/>
          <w:szCs w:val="24"/>
        </w:rPr>
        <w:t>(949) 757-1600</w:t>
      </w:r>
    </w:p>
    <w:p w14:paraId="32AA80F3" w14:textId="77777777" w:rsidR="002D2DDA" w:rsidRPr="00EB13D5" w:rsidRDefault="002D2DDA" w:rsidP="00295DAB">
      <w:pPr>
        <w:rPr>
          <w:b/>
          <w:bCs/>
          <w:szCs w:val="26"/>
        </w:rPr>
      </w:pPr>
    </w:p>
    <w:sectPr w:rsidR="002D2DDA" w:rsidRPr="00EB13D5" w:rsidSect="00EC2BB8">
      <w:headerReference w:type="default" r:id="rId15"/>
      <w:footerReference w:type="default" r:id="rId16"/>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8100" w14:textId="77777777" w:rsidR="00590CB4" w:rsidRDefault="00590CB4">
      <w:pPr>
        <w:spacing w:after="0" w:line="240" w:lineRule="auto"/>
      </w:pPr>
      <w:r>
        <w:separator/>
      </w:r>
    </w:p>
  </w:endnote>
  <w:endnote w:type="continuationSeparator" w:id="0">
    <w:p w14:paraId="32AA8102" w14:textId="77777777" w:rsidR="00590CB4" w:rsidRDefault="0059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80FA" w14:textId="77777777" w:rsidR="00A46183" w:rsidRDefault="00590CB4">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80FC" w14:textId="77777777" w:rsidR="00295DAB" w:rsidRDefault="00590CB4">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9F11" w14:textId="44102737" w:rsidR="00F56C3C" w:rsidRPr="00F56C3C" w:rsidRDefault="00F56C3C" w:rsidP="00F5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80F4" w14:textId="77777777" w:rsidR="00A617ED" w:rsidRDefault="00590CB4" w:rsidP="001C3E52">
      <w:r>
        <w:separator/>
      </w:r>
    </w:p>
  </w:footnote>
  <w:footnote w:type="continuationSeparator" w:id="0">
    <w:p w14:paraId="32AA80F5" w14:textId="77777777" w:rsidR="00A617ED" w:rsidRDefault="00590CB4" w:rsidP="001C3E52">
      <w:r>
        <w:continuationSeparator/>
      </w:r>
    </w:p>
  </w:footnote>
  <w:footnote w:type="continuationNotice" w:id="1">
    <w:p w14:paraId="32AA80F6" w14:textId="77777777" w:rsidR="00A617ED" w:rsidRDefault="00A617ED"/>
  </w:footnote>
  <w:footnote w:id="2">
    <w:p w14:paraId="32AA80FD" w14:textId="77777777" w:rsidR="00B70922" w:rsidRPr="00526AE2" w:rsidRDefault="00590CB4" w:rsidP="00B70922">
      <w:pPr>
        <w:pStyle w:val="FootnoteText"/>
        <w:rPr>
          <w:sz w:val="26"/>
          <w:szCs w:val="26"/>
        </w:rPr>
      </w:pPr>
      <w:r w:rsidRPr="00CA20AC">
        <w:rPr>
          <w:rStyle w:val="FootnoteReference"/>
          <w:bCs/>
          <w:position w:val="6"/>
          <w:sz w:val="20"/>
          <w:vertAlign w:val="baseline"/>
        </w:rPr>
        <w:footnoteRef/>
      </w:r>
      <w:r w:rsidRPr="00CA20AC">
        <w:rPr>
          <w:sz w:val="20"/>
        </w:rPr>
        <w:t xml:space="preserve"> </w:t>
      </w:r>
      <w:r w:rsidRPr="00526AE2">
        <w:rPr>
          <w:sz w:val="26"/>
          <w:szCs w:val="26"/>
        </w:rPr>
        <w:tab/>
      </w:r>
      <w:r w:rsidRPr="0004692A">
        <w:rPr>
          <w:szCs w:val="27"/>
        </w:rPr>
        <w:t xml:space="preserve">The court noted that some courts have recognized </w:t>
      </w:r>
      <w:r w:rsidR="005E5545" w:rsidRPr="0004692A">
        <w:rPr>
          <w:szCs w:val="27"/>
        </w:rPr>
        <w:t xml:space="preserve">implied </w:t>
      </w:r>
      <w:r w:rsidR="00383E9D" w:rsidRPr="0004692A">
        <w:rPr>
          <w:szCs w:val="27"/>
        </w:rPr>
        <w:t xml:space="preserve">“exclusive” </w:t>
      </w:r>
      <w:r w:rsidR="005E5545" w:rsidRPr="0004692A">
        <w:rPr>
          <w:szCs w:val="27"/>
        </w:rPr>
        <w:t xml:space="preserve">easements </w:t>
      </w:r>
      <w:r w:rsidRPr="0004692A">
        <w:rPr>
          <w:szCs w:val="27"/>
        </w:rPr>
        <w:t xml:space="preserve">for encroachments that are </w:t>
      </w:r>
      <w:r w:rsidR="00BD7246" w:rsidRPr="0004692A">
        <w:rPr>
          <w:szCs w:val="27"/>
        </w:rPr>
        <w:t>either</w:t>
      </w:r>
      <w:r w:rsidRPr="0004692A">
        <w:rPr>
          <w:szCs w:val="27"/>
        </w:rPr>
        <w:t xml:space="preserve"> “ ‘de minimis’ ” or “necessary to protect the health or safety of the public or for essential utility purposes,” but</w:t>
      </w:r>
      <w:r w:rsidR="00412CA8" w:rsidRPr="0004692A">
        <w:rPr>
          <w:szCs w:val="27"/>
        </w:rPr>
        <w:t xml:space="preserve"> </w:t>
      </w:r>
      <w:r w:rsidR="00E41A3E" w:rsidRPr="0004692A">
        <w:rPr>
          <w:szCs w:val="27"/>
        </w:rPr>
        <w:t>neither description applies to the disputed easement at issue here</w:t>
      </w:r>
      <w:r w:rsidRPr="0004692A">
        <w:rPr>
          <w:szCs w:val="27"/>
        </w:rPr>
        <w:t>.  (</w:t>
      </w:r>
      <w:r w:rsidRPr="0004692A">
        <w:rPr>
          <w:i/>
          <w:iCs/>
          <w:szCs w:val="27"/>
        </w:rPr>
        <w:t>Romero</w:t>
      </w:r>
      <w:r w:rsidRPr="0004692A">
        <w:rPr>
          <w:szCs w:val="27"/>
        </w:rPr>
        <w:t xml:space="preserve">, </w:t>
      </w:r>
      <w:r w:rsidRPr="0004692A">
        <w:rPr>
          <w:i/>
          <w:iCs/>
          <w:szCs w:val="27"/>
        </w:rPr>
        <w:t>supra</w:t>
      </w:r>
      <w:r w:rsidRPr="0004692A">
        <w:rPr>
          <w:szCs w:val="27"/>
        </w:rPr>
        <w:t>, 78 Cal.App.5th at p. 352.)</w:t>
      </w:r>
    </w:p>
  </w:footnote>
  <w:footnote w:id="3">
    <w:p w14:paraId="32AA80FE" w14:textId="77777777" w:rsidR="007F49BF" w:rsidRPr="0080491A" w:rsidRDefault="00590CB4" w:rsidP="007F49BF">
      <w:pPr>
        <w:pStyle w:val="FootnoteText"/>
        <w:rPr>
          <w:szCs w:val="26"/>
        </w:rPr>
      </w:pPr>
      <w:r w:rsidRPr="00827E7B">
        <w:rPr>
          <w:rStyle w:val="FootnoteReference"/>
          <w:position w:val="6"/>
          <w:sz w:val="20"/>
          <w:vertAlign w:val="baseline"/>
        </w:rPr>
        <w:footnoteRef/>
      </w:r>
      <w:r>
        <w:rPr>
          <w:szCs w:val="26"/>
        </w:rPr>
        <w:t xml:space="preserve"> </w:t>
      </w:r>
      <w:r w:rsidR="00827E7B">
        <w:rPr>
          <w:szCs w:val="26"/>
        </w:rPr>
        <w:tab/>
      </w:r>
      <w:r>
        <w:rPr>
          <w:szCs w:val="26"/>
        </w:rPr>
        <w:t xml:space="preserve">The appellate case law is not uniform in forbidding broadly exclusive prescriptive easements.  (See </w:t>
      </w:r>
      <w:r>
        <w:rPr>
          <w:i/>
          <w:iCs/>
          <w:szCs w:val="26"/>
        </w:rPr>
        <w:t xml:space="preserve">Otay Water </w:t>
      </w:r>
      <w:r w:rsidRPr="006F774A">
        <w:rPr>
          <w:i/>
          <w:iCs/>
          <w:szCs w:val="26"/>
        </w:rPr>
        <w:t>Dist</w:t>
      </w:r>
      <w:r w:rsidR="00B3075A" w:rsidRPr="006F774A">
        <w:rPr>
          <w:i/>
          <w:iCs/>
          <w:szCs w:val="26"/>
        </w:rPr>
        <w:t>.</w:t>
      </w:r>
      <w:r>
        <w:rPr>
          <w:i/>
          <w:iCs/>
          <w:szCs w:val="26"/>
        </w:rPr>
        <w:t xml:space="preserve"> v. Beckwith </w:t>
      </w:r>
      <w:r>
        <w:rPr>
          <w:szCs w:val="26"/>
        </w:rPr>
        <w:t>(1991) 1 Cal.App.4th 1041, 1048</w:t>
      </w:r>
      <w:r w:rsidR="00B3075A">
        <w:rPr>
          <w:szCs w:val="26"/>
        </w:rPr>
        <w:t xml:space="preserve"> </w:t>
      </w:r>
      <w:r>
        <w:rPr>
          <w:szCs w:val="26"/>
        </w:rPr>
        <w:t xml:space="preserve">[granting prescriptive easement that excluded servient tenement </w:t>
      </w:r>
      <w:r w:rsidR="00474098">
        <w:rPr>
          <w:szCs w:val="26"/>
        </w:rPr>
        <w:t xml:space="preserve">owner </w:t>
      </w:r>
      <w:r>
        <w:rPr>
          <w:szCs w:val="26"/>
        </w:rPr>
        <w:t>where uses of the propert</w:t>
      </w:r>
      <w:r>
        <w:rPr>
          <w:szCs w:val="26"/>
        </w:rPr>
        <w:t xml:space="preserve">y were limited to “reservoir purposes only”]; cf. </w:t>
      </w:r>
      <w:r>
        <w:rPr>
          <w:i/>
          <w:iCs/>
          <w:szCs w:val="26"/>
        </w:rPr>
        <w:t xml:space="preserve">Hirshfield, supra, </w:t>
      </w:r>
      <w:r>
        <w:rPr>
          <w:szCs w:val="26"/>
        </w:rPr>
        <w:t xml:space="preserve">91 Cal.App.4th at p. 769, fn. 11 [questioning breadth of rule stated in the </w:t>
      </w:r>
      <w:r>
        <w:rPr>
          <w:i/>
          <w:iCs/>
          <w:szCs w:val="26"/>
        </w:rPr>
        <w:t xml:space="preserve">Raab </w:t>
      </w:r>
      <w:r>
        <w:rPr>
          <w:szCs w:val="26"/>
        </w:rPr>
        <w:t xml:space="preserve">line of cases: </w:t>
      </w:r>
      <w:r w:rsidR="00827E7B">
        <w:rPr>
          <w:szCs w:val="26"/>
        </w:rPr>
        <w:t xml:space="preserve"> </w:t>
      </w:r>
      <w:r>
        <w:rPr>
          <w:szCs w:val="26"/>
        </w:rPr>
        <w:t>“Since the scope of a prescriptive easement is determined by its historical use [citations</w:t>
      </w:r>
      <w:r>
        <w:rPr>
          <w:szCs w:val="26"/>
        </w:rPr>
        <w:t xml:space="preserve">], and since exclusive easements, while rare, are possible [citation], we believe the holdings [of the cases] may be overbroad.”].)  We do not decide here whether </w:t>
      </w:r>
      <w:r>
        <w:rPr>
          <w:i/>
          <w:iCs/>
          <w:szCs w:val="26"/>
        </w:rPr>
        <w:t>Otay</w:t>
      </w:r>
      <w:r>
        <w:rPr>
          <w:szCs w:val="26"/>
        </w:rPr>
        <w:t xml:space="preserve">, </w:t>
      </w:r>
      <w:r>
        <w:rPr>
          <w:i/>
          <w:iCs/>
          <w:szCs w:val="26"/>
        </w:rPr>
        <w:t>Raab</w:t>
      </w:r>
      <w:r>
        <w:rPr>
          <w:szCs w:val="26"/>
        </w:rPr>
        <w:t>, or any of the other so-called exclusive prescriptive easements were decided corre</w:t>
      </w:r>
      <w:r>
        <w:rPr>
          <w:szCs w:val="26"/>
        </w:rPr>
        <w:t>ctly.  The only question now before us concerns the law of implied easements, which are materially different from easements acquired by prescription.</w:t>
      </w:r>
    </w:p>
  </w:footnote>
  <w:footnote w:id="4">
    <w:p w14:paraId="32AA80FF" w14:textId="77777777" w:rsidR="00B24A90" w:rsidRPr="00295DAB" w:rsidRDefault="00590CB4" w:rsidP="006B61CE">
      <w:pPr>
        <w:pStyle w:val="FootnoteText"/>
        <w:rPr>
          <w:szCs w:val="26"/>
        </w:rPr>
      </w:pPr>
      <w:r w:rsidRPr="00827E7B">
        <w:rPr>
          <w:rStyle w:val="FootnoteReference"/>
          <w:position w:val="6"/>
          <w:sz w:val="20"/>
          <w:vertAlign w:val="baseline"/>
        </w:rPr>
        <w:footnoteRef/>
      </w:r>
      <w:r>
        <w:t xml:space="preserve"> </w:t>
      </w:r>
      <w:r w:rsidR="00827E7B">
        <w:tab/>
      </w:r>
      <w:r w:rsidR="005E12D8">
        <w:rPr>
          <w:szCs w:val="26"/>
        </w:rPr>
        <w:t>Here, t</w:t>
      </w:r>
      <w:r w:rsidRPr="00295DAB">
        <w:rPr>
          <w:szCs w:val="26"/>
        </w:rPr>
        <w:t>he “obvious</w:t>
      </w:r>
      <w:r w:rsidR="00B3075A">
        <w:rPr>
          <w:szCs w:val="26"/>
        </w:rPr>
        <w:t>ly</w:t>
      </w:r>
      <w:r w:rsidRPr="00295DAB">
        <w:rPr>
          <w:szCs w:val="26"/>
        </w:rPr>
        <w:t xml:space="preserve"> and apparently permanent” nature of the use in question means that</w:t>
      </w:r>
      <w:r>
        <w:rPr>
          <w:szCs w:val="26"/>
        </w:rPr>
        <w:t xml:space="preserve"> </w:t>
      </w:r>
      <w:r w:rsidRPr="00295DAB">
        <w:rPr>
          <w:szCs w:val="26"/>
        </w:rPr>
        <w:t>the Romeros cou</w:t>
      </w:r>
      <w:r w:rsidRPr="00295DAB">
        <w:rPr>
          <w:szCs w:val="26"/>
        </w:rPr>
        <w:t xml:space="preserve">ld have discovered the existence of the easement with reasonable diligence at the time they purchased the 651 Property.  </w:t>
      </w:r>
    </w:p>
    <w:p w14:paraId="32AA8100" w14:textId="77777777" w:rsidR="00B24A90" w:rsidRDefault="00B24A90" w:rsidP="00B24A9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DE9D2" w14:textId="77777777" w:rsidR="00BF1E91" w:rsidRDefault="00BF1E91" w:rsidP="00BF1E91">
    <w:pPr>
      <w:pStyle w:val="Header"/>
    </w:pPr>
    <w:r>
      <w:t>ROMERO v. SHIH</w:t>
    </w:r>
  </w:p>
  <w:p w14:paraId="76A007E9" w14:textId="77777777" w:rsidR="00BF1E91" w:rsidRDefault="00BF1E91" w:rsidP="00BF1E91">
    <w:pPr>
      <w:pStyle w:val="Header"/>
    </w:pPr>
    <w:r>
      <w:t>Opinion of the Court by Kruger, J.</w:t>
    </w:r>
  </w:p>
  <w:p w14:paraId="1E0DFA72" w14:textId="77777777" w:rsidR="00BF1E91" w:rsidRDefault="00BF1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80FB" w14:textId="77777777" w:rsidR="00CB458A" w:rsidRPr="005B6923" w:rsidRDefault="00CB458A" w:rsidP="005B6923">
    <w:pPr>
      <w:pStyle w:val="Header"/>
      <w:jc w:val="right"/>
      <w:rPr>
        <w:rFonts w:asciiTheme="majorHAnsi" w:hAnsi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2EB1" w14:textId="77777777" w:rsidR="00C86D48" w:rsidRPr="00C86D48" w:rsidRDefault="00C86D48" w:rsidP="00C86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098"/>
    <w:multiLevelType w:val="hybridMultilevel"/>
    <w:tmpl w:val="F2ECDC18"/>
    <w:lvl w:ilvl="0" w:tplc="D09CB0F4">
      <w:start w:val="1"/>
      <w:numFmt w:val="decimal"/>
      <w:lvlText w:val="(%1)"/>
      <w:lvlJc w:val="left"/>
      <w:pPr>
        <w:ind w:left="720" w:hanging="360"/>
      </w:pPr>
      <w:rPr>
        <w:rFonts w:hint="default"/>
      </w:rPr>
    </w:lvl>
    <w:lvl w:ilvl="1" w:tplc="F3EEBBCA" w:tentative="1">
      <w:start w:val="1"/>
      <w:numFmt w:val="lowerLetter"/>
      <w:lvlText w:val="%2."/>
      <w:lvlJc w:val="left"/>
      <w:pPr>
        <w:ind w:left="1440" w:hanging="360"/>
      </w:pPr>
    </w:lvl>
    <w:lvl w:ilvl="2" w:tplc="A68E1E62" w:tentative="1">
      <w:start w:val="1"/>
      <w:numFmt w:val="lowerRoman"/>
      <w:lvlText w:val="%3."/>
      <w:lvlJc w:val="right"/>
      <w:pPr>
        <w:ind w:left="2160" w:hanging="180"/>
      </w:pPr>
    </w:lvl>
    <w:lvl w:ilvl="3" w:tplc="F7C616B4" w:tentative="1">
      <w:start w:val="1"/>
      <w:numFmt w:val="decimal"/>
      <w:lvlText w:val="%4."/>
      <w:lvlJc w:val="left"/>
      <w:pPr>
        <w:ind w:left="2880" w:hanging="360"/>
      </w:pPr>
    </w:lvl>
    <w:lvl w:ilvl="4" w:tplc="4372E32C" w:tentative="1">
      <w:start w:val="1"/>
      <w:numFmt w:val="lowerLetter"/>
      <w:lvlText w:val="%5."/>
      <w:lvlJc w:val="left"/>
      <w:pPr>
        <w:ind w:left="3600" w:hanging="360"/>
      </w:pPr>
    </w:lvl>
    <w:lvl w:ilvl="5" w:tplc="C0B46BC0" w:tentative="1">
      <w:start w:val="1"/>
      <w:numFmt w:val="lowerRoman"/>
      <w:lvlText w:val="%6."/>
      <w:lvlJc w:val="right"/>
      <w:pPr>
        <w:ind w:left="4320" w:hanging="180"/>
      </w:pPr>
    </w:lvl>
    <w:lvl w:ilvl="6" w:tplc="0C428CC6" w:tentative="1">
      <w:start w:val="1"/>
      <w:numFmt w:val="decimal"/>
      <w:lvlText w:val="%7."/>
      <w:lvlJc w:val="left"/>
      <w:pPr>
        <w:ind w:left="5040" w:hanging="360"/>
      </w:pPr>
    </w:lvl>
    <w:lvl w:ilvl="7" w:tplc="20722F38" w:tentative="1">
      <w:start w:val="1"/>
      <w:numFmt w:val="lowerLetter"/>
      <w:lvlText w:val="%8."/>
      <w:lvlJc w:val="left"/>
      <w:pPr>
        <w:ind w:left="5760" w:hanging="360"/>
      </w:pPr>
    </w:lvl>
    <w:lvl w:ilvl="8" w:tplc="EEC837DE" w:tentative="1">
      <w:start w:val="1"/>
      <w:numFmt w:val="lowerRoman"/>
      <w:lvlText w:val="%9."/>
      <w:lvlJc w:val="right"/>
      <w:pPr>
        <w:ind w:left="6480" w:hanging="180"/>
      </w:pPr>
    </w:lvl>
  </w:abstractNum>
  <w:abstractNum w:abstractNumId="1" w15:restartNumberingAfterBreak="0">
    <w:nsid w:val="0DA9515E"/>
    <w:multiLevelType w:val="hybridMultilevel"/>
    <w:tmpl w:val="F3FC9E5E"/>
    <w:lvl w:ilvl="0" w:tplc="9178444E">
      <w:start w:val="1"/>
      <w:numFmt w:val="bullet"/>
      <w:lvlText w:val=""/>
      <w:lvlJc w:val="left"/>
      <w:pPr>
        <w:ind w:left="720" w:hanging="360"/>
      </w:pPr>
      <w:rPr>
        <w:rFonts w:ascii="Symbol" w:hAnsi="Symbol" w:hint="default"/>
      </w:rPr>
    </w:lvl>
    <w:lvl w:ilvl="1" w:tplc="EF5AD500">
      <w:start w:val="1"/>
      <w:numFmt w:val="bullet"/>
      <w:lvlText w:val="o"/>
      <w:lvlJc w:val="left"/>
      <w:pPr>
        <w:ind w:left="1440" w:hanging="360"/>
      </w:pPr>
      <w:rPr>
        <w:rFonts w:ascii="Courier New" w:hAnsi="Courier New" w:cs="Courier New" w:hint="default"/>
      </w:rPr>
    </w:lvl>
    <w:lvl w:ilvl="2" w:tplc="1C6E1F1E">
      <w:start w:val="1"/>
      <w:numFmt w:val="bullet"/>
      <w:lvlText w:val=""/>
      <w:lvlJc w:val="left"/>
      <w:pPr>
        <w:ind w:left="2160" w:hanging="360"/>
      </w:pPr>
      <w:rPr>
        <w:rFonts w:ascii="Wingdings" w:hAnsi="Wingdings" w:hint="default"/>
      </w:rPr>
    </w:lvl>
    <w:lvl w:ilvl="3" w:tplc="36641AF2" w:tentative="1">
      <w:start w:val="1"/>
      <w:numFmt w:val="bullet"/>
      <w:lvlText w:val=""/>
      <w:lvlJc w:val="left"/>
      <w:pPr>
        <w:ind w:left="2880" w:hanging="360"/>
      </w:pPr>
      <w:rPr>
        <w:rFonts w:ascii="Symbol" w:hAnsi="Symbol" w:hint="default"/>
      </w:rPr>
    </w:lvl>
    <w:lvl w:ilvl="4" w:tplc="09C888D8" w:tentative="1">
      <w:start w:val="1"/>
      <w:numFmt w:val="bullet"/>
      <w:lvlText w:val="o"/>
      <w:lvlJc w:val="left"/>
      <w:pPr>
        <w:ind w:left="3600" w:hanging="360"/>
      </w:pPr>
      <w:rPr>
        <w:rFonts w:ascii="Courier New" w:hAnsi="Courier New" w:cs="Courier New" w:hint="default"/>
      </w:rPr>
    </w:lvl>
    <w:lvl w:ilvl="5" w:tplc="50AC5072" w:tentative="1">
      <w:start w:val="1"/>
      <w:numFmt w:val="bullet"/>
      <w:lvlText w:val=""/>
      <w:lvlJc w:val="left"/>
      <w:pPr>
        <w:ind w:left="4320" w:hanging="360"/>
      </w:pPr>
      <w:rPr>
        <w:rFonts w:ascii="Wingdings" w:hAnsi="Wingdings" w:hint="default"/>
      </w:rPr>
    </w:lvl>
    <w:lvl w:ilvl="6" w:tplc="819E179A" w:tentative="1">
      <w:start w:val="1"/>
      <w:numFmt w:val="bullet"/>
      <w:lvlText w:val=""/>
      <w:lvlJc w:val="left"/>
      <w:pPr>
        <w:ind w:left="5040" w:hanging="360"/>
      </w:pPr>
      <w:rPr>
        <w:rFonts w:ascii="Symbol" w:hAnsi="Symbol" w:hint="default"/>
      </w:rPr>
    </w:lvl>
    <w:lvl w:ilvl="7" w:tplc="C96EF43E" w:tentative="1">
      <w:start w:val="1"/>
      <w:numFmt w:val="bullet"/>
      <w:lvlText w:val="o"/>
      <w:lvlJc w:val="left"/>
      <w:pPr>
        <w:ind w:left="5760" w:hanging="360"/>
      </w:pPr>
      <w:rPr>
        <w:rFonts w:ascii="Courier New" w:hAnsi="Courier New" w:cs="Courier New" w:hint="default"/>
      </w:rPr>
    </w:lvl>
    <w:lvl w:ilvl="8" w:tplc="99B68AC6" w:tentative="1">
      <w:start w:val="1"/>
      <w:numFmt w:val="bullet"/>
      <w:lvlText w:val=""/>
      <w:lvlJc w:val="left"/>
      <w:pPr>
        <w:ind w:left="6480" w:hanging="360"/>
      </w:pPr>
      <w:rPr>
        <w:rFonts w:ascii="Wingdings" w:hAnsi="Wingdings" w:hint="default"/>
      </w:rPr>
    </w:lvl>
  </w:abstractNum>
  <w:abstractNum w:abstractNumId="2" w15:restartNumberingAfterBreak="0">
    <w:nsid w:val="151C0DB5"/>
    <w:multiLevelType w:val="hybridMultilevel"/>
    <w:tmpl w:val="C72C72E2"/>
    <w:lvl w:ilvl="0" w:tplc="18E8004E">
      <w:start w:val="1"/>
      <w:numFmt w:val="decimal"/>
      <w:lvlText w:val="(%1)"/>
      <w:lvlJc w:val="left"/>
      <w:pPr>
        <w:ind w:left="720" w:hanging="360"/>
      </w:pPr>
      <w:rPr>
        <w:rFonts w:hint="default"/>
      </w:rPr>
    </w:lvl>
    <w:lvl w:ilvl="1" w:tplc="009EE8FE" w:tentative="1">
      <w:start w:val="1"/>
      <w:numFmt w:val="lowerLetter"/>
      <w:lvlText w:val="%2."/>
      <w:lvlJc w:val="left"/>
      <w:pPr>
        <w:ind w:left="1440" w:hanging="360"/>
      </w:pPr>
    </w:lvl>
    <w:lvl w:ilvl="2" w:tplc="D5A2561C" w:tentative="1">
      <w:start w:val="1"/>
      <w:numFmt w:val="lowerRoman"/>
      <w:lvlText w:val="%3."/>
      <w:lvlJc w:val="right"/>
      <w:pPr>
        <w:ind w:left="2160" w:hanging="180"/>
      </w:pPr>
    </w:lvl>
    <w:lvl w:ilvl="3" w:tplc="D6FAEE10" w:tentative="1">
      <w:start w:val="1"/>
      <w:numFmt w:val="decimal"/>
      <w:lvlText w:val="%4."/>
      <w:lvlJc w:val="left"/>
      <w:pPr>
        <w:ind w:left="2880" w:hanging="360"/>
      </w:pPr>
    </w:lvl>
    <w:lvl w:ilvl="4" w:tplc="7640F23A" w:tentative="1">
      <w:start w:val="1"/>
      <w:numFmt w:val="lowerLetter"/>
      <w:lvlText w:val="%5."/>
      <w:lvlJc w:val="left"/>
      <w:pPr>
        <w:ind w:left="3600" w:hanging="360"/>
      </w:pPr>
    </w:lvl>
    <w:lvl w:ilvl="5" w:tplc="228E2870" w:tentative="1">
      <w:start w:val="1"/>
      <w:numFmt w:val="lowerRoman"/>
      <w:lvlText w:val="%6."/>
      <w:lvlJc w:val="right"/>
      <w:pPr>
        <w:ind w:left="4320" w:hanging="180"/>
      </w:pPr>
    </w:lvl>
    <w:lvl w:ilvl="6" w:tplc="98546AB2" w:tentative="1">
      <w:start w:val="1"/>
      <w:numFmt w:val="decimal"/>
      <w:lvlText w:val="%7."/>
      <w:lvlJc w:val="left"/>
      <w:pPr>
        <w:ind w:left="5040" w:hanging="360"/>
      </w:pPr>
    </w:lvl>
    <w:lvl w:ilvl="7" w:tplc="B7C48E2E" w:tentative="1">
      <w:start w:val="1"/>
      <w:numFmt w:val="lowerLetter"/>
      <w:lvlText w:val="%8."/>
      <w:lvlJc w:val="left"/>
      <w:pPr>
        <w:ind w:left="5760" w:hanging="360"/>
      </w:pPr>
    </w:lvl>
    <w:lvl w:ilvl="8" w:tplc="0B7C0A54" w:tentative="1">
      <w:start w:val="1"/>
      <w:numFmt w:val="lowerRoman"/>
      <w:lvlText w:val="%9."/>
      <w:lvlJc w:val="right"/>
      <w:pPr>
        <w:ind w:left="6480" w:hanging="180"/>
      </w:pPr>
    </w:lvl>
  </w:abstractNum>
  <w:abstractNum w:abstractNumId="3" w15:restartNumberingAfterBreak="0">
    <w:nsid w:val="168D46EA"/>
    <w:multiLevelType w:val="hybridMultilevel"/>
    <w:tmpl w:val="8AD6BD8C"/>
    <w:lvl w:ilvl="0" w:tplc="CB868628">
      <w:start w:val="1"/>
      <w:numFmt w:val="bullet"/>
      <w:lvlText w:val=""/>
      <w:lvlJc w:val="left"/>
      <w:pPr>
        <w:ind w:left="720" w:hanging="360"/>
      </w:pPr>
      <w:rPr>
        <w:rFonts w:ascii="Symbol" w:hAnsi="Symbol" w:hint="default"/>
      </w:rPr>
    </w:lvl>
    <w:lvl w:ilvl="1" w:tplc="224C209C" w:tentative="1">
      <w:start w:val="1"/>
      <w:numFmt w:val="bullet"/>
      <w:lvlText w:val="o"/>
      <w:lvlJc w:val="left"/>
      <w:pPr>
        <w:ind w:left="1440" w:hanging="360"/>
      </w:pPr>
      <w:rPr>
        <w:rFonts w:ascii="Courier New" w:hAnsi="Courier New" w:cs="Courier New" w:hint="default"/>
      </w:rPr>
    </w:lvl>
    <w:lvl w:ilvl="2" w:tplc="510227A4" w:tentative="1">
      <w:start w:val="1"/>
      <w:numFmt w:val="bullet"/>
      <w:lvlText w:val=""/>
      <w:lvlJc w:val="left"/>
      <w:pPr>
        <w:ind w:left="2160" w:hanging="360"/>
      </w:pPr>
      <w:rPr>
        <w:rFonts w:ascii="Wingdings" w:hAnsi="Wingdings" w:hint="default"/>
      </w:rPr>
    </w:lvl>
    <w:lvl w:ilvl="3" w:tplc="484C0C38" w:tentative="1">
      <w:start w:val="1"/>
      <w:numFmt w:val="bullet"/>
      <w:lvlText w:val=""/>
      <w:lvlJc w:val="left"/>
      <w:pPr>
        <w:ind w:left="2880" w:hanging="360"/>
      </w:pPr>
      <w:rPr>
        <w:rFonts w:ascii="Symbol" w:hAnsi="Symbol" w:hint="default"/>
      </w:rPr>
    </w:lvl>
    <w:lvl w:ilvl="4" w:tplc="41EC5EAE" w:tentative="1">
      <w:start w:val="1"/>
      <w:numFmt w:val="bullet"/>
      <w:lvlText w:val="o"/>
      <w:lvlJc w:val="left"/>
      <w:pPr>
        <w:ind w:left="3600" w:hanging="360"/>
      </w:pPr>
      <w:rPr>
        <w:rFonts w:ascii="Courier New" w:hAnsi="Courier New" w:cs="Courier New" w:hint="default"/>
      </w:rPr>
    </w:lvl>
    <w:lvl w:ilvl="5" w:tplc="B1BAC0E4" w:tentative="1">
      <w:start w:val="1"/>
      <w:numFmt w:val="bullet"/>
      <w:lvlText w:val=""/>
      <w:lvlJc w:val="left"/>
      <w:pPr>
        <w:ind w:left="4320" w:hanging="360"/>
      </w:pPr>
      <w:rPr>
        <w:rFonts w:ascii="Wingdings" w:hAnsi="Wingdings" w:hint="default"/>
      </w:rPr>
    </w:lvl>
    <w:lvl w:ilvl="6" w:tplc="A1F839C0" w:tentative="1">
      <w:start w:val="1"/>
      <w:numFmt w:val="bullet"/>
      <w:lvlText w:val=""/>
      <w:lvlJc w:val="left"/>
      <w:pPr>
        <w:ind w:left="5040" w:hanging="360"/>
      </w:pPr>
      <w:rPr>
        <w:rFonts w:ascii="Symbol" w:hAnsi="Symbol" w:hint="default"/>
      </w:rPr>
    </w:lvl>
    <w:lvl w:ilvl="7" w:tplc="F5369840" w:tentative="1">
      <w:start w:val="1"/>
      <w:numFmt w:val="bullet"/>
      <w:lvlText w:val="o"/>
      <w:lvlJc w:val="left"/>
      <w:pPr>
        <w:ind w:left="5760" w:hanging="360"/>
      </w:pPr>
      <w:rPr>
        <w:rFonts w:ascii="Courier New" w:hAnsi="Courier New" w:cs="Courier New" w:hint="default"/>
      </w:rPr>
    </w:lvl>
    <w:lvl w:ilvl="8" w:tplc="4874E956" w:tentative="1">
      <w:start w:val="1"/>
      <w:numFmt w:val="bullet"/>
      <w:lvlText w:val=""/>
      <w:lvlJc w:val="left"/>
      <w:pPr>
        <w:ind w:left="6480" w:hanging="360"/>
      </w:pPr>
      <w:rPr>
        <w:rFonts w:ascii="Wingdings" w:hAnsi="Wingdings" w:hint="default"/>
      </w:rPr>
    </w:lvl>
  </w:abstractNum>
  <w:abstractNum w:abstractNumId="4" w15:restartNumberingAfterBreak="0">
    <w:nsid w:val="37672FE3"/>
    <w:multiLevelType w:val="hybridMultilevel"/>
    <w:tmpl w:val="9E1E8422"/>
    <w:lvl w:ilvl="0" w:tplc="D5D84800">
      <w:start w:val="1"/>
      <w:numFmt w:val="bullet"/>
      <w:lvlText w:val=""/>
      <w:lvlJc w:val="left"/>
      <w:pPr>
        <w:ind w:left="720" w:hanging="360"/>
      </w:pPr>
      <w:rPr>
        <w:rFonts w:ascii="Symbol" w:hAnsi="Symbol" w:hint="default"/>
      </w:rPr>
    </w:lvl>
    <w:lvl w:ilvl="1" w:tplc="8FD202AC" w:tentative="1">
      <w:start w:val="1"/>
      <w:numFmt w:val="bullet"/>
      <w:lvlText w:val="o"/>
      <w:lvlJc w:val="left"/>
      <w:pPr>
        <w:ind w:left="1440" w:hanging="360"/>
      </w:pPr>
      <w:rPr>
        <w:rFonts w:ascii="Courier New" w:hAnsi="Courier New" w:cs="Courier New" w:hint="default"/>
      </w:rPr>
    </w:lvl>
    <w:lvl w:ilvl="2" w:tplc="D85AA830" w:tentative="1">
      <w:start w:val="1"/>
      <w:numFmt w:val="bullet"/>
      <w:lvlText w:val=""/>
      <w:lvlJc w:val="left"/>
      <w:pPr>
        <w:ind w:left="2160" w:hanging="360"/>
      </w:pPr>
      <w:rPr>
        <w:rFonts w:ascii="Wingdings" w:hAnsi="Wingdings" w:hint="default"/>
      </w:rPr>
    </w:lvl>
    <w:lvl w:ilvl="3" w:tplc="BF5829F2" w:tentative="1">
      <w:start w:val="1"/>
      <w:numFmt w:val="bullet"/>
      <w:lvlText w:val=""/>
      <w:lvlJc w:val="left"/>
      <w:pPr>
        <w:ind w:left="2880" w:hanging="360"/>
      </w:pPr>
      <w:rPr>
        <w:rFonts w:ascii="Symbol" w:hAnsi="Symbol" w:hint="default"/>
      </w:rPr>
    </w:lvl>
    <w:lvl w:ilvl="4" w:tplc="A366F7F0" w:tentative="1">
      <w:start w:val="1"/>
      <w:numFmt w:val="bullet"/>
      <w:lvlText w:val="o"/>
      <w:lvlJc w:val="left"/>
      <w:pPr>
        <w:ind w:left="3600" w:hanging="360"/>
      </w:pPr>
      <w:rPr>
        <w:rFonts w:ascii="Courier New" w:hAnsi="Courier New" w:cs="Courier New" w:hint="default"/>
      </w:rPr>
    </w:lvl>
    <w:lvl w:ilvl="5" w:tplc="6E3C577A" w:tentative="1">
      <w:start w:val="1"/>
      <w:numFmt w:val="bullet"/>
      <w:lvlText w:val=""/>
      <w:lvlJc w:val="left"/>
      <w:pPr>
        <w:ind w:left="4320" w:hanging="360"/>
      </w:pPr>
      <w:rPr>
        <w:rFonts w:ascii="Wingdings" w:hAnsi="Wingdings" w:hint="default"/>
      </w:rPr>
    </w:lvl>
    <w:lvl w:ilvl="6" w:tplc="37F658D0" w:tentative="1">
      <w:start w:val="1"/>
      <w:numFmt w:val="bullet"/>
      <w:lvlText w:val=""/>
      <w:lvlJc w:val="left"/>
      <w:pPr>
        <w:ind w:left="5040" w:hanging="360"/>
      </w:pPr>
      <w:rPr>
        <w:rFonts w:ascii="Symbol" w:hAnsi="Symbol" w:hint="default"/>
      </w:rPr>
    </w:lvl>
    <w:lvl w:ilvl="7" w:tplc="B1DCDF50" w:tentative="1">
      <w:start w:val="1"/>
      <w:numFmt w:val="bullet"/>
      <w:lvlText w:val="o"/>
      <w:lvlJc w:val="left"/>
      <w:pPr>
        <w:ind w:left="5760" w:hanging="360"/>
      </w:pPr>
      <w:rPr>
        <w:rFonts w:ascii="Courier New" w:hAnsi="Courier New" w:cs="Courier New" w:hint="default"/>
      </w:rPr>
    </w:lvl>
    <w:lvl w:ilvl="8" w:tplc="A6FA6BEE" w:tentative="1">
      <w:start w:val="1"/>
      <w:numFmt w:val="bullet"/>
      <w:lvlText w:val=""/>
      <w:lvlJc w:val="left"/>
      <w:pPr>
        <w:ind w:left="6480" w:hanging="360"/>
      </w:pPr>
      <w:rPr>
        <w:rFonts w:ascii="Wingdings" w:hAnsi="Wingdings" w:hint="default"/>
      </w:rPr>
    </w:lvl>
  </w:abstractNum>
  <w:abstractNum w:abstractNumId="5" w15:restartNumberingAfterBreak="0">
    <w:nsid w:val="38706AD4"/>
    <w:multiLevelType w:val="hybridMultilevel"/>
    <w:tmpl w:val="42E83876"/>
    <w:lvl w:ilvl="0" w:tplc="C8A2A84E">
      <w:start w:val="1"/>
      <w:numFmt w:val="bullet"/>
      <w:lvlText w:val=""/>
      <w:lvlJc w:val="left"/>
      <w:pPr>
        <w:ind w:left="720" w:hanging="360"/>
      </w:pPr>
      <w:rPr>
        <w:rFonts w:ascii="Symbol" w:hAnsi="Symbol" w:hint="default"/>
      </w:rPr>
    </w:lvl>
    <w:lvl w:ilvl="1" w:tplc="3E4A0F00">
      <w:start w:val="1"/>
      <w:numFmt w:val="bullet"/>
      <w:lvlText w:val="o"/>
      <w:lvlJc w:val="left"/>
      <w:pPr>
        <w:ind w:left="1440" w:hanging="360"/>
      </w:pPr>
      <w:rPr>
        <w:rFonts w:ascii="Courier New" w:hAnsi="Courier New" w:cs="Courier New" w:hint="default"/>
      </w:rPr>
    </w:lvl>
    <w:lvl w:ilvl="2" w:tplc="B1E40988" w:tentative="1">
      <w:start w:val="1"/>
      <w:numFmt w:val="bullet"/>
      <w:lvlText w:val=""/>
      <w:lvlJc w:val="left"/>
      <w:pPr>
        <w:ind w:left="2160" w:hanging="360"/>
      </w:pPr>
      <w:rPr>
        <w:rFonts w:ascii="Wingdings" w:hAnsi="Wingdings" w:hint="default"/>
      </w:rPr>
    </w:lvl>
    <w:lvl w:ilvl="3" w:tplc="1A743460" w:tentative="1">
      <w:start w:val="1"/>
      <w:numFmt w:val="bullet"/>
      <w:lvlText w:val=""/>
      <w:lvlJc w:val="left"/>
      <w:pPr>
        <w:ind w:left="2880" w:hanging="360"/>
      </w:pPr>
      <w:rPr>
        <w:rFonts w:ascii="Symbol" w:hAnsi="Symbol" w:hint="default"/>
      </w:rPr>
    </w:lvl>
    <w:lvl w:ilvl="4" w:tplc="C98C8092" w:tentative="1">
      <w:start w:val="1"/>
      <w:numFmt w:val="bullet"/>
      <w:lvlText w:val="o"/>
      <w:lvlJc w:val="left"/>
      <w:pPr>
        <w:ind w:left="3600" w:hanging="360"/>
      </w:pPr>
      <w:rPr>
        <w:rFonts w:ascii="Courier New" w:hAnsi="Courier New" w:cs="Courier New" w:hint="default"/>
      </w:rPr>
    </w:lvl>
    <w:lvl w:ilvl="5" w:tplc="E05852E6" w:tentative="1">
      <w:start w:val="1"/>
      <w:numFmt w:val="bullet"/>
      <w:lvlText w:val=""/>
      <w:lvlJc w:val="left"/>
      <w:pPr>
        <w:ind w:left="4320" w:hanging="360"/>
      </w:pPr>
      <w:rPr>
        <w:rFonts w:ascii="Wingdings" w:hAnsi="Wingdings" w:hint="default"/>
      </w:rPr>
    </w:lvl>
    <w:lvl w:ilvl="6" w:tplc="CD78322A" w:tentative="1">
      <w:start w:val="1"/>
      <w:numFmt w:val="bullet"/>
      <w:lvlText w:val=""/>
      <w:lvlJc w:val="left"/>
      <w:pPr>
        <w:ind w:left="5040" w:hanging="360"/>
      </w:pPr>
      <w:rPr>
        <w:rFonts w:ascii="Symbol" w:hAnsi="Symbol" w:hint="default"/>
      </w:rPr>
    </w:lvl>
    <w:lvl w:ilvl="7" w:tplc="BD389616" w:tentative="1">
      <w:start w:val="1"/>
      <w:numFmt w:val="bullet"/>
      <w:lvlText w:val="o"/>
      <w:lvlJc w:val="left"/>
      <w:pPr>
        <w:ind w:left="5760" w:hanging="360"/>
      </w:pPr>
      <w:rPr>
        <w:rFonts w:ascii="Courier New" w:hAnsi="Courier New" w:cs="Courier New" w:hint="default"/>
      </w:rPr>
    </w:lvl>
    <w:lvl w:ilvl="8" w:tplc="437C66AE" w:tentative="1">
      <w:start w:val="1"/>
      <w:numFmt w:val="bullet"/>
      <w:lvlText w:val=""/>
      <w:lvlJc w:val="left"/>
      <w:pPr>
        <w:ind w:left="6480" w:hanging="360"/>
      </w:pPr>
      <w:rPr>
        <w:rFonts w:ascii="Wingdings" w:hAnsi="Wingdings" w:hint="default"/>
      </w:rPr>
    </w:lvl>
  </w:abstractNum>
  <w:abstractNum w:abstractNumId="6" w15:restartNumberingAfterBreak="0">
    <w:nsid w:val="40F81DE5"/>
    <w:multiLevelType w:val="hybridMultilevel"/>
    <w:tmpl w:val="3F3A1126"/>
    <w:lvl w:ilvl="0" w:tplc="B76638AC">
      <w:start w:val="1"/>
      <w:numFmt w:val="bullet"/>
      <w:lvlText w:val=""/>
      <w:lvlJc w:val="left"/>
      <w:pPr>
        <w:ind w:left="720" w:hanging="360"/>
      </w:pPr>
      <w:rPr>
        <w:rFonts w:ascii="Symbol" w:hAnsi="Symbol" w:hint="default"/>
      </w:rPr>
    </w:lvl>
    <w:lvl w:ilvl="1" w:tplc="6A329340" w:tentative="1">
      <w:start w:val="1"/>
      <w:numFmt w:val="bullet"/>
      <w:lvlText w:val="o"/>
      <w:lvlJc w:val="left"/>
      <w:pPr>
        <w:ind w:left="1440" w:hanging="360"/>
      </w:pPr>
      <w:rPr>
        <w:rFonts w:ascii="Courier New" w:hAnsi="Courier New" w:cs="Courier New" w:hint="default"/>
      </w:rPr>
    </w:lvl>
    <w:lvl w:ilvl="2" w:tplc="AAB8F6A2" w:tentative="1">
      <w:start w:val="1"/>
      <w:numFmt w:val="bullet"/>
      <w:lvlText w:val=""/>
      <w:lvlJc w:val="left"/>
      <w:pPr>
        <w:ind w:left="2160" w:hanging="360"/>
      </w:pPr>
      <w:rPr>
        <w:rFonts w:ascii="Wingdings" w:hAnsi="Wingdings" w:hint="default"/>
      </w:rPr>
    </w:lvl>
    <w:lvl w:ilvl="3" w:tplc="4ED0FBB6" w:tentative="1">
      <w:start w:val="1"/>
      <w:numFmt w:val="bullet"/>
      <w:lvlText w:val=""/>
      <w:lvlJc w:val="left"/>
      <w:pPr>
        <w:ind w:left="2880" w:hanging="360"/>
      </w:pPr>
      <w:rPr>
        <w:rFonts w:ascii="Symbol" w:hAnsi="Symbol" w:hint="default"/>
      </w:rPr>
    </w:lvl>
    <w:lvl w:ilvl="4" w:tplc="070E0A58" w:tentative="1">
      <w:start w:val="1"/>
      <w:numFmt w:val="bullet"/>
      <w:lvlText w:val="o"/>
      <w:lvlJc w:val="left"/>
      <w:pPr>
        <w:ind w:left="3600" w:hanging="360"/>
      </w:pPr>
      <w:rPr>
        <w:rFonts w:ascii="Courier New" w:hAnsi="Courier New" w:cs="Courier New" w:hint="default"/>
      </w:rPr>
    </w:lvl>
    <w:lvl w:ilvl="5" w:tplc="34947416" w:tentative="1">
      <w:start w:val="1"/>
      <w:numFmt w:val="bullet"/>
      <w:lvlText w:val=""/>
      <w:lvlJc w:val="left"/>
      <w:pPr>
        <w:ind w:left="4320" w:hanging="360"/>
      </w:pPr>
      <w:rPr>
        <w:rFonts w:ascii="Wingdings" w:hAnsi="Wingdings" w:hint="default"/>
      </w:rPr>
    </w:lvl>
    <w:lvl w:ilvl="6" w:tplc="05D28536" w:tentative="1">
      <w:start w:val="1"/>
      <w:numFmt w:val="bullet"/>
      <w:lvlText w:val=""/>
      <w:lvlJc w:val="left"/>
      <w:pPr>
        <w:ind w:left="5040" w:hanging="360"/>
      </w:pPr>
      <w:rPr>
        <w:rFonts w:ascii="Symbol" w:hAnsi="Symbol" w:hint="default"/>
      </w:rPr>
    </w:lvl>
    <w:lvl w:ilvl="7" w:tplc="FD8EBC10" w:tentative="1">
      <w:start w:val="1"/>
      <w:numFmt w:val="bullet"/>
      <w:lvlText w:val="o"/>
      <w:lvlJc w:val="left"/>
      <w:pPr>
        <w:ind w:left="5760" w:hanging="360"/>
      </w:pPr>
      <w:rPr>
        <w:rFonts w:ascii="Courier New" w:hAnsi="Courier New" w:cs="Courier New" w:hint="default"/>
      </w:rPr>
    </w:lvl>
    <w:lvl w:ilvl="8" w:tplc="3876899C" w:tentative="1">
      <w:start w:val="1"/>
      <w:numFmt w:val="bullet"/>
      <w:lvlText w:val=""/>
      <w:lvlJc w:val="left"/>
      <w:pPr>
        <w:ind w:left="6480" w:hanging="360"/>
      </w:pPr>
      <w:rPr>
        <w:rFonts w:ascii="Wingdings" w:hAnsi="Wingdings" w:hint="default"/>
      </w:rPr>
    </w:lvl>
  </w:abstractNum>
  <w:abstractNum w:abstractNumId="7" w15:restartNumberingAfterBreak="0">
    <w:nsid w:val="4A945EFC"/>
    <w:multiLevelType w:val="hybridMultilevel"/>
    <w:tmpl w:val="79622B00"/>
    <w:lvl w:ilvl="0" w:tplc="59C2BB04">
      <w:start w:val="1"/>
      <w:numFmt w:val="bullet"/>
      <w:lvlText w:val=""/>
      <w:lvlJc w:val="left"/>
      <w:pPr>
        <w:ind w:left="720" w:hanging="360"/>
      </w:pPr>
      <w:rPr>
        <w:rFonts w:ascii="Symbol" w:hAnsi="Symbol" w:hint="default"/>
      </w:rPr>
    </w:lvl>
    <w:lvl w:ilvl="1" w:tplc="3FAAE21C" w:tentative="1">
      <w:start w:val="1"/>
      <w:numFmt w:val="bullet"/>
      <w:lvlText w:val="o"/>
      <w:lvlJc w:val="left"/>
      <w:pPr>
        <w:ind w:left="1440" w:hanging="360"/>
      </w:pPr>
      <w:rPr>
        <w:rFonts w:ascii="Courier New" w:hAnsi="Courier New" w:cs="Courier New" w:hint="default"/>
      </w:rPr>
    </w:lvl>
    <w:lvl w:ilvl="2" w:tplc="D166B5E8" w:tentative="1">
      <w:start w:val="1"/>
      <w:numFmt w:val="bullet"/>
      <w:lvlText w:val=""/>
      <w:lvlJc w:val="left"/>
      <w:pPr>
        <w:ind w:left="2160" w:hanging="360"/>
      </w:pPr>
      <w:rPr>
        <w:rFonts w:ascii="Wingdings" w:hAnsi="Wingdings" w:hint="default"/>
      </w:rPr>
    </w:lvl>
    <w:lvl w:ilvl="3" w:tplc="FA8E9FEC" w:tentative="1">
      <w:start w:val="1"/>
      <w:numFmt w:val="bullet"/>
      <w:lvlText w:val=""/>
      <w:lvlJc w:val="left"/>
      <w:pPr>
        <w:ind w:left="2880" w:hanging="360"/>
      </w:pPr>
      <w:rPr>
        <w:rFonts w:ascii="Symbol" w:hAnsi="Symbol" w:hint="default"/>
      </w:rPr>
    </w:lvl>
    <w:lvl w:ilvl="4" w:tplc="B964D4AE" w:tentative="1">
      <w:start w:val="1"/>
      <w:numFmt w:val="bullet"/>
      <w:lvlText w:val="o"/>
      <w:lvlJc w:val="left"/>
      <w:pPr>
        <w:ind w:left="3600" w:hanging="360"/>
      </w:pPr>
      <w:rPr>
        <w:rFonts w:ascii="Courier New" w:hAnsi="Courier New" w:cs="Courier New" w:hint="default"/>
      </w:rPr>
    </w:lvl>
    <w:lvl w:ilvl="5" w:tplc="AB3A6A6A" w:tentative="1">
      <w:start w:val="1"/>
      <w:numFmt w:val="bullet"/>
      <w:lvlText w:val=""/>
      <w:lvlJc w:val="left"/>
      <w:pPr>
        <w:ind w:left="4320" w:hanging="360"/>
      </w:pPr>
      <w:rPr>
        <w:rFonts w:ascii="Wingdings" w:hAnsi="Wingdings" w:hint="default"/>
      </w:rPr>
    </w:lvl>
    <w:lvl w:ilvl="6" w:tplc="BAAE4FF4" w:tentative="1">
      <w:start w:val="1"/>
      <w:numFmt w:val="bullet"/>
      <w:lvlText w:val=""/>
      <w:lvlJc w:val="left"/>
      <w:pPr>
        <w:ind w:left="5040" w:hanging="360"/>
      </w:pPr>
      <w:rPr>
        <w:rFonts w:ascii="Symbol" w:hAnsi="Symbol" w:hint="default"/>
      </w:rPr>
    </w:lvl>
    <w:lvl w:ilvl="7" w:tplc="B570FBFE" w:tentative="1">
      <w:start w:val="1"/>
      <w:numFmt w:val="bullet"/>
      <w:lvlText w:val="o"/>
      <w:lvlJc w:val="left"/>
      <w:pPr>
        <w:ind w:left="5760" w:hanging="360"/>
      </w:pPr>
      <w:rPr>
        <w:rFonts w:ascii="Courier New" w:hAnsi="Courier New" w:cs="Courier New" w:hint="default"/>
      </w:rPr>
    </w:lvl>
    <w:lvl w:ilvl="8" w:tplc="F61E8B94" w:tentative="1">
      <w:start w:val="1"/>
      <w:numFmt w:val="bullet"/>
      <w:lvlText w:val=""/>
      <w:lvlJc w:val="left"/>
      <w:pPr>
        <w:ind w:left="6480" w:hanging="360"/>
      </w:pPr>
      <w:rPr>
        <w:rFonts w:ascii="Wingdings" w:hAnsi="Wingdings" w:hint="default"/>
      </w:rPr>
    </w:lvl>
  </w:abstractNum>
  <w:abstractNum w:abstractNumId="8" w15:restartNumberingAfterBreak="0">
    <w:nsid w:val="62895C6C"/>
    <w:multiLevelType w:val="hybridMultilevel"/>
    <w:tmpl w:val="AFC6BBE8"/>
    <w:lvl w:ilvl="0" w:tplc="0D60738C">
      <w:start w:val="1"/>
      <w:numFmt w:val="bullet"/>
      <w:lvlText w:val=""/>
      <w:lvlJc w:val="left"/>
      <w:pPr>
        <w:ind w:left="720" w:hanging="360"/>
      </w:pPr>
      <w:rPr>
        <w:rFonts w:ascii="Symbol" w:hAnsi="Symbol" w:hint="default"/>
      </w:rPr>
    </w:lvl>
    <w:lvl w:ilvl="1" w:tplc="2CA4E844" w:tentative="1">
      <w:start w:val="1"/>
      <w:numFmt w:val="bullet"/>
      <w:lvlText w:val="o"/>
      <w:lvlJc w:val="left"/>
      <w:pPr>
        <w:ind w:left="1440" w:hanging="360"/>
      </w:pPr>
      <w:rPr>
        <w:rFonts w:ascii="Courier New" w:hAnsi="Courier New" w:cs="Courier New" w:hint="default"/>
      </w:rPr>
    </w:lvl>
    <w:lvl w:ilvl="2" w:tplc="0ABC4C66" w:tentative="1">
      <w:start w:val="1"/>
      <w:numFmt w:val="bullet"/>
      <w:lvlText w:val=""/>
      <w:lvlJc w:val="left"/>
      <w:pPr>
        <w:ind w:left="2160" w:hanging="360"/>
      </w:pPr>
      <w:rPr>
        <w:rFonts w:ascii="Wingdings" w:hAnsi="Wingdings" w:hint="default"/>
      </w:rPr>
    </w:lvl>
    <w:lvl w:ilvl="3" w:tplc="515C9C22" w:tentative="1">
      <w:start w:val="1"/>
      <w:numFmt w:val="bullet"/>
      <w:lvlText w:val=""/>
      <w:lvlJc w:val="left"/>
      <w:pPr>
        <w:ind w:left="2880" w:hanging="360"/>
      </w:pPr>
      <w:rPr>
        <w:rFonts w:ascii="Symbol" w:hAnsi="Symbol" w:hint="default"/>
      </w:rPr>
    </w:lvl>
    <w:lvl w:ilvl="4" w:tplc="57608510" w:tentative="1">
      <w:start w:val="1"/>
      <w:numFmt w:val="bullet"/>
      <w:lvlText w:val="o"/>
      <w:lvlJc w:val="left"/>
      <w:pPr>
        <w:ind w:left="3600" w:hanging="360"/>
      </w:pPr>
      <w:rPr>
        <w:rFonts w:ascii="Courier New" w:hAnsi="Courier New" w:cs="Courier New" w:hint="default"/>
      </w:rPr>
    </w:lvl>
    <w:lvl w:ilvl="5" w:tplc="47169832" w:tentative="1">
      <w:start w:val="1"/>
      <w:numFmt w:val="bullet"/>
      <w:lvlText w:val=""/>
      <w:lvlJc w:val="left"/>
      <w:pPr>
        <w:ind w:left="4320" w:hanging="360"/>
      </w:pPr>
      <w:rPr>
        <w:rFonts w:ascii="Wingdings" w:hAnsi="Wingdings" w:hint="default"/>
      </w:rPr>
    </w:lvl>
    <w:lvl w:ilvl="6" w:tplc="1B18DC72" w:tentative="1">
      <w:start w:val="1"/>
      <w:numFmt w:val="bullet"/>
      <w:lvlText w:val=""/>
      <w:lvlJc w:val="left"/>
      <w:pPr>
        <w:ind w:left="5040" w:hanging="360"/>
      </w:pPr>
      <w:rPr>
        <w:rFonts w:ascii="Symbol" w:hAnsi="Symbol" w:hint="default"/>
      </w:rPr>
    </w:lvl>
    <w:lvl w:ilvl="7" w:tplc="A7C01AA8" w:tentative="1">
      <w:start w:val="1"/>
      <w:numFmt w:val="bullet"/>
      <w:lvlText w:val="o"/>
      <w:lvlJc w:val="left"/>
      <w:pPr>
        <w:ind w:left="5760" w:hanging="360"/>
      </w:pPr>
      <w:rPr>
        <w:rFonts w:ascii="Courier New" w:hAnsi="Courier New" w:cs="Courier New" w:hint="default"/>
      </w:rPr>
    </w:lvl>
    <w:lvl w:ilvl="8" w:tplc="20AA9B6E" w:tentative="1">
      <w:start w:val="1"/>
      <w:numFmt w:val="bullet"/>
      <w:lvlText w:val=""/>
      <w:lvlJc w:val="left"/>
      <w:pPr>
        <w:ind w:left="6480" w:hanging="360"/>
      </w:pPr>
      <w:rPr>
        <w:rFonts w:ascii="Wingdings" w:hAnsi="Wingdings" w:hint="default"/>
      </w:rPr>
    </w:lvl>
  </w:abstractNum>
  <w:abstractNum w:abstractNumId="9" w15:restartNumberingAfterBreak="0">
    <w:nsid w:val="651E6C82"/>
    <w:multiLevelType w:val="hybridMultilevel"/>
    <w:tmpl w:val="22103080"/>
    <w:lvl w:ilvl="0" w:tplc="C03408CC">
      <w:start w:val="1"/>
      <w:numFmt w:val="bullet"/>
      <w:lvlText w:val=""/>
      <w:lvlJc w:val="left"/>
      <w:pPr>
        <w:ind w:left="720" w:hanging="360"/>
      </w:pPr>
      <w:rPr>
        <w:rFonts w:ascii="Symbol" w:hAnsi="Symbol" w:hint="default"/>
      </w:rPr>
    </w:lvl>
    <w:lvl w:ilvl="1" w:tplc="F0A0D66C" w:tentative="1">
      <w:start w:val="1"/>
      <w:numFmt w:val="bullet"/>
      <w:lvlText w:val="o"/>
      <w:lvlJc w:val="left"/>
      <w:pPr>
        <w:ind w:left="1440" w:hanging="360"/>
      </w:pPr>
      <w:rPr>
        <w:rFonts w:ascii="Courier New" w:hAnsi="Courier New" w:cs="Courier New" w:hint="default"/>
      </w:rPr>
    </w:lvl>
    <w:lvl w:ilvl="2" w:tplc="A9661EC8" w:tentative="1">
      <w:start w:val="1"/>
      <w:numFmt w:val="bullet"/>
      <w:lvlText w:val=""/>
      <w:lvlJc w:val="left"/>
      <w:pPr>
        <w:ind w:left="2160" w:hanging="360"/>
      </w:pPr>
      <w:rPr>
        <w:rFonts w:ascii="Wingdings" w:hAnsi="Wingdings" w:hint="default"/>
      </w:rPr>
    </w:lvl>
    <w:lvl w:ilvl="3" w:tplc="386858F8" w:tentative="1">
      <w:start w:val="1"/>
      <w:numFmt w:val="bullet"/>
      <w:lvlText w:val=""/>
      <w:lvlJc w:val="left"/>
      <w:pPr>
        <w:ind w:left="2880" w:hanging="360"/>
      </w:pPr>
      <w:rPr>
        <w:rFonts w:ascii="Symbol" w:hAnsi="Symbol" w:hint="default"/>
      </w:rPr>
    </w:lvl>
    <w:lvl w:ilvl="4" w:tplc="AAD07948" w:tentative="1">
      <w:start w:val="1"/>
      <w:numFmt w:val="bullet"/>
      <w:lvlText w:val="o"/>
      <w:lvlJc w:val="left"/>
      <w:pPr>
        <w:ind w:left="3600" w:hanging="360"/>
      </w:pPr>
      <w:rPr>
        <w:rFonts w:ascii="Courier New" w:hAnsi="Courier New" w:cs="Courier New" w:hint="default"/>
      </w:rPr>
    </w:lvl>
    <w:lvl w:ilvl="5" w:tplc="6186E742" w:tentative="1">
      <w:start w:val="1"/>
      <w:numFmt w:val="bullet"/>
      <w:lvlText w:val=""/>
      <w:lvlJc w:val="left"/>
      <w:pPr>
        <w:ind w:left="4320" w:hanging="360"/>
      </w:pPr>
      <w:rPr>
        <w:rFonts w:ascii="Wingdings" w:hAnsi="Wingdings" w:hint="default"/>
      </w:rPr>
    </w:lvl>
    <w:lvl w:ilvl="6" w:tplc="77EAB344" w:tentative="1">
      <w:start w:val="1"/>
      <w:numFmt w:val="bullet"/>
      <w:lvlText w:val=""/>
      <w:lvlJc w:val="left"/>
      <w:pPr>
        <w:ind w:left="5040" w:hanging="360"/>
      </w:pPr>
      <w:rPr>
        <w:rFonts w:ascii="Symbol" w:hAnsi="Symbol" w:hint="default"/>
      </w:rPr>
    </w:lvl>
    <w:lvl w:ilvl="7" w:tplc="A59CCC6C" w:tentative="1">
      <w:start w:val="1"/>
      <w:numFmt w:val="bullet"/>
      <w:lvlText w:val="o"/>
      <w:lvlJc w:val="left"/>
      <w:pPr>
        <w:ind w:left="5760" w:hanging="360"/>
      </w:pPr>
      <w:rPr>
        <w:rFonts w:ascii="Courier New" w:hAnsi="Courier New" w:cs="Courier New" w:hint="default"/>
      </w:rPr>
    </w:lvl>
    <w:lvl w:ilvl="8" w:tplc="ED6CD386" w:tentative="1">
      <w:start w:val="1"/>
      <w:numFmt w:val="bullet"/>
      <w:lvlText w:val=""/>
      <w:lvlJc w:val="left"/>
      <w:pPr>
        <w:ind w:left="6480" w:hanging="360"/>
      </w:pPr>
      <w:rPr>
        <w:rFonts w:ascii="Wingdings" w:hAnsi="Wingdings" w:hint="default"/>
      </w:rPr>
    </w:lvl>
  </w:abstractNum>
  <w:abstractNum w:abstractNumId="10" w15:restartNumberingAfterBreak="0">
    <w:nsid w:val="671F58FB"/>
    <w:multiLevelType w:val="hybridMultilevel"/>
    <w:tmpl w:val="B34E3B28"/>
    <w:lvl w:ilvl="0" w:tplc="4DF2A3D8">
      <w:start w:val="1"/>
      <w:numFmt w:val="bullet"/>
      <w:lvlText w:val=""/>
      <w:lvlJc w:val="left"/>
      <w:pPr>
        <w:ind w:left="720" w:hanging="360"/>
      </w:pPr>
      <w:rPr>
        <w:rFonts w:ascii="Symbol" w:hAnsi="Symbol" w:hint="default"/>
      </w:rPr>
    </w:lvl>
    <w:lvl w:ilvl="1" w:tplc="180ABE0A">
      <w:start w:val="1"/>
      <w:numFmt w:val="bullet"/>
      <w:lvlText w:val="o"/>
      <w:lvlJc w:val="left"/>
      <w:pPr>
        <w:ind w:left="1440" w:hanging="360"/>
      </w:pPr>
      <w:rPr>
        <w:rFonts w:ascii="Courier New" w:hAnsi="Courier New" w:cs="Courier New" w:hint="default"/>
      </w:rPr>
    </w:lvl>
    <w:lvl w:ilvl="2" w:tplc="2FE4B696">
      <w:start w:val="1"/>
      <w:numFmt w:val="bullet"/>
      <w:lvlText w:val=""/>
      <w:lvlJc w:val="left"/>
      <w:pPr>
        <w:ind w:left="2160" w:hanging="360"/>
      </w:pPr>
      <w:rPr>
        <w:rFonts w:ascii="Wingdings" w:hAnsi="Wingdings" w:hint="default"/>
      </w:rPr>
    </w:lvl>
    <w:lvl w:ilvl="3" w:tplc="42D0A31C" w:tentative="1">
      <w:start w:val="1"/>
      <w:numFmt w:val="bullet"/>
      <w:lvlText w:val=""/>
      <w:lvlJc w:val="left"/>
      <w:pPr>
        <w:ind w:left="2880" w:hanging="360"/>
      </w:pPr>
      <w:rPr>
        <w:rFonts w:ascii="Symbol" w:hAnsi="Symbol" w:hint="default"/>
      </w:rPr>
    </w:lvl>
    <w:lvl w:ilvl="4" w:tplc="06C8A444" w:tentative="1">
      <w:start w:val="1"/>
      <w:numFmt w:val="bullet"/>
      <w:lvlText w:val="o"/>
      <w:lvlJc w:val="left"/>
      <w:pPr>
        <w:ind w:left="3600" w:hanging="360"/>
      </w:pPr>
      <w:rPr>
        <w:rFonts w:ascii="Courier New" w:hAnsi="Courier New" w:cs="Courier New" w:hint="default"/>
      </w:rPr>
    </w:lvl>
    <w:lvl w:ilvl="5" w:tplc="5DF040E8" w:tentative="1">
      <w:start w:val="1"/>
      <w:numFmt w:val="bullet"/>
      <w:lvlText w:val=""/>
      <w:lvlJc w:val="left"/>
      <w:pPr>
        <w:ind w:left="4320" w:hanging="360"/>
      </w:pPr>
      <w:rPr>
        <w:rFonts w:ascii="Wingdings" w:hAnsi="Wingdings" w:hint="default"/>
      </w:rPr>
    </w:lvl>
    <w:lvl w:ilvl="6" w:tplc="63041A5E" w:tentative="1">
      <w:start w:val="1"/>
      <w:numFmt w:val="bullet"/>
      <w:lvlText w:val=""/>
      <w:lvlJc w:val="left"/>
      <w:pPr>
        <w:ind w:left="5040" w:hanging="360"/>
      </w:pPr>
      <w:rPr>
        <w:rFonts w:ascii="Symbol" w:hAnsi="Symbol" w:hint="default"/>
      </w:rPr>
    </w:lvl>
    <w:lvl w:ilvl="7" w:tplc="D73CD128" w:tentative="1">
      <w:start w:val="1"/>
      <w:numFmt w:val="bullet"/>
      <w:lvlText w:val="o"/>
      <w:lvlJc w:val="left"/>
      <w:pPr>
        <w:ind w:left="5760" w:hanging="360"/>
      </w:pPr>
      <w:rPr>
        <w:rFonts w:ascii="Courier New" w:hAnsi="Courier New" w:cs="Courier New" w:hint="default"/>
      </w:rPr>
    </w:lvl>
    <w:lvl w:ilvl="8" w:tplc="7DA81102" w:tentative="1">
      <w:start w:val="1"/>
      <w:numFmt w:val="bullet"/>
      <w:lvlText w:val=""/>
      <w:lvlJc w:val="left"/>
      <w:pPr>
        <w:ind w:left="6480" w:hanging="360"/>
      </w:pPr>
      <w:rPr>
        <w:rFonts w:ascii="Wingdings" w:hAnsi="Wingdings" w:hint="default"/>
      </w:rPr>
    </w:lvl>
  </w:abstractNum>
  <w:num w:numId="1" w16cid:durableId="498425064">
    <w:abstractNumId w:val="5"/>
  </w:num>
  <w:num w:numId="2" w16cid:durableId="1501310095">
    <w:abstractNumId w:val="6"/>
  </w:num>
  <w:num w:numId="3" w16cid:durableId="10112166">
    <w:abstractNumId w:val="7"/>
  </w:num>
  <w:num w:numId="4" w16cid:durableId="784806339">
    <w:abstractNumId w:val="10"/>
  </w:num>
  <w:num w:numId="5" w16cid:durableId="334117582">
    <w:abstractNumId w:val="3"/>
  </w:num>
  <w:num w:numId="6" w16cid:durableId="805512450">
    <w:abstractNumId w:val="1"/>
  </w:num>
  <w:num w:numId="7" w16cid:durableId="1900433109">
    <w:abstractNumId w:val="8"/>
  </w:num>
  <w:num w:numId="8" w16cid:durableId="369965098">
    <w:abstractNumId w:val="9"/>
  </w:num>
  <w:num w:numId="9" w16cid:durableId="222567267">
    <w:abstractNumId w:val="4"/>
  </w:num>
  <w:num w:numId="10" w16cid:durableId="1875271357">
    <w:abstractNumId w:val="0"/>
  </w:num>
  <w:num w:numId="11" w16cid:durableId="1120224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15"/>
    <w:rsid w:val="00000E0C"/>
    <w:rsid w:val="00001005"/>
    <w:rsid w:val="00001B06"/>
    <w:rsid w:val="000022D9"/>
    <w:rsid w:val="000023EC"/>
    <w:rsid w:val="0000333D"/>
    <w:rsid w:val="000056EA"/>
    <w:rsid w:val="000069A1"/>
    <w:rsid w:val="00006A89"/>
    <w:rsid w:val="00006ED8"/>
    <w:rsid w:val="00007456"/>
    <w:rsid w:val="00010F5F"/>
    <w:rsid w:val="000112D6"/>
    <w:rsid w:val="00011484"/>
    <w:rsid w:val="000120E5"/>
    <w:rsid w:val="000139E2"/>
    <w:rsid w:val="00013F03"/>
    <w:rsid w:val="00014A2C"/>
    <w:rsid w:val="000178D7"/>
    <w:rsid w:val="00020F95"/>
    <w:rsid w:val="0002140E"/>
    <w:rsid w:val="00022E7D"/>
    <w:rsid w:val="00023239"/>
    <w:rsid w:val="000237C7"/>
    <w:rsid w:val="00024339"/>
    <w:rsid w:val="00024FF2"/>
    <w:rsid w:val="000251B5"/>
    <w:rsid w:val="000256B5"/>
    <w:rsid w:val="0002687A"/>
    <w:rsid w:val="000269FE"/>
    <w:rsid w:val="00030547"/>
    <w:rsid w:val="00031A23"/>
    <w:rsid w:val="0003250A"/>
    <w:rsid w:val="00033F96"/>
    <w:rsid w:val="00033FB2"/>
    <w:rsid w:val="000344D2"/>
    <w:rsid w:val="000346E4"/>
    <w:rsid w:val="00035880"/>
    <w:rsid w:val="00035A0D"/>
    <w:rsid w:val="000371E6"/>
    <w:rsid w:val="00040287"/>
    <w:rsid w:val="00040947"/>
    <w:rsid w:val="00041542"/>
    <w:rsid w:val="00041B6D"/>
    <w:rsid w:val="00041C6A"/>
    <w:rsid w:val="00042C80"/>
    <w:rsid w:val="00043285"/>
    <w:rsid w:val="000438AA"/>
    <w:rsid w:val="00044516"/>
    <w:rsid w:val="00044D41"/>
    <w:rsid w:val="00045EC1"/>
    <w:rsid w:val="0004692A"/>
    <w:rsid w:val="00047A0C"/>
    <w:rsid w:val="00050009"/>
    <w:rsid w:val="000502C6"/>
    <w:rsid w:val="00050DBD"/>
    <w:rsid w:val="0005129F"/>
    <w:rsid w:val="000517C8"/>
    <w:rsid w:val="000546FC"/>
    <w:rsid w:val="0005694B"/>
    <w:rsid w:val="00057AC9"/>
    <w:rsid w:val="00057F41"/>
    <w:rsid w:val="000604D6"/>
    <w:rsid w:val="000605B5"/>
    <w:rsid w:val="00060A05"/>
    <w:rsid w:val="00060AE7"/>
    <w:rsid w:val="00060DD4"/>
    <w:rsid w:val="00061172"/>
    <w:rsid w:val="00061944"/>
    <w:rsid w:val="00063802"/>
    <w:rsid w:val="0006403E"/>
    <w:rsid w:val="00066A45"/>
    <w:rsid w:val="00066FBE"/>
    <w:rsid w:val="000675CB"/>
    <w:rsid w:val="00070109"/>
    <w:rsid w:val="000721CA"/>
    <w:rsid w:val="0007290A"/>
    <w:rsid w:val="00074190"/>
    <w:rsid w:val="00075EFB"/>
    <w:rsid w:val="0007772E"/>
    <w:rsid w:val="00077CD9"/>
    <w:rsid w:val="000807C7"/>
    <w:rsid w:val="00080943"/>
    <w:rsid w:val="00082FCA"/>
    <w:rsid w:val="00083769"/>
    <w:rsid w:val="00083E9E"/>
    <w:rsid w:val="00084E3E"/>
    <w:rsid w:val="00084EEB"/>
    <w:rsid w:val="0008590B"/>
    <w:rsid w:val="00085EB1"/>
    <w:rsid w:val="00085FB7"/>
    <w:rsid w:val="0008640C"/>
    <w:rsid w:val="00086745"/>
    <w:rsid w:val="00086F91"/>
    <w:rsid w:val="00090187"/>
    <w:rsid w:val="00090341"/>
    <w:rsid w:val="0009242E"/>
    <w:rsid w:val="0009385D"/>
    <w:rsid w:val="000942DD"/>
    <w:rsid w:val="000948C5"/>
    <w:rsid w:val="00095D21"/>
    <w:rsid w:val="0009720B"/>
    <w:rsid w:val="00097EF6"/>
    <w:rsid w:val="000A0552"/>
    <w:rsid w:val="000A14C9"/>
    <w:rsid w:val="000A1999"/>
    <w:rsid w:val="000A2A61"/>
    <w:rsid w:val="000A2A65"/>
    <w:rsid w:val="000A2B0A"/>
    <w:rsid w:val="000A3B1B"/>
    <w:rsid w:val="000A4CF1"/>
    <w:rsid w:val="000A7419"/>
    <w:rsid w:val="000A7A4C"/>
    <w:rsid w:val="000B054E"/>
    <w:rsid w:val="000B2630"/>
    <w:rsid w:val="000B3BEF"/>
    <w:rsid w:val="000B7E8F"/>
    <w:rsid w:val="000C0582"/>
    <w:rsid w:val="000C1018"/>
    <w:rsid w:val="000C262E"/>
    <w:rsid w:val="000C27EF"/>
    <w:rsid w:val="000C3754"/>
    <w:rsid w:val="000C5155"/>
    <w:rsid w:val="000C6B92"/>
    <w:rsid w:val="000C7274"/>
    <w:rsid w:val="000C796A"/>
    <w:rsid w:val="000D0118"/>
    <w:rsid w:val="000D0C3C"/>
    <w:rsid w:val="000D25B8"/>
    <w:rsid w:val="000D25E1"/>
    <w:rsid w:val="000D313E"/>
    <w:rsid w:val="000D39FF"/>
    <w:rsid w:val="000D4A30"/>
    <w:rsid w:val="000D4DA2"/>
    <w:rsid w:val="000D4EA3"/>
    <w:rsid w:val="000D6142"/>
    <w:rsid w:val="000D72BF"/>
    <w:rsid w:val="000E0A5E"/>
    <w:rsid w:val="000E233B"/>
    <w:rsid w:val="000E2349"/>
    <w:rsid w:val="000E2598"/>
    <w:rsid w:val="000E2829"/>
    <w:rsid w:val="000E4161"/>
    <w:rsid w:val="000E4661"/>
    <w:rsid w:val="000E75BC"/>
    <w:rsid w:val="000F14F8"/>
    <w:rsid w:val="000F1620"/>
    <w:rsid w:val="000F36EA"/>
    <w:rsid w:val="000F48B0"/>
    <w:rsid w:val="000F4CCC"/>
    <w:rsid w:val="000F4F77"/>
    <w:rsid w:val="000F6CF9"/>
    <w:rsid w:val="000F7B86"/>
    <w:rsid w:val="0010070C"/>
    <w:rsid w:val="00101933"/>
    <w:rsid w:val="00103A14"/>
    <w:rsid w:val="00104A9F"/>
    <w:rsid w:val="00104C6B"/>
    <w:rsid w:val="001054F7"/>
    <w:rsid w:val="0010593C"/>
    <w:rsid w:val="00106120"/>
    <w:rsid w:val="00106A6F"/>
    <w:rsid w:val="00106F5E"/>
    <w:rsid w:val="00107052"/>
    <w:rsid w:val="00107DEC"/>
    <w:rsid w:val="00110DE5"/>
    <w:rsid w:val="0011194D"/>
    <w:rsid w:val="001119F3"/>
    <w:rsid w:val="001125EE"/>
    <w:rsid w:val="00113266"/>
    <w:rsid w:val="00113825"/>
    <w:rsid w:val="00115CA9"/>
    <w:rsid w:val="00117914"/>
    <w:rsid w:val="00117E1B"/>
    <w:rsid w:val="001207CB"/>
    <w:rsid w:val="001214A5"/>
    <w:rsid w:val="00122025"/>
    <w:rsid w:val="001225EF"/>
    <w:rsid w:val="00122B36"/>
    <w:rsid w:val="00123BDB"/>
    <w:rsid w:val="00124298"/>
    <w:rsid w:val="0012529F"/>
    <w:rsid w:val="001256FD"/>
    <w:rsid w:val="0012595E"/>
    <w:rsid w:val="00125983"/>
    <w:rsid w:val="001259FF"/>
    <w:rsid w:val="0012741F"/>
    <w:rsid w:val="00127422"/>
    <w:rsid w:val="001277D2"/>
    <w:rsid w:val="0012782B"/>
    <w:rsid w:val="00130C51"/>
    <w:rsid w:val="0013167E"/>
    <w:rsid w:val="00132640"/>
    <w:rsid w:val="001336A9"/>
    <w:rsid w:val="00133754"/>
    <w:rsid w:val="0013561E"/>
    <w:rsid w:val="001359A8"/>
    <w:rsid w:val="00135C34"/>
    <w:rsid w:val="001417D6"/>
    <w:rsid w:val="00141E37"/>
    <w:rsid w:val="00142B2B"/>
    <w:rsid w:val="00142B71"/>
    <w:rsid w:val="00143171"/>
    <w:rsid w:val="00143483"/>
    <w:rsid w:val="001436E4"/>
    <w:rsid w:val="00143BA6"/>
    <w:rsid w:val="00144321"/>
    <w:rsid w:val="00145782"/>
    <w:rsid w:val="00146658"/>
    <w:rsid w:val="00146BE9"/>
    <w:rsid w:val="00147B02"/>
    <w:rsid w:val="001501DA"/>
    <w:rsid w:val="0015035A"/>
    <w:rsid w:val="00151593"/>
    <w:rsid w:val="0015275C"/>
    <w:rsid w:val="001530B4"/>
    <w:rsid w:val="00153181"/>
    <w:rsid w:val="00153907"/>
    <w:rsid w:val="00153C6D"/>
    <w:rsid w:val="00155859"/>
    <w:rsid w:val="00155C29"/>
    <w:rsid w:val="00155FE8"/>
    <w:rsid w:val="00162B45"/>
    <w:rsid w:val="00164C32"/>
    <w:rsid w:val="00167289"/>
    <w:rsid w:val="00167F70"/>
    <w:rsid w:val="00170B58"/>
    <w:rsid w:val="001735A7"/>
    <w:rsid w:val="0017402E"/>
    <w:rsid w:val="00175B5B"/>
    <w:rsid w:val="0017629E"/>
    <w:rsid w:val="001764FB"/>
    <w:rsid w:val="00177B94"/>
    <w:rsid w:val="00180FB3"/>
    <w:rsid w:val="00181422"/>
    <w:rsid w:val="00182094"/>
    <w:rsid w:val="00182E93"/>
    <w:rsid w:val="00183726"/>
    <w:rsid w:val="001837DD"/>
    <w:rsid w:val="00185242"/>
    <w:rsid w:val="00185711"/>
    <w:rsid w:val="00186F3E"/>
    <w:rsid w:val="00190B99"/>
    <w:rsid w:val="00190C1A"/>
    <w:rsid w:val="00192837"/>
    <w:rsid w:val="00193294"/>
    <w:rsid w:val="00193694"/>
    <w:rsid w:val="00193D0F"/>
    <w:rsid w:val="0019553A"/>
    <w:rsid w:val="001957F9"/>
    <w:rsid w:val="00195B95"/>
    <w:rsid w:val="00195E8E"/>
    <w:rsid w:val="00196413"/>
    <w:rsid w:val="00196A63"/>
    <w:rsid w:val="00197AD4"/>
    <w:rsid w:val="00197AE5"/>
    <w:rsid w:val="001A14FC"/>
    <w:rsid w:val="001A1E93"/>
    <w:rsid w:val="001A2C83"/>
    <w:rsid w:val="001A2F69"/>
    <w:rsid w:val="001A4B1D"/>
    <w:rsid w:val="001A5654"/>
    <w:rsid w:val="001A5D0B"/>
    <w:rsid w:val="001A6397"/>
    <w:rsid w:val="001A65F3"/>
    <w:rsid w:val="001A6B1D"/>
    <w:rsid w:val="001A6E0F"/>
    <w:rsid w:val="001A786B"/>
    <w:rsid w:val="001B01D5"/>
    <w:rsid w:val="001B0739"/>
    <w:rsid w:val="001B1239"/>
    <w:rsid w:val="001B266B"/>
    <w:rsid w:val="001B3215"/>
    <w:rsid w:val="001B3FAE"/>
    <w:rsid w:val="001B5DD4"/>
    <w:rsid w:val="001B6C02"/>
    <w:rsid w:val="001C0773"/>
    <w:rsid w:val="001C0DE1"/>
    <w:rsid w:val="001C0EE7"/>
    <w:rsid w:val="001C164D"/>
    <w:rsid w:val="001C1E38"/>
    <w:rsid w:val="001C3E52"/>
    <w:rsid w:val="001C5864"/>
    <w:rsid w:val="001C610F"/>
    <w:rsid w:val="001C6813"/>
    <w:rsid w:val="001C7F94"/>
    <w:rsid w:val="001D031B"/>
    <w:rsid w:val="001D0821"/>
    <w:rsid w:val="001D49AB"/>
    <w:rsid w:val="001D560E"/>
    <w:rsid w:val="001D5965"/>
    <w:rsid w:val="001D5D39"/>
    <w:rsid w:val="001D5FFD"/>
    <w:rsid w:val="001E0119"/>
    <w:rsid w:val="001E1E2E"/>
    <w:rsid w:val="001E3ED2"/>
    <w:rsid w:val="001E4D69"/>
    <w:rsid w:val="001E737F"/>
    <w:rsid w:val="001F09FF"/>
    <w:rsid w:val="001F0B3D"/>
    <w:rsid w:val="001F0F67"/>
    <w:rsid w:val="001F1204"/>
    <w:rsid w:val="001F2BDB"/>
    <w:rsid w:val="001F34D8"/>
    <w:rsid w:val="001F374D"/>
    <w:rsid w:val="001F4C79"/>
    <w:rsid w:val="001F5740"/>
    <w:rsid w:val="001F6817"/>
    <w:rsid w:val="001F72DE"/>
    <w:rsid w:val="00200F50"/>
    <w:rsid w:val="00202504"/>
    <w:rsid w:val="002026C9"/>
    <w:rsid w:val="00202CB0"/>
    <w:rsid w:val="00203A74"/>
    <w:rsid w:val="00203FFE"/>
    <w:rsid w:val="00204678"/>
    <w:rsid w:val="00204C65"/>
    <w:rsid w:val="00205290"/>
    <w:rsid w:val="002055A6"/>
    <w:rsid w:val="00207554"/>
    <w:rsid w:val="00207F28"/>
    <w:rsid w:val="00210F63"/>
    <w:rsid w:val="00211D5B"/>
    <w:rsid w:val="00211D77"/>
    <w:rsid w:val="00212130"/>
    <w:rsid w:val="00212B5B"/>
    <w:rsid w:val="00214A26"/>
    <w:rsid w:val="002154FD"/>
    <w:rsid w:val="00215D39"/>
    <w:rsid w:val="00217C6F"/>
    <w:rsid w:val="002221B1"/>
    <w:rsid w:val="002227E5"/>
    <w:rsid w:val="00222CB6"/>
    <w:rsid w:val="00223287"/>
    <w:rsid w:val="002236A7"/>
    <w:rsid w:val="00224316"/>
    <w:rsid w:val="00224F9B"/>
    <w:rsid w:val="00227DAB"/>
    <w:rsid w:val="00231496"/>
    <w:rsid w:val="00235E9F"/>
    <w:rsid w:val="0023730A"/>
    <w:rsid w:val="00237FF7"/>
    <w:rsid w:val="00240111"/>
    <w:rsid w:val="002425C4"/>
    <w:rsid w:val="00242848"/>
    <w:rsid w:val="00242AF9"/>
    <w:rsid w:val="00242E9D"/>
    <w:rsid w:val="00242FC4"/>
    <w:rsid w:val="0024407C"/>
    <w:rsid w:val="0024451F"/>
    <w:rsid w:val="00247BCD"/>
    <w:rsid w:val="00247FC5"/>
    <w:rsid w:val="00250A8D"/>
    <w:rsid w:val="00250D97"/>
    <w:rsid w:val="00250F21"/>
    <w:rsid w:val="00251503"/>
    <w:rsid w:val="00251C05"/>
    <w:rsid w:val="00253228"/>
    <w:rsid w:val="0025336B"/>
    <w:rsid w:val="002534D0"/>
    <w:rsid w:val="002551A0"/>
    <w:rsid w:val="002555E2"/>
    <w:rsid w:val="00255928"/>
    <w:rsid w:val="0025631D"/>
    <w:rsid w:val="00260022"/>
    <w:rsid w:val="00260E9D"/>
    <w:rsid w:val="00261042"/>
    <w:rsid w:val="002613FE"/>
    <w:rsid w:val="002626AE"/>
    <w:rsid w:val="00262EEA"/>
    <w:rsid w:val="00264511"/>
    <w:rsid w:val="00266B3D"/>
    <w:rsid w:val="00267D35"/>
    <w:rsid w:val="00272233"/>
    <w:rsid w:val="00273179"/>
    <w:rsid w:val="002749B0"/>
    <w:rsid w:val="00274BAF"/>
    <w:rsid w:val="00274F44"/>
    <w:rsid w:val="00275160"/>
    <w:rsid w:val="002778BB"/>
    <w:rsid w:val="00280515"/>
    <w:rsid w:val="00280E97"/>
    <w:rsid w:val="00280F9F"/>
    <w:rsid w:val="00282B1A"/>
    <w:rsid w:val="002831F7"/>
    <w:rsid w:val="00284B7D"/>
    <w:rsid w:val="00286A7E"/>
    <w:rsid w:val="00287E6F"/>
    <w:rsid w:val="00290299"/>
    <w:rsid w:val="0029059C"/>
    <w:rsid w:val="00290F67"/>
    <w:rsid w:val="00292C71"/>
    <w:rsid w:val="00293B45"/>
    <w:rsid w:val="00295AEC"/>
    <w:rsid w:val="00295DAB"/>
    <w:rsid w:val="0029608C"/>
    <w:rsid w:val="002A12FB"/>
    <w:rsid w:val="002A349F"/>
    <w:rsid w:val="002A38B5"/>
    <w:rsid w:val="002A57C0"/>
    <w:rsid w:val="002A5B15"/>
    <w:rsid w:val="002A6908"/>
    <w:rsid w:val="002A7232"/>
    <w:rsid w:val="002B03A8"/>
    <w:rsid w:val="002B0647"/>
    <w:rsid w:val="002B1A53"/>
    <w:rsid w:val="002B20CD"/>
    <w:rsid w:val="002B3262"/>
    <w:rsid w:val="002B3CF0"/>
    <w:rsid w:val="002B42F2"/>
    <w:rsid w:val="002B450A"/>
    <w:rsid w:val="002B488E"/>
    <w:rsid w:val="002B6949"/>
    <w:rsid w:val="002B7A00"/>
    <w:rsid w:val="002C1091"/>
    <w:rsid w:val="002C12BC"/>
    <w:rsid w:val="002C29AA"/>
    <w:rsid w:val="002C2ED0"/>
    <w:rsid w:val="002C34FC"/>
    <w:rsid w:val="002C372F"/>
    <w:rsid w:val="002C3E93"/>
    <w:rsid w:val="002C494E"/>
    <w:rsid w:val="002C4A30"/>
    <w:rsid w:val="002C4FCB"/>
    <w:rsid w:val="002C4FE7"/>
    <w:rsid w:val="002C7F47"/>
    <w:rsid w:val="002D117F"/>
    <w:rsid w:val="002D1E1F"/>
    <w:rsid w:val="002D210E"/>
    <w:rsid w:val="002D2DDA"/>
    <w:rsid w:val="002D31A2"/>
    <w:rsid w:val="002D4A86"/>
    <w:rsid w:val="002D4A91"/>
    <w:rsid w:val="002D5450"/>
    <w:rsid w:val="002D5F8A"/>
    <w:rsid w:val="002D683B"/>
    <w:rsid w:val="002D6B96"/>
    <w:rsid w:val="002D6FF8"/>
    <w:rsid w:val="002E081F"/>
    <w:rsid w:val="002E0B55"/>
    <w:rsid w:val="002E2319"/>
    <w:rsid w:val="002E3368"/>
    <w:rsid w:val="002E3D93"/>
    <w:rsid w:val="002E3EEE"/>
    <w:rsid w:val="002E413F"/>
    <w:rsid w:val="002E42C5"/>
    <w:rsid w:val="002E50DA"/>
    <w:rsid w:val="002E5748"/>
    <w:rsid w:val="002E5787"/>
    <w:rsid w:val="002E672F"/>
    <w:rsid w:val="002E6FBC"/>
    <w:rsid w:val="002E78C4"/>
    <w:rsid w:val="002E7A6A"/>
    <w:rsid w:val="002F01A8"/>
    <w:rsid w:val="002F146F"/>
    <w:rsid w:val="002F3D91"/>
    <w:rsid w:val="002F56C5"/>
    <w:rsid w:val="002F5844"/>
    <w:rsid w:val="002F67BE"/>
    <w:rsid w:val="002F69EB"/>
    <w:rsid w:val="002F7389"/>
    <w:rsid w:val="002F7C7E"/>
    <w:rsid w:val="002F7DA0"/>
    <w:rsid w:val="00300C9A"/>
    <w:rsid w:val="00302B23"/>
    <w:rsid w:val="003034C3"/>
    <w:rsid w:val="00304272"/>
    <w:rsid w:val="003043D0"/>
    <w:rsid w:val="00304FB7"/>
    <w:rsid w:val="0030511D"/>
    <w:rsid w:val="003057B8"/>
    <w:rsid w:val="00306215"/>
    <w:rsid w:val="00306E97"/>
    <w:rsid w:val="003079FA"/>
    <w:rsid w:val="003109DD"/>
    <w:rsid w:val="00310ABB"/>
    <w:rsid w:val="00311065"/>
    <w:rsid w:val="003123FF"/>
    <w:rsid w:val="00312A26"/>
    <w:rsid w:val="003164BA"/>
    <w:rsid w:val="003166DB"/>
    <w:rsid w:val="0031701F"/>
    <w:rsid w:val="00321FBB"/>
    <w:rsid w:val="00322384"/>
    <w:rsid w:val="00322A7E"/>
    <w:rsid w:val="003231E9"/>
    <w:rsid w:val="00323506"/>
    <w:rsid w:val="0032378D"/>
    <w:rsid w:val="00324FBA"/>
    <w:rsid w:val="00325FA5"/>
    <w:rsid w:val="003263E8"/>
    <w:rsid w:val="00326635"/>
    <w:rsid w:val="00326938"/>
    <w:rsid w:val="00326D73"/>
    <w:rsid w:val="00326E93"/>
    <w:rsid w:val="00327006"/>
    <w:rsid w:val="00327207"/>
    <w:rsid w:val="00327485"/>
    <w:rsid w:val="003331CD"/>
    <w:rsid w:val="00333EBD"/>
    <w:rsid w:val="00334825"/>
    <w:rsid w:val="0033524B"/>
    <w:rsid w:val="0033711E"/>
    <w:rsid w:val="003376CB"/>
    <w:rsid w:val="00340661"/>
    <w:rsid w:val="0034075C"/>
    <w:rsid w:val="0034091A"/>
    <w:rsid w:val="00344234"/>
    <w:rsid w:val="00344F16"/>
    <w:rsid w:val="00345CA0"/>
    <w:rsid w:val="0034742F"/>
    <w:rsid w:val="00351340"/>
    <w:rsid w:val="003517B0"/>
    <w:rsid w:val="003528A6"/>
    <w:rsid w:val="00353995"/>
    <w:rsid w:val="00354954"/>
    <w:rsid w:val="00354EAC"/>
    <w:rsid w:val="0035530B"/>
    <w:rsid w:val="0035530C"/>
    <w:rsid w:val="003556BD"/>
    <w:rsid w:val="00355A9A"/>
    <w:rsid w:val="0035695A"/>
    <w:rsid w:val="00356D5C"/>
    <w:rsid w:val="00360E2B"/>
    <w:rsid w:val="0036231E"/>
    <w:rsid w:val="003626FA"/>
    <w:rsid w:val="00362BE1"/>
    <w:rsid w:val="00362C58"/>
    <w:rsid w:val="0036368E"/>
    <w:rsid w:val="00364498"/>
    <w:rsid w:val="00366B48"/>
    <w:rsid w:val="0036716E"/>
    <w:rsid w:val="003709CA"/>
    <w:rsid w:val="00370CEE"/>
    <w:rsid w:val="00372485"/>
    <w:rsid w:val="00372D13"/>
    <w:rsid w:val="0037405E"/>
    <w:rsid w:val="003742F1"/>
    <w:rsid w:val="00374AA9"/>
    <w:rsid w:val="00374E55"/>
    <w:rsid w:val="003753D5"/>
    <w:rsid w:val="0038021E"/>
    <w:rsid w:val="00380FD6"/>
    <w:rsid w:val="00381540"/>
    <w:rsid w:val="00382131"/>
    <w:rsid w:val="00382CE8"/>
    <w:rsid w:val="00383E9D"/>
    <w:rsid w:val="0038412F"/>
    <w:rsid w:val="00386497"/>
    <w:rsid w:val="00386706"/>
    <w:rsid w:val="003867A4"/>
    <w:rsid w:val="00386981"/>
    <w:rsid w:val="0038698E"/>
    <w:rsid w:val="003876AE"/>
    <w:rsid w:val="00387EF9"/>
    <w:rsid w:val="00390471"/>
    <w:rsid w:val="003933CD"/>
    <w:rsid w:val="0039423B"/>
    <w:rsid w:val="00394993"/>
    <w:rsid w:val="00395E72"/>
    <w:rsid w:val="00396175"/>
    <w:rsid w:val="003964BD"/>
    <w:rsid w:val="00397754"/>
    <w:rsid w:val="00397845"/>
    <w:rsid w:val="003A015F"/>
    <w:rsid w:val="003A07B1"/>
    <w:rsid w:val="003A35ED"/>
    <w:rsid w:val="003A4263"/>
    <w:rsid w:val="003A7101"/>
    <w:rsid w:val="003A71F2"/>
    <w:rsid w:val="003A7ED0"/>
    <w:rsid w:val="003B221B"/>
    <w:rsid w:val="003B349D"/>
    <w:rsid w:val="003B39D6"/>
    <w:rsid w:val="003B3C6D"/>
    <w:rsid w:val="003B5152"/>
    <w:rsid w:val="003B52B0"/>
    <w:rsid w:val="003B54EE"/>
    <w:rsid w:val="003B567B"/>
    <w:rsid w:val="003B742F"/>
    <w:rsid w:val="003B74CB"/>
    <w:rsid w:val="003C05DD"/>
    <w:rsid w:val="003C123D"/>
    <w:rsid w:val="003C1A1C"/>
    <w:rsid w:val="003C278E"/>
    <w:rsid w:val="003C2803"/>
    <w:rsid w:val="003C4358"/>
    <w:rsid w:val="003C4A90"/>
    <w:rsid w:val="003C5118"/>
    <w:rsid w:val="003C51AE"/>
    <w:rsid w:val="003C668D"/>
    <w:rsid w:val="003D280F"/>
    <w:rsid w:val="003D4F3D"/>
    <w:rsid w:val="003D53AE"/>
    <w:rsid w:val="003D5C80"/>
    <w:rsid w:val="003D5EB5"/>
    <w:rsid w:val="003D6B93"/>
    <w:rsid w:val="003E0862"/>
    <w:rsid w:val="003E0E6E"/>
    <w:rsid w:val="003E3E21"/>
    <w:rsid w:val="003E4565"/>
    <w:rsid w:val="003E5D41"/>
    <w:rsid w:val="003E6B65"/>
    <w:rsid w:val="003E6ECE"/>
    <w:rsid w:val="003E763B"/>
    <w:rsid w:val="003E7C1B"/>
    <w:rsid w:val="003E7E06"/>
    <w:rsid w:val="003F0F9B"/>
    <w:rsid w:val="003F0FEB"/>
    <w:rsid w:val="003F208A"/>
    <w:rsid w:val="003F231C"/>
    <w:rsid w:val="003F259D"/>
    <w:rsid w:val="003F2A90"/>
    <w:rsid w:val="003F497A"/>
    <w:rsid w:val="003F4D06"/>
    <w:rsid w:val="003F4DEC"/>
    <w:rsid w:val="003F6D0F"/>
    <w:rsid w:val="004006C2"/>
    <w:rsid w:val="004013F3"/>
    <w:rsid w:val="00401880"/>
    <w:rsid w:val="00402491"/>
    <w:rsid w:val="00402806"/>
    <w:rsid w:val="00402A92"/>
    <w:rsid w:val="00402DC3"/>
    <w:rsid w:val="0040325E"/>
    <w:rsid w:val="00403600"/>
    <w:rsid w:val="00403B75"/>
    <w:rsid w:val="00404ABE"/>
    <w:rsid w:val="004052E8"/>
    <w:rsid w:val="0040564D"/>
    <w:rsid w:val="004058F5"/>
    <w:rsid w:val="00406FD9"/>
    <w:rsid w:val="0040755D"/>
    <w:rsid w:val="00407DA3"/>
    <w:rsid w:val="004117A6"/>
    <w:rsid w:val="004117A9"/>
    <w:rsid w:val="00412CA8"/>
    <w:rsid w:val="0041310E"/>
    <w:rsid w:val="004149E4"/>
    <w:rsid w:val="004155F0"/>
    <w:rsid w:val="00416AC0"/>
    <w:rsid w:val="00417784"/>
    <w:rsid w:val="004206B6"/>
    <w:rsid w:val="00420A02"/>
    <w:rsid w:val="00420FF0"/>
    <w:rsid w:val="004238D4"/>
    <w:rsid w:val="00423D72"/>
    <w:rsid w:val="004245B2"/>
    <w:rsid w:val="0042484E"/>
    <w:rsid w:val="00424C2A"/>
    <w:rsid w:val="0042589A"/>
    <w:rsid w:val="0042589E"/>
    <w:rsid w:val="004259CA"/>
    <w:rsid w:val="00426017"/>
    <w:rsid w:val="004261A7"/>
    <w:rsid w:val="004263DB"/>
    <w:rsid w:val="004272FC"/>
    <w:rsid w:val="004275F0"/>
    <w:rsid w:val="004309BF"/>
    <w:rsid w:val="00431630"/>
    <w:rsid w:val="0043198B"/>
    <w:rsid w:val="0043287A"/>
    <w:rsid w:val="004348F2"/>
    <w:rsid w:val="00434B72"/>
    <w:rsid w:val="00434E18"/>
    <w:rsid w:val="00434F27"/>
    <w:rsid w:val="00436226"/>
    <w:rsid w:val="004373FD"/>
    <w:rsid w:val="00437C2B"/>
    <w:rsid w:val="00440871"/>
    <w:rsid w:val="00443224"/>
    <w:rsid w:val="00445CAB"/>
    <w:rsid w:val="00446043"/>
    <w:rsid w:val="004479F6"/>
    <w:rsid w:val="00450C19"/>
    <w:rsid w:val="00451170"/>
    <w:rsid w:val="00452389"/>
    <w:rsid w:val="00454BDA"/>
    <w:rsid w:val="004609D3"/>
    <w:rsid w:val="00460CF5"/>
    <w:rsid w:val="00461829"/>
    <w:rsid w:val="00462AE7"/>
    <w:rsid w:val="004632C3"/>
    <w:rsid w:val="004633C8"/>
    <w:rsid w:val="0046584C"/>
    <w:rsid w:val="00467000"/>
    <w:rsid w:val="004704DD"/>
    <w:rsid w:val="00470559"/>
    <w:rsid w:val="004711BD"/>
    <w:rsid w:val="004730DE"/>
    <w:rsid w:val="00473F35"/>
    <w:rsid w:val="00474098"/>
    <w:rsid w:val="004759FF"/>
    <w:rsid w:val="0047630D"/>
    <w:rsid w:val="00476748"/>
    <w:rsid w:val="004811B0"/>
    <w:rsid w:val="0048349B"/>
    <w:rsid w:val="00483BFE"/>
    <w:rsid w:val="00483DFF"/>
    <w:rsid w:val="00486034"/>
    <w:rsid w:val="0048633D"/>
    <w:rsid w:val="00486E54"/>
    <w:rsid w:val="004873AC"/>
    <w:rsid w:val="00490EDB"/>
    <w:rsid w:val="0049118A"/>
    <w:rsid w:val="004911C0"/>
    <w:rsid w:val="004913B2"/>
    <w:rsid w:val="00493727"/>
    <w:rsid w:val="004946B7"/>
    <w:rsid w:val="00494F4A"/>
    <w:rsid w:val="004951F0"/>
    <w:rsid w:val="00495203"/>
    <w:rsid w:val="00495266"/>
    <w:rsid w:val="00496C0E"/>
    <w:rsid w:val="00497FFA"/>
    <w:rsid w:val="004A0A65"/>
    <w:rsid w:val="004A0DCD"/>
    <w:rsid w:val="004A0F33"/>
    <w:rsid w:val="004A1BAE"/>
    <w:rsid w:val="004A1EF1"/>
    <w:rsid w:val="004A28BE"/>
    <w:rsid w:val="004A3DBC"/>
    <w:rsid w:val="004A41B6"/>
    <w:rsid w:val="004A4B60"/>
    <w:rsid w:val="004A6766"/>
    <w:rsid w:val="004A7070"/>
    <w:rsid w:val="004A772D"/>
    <w:rsid w:val="004A7E2D"/>
    <w:rsid w:val="004B0521"/>
    <w:rsid w:val="004B289D"/>
    <w:rsid w:val="004B30C8"/>
    <w:rsid w:val="004B4373"/>
    <w:rsid w:val="004B4A2F"/>
    <w:rsid w:val="004B4BAB"/>
    <w:rsid w:val="004B66E3"/>
    <w:rsid w:val="004B6848"/>
    <w:rsid w:val="004B7442"/>
    <w:rsid w:val="004B744B"/>
    <w:rsid w:val="004B76B4"/>
    <w:rsid w:val="004B771B"/>
    <w:rsid w:val="004B7CB4"/>
    <w:rsid w:val="004B7F1D"/>
    <w:rsid w:val="004C1531"/>
    <w:rsid w:val="004C29DE"/>
    <w:rsid w:val="004C4B40"/>
    <w:rsid w:val="004C5D22"/>
    <w:rsid w:val="004C5D2E"/>
    <w:rsid w:val="004C745C"/>
    <w:rsid w:val="004D0AA0"/>
    <w:rsid w:val="004D0ADC"/>
    <w:rsid w:val="004D0FFC"/>
    <w:rsid w:val="004D1674"/>
    <w:rsid w:val="004D1A57"/>
    <w:rsid w:val="004D1E2D"/>
    <w:rsid w:val="004D230A"/>
    <w:rsid w:val="004E0CBD"/>
    <w:rsid w:val="004E1173"/>
    <w:rsid w:val="004E129D"/>
    <w:rsid w:val="004E1352"/>
    <w:rsid w:val="004E2B08"/>
    <w:rsid w:val="004E2B71"/>
    <w:rsid w:val="004E3481"/>
    <w:rsid w:val="004E3D1A"/>
    <w:rsid w:val="004E5374"/>
    <w:rsid w:val="004E68F7"/>
    <w:rsid w:val="004E6D7B"/>
    <w:rsid w:val="004E7CC7"/>
    <w:rsid w:val="004F1806"/>
    <w:rsid w:val="004F3F92"/>
    <w:rsid w:val="004F4BCB"/>
    <w:rsid w:val="004F6D06"/>
    <w:rsid w:val="004F7B78"/>
    <w:rsid w:val="00500A0D"/>
    <w:rsid w:val="00500DC4"/>
    <w:rsid w:val="00501492"/>
    <w:rsid w:val="00501CA3"/>
    <w:rsid w:val="00502D52"/>
    <w:rsid w:val="005033E9"/>
    <w:rsid w:val="00503929"/>
    <w:rsid w:val="00505464"/>
    <w:rsid w:val="00506406"/>
    <w:rsid w:val="00506732"/>
    <w:rsid w:val="00506E21"/>
    <w:rsid w:val="00510391"/>
    <w:rsid w:val="005105CC"/>
    <w:rsid w:val="00510C7A"/>
    <w:rsid w:val="0051152A"/>
    <w:rsid w:val="00511535"/>
    <w:rsid w:val="00513C99"/>
    <w:rsid w:val="00515F29"/>
    <w:rsid w:val="00516227"/>
    <w:rsid w:val="00516876"/>
    <w:rsid w:val="005179EF"/>
    <w:rsid w:val="00517A62"/>
    <w:rsid w:val="005215E1"/>
    <w:rsid w:val="00522580"/>
    <w:rsid w:val="0052295F"/>
    <w:rsid w:val="00526559"/>
    <w:rsid w:val="00526AE2"/>
    <w:rsid w:val="0053034A"/>
    <w:rsid w:val="005310A0"/>
    <w:rsid w:val="00531936"/>
    <w:rsid w:val="0053219F"/>
    <w:rsid w:val="00532416"/>
    <w:rsid w:val="00532639"/>
    <w:rsid w:val="00532E96"/>
    <w:rsid w:val="005345BD"/>
    <w:rsid w:val="00534786"/>
    <w:rsid w:val="00534AEA"/>
    <w:rsid w:val="00534CAB"/>
    <w:rsid w:val="00535AC9"/>
    <w:rsid w:val="00535C2B"/>
    <w:rsid w:val="00535E97"/>
    <w:rsid w:val="0053694F"/>
    <w:rsid w:val="00536C42"/>
    <w:rsid w:val="00541721"/>
    <w:rsid w:val="0054222F"/>
    <w:rsid w:val="00542DFC"/>
    <w:rsid w:val="00543232"/>
    <w:rsid w:val="00544333"/>
    <w:rsid w:val="00544DD3"/>
    <w:rsid w:val="00545617"/>
    <w:rsid w:val="00545D04"/>
    <w:rsid w:val="00547C3F"/>
    <w:rsid w:val="00551B60"/>
    <w:rsid w:val="00552124"/>
    <w:rsid w:val="005521EB"/>
    <w:rsid w:val="00553D06"/>
    <w:rsid w:val="00555BFC"/>
    <w:rsid w:val="005563B4"/>
    <w:rsid w:val="0055641C"/>
    <w:rsid w:val="00557516"/>
    <w:rsid w:val="00560C19"/>
    <w:rsid w:val="00562519"/>
    <w:rsid w:val="00564449"/>
    <w:rsid w:val="00565B72"/>
    <w:rsid w:val="005664AA"/>
    <w:rsid w:val="0056705C"/>
    <w:rsid w:val="00567302"/>
    <w:rsid w:val="00567977"/>
    <w:rsid w:val="00567DAC"/>
    <w:rsid w:val="005706E3"/>
    <w:rsid w:val="005709FE"/>
    <w:rsid w:val="00570FDB"/>
    <w:rsid w:val="005725BB"/>
    <w:rsid w:val="005738F3"/>
    <w:rsid w:val="00574117"/>
    <w:rsid w:val="00575350"/>
    <w:rsid w:val="0057543D"/>
    <w:rsid w:val="00575B4D"/>
    <w:rsid w:val="00575E88"/>
    <w:rsid w:val="005762F9"/>
    <w:rsid w:val="00576691"/>
    <w:rsid w:val="00576BDE"/>
    <w:rsid w:val="00576F89"/>
    <w:rsid w:val="0057775E"/>
    <w:rsid w:val="005802CD"/>
    <w:rsid w:val="005809EC"/>
    <w:rsid w:val="00580F3D"/>
    <w:rsid w:val="0058328F"/>
    <w:rsid w:val="00584092"/>
    <w:rsid w:val="00585BFE"/>
    <w:rsid w:val="00590B42"/>
    <w:rsid w:val="00590B97"/>
    <w:rsid w:val="00590CB4"/>
    <w:rsid w:val="00591074"/>
    <w:rsid w:val="005910ED"/>
    <w:rsid w:val="00591DB2"/>
    <w:rsid w:val="0059211A"/>
    <w:rsid w:val="00592CB9"/>
    <w:rsid w:val="005932D9"/>
    <w:rsid w:val="0059413F"/>
    <w:rsid w:val="005952FB"/>
    <w:rsid w:val="0059561B"/>
    <w:rsid w:val="00595AB3"/>
    <w:rsid w:val="00596F47"/>
    <w:rsid w:val="00596FC4"/>
    <w:rsid w:val="005A14CF"/>
    <w:rsid w:val="005A1C3B"/>
    <w:rsid w:val="005A2428"/>
    <w:rsid w:val="005A24BE"/>
    <w:rsid w:val="005A33A2"/>
    <w:rsid w:val="005A44C6"/>
    <w:rsid w:val="005A68A5"/>
    <w:rsid w:val="005B124B"/>
    <w:rsid w:val="005B185F"/>
    <w:rsid w:val="005B1D4E"/>
    <w:rsid w:val="005B205A"/>
    <w:rsid w:val="005B26B7"/>
    <w:rsid w:val="005B334B"/>
    <w:rsid w:val="005B3C3F"/>
    <w:rsid w:val="005B4483"/>
    <w:rsid w:val="005B461A"/>
    <w:rsid w:val="005B57AD"/>
    <w:rsid w:val="005B6923"/>
    <w:rsid w:val="005B763A"/>
    <w:rsid w:val="005B7E33"/>
    <w:rsid w:val="005C0771"/>
    <w:rsid w:val="005C1661"/>
    <w:rsid w:val="005C2B08"/>
    <w:rsid w:val="005C2F9D"/>
    <w:rsid w:val="005C3378"/>
    <w:rsid w:val="005C381C"/>
    <w:rsid w:val="005C3B6B"/>
    <w:rsid w:val="005C4606"/>
    <w:rsid w:val="005C57FC"/>
    <w:rsid w:val="005C58CF"/>
    <w:rsid w:val="005C5ACC"/>
    <w:rsid w:val="005C6821"/>
    <w:rsid w:val="005C68F8"/>
    <w:rsid w:val="005C7103"/>
    <w:rsid w:val="005C7D8A"/>
    <w:rsid w:val="005C7FC4"/>
    <w:rsid w:val="005D00AA"/>
    <w:rsid w:val="005D36DE"/>
    <w:rsid w:val="005D420E"/>
    <w:rsid w:val="005D438D"/>
    <w:rsid w:val="005D5D75"/>
    <w:rsid w:val="005D74B3"/>
    <w:rsid w:val="005D76C0"/>
    <w:rsid w:val="005D7FEB"/>
    <w:rsid w:val="005E0A61"/>
    <w:rsid w:val="005E12D8"/>
    <w:rsid w:val="005E1338"/>
    <w:rsid w:val="005E1508"/>
    <w:rsid w:val="005E415A"/>
    <w:rsid w:val="005E43BD"/>
    <w:rsid w:val="005E487F"/>
    <w:rsid w:val="005E5545"/>
    <w:rsid w:val="005E61E0"/>
    <w:rsid w:val="005E6294"/>
    <w:rsid w:val="005E63B8"/>
    <w:rsid w:val="005E6A54"/>
    <w:rsid w:val="005E7AFA"/>
    <w:rsid w:val="005F0385"/>
    <w:rsid w:val="005F2056"/>
    <w:rsid w:val="005F2920"/>
    <w:rsid w:val="005F377E"/>
    <w:rsid w:val="005F4A96"/>
    <w:rsid w:val="005F4E66"/>
    <w:rsid w:val="005F5002"/>
    <w:rsid w:val="005F6A8A"/>
    <w:rsid w:val="005F7160"/>
    <w:rsid w:val="00601161"/>
    <w:rsid w:val="00601BAA"/>
    <w:rsid w:val="006022E3"/>
    <w:rsid w:val="006023EE"/>
    <w:rsid w:val="00602C49"/>
    <w:rsid w:val="0060307D"/>
    <w:rsid w:val="00603184"/>
    <w:rsid w:val="006034D8"/>
    <w:rsid w:val="0060386E"/>
    <w:rsid w:val="00603B4F"/>
    <w:rsid w:val="00604310"/>
    <w:rsid w:val="00604925"/>
    <w:rsid w:val="006049C5"/>
    <w:rsid w:val="00605E31"/>
    <w:rsid w:val="00606A29"/>
    <w:rsid w:val="00607678"/>
    <w:rsid w:val="006078D7"/>
    <w:rsid w:val="00607B64"/>
    <w:rsid w:val="00610FAF"/>
    <w:rsid w:val="00612B85"/>
    <w:rsid w:val="00613D43"/>
    <w:rsid w:val="0061437B"/>
    <w:rsid w:val="006147D4"/>
    <w:rsid w:val="00614D34"/>
    <w:rsid w:val="00616BB6"/>
    <w:rsid w:val="006172AC"/>
    <w:rsid w:val="00617A3F"/>
    <w:rsid w:val="00617F62"/>
    <w:rsid w:val="00620812"/>
    <w:rsid w:val="00620E68"/>
    <w:rsid w:val="006215EE"/>
    <w:rsid w:val="00622C93"/>
    <w:rsid w:val="0062380D"/>
    <w:rsid w:val="00625595"/>
    <w:rsid w:val="00625DDF"/>
    <w:rsid w:val="006277F9"/>
    <w:rsid w:val="00631122"/>
    <w:rsid w:val="00631127"/>
    <w:rsid w:val="006311F3"/>
    <w:rsid w:val="00631C9E"/>
    <w:rsid w:val="00631E4D"/>
    <w:rsid w:val="00632668"/>
    <w:rsid w:val="0063268E"/>
    <w:rsid w:val="00633895"/>
    <w:rsid w:val="00635644"/>
    <w:rsid w:val="00635662"/>
    <w:rsid w:val="006356BF"/>
    <w:rsid w:val="00636661"/>
    <w:rsid w:val="006379EE"/>
    <w:rsid w:val="006407CA"/>
    <w:rsid w:val="006414D8"/>
    <w:rsid w:val="006439C0"/>
    <w:rsid w:val="00643CB3"/>
    <w:rsid w:val="00645A2B"/>
    <w:rsid w:val="00646DEE"/>
    <w:rsid w:val="00647160"/>
    <w:rsid w:val="006475E7"/>
    <w:rsid w:val="00652060"/>
    <w:rsid w:val="00652B9B"/>
    <w:rsid w:val="00652D16"/>
    <w:rsid w:val="00655FB1"/>
    <w:rsid w:val="006574B7"/>
    <w:rsid w:val="0065751E"/>
    <w:rsid w:val="00660498"/>
    <w:rsid w:val="00660514"/>
    <w:rsid w:val="006606ED"/>
    <w:rsid w:val="00661235"/>
    <w:rsid w:val="006614C9"/>
    <w:rsid w:val="006625D9"/>
    <w:rsid w:val="00665944"/>
    <w:rsid w:val="0066627E"/>
    <w:rsid w:val="00666658"/>
    <w:rsid w:val="00666F85"/>
    <w:rsid w:val="0066713B"/>
    <w:rsid w:val="006671E2"/>
    <w:rsid w:val="00667A58"/>
    <w:rsid w:val="00670E69"/>
    <w:rsid w:val="00670F84"/>
    <w:rsid w:val="0067124C"/>
    <w:rsid w:val="00671EC5"/>
    <w:rsid w:val="00673565"/>
    <w:rsid w:val="00673CA3"/>
    <w:rsid w:val="00674AEB"/>
    <w:rsid w:val="006754C3"/>
    <w:rsid w:val="00675B31"/>
    <w:rsid w:val="00675C36"/>
    <w:rsid w:val="006776E4"/>
    <w:rsid w:val="006776F9"/>
    <w:rsid w:val="006801C7"/>
    <w:rsid w:val="00681C3B"/>
    <w:rsid w:val="00684212"/>
    <w:rsid w:val="00684319"/>
    <w:rsid w:val="006848DA"/>
    <w:rsid w:val="00684982"/>
    <w:rsid w:val="00684E47"/>
    <w:rsid w:val="00685A01"/>
    <w:rsid w:val="00685A1D"/>
    <w:rsid w:val="00686EA9"/>
    <w:rsid w:val="006874B6"/>
    <w:rsid w:val="00687913"/>
    <w:rsid w:val="00690FF0"/>
    <w:rsid w:val="0069195C"/>
    <w:rsid w:val="006922D5"/>
    <w:rsid w:val="00692E2D"/>
    <w:rsid w:val="00692F82"/>
    <w:rsid w:val="006930F3"/>
    <w:rsid w:val="006932DD"/>
    <w:rsid w:val="006949B4"/>
    <w:rsid w:val="00694E66"/>
    <w:rsid w:val="00695F9E"/>
    <w:rsid w:val="00695FCD"/>
    <w:rsid w:val="00696232"/>
    <w:rsid w:val="00696F59"/>
    <w:rsid w:val="006A0887"/>
    <w:rsid w:val="006A0A35"/>
    <w:rsid w:val="006A2B3E"/>
    <w:rsid w:val="006A2C83"/>
    <w:rsid w:val="006A5552"/>
    <w:rsid w:val="006A5AAA"/>
    <w:rsid w:val="006A62D9"/>
    <w:rsid w:val="006A744C"/>
    <w:rsid w:val="006B015E"/>
    <w:rsid w:val="006B1150"/>
    <w:rsid w:val="006B283D"/>
    <w:rsid w:val="006B30D6"/>
    <w:rsid w:val="006B325F"/>
    <w:rsid w:val="006B3719"/>
    <w:rsid w:val="006B3DB7"/>
    <w:rsid w:val="006B4BF9"/>
    <w:rsid w:val="006B5773"/>
    <w:rsid w:val="006B5D52"/>
    <w:rsid w:val="006B61CE"/>
    <w:rsid w:val="006C04DB"/>
    <w:rsid w:val="006C1333"/>
    <w:rsid w:val="006C1886"/>
    <w:rsid w:val="006C27EB"/>
    <w:rsid w:val="006C3207"/>
    <w:rsid w:val="006C365C"/>
    <w:rsid w:val="006C49E2"/>
    <w:rsid w:val="006C673D"/>
    <w:rsid w:val="006C6754"/>
    <w:rsid w:val="006C6EC2"/>
    <w:rsid w:val="006C7E95"/>
    <w:rsid w:val="006D104D"/>
    <w:rsid w:val="006D4482"/>
    <w:rsid w:val="006D4A0A"/>
    <w:rsid w:val="006D50B8"/>
    <w:rsid w:val="006D55A3"/>
    <w:rsid w:val="006D5EF9"/>
    <w:rsid w:val="006D64E2"/>
    <w:rsid w:val="006D68E1"/>
    <w:rsid w:val="006D6E0B"/>
    <w:rsid w:val="006D76B1"/>
    <w:rsid w:val="006D7F84"/>
    <w:rsid w:val="006E2777"/>
    <w:rsid w:val="006E2D4A"/>
    <w:rsid w:val="006E3440"/>
    <w:rsid w:val="006E3873"/>
    <w:rsid w:val="006E62A8"/>
    <w:rsid w:val="006F0AD1"/>
    <w:rsid w:val="006F1883"/>
    <w:rsid w:val="006F1CE5"/>
    <w:rsid w:val="006F2092"/>
    <w:rsid w:val="006F20AD"/>
    <w:rsid w:val="006F28DB"/>
    <w:rsid w:val="006F374C"/>
    <w:rsid w:val="006F3E9A"/>
    <w:rsid w:val="006F5E2F"/>
    <w:rsid w:val="006F63A1"/>
    <w:rsid w:val="006F6960"/>
    <w:rsid w:val="006F6D72"/>
    <w:rsid w:val="006F774A"/>
    <w:rsid w:val="006F7F72"/>
    <w:rsid w:val="00700E6C"/>
    <w:rsid w:val="00701A81"/>
    <w:rsid w:val="0070272C"/>
    <w:rsid w:val="00702F4C"/>
    <w:rsid w:val="00703EAA"/>
    <w:rsid w:val="007050AB"/>
    <w:rsid w:val="007052B1"/>
    <w:rsid w:val="007067F3"/>
    <w:rsid w:val="00706F5F"/>
    <w:rsid w:val="00707B66"/>
    <w:rsid w:val="00710613"/>
    <w:rsid w:val="007111CF"/>
    <w:rsid w:val="00711E26"/>
    <w:rsid w:val="00711FC5"/>
    <w:rsid w:val="00712CA4"/>
    <w:rsid w:val="00712F58"/>
    <w:rsid w:val="00712F66"/>
    <w:rsid w:val="00715D8B"/>
    <w:rsid w:val="00715EA5"/>
    <w:rsid w:val="0071631C"/>
    <w:rsid w:val="00716514"/>
    <w:rsid w:val="00717DA5"/>
    <w:rsid w:val="00720507"/>
    <w:rsid w:val="0072243E"/>
    <w:rsid w:val="00722B9C"/>
    <w:rsid w:val="00723873"/>
    <w:rsid w:val="00724CC4"/>
    <w:rsid w:val="007250A2"/>
    <w:rsid w:val="00725F13"/>
    <w:rsid w:val="007265F8"/>
    <w:rsid w:val="007267AE"/>
    <w:rsid w:val="00726D6B"/>
    <w:rsid w:val="0073007A"/>
    <w:rsid w:val="00730260"/>
    <w:rsid w:val="0073040E"/>
    <w:rsid w:val="00732672"/>
    <w:rsid w:val="007333C0"/>
    <w:rsid w:val="007334D2"/>
    <w:rsid w:val="00734254"/>
    <w:rsid w:val="00736872"/>
    <w:rsid w:val="00736AB6"/>
    <w:rsid w:val="0073797C"/>
    <w:rsid w:val="00740D21"/>
    <w:rsid w:val="00742201"/>
    <w:rsid w:val="00742343"/>
    <w:rsid w:val="0074695F"/>
    <w:rsid w:val="0074798E"/>
    <w:rsid w:val="00747A64"/>
    <w:rsid w:val="00751C9E"/>
    <w:rsid w:val="0075269A"/>
    <w:rsid w:val="0075275B"/>
    <w:rsid w:val="007528DD"/>
    <w:rsid w:val="00753AAC"/>
    <w:rsid w:val="007542AF"/>
    <w:rsid w:val="00754763"/>
    <w:rsid w:val="00754B7C"/>
    <w:rsid w:val="00754BBD"/>
    <w:rsid w:val="00755DBC"/>
    <w:rsid w:val="00755F2D"/>
    <w:rsid w:val="00756494"/>
    <w:rsid w:val="00756D10"/>
    <w:rsid w:val="00756FE4"/>
    <w:rsid w:val="0075796A"/>
    <w:rsid w:val="007600EB"/>
    <w:rsid w:val="00761053"/>
    <w:rsid w:val="00761695"/>
    <w:rsid w:val="00761C8F"/>
    <w:rsid w:val="00763C26"/>
    <w:rsid w:val="007644E4"/>
    <w:rsid w:val="007665BA"/>
    <w:rsid w:val="007665BF"/>
    <w:rsid w:val="00766900"/>
    <w:rsid w:val="00766C64"/>
    <w:rsid w:val="0076799A"/>
    <w:rsid w:val="00767CEE"/>
    <w:rsid w:val="0077003B"/>
    <w:rsid w:val="00772972"/>
    <w:rsid w:val="0077379A"/>
    <w:rsid w:val="00773A50"/>
    <w:rsid w:val="007759BE"/>
    <w:rsid w:val="00781635"/>
    <w:rsid w:val="0078369C"/>
    <w:rsid w:val="00783793"/>
    <w:rsid w:val="00783B1F"/>
    <w:rsid w:val="0078522A"/>
    <w:rsid w:val="00787964"/>
    <w:rsid w:val="007879A1"/>
    <w:rsid w:val="007879E2"/>
    <w:rsid w:val="0079028C"/>
    <w:rsid w:val="00791AEB"/>
    <w:rsid w:val="00794757"/>
    <w:rsid w:val="0079634E"/>
    <w:rsid w:val="007978F0"/>
    <w:rsid w:val="007A0B9D"/>
    <w:rsid w:val="007A1984"/>
    <w:rsid w:val="007A346D"/>
    <w:rsid w:val="007A37F9"/>
    <w:rsid w:val="007A3D6A"/>
    <w:rsid w:val="007A4026"/>
    <w:rsid w:val="007A415C"/>
    <w:rsid w:val="007A6920"/>
    <w:rsid w:val="007A7E32"/>
    <w:rsid w:val="007B325E"/>
    <w:rsid w:val="007B4D7E"/>
    <w:rsid w:val="007B5EF2"/>
    <w:rsid w:val="007B6148"/>
    <w:rsid w:val="007B6641"/>
    <w:rsid w:val="007B7BF3"/>
    <w:rsid w:val="007C0066"/>
    <w:rsid w:val="007C1EA8"/>
    <w:rsid w:val="007C4138"/>
    <w:rsid w:val="007C4BAF"/>
    <w:rsid w:val="007C54EA"/>
    <w:rsid w:val="007C5DFC"/>
    <w:rsid w:val="007C7320"/>
    <w:rsid w:val="007C79B6"/>
    <w:rsid w:val="007D0657"/>
    <w:rsid w:val="007D1572"/>
    <w:rsid w:val="007D2387"/>
    <w:rsid w:val="007D2435"/>
    <w:rsid w:val="007D3C25"/>
    <w:rsid w:val="007D48F1"/>
    <w:rsid w:val="007D4B9F"/>
    <w:rsid w:val="007D64FA"/>
    <w:rsid w:val="007D71A0"/>
    <w:rsid w:val="007D7886"/>
    <w:rsid w:val="007E07BD"/>
    <w:rsid w:val="007E08EC"/>
    <w:rsid w:val="007E0A76"/>
    <w:rsid w:val="007E0BA6"/>
    <w:rsid w:val="007E12D2"/>
    <w:rsid w:val="007E367A"/>
    <w:rsid w:val="007E3905"/>
    <w:rsid w:val="007E3DCA"/>
    <w:rsid w:val="007E5935"/>
    <w:rsid w:val="007E6BE6"/>
    <w:rsid w:val="007E6CDD"/>
    <w:rsid w:val="007E6FE0"/>
    <w:rsid w:val="007F005F"/>
    <w:rsid w:val="007F09C3"/>
    <w:rsid w:val="007F0CD5"/>
    <w:rsid w:val="007F0F8C"/>
    <w:rsid w:val="007F2EA9"/>
    <w:rsid w:val="007F2F5B"/>
    <w:rsid w:val="007F3700"/>
    <w:rsid w:val="007F49BF"/>
    <w:rsid w:val="007F6735"/>
    <w:rsid w:val="007F6846"/>
    <w:rsid w:val="007F6AC2"/>
    <w:rsid w:val="00800046"/>
    <w:rsid w:val="0080109B"/>
    <w:rsid w:val="0080152B"/>
    <w:rsid w:val="00801C7D"/>
    <w:rsid w:val="00803486"/>
    <w:rsid w:val="008034B3"/>
    <w:rsid w:val="008048F6"/>
    <w:rsid w:val="0080491A"/>
    <w:rsid w:val="00804B24"/>
    <w:rsid w:val="008053D8"/>
    <w:rsid w:val="008057A5"/>
    <w:rsid w:val="00805FA8"/>
    <w:rsid w:val="00806BA2"/>
    <w:rsid w:val="00811E4E"/>
    <w:rsid w:val="00812575"/>
    <w:rsid w:val="00815ECD"/>
    <w:rsid w:val="00816336"/>
    <w:rsid w:val="00817B40"/>
    <w:rsid w:val="008208E6"/>
    <w:rsid w:val="00821B12"/>
    <w:rsid w:val="00822727"/>
    <w:rsid w:val="00823C60"/>
    <w:rsid w:val="00827E7B"/>
    <w:rsid w:val="00831051"/>
    <w:rsid w:val="00831572"/>
    <w:rsid w:val="0083189F"/>
    <w:rsid w:val="008329E4"/>
    <w:rsid w:val="008340CF"/>
    <w:rsid w:val="00834CF2"/>
    <w:rsid w:val="008352C9"/>
    <w:rsid w:val="00835F16"/>
    <w:rsid w:val="0083689C"/>
    <w:rsid w:val="00836D4F"/>
    <w:rsid w:val="00837BC3"/>
    <w:rsid w:val="00840888"/>
    <w:rsid w:val="00840DBA"/>
    <w:rsid w:val="00840DE3"/>
    <w:rsid w:val="00842BB2"/>
    <w:rsid w:val="00842E68"/>
    <w:rsid w:val="008435D1"/>
    <w:rsid w:val="00843F91"/>
    <w:rsid w:val="0084406C"/>
    <w:rsid w:val="008443B7"/>
    <w:rsid w:val="008449F8"/>
    <w:rsid w:val="0084661F"/>
    <w:rsid w:val="0084681D"/>
    <w:rsid w:val="008471A9"/>
    <w:rsid w:val="00847E6E"/>
    <w:rsid w:val="00851902"/>
    <w:rsid w:val="00852084"/>
    <w:rsid w:val="00853322"/>
    <w:rsid w:val="00853334"/>
    <w:rsid w:val="008539B4"/>
    <w:rsid w:val="008540D4"/>
    <w:rsid w:val="008540DF"/>
    <w:rsid w:val="0085433E"/>
    <w:rsid w:val="00854F78"/>
    <w:rsid w:val="00855CD5"/>
    <w:rsid w:val="00856C9C"/>
    <w:rsid w:val="0086066E"/>
    <w:rsid w:val="008607AC"/>
    <w:rsid w:val="00861014"/>
    <w:rsid w:val="00861EDB"/>
    <w:rsid w:val="008635A4"/>
    <w:rsid w:val="0086398F"/>
    <w:rsid w:val="00863B71"/>
    <w:rsid w:val="00863FF0"/>
    <w:rsid w:val="00865083"/>
    <w:rsid w:val="00865A2E"/>
    <w:rsid w:val="008669C1"/>
    <w:rsid w:val="008669E6"/>
    <w:rsid w:val="008674C4"/>
    <w:rsid w:val="0087011B"/>
    <w:rsid w:val="0087055C"/>
    <w:rsid w:val="00871A8B"/>
    <w:rsid w:val="00873DB5"/>
    <w:rsid w:val="00876830"/>
    <w:rsid w:val="00877319"/>
    <w:rsid w:val="00877D5B"/>
    <w:rsid w:val="00880E3B"/>
    <w:rsid w:val="008815A6"/>
    <w:rsid w:val="0088235F"/>
    <w:rsid w:val="00883764"/>
    <w:rsid w:val="00883C07"/>
    <w:rsid w:val="00885EFD"/>
    <w:rsid w:val="00886706"/>
    <w:rsid w:val="0088780A"/>
    <w:rsid w:val="0088788E"/>
    <w:rsid w:val="00887AA4"/>
    <w:rsid w:val="00891352"/>
    <w:rsid w:val="0089149C"/>
    <w:rsid w:val="00891603"/>
    <w:rsid w:val="00892349"/>
    <w:rsid w:val="0089292D"/>
    <w:rsid w:val="00892978"/>
    <w:rsid w:val="00893E19"/>
    <w:rsid w:val="00896183"/>
    <w:rsid w:val="00897AE9"/>
    <w:rsid w:val="008A0B0F"/>
    <w:rsid w:val="008A1294"/>
    <w:rsid w:val="008A1688"/>
    <w:rsid w:val="008A1CC4"/>
    <w:rsid w:val="008A2901"/>
    <w:rsid w:val="008A2EF1"/>
    <w:rsid w:val="008A6958"/>
    <w:rsid w:val="008A6A1E"/>
    <w:rsid w:val="008A71A3"/>
    <w:rsid w:val="008B0191"/>
    <w:rsid w:val="008B2BE0"/>
    <w:rsid w:val="008B310E"/>
    <w:rsid w:val="008B46E3"/>
    <w:rsid w:val="008B4A11"/>
    <w:rsid w:val="008B5D16"/>
    <w:rsid w:val="008B5D27"/>
    <w:rsid w:val="008B67E8"/>
    <w:rsid w:val="008C042C"/>
    <w:rsid w:val="008C069F"/>
    <w:rsid w:val="008C1787"/>
    <w:rsid w:val="008C3218"/>
    <w:rsid w:val="008C378B"/>
    <w:rsid w:val="008C43A7"/>
    <w:rsid w:val="008C4606"/>
    <w:rsid w:val="008C470D"/>
    <w:rsid w:val="008C47D8"/>
    <w:rsid w:val="008C5BBE"/>
    <w:rsid w:val="008C60BF"/>
    <w:rsid w:val="008C656E"/>
    <w:rsid w:val="008D0479"/>
    <w:rsid w:val="008D22F5"/>
    <w:rsid w:val="008D24A7"/>
    <w:rsid w:val="008D2AD9"/>
    <w:rsid w:val="008D2FD9"/>
    <w:rsid w:val="008D3A94"/>
    <w:rsid w:val="008D3AD5"/>
    <w:rsid w:val="008D423A"/>
    <w:rsid w:val="008D4490"/>
    <w:rsid w:val="008D4768"/>
    <w:rsid w:val="008D588A"/>
    <w:rsid w:val="008D5D85"/>
    <w:rsid w:val="008D6210"/>
    <w:rsid w:val="008D785B"/>
    <w:rsid w:val="008D7D31"/>
    <w:rsid w:val="008E02AA"/>
    <w:rsid w:val="008E07BF"/>
    <w:rsid w:val="008E0FAB"/>
    <w:rsid w:val="008E1076"/>
    <w:rsid w:val="008E3422"/>
    <w:rsid w:val="008E4A45"/>
    <w:rsid w:val="008E4A4A"/>
    <w:rsid w:val="008E56F9"/>
    <w:rsid w:val="008E6DBA"/>
    <w:rsid w:val="008E7B82"/>
    <w:rsid w:val="008E7BE1"/>
    <w:rsid w:val="008F0EAA"/>
    <w:rsid w:val="008F0EBC"/>
    <w:rsid w:val="008F1A36"/>
    <w:rsid w:val="008F2FAE"/>
    <w:rsid w:val="008F32BD"/>
    <w:rsid w:val="008F3B2F"/>
    <w:rsid w:val="008F4611"/>
    <w:rsid w:val="008F5D61"/>
    <w:rsid w:val="008F663F"/>
    <w:rsid w:val="008F746F"/>
    <w:rsid w:val="00900D4F"/>
    <w:rsid w:val="00903515"/>
    <w:rsid w:val="0090392E"/>
    <w:rsid w:val="00903E39"/>
    <w:rsid w:val="0090403D"/>
    <w:rsid w:val="00904CA7"/>
    <w:rsid w:val="00905FFD"/>
    <w:rsid w:val="00907D8D"/>
    <w:rsid w:val="00907E50"/>
    <w:rsid w:val="00907E56"/>
    <w:rsid w:val="009102D2"/>
    <w:rsid w:val="00910737"/>
    <w:rsid w:val="00911156"/>
    <w:rsid w:val="00911B39"/>
    <w:rsid w:val="00911D96"/>
    <w:rsid w:val="00912216"/>
    <w:rsid w:val="00913599"/>
    <w:rsid w:val="0091410C"/>
    <w:rsid w:val="00914F63"/>
    <w:rsid w:val="00915F55"/>
    <w:rsid w:val="00915FCD"/>
    <w:rsid w:val="00916029"/>
    <w:rsid w:val="009200A8"/>
    <w:rsid w:val="00921590"/>
    <w:rsid w:val="00921DC8"/>
    <w:rsid w:val="00922EDD"/>
    <w:rsid w:val="009240C8"/>
    <w:rsid w:val="00924338"/>
    <w:rsid w:val="00924EC5"/>
    <w:rsid w:val="0092537C"/>
    <w:rsid w:val="00925851"/>
    <w:rsid w:val="00925D5D"/>
    <w:rsid w:val="00927780"/>
    <w:rsid w:val="00931D09"/>
    <w:rsid w:val="009323F4"/>
    <w:rsid w:val="00934196"/>
    <w:rsid w:val="00934B66"/>
    <w:rsid w:val="00936975"/>
    <w:rsid w:val="00937198"/>
    <w:rsid w:val="00937B56"/>
    <w:rsid w:val="00941A63"/>
    <w:rsid w:val="00942274"/>
    <w:rsid w:val="00944249"/>
    <w:rsid w:val="00944817"/>
    <w:rsid w:val="00944FD0"/>
    <w:rsid w:val="00945B4F"/>
    <w:rsid w:val="00945DE6"/>
    <w:rsid w:val="009471C2"/>
    <w:rsid w:val="00951226"/>
    <w:rsid w:val="00953384"/>
    <w:rsid w:val="00953953"/>
    <w:rsid w:val="00953D7F"/>
    <w:rsid w:val="00954989"/>
    <w:rsid w:val="009566B5"/>
    <w:rsid w:val="009573B3"/>
    <w:rsid w:val="00957883"/>
    <w:rsid w:val="009607CC"/>
    <w:rsid w:val="00960B3B"/>
    <w:rsid w:val="0096113A"/>
    <w:rsid w:val="00963354"/>
    <w:rsid w:val="00965DFA"/>
    <w:rsid w:val="00966114"/>
    <w:rsid w:val="00967B6E"/>
    <w:rsid w:val="00973627"/>
    <w:rsid w:val="0097397D"/>
    <w:rsid w:val="00973C69"/>
    <w:rsid w:val="009758A6"/>
    <w:rsid w:val="00975DF5"/>
    <w:rsid w:val="009767D8"/>
    <w:rsid w:val="009771DB"/>
    <w:rsid w:val="00977E9A"/>
    <w:rsid w:val="00982572"/>
    <w:rsid w:val="00982DF9"/>
    <w:rsid w:val="00982E94"/>
    <w:rsid w:val="00983069"/>
    <w:rsid w:val="00983854"/>
    <w:rsid w:val="00984A24"/>
    <w:rsid w:val="009852F8"/>
    <w:rsid w:val="00985CF3"/>
    <w:rsid w:val="00986356"/>
    <w:rsid w:val="00986BA5"/>
    <w:rsid w:val="009870D1"/>
    <w:rsid w:val="0098734C"/>
    <w:rsid w:val="00991ADD"/>
    <w:rsid w:val="00991D86"/>
    <w:rsid w:val="009938D9"/>
    <w:rsid w:val="009945D0"/>
    <w:rsid w:val="00994DA6"/>
    <w:rsid w:val="009A11DE"/>
    <w:rsid w:val="009A2971"/>
    <w:rsid w:val="009A399B"/>
    <w:rsid w:val="009A4766"/>
    <w:rsid w:val="009A4AFF"/>
    <w:rsid w:val="009A520D"/>
    <w:rsid w:val="009A7AF6"/>
    <w:rsid w:val="009B0A22"/>
    <w:rsid w:val="009B2A2F"/>
    <w:rsid w:val="009B35D5"/>
    <w:rsid w:val="009B36CC"/>
    <w:rsid w:val="009B39CA"/>
    <w:rsid w:val="009B7886"/>
    <w:rsid w:val="009B7B4E"/>
    <w:rsid w:val="009B7EFF"/>
    <w:rsid w:val="009C0076"/>
    <w:rsid w:val="009C1B4E"/>
    <w:rsid w:val="009C2F3B"/>
    <w:rsid w:val="009C491B"/>
    <w:rsid w:val="009C49AE"/>
    <w:rsid w:val="009C6CC6"/>
    <w:rsid w:val="009C7E9C"/>
    <w:rsid w:val="009D00D6"/>
    <w:rsid w:val="009D01B3"/>
    <w:rsid w:val="009D03D8"/>
    <w:rsid w:val="009D0D01"/>
    <w:rsid w:val="009D14AA"/>
    <w:rsid w:val="009D1853"/>
    <w:rsid w:val="009D1E5A"/>
    <w:rsid w:val="009D2EDB"/>
    <w:rsid w:val="009D32B8"/>
    <w:rsid w:val="009D339A"/>
    <w:rsid w:val="009D3C23"/>
    <w:rsid w:val="009E000D"/>
    <w:rsid w:val="009E0EE4"/>
    <w:rsid w:val="009E1831"/>
    <w:rsid w:val="009E1ADC"/>
    <w:rsid w:val="009E25DD"/>
    <w:rsid w:val="009E2A25"/>
    <w:rsid w:val="009E304F"/>
    <w:rsid w:val="009E4566"/>
    <w:rsid w:val="009E5577"/>
    <w:rsid w:val="009E628C"/>
    <w:rsid w:val="009E7C63"/>
    <w:rsid w:val="009E7F4B"/>
    <w:rsid w:val="009F1CFF"/>
    <w:rsid w:val="009F23D9"/>
    <w:rsid w:val="009F26E1"/>
    <w:rsid w:val="009F3E7D"/>
    <w:rsid w:val="009F5CF8"/>
    <w:rsid w:val="009F614A"/>
    <w:rsid w:val="009F6461"/>
    <w:rsid w:val="009F66A0"/>
    <w:rsid w:val="009F673D"/>
    <w:rsid w:val="009F6A3D"/>
    <w:rsid w:val="009F6E52"/>
    <w:rsid w:val="009F6F61"/>
    <w:rsid w:val="009F72D3"/>
    <w:rsid w:val="00A013A9"/>
    <w:rsid w:val="00A024FC"/>
    <w:rsid w:val="00A02B52"/>
    <w:rsid w:val="00A03E0E"/>
    <w:rsid w:val="00A03FED"/>
    <w:rsid w:val="00A0572F"/>
    <w:rsid w:val="00A0629B"/>
    <w:rsid w:val="00A069E7"/>
    <w:rsid w:val="00A06A1A"/>
    <w:rsid w:val="00A06A65"/>
    <w:rsid w:val="00A06BA9"/>
    <w:rsid w:val="00A06F4F"/>
    <w:rsid w:val="00A0796D"/>
    <w:rsid w:val="00A10493"/>
    <w:rsid w:val="00A10B60"/>
    <w:rsid w:val="00A10F3E"/>
    <w:rsid w:val="00A116FA"/>
    <w:rsid w:val="00A12652"/>
    <w:rsid w:val="00A12A06"/>
    <w:rsid w:val="00A137EC"/>
    <w:rsid w:val="00A154E1"/>
    <w:rsid w:val="00A16634"/>
    <w:rsid w:val="00A16805"/>
    <w:rsid w:val="00A20CC3"/>
    <w:rsid w:val="00A216CF"/>
    <w:rsid w:val="00A22395"/>
    <w:rsid w:val="00A23090"/>
    <w:rsid w:val="00A23425"/>
    <w:rsid w:val="00A24867"/>
    <w:rsid w:val="00A24AD7"/>
    <w:rsid w:val="00A24CEA"/>
    <w:rsid w:val="00A2502B"/>
    <w:rsid w:val="00A25847"/>
    <w:rsid w:val="00A30475"/>
    <w:rsid w:val="00A307A3"/>
    <w:rsid w:val="00A30F98"/>
    <w:rsid w:val="00A31A63"/>
    <w:rsid w:val="00A31BEA"/>
    <w:rsid w:val="00A31C1F"/>
    <w:rsid w:val="00A31CED"/>
    <w:rsid w:val="00A31EA8"/>
    <w:rsid w:val="00A3226E"/>
    <w:rsid w:val="00A33AD2"/>
    <w:rsid w:val="00A33C30"/>
    <w:rsid w:val="00A344B4"/>
    <w:rsid w:val="00A349A0"/>
    <w:rsid w:val="00A34A70"/>
    <w:rsid w:val="00A35452"/>
    <w:rsid w:val="00A35ECB"/>
    <w:rsid w:val="00A40024"/>
    <w:rsid w:val="00A40AC9"/>
    <w:rsid w:val="00A414A9"/>
    <w:rsid w:val="00A41A75"/>
    <w:rsid w:val="00A42950"/>
    <w:rsid w:val="00A444FC"/>
    <w:rsid w:val="00A46183"/>
    <w:rsid w:val="00A465C7"/>
    <w:rsid w:val="00A472EC"/>
    <w:rsid w:val="00A50B01"/>
    <w:rsid w:val="00A5278D"/>
    <w:rsid w:val="00A538FC"/>
    <w:rsid w:val="00A55BD0"/>
    <w:rsid w:val="00A56532"/>
    <w:rsid w:val="00A56828"/>
    <w:rsid w:val="00A574A1"/>
    <w:rsid w:val="00A57D88"/>
    <w:rsid w:val="00A600AA"/>
    <w:rsid w:val="00A60251"/>
    <w:rsid w:val="00A6169F"/>
    <w:rsid w:val="00A617ED"/>
    <w:rsid w:val="00A627E5"/>
    <w:rsid w:val="00A630A0"/>
    <w:rsid w:val="00A66111"/>
    <w:rsid w:val="00A6651E"/>
    <w:rsid w:val="00A66766"/>
    <w:rsid w:val="00A66D40"/>
    <w:rsid w:val="00A70342"/>
    <w:rsid w:val="00A71E0F"/>
    <w:rsid w:val="00A71E94"/>
    <w:rsid w:val="00A72B9A"/>
    <w:rsid w:val="00A73A8B"/>
    <w:rsid w:val="00A746AF"/>
    <w:rsid w:val="00A7499D"/>
    <w:rsid w:val="00A7610A"/>
    <w:rsid w:val="00A7618E"/>
    <w:rsid w:val="00A7662D"/>
    <w:rsid w:val="00A77A3E"/>
    <w:rsid w:val="00A80E59"/>
    <w:rsid w:val="00A81406"/>
    <w:rsid w:val="00A81617"/>
    <w:rsid w:val="00A8229B"/>
    <w:rsid w:val="00A82A28"/>
    <w:rsid w:val="00A82C41"/>
    <w:rsid w:val="00A82D98"/>
    <w:rsid w:val="00A83E1F"/>
    <w:rsid w:val="00A8431E"/>
    <w:rsid w:val="00A8646E"/>
    <w:rsid w:val="00A87216"/>
    <w:rsid w:val="00A9040E"/>
    <w:rsid w:val="00A93EC2"/>
    <w:rsid w:val="00A95100"/>
    <w:rsid w:val="00A9552B"/>
    <w:rsid w:val="00A9558A"/>
    <w:rsid w:val="00A9610B"/>
    <w:rsid w:val="00AA00A4"/>
    <w:rsid w:val="00AA0C32"/>
    <w:rsid w:val="00AA0D62"/>
    <w:rsid w:val="00AA1B0A"/>
    <w:rsid w:val="00AA2438"/>
    <w:rsid w:val="00AA3C02"/>
    <w:rsid w:val="00AA3D33"/>
    <w:rsid w:val="00AA4913"/>
    <w:rsid w:val="00AA4BF2"/>
    <w:rsid w:val="00AA6C96"/>
    <w:rsid w:val="00AA6EC6"/>
    <w:rsid w:val="00AA76E6"/>
    <w:rsid w:val="00AA7706"/>
    <w:rsid w:val="00AB1E49"/>
    <w:rsid w:val="00AB26FC"/>
    <w:rsid w:val="00AB3050"/>
    <w:rsid w:val="00AB4C85"/>
    <w:rsid w:val="00AB514D"/>
    <w:rsid w:val="00AB5A1E"/>
    <w:rsid w:val="00AB672A"/>
    <w:rsid w:val="00AB6BB3"/>
    <w:rsid w:val="00AB6EAA"/>
    <w:rsid w:val="00AC0519"/>
    <w:rsid w:val="00AC17B7"/>
    <w:rsid w:val="00AC23F8"/>
    <w:rsid w:val="00AC2F41"/>
    <w:rsid w:val="00AC3944"/>
    <w:rsid w:val="00AC54E7"/>
    <w:rsid w:val="00AC5D81"/>
    <w:rsid w:val="00AC66F2"/>
    <w:rsid w:val="00AC72D5"/>
    <w:rsid w:val="00AD04B3"/>
    <w:rsid w:val="00AD0708"/>
    <w:rsid w:val="00AD0887"/>
    <w:rsid w:val="00AD0A7F"/>
    <w:rsid w:val="00AD13EE"/>
    <w:rsid w:val="00AD246C"/>
    <w:rsid w:val="00AD38A5"/>
    <w:rsid w:val="00AD3CD5"/>
    <w:rsid w:val="00AD58E2"/>
    <w:rsid w:val="00AD5A25"/>
    <w:rsid w:val="00AD67BA"/>
    <w:rsid w:val="00AD67D7"/>
    <w:rsid w:val="00AE00B8"/>
    <w:rsid w:val="00AE0889"/>
    <w:rsid w:val="00AE27BD"/>
    <w:rsid w:val="00AE2819"/>
    <w:rsid w:val="00AE2883"/>
    <w:rsid w:val="00AE2BA1"/>
    <w:rsid w:val="00AE30AA"/>
    <w:rsid w:val="00AE3608"/>
    <w:rsid w:val="00AE4474"/>
    <w:rsid w:val="00AE6640"/>
    <w:rsid w:val="00AE7DB9"/>
    <w:rsid w:val="00AF04AB"/>
    <w:rsid w:val="00AF1D68"/>
    <w:rsid w:val="00AF3012"/>
    <w:rsid w:val="00AF35F5"/>
    <w:rsid w:val="00AF3717"/>
    <w:rsid w:val="00AF3778"/>
    <w:rsid w:val="00AF37A9"/>
    <w:rsid w:val="00AF50FB"/>
    <w:rsid w:val="00AF6207"/>
    <w:rsid w:val="00AF6C40"/>
    <w:rsid w:val="00AF79A1"/>
    <w:rsid w:val="00B000D8"/>
    <w:rsid w:val="00B00434"/>
    <w:rsid w:val="00B00C79"/>
    <w:rsid w:val="00B01CDB"/>
    <w:rsid w:val="00B032D0"/>
    <w:rsid w:val="00B036C3"/>
    <w:rsid w:val="00B0379B"/>
    <w:rsid w:val="00B04A3B"/>
    <w:rsid w:val="00B04EB0"/>
    <w:rsid w:val="00B06AFB"/>
    <w:rsid w:val="00B07581"/>
    <w:rsid w:val="00B07956"/>
    <w:rsid w:val="00B07C7D"/>
    <w:rsid w:val="00B10537"/>
    <w:rsid w:val="00B10FDA"/>
    <w:rsid w:val="00B124C8"/>
    <w:rsid w:val="00B1425F"/>
    <w:rsid w:val="00B146D3"/>
    <w:rsid w:val="00B149BD"/>
    <w:rsid w:val="00B160B6"/>
    <w:rsid w:val="00B16E6F"/>
    <w:rsid w:val="00B17F32"/>
    <w:rsid w:val="00B207BA"/>
    <w:rsid w:val="00B2156E"/>
    <w:rsid w:val="00B22009"/>
    <w:rsid w:val="00B23A27"/>
    <w:rsid w:val="00B24059"/>
    <w:rsid w:val="00B24A90"/>
    <w:rsid w:val="00B25166"/>
    <w:rsid w:val="00B2661C"/>
    <w:rsid w:val="00B26CD2"/>
    <w:rsid w:val="00B26EF5"/>
    <w:rsid w:val="00B30154"/>
    <w:rsid w:val="00B3075A"/>
    <w:rsid w:val="00B315F1"/>
    <w:rsid w:val="00B318F2"/>
    <w:rsid w:val="00B31FDB"/>
    <w:rsid w:val="00B32032"/>
    <w:rsid w:val="00B34AD3"/>
    <w:rsid w:val="00B3552F"/>
    <w:rsid w:val="00B360BD"/>
    <w:rsid w:val="00B43A57"/>
    <w:rsid w:val="00B43BF4"/>
    <w:rsid w:val="00B44178"/>
    <w:rsid w:val="00B444D7"/>
    <w:rsid w:val="00B445E0"/>
    <w:rsid w:val="00B44972"/>
    <w:rsid w:val="00B45295"/>
    <w:rsid w:val="00B45C47"/>
    <w:rsid w:val="00B50DD9"/>
    <w:rsid w:val="00B51100"/>
    <w:rsid w:val="00B51925"/>
    <w:rsid w:val="00B51DA2"/>
    <w:rsid w:val="00B525E7"/>
    <w:rsid w:val="00B55617"/>
    <w:rsid w:val="00B562D8"/>
    <w:rsid w:val="00B5723B"/>
    <w:rsid w:val="00B57362"/>
    <w:rsid w:val="00B57DDB"/>
    <w:rsid w:val="00B57F8B"/>
    <w:rsid w:val="00B602A3"/>
    <w:rsid w:val="00B60811"/>
    <w:rsid w:val="00B60E03"/>
    <w:rsid w:val="00B60F43"/>
    <w:rsid w:val="00B62210"/>
    <w:rsid w:val="00B632B2"/>
    <w:rsid w:val="00B633CC"/>
    <w:rsid w:val="00B64689"/>
    <w:rsid w:val="00B65B4C"/>
    <w:rsid w:val="00B66116"/>
    <w:rsid w:val="00B70922"/>
    <w:rsid w:val="00B70C50"/>
    <w:rsid w:val="00B71609"/>
    <w:rsid w:val="00B724F8"/>
    <w:rsid w:val="00B73EC9"/>
    <w:rsid w:val="00B748CE"/>
    <w:rsid w:val="00B74FA2"/>
    <w:rsid w:val="00B7581B"/>
    <w:rsid w:val="00B7623F"/>
    <w:rsid w:val="00B76D4A"/>
    <w:rsid w:val="00B8315F"/>
    <w:rsid w:val="00B8383D"/>
    <w:rsid w:val="00B83908"/>
    <w:rsid w:val="00B83C05"/>
    <w:rsid w:val="00B84B54"/>
    <w:rsid w:val="00B84B5E"/>
    <w:rsid w:val="00B85A68"/>
    <w:rsid w:val="00B86854"/>
    <w:rsid w:val="00B8689C"/>
    <w:rsid w:val="00B868FE"/>
    <w:rsid w:val="00B86B32"/>
    <w:rsid w:val="00B87422"/>
    <w:rsid w:val="00B87577"/>
    <w:rsid w:val="00B8764E"/>
    <w:rsid w:val="00B879C1"/>
    <w:rsid w:val="00B91423"/>
    <w:rsid w:val="00B9262A"/>
    <w:rsid w:val="00B932DB"/>
    <w:rsid w:val="00B94649"/>
    <w:rsid w:val="00B95149"/>
    <w:rsid w:val="00B95A03"/>
    <w:rsid w:val="00B95D9E"/>
    <w:rsid w:val="00B96CCA"/>
    <w:rsid w:val="00B97A82"/>
    <w:rsid w:val="00BA13A8"/>
    <w:rsid w:val="00BA2FAB"/>
    <w:rsid w:val="00BA3954"/>
    <w:rsid w:val="00BA521A"/>
    <w:rsid w:val="00BA6B01"/>
    <w:rsid w:val="00BA6CD1"/>
    <w:rsid w:val="00BA78CC"/>
    <w:rsid w:val="00BB1504"/>
    <w:rsid w:val="00BB2534"/>
    <w:rsid w:val="00BB27F8"/>
    <w:rsid w:val="00BB2878"/>
    <w:rsid w:val="00BB3986"/>
    <w:rsid w:val="00BB3BE4"/>
    <w:rsid w:val="00BB6D83"/>
    <w:rsid w:val="00BB77A4"/>
    <w:rsid w:val="00BB78A4"/>
    <w:rsid w:val="00BC03DE"/>
    <w:rsid w:val="00BC0647"/>
    <w:rsid w:val="00BC116F"/>
    <w:rsid w:val="00BC117D"/>
    <w:rsid w:val="00BC1C92"/>
    <w:rsid w:val="00BC2F5B"/>
    <w:rsid w:val="00BC7D88"/>
    <w:rsid w:val="00BD019D"/>
    <w:rsid w:val="00BD0A32"/>
    <w:rsid w:val="00BD0A84"/>
    <w:rsid w:val="00BD34E3"/>
    <w:rsid w:val="00BD5130"/>
    <w:rsid w:val="00BD7246"/>
    <w:rsid w:val="00BD745D"/>
    <w:rsid w:val="00BD763B"/>
    <w:rsid w:val="00BD7697"/>
    <w:rsid w:val="00BD7BA3"/>
    <w:rsid w:val="00BE075E"/>
    <w:rsid w:val="00BE0C25"/>
    <w:rsid w:val="00BE1817"/>
    <w:rsid w:val="00BE2DA3"/>
    <w:rsid w:val="00BE3034"/>
    <w:rsid w:val="00BE394D"/>
    <w:rsid w:val="00BE420B"/>
    <w:rsid w:val="00BE5057"/>
    <w:rsid w:val="00BE76EF"/>
    <w:rsid w:val="00BF0101"/>
    <w:rsid w:val="00BF014C"/>
    <w:rsid w:val="00BF0722"/>
    <w:rsid w:val="00BF0890"/>
    <w:rsid w:val="00BF1476"/>
    <w:rsid w:val="00BF183D"/>
    <w:rsid w:val="00BF1E91"/>
    <w:rsid w:val="00BF26F9"/>
    <w:rsid w:val="00BF2733"/>
    <w:rsid w:val="00BF2B2A"/>
    <w:rsid w:val="00BF3EB9"/>
    <w:rsid w:val="00BF5770"/>
    <w:rsid w:val="00BF68E6"/>
    <w:rsid w:val="00BF77EE"/>
    <w:rsid w:val="00C0088B"/>
    <w:rsid w:val="00C02253"/>
    <w:rsid w:val="00C02DE6"/>
    <w:rsid w:val="00C038DB"/>
    <w:rsid w:val="00C04E13"/>
    <w:rsid w:val="00C05564"/>
    <w:rsid w:val="00C06047"/>
    <w:rsid w:val="00C0614A"/>
    <w:rsid w:val="00C0633D"/>
    <w:rsid w:val="00C066E9"/>
    <w:rsid w:val="00C108B4"/>
    <w:rsid w:val="00C10C79"/>
    <w:rsid w:val="00C10D4B"/>
    <w:rsid w:val="00C1106B"/>
    <w:rsid w:val="00C120FB"/>
    <w:rsid w:val="00C122BC"/>
    <w:rsid w:val="00C129B9"/>
    <w:rsid w:val="00C150EB"/>
    <w:rsid w:val="00C15324"/>
    <w:rsid w:val="00C15D70"/>
    <w:rsid w:val="00C1611A"/>
    <w:rsid w:val="00C1620A"/>
    <w:rsid w:val="00C16C15"/>
    <w:rsid w:val="00C175C7"/>
    <w:rsid w:val="00C2017A"/>
    <w:rsid w:val="00C20B20"/>
    <w:rsid w:val="00C20D47"/>
    <w:rsid w:val="00C23BD9"/>
    <w:rsid w:val="00C2524A"/>
    <w:rsid w:val="00C252CC"/>
    <w:rsid w:val="00C26DAF"/>
    <w:rsid w:val="00C2735B"/>
    <w:rsid w:val="00C30B76"/>
    <w:rsid w:val="00C30F17"/>
    <w:rsid w:val="00C33985"/>
    <w:rsid w:val="00C34050"/>
    <w:rsid w:val="00C34810"/>
    <w:rsid w:val="00C34A90"/>
    <w:rsid w:val="00C35E0D"/>
    <w:rsid w:val="00C360EE"/>
    <w:rsid w:val="00C37E0C"/>
    <w:rsid w:val="00C407F7"/>
    <w:rsid w:val="00C41EC0"/>
    <w:rsid w:val="00C42C1E"/>
    <w:rsid w:val="00C42C40"/>
    <w:rsid w:val="00C43C64"/>
    <w:rsid w:val="00C45C07"/>
    <w:rsid w:val="00C464EE"/>
    <w:rsid w:val="00C4721A"/>
    <w:rsid w:val="00C474C7"/>
    <w:rsid w:val="00C47DCF"/>
    <w:rsid w:val="00C50A20"/>
    <w:rsid w:val="00C50D38"/>
    <w:rsid w:val="00C50DEB"/>
    <w:rsid w:val="00C5183C"/>
    <w:rsid w:val="00C51D29"/>
    <w:rsid w:val="00C5395F"/>
    <w:rsid w:val="00C55491"/>
    <w:rsid w:val="00C556E7"/>
    <w:rsid w:val="00C561F6"/>
    <w:rsid w:val="00C5713B"/>
    <w:rsid w:val="00C57440"/>
    <w:rsid w:val="00C57EDB"/>
    <w:rsid w:val="00C61078"/>
    <w:rsid w:val="00C610FD"/>
    <w:rsid w:val="00C61B84"/>
    <w:rsid w:val="00C62232"/>
    <w:rsid w:val="00C62D9B"/>
    <w:rsid w:val="00C6314C"/>
    <w:rsid w:val="00C638F6"/>
    <w:rsid w:val="00C65542"/>
    <w:rsid w:val="00C655CF"/>
    <w:rsid w:val="00C65951"/>
    <w:rsid w:val="00C662E2"/>
    <w:rsid w:val="00C702C8"/>
    <w:rsid w:val="00C71F35"/>
    <w:rsid w:val="00C72C93"/>
    <w:rsid w:val="00C73011"/>
    <w:rsid w:val="00C730E7"/>
    <w:rsid w:val="00C73161"/>
    <w:rsid w:val="00C73413"/>
    <w:rsid w:val="00C74AD6"/>
    <w:rsid w:val="00C75250"/>
    <w:rsid w:val="00C764F7"/>
    <w:rsid w:val="00C77471"/>
    <w:rsid w:val="00C80785"/>
    <w:rsid w:val="00C816A8"/>
    <w:rsid w:val="00C835E5"/>
    <w:rsid w:val="00C83F67"/>
    <w:rsid w:val="00C84922"/>
    <w:rsid w:val="00C86366"/>
    <w:rsid w:val="00C86D48"/>
    <w:rsid w:val="00C86E67"/>
    <w:rsid w:val="00C8778C"/>
    <w:rsid w:val="00C87ADF"/>
    <w:rsid w:val="00C87EDF"/>
    <w:rsid w:val="00C9005C"/>
    <w:rsid w:val="00C9084A"/>
    <w:rsid w:val="00C92597"/>
    <w:rsid w:val="00C933C0"/>
    <w:rsid w:val="00C94B6C"/>
    <w:rsid w:val="00C950DB"/>
    <w:rsid w:val="00C95978"/>
    <w:rsid w:val="00C967A7"/>
    <w:rsid w:val="00C96D92"/>
    <w:rsid w:val="00C97232"/>
    <w:rsid w:val="00CA0586"/>
    <w:rsid w:val="00CA206D"/>
    <w:rsid w:val="00CA20AC"/>
    <w:rsid w:val="00CA21ED"/>
    <w:rsid w:val="00CA2B4C"/>
    <w:rsid w:val="00CA3A7B"/>
    <w:rsid w:val="00CA7270"/>
    <w:rsid w:val="00CA73C2"/>
    <w:rsid w:val="00CB02BB"/>
    <w:rsid w:val="00CB063E"/>
    <w:rsid w:val="00CB08C6"/>
    <w:rsid w:val="00CB0B09"/>
    <w:rsid w:val="00CB1395"/>
    <w:rsid w:val="00CB2725"/>
    <w:rsid w:val="00CB3882"/>
    <w:rsid w:val="00CB4011"/>
    <w:rsid w:val="00CB4264"/>
    <w:rsid w:val="00CB458A"/>
    <w:rsid w:val="00CB5354"/>
    <w:rsid w:val="00CB5D15"/>
    <w:rsid w:val="00CB5D6F"/>
    <w:rsid w:val="00CB5F5D"/>
    <w:rsid w:val="00CB6666"/>
    <w:rsid w:val="00CB6730"/>
    <w:rsid w:val="00CB6EF9"/>
    <w:rsid w:val="00CC0838"/>
    <w:rsid w:val="00CC0DE2"/>
    <w:rsid w:val="00CC1F3E"/>
    <w:rsid w:val="00CC2120"/>
    <w:rsid w:val="00CC5A3D"/>
    <w:rsid w:val="00CC5C50"/>
    <w:rsid w:val="00CC7088"/>
    <w:rsid w:val="00CD044D"/>
    <w:rsid w:val="00CD09D4"/>
    <w:rsid w:val="00CD0CFB"/>
    <w:rsid w:val="00CD0FF4"/>
    <w:rsid w:val="00CD0FFA"/>
    <w:rsid w:val="00CD1869"/>
    <w:rsid w:val="00CD2B7E"/>
    <w:rsid w:val="00CD3FC2"/>
    <w:rsid w:val="00CD44FA"/>
    <w:rsid w:val="00CD4B11"/>
    <w:rsid w:val="00CD5022"/>
    <w:rsid w:val="00CD52FB"/>
    <w:rsid w:val="00CD5386"/>
    <w:rsid w:val="00CD5539"/>
    <w:rsid w:val="00CD713F"/>
    <w:rsid w:val="00CD7D9E"/>
    <w:rsid w:val="00CE0CE6"/>
    <w:rsid w:val="00CE15F8"/>
    <w:rsid w:val="00CE28A4"/>
    <w:rsid w:val="00CE348D"/>
    <w:rsid w:val="00CE3855"/>
    <w:rsid w:val="00CE3933"/>
    <w:rsid w:val="00CE3F54"/>
    <w:rsid w:val="00CE4A68"/>
    <w:rsid w:val="00CE4EC9"/>
    <w:rsid w:val="00CE6055"/>
    <w:rsid w:val="00CE641A"/>
    <w:rsid w:val="00CE6433"/>
    <w:rsid w:val="00CE6785"/>
    <w:rsid w:val="00CE7005"/>
    <w:rsid w:val="00CF01DF"/>
    <w:rsid w:val="00CF086A"/>
    <w:rsid w:val="00CF1772"/>
    <w:rsid w:val="00CF245B"/>
    <w:rsid w:val="00CF387B"/>
    <w:rsid w:val="00CF50CA"/>
    <w:rsid w:val="00CF5344"/>
    <w:rsid w:val="00CF59DC"/>
    <w:rsid w:val="00CF5C7C"/>
    <w:rsid w:val="00D0241E"/>
    <w:rsid w:val="00D02529"/>
    <w:rsid w:val="00D03D57"/>
    <w:rsid w:val="00D04C41"/>
    <w:rsid w:val="00D04FB5"/>
    <w:rsid w:val="00D05301"/>
    <w:rsid w:val="00D056E0"/>
    <w:rsid w:val="00D06258"/>
    <w:rsid w:val="00D07077"/>
    <w:rsid w:val="00D1033B"/>
    <w:rsid w:val="00D106D6"/>
    <w:rsid w:val="00D11339"/>
    <w:rsid w:val="00D12572"/>
    <w:rsid w:val="00D13778"/>
    <w:rsid w:val="00D1407C"/>
    <w:rsid w:val="00D14099"/>
    <w:rsid w:val="00D161DE"/>
    <w:rsid w:val="00D1661E"/>
    <w:rsid w:val="00D16A55"/>
    <w:rsid w:val="00D175AC"/>
    <w:rsid w:val="00D20F11"/>
    <w:rsid w:val="00D21009"/>
    <w:rsid w:val="00D21758"/>
    <w:rsid w:val="00D21C93"/>
    <w:rsid w:val="00D2207C"/>
    <w:rsid w:val="00D22D88"/>
    <w:rsid w:val="00D246DC"/>
    <w:rsid w:val="00D24D6F"/>
    <w:rsid w:val="00D2536D"/>
    <w:rsid w:val="00D30011"/>
    <w:rsid w:val="00D30CC3"/>
    <w:rsid w:val="00D30D13"/>
    <w:rsid w:val="00D32C21"/>
    <w:rsid w:val="00D331A9"/>
    <w:rsid w:val="00D33E66"/>
    <w:rsid w:val="00D35AC4"/>
    <w:rsid w:val="00D36C16"/>
    <w:rsid w:val="00D36CDC"/>
    <w:rsid w:val="00D3701A"/>
    <w:rsid w:val="00D37572"/>
    <w:rsid w:val="00D37602"/>
    <w:rsid w:val="00D404AC"/>
    <w:rsid w:val="00D40639"/>
    <w:rsid w:val="00D408C0"/>
    <w:rsid w:val="00D40D29"/>
    <w:rsid w:val="00D415C1"/>
    <w:rsid w:val="00D4193F"/>
    <w:rsid w:val="00D43AC7"/>
    <w:rsid w:val="00D4470B"/>
    <w:rsid w:val="00D45229"/>
    <w:rsid w:val="00D452A7"/>
    <w:rsid w:val="00D45877"/>
    <w:rsid w:val="00D46C80"/>
    <w:rsid w:val="00D51AB8"/>
    <w:rsid w:val="00D53174"/>
    <w:rsid w:val="00D53336"/>
    <w:rsid w:val="00D54B47"/>
    <w:rsid w:val="00D5549A"/>
    <w:rsid w:val="00D562E9"/>
    <w:rsid w:val="00D567AB"/>
    <w:rsid w:val="00D56F04"/>
    <w:rsid w:val="00D57606"/>
    <w:rsid w:val="00D5777C"/>
    <w:rsid w:val="00D60231"/>
    <w:rsid w:val="00D61CE7"/>
    <w:rsid w:val="00D623D7"/>
    <w:rsid w:val="00D62C08"/>
    <w:rsid w:val="00D632C9"/>
    <w:rsid w:val="00D63C87"/>
    <w:rsid w:val="00D63FED"/>
    <w:rsid w:val="00D650E3"/>
    <w:rsid w:val="00D656C8"/>
    <w:rsid w:val="00D65D0B"/>
    <w:rsid w:val="00D65F74"/>
    <w:rsid w:val="00D669AE"/>
    <w:rsid w:val="00D66B1E"/>
    <w:rsid w:val="00D67B1F"/>
    <w:rsid w:val="00D67BED"/>
    <w:rsid w:val="00D67E57"/>
    <w:rsid w:val="00D702B9"/>
    <w:rsid w:val="00D70A50"/>
    <w:rsid w:val="00D7473B"/>
    <w:rsid w:val="00D74F69"/>
    <w:rsid w:val="00D759C0"/>
    <w:rsid w:val="00D76409"/>
    <w:rsid w:val="00D76ADC"/>
    <w:rsid w:val="00D7780E"/>
    <w:rsid w:val="00D77B9D"/>
    <w:rsid w:val="00D80E8B"/>
    <w:rsid w:val="00D817C5"/>
    <w:rsid w:val="00D8228B"/>
    <w:rsid w:val="00D8302A"/>
    <w:rsid w:val="00D837B3"/>
    <w:rsid w:val="00D85FA6"/>
    <w:rsid w:val="00D86927"/>
    <w:rsid w:val="00D8698A"/>
    <w:rsid w:val="00D86BD5"/>
    <w:rsid w:val="00D8769C"/>
    <w:rsid w:val="00D9030B"/>
    <w:rsid w:val="00D91B17"/>
    <w:rsid w:val="00D91C85"/>
    <w:rsid w:val="00D91DA7"/>
    <w:rsid w:val="00D92743"/>
    <w:rsid w:val="00D92A88"/>
    <w:rsid w:val="00D93281"/>
    <w:rsid w:val="00D950F7"/>
    <w:rsid w:val="00D96051"/>
    <w:rsid w:val="00D974D4"/>
    <w:rsid w:val="00DA01FD"/>
    <w:rsid w:val="00DA18AB"/>
    <w:rsid w:val="00DA2CA2"/>
    <w:rsid w:val="00DA33A9"/>
    <w:rsid w:val="00DA3845"/>
    <w:rsid w:val="00DA42C1"/>
    <w:rsid w:val="00DA5651"/>
    <w:rsid w:val="00DA5E83"/>
    <w:rsid w:val="00DA78FC"/>
    <w:rsid w:val="00DA7960"/>
    <w:rsid w:val="00DB0C71"/>
    <w:rsid w:val="00DB1188"/>
    <w:rsid w:val="00DB1442"/>
    <w:rsid w:val="00DB1A16"/>
    <w:rsid w:val="00DB2093"/>
    <w:rsid w:val="00DB2DF9"/>
    <w:rsid w:val="00DB3338"/>
    <w:rsid w:val="00DB39FE"/>
    <w:rsid w:val="00DB43B4"/>
    <w:rsid w:val="00DB5165"/>
    <w:rsid w:val="00DB60EE"/>
    <w:rsid w:val="00DB717F"/>
    <w:rsid w:val="00DB7AE7"/>
    <w:rsid w:val="00DC0369"/>
    <w:rsid w:val="00DC068F"/>
    <w:rsid w:val="00DC0800"/>
    <w:rsid w:val="00DC113E"/>
    <w:rsid w:val="00DC4308"/>
    <w:rsid w:val="00DC4795"/>
    <w:rsid w:val="00DC49E4"/>
    <w:rsid w:val="00DC5121"/>
    <w:rsid w:val="00DC5A3B"/>
    <w:rsid w:val="00DC6BDB"/>
    <w:rsid w:val="00DC7275"/>
    <w:rsid w:val="00DD06AF"/>
    <w:rsid w:val="00DD1BC6"/>
    <w:rsid w:val="00DD22BC"/>
    <w:rsid w:val="00DD2380"/>
    <w:rsid w:val="00DD2F1F"/>
    <w:rsid w:val="00DD452D"/>
    <w:rsid w:val="00DD4BB3"/>
    <w:rsid w:val="00DD4C49"/>
    <w:rsid w:val="00DD5B75"/>
    <w:rsid w:val="00DD6B7E"/>
    <w:rsid w:val="00DE05A8"/>
    <w:rsid w:val="00DE0F84"/>
    <w:rsid w:val="00DE0FB5"/>
    <w:rsid w:val="00DE1BDF"/>
    <w:rsid w:val="00DE1ED9"/>
    <w:rsid w:val="00DE213A"/>
    <w:rsid w:val="00DE5F6F"/>
    <w:rsid w:val="00DE656E"/>
    <w:rsid w:val="00DE693F"/>
    <w:rsid w:val="00DE6AB1"/>
    <w:rsid w:val="00DE79BD"/>
    <w:rsid w:val="00DE7FAE"/>
    <w:rsid w:val="00DF0CE1"/>
    <w:rsid w:val="00DF2C88"/>
    <w:rsid w:val="00DF3529"/>
    <w:rsid w:val="00DF4A70"/>
    <w:rsid w:val="00DF4D12"/>
    <w:rsid w:val="00DF4E62"/>
    <w:rsid w:val="00DF7641"/>
    <w:rsid w:val="00E0066D"/>
    <w:rsid w:val="00E039DE"/>
    <w:rsid w:val="00E0424E"/>
    <w:rsid w:val="00E05A7C"/>
    <w:rsid w:val="00E05B5F"/>
    <w:rsid w:val="00E0645A"/>
    <w:rsid w:val="00E1022B"/>
    <w:rsid w:val="00E110E5"/>
    <w:rsid w:val="00E11FB2"/>
    <w:rsid w:val="00E14CE6"/>
    <w:rsid w:val="00E15274"/>
    <w:rsid w:val="00E166A0"/>
    <w:rsid w:val="00E170B1"/>
    <w:rsid w:val="00E212AB"/>
    <w:rsid w:val="00E212BC"/>
    <w:rsid w:val="00E21E4C"/>
    <w:rsid w:val="00E23511"/>
    <w:rsid w:val="00E23AA3"/>
    <w:rsid w:val="00E23FCA"/>
    <w:rsid w:val="00E24151"/>
    <w:rsid w:val="00E24C5A"/>
    <w:rsid w:val="00E25FFB"/>
    <w:rsid w:val="00E26135"/>
    <w:rsid w:val="00E26678"/>
    <w:rsid w:val="00E26789"/>
    <w:rsid w:val="00E327C9"/>
    <w:rsid w:val="00E37B13"/>
    <w:rsid w:val="00E41A3E"/>
    <w:rsid w:val="00E42987"/>
    <w:rsid w:val="00E43311"/>
    <w:rsid w:val="00E43F59"/>
    <w:rsid w:val="00E440EC"/>
    <w:rsid w:val="00E45B44"/>
    <w:rsid w:val="00E46F93"/>
    <w:rsid w:val="00E47846"/>
    <w:rsid w:val="00E47972"/>
    <w:rsid w:val="00E50C8C"/>
    <w:rsid w:val="00E51472"/>
    <w:rsid w:val="00E52D03"/>
    <w:rsid w:val="00E53522"/>
    <w:rsid w:val="00E535C0"/>
    <w:rsid w:val="00E56238"/>
    <w:rsid w:val="00E563C7"/>
    <w:rsid w:val="00E571A7"/>
    <w:rsid w:val="00E57B56"/>
    <w:rsid w:val="00E61A57"/>
    <w:rsid w:val="00E61B93"/>
    <w:rsid w:val="00E62C45"/>
    <w:rsid w:val="00E63A9F"/>
    <w:rsid w:val="00E647B7"/>
    <w:rsid w:val="00E64F76"/>
    <w:rsid w:val="00E655E5"/>
    <w:rsid w:val="00E70504"/>
    <w:rsid w:val="00E7064E"/>
    <w:rsid w:val="00E70B55"/>
    <w:rsid w:val="00E734AC"/>
    <w:rsid w:val="00E74F73"/>
    <w:rsid w:val="00E756A5"/>
    <w:rsid w:val="00E7791F"/>
    <w:rsid w:val="00E77C9E"/>
    <w:rsid w:val="00E80FF8"/>
    <w:rsid w:val="00E810F2"/>
    <w:rsid w:val="00E816E4"/>
    <w:rsid w:val="00E82F0C"/>
    <w:rsid w:val="00E83DCD"/>
    <w:rsid w:val="00E86CF8"/>
    <w:rsid w:val="00E86F1F"/>
    <w:rsid w:val="00E87BAB"/>
    <w:rsid w:val="00E903ED"/>
    <w:rsid w:val="00E909E8"/>
    <w:rsid w:val="00E912F7"/>
    <w:rsid w:val="00E9204A"/>
    <w:rsid w:val="00E92D57"/>
    <w:rsid w:val="00E94300"/>
    <w:rsid w:val="00E94874"/>
    <w:rsid w:val="00E94F7D"/>
    <w:rsid w:val="00E95B84"/>
    <w:rsid w:val="00E96834"/>
    <w:rsid w:val="00E96B97"/>
    <w:rsid w:val="00E975AC"/>
    <w:rsid w:val="00EA1989"/>
    <w:rsid w:val="00EA1CEF"/>
    <w:rsid w:val="00EA30D1"/>
    <w:rsid w:val="00EA310A"/>
    <w:rsid w:val="00EA371B"/>
    <w:rsid w:val="00EA5E3F"/>
    <w:rsid w:val="00EA5EB0"/>
    <w:rsid w:val="00EA6DD4"/>
    <w:rsid w:val="00EA702B"/>
    <w:rsid w:val="00EA7766"/>
    <w:rsid w:val="00EB13D5"/>
    <w:rsid w:val="00EB2ED7"/>
    <w:rsid w:val="00EB3B04"/>
    <w:rsid w:val="00EB3C39"/>
    <w:rsid w:val="00EB57D3"/>
    <w:rsid w:val="00EB6D43"/>
    <w:rsid w:val="00EB7F72"/>
    <w:rsid w:val="00EC1EAA"/>
    <w:rsid w:val="00EC2108"/>
    <w:rsid w:val="00EC2ABB"/>
    <w:rsid w:val="00EC36EB"/>
    <w:rsid w:val="00EC441B"/>
    <w:rsid w:val="00EC49D3"/>
    <w:rsid w:val="00EC54BC"/>
    <w:rsid w:val="00EC57D3"/>
    <w:rsid w:val="00EC5C66"/>
    <w:rsid w:val="00EC6904"/>
    <w:rsid w:val="00EC6F7E"/>
    <w:rsid w:val="00ED140A"/>
    <w:rsid w:val="00ED17D4"/>
    <w:rsid w:val="00ED1C26"/>
    <w:rsid w:val="00ED315E"/>
    <w:rsid w:val="00ED369A"/>
    <w:rsid w:val="00ED3996"/>
    <w:rsid w:val="00ED4AE2"/>
    <w:rsid w:val="00ED558C"/>
    <w:rsid w:val="00ED56D8"/>
    <w:rsid w:val="00ED5C43"/>
    <w:rsid w:val="00ED6C3B"/>
    <w:rsid w:val="00ED6FFB"/>
    <w:rsid w:val="00ED7672"/>
    <w:rsid w:val="00ED7778"/>
    <w:rsid w:val="00ED7D04"/>
    <w:rsid w:val="00EE02FA"/>
    <w:rsid w:val="00EE0905"/>
    <w:rsid w:val="00EE120A"/>
    <w:rsid w:val="00EE15C0"/>
    <w:rsid w:val="00EE3E69"/>
    <w:rsid w:val="00EE3ED2"/>
    <w:rsid w:val="00EE40AA"/>
    <w:rsid w:val="00EE4574"/>
    <w:rsid w:val="00EE4E32"/>
    <w:rsid w:val="00EE5632"/>
    <w:rsid w:val="00EE5C6C"/>
    <w:rsid w:val="00EE5E09"/>
    <w:rsid w:val="00EE638C"/>
    <w:rsid w:val="00EE70A4"/>
    <w:rsid w:val="00EE75AD"/>
    <w:rsid w:val="00EF0525"/>
    <w:rsid w:val="00EF060F"/>
    <w:rsid w:val="00EF0E84"/>
    <w:rsid w:val="00EF155E"/>
    <w:rsid w:val="00EF4304"/>
    <w:rsid w:val="00EF4CE2"/>
    <w:rsid w:val="00EF5BD9"/>
    <w:rsid w:val="00EF6BDE"/>
    <w:rsid w:val="00EF6CAB"/>
    <w:rsid w:val="00EF7156"/>
    <w:rsid w:val="00F0031F"/>
    <w:rsid w:val="00F0068F"/>
    <w:rsid w:val="00F0096F"/>
    <w:rsid w:val="00F02AC1"/>
    <w:rsid w:val="00F02B9F"/>
    <w:rsid w:val="00F034FC"/>
    <w:rsid w:val="00F03C0D"/>
    <w:rsid w:val="00F03FB2"/>
    <w:rsid w:val="00F11B3D"/>
    <w:rsid w:val="00F13B52"/>
    <w:rsid w:val="00F13CD2"/>
    <w:rsid w:val="00F143C2"/>
    <w:rsid w:val="00F14784"/>
    <w:rsid w:val="00F14D6F"/>
    <w:rsid w:val="00F15EB3"/>
    <w:rsid w:val="00F1728C"/>
    <w:rsid w:val="00F176F6"/>
    <w:rsid w:val="00F17A58"/>
    <w:rsid w:val="00F20206"/>
    <w:rsid w:val="00F202AC"/>
    <w:rsid w:val="00F2049F"/>
    <w:rsid w:val="00F20999"/>
    <w:rsid w:val="00F20D1B"/>
    <w:rsid w:val="00F22514"/>
    <w:rsid w:val="00F236AD"/>
    <w:rsid w:val="00F23BE4"/>
    <w:rsid w:val="00F24626"/>
    <w:rsid w:val="00F25E69"/>
    <w:rsid w:val="00F26ABC"/>
    <w:rsid w:val="00F30BC1"/>
    <w:rsid w:val="00F30FB0"/>
    <w:rsid w:val="00F32A45"/>
    <w:rsid w:val="00F32D24"/>
    <w:rsid w:val="00F3335B"/>
    <w:rsid w:val="00F33822"/>
    <w:rsid w:val="00F33BE0"/>
    <w:rsid w:val="00F33C5D"/>
    <w:rsid w:val="00F343B8"/>
    <w:rsid w:val="00F3582E"/>
    <w:rsid w:val="00F40CA3"/>
    <w:rsid w:val="00F41540"/>
    <w:rsid w:val="00F425F5"/>
    <w:rsid w:val="00F42F99"/>
    <w:rsid w:val="00F4512C"/>
    <w:rsid w:val="00F45849"/>
    <w:rsid w:val="00F461CF"/>
    <w:rsid w:val="00F46B77"/>
    <w:rsid w:val="00F473AA"/>
    <w:rsid w:val="00F51D11"/>
    <w:rsid w:val="00F52B47"/>
    <w:rsid w:val="00F5633E"/>
    <w:rsid w:val="00F56BFB"/>
    <w:rsid w:val="00F56C3C"/>
    <w:rsid w:val="00F5725E"/>
    <w:rsid w:val="00F5793A"/>
    <w:rsid w:val="00F63B8F"/>
    <w:rsid w:val="00F649CE"/>
    <w:rsid w:val="00F64BE6"/>
    <w:rsid w:val="00F67182"/>
    <w:rsid w:val="00F700D7"/>
    <w:rsid w:val="00F73505"/>
    <w:rsid w:val="00F73DA0"/>
    <w:rsid w:val="00F75360"/>
    <w:rsid w:val="00F75663"/>
    <w:rsid w:val="00F7641A"/>
    <w:rsid w:val="00F76ABD"/>
    <w:rsid w:val="00F76AC3"/>
    <w:rsid w:val="00F80558"/>
    <w:rsid w:val="00F80E43"/>
    <w:rsid w:val="00F8100D"/>
    <w:rsid w:val="00F8155A"/>
    <w:rsid w:val="00F82850"/>
    <w:rsid w:val="00F82F87"/>
    <w:rsid w:val="00F837EC"/>
    <w:rsid w:val="00F86276"/>
    <w:rsid w:val="00F869FE"/>
    <w:rsid w:val="00F870D4"/>
    <w:rsid w:val="00F8773F"/>
    <w:rsid w:val="00F90D69"/>
    <w:rsid w:val="00F9136C"/>
    <w:rsid w:val="00F92761"/>
    <w:rsid w:val="00F927A4"/>
    <w:rsid w:val="00F937F0"/>
    <w:rsid w:val="00F95BB0"/>
    <w:rsid w:val="00F962F9"/>
    <w:rsid w:val="00F9698C"/>
    <w:rsid w:val="00F96C4B"/>
    <w:rsid w:val="00F96F71"/>
    <w:rsid w:val="00F9759E"/>
    <w:rsid w:val="00FA01DB"/>
    <w:rsid w:val="00FA08F2"/>
    <w:rsid w:val="00FA1328"/>
    <w:rsid w:val="00FA29A4"/>
    <w:rsid w:val="00FA2A33"/>
    <w:rsid w:val="00FA5007"/>
    <w:rsid w:val="00FA62DB"/>
    <w:rsid w:val="00FA6BDE"/>
    <w:rsid w:val="00FA70EF"/>
    <w:rsid w:val="00FA7C9C"/>
    <w:rsid w:val="00FA7D57"/>
    <w:rsid w:val="00FB1948"/>
    <w:rsid w:val="00FB29D7"/>
    <w:rsid w:val="00FB361A"/>
    <w:rsid w:val="00FB37C8"/>
    <w:rsid w:val="00FB5289"/>
    <w:rsid w:val="00FB5486"/>
    <w:rsid w:val="00FB561F"/>
    <w:rsid w:val="00FB5A79"/>
    <w:rsid w:val="00FB5C85"/>
    <w:rsid w:val="00FB5F64"/>
    <w:rsid w:val="00FB6E83"/>
    <w:rsid w:val="00FB7BAF"/>
    <w:rsid w:val="00FC0673"/>
    <w:rsid w:val="00FC129D"/>
    <w:rsid w:val="00FC2E97"/>
    <w:rsid w:val="00FC30BA"/>
    <w:rsid w:val="00FC323E"/>
    <w:rsid w:val="00FC4A2D"/>
    <w:rsid w:val="00FC60E3"/>
    <w:rsid w:val="00FC69D5"/>
    <w:rsid w:val="00FD12E7"/>
    <w:rsid w:val="00FD1403"/>
    <w:rsid w:val="00FD1E4F"/>
    <w:rsid w:val="00FD43C9"/>
    <w:rsid w:val="00FD59BE"/>
    <w:rsid w:val="00FD7128"/>
    <w:rsid w:val="00FD72AD"/>
    <w:rsid w:val="00FE1202"/>
    <w:rsid w:val="00FE1207"/>
    <w:rsid w:val="00FE42F5"/>
    <w:rsid w:val="00FE52AC"/>
    <w:rsid w:val="00FE64AA"/>
    <w:rsid w:val="00FE74C0"/>
    <w:rsid w:val="00FE7B0D"/>
    <w:rsid w:val="00FF07F2"/>
    <w:rsid w:val="00FF0FD7"/>
    <w:rsid w:val="00FF1E24"/>
    <w:rsid w:val="00FF277B"/>
    <w:rsid w:val="00FF3BFA"/>
    <w:rsid w:val="00FF47B0"/>
    <w:rsid w:val="00FF50D6"/>
    <w:rsid w:val="00FF53CC"/>
    <w:rsid w:val="00FF6AFD"/>
    <w:rsid w:val="00FF700E"/>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8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DAB"/>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295DAB"/>
    <w:pPr>
      <w:keepNext/>
      <w:spacing w:before="140" w:line="240" w:lineRule="atLeast"/>
      <w:jc w:val="center"/>
      <w:outlineLvl w:val="0"/>
    </w:pPr>
    <w:rPr>
      <w:b/>
      <w:smallCaps/>
    </w:rPr>
  </w:style>
  <w:style w:type="paragraph" w:styleId="Heading2">
    <w:name w:val="heading 2"/>
    <w:basedOn w:val="Normal"/>
    <w:next w:val="Normal"/>
    <w:link w:val="Heading2Char"/>
    <w:qFormat/>
    <w:rsid w:val="00295DA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295DA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95DAB"/>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295DAB"/>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852084"/>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852084"/>
    <w:pPr>
      <w:spacing w:before="240" w:after="60"/>
      <w:outlineLvl w:val="6"/>
    </w:pPr>
    <w:rPr>
      <w:sz w:val="24"/>
    </w:rPr>
  </w:style>
  <w:style w:type="paragraph" w:styleId="Heading8">
    <w:name w:val="heading 8"/>
    <w:basedOn w:val="Normal"/>
    <w:next w:val="Normal"/>
    <w:link w:val="Heading8Char"/>
    <w:uiPriority w:val="9"/>
    <w:semiHidden/>
    <w:unhideWhenUsed/>
    <w:qFormat/>
    <w:rsid w:val="00852084"/>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852084"/>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084"/>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852084"/>
    <w:rPr>
      <w:rFonts w:ascii="Century Schoolbook" w:eastAsia="Times New Roman" w:hAnsi="Century Schoolbook"/>
      <w:b/>
      <w:sz w:val="27"/>
      <w:szCs w:val="20"/>
    </w:rPr>
  </w:style>
  <w:style w:type="character" w:customStyle="1" w:styleId="Heading3Char">
    <w:name w:val="Heading 3 Char"/>
    <w:basedOn w:val="DefaultParagraphFont"/>
    <w:link w:val="Heading3"/>
    <w:rsid w:val="00852084"/>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852084"/>
    <w:rPr>
      <w:b/>
      <w:bCs/>
    </w:rPr>
  </w:style>
  <w:style w:type="character" w:customStyle="1" w:styleId="Heading7Char">
    <w:name w:val="Heading 7 Char"/>
    <w:basedOn w:val="DefaultParagraphFont"/>
    <w:link w:val="Heading7"/>
    <w:uiPriority w:val="9"/>
    <w:semiHidden/>
    <w:rsid w:val="00852084"/>
    <w:rPr>
      <w:sz w:val="24"/>
      <w:szCs w:val="24"/>
    </w:rPr>
  </w:style>
  <w:style w:type="character" w:customStyle="1" w:styleId="Heading8Char">
    <w:name w:val="Heading 8 Char"/>
    <w:basedOn w:val="DefaultParagraphFont"/>
    <w:link w:val="Heading8"/>
    <w:uiPriority w:val="9"/>
    <w:semiHidden/>
    <w:rsid w:val="00852084"/>
    <w:rPr>
      <w:i/>
      <w:iCs/>
      <w:sz w:val="24"/>
      <w:szCs w:val="24"/>
    </w:rPr>
  </w:style>
  <w:style w:type="character" w:customStyle="1" w:styleId="Heading9Char">
    <w:name w:val="Heading 9 Char"/>
    <w:basedOn w:val="DefaultParagraphFont"/>
    <w:link w:val="Heading9"/>
    <w:uiPriority w:val="9"/>
    <w:semiHidden/>
    <w:rsid w:val="00852084"/>
    <w:rPr>
      <w:rFonts w:asciiTheme="majorHAnsi" w:eastAsiaTheme="majorEastAsia" w:hAnsiTheme="majorHAnsi"/>
    </w:rPr>
  </w:style>
  <w:style w:type="paragraph" w:styleId="Title">
    <w:name w:val="Title"/>
    <w:basedOn w:val="Normal"/>
    <w:next w:val="Normal"/>
    <w:link w:val="TitleChar"/>
    <w:uiPriority w:val="10"/>
    <w:qFormat/>
    <w:rsid w:val="008520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520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52084"/>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852084"/>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852084"/>
    <w:pPr>
      <w:outlineLvl w:val="9"/>
    </w:pPr>
  </w:style>
  <w:style w:type="paragraph" w:styleId="ListParagraph">
    <w:name w:val="List Paragraph"/>
    <w:basedOn w:val="Normal"/>
    <w:uiPriority w:val="34"/>
    <w:rsid w:val="009B39CA"/>
    <w:pPr>
      <w:ind w:left="720"/>
      <w:contextualSpacing/>
    </w:pPr>
  </w:style>
  <w:style w:type="paragraph" w:styleId="FootnoteText">
    <w:name w:val="footnote text"/>
    <w:basedOn w:val="Normal"/>
    <w:link w:val="FootnoteTextChar"/>
    <w:rsid w:val="00295DAB"/>
    <w:pPr>
      <w:spacing w:line="300" w:lineRule="exact"/>
    </w:pPr>
  </w:style>
  <w:style w:type="character" w:customStyle="1" w:styleId="FootnoteTextChar">
    <w:name w:val="Footnote Text Char"/>
    <w:basedOn w:val="DefaultParagraphFont"/>
    <w:link w:val="FootnoteText"/>
    <w:rsid w:val="001C3E52"/>
    <w:rPr>
      <w:rFonts w:ascii="Century Schoolbook" w:eastAsia="Times New Roman" w:hAnsi="Century Schoolbook"/>
      <w:sz w:val="27"/>
      <w:szCs w:val="20"/>
    </w:rPr>
  </w:style>
  <w:style w:type="character" w:styleId="FootnoteReference">
    <w:name w:val="footnote reference"/>
    <w:basedOn w:val="DefaultParagraphFont"/>
    <w:rsid w:val="00295DAB"/>
    <w:rPr>
      <w:rFonts w:ascii="Century Schoolbook" w:hAnsi="Century Schoolbook"/>
      <w:b/>
      <w:i w:val="0"/>
      <w:position w:val="4"/>
      <w:sz w:val="27"/>
      <w:vertAlign w:val="superscript"/>
    </w:rPr>
  </w:style>
  <w:style w:type="character" w:styleId="CommentReference">
    <w:name w:val="annotation reference"/>
    <w:basedOn w:val="DefaultParagraphFont"/>
    <w:uiPriority w:val="99"/>
    <w:semiHidden/>
    <w:unhideWhenUsed/>
    <w:rsid w:val="00703EAA"/>
    <w:rPr>
      <w:sz w:val="16"/>
      <w:szCs w:val="16"/>
    </w:rPr>
  </w:style>
  <w:style w:type="paragraph" w:styleId="CommentText">
    <w:name w:val="annotation text"/>
    <w:basedOn w:val="Normal"/>
    <w:link w:val="CommentTextChar"/>
    <w:uiPriority w:val="99"/>
    <w:unhideWhenUsed/>
    <w:rsid w:val="00703EAA"/>
    <w:rPr>
      <w:sz w:val="20"/>
    </w:rPr>
  </w:style>
  <w:style w:type="character" w:customStyle="1" w:styleId="CommentTextChar">
    <w:name w:val="Comment Text Char"/>
    <w:basedOn w:val="DefaultParagraphFont"/>
    <w:link w:val="CommentText"/>
    <w:uiPriority w:val="99"/>
    <w:rsid w:val="00703EAA"/>
    <w:rPr>
      <w:sz w:val="20"/>
      <w:szCs w:val="20"/>
    </w:rPr>
  </w:style>
  <w:style w:type="paragraph" w:styleId="CommentSubject">
    <w:name w:val="annotation subject"/>
    <w:basedOn w:val="CommentText"/>
    <w:next w:val="CommentText"/>
    <w:link w:val="CommentSubjectChar"/>
    <w:uiPriority w:val="99"/>
    <w:semiHidden/>
    <w:unhideWhenUsed/>
    <w:rsid w:val="00703EAA"/>
    <w:rPr>
      <w:b/>
      <w:bCs/>
    </w:rPr>
  </w:style>
  <w:style w:type="character" w:customStyle="1" w:styleId="CommentSubjectChar">
    <w:name w:val="Comment Subject Char"/>
    <w:basedOn w:val="CommentTextChar"/>
    <w:link w:val="CommentSubject"/>
    <w:uiPriority w:val="99"/>
    <w:semiHidden/>
    <w:rsid w:val="00703EAA"/>
    <w:rPr>
      <w:b/>
      <w:bCs/>
      <w:sz w:val="20"/>
      <w:szCs w:val="20"/>
    </w:rPr>
  </w:style>
  <w:style w:type="paragraph" w:styleId="Header">
    <w:name w:val="header"/>
    <w:basedOn w:val="Normal"/>
    <w:link w:val="HeaderChar"/>
    <w:qFormat/>
    <w:rsid w:val="00295DAB"/>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D40639"/>
    <w:rPr>
      <w:rFonts w:ascii="Century Schoolbook" w:eastAsia="Times New Roman" w:hAnsi="Century Schoolbook"/>
      <w:sz w:val="22"/>
      <w:szCs w:val="20"/>
    </w:rPr>
  </w:style>
  <w:style w:type="paragraph" w:styleId="Footer">
    <w:name w:val="footer"/>
    <w:basedOn w:val="Normal"/>
    <w:link w:val="FooterChar"/>
    <w:qFormat/>
    <w:rsid w:val="00295DAB"/>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D40639"/>
    <w:rPr>
      <w:rFonts w:ascii="Century Schoolbook" w:eastAsia="Times New Roman" w:hAnsi="Century Schoolbook"/>
      <w:sz w:val="22"/>
      <w:szCs w:val="20"/>
    </w:rPr>
  </w:style>
  <w:style w:type="character" w:styleId="Emphasis">
    <w:name w:val="Emphasis"/>
    <w:basedOn w:val="DefaultParagraphFont"/>
    <w:uiPriority w:val="20"/>
    <w:qFormat/>
    <w:rsid w:val="00A7499D"/>
    <w:rPr>
      <w:i/>
      <w:iCs/>
    </w:rPr>
  </w:style>
  <w:style w:type="character" w:customStyle="1" w:styleId="cohl">
    <w:name w:val="co_hl"/>
    <w:basedOn w:val="DefaultParagraphFont"/>
    <w:rsid w:val="00C05564"/>
  </w:style>
  <w:style w:type="paragraph" w:styleId="Revision">
    <w:name w:val="Revision"/>
    <w:hidden/>
    <w:uiPriority w:val="99"/>
    <w:semiHidden/>
    <w:rsid w:val="00D67E57"/>
    <w:rPr>
      <w:szCs w:val="24"/>
    </w:rPr>
  </w:style>
  <w:style w:type="character" w:customStyle="1" w:styleId="Heading4Char">
    <w:name w:val="Heading 4 Char"/>
    <w:basedOn w:val="DefaultParagraphFont"/>
    <w:link w:val="Heading4"/>
    <w:rsid w:val="00295DAB"/>
    <w:rPr>
      <w:rFonts w:ascii="Century Schoolbook" w:eastAsia="Times New Roman" w:hAnsi="Century Schoolbook"/>
      <w:i/>
      <w:sz w:val="27"/>
      <w:szCs w:val="20"/>
    </w:rPr>
  </w:style>
  <w:style w:type="character" w:customStyle="1" w:styleId="Heading5Char">
    <w:name w:val="Heading 5 Char"/>
    <w:basedOn w:val="DefaultParagraphFont"/>
    <w:link w:val="Heading5"/>
    <w:rsid w:val="00295DAB"/>
    <w:rPr>
      <w:rFonts w:ascii="Century Schoolbook" w:eastAsia="Times New Roman" w:hAnsi="Century Schoolbook"/>
      <w:i/>
      <w:sz w:val="27"/>
      <w:szCs w:val="20"/>
    </w:rPr>
  </w:style>
  <w:style w:type="paragraph" w:styleId="Date">
    <w:name w:val="Date"/>
    <w:basedOn w:val="Normal"/>
    <w:link w:val="DateChar"/>
    <w:semiHidden/>
    <w:rsid w:val="00295DAB"/>
    <w:pPr>
      <w:jc w:val="right"/>
    </w:pPr>
  </w:style>
  <w:style w:type="character" w:customStyle="1" w:styleId="DateChar">
    <w:name w:val="Date Char"/>
    <w:basedOn w:val="DefaultParagraphFont"/>
    <w:link w:val="Date"/>
    <w:semiHidden/>
    <w:rsid w:val="00295DAB"/>
    <w:rPr>
      <w:rFonts w:ascii="Century Schoolbook" w:eastAsia="Times New Roman" w:hAnsi="Century Schoolbook"/>
      <w:sz w:val="27"/>
      <w:szCs w:val="20"/>
    </w:rPr>
  </w:style>
  <w:style w:type="paragraph" w:styleId="NormalIndent">
    <w:name w:val="Normal Indent"/>
    <w:basedOn w:val="Normal"/>
    <w:semiHidden/>
    <w:rsid w:val="00295DAB"/>
    <w:pPr>
      <w:ind w:left="720"/>
    </w:pPr>
  </w:style>
  <w:style w:type="character" w:styleId="PageNumber">
    <w:name w:val="page number"/>
    <w:basedOn w:val="DefaultParagraphFont"/>
    <w:semiHidden/>
    <w:rsid w:val="00295DAB"/>
  </w:style>
  <w:style w:type="paragraph" w:customStyle="1" w:styleId="Recommend">
    <w:name w:val="Recommend"/>
    <w:basedOn w:val="Normal"/>
    <w:rsid w:val="00295DAB"/>
  </w:style>
  <w:style w:type="paragraph" w:customStyle="1" w:styleId="subject">
    <w:name w:val="subject"/>
    <w:basedOn w:val="Normal"/>
    <w:rsid w:val="00295DAB"/>
    <w:pPr>
      <w:tabs>
        <w:tab w:val="left" w:pos="1008"/>
      </w:tabs>
      <w:ind w:left="990" w:hanging="990"/>
    </w:pPr>
    <w:rPr>
      <w:b/>
    </w:rPr>
  </w:style>
  <w:style w:type="paragraph" w:customStyle="1" w:styleId="Summary">
    <w:name w:val="Summary"/>
    <w:basedOn w:val="Normal"/>
    <w:rsid w:val="00295DAB"/>
    <w:pPr>
      <w:ind w:left="2160" w:hanging="2160"/>
    </w:pPr>
  </w:style>
  <w:style w:type="paragraph" w:customStyle="1" w:styleId="Text">
    <w:name w:val="Text"/>
    <w:basedOn w:val="Normal"/>
    <w:rsid w:val="00295DAB"/>
    <w:pPr>
      <w:tabs>
        <w:tab w:val="left" w:pos="720"/>
        <w:tab w:val="left" w:pos="1440"/>
        <w:tab w:val="left" w:pos="2160"/>
        <w:tab w:val="center" w:pos="4320"/>
      </w:tabs>
      <w:spacing w:line="480" w:lineRule="atLeast"/>
      <w:ind w:firstLine="540"/>
    </w:pPr>
  </w:style>
  <w:style w:type="paragraph" w:customStyle="1" w:styleId="Title1">
    <w:name w:val="Title1"/>
    <w:basedOn w:val="Normal"/>
    <w:rsid w:val="00295DAB"/>
    <w:pPr>
      <w:tabs>
        <w:tab w:val="left" w:pos="5760"/>
        <w:tab w:val="left" w:pos="6480"/>
      </w:tabs>
      <w:spacing w:line="240" w:lineRule="atLeast"/>
    </w:pPr>
  </w:style>
  <w:style w:type="paragraph" w:customStyle="1" w:styleId="Titles">
    <w:name w:val="Titles"/>
    <w:basedOn w:val="Normal"/>
    <w:rsid w:val="00295DAB"/>
    <w:pPr>
      <w:tabs>
        <w:tab w:val="left" w:pos="2160"/>
      </w:tabs>
      <w:ind w:left="2160" w:hanging="2160"/>
    </w:pPr>
    <w:rPr>
      <w:b/>
    </w:rPr>
  </w:style>
  <w:style w:type="paragraph" w:styleId="TOAHeading">
    <w:name w:val="toa heading"/>
    <w:basedOn w:val="Normal"/>
    <w:next w:val="Normal"/>
    <w:semiHidden/>
    <w:rsid w:val="00295DAB"/>
    <w:pPr>
      <w:spacing w:before="120"/>
    </w:pPr>
    <w:rPr>
      <w:b/>
    </w:rPr>
  </w:style>
  <w:style w:type="paragraph" w:styleId="TOC1">
    <w:name w:val="toc 1"/>
    <w:basedOn w:val="Normal"/>
    <w:next w:val="Normal"/>
    <w:autoRedefine/>
    <w:semiHidden/>
    <w:rsid w:val="00295DAB"/>
  </w:style>
  <w:style w:type="paragraph" w:styleId="TOC2">
    <w:name w:val="toc 2"/>
    <w:basedOn w:val="Normal"/>
    <w:next w:val="Normal"/>
    <w:autoRedefine/>
    <w:semiHidden/>
    <w:rsid w:val="00295DAB"/>
    <w:pPr>
      <w:ind w:left="259"/>
    </w:pPr>
  </w:style>
  <w:style w:type="paragraph" w:styleId="TOC3">
    <w:name w:val="toc 3"/>
    <w:basedOn w:val="Normal"/>
    <w:next w:val="Normal"/>
    <w:autoRedefine/>
    <w:semiHidden/>
    <w:rsid w:val="00295DAB"/>
    <w:pPr>
      <w:ind w:left="520"/>
    </w:pPr>
  </w:style>
  <w:style w:type="paragraph" w:styleId="TOC4">
    <w:name w:val="toc 4"/>
    <w:basedOn w:val="Normal"/>
    <w:next w:val="Normal"/>
    <w:autoRedefine/>
    <w:semiHidden/>
    <w:rsid w:val="00295DAB"/>
    <w:pPr>
      <w:ind w:left="780"/>
    </w:pPr>
  </w:style>
  <w:style w:type="paragraph" w:styleId="TOC5">
    <w:name w:val="toc 5"/>
    <w:basedOn w:val="Normal"/>
    <w:next w:val="Normal"/>
    <w:autoRedefine/>
    <w:semiHidden/>
    <w:rsid w:val="00295DAB"/>
    <w:pPr>
      <w:ind w:left="1040"/>
    </w:pPr>
  </w:style>
  <w:style w:type="paragraph" w:styleId="TOC6">
    <w:name w:val="toc 6"/>
    <w:basedOn w:val="Normal"/>
    <w:next w:val="Normal"/>
    <w:autoRedefine/>
    <w:semiHidden/>
    <w:rsid w:val="00295DAB"/>
    <w:pPr>
      <w:ind w:left="1300"/>
    </w:pPr>
  </w:style>
  <w:style w:type="paragraph" w:styleId="TOC7">
    <w:name w:val="toc 7"/>
    <w:basedOn w:val="Normal"/>
    <w:next w:val="Normal"/>
    <w:autoRedefine/>
    <w:semiHidden/>
    <w:rsid w:val="00295DAB"/>
    <w:pPr>
      <w:ind w:left="1560"/>
    </w:pPr>
  </w:style>
  <w:style w:type="paragraph" w:styleId="TOC8">
    <w:name w:val="toc 8"/>
    <w:basedOn w:val="Normal"/>
    <w:next w:val="Normal"/>
    <w:autoRedefine/>
    <w:semiHidden/>
    <w:rsid w:val="00295DAB"/>
    <w:pPr>
      <w:ind w:left="1820"/>
    </w:pPr>
  </w:style>
  <w:style w:type="paragraph" w:styleId="TOC9">
    <w:name w:val="toc 9"/>
    <w:basedOn w:val="Normal"/>
    <w:next w:val="Normal"/>
    <w:autoRedefine/>
    <w:semiHidden/>
    <w:rsid w:val="00295DAB"/>
    <w:pPr>
      <w:ind w:left="2080"/>
    </w:pPr>
  </w:style>
  <w:style w:type="paragraph" w:customStyle="1" w:styleId="Contents">
    <w:name w:val="Contents"/>
    <w:basedOn w:val="Normal"/>
    <w:rsid w:val="00295DAB"/>
    <w:pPr>
      <w:jc w:val="center"/>
    </w:pPr>
    <w:rPr>
      <w:b/>
      <w:spacing w:val="100"/>
    </w:rPr>
  </w:style>
  <w:style w:type="paragraph" w:styleId="BodyText">
    <w:name w:val="Body Text"/>
    <w:basedOn w:val="Normal"/>
    <w:link w:val="BodyTextChar"/>
    <w:qFormat/>
    <w:rsid w:val="00295DAB"/>
  </w:style>
  <w:style w:type="character" w:customStyle="1" w:styleId="BodyTextChar">
    <w:name w:val="Body Text Char"/>
    <w:basedOn w:val="DefaultParagraphFont"/>
    <w:link w:val="BodyText"/>
    <w:rsid w:val="00295DAB"/>
    <w:rPr>
      <w:rFonts w:ascii="Century Schoolbook" w:eastAsia="Times New Roman" w:hAnsi="Century Schoolbook"/>
      <w:sz w:val="27"/>
      <w:szCs w:val="20"/>
    </w:rPr>
  </w:style>
  <w:style w:type="character" w:styleId="Hyperlink">
    <w:name w:val="Hyperlink"/>
    <w:basedOn w:val="DefaultParagraphFont"/>
    <w:uiPriority w:val="99"/>
    <w:unhideWhenUsed/>
    <w:rsid w:val="001F374D"/>
    <w:rPr>
      <w:color w:val="0000FF" w:themeColor="hyperlink"/>
      <w:u w:val="single"/>
    </w:rPr>
  </w:style>
  <w:style w:type="character" w:customStyle="1" w:styleId="UnresolvedMention1">
    <w:name w:val="Unresolved Mention1"/>
    <w:basedOn w:val="DefaultParagraphFont"/>
    <w:uiPriority w:val="99"/>
    <w:semiHidden/>
    <w:unhideWhenUsed/>
    <w:rsid w:val="001F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B562C251BDB4D8A63B45567495279" ma:contentTypeVersion="8" ma:contentTypeDescription="Create a new document." ma:contentTypeScope="" ma:versionID="ba5ee3845723e64434dc88da2e42f334">
  <xsd:schema xmlns:xsd="http://www.w3.org/2001/XMLSchema" xmlns:xs="http://www.w3.org/2001/XMLSchema" xmlns:p="http://schemas.microsoft.com/office/2006/metadata/properties" xmlns:ns2="075ba5a0-8508-4ccd-a194-fe8efea1a1a9" xmlns:ns3="e0e0ec98-a0a1-4a92-af2b-299f9e5f44e7" targetNamespace="http://schemas.microsoft.com/office/2006/metadata/properties" ma:root="true" ma:fieldsID="64419ef6af92aa23dd66392a140df5e5" ns2:_="" ns3:_="">
    <xsd:import namespace="075ba5a0-8508-4ccd-a194-fe8efea1a1a9"/>
    <xsd:import namespace="e0e0ec98-a0a1-4a92-af2b-299f9e5f44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ba5a0-8508-4ccd-a194-fe8efea1a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0ec98-a0a1-4a92-af2b-299f9e5f44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62D42-5F0C-44F7-BC6C-6B941D112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ba5a0-8508-4ccd-a194-fe8efea1a1a9"/>
    <ds:schemaRef ds:uri="e0e0ec98-a0a1-4a92-af2b-299f9e5f4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9C589-0734-4635-8A8C-9826B5DF5F04}">
  <ds:schemaRefs>
    <ds:schemaRef ds:uri="http://schemas.microsoft.com/sharepoint/v3/contenttype/forms"/>
  </ds:schemaRefs>
</ds:datastoreItem>
</file>

<file path=customXml/itemProps3.xml><?xml version="1.0" encoding="utf-8"?>
<ds:datastoreItem xmlns:ds="http://schemas.openxmlformats.org/officeDocument/2006/customXml" ds:itemID="{161D8D26-8FED-49D2-B396-BBC614219153}">
  <ds:schemaRefs>
    <ds:schemaRef ds:uri="http://schemas.openxmlformats.org/officeDocument/2006/bibliography"/>
  </ds:schemaRefs>
</ds:datastoreItem>
</file>

<file path=customXml/itemProps4.xml><?xml version="1.0" encoding="utf-8"?>
<ds:datastoreItem xmlns:ds="http://schemas.openxmlformats.org/officeDocument/2006/customXml" ds:itemID="{849A97F3-791B-4A01-9178-A1661EE79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8124</Words>
  <Characters>46312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2024-01-31T17:32:00Z</dcterms:created>
  <dcterms:modified xsi:type="dcterms:W3CDTF">2024-01-31T17:47:00Z</dcterms:modified>
</cp:coreProperties>
</file>