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E8B0" w14:textId="1CED3D75" w:rsidR="001119B2" w:rsidRDefault="00F255BF" w:rsidP="009F64D9">
      <w:pPr>
        <w:spacing w:line="240" w:lineRule="auto"/>
        <w:jc w:val="center"/>
        <w:rPr>
          <w:sz w:val="20"/>
        </w:rPr>
      </w:pPr>
      <w:r>
        <w:rPr>
          <w:sz w:val="20"/>
        </w:rPr>
        <w:t xml:space="preserve">Filed </w:t>
      </w:r>
      <w:r w:rsidR="000503A6">
        <w:rPr>
          <w:sz w:val="20"/>
        </w:rPr>
        <w:t>11/29/21</w:t>
      </w:r>
      <w:bookmarkStart w:id="0" w:name="_Hlk92454540"/>
      <w:r w:rsidR="009F64D9" w:rsidRPr="00402F61">
        <w:rPr>
          <w:sz w:val="20"/>
        </w:rPr>
        <w:t>; REVIEW GRANTED.  See Cal. Rules of Court, rules 8.1105 and 8.1115 (and corresponding Comment, par. 2, concerning rule 8.1115(e)(3)).</w:t>
      </w:r>
      <w:bookmarkEnd w:id="0"/>
    </w:p>
    <w:p w14:paraId="56BEE1E2" w14:textId="77777777" w:rsidR="001119B2" w:rsidRDefault="00F255BF" w:rsidP="001119B2">
      <w:pPr>
        <w:spacing w:line="240" w:lineRule="auto"/>
        <w:jc w:val="center"/>
        <w:rPr>
          <w:b/>
        </w:rPr>
      </w:pPr>
      <w:r>
        <w:rPr>
          <w:b/>
        </w:rPr>
        <w:t>CERTIFIED FOR PUBLICATION</w:t>
      </w:r>
    </w:p>
    <w:p w14:paraId="5348FC76" w14:textId="77777777" w:rsidR="001119B2" w:rsidRDefault="001119B2" w:rsidP="001119B2">
      <w:pPr>
        <w:spacing w:line="240" w:lineRule="auto"/>
        <w:jc w:val="center"/>
      </w:pPr>
    </w:p>
    <w:p w14:paraId="0FCCB5BB" w14:textId="73EC8220" w:rsidR="00A8644C" w:rsidRDefault="00F255BF" w:rsidP="001119B2">
      <w:pPr>
        <w:spacing w:line="240" w:lineRule="auto"/>
        <w:jc w:val="center"/>
      </w:pPr>
      <w:r>
        <w:t>IN THE COURT OF APPEAL OF THE STATE OF CALIFORNIA</w:t>
      </w:r>
    </w:p>
    <w:p w14:paraId="55EF8864" w14:textId="6150534C" w:rsidR="00B17AFC" w:rsidRDefault="00B17AFC" w:rsidP="00B17AFC">
      <w:pPr>
        <w:spacing w:line="240" w:lineRule="auto"/>
        <w:jc w:val="center"/>
      </w:pPr>
    </w:p>
    <w:p w14:paraId="619864D2" w14:textId="50D1639F" w:rsidR="00B17AFC" w:rsidRDefault="00F255BF" w:rsidP="00B17AFC">
      <w:pPr>
        <w:spacing w:line="240" w:lineRule="auto"/>
        <w:jc w:val="center"/>
      </w:pPr>
      <w:r>
        <w:t>FIRST APPELLATE DISTRICT</w:t>
      </w:r>
    </w:p>
    <w:p w14:paraId="0BE79ADD" w14:textId="4F2CCA6E" w:rsidR="00B17AFC" w:rsidRDefault="00B17AFC" w:rsidP="00B17AFC">
      <w:pPr>
        <w:spacing w:line="240" w:lineRule="auto"/>
        <w:jc w:val="center"/>
      </w:pPr>
    </w:p>
    <w:p w14:paraId="045EB601" w14:textId="6EBBEF78" w:rsidR="00B17AFC" w:rsidRDefault="00F255BF" w:rsidP="00B17AFC">
      <w:pPr>
        <w:spacing w:line="240" w:lineRule="auto"/>
        <w:jc w:val="center"/>
      </w:pPr>
      <w:r>
        <w:t xml:space="preserve">DIVISION </w:t>
      </w:r>
      <w:r w:rsidR="008D4FF9">
        <w:t>TWO</w:t>
      </w:r>
    </w:p>
    <w:p w14:paraId="366E75BD" w14:textId="46A7A735" w:rsidR="00B17AFC" w:rsidRDefault="00B17AFC" w:rsidP="00B17AFC">
      <w:pPr>
        <w:spacing w:line="240" w:lineRule="auto"/>
        <w:jc w:val="center"/>
      </w:pPr>
    </w:p>
    <w:p w14:paraId="28C66409" w14:textId="5DF8878E" w:rsidR="00B17AFC" w:rsidRDefault="00B17AFC" w:rsidP="00B17AFC">
      <w:pPr>
        <w:spacing w:line="240" w:lineRule="auto"/>
        <w:jc w:val="center"/>
      </w:pPr>
    </w:p>
    <w:tbl>
      <w:tblPr>
        <w:tblW w:w="0" w:type="auto"/>
        <w:tblLayout w:type="fixed"/>
        <w:tblLook w:val="0000" w:firstRow="0" w:lastRow="0" w:firstColumn="0" w:lastColumn="0" w:noHBand="0" w:noVBand="0"/>
      </w:tblPr>
      <w:tblGrid>
        <w:gridCol w:w="4680"/>
        <w:gridCol w:w="4680"/>
      </w:tblGrid>
      <w:tr w:rsidR="00925F48" w14:paraId="2AE77AE9" w14:textId="77777777" w:rsidTr="00B17AFC">
        <w:tc>
          <w:tcPr>
            <w:tcW w:w="4680" w:type="dxa"/>
            <w:tcBorders>
              <w:bottom w:val="single" w:sz="4" w:space="0" w:color="auto"/>
              <w:right w:val="single" w:sz="4" w:space="0" w:color="auto"/>
            </w:tcBorders>
            <w:shd w:val="clear" w:color="auto" w:fill="auto"/>
          </w:tcPr>
          <w:p w14:paraId="7E3B2EE8" w14:textId="0E6B088C" w:rsidR="001108ED" w:rsidRDefault="00F255BF" w:rsidP="001108ED">
            <w:pPr>
              <w:spacing w:after="120" w:line="240" w:lineRule="auto"/>
            </w:pPr>
            <w:r>
              <w:t>THE PEOPLE,</w:t>
            </w:r>
          </w:p>
          <w:p w14:paraId="7F37ABD6" w14:textId="2B80FF57" w:rsidR="00B17AFC" w:rsidRDefault="00F255BF" w:rsidP="001108ED">
            <w:pPr>
              <w:spacing w:after="120" w:line="240" w:lineRule="auto"/>
            </w:pPr>
            <w:r>
              <w:tab/>
              <w:t>P</w:t>
            </w:r>
            <w:r w:rsidR="00320726">
              <w:t>laintiff</w:t>
            </w:r>
            <w:r>
              <w:t xml:space="preserve"> and </w:t>
            </w:r>
            <w:r w:rsidR="00320726">
              <w:t>Responde</w:t>
            </w:r>
            <w:r>
              <w:t xml:space="preserve">nt </w:t>
            </w:r>
          </w:p>
          <w:p w14:paraId="4F698E10" w14:textId="77777777" w:rsidR="00B17AFC" w:rsidRDefault="00F255BF" w:rsidP="00B17AFC">
            <w:pPr>
              <w:spacing w:after="120" w:line="240" w:lineRule="auto"/>
            </w:pPr>
            <w:r>
              <w:t>v.</w:t>
            </w:r>
          </w:p>
          <w:p w14:paraId="21064691" w14:textId="3A4CA084" w:rsidR="001108ED" w:rsidRDefault="00F255BF" w:rsidP="001108ED">
            <w:pPr>
              <w:spacing w:after="120" w:line="240" w:lineRule="auto"/>
            </w:pPr>
            <w:r>
              <w:t>KIARRA PRICE,</w:t>
            </w:r>
          </w:p>
          <w:p w14:paraId="0FDBECC6" w14:textId="5472E4B0" w:rsidR="00B17AFC" w:rsidRDefault="00F255BF" w:rsidP="00B17AFC">
            <w:pPr>
              <w:spacing w:after="120" w:line="240" w:lineRule="auto"/>
            </w:pPr>
            <w:r>
              <w:tab/>
            </w:r>
            <w:r w:rsidR="00320726">
              <w:t>Defendant and Appellant</w:t>
            </w:r>
            <w:r>
              <w:t>.</w:t>
            </w:r>
          </w:p>
        </w:tc>
        <w:tc>
          <w:tcPr>
            <w:tcW w:w="4680" w:type="dxa"/>
            <w:tcBorders>
              <w:left w:val="single" w:sz="4" w:space="0" w:color="auto"/>
            </w:tcBorders>
            <w:shd w:val="clear" w:color="auto" w:fill="auto"/>
          </w:tcPr>
          <w:p w14:paraId="715B0DDB" w14:textId="77777777" w:rsidR="00B17AFC" w:rsidRDefault="00B17AFC" w:rsidP="00B17AFC">
            <w:pPr>
              <w:spacing w:line="240" w:lineRule="auto"/>
            </w:pPr>
          </w:p>
          <w:p w14:paraId="33F98BDE" w14:textId="77777777" w:rsidR="00B17AFC" w:rsidRDefault="00B17AFC" w:rsidP="00B17AFC">
            <w:pPr>
              <w:spacing w:line="240" w:lineRule="auto"/>
            </w:pPr>
          </w:p>
          <w:p w14:paraId="67FD41BD" w14:textId="77777777" w:rsidR="00B17AFC" w:rsidRDefault="00F255BF" w:rsidP="00B17AFC">
            <w:pPr>
              <w:spacing w:line="240" w:lineRule="auto"/>
            </w:pPr>
            <w:r>
              <w:t xml:space="preserve">      A159439</w:t>
            </w:r>
          </w:p>
          <w:p w14:paraId="38ECC610" w14:textId="77777777" w:rsidR="00B17AFC" w:rsidRDefault="00B17AFC" w:rsidP="00B17AFC">
            <w:pPr>
              <w:spacing w:line="240" w:lineRule="auto"/>
            </w:pPr>
          </w:p>
          <w:p w14:paraId="1C31B034" w14:textId="77777777" w:rsidR="00B17AFC" w:rsidRDefault="00F255BF" w:rsidP="00B17AFC">
            <w:pPr>
              <w:spacing w:line="240" w:lineRule="auto"/>
            </w:pPr>
            <w:r>
              <w:t xml:space="preserve">      (Contra Costa County</w:t>
            </w:r>
          </w:p>
          <w:p w14:paraId="6470FD99" w14:textId="77777777" w:rsidR="00B17AFC" w:rsidRDefault="00F255BF" w:rsidP="00B17AFC">
            <w:pPr>
              <w:spacing w:line="240" w:lineRule="auto"/>
            </w:pPr>
            <w:r>
              <w:t xml:space="preserve">      Super. Ct. No. 51103373)</w:t>
            </w:r>
          </w:p>
          <w:p w14:paraId="03172B5F" w14:textId="1DB283A4" w:rsidR="00B17AFC" w:rsidRDefault="00B17AFC" w:rsidP="00B17AFC">
            <w:pPr>
              <w:spacing w:line="240" w:lineRule="auto"/>
            </w:pPr>
          </w:p>
        </w:tc>
      </w:tr>
    </w:tbl>
    <w:p w14:paraId="22754E12" w14:textId="5DBDBA4F" w:rsidR="00B17AFC" w:rsidRDefault="00B17AFC" w:rsidP="00B17AFC">
      <w:pPr>
        <w:spacing w:line="360" w:lineRule="auto"/>
      </w:pPr>
    </w:p>
    <w:p w14:paraId="1E37D28B" w14:textId="4B42C397" w:rsidR="00794BED" w:rsidRDefault="00F255BF" w:rsidP="00943856">
      <w:pPr>
        <w:spacing w:line="360" w:lineRule="auto"/>
        <w:ind w:firstLine="720"/>
      </w:pPr>
      <w:r>
        <w:t>Appellant</w:t>
      </w:r>
      <w:r w:rsidR="001108ED">
        <w:t xml:space="preserve"> </w:t>
      </w:r>
      <w:r>
        <w:t>Kiarra Price appeals from the trial court’s denial of her petition to vacate her 2013 murder conviction and for resentencing under Penal Code section 1170.95.</w:t>
      </w:r>
      <w:r>
        <w:rPr>
          <w:rStyle w:val="FootnoteReference"/>
          <w:b/>
          <w:bCs/>
        </w:rPr>
        <w:footnoteReference w:id="1"/>
      </w:r>
    </w:p>
    <w:p w14:paraId="587FEF45" w14:textId="0200625B" w:rsidR="00252736" w:rsidRDefault="00F255BF" w:rsidP="00943856">
      <w:pPr>
        <w:spacing w:line="360" w:lineRule="auto"/>
        <w:ind w:firstLine="720"/>
      </w:pPr>
      <w:r>
        <w:t>In 2013, a</w:t>
      </w:r>
      <w:r w:rsidR="00C62D40" w:rsidRPr="00943856">
        <w:t xml:space="preserve"> jury found </w:t>
      </w:r>
      <w:r w:rsidR="00B17AFC" w:rsidRPr="00943856">
        <w:t>Price</w:t>
      </w:r>
      <w:r w:rsidR="00C62D40" w:rsidRPr="00943856">
        <w:t xml:space="preserve"> guilty</w:t>
      </w:r>
      <w:r w:rsidR="00B17AFC" w:rsidRPr="00943856">
        <w:t xml:space="preserve"> of first degree murder and found true the </w:t>
      </w:r>
      <w:r w:rsidR="00A0642E">
        <w:t xml:space="preserve">felony-murder </w:t>
      </w:r>
      <w:r w:rsidR="00B17AFC" w:rsidRPr="00943856">
        <w:t>special</w:t>
      </w:r>
      <w:r w:rsidR="00591AD2">
        <w:t>-</w:t>
      </w:r>
      <w:r w:rsidR="00B17AFC" w:rsidRPr="00943856">
        <w:t xml:space="preserve">circumstance </w:t>
      </w:r>
      <w:r>
        <w:t xml:space="preserve">allegation </w:t>
      </w:r>
      <w:r w:rsidR="00B17AFC" w:rsidRPr="00943856">
        <w:t xml:space="preserve">that the murder was committed while </w:t>
      </w:r>
      <w:r w:rsidR="00CC4A35">
        <w:t>Price</w:t>
      </w:r>
      <w:r w:rsidR="00B17AFC" w:rsidRPr="00943856">
        <w:t xml:space="preserve"> was participating in a robbery and either (1) </w:t>
      </w:r>
      <w:r w:rsidR="00101FFF">
        <w:t xml:space="preserve">was the killer, (2) </w:t>
      </w:r>
      <w:r w:rsidR="00587B30">
        <w:t>aided and abetted the murder with</w:t>
      </w:r>
      <w:r w:rsidR="00587B30" w:rsidRPr="00943856">
        <w:t xml:space="preserve"> </w:t>
      </w:r>
      <w:r w:rsidR="00B17AFC" w:rsidRPr="00943856">
        <w:t>the intent to kill</w:t>
      </w:r>
      <w:r w:rsidR="00A0642E">
        <w:t>,</w:t>
      </w:r>
      <w:r w:rsidR="00B17AFC" w:rsidRPr="00943856">
        <w:t xml:space="preserve"> or (</w:t>
      </w:r>
      <w:r w:rsidR="00101FFF">
        <w:t>3</w:t>
      </w:r>
      <w:r w:rsidR="00B17AFC" w:rsidRPr="00943856">
        <w:t>) acted with reckless indifference to human life and was a major participant in the robbery.</w:t>
      </w:r>
      <w:r w:rsidR="00C62D40" w:rsidRPr="00943856">
        <w:t xml:space="preserve"> </w:t>
      </w:r>
      <w:r w:rsidR="006E7F12">
        <w:t xml:space="preserve"> </w:t>
      </w:r>
      <w:r w:rsidR="00795D91">
        <w:t>(See §</w:t>
      </w:r>
      <w:r>
        <w:t xml:space="preserve"> </w:t>
      </w:r>
      <w:r w:rsidR="00795D91">
        <w:t xml:space="preserve">190.2.) </w:t>
      </w:r>
      <w:r w:rsidR="00C62D40" w:rsidRPr="00943856">
        <w:t xml:space="preserve"> </w:t>
      </w:r>
      <w:r w:rsidR="007855B6" w:rsidRPr="00943856">
        <w:t>The trial</w:t>
      </w:r>
      <w:r w:rsidR="007855B6">
        <w:t xml:space="preserve"> and verdict</w:t>
      </w:r>
      <w:r w:rsidR="007855B6" w:rsidRPr="00943856">
        <w:t xml:space="preserve"> pre-dated our Supreme Court’s decisions in </w:t>
      </w:r>
      <w:r w:rsidR="007855B6" w:rsidRPr="00943856">
        <w:rPr>
          <w:i/>
          <w:iCs/>
        </w:rPr>
        <w:t>People v. Banks</w:t>
      </w:r>
      <w:r w:rsidR="007855B6" w:rsidRPr="00943856">
        <w:t xml:space="preserve"> (2015) 61 Cal.4th 788 (</w:t>
      </w:r>
      <w:r w:rsidR="007855B6" w:rsidRPr="00943856">
        <w:rPr>
          <w:i/>
          <w:iCs/>
        </w:rPr>
        <w:t>Banks</w:t>
      </w:r>
      <w:r w:rsidR="007855B6" w:rsidRPr="00943856">
        <w:t xml:space="preserve">) and </w:t>
      </w:r>
      <w:r w:rsidR="007855B6" w:rsidRPr="00943856">
        <w:rPr>
          <w:i/>
          <w:iCs/>
        </w:rPr>
        <w:t>People v. Clark</w:t>
      </w:r>
      <w:r w:rsidR="007855B6" w:rsidRPr="00943856">
        <w:t xml:space="preserve"> (2016) 63 Cal.4th 522 (</w:t>
      </w:r>
      <w:r w:rsidR="007855B6" w:rsidRPr="00943856">
        <w:rPr>
          <w:i/>
          <w:iCs/>
        </w:rPr>
        <w:t>Clark</w:t>
      </w:r>
      <w:r w:rsidR="007855B6" w:rsidRPr="00943856">
        <w:t>)</w:t>
      </w:r>
      <w:r w:rsidR="00CC4A35">
        <w:t>, which</w:t>
      </w:r>
      <w:r w:rsidR="007855B6" w:rsidRPr="00943856">
        <w:t xml:space="preserve"> </w:t>
      </w:r>
      <w:r w:rsidR="00CC4A35">
        <w:t>clarified the meaning of</w:t>
      </w:r>
      <w:r w:rsidR="007855B6" w:rsidRPr="00943856">
        <w:t xml:space="preserve"> </w:t>
      </w:r>
      <w:r w:rsidR="00CC4A35">
        <w:t>“</w:t>
      </w:r>
      <w:r w:rsidR="007855B6">
        <w:t>major participant</w:t>
      </w:r>
      <w:r w:rsidR="00CC4A35">
        <w:t>”</w:t>
      </w:r>
      <w:r w:rsidR="007855B6">
        <w:t xml:space="preserve"> </w:t>
      </w:r>
      <w:r w:rsidR="00CC4A35">
        <w:t>and</w:t>
      </w:r>
      <w:r w:rsidR="007855B6">
        <w:t xml:space="preserve"> </w:t>
      </w:r>
      <w:r w:rsidR="00CC4A35">
        <w:t>“</w:t>
      </w:r>
      <w:r w:rsidR="007855B6">
        <w:t xml:space="preserve">reckless </w:t>
      </w:r>
      <w:r w:rsidR="00DC72F5">
        <w:t>indifference</w:t>
      </w:r>
      <w:r w:rsidR="007855B6">
        <w:t xml:space="preserve"> to human life</w:t>
      </w:r>
      <w:r w:rsidR="00CC4A35">
        <w:t>” as used in the third alternative</w:t>
      </w:r>
      <w:r w:rsidR="007855B6" w:rsidRPr="00943856">
        <w:t xml:space="preserve">.  </w:t>
      </w:r>
    </w:p>
    <w:p w14:paraId="61CDBBFE" w14:textId="254179A0" w:rsidR="00943856" w:rsidRDefault="00F255BF" w:rsidP="007855B6">
      <w:pPr>
        <w:spacing w:line="360" w:lineRule="auto"/>
        <w:ind w:firstLine="720"/>
      </w:pPr>
      <w:r w:rsidRPr="00943856">
        <w:lastRenderedPageBreak/>
        <w:t>On appeal, we affirmed the conviction</w:t>
      </w:r>
      <w:r w:rsidR="00101FFF">
        <w:t xml:space="preserve">, </w:t>
      </w:r>
      <w:r w:rsidRPr="00943856">
        <w:t>h</w:t>
      </w:r>
      <w:r w:rsidR="00101FFF">
        <w:t>o</w:t>
      </w:r>
      <w:r w:rsidRPr="00943856">
        <w:t>ld</w:t>
      </w:r>
      <w:r w:rsidR="00101FFF">
        <w:t>ing</w:t>
      </w:r>
      <w:r w:rsidRPr="00943856">
        <w:t xml:space="preserve"> the jury’s special circumstance finding was supported by substantial evidence</w:t>
      </w:r>
      <w:r w:rsidR="00794BED">
        <w:t xml:space="preserve"> regarding the first alternative, that Price was the actual killer, and the second, that she intended for Merrill to be killed</w:t>
      </w:r>
      <w:r w:rsidRPr="00943856">
        <w:t>.</w:t>
      </w:r>
      <w:r w:rsidR="00166887">
        <w:t xml:space="preserve"> </w:t>
      </w:r>
      <w:r w:rsidR="006E7F12">
        <w:t xml:space="preserve"> </w:t>
      </w:r>
      <w:r w:rsidR="00166887">
        <w:t>(</w:t>
      </w:r>
      <w:r w:rsidR="00166887" w:rsidRPr="00166887">
        <w:rPr>
          <w:i/>
          <w:iCs/>
        </w:rPr>
        <w:t>People v. Price</w:t>
      </w:r>
      <w:r w:rsidR="00166887">
        <w:t xml:space="preserve"> (2017) 8 Cal.</w:t>
      </w:r>
      <w:r w:rsidR="00FC447D">
        <w:t>App.</w:t>
      </w:r>
      <w:r w:rsidR="00166887">
        <w:t>5th</w:t>
      </w:r>
      <w:r w:rsidR="00166887">
        <w:rPr>
          <w:vertAlign w:val="superscript"/>
        </w:rPr>
        <w:t xml:space="preserve"> </w:t>
      </w:r>
      <w:r w:rsidR="00166887">
        <w:t>409, 451-454</w:t>
      </w:r>
      <w:r w:rsidR="00FC447D">
        <w:t xml:space="preserve"> (</w:t>
      </w:r>
      <w:r w:rsidR="00FC447D" w:rsidRPr="00FC447D">
        <w:rPr>
          <w:i/>
          <w:iCs/>
        </w:rPr>
        <w:t>Price I</w:t>
      </w:r>
      <w:r w:rsidR="00FC447D">
        <w:t>)</w:t>
      </w:r>
      <w:r w:rsidR="00166887">
        <w:t>.)</w:t>
      </w:r>
      <w:r w:rsidRPr="00943856">
        <w:t xml:space="preserve"> </w:t>
      </w:r>
      <w:r w:rsidR="00166887">
        <w:t xml:space="preserve"> </w:t>
      </w:r>
      <w:r w:rsidR="00A0642E">
        <w:t xml:space="preserve">We </w:t>
      </w:r>
      <w:r w:rsidR="00262723">
        <w:t xml:space="preserve">did </w:t>
      </w:r>
      <w:r w:rsidR="00587B30">
        <w:t xml:space="preserve">not </w:t>
      </w:r>
      <w:r w:rsidR="00794BED">
        <w:t>determine</w:t>
      </w:r>
      <w:r w:rsidR="00262723">
        <w:t xml:space="preserve"> whether substantial </w:t>
      </w:r>
      <w:r w:rsidR="00A0642E">
        <w:t>evidence support</w:t>
      </w:r>
      <w:r w:rsidR="00262723">
        <w:t>ed</w:t>
      </w:r>
      <w:r w:rsidR="00A0642E">
        <w:t xml:space="preserve"> a finding </w:t>
      </w:r>
      <w:r w:rsidR="00B70D95">
        <w:t>under the third alternative</w:t>
      </w:r>
      <w:r w:rsidR="00794BED">
        <w:t>,</w:t>
      </w:r>
      <w:r w:rsidR="00B70D95">
        <w:t xml:space="preserve"> </w:t>
      </w:r>
      <w:r w:rsidR="00794BED">
        <w:t xml:space="preserve"> i.e., that Price was</w:t>
      </w:r>
      <w:r w:rsidR="00A0642E">
        <w:t xml:space="preserve"> a “major participant” in the </w:t>
      </w:r>
      <w:r w:rsidR="00B70D95">
        <w:t>felony murder</w:t>
      </w:r>
      <w:r w:rsidR="00A0642E">
        <w:t xml:space="preserve"> </w:t>
      </w:r>
      <w:r w:rsidR="00262723">
        <w:t>acting with</w:t>
      </w:r>
      <w:r w:rsidR="00A0642E">
        <w:t xml:space="preserve"> </w:t>
      </w:r>
      <w:r w:rsidR="00794BED">
        <w:t>“</w:t>
      </w:r>
      <w:r w:rsidR="00A0642E">
        <w:t>reckless</w:t>
      </w:r>
      <w:r w:rsidR="00794BED">
        <w:t xml:space="preserve"> indifference”</w:t>
      </w:r>
      <w:r w:rsidR="00A0642E">
        <w:t xml:space="preserve"> </w:t>
      </w:r>
      <w:r w:rsidR="00262723">
        <w:t>for human life.</w:t>
      </w:r>
      <w:r w:rsidR="00A0642E">
        <w:t xml:space="preserve">  </w:t>
      </w:r>
    </w:p>
    <w:p w14:paraId="39370219" w14:textId="4898C3F6" w:rsidR="00CC4A35" w:rsidRDefault="00F255BF" w:rsidP="00943856">
      <w:pPr>
        <w:spacing w:line="360" w:lineRule="auto"/>
        <w:ind w:firstLine="720"/>
      </w:pPr>
      <w:r>
        <w:t xml:space="preserve">In 2018, the Legislature adopted and the Governor signed into law Senate Bill </w:t>
      </w:r>
      <w:r w:rsidR="00FC447D">
        <w:t xml:space="preserve">No. </w:t>
      </w:r>
      <w:r>
        <w:t>1437</w:t>
      </w:r>
      <w:r w:rsidR="00FC447D">
        <w:t xml:space="preserve"> (2017-2018 Reg. Sess.)</w:t>
      </w:r>
      <w:r>
        <w:t xml:space="preserve">, which </w:t>
      </w:r>
      <w:r w:rsidR="004D590A">
        <w:t>amended</w:t>
      </w:r>
      <w:r>
        <w:t xml:space="preserve"> the statutory definition </w:t>
      </w:r>
      <w:r w:rsidR="004D590A">
        <w:t>of</w:t>
      </w:r>
      <w:r>
        <w:t xml:space="preserve"> murder</w:t>
      </w:r>
      <w:r w:rsidR="00787C20">
        <w:t xml:space="preserve"> in section</w:t>
      </w:r>
      <w:r w:rsidR="00E31507">
        <w:t>s 188 and</w:t>
      </w:r>
      <w:r w:rsidR="00787C20">
        <w:t xml:space="preserve"> 189</w:t>
      </w:r>
      <w:r>
        <w:t xml:space="preserve"> </w:t>
      </w:r>
      <w:r w:rsidR="004D590A">
        <w:t xml:space="preserve">to eliminate murder liability under the natural and probable consequences doctrine and </w:t>
      </w:r>
      <w:r w:rsidR="00162959">
        <w:t xml:space="preserve">to </w:t>
      </w:r>
      <w:r w:rsidR="004D590A">
        <w:t>limit felony</w:t>
      </w:r>
      <w:r w:rsidR="00DA74DC">
        <w:t>-</w:t>
      </w:r>
      <w:r w:rsidR="004D590A">
        <w:t>murder liability to cases in which the felony</w:t>
      </w:r>
      <w:r w:rsidR="00DA74DC">
        <w:t>-</w:t>
      </w:r>
      <w:r w:rsidR="004D590A">
        <w:t xml:space="preserve">murder special circumstance was proven.  The legislation </w:t>
      </w:r>
      <w:r>
        <w:t>provided a retroactive</w:t>
      </w:r>
      <w:r w:rsidR="004D590A">
        <w:t xml:space="preserve"> resentencing</w:t>
      </w:r>
      <w:r>
        <w:t xml:space="preserve"> remedy </w:t>
      </w:r>
      <w:r w:rsidR="0037502A">
        <w:t xml:space="preserve">under section 1170.95 </w:t>
      </w:r>
      <w:r>
        <w:t xml:space="preserve">for </w:t>
      </w:r>
      <w:r w:rsidR="001108ED">
        <w:t xml:space="preserve">individuals </w:t>
      </w:r>
      <w:r w:rsidR="004D590A">
        <w:t xml:space="preserve">who </w:t>
      </w:r>
      <w:r w:rsidR="001108ED">
        <w:t>were</w:t>
      </w:r>
      <w:r>
        <w:t xml:space="preserve"> convicted of murder </w:t>
      </w:r>
      <w:r w:rsidR="004D590A">
        <w:t xml:space="preserve">prior to the amendment and </w:t>
      </w:r>
      <w:r>
        <w:t xml:space="preserve">could not be convicted under the </w:t>
      </w:r>
      <w:r w:rsidR="004D590A">
        <w:t>amended murder statutes.  The legislation took effect on January 1, 2019.</w:t>
      </w:r>
      <w:r>
        <w:t xml:space="preserve"> </w:t>
      </w:r>
    </w:p>
    <w:p w14:paraId="31094CED" w14:textId="5208EA12" w:rsidR="00A0642E" w:rsidRDefault="00F255BF" w:rsidP="00795D91">
      <w:pPr>
        <w:spacing w:line="360" w:lineRule="auto"/>
        <w:ind w:firstLine="720"/>
      </w:pPr>
      <w:r>
        <w:t xml:space="preserve">In 2019, </w:t>
      </w:r>
      <w:r w:rsidR="00943856">
        <w:t xml:space="preserve">Price filed </w:t>
      </w:r>
      <w:r w:rsidR="0037502A">
        <w:t>her section 1170.95</w:t>
      </w:r>
      <w:r w:rsidR="00943856">
        <w:t xml:space="preserve"> petition</w:t>
      </w:r>
      <w:r>
        <w:t xml:space="preserve"> </w:t>
      </w:r>
      <w:r w:rsidR="00943856">
        <w:t>seeking to have her murder conviction vacated and to be resentenced on any remaining counts</w:t>
      </w:r>
      <w:r>
        <w:t>.</w:t>
      </w:r>
      <w:r w:rsidR="00943856">
        <w:t xml:space="preserve"> </w:t>
      </w:r>
      <w:r w:rsidR="0037265F">
        <w:t xml:space="preserve"> </w:t>
      </w:r>
      <w:r w:rsidR="00ED5B21">
        <w:t xml:space="preserve">The </w:t>
      </w:r>
      <w:r>
        <w:t>d</w:t>
      </w:r>
      <w:r w:rsidR="00ED5B21">
        <w:t xml:space="preserve">istrict </w:t>
      </w:r>
      <w:r>
        <w:t>a</w:t>
      </w:r>
      <w:r w:rsidR="00ED5B21">
        <w:t>ttorney filed opposition</w:t>
      </w:r>
      <w:r w:rsidR="0037265F">
        <w:t xml:space="preserve">. </w:t>
      </w:r>
      <w:r w:rsidR="00ED5B21">
        <w:t xml:space="preserve"> </w:t>
      </w:r>
      <w:r>
        <w:t>After</w:t>
      </w:r>
      <w:r w:rsidR="00332D51">
        <w:t xml:space="preserve"> appointing Price counsel, receiving</w:t>
      </w:r>
      <w:r w:rsidR="007855B6">
        <w:t xml:space="preserve"> full briefing</w:t>
      </w:r>
      <w:r>
        <w:t xml:space="preserve"> </w:t>
      </w:r>
      <w:r w:rsidR="00262723">
        <w:t>and</w:t>
      </w:r>
      <w:r>
        <w:t xml:space="preserve"> </w:t>
      </w:r>
      <w:r w:rsidR="00332D51">
        <w:t>taking</w:t>
      </w:r>
      <w:r w:rsidR="00ED5B21">
        <w:t xml:space="preserve"> judicial notice of </w:t>
      </w:r>
      <w:r w:rsidR="00332D51">
        <w:t>Price’s</w:t>
      </w:r>
      <w:r w:rsidR="00ED5B21">
        <w:t xml:space="preserve"> record of conviction, the </w:t>
      </w:r>
      <w:r w:rsidR="00275E8F">
        <w:t xml:space="preserve">superior </w:t>
      </w:r>
      <w:r w:rsidR="00ED5B21">
        <w:t>court denied the petition, concluding, “the record here establishes the clear viability of a prosecution for felony</w:t>
      </w:r>
      <w:r w:rsidR="00FB5834">
        <w:t>-</w:t>
      </w:r>
      <w:r w:rsidR="00ED5B21">
        <w:t xml:space="preserve">murder with a special </w:t>
      </w:r>
      <w:r w:rsidR="00273800">
        <w:t>cir</w:t>
      </w:r>
      <w:r w:rsidR="00ED5B21">
        <w:t>cumstance</w:t>
      </w:r>
      <w:r w:rsidR="00273800">
        <w:t>.”</w:t>
      </w:r>
      <w:r w:rsidR="00ED5B21">
        <w:t xml:space="preserve"> </w:t>
      </w:r>
      <w:r w:rsidR="00056790">
        <w:t xml:space="preserve"> </w:t>
      </w:r>
      <w:r w:rsidR="009E624E">
        <w:t>It did not issue an order to show cause or hold an evidentiary hearing.</w:t>
      </w:r>
      <w:r w:rsidR="00262723">
        <w:t xml:space="preserve">  Price now appeals from that ruling.</w:t>
      </w:r>
    </w:p>
    <w:p w14:paraId="2CF49FAC" w14:textId="22801F63" w:rsidR="003B39FD" w:rsidRDefault="00F255BF" w:rsidP="005B5BEB">
      <w:pPr>
        <w:spacing w:line="360" w:lineRule="auto"/>
        <w:ind w:firstLine="720"/>
      </w:pPr>
      <w:r>
        <w:t xml:space="preserve">We </w:t>
      </w:r>
      <w:r w:rsidR="00262723">
        <w:t>affirm</w:t>
      </w:r>
      <w:r>
        <w:t>.  It is not clear which of the three special circumstance alternatives were relied on by the jury.  In this circumstance, we conclude</w:t>
      </w:r>
      <w:r w:rsidR="00FC447D">
        <w:t>—</w:t>
      </w:r>
      <w:r>
        <w:lastRenderedPageBreak/>
        <w:t xml:space="preserve">without deciding whether substantial evidence review of any one possible alternative basis for the special circumstance </w:t>
      </w:r>
      <w:r w:rsidR="00583B79">
        <w:t xml:space="preserve">finding </w:t>
      </w:r>
      <w:r>
        <w:t>is enough to preclude relief under section 1170.95</w:t>
      </w:r>
      <w:r w:rsidR="00FC447D">
        <w:t>—</w:t>
      </w:r>
      <w:r>
        <w:t xml:space="preserve">that substantial evidence supports each of the three alternatives presented to the jury, including whether Price acted as a “major participant” in the robbery acting with “reckless indifference” to human life.  </w:t>
      </w:r>
      <w:r w:rsidR="0055051A">
        <w:t>S</w:t>
      </w:r>
      <w:r>
        <w:t>ubstantial evidence</w:t>
      </w:r>
      <w:r w:rsidR="0055051A">
        <w:t xml:space="preserve"> thus</w:t>
      </w:r>
      <w:r>
        <w:t xml:space="preserve"> supports each </w:t>
      </w:r>
      <w:r w:rsidR="0055051A">
        <w:t xml:space="preserve">of the three possible bases for the jury’s special circumstance finding, and we conclude that under these circumstances Price is not entitled to </w:t>
      </w:r>
      <w:r w:rsidR="00EE3254">
        <w:t>have her murder conviction vacated and to be resentenced on the remaining charges</w:t>
      </w:r>
      <w:r>
        <w:t>.</w:t>
      </w:r>
      <w:r w:rsidR="0055051A">
        <w:t xml:space="preserve">  We therefore affirm.</w:t>
      </w:r>
    </w:p>
    <w:p w14:paraId="5BC0298A" w14:textId="0673026F" w:rsidR="002366FF" w:rsidRDefault="00F255BF" w:rsidP="002366FF">
      <w:pPr>
        <w:spacing w:line="360" w:lineRule="auto"/>
        <w:jc w:val="center"/>
        <w:rPr>
          <w:b/>
          <w:bCs/>
        </w:rPr>
      </w:pPr>
      <w:r w:rsidRPr="006434B6">
        <w:rPr>
          <w:b/>
          <w:bCs/>
        </w:rPr>
        <w:t>BACKGROUN</w:t>
      </w:r>
      <w:r w:rsidR="00D3274C">
        <w:rPr>
          <w:b/>
          <w:bCs/>
        </w:rPr>
        <w:t>D</w:t>
      </w:r>
    </w:p>
    <w:p w14:paraId="0700276D" w14:textId="62C6B34B" w:rsidR="002366FF" w:rsidRPr="0055051A" w:rsidRDefault="00F255BF" w:rsidP="002366FF">
      <w:pPr>
        <w:spacing w:line="360" w:lineRule="auto"/>
        <w:jc w:val="center"/>
        <w:rPr>
          <w:b/>
          <w:bCs/>
        </w:rPr>
      </w:pPr>
      <w:r w:rsidRPr="0055051A">
        <w:rPr>
          <w:b/>
          <w:bCs/>
        </w:rPr>
        <w:t>I.</w:t>
      </w:r>
    </w:p>
    <w:p w14:paraId="7BD91E88" w14:textId="605D9AF4" w:rsidR="002366FF" w:rsidRPr="002366FF" w:rsidRDefault="00F255BF" w:rsidP="002366FF">
      <w:pPr>
        <w:spacing w:line="360" w:lineRule="auto"/>
        <w:jc w:val="center"/>
        <w:rPr>
          <w:b/>
          <w:bCs/>
          <w:i/>
          <w:iCs/>
        </w:rPr>
      </w:pPr>
      <w:r w:rsidRPr="002366FF">
        <w:rPr>
          <w:b/>
          <w:bCs/>
          <w:i/>
          <w:iCs/>
        </w:rPr>
        <w:t>The Trial and Verdict</w:t>
      </w:r>
    </w:p>
    <w:p w14:paraId="3A456942" w14:textId="09791D21" w:rsidR="00E20141" w:rsidRDefault="00F255BF" w:rsidP="00D3274C">
      <w:pPr>
        <w:spacing w:line="360" w:lineRule="auto"/>
        <w:ind w:firstLine="720"/>
      </w:pPr>
      <w:r w:rsidRPr="00D3274C">
        <w:t>O</w:t>
      </w:r>
      <w:r w:rsidR="006434B6" w:rsidRPr="00D3274C">
        <w:t>u</w:t>
      </w:r>
      <w:r w:rsidR="006434B6">
        <w:t xml:space="preserve">r opinion in </w:t>
      </w:r>
      <w:r w:rsidR="006434B6" w:rsidRPr="006F7095">
        <w:rPr>
          <w:i/>
          <w:iCs/>
        </w:rPr>
        <w:t>Price I</w:t>
      </w:r>
      <w:r w:rsidR="006434B6">
        <w:t xml:space="preserve"> describe</w:t>
      </w:r>
      <w:r>
        <w:t>s</w:t>
      </w:r>
      <w:r w:rsidR="006434B6">
        <w:t xml:space="preserve"> </w:t>
      </w:r>
      <w:r>
        <w:t xml:space="preserve">in detail </w:t>
      </w:r>
      <w:r w:rsidR="006434B6">
        <w:t xml:space="preserve">the evidence presented against Price at her trial.  </w:t>
      </w:r>
      <w:r>
        <w:t>(</w:t>
      </w:r>
      <w:r w:rsidRPr="00D3274C">
        <w:rPr>
          <w:i/>
          <w:iCs/>
        </w:rPr>
        <w:t>Price I</w:t>
      </w:r>
      <w:r>
        <w:t>,</w:t>
      </w:r>
      <w:r w:rsidR="00FC447D">
        <w:t xml:space="preserve"> </w:t>
      </w:r>
      <w:r w:rsidR="00FC447D">
        <w:rPr>
          <w:i/>
          <w:iCs/>
        </w:rPr>
        <w:t>supra,</w:t>
      </w:r>
      <w:r>
        <w:t xml:space="preserve"> 8 Cal.App.5th at pp. 416-425.)  We will summarize it only briefly here.</w:t>
      </w:r>
      <w:r>
        <w:rPr>
          <w:b/>
          <w:bCs/>
        </w:rPr>
        <w:t xml:space="preserve">  </w:t>
      </w:r>
      <w:r>
        <w:t xml:space="preserve">In substance, it showed that in 2009, </w:t>
      </w:r>
      <w:r w:rsidR="006F7095">
        <w:t>Price, then 20 years old, along with two friends,</w:t>
      </w:r>
      <w:r>
        <w:t xml:space="preserve"> Kendra Fells and Teareney Brown,</w:t>
      </w:r>
      <w:r w:rsidR="006F7095">
        <w:t xml:space="preserve"> participated in a robbery of </w:t>
      </w:r>
      <w:r w:rsidR="00E73472">
        <w:t xml:space="preserve">22-year-old </w:t>
      </w:r>
      <w:r w:rsidR="006F7095">
        <w:t xml:space="preserve">Benjamin Merrill during which one of them shot and killed </w:t>
      </w:r>
      <w:r w:rsidR="00E73472">
        <w:t>him</w:t>
      </w:r>
      <w:r w:rsidR="006F7095">
        <w:t xml:space="preserve">.  </w:t>
      </w:r>
      <w:r>
        <w:t>Fells, the owner of the gun used in the killing, entered a plea agreement for a 15-year determinate sentence in exchange for testifying against Price.  According to her testimony and other evidence at trial, Price and Brown stopped at the house where Fells stayed with her girlfriend in Pittsburg, California, and awakened Fells, who then showed Price a revolver Fells had recently purchased.  Price and Brown then left in a car belonging to a friend</w:t>
      </w:r>
      <w:r w:rsidR="00647085">
        <w:t xml:space="preserve"> </w:t>
      </w:r>
      <w:r w:rsidR="00E73472">
        <w:t>and drove</w:t>
      </w:r>
      <w:r w:rsidR="00647085">
        <w:t xml:space="preserve"> to San Francisco.  </w:t>
      </w:r>
    </w:p>
    <w:p w14:paraId="172D735A" w14:textId="6EB96679" w:rsidR="001F4882" w:rsidRDefault="00F255BF" w:rsidP="001F4882">
      <w:pPr>
        <w:spacing w:line="360" w:lineRule="auto"/>
        <w:ind w:firstLine="720"/>
      </w:pPr>
      <w:r>
        <w:lastRenderedPageBreak/>
        <w:t>Sometime</w:t>
      </w:r>
      <w:r w:rsidR="00647085" w:rsidRPr="005E4690">
        <w:t xml:space="preserve"> later</w:t>
      </w:r>
      <w:r>
        <w:rPr>
          <w:rStyle w:val="FootnoteReference"/>
          <w:b/>
          <w:bCs/>
        </w:rPr>
        <w:footnoteReference w:id="2"/>
      </w:r>
      <w:r w:rsidR="00647085">
        <w:t>, they returned to Pittsburg with a</w:t>
      </w:r>
      <w:r w:rsidR="00E20141">
        <w:t xml:space="preserve"> very</w:t>
      </w:r>
      <w:r w:rsidR="00647085">
        <w:t xml:space="preserve"> intoxicated Benjamin</w:t>
      </w:r>
      <w:r w:rsidR="00D3274C">
        <w:t xml:space="preserve"> </w:t>
      </w:r>
      <w:r w:rsidR="00647085">
        <w:t xml:space="preserve">Merrill </w:t>
      </w:r>
      <w:r w:rsidR="00E20141">
        <w:t xml:space="preserve">in tow </w:t>
      </w:r>
      <w:r w:rsidR="00647085">
        <w:t>and again stopped at Fells’</w:t>
      </w:r>
      <w:r w:rsidR="00280CF1">
        <w:t>s</w:t>
      </w:r>
      <w:r w:rsidR="00647085">
        <w:t xml:space="preserve"> girlfriend</w:t>
      </w:r>
      <w:r w:rsidR="009764F8">
        <w:t xml:space="preserve"> Felicia Edosa’s</w:t>
      </w:r>
      <w:r w:rsidR="00647085">
        <w:t xml:space="preserve"> house.  Price went inside</w:t>
      </w:r>
      <w:r w:rsidR="009E624E">
        <w:t>,</w:t>
      </w:r>
      <w:r w:rsidR="00647085">
        <w:t xml:space="preserve"> sporting an iPhone</w:t>
      </w:r>
      <w:r w:rsidR="005B50E1">
        <w:t xml:space="preserve"> Fells and her girlfriend had not seen her with before</w:t>
      </w:r>
      <w:r w:rsidR="00647085">
        <w:t xml:space="preserve">, </w:t>
      </w:r>
      <w:r w:rsidR="00E20141">
        <w:t>awakened</w:t>
      </w:r>
      <w:r w:rsidR="00647085">
        <w:t xml:space="preserve"> Fells</w:t>
      </w:r>
      <w:r w:rsidR="00E20141">
        <w:t>, asked Fells</w:t>
      </w:r>
      <w:r w:rsidR="00647085">
        <w:t xml:space="preserve"> to take a ride with her, </w:t>
      </w:r>
      <w:r w:rsidR="009E624E">
        <w:t xml:space="preserve">and </w:t>
      </w:r>
      <w:r w:rsidR="00647085">
        <w:t>took Fells’</w:t>
      </w:r>
      <w:r w:rsidR="00280CF1">
        <w:t>s</w:t>
      </w:r>
      <w:r w:rsidR="00647085">
        <w:t xml:space="preserve"> gun</w:t>
      </w:r>
      <w:r w:rsidR="009E624E">
        <w:t xml:space="preserve"> from</w:t>
      </w:r>
      <w:r w:rsidR="00E73472">
        <w:t xml:space="preserve"> a drawer in</w:t>
      </w:r>
      <w:r w:rsidR="009E624E">
        <w:t xml:space="preserve"> the bedroom</w:t>
      </w:r>
      <w:r w:rsidR="00647085">
        <w:t xml:space="preserve"> and put it in her jacket.  </w:t>
      </w:r>
      <w:r w:rsidR="009E624E">
        <w:t>Price</w:t>
      </w:r>
      <w:r w:rsidR="00647085">
        <w:t xml:space="preserve"> and Fells got into the car </w:t>
      </w:r>
      <w:r w:rsidR="00E20141">
        <w:t xml:space="preserve">with </w:t>
      </w:r>
      <w:r w:rsidR="00647085">
        <w:t>Brown</w:t>
      </w:r>
      <w:r w:rsidR="00E20141">
        <w:t>,</w:t>
      </w:r>
      <w:r w:rsidR="00647085">
        <w:t xml:space="preserve"> </w:t>
      </w:r>
      <w:r w:rsidR="00E20141">
        <w:t>who</w:t>
      </w:r>
      <w:r w:rsidR="00647085">
        <w:t xml:space="preserve"> drove</w:t>
      </w:r>
      <w:r w:rsidR="00E20141">
        <w:t xml:space="preserve"> them</w:t>
      </w:r>
      <w:r w:rsidR="00647085">
        <w:t xml:space="preserve"> to a dimly lit park at about 3:00 a.m.  </w:t>
      </w:r>
      <w:r w:rsidR="00E20141">
        <w:t xml:space="preserve">A man Fells didn’t recognize (but later learned was </w:t>
      </w:r>
      <w:r w:rsidR="00647085">
        <w:t>Merrill</w:t>
      </w:r>
      <w:r w:rsidR="00E20141">
        <w:t>)</w:t>
      </w:r>
      <w:r w:rsidR="00647085">
        <w:t xml:space="preserve"> was asleep in the backseat but </w:t>
      </w:r>
      <w:r w:rsidR="005B50E1">
        <w:t>awake</w:t>
      </w:r>
      <w:r w:rsidR="009E624E">
        <w:t>ned before</w:t>
      </w:r>
      <w:r w:rsidR="00647085">
        <w:t xml:space="preserve"> they arrived at the park</w:t>
      </w:r>
      <w:r w:rsidR="00CF395C">
        <w:t>,</w:t>
      </w:r>
      <w:r w:rsidR="00647085">
        <w:t xml:space="preserve"> and </w:t>
      </w:r>
      <w:r w:rsidR="00CF395C">
        <w:t xml:space="preserve">he </w:t>
      </w:r>
      <w:r w:rsidR="00647085">
        <w:t>got out of the car to urinate in the bushes.  The three women also got out of the car</w:t>
      </w:r>
      <w:r w:rsidR="00F46D25">
        <w:t xml:space="preserve">.  </w:t>
      </w:r>
      <w:r w:rsidR="00E73472">
        <w:t xml:space="preserve">After Merrill finished urinating, </w:t>
      </w:r>
      <w:r w:rsidR="00647085">
        <w:t xml:space="preserve">Brown robbed </w:t>
      </w:r>
      <w:r w:rsidR="00E73472">
        <w:t>him</w:t>
      </w:r>
      <w:r w:rsidR="00647085">
        <w:t xml:space="preserve"> of his wallet</w:t>
      </w:r>
      <w:r w:rsidR="00F46D25">
        <w:t xml:space="preserve">. </w:t>
      </w:r>
      <w:r w:rsidR="00647085">
        <w:t xml:space="preserve"> Price believed </w:t>
      </w:r>
      <w:r w:rsidR="00E73472">
        <w:t>he had more to take</w:t>
      </w:r>
      <w:r>
        <w:t xml:space="preserve"> and said so</w:t>
      </w:r>
      <w:r w:rsidR="00C124C3">
        <w:t xml:space="preserve">. </w:t>
      </w:r>
      <w:r w:rsidR="009E624E">
        <w:t xml:space="preserve"> </w:t>
      </w:r>
      <w:r w:rsidR="00C124C3">
        <w:t xml:space="preserve">Substantial evidence indicated that she </w:t>
      </w:r>
      <w:r w:rsidR="009E624E" w:rsidRPr="001F4882">
        <w:t xml:space="preserve">pointed the gun at </w:t>
      </w:r>
      <w:r>
        <w:t>Merrill</w:t>
      </w:r>
      <w:r w:rsidR="00647085">
        <w:t xml:space="preserve"> and, in circumstances that are not altogether clear,</w:t>
      </w:r>
      <w:r>
        <w:rPr>
          <w:rStyle w:val="FootnoteReference"/>
          <w:b/>
          <w:bCs/>
        </w:rPr>
        <w:footnoteReference w:id="3"/>
      </w:r>
      <w:r w:rsidR="00647085">
        <w:t xml:space="preserve"> shot </w:t>
      </w:r>
      <w:r w:rsidR="006E4629">
        <w:t xml:space="preserve">twice, hitting </w:t>
      </w:r>
      <w:r w:rsidR="00647085">
        <w:t xml:space="preserve">Merrill in the chest.  </w:t>
      </w:r>
      <w:r w:rsidR="00F46D25">
        <w:t xml:space="preserve">The three women got back into the car and left </w:t>
      </w:r>
      <w:r w:rsidR="006E4629">
        <w:t xml:space="preserve">in a hurry, leaving </w:t>
      </w:r>
      <w:r w:rsidR="00F46D25">
        <w:t xml:space="preserve">Merrill at the park.  </w:t>
      </w:r>
      <w:r w:rsidR="009E624E">
        <w:t xml:space="preserve">Neighbors who heard the shots </w:t>
      </w:r>
      <w:r w:rsidR="00E73472">
        <w:t xml:space="preserve">and the sound of car tires screeching </w:t>
      </w:r>
      <w:r w:rsidR="009E624E">
        <w:t>found Merrill</w:t>
      </w:r>
      <w:r w:rsidR="00E73472">
        <w:t>,</w:t>
      </w:r>
      <w:r w:rsidR="009E624E">
        <w:t xml:space="preserve"> who died at the scene.</w:t>
      </w:r>
      <w:r w:rsidR="00E73472">
        <w:t xml:space="preserve">  </w:t>
      </w:r>
      <w:r w:rsidR="00E73472" w:rsidRPr="001F4882">
        <w:t xml:space="preserve">The autopsy showed Merrill died from a shot </w:t>
      </w:r>
      <w:r>
        <w:t>that went through his chest and out his back</w:t>
      </w:r>
      <w:r w:rsidR="00E73472" w:rsidRPr="001F4882">
        <w:t>.</w:t>
      </w:r>
      <w:r>
        <w:t xml:space="preserve"> </w:t>
      </w:r>
      <w:r w:rsidR="009764F8">
        <w:t xml:space="preserve"> </w:t>
      </w:r>
      <w:r>
        <w:t>(</w:t>
      </w:r>
      <w:r w:rsidRPr="001F4882">
        <w:rPr>
          <w:i/>
          <w:iCs/>
        </w:rPr>
        <w:t>Price I</w:t>
      </w:r>
      <w:r>
        <w:t xml:space="preserve">, </w:t>
      </w:r>
      <w:r w:rsidR="009764F8">
        <w:rPr>
          <w:i/>
          <w:iCs/>
        </w:rPr>
        <w:t xml:space="preserve">supra, </w:t>
      </w:r>
      <w:r w:rsidR="009764F8">
        <w:t>8 Cal.App.5</w:t>
      </w:r>
      <w:r w:rsidR="009764F8" w:rsidRPr="009764F8">
        <w:t>th</w:t>
      </w:r>
      <w:r w:rsidR="009764F8">
        <w:t xml:space="preserve"> </w:t>
      </w:r>
      <w:r>
        <w:t>at p. 424</w:t>
      </w:r>
      <w:r w:rsidR="009764F8">
        <w:t>.</w:t>
      </w:r>
      <w:r>
        <w:t>)</w:t>
      </w:r>
    </w:p>
    <w:p w14:paraId="7BCFF92D" w14:textId="77407F10" w:rsidR="002366FF" w:rsidRDefault="00F255BF" w:rsidP="00D3274C">
      <w:pPr>
        <w:spacing w:line="360" w:lineRule="auto"/>
        <w:ind w:firstLine="720"/>
      </w:pPr>
      <w:r>
        <w:lastRenderedPageBreak/>
        <w:t>In the days following the robbery and shooting</w:t>
      </w:r>
      <w:r w:rsidR="00F46D25">
        <w:t xml:space="preserve">, </w:t>
      </w:r>
      <w:r>
        <w:t>Brown changed the service on Merrill’s iPhone from one provider to another.  The iPhone was used both</w:t>
      </w:r>
      <w:r w:rsidR="001F4882">
        <w:t xml:space="preserve"> by</w:t>
      </w:r>
      <w:r>
        <w:t xml:space="preserve"> Price and </w:t>
      </w:r>
      <w:r w:rsidR="001F4882">
        <w:t xml:space="preserve">by </w:t>
      </w:r>
      <w:r>
        <w:t>Brown</w:t>
      </w:r>
      <w:r w:rsidR="001F4882">
        <w:t>,</w:t>
      </w:r>
      <w:r>
        <w:t xml:space="preserve"> but </w:t>
      </w:r>
      <w:r w:rsidR="00E73472">
        <w:t xml:space="preserve">Price began using it shortly after the robbery and it </w:t>
      </w:r>
      <w:r>
        <w:t xml:space="preserve">contained contact information for Brown and Fells </w:t>
      </w:r>
      <w:r w:rsidR="005B50E1">
        <w:t>but</w:t>
      </w:r>
      <w:r>
        <w:t xml:space="preserve"> not for Price.</w:t>
      </w:r>
    </w:p>
    <w:p w14:paraId="6931332A" w14:textId="65633698" w:rsidR="00D12209" w:rsidRDefault="00F255BF" w:rsidP="00D3274C">
      <w:pPr>
        <w:spacing w:line="360" w:lineRule="auto"/>
        <w:ind w:firstLine="720"/>
      </w:pPr>
      <w:r>
        <w:t xml:space="preserve">The morning after the incident, Fells received a call from Price asking if she was okay. </w:t>
      </w:r>
      <w:r w:rsidR="009764F8">
        <w:t xml:space="preserve"> </w:t>
      </w:r>
      <w:r w:rsidR="00CC703A">
        <w:t>(</w:t>
      </w:r>
      <w:r w:rsidR="00CC703A" w:rsidRPr="00CC703A">
        <w:rPr>
          <w:i/>
          <w:iCs/>
        </w:rPr>
        <w:t>Price I</w:t>
      </w:r>
      <w:r w:rsidR="00CC703A">
        <w:t xml:space="preserve">, </w:t>
      </w:r>
      <w:r w:rsidR="009764F8">
        <w:rPr>
          <w:i/>
          <w:iCs/>
        </w:rPr>
        <w:t xml:space="preserve">supra, </w:t>
      </w:r>
      <w:r w:rsidR="009764F8">
        <w:t>8 Cal.App.5</w:t>
      </w:r>
      <w:r w:rsidR="009764F8" w:rsidRPr="009764F8">
        <w:t>th</w:t>
      </w:r>
      <w:r w:rsidR="009764F8">
        <w:t xml:space="preserve"> </w:t>
      </w:r>
      <w:r w:rsidR="00CC703A">
        <w:t>at p. 418</w:t>
      </w:r>
      <w:r w:rsidR="009764F8">
        <w:t>.</w:t>
      </w:r>
      <w:r w:rsidR="00CC703A">
        <w:t>)</w:t>
      </w:r>
      <w:r w:rsidR="009764F8">
        <w:t xml:space="preserve"> </w:t>
      </w:r>
      <w:r w:rsidR="00CC703A">
        <w:t xml:space="preserve"> </w:t>
      </w:r>
      <w:r>
        <w:t xml:space="preserve">Fells recognized the number as the one from which she and Edosa had received calls on the night of the murder and told Price not to call her on that phone anymore. </w:t>
      </w:r>
      <w:r w:rsidR="009764F8">
        <w:t xml:space="preserve"> </w:t>
      </w:r>
      <w:r w:rsidR="00CC703A">
        <w:t>(</w:t>
      </w:r>
      <w:r w:rsidR="00CC703A" w:rsidRPr="009764F8">
        <w:rPr>
          <w:i/>
          <w:iCs/>
        </w:rPr>
        <w:t>I</w:t>
      </w:r>
      <w:r w:rsidR="006627F3">
        <w:rPr>
          <w:i/>
          <w:iCs/>
        </w:rPr>
        <w:t>bi</w:t>
      </w:r>
      <w:r w:rsidR="00CC703A" w:rsidRPr="009764F8">
        <w:rPr>
          <w:i/>
          <w:iCs/>
        </w:rPr>
        <w:t>d.</w:t>
      </w:r>
      <w:r w:rsidR="00CC703A">
        <w:t>)</w:t>
      </w:r>
      <w:r w:rsidR="009764F8">
        <w:t xml:space="preserve"> </w:t>
      </w:r>
      <w:r>
        <w:t xml:space="preserve"> A week after that, Fells saw Price with the iPhone and told her to get rid of it.  In the meantime, Price </w:t>
      </w:r>
      <w:r w:rsidR="00162959">
        <w:t>and Fells</w:t>
      </w:r>
      <w:r>
        <w:t xml:space="preserve"> had texted each other, with Price</w:t>
      </w:r>
      <w:r w:rsidR="00162959">
        <w:t xml:space="preserve"> still</w:t>
      </w:r>
      <w:r>
        <w:t xml:space="preserve"> using Merrill’s iPhone</w:t>
      </w:r>
      <w:r w:rsidR="00F46D25">
        <w:t xml:space="preserve">. </w:t>
      </w:r>
      <w:r w:rsidR="006627F3">
        <w:t xml:space="preserve"> </w:t>
      </w:r>
      <w:r w:rsidR="00CC703A">
        <w:t>(</w:t>
      </w:r>
      <w:r w:rsidR="00CC703A" w:rsidRPr="006627F3">
        <w:rPr>
          <w:i/>
          <w:iCs/>
        </w:rPr>
        <w:t>I</w:t>
      </w:r>
      <w:r w:rsidR="006627F3" w:rsidRPr="006627F3">
        <w:rPr>
          <w:i/>
          <w:iCs/>
        </w:rPr>
        <w:t>bi</w:t>
      </w:r>
      <w:r w:rsidR="00CC703A" w:rsidRPr="006627F3">
        <w:rPr>
          <w:i/>
          <w:iCs/>
        </w:rPr>
        <w:t>d</w:t>
      </w:r>
      <w:r w:rsidR="00CC703A">
        <w:t>.)</w:t>
      </w:r>
      <w:r w:rsidR="006627F3">
        <w:t xml:space="preserve"> </w:t>
      </w:r>
      <w:r w:rsidR="00F46D25">
        <w:t xml:space="preserve"> </w:t>
      </w:r>
      <w:r w:rsidR="0069380C">
        <w:t>In a text</w:t>
      </w:r>
      <w:r w:rsidR="005B50E1">
        <w:t xml:space="preserve"> exchange</w:t>
      </w:r>
      <w:r w:rsidR="00CC703A">
        <w:t xml:space="preserve"> after Fells </w:t>
      </w:r>
      <w:r w:rsidR="00162959">
        <w:t xml:space="preserve">had </w:t>
      </w:r>
      <w:r w:rsidR="00CC703A">
        <w:t>read in the paper that Merrill died</w:t>
      </w:r>
      <w:r w:rsidR="0069380C">
        <w:t xml:space="preserve">, </w:t>
      </w:r>
      <w:r w:rsidR="00CC703A">
        <w:t>Fells</w:t>
      </w:r>
      <w:r w:rsidR="00F46D25">
        <w:t xml:space="preserve"> chastised Price for </w:t>
      </w:r>
      <w:r w:rsidR="0069380C">
        <w:t>“</w:t>
      </w:r>
      <w:r w:rsidR="00F46D25">
        <w:t>do</w:t>
      </w:r>
      <w:r w:rsidR="0069380C">
        <w:t>[</w:t>
      </w:r>
      <w:r w:rsidR="00F46D25">
        <w:t>ing</w:t>
      </w:r>
      <w:r w:rsidR="0069380C">
        <w:t>]</w:t>
      </w:r>
      <w:r w:rsidR="00F46D25">
        <w:t xml:space="preserve"> to</w:t>
      </w:r>
      <w:r w:rsidR="0069380C">
        <w:t xml:space="preserve"> </w:t>
      </w:r>
      <w:r w:rsidR="00162959">
        <w:t>[</w:t>
      </w:r>
      <w:r w:rsidR="00162959" w:rsidRPr="006627F3">
        <w:rPr>
          <w:i/>
          <w:iCs/>
        </w:rPr>
        <w:t>sic</w:t>
      </w:r>
      <w:r w:rsidR="00162959">
        <w:t xml:space="preserve">] </w:t>
      </w:r>
      <w:r w:rsidR="006627F3">
        <w:t>[</w:t>
      </w:r>
      <w:r w:rsidR="00F46D25">
        <w:t>m</w:t>
      </w:r>
      <w:r w:rsidR="006627F3">
        <w:t>]</w:t>
      </w:r>
      <w:r w:rsidR="00F46D25">
        <w:t>uch</w:t>
      </w:r>
      <w:r w:rsidR="0069380C">
        <w:t xml:space="preserve"> when it don’t need to b did</w:t>
      </w:r>
      <w:r w:rsidR="00F46D25">
        <w:t xml:space="preserve">,” meaning Price </w:t>
      </w:r>
      <w:r w:rsidR="0069380C">
        <w:t>had</w:t>
      </w:r>
      <w:r w:rsidR="00F46D25">
        <w:t xml:space="preserve"> not need</w:t>
      </w:r>
      <w:r w:rsidR="0069380C">
        <w:t>ed</w:t>
      </w:r>
      <w:r w:rsidR="00F46D25">
        <w:t xml:space="preserve"> to shoot Merrill. </w:t>
      </w:r>
      <w:r w:rsidR="006627F3">
        <w:t xml:space="preserve"> </w:t>
      </w:r>
      <w:r w:rsidR="00CC703A">
        <w:t>(</w:t>
      </w:r>
      <w:r w:rsidR="00CC703A" w:rsidRPr="006627F3">
        <w:rPr>
          <w:i/>
          <w:iCs/>
        </w:rPr>
        <w:t>I</w:t>
      </w:r>
      <w:r w:rsidR="006627F3">
        <w:rPr>
          <w:i/>
          <w:iCs/>
        </w:rPr>
        <w:t>bi</w:t>
      </w:r>
      <w:r w:rsidR="00CC703A" w:rsidRPr="006627F3">
        <w:rPr>
          <w:i/>
          <w:iCs/>
        </w:rPr>
        <w:t>d</w:t>
      </w:r>
      <w:r w:rsidR="00CC703A">
        <w:t>. &amp; fn. 4</w:t>
      </w:r>
      <w:r w:rsidR="006627F3">
        <w:t>.</w:t>
      </w:r>
      <w:r w:rsidR="00CC703A">
        <w:t>)</w:t>
      </w:r>
      <w:r w:rsidR="006627F3">
        <w:t xml:space="preserve"> </w:t>
      </w:r>
      <w:r w:rsidR="00CC703A">
        <w:t xml:space="preserve"> </w:t>
      </w:r>
      <w:r w:rsidR="00F46D25">
        <w:t xml:space="preserve">Price texted back that </w:t>
      </w:r>
      <w:r w:rsidR="0069380C">
        <w:t>“it need it 2 b did rega</w:t>
      </w:r>
      <w:r w:rsidR="00E20141">
        <w:t>u</w:t>
      </w:r>
      <w:r w:rsidR="006627F3">
        <w:t>r</w:t>
      </w:r>
      <w:r w:rsidR="0069380C">
        <w:t>dless” and “Jus on how it was done n</w:t>
      </w:r>
      <w:r w:rsidR="006627F3">
        <w:t>—</w:t>
      </w:r>
      <w:r w:rsidR="0022531C">
        <w:t>a</w:t>
      </w:r>
      <w:r w:rsidR="002627D6" w:rsidRPr="0020734D">
        <w:rPr>
          <w:b/>
          <w:bCs/>
          <w:vertAlign w:val="superscript"/>
        </w:rPr>
        <w:t>[</w:t>
      </w:r>
      <w:r>
        <w:rPr>
          <w:rStyle w:val="FootnoteReference"/>
          <w:b/>
          <w:bCs/>
        </w:rPr>
        <w:footnoteReference w:id="4"/>
      </w:r>
      <w:r w:rsidR="002627D6" w:rsidRPr="0020734D">
        <w:rPr>
          <w:b/>
          <w:bCs/>
          <w:vertAlign w:val="superscript"/>
        </w:rPr>
        <w:t>]</w:t>
      </w:r>
      <w:r w:rsidR="0069380C" w:rsidRPr="008658AD">
        <w:rPr>
          <w:b/>
          <w:bCs/>
        </w:rPr>
        <w:t xml:space="preserve"> </w:t>
      </w:r>
      <w:r w:rsidR="0069380C">
        <w:t xml:space="preserve">I been doin dis shit I kno wut I was doin.” </w:t>
      </w:r>
      <w:r w:rsidR="006627F3">
        <w:t xml:space="preserve"> </w:t>
      </w:r>
      <w:r w:rsidR="00CC703A">
        <w:t>(</w:t>
      </w:r>
      <w:r w:rsidR="00CC703A" w:rsidRPr="006627F3">
        <w:rPr>
          <w:i/>
          <w:iCs/>
        </w:rPr>
        <w:t>Id</w:t>
      </w:r>
      <w:r w:rsidR="00CC703A">
        <w:t>.</w:t>
      </w:r>
      <w:r w:rsidR="00376D78">
        <w:t xml:space="preserve"> at pp. 418, 419, </w:t>
      </w:r>
      <w:r w:rsidR="00CC703A">
        <w:t>fn. 4</w:t>
      </w:r>
      <w:r w:rsidR="006627F3">
        <w:t>.</w:t>
      </w:r>
      <w:r w:rsidR="00CC703A">
        <w:t>)</w:t>
      </w:r>
      <w:r w:rsidR="006627F3">
        <w:t xml:space="preserve"> </w:t>
      </w:r>
      <w:r w:rsidR="0069380C">
        <w:t xml:space="preserve"> </w:t>
      </w:r>
      <w:r w:rsidR="005B50E1">
        <w:t>Price</w:t>
      </w:r>
      <w:r w:rsidR="0069380C">
        <w:t xml:space="preserve"> further texted, “bitch if I wasn’t thinking yo dumb ass wild </w:t>
      </w:r>
      <w:r w:rsidR="0022531C">
        <w:t>[</w:t>
      </w:r>
      <w:r w:rsidR="0022531C" w:rsidRPr="001764BB">
        <w:rPr>
          <w:i/>
          <w:iCs/>
        </w:rPr>
        <w:t>sic</w:t>
      </w:r>
      <w:r w:rsidR="0022531C">
        <w:t xml:space="preserve">] </w:t>
      </w:r>
      <w:r w:rsidR="0069380C">
        <w:t xml:space="preserve">b in jail rite now or dead so beloved </w:t>
      </w:r>
      <w:r w:rsidR="005B50E1">
        <w:t>[</w:t>
      </w:r>
      <w:r w:rsidR="005B50E1" w:rsidRPr="001764BB">
        <w:rPr>
          <w:i/>
          <w:iCs/>
        </w:rPr>
        <w:t>sic</w:t>
      </w:r>
      <w:r w:rsidR="005B50E1">
        <w:t xml:space="preserve">] </w:t>
      </w:r>
      <w:r w:rsidR="0069380C">
        <w:t>me n</w:t>
      </w:r>
      <w:r w:rsidR="001764BB">
        <w:t>—</w:t>
      </w:r>
      <w:r w:rsidR="0022531C">
        <w:t>a</w:t>
      </w:r>
      <w:r w:rsidR="0069380C">
        <w:t xml:space="preserve"> I was thinking.” </w:t>
      </w:r>
      <w:r w:rsidR="001764BB">
        <w:t xml:space="preserve"> </w:t>
      </w:r>
      <w:r w:rsidR="00CC703A">
        <w:t>(</w:t>
      </w:r>
      <w:r w:rsidR="00CC703A" w:rsidRPr="001764BB">
        <w:rPr>
          <w:i/>
          <w:iCs/>
        </w:rPr>
        <w:t>Id</w:t>
      </w:r>
      <w:r w:rsidR="00CC703A">
        <w:t>.</w:t>
      </w:r>
      <w:r w:rsidR="00376D78">
        <w:t xml:space="preserve"> at p. 419, fn. 4.</w:t>
      </w:r>
      <w:r w:rsidR="00CC703A">
        <w:t>)</w:t>
      </w:r>
      <w:r w:rsidR="001764BB">
        <w:t xml:space="preserve">  </w:t>
      </w:r>
    </w:p>
    <w:p w14:paraId="6CC90FC2" w14:textId="6817A3D0" w:rsidR="0022531C" w:rsidRDefault="00F255BF" w:rsidP="00D3274C">
      <w:pPr>
        <w:spacing w:line="360" w:lineRule="auto"/>
        <w:ind w:firstLine="720"/>
      </w:pPr>
      <w:r>
        <w:t xml:space="preserve">In the first few days after the robbery and murder, Brown arranged for the iPhone to be assigned a new phone number and service provider. </w:t>
      </w:r>
      <w:r w:rsidR="001764BB">
        <w:t xml:space="preserve"> </w:t>
      </w:r>
      <w:r w:rsidR="00CC703A">
        <w:t>(</w:t>
      </w:r>
      <w:r w:rsidR="001764BB" w:rsidRPr="00CC703A">
        <w:rPr>
          <w:i/>
          <w:iCs/>
        </w:rPr>
        <w:t>Price I</w:t>
      </w:r>
      <w:r w:rsidR="001764BB">
        <w:t xml:space="preserve">, </w:t>
      </w:r>
      <w:r w:rsidR="001764BB">
        <w:rPr>
          <w:i/>
          <w:iCs/>
        </w:rPr>
        <w:t xml:space="preserve">supra, </w:t>
      </w:r>
      <w:r w:rsidR="001764BB">
        <w:t>8 Cal.App.5</w:t>
      </w:r>
      <w:r w:rsidR="001764BB" w:rsidRPr="009764F8">
        <w:t>th</w:t>
      </w:r>
      <w:r w:rsidR="00CC703A">
        <w:t xml:space="preserve"> at pp.</w:t>
      </w:r>
      <w:r w:rsidR="00B97716">
        <w:t xml:space="preserve"> </w:t>
      </w:r>
      <w:r w:rsidR="00CC703A">
        <w:t>424-425</w:t>
      </w:r>
      <w:r w:rsidR="001764BB">
        <w:t>.</w:t>
      </w:r>
      <w:r w:rsidR="00CC703A">
        <w:t>)</w:t>
      </w:r>
      <w:r w:rsidR="001764BB">
        <w:t xml:space="preserve"> </w:t>
      </w:r>
      <w:r>
        <w:t xml:space="preserve"> Police nonetheless succeeded in tracking the iPhone, which ultimately led to the arrests of Price and Brown.</w:t>
      </w:r>
      <w:r w:rsidR="00CC703A">
        <w:t xml:space="preserve"> </w:t>
      </w:r>
    </w:p>
    <w:p w14:paraId="44230DFE" w14:textId="6073D0E7" w:rsidR="00D3274C" w:rsidRDefault="00F255BF" w:rsidP="00D3274C">
      <w:pPr>
        <w:spacing w:line="360" w:lineRule="auto"/>
        <w:ind w:firstLine="720"/>
      </w:pPr>
      <w:r>
        <w:t>After police arrested Price</w:t>
      </w:r>
      <w:r w:rsidR="00D12209">
        <w:t xml:space="preserve"> and Brown </w:t>
      </w:r>
      <w:r w:rsidR="00F17561">
        <w:t xml:space="preserve">and </w:t>
      </w:r>
      <w:r w:rsidR="00D12209">
        <w:t>while they were housed in the same jail</w:t>
      </w:r>
      <w:r>
        <w:t xml:space="preserve">, </w:t>
      </w:r>
      <w:r w:rsidR="009F13F4">
        <w:t xml:space="preserve">a note or “kite” was intercepted and Price’s cellmate reported seeing </w:t>
      </w:r>
      <w:r w:rsidR="00D24F12">
        <w:t>her</w:t>
      </w:r>
      <w:r w:rsidR="00D12209">
        <w:t xml:space="preserve"> </w:t>
      </w:r>
      <w:r w:rsidR="009F13F4">
        <w:t xml:space="preserve">writing </w:t>
      </w:r>
      <w:r w:rsidR="00F17561">
        <w:t>a note like that one</w:t>
      </w:r>
      <w:r w:rsidR="009F13F4">
        <w:t xml:space="preserve">. </w:t>
      </w:r>
      <w:r w:rsidR="00D12209">
        <w:t xml:space="preserve"> </w:t>
      </w:r>
      <w:r w:rsidR="009F13F4">
        <w:t xml:space="preserve">The </w:t>
      </w:r>
      <w:r w:rsidR="00611DE4">
        <w:t xml:space="preserve">content, which included a </w:t>
      </w:r>
      <w:r w:rsidR="00611DE4">
        <w:lastRenderedPageBreak/>
        <w:t xml:space="preserve">reference to Brown’s daughter, </w:t>
      </w:r>
      <w:r w:rsidR="00F17561">
        <w:t>suggested it</w:t>
      </w:r>
      <w:r w:rsidR="00611DE4">
        <w:t xml:space="preserve"> </w:t>
      </w:r>
      <w:r w:rsidR="00F17561">
        <w:t>had been</w:t>
      </w:r>
      <w:r w:rsidR="00D12209">
        <w:t xml:space="preserve"> intended for Brown</w:t>
      </w:r>
      <w:r w:rsidR="00F17561">
        <w:t>.</w:t>
      </w:r>
      <w:r>
        <w:t xml:space="preserve"> </w:t>
      </w:r>
      <w:r w:rsidR="00F17561">
        <w:t xml:space="preserve"> I</w:t>
      </w:r>
      <w:r w:rsidR="00611DE4">
        <w:t xml:space="preserve">t </w:t>
      </w:r>
      <w:r w:rsidR="0022531C">
        <w:t>outlined a</w:t>
      </w:r>
      <w:r>
        <w:t xml:space="preserve"> story they needed to stick to</w:t>
      </w:r>
      <w:r w:rsidR="00D12209">
        <w:t xml:space="preserve"> </w:t>
      </w:r>
      <w:r w:rsidR="00611DE4">
        <w:t>and stat</w:t>
      </w:r>
      <w:r w:rsidR="00081CF6">
        <w:t>ed</w:t>
      </w:r>
      <w:r w:rsidR="00611DE4">
        <w:t xml:space="preserve"> that </w:t>
      </w:r>
      <w:r w:rsidR="00D12209">
        <w:t>“even if Barney snitch its gone b her word against ours,” and “</w:t>
      </w:r>
      <w:r w:rsidR="001764BB">
        <w:t>[</w:t>
      </w:r>
      <w:r w:rsidR="00D12209">
        <w:t>a</w:t>
      </w:r>
      <w:r w:rsidR="001764BB">
        <w:t>]</w:t>
      </w:r>
      <w:r w:rsidR="00D12209">
        <w:t>s long as we sayn the same thang we gud!!!</w:t>
      </w:r>
      <w:r w:rsidR="0015079B">
        <w:t>”</w:t>
      </w:r>
      <w:r w:rsidR="00D12209">
        <w:t xml:space="preserve">  </w:t>
      </w:r>
      <w:r w:rsidR="0022531C">
        <w:t>B</w:t>
      </w:r>
      <w:r w:rsidR="00611DE4">
        <w:t xml:space="preserve">ecause they had been “thru fast track so we was on camara,” </w:t>
      </w:r>
      <w:r w:rsidR="0022531C">
        <w:t xml:space="preserve">Price </w:t>
      </w:r>
      <w:r w:rsidR="00D12209">
        <w:t xml:space="preserve">was going to say </w:t>
      </w:r>
      <w:r w:rsidR="00611DE4">
        <w:t>she</w:t>
      </w:r>
      <w:r w:rsidR="00D12209">
        <w:t xml:space="preserve"> w</w:t>
      </w:r>
      <w:r w:rsidR="00611DE4">
        <w:t>as</w:t>
      </w:r>
      <w:r w:rsidR="00D12209">
        <w:t xml:space="preserve"> “grind</w:t>
      </w:r>
      <w:r w:rsidR="00611DE4">
        <w:t>n</w:t>
      </w:r>
      <w:r w:rsidR="00D12209">
        <w:t xml:space="preserve">” </w:t>
      </w:r>
      <w:r w:rsidR="00FD6FB3">
        <w:t>(</w:t>
      </w:r>
      <w:r w:rsidR="00611DE4">
        <w:t>selling drugs</w:t>
      </w:r>
      <w:r w:rsidR="00FD6FB3">
        <w:t>)</w:t>
      </w:r>
      <w:r w:rsidR="00611DE4">
        <w:t xml:space="preserve"> </w:t>
      </w:r>
      <w:r w:rsidR="00D12209">
        <w:t xml:space="preserve">in </w:t>
      </w:r>
      <w:r w:rsidR="00611DE4">
        <w:t xml:space="preserve">“the TLs” </w:t>
      </w:r>
      <w:r w:rsidR="00FD6FB3">
        <w:t>(</w:t>
      </w:r>
      <w:r w:rsidR="00611DE4">
        <w:t>San Francisco’s</w:t>
      </w:r>
      <w:r w:rsidR="00D12209">
        <w:t xml:space="preserve"> Tenderloi</w:t>
      </w:r>
      <w:r w:rsidR="00611DE4">
        <w:t>n neighborhood</w:t>
      </w:r>
      <w:r w:rsidR="00FD6FB3">
        <w:t>)</w:t>
      </w:r>
      <w:r w:rsidR="00611DE4">
        <w:t xml:space="preserve"> when </w:t>
      </w:r>
      <w:r w:rsidR="00D12209">
        <w:t>someone came to her with a phone and she bought it</w:t>
      </w:r>
      <w:r w:rsidR="00F17561">
        <w:t>.</w:t>
      </w:r>
      <w:r w:rsidR="00611DE4">
        <w:t xml:space="preserve"> </w:t>
      </w:r>
      <w:r w:rsidR="00F17561">
        <w:t xml:space="preserve"> </w:t>
      </w:r>
      <w:r w:rsidR="00611DE4">
        <w:t>“</w:t>
      </w:r>
      <w:r w:rsidR="00FD6FB3">
        <w:t>[</w:t>
      </w:r>
      <w:r w:rsidR="00F17561">
        <w:t>T</w:t>
      </w:r>
      <w:r w:rsidR="00FD6FB3">
        <w:t>]</w:t>
      </w:r>
      <w:r w:rsidR="00611DE4">
        <w:t>he next morning</w:t>
      </w:r>
      <w:r w:rsidR="00F17561">
        <w:t>,</w:t>
      </w:r>
      <w:r w:rsidR="00FD6FB3">
        <w:t>”</w:t>
      </w:r>
      <w:r w:rsidR="00F17561">
        <w:t xml:space="preserve"> they “</w:t>
      </w:r>
      <w:r w:rsidR="00611DE4">
        <w:t xml:space="preserve">went 2 go get the shit [phone] unlocked!!” </w:t>
      </w:r>
      <w:r w:rsidR="0022531C">
        <w:t xml:space="preserve"> </w:t>
      </w:r>
      <w:r w:rsidR="00611DE4">
        <w:t>Besides urging Brown to stick to this story, Price advised, “O yea I hope u</w:t>
      </w:r>
      <w:r w:rsidR="00FD6FB3">
        <w:t xml:space="preserve"> </w:t>
      </w:r>
      <w:r w:rsidR="00611DE4">
        <w:t>b rpin up the</w:t>
      </w:r>
      <w:r w:rsidR="00C3636E">
        <w:t>a</w:t>
      </w:r>
      <w:r w:rsidR="00611DE4">
        <w:t xml:space="preserve">se letters 2 n they watchn us so we gone have </w:t>
      </w:r>
      <w:r w:rsidR="00FD6FB3">
        <w:t>a</w:t>
      </w:r>
      <w:r w:rsidR="00611DE4">
        <w:t xml:space="preserve"> be coo cuz I dnt wnt them 2 get us on some premadatated shit!!!</w:t>
      </w:r>
      <w:r w:rsidR="00F17561">
        <w:t>”</w:t>
      </w:r>
      <w:r w:rsidR="00C3636E">
        <w:t xml:space="preserve"> </w:t>
      </w:r>
      <w:r w:rsidR="001764BB">
        <w:t xml:space="preserve"> </w:t>
      </w:r>
      <w:r w:rsidR="00C3636E">
        <w:t>(</w:t>
      </w:r>
      <w:r w:rsidR="001764BB" w:rsidRPr="00CC703A">
        <w:rPr>
          <w:i/>
          <w:iCs/>
        </w:rPr>
        <w:t>Price I</w:t>
      </w:r>
      <w:r w:rsidR="001764BB">
        <w:t xml:space="preserve">, </w:t>
      </w:r>
      <w:r w:rsidR="001764BB">
        <w:rPr>
          <w:i/>
          <w:iCs/>
        </w:rPr>
        <w:t xml:space="preserve">supra, </w:t>
      </w:r>
      <w:r w:rsidR="001764BB">
        <w:t>8 Cal.App.5</w:t>
      </w:r>
      <w:r w:rsidR="001764BB" w:rsidRPr="009764F8">
        <w:t>th</w:t>
      </w:r>
      <w:r w:rsidR="00C3636E">
        <w:t xml:space="preserve"> at p. 425, fn. 7</w:t>
      </w:r>
      <w:r w:rsidR="001764BB">
        <w:t>.</w:t>
      </w:r>
      <w:r w:rsidR="00C3636E">
        <w:t>)</w:t>
      </w:r>
    </w:p>
    <w:p w14:paraId="1B69A9AD" w14:textId="4388D65B" w:rsidR="00554B78" w:rsidRDefault="00F255BF" w:rsidP="00AD3C03">
      <w:pPr>
        <w:spacing w:line="360" w:lineRule="auto"/>
        <w:ind w:firstLine="720"/>
      </w:pPr>
      <w:r>
        <w:t>At the conclusion of the trial, the judge instructed the jury on premeditated murder, felony murder, and aiding and abetting and conspiring to commit these offenses.</w:t>
      </w:r>
      <w:r w:rsidR="003967C0">
        <w:t xml:space="preserve"> </w:t>
      </w:r>
      <w:r w:rsidR="00FD6FB3">
        <w:t xml:space="preserve"> </w:t>
      </w:r>
      <w:r w:rsidR="00C13BAC">
        <w:t>(</w:t>
      </w:r>
      <w:r w:rsidRPr="00C13BAC">
        <w:rPr>
          <w:i/>
          <w:iCs/>
        </w:rPr>
        <w:t>Price I</w:t>
      </w:r>
      <w:r>
        <w:t xml:space="preserve">, </w:t>
      </w:r>
      <w:r w:rsidR="002B2C02">
        <w:rPr>
          <w:i/>
          <w:iCs/>
        </w:rPr>
        <w:t xml:space="preserve">supra, </w:t>
      </w:r>
      <w:r w:rsidR="00C13BAC">
        <w:t xml:space="preserve">8 Cal.App.5th at </w:t>
      </w:r>
      <w:r w:rsidR="002B2C02">
        <w:t xml:space="preserve">p. </w:t>
      </w:r>
      <w:r w:rsidR="00C13BAC">
        <w:t>426</w:t>
      </w:r>
      <w:r w:rsidR="00FD6FB3">
        <w:t xml:space="preserve">.)  </w:t>
      </w:r>
      <w:r w:rsidR="00C13BAC">
        <w:t>It also instructed the jury on robbery, aiding and abetting robbery,</w:t>
      </w:r>
      <w:r w:rsidR="00FD6FB3">
        <w:t xml:space="preserve"> </w:t>
      </w:r>
      <w:r w:rsidR="003C2F19">
        <w:t xml:space="preserve">conspiracy to commit robbery, </w:t>
      </w:r>
      <w:r w:rsidR="00C13BAC">
        <w:t>attempted robbery,</w:t>
      </w:r>
      <w:r w:rsidR="003C2F19">
        <w:t xml:space="preserve"> </w:t>
      </w:r>
      <w:r w:rsidR="00C13BAC">
        <w:t>firearm enhancement allegations and the special circumstance of murder committed in the course of a robbery.</w:t>
      </w:r>
      <w:r w:rsidR="003C2F19">
        <w:t xml:space="preserve"> </w:t>
      </w:r>
    </w:p>
    <w:p w14:paraId="32B2D5E5" w14:textId="003C0696" w:rsidR="00372176" w:rsidRDefault="00F255BF" w:rsidP="00D11D62">
      <w:pPr>
        <w:spacing w:line="360" w:lineRule="auto"/>
        <w:ind w:firstLine="720"/>
      </w:pPr>
      <w:r>
        <w:t>The jury convicted Price of robbery and first degree murder and found a robbery-murder special-circumstance allegation to be true, but</w:t>
      </w:r>
      <w:r w:rsidR="00811F65">
        <w:t xml:space="preserve"> it</w:t>
      </w:r>
      <w:r>
        <w:t xml:space="preserve"> rejected </w:t>
      </w:r>
      <w:r w:rsidR="00D11D62">
        <w:t xml:space="preserve">three </w:t>
      </w:r>
      <w:r w:rsidR="0022531C">
        <w:t xml:space="preserve">special </w:t>
      </w:r>
      <w:r>
        <w:t>allegations</w:t>
      </w:r>
      <w:r w:rsidR="00EE3254">
        <w:t xml:space="preserve"> as to both robbery and murder</w:t>
      </w:r>
      <w:r w:rsidR="00D11D62">
        <w:t xml:space="preserve">: </w:t>
      </w:r>
      <w:r w:rsidR="00195746">
        <w:t xml:space="preserve"> </w:t>
      </w:r>
      <w:r w:rsidR="00D11D62">
        <w:t>(a)</w:t>
      </w:r>
      <w:r>
        <w:t xml:space="preserve"> that Price </w:t>
      </w:r>
      <w:r w:rsidR="00D11D62">
        <w:t xml:space="preserve">“personally used a firearm,” </w:t>
      </w:r>
      <w:r w:rsidR="00A32523">
        <w:t xml:space="preserve">(b) that she </w:t>
      </w:r>
      <w:r w:rsidR="00D11D62">
        <w:t>“</w:t>
      </w:r>
      <w:r w:rsidR="0022531C">
        <w:t xml:space="preserve">intentionally and personally discharged a firearm” </w:t>
      </w:r>
      <w:r w:rsidR="00D11D62">
        <w:t>and</w:t>
      </w:r>
      <w:r w:rsidR="00A32523">
        <w:t xml:space="preserve"> (c) that she</w:t>
      </w:r>
      <w:r w:rsidR="0022531C">
        <w:t xml:space="preserve"> </w:t>
      </w:r>
      <w:r w:rsidR="004B6FB9">
        <w:t>“</w:t>
      </w:r>
      <w:r w:rsidR="0022531C">
        <w:t>caused great bodily injury and death to [Merrill].”</w:t>
      </w:r>
      <w:r w:rsidR="00811F65">
        <w:t xml:space="preserve"> </w:t>
      </w:r>
      <w:r w:rsidR="00D11D62">
        <w:t xml:space="preserve"> </w:t>
      </w:r>
      <w:r>
        <w:t xml:space="preserve">The court sentenced Price to life without parole as required by the special circumstance statute, Penal Code section 190.2. </w:t>
      </w:r>
      <w:r w:rsidR="00B70D95">
        <w:t xml:space="preserve"> </w:t>
      </w:r>
      <w:r>
        <w:t>(</w:t>
      </w:r>
      <w:r w:rsidRPr="006F7095">
        <w:rPr>
          <w:i/>
          <w:iCs/>
        </w:rPr>
        <w:t>Price I</w:t>
      </w:r>
      <w:r>
        <w:t xml:space="preserve">, </w:t>
      </w:r>
      <w:r w:rsidR="002B2C02">
        <w:rPr>
          <w:i/>
          <w:iCs/>
        </w:rPr>
        <w:t xml:space="preserve">supra, </w:t>
      </w:r>
      <w:r w:rsidR="002B2C02">
        <w:t>8</w:t>
      </w:r>
      <w:r w:rsidR="005C78C4">
        <w:t> </w:t>
      </w:r>
      <w:r w:rsidR="002B2C02">
        <w:t xml:space="preserve">Cal.App.5th </w:t>
      </w:r>
      <w:r>
        <w:t>at p.</w:t>
      </w:r>
      <w:r w:rsidR="002B2C02">
        <w:t xml:space="preserve"> </w:t>
      </w:r>
      <w:r>
        <w:t>414.)</w:t>
      </w:r>
      <w:r w:rsidR="00C13BAC">
        <w:t xml:space="preserve">  </w:t>
      </w:r>
    </w:p>
    <w:p w14:paraId="7D7A1B48" w14:textId="54078D4E" w:rsidR="002366FF" w:rsidRPr="00380F6C" w:rsidRDefault="00F255BF" w:rsidP="005C78C4">
      <w:pPr>
        <w:keepNext/>
        <w:spacing w:line="360" w:lineRule="auto"/>
        <w:jc w:val="center"/>
        <w:rPr>
          <w:b/>
          <w:bCs/>
        </w:rPr>
      </w:pPr>
      <w:r w:rsidRPr="00380F6C">
        <w:rPr>
          <w:b/>
          <w:bCs/>
        </w:rPr>
        <w:lastRenderedPageBreak/>
        <w:t>II.</w:t>
      </w:r>
    </w:p>
    <w:p w14:paraId="40C4DE26" w14:textId="7CAA9824" w:rsidR="002366FF" w:rsidRPr="00667A63" w:rsidRDefault="00F255BF" w:rsidP="005C78C4">
      <w:pPr>
        <w:keepNext/>
        <w:spacing w:line="360" w:lineRule="auto"/>
        <w:jc w:val="center"/>
        <w:rPr>
          <w:b/>
          <w:bCs/>
          <w:i/>
          <w:iCs/>
        </w:rPr>
      </w:pPr>
      <w:r w:rsidRPr="00667A63">
        <w:rPr>
          <w:b/>
          <w:bCs/>
          <w:i/>
          <w:iCs/>
        </w:rPr>
        <w:t>The Direct Appeal</w:t>
      </w:r>
      <w:r w:rsidR="008B62FF">
        <w:rPr>
          <w:b/>
          <w:bCs/>
          <w:i/>
          <w:iCs/>
        </w:rPr>
        <w:t xml:space="preserve"> in Price I</w:t>
      </w:r>
    </w:p>
    <w:p w14:paraId="5D69DC64" w14:textId="6FCF636C" w:rsidR="002366FF" w:rsidRDefault="00F255BF" w:rsidP="005C78C4">
      <w:pPr>
        <w:keepNext/>
        <w:spacing w:line="360" w:lineRule="auto"/>
        <w:ind w:firstLine="720"/>
      </w:pPr>
      <w:r>
        <w:t xml:space="preserve">On direct appeal </w:t>
      </w:r>
      <w:r w:rsidR="008B62FF">
        <w:t xml:space="preserve">in </w:t>
      </w:r>
      <w:r w:rsidR="008B62FF" w:rsidRPr="00380F6C">
        <w:rPr>
          <w:i/>
          <w:iCs/>
        </w:rPr>
        <w:t>Price I</w:t>
      </w:r>
      <w:r w:rsidR="008B62FF">
        <w:t>,</w:t>
      </w:r>
      <w:r>
        <w:t xml:space="preserve"> we addressed</w:t>
      </w:r>
      <w:r w:rsidR="00465C25">
        <w:t>, among others,</w:t>
      </w:r>
      <w:r>
        <w:t xml:space="preserve"> </w:t>
      </w:r>
      <w:r w:rsidR="00C15E97">
        <w:t>Price’s</w:t>
      </w:r>
      <w:r>
        <w:t xml:space="preserve"> claim that the </w:t>
      </w:r>
      <w:r w:rsidR="008B62FF">
        <w:t xml:space="preserve">jury’s robbery-murder </w:t>
      </w:r>
      <w:r>
        <w:t>special</w:t>
      </w:r>
      <w:r w:rsidR="007B1FD6">
        <w:t>-</w:t>
      </w:r>
      <w:r>
        <w:t xml:space="preserve">circumstance finding was not supported by substantial evidence.  She made </w:t>
      </w:r>
      <w:r w:rsidR="00C15E97">
        <w:t xml:space="preserve">an </w:t>
      </w:r>
      <w:r>
        <w:t xml:space="preserve">argument </w:t>
      </w:r>
      <w:r w:rsidR="00C15E97">
        <w:t xml:space="preserve">about the insufficiency of the evidence </w:t>
      </w:r>
      <w:r>
        <w:t>similar to those she raise</w:t>
      </w:r>
      <w:r w:rsidR="00A81B85">
        <w:t>d</w:t>
      </w:r>
      <w:r>
        <w:t xml:space="preserve"> </w:t>
      </w:r>
      <w:r w:rsidR="00A81B85">
        <w:t xml:space="preserve">in </w:t>
      </w:r>
      <w:r w:rsidR="00204776">
        <w:t xml:space="preserve">her </w:t>
      </w:r>
      <w:r w:rsidR="005C6DF5">
        <w:t xml:space="preserve">section </w:t>
      </w:r>
      <w:r w:rsidR="00204776">
        <w:t xml:space="preserve">1170.95 petition in </w:t>
      </w:r>
      <w:r w:rsidR="00A81B85">
        <w:t xml:space="preserve">the </w:t>
      </w:r>
      <w:r w:rsidR="005C6DF5">
        <w:t>s</w:t>
      </w:r>
      <w:r w:rsidR="00A81B85">
        <w:t xml:space="preserve">uperior </w:t>
      </w:r>
      <w:r w:rsidR="005C6DF5">
        <w:t>c</w:t>
      </w:r>
      <w:r w:rsidR="00A81B85">
        <w:t>ourt</w:t>
      </w:r>
      <w:r w:rsidR="00204776">
        <w:t xml:space="preserve">, which she </w:t>
      </w:r>
      <w:r w:rsidR="00EA49AB">
        <w:t>reprises on</w:t>
      </w:r>
      <w:r w:rsidR="00204776">
        <w:t xml:space="preserve"> appeal</w:t>
      </w:r>
      <w:r w:rsidR="00A81B85">
        <w:t xml:space="preserve">.  </w:t>
      </w:r>
      <w:r w:rsidR="00C15E97">
        <w:t xml:space="preserve">As we summarized it, </w:t>
      </w:r>
      <w:r w:rsidR="00A81B85">
        <w:t>“Price’s argument that the evidence here was insufficient focuses solely on section 190.2, subdivision (d), the reckless indifference and major participant requirements that provision imposes for felony</w:t>
      </w:r>
      <w:r w:rsidR="00DA74DC">
        <w:t>[-]</w:t>
      </w:r>
      <w:r w:rsidR="00A81B85">
        <w:t xml:space="preserve">murder participants who are not the actual killer and the </w:t>
      </w:r>
      <w:r w:rsidR="00A81B85" w:rsidRPr="00DB06FA">
        <w:rPr>
          <w:i/>
          <w:iCs/>
        </w:rPr>
        <w:t>Banks</w:t>
      </w:r>
      <w:r w:rsidR="00A81B85">
        <w:t xml:space="preserve"> factors that are considered on review of a special circumstance finding for a nonkiller.  She </w:t>
      </w:r>
      <w:r w:rsidR="00784235">
        <w:t>observes</w:t>
      </w:r>
      <w:r w:rsidR="00A81B85">
        <w:t xml:space="preserve"> that ‘[t]he jury expressly rejected Fells’s testimony appellant shot Merrill’ and that ‘[t]he court defers to the jury’s credibility determination.</w:t>
      </w:r>
      <w:r w:rsidR="00D930C3">
        <w:t xml:space="preserve">’ </w:t>
      </w:r>
      <w:r w:rsidR="00A81B85">
        <w:t xml:space="preserve">” </w:t>
      </w:r>
      <w:r w:rsidR="00DB06FA">
        <w:t xml:space="preserve"> </w:t>
      </w:r>
      <w:r w:rsidR="00784235">
        <w:t>(</w:t>
      </w:r>
      <w:r w:rsidR="00784235" w:rsidRPr="00784235">
        <w:rPr>
          <w:i/>
          <w:iCs/>
        </w:rPr>
        <w:t>Price I</w:t>
      </w:r>
      <w:r w:rsidR="00784235">
        <w:t xml:space="preserve">, </w:t>
      </w:r>
      <w:r w:rsidR="005C6DF5">
        <w:rPr>
          <w:i/>
          <w:iCs/>
        </w:rPr>
        <w:t xml:space="preserve">supra, </w:t>
      </w:r>
      <w:r w:rsidR="00784235">
        <w:t>8 Cal.App.5th at p. 452.)</w:t>
      </w:r>
    </w:p>
    <w:p w14:paraId="05F2652E" w14:textId="4583D07A" w:rsidR="009F229A" w:rsidRDefault="00F255BF" w:rsidP="002366FF">
      <w:pPr>
        <w:spacing w:line="360" w:lineRule="auto"/>
        <w:ind w:firstLine="720"/>
      </w:pPr>
      <w:r>
        <w:t>In responding to Price’s arguments</w:t>
      </w:r>
      <w:r w:rsidR="00437CAC">
        <w:t xml:space="preserve"> challenging the special circumstance finding</w:t>
      </w:r>
      <w:r>
        <w:t>,</w:t>
      </w:r>
      <w:r w:rsidRPr="008658AD">
        <w:rPr>
          <w:b/>
          <w:bCs/>
        </w:rPr>
        <w:t xml:space="preserve"> </w:t>
      </w:r>
      <w:r>
        <w:t>we discussed</w:t>
      </w:r>
      <w:r w:rsidR="00AB32E0">
        <w:t xml:space="preserve"> </w:t>
      </w:r>
      <w:r w:rsidR="00AB32E0" w:rsidRPr="00AB32E0">
        <w:rPr>
          <w:i/>
          <w:iCs/>
        </w:rPr>
        <w:t>Banks</w:t>
      </w:r>
      <w:r w:rsidR="00AB32E0">
        <w:t xml:space="preserve"> and </w:t>
      </w:r>
      <w:r w:rsidR="00AB32E0" w:rsidRPr="00AB32E0">
        <w:rPr>
          <w:i/>
          <w:iCs/>
        </w:rPr>
        <w:t>Clark</w:t>
      </w:r>
      <w:r w:rsidR="00AB32E0">
        <w:t xml:space="preserve"> at some length.</w:t>
      </w:r>
      <w:r>
        <w:rPr>
          <w:rStyle w:val="FootnoteReference"/>
          <w:b/>
          <w:bCs/>
        </w:rPr>
        <w:footnoteReference w:id="5"/>
      </w:r>
      <w:r w:rsidR="00AB32E0">
        <w:t xml:space="preserve">  (</w:t>
      </w:r>
      <w:r w:rsidR="00AB32E0" w:rsidRPr="00AB32E0">
        <w:rPr>
          <w:i/>
          <w:iCs/>
        </w:rPr>
        <w:t>Price</w:t>
      </w:r>
      <w:r w:rsidR="00C124C3">
        <w:rPr>
          <w:i/>
          <w:iCs/>
        </w:rPr>
        <w:t> </w:t>
      </w:r>
      <w:r w:rsidR="00AB32E0" w:rsidRPr="00AB32E0">
        <w:rPr>
          <w:i/>
          <w:iCs/>
        </w:rPr>
        <w:t>I</w:t>
      </w:r>
      <w:r w:rsidR="00AB32E0">
        <w:t xml:space="preserve">, </w:t>
      </w:r>
      <w:r w:rsidR="005C6DF5">
        <w:rPr>
          <w:i/>
          <w:iCs/>
        </w:rPr>
        <w:t xml:space="preserve">supra, </w:t>
      </w:r>
      <w:r w:rsidR="00AB32E0">
        <w:t xml:space="preserve">8 Cal.App.5th at pp. 447-451.)  </w:t>
      </w:r>
      <w:r>
        <w:t>Among other things, w</w:t>
      </w:r>
      <w:r w:rsidR="00AB32E0">
        <w:t xml:space="preserve">e </w:t>
      </w:r>
      <w:r>
        <w:t xml:space="preserve">concluded </w:t>
      </w:r>
      <w:r w:rsidR="00AB32E0">
        <w:t>that the jury’s not true finding</w:t>
      </w:r>
      <w:r w:rsidR="00A32523">
        <w:t>s</w:t>
      </w:r>
      <w:r w:rsidR="00AB32E0">
        <w:t xml:space="preserve"> regarding the </w:t>
      </w:r>
      <w:r w:rsidR="006659D6">
        <w:t xml:space="preserve">gun-related </w:t>
      </w:r>
      <w:r w:rsidR="00AB32E0">
        <w:t>allegations</w:t>
      </w:r>
      <w:r w:rsidR="008073D6">
        <w:t xml:space="preserve"> should not be considered on the separate question of the sufficiency of the evidence on the </w:t>
      </w:r>
      <w:r>
        <w:t xml:space="preserve">robbery-murder </w:t>
      </w:r>
      <w:r w:rsidR="008073D6">
        <w:t>special circumstance requirements.  (</w:t>
      </w:r>
      <w:r w:rsidR="008073D6" w:rsidRPr="008073D6">
        <w:rPr>
          <w:i/>
          <w:iCs/>
        </w:rPr>
        <w:t>Id</w:t>
      </w:r>
      <w:r w:rsidR="008073D6">
        <w:t>. at pp. 452-453</w:t>
      </w:r>
      <w:r w:rsidR="005C6DF5">
        <w:t xml:space="preserve">, </w:t>
      </w:r>
      <w:r w:rsidR="00A3630A">
        <w:t xml:space="preserve">citing </w:t>
      </w:r>
      <w:r w:rsidR="00A3630A" w:rsidRPr="00A3630A">
        <w:rPr>
          <w:i/>
          <w:iCs/>
        </w:rPr>
        <w:t>People v. Miranda</w:t>
      </w:r>
      <w:r w:rsidR="00A3630A">
        <w:t xml:space="preserve"> (2011) 192</w:t>
      </w:r>
      <w:r w:rsidR="00C124C3">
        <w:t> </w:t>
      </w:r>
      <w:r w:rsidR="00A3630A">
        <w:t>Cal.App.4th</w:t>
      </w:r>
      <w:r w:rsidR="00A3630A">
        <w:rPr>
          <w:vertAlign w:val="superscript"/>
        </w:rPr>
        <w:t xml:space="preserve"> </w:t>
      </w:r>
      <w:r w:rsidR="00A3630A">
        <w:t xml:space="preserve">398, 405-406 and </w:t>
      </w:r>
      <w:r w:rsidR="00A3630A" w:rsidRPr="00A3630A">
        <w:rPr>
          <w:i/>
          <w:iCs/>
        </w:rPr>
        <w:t>People v. Lewis</w:t>
      </w:r>
      <w:r w:rsidR="00A3630A">
        <w:t xml:space="preserve"> (2001) 25 Cal.4th 610, 656</w:t>
      </w:r>
      <w:r w:rsidR="008073D6">
        <w:t xml:space="preserve">.)  </w:t>
      </w:r>
      <w:r w:rsidR="00EC4877">
        <w:t xml:space="preserve">Under the rule set forth </w:t>
      </w:r>
      <w:r w:rsidR="00EC4877" w:rsidRPr="00660AB3">
        <w:t xml:space="preserve">in </w:t>
      </w:r>
      <w:r w:rsidR="00660AB3" w:rsidRPr="00660AB3">
        <w:t>those cases</w:t>
      </w:r>
      <w:r w:rsidR="00EC4877">
        <w:t>, “</w:t>
      </w:r>
      <w:r w:rsidR="005C6DF5">
        <w:t> </w:t>
      </w:r>
      <w:r w:rsidR="00EC4877">
        <w:t xml:space="preserve">‘Sufficiency-of-the-evidence review </w:t>
      </w:r>
      <w:r w:rsidR="00EC4877">
        <w:lastRenderedPageBreak/>
        <w:t>involves assessment by the courts of whether the evidence adduced at trial could support any rational determination of guilty beyond a reasonable doubt.</w:t>
      </w:r>
      <w:r w:rsidR="005C6DF5">
        <w:t xml:space="preserve"> </w:t>
      </w:r>
      <w:r w:rsidR="00EC4877">
        <w:t xml:space="preserve"> [Citations.]  This review should be independent of the jury’s determination that evidence on another count was insufficient.’ ”  (</w:t>
      </w:r>
      <w:r w:rsidR="00B97716">
        <w:rPr>
          <w:i/>
          <w:iCs/>
        </w:rPr>
        <w:t xml:space="preserve">People v. </w:t>
      </w:r>
      <w:r w:rsidR="00EC4877" w:rsidRPr="00660AB3">
        <w:rPr>
          <w:i/>
          <w:iCs/>
        </w:rPr>
        <w:t>Lewis</w:t>
      </w:r>
      <w:r w:rsidR="00EC4877">
        <w:t xml:space="preserve">, at p. 656.)  </w:t>
      </w:r>
      <w:r w:rsidR="008073D6">
        <w:t>In</w:t>
      </w:r>
      <w:r w:rsidR="00660AB3">
        <w:t xml:space="preserve"> </w:t>
      </w:r>
      <w:r w:rsidR="00660AB3" w:rsidRPr="00660AB3">
        <w:rPr>
          <w:i/>
          <w:iCs/>
        </w:rPr>
        <w:t>Price I</w:t>
      </w:r>
      <w:r w:rsidR="008073D6">
        <w:t>, we looked at “all of the evidence presented to the jury regarding Price’s role in the murder, including evidence indicating Price was the actual shooter” (</w:t>
      </w:r>
      <w:r w:rsidR="00660AB3">
        <w:rPr>
          <w:i/>
          <w:iCs/>
        </w:rPr>
        <w:t xml:space="preserve">Price I, </w:t>
      </w:r>
      <w:r w:rsidR="00660AB3">
        <w:t>at pp.</w:t>
      </w:r>
      <w:r w:rsidR="00AB12F7">
        <w:t> </w:t>
      </w:r>
      <w:r w:rsidR="00660AB3">
        <w:t>452-453</w:t>
      </w:r>
      <w:r w:rsidR="008073D6">
        <w:t>), “actually intended that Merrill would be killed” (</w:t>
      </w:r>
      <w:r w:rsidR="008073D6" w:rsidRPr="008073D6">
        <w:rPr>
          <w:i/>
          <w:iCs/>
        </w:rPr>
        <w:t>id</w:t>
      </w:r>
      <w:r w:rsidR="008073D6">
        <w:t>. at p. 453) and “played the most prominent role both in planning to rob Merrill and in robbing him and killing him.”  (</w:t>
      </w:r>
      <w:r w:rsidR="00660AB3">
        <w:rPr>
          <w:i/>
          <w:iCs/>
        </w:rPr>
        <w:t>I</w:t>
      </w:r>
      <w:r w:rsidR="00A83116">
        <w:rPr>
          <w:i/>
          <w:iCs/>
        </w:rPr>
        <w:t>bi</w:t>
      </w:r>
      <w:r w:rsidR="00660AB3">
        <w:rPr>
          <w:i/>
          <w:iCs/>
        </w:rPr>
        <w:t>d</w:t>
      </w:r>
      <w:r w:rsidR="008073D6">
        <w:t xml:space="preserve">.)  </w:t>
      </w:r>
      <w:r w:rsidR="00686D88">
        <w:t>Given that substantial evidence supported the findings that Price was the actual killer and intended to kill Merrill, w</w:t>
      </w:r>
      <w:r w:rsidR="008073D6">
        <w:t>e</w:t>
      </w:r>
      <w:r w:rsidR="00372176">
        <w:t xml:space="preserve"> </w:t>
      </w:r>
      <w:r w:rsidR="008073D6">
        <w:t xml:space="preserve">concluded </w:t>
      </w:r>
      <w:r w:rsidR="00686D88">
        <w:t>there w</w:t>
      </w:r>
      <w:r w:rsidR="00A83116">
        <w:t>ere</w:t>
      </w:r>
      <w:r w:rsidR="00686D88">
        <w:t xml:space="preserve"> “</w:t>
      </w:r>
      <w:r w:rsidR="008073D6">
        <w:t xml:space="preserve">more than sufficient </w:t>
      </w:r>
      <w:r w:rsidR="00A83116">
        <w:t xml:space="preserve">[facts] </w:t>
      </w:r>
      <w:r w:rsidR="008073D6">
        <w:t>to support the jury’s true finding as to Price on the felony-murder special circumstance.”  (</w:t>
      </w:r>
      <w:r w:rsidR="008073D6" w:rsidRPr="008073D6">
        <w:rPr>
          <w:i/>
          <w:iCs/>
        </w:rPr>
        <w:t>Id</w:t>
      </w:r>
      <w:r w:rsidR="008073D6">
        <w:t xml:space="preserve">. at </w:t>
      </w:r>
      <w:r w:rsidR="00686D88">
        <w:t>p</w:t>
      </w:r>
      <w:r w:rsidR="008073D6">
        <w:t>p.</w:t>
      </w:r>
      <w:r w:rsidR="00A83116">
        <w:t> </w:t>
      </w:r>
      <w:r w:rsidR="00686D88">
        <w:t>452-</w:t>
      </w:r>
      <w:r w:rsidR="008073D6">
        <w:t>454.)</w:t>
      </w:r>
      <w:r w:rsidR="00A3630A">
        <w:t xml:space="preserve">  </w:t>
      </w:r>
      <w:r w:rsidR="00686D88">
        <w:t>B</w:t>
      </w:r>
      <w:r w:rsidR="00372176">
        <w:t>ecause the</w:t>
      </w:r>
      <w:r w:rsidR="00665C70">
        <w:t>re was sufficient</w:t>
      </w:r>
      <w:r w:rsidR="00372176">
        <w:t xml:space="preserve"> evidence </w:t>
      </w:r>
      <w:r w:rsidR="00204776">
        <w:t xml:space="preserve">that Price was the killer and that she </w:t>
      </w:r>
      <w:r w:rsidR="00437CAC">
        <w:t xml:space="preserve">aided and abetted the felony murder with </w:t>
      </w:r>
      <w:r w:rsidR="00204776">
        <w:t>the</w:t>
      </w:r>
      <w:r w:rsidR="00372176">
        <w:t xml:space="preserve"> intent to kill</w:t>
      </w:r>
      <w:r w:rsidR="00B70D95">
        <w:t xml:space="preserve">, </w:t>
      </w:r>
      <w:r w:rsidR="00686D88">
        <w:t xml:space="preserve">we concluded </w:t>
      </w:r>
      <w:r w:rsidR="00204776">
        <w:t>it was unnecessary</w:t>
      </w:r>
      <w:r w:rsidR="00372176">
        <w:t xml:space="preserve"> to decide whether the evidence supported a finding that she acted with reckless </w:t>
      </w:r>
      <w:r w:rsidR="005958EF">
        <w:t>indifference</w:t>
      </w:r>
      <w:r w:rsidR="00372176">
        <w:t xml:space="preserve"> within the meaning of </w:t>
      </w:r>
      <w:r w:rsidR="00372176" w:rsidRPr="00F76054">
        <w:rPr>
          <w:i/>
          <w:iCs/>
        </w:rPr>
        <w:t>Banks</w:t>
      </w:r>
      <w:r w:rsidR="00372176">
        <w:t xml:space="preserve"> and </w:t>
      </w:r>
      <w:r w:rsidR="00372176" w:rsidRPr="00F76054">
        <w:rPr>
          <w:i/>
          <w:iCs/>
        </w:rPr>
        <w:t>Clark</w:t>
      </w:r>
      <w:r w:rsidR="00372176">
        <w:t>.</w:t>
      </w:r>
      <w:r>
        <w:rPr>
          <w:rStyle w:val="FootnoteReference"/>
          <w:b/>
          <w:bCs/>
        </w:rPr>
        <w:footnoteReference w:id="6"/>
      </w:r>
      <w:r w:rsidR="00FD1EC3">
        <w:t xml:space="preserve"> </w:t>
      </w:r>
      <w:r w:rsidR="00665C70">
        <w:t xml:space="preserve"> (</w:t>
      </w:r>
      <w:r w:rsidR="00A83116">
        <w:rPr>
          <w:i/>
          <w:iCs/>
        </w:rPr>
        <w:t>Price I,</w:t>
      </w:r>
      <w:r w:rsidR="00665C70">
        <w:t xml:space="preserve"> at </w:t>
      </w:r>
      <w:r w:rsidR="00A83116">
        <w:t xml:space="preserve">pp. </w:t>
      </w:r>
      <w:r w:rsidR="00665C70">
        <w:t>453-454</w:t>
      </w:r>
      <w:r w:rsidR="00B70D95">
        <w:t xml:space="preserve"> &amp; fn. 22.)  </w:t>
      </w:r>
    </w:p>
    <w:p w14:paraId="25F1D6C7" w14:textId="2AC695B6" w:rsidR="00AB32E0" w:rsidRDefault="00F255BF" w:rsidP="002366FF">
      <w:pPr>
        <w:spacing w:line="360" w:lineRule="auto"/>
        <w:ind w:firstLine="720"/>
      </w:pPr>
      <w:r>
        <w:t>As</w:t>
      </w:r>
      <w:r w:rsidR="00372176">
        <w:t xml:space="preserve"> we will discuss further below,</w:t>
      </w:r>
      <w:r w:rsidR="00E825C0">
        <w:t xml:space="preserve"> </w:t>
      </w:r>
      <w:r>
        <w:t xml:space="preserve">we now conclude that </w:t>
      </w:r>
      <w:r w:rsidR="00A32523">
        <w:t xml:space="preserve">substantial </w:t>
      </w:r>
      <w:r w:rsidR="00E825C0">
        <w:t>evidence</w:t>
      </w:r>
      <w:r w:rsidR="002A2D76">
        <w:t xml:space="preserve"> also</w:t>
      </w:r>
      <w:r w:rsidR="00E825C0">
        <w:t xml:space="preserve"> supported a finding </w:t>
      </w:r>
      <w:r w:rsidR="00A32523">
        <w:t xml:space="preserve">that Price was </w:t>
      </w:r>
      <w:r w:rsidR="00B70D95">
        <w:t xml:space="preserve">both </w:t>
      </w:r>
      <w:r w:rsidR="00A32523">
        <w:t>a major participant</w:t>
      </w:r>
      <w:r w:rsidR="00B70D95">
        <w:t xml:space="preserve"> in </w:t>
      </w:r>
      <w:r w:rsidR="00B70D95">
        <w:lastRenderedPageBreak/>
        <w:t>the felony murder</w:t>
      </w:r>
      <w:r w:rsidR="00A32523">
        <w:t xml:space="preserve"> and acted with</w:t>
      </w:r>
      <w:r w:rsidR="00E825C0">
        <w:t xml:space="preserve"> reckless </w:t>
      </w:r>
      <w:r w:rsidR="00C124C3">
        <w:t>indifference</w:t>
      </w:r>
      <w:r>
        <w:t xml:space="preserve"> </w:t>
      </w:r>
      <w:r w:rsidR="00A32523">
        <w:t xml:space="preserve">for human life, </w:t>
      </w:r>
      <w:r w:rsidR="002A2D76">
        <w:t>and thus</w:t>
      </w:r>
      <w:r w:rsidR="000E5F42">
        <w:t xml:space="preserve"> </w:t>
      </w:r>
      <w:r>
        <w:t>the jury’s special circumstance finding</w:t>
      </w:r>
      <w:r w:rsidR="002A2D76">
        <w:t xml:space="preserve"> is supported under any of the three possible bases on which the jury could have relied</w:t>
      </w:r>
      <w:r w:rsidR="000E5F42">
        <w:t xml:space="preserve">. </w:t>
      </w:r>
      <w:r w:rsidR="00B70D95">
        <w:t xml:space="preserve"> </w:t>
      </w:r>
    </w:p>
    <w:p w14:paraId="346B3AB1" w14:textId="24266FE9" w:rsidR="00465C25" w:rsidRPr="006659D6" w:rsidRDefault="00F255BF" w:rsidP="00465C25">
      <w:pPr>
        <w:spacing w:line="360" w:lineRule="auto"/>
        <w:jc w:val="center"/>
        <w:rPr>
          <w:b/>
          <w:bCs/>
        </w:rPr>
      </w:pPr>
      <w:r w:rsidRPr="006659D6">
        <w:rPr>
          <w:b/>
          <w:bCs/>
        </w:rPr>
        <w:t>III.</w:t>
      </w:r>
    </w:p>
    <w:p w14:paraId="71A00533" w14:textId="446362F3" w:rsidR="00465C25" w:rsidRPr="00465C25" w:rsidRDefault="00F255BF" w:rsidP="00465C25">
      <w:pPr>
        <w:spacing w:line="360" w:lineRule="auto"/>
        <w:jc w:val="center"/>
        <w:rPr>
          <w:b/>
          <w:bCs/>
          <w:i/>
          <w:iCs/>
        </w:rPr>
      </w:pPr>
      <w:r>
        <w:rPr>
          <w:b/>
          <w:bCs/>
          <w:i/>
          <w:iCs/>
        </w:rPr>
        <w:t xml:space="preserve">The </w:t>
      </w:r>
      <w:r w:rsidR="00BA41BD">
        <w:rPr>
          <w:b/>
          <w:bCs/>
          <w:i/>
          <w:iCs/>
        </w:rPr>
        <w:t>Section 1170.95</w:t>
      </w:r>
      <w:r>
        <w:rPr>
          <w:b/>
          <w:bCs/>
          <w:i/>
          <w:iCs/>
        </w:rPr>
        <w:t xml:space="preserve"> Proceedings</w:t>
      </w:r>
    </w:p>
    <w:p w14:paraId="5CCBCDB0" w14:textId="4C1E6A9E" w:rsidR="00F76054" w:rsidRDefault="00F255BF" w:rsidP="00DB6566">
      <w:pPr>
        <w:spacing w:line="360" w:lineRule="auto"/>
        <w:ind w:firstLine="720"/>
      </w:pPr>
      <w:r>
        <w:t xml:space="preserve">In March 2019, Price, representing herself, filed </w:t>
      </w:r>
      <w:r w:rsidR="008F6AE7">
        <w:t>her section 1170.95</w:t>
      </w:r>
      <w:r>
        <w:t xml:space="preserve"> petition.  The district attorney filed an opposition </w:t>
      </w:r>
      <w:r w:rsidR="008F6AE7">
        <w:t>and</w:t>
      </w:r>
      <w:r>
        <w:t xml:space="preserve"> the court appointed </w:t>
      </w:r>
      <w:r w:rsidR="008F6AE7">
        <w:t>counsel</w:t>
      </w:r>
      <w:r>
        <w:t xml:space="preserve"> to represent Price.  The </w:t>
      </w:r>
      <w:r w:rsidR="00DB6566">
        <w:t xml:space="preserve">judge who presided </w:t>
      </w:r>
      <w:r w:rsidR="001C3A50">
        <w:t>at</w:t>
      </w:r>
      <w:r w:rsidR="00DB6566">
        <w:t xml:space="preserve"> Price’s trial ruled on the petition in November 2019. </w:t>
      </w:r>
      <w:r w:rsidR="00A83116">
        <w:t xml:space="preserve"> (</w:t>
      </w:r>
      <w:r w:rsidR="00A83116">
        <w:rPr>
          <w:i/>
          <w:iCs/>
        </w:rPr>
        <w:t xml:space="preserve">Price I, supra, </w:t>
      </w:r>
      <w:r w:rsidR="00A83116">
        <w:t>8</w:t>
      </w:r>
      <w:r w:rsidR="005C78C4">
        <w:t xml:space="preserve"> </w:t>
      </w:r>
      <w:r w:rsidR="00A83116">
        <w:t>Cal.App.5</w:t>
      </w:r>
      <w:r w:rsidR="00A83116" w:rsidRPr="00A83116">
        <w:t>th</w:t>
      </w:r>
      <w:r w:rsidR="00A83116">
        <w:t xml:space="preserve"> at p. 409.) </w:t>
      </w:r>
      <w:r w:rsidR="00DB6566">
        <w:t xml:space="preserve"> </w:t>
      </w:r>
    </w:p>
    <w:p w14:paraId="0E25877E" w14:textId="225A7188" w:rsidR="003F1230" w:rsidRDefault="00F255BF" w:rsidP="00DB6566">
      <w:pPr>
        <w:spacing w:line="360" w:lineRule="auto"/>
        <w:ind w:firstLine="720"/>
      </w:pPr>
      <w:r>
        <w:t xml:space="preserve">The court took judicial notice of its file in the case and of </w:t>
      </w:r>
      <w:r w:rsidR="001C3A50">
        <w:t>our</w:t>
      </w:r>
      <w:r>
        <w:t xml:space="preserve"> opinion </w:t>
      </w:r>
      <w:r w:rsidR="001C3A50">
        <w:t xml:space="preserve">in </w:t>
      </w:r>
      <w:r w:rsidR="001C3A50" w:rsidRPr="001C3A50">
        <w:rPr>
          <w:i/>
          <w:iCs/>
        </w:rPr>
        <w:t>Price I</w:t>
      </w:r>
      <w:r w:rsidR="001C3A50">
        <w:t>.</w:t>
      </w:r>
      <w:r w:rsidR="00465C25">
        <w:t xml:space="preserve"> </w:t>
      </w:r>
      <w:r w:rsidR="00F76054">
        <w:t xml:space="preserve"> As we have said, based on our holding in </w:t>
      </w:r>
      <w:r w:rsidR="00F76054" w:rsidRPr="00F76054">
        <w:rPr>
          <w:i/>
          <w:iCs/>
        </w:rPr>
        <w:t>Price I</w:t>
      </w:r>
      <w:r w:rsidR="00F76054">
        <w:t>, the trial court denied the petition because the record established “the clear viability of a prosecution for felony-murder with a special circumstance.”</w:t>
      </w:r>
    </w:p>
    <w:p w14:paraId="67DB2F24" w14:textId="52F4C82A" w:rsidR="00F76054" w:rsidRDefault="00F255BF" w:rsidP="00B70D95">
      <w:pPr>
        <w:tabs>
          <w:tab w:val="left" w:pos="4050"/>
        </w:tabs>
        <w:spacing w:line="360" w:lineRule="auto"/>
        <w:ind w:firstLine="720"/>
      </w:pPr>
      <w:r>
        <w:t>Price timely appealed from the trial court’s denial of her petition.</w:t>
      </w:r>
    </w:p>
    <w:p w14:paraId="20B7C419" w14:textId="67DF51EC" w:rsidR="002366FF" w:rsidRDefault="00F255BF" w:rsidP="00F23F84">
      <w:pPr>
        <w:spacing w:line="360" w:lineRule="auto"/>
        <w:jc w:val="center"/>
        <w:rPr>
          <w:b/>
          <w:bCs/>
        </w:rPr>
      </w:pPr>
      <w:r w:rsidRPr="00F23F84">
        <w:rPr>
          <w:b/>
          <w:bCs/>
        </w:rPr>
        <w:t>DISCUSSION</w:t>
      </w:r>
    </w:p>
    <w:p w14:paraId="7D56C5C3" w14:textId="67606B4C" w:rsidR="00F23F84" w:rsidRDefault="00F255BF" w:rsidP="00F23F84">
      <w:pPr>
        <w:spacing w:line="360" w:lineRule="auto"/>
        <w:jc w:val="center"/>
        <w:rPr>
          <w:b/>
          <w:bCs/>
        </w:rPr>
      </w:pPr>
      <w:r w:rsidRPr="006659D6">
        <w:rPr>
          <w:b/>
          <w:bCs/>
        </w:rPr>
        <w:t>I.</w:t>
      </w:r>
    </w:p>
    <w:p w14:paraId="790128A9" w14:textId="0FD157AE" w:rsidR="000E6D18" w:rsidRPr="000E6D18" w:rsidRDefault="00F255BF" w:rsidP="00F23F84">
      <w:pPr>
        <w:spacing w:line="360" w:lineRule="auto"/>
        <w:jc w:val="center"/>
        <w:rPr>
          <w:b/>
          <w:bCs/>
          <w:i/>
          <w:iCs/>
        </w:rPr>
      </w:pPr>
      <w:r w:rsidRPr="000E6D18">
        <w:rPr>
          <w:b/>
          <w:bCs/>
          <w:i/>
          <w:iCs/>
        </w:rPr>
        <w:t>Legal Background</w:t>
      </w:r>
    </w:p>
    <w:p w14:paraId="37443B0E" w14:textId="45ECFC81" w:rsidR="00784235" w:rsidRPr="000E6D18" w:rsidRDefault="00F255BF" w:rsidP="00CD17E7">
      <w:pPr>
        <w:pStyle w:val="ListParagraph"/>
        <w:numPr>
          <w:ilvl w:val="0"/>
          <w:numId w:val="2"/>
        </w:numPr>
        <w:spacing w:after="120" w:line="240" w:lineRule="auto"/>
        <w:ind w:left="1080"/>
        <w:rPr>
          <w:b/>
          <w:bCs/>
        </w:rPr>
      </w:pPr>
      <w:r w:rsidRPr="000E6D18">
        <w:rPr>
          <w:b/>
          <w:bCs/>
        </w:rPr>
        <w:t>The Felony-Murder Special Circumstanc</w:t>
      </w:r>
      <w:r w:rsidR="000E6D18" w:rsidRPr="000E6D18">
        <w:rPr>
          <w:b/>
          <w:bCs/>
        </w:rPr>
        <w:t xml:space="preserve">e </w:t>
      </w:r>
      <w:r w:rsidR="00CD17E7">
        <w:rPr>
          <w:b/>
          <w:bCs/>
        </w:rPr>
        <w:t>a</w:t>
      </w:r>
      <w:r w:rsidRPr="000E6D18">
        <w:rPr>
          <w:b/>
          <w:bCs/>
        </w:rPr>
        <w:t xml:space="preserve">nd </w:t>
      </w:r>
      <w:r w:rsidR="00CD17E7">
        <w:rPr>
          <w:b/>
          <w:bCs/>
        </w:rPr>
        <w:t>t</w:t>
      </w:r>
      <w:r w:rsidR="000E6D18" w:rsidRPr="000E6D18">
        <w:rPr>
          <w:b/>
          <w:bCs/>
        </w:rPr>
        <w:t xml:space="preserve">he </w:t>
      </w:r>
      <w:r w:rsidRPr="00CD17E7">
        <w:rPr>
          <w:b/>
          <w:bCs/>
          <w:i/>
          <w:iCs/>
        </w:rPr>
        <w:t>Banks</w:t>
      </w:r>
      <w:r w:rsidRPr="000E6D18">
        <w:rPr>
          <w:b/>
          <w:bCs/>
        </w:rPr>
        <w:t xml:space="preserve"> and </w:t>
      </w:r>
      <w:r w:rsidRPr="00CD17E7">
        <w:rPr>
          <w:b/>
          <w:bCs/>
          <w:i/>
          <w:iCs/>
        </w:rPr>
        <w:t>Clark</w:t>
      </w:r>
      <w:r w:rsidRPr="000E6D18">
        <w:rPr>
          <w:b/>
          <w:bCs/>
        </w:rPr>
        <w:t xml:space="preserve"> Decisions Interpreting It</w:t>
      </w:r>
    </w:p>
    <w:p w14:paraId="4F9A557C" w14:textId="0082B9BB" w:rsidR="00784235" w:rsidRDefault="00F255BF" w:rsidP="00784235">
      <w:pPr>
        <w:spacing w:line="360" w:lineRule="auto"/>
        <w:ind w:firstLine="720"/>
      </w:pPr>
      <w:r>
        <w:t xml:space="preserve">The special circumstances </w:t>
      </w:r>
      <w:r w:rsidR="0097092D">
        <w:t>statute</w:t>
      </w:r>
      <w:r w:rsidR="00D544FD">
        <w:t>s</w:t>
      </w:r>
      <w:r>
        <w:t xml:space="preserve"> that </w:t>
      </w:r>
      <w:r w:rsidR="00D544FD">
        <w:t>are</w:t>
      </w:r>
      <w:r>
        <w:t xml:space="preserve"> at the heart of this appeal (and </w:t>
      </w:r>
      <w:r w:rsidRPr="00E02368">
        <w:rPr>
          <w:i/>
          <w:iCs/>
        </w:rPr>
        <w:t>Price I</w:t>
      </w:r>
      <w:r>
        <w:t>)</w:t>
      </w:r>
      <w:r w:rsidR="005C78C4">
        <w:t>—</w:t>
      </w:r>
      <w:r w:rsidR="0097092D">
        <w:t>sections</w:t>
      </w:r>
      <w:r>
        <w:t> 190.1, 190.2, 190.3 and 190.4</w:t>
      </w:r>
      <w:r w:rsidR="005C78C4">
        <w:t>—</w:t>
      </w:r>
      <w:r>
        <w:t>w</w:t>
      </w:r>
      <w:r w:rsidR="0097092D">
        <w:t>ere</w:t>
      </w:r>
      <w:r>
        <w:t xml:space="preserve"> amended by the voters through the initiative process in 1990 to, among other things, extend death penalty and life without parole sentences to major participants in felony murders who act with reckless </w:t>
      </w:r>
      <w:r w:rsidR="005958EF">
        <w:t>indifference</w:t>
      </w:r>
      <w:r>
        <w:t xml:space="preserve"> for human life.  (</w:t>
      </w:r>
      <w:r w:rsidRPr="00C24753">
        <w:rPr>
          <w:i/>
          <w:iCs/>
        </w:rPr>
        <w:t>Raven v. Deukmejian</w:t>
      </w:r>
      <w:r>
        <w:t xml:space="preserve"> (1990) 52 Cal.3d 336, 342, </w:t>
      </w:r>
      <w:r w:rsidR="00BA4E7C">
        <w:t>344-</w:t>
      </w:r>
      <w:r>
        <w:t>345; see §</w:t>
      </w:r>
      <w:r w:rsidR="00CD17E7">
        <w:t xml:space="preserve"> </w:t>
      </w:r>
      <w:r>
        <w:t xml:space="preserve">190.2.)  Section 190.2 provides that a defendant found guilty of first degree murder shall be punished by death or life without the possibility of parole under specified “special circumstances.”  (§ 190.2, subd (a).)  One such circumstance is that </w:t>
      </w:r>
      <w:r>
        <w:lastRenderedPageBreak/>
        <w:t>the murder was committed while the defendant was engaged in, was an accomplice in, or was in immediate flight after, the commission or attempted commission of specified felonies, including robbery.  (</w:t>
      </w:r>
      <w:r w:rsidRPr="0097059E">
        <w:rPr>
          <w:i/>
          <w:iCs/>
        </w:rPr>
        <w:t>Id</w:t>
      </w:r>
      <w:r>
        <w:t xml:space="preserve">., subd. (a)(17)(A).)  The section further specifies that unless a special circumstance requires </w:t>
      </w:r>
      <w:r w:rsidR="002A2D76">
        <w:t>it</w:t>
      </w:r>
      <w:r>
        <w:t xml:space="preserve">, </w:t>
      </w:r>
      <w:r w:rsidRPr="00B70D95">
        <w:t>the actual killer</w:t>
      </w:r>
      <w:r>
        <w:t xml:space="preserve"> need not have had any intent to kill to be subject to the heightened punishment</w:t>
      </w:r>
      <w:r w:rsidR="002A2D76">
        <w:t xml:space="preserve">. </w:t>
      </w:r>
      <w:r>
        <w:t xml:space="preserve"> (</w:t>
      </w:r>
      <w:r w:rsidR="002A2D76">
        <w:rPr>
          <w:i/>
          <w:iCs/>
        </w:rPr>
        <w:t>I</w:t>
      </w:r>
      <w:r w:rsidRPr="0097059E">
        <w:rPr>
          <w:i/>
          <w:iCs/>
        </w:rPr>
        <w:t>d</w:t>
      </w:r>
      <w:r>
        <w:t>., subd. (b)</w:t>
      </w:r>
      <w:r w:rsidR="002A2D76">
        <w:t>.</w:t>
      </w:r>
      <w:r>
        <w:t xml:space="preserve">) </w:t>
      </w:r>
      <w:r w:rsidR="002A2D76">
        <w:t xml:space="preserve"> A</w:t>
      </w:r>
      <w:r w:rsidRPr="00B70D95">
        <w:t xml:space="preserve"> person other than the actual killer </w:t>
      </w:r>
      <w:r>
        <w:t xml:space="preserve">is subject to the heightened punishment if he or she either: </w:t>
      </w:r>
      <w:r w:rsidR="00CD17E7">
        <w:t xml:space="preserve"> </w:t>
      </w:r>
      <w:r>
        <w:t>“</w:t>
      </w:r>
      <w:r w:rsidRPr="00B70D95">
        <w:t>with the intent to kill</w:t>
      </w:r>
      <w:r>
        <w:t xml:space="preserve"> aids, abets, counsels, commands, induces, solicits, requests, or assists any actor in the commission of murder</w:t>
      </w:r>
      <w:r w:rsidR="00CD17E7">
        <w:t xml:space="preserve"> in the first degree</w:t>
      </w:r>
      <w:r>
        <w:t>” (</w:t>
      </w:r>
      <w:r w:rsidRPr="00396635">
        <w:rPr>
          <w:i/>
          <w:iCs/>
        </w:rPr>
        <w:t>id</w:t>
      </w:r>
      <w:r>
        <w:t>., subd</w:t>
      </w:r>
      <w:r w:rsidR="00CD17E7">
        <w:t> </w:t>
      </w:r>
      <w:r>
        <w:t xml:space="preserve"> (c)), or “with reckless indifference to human life and as a major participant, aids, abets, counsels, commands, induces, solicits, requests, or assists in the commission of” the felony that results in the death.</w:t>
      </w:r>
      <w:r w:rsidR="00C71ABC">
        <w:t>”</w:t>
      </w:r>
      <w:r>
        <w:t xml:space="preserve">  (</w:t>
      </w:r>
      <w:r w:rsidRPr="000A40D8">
        <w:rPr>
          <w:i/>
          <w:iCs/>
        </w:rPr>
        <w:t>Id</w:t>
      </w:r>
      <w:r>
        <w:t>., subd.</w:t>
      </w:r>
      <w:r w:rsidR="00CD77FF">
        <w:t> </w:t>
      </w:r>
      <w:r>
        <w:t xml:space="preserve">(d).)  </w:t>
      </w:r>
    </w:p>
    <w:p w14:paraId="6ECE683C" w14:textId="3D14218A" w:rsidR="00784235" w:rsidRPr="00DF1E4D" w:rsidRDefault="00F255BF" w:rsidP="00784235">
      <w:pPr>
        <w:spacing w:line="360" w:lineRule="auto"/>
        <w:ind w:firstLine="720"/>
      </w:pPr>
      <w:r w:rsidRPr="00DF1E4D">
        <w:t xml:space="preserve">In 2015 and 2016, our Supreme Court in </w:t>
      </w:r>
      <w:r w:rsidRPr="00DF1E4D">
        <w:rPr>
          <w:i/>
          <w:iCs/>
        </w:rPr>
        <w:t>Banks</w:t>
      </w:r>
      <w:r w:rsidRPr="00DF1E4D">
        <w:t xml:space="preserve"> and </w:t>
      </w:r>
      <w:r w:rsidRPr="00DF1E4D">
        <w:rPr>
          <w:i/>
          <w:iCs/>
        </w:rPr>
        <w:t>Clark</w:t>
      </w:r>
      <w:r w:rsidRPr="00DF1E4D">
        <w:t xml:space="preserve"> interpreted the “major participant” and “reckless </w:t>
      </w:r>
      <w:r w:rsidR="00DC72F5">
        <w:t>indifference</w:t>
      </w:r>
      <w:r w:rsidRPr="00DF1E4D">
        <w:t xml:space="preserve">” language in section 190.2 to incorporate standards the United States Supreme Court had adopted under the Eighth Amendment </w:t>
      </w:r>
      <w:r w:rsidR="00382CCF" w:rsidRPr="00DF1E4D">
        <w:t xml:space="preserve">about three decades earlier </w:t>
      </w:r>
      <w:r w:rsidRPr="00DF1E4D">
        <w:t xml:space="preserve">in </w:t>
      </w:r>
      <w:r w:rsidRPr="00DF1E4D">
        <w:rPr>
          <w:i/>
          <w:iCs/>
        </w:rPr>
        <w:t>Tison v. Arizona</w:t>
      </w:r>
      <w:r w:rsidRPr="00DF1E4D">
        <w:t xml:space="preserve"> (1987) 481 U.S. 137 and </w:t>
      </w:r>
      <w:r w:rsidRPr="00DF1E4D">
        <w:rPr>
          <w:i/>
          <w:iCs/>
        </w:rPr>
        <w:t>Enmund v. Florida</w:t>
      </w:r>
      <w:r w:rsidRPr="00DF1E4D">
        <w:t xml:space="preserve"> (1982) 458 U.S. 782</w:t>
      </w:r>
      <w:r w:rsidR="002A2D76">
        <w:t>,</w:t>
      </w:r>
      <w:r w:rsidRPr="00DF1E4D">
        <w:t xml:space="preserve"> </w:t>
      </w:r>
      <w:r w:rsidR="00382CCF" w:rsidRPr="00DF1E4D">
        <w:t>establishing the minimum level of</w:t>
      </w:r>
      <w:r w:rsidRPr="00DF1E4D">
        <w:t xml:space="preserve"> culpability necessary to impose the death penalty.  (</w:t>
      </w:r>
      <w:r w:rsidRPr="00DF1E4D">
        <w:rPr>
          <w:i/>
          <w:iCs/>
        </w:rPr>
        <w:t>Banks</w:t>
      </w:r>
      <w:r w:rsidRPr="00DF1E4D">
        <w:t xml:space="preserve">, </w:t>
      </w:r>
      <w:r w:rsidRPr="00DF1E4D">
        <w:rPr>
          <w:i/>
          <w:iCs/>
        </w:rPr>
        <w:t>supra</w:t>
      </w:r>
      <w:r w:rsidRPr="00DF1E4D">
        <w:t xml:space="preserve">, 61 Cal.4th </w:t>
      </w:r>
      <w:r w:rsidR="00CD17E7">
        <w:t xml:space="preserve">at pp. </w:t>
      </w:r>
      <w:r w:rsidRPr="00DF1E4D">
        <w:t xml:space="preserve">798, 805-811; </w:t>
      </w:r>
      <w:r w:rsidRPr="00DF1E4D">
        <w:rPr>
          <w:i/>
          <w:iCs/>
        </w:rPr>
        <w:t>Clark</w:t>
      </w:r>
      <w:r w:rsidRPr="00DF1E4D">
        <w:t xml:space="preserve">, </w:t>
      </w:r>
      <w:r w:rsidRPr="00DF1E4D">
        <w:rPr>
          <w:i/>
          <w:iCs/>
        </w:rPr>
        <w:t>supra</w:t>
      </w:r>
      <w:r w:rsidRPr="00DF1E4D">
        <w:t>, 63 Cal.4th</w:t>
      </w:r>
      <w:r w:rsidRPr="00DF1E4D">
        <w:rPr>
          <w:vertAlign w:val="superscript"/>
        </w:rPr>
        <w:t xml:space="preserve"> </w:t>
      </w:r>
      <w:r w:rsidR="00C71ABC">
        <w:t>at pp. </w:t>
      </w:r>
      <w:r w:rsidRPr="00DF1E4D">
        <w:t xml:space="preserve">608-623.)  </w:t>
      </w:r>
      <w:r w:rsidR="00126F72">
        <w:t>O</w:t>
      </w:r>
      <w:r w:rsidR="00B85296" w:rsidRPr="00DF1E4D">
        <w:t>ur Supreme C</w:t>
      </w:r>
      <w:r w:rsidRPr="00DF1E4D">
        <w:t xml:space="preserve">ourt concluded </w:t>
      </w:r>
      <w:r w:rsidR="00126F72">
        <w:t xml:space="preserve">that </w:t>
      </w:r>
      <w:r w:rsidR="00126F72" w:rsidRPr="00DF1E4D">
        <w:rPr>
          <w:i/>
          <w:iCs/>
        </w:rPr>
        <w:t>Tison</w:t>
      </w:r>
      <w:r w:rsidR="00126F72" w:rsidRPr="00DF1E4D">
        <w:t xml:space="preserve"> and </w:t>
      </w:r>
      <w:r w:rsidR="00126F72" w:rsidRPr="00DF1E4D">
        <w:rPr>
          <w:i/>
          <w:iCs/>
        </w:rPr>
        <w:t>E</w:t>
      </w:r>
      <w:r w:rsidR="00CD17E7">
        <w:rPr>
          <w:i/>
          <w:iCs/>
        </w:rPr>
        <w:t>n</w:t>
      </w:r>
      <w:r w:rsidR="00126F72" w:rsidRPr="00DF1E4D">
        <w:rPr>
          <w:i/>
          <w:iCs/>
        </w:rPr>
        <w:t>mund</w:t>
      </w:r>
      <w:r w:rsidR="00126F72" w:rsidRPr="00DF1E4D">
        <w:t xml:space="preserve"> </w:t>
      </w:r>
      <w:r w:rsidRPr="00DF1E4D">
        <w:t>“represent points on a continuum” of culpability</w:t>
      </w:r>
      <w:r w:rsidR="00126F72">
        <w:t xml:space="preserve">. </w:t>
      </w:r>
      <w:r w:rsidRPr="00DF1E4D">
        <w:t xml:space="preserve"> (</w:t>
      </w:r>
      <w:r w:rsidRPr="00DF1E4D">
        <w:rPr>
          <w:i/>
          <w:iCs/>
        </w:rPr>
        <w:t>Banks</w:t>
      </w:r>
      <w:r w:rsidRPr="00DF1E4D">
        <w:t>, at p. 802</w:t>
      </w:r>
      <w:r w:rsidR="00E50C66" w:rsidRPr="00DF1E4D">
        <w:t>.</w:t>
      </w:r>
      <w:r w:rsidR="00126F72">
        <w:t>)</w:t>
      </w:r>
      <w:r w:rsidR="00DD7AD3">
        <w:t xml:space="preserve"> </w:t>
      </w:r>
      <w:r w:rsidRPr="00DF1E4D">
        <w:t xml:space="preserve"> </w:t>
      </w:r>
      <w:r w:rsidR="00E50C66" w:rsidRPr="00DF1E4D">
        <w:t>T</w:t>
      </w:r>
      <w:r w:rsidRPr="00DF1E4D">
        <w:t xml:space="preserve">he getaway driver </w:t>
      </w:r>
      <w:r w:rsidR="00E50C66" w:rsidRPr="00DF1E4D">
        <w:t xml:space="preserve">in </w:t>
      </w:r>
      <w:r w:rsidR="00E50C66" w:rsidRPr="00DF1E4D">
        <w:rPr>
          <w:i/>
          <w:iCs/>
        </w:rPr>
        <w:t>E</w:t>
      </w:r>
      <w:r w:rsidR="008520E1">
        <w:rPr>
          <w:i/>
          <w:iCs/>
        </w:rPr>
        <w:t>n</w:t>
      </w:r>
      <w:r w:rsidR="00E50C66" w:rsidRPr="00DF1E4D">
        <w:rPr>
          <w:i/>
          <w:iCs/>
        </w:rPr>
        <w:t>mund</w:t>
      </w:r>
      <w:r w:rsidR="00DD7AD3">
        <w:rPr>
          <w:i/>
          <w:iCs/>
        </w:rPr>
        <w:t>—</w:t>
      </w:r>
      <w:r w:rsidR="00DE6E42">
        <w:t xml:space="preserve">who </w:t>
      </w:r>
      <w:r w:rsidR="00E50C66" w:rsidRPr="00DF1E4D">
        <w:t>was a minor actor in an armed robbery</w:t>
      </w:r>
      <w:r w:rsidR="00DE6E42">
        <w:t xml:space="preserve">, </w:t>
      </w:r>
      <w:r w:rsidR="00E50C66" w:rsidRPr="00DF1E4D">
        <w:t xml:space="preserve">not </w:t>
      </w:r>
      <w:r w:rsidR="00DE6E42">
        <w:t>present at</w:t>
      </w:r>
      <w:r w:rsidR="00E50C66" w:rsidRPr="00DF1E4D">
        <w:t xml:space="preserve"> the scene of the killing and had no intent to kill</w:t>
      </w:r>
      <w:r w:rsidR="00DD7AD3">
        <w:t>—</w:t>
      </w:r>
      <w:r w:rsidR="00E50C66" w:rsidRPr="00DF1E4D">
        <w:t>represented the extreme</w:t>
      </w:r>
      <w:r w:rsidRPr="00DF1E4D">
        <w:t xml:space="preserve"> lower end </w:t>
      </w:r>
      <w:r w:rsidR="00E50C66" w:rsidRPr="00DF1E4D">
        <w:t>of the spectrum</w:t>
      </w:r>
      <w:r w:rsidR="00DD7AD3">
        <w:t>,</w:t>
      </w:r>
      <w:r w:rsidR="00E50C66" w:rsidRPr="00DF1E4D">
        <w:t xml:space="preserve"> </w:t>
      </w:r>
      <w:r w:rsidR="00DE6E42">
        <w:t>at which</w:t>
      </w:r>
      <w:r w:rsidR="00E50C66" w:rsidRPr="00DF1E4D">
        <w:t xml:space="preserve"> the United States Supreme Court found</w:t>
      </w:r>
      <w:r w:rsidRPr="00DF1E4D">
        <w:t xml:space="preserve"> </w:t>
      </w:r>
      <w:r w:rsidR="00E50C66" w:rsidRPr="00DF1E4D">
        <w:t>the death penalty constitutionally disproportionate.  T</w:t>
      </w:r>
      <w:r w:rsidRPr="00DF1E4D">
        <w:t xml:space="preserve">he Tison brothers, </w:t>
      </w:r>
      <w:r w:rsidR="00E50C66" w:rsidRPr="00DF1E4D">
        <w:t>on the other hand</w:t>
      </w:r>
      <w:r w:rsidR="00DD7AD3">
        <w:t>—</w:t>
      </w:r>
      <w:r w:rsidRPr="00DF1E4D">
        <w:t xml:space="preserve">who aided their murderer father and his </w:t>
      </w:r>
      <w:r w:rsidRPr="00DF1E4D">
        <w:lastRenderedPageBreak/>
        <w:t>cellmate in an armed breakout from prison</w:t>
      </w:r>
      <w:r w:rsidR="00DF1E4D" w:rsidRPr="00DF1E4D">
        <w:t>, smuggled guns into the prison,</w:t>
      </w:r>
      <w:r w:rsidRPr="00DF1E4D">
        <w:t xml:space="preserve"> </w:t>
      </w:r>
      <w:r w:rsidR="00DF1E4D" w:rsidRPr="00DF1E4D">
        <w:t xml:space="preserve">participated in </w:t>
      </w:r>
      <w:r w:rsidR="00B85296" w:rsidRPr="00DF1E4D">
        <w:t xml:space="preserve">the </w:t>
      </w:r>
      <w:r w:rsidRPr="00DF1E4D">
        <w:t>capture of a family at gunpoint</w:t>
      </w:r>
      <w:r w:rsidR="00283B84" w:rsidRPr="00DF1E4D">
        <w:t xml:space="preserve"> and</w:t>
      </w:r>
      <w:r w:rsidR="00B85296" w:rsidRPr="00DF1E4D">
        <w:t xml:space="preserve"> </w:t>
      </w:r>
      <w:r w:rsidR="00DF1E4D" w:rsidRPr="00DF1E4D">
        <w:t xml:space="preserve">the </w:t>
      </w:r>
      <w:r w:rsidRPr="00DF1E4D">
        <w:t>theft of their car</w:t>
      </w:r>
      <w:r w:rsidR="00283B84" w:rsidRPr="00DF1E4D">
        <w:t xml:space="preserve"> </w:t>
      </w:r>
      <w:r w:rsidR="00B85296" w:rsidRPr="00DF1E4D">
        <w:t>and</w:t>
      </w:r>
      <w:r w:rsidR="00283B84" w:rsidRPr="00DF1E4D">
        <w:t xml:space="preserve"> stood by while the others</w:t>
      </w:r>
      <w:r w:rsidRPr="00DF1E4D">
        <w:t xml:space="preserve"> </w:t>
      </w:r>
      <w:r w:rsidR="00E50C66" w:rsidRPr="00DF1E4D">
        <w:t>debated whether to</w:t>
      </w:r>
      <w:r w:rsidR="00126F72">
        <w:t>,</w:t>
      </w:r>
      <w:r w:rsidR="00E50C66" w:rsidRPr="00DF1E4D">
        <w:t xml:space="preserve"> and ultimately did</w:t>
      </w:r>
      <w:r w:rsidR="00126F72">
        <w:t>,</w:t>
      </w:r>
      <w:r w:rsidR="00E50C66" w:rsidRPr="00DF1E4D">
        <w:t xml:space="preserve"> </w:t>
      </w:r>
      <w:r w:rsidRPr="00DF1E4D">
        <w:t xml:space="preserve">murder </w:t>
      </w:r>
      <w:r w:rsidR="00126F72">
        <w:t xml:space="preserve">the </w:t>
      </w:r>
      <w:r w:rsidRPr="00DF1E4D">
        <w:t>family</w:t>
      </w:r>
      <w:r w:rsidR="00DD7AD3">
        <w:t>—</w:t>
      </w:r>
      <w:r w:rsidR="00E50C66" w:rsidRPr="00DF1E4D">
        <w:t>were major participants in the felony and act</w:t>
      </w:r>
      <w:r w:rsidR="00BA4E7C">
        <w:t>ing</w:t>
      </w:r>
      <w:r w:rsidR="00E50C66" w:rsidRPr="00DF1E4D">
        <w:t xml:space="preserve"> with </w:t>
      </w:r>
      <w:r w:rsidR="00BA4E7C">
        <w:t xml:space="preserve">a </w:t>
      </w:r>
      <w:r w:rsidR="00E50C66" w:rsidRPr="00DF1E4D">
        <w:t>reckless indifference to human life,</w:t>
      </w:r>
      <w:r w:rsidR="00B85296" w:rsidRPr="00DF1E4D">
        <w:t xml:space="preserve"> justifying imposition of the death sentence</w:t>
      </w:r>
      <w:r w:rsidRPr="00DF1E4D">
        <w:t>.  (</w:t>
      </w:r>
      <w:r w:rsidRPr="00DF1E4D">
        <w:rPr>
          <w:i/>
          <w:iCs/>
        </w:rPr>
        <w:t>Banks</w:t>
      </w:r>
      <w:r w:rsidRPr="00DF1E4D">
        <w:t>, at pp. 799-800, 802</w:t>
      </w:r>
      <w:r w:rsidR="00E50C66" w:rsidRPr="00DF1E4D">
        <w:t>-803</w:t>
      </w:r>
      <w:r w:rsidRPr="00DF1E4D">
        <w:t xml:space="preserve">.)  </w:t>
      </w:r>
      <w:r w:rsidR="00DF1E4D" w:rsidRPr="00DF1E4D">
        <w:t>“</w:t>
      </w:r>
      <w:r w:rsidR="00DF1E4D" w:rsidRPr="00DF1E4D">
        <w:rPr>
          <w:shd w:val="clear" w:color="auto" w:fill="FFFFFF"/>
        </w:rPr>
        <w:t xml:space="preserve">Somewhere between them, at conduct less egregious than the Tisons’ but more culpable than </w:t>
      </w:r>
      <w:r w:rsidR="00DD7AD3">
        <w:rPr>
          <w:shd w:val="clear" w:color="auto" w:fill="FFFFFF"/>
        </w:rPr>
        <w:t xml:space="preserve">. . . </w:t>
      </w:r>
      <w:r w:rsidR="00DF1E4D" w:rsidRPr="00DF1E4D">
        <w:rPr>
          <w:shd w:val="clear" w:color="auto" w:fill="FFFFFF"/>
        </w:rPr>
        <w:t>Enmund’s</w:t>
      </w:r>
      <w:r w:rsidR="00CD17E7">
        <w:rPr>
          <w:shd w:val="clear" w:color="auto" w:fill="FFFFFF"/>
        </w:rPr>
        <w:t>,</w:t>
      </w:r>
      <w:r w:rsidR="00DF1E4D" w:rsidRPr="00DF1E4D">
        <w:rPr>
          <w:shd w:val="clear" w:color="auto" w:fill="FFFFFF"/>
        </w:rPr>
        <w:t xml:space="preserve"> lies the constitutional minimum” required for imposing a sentence of death and the statutory minimum for imposing either death or life without parole. </w:t>
      </w:r>
      <w:r w:rsidR="00DD7AD3">
        <w:rPr>
          <w:shd w:val="clear" w:color="auto" w:fill="FFFFFF"/>
        </w:rPr>
        <w:t xml:space="preserve"> </w:t>
      </w:r>
      <w:r w:rsidR="00DF1E4D" w:rsidRPr="00DF1E4D">
        <w:rPr>
          <w:shd w:val="clear" w:color="auto" w:fill="FFFFFF"/>
        </w:rPr>
        <w:t>(</w:t>
      </w:r>
      <w:r w:rsidR="00DF1E4D" w:rsidRPr="00DF1E4D">
        <w:rPr>
          <w:rStyle w:val="Emphasis"/>
          <w:bdr w:val="none" w:sz="0" w:space="0" w:color="auto" w:frame="1"/>
          <w:shd w:val="clear" w:color="auto" w:fill="FFFFFF"/>
        </w:rPr>
        <w:t>Id.</w:t>
      </w:r>
      <w:r w:rsidR="00CD17E7">
        <w:rPr>
          <w:bdr w:val="none" w:sz="0" w:space="0" w:color="auto" w:frame="1"/>
          <w:shd w:val="clear" w:color="auto" w:fill="FFFFFF"/>
        </w:rPr>
        <w:t xml:space="preserve"> </w:t>
      </w:r>
      <w:r w:rsidR="00DF1E4D" w:rsidRPr="00DF1E4D">
        <w:rPr>
          <w:bdr w:val="none" w:sz="0" w:space="0" w:color="auto" w:frame="1"/>
          <w:shd w:val="clear" w:color="auto" w:fill="FFFFFF"/>
        </w:rPr>
        <w:t>at p.</w:t>
      </w:r>
      <w:r w:rsidR="00CD17E7">
        <w:rPr>
          <w:bdr w:val="none" w:sz="0" w:space="0" w:color="auto" w:frame="1"/>
          <w:shd w:val="clear" w:color="auto" w:fill="FFFFFF"/>
        </w:rPr>
        <w:t> </w:t>
      </w:r>
      <w:r w:rsidR="00DF1E4D" w:rsidRPr="00DF1E4D">
        <w:rPr>
          <w:bdr w:val="none" w:sz="0" w:space="0" w:color="auto" w:frame="1"/>
          <w:shd w:val="clear" w:color="auto" w:fill="FFFFFF"/>
        </w:rPr>
        <w:t>802.)</w:t>
      </w:r>
      <w:r w:rsidR="00CD17E7">
        <w:rPr>
          <w:bdr w:val="none" w:sz="0" w:space="0" w:color="auto" w:frame="1"/>
          <w:shd w:val="clear" w:color="auto" w:fill="FFFFFF"/>
        </w:rPr>
        <w:t xml:space="preserve"> </w:t>
      </w:r>
    </w:p>
    <w:p w14:paraId="64F47972" w14:textId="786255F5" w:rsidR="00F5761C" w:rsidRDefault="00F255BF" w:rsidP="00784235">
      <w:pPr>
        <w:spacing w:line="360" w:lineRule="auto"/>
        <w:ind w:firstLine="720"/>
      </w:pPr>
      <w:r>
        <w:t xml:space="preserve">In </w:t>
      </w:r>
      <w:r w:rsidRPr="003763E8">
        <w:rPr>
          <w:i/>
          <w:iCs/>
        </w:rPr>
        <w:t>Banks</w:t>
      </w:r>
      <w:r>
        <w:t xml:space="preserve"> and </w:t>
      </w:r>
      <w:r w:rsidRPr="003763E8">
        <w:rPr>
          <w:i/>
          <w:iCs/>
        </w:rPr>
        <w:t>Clark</w:t>
      </w:r>
      <w:r>
        <w:t xml:space="preserve">, our high court derived from </w:t>
      </w:r>
      <w:r w:rsidRPr="003763E8">
        <w:rPr>
          <w:i/>
          <w:iCs/>
        </w:rPr>
        <w:t>Tison</w:t>
      </w:r>
      <w:r>
        <w:t xml:space="preserve">, </w:t>
      </w:r>
      <w:r w:rsidRPr="003763E8">
        <w:rPr>
          <w:i/>
          <w:iCs/>
        </w:rPr>
        <w:t>Enmund</w:t>
      </w:r>
      <w:r>
        <w:t xml:space="preserve"> and subsequent cases a series of factors helpful in determining whether the “major participation” and “reckless </w:t>
      </w:r>
      <w:r w:rsidR="00DD7AD3">
        <w:t>indifference</w:t>
      </w:r>
      <w:r>
        <w:t>” components of the special circumstances statute, section 190.2</w:t>
      </w:r>
      <w:r w:rsidR="00DD7AD3">
        <w:t xml:space="preserve">, subdivision </w:t>
      </w:r>
      <w:r>
        <w:t>(d), have been met (</w:t>
      </w:r>
      <w:r w:rsidRPr="003763E8">
        <w:rPr>
          <w:i/>
          <w:iCs/>
        </w:rPr>
        <w:t>Banks</w:t>
      </w:r>
      <w:r>
        <w:t>,</w:t>
      </w:r>
      <w:r w:rsidR="00910538" w:rsidRPr="00910538">
        <w:rPr>
          <w:i/>
          <w:iCs/>
        </w:rPr>
        <w:t xml:space="preserve"> </w:t>
      </w:r>
      <w:r w:rsidR="00910538">
        <w:rPr>
          <w:i/>
          <w:iCs/>
        </w:rPr>
        <w:t xml:space="preserve">supra, </w:t>
      </w:r>
      <w:r w:rsidR="00910538">
        <w:t>61 Cal.4th</w:t>
      </w:r>
      <w:r>
        <w:t xml:space="preserve"> at p. 803; </w:t>
      </w:r>
      <w:r w:rsidRPr="0063313E">
        <w:rPr>
          <w:i/>
          <w:iCs/>
        </w:rPr>
        <w:t>Clark</w:t>
      </w:r>
      <w:r>
        <w:t xml:space="preserve">, </w:t>
      </w:r>
      <w:r w:rsidR="00910538">
        <w:rPr>
          <w:i/>
          <w:iCs/>
        </w:rPr>
        <w:t xml:space="preserve">supra, </w:t>
      </w:r>
      <w:r w:rsidR="00910538" w:rsidRPr="00910538">
        <w:t>63</w:t>
      </w:r>
      <w:r w:rsidR="00910538">
        <w:rPr>
          <w:i/>
          <w:iCs/>
        </w:rPr>
        <w:t xml:space="preserve"> </w:t>
      </w:r>
      <w:r w:rsidR="00910538">
        <w:t>Cal.4</w:t>
      </w:r>
      <w:r w:rsidR="00910538" w:rsidRPr="00910538">
        <w:t xml:space="preserve">th </w:t>
      </w:r>
      <w:r>
        <w:t xml:space="preserve">at pp. 618-623), which </w:t>
      </w:r>
      <w:r w:rsidR="00C71ABC">
        <w:t>it</w:t>
      </w:r>
      <w:r>
        <w:t xml:space="preserve"> then applied in reviewing the defendants’ substantial evidence challenges to the jury’s special circumstance findings.  (</w:t>
      </w:r>
      <w:r w:rsidRPr="0063313E">
        <w:rPr>
          <w:i/>
          <w:iCs/>
        </w:rPr>
        <w:t>Banks</w:t>
      </w:r>
      <w:r>
        <w:t xml:space="preserve">, at pp. 805-811; </w:t>
      </w:r>
      <w:r w:rsidRPr="00BC0754">
        <w:rPr>
          <w:i/>
          <w:iCs/>
        </w:rPr>
        <w:t>Clark</w:t>
      </w:r>
      <w:r>
        <w:t>, at pp.</w:t>
      </w:r>
      <w:r w:rsidR="005C2A2D">
        <w:t> </w:t>
      </w:r>
      <w:r>
        <w:t xml:space="preserve">618-623.)  </w:t>
      </w:r>
      <w:r w:rsidRPr="00F5761C">
        <w:rPr>
          <w:i/>
          <w:iCs/>
        </w:rPr>
        <w:t>Banks</w:t>
      </w:r>
      <w:r>
        <w:t xml:space="preserve">, like </w:t>
      </w:r>
      <w:r w:rsidRPr="00F5761C">
        <w:rPr>
          <w:i/>
          <w:iCs/>
        </w:rPr>
        <w:t>E</w:t>
      </w:r>
      <w:r w:rsidR="00910538">
        <w:rPr>
          <w:i/>
          <w:iCs/>
        </w:rPr>
        <w:t>n</w:t>
      </w:r>
      <w:r w:rsidRPr="00F5761C">
        <w:rPr>
          <w:i/>
          <w:iCs/>
        </w:rPr>
        <w:t>mund</w:t>
      </w:r>
      <w:r>
        <w:t>, involved a getaway driver</w:t>
      </w:r>
      <w:r w:rsidR="00492711">
        <w:t xml:space="preserve">.  The driver in </w:t>
      </w:r>
      <w:r w:rsidR="00492711" w:rsidRPr="008658AD">
        <w:rPr>
          <w:i/>
          <w:iCs/>
        </w:rPr>
        <w:t>Banks</w:t>
      </w:r>
      <w:r>
        <w:t xml:space="preserve"> waited for his confederates three blocks away for 45</w:t>
      </w:r>
      <w:r w:rsidR="00CD77FF">
        <w:t> </w:t>
      </w:r>
      <w:r>
        <w:t>minutes and then picked them up and drove them away.  (</w:t>
      </w:r>
      <w:r w:rsidRPr="00F5761C">
        <w:rPr>
          <w:i/>
          <w:iCs/>
        </w:rPr>
        <w:t>Banks</w:t>
      </w:r>
      <w:r>
        <w:t xml:space="preserve">, at pp. 804-805.)  There was no evidence </w:t>
      </w:r>
      <w:r w:rsidR="006945B8">
        <w:t xml:space="preserve">that </w:t>
      </w:r>
      <w:r>
        <w:t xml:space="preserve">he played </w:t>
      </w:r>
      <w:r w:rsidR="00492711">
        <w:t xml:space="preserve">any role </w:t>
      </w:r>
      <w:r>
        <w:t>in planning the robbery or procuring</w:t>
      </w:r>
      <w:r w:rsidR="00492711">
        <w:t xml:space="preserve"> the</w:t>
      </w:r>
      <w:r>
        <w:t xml:space="preserve"> weapons, nor any evidence that his confederates had previously committed violent crimes.  (</w:t>
      </w:r>
      <w:r w:rsidRPr="00F5761C">
        <w:rPr>
          <w:i/>
          <w:iCs/>
        </w:rPr>
        <w:t>Id</w:t>
      </w:r>
      <w:r>
        <w:t xml:space="preserve">. at p. 805.) </w:t>
      </w:r>
      <w:r w:rsidR="00492711">
        <w:t xml:space="preserve"> The court held the felony-murder special circumstance was not supported by sufficient evidence. </w:t>
      </w:r>
      <w:r>
        <w:t xml:space="preserve"> In </w:t>
      </w:r>
      <w:r w:rsidRPr="00CD09B5">
        <w:rPr>
          <w:i/>
          <w:iCs/>
        </w:rPr>
        <w:t>Clark</w:t>
      </w:r>
      <w:r>
        <w:t>, the</w:t>
      </w:r>
      <w:r w:rsidR="00DE6E42">
        <w:t xml:space="preserve"> court held the</w:t>
      </w:r>
      <w:r>
        <w:t xml:space="preserve"> special circumstance was not met for an accessory to a robbery</w:t>
      </w:r>
      <w:r w:rsidR="00964470">
        <w:t xml:space="preserve"> who was the “mastermind</w:t>
      </w:r>
      <w:r w:rsidR="00DE6E42">
        <w:t>”</w:t>
      </w:r>
      <w:r w:rsidR="00964470">
        <w:t xml:space="preserve"> </w:t>
      </w:r>
      <w:r w:rsidR="00DE6E42">
        <w:t>of a</w:t>
      </w:r>
      <w:r w:rsidR="00964470">
        <w:t xml:space="preserve"> plan </w:t>
      </w:r>
      <w:r w:rsidR="00DE6E42">
        <w:t>to</w:t>
      </w:r>
      <w:r w:rsidR="00964470">
        <w:t xml:space="preserve"> rob a store </w:t>
      </w:r>
      <w:r w:rsidR="00CD09B5">
        <w:t xml:space="preserve">in which a gun would be used </w:t>
      </w:r>
      <w:r w:rsidR="00964470">
        <w:t xml:space="preserve">but </w:t>
      </w:r>
      <w:r w:rsidR="00C71ABC">
        <w:t xml:space="preserve">who </w:t>
      </w:r>
      <w:r w:rsidR="00DE6E42">
        <w:t xml:space="preserve">designed the plan to </w:t>
      </w:r>
      <w:r w:rsidR="00964470">
        <w:t xml:space="preserve">avoid </w:t>
      </w:r>
      <w:r w:rsidR="00CD09B5">
        <w:t>violence</w:t>
      </w:r>
      <w:r w:rsidR="00964470">
        <w:t xml:space="preserve">. </w:t>
      </w:r>
      <w:r w:rsidR="00CD09B5">
        <w:t xml:space="preserve"> (</w:t>
      </w:r>
      <w:r w:rsidR="00CD09B5" w:rsidRPr="00CD09B5">
        <w:rPr>
          <w:i/>
          <w:iCs/>
        </w:rPr>
        <w:t>Clark</w:t>
      </w:r>
      <w:r w:rsidR="00CD09B5">
        <w:t>, at pp.</w:t>
      </w:r>
      <w:r w:rsidR="00340EC1">
        <w:t xml:space="preserve"> </w:t>
      </w:r>
      <w:r w:rsidR="00CD09B5">
        <w:t>612-613 &amp; n.</w:t>
      </w:r>
      <w:r w:rsidR="00340EC1">
        <w:t xml:space="preserve"> </w:t>
      </w:r>
      <w:r w:rsidR="00CD09B5">
        <w:t xml:space="preserve">72.)  </w:t>
      </w:r>
      <w:r w:rsidR="00964470">
        <w:lastRenderedPageBreak/>
        <w:t>The store was to be robbed after closing</w:t>
      </w:r>
      <w:r w:rsidR="00AF6919">
        <w:t xml:space="preserve"> time when most employees would be gone</w:t>
      </w:r>
      <w:r w:rsidR="00964470">
        <w:t xml:space="preserve">, employees </w:t>
      </w:r>
      <w:r w:rsidR="00492711">
        <w:t xml:space="preserve">would </w:t>
      </w:r>
      <w:r w:rsidR="00964470">
        <w:t>be handcuffed in a</w:t>
      </w:r>
      <w:r w:rsidR="00CD09B5">
        <w:t xml:space="preserve"> bathroom</w:t>
      </w:r>
      <w:r w:rsidR="00964470">
        <w:t xml:space="preserve"> away from the scene, </w:t>
      </w:r>
      <w:r w:rsidR="00492711">
        <w:t xml:space="preserve">and the gun </w:t>
      </w:r>
      <w:r w:rsidR="00C71ABC">
        <w:t xml:space="preserve">that was to be </w:t>
      </w:r>
      <w:r w:rsidR="00492711">
        <w:t xml:space="preserve">used to move them to that location </w:t>
      </w:r>
      <w:r w:rsidR="00964470">
        <w:t>was to be unloaded</w:t>
      </w:r>
      <w:r w:rsidR="00492711">
        <w:t xml:space="preserve">. </w:t>
      </w:r>
      <w:r w:rsidR="00964470">
        <w:t xml:space="preserve"> </w:t>
      </w:r>
      <w:r w:rsidR="00492711">
        <w:t>T</w:t>
      </w:r>
      <w:r w:rsidR="00964470">
        <w:t xml:space="preserve">here was no evidence that </w:t>
      </w:r>
      <w:r w:rsidR="00CD09B5">
        <w:t>defendant</w:t>
      </w:r>
      <w:r w:rsidR="00964470">
        <w:t xml:space="preserve"> had past experience with the shooter</w:t>
      </w:r>
      <w:r w:rsidR="00492711">
        <w:t>,</w:t>
      </w:r>
      <w:r w:rsidR="00964470">
        <w:t xml:space="preserve"> and he was not in the immediate area where his confederate shot the victim.  </w:t>
      </w:r>
      <w:r w:rsidR="00CD09B5">
        <w:t>(</w:t>
      </w:r>
      <w:r w:rsidR="00964470" w:rsidRPr="00AF6919">
        <w:rPr>
          <w:i/>
          <w:iCs/>
        </w:rPr>
        <w:t>Id</w:t>
      </w:r>
      <w:r w:rsidR="00964470">
        <w:t>.</w:t>
      </w:r>
      <w:r w:rsidR="00CD09B5">
        <w:t xml:space="preserve"> at pp. 612-614</w:t>
      </w:r>
      <w:r w:rsidR="00AF6919">
        <w:t>, 620-621</w:t>
      </w:r>
      <w:r w:rsidR="00CD09B5">
        <w:t>.)  The court did not decide whether the defendant was a major participant, but found insufficient evidence that</w:t>
      </w:r>
      <w:r w:rsidR="00AF6919">
        <w:t xml:space="preserve"> defendant</w:t>
      </w:r>
      <w:r w:rsidR="006945B8">
        <w:t>, having planned the crime to minimize the risk of violence,</w:t>
      </w:r>
      <w:r w:rsidR="00AF6919">
        <w:t xml:space="preserve"> was aware of an elevated risk to human life beyond that involved in any armed robbery.</w:t>
      </w:r>
      <w:r w:rsidR="00CD09B5">
        <w:t xml:space="preserve"> </w:t>
      </w:r>
      <w:r w:rsidR="00AF6919">
        <w:t xml:space="preserve"> (</w:t>
      </w:r>
      <w:r w:rsidR="00AF6919" w:rsidRPr="00AF6919">
        <w:rPr>
          <w:i/>
          <w:iCs/>
        </w:rPr>
        <w:t>Id</w:t>
      </w:r>
      <w:r w:rsidR="00AF6919">
        <w:t>. at pp. 614, 623.)</w:t>
      </w:r>
    </w:p>
    <w:p w14:paraId="2F8D4BA5" w14:textId="6C0A5E7D" w:rsidR="00784235" w:rsidRDefault="00F255BF" w:rsidP="00B71B6F">
      <w:pPr>
        <w:spacing w:line="360" w:lineRule="auto"/>
        <w:ind w:firstLine="720"/>
      </w:pPr>
      <w:r>
        <w:t>I</w:t>
      </w:r>
      <w:r w:rsidR="00492711">
        <w:t xml:space="preserve">n the wake of </w:t>
      </w:r>
      <w:r w:rsidR="00492711" w:rsidRPr="008658AD">
        <w:rPr>
          <w:i/>
          <w:iCs/>
        </w:rPr>
        <w:t>Banks</w:t>
      </w:r>
      <w:r w:rsidR="00492711">
        <w:t xml:space="preserve"> and </w:t>
      </w:r>
      <w:r w:rsidR="00492711" w:rsidRPr="008658AD">
        <w:rPr>
          <w:i/>
          <w:iCs/>
        </w:rPr>
        <w:t>Clark</w:t>
      </w:r>
      <w:r w:rsidR="00492711">
        <w:t xml:space="preserve">, </w:t>
      </w:r>
      <w:r w:rsidR="006945B8">
        <w:t>i</w:t>
      </w:r>
      <w:r>
        <w:t>ndividuals</w:t>
      </w:r>
      <w:r w:rsidRPr="006E7922">
        <w:t xml:space="preserve"> </w:t>
      </w:r>
      <w:r>
        <w:t xml:space="preserve">convicted of </w:t>
      </w:r>
      <w:r w:rsidR="00BC0754">
        <w:t>murder</w:t>
      </w:r>
      <w:r w:rsidR="00FA06AC">
        <w:t xml:space="preserve"> with a felony-murder special circumstance</w:t>
      </w:r>
      <w:r w:rsidR="00F06CF3">
        <w:t xml:space="preserve"> </w:t>
      </w:r>
      <w:r w:rsidRPr="006E7922">
        <w:t xml:space="preserve">have </w:t>
      </w:r>
      <w:r>
        <w:t>petitioned</w:t>
      </w:r>
      <w:r w:rsidR="00492711">
        <w:t xml:space="preserve"> the</w:t>
      </w:r>
      <w:r>
        <w:t xml:space="preserve"> </w:t>
      </w:r>
      <w:r w:rsidR="00F06CF3">
        <w:t xml:space="preserve">courts </w:t>
      </w:r>
      <w:r>
        <w:t>for</w:t>
      </w:r>
      <w:r w:rsidRPr="006E7922">
        <w:t xml:space="preserve"> </w:t>
      </w:r>
      <w:r w:rsidR="003A06EB">
        <w:t xml:space="preserve">a writ of </w:t>
      </w:r>
      <w:r w:rsidRPr="006E7922">
        <w:t xml:space="preserve">habeas corpus, arguing the evidence </w:t>
      </w:r>
      <w:r>
        <w:t>was</w:t>
      </w:r>
      <w:r w:rsidRPr="006E7922">
        <w:t xml:space="preserve"> insufficient to support major participation or reckless </w:t>
      </w:r>
      <w:r w:rsidR="00AE4715">
        <w:t>indifference</w:t>
      </w:r>
      <w:r w:rsidRPr="006E7922">
        <w:t xml:space="preserve"> as</w:t>
      </w:r>
      <w:r>
        <w:t xml:space="preserve"> </w:t>
      </w:r>
      <w:r w:rsidR="00BC0754" w:rsidRPr="00BC0754">
        <w:rPr>
          <w:i/>
          <w:iCs/>
        </w:rPr>
        <w:t>Banks</w:t>
      </w:r>
      <w:r w:rsidR="00BC0754">
        <w:t xml:space="preserve"> and </w:t>
      </w:r>
      <w:r w:rsidR="00BC0754" w:rsidRPr="00BC0754">
        <w:rPr>
          <w:i/>
          <w:iCs/>
        </w:rPr>
        <w:t>Clark</w:t>
      </w:r>
      <w:r w:rsidR="00BC0754">
        <w:t xml:space="preserve"> </w:t>
      </w:r>
      <w:r>
        <w:t>defined and</w:t>
      </w:r>
      <w:r w:rsidRPr="006E7922">
        <w:t xml:space="preserve"> limited</w:t>
      </w:r>
      <w:r>
        <w:t xml:space="preserve"> </w:t>
      </w:r>
      <w:r w:rsidR="00BC0754">
        <w:t>those requirements</w:t>
      </w:r>
      <w:r w:rsidRPr="006E7922">
        <w:t>.  (</w:t>
      </w:r>
      <w:r w:rsidR="00274B0E">
        <w:t xml:space="preserve">See </w:t>
      </w:r>
      <w:r w:rsidRPr="006E7922">
        <w:rPr>
          <w:i/>
          <w:iCs/>
        </w:rPr>
        <w:t>In re Moore</w:t>
      </w:r>
      <w:r w:rsidR="003C45F4">
        <w:t xml:space="preserve"> (2021) 68 Cal.App.5th 434, </w:t>
      </w:r>
      <w:r w:rsidR="00340EC1">
        <w:t>439</w:t>
      </w:r>
      <w:r w:rsidR="003C45F4">
        <w:t xml:space="preserve"> </w:t>
      </w:r>
      <w:r w:rsidR="00B85296">
        <w:rPr>
          <w:shd w:val="clear" w:color="auto" w:fill="FFFFFF"/>
        </w:rPr>
        <w:t>(</w:t>
      </w:r>
      <w:r w:rsidR="00B85296" w:rsidRPr="00B85296">
        <w:rPr>
          <w:i/>
          <w:iCs/>
          <w:shd w:val="clear" w:color="auto" w:fill="FFFFFF"/>
        </w:rPr>
        <w:t>Moore</w:t>
      </w:r>
      <w:r w:rsidR="00B85296">
        <w:rPr>
          <w:shd w:val="clear" w:color="auto" w:fill="FFFFFF"/>
        </w:rPr>
        <w:t>)</w:t>
      </w:r>
      <w:r w:rsidRPr="006E7922">
        <w:rPr>
          <w:shd w:val="clear" w:color="auto" w:fill="FFFFFF"/>
        </w:rPr>
        <w:t>.)</w:t>
      </w:r>
      <w:r w:rsidR="00F434A6">
        <w:rPr>
          <w:shd w:val="clear" w:color="auto" w:fill="FFFFFF"/>
        </w:rPr>
        <w:t xml:space="preserve">  </w:t>
      </w:r>
      <w:r>
        <w:rPr>
          <w:shd w:val="clear" w:color="auto" w:fill="FFFFFF"/>
        </w:rPr>
        <w:t>I</w:t>
      </w:r>
      <w:r w:rsidRPr="006E7922">
        <w:rPr>
          <w:shd w:val="clear" w:color="auto" w:fill="FFFFFF"/>
        </w:rPr>
        <w:t xml:space="preserve">n </w:t>
      </w:r>
      <w:r w:rsidRPr="006E7922">
        <w:rPr>
          <w:i/>
          <w:iCs/>
          <w:shd w:val="clear" w:color="auto" w:fill="FFFFFF"/>
        </w:rPr>
        <w:t>Moore</w:t>
      </w:r>
      <w:r w:rsidRPr="006E7922">
        <w:rPr>
          <w:shd w:val="clear" w:color="auto" w:fill="FFFFFF"/>
        </w:rPr>
        <w:t xml:space="preserve"> and cases it cites</w:t>
      </w:r>
      <w:r>
        <w:rPr>
          <w:shd w:val="clear" w:color="auto" w:fill="FFFFFF"/>
        </w:rPr>
        <w:t xml:space="preserve">, </w:t>
      </w:r>
      <w:r w:rsidR="00492711">
        <w:rPr>
          <w:shd w:val="clear" w:color="auto" w:fill="FFFFFF"/>
        </w:rPr>
        <w:t xml:space="preserve">our appellate </w:t>
      </w:r>
      <w:r>
        <w:rPr>
          <w:shd w:val="clear" w:color="auto" w:fill="FFFFFF"/>
        </w:rPr>
        <w:t>courts</w:t>
      </w:r>
      <w:r w:rsidRPr="006E7922">
        <w:rPr>
          <w:shd w:val="clear" w:color="auto" w:fill="FFFFFF"/>
        </w:rPr>
        <w:t xml:space="preserve"> </w:t>
      </w:r>
      <w:r w:rsidRPr="006E7922">
        <w:t>have granted habeas relief,</w:t>
      </w:r>
      <w:r w:rsidR="00492711">
        <w:t xml:space="preserve"> applying the </w:t>
      </w:r>
      <w:r w:rsidR="00492711" w:rsidRPr="008658AD">
        <w:rPr>
          <w:i/>
          <w:iCs/>
        </w:rPr>
        <w:t>Banks</w:t>
      </w:r>
      <w:r w:rsidR="00492711">
        <w:t xml:space="preserve"> and </w:t>
      </w:r>
      <w:r w:rsidR="00492711" w:rsidRPr="008658AD">
        <w:rPr>
          <w:i/>
          <w:iCs/>
        </w:rPr>
        <w:t>Clark</w:t>
      </w:r>
      <w:r w:rsidR="00492711">
        <w:t xml:space="preserve"> factors to</w:t>
      </w:r>
      <w:r w:rsidRPr="006E7922">
        <w:t xml:space="preserve"> vacat</w:t>
      </w:r>
      <w:r w:rsidR="00492711">
        <w:t>e</w:t>
      </w:r>
      <w:r w:rsidRPr="006E7922">
        <w:t xml:space="preserve"> special circumstance findings</w:t>
      </w:r>
      <w:r>
        <w:t xml:space="preserve"> on insufficient evidence grounds</w:t>
      </w:r>
      <w:r w:rsidR="0045316E">
        <w:t>.</w:t>
      </w:r>
      <w:r>
        <w:rPr>
          <w:rStyle w:val="FootnoteReference"/>
          <w:b/>
          <w:bCs/>
          <w:shd w:val="clear" w:color="auto" w:fill="FFFFFF"/>
        </w:rPr>
        <w:footnoteReference w:id="7"/>
      </w:r>
      <w:r w:rsidRPr="008658AD">
        <w:rPr>
          <w:b/>
          <w:bCs/>
        </w:rPr>
        <w:t xml:space="preserve">  </w:t>
      </w:r>
      <w:r w:rsidRPr="006E7922">
        <w:t>Our high cour</w:t>
      </w:r>
      <w:r>
        <w:t xml:space="preserve">t </w:t>
      </w:r>
      <w:r>
        <w:lastRenderedPageBreak/>
        <w:t>reversed a denial of habeas corpus</w:t>
      </w:r>
      <w:r w:rsidR="00274B0E">
        <w:t xml:space="preserve"> relief</w:t>
      </w:r>
      <w:r>
        <w:t xml:space="preserve"> </w:t>
      </w:r>
      <w:r w:rsidRPr="006E7922">
        <w:t xml:space="preserve">in </w:t>
      </w:r>
      <w:r w:rsidRPr="006E7922">
        <w:rPr>
          <w:i/>
          <w:iCs/>
        </w:rPr>
        <w:t>In re Scoggins</w:t>
      </w:r>
      <w:r w:rsidRPr="006E7922">
        <w:t xml:space="preserve"> (2020) 9 Cal.5th 667</w:t>
      </w:r>
      <w:r w:rsidR="004C4BAF">
        <w:t xml:space="preserve"> (</w:t>
      </w:r>
      <w:r w:rsidR="004C4BAF" w:rsidRPr="004C4BAF">
        <w:rPr>
          <w:i/>
          <w:iCs/>
        </w:rPr>
        <w:t>Scoggins</w:t>
      </w:r>
      <w:r w:rsidR="004C4BAF">
        <w:t>)</w:t>
      </w:r>
      <w:r w:rsidRPr="006E7922">
        <w:t xml:space="preserve"> </w:t>
      </w:r>
      <w:r>
        <w:t>after</w:t>
      </w:r>
      <w:r w:rsidRPr="006E7922">
        <w:t xml:space="preserve"> concluding the evidence did not support a finding that Scoggins acted with reckless indifference to human life.  (</w:t>
      </w:r>
      <w:r w:rsidRPr="00680BF0">
        <w:rPr>
          <w:i/>
          <w:iCs/>
        </w:rPr>
        <w:t>Id</w:t>
      </w:r>
      <w:r w:rsidRPr="006E7922">
        <w:t>. at pp. 677-68</w:t>
      </w:r>
      <w:r w:rsidR="005B287F">
        <w:t>4</w:t>
      </w:r>
      <w:r w:rsidRPr="006E7922">
        <w:t>.)</w:t>
      </w:r>
      <w:r>
        <w:rPr>
          <w:rStyle w:val="FootnoteReference"/>
          <w:b/>
          <w:bCs/>
        </w:rPr>
        <w:footnoteReference w:id="8"/>
      </w:r>
      <w:r w:rsidR="004C4BAF" w:rsidRPr="008658AD">
        <w:rPr>
          <w:b/>
          <w:bCs/>
        </w:rPr>
        <w:t xml:space="preserve"> </w:t>
      </w:r>
      <w:r w:rsidR="00B71B6F">
        <w:t xml:space="preserve"> </w:t>
      </w:r>
      <w:r w:rsidR="004C4BAF">
        <w:t>The</w:t>
      </w:r>
      <w:r w:rsidR="0064707B">
        <w:t xml:space="preserve"> courts in these</w:t>
      </w:r>
      <w:r w:rsidR="004C4BAF">
        <w:t xml:space="preserve"> cases applied substantial evidence review but </w:t>
      </w:r>
      <w:r w:rsidR="0064707B">
        <w:t xml:space="preserve">in doing so </w:t>
      </w:r>
      <w:r w:rsidR="004C4BAF">
        <w:t xml:space="preserve">carefully analyzed the factors identified in </w:t>
      </w:r>
      <w:r w:rsidR="004C4BAF" w:rsidRPr="004C4BAF">
        <w:rPr>
          <w:i/>
          <w:iCs/>
        </w:rPr>
        <w:t>Banks</w:t>
      </w:r>
      <w:r w:rsidR="004C4BAF">
        <w:t xml:space="preserve"> and </w:t>
      </w:r>
      <w:r w:rsidR="004C4BAF" w:rsidRPr="004C4BAF">
        <w:rPr>
          <w:i/>
          <w:iCs/>
        </w:rPr>
        <w:t>Clark</w:t>
      </w:r>
      <w:r w:rsidR="00052AD4">
        <w:t xml:space="preserve"> and </w:t>
      </w:r>
      <w:r w:rsidR="004C4BAF">
        <w:t>compared the facts</w:t>
      </w:r>
      <w:r w:rsidR="00283B84">
        <w:t xml:space="preserve"> in the cases before them with</w:t>
      </w:r>
      <w:r w:rsidR="004C4BAF">
        <w:t xml:space="preserve"> </w:t>
      </w:r>
      <w:r w:rsidR="0064707B" w:rsidRPr="00B4417B">
        <w:rPr>
          <w:i/>
          <w:iCs/>
        </w:rPr>
        <w:t>E</w:t>
      </w:r>
      <w:r w:rsidR="008520E1">
        <w:rPr>
          <w:i/>
          <w:iCs/>
        </w:rPr>
        <w:t>n</w:t>
      </w:r>
      <w:r w:rsidR="0064707B" w:rsidRPr="00B4417B">
        <w:rPr>
          <w:i/>
          <w:iCs/>
        </w:rPr>
        <w:t>mund</w:t>
      </w:r>
      <w:r w:rsidR="0064707B">
        <w:t xml:space="preserve"> and </w:t>
      </w:r>
      <w:r w:rsidR="0064707B" w:rsidRPr="00B4417B">
        <w:rPr>
          <w:i/>
          <w:iCs/>
        </w:rPr>
        <w:t>Tison</w:t>
      </w:r>
      <w:r w:rsidR="00283B84">
        <w:t xml:space="preserve"> </w:t>
      </w:r>
      <w:r w:rsidR="0064707B">
        <w:t xml:space="preserve">to </w:t>
      </w:r>
      <w:r w:rsidR="004C4BAF">
        <w:t>assess whether the evidence</w:t>
      </w:r>
      <w:r w:rsidR="00B4417B">
        <w:t xml:space="preserve"> </w:t>
      </w:r>
      <w:r w:rsidR="0064707B">
        <w:t>placed the habeas petitioner</w:t>
      </w:r>
      <w:r w:rsidR="00B4417B">
        <w:t xml:space="preserve"> above the high level of culpability prescribed as the statutory </w:t>
      </w:r>
      <w:r w:rsidR="0064707B">
        <w:t xml:space="preserve">and constitutional </w:t>
      </w:r>
      <w:r w:rsidR="00B4417B">
        <w:t>minimum</w:t>
      </w:r>
      <w:r w:rsidR="006E1C42">
        <w:t xml:space="preserve"> for imposing a life without parole or death sentence</w:t>
      </w:r>
      <w:r w:rsidR="004C4BAF">
        <w:t xml:space="preserve">.  (See </w:t>
      </w:r>
      <w:r w:rsidR="004C4BAF" w:rsidRPr="004C4BAF">
        <w:rPr>
          <w:i/>
          <w:iCs/>
        </w:rPr>
        <w:t>Scoggins</w:t>
      </w:r>
      <w:r w:rsidR="004C4BAF">
        <w:t xml:space="preserve">, at </w:t>
      </w:r>
      <w:r w:rsidR="005B287F">
        <w:t>p</w:t>
      </w:r>
      <w:r w:rsidR="004C4BAF">
        <w:t>p.</w:t>
      </w:r>
      <w:r w:rsidR="005B287F">
        <w:t xml:space="preserve"> 677-683;</w:t>
      </w:r>
      <w:r w:rsidR="004C4BAF">
        <w:t xml:space="preserve"> </w:t>
      </w:r>
      <w:r w:rsidR="004C4BAF" w:rsidRPr="004C4BAF">
        <w:rPr>
          <w:i/>
          <w:iCs/>
        </w:rPr>
        <w:t>Taylor</w:t>
      </w:r>
      <w:r w:rsidR="004C4BAF">
        <w:t xml:space="preserve">, </w:t>
      </w:r>
      <w:r w:rsidR="004B6432">
        <w:rPr>
          <w:i/>
          <w:iCs/>
        </w:rPr>
        <w:t xml:space="preserve">supra, </w:t>
      </w:r>
      <w:r w:rsidR="004B6432" w:rsidRPr="006E7922">
        <w:t>34</w:t>
      </w:r>
      <w:r w:rsidR="004B6432">
        <w:t> </w:t>
      </w:r>
      <w:r w:rsidR="004B6432" w:rsidRPr="006E7922">
        <w:t>Cal.App.5th</w:t>
      </w:r>
      <w:r w:rsidR="004B6432">
        <w:t xml:space="preserve"> </w:t>
      </w:r>
      <w:r w:rsidR="004C4BAF">
        <w:t xml:space="preserve">at </w:t>
      </w:r>
      <w:r w:rsidR="005B287F">
        <w:t>p</w:t>
      </w:r>
      <w:r w:rsidR="004C4BAF">
        <w:t xml:space="preserve">p. </w:t>
      </w:r>
      <w:r w:rsidR="005B287F">
        <w:t>551-554, 556-</w:t>
      </w:r>
      <w:r w:rsidR="00B4417B">
        <w:t>561</w:t>
      </w:r>
      <w:r w:rsidR="004C4BAF">
        <w:t xml:space="preserve">; </w:t>
      </w:r>
      <w:r w:rsidR="004C4BAF" w:rsidRPr="004C4BAF">
        <w:rPr>
          <w:i/>
          <w:iCs/>
        </w:rPr>
        <w:t>Ramirez</w:t>
      </w:r>
      <w:r w:rsidR="004C4BAF">
        <w:t xml:space="preserve">, </w:t>
      </w:r>
      <w:r w:rsidR="004B6432">
        <w:rPr>
          <w:i/>
          <w:iCs/>
        </w:rPr>
        <w:t xml:space="preserve">supra, </w:t>
      </w:r>
      <w:r w:rsidR="004B6432" w:rsidRPr="006E7922">
        <w:t>32 Cal.App.5th</w:t>
      </w:r>
      <w:r w:rsidR="004B6432">
        <w:t xml:space="preserve"> </w:t>
      </w:r>
      <w:r w:rsidR="004C4BAF">
        <w:t>at p</w:t>
      </w:r>
      <w:r w:rsidR="003C45F4">
        <w:t>p</w:t>
      </w:r>
      <w:r w:rsidR="004C4BAF">
        <w:t>.</w:t>
      </w:r>
      <w:r w:rsidR="003C45F4">
        <w:t xml:space="preserve"> 393-408</w:t>
      </w:r>
      <w:r w:rsidR="004C4BAF">
        <w:t xml:space="preserve">; </w:t>
      </w:r>
      <w:r w:rsidR="004C4BAF" w:rsidRPr="004C4BAF">
        <w:rPr>
          <w:i/>
          <w:iCs/>
        </w:rPr>
        <w:t>Bennett</w:t>
      </w:r>
      <w:r w:rsidR="004C4BAF">
        <w:t xml:space="preserve">, </w:t>
      </w:r>
      <w:r w:rsidR="004B6432">
        <w:rPr>
          <w:i/>
          <w:iCs/>
        </w:rPr>
        <w:t xml:space="preserve">supra, </w:t>
      </w:r>
      <w:r w:rsidR="004B6432" w:rsidRPr="006E7922">
        <w:t>26 Cal.App.5t</w:t>
      </w:r>
      <w:r w:rsidR="004B6432">
        <w:t xml:space="preserve">h </w:t>
      </w:r>
      <w:r w:rsidR="004C4BAF">
        <w:t>at pp.</w:t>
      </w:r>
      <w:r w:rsidR="005B287F">
        <w:t xml:space="preserve"> 1018-1027</w:t>
      </w:r>
      <w:r w:rsidR="004C4BAF">
        <w:t xml:space="preserve">; </w:t>
      </w:r>
      <w:r w:rsidR="004C4BAF" w:rsidRPr="004C4BAF">
        <w:rPr>
          <w:i/>
          <w:iCs/>
        </w:rPr>
        <w:t>Miller</w:t>
      </w:r>
      <w:r w:rsidR="004C4BAF">
        <w:t>,</w:t>
      </w:r>
      <w:r w:rsidR="004B6432">
        <w:t xml:space="preserve"> </w:t>
      </w:r>
      <w:r w:rsidR="004B6432">
        <w:rPr>
          <w:i/>
          <w:iCs/>
        </w:rPr>
        <w:t>supra,</w:t>
      </w:r>
      <w:r w:rsidR="004B6432" w:rsidRPr="004B6432">
        <w:t xml:space="preserve"> </w:t>
      </w:r>
      <w:r w:rsidR="004B6432" w:rsidRPr="006E7922">
        <w:t>14</w:t>
      </w:r>
      <w:r w:rsidR="004B6432">
        <w:t> </w:t>
      </w:r>
      <w:r w:rsidR="004B6432" w:rsidRPr="006E7922">
        <w:t>Cal.App.5th</w:t>
      </w:r>
      <w:r w:rsidR="004C4BAF">
        <w:t xml:space="preserve"> at pp. </w:t>
      </w:r>
      <w:r w:rsidR="00B4417B">
        <w:t>966-967, 971, 973, 974-977</w:t>
      </w:r>
      <w:r w:rsidR="004C4BAF">
        <w:t>.)</w:t>
      </w:r>
      <w:r w:rsidR="00CD6331">
        <w:t xml:space="preserve">  </w:t>
      </w:r>
    </w:p>
    <w:p w14:paraId="41ECDF6D" w14:textId="454A0448" w:rsidR="00784235" w:rsidRPr="000E6D18" w:rsidRDefault="00F255BF" w:rsidP="000E6D18">
      <w:pPr>
        <w:spacing w:line="360" w:lineRule="auto"/>
        <w:ind w:firstLine="720"/>
      </w:pPr>
      <w:r>
        <w:t xml:space="preserve">In other cases, courts have denied habeas corpus petitions after concluding </w:t>
      </w:r>
      <w:r w:rsidR="0052578B">
        <w:t xml:space="preserve">substantial evidence supported the </w:t>
      </w:r>
      <w:r w:rsidR="001B13BF">
        <w:t xml:space="preserve">challenged </w:t>
      </w:r>
      <w:r w:rsidR="0052578B">
        <w:t xml:space="preserve">special circumstance finding consistent with the </w:t>
      </w:r>
      <w:r>
        <w:t xml:space="preserve">standards of </w:t>
      </w:r>
      <w:r w:rsidRPr="00DE6E42">
        <w:rPr>
          <w:i/>
          <w:iCs/>
        </w:rPr>
        <w:t>Banks</w:t>
      </w:r>
      <w:r>
        <w:t xml:space="preserve"> and </w:t>
      </w:r>
      <w:r w:rsidRPr="00DE6E42">
        <w:rPr>
          <w:i/>
          <w:iCs/>
        </w:rPr>
        <w:t>Clark</w:t>
      </w:r>
      <w:r>
        <w:t xml:space="preserve">.  </w:t>
      </w:r>
      <w:r w:rsidR="0052578B">
        <w:t>(</w:t>
      </w:r>
      <w:r w:rsidR="006E1C42" w:rsidRPr="008658AD">
        <w:rPr>
          <w:i/>
          <w:iCs/>
        </w:rPr>
        <w:t>E.g</w:t>
      </w:r>
      <w:r w:rsidR="006E1C42">
        <w:t xml:space="preserve">., </w:t>
      </w:r>
      <w:r w:rsidR="0052578B" w:rsidRPr="0052578B">
        <w:rPr>
          <w:i/>
          <w:iCs/>
        </w:rPr>
        <w:t>In re Loza</w:t>
      </w:r>
      <w:r w:rsidR="0052578B">
        <w:t xml:space="preserve"> (2021) 10 Cal.App.5th 38, 46-55</w:t>
      </w:r>
      <w:r w:rsidR="00EC4877">
        <w:t xml:space="preserve"> [</w:t>
      </w:r>
      <w:r w:rsidR="001108ED">
        <w:t xml:space="preserve">petitioner </w:t>
      </w:r>
      <w:r w:rsidR="002C7D3E">
        <w:t xml:space="preserve">heard confederate brag about having shot someone in the head, </w:t>
      </w:r>
      <w:r w:rsidR="00F531BC">
        <w:t>participated in planning</w:t>
      </w:r>
      <w:r w:rsidR="002C7D3E">
        <w:t xml:space="preserve"> convenience store </w:t>
      </w:r>
      <w:r w:rsidR="00F531BC">
        <w:t>robbery at which confederate killed two employees</w:t>
      </w:r>
      <w:r w:rsidR="002C7D3E">
        <w:t>,</w:t>
      </w:r>
      <w:r w:rsidR="00F531BC">
        <w:t xml:space="preserve"> held door open to facilitate confederate’s escape,</w:t>
      </w:r>
      <w:r w:rsidR="00EC4877">
        <w:t xml:space="preserve"> </w:t>
      </w:r>
      <w:r w:rsidR="001B13BF">
        <w:t xml:space="preserve">handed </w:t>
      </w:r>
      <w:r w:rsidR="002C7D3E">
        <w:t xml:space="preserve">him </w:t>
      </w:r>
      <w:r w:rsidR="001B13BF">
        <w:t>gun for use in</w:t>
      </w:r>
      <w:r w:rsidR="00F531BC">
        <w:t xml:space="preserve"> robbery,</w:t>
      </w:r>
      <w:r w:rsidR="00EC4877">
        <w:t xml:space="preserve"> </w:t>
      </w:r>
      <w:r w:rsidR="00F531BC">
        <w:t>was present at scene of robbery and did nothing to prevent shooting or assist victims]</w:t>
      </w:r>
      <w:r w:rsidR="0052578B">
        <w:t xml:space="preserve">; </w:t>
      </w:r>
      <w:r w:rsidR="0052578B" w:rsidRPr="0052578B">
        <w:rPr>
          <w:i/>
          <w:iCs/>
        </w:rPr>
        <w:t>In re McDowell</w:t>
      </w:r>
      <w:r w:rsidR="0052578B">
        <w:t xml:space="preserve"> (2020) 55 Cal.App.5th 999, 1007-1015</w:t>
      </w:r>
      <w:r w:rsidR="005B5BEB">
        <w:t xml:space="preserve"> [</w:t>
      </w:r>
      <w:r w:rsidR="001108ED">
        <w:t xml:space="preserve">petitioner </w:t>
      </w:r>
      <w:r w:rsidR="005B5BEB">
        <w:t xml:space="preserve">instrumental in planning and perpetrating burglary and attempted robbery of drug dealer by surveilling victim’s house beforehand, </w:t>
      </w:r>
      <w:r w:rsidR="005B5BEB">
        <w:lastRenderedPageBreak/>
        <w:t>knocking on victim’s door, entering first, brandishing knife to facilitate accomplice’s entrance, demanding, “</w:t>
      </w:r>
      <w:r w:rsidR="00FE6A57">
        <w:t xml:space="preserve"> ‘</w:t>
      </w:r>
      <w:r w:rsidR="005B5BEB">
        <w:t>[W]here is the shit?,</w:t>
      </w:r>
      <w:r w:rsidR="00FE6A57">
        <w:t xml:space="preserve">’ </w:t>
      </w:r>
      <w:r w:rsidR="005B5BEB">
        <w:t>” and failing to restrain accomplice or intervene after accomplice fired warning shot before shooting victim</w:t>
      </w:r>
      <w:r w:rsidR="00B465AD">
        <w:t>]</w:t>
      </w:r>
      <w:r w:rsidR="0052578B">
        <w:t>.)</w:t>
      </w:r>
    </w:p>
    <w:p w14:paraId="4CF36717" w14:textId="113CDCB3" w:rsidR="00667A63" w:rsidRDefault="00F255BF" w:rsidP="00E2725A">
      <w:pPr>
        <w:pStyle w:val="ListParagraph"/>
        <w:numPr>
          <w:ilvl w:val="0"/>
          <w:numId w:val="2"/>
        </w:numPr>
        <w:spacing w:after="120" w:line="240" w:lineRule="auto"/>
        <w:ind w:left="1080"/>
        <w:contextualSpacing w:val="0"/>
        <w:rPr>
          <w:b/>
          <w:bCs/>
        </w:rPr>
      </w:pPr>
      <w:r w:rsidRPr="000E6D18">
        <w:rPr>
          <w:b/>
          <w:bCs/>
        </w:rPr>
        <w:t>The Revised Law of Murder Under S</w:t>
      </w:r>
      <w:r w:rsidR="00F608A4">
        <w:rPr>
          <w:b/>
          <w:bCs/>
        </w:rPr>
        <w:t>enate Bill No.</w:t>
      </w:r>
      <w:r w:rsidRPr="000E6D18">
        <w:rPr>
          <w:b/>
          <w:bCs/>
        </w:rPr>
        <w:t xml:space="preserve"> 1437</w:t>
      </w:r>
      <w:r w:rsidR="00F608A4">
        <w:rPr>
          <w:b/>
          <w:bCs/>
        </w:rPr>
        <w:t xml:space="preserve"> (2017-2018 Reg. Sess.)</w:t>
      </w:r>
      <w:r w:rsidR="0052578B" w:rsidRPr="000E6D18">
        <w:rPr>
          <w:b/>
          <w:bCs/>
        </w:rPr>
        <w:t xml:space="preserve"> </w:t>
      </w:r>
      <w:r w:rsidR="00F608A4">
        <w:rPr>
          <w:b/>
          <w:bCs/>
        </w:rPr>
        <w:t>a</w:t>
      </w:r>
      <w:r w:rsidRPr="000E6D18">
        <w:rPr>
          <w:b/>
          <w:bCs/>
        </w:rPr>
        <w:t xml:space="preserve">nd </w:t>
      </w:r>
      <w:r w:rsidR="00A7148F" w:rsidRPr="000E6D18">
        <w:rPr>
          <w:b/>
          <w:bCs/>
        </w:rPr>
        <w:t xml:space="preserve">Petition </w:t>
      </w:r>
      <w:r w:rsidRPr="000E6D18">
        <w:rPr>
          <w:b/>
          <w:bCs/>
        </w:rPr>
        <w:t xml:space="preserve">Proceedings Under </w:t>
      </w:r>
      <w:r w:rsidR="00F608A4">
        <w:rPr>
          <w:b/>
          <w:bCs/>
        </w:rPr>
        <w:t>Section </w:t>
      </w:r>
      <w:r w:rsidRPr="000E6D18">
        <w:rPr>
          <w:b/>
          <w:bCs/>
        </w:rPr>
        <w:t>1170.95</w:t>
      </w:r>
    </w:p>
    <w:p w14:paraId="1708A36B" w14:textId="02260ADE" w:rsidR="00667A63" w:rsidRDefault="00F255BF" w:rsidP="0001625E">
      <w:pPr>
        <w:spacing w:line="360" w:lineRule="auto"/>
        <w:ind w:firstLine="720"/>
        <w:rPr>
          <w:rFonts w:eastAsia="Times New Roman"/>
          <w:color w:val="000000"/>
        </w:rPr>
      </w:pPr>
      <w:r>
        <w:t>“Effective January 1, 2019, the Legislature passed Senate Bill 1437 ‘to amend the felony</w:t>
      </w:r>
      <w:r w:rsidR="00DA74DC">
        <w:t>[-]</w:t>
      </w:r>
      <w:r>
        <w:t xml:space="preserve">murder rule and the natural and probable consequences doctrine, as it relates to murder, to ensure that murder liability is not imposed on a person who is not the actual killer, did not act with the intent to kill, or was not a major participant in the underlying felony who acted with reckless indifference to human life.’ </w:t>
      </w:r>
      <w:r w:rsidR="00F06CF3">
        <w:t xml:space="preserve"> </w:t>
      </w:r>
      <w:r>
        <w:t>(Stats. 2018, ch. 1015, § 1, subd. (f).)”  (</w:t>
      </w:r>
      <w:r w:rsidRPr="0001625E">
        <w:rPr>
          <w:i/>
          <w:iCs/>
        </w:rPr>
        <w:t>People v. Lewis</w:t>
      </w:r>
      <w:r>
        <w:t xml:space="preserve"> (2021) 11 Cal.5th 952, </w:t>
      </w:r>
      <w:r w:rsidR="00B465AD">
        <w:t xml:space="preserve">959 </w:t>
      </w:r>
      <w:r w:rsidR="003F5F45">
        <w:t>(</w:t>
      </w:r>
      <w:r w:rsidR="003F5F45" w:rsidRPr="003F5F45">
        <w:rPr>
          <w:i/>
          <w:iCs/>
        </w:rPr>
        <w:t>Lewis</w:t>
      </w:r>
      <w:r w:rsidR="003F5F45">
        <w:t>)</w:t>
      </w:r>
      <w:r>
        <w:t xml:space="preserve">.)  </w:t>
      </w:r>
      <w:r>
        <w:rPr>
          <w:rFonts w:eastAsia="Times New Roman"/>
          <w:color w:val="000000"/>
          <w:shd w:val="clear" w:color="auto" w:fill="FFFFFF"/>
        </w:rPr>
        <w:t>“</w:t>
      </w:r>
      <w:r w:rsidRPr="0001625E">
        <w:rPr>
          <w:rFonts w:eastAsia="Times New Roman"/>
          <w:color w:val="000000"/>
          <w:shd w:val="clear" w:color="auto" w:fill="FFFFFF"/>
        </w:rPr>
        <w:t>To further that purpose, Senate Bill 1437 added three separate provisions to the Penal Code.</w:t>
      </w:r>
      <w:r w:rsidR="003F4A65">
        <w:rPr>
          <w:rFonts w:eastAsia="Times New Roman"/>
          <w:color w:val="000000"/>
          <w:shd w:val="clear" w:color="auto" w:fill="FFFFFF"/>
        </w:rPr>
        <w:t xml:space="preserve"> </w:t>
      </w:r>
      <w:r w:rsidRPr="0001625E">
        <w:rPr>
          <w:rFonts w:eastAsia="Times New Roman"/>
          <w:color w:val="000000"/>
          <w:shd w:val="clear" w:color="auto" w:fill="FFFFFF"/>
        </w:rPr>
        <w:t xml:space="preserve"> First, to amend the felony</w:t>
      </w:r>
      <w:r w:rsidR="00DA74DC">
        <w:rPr>
          <w:rFonts w:eastAsia="Times New Roman"/>
          <w:color w:val="000000"/>
          <w:shd w:val="clear" w:color="auto" w:fill="FFFFFF"/>
        </w:rPr>
        <w:t>-</w:t>
      </w:r>
      <w:r w:rsidRPr="0001625E">
        <w:rPr>
          <w:rFonts w:eastAsia="Times New Roman"/>
          <w:color w:val="000000"/>
          <w:shd w:val="clear" w:color="auto" w:fill="FFFFFF"/>
        </w:rPr>
        <w:t>murder rule, Senate Bill 1437 added section</w:t>
      </w:r>
      <w:r>
        <w:rPr>
          <w:rFonts w:eastAsia="Times New Roman"/>
          <w:color w:val="000000"/>
          <w:shd w:val="clear" w:color="auto" w:fill="FFFFFF"/>
        </w:rPr>
        <w:t xml:space="preserve"> </w:t>
      </w:r>
      <w:r w:rsidRPr="0001625E">
        <w:rPr>
          <w:rFonts w:eastAsia="Times New Roman"/>
          <w:color w:val="000000"/>
          <w:shd w:val="clear" w:color="auto" w:fill="FFFFFF"/>
        </w:rPr>
        <w:t xml:space="preserve">189, subdivision (e): </w:t>
      </w:r>
      <w:r w:rsidR="00DC47AB">
        <w:rPr>
          <w:rFonts w:eastAsia="Times New Roman"/>
          <w:color w:val="000000"/>
          <w:shd w:val="clear" w:color="auto" w:fill="FFFFFF"/>
        </w:rPr>
        <w:t xml:space="preserve"> </w:t>
      </w:r>
      <w:r w:rsidR="005F6137">
        <w:rPr>
          <w:rFonts w:eastAsia="Times New Roman"/>
          <w:color w:val="000000"/>
          <w:shd w:val="clear" w:color="auto" w:fill="FFFFFF"/>
        </w:rPr>
        <w:t>‘</w:t>
      </w:r>
      <w:r w:rsidRPr="0001625E">
        <w:rPr>
          <w:rFonts w:eastAsia="Times New Roman"/>
          <w:color w:val="000000"/>
          <w:shd w:val="clear" w:color="auto" w:fill="FFFFFF"/>
        </w:rPr>
        <w:t>A participant in the perpetration or attempted perpetration of [qualifying felonies] in which a death occurs is liable for murder only if one of the following is proven: [¶] (1) The person was the actual killer. [¶] (2) The person was not the actual killer, but, with the intent to kill, aided, abetted, counseled, commanded, induced, solicited, requested, or assisted the actual killer in the commission of murder in the first degree. [¶] (3) The person was a major participant in the underlying felony and acted with reckless indifference to human life, as described in subdivision (d) of Section 190.2.</w:t>
      </w:r>
      <w:r w:rsidR="005F6137">
        <w:rPr>
          <w:rFonts w:eastAsia="Times New Roman"/>
          <w:color w:val="000000"/>
          <w:shd w:val="clear" w:color="auto" w:fill="FFFFFF"/>
        </w:rPr>
        <w:t xml:space="preserve">’ </w:t>
      </w:r>
      <w:r w:rsidRPr="0001625E">
        <w:rPr>
          <w:rFonts w:eastAsia="Times New Roman"/>
          <w:color w:val="000000"/>
          <w:shd w:val="clear" w:color="auto" w:fill="FFFFFF"/>
        </w:rPr>
        <w:t>”</w:t>
      </w:r>
      <w:r w:rsidR="00402639">
        <w:rPr>
          <w:rFonts w:eastAsia="Times New Roman"/>
          <w:color w:val="000000"/>
        </w:rPr>
        <w:t xml:space="preserve">  </w:t>
      </w:r>
      <w:r>
        <w:rPr>
          <w:rFonts w:eastAsia="Times New Roman"/>
          <w:color w:val="000000"/>
          <w:bdr w:val="none" w:sz="0" w:space="0" w:color="auto" w:frame="1"/>
        </w:rPr>
        <w:t>(</w:t>
      </w:r>
      <w:r w:rsidRPr="0001625E">
        <w:rPr>
          <w:rFonts w:eastAsia="Times New Roman"/>
          <w:i/>
          <w:iCs/>
          <w:color w:val="000000"/>
          <w:bdr w:val="none" w:sz="0" w:space="0" w:color="auto" w:frame="1"/>
        </w:rPr>
        <w:t>People v. Gentile</w:t>
      </w:r>
      <w:r w:rsidRPr="0001625E">
        <w:rPr>
          <w:rFonts w:eastAsia="Times New Roman"/>
          <w:color w:val="000000"/>
        </w:rPr>
        <w:t> (2020) 10 Cal.5th 830, 842</w:t>
      </w:r>
      <w:r w:rsidR="00402639">
        <w:rPr>
          <w:rFonts w:eastAsia="Times New Roman"/>
          <w:color w:val="000000"/>
        </w:rPr>
        <w:t xml:space="preserve"> </w:t>
      </w:r>
      <w:r w:rsidR="005F6137">
        <w:rPr>
          <w:rFonts w:eastAsia="Times New Roman"/>
          <w:color w:val="000000"/>
        </w:rPr>
        <w:t>(</w:t>
      </w:r>
      <w:r w:rsidR="00402639" w:rsidRPr="00402639">
        <w:rPr>
          <w:rFonts w:eastAsia="Times New Roman"/>
          <w:i/>
          <w:iCs/>
          <w:color w:val="000000"/>
        </w:rPr>
        <w:t>Gentile</w:t>
      </w:r>
      <w:r w:rsidR="005F6137" w:rsidRPr="005F6137">
        <w:rPr>
          <w:rFonts w:eastAsia="Times New Roman"/>
          <w:color w:val="000000"/>
        </w:rPr>
        <w:t>)</w:t>
      </w:r>
      <w:r>
        <w:rPr>
          <w:rFonts w:eastAsia="Times New Roman"/>
          <w:color w:val="000000"/>
        </w:rPr>
        <w:t>.)</w:t>
      </w:r>
      <w:r w:rsidRPr="0001625E">
        <w:rPr>
          <w:rFonts w:eastAsia="Times New Roman"/>
          <w:color w:val="000000"/>
        </w:rPr>
        <w:t xml:space="preserve"> </w:t>
      </w:r>
    </w:p>
    <w:p w14:paraId="541D3138" w14:textId="77E0A1FB" w:rsidR="00E03A23" w:rsidRDefault="00F255BF" w:rsidP="00E03A23">
      <w:pPr>
        <w:spacing w:line="360" w:lineRule="auto"/>
        <w:ind w:firstLine="720"/>
      </w:pPr>
      <w:r>
        <w:t>In effect, S</w:t>
      </w:r>
      <w:r w:rsidR="00F608A4">
        <w:t>enate Bill No.</w:t>
      </w:r>
      <w:r>
        <w:t xml:space="preserve"> 1437</w:t>
      </w:r>
      <w:r w:rsidR="00F608A4">
        <w:t xml:space="preserve"> (2017-2018 Reg. Sess.)</w:t>
      </w:r>
      <w:r>
        <w:t xml:space="preserve"> limited</w:t>
      </w:r>
      <w:r w:rsidR="006E1C42">
        <w:t xml:space="preserve"> </w:t>
      </w:r>
      <w:r>
        <w:t>felony</w:t>
      </w:r>
      <w:r w:rsidR="00DA74DC">
        <w:t>-</w:t>
      </w:r>
      <w:r>
        <w:t xml:space="preserve">murder liability to </w:t>
      </w:r>
      <w:r w:rsidR="00294E6D">
        <w:t>murders that fall within the felony-murder special</w:t>
      </w:r>
      <w:r w:rsidR="00F276BB">
        <w:t>-</w:t>
      </w:r>
      <w:r w:rsidR="00294E6D">
        <w:t xml:space="preserve">circumstances provisions of section 190.2.  It also eliminated natural and </w:t>
      </w:r>
      <w:r w:rsidR="00294E6D">
        <w:lastRenderedPageBreak/>
        <w:t>probable consequences murder liability</w:t>
      </w:r>
      <w:r w:rsidR="001C3A50">
        <w:t xml:space="preserve"> altogether</w:t>
      </w:r>
      <w:r w:rsidR="00294E6D">
        <w:t xml:space="preserve">. </w:t>
      </w:r>
      <w:r w:rsidR="00402639">
        <w:t xml:space="preserve"> </w:t>
      </w:r>
      <w:r w:rsidR="00481413">
        <w:t>(</w:t>
      </w:r>
      <w:r w:rsidR="00402639" w:rsidRPr="00402639">
        <w:rPr>
          <w:i/>
          <w:iCs/>
        </w:rPr>
        <w:t>Gentile</w:t>
      </w:r>
      <w:r w:rsidR="00402639">
        <w:t xml:space="preserve">, </w:t>
      </w:r>
      <w:r w:rsidR="00402639" w:rsidRPr="00402639">
        <w:rPr>
          <w:i/>
          <w:iCs/>
        </w:rPr>
        <w:t>supra</w:t>
      </w:r>
      <w:r w:rsidR="00402639">
        <w:t xml:space="preserve">, </w:t>
      </w:r>
      <w:r w:rsidR="00A46BD9" w:rsidRPr="0001625E">
        <w:rPr>
          <w:rFonts w:eastAsia="Times New Roman"/>
          <w:color w:val="000000"/>
        </w:rPr>
        <w:t>10</w:t>
      </w:r>
      <w:r w:rsidR="00A46BD9">
        <w:rPr>
          <w:rFonts w:eastAsia="Times New Roman"/>
          <w:color w:val="000000"/>
        </w:rPr>
        <w:t> </w:t>
      </w:r>
      <w:r w:rsidR="00A46BD9" w:rsidRPr="0001625E">
        <w:rPr>
          <w:rFonts w:eastAsia="Times New Roman"/>
          <w:color w:val="000000"/>
        </w:rPr>
        <w:t>Cal.5th</w:t>
      </w:r>
      <w:r w:rsidR="00A46BD9">
        <w:t xml:space="preserve"> </w:t>
      </w:r>
      <w:r w:rsidR="00402639">
        <w:t xml:space="preserve">at </w:t>
      </w:r>
      <w:r w:rsidR="00E4504E">
        <w:t>p</w:t>
      </w:r>
      <w:r w:rsidR="00402639">
        <w:t>p. 8</w:t>
      </w:r>
      <w:r w:rsidR="00E4504E">
        <w:t>42-8</w:t>
      </w:r>
      <w:r w:rsidR="00402639">
        <w:t xml:space="preserve">43.) </w:t>
      </w:r>
      <w:r w:rsidR="00294E6D">
        <w:t xml:space="preserve"> And it “added section 1170.95, which provides a procedure for convicted murder</w:t>
      </w:r>
      <w:r w:rsidR="00A46BD9">
        <w:t>er</w:t>
      </w:r>
      <w:r w:rsidR="00294E6D">
        <w:t>s who could not be convicted under the law as amended to retroactively seek relief.”  (</w:t>
      </w:r>
      <w:r w:rsidR="00294E6D" w:rsidRPr="003F5F45">
        <w:rPr>
          <w:i/>
          <w:iCs/>
        </w:rPr>
        <w:t>Lewis</w:t>
      </w:r>
      <w:r w:rsidR="00294E6D">
        <w:t xml:space="preserve">, </w:t>
      </w:r>
      <w:r w:rsidR="00294E6D" w:rsidRPr="003F5F45">
        <w:rPr>
          <w:i/>
          <w:iCs/>
        </w:rPr>
        <w:t>supra</w:t>
      </w:r>
      <w:r w:rsidR="00294E6D">
        <w:t xml:space="preserve">, </w:t>
      </w:r>
      <w:r w:rsidR="003F5F45">
        <w:t xml:space="preserve">11 Cal.5th at p. </w:t>
      </w:r>
      <w:r w:rsidR="00B465AD">
        <w:t>959</w:t>
      </w:r>
      <w:r w:rsidR="003F5F45">
        <w:t>.)</w:t>
      </w:r>
    </w:p>
    <w:p w14:paraId="726FD775" w14:textId="68188388" w:rsidR="001C241A" w:rsidRDefault="00F255BF" w:rsidP="001C241A">
      <w:pPr>
        <w:spacing w:line="360" w:lineRule="auto"/>
        <w:ind w:firstLine="720"/>
        <w:rPr>
          <w:color w:val="3D3D3D"/>
        </w:rPr>
      </w:pPr>
      <w:r w:rsidRPr="00E03A23">
        <w:rPr>
          <w:color w:val="3D3D3D"/>
        </w:rPr>
        <w:t>As we explained in</w:t>
      </w:r>
      <w:r w:rsidR="00CD77FF">
        <w:rPr>
          <w:color w:val="3D3D3D"/>
        </w:rPr>
        <w:t xml:space="preserve"> </w:t>
      </w:r>
      <w:r w:rsidRPr="001C241A">
        <w:rPr>
          <w:i/>
          <w:iCs/>
          <w:color w:val="3D3D3D"/>
        </w:rPr>
        <w:t>People v. Anthony</w:t>
      </w:r>
      <w:r>
        <w:rPr>
          <w:color w:val="3D3D3D"/>
        </w:rPr>
        <w:t xml:space="preserve"> (2019) 32 Cal.App.5th</w:t>
      </w:r>
      <w:r>
        <w:rPr>
          <w:color w:val="3D3D3D"/>
          <w:vertAlign w:val="superscript"/>
        </w:rPr>
        <w:t xml:space="preserve"> </w:t>
      </w:r>
      <w:r>
        <w:rPr>
          <w:color w:val="3D3D3D"/>
        </w:rPr>
        <w:t>1102,</w:t>
      </w:r>
      <w:r w:rsidRPr="00E03A23">
        <w:rPr>
          <w:color w:val="3D3D3D"/>
        </w:rPr>
        <w:t xml:space="preserve"> “ ‘An offender may file a petition under </w:t>
      </w:r>
      <w:r w:rsidRPr="00E03A23">
        <w:rPr>
          <w:bdr w:val="none" w:sz="0" w:space="0" w:color="auto" w:frame="1"/>
        </w:rPr>
        <w:t>section 1170.95</w:t>
      </w:r>
      <w:r w:rsidRPr="00E03A23">
        <w:t> </w:t>
      </w:r>
      <w:r w:rsidRPr="00E03A23">
        <w:rPr>
          <w:color w:val="3D3D3D"/>
        </w:rPr>
        <w:t xml:space="preserve">where all three of the following conditions are met: </w:t>
      </w:r>
      <w:r w:rsidR="00A46BD9">
        <w:rPr>
          <w:color w:val="3D3D3D"/>
        </w:rPr>
        <w:t xml:space="preserve"> </w:t>
      </w:r>
      <w:r w:rsidRPr="00E03A23">
        <w:rPr>
          <w:color w:val="3D3D3D"/>
        </w:rPr>
        <w:t>“(1) A complaint, information, or indictment was filed against the petitioner that allowed the prosecution to proceed under a theory of felony murder or murder under the natural and probable consequences doctrine[;] [¶] (2) The petitioner was convicted of first degree or second degree murder following a trial or accepted a plea offer in lieu of a trial at which the petitioner could be convicted for first degree or second degree murder[;] [¶] [and] (3) The petitioner could not be convicted of first or second degree murder because of changes to Section 188 or 189 made effective January 1, 2019.” ’ ”</w:t>
      </w:r>
      <w:r>
        <w:rPr>
          <w:color w:val="3D3D3D"/>
        </w:rPr>
        <w:t xml:space="preserve"> </w:t>
      </w:r>
      <w:r w:rsidR="0035083B">
        <w:rPr>
          <w:color w:val="3D3D3D"/>
        </w:rPr>
        <w:t xml:space="preserve"> </w:t>
      </w:r>
      <w:r w:rsidRPr="00E03A23">
        <w:rPr>
          <w:color w:val="3D3D3D"/>
        </w:rPr>
        <w:t>(</w:t>
      </w:r>
      <w:r w:rsidR="00B465AD">
        <w:rPr>
          <w:i/>
          <w:iCs/>
          <w:color w:val="3D3D3D"/>
        </w:rPr>
        <w:t>Id</w:t>
      </w:r>
      <w:r w:rsidR="00B465AD">
        <w:rPr>
          <w:color w:val="3D3D3D"/>
        </w:rPr>
        <w:t>.</w:t>
      </w:r>
      <w:r>
        <w:rPr>
          <w:color w:val="3D3D3D"/>
        </w:rPr>
        <w:t xml:space="preserve"> at p. 1148; </w:t>
      </w:r>
      <w:hyperlink r:id="rId7" w:anchor="co_pp_7b9b000044381" w:history="1">
        <w:r w:rsidRPr="001C241A">
          <w:rPr>
            <w:bdr w:val="none" w:sz="0" w:space="0" w:color="auto" w:frame="1"/>
          </w:rPr>
          <w:t>§ 1170.95, subd. (a)(1)–(3)</w:t>
        </w:r>
      </w:hyperlink>
      <w:r w:rsidRPr="001C241A">
        <w:rPr>
          <w:color w:val="3D3D3D"/>
        </w:rPr>
        <w:t xml:space="preserve">.)  </w:t>
      </w:r>
    </w:p>
    <w:p w14:paraId="472D0FFE" w14:textId="7730DD6D" w:rsidR="001C241A" w:rsidRPr="00841AE6" w:rsidRDefault="00F255BF" w:rsidP="00841AE6">
      <w:pPr>
        <w:spacing w:line="360" w:lineRule="auto"/>
        <w:ind w:firstLine="720"/>
        <w:rPr>
          <w:color w:val="3D3D3D"/>
        </w:rPr>
      </w:pPr>
      <w:r>
        <w:rPr>
          <w:color w:val="3D3D3D"/>
        </w:rPr>
        <w:t>“</w:t>
      </w:r>
      <w:r w:rsidRPr="001C241A">
        <w:rPr>
          <w:color w:val="3D3D3D"/>
          <w:sz w:val="25"/>
          <w:szCs w:val="25"/>
        </w:rPr>
        <w:t xml:space="preserve">Where the petition complies with subdivision (b)’s three requirements, then the court proceeds to subdivision (c) to assess whether the petitioner has made </w:t>
      </w:r>
      <w:r w:rsidR="00A46BD9">
        <w:rPr>
          <w:color w:val="3D3D3D"/>
          <w:sz w:val="25"/>
          <w:szCs w:val="25"/>
        </w:rPr>
        <w:t>‘</w:t>
      </w:r>
      <w:r w:rsidRPr="001C241A">
        <w:rPr>
          <w:color w:val="3D3D3D"/>
          <w:sz w:val="25"/>
          <w:szCs w:val="25"/>
        </w:rPr>
        <w:t>a prima facie showing</w:t>
      </w:r>
      <w:r w:rsidR="00A46BD9">
        <w:rPr>
          <w:color w:val="3D3D3D"/>
          <w:sz w:val="25"/>
          <w:szCs w:val="25"/>
        </w:rPr>
        <w:t>’</w:t>
      </w:r>
      <w:r w:rsidRPr="001C241A">
        <w:rPr>
          <w:color w:val="3D3D3D"/>
          <w:sz w:val="25"/>
          <w:szCs w:val="25"/>
        </w:rPr>
        <w:t xml:space="preserve"> for relief. </w:t>
      </w:r>
      <w:r w:rsidR="00E21A38">
        <w:rPr>
          <w:color w:val="3D3D3D"/>
          <w:sz w:val="25"/>
          <w:szCs w:val="25"/>
        </w:rPr>
        <w:t xml:space="preserve"> </w:t>
      </w:r>
      <w:r w:rsidRPr="001C241A">
        <w:rPr>
          <w:color w:val="3D3D3D"/>
          <w:sz w:val="25"/>
          <w:szCs w:val="25"/>
        </w:rPr>
        <w:t>(</w:t>
      </w:r>
      <w:hyperlink r:id="rId8" w:anchor="co_pp_4b24000003ba5" w:history="1">
        <w:r w:rsidRPr="001C241A">
          <w:rPr>
            <w:rStyle w:val="Hyperlink"/>
            <w:color w:val="auto"/>
            <w:sz w:val="25"/>
            <w:szCs w:val="25"/>
            <w:u w:val="none"/>
            <w:bdr w:val="none" w:sz="0" w:space="0" w:color="auto" w:frame="1"/>
          </w:rPr>
          <w:t>§ 1170.95, subd. (c)</w:t>
        </w:r>
      </w:hyperlink>
      <w:r w:rsidRPr="001C241A">
        <w:rPr>
          <w:color w:val="3D3D3D"/>
          <w:sz w:val="25"/>
          <w:szCs w:val="25"/>
        </w:rPr>
        <w:t>.)</w:t>
      </w:r>
      <w:r>
        <w:rPr>
          <w:color w:val="3D3D3D"/>
          <w:sz w:val="25"/>
          <w:szCs w:val="25"/>
        </w:rPr>
        <w:t>”  (</w:t>
      </w:r>
      <w:r w:rsidRPr="001C241A">
        <w:rPr>
          <w:i/>
          <w:iCs/>
          <w:color w:val="3D3D3D"/>
          <w:sz w:val="25"/>
          <w:szCs w:val="25"/>
        </w:rPr>
        <w:t>Lewis</w:t>
      </w:r>
      <w:r>
        <w:rPr>
          <w:color w:val="3D3D3D"/>
          <w:sz w:val="25"/>
          <w:szCs w:val="25"/>
        </w:rPr>
        <w:t xml:space="preserve">, </w:t>
      </w:r>
      <w:r w:rsidRPr="001C241A">
        <w:rPr>
          <w:i/>
          <w:iCs/>
          <w:color w:val="3D3D3D"/>
          <w:sz w:val="25"/>
          <w:szCs w:val="25"/>
        </w:rPr>
        <w:t>supra</w:t>
      </w:r>
      <w:r>
        <w:rPr>
          <w:color w:val="3D3D3D"/>
          <w:sz w:val="25"/>
          <w:szCs w:val="25"/>
        </w:rPr>
        <w:t>, 11</w:t>
      </w:r>
      <w:r w:rsidR="00A46BD9">
        <w:rPr>
          <w:color w:val="3D3D3D"/>
          <w:sz w:val="25"/>
          <w:szCs w:val="25"/>
        </w:rPr>
        <w:t> </w:t>
      </w:r>
      <w:r>
        <w:rPr>
          <w:color w:val="3D3D3D"/>
          <w:sz w:val="25"/>
          <w:szCs w:val="25"/>
        </w:rPr>
        <w:t xml:space="preserve">Cal.5th at </w:t>
      </w:r>
      <w:r w:rsidR="002C7D3E">
        <w:rPr>
          <w:color w:val="3D3D3D"/>
          <w:sz w:val="25"/>
          <w:szCs w:val="25"/>
        </w:rPr>
        <w:t xml:space="preserve">p. </w:t>
      </w:r>
      <w:r w:rsidR="00E21A38">
        <w:rPr>
          <w:color w:val="3D3D3D"/>
          <w:sz w:val="25"/>
          <w:szCs w:val="25"/>
        </w:rPr>
        <w:t>960</w:t>
      </w:r>
      <w:r>
        <w:rPr>
          <w:color w:val="3D3D3D"/>
          <w:sz w:val="25"/>
          <w:szCs w:val="25"/>
        </w:rPr>
        <w:t>.)</w:t>
      </w:r>
      <w:r w:rsidR="00A46BD9">
        <w:rPr>
          <w:color w:val="3D3D3D"/>
          <w:sz w:val="25"/>
          <w:szCs w:val="25"/>
        </w:rPr>
        <w:t xml:space="preserve">  </w:t>
      </w:r>
      <w:r>
        <w:rPr>
          <w:color w:val="3D3D3D"/>
        </w:rPr>
        <w:t>“</w:t>
      </w:r>
      <w:r w:rsidRPr="001C241A">
        <w:rPr>
          <w:color w:val="3D3D3D"/>
        </w:rPr>
        <w:t>If the</w:t>
      </w:r>
      <w:r w:rsidR="00841AE6">
        <w:rPr>
          <w:color w:val="3D3D3D"/>
        </w:rPr>
        <w:t xml:space="preserve"> </w:t>
      </w:r>
      <w:r w:rsidRPr="001C241A">
        <w:rPr>
          <w:color w:val="3D3D3D"/>
        </w:rPr>
        <w:t xml:space="preserve">trial court determines that a prima facie showing for relief has been made, the trial court issues an order to show cause, and then must hold a hearing </w:t>
      </w:r>
      <w:r>
        <w:rPr>
          <w:color w:val="3D3D3D"/>
        </w:rPr>
        <w:t>‘</w:t>
      </w:r>
      <w:r w:rsidRPr="001C241A">
        <w:rPr>
          <w:color w:val="3D3D3D"/>
        </w:rPr>
        <w:t>to determine whether to vacate the murder conviction and to recall the sentence and resentence the petitioner on any remaining counts in the same manner as if the petitioner had not</w:t>
      </w:r>
      <w:r w:rsidR="00D61FE6">
        <w:rPr>
          <w:color w:val="3D3D3D"/>
        </w:rPr>
        <w:t xml:space="preserve"> . . .</w:t>
      </w:r>
      <w:r w:rsidRPr="001C241A">
        <w:rPr>
          <w:color w:val="3D3D3D"/>
        </w:rPr>
        <w:t xml:space="preserve"> previously been sentenced, provided that the new sentence, if any, is not greater than the initial sentence.</w:t>
      </w:r>
      <w:r>
        <w:rPr>
          <w:color w:val="3D3D3D"/>
        </w:rPr>
        <w:t>’</w:t>
      </w:r>
      <w:r w:rsidRPr="001C241A">
        <w:rPr>
          <w:color w:val="3D3D3D"/>
        </w:rPr>
        <w:t xml:space="preserve"> </w:t>
      </w:r>
      <w:r>
        <w:rPr>
          <w:color w:val="3D3D3D"/>
        </w:rPr>
        <w:t xml:space="preserve"> </w:t>
      </w:r>
      <w:r w:rsidRPr="001C241A">
        <w:rPr>
          <w:color w:val="3D3D3D"/>
        </w:rPr>
        <w:t>(</w:t>
      </w:r>
      <w:hyperlink r:id="rId9" w:anchor="co_pp_e07e0000a9f57" w:history="1">
        <w:r w:rsidRPr="001C241A">
          <w:rPr>
            <w:rStyle w:val="Hyperlink"/>
            <w:color w:val="auto"/>
            <w:u w:val="none"/>
            <w:bdr w:val="none" w:sz="0" w:space="0" w:color="auto" w:frame="1"/>
          </w:rPr>
          <w:t>§ 1170.95, subd. (d)(1)</w:t>
        </w:r>
      </w:hyperlink>
      <w:r w:rsidRPr="001C241A">
        <w:t>.</w:t>
      </w:r>
      <w:r w:rsidRPr="001C241A">
        <w:rPr>
          <w:color w:val="3D3D3D"/>
        </w:rPr>
        <w:t xml:space="preserve">) </w:t>
      </w:r>
      <w:r>
        <w:rPr>
          <w:color w:val="3D3D3D"/>
        </w:rPr>
        <w:t xml:space="preserve"> ‘</w:t>
      </w:r>
      <w:r w:rsidRPr="001C241A">
        <w:rPr>
          <w:color w:val="3D3D3D"/>
        </w:rPr>
        <w:t xml:space="preserve">The prosecutor and the petitioner may </w:t>
      </w:r>
      <w:r w:rsidRPr="00E52092">
        <w:t>rely on the record of conviction or offer new or additional evidence to meet their respective burdens.’  (</w:t>
      </w:r>
      <w:hyperlink r:id="rId10" w:anchor="co_pp_17df000040924" w:history="1">
        <w:r w:rsidRPr="00E52092">
          <w:rPr>
            <w:rStyle w:val="Hyperlink"/>
            <w:color w:val="auto"/>
            <w:u w:val="none"/>
            <w:bdr w:val="none" w:sz="0" w:space="0" w:color="auto" w:frame="1"/>
          </w:rPr>
          <w:t>§ 1170.95, subd.</w:t>
        </w:r>
        <w:r w:rsidR="00CD77FF">
          <w:rPr>
            <w:rStyle w:val="Hyperlink"/>
            <w:color w:val="auto"/>
            <w:u w:val="none"/>
            <w:bdr w:val="none" w:sz="0" w:space="0" w:color="auto" w:frame="1"/>
          </w:rPr>
          <w:t> </w:t>
        </w:r>
        <w:r w:rsidRPr="00E52092">
          <w:rPr>
            <w:rStyle w:val="Hyperlink"/>
            <w:color w:val="auto"/>
            <w:u w:val="none"/>
            <w:bdr w:val="none" w:sz="0" w:space="0" w:color="auto" w:frame="1"/>
          </w:rPr>
          <w:t>(d)(3)</w:t>
        </w:r>
      </w:hyperlink>
      <w:r w:rsidRPr="00E52092">
        <w:t xml:space="preserve">.)  At the hearing stage, ‘the burden of proof shall be on the </w:t>
      </w:r>
      <w:r w:rsidRPr="00E52092">
        <w:lastRenderedPageBreak/>
        <w:t>prosecution to prove, beyond a reasonable doubt, that the petitioner is ineligible for resentencing.’  (</w:t>
      </w:r>
      <w:hyperlink r:id="rId11" w:anchor="co_pp_17df000040924" w:history="1">
        <w:r w:rsidRPr="00E52092">
          <w:rPr>
            <w:rStyle w:val="Hyperlink"/>
            <w:color w:val="auto"/>
            <w:u w:val="none"/>
            <w:bdr w:val="none" w:sz="0" w:space="0" w:color="auto" w:frame="1"/>
          </w:rPr>
          <w:t>§ 1170.95, subd. (d)(3)</w:t>
        </w:r>
      </w:hyperlink>
      <w:r w:rsidRPr="00E52092">
        <w:t>.)</w:t>
      </w:r>
      <w:r w:rsidR="00E52092" w:rsidRPr="00E52092">
        <w:t>”  (</w:t>
      </w:r>
      <w:r w:rsidR="001D056E">
        <w:rPr>
          <w:i/>
          <w:iCs/>
        </w:rPr>
        <w:t>Ibid</w:t>
      </w:r>
      <w:r w:rsidR="00E52092" w:rsidRPr="00E52092">
        <w:t>.)</w:t>
      </w:r>
    </w:p>
    <w:p w14:paraId="6C5776C1" w14:textId="11DC48D8" w:rsidR="000E6D18" w:rsidRPr="000E6D18" w:rsidRDefault="00F255BF" w:rsidP="000E6D18">
      <w:pPr>
        <w:spacing w:line="360" w:lineRule="auto"/>
        <w:rPr>
          <w:rFonts w:eastAsia="Times New Roman"/>
          <w:color w:val="000000"/>
        </w:rPr>
      </w:pPr>
      <w:r>
        <w:tab/>
      </w:r>
      <w:r w:rsidR="00E52092" w:rsidRPr="00A002C3">
        <w:t xml:space="preserve">As we noted recently in </w:t>
      </w:r>
      <w:r w:rsidR="00E52092" w:rsidRPr="00A002C3">
        <w:rPr>
          <w:i/>
          <w:iCs/>
        </w:rPr>
        <w:t>People v. Duchine</w:t>
      </w:r>
      <w:r w:rsidR="00E52092" w:rsidRPr="00A002C3">
        <w:t xml:space="preserve"> (2021) 60 Cal.App.5th 798, “Since </w:t>
      </w:r>
      <w:r w:rsidR="00394BCA">
        <w:t>[Senate Bill No.]</w:t>
      </w:r>
      <w:r w:rsidR="00E52092" w:rsidRPr="00A002C3">
        <w:t xml:space="preserve"> 1437 </w:t>
      </w:r>
      <w:r w:rsidR="00CD77FF">
        <w:t xml:space="preserve">[(2017-2018 Reg. Sess.)] </w:t>
      </w:r>
      <w:r w:rsidR="00E52092" w:rsidRPr="00A002C3">
        <w:t>was adopted and its mechanism for retroactive application has come into play through the filing of </w:t>
      </w:r>
      <w:r w:rsidR="00E52092" w:rsidRPr="00A002C3">
        <w:rPr>
          <w:bdr w:val="none" w:sz="0" w:space="0" w:color="auto" w:frame="1"/>
        </w:rPr>
        <w:t>section 1170.95</w:t>
      </w:r>
      <w:r w:rsidR="00E4504E">
        <w:t xml:space="preserve"> </w:t>
      </w:r>
      <w:r w:rsidR="00E52092" w:rsidRPr="00A002C3">
        <w:t>petitions, many questions have arisen about that process and percolated up through appeals from resentencing decisions.”</w:t>
      </w:r>
      <w:r w:rsidR="00254EFC">
        <w:t xml:space="preserve"> </w:t>
      </w:r>
      <w:r w:rsidR="00E52092" w:rsidRPr="00A002C3">
        <w:t xml:space="preserve"> (</w:t>
      </w:r>
      <w:r w:rsidR="00A46BD9">
        <w:rPr>
          <w:i/>
          <w:iCs/>
        </w:rPr>
        <w:t>Id.</w:t>
      </w:r>
      <w:r w:rsidR="00E52092" w:rsidRPr="00A002C3">
        <w:t xml:space="preserve"> at p.</w:t>
      </w:r>
      <w:r w:rsidR="00CD77FF">
        <w:t> </w:t>
      </w:r>
      <w:r w:rsidR="00E52092" w:rsidRPr="00A002C3">
        <w:t>811</w:t>
      </w:r>
      <w:r w:rsidR="00A46BD9">
        <w:t xml:space="preserve">, </w:t>
      </w:r>
      <w:r w:rsidR="00465C25">
        <w:t>fns</w:t>
      </w:r>
      <w:r w:rsidR="00A46BD9">
        <w:t>.</w:t>
      </w:r>
      <w:r w:rsidR="00465C25">
        <w:t xml:space="preserve"> </w:t>
      </w:r>
      <w:r w:rsidR="00A46BD9">
        <w:t>o</w:t>
      </w:r>
      <w:r w:rsidR="00465C25">
        <w:t>mitted</w:t>
      </w:r>
      <w:r w:rsidR="00E52092" w:rsidRPr="00A002C3">
        <w:t xml:space="preserve">.)  </w:t>
      </w:r>
      <w:r w:rsidR="00402639">
        <w:t>Many of the</w:t>
      </w:r>
      <w:r w:rsidR="00E52092" w:rsidRPr="00A002C3">
        <w:t xml:space="preserve"> </w:t>
      </w:r>
      <w:r w:rsidR="00402639">
        <w:t>questions</w:t>
      </w:r>
      <w:r w:rsidR="00E52092" w:rsidRPr="00A002C3">
        <w:t xml:space="preserve"> have now reached our high court.  </w:t>
      </w:r>
      <w:r w:rsidR="00392018">
        <w:t>(See, e.g.,</w:t>
      </w:r>
      <w:r w:rsidR="004E6563">
        <w:t xml:space="preserve"> </w:t>
      </w:r>
      <w:bookmarkStart w:id="1" w:name="_Hlk84319679"/>
      <w:r w:rsidR="00E52092" w:rsidRPr="00E52092">
        <w:rPr>
          <w:i/>
          <w:iCs/>
          <w:color w:val="3D3D3D"/>
        </w:rPr>
        <w:t>Gentile</w:t>
      </w:r>
      <w:r w:rsidR="00E52092">
        <w:rPr>
          <w:color w:val="3D3D3D"/>
        </w:rPr>
        <w:t xml:space="preserve">, </w:t>
      </w:r>
      <w:r w:rsidR="00E52092" w:rsidRPr="00E52092">
        <w:rPr>
          <w:i/>
          <w:iCs/>
          <w:color w:val="3D3D3D"/>
        </w:rPr>
        <w:t>supra</w:t>
      </w:r>
      <w:r w:rsidR="00E52092">
        <w:rPr>
          <w:color w:val="3D3D3D"/>
        </w:rPr>
        <w:t xml:space="preserve">, </w:t>
      </w:r>
      <w:r w:rsidR="00DD3789" w:rsidRPr="0001625E">
        <w:rPr>
          <w:rFonts w:eastAsia="Times New Roman"/>
          <w:color w:val="000000"/>
        </w:rPr>
        <w:t>10</w:t>
      </w:r>
      <w:r w:rsidR="00A46BD9">
        <w:rPr>
          <w:rFonts w:eastAsia="Times New Roman"/>
          <w:color w:val="000000"/>
        </w:rPr>
        <w:t> </w:t>
      </w:r>
      <w:r w:rsidR="00DD3789" w:rsidRPr="0001625E">
        <w:rPr>
          <w:rFonts w:eastAsia="Times New Roman"/>
          <w:color w:val="000000"/>
        </w:rPr>
        <w:t>Cal.5th 830,</w:t>
      </w:r>
      <w:r w:rsidR="00DD3789">
        <w:rPr>
          <w:rFonts w:eastAsia="Times New Roman"/>
          <w:color w:val="000000"/>
        </w:rPr>
        <w:t xml:space="preserve"> </w:t>
      </w:r>
      <w:r w:rsidR="006B60AB">
        <w:rPr>
          <w:rFonts w:eastAsia="Times New Roman"/>
          <w:color w:val="000000"/>
        </w:rPr>
        <w:t>843-851,</w:t>
      </w:r>
      <w:r w:rsidR="006B60AB" w:rsidRPr="006B60AB">
        <w:rPr>
          <w:rFonts w:eastAsia="Times New Roman"/>
          <w:color w:val="000000"/>
        </w:rPr>
        <w:t xml:space="preserve"> </w:t>
      </w:r>
      <w:r w:rsidR="006B60AB">
        <w:rPr>
          <w:rFonts w:eastAsia="Times New Roman"/>
          <w:color w:val="000000"/>
        </w:rPr>
        <w:t xml:space="preserve">853-859 </w:t>
      </w:r>
      <w:r w:rsidR="00392018">
        <w:rPr>
          <w:rFonts w:eastAsia="Times New Roman"/>
          <w:color w:val="000000"/>
        </w:rPr>
        <w:t>[</w:t>
      </w:r>
      <w:r w:rsidR="00D97BC5">
        <w:rPr>
          <w:rFonts w:eastAsia="Times New Roman"/>
          <w:color w:val="000000"/>
        </w:rPr>
        <w:t>S</w:t>
      </w:r>
      <w:r w:rsidR="00F608A4">
        <w:rPr>
          <w:rFonts w:eastAsia="Times New Roman"/>
          <w:color w:val="000000"/>
        </w:rPr>
        <w:t>en</w:t>
      </w:r>
      <w:r w:rsidR="00A46BD9">
        <w:rPr>
          <w:rFonts w:eastAsia="Times New Roman"/>
          <w:color w:val="000000"/>
        </w:rPr>
        <w:t>.</w:t>
      </w:r>
      <w:r w:rsidR="00F608A4">
        <w:rPr>
          <w:rFonts w:eastAsia="Times New Roman"/>
          <w:color w:val="000000"/>
        </w:rPr>
        <w:t xml:space="preserve"> Bill No. </w:t>
      </w:r>
      <w:r w:rsidR="00D97BC5">
        <w:rPr>
          <w:rFonts w:eastAsia="Times New Roman"/>
          <w:color w:val="000000"/>
        </w:rPr>
        <w:t xml:space="preserve">1437 </w:t>
      </w:r>
      <w:r w:rsidR="00CD77FF">
        <w:t xml:space="preserve">(2017-2018 Reg. Sess.) </w:t>
      </w:r>
      <w:r w:rsidR="00D97BC5">
        <w:rPr>
          <w:rFonts w:eastAsia="Times New Roman"/>
          <w:color w:val="000000"/>
        </w:rPr>
        <w:t>bars conviction for second degree murder under natural and probable consequences theory</w:t>
      </w:r>
      <w:r w:rsidR="006B60AB">
        <w:rPr>
          <w:rFonts w:eastAsia="Times New Roman"/>
          <w:color w:val="000000"/>
        </w:rPr>
        <w:t xml:space="preserve">; </w:t>
      </w:r>
      <w:bookmarkEnd w:id="1"/>
      <w:r w:rsidR="002965CD" w:rsidRPr="00053E13">
        <w:rPr>
          <w:rFonts w:eastAsia="Times New Roman"/>
          <w:color w:val="000000"/>
        </w:rPr>
        <w:t>§ </w:t>
      </w:r>
      <w:r w:rsidR="002965CD">
        <w:rPr>
          <w:rFonts w:eastAsia="Times New Roman"/>
          <w:color w:val="000000"/>
        </w:rPr>
        <w:t>1</w:t>
      </w:r>
      <w:r w:rsidR="00DD3789">
        <w:rPr>
          <w:rFonts w:eastAsia="Times New Roman"/>
          <w:color w:val="000000"/>
        </w:rPr>
        <w:t xml:space="preserve">170.95 provides exclusive </w:t>
      </w:r>
      <w:r w:rsidR="00297827">
        <w:rPr>
          <w:rFonts w:eastAsia="Times New Roman"/>
          <w:color w:val="000000"/>
        </w:rPr>
        <w:t>avenue</w:t>
      </w:r>
      <w:r w:rsidR="00DD3789">
        <w:rPr>
          <w:rFonts w:eastAsia="Times New Roman"/>
          <w:color w:val="000000"/>
        </w:rPr>
        <w:t xml:space="preserve"> for</w:t>
      </w:r>
      <w:r w:rsidR="00297827">
        <w:rPr>
          <w:rFonts w:eastAsia="Times New Roman"/>
          <w:color w:val="000000"/>
        </w:rPr>
        <w:t xml:space="preserve"> retroactive relief under S</w:t>
      </w:r>
      <w:r w:rsidR="00F608A4">
        <w:rPr>
          <w:rFonts w:eastAsia="Times New Roman"/>
          <w:color w:val="000000"/>
        </w:rPr>
        <w:t>en</w:t>
      </w:r>
      <w:r w:rsidR="00A46BD9">
        <w:rPr>
          <w:rFonts w:eastAsia="Times New Roman"/>
          <w:color w:val="000000"/>
        </w:rPr>
        <w:t>.</w:t>
      </w:r>
      <w:r w:rsidR="00F608A4">
        <w:rPr>
          <w:rFonts w:eastAsia="Times New Roman"/>
          <w:color w:val="000000"/>
        </w:rPr>
        <w:t xml:space="preserve"> Bill No.</w:t>
      </w:r>
      <w:r w:rsidR="00A46BD9">
        <w:rPr>
          <w:rFonts w:eastAsia="Times New Roman"/>
          <w:color w:val="000000"/>
        </w:rPr>
        <w:t> </w:t>
      </w:r>
      <w:r w:rsidR="00297827">
        <w:rPr>
          <w:rFonts w:eastAsia="Times New Roman"/>
          <w:color w:val="000000"/>
        </w:rPr>
        <w:t>1437</w:t>
      </w:r>
      <w:r w:rsidR="00CD77FF">
        <w:rPr>
          <w:rFonts w:eastAsia="Times New Roman"/>
          <w:color w:val="000000"/>
        </w:rPr>
        <w:t xml:space="preserve"> </w:t>
      </w:r>
      <w:r w:rsidR="00CD77FF">
        <w:t>(2017-2018 Reg. Sess.)</w:t>
      </w:r>
      <w:r w:rsidR="006B60AB">
        <w:rPr>
          <w:rFonts w:eastAsia="Times New Roman"/>
          <w:color w:val="000000"/>
        </w:rPr>
        <w:t xml:space="preserve">]; </w:t>
      </w:r>
      <w:r w:rsidR="00D97BC5" w:rsidRPr="00D97BC5">
        <w:rPr>
          <w:rFonts w:eastAsia="Times New Roman"/>
          <w:i/>
          <w:iCs/>
          <w:color w:val="000000"/>
        </w:rPr>
        <w:t>Lewis</w:t>
      </w:r>
      <w:r w:rsidR="00D97BC5">
        <w:rPr>
          <w:rFonts w:eastAsia="Times New Roman"/>
          <w:color w:val="000000"/>
        </w:rPr>
        <w:t xml:space="preserve">, </w:t>
      </w:r>
      <w:r w:rsidR="00D97BC5" w:rsidRPr="00D97BC5">
        <w:rPr>
          <w:rFonts w:eastAsia="Times New Roman"/>
          <w:i/>
          <w:iCs/>
          <w:color w:val="000000"/>
        </w:rPr>
        <w:t>supra</w:t>
      </w:r>
      <w:r w:rsidR="00D97BC5">
        <w:rPr>
          <w:rFonts w:eastAsia="Times New Roman"/>
          <w:color w:val="000000"/>
        </w:rPr>
        <w:t xml:space="preserve">, </w:t>
      </w:r>
      <w:r w:rsidR="00D97BC5">
        <w:rPr>
          <w:color w:val="3D3D3D"/>
          <w:sz w:val="25"/>
          <w:szCs w:val="25"/>
        </w:rPr>
        <w:t xml:space="preserve">11 Cal.5th </w:t>
      </w:r>
      <w:r w:rsidR="002965CD">
        <w:rPr>
          <w:color w:val="3D3D3D"/>
          <w:sz w:val="25"/>
          <w:szCs w:val="25"/>
        </w:rPr>
        <w:t>at pp.</w:t>
      </w:r>
      <w:r w:rsidR="006B60AB">
        <w:rPr>
          <w:color w:val="3D3D3D"/>
          <w:sz w:val="25"/>
          <w:szCs w:val="25"/>
        </w:rPr>
        <w:t xml:space="preserve"> </w:t>
      </w:r>
      <w:r w:rsidR="00053E13">
        <w:rPr>
          <w:color w:val="3D3D3D"/>
          <w:sz w:val="25"/>
          <w:szCs w:val="25"/>
        </w:rPr>
        <w:t>962-963, 972</w:t>
      </w:r>
      <w:r w:rsidR="006B60AB">
        <w:rPr>
          <w:color w:val="3D3D3D"/>
          <w:sz w:val="25"/>
          <w:szCs w:val="25"/>
        </w:rPr>
        <w:t xml:space="preserve"> [</w:t>
      </w:r>
      <w:r w:rsidR="00053E13" w:rsidRPr="00053E13">
        <w:rPr>
          <w:rFonts w:eastAsia="Times New Roman"/>
          <w:color w:val="000000"/>
        </w:rPr>
        <w:t>§ </w:t>
      </w:r>
      <w:r w:rsidR="00D97BC5">
        <w:rPr>
          <w:rFonts w:eastAsia="Times New Roman"/>
          <w:color w:val="000000"/>
        </w:rPr>
        <w:t>1170.95 entitles petitioner to counsel on</w:t>
      </w:r>
      <w:r w:rsidR="00402639">
        <w:rPr>
          <w:rFonts w:eastAsia="Times New Roman"/>
          <w:color w:val="000000"/>
        </w:rPr>
        <w:t xml:space="preserve"> request after</w:t>
      </w:r>
      <w:r w:rsidR="00D97BC5">
        <w:rPr>
          <w:rFonts w:eastAsia="Times New Roman"/>
          <w:color w:val="000000"/>
        </w:rPr>
        <w:t xml:space="preserve"> filing facially sufficient petition</w:t>
      </w:r>
      <w:r w:rsidR="006B60AB">
        <w:rPr>
          <w:rFonts w:eastAsia="Times New Roman"/>
          <w:color w:val="000000"/>
        </w:rPr>
        <w:t xml:space="preserve">, </w:t>
      </w:r>
      <w:r w:rsidR="00D97BC5">
        <w:rPr>
          <w:rFonts w:eastAsia="Times New Roman"/>
          <w:color w:val="000000"/>
        </w:rPr>
        <w:t>requires single prima facie showing</w:t>
      </w:r>
      <w:r w:rsidR="006B60AB">
        <w:rPr>
          <w:rFonts w:eastAsia="Times New Roman"/>
          <w:color w:val="000000"/>
        </w:rPr>
        <w:t xml:space="preserve"> and</w:t>
      </w:r>
      <w:r w:rsidR="00D97BC5">
        <w:rPr>
          <w:rFonts w:eastAsia="Times New Roman"/>
          <w:color w:val="000000"/>
        </w:rPr>
        <w:t xml:space="preserve"> allows parties and trial court to use record of conviction in assessing whether the petitioner has made a prima facie case</w:t>
      </w:r>
      <w:r w:rsidR="006B60AB">
        <w:rPr>
          <w:rFonts w:eastAsia="Times New Roman"/>
          <w:color w:val="000000"/>
        </w:rPr>
        <w:t>]</w:t>
      </w:r>
      <w:r w:rsidR="00D97BC5">
        <w:rPr>
          <w:rFonts w:eastAsia="Times New Roman"/>
          <w:color w:val="000000"/>
        </w:rPr>
        <w:t>.</w:t>
      </w:r>
      <w:r w:rsidR="006B60AB">
        <w:rPr>
          <w:rFonts w:eastAsia="Times New Roman"/>
          <w:color w:val="000000"/>
        </w:rPr>
        <w:t>)</w:t>
      </w:r>
      <w:r w:rsidR="000E1FCC">
        <w:rPr>
          <w:rFonts w:eastAsia="Times New Roman"/>
          <w:color w:val="000000"/>
        </w:rPr>
        <w:t xml:space="preserve">  </w:t>
      </w:r>
    </w:p>
    <w:p w14:paraId="05767305" w14:textId="7689F136" w:rsidR="0079629D" w:rsidRDefault="00F255BF" w:rsidP="00A46BD9">
      <w:pPr>
        <w:spacing w:after="120" w:line="240" w:lineRule="auto"/>
        <w:jc w:val="center"/>
        <w:rPr>
          <w:b/>
          <w:bCs/>
        </w:rPr>
      </w:pPr>
      <w:r>
        <w:rPr>
          <w:b/>
          <w:bCs/>
        </w:rPr>
        <w:t>II.</w:t>
      </w:r>
    </w:p>
    <w:p w14:paraId="2E832BAD" w14:textId="544D8B6F" w:rsidR="000E6D18" w:rsidRPr="0079629D" w:rsidRDefault="00F255BF" w:rsidP="000E6D18">
      <w:pPr>
        <w:spacing w:line="240" w:lineRule="auto"/>
        <w:jc w:val="center"/>
        <w:rPr>
          <w:b/>
          <w:bCs/>
          <w:i/>
          <w:iCs/>
        </w:rPr>
      </w:pPr>
      <w:r w:rsidRPr="0079629D">
        <w:rPr>
          <w:b/>
          <w:bCs/>
          <w:i/>
          <w:iCs/>
        </w:rPr>
        <w:t xml:space="preserve">The Parties’ Arguments </w:t>
      </w:r>
      <w:r w:rsidR="00E2725A">
        <w:rPr>
          <w:b/>
          <w:bCs/>
          <w:i/>
          <w:iCs/>
        </w:rPr>
        <w:t>o</w:t>
      </w:r>
      <w:r w:rsidRPr="0079629D">
        <w:rPr>
          <w:b/>
          <w:bCs/>
          <w:i/>
          <w:iCs/>
        </w:rPr>
        <w:t>n Appeal</w:t>
      </w:r>
    </w:p>
    <w:p w14:paraId="792F5413" w14:textId="333670EF" w:rsidR="000E6D18" w:rsidRDefault="00F255BF" w:rsidP="000E6D18">
      <w:pPr>
        <w:ind w:firstLine="720"/>
      </w:pPr>
      <w:r>
        <w:t>Price contends her petition asserted</w:t>
      </w:r>
      <w:r w:rsidR="00A46BD9">
        <w:t xml:space="preserve"> </w:t>
      </w:r>
      <w:r>
        <w:t xml:space="preserve">an accusatory instrument was filed against her which allowed the prosecution to proceed under </w:t>
      </w:r>
      <w:r w:rsidR="00E2725A">
        <w:t>the</w:t>
      </w:r>
      <w:r>
        <w:t xml:space="preserve"> theor</w:t>
      </w:r>
      <w:r w:rsidR="00E2725A">
        <w:t>ies</w:t>
      </w:r>
      <w:r>
        <w:t xml:space="preserve"> of felony murder or murder under the natural and probable consequences doctrine, that she was convicted under one of those theories and that she could not now be convicted of murder because of changes made to the murder statutes in S</w:t>
      </w:r>
      <w:r w:rsidR="00F608A4">
        <w:t xml:space="preserve">enate Bill No. </w:t>
      </w:r>
      <w:r>
        <w:t>1437</w:t>
      </w:r>
      <w:r w:rsidR="00F608A4">
        <w:t xml:space="preserve"> (2017-2018 Reg. Sess.)</w:t>
      </w:r>
      <w:r>
        <w:t xml:space="preserve">.  Having thus “complied with all of the statutory requirements,” she argues, she was entitled to have the trial court conduct an evidentiary hearing.  Relatedly, she contends the trial court was required to assume her allegations as true in </w:t>
      </w:r>
      <w:r>
        <w:lastRenderedPageBreak/>
        <w:t xml:space="preserve">determining whether she had established a prima facie case.  In so arguing, Price implies we must ignore the elephant in the room, namely, the jury’s special circumstance finding.  </w:t>
      </w:r>
    </w:p>
    <w:p w14:paraId="27B96101" w14:textId="4BC64459" w:rsidR="000E6D18" w:rsidRPr="00EE75B3" w:rsidRDefault="00F255BF" w:rsidP="000E6D18">
      <w:pPr>
        <w:ind w:firstLine="720"/>
      </w:pPr>
      <w:r>
        <w:t xml:space="preserve">These arguments are foreclosed by </w:t>
      </w:r>
      <w:r w:rsidRPr="005E117C">
        <w:rPr>
          <w:i/>
          <w:iCs/>
        </w:rPr>
        <w:t>Lewis</w:t>
      </w:r>
      <w:r>
        <w:t xml:space="preserve">, in which our Supreme Court held that “the parties can, and should, use the record of conviction to aid the trial court in </w:t>
      </w:r>
      <w:r w:rsidR="00A46BD9">
        <w:t xml:space="preserve">reliably </w:t>
      </w:r>
      <w:r>
        <w:t>assessing whether a petitioner has made a prima facie case for relief under [section 1170.95,] subdivision (c).”  (</w:t>
      </w:r>
      <w:r w:rsidRPr="005E117C">
        <w:rPr>
          <w:i/>
          <w:iCs/>
        </w:rPr>
        <w:t>Lewis</w:t>
      </w:r>
      <w:r>
        <w:t xml:space="preserve">, </w:t>
      </w:r>
      <w:r w:rsidR="00A46BD9">
        <w:rPr>
          <w:i/>
          <w:iCs/>
        </w:rPr>
        <w:t xml:space="preserve">supra, </w:t>
      </w:r>
      <w:r>
        <w:t>11</w:t>
      </w:r>
      <w:r w:rsidR="00A46BD9">
        <w:t> </w:t>
      </w:r>
      <w:r>
        <w:t>Cal.5</w:t>
      </w:r>
      <w:r w:rsidRPr="00E85ED8">
        <w:t>th</w:t>
      </w:r>
      <w:r w:rsidRPr="00E85ED8">
        <w:rPr>
          <w:sz w:val="28"/>
        </w:rPr>
        <w:t xml:space="preserve"> </w:t>
      </w:r>
      <w:r>
        <w:t xml:space="preserve">at p. 972.)  The record of conviction, the court reasoned, “will necessarily inform the trial court’s prima facie inquiry under section 1170.95, allowing the court to distinguish petitions with potential merit from those that are clearly meritless.”  </w:t>
      </w:r>
      <w:r w:rsidR="00A46BD9">
        <w:t>(</w:t>
      </w:r>
      <w:r w:rsidR="00A46BD9" w:rsidRPr="00A46BD9">
        <w:rPr>
          <w:i/>
          <w:iCs/>
        </w:rPr>
        <w:t>Id.</w:t>
      </w:r>
      <w:r w:rsidR="00A46BD9">
        <w:t xml:space="preserve"> at p. 971.)  </w:t>
      </w:r>
      <w:r w:rsidR="00C12A3E">
        <w:t>The</w:t>
      </w:r>
      <w:r>
        <w:t xml:space="preserve"> </w:t>
      </w:r>
      <w:r w:rsidRPr="004A489C">
        <w:rPr>
          <w:i/>
          <w:iCs/>
        </w:rPr>
        <w:t>Lewis</w:t>
      </w:r>
      <w:r w:rsidR="00C12A3E">
        <w:t xml:space="preserve"> court expressed the caveat</w:t>
      </w:r>
      <w:r>
        <w:t xml:space="preserve"> that the trial court generally should “</w:t>
      </w:r>
      <w:r w:rsidR="00A46BD9">
        <w:t xml:space="preserve"> ‘ “</w:t>
      </w:r>
      <w:r>
        <w:t>take</w:t>
      </w:r>
      <w:r w:rsidR="00A46BD9">
        <w:t>[]</w:t>
      </w:r>
      <w:r>
        <w:t xml:space="preserve"> petitioner’s factual allegations as true,</w:t>
      </w:r>
      <w:r w:rsidR="00A46BD9">
        <w:t xml:space="preserve">” ’ </w:t>
      </w:r>
      <w:r>
        <w:t>” make “</w:t>
      </w:r>
      <w:r w:rsidR="00A46BD9">
        <w:t xml:space="preserve"> ‘ “</w:t>
      </w:r>
      <w:r>
        <w:t>a preliminary assessment regarding whether the petitioner would be entitled to relief if his or her factual allegations were proved</w:t>
      </w:r>
      <w:r w:rsidR="00EE75B3">
        <w:t xml:space="preserve">” ’ </w:t>
      </w:r>
      <w:r>
        <w:t>” and refrain from rejecting those factual allegations “</w:t>
      </w:r>
      <w:r w:rsidR="00EE75B3">
        <w:t xml:space="preserve"> ‘</w:t>
      </w:r>
      <w:r>
        <w:t>on credibility grounds without first conducting an evidentiary hearing.</w:t>
      </w:r>
      <w:r w:rsidR="00EE75B3">
        <w:t xml:space="preserve">’ </w:t>
      </w:r>
      <w:r>
        <w:t xml:space="preserve">”  </w:t>
      </w:r>
      <w:r w:rsidR="00EE75B3">
        <w:t>(</w:t>
      </w:r>
      <w:r w:rsidR="00EE75B3">
        <w:rPr>
          <w:i/>
          <w:iCs/>
        </w:rPr>
        <w:t>Ibid.</w:t>
      </w:r>
      <w:r w:rsidR="00EE75B3" w:rsidRPr="00EE75B3">
        <w:t>)</w:t>
      </w:r>
      <w:r w:rsidR="00EE75B3">
        <w:t xml:space="preserve">  </w:t>
      </w:r>
      <w:r>
        <w:t xml:space="preserve">But this prescription was limited by the following holding:  “ ‘[I]f the record, including the court’s own documents, “contain[s] facts refuting the allegations made in the petition” then “the court is justified in making a credibility determination adverse to the petitioner.” ’ ” </w:t>
      </w:r>
      <w:r w:rsidR="00EE75B3">
        <w:t xml:space="preserve"> (</w:t>
      </w:r>
      <w:r w:rsidR="00EE75B3">
        <w:rPr>
          <w:i/>
          <w:iCs/>
        </w:rPr>
        <w:t>Ibid.</w:t>
      </w:r>
      <w:r w:rsidR="00EE75B3">
        <w:t>)</w:t>
      </w:r>
    </w:p>
    <w:p w14:paraId="0DCB1FD5" w14:textId="674CF387" w:rsidR="000E6D18" w:rsidRDefault="00F255BF" w:rsidP="000E6D18">
      <w:pPr>
        <w:ind w:firstLine="720"/>
      </w:pPr>
      <w:r>
        <w:t>Price’s assertion in her petition that she “</w:t>
      </w:r>
      <w:r w:rsidRPr="00053E13">
        <w:rPr>
          <w:b/>
          <w:bCs/>
        </w:rPr>
        <w:t>could not</w:t>
      </w:r>
      <w:r>
        <w:t xml:space="preserve"> be convicted </w:t>
      </w:r>
      <w:r w:rsidRPr="00906D99">
        <w:rPr>
          <w:i/>
          <w:iCs/>
          <w:u w:val="single"/>
        </w:rPr>
        <w:t>NOW</w:t>
      </w:r>
      <w:r>
        <w:t xml:space="preserve"> of first-degree murder because of changes to Section</w:t>
      </w:r>
      <w:r w:rsidR="00EE75B3">
        <w:t>[</w:t>
      </w:r>
      <w:r>
        <w:t>s</w:t>
      </w:r>
      <w:r w:rsidR="00EE75B3">
        <w:t>]</w:t>
      </w:r>
      <w:r>
        <w:t xml:space="preserve"> 188 or 189 made effective January 1, 2019” was challenged by the People, who pointed out that the jury had “found true the special circumstance that the murder was committed while she was participating in the robbery of Merrill” and “was sentenced to life without parole pursuant to Penal Code section 190.2.”  </w:t>
      </w:r>
      <w:r>
        <w:lastRenderedPageBreak/>
        <w:t xml:space="preserve">Based on that finding, the People argued, “Not only </w:t>
      </w:r>
      <w:r w:rsidRPr="00EE75B3">
        <w:rPr>
          <w:i/>
          <w:iCs/>
        </w:rPr>
        <w:t>could</w:t>
      </w:r>
      <w:r>
        <w:t xml:space="preserve"> she be convicted as the law currently defines murder, she </w:t>
      </w:r>
      <w:r w:rsidRPr="00906D99">
        <w:rPr>
          <w:i/>
          <w:iCs/>
        </w:rPr>
        <w:t>was</w:t>
      </w:r>
      <w:r>
        <w:t xml:space="preserve">.” </w:t>
      </w:r>
    </w:p>
    <w:p w14:paraId="4490F842" w14:textId="77777777" w:rsidR="000E6D18" w:rsidRDefault="00F255BF" w:rsidP="000E6D18">
      <w:pPr>
        <w:ind w:firstLine="720"/>
      </w:pPr>
      <w:r>
        <w:t xml:space="preserve">Under </w:t>
      </w:r>
      <w:r w:rsidRPr="00C564CD">
        <w:rPr>
          <w:i/>
          <w:iCs/>
        </w:rPr>
        <w:t>Lewis</w:t>
      </w:r>
      <w:r>
        <w:t xml:space="preserve">, the trial court was not required to accept as true Price’s allegation that she could not be convicted of murder under the current statutes.  It was entitled to consider the record of conviction in deciding whether she established a prima facie case and was not required to hold an evidentiary hearing before doing so.  Thus, insofar as Price argues the trial court erred in not accepting her allegation that she could not be convicted under current law without considering the record of conviction, she is wrong.  </w:t>
      </w:r>
    </w:p>
    <w:p w14:paraId="0890D991" w14:textId="1A58C2BD" w:rsidR="000E6D18" w:rsidRDefault="00F255BF" w:rsidP="000E6D18">
      <w:pPr>
        <w:ind w:firstLine="720"/>
      </w:pPr>
      <w:r>
        <w:t xml:space="preserve">That said, </w:t>
      </w:r>
      <w:r w:rsidRPr="00C564CD">
        <w:rPr>
          <w:i/>
          <w:iCs/>
        </w:rPr>
        <w:t>Lewis</w:t>
      </w:r>
      <w:r>
        <w:t xml:space="preserve"> did not address whether a jury’s special circumstance finding, with or without an affirmance of that finding on direct appe</w:t>
      </w:r>
      <w:r w:rsidR="00435FBC">
        <w:t>al, can be challenged under</w:t>
      </w:r>
      <w:r>
        <w:t xml:space="preserve"> </w:t>
      </w:r>
      <w:r w:rsidR="00EE75B3">
        <w:t xml:space="preserve">section </w:t>
      </w:r>
      <w:r>
        <w:t>1170.95</w:t>
      </w:r>
      <w:r w:rsidR="00435FBC">
        <w:t xml:space="preserve"> and, if so, what relief is available under that section to a party asserting such a challenge</w:t>
      </w:r>
      <w:r>
        <w:t>.  Th</w:t>
      </w:r>
      <w:r w:rsidR="00435FBC">
        <w:t>ese</w:t>
      </w:r>
      <w:r>
        <w:t xml:space="preserve"> question</w:t>
      </w:r>
      <w:r w:rsidR="00435FBC">
        <w:t>s</w:t>
      </w:r>
      <w:r>
        <w:t xml:space="preserve"> </w:t>
      </w:r>
      <w:r w:rsidR="00435FBC">
        <w:t>are at the  heart of</w:t>
      </w:r>
      <w:r>
        <w:t xml:space="preserve"> Price’s </w:t>
      </w:r>
      <w:r w:rsidR="00435FBC">
        <w:t>appeal</w:t>
      </w:r>
      <w:r>
        <w:t xml:space="preserve"> and we must resolve </w:t>
      </w:r>
      <w:r w:rsidR="00435FBC">
        <w:t xml:space="preserve">them </w:t>
      </w:r>
      <w:r>
        <w:t xml:space="preserve">without guidance from the California Supreme Court.  Implicated in our analysis of </w:t>
      </w:r>
      <w:r w:rsidR="00435FBC">
        <w:t>these</w:t>
      </w:r>
      <w:r>
        <w:t xml:space="preserve"> question</w:t>
      </w:r>
      <w:r w:rsidR="00435FBC">
        <w:t>s</w:t>
      </w:r>
      <w:r>
        <w:t xml:space="preserve"> are </w:t>
      </w:r>
      <w:r w:rsidR="00435FBC">
        <w:t>several</w:t>
      </w:r>
      <w:r>
        <w:t xml:space="preserve"> of Price’s other arguments, including that (notwithstanding the jury’s special circumstance finding and our holding that the finding was supported by substantial evidence) she was entitled to an evidentiary hearing at which the prosecut</w:t>
      </w:r>
      <w:r w:rsidR="00F231E9">
        <w:t>ion</w:t>
      </w:r>
      <w:r>
        <w:t xml:space="preserve"> would have been required to prove a legally valid theory of murder that it </w:t>
      </w:r>
      <w:r w:rsidR="00F231E9">
        <w:t>would not have been able to prove</w:t>
      </w:r>
      <w:r>
        <w:t xml:space="preserve"> because the record shows she was not the actual killer, had no intent to kill, was not a major participant and did not act with reckless indifference to human life. </w:t>
      </w:r>
    </w:p>
    <w:p w14:paraId="37F73E22" w14:textId="251C07FE" w:rsidR="000E6D18" w:rsidRDefault="00F255BF" w:rsidP="000E6D18">
      <w:pPr>
        <w:ind w:firstLine="720"/>
      </w:pPr>
      <w:r>
        <w:t xml:space="preserve">The People likewise make a few assertions that are foreclosed by </w:t>
      </w:r>
      <w:r w:rsidRPr="002C3E6C">
        <w:rPr>
          <w:i/>
          <w:iCs/>
        </w:rPr>
        <w:t>Lewis</w:t>
      </w:r>
      <w:r>
        <w:t xml:space="preserve">, such as that there is a two-step process for determining whether the plaintiff has made out a prima facie case and that counsel need not be appointed until the second step.  (See </w:t>
      </w:r>
      <w:r w:rsidRPr="00D97C10">
        <w:rPr>
          <w:i/>
          <w:iCs/>
        </w:rPr>
        <w:t>Lewis</w:t>
      </w:r>
      <w:r>
        <w:t xml:space="preserve">, </w:t>
      </w:r>
      <w:r w:rsidRPr="00D97C10">
        <w:rPr>
          <w:i/>
          <w:iCs/>
        </w:rPr>
        <w:t>supra</w:t>
      </w:r>
      <w:r>
        <w:t xml:space="preserve">, </w:t>
      </w:r>
      <w:r w:rsidR="00346514">
        <w:t>11 Cal.5</w:t>
      </w:r>
      <w:r w:rsidR="00346514" w:rsidRPr="00346514">
        <w:t>th</w:t>
      </w:r>
      <w:r w:rsidR="00346514">
        <w:t xml:space="preserve"> </w:t>
      </w:r>
      <w:r>
        <w:t>at p</w:t>
      </w:r>
      <w:r w:rsidR="00053E13">
        <w:t>p</w:t>
      </w:r>
      <w:r>
        <w:t>.</w:t>
      </w:r>
      <w:r w:rsidR="00EE75B3">
        <w:t xml:space="preserve"> </w:t>
      </w:r>
      <w:r w:rsidR="00053E13">
        <w:t>962-963.)</w:t>
      </w:r>
      <w:r>
        <w:t xml:space="preserve">  Those assertions are </w:t>
      </w:r>
      <w:r w:rsidR="00435FBC">
        <w:t>of little or no</w:t>
      </w:r>
      <w:r>
        <w:t xml:space="preserve"> consequence here because the trial court </w:t>
      </w:r>
      <w:r>
        <w:lastRenderedPageBreak/>
        <w:t xml:space="preserve">appointed counsel </w:t>
      </w:r>
      <w:r w:rsidR="00435FBC">
        <w:t xml:space="preserve">at the outset </w:t>
      </w:r>
      <w:r>
        <w:t>and allowed full briefing in this case before determining Price had not established a prima facie case</w:t>
      </w:r>
      <w:r w:rsidR="00435FBC">
        <w:t>.</w:t>
      </w:r>
      <w:r>
        <w:t xml:space="preserve"> </w:t>
      </w:r>
      <w:r w:rsidR="00435FBC">
        <w:t xml:space="preserve"> Price argues that the court denied her petition prematurely not because it engaged in a one-step or two-step</w:t>
      </w:r>
      <w:r>
        <w:t xml:space="preserve"> </w:t>
      </w:r>
      <w:r w:rsidR="00435FBC">
        <w:t>process in evaluating whether she established a prima facie case, but because it considered the record of conviction in doing so and erred in concluding she had not met her burden.</w:t>
      </w:r>
    </w:p>
    <w:p w14:paraId="23176982" w14:textId="1A7DF133" w:rsidR="000E6D18" w:rsidRDefault="00F255BF" w:rsidP="000E6D18">
      <w:pPr>
        <w:ind w:firstLine="720"/>
      </w:pPr>
      <w:r>
        <w:t xml:space="preserve">Of greater significance is the People’s argument that because we already held there was sufficient evidence to support the special circumstance finding on direct appeal, and did so after </w:t>
      </w:r>
      <w:r w:rsidRPr="00EE75B3">
        <w:rPr>
          <w:i/>
          <w:iCs/>
        </w:rPr>
        <w:t>Banks</w:t>
      </w:r>
      <w:r>
        <w:t xml:space="preserve"> and </w:t>
      </w:r>
      <w:r w:rsidRPr="00EE75B3">
        <w:rPr>
          <w:i/>
          <w:iCs/>
        </w:rPr>
        <w:t>Clark</w:t>
      </w:r>
      <w:r>
        <w:t xml:space="preserve"> had been decided, Price cannot challenge the special circumstance finding and is categorically barred from relief under section 1170.95.  The People also argue that a special circumstance finding is valid until overturned under </w:t>
      </w:r>
      <w:r w:rsidRPr="00BB0F00">
        <w:rPr>
          <w:i/>
          <w:iCs/>
        </w:rPr>
        <w:t>Banks</w:t>
      </w:r>
      <w:r>
        <w:t xml:space="preserve"> and </w:t>
      </w:r>
      <w:r w:rsidRPr="00BB0F00">
        <w:rPr>
          <w:i/>
          <w:iCs/>
        </w:rPr>
        <w:t>Clark</w:t>
      </w:r>
      <w:r>
        <w:t xml:space="preserve"> and that this must be accomplished by way of a petition for habeas corpus.  Only if the jury rejects a special circumstance finding or a court reverses such a finding when reviewing it under</w:t>
      </w:r>
      <w:r w:rsidRPr="00BB0F00">
        <w:t xml:space="preserve"> </w:t>
      </w:r>
      <w:r w:rsidRPr="00EE75B3">
        <w:rPr>
          <w:i/>
          <w:iCs/>
        </w:rPr>
        <w:t>Banks</w:t>
      </w:r>
      <w:r>
        <w:t xml:space="preserve"> and </w:t>
      </w:r>
      <w:r w:rsidRPr="00EE75B3">
        <w:rPr>
          <w:i/>
          <w:iCs/>
        </w:rPr>
        <w:t>Clark</w:t>
      </w:r>
      <w:r>
        <w:t xml:space="preserve">, the People posit, may a party convicted of murder with such a finding seek relief under section 1170.95. </w:t>
      </w:r>
    </w:p>
    <w:p w14:paraId="54375AD2" w14:textId="26FD413C" w:rsidR="000E6D18" w:rsidRDefault="00F255BF" w:rsidP="000E6D18">
      <w:pPr>
        <w:ind w:firstLine="720"/>
      </w:pPr>
      <w:r>
        <w:t>In her reply, Price urges us, if we agree with the People’s procedural argument that she must first challenge the special circumstance finding through a petition for habeas corpus, to treat her appeal as a petition for habeas corpus.  She further argues, as she did on direct appeal, that the jury did not find she was the actual killer, as evidenced by its rejection of the firearm allegations.  Price also argues that the People are wrong in suggesting the special circumstance finding bars relief under section</w:t>
      </w:r>
      <w:r w:rsidR="00EE75B3">
        <w:t> </w:t>
      </w:r>
      <w:r>
        <w:t xml:space="preserve">1170.95 as a matter of law, contends the record contains scant evidence that she was a major participant or acted with reckless indifference </w:t>
      </w:r>
      <w:r w:rsidR="00EE75B3">
        <w:t xml:space="preserve">to </w:t>
      </w:r>
      <w:r>
        <w:t>human life and</w:t>
      </w:r>
      <w:r w:rsidR="00F231E9">
        <w:t xml:space="preserve"> further argues</w:t>
      </w:r>
      <w:r>
        <w:t xml:space="preserve"> that the trial court should have ordered a hearing where the </w:t>
      </w:r>
      <w:r>
        <w:lastRenderedPageBreak/>
        <w:t xml:space="preserve">People would have the burden to prove her ineligibility for sentencing beyond a reasonable doubt. </w:t>
      </w:r>
    </w:p>
    <w:p w14:paraId="0DD59CAE" w14:textId="1A34FF55" w:rsidR="000E6D18" w:rsidRPr="00435FBC" w:rsidRDefault="00F255BF" w:rsidP="00435FBC">
      <w:pPr>
        <w:ind w:firstLine="720"/>
      </w:pPr>
      <w:r>
        <w:t>At bottom, the contest between Price and the People rises or falls less on</w:t>
      </w:r>
      <w:r w:rsidR="00435FBC">
        <w:t xml:space="preserve"> matters of procedure</w:t>
      </w:r>
      <w:r>
        <w:t xml:space="preserve"> and more on</w:t>
      </w:r>
      <w:r w:rsidR="00435FBC">
        <w:t xml:space="preserve"> the merits of her petition.</w:t>
      </w:r>
      <w:r>
        <w:t xml:space="preserve"> </w:t>
      </w:r>
      <w:r w:rsidR="00435FBC">
        <w:t xml:space="preserve"> </w:t>
      </w:r>
      <w:r>
        <w:t xml:space="preserve">As we view it, Price’s appeal turns on three questions:  (1) </w:t>
      </w:r>
      <w:r w:rsidR="00435FBC">
        <w:t>Does section 1170.95 permit</w:t>
      </w:r>
      <w:r>
        <w:t xml:space="preserve"> Price </w:t>
      </w:r>
      <w:r w:rsidR="00435FBC">
        <w:t xml:space="preserve">to </w:t>
      </w:r>
      <w:r>
        <w:t xml:space="preserve">challenge the jury’s special circumstance finding?  (2) If so, is she entitled to an evidentiary hearing at which the People will be required to prove the facts underlying that finding anew and she </w:t>
      </w:r>
      <w:r w:rsidR="00435FBC">
        <w:t xml:space="preserve">and the People may </w:t>
      </w:r>
      <w:r>
        <w:t xml:space="preserve">present new evidence?  (3) Does our ruling on direct appeal that substantial evidence supported two of the three possible factual bases for the special circumstance finding bar Price from challenging that finding?  The key to answering these questions lies in the intersection between </w:t>
      </w:r>
      <w:r w:rsidRPr="00F24673">
        <w:rPr>
          <w:i/>
          <w:iCs/>
        </w:rPr>
        <w:t>Banks</w:t>
      </w:r>
      <w:r>
        <w:t xml:space="preserve">, </w:t>
      </w:r>
      <w:r w:rsidRPr="00F24673">
        <w:rPr>
          <w:i/>
          <w:iCs/>
        </w:rPr>
        <w:t>Clark</w:t>
      </w:r>
      <w:r>
        <w:t xml:space="preserve"> and the special circumstance legislation those cases interpreted, on the one hand, and </w:t>
      </w:r>
      <w:r w:rsidR="00F608A4">
        <w:t>Senate Bill No</w:t>
      </w:r>
      <w:r>
        <w:t>. 1437</w:t>
      </w:r>
      <w:r w:rsidR="00F608A4">
        <w:t xml:space="preserve"> (2017-2018 Reg. Sess.)</w:t>
      </w:r>
      <w:r>
        <w:t xml:space="preserve"> and the </w:t>
      </w:r>
      <w:r w:rsidR="005068EE">
        <w:t>l</w:t>
      </w:r>
      <w:r>
        <w:t>egislative intent behind it</w:t>
      </w:r>
      <w:r w:rsidR="00EE75B3">
        <w:t xml:space="preserve"> on the other</w:t>
      </w:r>
      <w:r>
        <w:t>.</w:t>
      </w:r>
      <w:r w:rsidR="00435FBC">
        <w:t xml:space="preserve">  It is to these issues we now turn.</w:t>
      </w:r>
    </w:p>
    <w:p w14:paraId="72460B44" w14:textId="7E340CC2" w:rsidR="00435FBC" w:rsidRDefault="00F255BF" w:rsidP="00EF3C70">
      <w:pPr>
        <w:spacing w:line="360" w:lineRule="auto"/>
        <w:jc w:val="center"/>
        <w:rPr>
          <w:rFonts w:eastAsia="Times New Roman"/>
          <w:b/>
          <w:bCs/>
          <w:color w:val="000000"/>
        </w:rPr>
      </w:pPr>
      <w:r>
        <w:rPr>
          <w:rFonts w:eastAsia="Times New Roman"/>
          <w:b/>
          <w:bCs/>
          <w:color w:val="000000"/>
        </w:rPr>
        <w:t>III</w:t>
      </w:r>
      <w:r w:rsidR="005068EE">
        <w:rPr>
          <w:rFonts w:eastAsia="Times New Roman"/>
          <w:b/>
          <w:bCs/>
          <w:color w:val="000000"/>
        </w:rPr>
        <w:t>.</w:t>
      </w:r>
    </w:p>
    <w:p w14:paraId="05D292BC" w14:textId="0CE34081" w:rsidR="00EF3C70" w:rsidRPr="00435FBC" w:rsidRDefault="00F255BF" w:rsidP="00EF3C70">
      <w:pPr>
        <w:spacing w:line="360" w:lineRule="auto"/>
        <w:jc w:val="center"/>
        <w:rPr>
          <w:rFonts w:eastAsia="Times New Roman"/>
          <w:b/>
          <w:bCs/>
          <w:i/>
          <w:iCs/>
          <w:color w:val="000000"/>
        </w:rPr>
      </w:pPr>
      <w:r w:rsidRPr="00435FBC">
        <w:rPr>
          <w:rFonts w:eastAsia="Times New Roman"/>
          <w:b/>
          <w:bCs/>
          <w:i/>
          <w:iCs/>
          <w:color w:val="000000"/>
        </w:rPr>
        <w:t>Analysis</w:t>
      </w:r>
    </w:p>
    <w:p w14:paraId="05F30F84" w14:textId="21EE55E2" w:rsidR="00396702" w:rsidRPr="00F608A4" w:rsidRDefault="00F255BF" w:rsidP="00F608A4">
      <w:pPr>
        <w:pStyle w:val="ListParagraph"/>
        <w:numPr>
          <w:ilvl w:val="0"/>
          <w:numId w:val="3"/>
        </w:numPr>
        <w:spacing w:after="120" w:line="240" w:lineRule="auto"/>
        <w:ind w:left="1080"/>
        <w:rPr>
          <w:rFonts w:eastAsia="Times New Roman"/>
          <w:color w:val="000000"/>
        </w:rPr>
      </w:pPr>
      <w:r w:rsidRPr="00F608A4">
        <w:rPr>
          <w:rFonts w:eastAsia="Times New Roman"/>
          <w:b/>
          <w:bCs/>
          <w:color w:val="000000"/>
        </w:rPr>
        <w:t>S</w:t>
      </w:r>
      <w:r w:rsidR="00F608A4" w:rsidRPr="00F608A4">
        <w:rPr>
          <w:rFonts w:eastAsia="Times New Roman"/>
          <w:b/>
          <w:bCs/>
          <w:color w:val="000000"/>
        </w:rPr>
        <w:t>enate Bill No.</w:t>
      </w:r>
      <w:r w:rsidRPr="00F608A4">
        <w:rPr>
          <w:rFonts w:eastAsia="Times New Roman"/>
          <w:b/>
          <w:bCs/>
          <w:color w:val="000000"/>
        </w:rPr>
        <w:t xml:space="preserve"> 1437</w:t>
      </w:r>
      <w:r w:rsidR="00F608A4" w:rsidRPr="00F608A4">
        <w:rPr>
          <w:rFonts w:eastAsia="Times New Roman"/>
          <w:b/>
          <w:bCs/>
          <w:color w:val="000000"/>
        </w:rPr>
        <w:t xml:space="preserve"> </w:t>
      </w:r>
      <w:r w:rsidR="00F608A4" w:rsidRPr="00F608A4">
        <w:rPr>
          <w:b/>
          <w:bCs/>
        </w:rPr>
        <w:t>(2017-2018 Reg. Sess.)</w:t>
      </w:r>
      <w:r w:rsidRPr="00F608A4">
        <w:rPr>
          <w:rFonts w:eastAsia="Times New Roman"/>
          <w:b/>
          <w:bCs/>
          <w:color w:val="000000"/>
        </w:rPr>
        <w:t xml:space="preserve"> Did Not Alter </w:t>
      </w:r>
      <w:r w:rsidR="00BB2E3B" w:rsidRPr="00F608A4">
        <w:rPr>
          <w:rFonts w:eastAsia="Times New Roman"/>
          <w:b/>
          <w:bCs/>
          <w:color w:val="000000"/>
        </w:rPr>
        <w:t>t</w:t>
      </w:r>
      <w:r w:rsidRPr="00F608A4">
        <w:rPr>
          <w:rFonts w:eastAsia="Times New Roman"/>
          <w:b/>
          <w:bCs/>
          <w:color w:val="000000"/>
        </w:rPr>
        <w:t xml:space="preserve">he Standard </w:t>
      </w:r>
      <w:r w:rsidR="00BB2E3B" w:rsidRPr="00F608A4">
        <w:rPr>
          <w:rFonts w:eastAsia="Times New Roman"/>
          <w:b/>
          <w:bCs/>
          <w:color w:val="000000"/>
        </w:rPr>
        <w:t>o</w:t>
      </w:r>
      <w:r w:rsidRPr="00F608A4">
        <w:rPr>
          <w:rFonts w:eastAsia="Times New Roman"/>
          <w:b/>
          <w:bCs/>
          <w:color w:val="000000"/>
        </w:rPr>
        <w:t xml:space="preserve">f Review </w:t>
      </w:r>
      <w:r w:rsidR="00BB2E3B" w:rsidRPr="00F608A4">
        <w:rPr>
          <w:rFonts w:eastAsia="Times New Roman"/>
          <w:b/>
          <w:bCs/>
          <w:color w:val="000000"/>
        </w:rPr>
        <w:t>f</w:t>
      </w:r>
      <w:r w:rsidRPr="00F608A4">
        <w:rPr>
          <w:rFonts w:eastAsia="Times New Roman"/>
          <w:b/>
          <w:bCs/>
          <w:color w:val="000000"/>
        </w:rPr>
        <w:t>or Special Circumstance Findings.</w:t>
      </w:r>
    </w:p>
    <w:p w14:paraId="49B50839" w14:textId="6C0F5588" w:rsidR="004B4AEA" w:rsidRDefault="00F255BF" w:rsidP="004B4AEA">
      <w:pPr>
        <w:spacing w:line="360" w:lineRule="auto"/>
        <w:ind w:firstLine="720"/>
        <w:rPr>
          <w:rFonts w:eastAsia="Times New Roman"/>
          <w:color w:val="000000"/>
        </w:rPr>
      </w:pPr>
      <w:r>
        <w:rPr>
          <w:rFonts w:eastAsia="Times New Roman"/>
          <w:color w:val="000000"/>
        </w:rPr>
        <w:t>Currently p</w:t>
      </w:r>
      <w:r w:rsidR="00465871">
        <w:rPr>
          <w:rFonts w:eastAsia="Times New Roman"/>
          <w:color w:val="000000"/>
        </w:rPr>
        <w:t>e</w:t>
      </w:r>
      <w:r w:rsidR="00435FBC">
        <w:rPr>
          <w:rFonts w:eastAsia="Times New Roman"/>
          <w:color w:val="000000"/>
        </w:rPr>
        <w:t>nding in</w:t>
      </w:r>
      <w:r>
        <w:rPr>
          <w:rFonts w:eastAsia="Times New Roman"/>
          <w:color w:val="000000"/>
        </w:rPr>
        <w:t xml:space="preserve"> the California Supreme Court </w:t>
      </w:r>
      <w:r w:rsidR="00435FBC">
        <w:rPr>
          <w:rFonts w:eastAsia="Times New Roman"/>
          <w:color w:val="000000"/>
        </w:rPr>
        <w:t xml:space="preserve">is the question </w:t>
      </w:r>
      <w:r w:rsidR="00465871">
        <w:rPr>
          <w:rFonts w:eastAsia="Times New Roman"/>
          <w:color w:val="000000"/>
        </w:rPr>
        <w:t>whether a felony-murder special</w:t>
      </w:r>
      <w:r w:rsidR="00E32482">
        <w:rPr>
          <w:rFonts w:eastAsia="Times New Roman"/>
          <w:color w:val="000000"/>
        </w:rPr>
        <w:t>-</w:t>
      </w:r>
      <w:r w:rsidR="00465871">
        <w:rPr>
          <w:rFonts w:eastAsia="Times New Roman"/>
          <w:color w:val="000000"/>
        </w:rPr>
        <w:t xml:space="preserve">circumstance finding made before </w:t>
      </w:r>
      <w:r w:rsidR="00465871" w:rsidRPr="00A002C3">
        <w:rPr>
          <w:rFonts w:eastAsia="Times New Roman"/>
          <w:i/>
          <w:iCs/>
          <w:color w:val="000000"/>
        </w:rPr>
        <w:t>Banks</w:t>
      </w:r>
      <w:r w:rsidR="00465871">
        <w:rPr>
          <w:rFonts w:eastAsia="Times New Roman"/>
          <w:color w:val="000000"/>
        </w:rPr>
        <w:t xml:space="preserve"> and </w:t>
      </w:r>
      <w:r w:rsidR="00465871" w:rsidRPr="00A002C3">
        <w:rPr>
          <w:rFonts w:eastAsia="Times New Roman"/>
          <w:i/>
          <w:iCs/>
          <w:color w:val="000000"/>
        </w:rPr>
        <w:t>Clark</w:t>
      </w:r>
      <w:r w:rsidR="00465871">
        <w:rPr>
          <w:rFonts w:eastAsia="Times New Roman"/>
          <w:color w:val="000000"/>
        </w:rPr>
        <w:t xml:space="preserve"> </w:t>
      </w:r>
      <w:r w:rsidR="00136C51">
        <w:rPr>
          <w:rFonts w:eastAsia="Times New Roman"/>
          <w:color w:val="000000"/>
        </w:rPr>
        <w:t xml:space="preserve">categorically </w:t>
      </w:r>
      <w:r w:rsidR="00465871">
        <w:rPr>
          <w:rFonts w:eastAsia="Times New Roman"/>
          <w:color w:val="000000"/>
        </w:rPr>
        <w:t xml:space="preserve">precludes a </w:t>
      </w:r>
      <w:r w:rsidR="001108ED">
        <w:rPr>
          <w:rFonts w:eastAsia="Times New Roman"/>
          <w:color w:val="000000"/>
        </w:rPr>
        <w:t xml:space="preserve">petitioner </w:t>
      </w:r>
      <w:r w:rsidR="00465871">
        <w:rPr>
          <w:rFonts w:eastAsia="Times New Roman"/>
          <w:color w:val="000000"/>
        </w:rPr>
        <w:t>from making a prima facie showing of eligibility for relief under section 1170.95</w:t>
      </w:r>
      <w:r w:rsidR="008E5A94">
        <w:rPr>
          <w:rFonts w:eastAsia="Times New Roman"/>
          <w:color w:val="000000"/>
        </w:rPr>
        <w:t xml:space="preserve"> as a matter of law</w:t>
      </w:r>
      <w:r>
        <w:rPr>
          <w:rFonts w:eastAsia="Times New Roman"/>
          <w:color w:val="000000"/>
        </w:rPr>
        <w:t>.</w:t>
      </w:r>
      <w:r w:rsidR="009764F8">
        <w:rPr>
          <w:rFonts w:eastAsia="Times New Roman"/>
          <w:color w:val="000000"/>
        </w:rPr>
        <w:t xml:space="preserve"> </w:t>
      </w:r>
      <w:r w:rsidR="00C24753">
        <w:rPr>
          <w:rFonts w:eastAsia="Times New Roman"/>
          <w:color w:val="000000"/>
        </w:rPr>
        <w:t xml:space="preserve"> (</w:t>
      </w:r>
      <w:r w:rsidR="00C24753" w:rsidRPr="00465871">
        <w:rPr>
          <w:rFonts w:eastAsia="Times New Roman"/>
          <w:i/>
          <w:iCs/>
          <w:color w:val="000000"/>
        </w:rPr>
        <w:t>People v. Strong</w:t>
      </w:r>
      <w:r w:rsidR="00C24753">
        <w:rPr>
          <w:rFonts w:eastAsia="Times New Roman"/>
          <w:color w:val="000000"/>
        </w:rPr>
        <w:t>,</w:t>
      </w:r>
      <w:r w:rsidR="003211AF">
        <w:rPr>
          <w:rFonts w:eastAsia="Times New Roman"/>
          <w:color w:val="000000"/>
        </w:rPr>
        <w:t xml:space="preserve"> </w:t>
      </w:r>
      <w:r w:rsidR="00C24753">
        <w:rPr>
          <w:rFonts w:eastAsia="Times New Roman"/>
          <w:color w:val="000000"/>
        </w:rPr>
        <w:t xml:space="preserve">rev. granted Mar. </w:t>
      </w:r>
      <w:r w:rsidR="009138BF">
        <w:rPr>
          <w:rFonts w:eastAsia="Times New Roman"/>
          <w:color w:val="000000"/>
        </w:rPr>
        <w:t>1</w:t>
      </w:r>
      <w:r w:rsidR="00C24753">
        <w:rPr>
          <w:rFonts w:eastAsia="Times New Roman"/>
          <w:color w:val="000000"/>
        </w:rPr>
        <w:t>0, 2021</w:t>
      </w:r>
      <w:r w:rsidR="003211AF">
        <w:rPr>
          <w:rFonts w:eastAsia="Times New Roman"/>
          <w:color w:val="000000"/>
        </w:rPr>
        <w:t>, S2</w:t>
      </w:r>
      <w:r w:rsidR="009138BF">
        <w:rPr>
          <w:rFonts w:eastAsia="Times New Roman"/>
          <w:color w:val="000000"/>
        </w:rPr>
        <w:t>66606</w:t>
      </w:r>
      <w:r w:rsidR="00C24753">
        <w:rPr>
          <w:rFonts w:eastAsia="Times New Roman"/>
          <w:color w:val="000000"/>
        </w:rPr>
        <w:t>)</w:t>
      </w:r>
      <w:r>
        <w:rPr>
          <w:rFonts w:eastAsia="Times New Roman"/>
          <w:color w:val="000000"/>
        </w:rPr>
        <w:t xml:space="preserve">. </w:t>
      </w:r>
      <w:r w:rsidR="004E6563">
        <w:rPr>
          <w:rFonts w:eastAsia="Times New Roman"/>
          <w:color w:val="000000"/>
        </w:rPr>
        <w:t xml:space="preserve"> </w:t>
      </w:r>
      <w:r w:rsidR="00D06816">
        <w:rPr>
          <w:rFonts w:eastAsia="Times New Roman"/>
          <w:color w:val="000000"/>
        </w:rPr>
        <w:t>O</w:t>
      </w:r>
      <w:r w:rsidR="004E6563">
        <w:rPr>
          <w:rFonts w:eastAsia="Times New Roman"/>
          <w:color w:val="000000"/>
        </w:rPr>
        <w:t xml:space="preserve">n </w:t>
      </w:r>
      <w:r w:rsidR="00D06816">
        <w:rPr>
          <w:rFonts w:eastAsia="Times New Roman"/>
          <w:color w:val="000000"/>
        </w:rPr>
        <w:t>this question,</w:t>
      </w:r>
      <w:r w:rsidR="004E6563">
        <w:rPr>
          <w:rFonts w:eastAsia="Times New Roman"/>
          <w:color w:val="000000"/>
        </w:rPr>
        <w:t xml:space="preserve"> </w:t>
      </w:r>
      <w:r w:rsidR="00C24753">
        <w:rPr>
          <w:rFonts w:eastAsia="Times New Roman"/>
          <w:color w:val="000000"/>
        </w:rPr>
        <w:t>our appellate courts</w:t>
      </w:r>
      <w:r w:rsidR="00A002C3">
        <w:rPr>
          <w:rFonts w:eastAsia="Times New Roman"/>
          <w:color w:val="000000"/>
        </w:rPr>
        <w:t xml:space="preserve"> ha</w:t>
      </w:r>
      <w:r w:rsidR="00C24753">
        <w:rPr>
          <w:rFonts w:eastAsia="Times New Roman"/>
          <w:color w:val="000000"/>
        </w:rPr>
        <w:t>ve</w:t>
      </w:r>
      <w:r w:rsidR="00A002C3">
        <w:rPr>
          <w:rFonts w:eastAsia="Times New Roman"/>
          <w:color w:val="000000"/>
        </w:rPr>
        <w:t xml:space="preserve"> been deeply divided</w:t>
      </w:r>
      <w:r w:rsidR="00465871">
        <w:rPr>
          <w:rFonts w:eastAsia="Times New Roman"/>
          <w:color w:val="000000"/>
        </w:rPr>
        <w:t>.</w:t>
      </w:r>
      <w:r w:rsidR="00431116">
        <w:rPr>
          <w:rFonts w:eastAsia="Times New Roman"/>
          <w:color w:val="000000"/>
        </w:rPr>
        <w:t xml:space="preserve">  (</w:t>
      </w:r>
      <w:r w:rsidR="00431116">
        <w:t xml:space="preserve">See </w:t>
      </w:r>
      <w:r w:rsidR="00431116" w:rsidRPr="00A002C3">
        <w:rPr>
          <w:i/>
          <w:iCs/>
        </w:rPr>
        <w:t>People v. Pineda</w:t>
      </w:r>
      <w:r w:rsidR="00431116">
        <w:t xml:space="preserve"> (2021) 66 Cal.App.5th 792,</w:t>
      </w:r>
      <w:r w:rsidR="00EC3A76">
        <w:t xml:space="preserve"> 799-801</w:t>
      </w:r>
      <w:r w:rsidR="00431116">
        <w:t xml:space="preserve"> </w:t>
      </w:r>
      <w:r w:rsidR="00EE75B3">
        <w:t>(</w:t>
      </w:r>
      <w:r w:rsidR="00EE75B3" w:rsidRPr="00EE75B3">
        <w:rPr>
          <w:i/>
          <w:iCs/>
        </w:rPr>
        <w:t>Pineda</w:t>
      </w:r>
      <w:r w:rsidR="00EE75B3">
        <w:t xml:space="preserve">) </w:t>
      </w:r>
      <w:r w:rsidR="00431116">
        <w:t>[discussing conflicting cases]</w:t>
      </w:r>
      <w:r w:rsidR="00EE75B3">
        <w:t>, rev. granted Sept. 29, 2021, S270513</w:t>
      </w:r>
      <w:r w:rsidR="00431116">
        <w:t xml:space="preserve">; </w:t>
      </w:r>
      <w:r w:rsidR="00431116" w:rsidRPr="00A43C5F">
        <w:rPr>
          <w:i/>
          <w:iCs/>
        </w:rPr>
        <w:t>People v. Harris</w:t>
      </w:r>
      <w:r w:rsidR="00431116">
        <w:t xml:space="preserve"> (2021) 6</w:t>
      </w:r>
      <w:r w:rsidR="00EE75B3">
        <w:t>0</w:t>
      </w:r>
      <w:r w:rsidR="00431116">
        <w:t xml:space="preserve"> Cal.App.5</w:t>
      </w:r>
      <w:r w:rsidR="00EE75B3">
        <w:t>t</w:t>
      </w:r>
      <w:r w:rsidR="00431116">
        <w:t>h 939, 954-958 [same]</w:t>
      </w:r>
      <w:r w:rsidR="00EE75B3">
        <w:t>, rev. granted Apr. 28, 2021</w:t>
      </w:r>
      <w:r w:rsidR="00954BAE">
        <w:t>, S267802</w:t>
      </w:r>
      <w:r w:rsidR="00431116">
        <w:t>.)</w:t>
      </w:r>
      <w:r w:rsidR="00465871">
        <w:rPr>
          <w:rFonts w:eastAsia="Times New Roman"/>
          <w:color w:val="000000"/>
        </w:rPr>
        <w:t xml:space="preserve"> </w:t>
      </w:r>
      <w:r>
        <w:rPr>
          <w:rFonts w:eastAsia="Times New Roman"/>
          <w:color w:val="000000"/>
        </w:rPr>
        <w:t xml:space="preserve"> A</w:t>
      </w:r>
      <w:r w:rsidR="00DE2A43">
        <w:rPr>
          <w:rFonts w:eastAsia="Times New Roman"/>
          <w:color w:val="000000"/>
        </w:rPr>
        <w:t>ssuming</w:t>
      </w:r>
      <w:r>
        <w:rPr>
          <w:rFonts w:eastAsia="Times New Roman"/>
          <w:color w:val="000000"/>
        </w:rPr>
        <w:t xml:space="preserve"> a </w:t>
      </w:r>
      <w:r w:rsidR="00D06816">
        <w:rPr>
          <w:rFonts w:eastAsia="Times New Roman"/>
          <w:color w:val="000000"/>
        </w:rPr>
        <w:t xml:space="preserve">special </w:t>
      </w:r>
      <w:r w:rsidR="00D06816">
        <w:rPr>
          <w:rFonts w:eastAsia="Times New Roman"/>
          <w:color w:val="000000"/>
        </w:rPr>
        <w:lastRenderedPageBreak/>
        <w:t xml:space="preserve">circumstance finding made before </w:t>
      </w:r>
      <w:r w:rsidR="00D06816" w:rsidRPr="00D06816">
        <w:rPr>
          <w:rFonts w:eastAsia="Times New Roman"/>
          <w:i/>
          <w:iCs/>
          <w:color w:val="000000"/>
        </w:rPr>
        <w:t>Banks</w:t>
      </w:r>
      <w:r w:rsidR="00D06816">
        <w:rPr>
          <w:rFonts w:eastAsia="Times New Roman"/>
          <w:color w:val="000000"/>
        </w:rPr>
        <w:t xml:space="preserve"> and </w:t>
      </w:r>
      <w:r w:rsidR="00D06816" w:rsidRPr="00D06816">
        <w:rPr>
          <w:rFonts w:eastAsia="Times New Roman"/>
          <w:i/>
          <w:iCs/>
          <w:color w:val="000000"/>
        </w:rPr>
        <w:t>Clark</w:t>
      </w:r>
      <w:r w:rsidR="00D06816">
        <w:rPr>
          <w:rFonts w:eastAsia="Times New Roman"/>
          <w:color w:val="000000"/>
        </w:rPr>
        <w:t xml:space="preserve"> do</w:t>
      </w:r>
      <w:r w:rsidR="00FD17C3">
        <w:rPr>
          <w:rFonts w:eastAsia="Times New Roman"/>
          <w:color w:val="000000"/>
        </w:rPr>
        <w:t>es</w:t>
      </w:r>
      <w:r w:rsidR="00D06816">
        <w:rPr>
          <w:rFonts w:eastAsia="Times New Roman"/>
          <w:color w:val="000000"/>
        </w:rPr>
        <w:t xml:space="preserve"> </w:t>
      </w:r>
      <w:r>
        <w:rPr>
          <w:rFonts w:eastAsia="Times New Roman"/>
          <w:color w:val="000000"/>
        </w:rPr>
        <w:t xml:space="preserve">not categorically bar </w:t>
      </w:r>
      <w:r w:rsidR="00D06816">
        <w:rPr>
          <w:rFonts w:eastAsia="Times New Roman"/>
          <w:color w:val="000000"/>
        </w:rPr>
        <w:t xml:space="preserve">such </w:t>
      </w:r>
      <w:r w:rsidR="00964063">
        <w:rPr>
          <w:rFonts w:eastAsia="Times New Roman"/>
          <w:color w:val="000000"/>
        </w:rPr>
        <w:t>relief</w:t>
      </w:r>
      <w:r w:rsidR="00DE2A43">
        <w:rPr>
          <w:rFonts w:eastAsia="Times New Roman"/>
          <w:color w:val="000000"/>
        </w:rPr>
        <w:t>,</w:t>
      </w:r>
      <w:r w:rsidR="00EC707C">
        <w:rPr>
          <w:rFonts w:eastAsia="Times New Roman"/>
          <w:color w:val="000000"/>
        </w:rPr>
        <w:t xml:space="preserve"> </w:t>
      </w:r>
      <w:r>
        <w:rPr>
          <w:rFonts w:eastAsia="Times New Roman"/>
          <w:color w:val="000000"/>
        </w:rPr>
        <w:t>a related question</w:t>
      </w:r>
      <w:r w:rsidR="00D06816">
        <w:rPr>
          <w:rFonts w:eastAsia="Times New Roman"/>
          <w:color w:val="000000"/>
        </w:rPr>
        <w:t xml:space="preserve"> </w:t>
      </w:r>
      <w:r>
        <w:rPr>
          <w:rFonts w:eastAsia="Times New Roman"/>
          <w:color w:val="000000"/>
        </w:rPr>
        <w:t xml:space="preserve">is </w:t>
      </w:r>
      <w:r w:rsidR="00EC707C">
        <w:rPr>
          <w:rFonts w:eastAsia="Times New Roman"/>
          <w:color w:val="000000"/>
        </w:rPr>
        <w:t xml:space="preserve">what type of review </w:t>
      </w:r>
      <w:r>
        <w:rPr>
          <w:rFonts w:eastAsia="Times New Roman"/>
          <w:color w:val="000000"/>
        </w:rPr>
        <w:t xml:space="preserve">applies </w:t>
      </w:r>
      <w:r w:rsidR="00964063">
        <w:rPr>
          <w:rFonts w:eastAsia="Times New Roman"/>
          <w:color w:val="000000"/>
        </w:rPr>
        <w:t>in section</w:t>
      </w:r>
      <w:r w:rsidR="003211AF">
        <w:rPr>
          <w:rFonts w:eastAsia="Times New Roman"/>
          <w:color w:val="000000"/>
        </w:rPr>
        <w:t> </w:t>
      </w:r>
      <w:r w:rsidR="00964063">
        <w:rPr>
          <w:rFonts w:eastAsia="Times New Roman"/>
          <w:color w:val="000000"/>
        </w:rPr>
        <w:t>1170.95 proceedings to</w:t>
      </w:r>
      <w:r w:rsidR="00A24A97">
        <w:rPr>
          <w:rFonts w:eastAsia="Times New Roman"/>
          <w:color w:val="000000"/>
        </w:rPr>
        <w:t xml:space="preserve"> </w:t>
      </w:r>
      <w:r w:rsidR="00396702">
        <w:rPr>
          <w:rFonts w:eastAsia="Times New Roman"/>
          <w:color w:val="000000"/>
        </w:rPr>
        <w:t>claim</w:t>
      </w:r>
      <w:r w:rsidR="00964063">
        <w:rPr>
          <w:rFonts w:eastAsia="Times New Roman"/>
          <w:color w:val="000000"/>
        </w:rPr>
        <w:t>s</w:t>
      </w:r>
      <w:r w:rsidR="00EC3A76">
        <w:rPr>
          <w:rFonts w:eastAsia="Times New Roman"/>
          <w:color w:val="000000"/>
        </w:rPr>
        <w:t xml:space="preserve"> of</w:t>
      </w:r>
      <w:r w:rsidR="0052578B">
        <w:rPr>
          <w:rFonts w:eastAsia="Times New Roman"/>
          <w:color w:val="000000"/>
        </w:rPr>
        <w:t xml:space="preserve"> error concerning </w:t>
      </w:r>
      <w:r w:rsidR="00D06816">
        <w:rPr>
          <w:rFonts w:eastAsia="Times New Roman"/>
          <w:color w:val="000000"/>
        </w:rPr>
        <w:t xml:space="preserve">such </w:t>
      </w:r>
      <w:r w:rsidR="00431116">
        <w:rPr>
          <w:rFonts w:eastAsia="Times New Roman"/>
          <w:color w:val="000000"/>
        </w:rPr>
        <w:t>finding</w:t>
      </w:r>
      <w:r w:rsidR="00964063">
        <w:rPr>
          <w:rFonts w:eastAsia="Times New Roman"/>
          <w:color w:val="000000"/>
        </w:rPr>
        <w:t>s</w:t>
      </w:r>
      <w:r w:rsidR="00DE2A43">
        <w:rPr>
          <w:rFonts w:eastAsia="Times New Roman"/>
          <w:color w:val="000000"/>
        </w:rPr>
        <w:t>.</w:t>
      </w:r>
      <w:r w:rsidR="008E754F">
        <w:rPr>
          <w:rFonts w:eastAsia="Times New Roman"/>
          <w:color w:val="000000"/>
        </w:rPr>
        <w:t xml:space="preserve"> </w:t>
      </w:r>
      <w:r w:rsidR="00312043">
        <w:rPr>
          <w:rFonts w:eastAsia="Times New Roman"/>
          <w:color w:val="000000"/>
        </w:rPr>
        <w:t xml:space="preserve"> </w:t>
      </w:r>
      <w:r w:rsidR="009A1F47">
        <w:rPr>
          <w:rFonts w:eastAsia="Times New Roman"/>
          <w:color w:val="000000"/>
        </w:rPr>
        <w:t xml:space="preserve">Appellate courts have disagreed on </w:t>
      </w:r>
      <w:r w:rsidR="004E6563">
        <w:rPr>
          <w:rFonts w:eastAsia="Times New Roman"/>
          <w:color w:val="000000"/>
        </w:rPr>
        <w:t xml:space="preserve">the </w:t>
      </w:r>
      <w:r w:rsidR="00964063">
        <w:rPr>
          <w:rFonts w:eastAsia="Times New Roman"/>
          <w:color w:val="000000"/>
        </w:rPr>
        <w:t>latter issue as well</w:t>
      </w:r>
      <w:r w:rsidR="009A1F47">
        <w:rPr>
          <w:rFonts w:eastAsia="Times New Roman"/>
          <w:color w:val="000000"/>
        </w:rPr>
        <w:t>.</w:t>
      </w:r>
      <w:r w:rsidR="00E43681">
        <w:rPr>
          <w:rFonts w:eastAsia="Times New Roman"/>
          <w:color w:val="000000"/>
        </w:rPr>
        <w:t xml:space="preserve">  </w:t>
      </w:r>
    </w:p>
    <w:p w14:paraId="5EC7F865" w14:textId="1A79D99E" w:rsidR="000E568F" w:rsidRDefault="00F255BF" w:rsidP="004B4AEA">
      <w:pPr>
        <w:spacing w:line="360" w:lineRule="auto"/>
        <w:ind w:firstLine="720"/>
        <w:rPr>
          <w:rFonts w:eastAsia="Times New Roman"/>
          <w:color w:val="000000"/>
        </w:rPr>
      </w:pPr>
      <w:r>
        <w:rPr>
          <w:rFonts w:eastAsia="Times New Roman"/>
          <w:color w:val="000000"/>
        </w:rPr>
        <w:t xml:space="preserve">Some courts have held that a </w:t>
      </w:r>
      <w:r w:rsidR="001108ED">
        <w:rPr>
          <w:rFonts w:eastAsia="Times New Roman"/>
          <w:color w:val="000000"/>
        </w:rPr>
        <w:t xml:space="preserve">petitioner </w:t>
      </w:r>
      <w:r>
        <w:rPr>
          <w:rFonts w:eastAsia="Times New Roman"/>
          <w:color w:val="000000"/>
        </w:rPr>
        <w:t>with a pre-</w:t>
      </w:r>
      <w:r w:rsidRPr="0070452C">
        <w:rPr>
          <w:rFonts w:eastAsia="Times New Roman"/>
          <w:i/>
          <w:iCs/>
          <w:color w:val="000000"/>
        </w:rPr>
        <w:t>Banks</w:t>
      </w:r>
      <w:r>
        <w:rPr>
          <w:rFonts w:eastAsia="Times New Roman"/>
          <w:color w:val="000000"/>
        </w:rPr>
        <w:t xml:space="preserve"> and </w:t>
      </w:r>
      <w:r w:rsidRPr="0070452C">
        <w:rPr>
          <w:rFonts w:eastAsia="Times New Roman"/>
          <w:i/>
          <w:iCs/>
          <w:color w:val="000000"/>
        </w:rPr>
        <w:t>Clark</w:t>
      </w:r>
      <w:r>
        <w:rPr>
          <w:rFonts w:eastAsia="Times New Roman"/>
          <w:color w:val="000000"/>
        </w:rPr>
        <w:t xml:space="preserve"> special circumstance finding </w:t>
      </w:r>
      <w:r w:rsidR="00964063">
        <w:rPr>
          <w:rFonts w:eastAsia="Times New Roman"/>
          <w:color w:val="000000"/>
        </w:rPr>
        <w:t>is not categorically barred from seeking</w:t>
      </w:r>
      <w:r w:rsidR="00B573DB">
        <w:rPr>
          <w:rFonts w:eastAsia="Times New Roman"/>
          <w:color w:val="000000"/>
        </w:rPr>
        <w:t xml:space="preserve"> relief under</w:t>
      </w:r>
      <w:r w:rsidR="00431116">
        <w:rPr>
          <w:rFonts w:eastAsia="Times New Roman"/>
          <w:color w:val="000000"/>
        </w:rPr>
        <w:t xml:space="preserve"> section 1170.95</w:t>
      </w:r>
      <w:r w:rsidR="00964063">
        <w:rPr>
          <w:rFonts w:eastAsia="Times New Roman"/>
          <w:color w:val="000000"/>
        </w:rPr>
        <w:t xml:space="preserve"> and</w:t>
      </w:r>
      <w:r w:rsidR="004B4AEA">
        <w:rPr>
          <w:rFonts w:eastAsia="Times New Roman"/>
          <w:color w:val="000000"/>
        </w:rPr>
        <w:t xml:space="preserve"> </w:t>
      </w:r>
      <w:r>
        <w:rPr>
          <w:rFonts w:eastAsia="Times New Roman"/>
          <w:color w:val="000000"/>
        </w:rPr>
        <w:t>is entitled to factfinding following an evidentiary hearing</w:t>
      </w:r>
      <w:r w:rsidR="00431116">
        <w:rPr>
          <w:rFonts w:eastAsia="Times New Roman"/>
          <w:color w:val="000000"/>
        </w:rPr>
        <w:t>.</w:t>
      </w:r>
      <w:r>
        <w:rPr>
          <w:rStyle w:val="FootnoteReference"/>
          <w:rFonts w:eastAsia="Times New Roman"/>
          <w:b/>
          <w:bCs/>
          <w:color w:val="000000"/>
        </w:rPr>
        <w:footnoteReference w:id="9"/>
      </w:r>
      <w:r w:rsidR="00431116" w:rsidRPr="00E77E25">
        <w:rPr>
          <w:rFonts w:eastAsia="Times New Roman"/>
          <w:b/>
          <w:bCs/>
          <w:color w:val="000000"/>
        </w:rPr>
        <w:t xml:space="preserve"> </w:t>
      </w:r>
      <w:r w:rsidR="00431116">
        <w:rPr>
          <w:rFonts w:eastAsia="Times New Roman"/>
          <w:color w:val="000000"/>
        </w:rPr>
        <w:t xml:space="preserve"> </w:t>
      </w:r>
      <w:r>
        <w:rPr>
          <w:rFonts w:eastAsia="Times New Roman"/>
          <w:color w:val="000000"/>
        </w:rPr>
        <w:t xml:space="preserve">These courts reason that </w:t>
      </w:r>
      <w:r w:rsidRPr="00655D2E">
        <w:rPr>
          <w:rFonts w:eastAsia="Times New Roman"/>
          <w:i/>
          <w:iCs/>
          <w:color w:val="000000"/>
        </w:rPr>
        <w:t>Banks</w:t>
      </w:r>
      <w:r>
        <w:rPr>
          <w:rFonts w:eastAsia="Times New Roman"/>
          <w:color w:val="000000"/>
        </w:rPr>
        <w:t xml:space="preserve"> and </w:t>
      </w:r>
      <w:r w:rsidRPr="00655D2E">
        <w:rPr>
          <w:rFonts w:eastAsia="Times New Roman"/>
          <w:i/>
          <w:iCs/>
          <w:color w:val="000000"/>
        </w:rPr>
        <w:t>Clark</w:t>
      </w:r>
      <w:r>
        <w:rPr>
          <w:rFonts w:eastAsia="Times New Roman"/>
          <w:color w:val="000000"/>
        </w:rPr>
        <w:t xml:space="preserve"> “construed the meanings of ‘major participant’ and ‘reckless indifference to human life’ ‘in a significantly different, and narrower manner than courts had previously.</w:t>
      </w:r>
      <w:r w:rsidR="00416C19">
        <w:rPr>
          <w:rFonts w:eastAsia="Times New Roman"/>
          <w:color w:val="000000"/>
        </w:rPr>
        <w:t xml:space="preserve">’ </w:t>
      </w:r>
      <w:r>
        <w:rPr>
          <w:rFonts w:eastAsia="Times New Roman"/>
          <w:color w:val="000000"/>
        </w:rPr>
        <w:t>”  (</w:t>
      </w:r>
      <w:r w:rsidRPr="0061663B">
        <w:rPr>
          <w:rFonts w:eastAsia="Times New Roman"/>
          <w:i/>
          <w:iCs/>
          <w:color w:val="000000"/>
        </w:rPr>
        <w:t>Smith</w:t>
      </w:r>
      <w:r>
        <w:rPr>
          <w:rFonts w:eastAsia="Times New Roman"/>
          <w:color w:val="000000"/>
        </w:rPr>
        <w:t>,</w:t>
      </w:r>
      <w:r w:rsidR="00416C19">
        <w:rPr>
          <w:rFonts w:eastAsia="Times New Roman"/>
          <w:color w:val="000000"/>
        </w:rPr>
        <w:t xml:space="preserve"> </w:t>
      </w:r>
      <w:r w:rsidR="00416C19">
        <w:rPr>
          <w:rFonts w:eastAsia="Times New Roman"/>
          <w:i/>
          <w:iCs/>
          <w:color w:val="000000"/>
        </w:rPr>
        <w:t>supra,</w:t>
      </w:r>
      <w:r>
        <w:rPr>
          <w:rFonts w:eastAsia="Times New Roman"/>
          <w:color w:val="000000"/>
        </w:rPr>
        <w:t xml:space="preserve"> 49 Cal.App.5th at p. 93</w:t>
      </w:r>
      <w:r w:rsidR="00416C19">
        <w:rPr>
          <w:rFonts w:eastAsia="Times New Roman"/>
          <w:color w:val="000000"/>
        </w:rPr>
        <w:t>, rev. gr</w:t>
      </w:r>
      <w:r>
        <w:rPr>
          <w:rFonts w:eastAsia="Times New Roman"/>
          <w:color w:val="000000"/>
        </w:rPr>
        <w:t xml:space="preserve">.)  According to these cases, “the jury did not have the same questions before them” in cases decided prior to </w:t>
      </w:r>
      <w:r w:rsidRPr="0061663B">
        <w:rPr>
          <w:rFonts w:eastAsia="Times New Roman"/>
          <w:i/>
          <w:iCs/>
          <w:color w:val="000000"/>
        </w:rPr>
        <w:t>Banks</w:t>
      </w:r>
      <w:r>
        <w:rPr>
          <w:rFonts w:eastAsia="Times New Roman"/>
          <w:color w:val="000000"/>
        </w:rPr>
        <w:t xml:space="preserve"> and </w:t>
      </w:r>
      <w:r w:rsidRPr="0061663B">
        <w:rPr>
          <w:rFonts w:eastAsia="Times New Roman"/>
          <w:i/>
          <w:iCs/>
          <w:color w:val="000000"/>
        </w:rPr>
        <w:t>Clark</w:t>
      </w:r>
      <w:r w:rsidR="00927C19">
        <w:rPr>
          <w:rFonts w:eastAsia="Times New Roman"/>
          <w:i/>
          <w:iCs/>
          <w:color w:val="000000"/>
        </w:rPr>
        <w:t xml:space="preserve"> </w:t>
      </w:r>
      <w:r w:rsidR="00927C19">
        <w:rPr>
          <w:rFonts w:eastAsia="Times New Roman"/>
          <w:color w:val="000000"/>
        </w:rPr>
        <w:t>as in cases deci</w:t>
      </w:r>
      <w:r w:rsidR="004E6563">
        <w:rPr>
          <w:rFonts w:eastAsia="Times New Roman"/>
          <w:color w:val="000000"/>
        </w:rPr>
        <w:t>d</w:t>
      </w:r>
      <w:r w:rsidR="00927C19">
        <w:rPr>
          <w:rFonts w:eastAsia="Times New Roman"/>
          <w:color w:val="000000"/>
        </w:rPr>
        <w:t>ed after them</w:t>
      </w:r>
      <w:r>
        <w:rPr>
          <w:rFonts w:eastAsia="Times New Roman"/>
          <w:color w:val="000000"/>
        </w:rPr>
        <w:t>.  (</w:t>
      </w:r>
      <w:r w:rsidR="00EC3A76">
        <w:rPr>
          <w:rFonts w:eastAsia="Times New Roman"/>
          <w:i/>
          <w:iCs/>
          <w:color w:val="000000"/>
        </w:rPr>
        <w:t>Smith</w:t>
      </w:r>
      <w:r w:rsidR="00EC3A76">
        <w:rPr>
          <w:rFonts w:eastAsia="Times New Roman"/>
          <w:color w:val="000000"/>
        </w:rPr>
        <w:t>, at p. 93</w:t>
      </w:r>
      <w:r>
        <w:rPr>
          <w:rFonts w:eastAsia="Times New Roman"/>
          <w:color w:val="000000"/>
        </w:rPr>
        <w:t xml:space="preserve">.) </w:t>
      </w:r>
      <w:r w:rsidR="00EB63E8">
        <w:rPr>
          <w:rFonts w:eastAsia="Times New Roman"/>
          <w:color w:val="000000"/>
        </w:rPr>
        <w:t xml:space="preserve"> </w:t>
      </w:r>
      <w:r w:rsidR="004B4AEA">
        <w:rPr>
          <w:rFonts w:eastAsia="Times New Roman"/>
          <w:color w:val="000000"/>
        </w:rPr>
        <w:t>Price relies on th</w:t>
      </w:r>
      <w:r w:rsidR="000B344A">
        <w:rPr>
          <w:rFonts w:eastAsia="Times New Roman"/>
          <w:color w:val="000000"/>
        </w:rPr>
        <w:t>is</w:t>
      </w:r>
      <w:r w:rsidR="00E77E25">
        <w:rPr>
          <w:rFonts w:eastAsia="Times New Roman"/>
          <w:color w:val="000000"/>
        </w:rPr>
        <w:t xml:space="preserve"> </w:t>
      </w:r>
      <w:r w:rsidR="000B344A" w:rsidRPr="00E77E25">
        <w:rPr>
          <w:rFonts w:eastAsia="Times New Roman"/>
          <w:i/>
          <w:iCs/>
          <w:color w:val="000000"/>
        </w:rPr>
        <w:t>Smith</w:t>
      </w:r>
      <w:r w:rsidR="000B344A">
        <w:rPr>
          <w:rFonts w:eastAsia="Times New Roman"/>
          <w:color w:val="000000"/>
        </w:rPr>
        <w:t xml:space="preserve"> line of </w:t>
      </w:r>
      <w:r w:rsidR="004B4AEA">
        <w:rPr>
          <w:rFonts w:eastAsia="Times New Roman"/>
          <w:color w:val="000000"/>
        </w:rPr>
        <w:t xml:space="preserve">cases </w:t>
      </w:r>
      <w:r w:rsidR="00846C95">
        <w:rPr>
          <w:rFonts w:eastAsia="Times New Roman"/>
          <w:color w:val="000000"/>
        </w:rPr>
        <w:t>and</w:t>
      </w:r>
      <w:r w:rsidR="00873737">
        <w:rPr>
          <w:rFonts w:eastAsia="Times New Roman"/>
          <w:color w:val="000000"/>
        </w:rPr>
        <w:t xml:space="preserve"> argues the trial court erred by failing to issue an order to show cause and provide her</w:t>
      </w:r>
      <w:r w:rsidR="00846C95">
        <w:rPr>
          <w:rFonts w:eastAsia="Times New Roman"/>
          <w:color w:val="000000"/>
        </w:rPr>
        <w:t xml:space="preserve"> an evidentiary hearing</w:t>
      </w:r>
      <w:r w:rsidR="00964063">
        <w:rPr>
          <w:rFonts w:eastAsia="Times New Roman"/>
          <w:color w:val="000000"/>
        </w:rPr>
        <w:t>, in effect, to relitigate the special circumstance issue</w:t>
      </w:r>
      <w:r w:rsidR="00846C95">
        <w:rPr>
          <w:rFonts w:eastAsia="Times New Roman"/>
          <w:color w:val="000000"/>
        </w:rPr>
        <w:t xml:space="preserve">. </w:t>
      </w:r>
    </w:p>
    <w:p w14:paraId="2C631555" w14:textId="51503CE6" w:rsidR="002B5089" w:rsidRDefault="00F255BF" w:rsidP="00431116">
      <w:pPr>
        <w:spacing w:line="360" w:lineRule="auto"/>
        <w:ind w:firstLine="720"/>
        <w:rPr>
          <w:rFonts w:eastAsia="Times New Roman"/>
          <w:color w:val="000000"/>
        </w:rPr>
      </w:pPr>
      <w:r>
        <w:rPr>
          <w:rFonts w:eastAsia="Times New Roman"/>
          <w:color w:val="000000"/>
        </w:rPr>
        <w:t xml:space="preserve"> O</w:t>
      </w:r>
      <w:r w:rsidR="00775B96">
        <w:rPr>
          <w:rFonts w:eastAsia="Times New Roman"/>
          <w:color w:val="000000"/>
        </w:rPr>
        <w:t xml:space="preserve">ther courts have held that a special circumstance finding, </w:t>
      </w:r>
      <w:r w:rsidR="00431116">
        <w:rPr>
          <w:rFonts w:eastAsia="Times New Roman"/>
          <w:color w:val="000000"/>
        </w:rPr>
        <w:t>including</w:t>
      </w:r>
      <w:r w:rsidR="00775B96">
        <w:rPr>
          <w:rFonts w:eastAsia="Times New Roman"/>
          <w:color w:val="000000"/>
        </w:rPr>
        <w:t xml:space="preserve"> one made prior to </w:t>
      </w:r>
      <w:r w:rsidR="00775B96" w:rsidRPr="00775B96">
        <w:rPr>
          <w:rFonts w:eastAsia="Times New Roman"/>
          <w:i/>
          <w:iCs/>
          <w:color w:val="000000"/>
        </w:rPr>
        <w:t>Banks</w:t>
      </w:r>
      <w:r w:rsidR="00775B96">
        <w:rPr>
          <w:rFonts w:eastAsia="Times New Roman"/>
          <w:color w:val="000000"/>
        </w:rPr>
        <w:t xml:space="preserve"> and </w:t>
      </w:r>
      <w:r w:rsidR="00775B96" w:rsidRPr="00775B96">
        <w:rPr>
          <w:rFonts w:eastAsia="Times New Roman"/>
          <w:i/>
          <w:iCs/>
          <w:color w:val="000000"/>
        </w:rPr>
        <w:t>Clark</w:t>
      </w:r>
      <w:r w:rsidR="00775B96">
        <w:rPr>
          <w:rFonts w:eastAsia="Times New Roman"/>
          <w:color w:val="000000"/>
        </w:rPr>
        <w:t>, categorically bars relief under section</w:t>
      </w:r>
      <w:r w:rsidR="003211AF">
        <w:rPr>
          <w:rFonts w:eastAsia="Times New Roman"/>
          <w:color w:val="000000"/>
        </w:rPr>
        <w:t> </w:t>
      </w:r>
      <w:r w:rsidR="00775B96">
        <w:rPr>
          <w:rFonts w:eastAsia="Times New Roman"/>
          <w:color w:val="000000"/>
        </w:rPr>
        <w:t xml:space="preserve">1170.95 unless and until the </w:t>
      </w:r>
      <w:r w:rsidR="001108ED">
        <w:rPr>
          <w:rFonts w:eastAsia="Times New Roman"/>
          <w:color w:val="000000"/>
        </w:rPr>
        <w:t xml:space="preserve">petitioner </w:t>
      </w:r>
      <w:r w:rsidR="001F60B6">
        <w:rPr>
          <w:rFonts w:eastAsia="Times New Roman"/>
          <w:color w:val="000000"/>
        </w:rPr>
        <w:t xml:space="preserve">first </w:t>
      </w:r>
      <w:r w:rsidR="00775B96">
        <w:rPr>
          <w:rFonts w:eastAsia="Times New Roman"/>
          <w:color w:val="000000"/>
        </w:rPr>
        <w:t>obtains a ruling, on direct appeal or habeas corpus</w:t>
      </w:r>
      <w:r w:rsidR="00C46F5E">
        <w:rPr>
          <w:rFonts w:eastAsia="Times New Roman"/>
          <w:color w:val="000000"/>
        </w:rPr>
        <w:t xml:space="preserve"> review</w:t>
      </w:r>
      <w:r w:rsidR="00775B96">
        <w:rPr>
          <w:rFonts w:eastAsia="Times New Roman"/>
          <w:color w:val="000000"/>
        </w:rPr>
        <w:t xml:space="preserve">, that the </w:t>
      </w:r>
      <w:r w:rsidR="00B573DB">
        <w:rPr>
          <w:rFonts w:eastAsia="Times New Roman"/>
          <w:color w:val="000000"/>
        </w:rPr>
        <w:t xml:space="preserve">special circumstance </w:t>
      </w:r>
      <w:r w:rsidR="00775B96">
        <w:rPr>
          <w:rFonts w:eastAsia="Times New Roman"/>
          <w:color w:val="000000"/>
        </w:rPr>
        <w:t xml:space="preserve">finding is not </w:t>
      </w:r>
      <w:r w:rsidR="00775B96">
        <w:rPr>
          <w:rFonts w:eastAsia="Times New Roman"/>
          <w:color w:val="000000"/>
        </w:rPr>
        <w:lastRenderedPageBreak/>
        <w:t xml:space="preserve">supported by substantial evidence under the </w:t>
      </w:r>
      <w:r w:rsidR="00775B96" w:rsidRPr="00775B96">
        <w:rPr>
          <w:rFonts w:eastAsia="Times New Roman"/>
          <w:i/>
          <w:iCs/>
          <w:color w:val="000000"/>
        </w:rPr>
        <w:t>Banks</w:t>
      </w:r>
      <w:r w:rsidR="00775B96">
        <w:rPr>
          <w:rFonts w:eastAsia="Times New Roman"/>
          <w:color w:val="000000"/>
        </w:rPr>
        <w:t>/</w:t>
      </w:r>
      <w:r w:rsidR="00775B96" w:rsidRPr="00775B96">
        <w:rPr>
          <w:rFonts w:eastAsia="Times New Roman"/>
          <w:i/>
          <w:iCs/>
          <w:color w:val="000000"/>
        </w:rPr>
        <w:t>Clark</w:t>
      </w:r>
      <w:r w:rsidR="00775B96">
        <w:rPr>
          <w:rFonts w:eastAsia="Times New Roman"/>
          <w:color w:val="000000"/>
        </w:rPr>
        <w:t xml:space="preserve"> standard.</w:t>
      </w:r>
      <w:r>
        <w:rPr>
          <w:rStyle w:val="FootnoteReference"/>
          <w:rFonts w:eastAsia="Times New Roman"/>
          <w:b/>
          <w:bCs/>
          <w:color w:val="000000"/>
        </w:rPr>
        <w:footnoteReference w:id="10"/>
      </w:r>
      <w:r w:rsidR="00775B96">
        <w:rPr>
          <w:rFonts w:eastAsia="Times New Roman"/>
          <w:color w:val="000000"/>
        </w:rPr>
        <w:t xml:space="preserve">  </w:t>
      </w:r>
      <w:r w:rsidR="00053CDA">
        <w:rPr>
          <w:rFonts w:eastAsia="Times New Roman"/>
          <w:color w:val="000000"/>
        </w:rPr>
        <w:t xml:space="preserve">These cases </w:t>
      </w:r>
      <w:r w:rsidR="00B813DD">
        <w:rPr>
          <w:rFonts w:eastAsia="Times New Roman"/>
          <w:color w:val="000000"/>
        </w:rPr>
        <w:t xml:space="preserve">reason that </w:t>
      </w:r>
      <w:r w:rsidR="00927C19">
        <w:rPr>
          <w:rFonts w:eastAsia="Times New Roman"/>
          <w:color w:val="000000"/>
        </w:rPr>
        <w:t>“</w:t>
      </w:r>
      <w:r w:rsidR="00927C19" w:rsidRPr="00927C19">
        <w:rPr>
          <w:rFonts w:eastAsia="Times New Roman"/>
          <w:i/>
          <w:iCs/>
          <w:color w:val="000000"/>
        </w:rPr>
        <w:t>Banks</w:t>
      </w:r>
      <w:r w:rsidR="00927C19">
        <w:rPr>
          <w:rFonts w:eastAsia="Times New Roman"/>
          <w:color w:val="000000"/>
        </w:rPr>
        <w:t xml:space="preserve"> and </w:t>
      </w:r>
      <w:r w:rsidR="00927C19" w:rsidRPr="00927C19">
        <w:rPr>
          <w:rFonts w:eastAsia="Times New Roman"/>
          <w:i/>
          <w:iCs/>
          <w:color w:val="000000"/>
        </w:rPr>
        <w:t>Clark</w:t>
      </w:r>
      <w:r w:rsidR="00927C19">
        <w:rPr>
          <w:rFonts w:eastAsia="Times New Roman"/>
          <w:color w:val="000000"/>
        </w:rPr>
        <w:t xml:space="preserve"> did not create a new rule of law, but rather ‘clarified’ the already-existing meaning of the phrases ‘major participant’ and ‘reckless indifference to human life’ for purposes of special circumstance allegations under section 190.2, subdivision (d).”  (</w:t>
      </w:r>
      <w:r w:rsidR="00927C19" w:rsidRPr="00927C19">
        <w:rPr>
          <w:rFonts w:eastAsia="Times New Roman"/>
          <w:i/>
          <w:iCs/>
          <w:color w:val="000000"/>
        </w:rPr>
        <w:t>Jones</w:t>
      </w:r>
      <w:r w:rsidR="00927C19">
        <w:rPr>
          <w:rFonts w:eastAsia="Times New Roman"/>
          <w:color w:val="000000"/>
        </w:rPr>
        <w:t xml:space="preserve">, </w:t>
      </w:r>
      <w:r w:rsidR="00927C19" w:rsidRPr="00927C19">
        <w:rPr>
          <w:rFonts w:eastAsia="Times New Roman"/>
          <w:i/>
          <w:iCs/>
          <w:color w:val="000000"/>
        </w:rPr>
        <w:t>supra</w:t>
      </w:r>
      <w:r w:rsidR="00927C19">
        <w:rPr>
          <w:rFonts w:eastAsia="Times New Roman"/>
          <w:color w:val="000000"/>
        </w:rPr>
        <w:t>, 56 Cal.App.5th at p. 482</w:t>
      </w:r>
      <w:r w:rsidR="009C5FFC">
        <w:rPr>
          <w:rFonts w:eastAsia="Times New Roman"/>
          <w:color w:val="000000"/>
        </w:rPr>
        <w:t>, rev. gr.</w:t>
      </w:r>
      <w:r w:rsidR="00310FFC">
        <w:rPr>
          <w:rFonts w:eastAsia="Times New Roman"/>
          <w:color w:val="000000"/>
        </w:rPr>
        <w:t xml:space="preserve">; see also </w:t>
      </w:r>
      <w:r w:rsidR="00310FFC" w:rsidRPr="009049D6">
        <w:rPr>
          <w:rFonts w:eastAsia="Times New Roman"/>
          <w:i/>
          <w:iCs/>
          <w:color w:val="000000"/>
        </w:rPr>
        <w:t>Nunez</w:t>
      </w:r>
      <w:r w:rsidR="00310FFC">
        <w:rPr>
          <w:rFonts w:eastAsia="Times New Roman"/>
          <w:color w:val="000000"/>
        </w:rPr>
        <w:t>,</w:t>
      </w:r>
      <w:r w:rsidR="003211AF">
        <w:rPr>
          <w:rFonts w:eastAsia="Times New Roman"/>
          <w:color w:val="000000"/>
        </w:rPr>
        <w:t xml:space="preserve"> </w:t>
      </w:r>
      <w:r w:rsidR="003211AF">
        <w:rPr>
          <w:rFonts w:eastAsia="Times New Roman"/>
          <w:i/>
          <w:iCs/>
          <w:color w:val="000000"/>
        </w:rPr>
        <w:t>supra,</w:t>
      </w:r>
      <w:r w:rsidR="00310FFC">
        <w:rPr>
          <w:rFonts w:eastAsia="Times New Roman"/>
          <w:color w:val="000000"/>
        </w:rPr>
        <w:t xml:space="preserve"> 57 Cal.App.5th at p.</w:t>
      </w:r>
      <w:r w:rsidR="00CD77FF">
        <w:rPr>
          <w:rFonts w:eastAsia="Times New Roman"/>
          <w:color w:val="000000"/>
        </w:rPr>
        <w:t> </w:t>
      </w:r>
      <w:r w:rsidR="00310FFC">
        <w:rPr>
          <w:rFonts w:eastAsia="Times New Roman"/>
          <w:color w:val="000000"/>
        </w:rPr>
        <w:t>92</w:t>
      </w:r>
      <w:r w:rsidR="003211AF">
        <w:rPr>
          <w:rFonts w:eastAsia="Times New Roman"/>
          <w:color w:val="000000"/>
        </w:rPr>
        <w:t>, rev. gr</w:t>
      </w:r>
      <w:r w:rsidR="00927C19">
        <w:rPr>
          <w:rFonts w:eastAsia="Times New Roman"/>
          <w:color w:val="000000"/>
        </w:rPr>
        <w:t>.)</w:t>
      </w:r>
      <w:r w:rsidR="003211AF">
        <w:rPr>
          <w:rFonts w:eastAsia="Times New Roman"/>
          <w:color w:val="000000"/>
        </w:rPr>
        <w:t xml:space="preserve"> </w:t>
      </w:r>
      <w:r w:rsidR="00927C19">
        <w:rPr>
          <w:rFonts w:eastAsia="Times New Roman"/>
          <w:color w:val="000000"/>
        </w:rPr>
        <w:t xml:space="preserve"> “ ‘Where a decision clarifies the kind of conduct proscribed by a statute, a defendant whose conviction became final before that decision’ is entitled to postconviction, habeas relief if ‘the undisputed facts’ in the trial record demonstrate their conduct ‘ “was not prohibited by the statute” as construed in the decision.’ ”  (</w:t>
      </w:r>
      <w:r w:rsidR="003211AF">
        <w:rPr>
          <w:rFonts w:eastAsia="Times New Roman"/>
          <w:i/>
          <w:iCs/>
          <w:color w:val="000000"/>
        </w:rPr>
        <w:t xml:space="preserve">Jones, </w:t>
      </w:r>
      <w:r w:rsidR="003211AF">
        <w:rPr>
          <w:rFonts w:eastAsia="Times New Roman"/>
          <w:color w:val="000000"/>
        </w:rPr>
        <w:t>at p. 482</w:t>
      </w:r>
      <w:r w:rsidR="00AD1BDE">
        <w:rPr>
          <w:rFonts w:eastAsia="Times New Roman"/>
          <w:color w:val="000000"/>
        </w:rPr>
        <w:t xml:space="preserve">, </w:t>
      </w:r>
      <w:r w:rsidR="00927C19">
        <w:rPr>
          <w:rFonts w:eastAsia="Times New Roman"/>
          <w:color w:val="000000"/>
        </w:rPr>
        <w:t xml:space="preserve">citing </w:t>
      </w:r>
      <w:r w:rsidR="00927C19" w:rsidRPr="00927C19">
        <w:rPr>
          <w:rFonts w:eastAsia="Times New Roman"/>
          <w:i/>
          <w:iCs/>
          <w:color w:val="000000"/>
        </w:rPr>
        <w:t>Scoggins</w:t>
      </w:r>
      <w:r w:rsidR="00927C19">
        <w:rPr>
          <w:rFonts w:eastAsia="Times New Roman"/>
          <w:color w:val="000000"/>
        </w:rPr>
        <w:t xml:space="preserve">, </w:t>
      </w:r>
      <w:r w:rsidR="00927C19" w:rsidRPr="00927C19">
        <w:rPr>
          <w:rFonts w:eastAsia="Times New Roman"/>
          <w:i/>
          <w:iCs/>
          <w:color w:val="000000"/>
        </w:rPr>
        <w:t>supra</w:t>
      </w:r>
      <w:r w:rsidR="00927C19">
        <w:rPr>
          <w:rFonts w:eastAsia="Times New Roman"/>
          <w:color w:val="000000"/>
        </w:rPr>
        <w:t>, 9</w:t>
      </w:r>
      <w:r w:rsidR="00CD77FF">
        <w:rPr>
          <w:rFonts w:eastAsia="Times New Roman"/>
          <w:color w:val="000000"/>
        </w:rPr>
        <w:t> </w:t>
      </w:r>
      <w:r w:rsidR="00927C19">
        <w:rPr>
          <w:rFonts w:eastAsia="Times New Roman"/>
          <w:color w:val="000000"/>
        </w:rPr>
        <w:t>Cal.5th at p.</w:t>
      </w:r>
      <w:r w:rsidR="00AD1BDE">
        <w:rPr>
          <w:rFonts w:eastAsia="Times New Roman"/>
          <w:color w:val="000000"/>
        </w:rPr>
        <w:t> </w:t>
      </w:r>
      <w:r w:rsidR="00927C19">
        <w:rPr>
          <w:rFonts w:eastAsia="Times New Roman"/>
          <w:color w:val="000000"/>
        </w:rPr>
        <w:t xml:space="preserve">673.)  </w:t>
      </w:r>
      <w:r>
        <w:rPr>
          <w:rFonts w:eastAsia="Times New Roman"/>
          <w:color w:val="000000"/>
        </w:rPr>
        <w:t>In these courts’ view, a</w:t>
      </w:r>
      <w:r w:rsidR="00053CDA">
        <w:rPr>
          <w:rFonts w:eastAsia="Times New Roman"/>
          <w:color w:val="000000"/>
        </w:rPr>
        <w:t>n attack on a special circumstance finding</w:t>
      </w:r>
      <w:r>
        <w:rPr>
          <w:rFonts w:eastAsia="Times New Roman"/>
          <w:color w:val="000000"/>
        </w:rPr>
        <w:t xml:space="preserve"> after a conviction becomes final</w:t>
      </w:r>
      <w:r w:rsidR="00053CDA">
        <w:rPr>
          <w:rFonts w:eastAsia="Times New Roman"/>
          <w:color w:val="000000"/>
        </w:rPr>
        <w:t xml:space="preserve"> is a collateral attack on the judgment that must proceed by habeas corpus</w:t>
      </w:r>
      <w:r>
        <w:rPr>
          <w:rFonts w:eastAsia="Times New Roman"/>
          <w:color w:val="000000"/>
        </w:rPr>
        <w:t xml:space="preserve">.  Thus, </w:t>
      </w:r>
      <w:r w:rsidR="00053CDA">
        <w:rPr>
          <w:rFonts w:eastAsia="Times New Roman"/>
          <w:color w:val="000000"/>
        </w:rPr>
        <w:t>only after successful challenge</w:t>
      </w:r>
      <w:r>
        <w:rPr>
          <w:rFonts w:eastAsia="Times New Roman"/>
          <w:color w:val="000000"/>
        </w:rPr>
        <w:t xml:space="preserve"> to the finding</w:t>
      </w:r>
      <w:r w:rsidR="00053CDA">
        <w:rPr>
          <w:rFonts w:eastAsia="Times New Roman"/>
          <w:color w:val="000000"/>
        </w:rPr>
        <w:t xml:space="preserve"> on direct appeal or </w:t>
      </w:r>
      <w:r>
        <w:rPr>
          <w:rFonts w:eastAsia="Times New Roman"/>
          <w:color w:val="000000"/>
        </w:rPr>
        <w:t xml:space="preserve">by </w:t>
      </w:r>
      <w:r w:rsidR="00053CDA">
        <w:rPr>
          <w:rFonts w:eastAsia="Times New Roman"/>
          <w:color w:val="000000"/>
        </w:rPr>
        <w:t>habeas</w:t>
      </w:r>
      <w:r>
        <w:rPr>
          <w:rFonts w:eastAsia="Times New Roman"/>
          <w:color w:val="000000"/>
        </w:rPr>
        <w:t xml:space="preserve"> petition</w:t>
      </w:r>
      <w:r w:rsidR="00053CDA">
        <w:rPr>
          <w:rFonts w:eastAsia="Times New Roman"/>
          <w:color w:val="000000"/>
        </w:rPr>
        <w:t xml:space="preserve"> may </w:t>
      </w:r>
      <w:r w:rsidR="00E77E25">
        <w:rPr>
          <w:rFonts w:eastAsia="Times New Roman"/>
          <w:color w:val="000000"/>
        </w:rPr>
        <w:t>a</w:t>
      </w:r>
      <w:r w:rsidR="001108ED">
        <w:rPr>
          <w:rFonts w:eastAsia="Times New Roman"/>
          <w:color w:val="000000"/>
        </w:rPr>
        <w:t>n individual</w:t>
      </w:r>
      <w:r w:rsidR="00E77E25">
        <w:rPr>
          <w:rFonts w:eastAsia="Times New Roman"/>
          <w:color w:val="000000"/>
        </w:rPr>
        <w:t xml:space="preserve"> </w:t>
      </w:r>
      <w:r w:rsidR="00053CDA">
        <w:rPr>
          <w:rFonts w:eastAsia="Times New Roman"/>
          <w:color w:val="000000"/>
        </w:rPr>
        <w:t>seek relief under section 1170.95.</w:t>
      </w:r>
      <w:r>
        <w:rPr>
          <w:rStyle w:val="FootnoteReference"/>
          <w:rFonts w:eastAsia="Times New Roman"/>
          <w:b/>
          <w:bCs/>
          <w:color w:val="000000"/>
        </w:rPr>
        <w:footnoteReference w:id="11"/>
      </w:r>
      <w:r w:rsidR="00053CDA">
        <w:rPr>
          <w:rFonts w:eastAsia="Times New Roman"/>
          <w:color w:val="000000"/>
        </w:rPr>
        <w:t xml:space="preserve">  </w:t>
      </w:r>
    </w:p>
    <w:p w14:paraId="2D7DEA11" w14:textId="3C1ECA6F" w:rsidR="002B5089" w:rsidRDefault="00F255BF" w:rsidP="00431116">
      <w:pPr>
        <w:spacing w:line="360" w:lineRule="auto"/>
        <w:ind w:firstLine="720"/>
        <w:rPr>
          <w:rFonts w:eastAsia="Times New Roman"/>
          <w:color w:val="000000"/>
        </w:rPr>
      </w:pPr>
      <w:r w:rsidRPr="000E568F">
        <w:rPr>
          <w:rFonts w:eastAsia="Times New Roman"/>
          <w:i/>
          <w:iCs/>
          <w:color w:val="000000"/>
        </w:rPr>
        <w:t>Galvan</w:t>
      </w:r>
      <w:r>
        <w:rPr>
          <w:rFonts w:eastAsia="Times New Roman"/>
          <w:color w:val="000000"/>
        </w:rPr>
        <w:t xml:space="preserve"> </w:t>
      </w:r>
      <w:r w:rsidR="00D06816">
        <w:rPr>
          <w:rFonts w:eastAsia="Times New Roman"/>
          <w:color w:val="000000"/>
        </w:rPr>
        <w:t xml:space="preserve">also </w:t>
      </w:r>
      <w:r>
        <w:rPr>
          <w:rFonts w:eastAsia="Times New Roman"/>
          <w:color w:val="000000"/>
        </w:rPr>
        <w:t xml:space="preserve">reasoned that eligibility for relief under section 1170.95 requires </w:t>
      </w:r>
      <w:r w:rsidR="001108ED">
        <w:rPr>
          <w:rFonts w:eastAsia="Times New Roman"/>
          <w:color w:val="000000"/>
        </w:rPr>
        <w:t>the</w:t>
      </w:r>
      <w:r>
        <w:rPr>
          <w:rFonts w:eastAsia="Times New Roman"/>
          <w:color w:val="000000"/>
        </w:rPr>
        <w:t xml:space="preserve"> </w:t>
      </w:r>
      <w:r w:rsidR="001108ED">
        <w:rPr>
          <w:rFonts w:eastAsia="Times New Roman"/>
          <w:color w:val="000000"/>
        </w:rPr>
        <w:t xml:space="preserve">petitioner </w:t>
      </w:r>
      <w:r>
        <w:rPr>
          <w:rFonts w:eastAsia="Times New Roman"/>
          <w:color w:val="000000"/>
        </w:rPr>
        <w:t>to</w:t>
      </w:r>
      <w:r w:rsidR="00D06816">
        <w:rPr>
          <w:rFonts w:eastAsia="Times New Roman"/>
          <w:color w:val="000000"/>
        </w:rPr>
        <w:t xml:space="preserve"> </w:t>
      </w:r>
      <w:r w:rsidR="00BC10E1">
        <w:rPr>
          <w:rFonts w:eastAsia="Times New Roman"/>
          <w:color w:val="000000"/>
        </w:rPr>
        <w:t>“</w:t>
      </w:r>
      <w:r w:rsidR="00D06816">
        <w:rPr>
          <w:rFonts w:eastAsia="Times New Roman"/>
          <w:color w:val="000000"/>
        </w:rPr>
        <w:t>s</w:t>
      </w:r>
      <w:r>
        <w:rPr>
          <w:rFonts w:eastAsia="Times New Roman"/>
          <w:color w:val="000000"/>
        </w:rPr>
        <w:t xml:space="preserve">how he or she ‘could not be convicted of first or </w:t>
      </w:r>
      <w:r>
        <w:rPr>
          <w:rFonts w:eastAsia="Times New Roman"/>
          <w:color w:val="000000"/>
        </w:rPr>
        <w:lastRenderedPageBreak/>
        <w:t>second degree murder because of changes to Section[s] 188 or 189 made effective’ as part of Senate Bill No. 1437</w:t>
      </w:r>
      <w:r w:rsidR="00C65CFF">
        <w:rPr>
          <w:rFonts w:eastAsia="Times New Roman"/>
          <w:color w:val="000000"/>
        </w:rPr>
        <w:t xml:space="preserve"> [</w:t>
      </w:r>
      <w:r w:rsidR="00C65CFF">
        <w:t>(2017-2018 Reg. Sess.)]</w:t>
      </w:r>
      <w:r>
        <w:rPr>
          <w:rFonts w:eastAsia="Times New Roman"/>
          <w:color w:val="000000"/>
        </w:rPr>
        <w:t>.”  (</w:t>
      </w:r>
      <w:r w:rsidRPr="002A0D4D">
        <w:rPr>
          <w:rFonts w:eastAsia="Times New Roman"/>
          <w:i/>
          <w:iCs/>
          <w:color w:val="000000"/>
        </w:rPr>
        <w:t>Galvan</w:t>
      </w:r>
      <w:r>
        <w:rPr>
          <w:rFonts w:eastAsia="Times New Roman"/>
          <w:color w:val="000000"/>
        </w:rPr>
        <w:t xml:space="preserve">, </w:t>
      </w:r>
      <w:r w:rsidRPr="002A0D4D">
        <w:rPr>
          <w:rFonts w:eastAsia="Times New Roman"/>
          <w:i/>
          <w:iCs/>
          <w:color w:val="000000"/>
        </w:rPr>
        <w:t>supra</w:t>
      </w:r>
      <w:r>
        <w:rPr>
          <w:rFonts w:eastAsia="Times New Roman"/>
          <w:color w:val="000000"/>
        </w:rPr>
        <w:t>, 52 Cal.App.5th at p. 1142</w:t>
      </w:r>
      <w:r w:rsidR="00BC10E1">
        <w:rPr>
          <w:rFonts w:eastAsia="Times New Roman"/>
          <w:color w:val="000000"/>
        </w:rPr>
        <w:t>, rev. gr.</w:t>
      </w:r>
      <w:r>
        <w:rPr>
          <w:rFonts w:eastAsia="Times New Roman"/>
          <w:color w:val="000000"/>
        </w:rPr>
        <w:t xml:space="preserve">)  The changes to the special circumstances standard occurred, the </w:t>
      </w:r>
      <w:r w:rsidRPr="000E568F">
        <w:rPr>
          <w:rFonts w:eastAsia="Times New Roman"/>
          <w:i/>
          <w:iCs/>
          <w:color w:val="000000"/>
        </w:rPr>
        <w:t>Galvan</w:t>
      </w:r>
      <w:r>
        <w:rPr>
          <w:rFonts w:eastAsia="Times New Roman"/>
          <w:color w:val="000000"/>
        </w:rPr>
        <w:t xml:space="preserve"> court opined, “not ‘because of changes’ made by Senate Bill </w:t>
      </w:r>
      <w:r w:rsidR="009C5FFC">
        <w:rPr>
          <w:rFonts w:eastAsia="Times New Roman"/>
          <w:color w:val="000000"/>
        </w:rPr>
        <w:t xml:space="preserve">No. </w:t>
      </w:r>
      <w:r>
        <w:rPr>
          <w:rFonts w:eastAsia="Times New Roman"/>
          <w:color w:val="000000"/>
        </w:rPr>
        <w:t>1437</w:t>
      </w:r>
      <w:r w:rsidR="00C65CFF">
        <w:rPr>
          <w:rFonts w:eastAsia="Times New Roman"/>
          <w:color w:val="000000"/>
        </w:rPr>
        <w:t xml:space="preserve"> [</w:t>
      </w:r>
      <w:r w:rsidR="00C65CFF">
        <w:t>(2017-2018 Reg. Sess.)]</w:t>
      </w:r>
      <w:r>
        <w:rPr>
          <w:rFonts w:eastAsia="Times New Roman"/>
          <w:color w:val="000000"/>
        </w:rPr>
        <w:t xml:space="preserve">, but because of the </w:t>
      </w:r>
      <w:r w:rsidR="00BC10E1">
        <w:rPr>
          <w:rFonts w:eastAsia="Times New Roman"/>
          <w:color w:val="000000"/>
        </w:rPr>
        <w:t xml:space="preserve">clarification of the </w:t>
      </w:r>
      <w:r>
        <w:rPr>
          <w:rFonts w:eastAsia="Times New Roman"/>
          <w:color w:val="000000"/>
        </w:rPr>
        <w:t xml:space="preserve">requirements for the special circumstance finding in </w:t>
      </w:r>
      <w:r w:rsidRPr="000E568F">
        <w:rPr>
          <w:rFonts w:eastAsia="Times New Roman"/>
          <w:i/>
          <w:iCs/>
          <w:color w:val="000000"/>
        </w:rPr>
        <w:t>Banks</w:t>
      </w:r>
      <w:r>
        <w:rPr>
          <w:rFonts w:eastAsia="Times New Roman"/>
          <w:color w:val="000000"/>
        </w:rPr>
        <w:t xml:space="preserve"> and </w:t>
      </w:r>
      <w:r w:rsidRPr="000E568F">
        <w:rPr>
          <w:rFonts w:eastAsia="Times New Roman"/>
          <w:i/>
          <w:iCs/>
          <w:color w:val="000000"/>
        </w:rPr>
        <w:t>Clark</w:t>
      </w:r>
      <w:r>
        <w:rPr>
          <w:rFonts w:eastAsia="Times New Roman"/>
          <w:color w:val="000000"/>
        </w:rPr>
        <w:t>.”  (</w:t>
      </w:r>
      <w:r w:rsidRPr="00EB63E8">
        <w:rPr>
          <w:rFonts w:eastAsia="Times New Roman"/>
          <w:i/>
          <w:iCs/>
          <w:color w:val="000000"/>
        </w:rPr>
        <w:t>I</w:t>
      </w:r>
      <w:r w:rsidR="00EC3A76">
        <w:rPr>
          <w:rFonts w:eastAsia="Times New Roman"/>
          <w:i/>
          <w:iCs/>
          <w:color w:val="000000"/>
        </w:rPr>
        <w:t>bi</w:t>
      </w:r>
      <w:r w:rsidRPr="00EB63E8">
        <w:rPr>
          <w:rFonts w:eastAsia="Times New Roman"/>
          <w:i/>
          <w:iCs/>
          <w:color w:val="000000"/>
        </w:rPr>
        <w:t>d</w:t>
      </w:r>
      <w:r>
        <w:rPr>
          <w:rFonts w:eastAsia="Times New Roman"/>
          <w:color w:val="000000"/>
        </w:rPr>
        <w:t xml:space="preserve">.) </w:t>
      </w:r>
      <w:r w:rsidR="00EC3A76">
        <w:rPr>
          <w:rFonts w:eastAsia="Times New Roman"/>
          <w:color w:val="000000"/>
        </w:rPr>
        <w:t xml:space="preserve"> </w:t>
      </w:r>
      <w:r w:rsidR="002A0D4D" w:rsidRPr="002A0D4D">
        <w:rPr>
          <w:rFonts w:eastAsia="Times New Roman"/>
          <w:i/>
          <w:iCs/>
          <w:color w:val="000000"/>
        </w:rPr>
        <w:t>Gomez</w:t>
      </w:r>
      <w:r w:rsidR="002A0D4D">
        <w:rPr>
          <w:rFonts w:eastAsia="Times New Roman"/>
          <w:color w:val="000000"/>
        </w:rPr>
        <w:t xml:space="preserve"> </w:t>
      </w:r>
      <w:r w:rsidR="00655D2E">
        <w:rPr>
          <w:rFonts w:eastAsia="Times New Roman"/>
          <w:color w:val="000000"/>
        </w:rPr>
        <w:t>construe</w:t>
      </w:r>
      <w:r w:rsidR="002A0D4D">
        <w:rPr>
          <w:rFonts w:eastAsia="Times New Roman"/>
          <w:color w:val="000000"/>
        </w:rPr>
        <w:t>d</w:t>
      </w:r>
      <w:r w:rsidR="00655D2E">
        <w:rPr>
          <w:rFonts w:eastAsia="Times New Roman"/>
          <w:color w:val="000000"/>
        </w:rPr>
        <w:t xml:space="preserve"> a </w:t>
      </w:r>
      <w:r>
        <w:rPr>
          <w:rFonts w:eastAsia="Times New Roman"/>
          <w:color w:val="000000"/>
        </w:rPr>
        <w:t>section</w:t>
      </w:r>
      <w:r w:rsidR="00BC10E1">
        <w:rPr>
          <w:rFonts w:eastAsia="Times New Roman"/>
          <w:color w:val="000000"/>
        </w:rPr>
        <w:t> </w:t>
      </w:r>
      <w:r>
        <w:rPr>
          <w:rFonts w:eastAsia="Times New Roman"/>
          <w:color w:val="000000"/>
        </w:rPr>
        <w:t xml:space="preserve">1170.95 </w:t>
      </w:r>
      <w:r w:rsidR="00655D2E">
        <w:rPr>
          <w:rFonts w:eastAsia="Times New Roman"/>
          <w:color w:val="000000"/>
        </w:rPr>
        <w:t xml:space="preserve">petition </w:t>
      </w:r>
      <w:r w:rsidR="00195922">
        <w:rPr>
          <w:rFonts w:eastAsia="Times New Roman"/>
          <w:color w:val="000000"/>
        </w:rPr>
        <w:t>challenging</w:t>
      </w:r>
      <w:r w:rsidR="00655D2E">
        <w:rPr>
          <w:rFonts w:eastAsia="Times New Roman"/>
          <w:color w:val="000000"/>
        </w:rPr>
        <w:t xml:space="preserve"> </w:t>
      </w:r>
      <w:r w:rsidR="008D508B">
        <w:rPr>
          <w:rFonts w:eastAsia="Times New Roman"/>
          <w:color w:val="000000"/>
        </w:rPr>
        <w:t>a</w:t>
      </w:r>
      <w:r w:rsidR="00655D2E">
        <w:rPr>
          <w:rFonts w:eastAsia="Times New Roman"/>
          <w:color w:val="000000"/>
        </w:rPr>
        <w:t xml:space="preserve"> pre-</w:t>
      </w:r>
      <w:r w:rsidR="00655D2E" w:rsidRPr="002A0D4D">
        <w:rPr>
          <w:rFonts w:eastAsia="Times New Roman"/>
          <w:i/>
          <w:iCs/>
          <w:color w:val="000000"/>
        </w:rPr>
        <w:t>Banks</w:t>
      </w:r>
      <w:r w:rsidR="00655D2E">
        <w:rPr>
          <w:rFonts w:eastAsia="Times New Roman"/>
          <w:color w:val="000000"/>
        </w:rPr>
        <w:t xml:space="preserve"> and </w:t>
      </w:r>
      <w:r w:rsidR="00655D2E" w:rsidRPr="002A0D4D">
        <w:rPr>
          <w:rFonts w:eastAsia="Times New Roman"/>
          <w:i/>
          <w:iCs/>
          <w:color w:val="000000"/>
        </w:rPr>
        <w:t>Clark</w:t>
      </w:r>
      <w:r w:rsidR="00655D2E">
        <w:rPr>
          <w:rFonts w:eastAsia="Times New Roman"/>
          <w:color w:val="000000"/>
        </w:rPr>
        <w:t xml:space="preserve"> special circumstance </w:t>
      </w:r>
      <w:r w:rsidR="008D508B">
        <w:rPr>
          <w:rFonts w:eastAsia="Times New Roman"/>
          <w:color w:val="000000"/>
        </w:rPr>
        <w:t xml:space="preserve">finding </w:t>
      </w:r>
      <w:r w:rsidR="00655D2E">
        <w:rPr>
          <w:rFonts w:eastAsia="Times New Roman"/>
          <w:color w:val="000000"/>
        </w:rPr>
        <w:t>as “</w:t>
      </w:r>
      <w:r w:rsidR="00BC10E1">
        <w:rPr>
          <w:rFonts w:eastAsia="Times New Roman"/>
          <w:color w:val="000000"/>
        </w:rPr>
        <w:t xml:space="preserve"> ‘</w:t>
      </w:r>
      <w:r w:rsidR="00655D2E">
        <w:rPr>
          <w:rFonts w:eastAsia="Times New Roman"/>
          <w:color w:val="000000"/>
        </w:rPr>
        <w:t>in effect</w:t>
      </w:r>
      <w:r w:rsidR="00195922">
        <w:rPr>
          <w:rFonts w:eastAsia="Times New Roman"/>
          <w:color w:val="000000"/>
        </w:rPr>
        <w:t xml:space="preserve"> a</w:t>
      </w:r>
      <w:r w:rsidR="00655D2E">
        <w:rPr>
          <w:rFonts w:eastAsia="Times New Roman"/>
          <w:color w:val="000000"/>
        </w:rPr>
        <w:t xml:space="preserve"> challenge to the sufficiency of the evidence,</w:t>
      </w:r>
      <w:r w:rsidR="00BC10E1">
        <w:rPr>
          <w:rFonts w:eastAsia="Times New Roman"/>
          <w:color w:val="000000"/>
        </w:rPr>
        <w:t xml:space="preserve">’ </w:t>
      </w:r>
      <w:r w:rsidR="00655D2E">
        <w:rPr>
          <w:rFonts w:eastAsia="Times New Roman"/>
          <w:color w:val="000000"/>
        </w:rPr>
        <w:t xml:space="preserve">” and </w:t>
      </w:r>
      <w:r w:rsidR="002A0D4D">
        <w:rPr>
          <w:rFonts w:eastAsia="Times New Roman"/>
          <w:color w:val="000000"/>
        </w:rPr>
        <w:t xml:space="preserve">expressed concern </w:t>
      </w:r>
      <w:r w:rsidR="00655D2E">
        <w:rPr>
          <w:rFonts w:eastAsia="Times New Roman"/>
          <w:color w:val="000000"/>
        </w:rPr>
        <w:t xml:space="preserve">that if such an issue could be raised in a section 1170.95 petition </w:t>
      </w:r>
      <w:r w:rsidR="002A0D4D">
        <w:rPr>
          <w:rFonts w:eastAsia="Times New Roman"/>
          <w:color w:val="000000"/>
        </w:rPr>
        <w:t xml:space="preserve">the </w:t>
      </w:r>
      <w:r w:rsidR="001108ED">
        <w:rPr>
          <w:rFonts w:eastAsia="Times New Roman"/>
          <w:color w:val="000000"/>
        </w:rPr>
        <w:t xml:space="preserve">petitioner </w:t>
      </w:r>
      <w:r w:rsidR="002A0D4D">
        <w:rPr>
          <w:rFonts w:eastAsia="Times New Roman"/>
          <w:color w:val="000000"/>
        </w:rPr>
        <w:t>would attain a remedy</w:t>
      </w:r>
      <w:r w:rsidR="00964063">
        <w:rPr>
          <w:rFonts w:eastAsia="Times New Roman"/>
          <w:color w:val="000000"/>
        </w:rPr>
        <w:t xml:space="preserve"> </w:t>
      </w:r>
      <w:r w:rsidR="002A0D4D">
        <w:rPr>
          <w:rFonts w:eastAsia="Times New Roman"/>
          <w:color w:val="000000"/>
        </w:rPr>
        <w:t>beyond his or her “due process right to challenge the sufficiency of the evidence</w:t>
      </w:r>
      <w:r w:rsidR="00195922">
        <w:rPr>
          <w:rFonts w:eastAsia="Times New Roman"/>
          <w:color w:val="000000"/>
        </w:rPr>
        <w:t>,</w:t>
      </w:r>
      <w:r w:rsidR="002A0D4D">
        <w:rPr>
          <w:rFonts w:eastAsia="Times New Roman"/>
          <w:color w:val="000000"/>
        </w:rPr>
        <w:t>”</w:t>
      </w:r>
      <w:r w:rsidR="00195922">
        <w:rPr>
          <w:rFonts w:eastAsia="Times New Roman"/>
          <w:color w:val="000000"/>
        </w:rPr>
        <w:t xml:space="preserve"> i.e., </w:t>
      </w:r>
      <w:r w:rsidR="002A0D4D">
        <w:rPr>
          <w:rFonts w:eastAsia="Times New Roman"/>
          <w:color w:val="000000"/>
        </w:rPr>
        <w:t>“a new trial, at which the prosecution would bear the burden of proving matters that may not have been seen as relevant at the original trial more than a decade earlier.”</w:t>
      </w:r>
      <w:r>
        <w:rPr>
          <w:rStyle w:val="FootnoteReference"/>
          <w:rFonts w:eastAsia="Times New Roman"/>
          <w:b/>
          <w:bCs/>
          <w:color w:val="000000"/>
        </w:rPr>
        <w:footnoteReference w:id="12"/>
      </w:r>
      <w:r w:rsidR="002A0D4D" w:rsidRPr="00195922">
        <w:rPr>
          <w:rFonts w:eastAsia="Times New Roman"/>
          <w:b/>
          <w:bCs/>
          <w:color w:val="000000"/>
        </w:rPr>
        <w:t xml:space="preserve"> </w:t>
      </w:r>
      <w:r w:rsidR="002A0D4D">
        <w:rPr>
          <w:rFonts w:eastAsia="Times New Roman"/>
          <w:color w:val="000000"/>
        </w:rPr>
        <w:t xml:space="preserve"> (</w:t>
      </w:r>
      <w:r w:rsidR="000E568F" w:rsidRPr="000E568F">
        <w:rPr>
          <w:rFonts w:eastAsia="Times New Roman"/>
          <w:i/>
          <w:iCs/>
          <w:color w:val="000000"/>
        </w:rPr>
        <w:t>Galvan</w:t>
      </w:r>
      <w:r w:rsidR="000E568F">
        <w:rPr>
          <w:rFonts w:eastAsia="Times New Roman"/>
          <w:color w:val="000000"/>
        </w:rPr>
        <w:t>, at p</w:t>
      </w:r>
      <w:r w:rsidR="002A0D4D">
        <w:rPr>
          <w:rFonts w:eastAsia="Times New Roman"/>
          <w:color w:val="000000"/>
        </w:rPr>
        <w:t>.</w:t>
      </w:r>
      <w:r w:rsidR="000E568F">
        <w:rPr>
          <w:rFonts w:eastAsia="Times New Roman"/>
          <w:color w:val="000000"/>
        </w:rPr>
        <w:t xml:space="preserve"> 1142</w:t>
      </w:r>
      <w:r w:rsidR="008D508B">
        <w:rPr>
          <w:rFonts w:eastAsia="Times New Roman"/>
          <w:color w:val="000000"/>
        </w:rPr>
        <w:t xml:space="preserve">, citing </w:t>
      </w:r>
      <w:r w:rsidR="008D508B" w:rsidRPr="002A0D4D">
        <w:rPr>
          <w:rFonts w:eastAsia="Times New Roman"/>
          <w:i/>
          <w:iCs/>
          <w:color w:val="000000"/>
        </w:rPr>
        <w:t>Gomez</w:t>
      </w:r>
      <w:r w:rsidR="008D508B">
        <w:rPr>
          <w:rFonts w:eastAsia="Times New Roman"/>
          <w:color w:val="000000"/>
        </w:rPr>
        <w:t xml:space="preserve">, </w:t>
      </w:r>
      <w:r w:rsidR="008D508B" w:rsidRPr="002A0D4D">
        <w:rPr>
          <w:rFonts w:eastAsia="Times New Roman"/>
          <w:i/>
          <w:iCs/>
          <w:color w:val="000000"/>
        </w:rPr>
        <w:t>supra</w:t>
      </w:r>
      <w:r w:rsidR="008D508B">
        <w:rPr>
          <w:rFonts w:eastAsia="Times New Roman"/>
          <w:color w:val="000000"/>
        </w:rPr>
        <w:t>, 52 Cal.App.5th at pp. 15, 17</w:t>
      </w:r>
      <w:r w:rsidR="00BC10E1">
        <w:rPr>
          <w:rFonts w:eastAsia="Times New Roman"/>
          <w:color w:val="000000"/>
        </w:rPr>
        <w:t>, rev. gr</w:t>
      </w:r>
      <w:r w:rsidR="000E568F">
        <w:rPr>
          <w:rFonts w:eastAsia="Times New Roman"/>
          <w:color w:val="000000"/>
        </w:rPr>
        <w:t>.</w:t>
      </w:r>
      <w:r w:rsidR="002A0D4D">
        <w:rPr>
          <w:rFonts w:eastAsia="Times New Roman"/>
          <w:color w:val="000000"/>
        </w:rPr>
        <w:t xml:space="preserve">) </w:t>
      </w:r>
      <w:r w:rsidR="00BF15D4">
        <w:rPr>
          <w:rFonts w:eastAsia="Times New Roman"/>
          <w:color w:val="000000"/>
        </w:rPr>
        <w:t xml:space="preserve"> </w:t>
      </w:r>
    </w:p>
    <w:p w14:paraId="3448D35B" w14:textId="058DECA5" w:rsidR="00E03A23" w:rsidRDefault="00F255BF" w:rsidP="00431116">
      <w:pPr>
        <w:spacing w:line="360" w:lineRule="auto"/>
        <w:ind w:firstLine="720"/>
        <w:rPr>
          <w:rFonts w:eastAsia="Times New Roman"/>
          <w:color w:val="000000"/>
        </w:rPr>
      </w:pPr>
      <w:r>
        <w:rPr>
          <w:rFonts w:eastAsia="Times New Roman"/>
          <w:color w:val="000000"/>
        </w:rPr>
        <w:t>The People rely on th</w:t>
      </w:r>
      <w:r w:rsidR="002B5089">
        <w:rPr>
          <w:rFonts w:eastAsia="Times New Roman"/>
          <w:color w:val="000000"/>
        </w:rPr>
        <w:t>is</w:t>
      </w:r>
      <w:r>
        <w:rPr>
          <w:rFonts w:eastAsia="Times New Roman"/>
          <w:color w:val="000000"/>
        </w:rPr>
        <w:t xml:space="preserve"> </w:t>
      </w:r>
      <w:r w:rsidRPr="00E77E25">
        <w:rPr>
          <w:rFonts w:eastAsia="Times New Roman"/>
          <w:i/>
          <w:iCs/>
          <w:color w:val="000000"/>
        </w:rPr>
        <w:t>Gomez</w:t>
      </w:r>
      <w:r w:rsidR="004F288E">
        <w:rPr>
          <w:rFonts w:eastAsia="Times New Roman"/>
          <w:i/>
          <w:iCs/>
          <w:color w:val="000000"/>
        </w:rPr>
        <w:t>/Galvan</w:t>
      </w:r>
      <w:r>
        <w:rPr>
          <w:rFonts w:eastAsia="Times New Roman"/>
          <w:color w:val="000000"/>
        </w:rPr>
        <w:t xml:space="preserve"> line of cases </w:t>
      </w:r>
      <w:r w:rsidR="004F288E">
        <w:rPr>
          <w:rFonts w:eastAsia="Times New Roman"/>
          <w:color w:val="000000"/>
        </w:rPr>
        <w:t xml:space="preserve">and </w:t>
      </w:r>
      <w:r>
        <w:rPr>
          <w:rFonts w:eastAsia="Times New Roman"/>
          <w:color w:val="000000"/>
        </w:rPr>
        <w:t>argue that the forum for addressing a challenge to a pre-</w:t>
      </w:r>
      <w:r w:rsidRPr="00BF15D4">
        <w:rPr>
          <w:rFonts w:eastAsia="Times New Roman"/>
          <w:i/>
          <w:iCs/>
          <w:color w:val="000000"/>
        </w:rPr>
        <w:t>Banks</w:t>
      </w:r>
      <w:r>
        <w:rPr>
          <w:rFonts w:eastAsia="Times New Roman"/>
          <w:color w:val="000000"/>
        </w:rPr>
        <w:t xml:space="preserve"> and </w:t>
      </w:r>
      <w:r w:rsidRPr="00BF15D4">
        <w:rPr>
          <w:rFonts w:eastAsia="Times New Roman"/>
          <w:i/>
          <w:iCs/>
          <w:color w:val="000000"/>
        </w:rPr>
        <w:t>Clark</w:t>
      </w:r>
      <w:r>
        <w:rPr>
          <w:rFonts w:eastAsia="Times New Roman"/>
          <w:color w:val="000000"/>
        </w:rPr>
        <w:t xml:space="preserve"> special circumstance finding is “through an appeal or on habeas corpus, rather than a section 1170.95 petition.”  Since this court already rejected a challenge to the special circumstance finding against Price on direct appeal, the People contend she has already been provided the review that </w:t>
      </w:r>
      <w:r w:rsidRPr="00BF15D4">
        <w:rPr>
          <w:rFonts w:eastAsia="Times New Roman"/>
          <w:i/>
          <w:iCs/>
          <w:color w:val="000000"/>
        </w:rPr>
        <w:t>Banks</w:t>
      </w:r>
      <w:r>
        <w:rPr>
          <w:rFonts w:eastAsia="Times New Roman"/>
          <w:color w:val="000000"/>
        </w:rPr>
        <w:t xml:space="preserve"> and </w:t>
      </w:r>
      <w:r w:rsidRPr="00BF15D4">
        <w:rPr>
          <w:rFonts w:eastAsia="Times New Roman"/>
          <w:i/>
          <w:iCs/>
          <w:color w:val="000000"/>
        </w:rPr>
        <w:t>Clark</w:t>
      </w:r>
      <w:r>
        <w:rPr>
          <w:rFonts w:eastAsia="Times New Roman"/>
          <w:color w:val="000000"/>
        </w:rPr>
        <w:t xml:space="preserve"> prescribe. </w:t>
      </w:r>
    </w:p>
    <w:p w14:paraId="73A77760" w14:textId="1E98E858" w:rsidR="000E568F" w:rsidRDefault="00F255BF" w:rsidP="000E568F">
      <w:pPr>
        <w:spacing w:line="360" w:lineRule="auto"/>
        <w:ind w:firstLine="720"/>
        <w:rPr>
          <w:rFonts w:eastAsia="Times New Roman"/>
          <w:color w:val="000000"/>
        </w:rPr>
      </w:pPr>
      <w:r>
        <w:rPr>
          <w:rFonts w:eastAsia="Times New Roman"/>
          <w:color w:val="000000"/>
        </w:rPr>
        <w:t>Still other courts, including our colleagues in Division Four, have held that “where a petitioner facing a felony-murder specia</w:t>
      </w:r>
      <w:r w:rsidR="00474C43">
        <w:rPr>
          <w:rFonts w:eastAsia="Times New Roman"/>
          <w:color w:val="000000"/>
        </w:rPr>
        <w:t>l</w:t>
      </w:r>
      <w:r>
        <w:rPr>
          <w:rFonts w:eastAsia="Times New Roman"/>
          <w:color w:val="000000"/>
        </w:rPr>
        <w:t xml:space="preserve">-circumstance finding </w:t>
      </w:r>
      <w:r>
        <w:rPr>
          <w:rFonts w:eastAsia="Times New Roman"/>
          <w:color w:val="000000"/>
        </w:rPr>
        <w:lastRenderedPageBreak/>
        <w:t xml:space="preserve">has </w:t>
      </w:r>
      <w:r w:rsidR="00474C43">
        <w:rPr>
          <w:rFonts w:eastAsia="Times New Roman"/>
          <w:color w:val="000000"/>
        </w:rPr>
        <w:t xml:space="preserve">never been afforded a </w:t>
      </w:r>
      <w:r w:rsidR="00474C43" w:rsidRPr="00474C43">
        <w:rPr>
          <w:rFonts w:eastAsia="Times New Roman"/>
          <w:i/>
          <w:iCs/>
          <w:color w:val="000000"/>
        </w:rPr>
        <w:t>Banks</w:t>
      </w:r>
      <w:r w:rsidR="00171621">
        <w:rPr>
          <w:rFonts w:eastAsia="Times New Roman"/>
          <w:color w:val="000000"/>
        </w:rPr>
        <w:t>/</w:t>
      </w:r>
      <w:r w:rsidR="00474C43" w:rsidRPr="00474C43">
        <w:rPr>
          <w:rFonts w:eastAsia="Times New Roman"/>
          <w:i/>
          <w:iCs/>
          <w:color w:val="000000"/>
        </w:rPr>
        <w:t>Clark</w:t>
      </w:r>
      <w:r w:rsidR="00474C43">
        <w:rPr>
          <w:rFonts w:eastAsia="Times New Roman"/>
          <w:color w:val="000000"/>
        </w:rPr>
        <w:t xml:space="preserve"> sufficiency-of-the-evidence review</w:t>
      </w:r>
      <w:r w:rsidR="00EC707C">
        <w:rPr>
          <w:rFonts w:eastAsia="Times New Roman"/>
          <w:color w:val="000000"/>
        </w:rPr>
        <w:t xml:space="preserve"> </w:t>
      </w:r>
      <w:r w:rsidR="00474C43">
        <w:rPr>
          <w:rFonts w:eastAsia="Times New Roman"/>
          <w:color w:val="000000"/>
        </w:rPr>
        <w:t xml:space="preserve">by any court, </w:t>
      </w:r>
      <w:r w:rsidR="00171621">
        <w:rPr>
          <w:rFonts w:eastAsia="Times New Roman"/>
          <w:color w:val="000000"/>
        </w:rPr>
        <w:t>[</w:t>
      </w:r>
      <w:r w:rsidR="00EC707C">
        <w:rPr>
          <w:rFonts w:eastAsia="Times New Roman"/>
          <w:color w:val="000000"/>
        </w:rPr>
        <w:t>either</w:t>
      </w:r>
      <w:r w:rsidR="00171621">
        <w:rPr>
          <w:rFonts w:eastAsia="Times New Roman"/>
          <w:color w:val="000000"/>
        </w:rPr>
        <w:t>]</w:t>
      </w:r>
      <w:r w:rsidR="00EC707C">
        <w:rPr>
          <w:rFonts w:eastAsia="Times New Roman"/>
          <w:color w:val="000000"/>
        </w:rPr>
        <w:t xml:space="preserve"> </w:t>
      </w:r>
      <w:r w:rsidR="00474C43">
        <w:rPr>
          <w:rFonts w:eastAsia="Times New Roman"/>
          <w:color w:val="000000"/>
        </w:rPr>
        <w:t>at the trial or appellate leve</w:t>
      </w:r>
      <w:r w:rsidR="00EC707C">
        <w:rPr>
          <w:rFonts w:eastAsia="Times New Roman"/>
          <w:color w:val="000000"/>
        </w:rPr>
        <w:t>l,</w:t>
      </w:r>
      <w:r w:rsidR="00171621">
        <w:rPr>
          <w:rFonts w:eastAsia="Times New Roman"/>
          <w:color w:val="000000"/>
        </w:rPr>
        <w:t>”</w:t>
      </w:r>
      <w:r w:rsidR="00EC707C">
        <w:rPr>
          <w:rFonts w:eastAsia="Times New Roman"/>
          <w:color w:val="000000"/>
        </w:rPr>
        <w:t xml:space="preserve"> </w:t>
      </w:r>
      <w:r w:rsidR="00875355">
        <w:rPr>
          <w:rFonts w:eastAsia="Times New Roman"/>
          <w:color w:val="000000"/>
        </w:rPr>
        <w:t xml:space="preserve">he or she may seek resentencing under </w:t>
      </w:r>
      <w:r w:rsidR="00474C43">
        <w:rPr>
          <w:rFonts w:eastAsia="Times New Roman"/>
          <w:color w:val="000000"/>
        </w:rPr>
        <w:t>section 1170.95</w:t>
      </w:r>
      <w:r w:rsidR="00875355">
        <w:rPr>
          <w:rFonts w:eastAsia="Times New Roman"/>
          <w:color w:val="000000"/>
        </w:rPr>
        <w:t>, but the resentencing court should</w:t>
      </w:r>
      <w:r w:rsidR="00474C43">
        <w:rPr>
          <w:rFonts w:eastAsia="Times New Roman"/>
          <w:color w:val="000000"/>
        </w:rPr>
        <w:t xml:space="preserve"> undertake </w:t>
      </w:r>
      <w:r w:rsidR="00875355">
        <w:rPr>
          <w:rFonts w:eastAsia="Times New Roman"/>
          <w:color w:val="000000"/>
        </w:rPr>
        <w:t>a sufficiency-of-the-evidence</w:t>
      </w:r>
      <w:r w:rsidR="00474C43">
        <w:rPr>
          <w:rFonts w:eastAsia="Times New Roman"/>
          <w:color w:val="000000"/>
        </w:rPr>
        <w:t xml:space="preserve"> analysis </w:t>
      </w:r>
      <w:r w:rsidR="00875355">
        <w:rPr>
          <w:rFonts w:eastAsia="Times New Roman"/>
          <w:color w:val="000000"/>
        </w:rPr>
        <w:t>“</w:t>
      </w:r>
      <w:r w:rsidR="00474C43">
        <w:rPr>
          <w:rFonts w:eastAsia="Times New Roman"/>
          <w:color w:val="000000"/>
        </w:rPr>
        <w:t xml:space="preserve">at the prima facie entitlement-to-relief stage of a </w:t>
      </w:r>
      <w:r>
        <w:rPr>
          <w:rFonts w:eastAsia="Times New Roman"/>
          <w:color w:val="000000"/>
        </w:rPr>
        <w:t xml:space="preserve">resentencing </w:t>
      </w:r>
      <w:r w:rsidR="00474C43">
        <w:rPr>
          <w:rFonts w:eastAsia="Times New Roman"/>
          <w:color w:val="000000"/>
        </w:rPr>
        <w:t xml:space="preserve">proceeding under subdivision (c) of [section 1170.95].”  </w:t>
      </w:r>
      <w:r>
        <w:rPr>
          <w:rFonts w:eastAsia="Times New Roman"/>
          <w:color w:val="000000"/>
        </w:rPr>
        <w:t xml:space="preserve">(E.g., </w:t>
      </w:r>
      <w:r w:rsidRPr="009D3366">
        <w:rPr>
          <w:rFonts w:eastAsia="Times New Roman"/>
          <w:i/>
          <w:iCs/>
          <w:color w:val="000000"/>
        </w:rPr>
        <w:t>People v. Secrease</w:t>
      </w:r>
      <w:r>
        <w:rPr>
          <w:rFonts w:eastAsia="Times New Roman"/>
          <w:color w:val="000000"/>
        </w:rPr>
        <w:t xml:space="preserve"> (2021) 63 </w:t>
      </w:r>
      <w:r w:rsidRPr="00312043">
        <w:rPr>
          <w:rFonts w:eastAsia="Times New Roman"/>
          <w:color w:val="000000"/>
        </w:rPr>
        <w:t xml:space="preserve">Cal.App.5th </w:t>
      </w:r>
      <w:r>
        <w:rPr>
          <w:rFonts w:eastAsia="Times New Roman"/>
          <w:color w:val="000000"/>
        </w:rPr>
        <w:t>231, 2</w:t>
      </w:r>
      <w:r w:rsidR="00C4515C">
        <w:rPr>
          <w:rFonts w:eastAsia="Times New Roman"/>
          <w:color w:val="000000"/>
        </w:rPr>
        <w:t>55</w:t>
      </w:r>
      <w:r w:rsidR="00627806">
        <w:rPr>
          <w:rFonts w:eastAsia="Times New Roman"/>
          <w:color w:val="000000"/>
        </w:rPr>
        <w:t xml:space="preserve"> (</w:t>
      </w:r>
      <w:r w:rsidR="00627806" w:rsidRPr="00492BD6">
        <w:rPr>
          <w:rFonts w:eastAsia="Times New Roman"/>
          <w:i/>
          <w:iCs/>
          <w:color w:val="000000"/>
        </w:rPr>
        <w:t>Secrease</w:t>
      </w:r>
      <w:r w:rsidR="00627806">
        <w:rPr>
          <w:rFonts w:eastAsia="Times New Roman"/>
          <w:color w:val="000000"/>
        </w:rPr>
        <w:t>)</w:t>
      </w:r>
      <w:r>
        <w:rPr>
          <w:rFonts w:eastAsia="Times New Roman"/>
          <w:color w:val="000000"/>
        </w:rPr>
        <w:t>,</w:t>
      </w:r>
      <w:r w:rsidR="00C4515C">
        <w:rPr>
          <w:rFonts w:eastAsia="Times New Roman"/>
          <w:color w:val="000000"/>
        </w:rPr>
        <w:t xml:space="preserve"> </w:t>
      </w:r>
      <w:r>
        <w:rPr>
          <w:rFonts w:eastAsia="Times New Roman"/>
          <w:color w:val="000000"/>
        </w:rPr>
        <w:t xml:space="preserve">rev. granted </w:t>
      </w:r>
      <w:r w:rsidR="00171621">
        <w:rPr>
          <w:rFonts w:eastAsia="Times New Roman"/>
          <w:color w:val="000000"/>
        </w:rPr>
        <w:t>June 30</w:t>
      </w:r>
      <w:r w:rsidRPr="00492BD6">
        <w:rPr>
          <w:rFonts w:eastAsia="Times New Roman"/>
          <w:color w:val="000000"/>
        </w:rPr>
        <w:t>,</w:t>
      </w:r>
      <w:r w:rsidR="00171621">
        <w:rPr>
          <w:rFonts w:eastAsia="Times New Roman"/>
          <w:color w:val="000000"/>
        </w:rPr>
        <w:t xml:space="preserve"> 2021</w:t>
      </w:r>
      <w:r w:rsidRPr="00492BD6">
        <w:rPr>
          <w:rFonts w:eastAsia="Times New Roman"/>
          <w:color w:val="000000"/>
        </w:rPr>
        <w:t>, S26</w:t>
      </w:r>
      <w:r w:rsidR="00171621">
        <w:rPr>
          <w:rFonts w:eastAsia="Times New Roman"/>
          <w:color w:val="000000"/>
        </w:rPr>
        <w:t>8862</w:t>
      </w:r>
      <w:r w:rsidR="00E97BB1">
        <w:rPr>
          <w:rFonts w:eastAsia="Times New Roman"/>
          <w:color w:val="000000"/>
        </w:rPr>
        <w:t>.)</w:t>
      </w:r>
      <w:r>
        <w:rPr>
          <w:rStyle w:val="FootnoteReference"/>
          <w:rFonts w:eastAsia="Times New Roman"/>
          <w:b/>
          <w:bCs/>
          <w:color w:val="000000"/>
        </w:rPr>
        <w:footnoteReference w:id="13"/>
      </w:r>
      <w:r w:rsidR="00E97BB1">
        <w:rPr>
          <w:rFonts w:eastAsia="Times New Roman"/>
          <w:i/>
          <w:iCs/>
          <w:color w:val="000000"/>
        </w:rPr>
        <w:t xml:space="preserve"> </w:t>
      </w:r>
      <w:r>
        <w:rPr>
          <w:rFonts w:eastAsia="Times New Roman"/>
          <w:color w:val="000000"/>
        </w:rPr>
        <w:t xml:space="preserve"> Only if the resentencing court first determines the record of conviction does not contain substantial evidence to support the finding under </w:t>
      </w:r>
      <w:r w:rsidRPr="0082185E">
        <w:rPr>
          <w:rFonts w:eastAsia="Times New Roman"/>
          <w:i/>
          <w:iCs/>
          <w:color w:val="000000"/>
        </w:rPr>
        <w:t>Banks</w:t>
      </w:r>
      <w:r>
        <w:rPr>
          <w:rFonts w:eastAsia="Times New Roman"/>
          <w:color w:val="000000"/>
        </w:rPr>
        <w:t xml:space="preserve"> and </w:t>
      </w:r>
      <w:r w:rsidRPr="0082185E">
        <w:rPr>
          <w:rFonts w:eastAsia="Times New Roman"/>
          <w:i/>
          <w:iCs/>
          <w:color w:val="000000"/>
        </w:rPr>
        <w:t>Clark</w:t>
      </w:r>
      <w:r>
        <w:rPr>
          <w:rFonts w:eastAsia="Times New Roman"/>
          <w:color w:val="000000"/>
        </w:rPr>
        <w:t xml:space="preserve"> is the </w:t>
      </w:r>
      <w:r w:rsidR="001108ED">
        <w:rPr>
          <w:rFonts w:eastAsia="Times New Roman"/>
          <w:color w:val="000000"/>
        </w:rPr>
        <w:t>petitioner</w:t>
      </w:r>
      <w:r w:rsidR="00D06816">
        <w:rPr>
          <w:rFonts w:eastAsia="Times New Roman"/>
          <w:color w:val="000000"/>
        </w:rPr>
        <w:t xml:space="preserve"> </w:t>
      </w:r>
      <w:r>
        <w:rPr>
          <w:rFonts w:eastAsia="Times New Roman"/>
          <w:color w:val="000000"/>
        </w:rPr>
        <w:t>entitled to an order to show cause and an evidentiary hearing.  (</w:t>
      </w:r>
      <w:r w:rsidRPr="00492BD6">
        <w:rPr>
          <w:rFonts w:eastAsia="Times New Roman"/>
          <w:i/>
          <w:iCs/>
          <w:color w:val="000000"/>
        </w:rPr>
        <w:t>Secrease</w:t>
      </w:r>
      <w:r>
        <w:rPr>
          <w:rFonts w:eastAsia="Times New Roman"/>
          <w:color w:val="000000"/>
        </w:rPr>
        <w:t xml:space="preserve">, at p. 236; </w:t>
      </w:r>
      <w:r w:rsidRPr="00492BD6">
        <w:rPr>
          <w:rFonts w:eastAsia="Times New Roman"/>
          <w:i/>
          <w:iCs/>
          <w:color w:val="000000"/>
        </w:rPr>
        <w:t>Pineda</w:t>
      </w:r>
      <w:r>
        <w:rPr>
          <w:rFonts w:eastAsia="Times New Roman"/>
          <w:color w:val="000000"/>
        </w:rPr>
        <w:t xml:space="preserve">, </w:t>
      </w:r>
      <w:r w:rsidRPr="00492BD6">
        <w:rPr>
          <w:rFonts w:eastAsia="Times New Roman"/>
          <w:i/>
          <w:iCs/>
          <w:color w:val="000000"/>
        </w:rPr>
        <w:t>supra</w:t>
      </w:r>
      <w:r>
        <w:rPr>
          <w:rFonts w:eastAsia="Times New Roman"/>
          <w:color w:val="000000"/>
        </w:rPr>
        <w:t xml:space="preserve">, 66 </w:t>
      </w:r>
      <w:r w:rsidRPr="00EB05DB">
        <w:rPr>
          <w:rFonts w:eastAsia="Times New Roman"/>
          <w:color w:val="000000"/>
        </w:rPr>
        <w:t>Cal.App.5th</w:t>
      </w:r>
      <w:r w:rsidR="00344401">
        <w:rPr>
          <w:rFonts w:eastAsia="Times New Roman"/>
          <w:color w:val="000000"/>
        </w:rPr>
        <w:t xml:space="preserve"> at pp. 801-802, rev. gr.</w:t>
      </w:r>
      <w:r>
        <w:rPr>
          <w:rFonts w:eastAsia="Times New Roman"/>
          <w:color w:val="000000"/>
        </w:rPr>
        <w:t xml:space="preserve">; </w:t>
      </w:r>
      <w:r w:rsidRPr="00215AAE">
        <w:rPr>
          <w:rFonts w:eastAsia="Times New Roman"/>
          <w:i/>
          <w:iCs/>
          <w:color w:val="000000"/>
        </w:rPr>
        <w:t>Arias</w:t>
      </w:r>
      <w:r>
        <w:rPr>
          <w:rFonts w:eastAsia="Times New Roman"/>
          <w:color w:val="000000"/>
        </w:rPr>
        <w:t xml:space="preserve">, </w:t>
      </w:r>
      <w:r w:rsidRPr="00215AAE">
        <w:rPr>
          <w:rFonts w:eastAsia="Times New Roman"/>
          <w:i/>
          <w:iCs/>
          <w:color w:val="000000"/>
        </w:rPr>
        <w:t>supra</w:t>
      </w:r>
      <w:r>
        <w:rPr>
          <w:rFonts w:eastAsia="Times New Roman"/>
          <w:color w:val="000000"/>
        </w:rPr>
        <w:t>, 66</w:t>
      </w:r>
      <w:r w:rsidR="0001513A">
        <w:rPr>
          <w:rFonts w:eastAsia="Times New Roman"/>
          <w:color w:val="000000"/>
        </w:rPr>
        <w:t> </w:t>
      </w:r>
      <w:r w:rsidRPr="00215AAE">
        <w:rPr>
          <w:rFonts w:eastAsia="Times New Roman"/>
          <w:color w:val="000000"/>
        </w:rPr>
        <w:t xml:space="preserve">Cal.App.5th </w:t>
      </w:r>
      <w:r>
        <w:rPr>
          <w:rFonts w:eastAsia="Times New Roman"/>
          <w:color w:val="000000"/>
        </w:rPr>
        <w:t xml:space="preserve">at p. </w:t>
      </w:r>
      <w:r w:rsidR="00344401">
        <w:rPr>
          <w:rFonts w:eastAsia="Times New Roman"/>
          <w:color w:val="000000"/>
        </w:rPr>
        <w:t>1004</w:t>
      </w:r>
      <w:r w:rsidR="00FE4584">
        <w:rPr>
          <w:rFonts w:eastAsia="Times New Roman"/>
          <w:color w:val="000000"/>
        </w:rPr>
        <w:t>, rev. gr.</w:t>
      </w:r>
      <w:r>
        <w:rPr>
          <w:rFonts w:eastAsia="Times New Roman"/>
          <w:color w:val="000000"/>
        </w:rPr>
        <w:t xml:space="preserve">)  </w:t>
      </w:r>
      <w:r w:rsidR="00C20AC9">
        <w:rPr>
          <w:rFonts w:eastAsia="Times New Roman"/>
          <w:color w:val="000000"/>
        </w:rPr>
        <w:t xml:space="preserve">If the resentencing court concludes sufficient evidence in the trial record “meets the minimum threshold of personal culpability set by </w:t>
      </w:r>
      <w:r w:rsidR="00C20AC9" w:rsidRPr="00C20AC9">
        <w:rPr>
          <w:rFonts w:eastAsia="Times New Roman"/>
          <w:i/>
          <w:iCs/>
          <w:color w:val="000000"/>
        </w:rPr>
        <w:t>Banks</w:t>
      </w:r>
      <w:r w:rsidR="00C20AC9">
        <w:rPr>
          <w:rFonts w:eastAsia="Times New Roman"/>
          <w:color w:val="000000"/>
        </w:rPr>
        <w:t xml:space="preserve"> and </w:t>
      </w:r>
      <w:r w:rsidR="00C20AC9" w:rsidRPr="00C20AC9">
        <w:rPr>
          <w:rFonts w:eastAsia="Times New Roman"/>
          <w:i/>
          <w:iCs/>
          <w:color w:val="000000"/>
        </w:rPr>
        <w:t>Clark</w:t>
      </w:r>
      <w:r w:rsidR="00C20AC9">
        <w:rPr>
          <w:rFonts w:eastAsia="Times New Roman"/>
          <w:color w:val="000000"/>
        </w:rPr>
        <w:t>,</w:t>
      </w:r>
      <w:r w:rsidR="00171621">
        <w:rPr>
          <w:rFonts w:eastAsia="Times New Roman"/>
          <w:color w:val="000000"/>
        </w:rPr>
        <w:t>”</w:t>
      </w:r>
      <w:r w:rsidR="00C20AC9">
        <w:rPr>
          <w:rFonts w:eastAsia="Times New Roman"/>
          <w:color w:val="000000"/>
        </w:rPr>
        <w:t xml:space="preserve"> the felony-murder special circumstance </w:t>
      </w:r>
      <w:r w:rsidR="004046CB">
        <w:rPr>
          <w:rFonts w:eastAsia="Times New Roman"/>
          <w:color w:val="000000"/>
        </w:rPr>
        <w:t xml:space="preserve">finding </w:t>
      </w:r>
      <w:r w:rsidR="00C20AC9">
        <w:rPr>
          <w:rFonts w:eastAsia="Times New Roman"/>
          <w:color w:val="000000"/>
        </w:rPr>
        <w:t xml:space="preserve">will </w:t>
      </w:r>
      <w:r w:rsidR="00171621">
        <w:rPr>
          <w:rFonts w:eastAsia="Times New Roman"/>
          <w:color w:val="000000"/>
        </w:rPr>
        <w:t>“</w:t>
      </w:r>
      <w:r w:rsidR="00C20AC9">
        <w:rPr>
          <w:rFonts w:eastAsia="Times New Roman"/>
          <w:color w:val="000000"/>
        </w:rPr>
        <w:t>foreclose resentencing as a matter of law.</w:t>
      </w:r>
      <w:r w:rsidR="00E97BB1">
        <w:rPr>
          <w:rFonts w:eastAsia="Times New Roman"/>
          <w:color w:val="000000"/>
        </w:rPr>
        <w:t>”</w:t>
      </w:r>
      <w:r w:rsidR="00C20AC9">
        <w:rPr>
          <w:rFonts w:eastAsia="Times New Roman"/>
          <w:color w:val="000000"/>
        </w:rPr>
        <w:t xml:space="preserve"> </w:t>
      </w:r>
      <w:r w:rsidR="006E7F12">
        <w:rPr>
          <w:rFonts w:eastAsia="Times New Roman"/>
          <w:color w:val="000000"/>
        </w:rPr>
        <w:t xml:space="preserve"> </w:t>
      </w:r>
      <w:r w:rsidR="00C20AC9">
        <w:rPr>
          <w:rFonts w:eastAsia="Times New Roman"/>
          <w:color w:val="000000"/>
        </w:rPr>
        <w:t>(</w:t>
      </w:r>
      <w:r w:rsidR="00C20AC9" w:rsidRPr="00C20AC9">
        <w:rPr>
          <w:rFonts w:eastAsia="Times New Roman"/>
          <w:i/>
          <w:iCs/>
          <w:color w:val="000000"/>
        </w:rPr>
        <w:t>Secrease</w:t>
      </w:r>
      <w:r w:rsidR="00C20AC9">
        <w:rPr>
          <w:rFonts w:eastAsia="Times New Roman"/>
          <w:color w:val="000000"/>
        </w:rPr>
        <w:t>, at p. 261.)</w:t>
      </w:r>
      <w:r w:rsidR="00C20AC9" w:rsidRPr="00C20AC9">
        <w:rPr>
          <w:rFonts w:eastAsia="Times New Roman"/>
          <w:b/>
          <w:bCs/>
          <w:color w:val="000000"/>
        </w:rPr>
        <w:t xml:space="preserve"> </w:t>
      </w:r>
      <w:r w:rsidR="00C20AC9">
        <w:rPr>
          <w:rFonts w:eastAsia="Times New Roman"/>
          <w:color w:val="000000"/>
        </w:rPr>
        <w:t xml:space="preserve"> </w:t>
      </w:r>
    </w:p>
    <w:p w14:paraId="03E270B1" w14:textId="4DCBCA65" w:rsidR="00E40A1D" w:rsidRDefault="00F255BF" w:rsidP="00873737">
      <w:pPr>
        <w:spacing w:line="360" w:lineRule="auto"/>
        <w:ind w:firstLine="720"/>
        <w:rPr>
          <w:rFonts w:eastAsia="Times New Roman"/>
          <w:color w:val="000000"/>
        </w:rPr>
      </w:pPr>
      <w:r>
        <w:rPr>
          <w:rFonts w:eastAsia="Times New Roman"/>
          <w:color w:val="000000"/>
        </w:rPr>
        <w:t>The</w:t>
      </w:r>
      <w:r w:rsidR="00DB2E2D">
        <w:rPr>
          <w:rFonts w:eastAsia="Times New Roman"/>
          <w:color w:val="000000"/>
        </w:rPr>
        <w:t xml:space="preserve"> </w:t>
      </w:r>
      <w:r w:rsidRPr="00E40A1D">
        <w:rPr>
          <w:rFonts w:eastAsia="Times New Roman"/>
          <w:i/>
          <w:iCs/>
          <w:color w:val="000000"/>
        </w:rPr>
        <w:t>Secrease</w:t>
      </w:r>
      <w:r>
        <w:rPr>
          <w:rFonts w:eastAsia="Times New Roman"/>
          <w:color w:val="000000"/>
        </w:rPr>
        <w:t xml:space="preserve"> and </w:t>
      </w:r>
      <w:r w:rsidRPr="00E40A1D">
        <w:rPr>
          <w:rFonts w:eastAsia="Times New Roman"/>
          <w:i/>
          <w:iCs/>
          <w:color w:val="000000"/>
        </w:rPr>
        <w:t>Gomez</w:t>
      </w:r>
      <w:r>
        <w:rPr>
          <w:rFonts w:eastAsia="Times New Roman"/>
          <w:color w:val="000000"/>
        </w:rPr>
        <w:t xml:space="preserve"> line</w:t>
      </w:r>
      <w:r w:rsidR="00DB2E2D">
        <w:rPr>
          <w:rFonts w:eastAsia="Times New Roman"/>
          <w:color w:val="000000"/>
        </w:rPr>
        <w:t>s</w:t>
      </w:r>
      <w:r>
        <w:rPr>
          <w:rFonts w:eastAsia="Times New Roman"/>
          <w:color w:val="000000"/>
        </w:rPr>
        <w:t xml:space="preserve"> of cases agree that “section 1170.95, subdivision (c) cannot reasonably be read to permit a ‘do-over’ of factual issues that were necessarily resolved against a section 1170.</w:t>
      </w:r>
      <w:r w:rsidR="000B344A">
        <w:rPr>
          <w:rFonts w:eastAsia="Times New Roman"/>
          <w:color w:val="000000"/>
        </w:rPr>
        <w:t>9</w:t>
      </w:r>
      <w:r>
        <w:rPr>
          <w:rFonts w:eastAsia="Times New Roman"/>
          <w:color w:val="000000"/>
        </w:rPr>
        <w:t>5 petitioner by a jury</w:t>
      </w:r>
      <w:r w:rsidR="00A654D6">
        <w:rPr>
          <w:rFonts w:eastAsia="Times New Roman"/>
          <w:color w:val="000000"/>
        </w:rPr>
        <w:t>.</w:t>
      </w:r>
      <w:r w:rsidR="00873737">
        <w:rPr>
          <w:rFonts w:eastAsia="Times New Roman"/>
          <w:color w:val="000000"/>
        </w:rPr>
        <w:t xml:space="preserve">” </w:t>
      </w:r>
      <w:r w:rsidR="00A654D6">
        <w:rPr>
          <w:rFonts w:eastAsia="Times New Roman"/>
          <w:color w:val="000000"/>
        </w:rPr>
        <w:t xml:space="preserve"> </w:t>
      </w:r>
      <w:r>
        <w:rPr>
          <w:rFonts w:eastAsia="Times New Roman"/>
          <w:color w:val="000000"/>
        </w:rPr>
        <w:t>(</w:t>
      </w:r>
      <w:r w:rsidRPr="00210D8F">
        <w:rPr>
          <w:rFonts w:eastAsia="Times New Roman"/>
          <w:i/>
          <w:iCs/>
          <w:color w:val="000000"/>
        </w:rPr>
        <w:t>Secrease</w:t>
      </w:r>
      <w:r>
        <w:rPr>
          <w:rFonts w:eastAsia="Times New Roman"/>
          <w:color w:val="000000"/>
        </w:rPr>
        <w:t xml:space="preserve">, </w:t>
      </w:r>
      <w:r w:rsidRPr="00210D8F">
        <w:rPr>
          <w:rFonts w:eastAsia="Times New Roman"/>
          <w:i/>
          <w:iCs/>
          <w:color w:val="000000"/>
        </w:rPr>
        <w:t>supra</w:t>
      </w:r>
      <w:r>
        <w:rPr>
          <w:rFonts w:eastAsia="Times New Roman"/>
          <w:color w:val="000000"/>
        </w:rPr>
        <w:t>, 63 Cal.App.5th at p</w:t>
      </w:r>
      <w:r w:rsidR="00761BEF">
        <w:rPr>
          <w:rFonts w:eastAsia="Times New Roman"/>
          <w:color w:val="000000"/>
        </w:rPr>
        <w:t>p</w:t>
      </w:r>
      <w:r>
        <w:rPr>
          <w:rFonts w:eastAsia="Times New Roman"/>
          <w:color w:val="000000"/>
        </w:rPr>
        <w:t xml:space="preserve">. </w:t>
      </w:r>
      <w:r w:rsidR="00761BEF">
        <w:rPr>
          <w:rFonts w:eastAsia="Times New Roman"/>
          <w:color w:val="000000"/>
        </w:rPr>
        <w:t>254-255</w:t>
      </w:r>
      <w:r w:rsidR="007471DA">
        <w:rPr>
          <w:rFonts w:eastAsia="Times New Roman"/>
          <w:color w:val="000000"/>
        </w:rPr>
        <w:t>,</w:t>
      </w:r>
      <w:r w:rsidR="00C65CFF">
        <w:rPr>
          <w:rFonts w:eastAsia="Times New Roman"/>
          <w:color w:val="000000"/>
        </w:rPr>
        <w:t xml:space="preserve"> rev. gr.,</w:t>
      </w:r>
      <w:r w:rsidR="007471DA">
        <w:rPr>
          <w:rFonts w:eastAsia="Times New Roman"/>
          <w:color w:val="000000"/>
        </w:rPr>
        <w:t xml:space="preserve"> </w:t>
      </w:r>
      <w:r>
        <w:rPr>
          <w:rFonts w:eastAsia="Times New Roman"/>
          <w:color w:val="000000"/>
        </w:rPr>
        <w:t xml:space="preserve">citing </w:t>
      </w:r>
      <w:r w:rsidRPr="00210D8F">
        <w:rPr>
          <w:rFonts w:eastAsia="Times New Roman"/>
          <w:i/>
          <w:iCs/>
          <w:color w:val="000000"/>
        </w:rPr>
        <w:t>Allison</w:t>
      </w:r>
      <w:r>
        <w:rPr>
          <w:rFonts w:eastAsia="Times New Roman"/>
          <w:color w:val="000000"/>
        </w:rPr>
        <w:t xml:space="preserve"> and </w:t>
      </w:r>
      <w:r w:rsidRPr="00210D8F">
        <w:rPr>
          <w:rFonts w:eastAsia="Times New Roman"/>
          <w:i/>
          <w:iCs/>
          <w:color w:val="000000"/>
        </w:rPr>
        <w:t>Jones</w:t>
      </w:r>
      <w:r>
        <w:rPr>
          <w:rFonts w:eastAsia="Times New Roman"/>
          <w:color w:val="000000"/>
        </w:rPr>
        <w:t>.</w:t>
      </w:r>
      <w:r w:rsidR="00DB2E2D">
        <w:rPr>
          <w:rFonts w:eastAsia="Times New Roman"/>
          <w:color w:val="000000"/>
        </w:rPr>
        <w:t xml:space="preserve">)  </w:t>
      </w:r>
      <w:r w:rsidR="00DC1AA0">
        <w:rPr>
          <w:rFonts w:eastAsia="Times New Roman"/>
          <w:color w:val="000000"/>
        </w:rPr>
        <w:t xml:space="preserve">Both lines of </w:t>
      </w:r>
      <w:r w:rsidR="0009036C">
        <w:rPr>
          <w:rFonts w:eastAsia="Times New Roman"/>
          <w:color w:val="000000"/>
        </w:rPr>
        <w:t xml:space="preserve">cases </w:t>
      </w:r>
      <w:r w:rsidR="00EC707C">
        <w:rPr>
          <w:rFonts w:eastAsia="Times New Roman"/>
          <w:color w:val="000000"/>
        </w:rPr>
        <w:t xml:space="preserve">hold that </w:t>
      </w:r>
      <w:r w:rsidR="0009036C" w:rsidRPr="00EC707C">
        <w:rPr>
          <w:rFonts w:eastAsia="Times New Roman"/>
          <w:i/>
          <w:iCs/>
          <w:color w:val="000000"/>
        </w:rPr>
        <w:t>Banks</w:t>
      </w:r>
      <w:r w:rsidR="0009036C">
        <w:rPr>
          <w:rFonts w:eastAsia="Times New Roman"/>
          <w:color w:val="000000"/>
        </w:rPr>
        <w:t xml:space="preserve"> and </w:t>
      </w:r>
      <w:r w:rsidR="0009036C" w:rsidRPr="00EC707C">
        <w:rPr>
          <w:rFonts w:eastAsia="Times New Roman"/>
          <w:i/>
          <w:iCs/>
          <w:color w:val="000000"/>
        </w:rPr>
        <w:t>Clark</w:t>
      </w:r>
      <w:r w:rsidR="0009036C">
        <w:rPr>
          <w:rFonts w:eastAsia="Times New Roman"/>
          <w:color w:val="000000"/>
        </w:rPr>
        <w:t xml:space="preserve"> </w:t>
      </w:r>
      <w:r w:rsidR="00EC707C">
        <w:rPr>
          <w:rFonts w:eastAsia="Times New Roman"/>
          <w:color w:val="000000"/>
        </w:rPr>
        <w:t>require substantial evidence review</w:t>
      </w:r>
      <w:r w:rsidR="0009036C">
        <w:rPr>
          <w:rFonts w:eastAsia="Times New Roman"/>
          <w:color w:val="000000"/>
        </w:rPr>
        <w:t xml:space="preserve"> </w:t>
      </w:r>
      <w:r w:rsidR="004046CB">
        <w:rPr>
          <w:rFonts w:eastAsia="Times New Roman"/>
          <w:color w:val="000000"/>
        </w:rPr>
        <w:t>of a previous special circumstance finding made under section 190.2 before a</w:t>
      </w:r>
      <w:r w:rsidR="001108ED">
        <w:rPr>
          <w:rFonts w:eastAsia="Times New Roman"/>
          <w:color w:val="000000"/>
        </w:rPr>
        <w:t>n individual</w:t>
      </w:r>
      <w:r w:rsidR="004046CB">
        <w:rPr>
          <w:rFonts w:eastAsia="Times New Roman"/>
          <w:color w:val="000000"/>
        </w:rPr>
        <w:t xml:space="preserve"> can seek relief under section</w:t>
      </w:r>
      <w:r w:rsidR="00C65CFF">
        <w:rPr>
          <w:rFonts w:eastAsia="Times New Roman"/>
          <w:color w:val="000000"/>
        </w:rPr>
        <w:t> </w:t>
      </w:r>
      <w:r w:rsidR="004046CB">
        <w:rPr>
          <w:rFonts w:eastAsia="Times New Roman"/>
          <w:color w:val="000000"/>
        </w:rPr>
        <w:t>1170.95.  They</w:t>
      </w:r>
      <w:r w:rsidR="0009036C">
        <w:rPr>
          <w:rFonts w:eastAsia="Times New Roman"/>
          <w:color w:val="000000"/>
        </w:rPr>
        <w:t xml:space="preserve"> disagree </w:t>
      </w:r>
      <w:r w:rsidR="00A654D6">
        <w:rPr>
          <w:rFonts w:eastAsia="Times New Roman"/>
          <w:color w:val="000000"/>
        </w:rPr>
        <w:t>primarily on</w:t>
      </w:r>
      <w:r w:rsidR="0009036C">
        <w:rPr>
          <w:rFonts w:eastAsia="Times New Roman"/>
          <w:color w:val="000000"/>
        </w:rPr>
        <w:t xml:space="preserve"> whether that review must be </w:t>
      </w:r>
      <w:r w:rsidR="0009036C">
        <w:rPr>
          <w:rFonts w:eastAsia="Times New Roman"/>
          <w:color w:val="000000"/>
        </w:rPr>
        <w:lastRenderedPageBreak/>
        <w:t xml:space="preserve">performed by an appellate court </w:t>
      </w:r>
      <w:r w:rsidR="0001513A">
        <w:rPr>
          <w:rFonts w:eastAsia="Times New Roman"/>
          <w:color w:val="000000"/>
        </w:rPr>
        <w:t>via</w:t>
      </w:r>
      <w:r w:rsidR="0009036C">
        <w:rPr>
          <w:rFonts w:eastAsia="Times New Roman"/>
          <w:color w:val="000000"/>
        </w:rPr>
        <w:t xml:space="preserve"> habeas corpus or direct appeal or </w:t>
      </w:r>
      <w:r w:rsidR="00A654D6">
        <w:rPr>
          <w:rFonts w:eastAsia="Times New Roman"/>
          <w:color w:val="000000"/>
        </w:rPr>
        <w:t xml:space="preserve">may be accomplished by </w:t>
      </w:r>
      <w:r w:rsidR="0009036C">
        <w:rPr>
          <w:rFonts w:eastAsia="Times New Roman"/>
          <w:color w:val="000000"/>
        </w:rPr>
        <w:t xml:space="preserve">a trial court </w:t>
      </w:r>
      <w:r w:rsidR="004046CB">
        <w:rPr>
          <w:rFonts w:eastAsia="Times New Roman"/>
          <w:color w:val="000000"/>
        </w:rPr>
        <w:t>considering</w:t>
      </w:r>
      <w:r w:rsidR="0009036C">
        <w:rPr>
          <w:rFonts w:eastAsia="Times New Roman"/>
          <w:color w:val="000000"/>
        </w:rPr>
        <w:t xml:space="preserve"> a</w:t>
      </w:r>
      <w:r w:rsidR="004046CB">
        <w:rPr>
          <w:rFonts w:eastAsia="Times New Roman"/>
          <w:color w:val="000000"/>
        </w:rPr>
        <w:t xml:space="preserve"> section 1170.95 </w:t>
      </w:r>
      <w:r w:rsidR="0009036C">
        <w:rPr>
          <w:rFonts w:eastAsia="Times New Roman"/>
          <w:color w:val="000000"/>
        </w:rPr>
        <w:t xml:space="preserve"> resentencing petition.</w:t>
      </w:r>
      <w:r>
        <w:rPr>
          <w:rStyle w:val="FootnoteReference"/>
          <w:rFonts w:eastAsia="Times New Roman"/>
          <w:b/>
          <w:bCs/>
          <w:color w:val="000000"/>
        </w:rPr>
        <w:footnoteReference w:id="14"/>
      </w:r>
      <w:r w:rsidR="0009036C" w:rsidRPr="00A654D6">
        <w:rPr>
          <w:rFonts w:eastAsia="Times New Roman"/>
          <w:b/>
          <w:bCs/>
          <w:color w:val="000000"/>
        </w:rPr>
        <w:t xml:space="preserve"> </w:t>
      </w:r>
      <w:r w:rsidR="0009036C">
        <w:rPr>
          <w:rFonts w:eastAsia="Times New Roman"/>
          <w:color w:val="000000"/>
        </w:rPr>
        <w:t xml:space="preserve"> </w:t>
      </w:r>
      <w:r w:rsidR="00DB2E2D">
        <w:rPr>
          <w:rFonts w:eastAsia="Times New Roman"/>
          <w:color w:val="000000"/>
        </w:rPr>
        <w:t xml:space="preserve">The </w:t>
      </w:r>
      <w:r w:rsidR="00873737">
        <w:rPr>
          <w:rFonts w:eastAsia="Times New Roman"/>
          <w:i/>
          <w:iCs/>
          <w:color w:val="000000"/>
        </w:rPr>
        <w:t>Smith</w:t>
      </w:r>
      <w:r w:rsidR="00DB2E2D">
        <w:rPr>
          <w:rFonts w:eastAsia="Times New Roman"/>
          <w:color w:val="000000"/>
        </w:rPr>
        <w:t xml:space="preserve"> line of cases, on the other hand, interprets S</w:t>
      </w:r>
      <w:r w:rsidR="00F608A4">
        <w:rPr>
          <w:rFonts w:eastAsia="Times New Roman"/>
          <w:color w:val="000000"/>
        </w:rPr>
        <w:t>enate Bill No.</w:t>
      </w:r>
      <w:r w:rsidR="00DB2E2D">
        <w:rPr>
          <w:rFonts w:eastAsia="Times New Roman"/>
          <w:color w:val="000000"/>
        </w:rPr>
        <w:t xml:space="preserve"> 1437</w:t>
      </w:r>
      <w:r w:rsidR="00F608A4">
        <w:rPr>
          <w:rFonts w:eastAsia="Times New Roman"/>
          <w:color w:val="000000"/>
        </w:rPr>
        <w:t xml:space="preserve"> </w:t>
      </w:r>
      <w:r w:rsidR="00F608A4">
        <w:t>(2017-2018 Reg. Sess.)</w:t>
      </w:r>
      <w:r w:rsidR="00DB2E2D">
        <w:rPr>
          <w:rFonts w:eastAsia="Times New Roman"/>
          <w:color w:val="000000"/>
        </w:rPr>
        <w:t xml:space="preserve"> as affording a new</w:t>
      </w:r>
      <w:r>
        <w:rPr>
          <w:rFonts w:eastAsia="Times New Roman"/>
          <w:color w:val="000000"/>
        </w:rPr>
        <w:t xml:space="preserve"> </w:t>
      </w:r>
      <w:r w:rsidR="00DB2E2D">
        <w:rPr>
          <w:rFonts w:eastAsia="Times New Roman"/>
          <w:color w:val="000000"/>
        </w:rPr>
        <w:t xml:space="preserve">and different remedy to </w:t>
      </w:r>
      <w:r w:rsidR="001108ED">
        <w:rPr>
          <w:rFonts w:eastAsia="Times New Roman"/>
          <w:color w:val="000000"/>
        </w:rPr>
        <w:t xml:space="preserve">petitioners </w:t>
      </w:r>
      <w:r w:rsidR="00DB2E2D">
        <w:rPr>
          <w:rFonts w:eastAsia="Times New Roman"/>
          <w:color w:val="000000"/>
        </w:rPr>
        <w:t xml:space="preserve">raising such </w:t>
      </w:r>
      <w:r w:rsidR="001108ED">
        <w:rPr>
          <w:rFonts w:eastAsia="Times New Roman"/>
          <w:color w:val="000000"/>
        </w:rPr>
        <w:t>a</w:t>
      </w:r>
      <w:r w:rsidR="00DB2E2D">
        <w:rPr>
          <w:rFonts w:eastAsia="Times New Roman"/>
          <w:color w:val="000000"/>
        </w:rPr>
        <w:t xml:space="preserve"> challenge, an evidentiary hearing under section</w:t>
      </w:r>
      <w:r w:rsidR="00C65CFF">
        <w:rPr>
          <w:rFonts w:eastAsia="Times New Roman"/>
          <w:color w:val="000000"/>
        </w:rPr>
        <w:t> </w:t>
      </w:r>
      <w:r w:rsidR="00DB2E2D">
        <w:rPr>
          <w:rFonts w:eastAsia="Times New Roman"/>
          <w:color w:val="000000"/>
        </w:rPr>
        <w:t xml:space="preserve">1170.95, subdivision (d), at which the parties may submit additional evidence and the People bear the burden of proof to show beyond a reasonable doubt that the </w:t>
      </w:r>
      <w:r w:rsidR="001108ED">
        <w:rPr>
          <w:rFonts w:eastAsia="Times New Roman"/>
          <w:color w:val="000000"/>
        </w:rPr>
        <w:t xml:space="preserve">petitioner </w:t>
      </w:r>
      <w:r w:rsidR="00D15964">
        <w:rPr>
          <w:rFonts w:eastAsia="Times New Roman"/>
          <w:color w:val="000000"/>
        </w:rPr>
        <w:t>is ineligible for resentencing</w:t>
      </w:r>
      <w:r w:rsidR="00AF3995">
        <w:rPr>
          <w:rFonts w:eastAsia="Times New Roman"/>
          <w:color w:val="000000"/>
        </w:rPr>
        <w:t>, meaning that he meets one of the three criteria for murder stated in section 189, subdivision (e), which are the same as the special circumstances outlined in section 190.2</w:t>
      </w:r>
      <w:r w:rsidR="00DB2E2D">
        <w:rPr>
          <w:rFonts w:eastAsia="Times New Roman"/>
          <w:color w:val="000000"/>
        </w:rPr>
        <w:t>.</w:t>
      </w:r>
    </w:p>
    <w:p w14:paraId="14E317E7" w14:textId="7754D9EB" w:rsidR="00B52F3B" w:rsidRDefault="00F255BF" w:rsidP="00A654D6">
      <w:pPr>
        <w:spacing w:line="360" w:lineRule="auto"/>
        <w:ind w:firstLine="720"/>
        <w:rPr>
          <w:rFonts w:eastAsia="Times New Roman"/>
          <w:color w:val="000000"/>
        </w:rPr>
      </w:pPr>
      <w:r>
        <w:rPr>
          <w:rFonts w:eastAsia="Times New Roman"/>
          <w:color w:val="000000"/>
        </w:rPr>
        <w:t xml:space="preserve">Putting aside the </w:t>
      </w:r>
      <w:r w:rsidR="00BF15D4">
        <w:rPr>
          <w:rFonts w:eastAsia="Times New Roman"/>
          <w:color w:val="000000"/>
        </w:rPr>
        <w:t>question</w:t>
      </w:r>
      <w:r>
        <w:rPr>
          <w:rFonts w:eastAsia="Times New Roman"/>
          <w:color w:val="000000"/>
        </w:rPr>
        <w:t xml:space="preserve"> of the proper forum for raising and resolving such challenges,</w:t>
      </w:r>
      <w:r>
        <w:rPr>
          <w:rStyle w:val="FootnoteReference"/>
          <w:rFonts w:eastAsia="Times New Roman"/>
          <w:b/>
          <w:bCs/>
          <w:color w:val="000000"/>
        </w:rPr>
        <w:footnoteReference w:id="15"/>
      </w:r>
      <w:r w:rsidR="00875355">
        <w:rPr>
          <w:b/>
          <w:bCs/>
        </w:rPr>
        <w:t xml:space="preserve"> </w:t>
      </w:r>
      <w:r>
        <w:rPr>
          <w:rFonts w:eastAsia="Times New Roman"/>
          <w:color w:val="000000"/>
        </w:rPr>
        <w:t>w</w:t>
      </w:r>
      <w:r w:rsidR="0009036C">
        <w:rPr>
          <w:rFonts w:eastAsia="Times New Roman"/>
          <w:color w:val="000000"/>
        </w:rPr>
        <w:t xml:space="preserve">e believe the </w:t>
      </w:r>
      <w:r w:rsidR="0009036C" w:rsidRPr="0009036C">
        <w:rPr>
          <w:rFonts w:eastAsia="Times New Roman"/>
          <w:i/>
          <w:iCs/>
          <w:color w:val="000000"/>
        </w:rPr>
        <w:t>Secrease</w:t>
      </w:r>
      <w:r w:rsidR="0009036C">
        <w:rPr>
          <w:rFonts w:eastAsia="Times New Roman"/>
          <w:color w:val="000000"/>
        </w:rPr>
        <w:t xml:space="preserve"> and </w:t>
      </w:r>
      <w:r w:rsidR="0009036C" w:rsidRPr="0009036C">
        <w:rPr>
          <w:rFonts w:eastAsia="Times New Roman"/>
          <w:i/>
          <w:iCs/>
          <w:color w:val="000000"/>
        </w:rPr>
        <w:t>Gomez</w:t>
      </w:r>
      <w:r w:rsidR="0009036C">
        <w:rPr>
          <w:rFonts w:eastAsia="Times New Roman"/>
          <w:color w:val="000000"/>
        </w:rPr>
        <w:t xml:space="preserve"> lines of cases have the better argument </w:t>
      </w:r>
      <w:r w:rsidR="00D15964">
        <w:rPr>
          <w:rFonts w:eastAsia="Times New Roman"/>
          <w:color w:val="000000"/>
        </w:rPr>
        <w:t>regarding</w:t>
      </w:r>
      <w:r w:rsidR="0009036C">
        <w:rPr>
          <w:rFonts w:eastAsia="Times New Roman"/>
          <w:color w:val="000000"/>
        </w:rPr>
        <w:t xml:space="preserve"> </w:t>
      </w:r>
      <w:r>
        <w:rPr>
          <w:rFonts w:eastAsia="Times New Roman"/>
          <w:color w:val="000000"/>
        </w:rPr>
        <w:t>the nature of the review that applies to a</w:t>
      </w:r>
      <w:r w:rsidR="0009036C">
        <w:rPr>
          <w:rFonts w:eastAsia="Times New Roman"/>
          <w:color w:val="000000"/>
        </w:rPr>
        <w:t xml:space="preserve"> </w:t>
      </w:r>
      <w:r>
        <w:rPr>
          <w:rFonts w:eastAsia="Times New Roman"/>
          <w:color w:val="000000"/>
        </w:rPr>
        <w:t xml:space="preserve">challenged </w:t>
      </w:r>
      <w:r w:rsidR="0009036C">
        <w:rPr>
          <w:rFonts w:eastAsia="Times New Roman"/>
          <w:color w:val="000000"/>
        </w:rPr>
        <w:t>special circumstance finding</w:t>
      </w:r>
      <w:r>
        <w:rPr>
          <w:rFonts w:eastAsia="Times New Roman"/>
          <w:color w:val="000000"/>
        </w:rPr>
        <w:t xml:space="preserve"> made prior to </w:t>
      </w:r>
      <w:r w:rsidRPr="0009036C">
        <w:rPr>
          <w:rFonts w:eastAsia="Times New Roman"/>
          <w:i/>
          <w:iCs/>
          <w:color w:val="000000"/>
        </w:rPr>
        <w:t>Banks</w:t>
      </w:r>
      <w:r>
        <w:rPr>
          <w:rFonts w:eastAsia="Times New Roman"/>
          <w:color w:val="000000"/>
        </w:rPr>
        <w:t xml:space="preserve"> and </w:t>
      </w:r>
      <w:r w:rsidRPr="0009036C">
        <w:rPr>
          <w:rFonts w:eastAsia="Times New Roman"/>
          <w:i/>
          <w:iCs/>
          <w:color w:val="000000"/>
        </w:rPr>
        <w:t>Clark</w:t>
      </w:r>
      <w:r w:rsidR="0009036C">
        <w:rPr>
          <w:rFonts w:eastAsia="Times New Roman"/>
          <w:color w:val="000000"/>
        </w:rPr>
        <w:t xml:space="preserve">.  </w:t>
      </w:r>
      <w:r w:rsidR="007F1876">
        <w:rPr>
          <w:rFonts w:eastAsia="Times New Roman"/>
          <w:color w:val="000000"/>
        </w:rPr>
        <w:t xml:space="preserve">As stated in </w:t>
      </w:r>
      <w:r w:rsidR="007F1876" w:rsidRPr="00310FFC">
        <w:rPr>
          <w:rFonts w:eastAsia="Times New Roman"/>
          <w:i/>
          <w:iCs/>
          <w:color w:val="000000"/>
        </w:rPr>
        <w:t>Nunez</w:t>
      </w:r>
      <w:r w:rsidR="007F1876">
        <w:rPr>
          <w:rFonts w:eastAsia="Times New Roman"/>
          <w:color w:val="000000"/>
        </w:rPr>
        <w:t xml:space="preserve">, </w:t>
      </w:r>
      <w:r w:rsidR="007F1876" w:rsidRPr="00310FFC">
        <w:rPr>
          <w:rFonts w:eastAsia="Times New Roman"/>
          <w:i/>
          <w:iCs/>
          <w:color w:val="000000"/>
        </w:rPr>
        <w:t>supra</w:t>
      </w:r>
      <w:r w:rsidR="007F1876">
        <w:rPr>
          <w:rFonts w:eastAsia="Times New Roman"/>
          <w:color w:val="000000"/>
        </w:rPr>
        <w:t>, 57 Cal.App.5th at p. 96</w:t>
      </w:r>
      <w:r w:rsidR="00655E60">
        <w:rPr>
          <w:rFonts w:eastAsia="Times New Roman"/>
          <w:color w:val="000000"/>
        </w:rPr>
        <w:t>, review granted</w:t>
      </w:r>
      <w:r w:rsidR="007F1876">
        <w:rPr>
          <w:rFonts w:eastAsia="Times New Roman"/>
          <w:color w:val="000000"/>
        </w:rPr>
        <w:t xml:space="preserve">, “Senate Bill </w:t>
      </w:r>
      <w:r w:rsidR="00655E60">
        <w:rPr>
          <w:rFonts w:eastAsia="Times New Roman"/>
          <w:color w:val="000000"/>
        </w:rPr>
        <w:t xml:space="preserve">No. </w:t>
      </w:r>
      <w:r w:rsidR="007F1876">
        <w:rPr>
          <w:rFonts w:eastAsia="Times New Roman"/>
          <w:color w:val="000000"/>
        </w:rPr>
        <w:t xml:space="preserve">1437 did not change any of the requirements for the special circumstance </w:t>
      </w:r>
      <w:r w:rsidR="007F1876">
        <w:rPr>
          <w:rFonts w:eastAsia="Times New Roman"/>
          <w:color w:val="000000"/>
        </w:rPr>
        <w:lastRenderedPageBreak/>
        <w:t xml:space="preserve">finding announced in </w:t>
      </w:r>
      <w:r w:rsidR="007F1876" w:rsidRPr="007F1876">
        <w:rPr>
          <w:rFonts w:eastAsia="Times New Roman"/>
          <w:i/>
          <w:iCs/>
          <w:color w:val="000000"/>
        </w:rPr>
        <w:t>Banks</w:t>
      </w:r>
      <w:r w:rsidR="007F1876">
        <w:rPr>
          <w:rFonts w:eastAsia="Times New Roman"/>
          <w:color w:val="000000"/>
        </w:rPr>
        <w:t xml:space="preserve"> and </w:t>
      </w:r>
      <w:r w:rsidR="007F1876" w:rsidRPr="007F1876">
        <w:rPr>
          <w:rFonts w:eastAsia="Times New Roman"/>
          <w:i/>
          <w:iCs/>
          <w:color w:val="000000"/>
        </w:rPr>
        <w:t>Clark</w:t>
      </w:r>
      <w:r w:rsidR="007F1876">
        <w:rPr>
          <w:rFonts w:eastAsia="Times New Roman"/>
          <w:color w:val="000000"/>
        </w:rPr>
        <w:t xml:space="preserve">.”  </w:t>
      </w:r>
      <w:r w:rsidR="00D06816">
        <w:rPr>
          <w:rFonts w:eastAsia="Times New Roman"/>
          <w:color w:val="000000"/>
        </w:rPr>
        <w:t>T</w:t>
      </w:r>
      <w:r w:rsidR="00DC1AA0">
        <w:rPr>
          <w:rFonts w:eastAsia="Times New Roman"/>
          <w:color w:val="000000"/>
        </w:rPr>
        <w:t xml:space="preserve">he remedy the </w:t>
      </w:r>
      <w:r w:rsidRPr="008963D7">
        <w:rPr>
          <w:rFonts w:eastAsia="Times New Roman"/>
          <w:i/>
          <w:iCs/>
          <w:color w:val="000000"/>
        </w:rPr>
        <w:t>Banks</w:t>
      </w:r>
      <w:r>
        <w:rPr>
          <w:rFonts w:eastAsia="Times New Roman"/>
          <w:color w:val="000000"/>
        </w:rPr>
        <w:t xml:space="preserve"> and </w:t>
      </w:r>
      <w:r w:rsidRPr="008963D7">
        <w:rPr>
          <w:rFonts w:eastAsia="Times New Roman"/>
          <w:i/>
          <w:iCs/>
          <w:color w:val="000000"/>
        </w:rPr>
        <w:t>Clark</w:t>
      </w:r>
      <w:r>
        <w:rPr>
          <w:rFonts w:eastAsia="Times New Roman"/>
          <w:color w:val="000000"/>
        </w:rPr>
        <w:t xml:space="preserve"> </w:t>
      </w:r>
      <w:r w:rsidR="00776033">
        <w:rPr>
          <w:rFonts w:eastAsia="Times New Roman"/>
          <w:color w:val="000000"/>
        </w:rPr>
        <w:t xml:space="preserve">decisions </w:t>
      </w:r>
      <w:r>
        <w:rPr>
          <w:rFonts w:eastAsia="Times New Roman"/>
          <w:color w:val="000000"/>
        </w:rPr>
        <w:t xml:space="preserve">provide </w:t>
      </w:r>
      <w:r w:rsidR="00776033">
        <w:rPr>
          <w:rFonts w:eastAsia="Times New Roman"/>
          <w:color w:val="000000"/>
        </w:rPr>
        <w:t xml:space="preserve">for special circumstance findings </w:t>
      </w:r>
      <w:r w:rsidR="00C73E34">
        <w:rPr>
          <w:rFonts w:eastAsia="Times New Roman"/>
          <w:color w:val="000000"/>
        </w:rPr>
        <w:t>is</w:t>
      </w:r>
      <w:r>
        <w:rPr>
          <w:rFonts w:eastAsia="Times New Roman"/>
          <w:color w:val="000000"/>
        </w:rPr>
        <w:t xml:space="preserve"> not an evidentiary hearing but a form of substantial evidence review.</w:t>
      </w:r>
      <w:r w:rsidR="00776033">
        <w:rPr>
          <w:rFonts w:eastAsia="Times New Roman"/>
          <w:color w:val="000000"/>
        </w:rPr>
        <w:t xml:space="preserve"> </w:t>
      </w:r>
    </w:p>
    <w:p w14:paraId="761A8D31" w14:textId="79AE81AB" w:rsidR="000E568F" w:rsidRPr="00E43B6B" w:rsidRDefault="00F255BF" w:rsidP="00E43B6B">
      <w:pPr>
        <w:spacing w:line="360" w:lineRule="auto"/>
        <w:ind w:firstLine="720"/>
        <w:rPr>
          <w:rFonts w:eastAsia="Times New Roman"/>
          <w:color w:val="000000"/>
        </w:rPr>
      </w:pPr>
      <w:r>
        <w:rPr>
          <w:rFonts w:eastAsia="Times New Roman"/>
          <w:color w:val="000000"/>
        </w:rPr>
        <w:t>S</w:t>
      </w:r>
      <w:r w:rsidR="00F608A4">
        <w:rPr>
          <w:rFonts w:eastAsia="Times New Roman"/>
          <w:color w:val="000000"/>
        </w:rPr>
        <w:t>enate Bill No.</w:t>
      </w:r>
      <w:r>
        <w:rPr>
          <w:rFonts w:eastAsia="Times New Roman"/>
          <w:color w:val="000000"/>
        </w:rPr>
        <w:t xml:space="preserve"> 1437</w:t>
      </w:r>
      <w:r w:rsidR="00F608A4">
        <w:rPr>
          <w:rFonts w:eastAsia="Times New Roman"/>
          <w:color w:val="000000"/>
        </w:rPr>
        <w:t xml:space="preserve"> </w:t>
      </w:r>
      <w:r w:rsidR="00F608A4">
        <w:t>(2017-2018 Reg. Sess.)</w:t>
      </w:r>
      <w:r>
        <w:rPr>
          <w:rFonts w:eastAsia="Times New Roman"/>
          <w:color w:val="000000"/>
        </w:rPr>
        <w:t xml:space="preserve"> incorporated the special circumstance finding under section 190.2 into the murder statutes and thereby increased the culpability required for a conviction</w:t>
      </w:r>
      <w:r w:rsidR="008963D7">
        <w:rPr>
          <w:rFonts w:eastAsia="Times New Roman"/>
          <w:color w:val="000000"/>
        </w:rPr>
        <w:t xml:space="preserve"> under the felony</w:t>
      </w:r>
      <w:r w:rsidR="00DA74DC">
        <w:rPr>
          <w:rFonts w:eastAsia="Times New Roman"/>
          <w:color w:val="000000"/>
        </w:rPr>
        <w:t>-</w:t>
      </w:r>
      <w:r w:rsidR="008963D7">
        <w:rPr>
          <w:rFonts w:eastAsia="Times New Roman"/>
          <w:color w:val="000000"/>
        </w:rPr>
        <w:t>murder doctrine</w:t>
      </w:r>
      <w:r>
        <w:rPr>
          <w:rFonts w:eastAsia="Times New Roman"/>
          <w:color w:val="000000"/>
        </w:rPr>
        <w:t xml:space="preserve">.  </w:t>
      </w:r>
      <w:r w:rsidR="00D06816">
        <w:rPr>
          <w:rFonts w:eastAsia="Times New Roman"/>
          <w:color w:val="000000"/>
        </w:rPr>
        <w:t xml:space="preserve">But in doing so, </w:t>
      </w:r>
      <w:r>
        <w:rPr>
          <w:rFonts w:eastAsia="Times New Roman"/>
          <w:color w:val="000000"/>
        </w:rPr>
        <w:t>the Legislature did not</w:t>
      </w:r>
      <w:r w:rsidR="00D06816">
        <w:rPr>
          <w:rFonts w:eastAsia="Times New Roman"/>
          <w:color w:val="000000"/>
        </w:rPr>
        <w:t xml:space="preserve"> </w:t>
      </w:r>
      <w:r>
        <w:rPr>
          <w:rFonts w:eastAsia="Times New Roman"/>
          <w:color w:val="000000"/>
        </w:rPr>
        <w:t>change the</w:t>
      </w:r>
      <w:r w:rsidR="00E43B6B">
        <w:rPr>
          <w:rFonts w:eastAsia="Times New Roman"/>
          <w:color w:val="000000"/>
        </w:rPr>
        <w:t xml:space="preserve"> substance of the</w:t>
      </w:r>
      <w:r>
        <w:rPr>
          <w:rFonts w:eastAsia="Times New Roman"/>
          <w:color w:val="000000"/>
        </w:rPr>
        <w:t xml:space="preserve"> special circumstances</w:t>
      </w:r>
      <w:r w:rsidR="00BF15D4">
        <w:rPr>
          <w:rFonts w:eastAsia="Times New Roman"/>
          <w:color w:val="000000"/>
        </w:rPr>
        <w:t xml:space="preserve"> </w:t>
      </w:r>
      <w:r w:rsidR="00C73E34">
        <w:rPr>
          <w:rFonts w:eastAsia="Times New Roman"/>
          <w:color w:val="000000"/>
        </w:rPr>
        <w:t xml:space="preserve">stated in that statute </w:t>
      </w:r>
      <w:r w:rsidR="00BF15D4">
        <w:rPr>
          <w:rFonts w:eastAsia="Times New Roman"/>
          <w:color w:val="000000"/>
        </w:rPr>
        <w:t>in any way</w:t>
      </w:r>
      <w:r w:rsidR="00E43B6B">
        <w:rPr>
          <w:rFonts w:eastAsia="Times New Roman"/>
          <w:color w:val="000000"/>
        </w:rPr>
        <w:t>.</w:t>
      </w:r>
      <w:r>
        <w:rPr>
          <w:rStyle w:val="FootnoteReference"/>
          <w:rFonts w:eastAsia="Times New Roman"/>
          <w:b/>
          <w:bCs/>
          <w:color w:val="000000"/>
        </w:rPr>
        <w:footnoteReference w:id="16"/>
      </w:r>
      <w:r w:rsidR="00E43B6B" w:rsidRPr="002F4BA9">
        <w:rPr>
          <w:rFonts w:eastAsia="Times New Roman"/>
          <w:b/>
          <w:bCs/>
          <w:color w:val="000000"/>
        </w:rPr>
        <w:t xml:space="preserve"> </w:t>
      </w:r>
      <w:r>
        <w:rPr>
          <w:rFonts w:eastAsia="Times New Roman"/>
          <w:color w:val="000000"/>
        </w:rPr>
        <w:t xml:space="preserve"> </w:t>
      </w:r>
      <w:r w:rsidRPr="0009036C">
        <w:rPr>
          <w:rFonts w:eastAsia="Times New Roman"/>
          <w:i/>
          <w:iCs/>
          <w:color w:val="000000"/>
        </w:rPr>
        <w:t>Banks</w:t>
      </w:r>
      <w:r>
        <w:rPr>
          <w:rFonts w:eastAsia="Times New Roman"/>
          <w:color w:val="000000"/>
        </w:rPr>
        <w:t xml:space="preserve"> and </w:t>
      </w:r>
      <w:r w:rsidRPr="0009036C">
        <w:rPr>
          <w:rFonts w:eastAsia="Times New Roman"/>
          <w:i/>
          <w:iCs/>
          <w:color w:val="000000"/>
        </w:rPr>
        <w:t>Clark</w:t>
      </w:r>
      <w:r>
        <w:rPr>
          <w:rFonts w:eastAsia="Times New Roman"/>
          <w:color w:val="000000"/>
        </w:rPr>
        <w:t xml:space="preserve"> were decided prior to the enactment of </w:t>
      </w:r>
      <w:r w:rsidR="00FE4584">
        <w:rPr>
          <w:rFonts w:eastAsia="Times New Roman"/>
          <w:color w:val="000000"/>
        </w:rPr>
        <w:t xml:space="preserve">Senate Bill No. 1437 </w:t>
      </w:r>
      <w:r w:rsidR="00FE4584">
        <w:t>(2017-2018 Reg. Sess.)</w:t>
      </w:r>
      <w:r>
        <w:rPr>
          <w:rFonts w:eastAsia="Times New Roman"/>
          <w:color w:val="000000"/>
        </w:rPr>
        <w:t xml:space="preserve">, and we presume the Legislature was aware of </w:t>
      </w:r>
      <w:r w:rsidR="00294733">
        <w:rPr>
          <w:rFonts w:eastAsia="Times New Roman"/>
          <w:color w:val="000000"/>
        </w:rPr>
        <w:t xml:space="preserve">our high court’s clarification of the major participant/reckless </w:t>
      </w:r>
      <w:r w:rsidR="0019493B">
        <w:rPr>
          <w:rFonts w:eastAsia="Times New Roman"/>
          <w:color w:val="000000"/>
        </w:rPr>
        <w:t>indifference</w:t>
      </w:r>
      <w:r w:rsidR="00294733">
        <w:rPr>
          <w:rFonts w:eastAsia="Times New Roman"/>
          <w:color w:val="000000"/>
        </w:rPr>
        <w:t xml:space="preserve"> alternative for a special</w:t>
      </w:r>
      <w:r w:rsidR="00DF57F5">
        <w:rPr>
          <w:rFonts w:eastAsia="Times New Roman"/>
          <w:color w:val="000000"/>
        </w:rPr>
        <w:t xml:space="preserve"> </w:t>
      </w:r>
      <w:r w:rsidR="00294733">
        <w:rPr>
          <w:rFonts w:eastAsia="Times New Roman"/>
          <w:color w:val="000000"/>
        </w:rPr>
        <w:t>circumstance finding under section 190.2</w:t>
      </w:r>
      <w:r w:rsidR="00D06816">
        <w:rPr>
          <w:rFonts w:eastAsia="Times New Roman"/>
          <w:color w:val="000000"/>
        </w:rPr>
        <w:t xml:space="preserve"> and </w:t>
      </w:r>
      <w:r w:rsidR="00D06816">
        <w:rPr>
          <w:rFonts w:eastAsia="Times New Roman"/>
          <w:color w:val="000000"/>
        </w:rPr>
        <w:lastRenderedPageBreak/>
        <w:t>intended to incorporate the high court</w:t>
      </w:r>
      <w:r w:rsidR="002A44C3">
        <w:rPr>
          <w:rFonts w:eastAsia="Times New Roman"/>
          <w:color w:val="000000"/>
        </w:rPr>
        <w:t>’</w:t>
      </w:r>
      <w:r w:rsidR="00D06816">
        <w:rPr>
          <w:rFonts w:eastAsia="Times New Roman"/>
          <w:color w:val="000000"/>
        </w:rPr>
        <w:t>s holdings, along with section 190.2 itself, into the murder statutes</w:t>
      </w:r>
      <w:r w:rsidR="00294733">
        <w:rPr>
          <w:rFonts w:eastAsia="Times New Roman"/>
          <w:color w:val="000000"/>
        </w:rPr>
        <w:t>.</w:t>
      </w:r>
      <w:r>
        <w:rPr>
          <w:rStyle w:val="FootnoteReference"/>
          <w:rFonts w:eastAsia="Times New Roman"/>
          <w:b/>
          <w:bCs/>
          <w:color w:val="000000"/>
        </w:rPr>
        <w:footnoteReference w:id="17"/>
      </w:r>
      <w:r w:rsidR="00294733" w:rsidRPr="00C20AC9">
        <w:rPr>
          <w:rFonts w:eastAsia="Times New Roman"/>
          <w:b/>
          <w:bCs/>
          <w:color w:val="000000"/>
        </w:rPr>
        <w:t xml:space="preserve"> </w:t>
      </w:r>
      <w:r w:rsidR="003B694F" w:rsidRPr="003B694F">
        <w:rPr>
          <w:rFonts w:eastAsia="Times New Roman"/>
          <w:color w:val="000000"/>
        </w:rPr>
        <w:t xml:space="preserve"> (</w:t>
      </w:r>
      <w:r w:rsidR="003B694F" w:rsidRPr="003B694F">
        <w:rPr>
          <w:rFonts w:eastAsia="Times New Roman"/>
          <w:i/>
          <w:iCs/>
          <w:color w:val="000000"/>
        </w:rPr>
        <w:t>In re Greg F</w:t>
      </w:r>
      <w:r w:rsidR="003B694F">
        <w:rPr>
          <w:rFonts w:eastAsia="Times New Roman"/>
          <w:color w:val="000000"/>
        </w:rPr>
        <w:t xml:space="preserve">. (2012) 55 </w:t>
      </w:r>
      <w:r w:rsidR="003B694F" w:rsidRPr="00FE4584">
        <w:rPr>
          <w:rFonts w:eastAsia="Times New Roman"/>
          <w:color w:val="000000"/>
        </w:rPr>
        <w:t>Cal.4th</w:t>
      </w:r>
      <w:r w:rsidR="003B694F" w:rsidRPr="003B694F">
        <w:rPr>
          <w:rFonts w:eastAsia="Times New Roman"/>
          <w:color w:val="000000"/>
        </w:rPr>
        <w:t xml:space="preserve"> </w:t>
      </w:r>
      <w:r w:rsidR="003B694F">
        <w:rPr>
          <w:rFonts w:eastAsia="Times New Roman"/>
          <w:color w:val="000000"/>
        </w:rPr>
        <w:t>393, 407.)</w:t>
      </w:r>
      <w:r w:rsidR="00294733">
        <w:rPr>
          <w:rFonts w:eastAsia="Times New Roman"/>
          <w:color w:val="000000"/>
        </w:rPr>
        <w:t xml:space="preserve"> </w:t>
      </w:r>
      <w:r w:rsidR="003B694F">
        <w:rPr>
          <w:rFonts w:eastAsia="Times New Roman"/>
          <w:color w:val="000000"/>
        </w:rPr>
        <w:t xml:space="preserve"> We also presume that the Legislature understood that the </w:t>
      </w:r>
      <w:r w:rsidR="00E43B6B">
        <w:rPr>
          <w:rFonts w:eastAsia="Times New Roman"/>
          <w:color w:val="000000"/>
        </w:rPr>
        <w:t>remedy</w:t>
      </w:r>
      <w:r w:rsidR="003B694F">
        <w:rPr>
          <w:rFonts w:eastAsia="Times New Roman"/>
          <w:color w:val="000000"/>
        </w:rPr>
        <w:t xml:space="preserve"> afforded by </w:t>
      </w:r>
      <w:r w:rsidR="003B694F" w:rsidRPr="00294733">
        <w:rPr>
          <w:rFonts w:eastAsia="Times New Roman"/>
          <w:i/>
          <w:iCs/>
          <w:color w:val="000000"/>
        </w:rPr>
        <w:t>Banks</w:t>
      </w:r>
      <w:r w:rsidR="003B694F">
        <w:rPr>
          <w:rFonts w:eastAsia="Times New Roman"/>
          <w:color w:val="000000"/>
        </w:rPr>
        <w:t xml:space="preserve"> and </w:t>
      </w:r>
      <w:r w:rsidR="003B694F" w:rsidRPr="00294733">
        <w:rPr>
          <w:rFonts w:eastAsia="Times New Roman"/>
          <w:i/>
          <w:iCs/>
          <w:color w:val="000000"/>
        </w:rPr>
        <w:t>Clark</w:t>
      </w:r>
      <w:r w:rsidR="003B694F">
        <w:rPr>
          <w:rFonts w:eastAsia="Times New Roman"/>
          <w:color w:val="000000"/>
        </w:rPr>
        <w:t xml:space="preserve"> </w:t>
      </w:r>
      <w:r w:rsidR="00D06816">
        <w:rPr>
          <w:rFonts w:eastAsia="Times New Roman"/>
          <w:color w:val="000000"/>
        </w:rPr>
        <w:t xml:space="preserve">for special circumstance error </w:t>
      </w:r>
      <w:r w:rsidR="003B694F">
        <w:rPr>
          <w:rFonts w:eastAsia="Times New Roman"/>
          <w:color w:val="000000"/>
        </w:rPr>
        <w:t xml:space="preserve">is </w:t>
      </w:r>
      <w:r w:rsidR="003B694F" w:rsidRPr="00D06816">
        <w:rPr>
          <w:rFonts w:eastAsia="Times New Roman"/>
          <w:color w:val="000000"/>
        </w:rPr>
        <w:t>substantial evidence review</w:t>
      </w:r>
      <w:r w:rsidR="003B694F">
        <w:rPr>
          <w:rFonts w:eastAsia="Times New Roman"/>
          <w:color w:val="000000"/>
        </w:rPr>
        <w:t xml:space="preserve"> of the record to determine whether </w:t>
      </w:r>
      <w:r w:rsidR="00D06816">
        <w:rPr>
          <w:rFonts w:eastAsia="Times New Roman"/>
          <w:color w:val="000000"/>
        </w:rPr>
        <w:t xml:space="preserve">the </w:t>
      </w:r>
      <w:r w:rsidR="001108DE">
        <w:rPr>
          <w:rFonts w:eastAsia="Times New Roman"/>
          <w:color w:val="000000"/>
        </w:rPr>
        <w:t>finding is supported by evidence suff</w:t>
      </w:r>
      <w:r w:rsidR="003D35D0">
        <w:rPr>
          <w:rFonts w:eastAsia="Times New Roman"/>
          <w:color w:val="000000"/>
        </w:rPr>
        <w:t>i</w:t>
      </w:r>
      <w:r w:rsidR="001108DE">
        <w:rPr>
          <w:rFonts w:eastAsia="Times New Roman"/>
          <w:color w:val="000000"/>
        </w:rPr>
        <w:t xml:space="preserve">cient to show </w:t>
      </w:r>
      <w:r w:rsidR="003B694F">
        <w:rPr>
          <w:rFonts w:eastAsia="Times New Roman"/>
          <w:color w:val="000000"/>
        </w:rPr>
        <w:t>the minimum level of culpability those cases</w:t>
      </w:r>
      <w:r w:rsidR="008963D7">
        <w:rPr>
          <w:rFonts w:eastAsia="Times New Roman"/>
          <w:color w:val="000000"/>
        </w:rPr>
        <w:t xml:space="preserve"> </w:t>
      </w:r>
      <w:r w:rsidR="008963D7" w:rsidRPr="008963D7">
        <w:rPr>
          <w:rFonts w:eastAsia="Times New Roman"/>
          <w:color w:val="000000"/>
        </w:rPr>
        <w:t xml:space="preserve">(and </w:t>
      </w:r>
      <w:r w:rsidR="008963D7" w:rsidRPr="008963D7">
        <w:rPr>
          <w:rFonts w:eastAsia="Times New Roman"/>
          <w:i/>
          <w:iCs/>
          <w:color w:val="000000"/>
        </w:rPr>
        <w:t>Tison</w:t>
      </w:r>
      <w:r w:rsidR="008963D7" w:rsidRPr="008963D7">
        <w:rPr>
          <w:rFonts w:eastAsia="Times New Roman"/>
          <w:color w:val="000000"/>
        </w:rPr>
        <w:t xml:space="preserve"> and </w:t>
      </w:r>
      <w:r w:rsidR="008963D7" w:rsidRPr="008963D7">
        <w:rPr>
          <w:rFonts w:eastAsia="Times New Roman"/>
          <w:i/>
          <w:iCs/>
          <w:color w:val="000000"/>
        </w:rPr>
        <w:t>E</w:t>
      </w:r>
      <w:r w:rsidR="008520E1">
        <w:rPr>
          <w:rFonts w:eastAsia="Times New Roman"/>
          <w:i/>
          <w:iCs/>
          <w:color w:val="000000"/>
        </w:rPr>
        <w:t>n</w:t>
      </w:r>
      <w:r w:rsidR="008963D7" w:rsidRPr="008963D7">
        <w:rPr>
          <w:rFonts w:eastAsia="Times New Roman"/>
          <w:i/>
          <w:iCs/>
          <w:color w:val="000000"/>
        </w:rPr>
        <w:t>mund</w:t>
      </w:r>
      <w:r w:rsidR="008963D7" w:rsidRPr="008963D7">
        <w:rPr>
          <w:rFonts w:eastAsia="Times New Roman"/>
          <w:color w:val="000000"/>
        </w:rPr>
        <w:t>)</w:t>
      </w:r>
      <w:r w:rsidR="003B694F">
        <w:rPr>
          <w:rFonts w:eastAsia="Times New Roman"/>
          <w:color w:val="000000"/>
        </w:rPr>
        <w:t xml:space="preserve"> require.  </w:t>
      </w:r>
      <w:r w:rsidR="00294733">
        <w:rPr>
          <w:rFonts w:eastAsia="Times New Roman"/>
          <w:color w:val="000000"/>
        </w:rPr>
        <w:t>Th</w:t>
      </w:r>
      <w:r w:rsidR="003B694F">
        <w:rPr>
          <w:rFonts w:eastAsia="Times New Roman"/>
          <w:color w:val="000000"/>
        </w:rPr>
        <w:t>e</w:t>
      </w:r>
      <w:r w:rsidR="00294733">
        <w:rPr>
          <w:rFonts w:eastAsia="Times New Roman"/>
          <w:color w:val="000000"/>
        </w:rPr>
        <w:t xml:space="preserve"> </w:t>
      </w:r>
      <w:r w:rsidR="003B694F">
        <w:rPr>
          <w:rFonts w:eastAsia="Times New Roman"/>
          <w:color w:val="000000"/>
        </w:rPr>
        <w:t xml:space="preserve">Legislature’s </w:t>
      </w:r>
      <w:r w:rsidR="00294733">
        <w:rPr>
          <w:rFonts w:eastAsia="Times New Roman"/>
          <w:color w:val="000000"/>
        </w:rPr>
        <w:t xml:space="preserve">incorporation by reference of </w:t>
      </w:r>
      <w:r w:rsidR="002F7022">
        <w:rPr>
          <w:rFonts w:eastAsia="Times New Roman"/>
          <w:color w:val="000000"/>
        </w:rPr>
        <w:t xml:space="preserve">the substance of </w:t>
      </w:r>
      <w:r w:rsidR="00294733">
        <w:rPr>
          <w:rFonts w:eastAsia="Times New Roman"/>
          <w:color w:val="000000"/>
        </w:rPr>
        <w:t>section 190.2</w:t>
      </w:r>
      <w:r w:rsidR="002F7022">
        <w:rPr>
          <w:rFonts w:eastAsia="Times New Roman"/>
          <w:color w:val="000000"/>
        </w:rPr>
        <w:t>’s special circumstances</w:t>
      </w:r>
      <w:r w:rsidR="00017D0B">
        <w:rPr>
          <w:rFonts w:eastAsia="Times New Roman"/>
          <w:color w:val="000000"/>
        </w:rPr>
        <w:t>,</w:t>
      </w:r>
      <w:r w:rsidR="00294733">
        <w:rPr>
          <w:rFonts w:eastAsia="Times New Roman"/>
          <w:color w:val="000000"/>
        </w:rPr>
        <w:t xml:space="preserve"> </w:t>
      </w:r>
      <w:r w:rsidR="00294733" w:rsidRPr="009F688F">
        <w:rPr>
          <w:rFonts w:eastAsia="Times New Roman"/>
          <w:i/>
          <w:iCs/>
          <w:color w:val="000000"/>
        </w:rPr>
        <w:t>without</w:t>
      </w:r>
      <w:r w:rsidR="00294733">
        <w:rPr>
          <w:rFonts w:eastAsia="Times New Roman"/>
          <w:color w:val="000000"/>
        </w:rPr>
        <w:t xml:space="preserve"> </w:t>
      </w:r>
      <w:r w:rsidR="00294733" w:rsidRPr="009F688F">
        <w:rPr>
          <w:rFonts w:eastAsia="Times New Roman"/>
          <w:i/>
          <w:iCs/>
          <w:color w:val="000000"/>
        </w:rPr>
        <w:t>change</w:t>
      </w:r>
      <w:r w:rsidR="00294733">
        <w:rPr>
          <w:rFonts w:eastAsia="Times New Roman"/>
          <w:color w:val="000000"/>
        </w:rPr>
        <w:t xml:space="preserve">, into the murder statute reflects </w:t>
      </w:r>
      <w:r w:rsidR="003B694F">
        <w:rPr>
          <w:rFonts w:eastAsia="Times New Roman"/>
          <w:color w:val="000000"/>
        </w:rPr>
        <w:t>its</w:t>
      </w:r>
      <w:r w:rsidR="00294733">
        <w:rPr>
          <w:rFonts w:eastAsia="Times New Roman"/>
          <w:color w:val="000000"/>
        </w:rPr>
        <w:t xml:space="preserve"> intent that the </w:t>
      </w:r>
      <w:r w:rsidR="00294733" w:rsidRPr="00294733">
        <w:rPr>
          <w:rFonts w:eastAsia="Times New Roman"/>
          <w:i/>
          <w:iCs/>
          <w:color w:val="000000"/>
        </w:rPr>
        <w:t>Banks</w:t>
      </w:r>
      <w:r w:rsidR="00294733">
        <w:rPr>
          <w:rFonts w:eastAsia="Times New Roman"/>
          <w:color w:val="000000"/>
        </w:rPr>
        <w:t>/</w:t>
      </w:r>
      <w:r w:rsidR="00294733" w:rsidRPr="00294733">
        <w:rPr>
          <w:rFonts w:eastAsia="Times New Roman"/>
          <w:i/>
          <w:iCs/>
          <w:color w:val="000000"/>
        </w:rPr>
        <w:t>Clark</w:t>
      </w:r>
      <w:r w:rsidR="00294733">
        <w:rPr>
          <w:rFonts w:eastAsia="Times New Roman"/>
          <w:color w:val="000000"/>
        </w:rPr>
        <w:t xml:space="preserve"> interpretation of the special circumstance </w:t>
      </w:r>
      <w:r w:rsidR="003B694F">
        <w:rPr>
          <w:rFonts w:eastAsia="Times New Roman"/>
          <w:color w:val="000000"/>
        </w:rPr>
        <w:t xml:space="preserve">terms </w:t>
      </w:r>
      <w:r w:rsidR="00294733">
        <w:rPr>
          <w:rFonts w:eastAsia="Times New Roman"/>
          <w:color w:val="000000"/>
        </w:rPr>
        <w:t xml:space="preserve">would </w:t>
      </w:r>
      <w:r w:rsidR="003B694F">
        <w:rPr>
          <w:rFonts w:eastAsia="Times New Roman"/>
          <w:color w:val="000000"/>
        </w:rPr>
        <w:t>govern</w:t>
      </w:r>
      <w:r w:rsidR="00294733">
        <w:rPr>
          <w:rFonts w:eastAsia="Times New Roman"/>
          <w:color w:val="000000"/>
        </w:rPr>
        <w:t xml:space="preserve"> both liability for felony</w:t>
      </w:r>
      <w:r w:rsidR="00FB5834">
        <w:rPr>
          <w:rFonts w:eastAsia="Times New Roman"/>
          <w:color w:val="000000"/>
        </w:rPr>
        <w:t xml:space="preserve"> </w:t>
      </w:r>
      <w:r w:rsidR="00294733">
        <w:rPr>
          <w:rFonts w:eastAsia="Times New Roman"/>
          <w:color w:val="000000"/>
        </w:rPr>
        <w:t xml:space="preserve">murder </w:t>
      </w:r>
      <w:r w:rsidR="00294733" w:rsidRPr="00017D0B">
        <w:rPr>
          <w:rFonts w:eastAsia="Times New Roman"/>
          <w:i/>
          <w:iCs/>
          <w:color w:val="000000"/>
        </w:rPr>
        <w:t>and</w:t>
      </w:r>
      <w:r w:rsidR="00294733">
        <w:rPr>
          <w:rFonts w:eastAsia="Times New Roman"/>
          <w:color w:val="000000"/>
        </w:rPr>
        <w:t xml:space="preserve"> eligibility for a sentence of death or life without parole.  </w:t>
      </w:r>
      <w:r w:rsidR="005D562B">
        <w:rPr>
          <w:rFonts w:eastAsia="Times New Roman"/>
          <w:color w:val="000000"/>
        </w:rPr>
        <w:t xml:space="preserve">(See </w:t>
      </w:r>
      <w:r w:rsidR="005D562B" w:rsidRPr="005D562B">
        <w:rPr>
          <w:rFonts w:eastAsia="Times New Roman"/>
          <w:i/>
          <w:iCs/>
          <w:color w:val="000000"/>
        </w:rPr>
        <w:t>Banks</w:t>
      </w:r>
      <w:r w:rsidR="005D562B">
        <w:rPr>
          <w:rFonts w:eastAsia="Times New Roman"/>
          <w:color w:val="000000"/>
        </w:rPr>
        <w:t xml:space="preserve">, </w:t>
      </w:r>
      <w:r w:rsidR="005D562B" w:rsidRPr="005D562B">
        <w:rPr>
          <w:rFonts w:eastAsia="Times New Roman"/>
          <w:i/>
          <w:iCs/>
          <w:color w:val="000000"/>
        </w:rPr>
        <w:t>supra</w:t>
      </w:r>
      <w:r w:rsidR="005D562B">
        <w:rPr>
          <w:rFonts w:eastAsia="Times New Roman"/>
          <w:color w:val="000000"/>
        </w:rPr>
        <w:t xml:space="preserve">, </w:t>
      </w:r>
      <w:r w:rsidR="00FE4584">
        <w:rPr>
          <w:rFonts w:eastAsia="Times New Roman"/>
          <w:color w:val="000000"/>
        </w:rPr>
        <w:t>61 Cal.4</w:t>
      </w:r>
      <w:r w:rsidR="00FE4584" w:rsidRPr="00FE4584">
        <w:rPr>
          <w:rFonts w:eastAsia="Times New Roman"/>
          <w:color w:val="000000"/>
        </w:rPr>
        <w:t xml:space="preserve">th </w:t>
      </w:r>
      <w:r w:rsidR="005D562B">
        <w:rPr>
          <w:rFonts w:eastAsia="Times New Roman"/>
          <w:color w:val="000000"/>
        </w:rPr>
        <w:t xml:space="preserve">at p. </w:t>
      </w:r>
      <w:r w:rsidR="009B0DA9">
        <w:rPr>
          <w:rFonts w:eastAsia="Times New Roman"/>
          <w:color w:val="000000"/>
        </w:rPr>
        <w:t>804</w:t>
      </w:r>
      <w:r w:rsidR="00FE4584">
        <w:rPr>
          <w:rFonts w:eastAsia="Times New Roman"/>
          <w:color w:val="000000"/>
        </w:rPr>
        <w:t xml:space="preserve"> </w:t>
      </w:r>
      <w:r w:rsidR="005D562B">
        <w:rPr>
          <w:rFonts w:eastAsia="Times New Roman"/>
          <w:color w:val="000000"/>
        </w:rPr>
        <w:t>[</w:t>
      </w:r>
      <w:r w:rsidR="009B0DA9" w:rsidRPr="009B0DA9">
        <w:rPr>
          <w:rFonts w:eastAsia="Times New Roman"/>
          <w:color w:val="000000"/>
        </w:rPr>
        <w:t>§ </w:t>
      </w:r>
      <w:r w:rsidR="005D562B">
        <w:rPr>
          <w:rFonts w:eastAsia="Times New Roman"/>
          <w:color w:val="000000"/>
        </w:rPr>
        <w:t xml:space="preserve">190.2 as interpreted governs eligibility for sentences of death and life without parole].)  </w:t>
      </w:r>
      <w:r w:rsidR="00776033">
        <w:rPr>
          <w:rFonts w:eastAsia="Times New Roman"/>
          <w:color w:val="000000"/>
        </w:rPr>
        <w:t xml:space="preserve">The Legislature’s </w:t>
      </w:r>
      <w:r w:rsidR="003B694F">
        <w:rPr>
          <w:rFonts w:eastAsia="Times New Roman"/>
          <w:color w:val="000000"/>
        </w:rPr>
        <w:t xml:space="preserve">failure </w:t>
      </w:r>
      <w:r w:rsidR="00776033">
        <w:rPr>
          <w:rFonts w:eastAsia="Times New Roman"/>
          <w:color w:val="000000"/>
        </w:rPr>
        <w:t xml:space="preserve">explicitly </w:t>
      </w:r>
      <w:r w:rsidR="003B694F">
        <w:rPr>
          <w:rFonts w:eastAsia="Times New Roman"/>
          <w:color w:val="000000"/>
        </w:rPr>
        <w:t xml:space="preserve">to </w:t>
      </w:r>
      <w:r w:rsidR="00B97118">
        <w:rPr>
          <w:rFonts w:eastAsia="Times New Roman"/>
          <w:color w:val="000000"/>
        </w:rPr>
        <w:t>expand</w:t>
      </w:r>
      <w:r w:rsidR="00FC3CE9">
        <w:rPr>
          <w:rFonts w:eastAsia="Times New Roman"/>
          <w:color w:val="000000"/>
        </w:rPr>
        <w:t xml:space="preserve"> </w:t>
      </w:r>
      <w:r w:rsidR="00017D0B">
        <w:rPr>
          <w:rFonts w:eastAsia="Times New Roman"/>
          <w:color w:val="000000"/>
        </w:rPr>
        <w:t xml:space="preserve">the </w:t>
      </w:r>
      <w:r w:rsidR="001108DE">
        <w:rPr>
          <w:rFonts w:eastAsia="Times New Roman"/>
          <w:color w:val="000000"/>
        </w:rPr>
        <w:t>remedy</w:t>
      </w:r>
      <w:r w:rsidR="00017D0B">
        <w:rPr>
          <w:rFonts w:eastAsia="Times New Roman"/>
          <w:color w:val="000000"/>
        </w:rPr>
        <w:t xml:space="preserve"> </w:t>
      </w:r>
      <w:r w:rsidR="003B694F">
        <w:rPr>
          <w:rFonts w:eastAsia="Times New Roman"/>
          <w:color w:val="000000"/>
        </w:rPr>
        <w:t>afforded by those cases</w:t>
      </w:r>
      <w:r w:rsidR="00B97118">
        <w:rPr>
          <w:rFonts w:eastAsia="Times New Roman"/>
          <w:color w:val="000000"/>
        </w:rPr>
        <w:t xml:space="preserve"> beyond </w:t>
      </w:r>
      <w:r w:rsidR="001108DE">
        <w:rPr>
          <w:rFonts w:eastAsia="Times New Roman"/>
          <w:color w:val="000000"/>
        </w:rPr>
        <w:t>review for substantial evidence</w:t>
      </w:r>
      <w:r w:rsidR="005D562B">
        <w:rPr>
          <w:rFonts w:eastAsia="Times New Roman"/>
          <w:color w:val="000000"/>
        </w:rPr>
        <w:t xml:space="preserve"> supporting the minimum levels of culpability those cases required</w:t>
      </w:r>
      <w:r w:rsidR="003B694F">
        <w:rPr>
          <w:rFonts w:eastAsia="Times New Roman"/>
          <w:color w:val="000000"/>
        </w:rPr>
        <w:t xml:space="preserve"> implies it did not intend to provide a </w:t>
      </w:r>
      <w:r w:rsidR="00017D0B">
        <w:rPr>
          <w:rFonts w:eastAsia="Times New Roman"/>
          <w:color w:val="000000"/>
        </w:rPr>
        <w:t xml:space="preserve">new or </w:t>
      </w:r>
      <w:r w:rsidR="003B694F">
        <w:rPr>
          <w:rFonts w:eastAsia="Times New Roman"/>
          <w:color w:val="000000"/>
        </w:rPr>
        <w:t xml:space="preserve">different </w:t>
      </w:r>
      <w:r w:rsidR="00E43B6B">
        <w:rPr>
          <w:rFonts w:eastAsia="Times New Roman"/>
          <w:color w:val="000000"/>
        </w:rPr>
        <w:t xml:space="preserve">remedy for a claim of </w:t>
      </w:r>
      <w:r w:rsidR="00E43B6B" w:rsidRPr="008658AD">
        <w:rPr>
          <w:rFonts w:eastAsia="Times New Roman"/>
          <w:i/>
          <w:iCs/>
          <w:color w:val="000000"/>
        </w:rPr>
        <w:t>Banks/Clark</w:t>
      </w:r>
      <w:r w:rsidR="00E43B6B">
        <w:rPr>
          <w:rFonts w:eastAsia="Times New Roman"/>
          <w:color w:val="000000"/>
        </w:rPr>
        <w:t xml:space="preserve"> error</w:t>
      </w:r>
      <w:r w:rsidR="003B694F">
        <w:rPr>
          <w:rFonts w:eastAsia="Times New Roman"/>
          <w:color w:val="000000"/>
        </w:rPr>
        <w:t>.  (See</w:t>
      </w:r>
      <w:r w:rsidR="003B694F" w:rsidRPr="003B694F">
        <w:rPr>
          <w:rFonts w:eastAsia="Times New Roman"/>
          <w:i/>
          <w:iCs/>
          <w:color w:val="000000"/>
        </w:rPr>
        <w:t xml:space="preserve"> Greg</w:t>
      </w:r>
      <w:r w:rsidR="00B97118">
        <w:rPr>
          <w:rFonts w:eastAsia="Times New Roman"/>
          <w:i/>
          <w:iCs/>
          <w:color w:val="000000"/>
        </w:rPr>
        <w:t xml:space="preserve"> F.</w:t>
      </w:r>
      <w:r w:rsidR="003B694F">
        <w:rPr>
          <w:rFonts w:eastAsia="Times New Roman"/>
          <w:color w:val="000000"/>
        </w:rPr>
        <w:t xml:space="preserve">, at p. 407 [failure of Legislature to change law in particular respect when subject is before it </w:t>
      </w:r>
      <w:r w:rsidR="002F7022">
        <w:rPr>
          <w:rFonts w:eastAsia="Times New Roman"/>
          <w:color w:val="000000"/>
        </w:rPr>
        <w:t xml:space="preserve">while making </w:t>
      </w:r>
      <w:r w:rsidR="003B694F">
        <w:rPr>
          <w:rFonts w:eastAsia="Times New Roman"/>
          <w:color w:val="000000"/>
        </w:rPr>
        <w:t xml:space="preserve">changes in other respects indicates intent to leave law as it stands in </w:t>
      </w:r>
      <w:r w:rsidR="002A44C3">
        <w:rPr>
          <w:rFonts w:eastAsia="Times New Roman"/>
          <w:color w:val="000000"/>
        </w:rPr>
        <w:t>re</w:t>
      </w:r>
      <w:r w:rsidR="003B694F">
        <w:rPr>
          <w:rFonts w:eastAsia="Times New Roman"/>
          <w:color w:val="000000"/>
        </w:rPr>
        <w:t xml:space="preserve">spects not amended].)  </w:t>
      </w:r>
    </w:p>
    <w:p w14:paraId="5166D600" w14:textId="3AA12969" w:rsidR="00BF43FA" w:rsidRDefault="00F255BF" w:rsidP="00BF43FA">
      <w:pPr>
        <w:spacing w:line="360" w:lineRule="auto"/>
        <w:ind w:firstLine="720"/>
        <w:rPr>
          <w:rFonts w:eastAsia="Times New Roman"/>
          <w:color w:val="000000"/>
        </w:rPr>
      </w:pPr>
      <w:r>
        <w:rPr>
          <w:rFonts w:eastAsia="Times New Roman"/>
          <w:color w:val="000000"/>
        </w:rPr>
        <w:t>Nor</w:t>
      </w:r>
      <w:r w:rsidR="00FC3CE9">
        <w:rPr>
          <w:rFonts w:eastAsia="Times New Roman"/>
          <w:color w:val="000000"/>
        </w:rPr>
        <w:t xml:space="preserve"> </w:t>
      </w:r>
      <w:r w:rsidR="00B97118">
        <w:rPr>
          <w:rFonts w:eastAsia="Times New Roman"/>
          <w:color w:val="000000"/>
        </w:rPr>
        <w:t xml:space="preserve">do </w:t>
      </w:r>
      <w:r>
        <w:rPr>
          <w:rFonts w:eastAsia="Times New Roman"/>
          <w:color w:val="000000"/>
        </w:rPr>
        <w:t>we</w:t>
      </w:r>
      <w:r w:rsidR="00B97118">
        <w:rPr>
          <w:rFonts w:eastAsia="Times New Roman"/>
          <w:color w:val="000000"/>
        </w:rPr>
        <w:t xml:space="preserve"> </w:t>
      </w:r>
      <w:r w:rsidR="00FC3CE9">
        <w:rPr>
          <w:rFonts w:eastAsia="Times New Roman"/>
          <w:color w:val="000000"/>
        </w:rPr>
        <w:t>construe the evidentiary hearing provision of section</w:t>
      </w:r>
      <w:r w:rsidR="00FE4584">
        <w:rPr>
          <w:rFonts w:eastAsia="Times New Roman"/>
          <w:color w:val="000000"/>
        </w:rPr>
        <w:t> </w:t>
      </w:r>
      <w:r w:rsidR="00FC3CE9">
        <w:rPr>
          <w:rFonts w:eastAsia="Times New Roman"/>
          <w:color w:val="000000"/>
        </w:rPr>
        <w:t xml:space="preserve">1170.95, subdivision (d) to mean a </w:t>
      </w:r>
      <w:r w:rsidR="001108ED">
        <w:rPr>
          <w:rFonts w:eastAsia="Times New Roman"/>
          <w:color w:val="000000"/>
        </w:rPr>
        <w:t xml:space="preserve">petitioner </w:t>
      </w:r>
      <w:r w:rsidR="00FC3CE9">
        <w:rPr>
          <w:rFonts w:eastAsia="Times New Roman"/>
          <w:color w:val="000000"/>
        </w:rPr>
        <w:t xml:space="preserve">is entitled to a new (albeit non-jury) trial to relitigate </w:t>
      </w:r>
      <w:r w:rsidR="00B97118">
        <w:rPr>
          <w:rFonts w:eastAsia="Times New Roman"/>
          <w:color w:val="000000"/>
        </w:rPr>
        <w:t>factual matters</w:t>
      </w:r>
      <w:r w:rsidR="002B16FB">
        <w:rPr>
          <w:rFonts w:eastAsia="Times New Roman"/>
          <w:color w:val="000000"/>
        </w:rPr>
        <w:t>, such as a special circumstance finding,</w:t>
      </w:r>
      <w:r w:rsidR="00FC3CE9">
        <w:rPr>
          <w:rFonts w:eastAsia="Times New Roman"/>
          <w:color w:val="000000"/>
        </w:rPr>
        <w:t xml:space="preserve"> </w:t>
      </w:r>
      <w:r w:rsidR="00B97118">
        <w:rPr>
          <w:rFonts w:eastAsia="Times New Roman"/>
          <w:color w:val="000000"/>
        </w:rPr>
        <w:t xml:space="preserve">that were </w:t>
      </w:r>
      <w:r>
        <w:rPr>
          <w:rFonts w:eastAsia="Times New Roman"/>
          <w:color w:val="000000"/>
        </w:rPr>
        <w:t>already</w:t>
      </w:r>
      <w:r w:rsidR="00FC3CE9">
        <w:rPr>
          <w:rFonts w:eastAsia="Times New Roman"/>
          <w:color w:val="000000"/>
        </w:rPr>
        <w:t xml:space="preserve"> determined by a jury.  </w:t>
      </w:r>
      <w:r w:rsidR="005D562B">
        <w:rPr>
          <w:rFonts w:eastAsia="Times New Roman"/>
          <w:color w:val="000000"/>
        </w:rPr>
        <w:t xml:space="preserve">As we have </w:t>
      </w:r>
      <w:r w:rsidR="005D562B">
        <w:rPr>
          <w:rFonts w:eastAsia="Times New Roman"/>
          <w:color w:val="000000"/>
        </w:rPr>
        <w:lastRenderedPageBreak/>
        <w:t>explained, s</w:t>
      </w:r>
      <w:r w:rsidR="00B97118">
        <w:rPr>
          <w:rFonts w:eastAsia="Times New Roman"/>
          <w:color w:val="000000"/>
        </w:rPr>
        <w:t>ection 1170.95, s</w:t>
      </w:r>
      <w:r w:rsidR="00811161">
        <w:rPr>
          <w:rFonts w:eastAsia="Times New Roman"/>
          <w:color w:val="000000"/>
        </w:rPr>
        <w:t xml:space="preserve">ubdivision (d) </w:t>
      </w:r>
      <w:r w:rsidR="002A44C3">
        <w:rPr>
          <w:rFonts w:eastAsia="Times New Roman"/>
          <w:color w:val="000000"/>
        </w:rPr>
        <w:t>entitles</w:t>
      </w:r>
      <w:r w:rsidR="00811161">
        <w:rPr>
          <w:rFonts w:eastAsia="Times New Roman"/>
          <w:color w:val="000000"/>
        </w:rPr>
        <w:t xml:space="preserve"> a </w:t>
      </w:r>
      <w:r w:rsidR="001108ED">
        <w:rPr>
          <w:rFonts w:eastAsia="Times New Roman"/>
          <w:color w:val="000000"/>
        </w:rPr>
        <w:t xml:space="preserve">petitioner </w:t>
      </w:r>
      <w:r w:rsidR="00811161">
        <w:rPr>
          <w:rFonts w:eastAsia="Times New Roman"/>
          <w:color w:val="000000"/>
        </w:rPr>
        <w:t>who</w:t>
      </w:r>
      <w:r w:rsidR="00892560">
        <w:rPr>
          <w:rFonts w:eastAsia="Times New Roman"/>
          <w:color w:val="000000"/>
        </w:rPr>
        <w:t xml:space="preserve"> has made a prima facie case that she falls within the provisions of the section, including by </w:t>
      </w:r>
      <w:r w:rsidR="00811161">
        <w:rPr>
          <w:rFonts w:eastAsia="Times New Roman"/>
          <w:color w:val="000000"/>
        </w:rPr>
        <w:t>show</w:t>
      </w:r>
      <w:r w:rsidR="00892560">
        <w:rPr>
          <w:rFonts w:eastAsia="Times New Roman"/>
          <w:color w:val="000000"/>
        </w:rPr>
        <w:t>ing</w:t>
      </w:r>
      <w:r w:rsidR="00811161">
        <w:rPr>
          <w:rFonts w:eastAsia="Times New Roman"/>
          <w:color w:val="000000"/>
        </w:rPr>
        <w:t xml:space="preserve"> she was convicted </w:t>
      </w:r>
      <w:r w:rsidR="00892560">
        <w:rPr>
          <w:rFonts w:eastAsia="Times New Roman"/>
          <w:color w:val="000000"/>
        </w:rPr>
        <w:t xml:space="preserve">of murder in a case in which the prosecution proceeded under </w:t>
      </w:r>
      <w:r w:rsidR="00811161">
        <w:rPr>
          <w:rFonts w:eastAsia="Times New Roman"/>
          <w:color w:val="000000"/>
        </w:rPr>
        <w:t>a now-invalid murder theory</w:t>
      </w:r>
      <w:r w:rsidR="00892560">
        <w:rPr>
          <w:rFonts w:eastAsia="Times New Roman"/>
          <w:color w:val="000000"/>
        </w:rPr>
        <w:t xml:space="preserve"> (</w:t>
      </w:r>
      <w:r w:rsidR="00892560" w:rsidRPr="005D562B">
        <w:rPr>
          <w:rFonts w:eastAsia="Times New Roman"/>
          <w:i/>
          <w:iCs/>
          <w:color w:val="000000"/>
        </w:rPr>
        <w:t>id</w:t>
      </w:r>
      <w:r w:rsidR="00892560">
        <w:rPr>
          <w:rFonts w:eastAsia="Times New Roman"/>
          <w:color w:val="000000"/>
        </w:rPr>
        <w:t>.</w:t>
      </w:r>
      <w:r w:rsidR="005D562B">
        <w:rPr>
          <w:rFonts w:eastAsia="Times New Roman"/>
          <w:color w:val="000000"/>
        </w:rPr>
        <w:t>,</w:t>
      </w:r>
      <w:r w:rsidR="00892560">
        <w:rPr>
          <w:rFonts w:eastAsia="Times New Roman"/>
          <w:color w:val="000000"/>
        </w:rPr>
        <w:t xml:space="preserve"> subd. (a)(1) &amp; (a)(2)),</w:t>
      </w:r>
      <w:r w:rsidR="00811161">
        <w:rPr>
          <w:rFonts w:eastAsia="Times New Roman"/>
          <w:color w:val="000000"/>
        </w:rPr>
        <w:t xml:space="preserve"> to an evidentiary hearing at which the parties may litigate facts relevant to other, still valid murder theories</w:t>
      </w:r>
      <w:r>
        <w:rPr>
          <w:rFonts w:eastAsia="Times New Roman"/>
          <w:color w:val="000000"/>
        </w:rPr>
        <w:t xml:space="preserve"> that the jury did not necessarily previously decide.  </w:t>
      </w:r>
      <w:r w:rsidR="00811161">
        <w:rPr>
          <w:rFonts w:eastAsia="Times New Roman"/>
          <w:color w:val="000000"/>
        </w:rPr>
        <w:t xml:space="preserve">To prove (or refute) such a theory, the parties may present new evidence, and </w:t>
      </w:r>
      <w:r w:rsidR="00811161" w:rsidRPr="00B53709">
        <w:rPr>
          <w:rFonts w:eastAsia="Times New Roman"/>
          <w:color w:val="000000"/>
        </w:rPr>
        <w:t xml:space="preserve">the People </w:t>
      </w:r>
      <w:r w:rsidR="00811161">
        <w:rPr>
          <w:rFonts w:eastAsia="Times New Roman"/>
          <w:color w:val="000000"/>
        </w:rPr>
        <w:t xml:space="preserve">bear the burden of </w:t>
      </w:r>
      <w:r w:rsidR="00811161" w:rsidRPr="00B53709">
        <w:rPr>
          <w:rFonts w:eastAsia="Times New Roman"/>
          <w:color w:val="000000"/>
        </w:rPr>
        <w:t>pr</w:t>
      </w:r>
      <w:r w:rsidR="00811161">
        <w:rPr>
          <w:rFonts w:eastAsia="Times New Roman"/>
          <w:color w:val="000000"/>
        </w:rPr>
        <w:t xml:space="preserve">oof </w:t>
      </w:r>
      <w:r w:rsidR="00811161" w:rsidRPr="00B53709">
        <w:rPr>
          <w:rFonts w:eastAsia="Times New Roman"/>
          <w:color w:val="000000"/>
        </w:rPr>
        <w:t>beyond a reasonable doubt</w:t>
      </w:r>
      <w:r w:rsidR="00811161">
        <w:rPr>
          <w:rFonts w:eastAsia="Times New Roman"/>
          <w:color w:val="000000"/>
        </w:rPr>
        <w:t>.  (</w:t>
      </w:r>
      <w:r w:rsidR="00811161" w:rsidRPr="009F688F">
        <w:rPr>
          <w:rFonts w:eastAsia="Times New Roman"/>
          <w:i/>
          <w:iCs/>
          <w:color w:val="000000"/>
        </w:rPr>
        <w:t>Id</w:t>
      </w:r>
      <w:r w:rsidR="00811161">
        <w:rPr>
          <w:rFonts w:eastAsia="Times New Roman"/>
          <w:color w:val="000000"/>
        </w:rPr>
        <w:t>., subd.</w:t>
      </w:r>
      <w:r w:rsidR="00FE4584">
        <w:rPr>
          <w:rFonts w:eastAsia="Times New Roman"/>
          <w:color w:val="000000"/>
        </w:rPr>
        <w:t> </w:t>
      </w:r>
      <w:r w:rsidR="00811161">
        <w:rPr>
          <w:rFonts w:eastAsia="Times New Roman"/>
          <w:color w:val="000000"/>
        </w:rPr>
        <w:t xml:space="preserve">(d)(3).)  </w:t>
      </w:r>
    </w:p>
    <w:p w14:paraId="29340E0B" w14:textId="163BABF4" w:rsidR="005D562B" w:rsidRDefault="00F255BF" w:rsidP="003D35D0">
      <w:pPr>
        <w:spacing w:line="360" w:lineRule="auto"/>
        <w:ind w:firstLine="720"/>
        <w:rPr>
          <w:rFonts w:eastAsia="Times New Roman"/>
          <w:color w:val="000000"/>
        </w:rPr>
      </w:pPr>
      <w:r>
        <w:rPr>
          <w:rFonts w:eastAsia="Times New Roman"/>
          <w:color w:val="000000"/>
        </w:rPr>
        <w:t xml:space="preserve">The evidentiary hearing does not mean the Legislature intended to allow the parties to reopen and retry matters of fact that the jury already resolved.  </w:t>
      </w:r>
      <w:r w:rsidR="00892560">
        <w:rPr>
          <w:rFonts w:eastAsia="Times New Roman"/>
          <w:color w:val="000000"/>
        </w:rPr>
        <w:t>I</w:t>
      </w:r>
      <w:r>
        <w:rPr>
          <w:rFonts w:eastAsia="Times New Roman"/>
          <w:color w:val="000000"/>
        </w:rPr>
        <w:t>ndeed,</w:t>
      </w:r>
      <w:r w:rsidR="00892560">
        <w:rPr>
          <w:rFonts w:eastAsia="Times New Roman"/>
          <w:color w:val="000000"/>
        </w:rPr>
        <w:t xml:space="preserve"> subdivision (d)(2)</w:t>
      </w:r>
      <w:r w:rsidR="00C83F2E">
        <w:rPr>
          <w:rFonts w:eastAsia="Times New Roman"/>
          <w:color w:val="000000"/>
        </w:rPr>
        <w:t xml:space="preserve"> suggests the Legislature had no such intent.  It </w:t>
      </w:r>
      <w:r w:rsidR="00892560">
        <w:rPr>
          <w:rFonts w:eastAsia="Times New Roman"/>
          <w:color w:val="000000"/>
        </w:rPr>
        <w:t>provides in relevant part that</w:t>
      </w:r>
      <w:r w:rsidR="002A44C3">
        <w:rPr>
          <w:rFonts w:eastAsia="Times New Roman"/>
          <w:color w:val="000000"/>
        </w:rPr>
        <w:t>,</w:t>
      </w:r>
      <w:r w:rsidR="00892560">
        <w:rPr>
          <w:rFonts w:eastAsia="Times New Roman"/>
          <w:color w:val="000000"/>
        </w:rPr>
        <w:t xml:space="preserve"> “[i]f there was a prior finding by a court or jury that the petitioner did not act with reckless indifference </w:t>
      </w:r>
      <w:r w:rsidR="00FE4584">
        <w:rPr>
          <w:rFonts w:eastAsia="Times New Roman"/>
          <w:color w:val="000000"/>
        </w:rPr>
        <w:t>to</w:t>
      </w:r>
      <w:r w:rsidR="00892560">
        <w:rPr>
          <w:rFonts w:eastAsia="Times New Roman"/>
          <w:color w:val="000000"/>
        </w:rPr>
        <w:t xml:space="preserve"> human life or was not a major participant in the felony, the court shall </w:t>
      </w:r>
      <w:r w:rsidR="00A877D4">
        <w:rPr>
          <w:rFonts w:eastAsia="Times New Roman"/>
          <w:color w:val="000000"/>
        </w:rPr>
        <w:t>v</w:t>
      </w:r>
      <w:r w:rsidR="00892560">
        <w:rPr>
          <w:rFonts w:eastAsia="Times New Roman"/>
          <w:color w:val="000000"/>
        </w:rPr>
        <w:t xml:space="preserve">acate the petitioner’s conviction and resentence the petitioner.”  </w:t>
      </w:r>
      <w:r w:rsidR="00C83F2E">
        <w:rPr>
          <w:rFonts w:eastAsia="Times New Roman"/>
          <w:color w:val="000000"/>
        </w:rPr>
        <w:t xml:space="preserve">Thus, the People do not get a do-over where the jury has </w:t>
      </w:r>
      <w:r>
        <w:rPr>
          <w:rFonts w:eastAsia="Times New Roman"/>
          <w:color w:val="000000"/>
        </w:rPr>
        <w:t>rejected a special</w:t>
      </w:r>
      <w:r w:rsidR="00F276BB">
        <w:rPr>
          <w:rFonts w:eastAsia="Times New Roman"/>
          <w:color w:val="000000"/>
        </w:rPr>
        <w:t xml:space="preserve"> </w:t>
      </w:r>
      <w:r>
        <w:rPr>
          <w:rFonts w:eastAsia="Times New Roman"/>
          <w:color w:val="000000"/>
        </w:rPr>
        <w:t>circumstance allegation.</w:t>
      </w:r>
      <w:r w:rsidR="00C83F2E">
        <w:rPr>
          <w:rFonts w:eastAsia="Times New Roman"/>
          <w:color w:val="000000"/>
        </w:rPr>
        <w:t xml:space="preserve">  </w:t>
      </w:r>
      <w:r w:rsidR="00A877D4">
        <w:rPr>
          <w:rFonts w:eastAsia="Times New Roman"/>
          <w:color w:val="000000"/>
        </w:rPr>
        <w:t xml:space="preserve">And while it is true that the statute does not state the opposite, i.e., that where there was a prior finding by a court or jury that the petitioner </w:t>
      </w:r>
      <w:r w:rsidR="00A877D4" w:rsidRPr="008658AD">
        <w:rPr>
          <w:rFonts w:eastAsia="Times New Roman"/>
          <w:i/>
          <w:iCs/>
          <w:color w:val="000000"/>
        </w:rPr>
        <w:t>did</w:t>
      </w:r>
      <w:r w:rsidR="00A877D4">
        <w:rPr>
          <w:rFonts w:eastAsia="Times New Roman"/>
          <w:color w:val="000000"/>
        </w:rPr>
        <w:t xml:space="preserve"> act with reckless indifference to human life and </w:t>
      </w:r>
      <w:r w:rsidR="00A877D4" w:rsidRPr="008658AD">
        <w:rPr>
          <w:rFonts w:eastAsia="Times New Roman"/>
          <w:i/>
          <w:iCs/>
          <w:color w:val="000000"/>
        </w:rPr>
        <w:t>was</w:t>
      </w:r>
      <w:r w:rsidR="00A877D4">
        <w:rPr>
          <w:rFonts w:eastAsia="Times New Roman"/>
          <w:color w:val="000000"/>
        </w:rPr>
        <w:t xml:space="preserve"> a major participant in the felony, the court shall </w:t>
      </w:r>
      <w:r w:rsidR="00A877D4" w:rsidRPr="008658AD">
        <w:rPr>
          <w:rFonts w:eastAsia="Times New Roman"/>
          <w:i/>
          <w:iCs/>
          <w:color w:val="000000"/>
        </w:rPr>
        <w:t>not</w:t>
      </w:r>
      <w:r w:rsidR="00A877D4">
        <w:rPr>
          <w:rFonts w:eastAsia="Times New Roman"/>
          <w:color w:val="000000"/>
        </w:rPr>
        <w:t xml:space="preserve"> vacate the conviction, that does not mean the Legislature intended to allow the </w:t>
      </w:r>
      <w:r w:rsidR="001108ED">
        <w:rPr>
          <w:rFonts w:eastAsia="Times New Roman"/>
          <w:color w:val="000000"/>
        </w:rPr>
        <w:t xml:space="preserve">petitioner </w:t>
      </w:r>
      <w:r w:rsidR="00A877D4">
        <w:rPr>
          <w:rFonts w:eastAsia="Times New Roman"/>
          <w:color w:val="000000"/>
        </w:rPr>
        <w:t xml:space="preserve">to relitigate those or other facts already decided </w:t>
      </w:r>
      <w:r w:rsidR="00BF43FA">
        <w:rPr>
          <w:rFonts w:eastAsia="Times New Roman"/>
          <w:color w:val="000000"/>
        </w:rPr>
        <w:t xml:space="preserve">against her </w:t>
      </w:r>
      <w:r w:rsidR="00A877D4">
        <w:rPr>
          <w:rFonts w:eastAsia="Times New Roman"/>
          <w:color w:val="000000"/>
        </w:rPr>
        <w:t xml:space="preserve">by a jury.  </w:t>
      </w:r>
      <w:r w:rsidR="00BF43FA">
        <w:rPr>
          <w:rFonts w:eastAsia="Times New Roman"/>
          <w:color w:val="000000"/>
        </w:rPr>
        <w:t>We find it more likely</w:t>
      </w:r>
      <w:r w:rsidR="00C83F2E">
        <w:rPr>
          <w:rFonts w:eastAsia="Times New Roman"/>
          <w:color w:val="000000"/>
        </w:rPr>
        <w:t xml:space="preserve"> that the Legislature </w:t>
      </w:r>
      <w:r w:rsidR="00BF43FA">
        <w:rPr>
          <w:rFonts w:eastAsia="Times New Roman"/>
          <w:color w:val="000000"/>
        </w:rPr>
        <w:t xml:space="preserve">did </w:t>
      </w:r>
      <w:r w:rsidR="00C83F2E">
        <w:rPr>
          <w:rFonts w:eastAsia="Times New Roman"/>
          <w:color w:val="000000"/>
        </w:rPr>
        <w:t>not</w:t>
      </w:r>
      <w:r w:rsidR="00BF43FA">
        <w:rPr>
          <w:rFonts w:eastAsia="Times New Roman"/>
          <w:color w:val="000000"/>
        </w:rPr>
        <w:t xml:space="preserve"> include such a</w:t>
      </w:r>
      <w:r>
        <w:rPr>
          <w:rFonts w:eastAsia="Times New Roman"/>
          <w:color w:val="000000"/>
        </w:rPr>
        <w:t xml:space="preserve"> categorical assertion</w:t>
      </w:r>
      <w:r w:rsidR="00BF43FA">
        <w:rPr>
          <w:rFonts w:eastAsia="Times New Roman"/>
          <w:color w:val="000000"/>
        </w:rPr>
        <w:t xml:space="preserve"> because it did not</w:t>
      </w:r>
      <w:r w:rsidR="00C83F2E">
        <w:rPr>
          <w:rFonts w:eastAsia="Times New Roman"/>
          <w:color w:val="000000"/>
        </w:rPr>
        <w:t xml:space="preserve"> intend to deny</w:t>
      </w:r>
      <w:r w:rsidR="00A877D4">
        <w:rPr>
          <w:rFonts w:eastAsia="Times New Roman"/>
          <w:color w:val="000000"/>
        </w:rPr>
        <w:t xml:space="preserve"> </w:t>
      </w:r>
      <w:r w:rsidR="001108ED">
        <w:rPr>
          <w:rFonts w:eastAsia="Times New Roman"/>
          <w:color w:val="000000"/>
        </w:rPr>
        <w:t xml:space="preserve">petitioners </w:t>
      </w:r>
      <w:r w:rsidR="00A877D4">
        <w:rPr>
          <w:rFonts w:eastAsia="Times New Roman"/>
          <w:color w:val="000000"/>
        </w:rPr>
        <w:t xml:space="preserve">with </w:t>
      </w:r>
      <w:r w:rsidR="00C83F2E">
        <w:rPr>
          <w:rFonts w:eastAsia="Times New Roman"/>
          <w:color w:val="000000"/>
        </w:rPr>
        <w:t xml:space="preserve">special circumstance findings the right to pursue the </w:t>
      </w:r>
      <w:r w:rsidR="00C83F2E" w:rsidRPr="008658AD">
        <w:rPr>
          <w:rFonts w:eastAsia="Times New Roman"/>
          <w:i/>
          <w:iCs/>
          <w:color w:val="000000"/>
        </w:rPr>
        <w:t>substantial evidence review</w:t>
      </w:r>
      <w:r w:rsidR="00C83F2E">
        <w:rPr>
          <w:rFonts w:eastAsia="Times New Roman"/>
          <w:color w:val="000000"/>
        </w:rPr>
        <w:t xml:space="preserve"> </w:t>
      </w:r>
      <w:r w:rsidR="00C83F2E" w:rsidRPr="008658AD">
        <w:rPr>
          <w:rFonts w:eastAsia="Times New Roman"/>
          <w:i/>
          <w:iCs/>
          <w:color w:val="000000"/>
        </w:rPr>
        <w:t>Banks</w:t>
      </w:r>
      <w:r w:rsidR="00C83F2E">
        <w:rPr>
          <w:rFonts w:eastAsia="Times New Roman"/>
          <w:color w:val="000000"/>
        </w:rPr>
        <w:t xml:space="preserve"> and </w:t>
      </w:r>
      <w:r w:rsidR="00C83F2E" w:rsidRPr="008658AD">
        <w:rPr>
          <w:rFonts w:eastAsia="Times New Roman"/>
          <w:i/>
          <w:iCs/>
          <w:color w:val="000000"/>
        </w:rPr>
        <w:t>Clark</w:t>
      </w:r>
      <w:r w:rsidR="00C83F2E">
        <w:rPr>
          <w:rFonts w:eastAsia="Times New Roman"/>
          <w:color w:val="000000"/>
        </w:rPr>
        <w:t xml:space="preserve"> already afford them.</w:t>
      </w:r>
      <w:r w:rsidR="00BF43FA">
        <w:rPr>
          <w:rFonts w:eastAsia="Times New Roman"/>
          <w:color w:val="000000"/>
        </w:rPr>
        <w:t xml:space="preserve">  </w:t>
      </w:r>
      <w:r>
        <w:rPr>
          <w:rFonts w:eastAsia="Times New Roman"/>
          <w:color w:val="000000"/>
        </w:rPr>
        <w:lastRenderedPageBreak/>
        <w:t>(See § 1170.95, subd. (f)</w:t>
      </w:r>
      <w:r w:rsidR="003D35D0">
        <w:rPr>
          <w:rFonts w:eastAsia="Times New Roman"/>
          <w:color w:val="000000"/>
        </w:rPr>
        <w:t xml:space="preserve"> [“</w:t>
      </w:r>
      <w:r w:rsidRPr="005D562B">
        <w:rPr>
          <w:rFonts w:eastAsia="Times New Roman"/>
          <w:color w:val="3D3D3D"/>
        </w:rPr>
        <w:t>This section does not diminish or abrogate any rights or remedies otherwise available to the petitioner</w:t>
      </w:r>
      <w:r w:rsidR="003D35D0">
        <w:rPr>
          <w:rFonts w:eastAsia="Times New Roman"/>
          <w:color w:val="3D3D3D"/>
        </w:rPr>
        <w:t>”].)</w:t>
      </w:r>
    </w:p>
    <w:p w14:paraId="12B6AA6C" w14:textId="230CB40A" w:rsidR="002B16FB" w:rsidRDefault="00F255BF" w:rsidP="00BF43FA">
      <w:pPr>
        <w:spacing w:line="360" w:lineRule="auto"/>
        <w:ind w:firstLine="720"/>
        <w:rPr>
          <w:rFonts w:eastAsia="Times New Roman"/>
          <w:color w:val="000000"/>
        </w:rPr>
      </w:pPr>
      <w:r>
        <w:rPr>
          <w:rFonts w:eastAsia="Times New Roman"/>
          <w:color w:val="000000"/>
        </w:rPr>
        <w:t xml:space="preserve">In short, the most plausible understanding of </w:t>
      </w:r>
      <w:r w:rsidR="00A24EFC">
        <w:rPr>
          <w:rFonts w:eastAsia="Times New Roman"/>
          <w:color w:val="000000"/>
        </w:rPr>
        <w:t xml:space="preserve">section 1170.95, </w:t>
      </w:r>
      <w:r>
        <w:rPr>
          <w:rFonts w:eastAsia="Times New Roman"/>
          <w:color w:val="000000"/>
        </w:rPr>
        <w:t xml:space="preserve">subdivision (d) is not that </w:t>
      </w:r>
      <w:r w:rsidR="00FC3CE9">
        <w:rPr>
          <w:rFonts w:eastAsia="Times New Roman"/>
          <w:color w:val="000000"/>
        </w:rPr>
        <w:t xml:space="preserve">it </w:t>
      </w:r>
      <w:r>
        <w:rPr>
          <w:rFonts w:eastAsia="Times New Roman"/>
          <w:color w:val="000000"/>
        </w:rPr>
        <w:t>permits either party</w:t>
      </w:r>
      <w:r w:rsidR="00FC3CE9">
        <w:rPr>
          <w:rFonts w:eastAsia="Times New Roman"/>
          <w:color w:val="000000"/>
        </w:rPr>
        <w:t xml:space="preserve"> to </w:t>
      </w:r>
      <w:r>
        <w:rPr>
          <w:rFonts w:eastAsia="Times New Roman"/>
          <w:color w:val="000000"/>
        </w:rPr>
        <w:t>retry</w:t>
      </w:r>
      <w:r w:rsidR="00FC3CE9">
        <w:rPr>
          <w:rFonts w:eastAsia="Times New Roman"/>
          <w:color w:val="000000"/>
        </w:rPr>
        <w:t xml:space="preserve"> factual determinations actually and necessarily made by the jury</w:t>
      </w:r>
      <w:r>
        <w:rPr>
          <w:rFonts w:eastAsia="Times New Roman"/>
          <w:color w:val="000000"/>
        </w:rPr>
        <w:t xml:space="preserve"> at the petitioner’s trial</w:t>
      </w:r>
      <w:r w:rsidR="00FC3CE9">
        <w:rPr>
          <w:rFonts w:eastAsia="Times New Roman"/>
          <w:color w:val="000000"/>
        </w:rPr>
        <w:t xml:space="preserve">.  </w:t>
      </w:r>
      <w:r>
        <w:rPr>
          <w:rFonts w:eastAsia="Times New Roman"/>
          <w:color w:val="000000"/>
        </w:rPr>
        <w:t>Rather, we</w:t>
      </w:r>
      <w:r w:rsidR="00FC3CE9">
        <w:rPr>
          <w:rFonts w:eastAsia="Times New Roman"/>
          <w:color w:val="000000"/>
        </w:rPr>
        <w:t xml:space="preserve"> agree with Justice Menetrez’s observation in a recent concurring opinion that “[t]he purpose of section 1170.95 is to give the defendants the benefit of amended sections 188 and 189 with respect to issues </w:t>
      </w:r>
      <w:r w:rsidR="00FC3CE9" w:rsidRPr="008658AD">
        <w:rPr>
          <w:rFonts w:eastAsia="Times New Roman"/>
          <w:color w:val="000000"/>
        </w:rPr>
        <w:t>not previously determined</w:t>
      </w:r>
      <w:r w:rsidR="00FC3CE9">
        <w:rPr>
          <w:rFonts w:eastAsia="Times New Roman"/>
          <w:color w:val="000000"/>
        </w:rPr>
        <w:t>, not to provide a do-over on factual disputes that have already been resolved.”  (</w:t>
      </w:r>
      <w:r w:rsidR="00FC3CE9" w:rsidRPr="0094719A">
        <w:rPr>
          <w:rFonts w:eastAsia="Times New Roman"/>
          <w:i/>
          <w:iCs/>
          <w:color w:val="000000"/>
        </w:rPr>
        <w:t>Jones</w:t>
      </w:r>
      <w:r w:rsidR="00A24EFC">
        <w:rPr>
          <w:rFonts w:eastAsia="Times New Roman"/>
          <w:color w:val="000000"/>
        </w:rPr>
        <w:t xml:space="preserve">, </w:t>
      </w:r>
      <w:r w:rsidR="00A24EFC" w:rsidRPr="00A24EFC">
        <w:rPr>
          <w:rFonts w:eastAsia="Times New Roman"/>
          <w:i/>
          <w:iCs/>
          <w:color w:val="000000"/>
        </w:rPr>
        <w:t>supra</w:t>
      </w:r>
      <w:r w:rsidR="00A24EFC">
        <w:rPr>
          <w:rFonts w:eastAsia="Times New Roman"/>
          <w:color w:val="000000"/>
        </w:rPr>
        <w:t xml:space="preserve">, </w:t>
      </w:r>
      <w:r w:rsidR="00FC3CE9">
        <w:rPr>
          <w:rFonts w:eastAsia="Times New Roman"/>
          <w:color w:val="000000"/>
        </w:rPr>
        <w:t xml:space="preserve">56 Cal.App.5th </w:t>
      </w:r>
      <w:r w:rsidR="00A24EFC">
        <w:rPr>
          <w:rFonts w:eastAsia="Times New Roman"/>
          <w:color w:val="000000"/>
        </w:rPr>
        <w:t>at pp.</w:t>
      </w:r>
      <w:r w:rsidR="00FC3CE9">
        <w:rPr>
          <w:rFonts w:eastAsia="Times New Roman"/>
          <w:color w:val="000000"/>
        </w:rPr>
        <w:t xml:space="preserve"> 490-491 [</w:t>
      </w:r>
      <w:r w:rsidR="009B0DA9">
        <w:rPr>
          <w:rFonts w:eastAsia="Times New Roman"/>
          <w:color w:val="000000"/>
        </w:rPr>
        <w:t xml:space="preserve">conc. opn. of </w:t>
      </w:r>
      <w:r w:rsidR="00FC3CE9">
        <w:rPr>
          <w:rFonts w:eastAsia="Times New Roman"/>
          <w:color w:val="000000"/>
        </w:rPr>
        <w:t>Menetrez, J.]</w:t>
      </w:r>
      <w:r w:rsidR="00A24EFC">
        <w:rPr>
          <w:rFonts w:eastAsia="Times New Roman"/>
          <w:color w:val="000000"/>
        </w:rPr>
        <w:t>, rev. gr</w:t>
      </w:r>
      <w:r w:rsidR="00FC3CE9">
        <w:rPr>
          <w:rFonts w:eastAsia="Times New Roman"/>
          <w:color w:val="000000"/>
        </w:rPr>
        <w:t>.)</w:t>
      </w:r>
      <w:r>
        <w:rPr>
          <w:rStyle w:val="FootnoteReference"/>
          <w:rFonts w:eastAsia="Times New Roman"/>
          <w:b/>
          <w:bCs/>
          <w:color w:val="000000"/>
        </w:rPr>
        <w:footnoteReference w:id="18"/>
      </w:r>
      <w:r w:rsidR="00FC3CE9">
        <w:rPr>
          <w:rFonts w:eastAsia="Times New Roman"/>
          <w:color w:val="000000"/>
        </w:rPr>
        <w:t xml:space="preserve">  </w:t>
      </w:r>
      <w:r>
        <w:rPr>
          <w:rFonts w:eastAsia="Times New Roman"/>
          <w:color w:val="000000"/>
        </w:rPr>
        <w:t xml:space="preserve">As our Division Three colleagues stated in </w:t>
      </w:r>
      <w:r w:rsidRPr="003D35D0">
        <w:rPr>
          <w:rFonts w:eastAsia="Times New Roman"/>
          <w:i/>
          <w:iCs/>
          <w:color w:val="000000"/>
        </w:rPr>
        <w:t>People v. Daniel</w:t>
      </w:r>
      <w:r>
        <w:rPr>
          <w:rFonts w:eastAsia="Times New Roman"/>
          <w:color w:val="000000"/>
        </w:rPr>
        <w:t xml:space="preserve"> (2020) 57 Cal.App.5th 666, 678,</w:t>
      </w:r>
      <w:r w:rsidR="00A24EFC">
        <w:rPr>
          <w:rFonts w:eastAsia="Times New Roman"/>
          <w:color w:val="000000"/>
        </w:rPr>
        <w:t xml:space="preserve"> review granted February 24, 2021, S266336,</w:t>
      </w:r>
      <w:r>
        <w:rPr>
          <w:rFonts w:eastAsia="Times New Roman"/>
          <w:color w:val="000000"/>
        </w:rPr>
        <w:t xml:space="preserve"> </w:t>
      </w:r>
      <w:r w:rsidR="00AF2422">
        <w:rPr>
          <w:rFonts w:eastAsia="Times New Roman"/>
          <w:color w:val="000000"/>
        </w:rPr>
        <w:t xml:space="preserve">in an analogous context, </w:t>
      </w:r>
      <w:r>
        <w:rPr>
          <w:rFonts w:eastAsia="Times New Roman"/>
          <w:color w:val="000000"/>
        </w:rPr>
        <w:t>“We cannot agree that section 1170.95 authorizes a defendant to present new evidence to undermine a jury’s finding of guilt under a particular theory of murder, effectively retrying the case.”</w:t>
      </w:r>
    </w:p>
    <w:p w14:paraId="63745ADF" w14:textId="3963A51F" w:rsidR="00023630" w:rsidRDefault="00F255BF" w:rsidP="00BF43FA">
      <w:pPr>
        <w:spacing w:line="360" w:lineRule="auto"/>
        <w:ind w:firstLine="720"/>
        <w:rPr>
          <w:rFonts w:eastAsia="Times New Roman"/>
          <w:color w:val="000000"/>
        </w:rPr>
      </w:pPr>
      <w:r>
        <w:rPr>
          <w:rFonts w:eastAsia="Times New Roman"/>
          <w:color w:val="000000"/>
        </w:rPr>
        <w:t xml:space="preserve">We disagree with cases like </w:t>
      </w:r>
      <w:r w:rsidRPr="00023630">
        <w:rPr>
          <w:rFonts w:eastAsia="Times New Roman"/>
          <w:i/>
          <w:iCs/>
          <w:color w:val="000000"/>
        </w:rPr>
        <w:t>Smith</w:t>
      </w:r>
      <w:r>
        <w:rPr>
          <w:rFonts w:eastAsia="Times New Roman"/>
          <w:color w:val="000000"/>
        </w:rPr>
        <w:t xml:space="preserve"> that posit that </w:t>
      </w:r>
      <w:r w:rsidR="003D35D0">
        <w:rPr>
          <w:rFonts w:eastAsia="Times New Roman"/>
          <w:color w:val="000000"/>
        </w:rPr>
        <w:t xml:space="preserve">relitigation of special circumstance findings should be permitted under section 1170.95 because </w:t>
      </w:r>
      <w:r>
        <w:rPr>
          <w:rFonts w:eastAsia="Times New Roman"/>
          <w:color w:val="000000"/>
        </w:rPr>
        <w:t xml:space="preserve">“the jury did not have the same questions before them” in cases decided prior </w:t>
      </w:r>
      <w:r>
        <w:rPr>
          <w:rFonts w:eastAsia="Times New Roman"/>
          <w:color w:val="000000"/>
        </w:rPr>
        <w:lastRenderedPageBreak/>
        <w:t xml:space="preserve">to </w:t>
      </w:r>
      <w:r w:rsidRPr="0061663B">
        <w:rPr>
          <w:rFonts w:eastAsia="Times New Roman"/>
          <w:i/>
          <w:iCs/>
          <w:color w:val="000000"/>
        </w:rPr>
        <w:t>Banks</w:t>
      </w:r>
      <w:r>
        <w:rPr>
          <w:rFonts w:eastAsia="Times New Roman"/>
          <w:color w:val="000000"/>
        </w:rPr>
        <w:t xml:space="preserve"> and </w:t>
      </w:r>
      <w:r w:rsidRPr="0061663B">
        <w:rPr>
          <w:rFonts w:eastAsia="Times New Roman"/>
          <w:i/>
          <w:iCs/>
          <w:color w:val="000000"/>
        </w:rPr>
        <w:t>Clark</w:t>
      </w:r>
      <w:r>
        <w:rPr>
          <w:rFonts w:eastAsia="Times New Roman"/>
          <w:i/>
          <w:iCs/>
          <w:color w:val="000000"/>
        </w:rPr>
        <w:t xml:space="preserve"> </w:t>
      </w:r>
      <w:r>
        <w:rPr>
          <w:rFonts w:eastAsia="Times New Roman"/>
          <w:color w:val="000000"/>
        </w:rPr>
        <w:t xml:space="preserve">as in cases decided after </w:t>
      </w:r>
      <w:r w:rsidRPr="008658AD">
        <w:rPr>
          <w:rFonts w:eastAsia="Times New Roman"/>
          <w:color w:val="000000"/>
        </w:rPr>
        <w:t>them</w:t>
      </w:r>
      <w:r>
        <w:rPr>
          <w:rFonts w:eastAsia="Times New Roman"/>
          <w:color w:val="000000"/>
        </w:rPr>
        <w:t>.  (</w:t>
      </w:r>
      <w:r w:rsidR="00AF2422">
        <w:rPr>
          <w:rFonts w:eastAsia="Times New Roman"/>
          <w:i/>
          <w:iCs/>
          <w:color w:val="000000"/>
        </w:rPr>
        <w:t xml:space="preserve">Smith, supra, </w:t>
      </w:r>
      <w:r w:rsidR="00A24EFC">
        <w:rPr>
          <w:rFonts w:eastAsia="Times New Roman"/>
          <w:color w:val="000000"/>
        </w:rPr>
        <w:t>49 Cal.App</w:t>
      </w:r>
      <w:r w:rsidR="00AF2422">
        <w:rPr>
          <w:rFonts w:eastAsia="Times New Roman"/>
          <w:i/>
          <w:iCs/>
          <w:color w:val="000000"/>
        </w:rPr>
        <w:t>.</w:t>
      </w:r>
      <w:r w:rsidR="00A24EFC">
        <w:rPr>
          <w:rFonts w:eastAsia="Times New Roman"/>
          <w:color w:val="000000"/>
        </w:rPr>
        <w:t>5</w:t>
      </w:r>
      <w:r w:rsidR="00A24EFC" w:rsidRPr="00A24EFC">
        <w:rPr>
          <w:rFonts w:eastAsia="Times New Roman"/>
          <w:color w:val="000000"/>
        </w:rPr>
        <w:t>th</w:t>
      </w:r>
      <w:r w:rsidR="00A24EFC">
        <w:rPr>
          <w:rFonts w:eastAsia="Times New Roman"/>
          <w:color w:val="000000"/>
        </w:rPr>
        <w:t xml:space="preserve"> at p. 93.</w:t>
      </w:r>
      <w:r>
        <w:rPr>
          <w:rFonts w:eastAsia="Times New Roman"/>
          <w:color w:val="000000"/>
        </w:rPr>
        <w:t xml:space="preserve">)  </w:t>
      </w:r>
      <w:r w:rsidR="003F1D79">
        <w:rPr>
          <w:rFonts w:eastAsia="Times New Roman"/>
          <w:color w:val="000000"/>
        </w:rPr>
        <w:t xml:space="preserve">There is no indication the questions put to the </w:t>
      </w:r>
      <w:r w:rsidR="003F1D79" w:rsidRPr="003D35D0">
        <w:rPr>
          <w:rFonts w:eastAsia="Times New Roman"/>
          <w:i/>
          <w:iCs/>
          <w:color w:val="000000"/>
        </w:rPr>
        <w:t>jury</w:t>
      </w:r>
      <w:r w:rsidR="003F1D79">
        <w:rPr>
          <w:rFonts w:eastAsia="Times New Roman"/>
          <w:color w:val="000000"/>
        </w:rPr>
        <w:t xml:space="preserve"> have changed as a result </w:t>
      </w:r>
      <w:r w:rsidR="003F1D79" w:rsidRPr="00981AE8">
        <w:rPr>
          <w:rFonts w:eastAsia="Times New Roman"/>
          <w:color w:val="000000"/>
        </w:rPr>
        <w:t xml:space="preserve">of </w:t>
      </w:r>
      <w:r w:rsidR="003F1D79" w:rsidRPr="008658AD">
        <w:rPr>
          <w:rFonts w:eastAsia="Times New Roman"/>
          <w:i/>
          <w:iCs/>
          <w:color w:val="000000"/>
        </w:rPr>
        <w:t>Banks</w:t>
      </w:r>
      <w:r w:rsidR="003F1D79" w:rsidRPr="008658AD">
        <w:rPr>
          <w:rFonts w:eastAsia="Times New Roman"/>
          <w:color w:val="000000"/>
        </w:rPr>
        <w:t xml:space="preserve"> and </w:t>
      </w:r>
      <w:r w:rsidR="003F1D79" w:rsidRPr="008658AD">
        <w:rPr>
          <w:rFonts w:eastAsia="Times New Roman"/>
          <w:i/>
          <w:iCs/>
          <w:color w:val="000000"/>
        </w:rPr>
        <w:t>Clark</w:t>
      </w:r>
      <w:r w:rsidR="003F1D79">
        <w:rPr>
          <w:rFonts w:eastAsia="Times New Roman"/>
          <w:color w:val="000000"/>
        </w:rPr>
        <w:t xml:space="preserve">.  </w:t>
      </w:r>
      <w:r>
        <w:rPr>
          <w:rFonts w:eastAsia="Times New Roman"/>
          <w:color w:val="000000"/>
        </w:rPr>
        <w:t>“</w:t>
      </w:r>
      <w:r w:rsidR="003D35D0">
        <w:rPr>
          <w:rFonts w:eastAsia="Times New Roman"/>
          <w:color w:val="000000"/>
        </w:rPr>
        <w:t>[O]</w:t>
      </w:r>
      <w:r>
        <w:rPr>
          <w:rFonts w:eastAsia="Times New Roman"/>
          <w:color w:val="000000"/>
        </w:rPr>
        <w:t xml:space="preserve">ur Supreme Court has not required that juries be instructed on the clarifications, and in the wake of </w:t>
      </w:r>
      <w:r w:rsidRPr="00023630">
        <w:rPr>
          <w:rFonts w:eastAsia="Times New Roman"/>
          <w:i/>
          <w:iCs/>
          <w:color w:val="000000"/>
        </w:rPr>
        <w:t>Banks</w:t>
      </w:r>
      <w:r>
        <w:rPr>
          <w:rFonts w:eastAsia="Times New Roman"/>
          <w:color w:val="000000"/>
        </w:rPr>
        <w:t xml:space="preserve"> and </w:t>
      </w:r>
      <w:r w:rsidRPr="00CC6E4A">
        <w:rPr>
          <w:rFonts w:eastAsia="Times New Roman"/>
          <w:i/>
          <w:iCs/>
          <w:color w:val="000000"/>
        </w:rPr>
        <w:t>Clark</w:t>
      </w:r>
      <w:r>
        <w:rPr>
          <w:rFonts w:eastAsia="Times New Roman"/>
          <w:color w:val="000000"/>
        </w:rPr>
        <w:t>, no mandatory language or material changes were made to the CALCRIM special circumstance instructions.</w:t>
      </w:r>
      <w:r w:rsidR="00C65CFF">
        <w:rPr>
          <w:rFonts w:eastAsia="Times New Roman"/>
          <w:color w:val="000000"/>
        </w:rPr>
        <w:t xml:space="preserve"> </w:t>
      </w:r>
      <w:r>
        <w:rPr>
          <w:rFonts w:eastAsia="Times New Roman"/>
          <w:color w:val="000000"/>
        </w:rPr>
        <w:t xml:space="preserve"> </w:t>
      </w:r>
      <w:r w:rsidR="00A24EFC">
        <w:rPr>
          <w:rFonts w:eastAsia="Times New Roman"/>
          <w:color w:val="000000"/>
        </w:rPr>
        <w:t>[Citations.]</w:t>
      </w:r>
      <w:r>
        <w:rPr>
          <w:rFonts w:eastAsia="Times New Roman"/>
          <w:color w:val="000000"/>
        </w:rPr>
        <w:t xml:space="preserve">  Rather, while CALCRIM No. 703 now includes </w:t>
      </w:r>
      <w:r w:rsidRPr="00023630">
        <w:rPr>
          <w:rFonts w:eastAsia="Times New Roman"/>
          <w:i/>
          <w:iCs/>
          <w:color w:val="000000"/>
        </w:rPr>
        <w:t>optional</w:t>
      </w:r>
      <w:r>
        <w:rPr>
          <w:rFonts w:eastAsia="Times New Roman"/>
          <w:color w:val="000000"/>
        </w:rPr>
        <w:t xml:space="preserve"> language drawn from </w:t>
      </w:r>
      <w:r w:rsidRPr="00023630">
        <w:rPr>
          <w:rFonts w:eastAsia="Times New Roman"/>
          <w:i/>
          <w:iCs/>
          <w:color w:val="000000"/>
        </w:rPr>
        <w:t>Banks</w:t>
      </w:r>
      <w:r>
        <w:rPr>
          <w:rFonts w:eastAsia="Times New Roman"/>
          <w:color w:val="000000"/>
        </w:rPr>
        <w:t xml:space="preserve"> and </w:t>
      </w:r>
      <w:r w:rsidRPr="00023630">
        <w:rPr>
          <w:rFonts w:eastAsia="Times New Roman"/>
          <w:i/>
          <w:iCs/>
          <w:color w:val="000000"/>
        </w:rPr>
        <w:t>Clark</w:t>
      </w:r>
      <w:r>
        <w:rPr>
          <w:rFonts w:eastAsia="Times New Roman"/>
          <w:color w:val="000000"/>
        </w:rPr>
        <w:t xml:space="preserve">, regarding the factors a jury </w:t>
      </w:r>
      <w:r w:rsidRPr="00023630">
        <w:rPr>
          <w:rFonts w:eastAsia="Times New Roman"/>
          <w:i/>
          <w:iCs/>
          <w:color w:val="000000"/>
        </w:rPr>
        <w:t>may</w:t>
      </w:r>
      <w:r>
        <w:rPr>
          <w:rFonts w:eastAsia="Times New Roman"/>
          <w:color w:val="000000"/>
        </w:rPr>
        <w:t xml:space="preserve"> </w:t>
      </w:r>
      <w:r w:rsidRPr="00023630">
        <w:rPr>
          <w:rFonts w:eastAsia="Times New Roman"/>
          <w:i/>
          <w:iCs/>
          <w:color w:val="000000"/>
        </w:rPr>
        <w:t>consider</w:t>
      </w:r>
      <w:r>
        <w:rPr>
          <w:rFonts w:eastAsia="Times New Roman"/>
          <w:color w:val="000000"/>
        </w:rPr>
        <w:t xml:space="preserve">, ‘[t]he bench notes to the instruction state that </w:t>
      </w:r>
      <w:r w:rsidRPr="00023630">
        <w:rPr>
          <w:rFonts w:eastAsia="Times New Roman"/>
          <w:i/>
          <w:iCs/>
          <w:color w:val="000000"/>
        </w:rPr>
        <w:t>Banks</w:t>
      </w:r>
      <w:r>
        <w:rPr>
          <w:rFonts w:eastAsia="Times New Roman"/>
          <w:color w:val="000000"/>
        </w:rPr>
        <w:t xml:space="preserve"> “stopped short of holding that the court has a sua sponte duty to instruct on those factors,” and </w:t>
      </w:r>
      <w:r w:rsidRPr="00023630">
        <w:rPr>
          <w:rFonts w:eastAsia="Times New Roman"/>
          <w:i/>
          <w:iCs/>
          <w:color w:val="000000"/>
        </w:rPr>
        <w:t>Clark</w:t>
      </w:r>
      <w:r>
        <w:rPr>
          <w:rFonts w:eastAsia="Times New Roman"/>
          <w:color w:val="000000"/>
        </w:rPr>
        <w:t xml:space="preserve"> “did not hold that the court has a sua sponte duty to instruct on those factors.” ’ ”  (</w:t>
      </w:r>
      <w:r w:rsidRPr="00023630">
        <w:rPr>
          <w:rFonts w:eastAsia="Times New Roman"/>
          <w:i/>
          <w:iCs/>
          <w:color w:val="000000"/>
        </w:rPr>
        <w:t>Nunez</w:t>
      </w:r>
      <w:r>
        <w:rPr>
          <w:rFonts w:eastAsia="Times New Roman"/>
          <w:color w:val="000000"/>
        </w:rPr>
        <w:t>, 57</w:t>
      </w:r>
      <w:r w:rsidR="00A24EFC">
        <w:rPr>
          <w:rFonts w:eastAsia="Times New Roman"/>
          <w:color w:val="000000"/>
        </w:rPr>
        <w:t> </w:t>
      </w:r>
      <w:r>
        <w:rPr>
          <w:rFonts w:eastAsia="Times New Roman"/>
          <w:color w:val="000000"/>
        </w:rPr>
        <w:t>Cal.App.5th at pp. 92-93</w:t>
      </w:r>
      <w:r w:rsidR="00A24EFC">
        <w:rPr>
          <w:rFonts w:eastAsia="Times New Roman"/>
          <w:color w:val="000000"/>
        </w:rPr>
        <w:t>, rev. gr</w:t>
      </w:r>
      <w:r>
        <w:rPr>
          <w:rFonts w:eastAsia="Times New Roman"/>
          <w:color w:val="000000"/>
        </w:rPr>
        <w:t>.)</w:t>
      </w:r>
      <w:r w:rsidR="005052B1">
        <w:rPr>
          <w:rFonts w:eastAsia="Times New Roman"/>
          <w:color w:val="000000"/>
        </w:rPr>
        <w:t xml:space="preserve">  </w:t>
      </w:r>
      <w:r w:rsidR="00CC6E4A">
        <w:rPr>
          <w:rFonts w:eastAsia="Times New Roman"/>
          <w:color w:val="000000"/>
        </w:rPr>
        <w:t xml:space="preserve">In </w:t>
      </w:r>
      <w:r w:rsidR="00CC6E4A" w:rsidRPr="00CC6E4A">
        <w:rPr>
          <w:rFonts w:eastAsia="Times New Roman"/>
          <w:i/>
          <w:iCs/>
          <w:color w:val="000000"/>
        </w:rPr>
        <w:t>Price I</w:t>
      </w:r>
      <w:r w:rsidR="00CC6E4A">
        <w:rPr>
          <w:rFonts w:eastAsia="Times New Roman"/>
          <w:color w:val="000000"/>
        </w:rPr>
        <w:t xml:space="preserve">, we held that neither </w:t>
      </w:r>
      <w:r w:rsidR="00CC6E4A" w:rsidRPr="00CC6E4A">
        <w:rPr>
          <w:rFonts w:eastAsia="Times New Roman"/>
          <w:i/>
          <w:iCs/>
          <w:color w:val="000000"/>
        </w:rPr>
        <w:t>Banks</w:t>
      </w:r>
      <w:r w:rsidR="00CC6E4A">
        <w:rPr>
          <w:rFonts w:eastAsia="Times New Roman"/>
          <w:color w:val="000000"/>
        </w:rPr>
        <w:t xml:space="preserve"> nor </w:t>
      </w:r>
      <w:r w:rsidR="00CC6E4A" w:rsidRPr="00CC6E4A">
        <w:rPr>
          <w:rFonts w:eastAsia="Times New Roman"/>
          <w:i/>
          <w:iCs/>
          <w:color w:val="000000"/>
        </w:rPr>
        <w:t>Clark</w:t>
      </w:r>
      <w:r w:rsidR="00CC6E4A">
        <w:rPr>
          <w:rFonts w:eastAsia="Times New Roman"/>
          <w:color w:val="000000"/>
        </w:rPr>
        <w:t xml:space="preserve"> “compels a more explicit jury instruction on particular factors or facts that must be proven” to establish the high degree of culpability they require.  (</w:t>
      </w:r>
      <w:r w:rsidR="00D770DF">
        <w:rPr>
          <w:rFonts w:eastAsia="Times New Roman"/>
          <w:i/>
          <w:iCs/>
          <w:color w:val="000000"/>
        </w:rPr>
        <w:t>Price</w:t>
      </w:r>
      <w:r w:rsidR="00D770DF" w:rsidRPr="00FD1A90">
        <w:rPr>
          <w:rFonts w:eastAsia="Times New Roman"/>
          <w:i/>
          <w:iCs/>
          <w:color w:val="000000"/>
        </w:rPr>
        <w:t xml:space="preserve"> I</w:t>
      </w:r>
      <w:r w:rsidR="00D770DF">
        <w:rPr>
          <w:rFonts w:eastAsia="Times New Roman"/>
          <w:color w:val="000000"/>
        </w:rPr>
        <w:t xml:space="preserve">, </w:t>
      </w:r>
      <w:r w:rsidR="00D770DF" w:rsidRPr="00FD1A90">
        <w:rPr>
          <w:rFonts w:eastAsia="Times New Roman"/>
          <w:i/>
          <w:iCs/>
          <w:color w:val="000000"/>
        </w:rPr>
        <w:t>supra</w:t>
      </w:r>
      <w:r w:rsidR="00D770DF">
        <w:rPr>
          <w:rFonts w:eastAsia="Times New Roman"/>
          <w:color w:val="000000"/>
        </w:rPr>
        <w:t xml:space="preserve">, </w:t>
      </w:r>
      <w:r w:rsidR="00CC6E4A" w:rsidRPr="00D770DF">
        <w:rPr>
          <w:rFonts w:eastAsia="Times New Roman"/>
          <w:color w:val="000000"/>
        </w:rPr>
        <w:t>8</w:t>
      </w:r>
      <w:r w:rsidR="00CC6E4A">
        <w:rPr>
          <w:rFonts w:eastAsia="Times New Roman"/>
          <w:color w:val="000000"/>
        </w:rPr>
        <w:t xml:space="preserve"> Cal.App.5th at p. 451</w:t>
      </w:r>
      <w:r w:rsidR="00561BAB">
        <w:rPr>
          <w:rFonts w:eastAsia="Times New Roman"/>
          <w:color w:val="000000"/>
        </w:rPr>
        <w:t>;</w:t>
      </w:r>
      <w:r w:rsidR="00CC6E4A">
        <w:rPr>
          <w:rFonts w:eastAsia="Times New Roman"/>
          <w:color w:val="000000"/>
        </w:rPr>
        <w:t xml:space="preserve"> </w:t>
      </w:r>
      <w:r w:rsidR="00561BAB">
        <w:rPr>
          <w:rFonts w:eastAsia="Times New Roman"/>
          <w:color w:val="000000"/>
        </w:rPr>
        <w:t>s</w:t>
      </w:r>
      <w:r w:rsidR="003B694F">
        <w:rPr>
          <w:rFonts w:eastAsia="Times New Roman"/>
          <w:color w:val="000000"/>
        </w:rPr>
        <w:t xml:space="preserve">ee also </w:t>
      </w:r>
      <w:r w:rsidR="003B694F" w:rsidRPr="00561BAB">
        <w:rPr>
          <w:rFonts w:eastAsia="Times New Roman"/>
          <w:i/>
          <w:iCs/>
          <w:color w:val="000000"/>
        </w:rPr>
        <w:t>Secrease</w:t>
      </w:r>
      <w:r w:rsidR="003B694F">
        <w:rPr>
          <w:rFonts w:eastAsia="Times New Roman"/>
          <w:color w:val="000000"/>
        </w:rPr>
        <w:t xml:space="preserve">, </w:t>
      </w:r>
      <w:r w:rsidR="003B694F" w:rsidRPr="00561BAB">
        <w:rPr>
          <w:rFonts w:eastAsia="Times New Roman"/>
          <w:i/>
          <w:iCs/>
          <w:color w:val="000000"/>
        </w:rPr>
        <w:t>supra</w:t>
      </w:r>
      <w:r w:rsidR="003B694F">
        <w:rPr>
          <w:rFonts w:eastAsia="Times New Roman"/>
          <w:color w:val="000000"/>
        </w:rPr>
        <w:t>, 63</w:t>
      </w:r>
      <w:r w:rsidR="00A24EFC">
        <w:t> </w:t>
      </w:r>
      <w:r w:rsidR="003B694F" w:rsidRPr="003B694F">
        <w:rPr>
          <w:rFonts w:eastAsia="Times New Roman"/>
          <w:color w:val="000000"/>
        </w:rPr>
        <w:t xml:space="preserve">Cal.App.5th </w:t>
      </w:r>
      <w:r w:rsidR="003B694F">
        <w:rPr>
          <w:rFonts w:eastAsia="Times New Roman"/>
          <w:color w:val="000000"/>
        </w:rPr>
        <w:t>at p. 256 [</w:t>
      </w:r>
      <w:r w:rsidR="00017D0B">
        <w:rPr>
          <w:rFonts w:eastAsia="Times New Roman"/>
          <w:color w:val="000000"/>
        </w:rPr>
        <w:t>p</w:t>
      </w:r>
      <w:r w:rsidR="003B694F">
        <w:rPr>
          <w:rFonts w:eastAsia="Times New Roman"/>
          <w:color w:val="000000"/>
        </w:rPr>
        <w:t>roblem with pre-</w:t>
      </w:r>
      <w:r w:rsidR="003B694F" w:rsidRPr="00561BAB">
        <w:rPr>
          <w:rFonts w:eastAsia="Times New Roman"/>
          <w:i/>
          <w:iCs/>
          <w:color w:val="000000"/>
        </w:rPr>
        <w:t>Banks</w:t>
      </w:r>
      <w:r w:rsidR="003B694F">
        <w:rPr>
          <w:rFonts w:eastAsia="Times New Roman"/>
          <w:color w:val="000000"/>
        </w:rPr>
        <w:t xml:space="preserve"> and </w:t>
      </w:r>
      <w:r w:rsidR="003B694F" w:rsidRPr="00561BAB">
        <w:rPr>
          <w:rFonts w:eastAsia="Times New Roman"/>
          <w:i/>
          <w:iCs/>
          <w:color w:val="000000"/>
        </w:rPr>
        <w:t>Clark</w:t>
      </w:r>
      <w:r w:rsidR="003B694F">
        <w:rPr>
          <w:rFonts w:eastAsia="Times New Roman"/>
          <w:color w:val="000000"/>
        </w:rPr>
        <w:t xml:space="preserve"> special circumstance finding </w:t>
      </w:r>
      <w:r w:rsidR="00561BAB">
        <w:rPr>
          <w:rFonts w:eastAsia="Times New Roman"/>
          <w:color w:val="000000"/>
        </w:rPr>
        <w:t>was</w:t>
      </w:r>
      <w:r w:rsidR="003B694F">
        <w:rPr>
          <w:rFonts w:eastAsia="Times New Roman"/>
          <w:color w:val="000000"/>
        </w:rPr>
        <w:t xml:space="preserve"> not inadequate jury instruction but </w:t>
      </w:r>
      <w:r w:rsidR="00561BAB">
        <w:rPr>
          <w:rFonts w:eastAsia="Times New Roman"/>
          <w:color w:val="000000"/>
        </w:rPr>
        <w:t xml:space="preserve">need for judicial review of finding under </w:t>
      </w:r>
      <w:r w:rsidR="00561BAB" w:rsidRPr="00561BAB">
        <w:rPr>
          <w:rFonts w:eastAsia="Times New Roman"/>
          <w:i/>
          <w:iCs/>
          <w:color w:val="000000"/>
        </w:rPr>
        <w:t>Banks</w:t>
      </w:r>
      <w:r w:rsidR="00561BAB">
        <w:rPr>
          <w:rFonts w:eastAsia="Times New Roman"/>
          <w:color w:val="000000"/>
        </w:rPr>
        <w:t xml:space="preserve"> and </w:t>
      </w:r>
      <w:r w:rsidR="00561BAB" w:rsidRPr="00561BAB">
        <w:rPr>
          <w:rFonts w:eastAsia="Times New Roman"/>
          <w:i/>
          <w:iCs/>
          <w:color w:val="000000"/>
        </w:rPr>
        <w:t>Clark</w:t>
      </w:r>
      <w:r w:rsidR="00561BAB">
        <w:rPr>
          <w:rFonts w:eastAsia="Times New Roman"/>
          <w:i/>
          <w:iCs/>
          <w:color w:val="000000"/>
        </w:rPr>
        <w:t xml:space="preserve"> </w:t>
      </w:r>
      <w:r w:rsidR="00561BAB">
        <w:rPr>
          <w:rFonts w:eastAsia="Times New Roman"/>
          <w:color w:val="000000"/>
        </w:rPr>
        <w:t>standards.]</w:t>
      </w:r>
      <w:r w:rsidR="00BC77CA">
        <w:rPr>
          <w:rFonts w:eastAsia="Times New Roman"/>
          <w:color w:val="000000"/>
        </w:rPr>
        <w:t>,</w:t>
      </w:r>
      <w:r w:rsidR="00C9645B">
        <w:rPr>
          <w:rFonts w:eastAsia="Times New Roman"/>
          <w:color w:val="000000"/>
        </w:rPr>
        <w:t xml:space="preserve"> rev. gr.</w:t>
      </w:r>
      <w:r w:rsidR="003D35D0">
        <w:rPr>
          <w:rFonts w:eastAsia="Times New Roman"/>
          <w:color w:val="000000"/>
        </w:rPr>
        <w:t>)</w:t>
      </w:r>
    </w:p>
    <w:p w14:paraId="1E095E24" w14:textId="756C428E" w:rsidR="00E25410" w:rsidRDefault="00F255BF" w:rsidP="00101833">
      <w:pPr>
        <w:spacing w:line="360" w:lineRule="auto"/>
        <w:ind w:firstLine="720"/>
        <w:rPr>
          <w:rFonts w:eastAsia="Times New Roman"/>
          <w:color w:val="000000"/>
        </w:rPr>
      </w:pPr>
      <w:r>
        <w:rPr>
          <w:rFonts w:eastAsia="Times New Roman"/>
          <w:color w:val="000000"/>
        </w:rPr>
        <w:t xml:space="preserve">We do not disagree with the cases observing that the </w:t>
      </w:r>
      <w:r w:rsidR="004B01DE">
        <w:rPr>
          <w:rFonts w:eastAsia="Times New Roman"/>
          <w:color w:val="000000"/>
        </w:rPr>
        <w:t>clarifying</w:t>
      </w:r>
      <w:r>
        <w:rPr>
          <w:rFonts w:eastAsia="Times New Roman"/>
          <w:color w:val="000000"/>
        </w:rPr>
        <w:t xml:space="preserve"> interpretations of the special circumstance language </w:t>
      </w:r>
      <w:r w:rsidR="004B01DE">
        <w:rPr>
          <w:rFonts w:eastAsia="Times New Roman"/>
          <w:color w:val="000000"/>
        </w:rPr>
        <w:t>contained in</w:t>
      </w:r>
      <w:r>
        <w:rPr>
          <w:rFonts w:eastAsia="Times New Roman"/>
          <w:color w:val="000000"/>
        </w:rPr>
        <w:t xml:space="preserve"> </w:t>
      </w:r>
      <w:r w:rsidRPr="00101833">
        <w:rPr>
          <w:rFonts w:eastAsia="Times New Roman"/>
          <w:i/>
          <w:iCs/>
          <w:color w:val="000000"/>
        </w:rPr>
        <w:t>Banks</w:t>
      </w:r>
      <w:r>
        <w:rPr>
          <w:rFonts w:eastAsia="Times New Roman"/>
          <w:color w:val="000000"/>
        </w:rPr>
        <w:t xml:space="preserve"> and </w:t>
      </w:r>
      <w:r w:rsidRPr="00101833">
        <w:rPr>
          <w:rFonts w:eastAsia="Times New Roman"/>
          <w:i/>
          <w:iCs/>
          <w:color w:val="000000"/>
        </w:rPr>
        <w:t>Clark</w:t>
      </w:r>
      <w:r>
        <w:rPr>
          <w:rFonts w:eastAsia="Times New Roman"/>
          <w:color w:val="000000"/>
        </w:rPr>
        <w:t xml:space="preserve"> </w:t>
      </w:r>
      <w:r w:rsidR="00D770DF">
        <w:rPr>
          <w:rFonts w:eastAsia="Times New Roman"/>
          <w:color w:val="000000"/>
        </w:rPr>
        <w:t>are</w:t>
      </w:r>
      <w:r>
        <w:rPr>
          <w:rFonts w:eastAsia="Times New Roman"/>
          <w:color w:val="000000"/>
        </w:rPr>
        <w:t xml:space="preserve"> significant. </w:t>
      </w:r>
      <w:r w:rsidR="00101833">
        <w:rPr>
          <w:rFonts w:eastAsia="Times New Roman"/>
          <w:color w:val="000000"/>
        </w:rPr>
        <w:t xml:space="preserve"> </w:t>
      </w:r>
      <w:r>
        <w:rPr>
          <w:rFonts w:eastAsia="Times New Roman"/>
          <w:color w:val="000000"/>
        </w:rPr>
        <w:t xml:space="preserve">Indeed, as we said in </w:t>
      </w:r>
      <w:r w:rsidRPr="00703632">
        <w:rPr>
          <w:rFonts w:eastAsia="Times New Roman"/>
          <w:i/>
          <w:iCs/>
          <w:color w:val="000000"/>
        </w:rPr>
        <w:t>Price I</w:t>
      </w:r>
      <w:r>
        <w:rPr>
          <w:rFonts w:eastAsia="Times New Roman"/>
          <w:color w:val="000000"/>
        </w:rPr>
        <w:t xml:space="preserve">, “[t]he decisions in </w:t>
      </w:r>
      <w:r w:rsidRPr="00703632">
        <w:rPr>
          <w:rFonts w:eastAsia="Times New Roman"/>
          <w:i/>
          <w:iCs/>
          <w:color w:val="000000"/>
        </w:rPr>
        <w:t>Banks</w:t>
      </w:r>
      <w:r>
        <w:rPr>
          <w:rFonts w:eastAsia="Times New Roman"/>
          <w:color w:val="000000"/>
        </w:rPr>
        <w:t xml:space="preserve"> and </w:t>
      </w:r>
      <w:r w:rsidRPr="00703632">
        <w:rPr>
          <w:rFonts w:eastAsia="Times New Roman"/>
          <w:i/>
          <w:iCs/>
          <w:color w:val="000000"/>
        </w:rPr>
        <w:t>Clark</w:t>
      </w:r>
      <w:r>
        <w:rPr>
          <w:rFonts w:eastAsia="Times New Roman"/>
          <w:color w:val="000000"/>
        </w:rPr>
        <w:t xml:space="preserve"> indicate the felony-murder special circumstance may not lightly be applied to every participant in a felony murder and that the evidence required to meet the major participant and reckless indifference elements in the case of a nonkiller must reflect a high degree of culpability.”  (</w:t>
      </w:r>
      <w:r w:rsidRPr="00703632">
        <w:rPr>
          <w:rFonts w:eastAsia="Times New Roman"/>
          <w:i/>
          <w:iCs/>
          <w:color w:val="000000"/>
        </w:rPr>
        <w:t>Price I</w:t>
      </w:r>
      <w:r>
        <w:rPr>
          <w:rFonts w:eastAsia="Times New Roman"/>
          <w:color w:val="000000"/>
        </w:rPr>
        <w:t xml:space="preserve">, </w:t>
      </w:r>
      <w:r w:rsidR="00D770DF" w:rsidRPr="00D770DF">
        <w:rPr>
          <w:rFonts w:eastAsia="Times New Roman"/>
          <w:i/>
          <w:iCs/>
          <w:color w:val="000000"/>
        </w:rPr>
        <w:t>supra</w:t>
      </w:r>
      <w:r w:rsidR="00D770DF">
        <w:rPr>
          <w:rFonts w:eastAsia="Times New Roman"/>
          <w:color w:val="000000"/>
        </w:rPr>
        <w:t xml:space="preserve">, </w:t>
      </w:r>
      <w:r w:rsidRPr="00D770DF">
        <w:rPr>
          <w:rFonts w:eastAsia="Times New Roman"/>
          <w:color w:val="000000"/>
        </w:rPr>
        <w:t>8</w:t>
      </w:r>
      <w:r>
        <w:rPr>
          <w:rFonts w:eastAsia="Times New Roman"/>
          <w:color w:val="000000"/>
        </w:rPr>
        <w:t xml:space="preserve"> </w:t>
      </w:r>
      <w:r w:rsidRPr="00703632">
        <w:rPr>
          <w:rFonts w:eastAsia="Times New Roman"/>
          <w:color w:val="000000"/>
        </w:rPr>
        <w:t xml:space="preserve">Cal.App.5th </w:t>
      </w:r>
      <w:r>
        <w:rPr>
          <w:rFonts w:eastAsia="Times New Roman"/>
          <w:color w:val="000000"/>
        </w:rPr>
        <w:t xml:space="preserve">at p. 451.)  </w:t>
      </w:r>
      <w:r w:rsidR="00017D0B">
        <w:rPr>
          <w:rFonts w:eastAsia="Times New Roman"/>
          <w:color w:val="000000"/>
        </w:rPr>
        <w:t>But in our view,</w:t>
      </w:r>
      <w:r w:rsidR="004B01DE">
        <w:rPr>
          <w:rFonts w:eastAsia="Times New Roman"/>
          <w:color w:val="000000"/>
        </w:rPr>
        <w:t xml:space="preserve"> </w:t>
      </w:r>
      <w:r w:rsidR="004B01DE">
        <w:rPr>
          <w:rFonts w:eastAsia="Times New Roman"/>
          <w:i/>
          <w:iCs/>
          <w:color w:val="000000"/>
        </w:rPr>
        <w:t xml:space="preserve">Banks </w:t>
      </w:r>
      <w:r w:rsidR="004B01DE">
        <w:rPr>
          <w:rFonts w:eastAsia="Times New Roman"/>
          <w:color w:val="000000"/>
        </w:rPr>
        <w:t xml:space="preserve">and </w:t>
      </w:r>
      <w:r w:rsidR="004B01DE">
        <w:rPr>
          <w:rFonts w:eastAsia="Times New Roman"/>
          <w:i/>
          <w:iCs/>
          <w:color w:val="000000"/>
        </w:rPr>
        <w:t xml:space="preserve">Clark </w:t>
      </w:r>
      <w:r w:rsidR="00127BF2">
        <w:rPr>
          <w:rFonts w:eastAsia="Times New Roman"/>
          <w:color w:val="000000"/>
        </w:rPr>
        <w:t>require that</w:t>
      </w:r>
      <w:r>
        <w:rPr>
          <w:rFonts w:eastAsia="Times New Roman"/>
          <w:color w:val="000000"/>
        </w:rPr>
        <w:t xml:space="preserve"> the</w:t>
      </w:r>
      <w:r w:rsidR="004B01DE">
        <w:rPr>
          <w:rFonts w:eastAsia="Times New Roman"/>
          <w:color w:val="000000"/>
        </w:rPr>
        <w:t>se</w:t>
      </w:r>
      <w:r w:rsidR="00354F5C">
        <w:rPr>
          <w:rFonts w:eastAsia="Times New Roman"/>
          <w:color w:val="000000"/>
        </w:rPr>
        <w:t xml:space="preserve"> </w:t>
      </w:r>
      <w:r w:rsidR="004B01DE">
        <w:rPr>
          <w:rFonts w:eastAsia="Times New Roman"/>
          <w:color w:val="000000"/>
        </w:rPr>
        <w:t>clarifying interpretations</w:t>
      </w:r>
      <w:r>
        <w:rPr>
          <w:rFonts w:eastAsia="Times New Roman"/>
          <w:color w:val="000000"/>
        </w:rPr>
        <w:t xml:space="preserve"> </w:t>
      </w:r>
      <w:r w:rsidR="004B01DE">
        <w:rPr>
          <w:rFonts w:eastAsia="Times New Roman"/>
          <w:color w:val="000000"/>
        </w:rPr>
        <w:t xml:space="preserve">be applied by </w:t>
      </w:r>
      <w:r>
        <w:rPr>
          <w:rFonts w:eastAsia="Times New Roman"/>
          <w:color w:val="000000"/>
        </w:rPr>
        <w:t>the reviewing court</w:t>
      </w:r>
      <w:r w:rsidR="00B52F3B">
        <w:rPr>
          <w:rFonts w:eastAsia="Times New Roman"/>
          <w:color w:val="000000"/>
        </w:rPr>
        <w:t xml:space="preserve"> rather </w:t>
      </w:r>
      <w:r w:rsidR="00B52F3B">
        <w:rPr>
          <w:rFonts w:eastAsia="Times New Roman"/>
          <w:color w:val="000000"/>
        </w:rPr>
        <w:lastRenderedPageBreak/>
        <w:t>than the factfinder</w:t>
      </w:r>
      <w:r>
        <w:rPr>
          <w:rFonts w:eastAsia="Times New Roman"/>
          <w:color w:val="000000"/>
        </w:rPr>
        <w:t xml:space="preserve">.  </w:t>
      </w:r>
      <w:r w:rsidR="00EB55B5">
        <w:rPr>
          <w:rFonts w:eastAsia="Times New Roman"/>
          <w:color w:val="000000"/>
        </w:rPr>
        <w:t>In other words</w:t>
      </w:r>
      <w:r w:rsidR="00B52F3B">
        <w:rPr>
          <w:rFonts w:eastAsia="Times New Roman"/>
          <w:color w:val="000000"/>
        </w:rPr>
        <w:t>,</w:t>
      </w:r>
      <w:r>
        <w:rPr>
          <w:rFonts w:eastAsia="Times New Roman"/>
          <w:color w:val="000000"/>
        </w:rPr>
        <w:t xml:space="preserve"> </w:t>
      </w:r>
      <w:r w:rsidRPr="00CE2A62">
        <w:rPr>
          <w:rFonts w:eastAsia="Times New Roman"/>
          <w:i/>
          <w:iCs/>
          <w:color w:val="000000"/>
        </w:rPr>
        <w:t>Banks</w:t>
      </w:r>
      <w:r>
        <w:rPr>
          <w:rFonts w:eastAsia="Times New Roman"/>
          <w:color w:val="000000"/>
        </w:rPr>
        <w:t xml:space="preserve"> and </w:t>
      </w:r>
      <w:r w:rsidRPr="00CE2A62">
        <w:rPr>
          <w:rFonts w:eastAsia="Times New Roman"/>
          <w:i/>
          <w:iCs/>
          <w:color w:val="000000"/>
        </w:rPr>
        <w:t>Clark</w:t>
      </w:r>
      <w:r w:rsidR="00354F5C">
        <w:rPr>
          <w:rFonts w:eastAsia="Times New Roman"/>
          <w:i/>
          <w:iCs/>
          <w:color w:val="000000"/>
        </w:rPr>
        <w:t xml:space="preserve"> </w:t>
      </w:r>
      <w:r w:rsidR="00EB55B5">
        <w:rPr>
          <w:rFonts w:eastAsia="Times New Roman"/>
          <w:color w:val="000000"/>
        </w:rPr>
        <w:t>require a</w:t>
      </w:r>
      <w:r>
        <w:rPr>
          <w:rFonts w:eastAsia="Times New Roman"/>
          <w:color w:val="000000"/>
        </w:rPr>
        <w:t xml:space="preserve"> substantial</w:t>
      </w:r>
      <w:r w:rsidR="002A44C3">
        <w:rPr>
          <w:rFonts w:eastAsia="Times New Roman"/>
          <w:color w:val="000000"/>
        </w:rPr>
        <w:t xml:space="preserve"> </w:t>
      </w:r>
      <w:r>
        <w:rPr>
          <w:rFonts w:eastAsia="Times New Roman"/>
          <w:color w:val="000000"/>
        </w:rPr>
        <w:t xml:space="preserve">evidence </w:t>
      </w:r>
      <w:r w:rsidR="00EB55B5">
        <w:rPr>
          <w:rFonts w:eastAsia="Times New Roman"/>
          <w:color w:val="000000"/>
        </w:rPr>
        <w:t xml:space="preserve">standard of </w:t>
      </w:r>
      <w:r>
        <w:rPr>
          <w:rFonts w:eastAsia="Times New Roman"/>
          <w:color w:val="000000"/>
        </w:rPr>
        <w:t>review, a legal determination requiring an appellate court to view the evidence in the light most favorable to the prosecution, to presume all facts that can reasonably be deduced from the evidence and to determine if a rational trier of fact could have found the elements</w:t>
      </w:r>
      <w:r w:rsidR="00017D0B">
        <w:rPr>
          <w:rFonts w:eastAsia="Times New Roman"/>
          <w:color w:val="000000"/>
        </w:rPr>
        <w:t xml:space="preserve"> (as interpreted in </w:t>
      </w:r>
      <w:r w:rsidR="00017D0B" w:rsidRPr="00017D0B">
        <w:rPr>
          <w:rFonts w:eastAsia="Times New Roman"/>
          <w:i/>
          <w:iCs/>
          <w:color w:val="000000"/>
        </w:rPr>
        <w:t>Banks</w:t>
      </w:r>
      <w:r w:rsidR="00017D0B">
        <w:rPr>
          <w:rFonts w:eastAsia="Times New Roman"/>
          <w:color w:val="000000"/>
        </w:rPr>
        <w:t xml:space="preserve"> and </w:t>
      </w:r>
      <w:r w:rsidR="00017D0B" w:rsidRPr="00017D0B">
        <w:rPr>
          <w:rFonts w:eastAsia="Times New Roman"/>
          <w:i/>
          <w:iCs/>
          <w:color w:val="000000"/>
        </w:rPr>
        <w:t>Clark</w:t>
      </w:r>
      <w:r w:rsidR="00017D0B">
        <w:rPr>
          <w:rFonts w:eastAsia="Times New Roman"/>
          <w:color w:val="000000"/>
        </w:rPr>
        <w:t>)</w:t>
      </w:r>
      <w:r>
        <w:rPr>
          <w:rFonts w:eastAsia="Times New Roman"/>
          <w:color w:val="000000"/>
        </w:rPr>
        <w:t xml:space="preserve"> beyond a reasonable doubt.  </w:t>
      </w:r>
      <w:r w:rsidR="00DC6D27">
        <w:rPr>
          <w:rFonts w:eastAsia="Times New Roman"/>
          <w:color w:val="000000"/>
        </w:rPr>
        <w:t>(</w:t>
      </w:r>
      <w:r w:rsidR="00DC6D27" w:rsidRPr="00255B8F">
        <w:rPr>
          <w:rFonts w:eastAsia="Times New Roman"/>
          <w:i/>
          <w:iCs/>
          <w:color w:val="000000"/>
        </w:rPr>
        <w:t>Banks</w:t>
      </w:r>
      <w:r w:rsidR="00DC6D27">
        <w:rPr>
          <w:rFonts w:eastAsia="Times New Roman"/>
          <w:color w:val="000000"/>
        </w:rPr>
        <w:t xml:space="preserve">, </w:t>
      </w:r>
      <w:r w:rsidR="00DC6D27" w:rsidRPr="00255B8F">
        <w:rPr>
          <w:rFonts w:eastAsia="Times New Roman"/>
          <w:i/>
          <w:iCs/>
          <w:color w:val="000000"/>
        </w:rPr>
        <w:t>supra</w:t>
      </w:r>
      <w:r w:rsidR="00DC6D27">
        <w:rPr>
          <w:rFonts w:eastAsia="Times New Roman"/>
          <w:color w:val="000000"/>
        </w:rPr>
        <w:t xml:space="preserve">, 61 </w:t>
      </w:r>
      <w:r w:rsidR="00DC6D27" w:rsidRPr="00A24EFC">
        <w:rPr>
          <w:rFonts w:eastAsia="Times New Roman"/>
          <w:color w:val="000000"/>
        </w:rPr>
        <w:t>Cal.4th</w:t>
      </w:r>
      <w:r w:rsidR="00DC6D27" w:rsidRPr="00405AB5">
        <w:rPr>
          <w:rFonts w:eastAsia="Times New Roman"/>
          <w:color w:val="000000"/>
        </w:rPr>
        <w:t xml:space="preserve"> </w:t>
      </w:r>
      <w:r w:rsidR="00DC6D27">
        <w:rPr>
          <w:rFonts w:eastAsia="Times New Roman"/>
          <w:color w:val="000000"/>
        </w:rPr>
        <w:t xml:space="preserve">at p. 804; </w:t>
      </w:r>
      <w:r w:rsidR="00DC6D27" w:rsidRPr="00255B8F">
        <w:rPr>
          <w:rFonts w:eastAsia="Times New Roman"/>
          <w:i/>
          <w:iCs/>
          <w:color w:val="000000"/>
        </w:rPr>
        <w:t>Clark</w:t>
      </w:r>
      <w:r w:rsidR="00DC6D27">
        <w:rPr>
          <w:rFonts w:eastAsia="Times New Roman"/>
          <w:color w:val="000000"/>
        </w:rPr>
        <w:t xml:space="preserve">, </w:t>
      </w:r>
      <w:r w:rsidR="00DC6D27" w:rsidRPr="00255B8F">
        <w:rPr>
          <w:rFonts w:eastAsia="Times New Roman"/>
          <w:i/>
          <w:iCs/>
          <w:color w:val="000000"/>
        </w:rPr>
        <w:t>supra</w:t>
      </w:r>
      <w:r w:rsidR="00DC6D27">
        <w:rPr>
          <w:rFonts w:eastAsia="Times New Roman"/>
          <w:color w:val="000000"/>
        </w:rPr>
        <w:t xml:space="preserve">, 63 </w:t>
      </w:r>
      <w:r w:rsidR="00DC6D27" w:rsidRPr="00A24EFC">
        <w:rPr>
          <w:rFonts w:eastAsia="Times New Roman"/>
          <w:color w:val="000000"/>
        </w:rPr>
        <w:t>Cal.4th</w:t>
      </w:r>
      <w:r w:rsidR="00DC6D27" w:rsidRPr="00405AB5">
        <w:rPr>
          <w:rFonts w:eastAsia="Times New Roman"/>
          <w:color w:val="000000"/>
        </w:rPr>
        <w:t xml:space="preserve"> </w:t>
      </w:r>
      <w:r w:rsidR="00DC6D27">
        <w:rPr>
          <w:rFonts w:eastAsia="Times New Roman"/>
          <w:color w:val="000000"/>
        </w:rPr>
        <w:t xml:space="preserve">at p. 610.)  </w:t>
      </w:r>
    </w:p>
    <w:p w14:paraId="24A53CDC" w14:textId="48673355" w:rsidR="00B53709" w:rsidRDefault="00F255BF" w:rsidP="00981AE8">
      <w:pPr>
        <w:spacing w:line="360" w:lineRule="auto"/>
        <w:ind w:firstLine="720"/>
        <w:rPr>
          <w:rFonts w:eastAsia="Times New Roman"/>
          <w:color w:val="000000"/>
        </w:rPr>
      </w:pPr>
      <w:r w:rsidRPr="00101833">
        <w:rPr>
          <w:rFonts w:eastAsia="Times New Roman"/>
          <w:i/>
          <w:iCs/>
          <w:color w:val="000000"/>
        </w:rPr>
        <w:t>Banks</w:t>
      </w:r>
      <w:r w:rsidR="00DC6D27">
        <w:rPr>
          <w:rFonts w:eastAsia="Times New Roman"/>
          <w:color w:val="000000"/>
        </w:rPr>
        <w:t xml:space="preserve"> and</w:t>
      </w:r>
      <w:r w:rsidR="00017D0B">
        <w:rPr>
          <w:rFonts w:eastAsia="Times New Roman"/>
          <w:color w:val="000000"/>
        </w:rPr>
        <w:t xml:space="preserve"> </w:t>
      </w:r>
      <w:r w:rsidRPr="00101833">
        <w:rPr>
          <w:rFonts w:eastAsia="Times New Roman"/>
          <w:i/>
          <w:iCs/>
          <w:color w:val="000000"/>
        </w:rPr>
        <w:t>Clark</w:t>
      </w:r>
      <w:r>
        <w:rPr>
          <w:rFonts w:eastAsia="Times New Roman"/>
          <w:color w:val="000000"/>
        </w:rPr>
        <w:t xml:space="preserve"> </w:t>
      </w:r>
      <w:r w:rsidR="00DC6D27">
        <w:rPr>
          <w:rFonts w:eastAsia="Times New Roman"/>
          <w:color w:val="000000"/>
        </w:rPr>
        <w:t>(</w:t>
      </w:r>
      <w:r>
        <w:rPr>
          <w:rFonts w:eastAsia="Times New Roman"/>
          <w:color w:val="000000"/>
        </w:rPr>
        <w:t xml:space="preserve">and </w:t>
      </w:r>
      <w:r w:rsidR="00017D0B">
        <w:rPr>
          <w:rFonts w:eastAsia="Times New Roman"/>
          <w:color w:val="000000"/>
        </w:rPr>
        <w:t xml:space="preserve">later </w:t>
      </w:r>
      <w:r>
        <w:rPr>
          <w:rFonts w:eastAsia="Times New Roman"/>
          <w:color w:val="000000"/>
        </w:rPr>
        <w:t>cases applying them</w:t>
      </w:r>
      <w:r w:rsidR="00DC6D27">
        <w:rPr>
          <w:rFonts w:eastAsia="Times New Roman"/>
          <w:color w:val="000000"/>
        </w:rPr>
        <w:t>)</w:t>
      </w:r>
      <w:r>
        <w:rPr>
          <w:rFonts w:eastAsia="Times New Roman"/>
          <w:color w:val="000000"/>
        </w:rPr>
        <w:t xml:space="preserve"> </w:t>
      </w:r>
      <w:r w:rsidR="00017D0B">
        <w:rPr>
          <w:rFonts w:eastAsia="Times New Roman"/>
          <w:color w:val="000000"/>
        </w:rPr>
        <w:t xml:space="preserve">also </w:t>
      </w:r>
      <w:r>
        <w:rPr>
          <w:rFonts w:eastAsia="Times New Roman"/>
          <w:color w:val="000000"/>
        </w:rPr>
        <w:t xml:space="preserve">compared the role of the defendants in the cases before them </w:t>
      </w:r>
      <w:r w:rsidR="00017D0B">
        <w:rPr>
          <w:rFonts w:eastAsia="Times New Roman"/>
          <w:color w:val="000000"/>
        </w:rPr>
        <w:t>to</w:t>
      </w:r>
      <w:r>
        <w:rPr>
          <w:rFonts w:eastAsia="Times New Roman"/>
          <w:color w:val="000000"/>
        </w:rPr>
        <w:t xml:space="preserve"> the roles of </w:t>
      </w:r>
      <w:r w:rsidRPr="00AC7874">
        <w:rPr>
          <w:rFonts w:eastAsia="Times New Roman"/>
          <w:color w:val="000000"/>
        </w:rPr>
        <w:t>E</w:t>
      </w:r>
      <w:r w:rsidR="008520E1">
        <w:rPr>
          <w:rFonts w:eastAsia="Times New Roman"/>
          <w:color w:val="000000"/>
        </w:rPr>
        <w:t>n</w:t>
      </w:r>
      <w:r w:rsidRPr="00AC7874">
        <w:rPr>
          <w:rFonts w:eastAsia="Times New Roman"/>
          <w:color w:val="000000"/>
        </w:rPr>
        <w:t>mund</w:t>
      </w:r>
      <w:r w:rsidR="004E6563">
        <w:rPr>
          <w:rFonts w:eastAsia="Times New Roman"/>
          <w:i/>
          <w:iCs/>
          <w:color w:val="000000"/>
        </w:rPr>
        <w:t>,</w:t>
      </w:r>
      <w:r>
        <w:rPr>
          <w:rFonts w:eastAsia="Times New Roman"/>
          <w:color w:val="000000"/>
        </w:rPr>
        <w:t xml:space="preserve"> and </w:t>
      </w:r>
      <w:r w:rsidR="00AC7874">
        <w:rPr>
          <w:rFonts w:eastAsia="Times New Roman"/>
          <w:color w:val="000000"/>
        </w:rPr>
        <w:t xml:space="preserve">the </w:t>
      </w:r>
      <w:r w:rsidRPr="00AC7874">
        <w:rPr>
          <w:rFonts w:eastAsia="Times New Roman"/>
          <w:color w:val="000000"/>
        </w:rPr>
        <w:t>Tison</w:t>
      </w:r>
      <w:r>
        <w:rPr>
          <w:rFonts w:eastAsia="Times New Roman"/>
          <w:i/>
          <w:iCs/>
          <w:color w:val="000000"/>
        </w:rPr>
        <w:t xml:space="preserve"> </w:t>
      </w:r>
      <w:r w:rsidR="00AC7874">
        <w:rPr>
          <w:rFonts w:eastAsia="Times New Roman"/>
          <w:color w:val="000000"/>
        </w:rPr>
        <w:t>brothers</w:t>
      </w:r>
      <w:r w:rsidR="00A24EFC">
        <w:rPr>
          <w:rFonts w:eastAsia="Times New Roman"/>
          <w:color w:val="000000"/>
        </w:rPr>
        <w:t>,</w:t>
      </w:r>
      <w:r w:rsidR="00AC7874">
        <w:rPr>
          <w:rFonts w:eastAsia="Times New Roman"/>
          <w:color w:val="000000"/>
        </w:rPr>
        <w:t xml:space="preserve"> </w:t>
      </w:r>
      <w:r>
        <w:rPr>
          <w:rFonts w:eastAsia="Times New Roman"/>
          <w:color w:val="000000"/>
        </w:rPr>
        <w:t xml:space="preserve">to determine </w:t>
      </w:r>
      <w:r w:rsidR="00DC6D27">
        <w:rPr>
          <w:rFonts w:eastAsia="Times New Roman"/>
          <w:color w:val="000000"/>
        </w:rPr>
        <w:t>whether</w:t>
      </w:r>
      <w:r>
        <w:rPr>
          <w:rFonts w:eastAsia="Times New Roman"/>
          <w:color w:val="000000"/>
        </w:rPr>
        <w:t xml:space="preserve"> the</w:t>
      </w:r>
      <w:r w:rsidR="00AC7874">
        <w:rPr>
          <w:rFonts w:eastAsia="Times New Roman"/>
          <w:color w:val="000000"/>
        </w:rPr>
        <w:t xml:space="preserve"> defendants</w:t>
      </w:r>
      <w:r>
        <w:rPr>
          <w:rFonts w:eastAsia="Times New Roman"/>
          <w:color w:val="000000"/>
        </w:rPr>
        <w:t xml:space="preserve"> f</w:t>
      </w:r>
      <w:r w:rsidR="00C83CB3">
        <w:rPr>
          <w:rFonts w:eastAsia="Times New Roman"/>
          <w:color w:val="000000"/>
        </w:rPr>
        <w:t>e</w:t>
      </w:r>
      <w:r>
        <w:rPr>
          <w:rFonts w:eastAsia="Times New Roman"/>
          <w:color w:val="000000"/>
        </w:rPr>
        <w:t xml:space="preserve">ll </w:t>
      </w:r>
      <w:r w:rsidR="00DC6D27">
        <w:rPr>
          <w:rFonts w:eastAsia="Times New Roman"/>
          <w:color w:val="000000"/>
        </w:rPr>
        <w:t xml:space="preserve">sufficiently high </w:t>
      </w:r>
      <w:r>
        <w:rPr>
          <w:rFonts w:eastAsia="Times New Roman"/>
          <w:color w:val="000000"/>
        </w:rPr>
        <w:t>on the culpability spectrum</w:t>
      </w:r>
      <w:r w:rsidR="00DC6D27">
        <w:rPr>
          <w:rFonts w:eastAsia="Times New Roman"/>
          <w:color w:val="000000"/>
        </w:rPr>
        <w:t xml:space="preserve"> to merit sentences of life without parole or death</w:t>
      </w:r>
      <w:r>
        <w:rPr>
          <w:rFonts w:eastAsia="Times New Roman"/>
          <w:color w:val="000000"/>
        </w:rPr>
        <w:t xml:space="preserve">. </w:t>
      </w:r>
      <w:r>
        <w:rPr>
          <w:rFonts w:eastAsia="Times New Roman"/>
          <w:i/>
          <w:iCs/>
          <w:color w:val="000000"/>
        </w:rPr>
        <w:t xml:space="preserve"> </w:t>
      </w:r>
      <w:r w:rsidRPr="00C65CFF">
        <w:rPr>
          <w:rFonts w:eastAsia="Times New Roman"/>
          <w:color w:val="000000"/>
        </w:rPr>
        <w:t>(</w:t>
      </w:r>
      <w:r>
        <w:rPr>
          <w:rFonts w:eastAsia="Times New Roman"/>
          <w:i/>
          <w:iCs/>
          <w:color w:val="000000"/>
        </w:rPr>
        <w:t xml:space="preserve">Banks, </w:t>
      </w:r>
      <w:r w:rsidR="00A24EFC">
        <w:rPr>
          <w:rFonts w:eastAsia="Times New Roman"/>
          <w:i/>
          <w:iCs/>
          <w:color w:val="000000"/>
        </w:rPr>
        <w:t xml:space="preserve">supra, </w:t>
      </w:r>
      <w:r w:rsidR="00A24EFC">
        <w:rPr>
          <w:rFonts w:eastAsia="Times New Roman"/>
          <w:color w:val="000000"/>
        </w:rPr>
        <w:t>61 Cal.4</w:t>
      </w:r>
      <w:r w:rsidR="00A24EFC" w:rsidRPr="00A24EFC">
        <w:rPr>
          <w:rFonts w:eastAsia="Times New Roman"/>
          <w:color w:val="000000"/>
        </w:rPr>
        <w:t>th</w:t>
      </w:r>
      <w:r w:rsidR="00A24EFC">
        <w:rPr>
          <w:rFonts w:eastAsia="Times New Roman"/>
          <w:color w:val="000000"/>
        </w:rPr>
        <w:t xml:space="preserve"> </w:t>
      </w:r>
      <w:r>
        <w:rPr>
          <w:rFonts w:eastAsia="Times New Roman"/>
          <w:color w:val="000000"/>
        </w:rPr>
        <w:t xml:space="preserve">at pp. 805-807; </w:t>
      </w:r>
      <w:r w:rsidRPr="00766113">
        <w:rPr>
          <w:rFonts w:eastAsia="Times New Roman"/>
          <w:i/>
          <w:iCs/>
          <w:color w:val="000000"/>
        </w:rPr>
        <w:t>Clark</w:t>
      </w:r>
      <w:r>
        <w:rPr>
          <w:rFonts w:eastAsia="Times New Roman"/>
          <w:color w:val="000000"/>
        </w:rPr>
        <w:t xml:space="preserve">, </w:t>
      </w:r>
      <w:r w:rsidR="00A24EFC">
        <w:rPr>
          <w:rFonts w:eastAsia="Times New Roman"/>
          <w:i/>
          <w:iCs/>
          <w:color w:val="000000"/>
        </w:rPr>
        <w:t xml:space="preserve">supra, </w:t>
      </w:r>
      <w:r w:rsidR="00A24EFC">
        <w:rPr>
          <w:rFonts w:eastAsia="Times New Roman"/>
          <w:color w:val="000000"/>
        </w:rPr>
        <w:t>63 Cal.4</w:t>
      </w:r>
      <w:r w:rsidR="00A24EFC" w:rsidRPr="00A24EFC">
        <w:rPr>
          <w:rFonts w:eastAsia="Times New Roman"/>
          <w:color w:val="000000"/>
        </w:rPr>
        <w:t xml:space="preserve">th </w:t>
      </w:r>
      <w:r>
        <w:rPr>
          <w:rFonts w:eastAsia="Times New Roman"/>
          <w:color w:val="000000"/>
        </w:rPr>
        <w:t>at pp. 61</w:t>
      </w:r>
      <w:r w:rsidR="00DC6D27">
        <w:rPr>
          <w:rFonts w:eastAsia="Times New Roman"/>
          <w:color w:val="000000"/>
        </w:rPr>
        <w:t>8</w:t>
      </w:r>
      <w:r>
        <w:rPr>
          <w:rFonts w:eastAsia="Times New Roman"/>
          <w:color w:val="000000"/>
        </w:rPr>
        <w:t>-620, 621, 623</w:t>
      </w:r>
      <w:r w:rsidR="00A24EFC">
        <w:rPr>
          <w:rFonts w:eastAsia="Times New Roman"/>
          <w:color w:val="000000"/>
        </w:rPr>
        <w:t>.</w:t>
      </w:r>
      <w:r>
        <w:rPr>
          <w:rFonts w:eastAsia="Times New Roman"/>
          <w:color w:val="000000"/>
        </w:rPr>
        <w:t xml:space="preserve">)  </w:t>
      </w:r>
      <w:r w:rsidR="00AF2422" w:rsidRPr="00AF2422">
        <w:rPr>
          <w:rFonts w:eastAsia="Times New Roman"/>
          <w:i/>
          <w:iCs/>
          <w:color w:val="000000"/>
        </w:rPr>
        <w:t>Banks</w:t>
      </w:r>
      <w:r w:rsidR="00AF2422">
        <w:rPr>
          <w:rFonts w:eastAsia="Times New Roman"/>
          <w:color w:val="000000"/>
        </w:rPr>
        <w:t xml:space="preserve">, </w:t>
      </w:r>
      <w:r w:rsidR="00AF2422" w:rsidRPr="00AF2422">
        <w:rPr>
          <w:rFonts w:eastAsia="Times New Roman"/>
          <w:i/>
          <w:iCs/>
          <w:color w:val="000000"/>
        </w:rPr>
        <w:t>Clark</w:t>
      </w:r>
      <w:r w:rsidR="00AF2422">
        <w:rPr>
          <w:rFonts w:eastAsia="Times New Roman"/>
          <w:color w:val="000000"/>
        </w:rPr>
        <w:t xml:space="preserve"> and their progeny</w:t>
      </w:r>
      <w:r w:rsidR="00DC6D27">
        <w:rPr>
          <w:rFonts w:eastAsia="Times New Roman"/>
          <w:color w:val="000000"/>
        </w:rPr>
        <w:t xml:space="preserve"> </w:t>
      </w:r>
      <w:r w:rsidR="00AF2422">
        <w:rPr>
          <w:rFonts w:eastAsia="Times New Roman"/>
          <w:color w:val="000000"/>
        </w:rPr>
        <w:t>have</w:t>
      </w:r>
      <w:r w:rsidR="00DC6D27">
        <w:rPr>
          <w:rFonts w:eastAsia="Times New Roman"/>
          <w:color w:val="000000"/>
        </w:rPr>
        <w:t xml:space="preserve"> </w:t>
      </w:r>
      <w:r>
        <w:rPr>
          <w:rFonts w:eastAsia="Times New Roman"/>
          <w:color w:val="000000"/>
        </w:rPr>
        <w:t>engaged in</w:t>
      </w:r>
      <w:r w:rsidR="00127BF2">
        <w:rPr>
          <w:rFonts w:eastAsia="Times New Roman"/>
          <w:color w:val="000000"/>
        </w:rPr>
        <w:t xml:space="preserve"> </w:t>
      </w:r>
      <w:r>
        <w:rPr>
          <w:rFonts w:eastAsia="Times New Roman"/>
          <w:color w:val="000000"/>
        </w:rPr>
        <w:t xml:space="preserve">a </w:t>
      </w:r>
      <w:r w:rsidRPr="008658AD">
        <w:rPr>
          <w:rFonts w:eastAsia="Times New Roman"/>
          <w:i/>
          <w:iCs/>
          <w:color w:val="000000"/>
        </w:rPr>
        <w:t>legal</w:t>
      </w:r>
      <w:r>
        <w:rPr>
          <w:rFonts w:eastAsia="Times New Roman"/>
          <w:color w:val="000000"/>
        </w:rPr>
        <w:t xml:space="preserve"> </w:t>
      </w:r>
      <w:r w:rsidRPr="008658AD">
        <w:rPr>
          <w:rFonts w:eastAsia="Times New Roman"/>
          <w:i/>
          <w:iCs/>
          <w:color w:val="000000"/>
        </w:rPr>
        <w:t>analysis</w:t>
      </w:r>
      <w:r w:rsidR="00E64D2A">
        <w:rPr>
          <w:rFonts w:eastAsia="Times New Roman"/>
          <w:color w:val="000000"/>
        </w:rPr>
        <w:t xml:space="preserve"> </w:t>
      </w:r>
      <w:r w:rsidR="00AF2422">
        <w:rPr>
          <w:rFonts w:eastAsia="Times New Roman"/>
          <w:color w:val="000000"/>
        </w:rPr>
        <w:t>review of the record to determine</w:t>
      </w:r>
      <w:r w:rsidR="00E64D2A">
        <w:rPr>
          <w:rFonts w:eastAsia="Times New Roman"/>
          <w:color w:val="000000"/>
        </w:rPr>
        <w:t xml:space="preserve"> the sufficiency of the </w:t>
      </w:r>
      <w:r w:rsidR="00AF2422">
        <w:rPr>
          <w:rFonts w:eastAsia="Times New Roman"/>
          <w:color w:val="000000"/>
        </w:rPr>
        <w:t>evidence</w:t>
      </w:r>
      <w:r w:rsidR="00B52F3B">
        <w:rPr>
          <w:rFonts w:eastAsia="Times New Roman"/>
          <w:color w:val="000000"/>
        </w:rPr>
        <w:t xml:space="preserve"> and</w:t>
      </w:r>
      <w:r w:rsidR="00AF2422">
        <w:rPr>
          <w:rFonts w:eastAsia="Times New Roman"/>
          <w:color w:val="000000"/>
        </w:rPr>
        <w:t xml:space="preserve"> a determination</w:t>
      </w:r>
      <w:r w:rsidR="00B52F3B">
        <w:rPr>
          <w:rFonts w:eastAsia="Times New Roman"/>
          <w:color w:val="000000"/>
        </w:rPr>
        <w:t xml:space="preserve"> whether the facts establish </w:t>
      </w:r>
      <w:r w:rsidR="00AF2422">
        <w:rPr>
          <w:rFonts w:eastAsia="Times New Roman"/>
          <w:color w:val="000000"/>
        </w:rPr>
        <w:t>a legally prescribed minimum</w:t>
      </w:r>
      <w:r w:rsidR="00B52F3B">
        <w:rPr>
          <w:rFonts w:eastAsia="Times New Roman"/>
          <w:color w:val="000000"/>
        </w:rPr>
        <w:t xml:space="preserve"> level of culpability</w:t>
      </w:r>
      <w:r w:rsidR="00AF2422">
        <w:rPr>
          <w:rFonts w:eastAsia="Times New Roman"/>
          <w:color w:val="000000"/>
        </w:rPr>
        <w:t>; none has engaged in</w:t>
      </w:r>
      <w:r>
        <w:rPr>
          <w:rFonts w:eastAsia="Times New Roman"/>
          <w:color w:val="000000"/>
        </w:rPr>
        <w:t xml:space="preserve"> </w:t>
      </w:r>
      <w:r w:rsidR="00017D0B">
        <w:rPr>
          <w:rFonts w:eastAsia="Times New Roman"/>
          <w:color w:val="000000"/>
        </w:rPr>
        <w:t>a new</w:t>
      </w:r>
      <w:r>
        <w:rPr>
          <w:rFonts w:eastAsia="Times New Roman"/>
          <w:color w:val="000000"/>
        </w:rPr>
        <w:t xml:space="preserve"> factual </w:t>
      </w:r>
      <w:r w:rsidR="00017D0B">
        <w:rPr>
          <w:rFonts w:eastAsia="Times New Roman"/>
          <w:color w:val="000000"/>
        </w:rPr>
        <w:t>determination</w:t>
      </w:r>
      <w:r>
        <w:rPr>
          <w:rFonts w:eastAsia="Times New Roman"/>
          <w:color w:val="000000"/>
        </w:rPr>
        <w:t>.</w:t>
      </w:r>
      <w:r w:rsidR="005052B1">
        <w:rPr>
          <w:rFonts w:eastAsia="Times New Roman"/>
          <w:color w:val="000000"/>
        </w:rPr>
        <w:t xml:space="preserve">  </w:t>
      </w:r>
      <w:r w:rsidR="00135CEC">
        <w:rPr>
          <w:rFonts w:eastAsia="Times New Roman"/>
          <w:color w:val="000000"/>
        </w:rPr>
        <w:t xml:space="preserve">(See </w:t>
      </w:r>
      <w:r w:rsidR="00135CEC" w:rsidRPr="00192A3E">
        <w:rPr>
          <w:rFonts w:eastAsia="Times New Roman"/>
          <w:i/>
          <w:iCs/>
          <w:color w:val="000000"/>
        </w:rPr>
        <w:t>Ramirez</w:t>
      </w:r>
      <w:r w:rsidR="00135CEC">
        <w:rPr>
          <w:rFonts w:eastAsia="Times New Roman"/>
          <w:color w:val="000000"/>
        </w:rPr>
        <w:t xml:space="preserve">, </w:t>
      </w:r>
      <w:r w:rsidR="00135CEC" w:rsidRPr="00192A3E">
        <w:rPr>
          <w:rFonts w:eastAsia="Times New Roman"/>
          <w:i/>
          <w:iCs/>
          <w:color w:val="000000"/>
        </w:rPr>
        <w:t>supra</w:t>
      </w:r>
      <w:r w:rsidR="00135CEC">
        <w:rPr>
          <w:rFonts w:eastAsia="Times New Roman"/>
          <w:color w:val="000000"/>
        </w:rPr>
        <w:t xml:space="preserve">, 32 </w:t>
      </w:r>
      <w:r w:rsidR="00135CEC" w:rsidRPr="00135CEC">
        <w:rPr>
          <w:rFonts w:eastAsia="Times New Roman"/>
          <w:color w:val="000000"/>
        </w:rPr>
        <w:t xml:space="preserve">Cal.App.5th </w:t>
      </w:r>
      <w:r w:rsidR="00135CEC">
        <w:rPr>
          <w:rFonts w:eastAsia="Times New Roman"/>
          <w:color w:val="000000"/>
        </w:rPr>
        <w:t xml:space="preserve">at p. 408 [claim of </w:t>
      </w:r>
      <w:r w:rsidR="00135CEC" w:rsidRPr="00192A3E">
        <w:rPr>
          <w:rFonts w:eastAsia="Times New Roman"/>
          <w:i/>
          <w:iCs/>
          <w:color w:val="000000"/>
        </w:rPr>
        <w:t>Banks</w:t>
      </w:r>
      <w:r w:rsidR="00135CEC">
        <w:rPr>
          <w:rFonts w:eastAsia="Times New Roman"/>
          <w:color w:val="000000"/>
        </w:rPr>
        <w:t>/</w:t>
      </w:r>
      <w:r w:rsidR="00135CEC" w:rsidRPr="00192A3E">
        <w:rPr>
          <w:rFonts w:eastAsia="Times New Roman"/>
          <w:i/>
          <w:iCs/>
          <w:color w:val="000000"/>
        </w:rPr>
        <w:t>Clark</w:t>
      </w:r>
      <w:r w:rsidR="00135CEC">
        <w:rPr>
          <w:rFonts w:eastAsia="Times New Roman"/>
          <w:color w:val="000000"/>
        </w:rPr>
        <w:t xml:space="preserve"> error </w:t>
      </w:r>
      <w:r w:rsidR="00192A3E">
        <w:rPr>
          <w:rFonts w:eastAsia="Times New Roman"/>
          <w:color w:val="000000"/>
        </w:rPr>
        <w:t>“</w:t>
      </w:r>
      <w:r w:rsidR="00135CEC">
        <w:rPr>
          <w:rFonts w:eastAsia="Times New Roman"/>
          <w:color w:val="000000"/>
        </w:rPr>
        <w:t>does not involve retrying issues of fact, but rather the application of law to established facts</w:t>
      </w:r>
      <w:r w:rsidR="00192A3E">
        <w:rPr>
          <w:rFonts w:eastAsia="Times New Roman"/>
          <w:color w:val="000000"/>
        </w:rPr>
        <w:t>”</w:t>
      </w:r>
      <w:r w:rsidR="00127BF2">
        <w:rPr>
          <w:rFonts w:eastAsia="Times New Roman"/>
          <w:color w:val="000000"/>
        </w:rPr>
        <w:t>]</w:t>
      </w:r>
      <w:r w:rsidR="00192A3E">
        <w:rPr>
          <w:rFonts w:eastAsia="Times New Roman"/>
          <w:color w:val="000000"/>
        </w:rPr>
        <w:t xml:space="preserve">; </w:t>
      </w:r>
      <w:r w:rsidR="00192A3E" w:rsidRPr="00192A3E">
        <w:rPr>
          <w:rFonts w:eastAsia="Times New Roman"/>
          <w:i/>
          <w:iCs/>
          <w:color w:val="000000"/>
        </w:rPr>
        <w:t>Miller</w:t>
      </w:r>
      <w:r w:rsidR="00192A3E">
        <w:rPr>
          <w:rFonts w:eastAsia="Times New Roman"/>
          <w:color w:val="000000"/>
        </w:rPr>
        <w:t xml:space="preserve">, </w:t>
      </w:r>
      <w:r w:rsidR="00192A3E" w:rsidRPr="00192A3E">
        <w:rPr>
          <w:rFonts w:eastAsia="Times New Roman"/>
          <w:i/>
          <w:iCs/>
          <w:color w:val="000000"/>
        </w:rPr>
        <w:t>supra</w:t>
      </w:r>
      <w:r w:rsidR="00192A3E">
        <w:rPr>
          <w:rFonts w:eastAsia="Times New Roman"/>
          <w:color w:val="000000"/>
        </w:rPr>
        <w:t xml:space="preserve">, 14 </w:t>
      </w:r>
      <w:r w:rsidR="00192A3E" w:rsidRPr="00192A3E">
        <w:rPr>
          <w:rFonts w:eastAsia="Times New Roman"/>
          <w:color w:val="000000"/>
        </w:rPr>
        <w:t xml:space="preserve">Cal.App.5th </w:t>
      </w:r>
      <w:r w:rsidR="00192A3E">
        <w:rPr>
          <w:rFonts w:eastAsia="Times New Roman"/>
          <w:color w:val="000000"/>
        </w:rPr>
        <w:t xml:space="preserve">at p. 980 </w:t>
      </w:r>
      <w:r w:rsidR="00B52F3B">
        <w:rPr>
          <w:rFonts w:eastAsia="Times New Roman"/>
          <w:color w:val="000000"/>
        </w:rPr>
        <w:t>[</w:t>
      </w:r>
      <w:r w:rsidR="00192A3E">
        <w:rPr>
          <w:rFonts w:eastAsia="Times New Roman"/>
          <w:color w:val="000000"/>
        </w:rPr>
        <w:t xml:space="preserve">claim of </w:t>
      </w:r>
      <w:r w:rsidR="00192A3E" w:rsidRPr="00192A3E">
        <w:rPr>
          <w:rFonts w:eastAsia="Times New Roman"/>
          <w:i/>
          <w:iCs/>
          <w:color w:val="000000"/>
        </w:rPr>
        <w:t>Banks</w:t>
      </w:r>
      <w:r w:rsidR="00192A3E">
        <w:rPr>
          <w:rFonts w:eastAsia="Times New Roman"/>
          <w:color w:val="000000"/>
        </w:rPr>
        <w:t>/</w:t>
      </w:r>
      <w:r w:rsidR="00192A3E" w:rsidRPr="00192A3E">
        <w:rPr>
          <w:rFonts w:eastAsia="Times New Roman"/>
          <w:i/>
          <w:iCs/>
          <w:color w:val="000000"/>
        </w:rPr>
        <w:t>Clark</w:t>
      </w:r>
      <w:r w:rsidR="00192A3E">
        <w:rPr>
          <w:rFonts w:eastAsia="Times New Roman"/>
          <w:color w:val="000000"/>
        </w:rPr>
        <w:t xml:space="preserve"> error “does not require resolution of disputed facts; the facts are a given, they are just legally insufficient under section 190.2 as elucidated in </w:t>
      </w:r>
      <w:r w:rsidR="00192A3E" w:rsidRPr="00192A3E">
        <w:rPr>
          <w:rFonts w:eastAsia="Times New Roman"/>
          <w:i/>
          <w:iCs/>
          <w:color w:val="000000"/>
        </w:rPr>
        <w:t>Banks</w:t>
      </w:r>
      <w:r w:rsidR="00192A3E">
        <w:rPr>
          <w:rFonts w:eastAsia="Times New Roman"/>
          <w:color w:val="000000"/>
        </w:rPr>
        <w:t xml:space="preserve"> and </w:t>
      </w:r>
      <w:r w:rsidR="00192A3E" w:rsidRPr="00192A3E">
        <w:rPr>
          <w:rFonts w:eastAsia="Times New Roman"/>
          <w:i/>
          <w:iCs/>
          <w:color w:val="000000"/>
        </w:rPr>
        <w:t>Clark</w:t>
      </w:r>
      <w:r w:rsidR="00192A3E">
        <w:rPr>
          <w:rFonts w:eastAsia="Times New Roman"/>
          <w:color w:val="000000"/>
        </w:rPr>
        <w:t>”]</w:t>
      </w:r>
      <w:r w:rsidR="00F25F3F">
        <w:rPr>
          <w:rFonts w:eastAsia="Times New Roman"/>
          <w:color w:val="000000"/>
        </w:rPr>
        <w:t>.</w:t>
      </w:r>
      <w:r w:rsidR="00192A3E">
        <w:rPr>
          <w:rFonts w:eastAsia="Times New Roman"/>
          <w:color w:val="000000"/>
        </w:rPr>
        <w:t>)</w:t>
      </w:r>
      <w:r w:rsidR="00DC6D27">
        <w:rPr>
          <w:rFonts w:eastAsia="Times New Roman"/>
          <w:color w:val="000000"/>
        </w:rPr>
        <w:t xml:space="preserve">  To be sure, the inquiry regarding culpability is fact</w:t>
      </w:r>
      <w:r w:rsidR="00127BF2">
        <w:rPr>
          <w:rFonts w:eastAsia="Times New Roman"/>
          <w:color w:val="000000"/>
        </w:rPr>
        <w:t>-</w:t>
      </w:r>
      <w:r w:rsidR="00DC6D27">
        <w:rPr>
          <w:rFonts w:eastAsia="Times New Roman"/>
          <w:color w:val="000000"/>
        </w:rPr>
        <w:t xml:space="preserve">specific.  Nonetheless, the facts are </w:t>
      </w:r>
      <w:r w:rsidR="00A34BB5">
        <w:rPr>
          <w:rFonts w:eastAsia="Times New Roman"/>
          <w:color w:val="000000"/>
        </w:rPr>
        <w:t>fixed.</w:t>
      </w:r>
      <w:r w:rsidR="00DC6D27">
        <w:rPr>
          <w:rFonts w:eastAsia="Times New Roman"/>
          <w:color w:val="000000"/>
        </w:rPr>
        <w:t xml:space="preserve"> </w:t>
      </w:r>
      <w:r w:rsidR="00A34BB5">
        <w:rPr>
          <w:rFonts w:eastAsia="Times New Roman"/>
          <w:color w:val="000000"/>
        </w:rPr>
        <w:t xml:space="preserve"> T</w:t>
      </w:r>
      <w:r w:rsidR="00DC6D27">
        <w:rPr>
          <w:rFonts w:eastAsia="Times New Roman"/>
          <w:color w:val="000000"/>
        </w:rPr>
        <w:t xml:space="preserve">hey are defined by the evidence in the trial record and the inferences that reasonably can be drawn from </w:t>
      </w:r>
      <w:r w:rsidR="00A34BB5">
        <w:rPr>
          <w:rFonts w:eastAsia="Times New Roman"/>
          <w:color w:val="000000"/>
        </w:rPr>
        <w:t>them</w:t>
      </w:r>
      <w:r w:rsidR="00DC6D27">
        <w:rPr>
          <w:rFonts w:eastAsia="Times New Roman"/>
          <w:color w:val="000000"/>
        </w:rPr>
        <w:t>, construed in the light most favorable to the People.  The</w:t>
      </w:r>
      <w:r w:rsidR="007B14AE">
        <w:rPr>
          <w:rFonts w:eastAsia="Times New Roman"/>
          <w:color w:val="000000"/>
        </w:rPr>
        <w:t xml:space="preserve"> </w:t>
      </w:r>
      <w:r w:rsidR="00A34BB5">
        <w:rPr>
          <w:rFonts w:eastAsia="Times New Roman"/>
          <w:color w:val="000000"/>
        </w:rPr>
        <w:t>reviewing court does not reweigh the evidence o</w:t>
      </w:r>
      <w:r w:rsidR="00E329E1">
        <w:rPr>
          <w:rFonts w:eastAsia="Times New Roman"/>
          <w:color w:val="000000"/>
        </w:rPr>
        <w:t>r</w:t>
      </w:r>
      <w:r w:rsidR="00A34BB5">
        <w:rPr>
          <w:rFonts w:eastAsia="Times New Roman"/>
          <w:color w:val="000000"/>
        </w:rPr>
        <w:t xml:space="preserve"> determine credibility anew.</w:t>
      </w:r>
    </w:p>
    <w:p w14:paraId="5D554545" w14:textId="2840D608" w:rsidR="00547D8A" w:rsidRDefault="00F255BF" w:rsidP="00294733">
      <w:pPr>
        <w:spacing w:line="360" w:lineRule="auto"/>
        <w:ind w:firstLine="720"/>
        <w:rPr>
          <w:rFonts w:eastAsia="Times New Roman"/>
          <w:color w:val="000000"/>
        </w:rPr>
      </w:pPr>
      <w:r>
        <w:rPr>
          <w:rFonts w:eastAsia="Times New Roman"/>
          <w:color w:val="000000"/>
        </w:rPr>
        <w:lastRenderedPageBreak/>
        <w:t>For all of these reasons</w:t>
      </w:r>
      <w:r w:rsidR="009A0A2F">
        <w:rPr>
          <w:rFonts w:eastAsia="Times New Roman"/>
          <w:color w:val="000000"/>
        </w:rPr>
        <w:t xml:space="preserve">, </w:t>
      </w:r>
      <w:r w:rsidR="004360D4">
        <w:rPr>
          <w:rFonts w:eastAsia="Times New Roman"/>
          <w:color w:val="000000"/>
        </w:rPr>
        <w:t xml:space="preserve">we conclude that </w:t>
      </w:r>
      <w:r w:rsidR="00A24EFC">
        <w:rPr>
          <w:rFonts w:eastAsia="Times New Roman"/>
          <w:color w:val="000000"/>
        </w:rPr>
        <w:t>s</w:t>
      </w:r>
      <w:r w:rsidR="009A0A2F">
        <w:rPr>
          <w:rFonts w:eastAsia="Times New Roman"/>
          <w:color w:val="000000"/>
        </w:rPr>
        <w:t xml:space="preserve">ection 1170.95 does not provide </w:t>
      </w:r>
      <w:r w:rsidR="00AC7874">
        <w:rPr>
          <w:rFonts w:eastAsia="Times New Roman"/>
          <w:color w:val="000000"/>
        </w:rPr>
        <w:t xml:space="preserve">petitioners </w:t>
      </w:r>
      <w:r w:rsidR="004360D4">
        <w:rPr>
          <w:rFonts w:eastAsia="Times New Roman"/>
          <w:color w:val="000000"/>
        </w:rPr>
        <w:t>challenging a special</w:t>
      </w:r>
      <w:r w:rsidR="00DF57F5">
        <w:rPr>
          <w:rFonts w:eastAsia="Times New Roman"/>
          <w:color w:val="000000"/>
        </w:rPr>
        <w:t xml:space="preserve"> </w:t>
      </w:r>
      <w:r w:rsidR="004360D4">
        <w:rPr>
          <w:rFonts w:eastAsia="Times New Roman"/>
          <w:color w:val="000000"/>
        </w:rPr>
        <w:t xml:space="preserve">circumstance </w:t>
      </w:r>
      <w:r w:rsidR="009F688F">
        <w:rPr>
          <w:rFonts w:eastAsia="Times New Roman"/>
          <w:color w:val="000000"/>
        </w:rPr>
        <w:t xml:space="preserve">finding </w:t>
      </w:r>
      <w:r w:rsidR="004360D4">
        <w:rPr>
          <w:rFonts w:eastAsia="Times New Roman"/>
          <w:color w:val="000000"/>
        </w:rPr>
        <w:t xml:space="preserve">with </w:t>
      </w:r>
      <w:r w:rsidR="00135CEC">
        <w:rPr>
          <w:rFonts w:eastAsia="Times New Roman"/>
          <w:color w:val="000000"/>
        </w:rPr>
        <w:t xml:space="preserve">review </w:t>
      </w:r>
      <w:r w:rsidR="004360D4">
        <w:rPr>
          <w:rFonts w:eastAsia="Times New Roman"/>
          <w:color w:val="000000"/>
        </w:rPr>
        <w:t>greater</w:t>
      </w:r>
      <w:r w:rsidR="009A0A2F">
        <w:rPr>
          <w:rFonts w:eastAsia="Times New Roman"/>
          <w:color w:val="000000"/>
        </w:rPr>
        <w:t xml:space="preserve"> in scope </w:t>
      </w:r>
      <w:r w:rsidR="004360D4">
        <w:rPr>
          <w:rFonts w:eastAsia="Times New Roman"/>
          <w:color w:val="000000"/>
        </w:rPr>
        <w:t>than</w:t>
      </w:r>
      <w:r w:rsidR="009A0A2F">
        <w:rPr>
          <w:rFonts w:eastAsia="Times New Roman"/>
          <w:color w:val="000000"/>
        </w:rPr>
        <w:t xml:space="preserve"> that provided by </w:t>
      </w:r>
      <w:r w:rsidR="009A0A2F" w:rsidRPr="009A0A2F">
        <w:rPr>
          <w:rFonts w:eastAsia="Times New Roman"/>
          <w:i/>
          <w:iCs/>
          <w:color w:val="000000"/>
        </w:rPr>
        <w:t>Banks</w:t>
      </w:r>
      <w:r w:rsidR="009A0A2F">
        <w:rPr>
          <w:rFonts w:eastAsia="Times New Roman"/>
          <w:color w:val="000000"/>
        </w:rPr>
        <w:t xml:space="preserve"> and </w:t>
      </w:r>
      <w:r w:rsidR="009A0A2F" w:rsidRPr="009A0A2F">
        <w:rPr>
          <w:rFonts w:eastAsia="Times New Roman"/>
          <w:i/>
          <w:iCs/>
          <w:color w:val="000000"/>
        </w:rPr>
        <w:t>Clark</w:t>
      </w:r>
      <w:r w:rsidR="009A0A2F">
        <w:rPr>
          <w:rFonts w:eastAsia="Times New Roman"/>
          <w:color w:val="000000"/>
        </w:rPr>
        <w:t xml:space="preserve">.  </w:t>
      </w:r>
      <w:r w:rsidR="009F688F">
        <w:rPr>
          <w:rFonts w:eastAsia="Times New Roman"/>
          <w:color w:val="000000"/>
        </w:rPr>
        <w:t xml:space="preserve">The Legislature understood </w:t>
      </w:r>
      <w:r w:rsidR="001C0AB4">
        <w:rPr>
          <w:rFonts w:eastAsia="Times New Roman"/>
          <w:color w:val="000000"/>
        </w:rPr>
        <w:t xml:space="preserve">when it enacted section 1170.95 </w:t>
      </w:r>
      <w:r w:rsidR="009F688F">
        <w:rPr>
          <w:rFonts w:eastAsia="Times New Roman"/>
          <w:color w:val="000000"/>
        </w:rPr>
        <w:t xml:space="preserve">that the </w:t>
      </w:r>
      <w:r>
        <w:rPr>
          <w:rFonts w:eastAsia="Times New Roman"/>
          <w:color w:val="000000"/>
        </w:rPr>
        <w:t>review afforded to</w:t>
      </w:r>
      <w:r w:rsidR="009F688F">
        <w:rPr>
          <w:rFonts w:eastAsia="Times New Roman"/>
          <w:color w:val="000000"/>
        </w:rPr>
        <w:t xml:space="preserve"> such a challenge </w:t>
      </w:r>
      <w:r w:rsidR="004360D4">
        <w:rPr>
          <w:rFonts w:eastAsia="Times New Roman"/>
          <w:color w:val="000000"/>
        </w:rPr>
        <w:t xml:space="preserve">is a judicial determination </w:t>
      </w:r>
      <w:r w:rsidR="001C0AB4">
        <w:rPr>
          <w:rFonts w:eastAsia="Times New Roman"/>
          <w:color w:val="000000"/>
        </w:rPr>
        <w:t xml:space="preserve">regarding </w:t>
      </w:r>
      <w:r w:rsidR="004360D4">
        <w:rPr>
          <w:rFonts w:eastAsia="Times New Roman"/>
          <w:color w:val="000000"/>
        </w:rPr>
        <w:t>whether substantial evidence supports the special circumstance finding</w:t>
      </w:r>
      <w:r w:rsidR="00AF2422">
        <w:rPr>
          <w:rFonts w:eastAsia="Times New Roman"/>
          <w:color w:val="000000"/>
        </w:rPr>
        <w:t xml:space="preserve">, as interpreted in </w:t>
      </w:r>
      <w:r w:rsidR="001C0AB4" w:rsidRPr="007B14AE">
        <w:rPr>
          <w:rFonts w:eastAsia="Times New Roman"/>
          <w:i/>
          <w:iCs/>
          <w:color w:val="000000"/>
        </w:rPr>
        <w:t>Banks</w:t>
      </w:r>
      <w:r w:rsidR="001C0AB4">
        <w:rPr>
          <w:rFonts w:eastAsia="Times New Roman"/>
          <w:color w:val="000000"/>
        </w:rPr>
        <w:t xml:space="preserve"> and </w:t>
      </w:r>
      <w:r w:rsidR="001C0AB4" w:rsidRPr="007B14AE">
        <w:rPr>
          <w:rFonts w:eastAsia="Times New Roman"/>
          <w:i/>
          <w:iCs/>
          <w:color w:val="000000"/>
        </w:rPr>
        <w:t>Clark</w:t>
      </w:r>
      <w:r w:rsidR="001C0AB4">
        <w:rPr>
          <w:rFonts w:eastAsia="Times New Roman"/>
          <w:color w:val="000000"/>
        </w:rPr>
        <w:t>.</w:t>
      </w:r>
      <w:r w:rsidR="004360D4">
        <w:rPr>
          <w:rFonts w:eastAsia="Times New Roman"/>
          <w:color w:val="000000"/>
        </w:rPr>
        <w:t xml:space="preserve">  </w:t>
      </w:r>
      <w:r w:rsidR="00AF2422">
        <w:rPr>
          <w:rFonts w:eastAsia="Times New Roman"/>
          <w:color w:val="000000"/>
        </w:rPr>
        <w:t>Nothing in s</w:t>
      </w:r>
      <w:r w:rsidR="001C0AB4">
        <w:rPr>
          <w:rFonts w:eastAsia="Times New Roman"/>
          <w:color w:val="000000"/>
        </w:rPr>
        <w:t>ection 1170.95</w:t>
      </w:r>
      <w:r w:rsidR="00393BAC">
        <w:rPr>
          <w:rFonts w:eastAsia="Times New Roman"/>
          <w:color w:val="000000"/>
        </w:rPr>
        <w:t xml:space="preserve"> </w:t>
      </w:r>
      <w:r>
        <w:rPr>
          <w:rFonts w:eastAsia="Times New Roman"/>
          <w:color w:val="000000"/>
        </w:rPr>
        <w:t>e</w:t>
      </w:r>
      <w:r w:rsidR="00AF2422">
        <w:rPr>
          <w:rFonts w:eastAsia="Times New Roman"/>
          <w:color w:val="000000"/>
        </w:rPr>
        <w:t>vinces an intent to</w:t>
      </w:r>
      <w:r>
        <w:rPr>
          <w:rFonts w:eastAsia="Times New Roman"/>
          <w:color w:val="000000"/>
        </w:rPr>
        <w:t xml:space="preserve"> </w:t>
      </w:r>
      <w:r w:rsidR="00393BAC">
        <w:rPr>
          <w:rFonts w:eastAsia="Times New Roman"/>
          <w:color w:val="000000"/>
        </w:rPr>
        <w:t xml:space="preserve">expand that </w:t>
      </w:r>
      <w:r w:rsidR="00AF2422">
        <w:rPr>
          <w:rFonts w:eastAsia="Times New Roman"/>
          <w:color w:val="000000"/>
        </w:rPr>
        <w:t xml:space="preserve">pre-existing </w:t>
      </w:r>
      <w:r w:rsidR="00393BAC">
        <w:rPr>
          <w:rFonts w:eastAsia="Times New Roman"/>
          <w:color w:val="000000"/>
        </w:rPr>
        <w:t xml:space="preserve">remedy.  </w:t>
      </w:r>
    </w:p>
    <w:p w14:paraId="13BA731B" w14:textId="4A6DDC2B" w:rsidR="0086192F" w:rsidRPr="00660AB3" w:rsidRDefault="00F255BF" w:rsidP="00660AB3">
      <w:pPr>
        <w:spacing w:line="360" w:lineRule="auto"/>
        <w:ind w:firstLine="720"/>
        <w:rPr>
          <w:rFonts w:eastAsia="Times New Roman"/>
          <w:color w:val="000000"/>
        </w:rPr>
      </w:pPr>
      <w:r>
        <w:rPr>
          <w:rFonts w:eastAsia="Times New Roman"/>
          <w:color w:val="000000"/>
        </w:rPr>
        <w:t xml:space="preserve">We need not decide whether </w:t>
      </w:r>
      <w:r w:rsidR="00AF2422" w:rsidRPr="00AF2422">
        <w:rPr>
          <w:rFonts w:eastAsia="Times New Roman"/>
          <w:i/>
          <w:iCs/>
          <w:color w:val="000000"/>
        </w:rPr>
        <w:t>Banks</w:t>
      </w:r>
      <w:r w:rsidR="00AF2422">
        <w:rPr>
          <w:rFonts w:eastAsia="Times New Roman"/>
          <w:color w:val="000000"/>
        </w:rPr>
        <w:t>/</w:t>
      </w:r>
      <w:r w:rsidR="00AF2422" w:rsidRPr="00AF2422">
        <w:rPr>
          <w:rFonts w:eastAsia="Times New Roman"/>
          <w:i/>
          <w:iCs/>
          <w:color w:val="000000"/>
        </w:rPr>
        <w:t>Clark</w:t>
      </w:r>
      <w:r w:rsidR="00AF2422">
        <w:rPr>
          <w:rFonts w:eastAsia="Times New Roman"/>
          <w:color w:val="000000"/>
        </w:rPr>
        <w:t xml:space="preserve"> review </w:t>
      </w:r>
      <w:r>
        <w:rPr>
          <w:rFonts w:eastAsia="Times New Roman"/>
          <w:color w:val="000000"/>
        </w:rPr>
        <w:t xml:space="preserve">must be accomplished </w:t>
      </w:r>
      <w:r w:rsidR="002504A3">
        <w:rPr>
          <w:rFonts w:eastAsia="Times New Roman"/>
          <w:color w:val="000000"/>
        </w:rPr>
        <w:t>by a</w:t>
      </w:r>
      <w:r w:rsidR="00393BAC">
        <w:rPr>
          <w:rFonts w:eastAsia="Times New Roman"/>
          <w:color w:val="000000"/>
        </w:rPr>
        <w:t xml:space="preserve"> direct </w:t>
      </w:r>
      <w:r w:rsidR="002504A3">
        <w:rPr>
          <w:rFonts w:eastAsia="Times New Roman"/>
          <w:color w:val="000000"/>
        </w:rPr>
        <w:t>appeal</w:t>
      </w:r>
      <w:r w:rsidR="00393BAC">
        <w:rPr>
          <w:rFonts w:eastAsia="Times New Roman"/>
          <w:color w:val="000000"/>
        </w:rPr>
        <w:t xml:space="preserve"> or</w:t>
      </w:r>
      <w:r w:rsidR="004360D4">
        <w:rPr>
          <w:rFonts w:eastAsia="Times New Roman"/>
          <w:color w:val="000000"/>
        </w:rPr>
        <w:t xml:space="preserve"> a </w:t>
      </w:r>
      <w:r>
        <w:rPr>
          <w:rFonts w:eastAsia="Times New Roman"/>
          <w:color w:val="000000"/>
        </w:rPr>
        <w:t xml:space="preserve">habeas </w:t>
      </w:r>
      <w:r w:rsidR="002504A3">
        <w:rPr>
          <w:rFonts w:eastAsia="Times New Roman"/>
          <w:color w:val="000000"/>
        </w:rPr>
        <w:t>petition</w:t>
      </w:r>
      <w:r w:rsidR="00AF2422">
        <w:rPr>
          <w:rFonts w:eastAsia="Times New Roman"/>
          <w:color w:val="000000"/>
        </w:rPr>
        <w:t xml:space="preserve"> </w:t>
      </w:r>
      <w:r>
        <w:rPr>
          <w:rFonts w:eastAsia="Times New Roman"/>
          <w:color w:val="000000"/>
        </w:rPr>
        <w:t xml:space="preserve">or </w:t>
      </w:r>
      <w:r w:rsidR="00393BAC">
        <w:rPr>
          <w:rFonts w:eastAsia="Times New Roman"/>
          <w:color w:val="000000"/>
        </w:rPr>
        <w:t xml:space="preserve">may instead be raised and decided at the prima facie stage of </w:t>
      </w:r>
      <w:r w:rsidR="004360D4">
        <w:rPr>
          <w:rFonts w:eastAsia="Times New Roman"/>
          <w:color w:val="000000"/>
        </w:rPr>
        <w:t xml:space="preserve">a </w:t>
      </w:r>
      <w:r w:rsidR="00393BAC">
        <w:rPr>
          <w:rFonts w:eastAsia="Times New Roman"/>
          <w:color w:val="000000"/>
        </w:rPr>
        <w:t xml:space="preserve">section </w:t>
      </w:r>
      <w:r w:rsidR="004360D4">
        <w:rPr>
          <w:rFonts w:eastAsia="Times New Roman"/>
          <w:color w:val="000000"/>
        </w:rPr>
        <w:t>1170.95</w:t>
      </w:r>
      <w:r w:rsidR="002504A3">
        <w:rPr>
          <w:rFonts w:eastAsia="Times New Roman"/>
          <w:color w:val="000000"/>
        </w:rPr>
        <w:t xml:space="preserve"> petition in the trial court</w:t>
      </w:r>
      <w:r w:rsidR="00393BAC">
        <w:rPr>
          <w:rFonts w:eastAsia="Times New Roman"/>
          <w:color w:val="000000"/>
        </w:rPr>
        <w:t xml:space="preserve"> as our colleagues held in </w:t>
      </w:r>
      <w:r w:rsidR="00393BAC" w:rsidRPr="00393BAC">
        <w:rPr>
          <w:rFonts w:eastAsia="Times New Roman"/>
          <w:i/>
          <w:iCs/>
          <w:color w:val="000000"/>
        </w:rPr>
        <w:t>Secrease</w:t>
      </w:r>
      <w:r w:rsidR="00981AE8">
        <w:rPr>
          <w:rFonts w:eastAsia="Times New Roman"/>
          <w:color w:val="000000"/>
        </w:rPr>
        <w:t>.</w:t>
      </w:r>
      <w:r w:rsidR="00547D8A">
        <w:rPr>
          <w:rFonts w:eastAsia="Times New Roman"/>
          <w:color w:val="000000"/>
        </w:rPr>
        <w:t xml:space="preserve"> </w:t>
      </w:r>
      <w:r w:rsidR="00981AE8">
        <w:rPr>
          <w:rFonts w:eastAsia="Times New Roman"/>
          <w:color w:val="000000"/>
        </w:rPr>
        <w:t xml:space="preserve"> That is </w:t>
      </w:r>
      <w:r w:rsidR="00AF2422">
        <w:rPr>
          <w:rFonts w:eastAsia="Times New Roman"/>
          <w:color w:val="000000"/>
        </w:rPr>
        <w:t xml:space="preserve">because </w:t>
      </w:r>
      <w:r w:rsidR="00547D8A">
        <w:rPr>
          <w:rFonts w:eastAsia="Times New Roman"/>
          <w:color w:val="000000"/>
        </w:rPr>
        <w:t xml:space="preserve">we agree with the Fourth District’s </w:t>
      </w:r>
      <w:r w:rsidR="00981AE8">
        <w:rPr>
          <w:rFonts w:eastAsia="Times New Roman"/>
          <w:color w:val="000000"/>
        </w:rPr>
        <w:t xml:space="preserve">holding </w:t>
      </w:r>
      <w:r w:rsidR="00547D8A">
        <w:rPr>
          <w:rFonts w:eastAsia="Times New Roman"/>
          <w:color w:val="000000"/>
        </w:rPr>
        <w:t xml:space="preserve">in </w:t>
      </w:r>
      <w:r w:rsidR="00320553" w:rsidRPr="00DA744C">
        <w:rPr>
          <w:rFonts w:eastAsia="Times New Roman"/>
          <w:i/>
          <w:iCs/>
          <w:color w:val="000000"/>
        </w:rPr>
        <w:t>People v. Law</w:t>
      </w:r>
      <w:r w:rsidR="00320553">
        <w:rPr>
          <w:rFonts w:eastAsia="Times New Roman"/>
          <w:color w:val="000000"/>
        </w:rPr>
        <w:t xml:space="preserve">, </w:t>
      </w:r>
      <w:r w:rsidR="00320553" w:rsidRPr="00DA744C">
        <w:rPr>
          <w:rFonts w:eastAsia="Times New Roman"/>
          <w:i/>
          <w:iCs/>
          <w:color w:val="000000"/>
        </w:rPr>
        <w:t>supra</w:t>
      </w:r>
      <w:r w:rsidR="00320553">
        <w:rPr>
          <w:rFonts w:eastAsia="Times New Roman"/>
          <w:color w:val="000000"/>
        </w:rPr>
        <w:t>, 48 Cal.</w:t>
      </w:r>
      <w:r w:rsidR="00E329E1">
        <w:rPr>
          <w:rFonts w:eastAsia="Times New Roman"/>
          <w:color w:val="000000"/>
        </w:rPr>
        <w:t>App.</w:t>
      </w:r>
      <w:r w:rsidR="00320553">
        <w:rPr>
          <w:rFonts w:eastAsia="Times New Roman"/>
          <w:color w:val="000000"/>
        </w:rPr>
        <w:t xml:space="preserve">5th at </w:t>
      </w:r>
      <w:r w:rsidR="00DA744C">
        <w:rPr>
          <w:rFonts w:eastAsia="Times New Roman"/>
          <w:color w:val="000000"/>
        </w:rPr>
        <w:t>p. 822</w:t>
      </w:r>
      <w:r w:rsidR="00F74414">
        <w:rPr>
          <w:rFonts w:eastAsia="Times New Roman"/>
          <w:color w:val="000000"/>
        </w:rPr>
        <w:t>, review granted,</w:t>
      </w:r>
      <w:r w:rsidR="00DA744C">
        <w:rPr>
          <w:rFonts w:eastAsia="Times New Roman"/>
          <w:color w:val="000000"/>
        </w:rPr>
        <w:t xml:space="preserve"> </w:t>
      </w:r>
      <w:r w:rsidR="00547D8A">
        <w:rPr>
          <w:rFonts w:eastAsia="Times New Roman"/>
          <w:color w:val="000000"/>
        </w:rPr>
        <w:t>that</w:t>
      </w:r>
      <w:r w:rsidR="002504A3">
        <w:rPr>
          <w:rFonts w:eastAsia="Times New Roman"/>
          <w:color w:val="000000"/>
        </w:rPr>
        <w:t xml:space="preserve"> </w:t>
      </w:r>
      <w:r w:rsidR="00547D8A">
        <w:rPr>
          <w:rFonts w:eastAsia="Times New Roman"/>
          <w:color w:val="000000"/>
        </w:rPr>
        <w:t>“[w]</w:t>
      </w:r>
      <w:r w:rsidR="00DA744C">
        <w:rPr>
          <w:rFonts w:eastAsia="Times New Roman"/>
          <w:color w:val="000000"/>
        </w:rPr>
        <w:t xml:space="preserve">hether there is sufficient evidence that </w:t>
      </w:r>
      <w:r w:rsidR="00547D8A">
        <w:rPr>
          <w:rFonts w:eastAsia="Times New Roman"/>
          <w:color w:val="000000"/>
        </w:rPr>
        <w:t>[an individual]</w:t>
      </w:r>
      <w:r w:rsidR="00DA744C">
        <w:rPr>
          <w:rFonts w:eastAsia="Times New Roman"/>
          <w:color w:val="000000"/>
        </w:rPr>
        <w:t xml:space="preserve"> was a major participant in </w:t>
      </w:r>
      <w:r w:rsidR="00F74414">
        <w:rPr>
          <w:rFonts w:eastAsia="Times New Roman"/>
          <w:color w:val="000000"/>
        </w:rPr>
        <w:t>[a]</w:t>
      </w:r>
      <w:r w:rsidR="00DA744C">
        <w:rPr>
          <w:rFonts w:eastAsia="Times New Roman"/>
          <w:color w:val="000000"/>
        </w:rPr>
        <w:t xml:space="preserve"> robbery who acted with reckless indifference to human life is a question we can decide on appea</w:t>
      </w:r>
      <w:r w:rsidR="00547D8A">
        <w:rPr>
          <w:rFonts w:eastAsia="Times New Roman"/>
          <w:color w:val="000000"/>
        </w:rPr>
        <w:t>l</w:t>
      </w:r>
      <w:r w:rsidR="00981AE8">
        <w:rPr>
          <w:rFonts w:eastAsia="Times New Roman"/>
          <w:color w:val="000000"/>
        </w:rPr>
        <w:t>.</w:t>
      </w:r>
      <w:r w:rsidR="00547D8A">
        <w:rPr>
          <w:rFonts w:eastAsia="Times New Roman"/>
          <w:color w:val="000000"/>
        </w:rPr>
        <w:t>”</w:t>
      </w:r>
      <w:r w:rsidR="0094719A">
        <w:rPr>
          <w:rFonts w:eastAsia="Times New Roman"/>
          <w:color w:val="000000"/>
        </w:rPr>
        <w:t xml:space="preserve">  </w:t>
      </w:r>
    </w:p>
    <w:p w14:paraId="27C7813F" w14:textId="250E8D7D" w:rsidR="00660AB3" w:rsidRPr="00F74414" w:rsidRDefault="00F255BF" w:rsidP="002A44C3">
      <w:pPr>
        <w:pStyle w:val="ListParagraph"/>
        <w:numPr>
          <w:ilvl w:val="0"/>
          <w:numId w:val="3"/>
        </w:numPr>
        <w:spacing w:after="120" w:line="240" w:lineRule="auto"/>
        <w:ind w:left="1080"/>
        <w:contextualSpacing w:val="0"/>
        <w:rPr>
          <w:rFonts w:eastAsia="Times New Roman"/>
          <w:b/>
          <w:bCs/>
          <w:color w:val="000000"/>
        </w:rPr>
      </w:pPr>
      <w:r w:rsidRPr="00F74414">
        <w:rPr>
          <w:rFonts w:eastAsia="Times New Roman"/>
          <w:b/>
          <w:bCs/>
          <w:color w:val="000000"/>
        </w:rPr>
        <w:t xml:space="preserve"> Substantial </w:t>
      </w:r>
      <w:r w:rsidR="00FA06AC" w:rsidRPr="00F74414">
        <w:rPr>
          <w:rFonts w:eastAsia="Times New Roman"/>
          <w:b/>
          <w:bCs/>
          <w:color w:val="000000"/>
        </w:rPr>
        <w:t>Evidence Supports</w:t>
      </w:r>
      <w:r w:rsidR="007871DF" w:rsidRPr="00F74414">
        <w:rPr>
          <w:rFonts w:eastAsia="Times New Roman"/>
          <w:b/>
          <w:bCs/>
          <w:color w:val="000000"/>
        </w:rPr>
        <w:t xml:space="preserve"> t</w:t>
      </w:r>
      <w:r w:rsidR="00FA06AC" w:rsidRPr="00F74414">
        <w:rPr>
          <w:rFonts w:eastAsia="Times New Roman"/>
          <w:b/>
          <w:bCs/>
          <w:color w:val="000000"/>
        </w:rPr>
        <w:t>he</w:t>
      </w:r>
      <w:r w:rsidRPr="00F74414">
        <w:rPr>
          <w:rFonts w:eastAsia="Times New Roman"/>
          <w:b/>
          <w:bCs/>
          <w:color w:val="000000"/>
        </w:rPr>
        <w:t xml:space="preserve"> J</w:t>
      </w:r>
      <w:r w:rsidR="00FA06AC" w:rsidRPr="00F74414">
        <w:rPr>
          <w:rFonts w:eastAsia="Times New Roman"/>
          <w:b/>
          <w:bCs/>
          <w:color w:val="000000"/>
        </w:rPr>
        <w:t>ury’s Special</w:t>
      </w:r>
      <w:r w:rsidR="00DF57F5">
        <w:rPr>
          <w:rFonts w:eastAsia="Times New Roman"/>
          <w:b/>
          <w:bCs/>
          <w:color w:val="000000"/>
        </w:rPr>
        <w:t xml:space="preserve"> </w:t>
      </w:r>
      <w:r w:rsidR="00FA06AC" w:rsidRPr="00F74414">
        <w:rPr>
          <w:rFonts w:eastAsia="Times New Roman"/>
          <w:b/>
          <w:bCs/>
          <w:color w:val="000000"/>
        </w:rPr>
        <w:t>Circumstance Finding</w:t>
      </w:r>
      <w:r w:rsidR="0064707B" w:rsidRPr="00F74414">
        <w:rPr>
          <w:rFonts w:eastAsia="Times New Roman"/>
          <w:b/>
          <w:bCs/>
          <w:color w:val="000000"/>
        </w:rPr>
        <w:t>s</w:t>
      </w:r>
      <w:r w:rsidRPr="00F74414">
        <w:rPr>
          <w:rFonts w:eastAsia="Times New Roman"/>
          <w:b/>
          <w:bCs/>
          <w:color w:val="000000"/>
        </w:rPr>
        <w:t xml:space="preserve">, </w:t>
      </w:r>
      <w:r w:rsidR="007871DF" w:rsidRPr="00F74414">
        <w:rPr>
          <w:rFonts w:eastAsia="Times New Roman"/>
          <w:b/>
          <w:bCs/>
          <w:color w:val="000000"/>
        </w:rPr>
        <w:t>a</w:t>
      </w:r>
      <w:r w:rsidRPr="00F74414">
        <w:rPr>
          <w:rFonts w:eastAsia="Times New Roman"/>
          <w:b/>
          <w:bCs/>
          <w:color w:val="000000"/>
        </w:rPr>
        <w:t xml:space="preserve">nd </w:t>
      </w:r>
      <w:r w:rsidR="00FA06AC" w:rsidRPr="00F74414">
        <w:rPr>
          <w:rFonts w:eastAsia="Times New Roman"/>
          <w:b/>
          <w:bCs/>
          <w:color w:val="000000"/>
        </w:rPr>
        <w:t xml:space="preserve">Price </w:t>
      </w:r>
      <w:r w:rsidR="00F74414" w:rsidRPr="00F74414">
        <w:rPr>
          <w:rFonts w:eastAsia="Times New Roman"/>
          <w:b/>
          <w:bCs/>
          <w:color w:val="000000"/>
        </w:rPr>
        <w:t>I</w:t>
      </w:r>
      <w:r w:rsidR="00AD28AC" w:rsidRPr="00F74414">
        <w:rPr>
          <w:rFonts w:eastAsia="Times New Roman"/>
          <w:b/>
          <w:bCs/>
          <w:color w:val="000000"/>
        </w:rPr>
        <w:t>s</w:t>
      </w:r>
      <w:r w:rsidRPr="00F74414">
        <w:rPr>
          <w:rFonts w:eastAsia="Times New Roman"/>
          <w:b/>
          <w:bCs/>
          <w:color w:val="000000"/>
        </w:rPr>
        <w:t xml:space="preserve"> Thus</w:t>
      </w:r>
      <w:r w:rsidR="00AD28AC" w:rsidRPr="00F74414">
        <w:rPr>
          <w:rFonts w:eastAsia="Times New Roman"/>
          <w:b/>
          <w:bCs/>
          <w:color w:val="000000"/>
        </w:rPr>
        <w:t xml:space="preserve"> </w:t>
      </w:r>
      <w:r w:rsidR="00FA06AC" w:rsidRPr="00F74414">
        <w:rPr>
          <w:rFonts w:eastAsia="Times New Roman"/>
          <w:b/>
          <w:bCs/>
          <w:color w:val="000000"/>
        </w:rPr>
        <w:t xml:space="preserve">Ineligible </w:t>
      </w:r>
      <w:r w:rsidR="007871DF" w:rsidRPr="00F74414">
        <w:rPr>
          <w:rFonts w:eastAsia="Times New Roman"/>
          <w:b/>
          <w:bCs/>
          <w:color w:val="000000"/>
        </w:rPr>
        <w:t>f</w:t>
      </w:r>
      <w:r w:rsidR="00FA06AC" w:rsidRPr="00F74414">
        <w:rPr>
          <w:rFonts w:eastAsia="Times New Roman"/>
          <w:b/>
          <w:bCs/>
          <w:color w:val="000000"/>
        </w:rPr>
        <w:t>or Resentencing</w:t>
      </w:r>
      <w:r w:rsidR="00AD28AC" w:rsidRPr="00F74414">
        <w:rPr>
          <w:rFonts w:eastAsia="Times New Roman"/>
          <w:b/>
          <w:bCs/>
          <w:color w:val="000000"/>
        </w:rPr>
        <w:t>.</w:t>
      </w:r>
    </w:p>
    <w:p w14:paraId="0DC6B647" w14:textId="2CF458CA" w:rsidR="00AA2086" w:rsidRDefault="00F255BF" w:rsidP="00DC6D27">
      <w:pPr>
        <w:spacing w:line="360" w:lineRule="auto"/>
        <w:ind w:firstLine="720"/>
        <w:rPr>
          <w:rFonts w:eastAsia="Times New Roman"/>
          <w:color w:val="000000"/>
        </w:rPr>
      </w:pPr>
      <w:r>
        <w:rPr>
          <w:rFonts w:eastAsia="Times New Roman"/>
          <w:color w:val="000000"/>
        </w:rPr>
        <w:t>As we have explained, on direct review of the judgment against Price, we rejected her claim that the evidence was insufficient to support the jury’s special circumstance findings</w:t>
      </w:r>
      <w:r w:rsidR="00C44E5B">
        <w:rPr>
          <w:rFonts w:eastAsia="Times New Roman"/>
          <w:color w:val="000000"/>
        </w:rPr>
        <w:t xml:space="preserve"> under section 190.2</w:t>
      </w:r>
      <w:r>
        <w:rPr>
          <w:rFonts w:eastAsia="Times New Roman"/>
          <w:color w:val="000000"/>
        </w:rPr>
        <w:t xml:space="preserve">.  While we concluded that the evidence supported a finding under the first </w:t>
      </w:r>
      <w:r w:rsidR="005052B1">
        <w:rPr>
          <w:rFonts w:eastAsia="Times New Roman"/>
          <w:color w:val="000000"/>
        </w:rPr>
        <w:t>felony</w:t>
      </w:r>
      <w:r w:rsidR="00DF57F5">
        <w:rPr>
          <w:rFonts w:eastAsia="Times New Roman"/>
          <w:color w:val="000000"/>
        </w:rPr>
        <w:t>-</w:t>
      </w:r>
      <w:r w:rsidR="005052B1">
        <w:rPr>
          <w:rFonts w:eastAsia="Times New Roman"/>
          <w:color w:val="000000"/>
        </w:rPr>
        <w:t>murder special circumstance in</w:t>
      </w:r>
      <w:r>
        <w:rPr>
          <w:rFonts w:eastAsia="Times New Roman"/>
          <w:color w:val="000000"/>
        </w:rPr>
        <w:t xml:space="preserve"> section 190.2</w:t>
      </w:r>
      <w:r w:rsidR="005052B1">
        <w:rPr>
          <w:rFonts w:eastAsia="Times New Roman"/>
          <w:color w:val="000000"/>
        </w:rPr>
        <w:t>,</w:t>
      </w:r>
      <w:r>
        <w:rPr>
          <w:rFonts w:eastAsia="Times New Roman"/>
          <w:color w:val="000000"/>
        </w:rPr>
        <w:t xml:space="preserve"> that Price was the actual killer</w:t>
      </w:r>
      <w:r w:rsidR="005052B1">
        <w:rPr>
          <w:rFonts w:eastAsia="Times New Roman"/>
          <w:color w:val="000000"/>
        </w:rPr>
        <w:t>,</w:t>
      </w:r>
      <w:r>
        <w:rPr>
          <w:rFonts w:eastAsia="Times New Roman"/>
          <w:color w:val="000000"/>
        </w:rPr>
        <w:t xml:space="preserve"> and under the second</w:t>
      </w:r>
      <w:r w:rsidR="005052B1">
        <w:rPr>
          <w:rFonts w:eastAsia="Times New Roman"/>
          <w:color w:val="000000"/>
        </w:rPr>
        <w:t>,</w:t>
      </w:r>
      <w:r>
        <w:rPr>
          <w:rFonts w:eastAsia="Times New Roman"/>
          <w:color w:val="000000"/>
        </w:rPr>
        <w:t xml:space="preserve"> that she acted with intent to kill, we </w:t>
      </w:r>
      <w:r w:rsidR="005052B1">
        <w:rPr>
          <w:rFonts w:eastAsia="Times New Roman"/>
          <w:color w:val="000000"/>
        </w:rPr>
        <w:t>concluded it was unnecessary for us</w:t>
      </w:r>
      <w:r>
        <w:rPr>
          <w:rFonts w:eastAsia="Times New Roman"/>
          <w:color w:val="000000"/>
        </w:rPr>
        <w:t xml:space="preserve"> to address the sufficiency of the evidence to support a finding under the third</w:t>
      </w:r>
      <w:r w:rsidR="005052B1">
        <w:rPr>
          <w:rFonts w:eastAsia="Times New Roman"/>
          <w:color w:val="000000"/>
        </w:rPr>
        <w:t xml:space="preserve"> version of the special circumstance</w:t>
      </w:r>
      <w:r>
        <w:rPr>
          <w:rFonts w:eastAsia="Times New Roman"/>
          <w:color w:val="000000"/>
        </w:rPr>
        <w:t xml:space="preserve">, the one addressed in </w:t>
      </w:r>
      <w:r w:rsidRPr="00AD28AC">
        <w:rPr>
          <w:rFonts w:eastAsia="Times New Roman"/>
          <w:i/>
          <w:iCs/>
          <w:color w:val="000000"/>
        </w:rPr>
        <w:t>Banks</w:t>
      </w:r>
      <w:r>
        <w:rPr>
          <w:rFonts w:eastAsia="Times New Roman"/>
          <w:color w:val="000000"/>
        </w:rPr>
        <w:t xml:space="preserve"> and </w:t>
      </w:r>
      <w:r w:rsidRPr="00AD28AC">
        <w:rPr>
          <w:rFonts w:eastAsia="Times New Roman"/>
          <w:i/>
          <w:iCs/>
          <w:color w:val="000000"/>
        </w:rPr>
        <w:t>Clark</w:t>
      </w:r>
      <w:r>
        <w:rPr>
          <w:rFonts w:eastAsia="Times New Roman"/>
          <w:color w:val="000000"/>
        </w:rPr>
        <w:t xml:space="preserve">.  </w:t>
      </w:r>
      <w:r w:rsidR="00D067A8">
        <w:rPr>
          <w:rFonts w:eastAsia="Times New Roman"/>
          <w:color w:val="000000"/>
        </w:rPr>
        <w:t xml:space="preserve">It cannot be discerned from the record which of those three </w:t>
      </w:r>
      <w:r w:rsidR="0081024A">
        <w:rPr>
          <w:rFonts w:eastAsia="Times New Roman"/>
          <w:color w:val="000000"/>
        </w:rPr>
        <w:lastRenderedPageBreak/>
        <w:t xml:space="preserve">alternatives </w:t>
      </w:r>
      <w:r w:rsidR="00D067A8">
        <w:rPr>
          <w:rFonts w:eastAsia="Times New Roman"/>
          <w:color w:val="000000"/>
        </w:rPr>
        <w:t xml:space="preserve">the jury </w:t>
      </w:r>
      <w:r w:rsidR="0081024A">
        <w:rPr>
          <w:rFonts w:eastAsia="Times New Roman"/>
          <w:color w:val="000000"/>
        </w:rPr>
        <w:t>found true</w:t>
      </w:r>
      <w:r w:rsidR="00D067A8">
        <w:rPr>
          <w:rFonts w:eastAsia="Times New Roman"/>
          <w:color w:val="000000"/>
        </w:rPr>
        <w:t xml:space="preserve"> in finding the special circumstance was met.  Price claims it cannot have been that she was the actual killer because the jury found not true the allegation that in the commission of the murder she intentionally and personally discharged a firearm, causing great bodily injury or death to Merrill.  </w:t>
      </w:r>
      <w:r w:rsidR="0079629D">
        <w:rPr>
          <w:rFonts w:eastAsia="Times New Roman"/>
          <w:color w:val="000000"/>
        </w:rPr>
        <w:t>As we have discussed, w</w:t>
      </w:r>
      <w:r w:rsidR="00D067A8">
        <w:rPr>
          <w:rFonts w:eastAsia="Times New Roman"/>
          <w:color w:val="000000"/>
        </w:rPr>
        <w:t>e rejected the similar argument she made on direct appeal that the firearm finding demonstrates there is no substantial evidence that she was the actual shooter</w:t>
      </w:r>
      <w:r w:rsidR="00CF7093">
        <w:rPr>
          <w:rFonts w:eastAsia="Times New Roman"/>
          <w:color w:val="000000"/>
        </w:rPr>
        <w:t xml:space="preserve"> based on the rule </w:t>
      </w:r>
      <w:r w:rsidR="00C20AC9">
        <w:rPr>
          <w:rFonts w:eastAsia="Times New Roman"/>
          <w:color w:val="000000"/>
        </w:rPr>
        <w:t>that substantial evidence review of one count “</w:t>
      </w:r>
      <w:r w:rsidR="00F74414">
        <w:rPr>
          <w:rFonts w:eastAsia="Times New Roman"/>
          <w:color w:val="000000"/>
        </w:rPr>
        <w:t xml:space="preserve"> ‘ “ ‘</w:t>
      </w:r>
      <w:r w:rsidR="00C20AC9">
        <w:rPr>
          <w:rFonts w:eastAsia="Times New Roman"/>
          <w:color w:val="000000"/>
        </w:rPr>
        <w:t>should be independent of the jury’s determination that evidence on another count was insufficient</w:t>
      </w:r>
      <w:r w:rsidR="00D067A8">
        <w:rPr>
          <w:rFonts w:eastAsia="Times New Roman"/>
          <w:color w:val="000000"/>
        </w:rPr>
        <w:t>.</w:t>
      </w:r>
      <w:r w:rsidR="00F74414">
        <w:rPr>
          <w:rFonts w:eastAsia="Times New Roman"/>
          <w:color w:val="000000"/>
        </w:rPr>
        <w:t xml:space="preserve">’ ” ’ </w:t>
      </w:r>
      <w:r w:rsidR="00C20AC9">
        <w:rPr>
          <w:rFonts w:eastAsia="Times New Roman"/>
          <w:color w:val="000000"/>
        </w:rPr>
        <w:t>”</w:t>
      </w:r>
      <w:r w:rsidR="00D067A8">
        <w:rPr>
          <w:rFonts w:eastAsia="Times New Roman"/>
          <w:color w:val="000000"/>
        </w:rPr>
        <w:t xml:space="preserve">  (</w:t>
      </w:r>
      <w:r w:rsidR="00D067A8" w:rsidRPr="00D067A8">
        <w:rPr>
          <w:rFonts w:eastAsia="Times New Roman"/>
          <w:i/>
          <w:iCs/>
          <w:color w:val="000000"/>
        </w:rPr>
        <w:t>Price I</w:t>
      </w:r>
      <w:r w:rsidR="00D067A8">
        <w:rPr>
          <w:rFonts w:eastAsia="Times New Roman"/>
          <w:color w:val="000000"/>
        </w:rPr>
        <w:t>,</w:t>
      </w:r>
      <w:r w:rsidR="00F74414">
        <w:rPr>
          <w:rFonts w:eastAsia="Times New Roman"/>
          <w:i/>
          <w:iCs/>
          <w:color w:val="000000"/>
        </w:rPr>
        <w:t xml:space="preserve"> supra, </w:t>
      </w:r>
      <w:r w:rsidR="00D067A8">
        <w:rPr>
          <w:rFonts w:eastAsia="Times New Roman"/>
          <w:color w:val="000000"/>
        </w:rPr>
        <w:t xml:space="preserve">8 Cal.App.5th at p. 452.)  </w:t>
      </w:r>
    </w:p>
    <w:p w14:paraId="4B2DD4AF" w14:textId="4B22805E" w:rsidR="00477CE8" w:rsidRDefault="00F255BF" w:rsidP="00477CE8">
      <w:pPr>
        <w:spacing w:line="360" w:lineRule="auto"/>
        <w:ind w:firstLine="720"/>
        <w:rPr>
          <w:rFonts w:eastAsia="Times New Roman"/>
          <w:color w:val="000000"/>
        </w:rPr>
      </w:pPr>
      <w:r>
        <w:rPr>
          <w:rFonts w:eastAsia="Times New Roman"/>
          <w:color w:val="000000"/>
        </w:rPr>
        <w:t xml:space="preserve">Having again reviewed </w:t>
      </w:r>
      <w:r w:rsidRPr="00AA2086">
        <w:rPr>
          <w:rFonts w:eastAsia="Times New Roman"/>
          <w:i/>
          <w:iCs/>
          <w:color w:val="000000"/>
        </w:rPr>
        <w:t>Banks</w:t>
      </w:r>
      <w:r>
        <w:rPr>
          <w:rFonts w:eastAsia="Times New Roman"/>
          <w:color w:val="000000"/>
        </w:rPr>
        <w:t xml:space="preserve"> and </w:t>
      </w:r>
      <w:r w:rsidRPr="00AA2086">
        <w:rPr>
          <w:rFonts w:eastAsia="Times New Roman"/>
          <w:i/>
          <w:iCs/>
          <w:color w:val="000000"/>
        </w:rPr>
        <w:t>Clark</w:t>
      </w:r>
      <w:r>
        <w:rPr>
          <w:rFonts w:eastAsia="Times New Roman"/>
          <w:color w:val="000000"/>
        </w:rPr>
        <w:t xml:space="preserve"> and the cases applying substantial evidence review to special circumstance findings in the wake of those decisions, we</w:t>
      </w:r>
      <w:r w:rsidR="00A970F8">
        <w:rPr>
          <w:rFonts w:eastAsia="Times New Roman"/>
          <w:color w:val="000000"/>
        </w:rPr>
        <w:t xml:space="preserve"> </w:t>
      </w:r>
      <w:r w:rsidR="000805C7">
        <w:rPr>
          <w:rFonts w:eastAsia="Times New Roman"/>
          <w:color w:val="000000"/>
        </w:rPr>
        <w:t xml:space="preserve">are </w:t>
      </w:r>
      <w:r w:rsidR="0079629D">
        <w:rPr>
          <w:rFonts w:eastAsia="Times New Roman"/>
          <w:color w:val="000000"/>
        </w:rPr>
        <w:t>less certain that</w:t>
      </w:r>
      <w:r w:rsidR="000805C7">
        <w:rPr>
          <w:rFonts w:eastAsia="Times New Roman"/>
          <w:color w:val="000000"/>
        </w:rPr>
        <w:t xml:space="preserve"> </w:t>
      </w:r>
      <w:r>
        <w:rPr>
          <w:rFonts w:eastAsia="Times New Roman"/>
          <w:color w:val="000000"/>
        </w:rPr>
        <w:t xml:space="preserve">the </w:t>
      </w:r>
      <w:r w:rsidR="0081024A">
        <w:rPr>
          <w:rFonts w:eastAsia="Times New Roman"/>
          <w:color w:val="000000"/>
        </w:rPr>
        <w:t xml:space="preserve">general </w:t>
      </w:r>
      <w:r>
        <w:rPr>
          <w:rFonts w:eastAsia="Times New Roman"/>
          <w:color w:val="000000"/>
        </w:rPr>
        <w:t xml:space="preserve">rule </w:t>
      </w:r>
      <w:r w:rsidR="0081024A">
        <w:rPr>
          <w:rFonts w:eastAsia="Times New Roman"/>
          <w:color w:val="000000"/>
        </w:rPr>
        <w:t xml:space="preserve">that substantial evidence is considered for each </w:t>
      </w:r>
      <w:r w:rsidR="00EB5455">
        <w:rPr>
          <w:rFonts w:eastAsia="Times New Roman"/>
          <w:color w:val="000000"/>
        </w:rPr>
        <w:t>charge or enhancement in isolation</w:t>
      </w:r>
      <w:r w:rsidR="0079629D">
        <w:rPr>
          <w:rFonts w:eastAsia="Times New Roman"/>
          <w:color w:val="000000"/>
        </w:rPr>
        <w:t xml:space="preserve"> should be</w:t>
      </w:r>
      <w:r w:rsidR="00EB5455">
        <w:rPr>
          <w:rFonts w:eastAsia="Times New Roman"/>
          <w:color w:val="000000"/>
        </w:rPr>
        <w:t xml:space="preserve"> </w:t>
      </w:r>
      <w:r>
        <w:rPr>
          <w:rFonts w:eastAsia="Times New Roman"/>
          <w:color w:val="000000"/>
        </w:rPr>
        <w:t>applie</w:t>
      </w:r>
      <w:r w:rsidR="0079629D">
        <w:rPr>
          <w:rFonts w:eastAsia="Times New Roman"/>
          <w:color w:val="000000"/>
        </w:rPr>
        <w:t>d</w:t>
      </w:r>
      <w:r>
        <w:rPr>
          <w:rFonts w:eastAsia="Times New Roman"/>
          <w:color w:val="000000"/>
        </w:rPr>
        <w:t xml:space="preserve"> to </w:t>
      </w:r>
      <w:r w:rsidR="0081024A">
        <w:rPr>
          <w:rFonts w:eastAsia="Times New Roman"/>
          <w:color w:val="000000"/>
        </w:rPr>
        <w:t>substantial evidence</w:t>
      </w:r>
      <w:r w:rsidR="00391E05">
        <w:rPr>
          <w:rFonts w:eastAsia="Times New Roman"/>
          <w:color w:val="000000"/>
        </w:rPr>
        <w:t xml:space="preserve"> </w:t>
      </w:r>
      <w:r>
        <w:rPr>
          <w:rFonts w:eastAsia="Times New Roman"/>
          <w:color w:val="000000"/>
        </w:rPr>
        <w:t xml:space="preserve">review of special circumstance findings. </w:t>
      </w:r>
      <w:r w:rsidR="00A970F8">
        <w:rPr>
          <w:rFonts w:eastAsia="Times New Roman"/>
          <w:color w:val="000000"/>
        </w:rPr>
        <w:t xml:space="preserve"> </w:t>
      </w:r>
      <w:r w:rsidR="00EB5455">
        <w:rPr>
          <w:rFonts w:eastAsia="Times New Roman"/>
          <w:color w:val="000000"/>
        </w:rPr>
        <w:t xml:space="preserve">The substantial evidence </w:t>
      </w:r>
      <w:r w:rsidR="00C44E5B">
        <w:rPr>
          <w:rFonts w:eastAsia="Times New Roman"/>
          <w:color w:val="000000"/>
        </w:rPr>
        <w:t>review</w:t>
      </w:r>
      <w:r w:rsidR="00EB5455">
        <w:rPr>
          <w:rFonts w:eastAsia="Times New Roman"/>
          <w:color w:val="000000"/>
        </w:rPr>
        <w:t xml:space="preserve"> applied </w:t>
      </w:r>
      <w:r w:rsidR="001702BA">
        <w:rPr>
          <w:rFonts w:eastAsia="Times New Roman"/>
          <w:color w:val="000000"/>
        </w:rPr>
        <w:t xml:space="preserve">to </w:t>
      </w:r>
      <w:r w:rsidR="0079629D">
        <w:rPr>
          <w:rFonts w:eastAsia="Times New Roman"/>
          <w:color w:val="000000"/>
        </w:rPr>
        <w:t>such</w:t>
      </w:r>
      <w:r w:rsidR="0081024A">
        <w:rPr>
          <w:rFonts w:eastAsia="Times New Roman"/>
          <w:color w:val="000000"/>
        </w:rPr>
        <w:t xml:space="preserve"> </w:t>
      </w:r>
      <w:r w:rsidR="001702BA">
        <w:rPr>
          <w:rFonts w:eastAsia="Times New Roman"/>
          <w:color w:val="000000"/>
        </w:rPr>
        <w:t>findings</w:t>
      </w:r>
      <w:r w:rsidR="00EB5455">
        <w:rPr>
          <w:rFonts w:eastAsia="Times New Roman"/>
          <w:color w:val="000000"/>
        </w:rPr>
        <w:t xml:space="preserve"> has been more searching than that applied in other contexts</w:t>
      </w:r>
      <w:r w:rsidR="001702BA">
        <w:rPr>
          <w:rFonts w:eastAsia="Times New Roman"/>
          <w:color w:val="000000"/>
        </w:rPr>
        <w:t>,</w:t>
      </w:r>
      <w:r>
        <w:rPr>
          <w:rFonts w:eastAsia="Times New Roman"/>
          <w:b/>
          <w:bCs/>
          <w:color w:val="000000"/>
        </w:rPr>
        <w:t xml:space="preserve"> </w:t>
      </w:r>
      <w:r>
        <w:rPr>
          <w:rFonts w:eastAsia="Times New Roman"/>
          <w:color w:val="000000"/>
        </w:rPr>
        <w:t xml:space="preserve">entailing an independent look at the factors </w:t>
      </w:r>
      <w:r w:rsidR="00C44E5B">
        <w:rPr>
          <w:rFonts w:eastAsia="Times New Roman"/>
          <w:i/>
          <w:iCs/>
          <w:color w:val="000000"/>
        </w:rPr>
        <w:t xml:space="preserve">Banks </w:t>
      </w:r>
      <w:r w:rsidR="00C44E5B">
        <w:rPr>
          <w:rFonts w:eastAsia="Times New Roman"/>
          <w:color w:val="000000"/>
        </w:rPr>
        <w:t xml:space="preserve">and </w:t>
      </w:r>
      <w:r w:rsidR="00C44E5B">
        <w:rPr>
          <w:rFonts w:eastAsia="Times New Roman"/>
          <w:i/>
          <w:iCs/>
          <w:color w:val="000000"/>
        </w:rPr>
        <w:t>Clark</w:t>
      </w:r>
      <w:r>
        <w:rPr>
          <w:rFonts w:eastAsia="Times New Roman"/>
          <w:color w:val="000000"/>
        </w:rPr>
        <w:t xml:space="preserve"> identified as important and what the evidence shows regarding those factors.  </w:t>
      </w:r>
      <w:r w:rsidR="00C44E5B">
        <w:rPr>
          <w:rFonts w:eastAsia="Times New Roman"/>
          <w:color w:val="000000"/>
        </w:rPr>
        <w:t>This review</w:t>
      </w:r>
      <w:r>
        <w:rPr>
          <w:rFonts w:eastAsia="Times New Roman"/>
          <w:color w:val="000000"/>
        </w:rPr>
        <w:t xml:space="preserve"> also </w:t>
      </w:r>
      <w:r w:rsidR="00C44E5B">
        <w:rPr>
          <w:rFonts w:eastAsia="Times New Roman"/>
          <w:color w:val="000000"/>
        </w:rPr>
        <w:t xml:space="preserve">has </w:t>
      </w:r>
      <w:r>
        <w:rPr>
          <w:rFonts w:eastAsia="Times New Roman"/>
          <w:color w:val="000000"/>
        </w:rPr>
        <w:t>entail</w:t>
      </w:r>
      <w:r w:rsidR="00C44E5B">
        <w:rPr>
          <w:rFonts w:eastAsia="Times New Roman"/>
          <w:color w:val="000000"/>
        </w:rPr>
        <w:t>ed</w:t>
      </w:r>
      <w:r>
        <w:rPr>
          <w:rFonts w:eastAsia="Times New Roman"/>
          <w:color w:val="000000"/>
        </w:rPr>
        <w:t xml:space="preserve"> a comparison of the defendant’s culpability, as reflected by those factors, with the culpability found sufficient or insufficient in </w:t>
      </w:r>
      <w:r w:rsidRPr="00A970F8">
        <w:rPr>
          <w:rFonts w:eastAsia="Times New Roman"/>
          <w:i/>
          <w:iCs/>
          <w:color w:val="000000"/>
        </w:rPr>
        <w:t>Banks</w:t>
      </w:r>
      <w:r>
        <w:rPr>
          <w:rFonts w:eastAsia="Times New Roman"/>
          <w:color w:val="000000"/>
        </w:rPr>
        <w:t xml:space="preserve">, </w:t>
      </w:r>
      <w:r w:rsidRPr="00A970F8">
        <w:rPr>
          <w:rFonts w:eastAsia="Times New Roman"/>
          <w:i/>
          <w:iCs/>
          <w:color w:val="000000"/>
        </w:rPr>
        <w:t>Clark</w:t>
      </w:r>
      <w:r>
        <w:rPr>
          <w:rFonts w:eastAsia="Times New Roman"/>
          <w:color w:val="000000"/>
        </w:rPr>
        <w:t xml:space="preserve">, </w:t>
      </w:r>
      <w:r w:rsidRPr="00A970F8">
        <w:rPr>
          <w:rFonts w:eastAsia="Times New Roman"/>
          <w:i/>
          <w:iCs/>
          <w:color w:val="000000"/>
        </w:rPr>
        <w:t>E</w:t>
      </w:r>
      <w:r w:rsidR="008520E1">
        <w:rPr>
          <w:rFonts w:eastAsia="Times New Roman"/>
          <w:i/>
          <w:iCs/>
          <w:color w:val="000000"/>
        </w:rPr>
        <w:t>n</w:t>
      </w:r>
      <w:r w:rsidRPr="00A970F8">
        <w:rPr>
          <w:rFonts w:eastAsia="Times New Roman"/>
          <w:i/>
          <w:iCs/>
          <w:color w:val="000000"/>
        </w:rPr>
        <w:t>mund</w:t>
      </w:r>
      <w:r>
        <w:rPr>
          <w:rFonts w:eastAsia="Times New Roman"/>
          <w:color w:val="000000"/>
        </w:rPr>
        <w:t xml:space="preserve"> and </w:t>
      </w:r>
      <w:r w:rsidRPr="00A970F8">
        <w:rPr>
          <w:rFonts w:eastAsia="Times New Roman"/>
          <w:i/>
          <w:iCs/>
          <w:color w:val="000000"/>
        </w:rPr>
        <w:t>Tison</w:t>
      </w:r>
      <w:r>
        <w:rPr>
          <w:rFonts w:eastAsia="Times New Roman"/>
          <w:color w:val="000000"/>
        </w:rPr>
        <w:t xml:space="preserve">. </w:t>
      </w:r>
      <w:r w:rsidR="001702BA" w:rsidRPr="008166BF">
        <w:rPr>
          <w:rFonts w:eastAsia="Times New Roman"/>
          <w:b/>
          <w:bCs/>
          <w:color w:val="000000"/>
        </w:rPr>
        <w:t xml:space="preserve"> </w:t>
      </w:r>
    </w:p>
    <w:p w14:paraId="421498DA" w14:textId="702A3619" w:rsidR="00D54275" w:rsidRDefault="00F255BF" w:rsidP="00477CE8">
      <w:pPr>
        <w:spacing w:line="360" w:lineRule="auto"/>
        <w:ind w:firstLine="720"/>
        <w:rPr>
          <w:rFonts w:eastAsia="Times New Roman"/>
          <w:color w:val="000000"/>
        </w:rPr>
      </w:pPr>
      <w:r w:rsidRPr="00EB5455">
        <w:rPr>
          <w:rFonts w:eastAsia="Times New Roman"/>
          <w:i/>
          <w:iCs/>
          <w:color w:val="000000"/>
        </w:rPr>
        <w:t>Secrease</w:t>
      </w:r>
      <w:r w:rsidR="00EB5455">
        <w:rPr>
          <w:rFonts w:eastAsia="Times New Roman"/>
          <w:color w:val="000000"/>
        </w:rPr>
        <w:t xml:space="preserve"> </w:t>
      </w:r>
      <w:r>
        <w:rPr>
          <w:rFonts w:eastAsia="Times New Roman"/>
          <w:color w:val="000000"/>
        </w:rPr>
        <w:t>implies</w:t>
      </w:r>
      <w:r w:rsidR="00EB5455">
        <w:rPr>
          <w:rFonts w:eastAsia="Times New Roman"/>
          <w:color w:val="000000"/>
        </w:rPr>
        <w:t xml:space="preserve"> that</w:t>
      </w:r>
      <w:r w:rsidR="00477CE8">
        <w:rPr>
          <w:rFonts w:eastAsia="Times New Roman"/>
          <w:color w:val="000000"/>
        </w:rPr>
        <w:t xml:space="preserve"> the</w:t>
      </w:r>
      <w:r w:rsidR="0079629D">
        <w:rPr>
          <w:rFonts w:eastAsia="Times New Roman"/>
          <w:color w:val="000000"/>
        </w:rPr>
        <w:t xml:space="preserve"> view-each-charge-in-isolation</w:t>
      </w:r>
      <w:r>
        <w:rPr>
          <w:rFonts w:eastAsia="Times New Roman"/>
          <w:color w:val="000000"/>
        </w:rPr>
        <w:t xml:space="preserve"> </w:t>
      </w:r>
      <w:r w:rsidR="00C44E5B">
        <w:rPr>
          <w:rFonts w:eastAsia="Times New Roman"/>
          <w:color w:val="000000"/>
        </w:rPr>
        <w:t xml:space="preserve">rule </w:t>
      </w:r>
      <w:r>
        <w:rPr>
          <w:rFonts w:eastAsia="Times New Roman"/>
          <w:color w:val="000000"/>
        </w:rPr>
        <w:t>does not</w:t>
      </w:r>
      <w:r w:rsidR="004355D1">
        <w:rPr>
          <w:rFonts w:eastAsia="Times New Roman"/>
          <w:color w:val="000000"/>
        </w:rPr>
        <w:t xml:space="preserve"> apply in this context</w:t>
      </w:r>
      <w:r>
        <w:rPr>
          <w:rFonts w:eastAsia="Times New Roman"/>
          <w:color w:val="000000"/>
        </w:rPr>
        <w:t xml:space="preserve">.  </w:t>
      </w:r>
      <w:r w:rsidR="00791347">
        <w:rPr>
          <w:rFonts w:eastAsia="Times New Roman"/>
          <w:color w:val="000000"/>
        </w:rPr>
        <w:t>There</w:t>
      </w:r>
      <w:r>
        <w:rPr>
          <w:rFonts w:eastAsia="Times New Roman"/>
          <w:color w:val="000000"/>
        </w:rPr>
        <w:t>, the court observed that the “not true finding on the weapons use allegations” against Secrease “suggest[ed] the prosecution failed to prove that Secrease was the actual killer” and the court therefore was not confident his “denial he was the actual killer or that he acted with intent to kill [was] irrefutably rebutted by the felony-murder special-</w:t>
      </w:r>
      <w:r>
        <w:rPr>
          <w:rFonts w:eastAsia="Times New Roman"/>
          <w:color w:val="000000"/>
        </w:rPr>
        <w:lastRenderedPageBreak/>
        <w:t>circumstance finding.”  (</w:t>
      </w:r>
      <w:r w:rsidR="00DB664E">
        <w:rPr>
          <w:rFonts w:eastAsia="Times New Roman"/>
          <w:i/>
          <w:iCs/>
          <w:color w:val="000000"/>
        </w:rPr>
        <w:t xml:space="preserve">Secrease, supra, </w:t>
      </w:r>
      <w:r w:rsidR="00DB664E">
        <w:rPr>
          <w:rFonts w:eastAsia="Times New Roman"/>
          <w:color w:val="000000"/>
        </w:rPr>
        <w:t>63 Cal.App.5th</w:t>
      </w:r>
      <w:r>
        <w:rPr>
          <w:rFonts w:eastAsia="Times New Roman"/>
          <w:color w:val="000000"/>
        </w:rPr>
        <w:t xml:space="preserve"> at p</w:t>
      </w:r>
      <w:r w:rsidR="00DB664E">
        <w:rPr>
          <w:rFonts w:eastAsia="Times New Roman"/>
          <w:color w:val="000000"/>
        </w:rPr>
        <w:t>p</w:t>
      </w:r>
      <w:r>
        <w:rPr>
          <w:rFonts w:eastAsia="Times New Roman"/>
          <w:color w:val="000000"/>
        </w:rPr>
        <w:t>. 261</w:t>
      </w:r>
      <w:r w:rsidR="00DB664E">
        <w:rPr>
          <w:rFonts w:eastAsia="Times New Roman"/>
          <w:color w:val="000000"/>
        </w:rPr>
        <w:t>, 262, rev. gr</w:t>
      </w:r>
      <w:r>
        <w:rPr>
          <w:rFonts w:eastAsia="Times New Roman"/>
          <w:color w:val="000000"/>
        </w:rPr>
        <w:t xml:space="preserve">.)  The court remanded the case to the trial court for resumption of the </w:t>
      </w:r>
      <w:r w:rsidR="00391E05">
        <w:rPr>
          <w:rFonts w:eastAsia="Times New Roman"/>
          <w:color w:val="000000"/>
        </w:rPr>
        <w:t>section</w:t>
      </w:r>
      <w:r w:rsidR="00DB664E">
        <w:rPr>
          <w:rFonts w:eastAsia="Times New Roman"/>
          <w:color w:val="000000"/>
        </w:rPr>
        <w:t> </w:t>
      </w:r>
      <w:r w:rsidR="00391E05">
        <w:rPr>
          <w:rFonts w:eastAsia="Times New Roman"/>
          <w:color w:val="000000"/>
        </w:rPr>
        <w:t xml:space="preserve">1170.95 </w:t>
      </w:r>
      <w:r>
        <w:rPr>
          <w:rFonts w:eastAsia="Times New Roman"/>
          <w:color w:val="000000"/>
        </w:rPr>
        <w:t>proceedings at the “subdivision (c) entitlement-to-relief stage of the process,” to determine, “without resolving conflicts in the evidence,” “whether the evidence presented at trial was sufficient to support the felony-murder special</w:t>
      </w:r>
      <w:r w:rsidR="00DB664E">
        <w:rPr>
          <w:rFonts w:eastAsia="Times New Roman"/>
          <w:color w:val="000000"/>
        </w:rPr>
        <w:t>-</w:t>
      </w:r>
      <w:r>
        <w:rPr>
          <w:rFonts w:eastAsia="Times New Roman"/>
          <w:color w:val="000000"/>
        </w:rPr>
        <w:t xml:space="preserve">circumstance finding under </w:t>
      </w:r>
      <w:r w:rsidRPr="00DC6BC2">
        <w:rPr>
          <w:rFonts w:eastAsia="Times New Roman"/>
          <w:i/>
          <w:iCs/>
          <w:color w:val="000000"/>
        </w:rPr>
        <w:t>Banks</w:t>
      </w:r>
      <w:r>
        <w:rPr>
          <w:rFonts w:eastAsia="Times New Roman"/>
          <w:color w:val="000000"/>
        </w:rPr>
        <w:t xml:space="preserve"> and </w:t>
      </w:r>
      <w:r w:rsidRPr="00DC6BC2">
        <w:rPr>
          <w:rFonts w:eastAsia="Times New Roman"/>
          <w:i/>
          <w:iCs/>
          <w:color w:val="000000"/>
        </w:rPr>
        <w:t>Clark</w:t>
      </w:r>
      <w:r>
        <w:rPr>
          <w:rFonts w:eastAsia="Times New Roman"/>
          <w:color w:val="000000"/>
        </w:rPr>
        <w:t xml:space="preserve">” and thus “foreclose[d] </w:t>
      </w:r>
      <w:r w:rsidR="002A44C3">
        <w:rPr>
          <w:rFonts w:eastAsia="Times New Roman"/>
          <w:color w:val="000000"/>
        </w:rPr>
        <w:t>[Secrease]</w:t>
      </w:r>
      <w:r>
        <w:rPr>
          <w:rFonts w:eastAsia="Times New Roman"/>
          <w:color w:val="000000"/>
        </w:rPr>
        <w:t xml:space="preserve"> from further litigating that issue” and “render[ed] him ineligible for </w:t>
      </w:r>
      <w:r w:rsidR="00DB664E">
        <w:rPr>
          <w:rFonts w:eastAsia="Times New Roman"/>
          <w:color w:val="000000"/>
        </w:rPr>
        <w:t>re</w:t>
      </w:r>
      <w:r>
        <w:rPr>
          <w:rFonts w:eastAsia="Times New Roman"/>
          <w:color w:val="000000"/>
        </w:rPr>
        <w:t>sentencing</w:t>
      </w:r>
      <w:r w:rsidR="00DB664E">
        <w:rPr>
          <w:rFonts w:eastAsia="Times New Roman"/>
          <w:color w:val="000000"/>
        </w:rPr>
        <w:t xml:space="preserve"> relief</w:t>
      </w:r>
      <w:r>
        <w:rPr>
          <w:rFonts w:eastAsia="Times New Roman"/>
          <w:color w:val="000000"/>
        </w:rPr>
        <w:t xml:space="preserve"> as a matter of law.”</w:t>
      </w:r>
      <w:r w:rsidR="008166BF">
        <w:rPr>
          <w:rFonts w:eastAsia="Times New Roman"/>
          <w:color w:val="000000"/>
        </w:rPr>
        <w:t xml:space="preserve">  </w:t>
      </w:r>
      <w:r w:rsidR="00DB664E">
        <w:rPr>
          <w:rFonts w:eastAsia="Times New Roman"/>
          <w:color w:val="000000"/>
        </w:rPr>
        <w:t>(</w:t>
      </w:r>
      <w:r w:rsidR="00DB664E">
        <w:rPr>
          <w:rFonts w:eastAsia="Times New Roman"/>
          <w:i/>
          <w:iCs/>
          <w:color w:val="000000"/>
        </w:rPr>
        <w:t xml:space="preserve">Secrease, supra, </w:t>
      </w:r>
      <w:r w:rsidR="00DB664E">
        <w:rPr>
          <w:rFonts w:eastAsia="Times New Roman"/>
          <w:color w:val="000000"/>
        </w:rPr>
        <w:t>63 Cal.App.5th at p. 264.)</w:t>
      </w:r>
    </w:p>
    <w:p w14:paraId="278035CF" w14:textId="00515B71" w:rsidR="007F03F9" w:rsidRDefault="00F255BF" w:rsidP="0079629D">
      <w:pPr>
        <w:spacing w:line="360" w:lineRule="auto"/>
        <w:ind w:firstLine="720"/>
        <w:rPr>
          <w:rFonts w:eastAsia="Times New Roman"/>
          <w:color w:val="000000"/>
        </w:rPr>
      </w:pPr>
      <w:r>
        <w:rPr>
          <w:rFonts w:eastAsia="Times New Roman"/>
          <w:color w:val="000000"/>
        </w:rPr>
        <w:t>Also, i</w:t>
      </w:r>
      <w:r w:rsidR="00477CE8">
        <w:rPr>
          <w:rFonts w:eastAsia="Times New Roman"/>
          <w:color w:val="000000"/>
        </w:rPr>
        <w:t xml:space="preserve">n </w:t>
      </w:r>
      <w:r w:rsidR="00477CE8" w:rsidRPr="00477CE8">
        <w:rPr>
          <w:rFonts w:eastAsia="Times New Roman"/>
          <w:i/>
          <w:iCs/>
          <w:color w:val="000000"/>
        </w:rPr>
        <w:t>People v. Gonzalez</w:t>
      </w:r>
      <w:r w:rsidR="00477CE8">
        <w:rPr>
          <w:rFonts w:eastAsia="Times New Roman"/>
          <w:color w:val="000000"/>
        </w:rPr>
        <w:t xml:space="preserve"> (2018) 5 Cal.5th 186</w:t>
      </w:r>
      <w:r w:rsidR="00821ABA">
        <w:rPr>
          <w:rFonts w:eastAsia="Times New Roman"/>
          <w:color w:val="000000"/>
        </w:rPr>
        <w:t xml:space="preserve"> (</w:t>
      </w:r>
      <w:r w:rsidR="00821ABA" w:rsidRPr="00942ADE">
        <w:rPr>
          <w:rFonts w:eastAsia="Times New Roman"/>
          <w:i/>
          <w:iCs/>
          <w:color w:val="000000"/>
        </w:rPr>
        <w:t>Gonzalez</w:t>
      </w:r>
      <w:r w:rsidR="00821ABA">
        <w:rPr>
          <w:rFonts w:eastAsia="Times New Roman"/>
          <w:color w:val="000000"/>
        </w:rPr>
        <w:t>)</w:t>
      </w:r>
      <w:r w:rsidR="00477CE8">
        <w:rPr>
          <w:rFonts w:eastAsia="Times New Roman"/>
          <w:color w:val="000000"/>
        </w:rPr>
        <w:t xml:space="preserve">, our high court considered whether a special circumstance finding </w:t>
      </w:r>
      <w:r w:rsidR="00821ABA">
        <w:rPr>
          <w:rFonts w:eastAsia="Times New Roman"/>
          <w:color w:val="000000"/>
        </w:rPr>
        <w:t>made under section</w:t>
      </w:r>
      <w:r w:rsidR="00DB664E">
        <w:rPr>
          <w:rFonts w:eastAsia="Times New Roman"/>
          <w:color w:val="000000"/>
        </w:rPr>
        <w:t> </w:t>
      </w:r>
      <w:r w:rsidR="00821ABA">
        <w:rPr>
          <w:rFonts w:eastAsia="Times New Roman"/>
          <w:color w:val="000000"/>
        </w:rPr>
        <w:t xml:space="preserve">190.2 </w:t>
      </w:r>
      <w:r w:rsidR="00477CE8">
        <w:rPr>
          <w:rFonts w:eastAsia="Times New Roman"/>
          <w:color w:val="000000"/>
        </w:rPr>
        <w:t>demonstrated that a trial court’s erroneous failure to instruct on lesser included murder offenses was harmless</w:t>
      </w:r>
      <w:r w:rsidR="00821ABA">
        <w:rPr>
          <w:rFonts w:eastAsia="Times New Roman"/>
          <w:color w:val="000000"/>
        </w:rPr>
        <w:t>,</w:t>
      </w:r>
      <w:r w:rsidR="0003108D">
        <w:rPr>
          <w:rFonts w:eastAsia="Times New Roman"/>
          <w:color w:val="000000"/>
        </w:rPr>
        <w:t xml:space="preserve"> and</w:t>
      </w:r>
      <w:r w:rsidR="00821ABA">
        <w:rPr>
          <w:rFonts w:eastAsia="Times New Roman"/>
          <w:color w:val="000000"/>
        </w:rPr>
        <w:t xml:space="preserve"> the court</w:t>
      </w:r>
      <w:r w:rsidR="0003108D">
        <w:rPr>
          <w:rFonts w:eastAsia="Times New Roman"/>
          <w:color w:val="000000"/>
        </w:rPr>
        <w:t xml:space="preserve"> concluded </w:t>
      </w:r>
      <w:r w:rsidR="00821ABA">
        <w:rPr>
          <w:rFonts w:eastAsia="Times New Roman"/>
          <w:color w:val="000000"/>
        </w:rPr>
        <w:t xml:space="preserve">that </w:t>
      </w:r>
      <w:r w:rsidR="0003108D">
        <w:rPr>
          <w:rFonts w:eastAsia="Times New Roman"/>
          <w:color w:val="000000"/>
        </w:rPr>
        <w:t>it did</w:t>
      </w:r>
      <w:r w:rsidR="00477CE8">
        <w:rPr>
          <w:rFonts w:eastAsia="Times New Roman"/>
          <w:color w:val="000000"/>
        </w:rPr>
        <w:t xml:space="preserve">. </w:t>
      </w:r>
      <w:r w:rsidR="0003108D">
        <w:rPr>
          <w:rFonts w:eastAsia="Times New Roman"/>
          <w:color w:val="000000"/>
        </w:rPr>
        <w:t xml:space="preserve"> (</w:t>
      </w:r>
      <w:r w:rsidR="00DB664E">
        <w:rPr>
          <w:rFonts w:eastAsia="Times New Roman"/>
          <w:i/>
          <w:iCs/>
          <w:color w:val="000000"/>
        </w:rPr>
        <w:t>Gonzalez,</w:t>
      </w:r>
      <w:r w:rsidR="0003108D">
        <w:rPr>
          <w:rFonts w:eastAsia="Times New Roman"/>
          <w:color w:val="000000"/>
        </w:rPr>
        <w:t xml:space="preserve"> at p. 191.) </w:t>
      </w:r>
      <w:r w:rsidR="00477CE8">
        <w:rPr>
          <w:rFonts w:eastAsia="Times New Roman"/>
          <w:color w:val="000000"/>
        </w:rPr>
        <w:t xml:space="preserve"> The court did not address the sufficiency of the</w:t>
      </w:r>
      <w:r w:rsidR="0003108D">
        <w:rPr>
          <w:rFonts w:eastAsia="Times New Roman"/>
          <w:color w:val="000000"/>
        </w:rPr>
        <w:t xml:space="preserve"> evidence to support the</w:t>
      </w:r>
      <w:r w:rsidR="00477CE8">
        <w:rPr>
          <w:rFonts w:eastAsia="Times New Roman"/>
          <w:color w:val="000000"/>
        </w:rPr>
        <w:t xml:space="preserve"> special circumstance finding</w:t>
      </w:r>
      <w:r w:rsidR="0003108D">
        <w:rPr>
          <w:rFonts w:eastAsia="Times New Roman"/>
          <w:color w:val="000000"/>
        </w:rPr>
        <w:t xml:space="preserve"> under </w:t>
      </w:r>
      <w:r w:rsidR="0003108D" w:rsidRPr="0003108D">
        <w:rPr>
          <w:rFonts w:eastAsia="Times New Roman"/>
          <w:i/>
          <w:iCs/>
          <w:color w:val="000000"/>
        </w:rPr>
        <w:t>Banks</w:t>
      </w:r>
      <w:r w:rsidR="0003108D">
        <w:rPr>
          <w:rFonts w:eastAsia="Times New Roman"/>
          <w:color w:val="000000"/>
        </w:rPr>
        <w:t xml:space="preserve"> and </w:t>
      </w:r>
      <w:r w:rsidR="0003108D" w:rsidRPr="0003108D">
        <w:rPr>
          <w:rFonts w:eastAsia="Times New Roman"/>
          <w:i/>
          <w:iCs/>
          <w:color w:val="000000"/>
        </w:rPr>
        <w:t>Clark</w:t>
      </w:r>
      <w:r w:rsidR="0003108D">
        <w:rPr>
          <w:rFonts w:eastAsia="Times New Roman"/>
          <w:color w:val="000000"/>
        </w:rPr>
        <w:t>.  But in addressing the defendant’</w:t>
      </w:r>
      <w:r w:rsidR="009D2CA1">
        <w:rPr>
          <w:rFonts w:eastAsia="Times New Roman"/>
          <w:color w:val="000000"/>
        </w:rPr>
        <w:t>s</w:t>
      </w:r>
      <w:r w:rsidR="0003108D">
        <w:rPr>
          <w:rFonts w:eastAsia="Times New Roman"/>
          <w:color w:val="000000"/>
        </w:rPr>
        <w:t xml:space="preserve"> argument that the special circumstance finding was “unreliable” because the jury had found untrue the allegation</w:t>
      </w:r>
      <w:r w:rsidR="00C84B5E">
        <w:rPr>
          <w:rFonts w:eastAsia="Times New Roman"/>
          <w:color w:val="000000"/>
        </w:rPr>
        <w:t>s</w:t>
      </w:r>
      <w:r w:rsidR="0003108D">
        <w:rPr>
          <w:rFonts w:eastAsia="Times New Roman"/>
          <w:color w:val="000000"/>
        </w:rPr>
        <w:t xml:space="preserve"> that a principal was armed and that the defendant personally and intentionally discharged a firearm, the court </w:t>
      </w:r>
      <w:r>
        <w:rPr>
          <w:rFonts w:eastAsia="Times New Roman"/>
          <w:color w:val="000000"/>
        </w:rPr>
        <w:t>noted the rule</w:t>
      </w:r>
      <w:r w:rsidR="0003108D">
        <w:rPr>
          <w:rFonts w:eastAsia="Times New Roman"/>
          <w:color w:val="000000"/>
        </w:rPr>
        <w:t xml:space="preserve"> that “[w]here a jury’s findings are irreconcilable, we normally attribute such tensions to compromise, lenity or mistake, and give effect to all of the jury’s findings”</w:t>
      </w:r>
      <w:r>
        <w:rPr>
          <w:rFonts w:eastAsia="Times New Roman"/>
          <w:color w:val="000000"/>
        </w:rPr>
        <w:t xml:space="preserve"> but did not apply it.</w:t>
      </w:r>
      <w:r w:rsidR="0003108D">
        <w:rPr>
          <w:rFonts w:eastAsia="Times New Roman"/>
          <w:color w:val="000000"/>
        </w:rPr>
        <w:t xml:space="preserve">  (</w:t>
      </w:r>
      <w:r w:rsidR="00DB664E">
        <w:rPr>
          <w:rFonts w:eastAsia="Times New Roman"/>
          <w:i/>
          <w:iCs/>
          <w:color w:val="000000"/>
        </w:rPr>
        <w:t>Gonzalez,</w:t>
      </w:r>
      <w:r w:rsidR="0003108D">
        <w:rPr>
          <w:rFonts w:eastAsia="Times New Roman"/>
          <w:color w:val="000000"/>
        </w:rPr>
        <w:t xml:space="preserve"> at pp. 207-208.)  </w:t>
      </w:r>
      <w:r>
        <w:rPr>
          <w:rFonts w:eastAsia="Times New Roman"/>
          <w:color w:val="000000"/>
        </w:rPr>
        <w:t>Instead,</w:t>
      </w:r>
      <w:r w:rsidR="0003108D">
        <w:rPr>
          <w:rFonts w:eastAsia="Times New Roman"/>
          <w:color w:val="000000"/>
        </w:rPr>
        <w:t xml:space="preserve"> the court concluded the special circumstance and firearm findings</w:t>
      </w:r>
      <w:r>
        <w:rPr>
          <w:rFonts w:eastAsia="Times New Roman"/>
          <w:color w:val="000000"/>
        </w:rPr>
        <w:t xml:space="preserve"> in that case</w:t>
      </w:r>
      <w:r w:rsidR="0003108D">
        <w:rPr>
          <w:rFonts w:eastAsia="Times New Roman"/>
          <w:color w:val="000000"/>
        </w:rPr>
        <w:t xml:space="preserve"> could be reconciled</w:t>
      </w:r>
      <w:r>
        <w:rPr>
          <w:rFonts w:eastAsia="Times New Roman"/>
          <w:color w:val="000000"/>
        </w:rPr>
        <w:t xml:space="preserve">, </w:t>
      </w:r>
      <w:r w:rsidR="00C37281">
        <w:rPr>
          <w:rFonts w:eastAsia="Times New Roman"/>
          <w:color w:val="000000"/>
        </w:rPr>
        <w:t>positing that “the jury could have concluded Gonzalez was not armed and still found defendants had knowledge of a ‘grave risk of death.’ ”  (</w:t>
      </w:r>
      <w:r w:rsidR="00C37281" w:rsidRPr="008658AD">
        <w:rPr>
          <w:rFonts w:eastAsia="Times New Roman"/>
          <w:i/>
          <w:iCs/>
          <w:color w:val="000000"/>
        </w:rPr>
        <w:t>Id</w:t>
      </w:r>
      <w:r w:rsidR="00C37281">
        <w:rPr>
          <w:rFonts w:eastAsia="Times New Roman"/>
          <w:color w:val="000000"/>
        </w:rPr>
        <w:t xml:space="preserve">. at </w:t>
      </w:r>
      <w:r w:rsidR="00DB664E">
        <w:rPr>
          <w:rFonts w:eastAsia="Times New Roman"/>
          <w:color w:val="000000"/>
        </w:rPr>
        <w:t>p.</w:t>
      </w:r>
      <w:r w:rsidR="008457BA">
        <w:rPr>
          <w:rFonts w:eastAsia="Times New Roman"/>
          <w:color w:val="000000"/>
        </w:rPr>
        <w:t> </w:t>
      </w:r>
      <w:r w:rsidR="00C37281">
        <w:rPr>
          <w:rFonts w:eastAsia="Times New Roman"/>
          <w:color w:val="000000"/>
        </w:rPr>
        <w:t>207.)</w:t>
      </w:r>
      <w:r w:rsidR="009D1915">
        <w:rPr>
          <w:rFonts w:eastAsia="Times New Roman"/>
          <w:color w:val="000000"/>
        </w:rPr>
        <w:t xml:space="preserve">  </w:t>
      </w:r>
      <w:r>
        <w:rPr>
          <w:rFonts w:eastAsia="Times New Roman"/>
          <w:color w:val="000000"/>
        </w:rPr>
        <w:t xml:space="preserve">The dissent found the “reconciliation” of the two was beyond a stretch.  (See </w:t>
      </w:r>
      <w:r w:rsidR="00942ADE" w:rsidRPr="00942ADE">
        <w:rPr>
          <w:rFonts w:eastAsia="Times New Roman"/>
          <w:i/>
          <w:iCs/>
          <w:color w:val="000000"/>
        </w:rPr>
        <w:t>id.</w:t>
      </w:r>
      <w:r w:rsidR="00942ADE">
        <w:rPr>
          <w:rFonts w:eastAsia="Times New Roman"/>
          <w:color w:val="000000"/>
        </w:rPr>
        <w:t xml:space="preserve"> </w:t>
      </w:r>
      <w:r>
        <w:rPr>
          <w:rFonts w:eastAsia="Times New Roman"/>
          <w:color w:val="000000"/>
        </w:rPr>
        <w:t xml:space="preserve">at pp. 213-214 </w:t>
      </w:r>
      <w:r w:rsidR="00DB664E">
        <w:rPr>
          <w:rFonts w:eastAsia="Times New Roman"/>
          <w:color w:val="000000"/>
        </w:rPr>
        <w:t xml:space="preserve">(dis. opn. of </w:t>
      </w:r>
      <w:r>
        <w:rPr>
          <w:rFonts w:eastAsia="Times New Roman"/>
          <w:color w:val="000000"/>
        </w:rPr>
        <w:t>Liu, J., joined by Kruger, J.</w:t>
      </w:r>
      <w:r w:rsidR="00DB664E">
        <w:rPr>
          <w:rFonts w:eastAsia="Times New Roman"/>
          <w:color w:val="000000"/>
        </w:rPr>
        <w:t>)</w:t>
      </w:r>
      <w:r w:rsidR="00C37281">
        <w:rPr>
          <w:rFonts w:eastAsia="Times New Roman"/>
          <w:color w:val="000000"/>
        </w:rPr>
        <w:t xml:space="preserve"> </w:t>
      </w:r>
      <w:r w:rsidR="00C37281">
        <w:rPr>
          <w:rFonts w:eastAsia="Times New Roman"/>
          <w:color w:val="000000"/>
        </w:rPr>
        <w:lastRenderedPageBreak/>
        <w:t xml:space="preserve">[“But what are we to make of the jury’s ‘not true’ finding on the allegation that ‘one of the principals was armed with a firearm in the commission of [the] crime?  How is it possible that the jury believed </w:t>
      </w:r>
      <w:r w:rsidR="00C37281" w:rsidRPr="00DB664E">
        <w:rPr>
          <w:rFonts w:eastAsia="Times New Roman"/>
          <w:i/>
          <w:iCs/>
          <w:color w:val="000000"/>
        </w:rPr>
        <w:t>both</w:t>
      </w:r>
      <w:r w:rsidR="00C37281">
        <w:rPr>
          <w:rFonts w:eastAsia="Times New Roman"/>
          <w:color w:val="000000"/>
        </w:rPr>
        <w:t xml:space="preserve"> (1) that </w:t>
      </w:r>
      <w:r>
        <w:rPr>
          <w:rFonts w:eastAsia="Times New Roman"/>
          <w:color w:val="000000"/>
        </w:rPr>
        <w:t>[the defendants]</w:t>
      </w:r>
      <w:r w:rsidR="00C37281">
        <w:rPr>
          <w:rFonts w:eastAsia="Times New Roman"/>
          <w:color w:val="000000"/>
        </w:rPr>
        <w:t xml:space="preserve"> engaged in criminal activity that they knew involved a grave risk of death, </w:t>
      </w:r>
      <w:r w:rsidR="00C37281" w:rsidRPr="00DB664E">
        <w:rPr>
          <w:rFonts w:eastAsia="Times New Roman"/>
          <w:i/>
          <w:iCs/>
          <w:color w:val="000000"/>
        </w:rPr>
        <w:t>and</w:t>
      </w:r>
      <w:r w:rsidR="00C37281">
        <w:rPr>
          <w:rFonts w:eastAsia="Times New Roman"/>
          <w:color w:val="000000"/>
        </w:rPr>
        <w:t xml:space="preserve"> (2) that none of them was armed with a firearm in the commission of the crime?”]</w:t>
      </w:r>
      <w:r>
        <w:rPr>
          <w:rFonts w:eastAsia="Times New Roman"/>
          <w:color w:val="000000"/>
        </w:rPr>
        <w:t xml:space="preserve">.)  The dissenters also found </w:t>
      </w:r>
      <w:r w:rsidR="009D1915">
        <w:rPr>
          <w:rFonts w:eastAsia="Times New Roman"/>
          <w:color w:val="000000"/>
        </w:rPr>
        <w:t xml:space="preserve">the majority’s </w:t>
      </w:r>
      <w:r w:rsidR="00E152DC">
        <w:rPr>
          <w:rFonts w:eastAsia="Times New Roman"/>
          <w:color w:val="000000"/>
        </w:rPr>
        <w:t>treatment of</w:t>
      </w:r>
      <w:r>
        <w:rPr>
          <w:rFonts w:eastAsia="Times New Roman"/>
          <w:color w:val="000000"/>
        </w:rPr>
        <w:t xml:space="preserve"> the special circumstance finding </w:t>
      </w:r>
      <w:r w:rsidR="00E152DC">
        <w:rPr>
          <w:rFonts w:eastAsia="Times New Roman"/>
          <w:color w:val="000000"/>
        </w:rPr>
        <w:t xml:space="preserve">as </w:t>
      </w:r>
      <w:r>
        <w:rPr>
          <w:rFonts w:eastAsia="Times New Roman"/>
          <w:color w:val="000000"/>
        </w:rPr>
        <w:t>confirm</w:t>
      </w:r>
      <w:r w:rsidR="00E152DC">
        <w:rPr>
          <w:rFonts w:eastAsia="Times New Roman"/>
          <w:color w:val="000000"/>
        </w:rPr>
        <w:t>ation of</w:t>
      </w:r>
      <w:r>
        <w:rPr>
          <w:rFonts w:eastAsia="Times New Roman"/>
          <w:color w:val="000000"/>
        </w:rPr>
        <w:t xml:space="preserve"> the validity of the felony-murder verdict</w:t>
      </w:r>
      <w:r w:rsidR="009D1915">
        <w:rPr>
          <w:rFonts w:eastAsia="Times New Roman"/>
          <w:color w:val="000000"/>
        </w:rPr>
        <w:t>, while</w:t>
      </w:r>
      <w:r>
        <w:rPr>
          <w:rFonts w:eastAsia="Times New Roman"/>
          <w:color w:val="000000"/>
        </w:rPr>
        <w:t xml:space="preserve"> </w:t>
      </w:r>
      <w:r w:rsidR="009D1915">
        <w:rPr>
          <w:rFonts w:eastAsia="Times New Roman"/>
          <w:color w:val="000000"/>
        </w:rPr>
        <w:t>“</w:t>
      </w:r>
      <w:r>
        <w:rPr>
          <w:rFonts w:eastAsia="Times New Roman"/>
          <w:color w:val="000000"/>
        </w:rPr>
        <w:t>chalk</w:t>
      </w:r>
      <w:r w:rsidR="009D1915">
        <w:rPr>
          <w:rFonts w:eastAsia="Times New Roman"/>
          <w:color w:val="000000"/>
        </w:rPr>
        <w:t>[</w:t>
      </w:r>
      <w:r>
        <w:rPr>
          <w:rFonts w:eastAsia="Times New Roman"/>
          <w:color w:val="000000"/>
        </w:rPr>
        <w:t>ing</w:t>
      </w:r>
      <w:r w:rsidR="009D1915">
        <w:rPr>
          <w:rFonts w:eastAsia="Times New Roman"/>
          <w:color w:val="000000"/>
        </w:rPr>
        <w:t>]</w:t>
      </w:r>
      <w:r>
        <w:rPr>
          <w:rFonts w:eastAsia="Times New Roman"/>
          <w:color w:val="000000"/>
        </w:rPr>
        <w:t xml:space="preserve"> </w:t>
      </w:r>
      <w:r w:rsidR="00E152DC">
        <w:rPr>
          <w:rFonts w:eastAsia="Times New Roman"/>
          <w:color w:val="000000"/>
        </w:rPr>
        <w:t xml:space="preserve">[the jury’s firearm-related findings] </w:t>
      </w:r>
      <w:r w:rsidR="00106024">
        <w:rPr>
          <w:rFonts w:eastAsia="Times New Roman"/>
          <w:color w:val="000000"/>
        </w:rPr>
        <w:t xml:space="preserve">up </w:t>
      </w:r>
      <w:r>
        <w:rPr>
          <w:rFonts w:eastAsia="Times New Roman"/>
          <w:color w:val="000000"/>
        </w:rPr>
        <w:t>to compromise, lenity or mistake</w:t>
      </w:r>
      <w:r w:rsidR="0097776A">
        <w:rPr>
          <w:rFonts w:eastAsia="Times New Roman"/>
          <w:color w:val="000000"/>
        </w:rPr>
        <w:t>,</w:t>
      </w:r>
      <w:r w:rsidR="009D1915">
        <w:rPr>
          <w:rFonts w:eastAsia="Times New Roman"/>
          <w:color w:val="000000"/>
        </w:rPr>
        <w:t>”</w:t>
      </w:r>
      <w:r w:rsidR="00E152DC">
        <w:rPr>
          <w:rFonts w:eastAsia="Times New Roman"/>
          <w:color w:val="000000"/>
        </w:rPr>
        <w:t xml:space="preserve"> </w:t>
      </w:r>
      <w:r>
        <w:rPr>
          <w:rFonts w:eastAsia="Times New Roman"/>
          <w:color w:val="000000"/>
        </w:rPr>
        <w:t xml:space="preserve">inconsistent </w:t>
      </w:r>
      <w:r w:rsidR="00E152DC">
        <w:rPr>
          <w:rFonts w:eastAsia="Times New Roman"/>
          <w:color w:val="000000"/>
        </w:rPr>
        <w:t xml:space="preserve">and </w:t>
      </w:r>
      <w:r>
        <w:rPr>
          <w:rFonts w:eastAsia="Times New Roman"/>
          <w:color w:val="000000"/>
        </w:rPr>
        <w:t xml:space="preserve">would have held the firearm findings established a reasonable probability that </w:t>
      </w:r>
      <w:r w:rsidR="00E152DC">
        <w:rPr>
          <w:rFonts w:eastAsia="Times New Roman"/>
          <w:color w:val="000000"/>
        </w:rPr>
        <w:t>a</w:t>
      </w:r>
      <w:r>
        <w:rPr>
          <w:rFonts w:eastAsia="Times New Roman"/>
          <w:color w:val="000000"/>
        </w:rPr>
        <w:t xml:space="preserve"> jury instructed on lesser included</w:t>
      </w:r>
      <w:r w:rsidR="00E152DC">
        <w:rPr>
          <w:rFonts w:eastAsia="Times New Roman"/>
          <w:color w:val="000000"/>
        </w:rPr>
        <w:t xml:space="preserve"> offenses</w:t>
      </w:r>
      <w:r>
        <w:rPr>
          <w:rFonts w:eastAsia="Times New Roman"/>
          <w:color w:val="000000"/>
        </w:rPr>
        <w:t xml:space="preserve"> and related defenses</w:t>
      </w:r>
      <w:r w:rsidR="00E152DC">
        <w:rPr>
          <w:rFonts w:eastAsia="Times New Roman"/>
          <w:color w:val="000000"/>
        </w:rPr>
        <w:t xml:space="preserve"> </w:t>
      </w:r>
      <w:r>
        <w:rPr>
          <w:rFonts w:eastAsia="Times New Roman"/>
          <w:color w:val="000000"/>
        </w:rPr>
        <w:t xml:space="preserve">would have </w:t>
      </w:r>
      <w:r w:rsidR="00E152DC">
        <w:rPr>
          <w:rFonts w:eastAsia="Times New Roman"/>
          <w:color w:val="000000"/>
        </w:rPr>
        <w:t>decided the case more favorably to the defense</w:t>
      </w:r>
      <w:r>
        <w:rPr>
          <w:rFonts w:eastAsia="Times New Roman"/>
          <w:color w:val="000000"/>
        </w:rPr>
        <w:t>.  (</w:t>
      </w:r>
      <w:r w:rsidRPr="007F03F9">
        <w:rPr>
          <w:rFonts w:eastAsia="Times New Roman"/>
          <w:i/>
          <w:iCs/>
          <w:color w:val="000000"/>
        </w:rPr>
        <w:t>Ibid</w:t>
      </w:r>
      <w:r>
        <w:rPr>
          <w:rFonts w:eastAsia="Times New Roman"/>
          <w:color w:val="000000"/>
        </w:rPr>
        <w:t xml:space="preserve">.)  </w:t>
      </w:r>
    </w:p>
    <w:p w14:paraId="0B07CD0F" w14:textId="56176928" w:rsidR="006A53BD" w:rsidRDefault="00F255BF" w:rsidP="009D1915">
      <w:pPr>
        <w:spacing w:line="360" w:lineRule="auto"/>
        <w:ind w:firstLine="720"/>
        <w:rPr>
          <w:rFonts w:eastAsia="Times New Roman"/>
          <w:color w:val="000000"/>
        </w:rPr>
      </w:pPr>
      <w:r>
        <w:rPr>
          <w:rFonts w:eastAsia="Times New Roman"/>
          <w:color w:val="000000"/>
        </w:rPr>
        <w:t xml:space="preserve">The </w:t>
      </w:r>
      <w:r w:rsidRPr="008658AD">
        <w:rPr>
          <w:rFonts w:eastAsia="Times New Roman"/>
          <w:i/>
          <w:iCs/>
          <w:color w:val="000000"/>
        </w:rPr>
        <w:t>Gonzalez</w:t>
      </w:r>
      <w:r>
        <w:rPr>
          <w:rFonts w:eastAsia="Times New Roman"/>
          <w:i/>
          <w:iCs/>
          <w:color w:val="000000"/>
        </w:rPr>
        <w:t xml:space="preserve"> </w:t>
      </w:r>
      <w:r>
        <w:rPr>
          <w:rFonts w:eastAsia="Times New Roman"/>
          <w:color w:val="000000"/>
        </w:rPr>
        <w:t xml:space="preserve">and </w:t>
      </w:r>
      <w:r>
        <w:rPr>
          <w:rFonts w:eastAsia="Times New Roman"/>
          <w:i/>
          <w:iCs/>
          <w:color w:val="000000"/>
        </w:rPr>
        <w:t>Secrease</w:t>
      </w:r>
      <w:r>
        <w:rPr>
          <w:rFonts w:eastAsia="Times New Roman"/>
          <w:color w:val="000000"/>
        </w:rPr>
        <w:t xml:space="preserve"> </w:t>
      </w:r>
      <w:r w:rsidR="009D1915">
        <w:rPr>
          <w:rFonts w:eastAsia="Times New Roman"/>
          <w:color w:val="000000"/>
        </w:rPr>
        <w:t>opinions’</w:t>
      </w:r>
      <w:r>
        <w:rPr>
          <w:rFonts w:eastAsia="Times New Roman"/>
          <w:color w:val="000000"/>
        </w:rPr>
        <w:t xml:space="preserve"> treatment of firearm findings in the context of special circumstance findings, coupled with </w:t>
      </w:r>
      <w:r w:rsidR="00D54275">
        <w:rPr>
          <w:rFonts w:eastAsia="Times New Roman"/>
          <w:color w:val="000000"/>
        </w:rPr>
        <w:t>the jury’s</w:t>
      </w:r>
      <w:r>
        <w:rPr>
          <w:rFonts w:eastAsia="Times New Roman"/>
          <w:color w:val="000000"/>
        </w:rPr>
        <w:t xml:space="preserve"> rejection of similar firearm enhancements in this case</w:t>
      </w:r>
      <w:r w:rsidR="00E152DC">
        <w:rPr>
          <w:rFonts w:eastAsia="Times New Roman"/>
          <w:color w:val="000000"/>
        </w:rPr>
        <w:t>,</w:t>
      </w:r>
      <w:r>
        <w:rPr>
          <w:rFonts w:eastAsia="Times New Roman"/>
          <w:color w:val="000000"/>
        </w:rPr>
        <w:t xml:space="preserve"> </w:t>
      </w:r>
      <w:r w:rsidR="009D1915">
        <w:rPr>
          <w:rFonts w:eastAsia="Times New Roman"/>
          <w:color w:val="000000"/>
        </w:rPr>
        <w:t>cause</w:t>
      </w:r>
      <w:r>
        <w:rPr>
          <w:rFonts w:eastAsia="Times New Roman"/>
          <w:color w:val="000000"/>
        </w:rPr>
        <w:t xml:space="preserve"> us to doubt that </w:t>
      </w:r>
      <w:r w:rsidR="009D1915">
        <w:rPr>
          <w:rFonts w:eastAsia="Times New Roman"/>
          <w:color w:val="000000"/>
        </w:rPr>
        <w:t xml:space="preserve">we should rely on the evidence showing </w:t>
      </w:r>
      <w:r>
        <w:rPr>
          <w:rFonts w:eastAsia="Times New Roman"/>
          <w:color w:val="000000"/>
        </w:rPr>
        <w:t xml:space="preserve">Price was the actual killer </w:t>
      </w:r>
      <w:r w:rsidR="009D1915">
        <w:rPr>
          <w:rFonts w:eastAsia="Times New Roman"/>
          <w:color w:val="000000"/>
        </w:rPr>
        <w:t>in affirming the denial of her petition</w:t>
      </w:r>
      <w:r>
        <w:rPr>
          <w:rFonts w:eastAsia="Times New Roman"/>
          <w:color w:val="000000"/>
        </w:rPr>
        <w:t>.</w:t>
      </w:r>
      <w:r>
        <w:rPr>
          <w:rStyle w:val="FootnoteReference"/>
          <w:rFonts w:eastAsia="Times New Roman"/>
          <w:b/>
          <w:bCs/>
          <w:color w:val="000000"/>
        </w:rPr>
        <w:footnoteReference w:id="19"/>
      </w:r>
      <w:r w:rsidR="00E152DC">
        <w:rPr>
          <w:rFonts w:eastAsia="Times New Roman"/>
          <w:color w:val="000000"/>
        </w:rPr>
        <w:t xml:space="preserve">  Specifically, the jury rejected findings that she used or discharged a weapon or caused serious bodily injury or death to Merrill</w:t>
      </w:r>
      <w:r w:rsidR="0097776A">
        <w:rPr>
          <w:rFonts w:eastAsia="Times New Roman"/>
          <w:color w:val="000000"/>
        </w:rPr>
        <w:t>;</w:t>
      </w:r>
      <w:r w:rsidR="00E152DC">
        <w:rPr>
          <w:rFonts w:eastAsia="Times New Roman"/>
          <w:color w:val="000000"/>
        </w:rPr>
        <w:t xml:space="preserve"> if we do not ignore those findings they cast doubt that the jury found Price was the actual killer.</w:t>
      </w:r>
      <w:r w:rsidR="008166BF">
        <w:rPr>
          <w:rFonts w:eastAsia="Times New Roman"/>
          <w:color w:val="000000"/>
        </w:rPr>
        <w:t xml:space="preserve"> </w:t>
      </w:r>
      <w:r w:rsidR="009D1915">
        <w:rPr>
          <w:rFonts w:eastAsia="Times New Roman"/>
          <w:color w:val="000000"/>
        </w:rPr>
        <w:t xml:space="preserve"> We have less concern about the evidence of intent to kill, which is not in tension with </w:t>
      </w:r>
      <w:r w:rsidR="00E152DC">
        <w:rPr>
          <w:rFonts w:eastAsia="Times New Roman"/>
          <w:color w:val="000000"/>
        </w:rPr>
        <w:t xml:space="preserve">any of </w:t>
      </w:r>
      <w:r w:rsidR="009D1915">
        <w:rPr>
          <w:rFonts w:eastAsia="Times New Roman"/>
          <w:color w:val="000000"/>
        </w:rPr>
        <w:t xml:space="preserve">the jury’s findings.  </w:t>
      </w:r>
      <w:r w:rsidR="00E152DC">
        <w:rPr>
          <w:rFonts w:eastAsia="Times New Roman"/>
          <w:color w:val="000000"/>
        </w:rPr>
        <w:t>Even so</w:t>
      </w:r>
      <w:r w:rsidR="007C2021" w:rsidRPr="00942ADE">
        <w:rPr>
          <w:rFonts w:eastAsia="Times New Roman"/>
          <w:color w:val="000000"/>
        </w:rPr>
        <w:t xml:space="preserve">, </w:t>
      </w:r>
      <w:r w:rsidR="009D1915">
        <w:rPr>
          <w:rFonts w:eastAsia="Times New Roman"/>
          <w:color w:val="000000"/>
        </w:rPr>
        <w:t>it is not clear which alternative the jury actually found true,</w:t>
      </w:r>
      <w:r>
        <w:rPr>
          <w:rStyle w:val="FootnoteReference"/>
          <w:rFonts w:eastAsia="Times New Roman"/>
          <w:b/>
          <w:bCs/>
          <w:color w:val="000000"/>
        </w:rPr>
        <w:footnoteReference w:id="20"/>
      </w:r>
      <w:r w:rsidR="009D1915">
        <w:rPr>
          <w:rFonts w:eastAsia="Times New Roman"/>
          <w:color w:val="000000"/>
        </w:rPr>
        <w:t xml:space="preserve"> </w:t>
      </w:r>
      <w:r w:rsidR="00E152DC">
        <w:rPr>
          <w:rFonts w:eastAsia="Times New Roman"/>
          <w:color w:val="000000"/>
        </w:rPr>
        <w:t xml:space="preserve">and we are </w:t>
      </w:r>
      <w:r w:rsidR="00E152DC">
        <w:rPr>
          <w:rFonts w:eastAsia="Times New Roman"/>
          <w:color w:val="000000"/>
        </w:rPr>
        <w:lastRenderedPageBreak/>
        <w:t>reluctant to rely on any one alternative to support the special circumstance finding when w</w:t>
      </w:r>
      <w:r w:rsidR="007C2021">
        <w:rPr>
          <w:rFonts w:eastAsia="Times New Roman"/>
          <w:color w:val="000000"/>
        </w:rPr>
        <w:t xml:space="preserve">e </w:t>
      </w:r>
      <w:r w:rsidR="00E152DC">
        <w:rPr>
          <w:rFonts w:eastAsia="Times New Roman"/>
          <w:color w:val="000000"/>
        </w:rPr>
        <w:t>can</w:t>
      </w:r>
      <w:r w:rsidR="009D1915">
        <w:rPr>
          <w:rFonts w:eastAsia="Times New Roman"/>
          <w:color w:val="000000"/>
        </w:rPr>
        <w:t xml:space="preserve"> </w:t>
      </w:r>
      <w:r w:rsidR="00893429">
        <w:rPr>
          <w:rFonts w:eastAsia="Times New Roman"/>
          <w:color w:val="000000"/>
        </w:rPr>
        <w:t xml:space="preserve">avoid any doubt as to the validity of the finding by </w:t>
      </w:r>
      <w:r w:rsidR="007C2021">
        <w:rPr>
          <w:rFonts w:eastAsia="Times New Roman"/>
          <w:color w:val="000000"/>
        </w:rPr>
        <w:t>complet</w:t>
      </w:r>
      <w:r w:rsidR="00893429">
        <w:rPr>
          <w:rFonts w:eastAsia="Times New Roman"/>
          <w:color w:val="000000"/>
        </w:rPr>
        <w:t>ing</w:t>
      </w:r>
      <w:r w:rsidR="007C2021">
        <w:rPr>
          <w:rFonts w:eastAsia="Times New Roman"/>
          <w:color w:val="000000"/>
        </w:rPr>
        <w:t xml:space="preserve"> the circle we began in </w:t>
      </w:r>
      <w:r w:rsidR="007C2021" w:rsidRPr="00DC4D3E">
        <w:rPr>
          <w:rFonts w:eastAsia="Times New Roman"/>
          <w:i/>
          <w:iCs/>
          <w:color w:val="000000"/>
        </w:rPr>
        <w:t>Price I</w:t>
      </w:r>
      <w:r w:rsidR="007C2021">
        <w:rPr>
          <w:rFonts w:eastAsia="Times New Roman"/>
          <w:color w:val="000000"/>
        </w:rPr>
        <w:t xml:space="preserve">.  </w:t>
      </w:r>
      <w:r w:rsidR="003C661C">
        <w:rPr>
          <w:rFonts w:eastAsia="Times New Roman"/>
          <w:color w:val="000000"/>
        </w:rPr>
        <w:t>We</w:t>
      </w:r>
      <w:r w:rsidR="00DC4D3E">
        <w:rPr>
          <w:rFonts w:eastAsia="Times New Roman"/>
          <w:color w:val="000000"/>
        </w:rPr>
        <w:t xml:space="preserve"> </w:t>
      </w:r>
      <w:r w:rsidR="00AB790D">
        <w:rPr>
          <w:rFonts w:eastAsia="Times New Roman"/>
          <w:color w:val="000000"/>
        </w:rPr>
        <w:t>will</w:t>
      </w:r>
      <w:r w:rsidR="00E152DC">
        <w:rPr>
          <w:rFonts w:eastAsia="Times New Roman"/>
          <w:color w:val="000000"/>
        </w:rPr>
        <w:t xml:space="preserve"> </w:t>
      </w:r>
      <w:r w:rsidR="00DC4D3E">
        <w:rPr>
          <w:rFonts w:eastAsia="Times New Roman"/>
          <w:color w:val="000000"/>
        </w:rPr>
        <w:t xml:space="preserve">determine whether, even assuming </w:t>
      </w:r>
      <w:r w:rsidR="00E63C83">
        <w:rPr>
          <w:rFonts w:eastAsia="Times New Roman"/>
          <w:color w:val="000000"/>
        </w:rPr>
        <w:t xml:space="preserve">the jury did not find </w:t>
      </w:r>
      <w:r w:rsidR="00DC4D3E">
        <w:rPr>
          <w:rFonts w:eastAsia="Times New Roman"/>
          <w:color w:val="000000"/>
        </w:rPr>
        <w:t xml:space="preserve">Price was the actual killer </w:t>
      </w:r>
      <w:r w:rsidR="00E63C83">
        <w:rPr>
          <w:rFonts w:eastAsia="Times New Roman"/>
          <w:color w:val="000000"/>
        </w:rPr>
        <w:t>or</w:t>
      </w:r>
      <w:r w:rsidR="009218F8">
        <w:rPr>
          <w:rFonts w:eastAsia="Times New Roman"/>
          <w:color w:val="000000"/>
        </w:rPr>
        <w:t xml:space="preserve"> that she</w:t>
      </w:r>
      <w:r w:rsidR="00E63C83">
        <w:rPr>
          <w:rFonts w:eastAsia="Times New Roman"/>
          <w:color w:val="000000"/>
        </w:rPr>
        <w:t xml:space="preserve"> </w:t>
      </w:r>
      <w:r w:rsidR="00DC4D3E">
        <w:rPr>
          <w:rFonts w:eastAsia="Times New Roman"/>
          <w:color w:val="000000"/>
        </w:rPr>
        <w:t>inten</w:t>
      </w:r>
      <w:r w:rsidR="00E63C83">
        <w:rPr>
          <w:rFonts w:eastAsia="Times New Roman"/>
          <w:color w:val="000000"/>
        </w:rPr>
        <w:t>ded that</w:t>
      </w:r>
      <w:r w:rsidR="00DC4D3E">
        <w:rPr>
          <w:rFonts w:eastAsia="Times New Roman"/>
          <w:color w:val="000000"/>
        </w:rPr>
        <w:t xml:space="preserve"> </w:t>
      </w:r>
      <w:r w:rsidR="00E63C83">
        <w:rPr>
          <w:rFonts w:eastAsia="Times New Roman"/>
          <w:color w:val="000000"/>
        </w:rPr>
        <w:t>Merrill would be</w:t>
      </w:r>
      <w:r w:rsidR="00DC4D3E">
        <w:rPr>
          <w:rFonts w:eastAsia="Times New Roman"/>
          <w:color w:val="000000"/>
        </w:rPr>
        <w:t xml:space="preserve"> kill</w:t>
      </w:r>
      <w:r w:rsidR="00E63C83">
        <w:rPr>
          <w:rFonts w:eastAsia="Times New Roman"/>
          <w:color w:val="000000"/>
        </w:rPr>
        <w:t>ed</w:t>
      </w:r>
      <w:r w:rsidR="00DC4D3E">
        <w:rPr>
          <w:rFonts w:eastAsia="Times New Roman"/>
          <w:color w:val="000000"/>
        </w:rPr>
        <w:t xml:space="preserve">, </w:t>
      </w:r>
      <w:r w:rsidR="00E152DC">
        <w:rPr>
          <w:rFonts w:eastAsia="Times New Roman"/>
          <w:color w:val="000000"/>
        </w:rPr>
        <w:t>its</w:t>
      </w:r>
      <w:r w:rsidR="00194DAA">
        <w:rPr>
          <w:rFonts w:eastAsia="Times New Roman"/>
          <w:color w:val="000000"/>
        </w:rPr>
        <w:t xml:space="preserve"> </w:t>
      </w:r>
      <w:r w:rsidR="00E63C83">
        <w:rPr>
          <w:rFonts w:eastAsia="Times New Roman"/>
          <w:color w:val="000000"/>
        </w:rPr>
        <w:t xml:space="preserve">special circumstance </w:t>
      </w:r>
      <w:r w:rsidR="00194DAA">
        <w:rPr>
          <w:rFonts w:eastAsia="Times New Roman"/>
          <w:color w:val="000000"/>
        </w:rPr>
        <w:t xml:space="preserve">finding </w:t>
      </w:r>
      <w:r w:rsidR="00E152DC">
        <w:rPr>
          <w:rFonts w:eastAsia="Times New Roman"/>
          <w:color w:val="000000"/>
        </w:rPr>
        <w:t>is vali</w:t>
      </w:r>
      <w:r w:rsidR="00687C21">
        <w:rPr>
          <w:rFonts w:eastAsia="Times New Roman"/>
          <w:color w:val="000000"/>
        </w:rPr>
        <w:t>d based on any of the three</w:t>
      </w:r>
      <w:r w:rsidR="00DC4D3E">
        <w:rPr>
          <w:rFonts w:eastAsia="Times New Roman"/>
          <w:color w:val="000000"/>
        </w:rPr>
        <w:t xml:space="preserve"> </w:t>
      </w:r>
      <w:r w:rsidR="00AB790D">
        <w:rPr>
          <w:rFonts w:eastAsia="Times New Roman"/>
          <w:color w:val="000000"/>
        </w:rPr>
        <w:t xml:space="preserve">alternative </w:t>
      </w:r>
      <w:r w:rsidR="00687C21">
        <w:rPr>
          <w:rFonts w:eastAsia="Times New Roman"/>
          <w:color w:val="000000"/>
        </w:rPr>
        <w:t>bases on which</w:t>
      </w:r>
      <w:r w:rsidR="00AB790D">
        <w:rPr>
          <w:rFonts w:eastAsia="Times New Roman"/>
          <w:color w:val="000000"/>
        </w:rPr>
        <w:t xml:space="preserve"> the jury may have</w:t>
      </w:r>
      <w:r w:rsidR="00687C21">
        <w:rPr>
          <w:rFonts w:eastAsia="Times New Roman"/>
          <w:color w:val="000000"/>
        </w:rPr>
        <w:t xml:space="preserve"> relied.  We will thus review the third alternative basis for the jury’s finding, the one we did not reach on direct appeal:</w:t>
      </w:r>
      <w:r w:rsidR="00AB790D">
        <w:rPr>
          <w:rFonts w:eastAsia="Times New Roman"/>
          <w:color w:val="000000"/>
        </w:rPr>
        <w:t xml:space="preserve"> </w:t>
      </w:r>
      <w:r w:rsidR="00687C21">
        <w:rPr>
          <w:rFonts w:eastAsia="Times New Roman"/>
          <w:color w:val="000000"/>
        </w:rPr>
        <w:t xml:space="preserve"> </w:t>
      </w:r>
      <w:r w:rsidR="00DC4D3E">
        <w:rPr>
          <w:rFonts w:eastAsia="Times New Roman"/>
          <w:color w:val="000000"/>
        </w:rPr>
        <w:t xml:space="preserve">that </w:t>
      </w:r>
      <w:r w:rsidR="00B16E5D">
        <w:rPr>
          <w:rFonts w:eastAsia="Times New Roman"/>
          <w:color w:val="000000"/>
        </w:rPr>
        <w:t>Price</w:t>
      </w:r>
      <w:r w:rsidR="00DC4D3E">
        <w:rPr>
          <w:rFonts w:eastAsia="Times New Roman"/>
          <w:color w:val="000000"/>
        </w:rPr>
        <w:t xml:space="preserve"> was a major participant in the felony</w:t>
      </w:r>
      <w:r w:rsidR="00FB5834">
        <w:rPr>
          <w:rFonts w:eastAsia="Times New Roman"/>
          <w:color w:val="000000"/>
        </w:rPr>
        <w:t xml:space="preserve"> </w:t>
      </w:r>
      <w:r w:rsidR="00DC4D3E">
        <w:rPr>
          <w:rFonts w:eastAsia="Times New Roman"/>
          <w:color w:val="000000"/>
        </w:rPr>
        <w:t xml:space="preserve">murder and acted with reckless </w:t>
      </w:r>
      <w:r w:rsidR="005958EF">
        <w:rPr>
          <w:rFonts w:eastAsia="Times New Roman"/>
          <w:color w:val="000000"/>
        </w:rPr>
        <w:t>indifference</w:t>
      </w:r>
      <w:r w:rsidR="00DC4D3E">
        <w:rPr>
          <w:rFonts w:eastAsia="Times New Roman"/>
          <w:color w:val="000000"/>
        </w:rPr>
        <w:t xml:space="preserve"> of </w:t>
      </w:r>
      <w:r w:rsidR="00E63C83">
        <w:rPr>
          <w:rFonts w:eastAsia="Times New Roman"/>
          <w:color w:val="000000"/>
        </w:rPr>
        <w:t xml:space="preserve">a grave risk to </w:t>
      </w:r>
      <w:r w:rsidR="00DC4D3E">
        <w:rPr>
          <w:rFonts w:eastAsia="Times New Roman"/>
          <w:color w:val="000000"/>
        </w:rPr>
        <w:t xml:space="preserve">human life.  </w:t>
      </w:r>
      <w:r w:rsidR="00E63C83">
        <w:rPr>
          <w:rFonts w:eastAsia="Times New Roman"/>
          <w:color w:val="000000"/>
        </w:rPr>
        <w:t>I</w:t>
      </w:r>
      <w:r w:rsidR="00E152DC">
        <w:rPr>
          <w:rFonts w:eastAsia="Times New Roman"/>
          <w:color w:val="000000"/>
        </w:rPr>
        <w:t>f</w:t>
      </w:r>
      <w:r w:rsidR="00E63C83">
        <w:rPr>
          <w:rFonts w:eastAsia="Times New Roman"/>
          <w:color w:val="000000"/>
        </w:rPr>
        <w:t xml:space="preserve"> </w:t>
      </w:r>
      <w:r w:rsidR="00687C21">
        <w:rPr>
          <w:rFonts w:eastAsia="Times New Roman"/>
          <w:color w:val="000000"/>
        </w:rPr>
        <w:t>substantial evidence supports those findings and Price’s conduct and mental state meet</w:t>
      </w:r>
      <w:r w:rsidR="0055224A">
        <w:rPr>
          <w:rFonts w:eastAsia="Times New Roman"/>
          <w:color w:val="000000"/>
        </w:rPr>
        <w:t xml:space="preserve"> </w:t>
      </w:r>
      <w:r w:rsidR="00373D20">
        <w:rPr>
          <w:rFonts w:eastAsia="Times New Roman"/>
          <w:color w:val="000000"/>
        </w:rPr>
        <w:t>the minimum culpability requireme</w:t>
      </w:r>
      <w:r w:rsidR="00687C21">
        <w:rPr>
          <w:rFonts w:eastAsia="Times New Roman"/>
          <w:color w:val="000000"/>
        </w:rPr>
        <w:t>n</w:t>
      </w:r>
      <w:r w:rsidR="00373D20">
        <w:rPr>
          <w:rFonts w:eastAsia="Times New Roman"/>
          <w:color w:val="000000"/>
        </w:rPr>
        <w:t>t</w:t>
      </w:r>
      <w:r w:rsidR="00687C21">
        <w:rPr>
          <w:rFonts w:eastAsia="Times New Roman"/>
          <w:color w:val="000000"/>
        </w:rPr>
        <w:t>s</w:t>
      </w:r>
      <w:r w:rsidR="00373D20">
        <w:rPr>
          <w:rFonts w:eastAsia="Times New Roman"/>
          <w:color w:val="000000"/>
        </w:rPr>
        <w:t xml:space="preserve"> </w:t>
      </w:r>
      <w:r w:rsidR="00845EEF">
        <w:rPr>
          <w:rFonts w:eastAsia="Times New Roman"/>
          <w:color w:val="000000"/>
        </w:rPr>
        <w:t xml:space="preserve">established in </w:t>
      </w:r>
      <w:r w:rsidR="0055224A">
        <w:rPr>
          <w:rFonts w:eastAsia="Times New Roman"/>
          <w:i/>
          <w:iCs/>
          <w:color w:val="000000"/>
        </w:rPr>
        <w:t xml:space="preserve">Banks </w:t>
      </w:r>
      <w:r w:rsidR="0055224A">
        <w:rPr>
          <w:rFonts w:eastAsia="Times New Roman"/>
          <w:color w:val="000000"/>
        </w:rPr>
        <w:t xml:space="preserve">and </w:t>
      </w:r>
      <w:r w:rsidR="0055224A" w:rsidRPr="0055224A">
        <w:rPr>
          <w:rFonts w:eastAsia="Times New Roman"/>
          <w:i/>
          <w:iCs/>
          <w:color w:val="000000"/>
        </w:rPr>
        <w:t>Clark</w:t>
      </w:r>
      <w:r w:rsidR="00687C21">
        <w:rPr>
          <w:rFonts w:eastAsia="Times New Roman"/>
          <w:color w:val="000000"/>
        </w:rPr>
        <w:t>, the special circumstance finding is valid and precludes any further challenge to that finding.</w:t>
      </w:r>
    </w:p>
    <w:p w14:paraId="10947F57" w14:textId="74F86200" w:rsidR="00B16E5D" w:rsidRDefault="00F255BF" w:rsidP="008166BF">
      <w:pPr>
        <w:spacing w:line="360" w:lineRule="auto"/>
        <w:ind w:firstLine="720"/>
        <w:rPr>
          <w:rFonts w:eastAsia="Times New Roman"/>
          <w:color w:val="000000"/>
        </w:rPr>
      </w:pPr>
      <w:r>
        <w:rPr>
          <w:rFonts w:eastAsia="Times New Roman"/>
          <w:color w:val="000000"/>
        </w:rPr>
        <w:t xml:space="preserve">Applying the </w:t>
      </w:r>
      <w:r w:rsidRPr="007C11EA">
        <w:rPr>
          <w:rFonts w:eastAsia="Times New Roman"/>
          <w:i/>
          <w:iCs/>
          <w:color w:val="000000"/>
        </w:rPr>
        <w:t>Banks</w:t>
      </w:r>
      <w:r>
        <w:rPr>
          <w:rFonts w:eastAsia="Times New Roman"/>
          <w:color w:val="000000"/>
        </w:rPr>
        <w:t xml:space="preserve"> and </w:t>
      </w:r>
      <w:r w:rsidRPr="007C11EA">
        <w:rPr>
          <w:rFonts w:eastAsia="Times New Roman"/>
          <w:i/>
          <w:iCs/>
          <w:color w:val="000000"/>
        </w:rPr>
        <w:t>Clark</w:t>
      </w:r>
      <w:r>
        <w:rPr>
          <w:rFonts w:eastAsia="Times New Roman"/>
          <w:color w:val="000000"/>
        </w:rPr>
        <w:t xml:space="preserve"> factors, </w:t>
      </w:r>
      <w:r w:rsidR="007C11EA">
        <w:rPr>
          <w:rFonts w:eastAsia="Times New Roman"/>
          <w:color w:val="000000"/>
        </w:rPr>
        <w:t xml:space="preserve">we conclude </w:t>
      </w:r>
      <w:r w:rsidR="00845EEF">
        <w:rPr>
          <w:rFonts w:eastAsia="Times New Roman"/>
          <w:color w:val="000000"/>
        </w:rPr>
        <w:t xml:space="preserve">that on this record </w:t>
      </w:r>
      <w:r>
        <w:rPr>
          <w:rFonts w:eastAsia="Times New Roman"/>
          <w:color w:val="000000"/>
        </w:rPr>
        <w:t>the jury could readily have found beyond a reasonable doubt that Price was a major participant in the felony</w:t>
      </w:r>
      <w:r w:rsidR="00FB5834">
        <w:rPr>
          <w:rFonts w:eastAsia="Times New Roman"/>
          <w:color w:val="000000"/>
        </w:rPr>
        <w:t xml:space="preserve"> </w:t>
      </w:r>
      <w:r>
        <w:rPr>
          <w:rFonts w:eastAsia="Times New Roman"/>
          <w:color w:val="000000"/>
        </w:rPr>
        <w:t xml:space="preserve">murder and acted with reckless </w:t>
      </w:r>
      <w:r w:rsidR="00216372">
        <w:rPr>
          <w:rFonts w:eastAsia="Times New Roman"/>
          <w:color w:val="000000"/>
        </w:rPr>
        <w:t>indifference</w:t>
      </w:r>
      <w:r>
        <w:rPr>
          <w:rFonts w:eastAsia="Times New Roman"/>
          <w:color w:val="000000"/>
        </w:rPr>
        <w:t xml:space="preserve"> to human life within the meaning of </w:t>
      </w:r>
      <w:r w:rsidRPr="00B16E5D">
        <w:rPr>
          <w:rFonts w:eastAsia="Times New Roman"/>
          <w:i/>
          <w:iCs/>
          <w:color w:val="000000"/>
        </w:rPr>
        <w:t>Banks</w:t>
      </w:r>
      <w:r>
        <w:rPr>
          <w:rFonts w:eastAsia="Times New Roman"/>
          <w:color w:val="000000"/>
        </w:rPr>
        <w:t xml:space="preserve"> and </w:t>
      </w:r>
      <w:r w:rsidRPr="00B16E5D">
        <w:rPr>
          <w:rFonts w:eastAsia="Times New Roman"/>
          <w:i/>
          <w:iCs/>
          <w:color w:val="000000"/>
        </w:rPr>
        <w:t>Clark</w:t>
      </w:r>
      <w:r>
        <w:rPr>
          <w:rFonts w:eastAsia="Times New Roman"/>
          <w:color w:val="000000"/>
        </w:rPr>
        <w:t xml:space="preserve">.  </w:t>
      </w:r>
      <w:r w:rsidR="00A11B06">
        <w:rPr>
          <w:rFonts w:eastAsia="Times New Roman"/>
          <w:color w:val="000000"/>
        </w:rPr>
        <w:t>We begin with</w:t>
      </w:r>
      <w:r w:rsidR="00216372">
        <w:rPr>
          <w:rFonts w:eastAsia="Times New Roman"/>
          <w:color w:val="000000"/>
        </w:rPr>
        <w:t xml:space="preserve"> whether </w:t>
      </w:r>
      <w:r>
        <w:rPr>
          <w:rFonts w:eastAsia="Times New Roman"/>
          <w:color w:val="000000"/>
        </w:rPr>
        <w:t>Price</w:t>
      </w:r>
      <w:r w:rsidR="00216372">
        <w:rPr>
          <w:rFonts w:eastAsia="Times New Roman"/>
          <w:color w:val="000000"/>
        </w:rPr>
        <w:t xml:space="preserve"> was a major participant</w:t>
      </w:r>
      <w:r w:rsidR="00A11B06">
        <w:rPr>
          <w:rFonts w:eastAsia="Times New Roman"/>
          <w:color w:val="000000"/>
        </w:rPr>
        <w:t xml:space="preserve">.  </w:t>
      </w:r>
      <w:r w:rsidR="00687C21">
        <w:rPr>
          <w:rFonts w:eastAsia="Times New Roman"/>
          <w:color w:val="000000"/>
        </w:rPr>
        <w:t>Price’s</w:t>
      </w:r>
      <w:r>
        <w:rPr>
          <w:rFonts w:eastAsia="Times New Roman"/>
          <w:color w:val="000000"/>
        </w:rPr>
        <w:t xml:space="preserve"> role in planning the criminal enterprise was substantial.  As we said in </w:t>
      </w:r>
      <w:r w:rsidRPr="007C11EA">
        <w:rPr>
          <w:rFonts w:eastAsia="Times New Roman"/>
          <w:i/>
          <w:iCs/>
          <w:color w:val="000000"/>
        </w:rPr>
        <w:t>Price I</w:t>
      </w:r>
      <w:r>
        <w:rPr>
          <w:rFonts w:eastAsia="Times New Roman"/>
          <w:color w:val="000000"/>
        </w:rPr>
        <w:t>, “[s]he participated in the crime from beginning to end, including driving to San Francisco, picking [the victim] up, taking (and keeping) his iPhone, returning to Pittsburg with him inebriated and passed out in the backseat of the car, stopping at Fells’</w:t>
      </w:r>
      <w:r w:rsidR="00280CF1">
        <w:rPr>
          <w:rFonts w:eastAsia="Times New Roman"/>
          <w:color w:val="000000"/>
        </w:rPr>
        <w:t>s</w:t>
      </w:r>
      <w:r>
        <w:rPr>
          <w:rFonts w:eastAsia="Times New Roman"/>
          <w:color w:val="000000"/>
        </w:rPr>
        <w:t xml:space="preserve"> house to get Fells’s gun, taking the gun and Merrill to the park, participating in a further effort to rob him there and, after he was shot, leaving him </w:t>
      </w:r>
      <w:r w:rsidR="0050768A">
        <w:rPr>
          <w:rFonts w:eastAsia="Times New Roman"/>
          <w:color w:val="000000"/>
        </w:rPr>
        <w:t xml:space="preserve">in the park </w:t>
      </w:r>
      <w:r w:rsidR="00BF16F1">
        <w:rPr>
          <w:rFonts w:eastAsia="Times New Roman"/>
          <w:color w:val="000000"/>
        </w:rPr>
        <w:t xml:space="preserve">alone </w:t>
      </w:r>
      <w:r w:rsidR="0050768A">
        <w:rPr>
          <w:rFonts w:eastAsia="Times New Roman"/>
          <w:color w:val="000000"/>
        </w:rPr>
        <w:t>to die.”  (</w:t>
      </w:r>
      <w:r w:rsidR="0050768A" w:rsidRPr="0050768A">
        <w:rPr>
          <w:rFonts w:eastAsia="Times New Roman"/>
          <w:i/>
          <w:iCs/>
          <w:color w:val="000000"/>
        </w:rPr>
        <w:t>Price I</w:t>
      </w:r>
      <w:r w:rsidR="0050768A">
        <w:rPr>
          <w:rFonts w:eastAsia="Times New Roman"/>
          <w:color w:val="000000"/>
        </w:rPr>
        <w:t xml:space="preserve">, </w:t>
      </w:r>
      <w:r w:rsidR="00BF16F1">
        <w:rPr>
          <w:rFonts w:eastAsia="Times New Roman"/>
          <w:i/>
          <w:iCs/>
          <w:color w:val="000000"/>
        </w:rPr>
        <w:t xml:space="preserve">supra, </w:t>
      </w:r>
      <w:r w:rsidR="0050768A">
        <w:rPr>
          <w:rFonts w:eastAsia="Times New Roman"/>
          <w:color w:val="000000"/>
        </w:rPr>
        <w:t xml:space="preserve">8 Cal.App.5th </w:t>
      </w:r>
      <w:r w:rsidR="00BF16F1">
        <w:rPr>
          <w:rFonts w:eastAsia="Times New Roman"/>
          <w:color w:val="000000"/>
        </w:rPr>
        <w:t>at pp.</w:t>
      </w:r>
      <w:r w:rsidR="0050768A">
        <w:rPr>
          <w:rFonts w:eastAsia="Times New Roman"/>
          <w:color w:val="000000"/>
        </w:rPr>
        <w:t xml:space="preserve"> 453-454.)  </w:t>
      </w:r>
    </w:p>
    <w:p w14:paraId="11ABBB57" w14:textId="36229A4C" w:rsidR="007A6CBC" w:rsidRDefault="00F255BF" w:rsidP="008166BF">
      <w:pPr>
        <w:spacing w:line="360" w:lineRule="auto"/>
        <w:ind w:firstLine="720"/>
        <w:rPr>
          <w:rFonts w:eastAsia="Times New Roman"/>
          <w:color w:val="000000"/>
        </w:rPr>
      </w:pPr>
      <w:r>
        <w:rPr>
          <w:rFonts w:eastAsia="Times New Roman"/>
          <w:color w:val="000000"/>
        </w:rPr>
        <w:lastRenderedPageBreak/>
        <w:t xml:space="preserve">While the evidence of planning is circumstantial, </w:t>
      </w:r>
      <w:r w:rsidR="007C11EA">
        <w:rPr>
          <w:rFonts w:eastAsia="Times New Roman"/>
          <w:color w:val="000000"/>
        </w:rPr>
        <w:t>Price’s</w:t>
      </w:r>
      <w:r w:rsidR="009D42FA">
        <w:rPr>
          <w:rFonts w:eastAsia="Times New Roman"/>
          <w:color w:val="000000"/>
        </w:rPr>
        <w:t xml:space="preserve"> role as the prim</w:t>
      </w:r>
      <w:r w:rsidR="007C11EA">
        <w:rPr>
          <w:rFonts w:eastAsia="Times New Roman"/>
          <w:color w:val="000000"/>
        </w:rPr>
        <w:t>ary</w:t>
      </w:r>
      <w:r w:rsidR="009D42FA">
        <w:rPr>
          <w:rFonts w:eastAsia="Times New Roman"/>
          <w:color w:val="000000"/>
        </w:rPr>
        <w:t xml:space="preserve"> planner and decisionmaker in the crime was established by the </w:t>
      </w:r>
      <w:r w:rsidR="00687C21">
        <w:rPr>
          <w:rFonts w:eastAsia="Times New Roman"/>
          <w:color w:val="000000"/>
        </w:rPr>
        <w:t xml:space="preserve">evidence of the following facts.  </w:t>
      </w:r>
      <w:r w:rsidR="00465F80">
        <w:rPr>
          <w:rFonts w:eastAsia="Times New Roman"/>
          <w:color w:val="000000"/>
        </w:rPr>
        <w:t>On</w:t>
      </w:r>
      <w:r w:rsidR="009D42FA">
        <w:rPr>
          <w:rFonts w:eastAsia="Times New Roman"/>
          <w:color w:val="000000"/>
        </w:rPr>
        <w:t xml:space="preserve"> the night of the </w:t>
      </w:r>
      <w:r w:rsidR="00465F80">
        <w:rPr>
          <w:rFonts w:eastAsia="Times New Roman"/>
          <w:color w:val="000000"/>
        </w:rPr>
        <w:t>robbery and shooting, she learned</w:t>
      </w:r>
      <w:r w:rsidR="009D42FA">
        <w:rPr>
          <w:rFonts w:eastAsia="Times New Roman"/>
          <w:color w:val="000000"/>
        </w:rPr>
        <w:t xml:space="preserve"> Fells had acquired a gun</w:t>
      </w:r>
      <w:r w:rsidR="00E63C83">
        <w:rPr>
          <w:rFonts w:eastAsia="Times New Roman"/>
          <w:color w:val="000000"/>
        </w:rPr>
        <w:t xml:space="preserve">. </w:t>
      </w:r>
      <w:r w:rsidR="009D42FA">
        <w:rPr>
          <w:rFonts w:eastAsia="Times New Roman"/>
          <w:color w:val="000000"/>
        </w:rPr>
        <w:t xml:space="preserve"> </w:t>
      </w:r>
      <w:r w:rsidR="00465F80">
        <w:rPr>
          <w:rFonts w:eastAsia="Times New Roman"/>
          <w:color w:val="000000"/>
        </w:rPr>
        <w:t>After picking up the inebriated Merrill, s</w:t>
      </w:r>
      <w:r w:rsidR="009D42FA">
        <w:rPr>
          <w:rFonts w:eastAsia="Times New Roman"/>
          <w:color w:val="000000"/>
        </w:rPr>
        <w:t xml:space="preserve">he took </w:t>
      </w:r>
      <w:r w:rsidR="00E63C83">
        <w:rPr>
          <w:rFonts w:eastAsia="Times New Roman"/>
          <w:color w:val="000000"/>
        </w:rPr>
        <w:t xml:space="preserve">possession of </w:t>
      </w:r>
      <w:r w:rsidR="00465F80">
        <w:rPr>
          <w:rFonts w:eastAsia="Times New Roman"/>
          <w:color w:val="000000"/>
        </w:rPr>
        <w:t>his</w:t>
      </w:r>
      <w:r>
        <w:rPr>
          <w:rFonts w:eastAsia="Times New Roman"/>
          <w:color w:val="000000"/>
        </w:rPr>
        <w:t xml:space="preserve"> iPhone</w:t>
      </w:r>
      <w:r w:rsidR="00E63C83">
        <w:rPr>
          <w:rFonts w:eastAsia="Times New Roman"/>
          <w:color w:val="000000"/>
        </w:rPr>
        <w:t xml:space="preserve"> and</w:t>
      </w:r>
      <w:r>
        <w:rPr>
          <w:rFonts w:eastAsia="Times New Roman"/>
          <w:color w:val="000000"/>
        </w:rPr>
        <w:t xml:space="preserve"> us</w:t>
      </w:r>
      <w:r w:rsidR="009D42FA">
        <w:rPr>
          <w:rFonts w:eastAsia="Times New Roman"/>
          <w:color w:val="000000"/>
        </w:rPr>
        <w:t>ed</w:t>
      </w:r>
      <w:r>
        <w:rPr>
          <w:rFonts w:eastAsia="Times New Roman"/>
          <w:color w:val="000000"/>
        </w:rPr>
        <w:t xml:space="preserve"> </w:t>
      </w:r>
      <w:r w:rsidR="00E63C83">
        <w:rPr>
          <w:rFonts w:eastAsia="Times New Roman"/>
          <w:color w:val="000000"/>
        </w:rPr>
        <w:t>it</w:t>
      </w:r>
      <w:r>
        <w:rPr>
          <w:rFonts w:eastAsia="Times New Roman"/>
          <w:color w:val="000000"/>
        </w:rPr>
        <w:t xml:space="preserve"> </w:t>
      </w:r>
      <w:r w:rsidR="00465F80">
        <w:rPr>
          <w:rFonts w:eastAsia="Times New Roman"/>
          <w:color w:val="000000"/>
        </w:rPr>
        <w:t xml:space="preserve">in the car </w:t>
      </w:r>
      <w:r>
        <w:rPr>
          <w:rFonts w:eastAsia="Times New Roman"/>
          <w:color w:val="000000"/>
        </w:rPr>
        <w:t xml:space="preserve">on the way back to Pittsburg to </w:t>
      </w:r>
      <w:r w:rsidR="009D42FA">
        <w:rPr>
          <w:rFonts w:eastAsia="Times New Roman"/>
          <w:color w:val="000000"/>
        </w:rPr>
        <w:t>place</w:t>
      </w:r>
      <w:r>
        <w:rPr>
          <w:rFonts w:eastAsia="Times New Roman"/>
          <w:color w:val="000000"/>
        </w:rPr>
        <w:t xml:space="preserve"> more than 20 calls to Fells</w:t>
      </w:r>
      <w:r w:rsidR="009D42FA">
        <w:rPr>
          <w:rFonts w:eastAsia="Times New Roman"/>
          <w:color w:val="000000"/>
        </w:rPr>
        <w:t>’</w:t>
      </w:r>
      <w:r w:rsidR="00194DAA">
        <w:rPr>
          <w:rFonts w:eastAsia="Times New Roman"/>
          <w:color w:val="000000"/>
        </w:rPr>
        <w:t>s</w:t>
      </w:r>
      <w:r>
        <w:rPr>
          <w:rFonts w:eastAsia="Times New Roman"/>
          <w:color w:val="000000"/>
        </w:rPr>
        <w:t xml:space="preserve"> and Edosa</w:t>
      </w:r>
      <w:r w:rsidR="009D42FA">
        <w:rPr>
          <w:rFonts w:eastAsia="Times New Roman"/>
          <w:color w:val="000000"/>
        </w:rPr>
        <w:t>’s phone</w:t>
      </w:r>
      <w:r w:rsidR="007C11EA">
        <w:rPr>
          <w:rFonts w:eastAsia="Times New Roman"/>
          <w:color w:val="000000"/>
        </w:rPr>
        <w:t xml:space="preserve">. </w:t>
      </w:r>
      <w:r w:rsidR="009D42FA">
        <w:rPr>
          <w:rFonts w:eastAsia="Times New Roman"/>
          <w:color w:val="000000"/>
        </w:rPr>
        <w:t xml:space="preserve"> </w:t>
      </w:r>
      <w:r w:rsidR="00B16E5D">
        <w:rPr>
          <w:rFonts w:eastAsia="Times New Roman"/>
          <w:color w:val="000000"/>
        </w:rPr>
        <w:t>The</w:t>
      </w:r>
      <w:r w:rsidR="00465F80">
        <w:rPr>
          <w:rFonts w:eastAsia="Times New Roman"/>
          <w:color w:val="000000"/>
        </w:rPr>
        <w:t xml:space="preserve"> jury could infer from those</w:t>
      </w:r>
      <w:r w:rsidR="00B16E5D">
        <w:rPr>
          <w:rFonts w:eastAsia="Times New Roman"/>
          <w:color w:val="000000"/>
        </w:rPr>
        <w:t xml:space="preserve"> calls </w:t>
      </w:r>
      <w:r w:rsidR="00465F80">
        <w:rPr>
          <w:rFonts w:eastAsia="Times New Roman"/>
          <w:color w:val="000000"/>
        </w:rPr>
        <w:t>that</w:t>
      </w:r>
      <w:r w:rsidR="00B16E5D">
        <w:rPr>
          <w:rFonts w:eastAsia="Times New Roman"/>
          <w:color w:val="000000"/>
        </w:rPr>
        <w:t xml:space="preserve"> she was </w:t>
      </w:r>
      <w:r w:rsidR="00257C52">
        <w:rPr>
          <w:rFonts w:eastAsia="Times New Roman"/>
          <w:color w:val="000000"/>
        </w:rPr>
        <w:t xml:space="preserve">already </w:t>
      </w:r>
      <w:r w:rsidR="00B16E5D">
        <w:rPr>
          <w:rFonts w:eastAsia="Times New Roman"/>
          <w:color w:val="000000"/>
        </w:rPr>
        <w:t xml:space="preserve">planning to pick up Fells and take </w:t>
      </w:r>
      <w:r w:rsidR="00465F80">
        <w:rPr>
          <w:rFonts w:eastAsia="Times New Roman"/>
          <w:color w:val="000000"/>
        </w:rPr>
        <w:t>her</w:t>
      </w:r>
      <w:r w:rsidR="00B16E5D">
        <w:rPr>
          <w:rFonts w:eastAsia="Times New Roman"/>
          <w:color w:val="000000"/>
        </w:rPr>
        <w:t xml:space="preserve"> gun while </w:t>
      </w:r>
      <w:r w:rsidR="00257C52">
        <w:rPr>
          <w:rFonts w:eastAsia="Times New Roman"/>
          <w:color w:val="000000"/>
        </w:rPr>
        <w:t xml:space="preserve">she and Brown were </w:t>
      </w:r>
      <w:r w:rsidR="00B16E5D">
        <w:rPr>
          <w:rFonts w:eastAsia="Times New Roman"/>
          <w:color w:val="000000"/>
        </w:rPr>
        <w:t xml:space="preserve">in the car </w:t>
      </w:r>
      <w:r w:rsidR="00465F80">
        <w:rPr>
          <w:rFonts w:eastAsia="Times New Roman"/>
          <w:color w:val="000000"/>
        </w:rPr>
        <w:t>driving back across the bridge</w:t>
      </w:r>
      <w:r w:rsidR="00B16E5D">
        <w:rPr>
          <w:rFonts w:eastAsia="Times New Roman"/>
          <w:color w:val="000000"/>
        </w:rPr>
        <w:t xml:space="preserve"> with Merrill in tow.  </w:t>
      </w:r>
      <w:r w:rsidR="00465F80">
        <w:rPr>
          <w:rFonts w:eastAsia="Times New Roman"/>
          <w:color w:val="000000"/>
        </w:rPr>
        <w:t xml:space="preserve">The inference is bolstered by the fact that </w:t>
      </w:r>
      <w:r w:rsidR="00B16E5D">
        <w:rPr>
          <w:rFonts w:eastAsia="Times New Roman"/>
          <w:color w:val="000000"/>
        </w:rPr>
        <w:t>she did</w:t>
      </w:r>
      <w:r w:rsidR="00465F80">
        <w:rPr>
          <w:rFonts w:eastAsia="Times New Roman"/>
          <w:color w:val="000000"/>
        </w:rPr>
        <w:t xml:space="preserve"> just that</w:t>
      </w:r>
      <w:r w:rsidR="00B16E5D">
        <w:rPr>
          <w:rFonts w:eastAsia="Times New Roman"/>
          <w:color w:val="000000"/>
        </w:rPr>
        <w:t xml:space="preserve">.  </w:t>
      </w:r>
      <w:r w:rsidR="007C11EA">
        <w:rPr>
          <w:rFonts w:eastAsia="Times New Roman"/>
          <w:color w:val="000000"/>
        </w:rPr>
        <w:t>S</w:t>
      </w:r>
      <w:r w:rsidR="009D42FA">
        <w:rPr>
          <w:rFonts w:eastAsia="Times New Roman"/>
          <w:color w:val="000000"/>
        </w:rPr>
        <w:t>he</w:t>
      </w:r>
      <w:r w:rsidR="00E63C83">
        <w:rPr>
          <w:rFonts w:eastAsia="Times New Roman"/>
          <w:color w:val="000000"/>
        </w:rPr>
        <w:t xml:space="preserve"> </w:t>
      </w:r>
      <w:r w:rsidR="00495C53">
        <w:rPr>
          <w:rFonts w:eastAsia="Times New Roman"/>
          <w:color w:val="000000"/>
        </w:rPr>
        <w:t>and Brown</w:t>
      </w:r>
      <w:r w:rsidR="0097776A">
        <w:rPr>
          <w:rFonts w:eastAsia="Times New Roman"/>
          <w:color w:val="000000"/>
        </w:rPr>
        <w:t>, with Merrill passed out in the car,</w:t>
      </w:r>
      <w:r w:rsidR="00495C53">
        <w:rPr>
          <w:rFonts w:eastAsia="Times New Roman"/>
          <w:color w:val="000000"/>
        </w:rPr>
        <w:t xml:space="preserve"> </w:t>
      </w:r>
      <w:r w:rsidR="009D42FA">
        <w:rPr>
          <w:rFonts w:eastAsia="Times New Roman"/>
          <w:color w:val="000000"/>
        </w:rPr>
        <w:t>returned to Fells and Edosa’s house</w:t>
      </w:r>
      <w:r w:rsidR="007C11EA">
        <w:rPr>
          <w:rFonts w:eastAsia="Times New Roman"/>
          <w:color w:val="000000"/>
        </w:rPr>
        <w:t xml:space="preserve"> </w:t>
      </w:r>
      <w:r w:rsidR="00465F80">
        <w:rPr>
          <w:rFonts w:eastAsia="Times New Roman"/>
          <w:color w:val="000000"/>
        </w:rPr>
        <w:t>where</w:t>
      </w:r>
      <w:r w:rsidR="00495C53">
        <w:rPr>
          <w:rFonts w:eastAsia="Times New Roman"/>
          <w:color w:val="000000"/>
        </w:rPr>
        <w:t xml:space="preserve"> she</w:t>
      </w:r>
      <w:r w:rsidR="00465F80">
        <w:rPr>
          <w:rFonts w:eastAsia="Times New Roman"/>
          <w:color w:val="000000"/>
        </w:rPr>
        <w:t xml:space="preserve"> entered the house, asked why Fells and Edosa had not picked up their phone, went to the room where Fells was sleeping, </w:t>
      </w:r>
      <w:r w:rsidR="00B16E5D">
        <w:rPr>
          <w:rFonts w:eastAsia="Times New Roman"/>
          <w:color w:val="000000"/>
        </w:rPr>
        <w:t>convinced Fells to accompany her on a “ride,”</w:t>
      </w:r>
      <w:r w:rsidR="00E63C83">
        <w:rPr>
          <w:rFonts w:eastAsia="Times New Roman"/>
          <w:color w:val="000000"/>
        </w:rPr>
        <w:t xml:space="preserve"> </w:t>
      </w:r>
      <w:r>
        <w:rPr>
          <w:rFonts w:eastAsia="Times New Roman"/>
          <w:color w:val="000000"/>
        </w:rPr>
        <w:t>retriev</w:t>
      </w:r>
      <w:r w:rsidR="009D42FA">
        <w:rPr>
          <w:rFonts w:eastAsia="Times New Roman"/>
          <w:color w:val="000000"/>
        </w:rPr>
        <w:t>ed</w:t>
      </w:r>
      <w:r>
        <w:rPr>
          <w:rFonts w:eastAsia="Times New Roman"/>
          <w:color w:val="000000"/>
        </w:rPr>
        <w:t xml:space="preserve"> Fells’s </w:t>
      </w:r>
      <w:r w:rsidR="00B16E5D">
        <w:rPr>
          <w:rFonts w:eastAsia="Times New Roman"/>
          <w:color w:val="000000"/>
        </w:rPr>
        <w:t xml:space="preserve">loaded </w:t>
      </w:r>
      <w:r>
        <w:rPr>
          <w:rFonts w:eastAsia="Times New Roman"/>
          <w:color w:val="000000"/>
        </w:rPr>
        <w:t>gun</w:t>
      </w:r>
      <w:r w:rsidR="009D42FA">
        <w:rPr>
          <w:rFonts w:eastAsia="Times New Roman"/>
          <w:color w:val="000000"/>
        </w:rPr>
        <w:t xml:space="preserve"> from the </w:t>
      </w:r>
      <w:r w:rsidR="00B16E5D">
        <w:rPr>
          <w:rFonts w:eastAsia="Times New Roman"/>
          <w:color w:val="000000"/>
        </w:rPr>
        <w:t xml:space="preserve">drawer in the </w:t>
      </w:r>
      <w:r w:rsidR="009D42FA">
        <w:rPr>
          <w:rFonts w:eastAsia="Times New Roman"/>
          <w:color w:val="000000"/>
        </w:rPr>
        <w:t>bedroom</w:t>
      </w:r>
      <w:r w:rsidR="00E63C83">
        <w:rPr>
          <w:rFonts w:eastAsia="Times New Roman"/>
          <w:color w:val="000000"/>
        </w:rPr>
        <w:t>, put it in her jacket</w:t>
      </w:r>
      <w:r>
        <w:rPr>
          <w:rFonts w:eastAsia="Times New Roman"/>
          <w:color w:val="000000"/>
        </w:rPr>
        <w:t xml:space="preserve"> </w:t>
      </w:r>
      <w:r w:rsidR="009D42FA">
        <w:rPr>
          <w:rFonts w:eastAsia="Times New Roman"/>
          <w:color w:val="000000"/>
        </w:rPr>
        <w:t>and took</w:t>
      </w:r>
      <w:r>
        <w:rPr>
          <w:rFonts w:eastAsia="Times New Roman"/>
          <w:color w:val="000000"/>
        </w:rPr>
        <w:t xml:space="preserve"> </w:t>
      </w:r>
      <w:r w:rsidR="00E63C83">
        <w:rPr>
          <w:rFonts w:eastAsia="Times New Roman"/>
          <w:color w:val="000000"/>
        </w:rPr>
        <w:t>it</w:t>
      </w:r>
      <w:r w:rsidR="00B849C1">
        <w:rPr>
          <w:rFonts w:eastAsia="Times New Roman"/>
          <w:color w:val="000000"/>
        </w:rPr>
        <w:t xml:space="preserve"> along</w:t>
      </w:r>
      <w:r w:rsidR="00465F80">
        <w:rPr>
          <w:rFonts w:eastAsia="Times New Roman"/>
          <w:color w:val="000000"/>
        </w:rPr>
        <w:t xml:space="preserve"> with her</w:t>
      </w:r>
      <w:r>
        <w:rPr>
          <w:rFonts w:eastAsia="Times New Roman"/>
          <w:color w:val="000000"/>
        </w:rPr>
        <w:t xml:space="preserve"> to the </w:t>
      </w:r>
      <w:r w:rsidR="00B16E5D">
        <w:rPr>
          <w:rFonts w:eastAsia="Times New Roman"/>
          <w:color w:val="000000"/>
        </w:rPr>
        <w:t xml:space="preserve">dimly lit nearby </w:t>
      </w:r>
      <w:r>
        <w:rPr>
          <w:rFonts w:eastAsia="Times New Roman"/>
          <w:color w:val="000000"/>
        </w:rPr>
        <w:t>park</w:t>
      </w:r>
      <w:r w:rsidR="007C11EA">
        <w:rPr>
          <w:rFonts w:eastAsia="Times New Roman"/>
          <w:color w:val="000000"/>
        </w:rPr>
        <w:t>.</w:t>
      </w:r>
      <w:r>
        <w:rPr>
          <w:rFonts w:eastAsia="Times New Roman"/>
          <w:color w:val="000000"/>
        </w:rPr>
        <w:t xml:space="preserve"> </w:t>
      </w:r>
      <w:r w:rsidR="007C11EA">
        <w:rPr>
          <w:rFonts w:eastAsia="Times New Roman"/>
          <w:color w:val="000000"/>
        </w:rPr>
        <w:t xml:space="preserve"> </w:t>
      </w:r>
      <w:r w:rsidR="00465F80">
        <w:rPr>
          <w:rFonts w:eastAsia="Times New Roman"/>
          <w:color w:val="000000"/>
        </w:rPr>
        <w:t>It became clear to</w:t>
      </w:r>
      <w:r w:rsidR="008322DA">
        <w:rPr>
          <w:rFonts w:eastAsia="Times New Roman"/>
          <w:color w:val="000000"/>
        </w:rPr>
        <w:t xml:space="preserve"> Fells </w:t>
      </w:r>
      <w:r w:rsidR="00844C1A" w:rsidRPr="008457BA">
        <w:rPr>
          <w:rFonts w:eastAsia="Times New Roman"/>
          <w:color w:val="000000"/>
        </w:rPr>
        <w:t>at some point after</w:t>
      </w:r>
      <w:r w:rsidR="008322DA">
        <w:rPr>
          <w:rFonts w:eastAsia="Times New Roman"/>
          <w:color w:val="000000"/>
        </w:rPr>
        <w:t xml:space="preserve"> they arrived at the park</w:t>
      </w:r>
      <w:r w:rsidR="00465F80">
        <w:rPr>
          <w:rFonts w:eastAsia="Times New Roman"/>
          <w:color w:val="000000"/>
        </w:rPr>
        <w:t xml:space="preserve"> that a robbery was afoot.  </w:t>
      </w:r>
      <w:r w:rsidR="003A0DD4">
        <w:rPr>
          <w:rFonts w:eastAsia="Times New Roman"/>
          <w:color w:val="000000"/>
        </w:rPr>
        <w:t xml:space="preserve">Price and Brown </w:t>
      </w:r>
      <w:r w:rsidR="00465F80">
        <w:rPr>
          <w:rFonts w:eastAsia="Times New Roman"/>
          <w:color w:val="000000"/>
        </w:rPr>
        <w:t xml:space="preserve">intended to rob </w:t>
      </w:r>
      <w:r w:rsidR="003A0DD4">
        <w:rPr>
          <w:rFonts w:eastAsia="Times New Roman"/>
          <w:color w:val="000000"/>
        </w:rPr>
        <w:t>Merrill.  Price</w:t>
      </w:r>
      <w:r w:rsidR="007C11EA">
        <w:rPr>
          <w:rFonts w:eastAsia="Times New Roman"/>
          <w:color w:val="000000"/>
        </w:rPr>
        <w:t xml:space="preserve"> participated</w:t>
      </w:r>
      <w:r w:rsidR="00E35CAA">
        <w:rPr>
          <w:rFonts w:eastAsia="Times New Roman"/>
          <w:color w:val="000000"/>
        </w:rPr>
        <w:t xml:space="preserve"> with Brown</w:t>
      </w:r>
      <w:r w:rsidR="007C11EA">
        <w:rPr>
          <w:rFonts w:eastAsia="Times New Roman"/>
          <w:color w:val="000000"/>
        </w:rPr>
        <w:t xml:space="preserve"> in </w:t>
      </w:r>
      <w:r w:rsidR="00465F80">
        <w:rPr>
          <w:rFonts w:eastAsia="Times New Roman"/>
          <w:color w:val="000000"/>
        </w:rPr>
        <w:t>that</w:t>
      </w:r>
      <w:r w:rsidR="007C11EA">
        <w:rPr>
          <w:rFonts w:eastAsia="Times New Roman"/>
          <w:color w:val="000000"/>
        </w:rPr>
        <w:t xml:space="preserve"> effort.  </w:t>
      </w:r>
      <w:r w:rsidR="00465F80">
        <w:rPr>
          <w:rFonts w:eastAsia="Times New Roman"/>
          <w:color w:val="000000"/>
        </w:rPr>
        <w:t xml:space="preserve">Assuming Price did not herself shoot Merrill, she gave the loaded gun to Brown to do so.  After the shooting, </w:t>
      </w:r>
      <w:r w:rsidR="00A3173E">
        <w:rPr>
          <w:rFonts w:eastAsia="Times New Roman"/>
          <w:color w:val="000000"/>
        </w:rPr>
        <w:t>Price kept the phone and Brown took Merrill’s wallet.</w:t>
      </w:r>
      <w:r w:rsidR="00465F80">
        <w:rPr>
          <w:rFonts w:eastAsia="Times New Roman"/>
          <w:color w:val="000000"/>
        </w:rPr>
        <w:t xml:space="preserve">  </w:t>
      </w:r>
    </w:p>
    <w:p w14:paraId="7741E66C" w14:textId="3F6B5977" w:rsidR="007A6CBC" w:rsidRDefault="00F255BF" w:rsidP="008166BF">
      <w:pPr>
        <w:spacing w:line="360" w:lineRule="auto"/>
        <w:ind w:firstLine="720"/>
        <w:rPr>
          <w:rFonts w:eastAsia="Times New Roman"/>
          <w:color w:val="000000"/>
        </w:rPr>
      </w:pPr>
      <w:r>
        <w:rPr>
          <w:rFonts w:eastAsia="Times New Roman"/>
          <w:color w:val="000000"/>
        </w:rPr>
        <w:t xml:space="preserve">According to Edosa’s testimony and the texts between Price and </w:t>
      </w:r>
      <w:r w:rsidR="00430663">
        <w:rPr>
          <w:rFonts w:eastAsia="Times New Roman"/>
          <w:color w:val="000000"/>
        </w:rPr>
        <w:t>Fells</w:t>
      </w:r>
      <w:r>
        <w:rPr>
          <w:rFonts w:eastAsia="Times New Roman"/>
          <w:color w:val="000000"/>
        </w:rPr>
        <w:t xml:space="preserve"> after the crime, Fells</w:t>
      </w:r>
      <w:r w:rsidR="00430663">
        <w:rPr>
          <w:rFonts w:eastAsia="Times New Roman"/>
          <w:color w:val="000000"/>
        </w:rPr>
        <w:t xml:space="preserve"> was upset by the shooting</w:t>
      </w:r>
      <w:r w:rsidR="00E35CAA">
        <w:rPr>
          <w:rFonts w:eastAsia="Times New Roman"/>
          <w:color w:val="000000"/>
        </w:rPr>
        <w:t xml:space="preserve"> and thought it had been unnecessary</w:t>
      </w:r>
      <w:r>
        <w:rPr>
          <w:rFonts w:eastAsia="Times New Roman"/>
          <w:color w:val="000000"/>
        </w:rPr>
        <w:t xml:space="preserve">. </w:t>
      </w:r>
      <w:r w:rsidR="00430663">
        <w:rPr>
          <w:rFonts w:eastAsia="Times New Roman"/>
          <w:color w:val="000000"/>
        </w:rPr>
        <w:t xml:space="preserve"> Price text</w:t>
      </w:r>
      <w:r w:rsidR="009D42FA">
        <w:rPr>
          <w:rFonts w:eastAsia="Times New Roman"/>
          <w:color w:val="000000"/>
        </w:rPr>
        <w:t>ed</w:t>
      </w:r>
      <w:r w:rsidR="00430663">
        <w:rPr>
          <w:rFonts w:eastAsia="Times New Roman"/>
          <w:color w:val="000000"/>
        </w:rPr>
        <w:t xml:space="preserve"> Fells</w:t>
      </w:r>
      <w:r w:rsidR="009D42FA">
        <w:rPr>
          <w:rFonts w:eastAsia="Times New Roman"/>
          <w:color w:val="000000"/>
        </w:rPr>
        <w:t xml:space="preserve"> </w:t>
      </w:r>
      <w:r w:rsidR="00430663">
        <w:rPr>
          <w:rFonts w:eastAsia="Times New Roman"/>
          <w:color w:val="000000"/>
        </w:rPr>
        <w:t>stating</w:t>
      </w:r>
      <w:r w:rsidR="00BC4E1B">
        <w:rPr>
          <w:rFonts w:eastAsia="Times New Roman"/>
          <w:color w:val="000000"/>
        </w:rPr>
        <w:t>,</w:t>
      </w:r>
      <w:r w:rsidR="00E35CAA">
        <w:rPr>
          <w:rFonts w:eastAsia="Times New Roman"/>
          <w:color w:val="000000"/>
        </w:rPr>
        <w:t xml:space="preserve"> </w:t>
      </w:r>
      <w:r w:rsidR="00E35CAA">
        <w:t xml:space="preserve">“it need it 2 b did,” </w:t>
      </w:r>
      <w:r w:rsidR="00430663">
        <w:rPr>
          <w:rFonts w:eastAsia="Times New Roman"/>
          <w:color w:val="000000"/>
        </w:rPr>
        <w:t xml:space="preserve">she had done this “shit” before and knew “wut </w:t>
      </w:r>
      <w:r w:rsidR="00E35CAA">
        <w:rPr>
          <w:rFonts w:eastAsia="Times New Roman"/>
          <w:color w:val="000000"/>
        </w:rPr>
        <w:t>I</w:t>
      </w:r>
      <w:r w:rsidR="00430663">
        <w:rPr>
          <w:rFonts w:eastAsia="Times New Roman"/>
          <w:color w:val="000000"/>
        </w:rPr>
        <w:t xml:space="preserve"> was doin</w:t>
      </w:r>
      <w:r>
        <w:rPr>
          <w:rFonts w:eastAsia="Times New Roman"/>
          <w:color w:val="000000"/>
        </w:rPr>
        <w:t>.</w:t>
      </w:r>
      <w:r w:rsidR="00430663">
        <w:rPr>
          <w:rFonts w:eastAsia="Times New Roman"/>
          <w:color w:val="000000"/>
        </w:rPr>
        <w:t>”</w:t>
      </w:r>
      <w:r>
        <w:rPr>
          <w:rFonts w:eastAsia="Times New Roman"/>
          <w:color w:val="000000"/>
        </w:rPr>
        <w:t xml:space="preserve">  </w:t>
      </w:r>
      <w:r w:rsidR="00E63C83">
        <w:rPr>
          <w:rFonts w:eastAsia="Times New Roman"/>
          <w:color w:val="000000"/>
        </w:rPr>
        <w:t>When</w:t>
      </w:r>
      <w:r w:rsidR="00430663">
        <w:rPr>
          <w:rFonts w:eastAsia="Times New Roman"/>
          <w:color w:val="000000"/>
        </w:rPr>
        <w:t xml:space="preserve"> Fells </w:t>
      </w:r>
      <w:r w:rsidR="00E63C83">
        <w:rPr>
          <w:rFonts w:eastAsia="Times New Roman"/>
          <w:color w:val="000000"/>
        </w:rPr>
        <w:t>texted Price</w:t>
      </w:r>
      <w:r w:rsidR="00430663">
        <w:rPr>
          <w:rFonts w:eastAsia="Times New Roman"/>
          <w:color w:val="000000"/>
        </w:rPr>
        <w:t xml:space="preserve"> that </w:t>
      </w:r>
      <w:r w:rsidR="00E63C83">
        <w:rPr>
          <w:rFonts w:eastAsia="Times New Roman"/>
          <w:color w:val="000000"/>
        </w:rPr>
        <w:t>she</w:t>
      </w:r>
      <w:r w:rsidR="00430663">
        <w:rPr>
          <w:rFonts w:eastAsia="Times New Roman"/>
          <w:color w:val="000000"/>
        </w:rPr>
        <w:t xml:space="preserve"> “need to start thinkn b4 u do stupid shit</w:t>
      </w:r>
      <w:r w:rsidR="009D42FA">
        <w:rPr>
          <w:rFonts w:eastAsia="Times New Roman"/>
          <w:color w:val="000000"/>
        </w:rPr>
        <w:t>,</w:t>
      </w:r>
      <w:r w:rsidR="00430663">
        <w:rPr>
          <w:rFonts w:eastAsia="Times New Roman"/>
          <w:color w:val="000000"/>
        </w:rPr>
        <w:t xml:space="preserve">” </w:t>
      </w:r>
      <w:r w:rsidR="009D42FA">
        <w:rPr>
          <w:rFonts w:eastAsia="Times New Roman"/>
          <w:color w:val="000000"/>
        </w:rPr>
        <w:t xml:space="preserve">Price texted </w:t>
      </w:r>
      <w:r w:rsidR="00430663">
        <w:rPr>
          <w:rFonts w:eastAsia="Times New Roman"/>
          <w:color w:val="000000"/>
        </w:rPr>
        <w:t xml:space="preserve">that </w:t>
      </w:r>
      <w:r w:rsidR="009D42FA">
        <w:rPr>
          <w:rFonts w:eastAsia="Times New Roman"/>
          <w:color w:val="000000"/>
        </w:rPr>
        <w:t xml:space="preserve">she </w:t>
      </w:r>
      <w:r w:rsidR="00430663">
        <w:rPr>
          <w:rFonts w:eastAsia="Times New Roman"/>
          <w:color w:val="000000"/>
        </w:rPr>
        <w:t>“was thinking” and if she hadn’t been</w:t>
      </w:r>
      <w:r w:rsidR="009D42FA">
        <w:rPr>
          <w:rFonts w:eastAsia="Times New Roman"/>
          <w:color w:val="000000"/>
        </w:rPr>
        <w:t xml:space="preserve">, </w:t>
      </w:r>
      <w:r w:rsidR="00430663">
        <w:rPr>
          <w:rFonts w:eastAsia="Times New Roman"/>
          <w:color w:val="000000"/>
        </w:rPr>
        <w:t>Fells would be “in jail rite now or dead</w:t>
      </w:r>
      <w:r>
        <w:rPr>
          <w:rFonts w:eastAsia="Times New Roman"/>
          <w:color w:val="000000"/>
        </w:rPr>
        <w:t>.</w:t>
      </w:r>
      <w:r w:rsidR="00430663">
        <w:rPr>
          <w:rFonts w:eastAsia="Times New Roman"/>
          <w:color w:val="000000"/>
        </w:rPr>
        <w:t xml:space="preserve">” </w:t>
      </w:r>
      <w:r w:rsidR="00712B92">
        <w:rPr>
          <w:rFonts w:eastAsia="Times New Roman"/>
          <w:color w:val="000000"/>
        </w:rPr>
        <w:t xml:space="preserve"> In </w:t>
      </w:r>
      <w:r w:rsidR="00712B92">
        <w:rPr>
          <w:rFonts w:eastAsia="Times New Roman"/>
          <w:color w:val="000000"/>
        </w:rPr>
        <w:lastRenderedPageBreak/>
        <w:t xml:space="preserve">the kite intended for Brown, Price outlined the story she and Brown should tell to avoid a murder conviction.  </w:t>
      </w:r>
    </w:p>
    <w:p w14:paraId="093A9129" w14:textId="2AC4E8B1" w:rsidR="00791347" w:rsidRDefault="00F255BF" w:rsidP="008166BF">
      <w:pPr>
        <w:spacing w:line="360" w:lineRule="auto"/>
        <w:ind w:firstLine="720"/>
        <w:rPr>
          <w:rFonts w:eastAsia="Times New Roman"/>
          <w:color w:val="000000"/>
        </w:rPr>
      </w:pPr>
      <w:r>
        <w:rPr>
          <w:rFonts w:eastAsia="Times New Roman"/>
          <w:color w:val="000000"/>
        </w:rPr>
        <w:t>A</w:t>
      </w:r>
      <w:r w:rsidR="007A6CBC">
        <w:rPr>
          <w:rFonts w:eastAsia="Times New Roman"/>
          <w:color w:val="000000"/>
        </w:rPr>
        <w:t xml:space="preserve">ll of this </w:t>
      </w:r>
      <w:r w:rsidR="007C11EA">
        <w:rPr>
          <w:rFonts w:eastAsia="Times New Roman"/>
          <w:color w:val="000000"/>
        </w:rPr>
        <w:t xml:space="preserve">evidence </w:t>
      </w:r>
      <w:r w:rsidR="007A6CBC">
        <w:rPr>
          <w:rFonts w:eastAsia="Times New Roman"/>
          <w:color w:val="000000"/>
        </w:rPr>
        <w:t>suggest</w:t>
      </w:r>
      <w:r w:rsidR="0097776A">
        <w:rPr>
          <w:rFonts w:eastAsia="Times New Roman"/>
          <w:color w:val="000000"/>
        </w:rPr>
        <w:t>s</w:t>
      </w:r>
      <w:r w:rsidR="007A6CBC">
        <w:rPr>
          <w:rFonts w:eastAsia="Times New Roman"/>
          <w:color w:val="000000"/>
        </w:rPr>
        <w:t xml:space="preserve"> </w:t>
      </w:r>
      <w:r w:rsidR="00430663">
        <w:rPr>
          <w:rFonts w:eastAsia="Times New Roman"/>
          <w:color w:val="000000"/>
        </w:rPr>
        <w:t xml:space="preserve">Price </w:t>
      </w:r>
      <w:r w:rsidR="00D5326A">
        <w:rPr>
          <w:rFonts w:eastAsia="Times New Roman"/>
          <w:color w:val="000000"/>
        </w:rPr>
        <w:t>was the</w:t>
      </w:r>
      <w:r w:rsidR="007C11EA">
        <w:rPr>
          <w:rFonts w:eastAsia="Times New Roman"/>
          <w:color w:val="000000"/>
        </w:rPr>
        <w:t xml:space="preserve"> captain</w:t>
      </w:r>
      <w:r w:rsidR="00D5326A">
        <w:rPr>
          <w:rFonts w:eastAsia="Times New Roman"/>
          <w:color w:val="000000"/>
        </w:rPr>
        <w:t xml:space="preserve"> of</w:t>
      </w:r>
      <w:r w:rsidR="009D42FA">
        <w:rPr>
          <w:rFonts w:eastAsia="Times New Roman"/>
          <w:color w:val="000000"/>
        </w:rPr>
        <w:t xml:space="preserve"> th</w:t>
      </w:r>
      <w:r w:rsidR="007C11EA">
        <w:rPr>
          <w:rFonts w:eastAsia="Times New Roman"/>
          <w:color w:val="000000"/>
        </w:rPr>
        <w:t>e</w:t>
      </w:r>
      <w:r>
        <w:rPr>
          <w:rFonts w:eastAsia="Times New Roman"/>
          <w:color w:val="000000"/>
        </w:rPr>
        <w:t xml:space="preserve"> entire</w:t>
      </w:r>
      <w:r w:rsidR="00712B92">
        <w:rPr>
          <w:rFonts w:eastAsia="Times New Roman"/>
          <w:color w:val="000000"/>
        </w:rPr>
        <w:t xml:space="preserve"> </w:t>
      </w:r>
      <w:r w:rsidR="007C11EA">
        <w:rPr>
          <w:rFonts w:eastAsia="Times New Roman"/>
          <w:color w:val="000000"/>
        </w:rPr>
        <w:t xml:space="preserve">criminal enterprise.  To be sure, it </w:t>
      </w:r>
      <w:r w:rsidR="00B140C0" w:rsidRPr="008457BA">
        <w:rPr>
          <w:rFonts w:eastAsia="Times New Roman"/>
          <w:color w:val="000000"/>
        </w:rPr>
        <w:t>appears to have been</w:t>
      </w:r>
      <w:r w:rsidR="007C11EA">
        <w:rPr>
          <w:rFonts w:eastAsia="Times New Roman"/>
          <w:color w:val="000000"/>
        </w:rPr>
        <w:t xml:space="preserve"> a crime of opportunity facilitated by Merrill’s unfortunate decision to get into the car.  And it was not the kind of complex crime that </w:t>
      </w:r>
      <w:r w:rsidR="000D2838">
        <w:rPr>
          <w:rFonts w:eastAsia="Times New Roman"/>
          <w:color w:val="000000"/>
        </w:rPr>
        <w:t xml:space="preserve">would </w:t>
      </w:r>
      <w:r w:rsidR="007C11EA">
        <w:rPr>
          <w:rFonts w:eastAsia="Times New Roman"/>
          <w:color w:val="000000"/>
        </w:rPr>
        <w:t xml:space="preserve">require a great deal of planning.  But </w:t>
      </w:r>
      <w:r w:rsidR="000D2838">
        <w:rPr>
          <w:rFonts w:eastAsia="Times New Roman"/>
          <w:color w:val="000000"/>
        </w:rPr>
        <w:t xml:space="preserve">the evidence indicates </w:t>
      </w:r>
      <w:r w:rsidR="00B140C0" w:rsidRPr="008457BA">
        <w:rPr>
          <w:rFonts w:eastAsia="Times New Roman"/>
          <w:color w:val="000000"/>
        </w:rPr>
        <w:t>that after Merrill got into the car</w:t>
      </w:r>
      <w:r w:rsidR="007C11EA">
        <w:rPr>
          <w:rFonts w:eastAsia="Times New Roman"/>
          <w:color w:val="000000"/>
        </w:rPr>
        <w:t xml:space="preserve"> a plan </w:t>
      </w:r>
      <w:r w:rsidR="00B140C0" w:rsidRPr="008457BA">
        <w:rPr>
          <w:rFonts w:eastAsia="Times New Roman"/>
          <w:color w:val="000000"/>
        </w:rPr>
        <w:t>was made</w:t>
      </w:r>
      <w:r w:rsidR="00B140C0">
        <w:rPr>
          <w:rFonts w:eastAsia="Times New Roman"/>
          <w:b/>
          <w:bCs/>
          <w:color w:val="000000"/>
        </w:rPr>
        <w:t xml:space="preserve"> </w:t>
      </w:r>
      <w:r w:rsidR="00194DAA">
        <w:rPr>
          <w:rFonts w:eastAsia="Times New Roman"/>
          <w:color w:val="000000"/>
        </w:rPr>
        <w:t>and</w:t>
      </w:r>
      <w:r w:rsidR="000D2838">
        <w:rPr>
          <w:rFonts w:eastAsia="Times New Roman"/>
          <w:color w:val="000000"/>
        </w:rPr>
        <w:t xml:space="preserve"> that</w:t>
      </w:r>
      <w:r w:rsidR="00194DAA">
        <w:rPr>
          <w:rFonts w:eastAsia="Times New Roman"/>
          <w:color w:val="000000"/>
        </w:rPr>
        <w:t xml:space="preserve"> </w:t>
      </w:r>
      <w:r w:rsidR="007C11EA">
        <w:rPr>
          <w:rFonts w:eastAsia="Times New Roman"/>
          <w:color w:val="000000"/>
        </w:rPr>
        <w:t>Price was</w:t>
      </w:r>
      <w:r w:rsidR="007C11EA" w:rsidRPr="008457BA">
        <w:rPr>
          <w:rFonts w:eastAsia="Times New Roman"/>
          <w:color w:val="000000"/>
        </w:rPr>
        <w:t xml:space="preserve"> </w:t>
      </w:r>
      <w:r w:rsidR="00B140C0" w:rsidRPr="008457BA">
        <w:rPr>
          <w:rFonts w:eastAsia="Times New Roman"/>
          <w:color w:val="000000"/>
        </w:rPr>
        <w:t>the</w:t>
      </w:r>
      <w:r w:rsidR="007C11EA">
        <w:rPr>
          <w:rFonts w:eastAsia="Times New Roman"/>
          <w:color w:val="000000"/>
        </w:rPr>
        <w:t xml:space="preserve"> author</w:t>
      </w:r>
      <w:r w:rsidR="00B140C0">
        <w:rPr>
          <w:rFonts w:eastAsia="Times New Roman"/>
          <w:color w:val="000000"/>
        </w:rPr>
        <w:t xml:space="preserve"> </w:t>
      </w:r>
      <w:r w:rsidR="00B140C0" w:rsidRPr="008457BA">
        <w:rPr>
          <w:rFonts w:eastAsia="Times New Roman"/>
          <w:color w:val="000000"/>
        </w:rPr>
        <w:t>of that plan</w:t>
      </w:r>
      <w:r w:rsidR="007C11EA">
        <w:rPr>
          <w:rFonts w:eastAsia="Times New Roman"/>
          <w:color w:val="000000"/>
        </w:rPr>
        <w:t>.</w:t>
      </w:r>
    </w:p>
    <w:p w14:paraId="610F1CB6" w14:textId="59B33D4D" w:rsidR="00216372" w:rsidRDefault="00F255BF" w:rsidP="000D2838">
      <w:pPr>
        <w:spacing w:line="360" w:lineRule="auto"/>
        <w:ind w:firstLine="720"/>
        <w:rPr>
          <w:rFonts w:eastAsia="Times New Roman"/>
          <w:color w:val="000000"/>
        </w:rPr>
      </w:pPr>
      <w:r>
        <w:rPr>
          <w:rFonts w:eastAsia="Times New Roman"/>
          <w:color w:val="000000"/>
        </w:rPr>
        <w:t xml:space="preserve">This evidence also makes plain that whether or not she shot Merrill, </w:t>
      </w:r>
      <w:r w:rsidR="00244FE7">
        <w:rPr>
          <w:rFonts w:eastAsia="Times New Roman"/>
          <w:color w:val="000000"/>
        </w:rPr>
        <w:t xml:space="preserve">Price </w:t>
      </w:r>
      <w:r w:rsidR="00942ADE">
        <w:rPr>
          <w:rFonts w:eastAsia="Times New Roman"/>
          <w:color w:val="000000"/>
        </w:rPr>
        <w:t>supplied the</w:t>
      </w:r>
      <w:r>
        <w:rPr>
          <w:rFonts w:eastAsia="Times New Roman"/>
          <w:color w:val="000000"/>
        </w:rPr>
        <w:t xml:space="preserve"> </w:t>
      </w:r>
      <w:r w:rsidR="00244FE7">
        <w:rPr>
          <w:rFonts w:eastAsia="Times New Roman"/>
          <w:color w:val="000000"/>
        </w:rPr>
        <w:t>gun</w:t>
      </w:r>
      <w:r>
        <w:rPr>
          <w:rFonts w:eastAsia="Times New Roman"/>
          <w:color w:val="000000"/>
        </w:rPr>
        <w:t xml:space="preserve"> </w:t>
      </w:r>
      <w:r w:rsidR="00366E67">
        <w:rPr>
          <w:rFonts w:eastAsia="Times New Roman"/>
          <w:color w:val="000000"/>
        </w:rPr>
        <w:t>to be</w:t>
      </w:r>
      <w:r>
        <w:rPr>
          <w:rFonts w:eastAsia="Times New Roman"/>
          <w:color w:val="000000"/>
        </w:rPr>
        <w:t xml:space="preserve"> used in the robbery. </w:t>
      </w:r>
      <w:r w:rsidR="00BF0EE8">
        <w:rPr>
          <w:rFonts w:eastAsia="Times New Roman"/>
          <w:color w:val="000000"/>
        </w:rPr>
        <w:t xml:space="preserve"> </w:t>
      </w:r>
      <w:r>
        <w:rPr>
          <w:rFonts w:eastAsia="Times New Roman"/>
          <w:color w:val="000000"/>
        </w:rPr>
        <w:t>A</w:t>
      </w:r>
      <w:r w:rsidR="00BF0EE8">
        <w:rPr>
          <w:rFonts w:eastAsia="Times New Roman"/>
          <w:color w:val="000000"/>
        </w:rPr>
        <w:t xml:space="preserve">s we have said, Price retrieved </w:t>
      </w:r>
      <w:r w:rsidR="00E53B50">
        <w:rPr>
          <w:rFonts w:eastAsia="Times New Roman"/>
          <w:color w:val="000000"/>
        </w:rPr>
        <w:t>Fells</w:t>
      </w:r>
      <w:r w:rsidR="00244FE7">
        <w:rPr>
          <w:rFonts w:eastAsia="Times New Roman"/>
          <w:color w:val="000000"/>
        </w:rPr>
        <w:t>’s gun</w:t>
      </w:r>
      <w:r w:rsidR="00E53B50">
        <w:rPr>
          <w:rFonts w:eastAsia="Times New Roman"/>
          <w:color w:val="000000"/>
        </w:rPr>
        <w:t xml:space="preserve"> </w:t>
      </w:r>
      <w:r w:rsidR="00BF0EE8">
        <w:rPr>
          <w:rFonts w:eastAsia="Times New Roman"/>
          <w:color w:val="000000"/>
        </w:rPr>
        <w:t xml:space="preserve">and brought it with her to the park. </w:t>
      </w:r>
      <w:r w:rsidR="00712B92">
        <w:rPr>
          <w:rFonts w:eastAsia="Times New Roman"/>
          <w:color w:val="000000"/>
        </w:rPr>
        <w:t xml:space="preserve"> After</w:t>
      </w:r>
      <w:r w:rsidR="00447FEA">
        <w:rPr>
          <w:rFonts w:eastAsia="Times New Roman"/>
          <w:color w:val="000000"/>
        </w:rPr>
        <w:t xml:space="preserve"> the group arrived at the park,</w:t>
      </w:r>
      <w:r w:rsidR="00712B92">
        <w:rPr>
          <w:rFonts w:eastAsia="Times New Roman"/>
          <w:color w:val="000000"/>
        </w:rPr>
        <w:t xml:space="preserve"> Brown took Merrill’s wallet,</w:t>
      </w:r>
      <w:r w:rsidR="00447FEA">
        <w:rPr>
          <w:rFonts w:eastAsia="Times New Roman"/>
          <w:color w:val="000000"/>
        </w:rPr>
        <w:t xml:space="preserve"> saying “I got it</w:t>
      </w:r>
      <w:r w:rsidR="00E53B50">
        <w:rPr>
          <w:rFonts w:eastAsia="Times New Roman"/>
          <w:color w:val="000000"/>
        </w:rPr>
        <w:t>,</w:t>
      </w:r>
      <w:r w:rsidR="00447FEA">
        <w:rPr>
          <w:rFonts w:eastAsia="Times New Roman"/>
          <w:color w:val="000000"/>
        </w:rPr>
        <w:t xml:space="preserve">” </w:t>
      </w:r>
      <w:r w:rsidR="00E53B50">
        <w:rPr>
          <w:rFonts w:eastAsia="Times New Roman"/>
          <w:color w:val="000000"/>
        </w:rPr>
        <w:t>but</w:t>
      </w:r>
      <w:r w:rsidR="00712B92">
        <w:rPr>
          <w:rFonts w:eastAsia="Times New Roman"/>
          <w:color w:val="000000"/>
        </w:rPr>
        <w:t xml:space="preserve"> Price insisted, “He got more</w:t>
      </w:r>
      <w:r>
        <w:rPr>
          <w:rFonts w:eastAsia="Times New Roman"/>
          <w:color w:val="000000"/>
        </w:rPr>
        <w:t>,</w:t>
      </w:r>
      <w:r w:rsidR="00712B92">
        <w:rPr>
          <w:rFonts w:eastAsia="Times New Roman"/>
          <w:color w:val="000000"/>
        </w:rPr>
        <w:t xml:space="preserve">” </w:t>
      </w:r>
      <w:r w:rsidR="00447FEA">
        <w:rPr>
          <w:rFonts w:eastAsia="Times New Roman"/>
          <w:color w:val="000000"/>
        </w:rPr>
        <w:t>and</w:t>
      </w:r>
      <w:r w:rsidR="00E53B50">
        <w:rPr>
          <w:rFonts w:eastAsia="Times New Roman"/>
          <w:color w:val="000000"/>
        </w:rPr>
        <w:t>, according to Fells,</w:t>
      </w:r>
      <w:r w:rsidR="00712B92">
        <w:rPr>
          <w:rFonts w:eastAsia="Times New Roman"/>
          <w:color w:val="000000"/>
        </w:rPr>
        <w:t xml:space="preserve"> pointed the gun at Merrill’s chest</w:t>
      </w:r>
      <w:r w:rsidR="00447FEA">
        <w:rPr>
          <w:rFonts w:eastAsia="Times New Roman"/>
          <w:color w:val="000000"/>
        </w:rPr>
        <w:t>.</w:t>
      </w:r>
      <w:r w:rsidR="00BF0EE8">
        <w:rPr>
          <w:rFonts w:eastAsia="Times New Roman"/>
          <w:color w:val="000000"/>
        </w:rPr>
        <w:t xml:space="preserve">  </w:t>
      </w:r>
      <w:r w:rsidR="000D2838">
        <w:rPr>
          <w:rFonts w:eastAsia="Times New Roman"/>
          <w:color w:val="000000"/>
        </w:rPr>
        <w:t>W</w:t>
      </w:r>
      <w:r w:rsidR="00BF0EE8">
        <w:rPr>
          <w:rFonts w:eastAsia="Times New Roman"/>
          <w:color w:val="000000"/>
        </w:rPr>
        <w:t>hether</w:t>
      </w:r>
      <w:r w:rsidR="000D2838">
        <w:rPr>
          <w:rFonts w:eastAsia="Times New Roman"/>
          <w:color w:val="000000"/>
        </w:rPr>
        <w:t xml:space="preserve"> it was</w:t>
      </w:r>
      <w:r w:rsidR="00BF0EE8">
        <w:rPr>
          <w:rFonts w:eastAsia="Times New Roman"/>
          <w:color w:val="000000"/>
        </w:rPr>
        <w:t xml:space="preserve"> Price</w:t>
      </w:r>
      <w:r w:rsidR="000D2838">
        <w:rPr>
          <w:rFonts w:eastAsia="Times New Roman"/>
          <w:color w:val="000000"/>
        </w:rPr>
        <w:t xml:space="preserve"> who</w:t>
      </w:r>
      <w:r w:rsidR="00E53B50">
        <w:rPr>
          <w:rFonts w:eastAsia="Times New Roman"/>
          <w:color w:val="000000"/>
        </w:rPr>
        <w:t xml:space="preserve"> ultimately</w:t>
      </w:r>
      <w:r w:rsidR="00627655">
        <w:rPr>
          <w:rFonts w:eastAsia="Times New Roman"/>
          <w:color w:val="000000"/>
        </w:rPr>
        <w:t xml:space="preserve"> pointed the gun </w:t>
      </w:r>
      <w:r w:rsidR="00EC41D7">
        <w:rPr>
          <w:rFonts w:eastAsia="Times New Roman"/>
          <w:color w:val="000000"/>
        </w:rPr>
        <w:t xml:space="preserve">at Merrill </w:t>
      </w:r>
      <w:r w:rsidR="000D2838">
        <w:rPr>
          <w:rFonts w:eastAsia="Times New Roman"/>
          <w:color w:val="000000"/>
        </w:rPr>
        <w:t>and</w:t>
      </w:r>
      <w:r w:rsidR="00BF0EE8">
        <w:rPr>
          <w:rFonts w:eastAsia="Times New Roman"/>
          <w:color w:val="000000"/>
        </w:rPr>
        <w:t xml:space="preserve"> pulled the trigger or Brown </w:t>
      </w:r>
      <w:r w:rsidR="0097776A">
        <w:rPr>
          <w:rFonts w:eastAsia="Times New Roman"/>
          <w:color w:val="000000"/>
        </w:rPr>
        <w:t xml:space="preserve">who </w:t>
      </w:r>
      <w:r w:rsidR="00BF0EE8">
        <w:rPr>
          <w:rFonts w:eastAsia="Times New Roman"/>
          <w:color w:val="000000"/>
        </w:rPr>
        <w:t xml:space="preserve">did </w:t>
      </w:r>
      <w:r w:rsidR="00EC41D7">
        <w:rPr>
          <w:rFonts w:eastAsia="Times New Roman"/>
          <w:color w:val="000000"/>
        </w:rPr>
        <w:t>one or both of those things</w:t>
      </w:r>
      <w:r w:rsidR="00627655">
        <w:rPr>
          <w:rFonts w:eastAsia="Times New Roman"/>
          <w:color w:val="000000"/>
        </w:rPr>
        <w:t xml:space="preserve"> </w:t>
      </w:r>
      <w:r w:rsidR="00801EAA">
        <w:rPr>
          <w:rFonts w:eastAsia="Times New Roman"/>
          <w:color w:val="000000"/>
        </w:rPr>
        <w:t>does not matter</w:t>
      </w:r>
      <w:r w:rsidR="00627655">
        <w:rPr>
          <w:rFonts w:eastAsia="Times New Roman"/>
          <w:color w:val="000000"/>
        </w:rPr>
        <w:t xml:space="preserve">. </w:t>
      </w:r>
      <w:r w:rsidR="00BF0EE8">
        <w:rPr>
          <w:rFonts w:eastAsia="Times New Roman"/>
          <w:color w:val="000000"/>
        </w:rPr>
        <w:t xml:space="preserve"> </w:t>
      </w:r>
      <w:r w:rsidR="00627655">
        <w:rPr>
          <w:rFonts w:eastAsia="Times New Roman"/>
          <w:color w:val="000000"/>
        </w:rPr>
        <w:t>The</w:t>
      </w:r>
      <w:r w:rsidR="00BF0EE8">
        <w:rPr>
          <w:rFonts w:eastAsia="Times New Roman"/>
          <w:color w:val="000000"/>
        </w:rPr>
        <w:t xml:space="preserve"> fact that Price </w:t>
      </w:r>
      <w:r w:rsidR="00627655">
        <w:rPr>
          <w:rFonts w:eastAsia="Times New Roman"/>
          <w:color w:val="000000"/>
        </w:rPr>
        <w:t>returned to Fells’s house</w:t>
      </w:r>
      <w:r w:rsidR="00BF0EE8">
        <w:rPr>
          <w:rFonts w:eastAsia="Times New Roman"/>
          <w:color w:val="000000"/>
        </w:rPr>
        <w:t xml:space="preserve"> to obtain the gun, brought it to the scene and either used it o</w:t>
      </w:r>
      <w:r w:rsidR="00E53B50">
        <w:rPr>
          <w:rFonts w:eastAsia="Times New Roman"/>
          <w:color w:val="000000"/>
        </w:rPr>
        <w:t xml:space="preserve">r </w:t>
      </w:r>
      <w:r w:rsidR="00627655">
        <w:rPr>
          <w:rFonts w:eastAsia="Times New Roman"/>
          <w:color w:val="000000"/>
        </w:rPr>
        <w:t>gave it to</w:t>
      </w:r>
      <w:r w:rsidR="00E53B50">
        <w:rPr>
          <w:rFonts w:eastAsia="Times New Roman"/>
          <w:color w:val="000000"/>
        </w:rPr>
        <w:t xml:space="preserve"> </w:t>
      </w:r>
      <w:r w:rsidR="00BF0EE8">
        <w:rPr>
          <w:rFonts w:eastAsia="Times New Roman"/>
          <w:color w:val="000000"/>
        </w:rPr>
        <w:t xml:space="preserve">Brown </w:t>
      </w:r>
      <w:r w:rsidR="00E53B50">
        <w:rPr>
          <w:rFonts w:eastAsia="Times New Roman"/>
          <w:color w:val="000000"/>
        </w:rPr>
        <w:t xml:space="preserve">to </w:t>
      </w:r>
      <w:r w:rsidR="00BF0EE8">
        <w:rPr>
          <w:rFonts w:eastAsia="Times New Roman"/>
          <w:color w:val="000000"/>
        </w:rPr>
        <w:t>use during the ro</w:t>
      </w:r>
      <w:r w:rsidR="00E53B50">
        <w:rPr>
          <w:rFonts w:eastAsia="Times New Roman"/>
          <w:color w:val="000000"/>
        </w:rPr>
        <w:t>bbery</w:t>
      </w:r>
      <w:r w:rsidR="00EC41D7">
        <w:rPr>
          <w:rFonts w:eastAsia="Times New Roman"/>
          <w:color w:val="000000"/>
        </w:rPr>
        <w:t xml:space="preserve"> (or both)</w:t>
      </w:r>
      <w:r w:rsidR="00E53B50">
        <w:rPr>
          <w:rFonts w:eastAsia="Times New Roman"/>
          <w:color w:val="000000"/>
        </w:rPr>
        <w:t xml:space="preserve"> objectively supports the inference that she was </w:t>
      </w:r>
      <w:r w:rsidR="00D04DCC">
        <w:rPr>
          <w:rFonts w:eastAsia="Times New Roman"/>
          <w:color w:val="000000"/>
        </w:rPr>
        <w:t>a major participant in the felony murder.  So do</w:t>
      </w:r>
      <w:r w:rsidR="00EC41D7">
        <w:rPr>
          <w:rFonts w:eastAsia="Times New Roman"/>
          <w:color w:val="000000"/>
        </w:rPr>
        <w:t xml:space="preserve"> </w:t>
      </w:r>
      <w:r w:rsidR="000E5A45">
        <w:rPr>
          <w:rFonts w:eastAsia="Times New Roman"/>
          <w:color w:val="000000"/>
        </w:rPr>
        <w:t>Fells’</w:t>
      </w:r>
      <w:r w:rsidR="00280CF1">
        <w:rPr>
          <w:rFonts w:eastAsia="Times New Roman"/>
          <w:color w:val="000000"/>
        </w:rPr>
        <w:t>s</w:t>
      </w:r>
      <w:r w:rsidR="000E5A45">
        <w:rPr>
          <w:rFonts w:eastAsia="Times New Roman"/>
          <w:color w:val="000000"/>
        </w:rPr>
        <w:t xml:space="preserve"> </w:t>
      </w:r>
      <w:r w:rsidR="00F443F2">
        <w:rPr>
          <w:rFonts w:eastAsia="Times New Roman"/>
          <w:color w:val="000000"/>
        </w:rPr>
        <w:t xml:space="preserve">text messages to </w:t>
      </w:r>
      <w:r w:rsidR="000E5A45">
        <w:rPr>
          <w:rFonts w:eastAsia="Times New Roman"/>
          <w:color w:val="000000"/>
        </w:rPr>
        <w:t xml:space="preserve">her and hers to </w:t>
      </w:r>
      <w:r w:rsidR="00F443F2">
        <w:rPr>
          <w:rFonts w:eastAsia="Times New Roman"/>
          <w:color w:val="000000"/>
        </w:rPr>
        <w:t xml:space="preserve">Fells </w:t>
      </w:r>
      <w:r w:rsidR="00EC41D7">
        <w:rPr>
          <w:rFonts w:eastAsia="Times New Roman"/>
          <w:color w:val="000000"/>
        </w:rPr>
        <w:t xml:space="preserve">shortly after the incident </w:t>
      </w:r>
      <w:r w:rsidR="00D04DCC">
        <w:rPr>
          <w:rFonts w:eastAsia="Times New Roman"/>
          <w:color w:val="000000"/>
        </w:rPr>
        <w:t xml:space="preserve">in which </w:t>
      </w:r>
      <w:r w:rsidR="000E5A45">
        <w:rPr>
          <w:rFonts w:eastAsia="Times New Roman"/>
          <w:color w:val="000000"/>
        </w:rPr>
        <w:t xml:space="preserve">Fells blamed her for the shooting and </w:t>
      </w:r>
      <w:r w:rsidR="00D04DCC">
        <w:rPr>
          <w:rFonts w:eastAsia="Times New Roman"/>
          <w:color w:val="000000"/>
        </w:rPr>
        <w:t xml:space="preserve">she </w:t>
      </w:r>
      <w:r w:rsidR="000E5A45">
        <w:rPr>
          <w:rFonts w:eastAsia="Times New Roman"/>
          <w:color w:val="000000"/>
        </w:rPr>
        <w:t xml:space="preserve">responded that </w:t>
      </w:r>
      <w:r w:rsidR="00D04DCC">
        <w:rPr>
          <w:rFonts w:eastAsia="Times New Roman"/>
          <w:color w:val="000000"/>
        </w:rPr>
        <w:t>s</w:t>
      </w:r>
      <w:r w:rsidR="00F443F2">
        <w:rPr>
          <w:rFonts w:eastAsia="Times New Roman"/>
          <w:color w:val="000000"/>
        </w:rPr>
        <w:t xml:space="preserve">he </w:t>
      </w:r>
      <w:r w:rsidR="00D04DCC">
        <w:rPr>
          <w:rFonts w:eastAsia="Times New Roman"/>
          <w:color w:val="000000"/>
        </w:rPr>
        <w:t>had done similar things before and knew</w:t>
      </w:r>
      <w:r w:rsidR="00F443F2">
        <w:rPr>
          <w:rFonts w:eastAsia="Times New Roman"/>
          <w:color w:val="000000"/>
        </w:rPr>
        <w:t xml:space="preserve"> what she </w:t>
      </w:r>
      <w:r w:rsidR="00D04DCC">
        <w:rPr>
          <w:rFonts w:eastAsia="Times New Roman"/>
          <w:color w:val="000000"/>
        </w:rPr>
        <w:t>was doing</w:t>
      </w:r>
      <w:r w:rsidR="00470B75">
        <w:rPr>
          <w:rFonts w:eastAsia="Times New Roman"/>
          <w:color w:val="000000"/>
        </w:rPr>
        <w:t xml:space="preserve"> </w:t>
      </w:r>
      <w:r w:rsidR="00470B75" w:rsidRPr="008457BA">
        <w:rPr>
          <w:rFonts w:eastAsia="Times New Roman"/>
          <w:color w:val="000000"/>
        </w:rPr>
        <w:t>and that it needed to be done</w:t>
      </w:r>
      <w:r w:rsidR="00D04DCC">
        <w:rPr>
          <w:rFonts w:eastAsia="Times New Roman"/>
          <w:color w:val="000000"/>
        </w:rPr>
        <w:t xml:space="preserve">.  </w:t>
      </w:r>
    </w:p>
    <w:p w14:paraId="148C68AA" w14:textId="424B65E8" w:rsidR="00627655" w:rsidRDefault="00F255BF" w:rsidP="00216372">
      <w:pPr>
        <w:spacing w:line="360" w:lineRule="auto"/>
        <w:ind w:firstLine="720"/>
        <w:rPr>
          <w:rFonts w:eastAsia="Times New Roman"/>
          <w:color w:val="000000"/>
        </w:rPr>
      </w:pPr>
      <w:r>
        <w:rPr>
          <w:rFonts w:eastAsia="Times New Roman"/>
          <w:color w:val="000000"/>
        </w:rPr>
        <w:t xml:space="preserve">Further, </w:t>
      </w:r>
      <w:r w:rsidR="00216372">
        <w:rPr>
          <w:rFonts w:eastAsia="Times New Roman"/>
          <w:color w:val="000000"/>
        </w:rPr>
        <w:t xml:space="preserve">the evidence strongly indicates that Price acted with reckless indifference to human life.  </w:t>
      </w:r>
      <w:r>
        <w:rPr>
          <w:rFonts w:eastAsia="Times New Roman"/>
          <w:color w:val="000000"/>
        </w:rPr>
        <w:t xml:space="preserve">As the court observed in </w:t>
      </w:r>
      <w:r w:rsidRPr="008D2473">
        <w:rPr>
          <w:rFonts w:eastAsia="Times New Roman"/>
          <w:i/>
          <w:iCs/>
          <w:color w:val="000000"/>
        </w:rPr>
        <w:t>Clark</w:t>
      </w:r>
      <w:r>
        <w:rPr>
          <w:rFonts w:eastAsia="Times New Roman"/>
          <w:color w:val="000000"/>
        </w:rPr>
        <w:t xml:space="preserve">, </w:t>
      </w:r>
      <w:r w:rsidRPr="008D2473">
        <w:rPr>
          <w:rFonts w:eastAsia="Times New Roman"/>
          <w:i/>
          <w:iCs/>
          <w:color w:val="000000"/>
        </w:rPr>
        <w:t>supra</w:t>
      </w:r>
      <w:r>
        <w:rPr>
          <w:rFonts w:eastAsia="Times New Roman"/>
          <w:color w:val="000000"/>
        </w:rPr>
        <w:t xml:space="preserve">, </w:t>
      </w:r>
      <w:r w:rsidR="007F6EC3">
        <w:rPr>
          <w:rFonts w:eastAsia="Times New Roman"/>
          <w:color w:val="000000"/>
        </w:rPr>
        <w:t>63 Cal.4th</w:t>
      </w:r>
      <w:r>
        <w:rPr>
          <w:rFonts w:eastAsia="Times New Roman"/>
          <w:color w:val="000000"/>
        </w:rPr>
        <w:t xml:space="preserve"> at pp. </w:t>
      </w:r>
      <w:r w:rsidR="008D2473">
        <w:rPr>
          <w:rFonts w:eastAsia="Times New Roman"/>
          <w:color w:val="000000"/>
        </w:rPr>
        <w:t xml:space="preserve">614-615, the requirements of being a major participant and having reckless indifference to human life are interrelated and “ ‘significantly overlap . . . , for the greater the defendant’s participation in the felony </w:t>
      </w:r>
      <w:r w:rsidR="008D2473">
        <w:rPr>
          <w:rFonts w:eastAsia="Times New Roman"/>
          <w:color w:val="000000"/>
        </w:rPr>
        <w:lastRenderedPageBreak/>
        <w:t>murder, the more likely that he acted with reckless indifference to human life.’ ”  (</w:t>
      </w:r>
      <w:r w:rsidR="008D2473" w:rsidRPr="008D2473">
        <w:rPr>
          <w:rFonts w:eastAsia="Times New Roman"/>
          <w:i/>
          <w:iCs/>
          <w:color w:val="000000"/>
        </w:rPr>
        <w:t>I</w:t>
      </w:r>
      <w:r w:rsidR="00280CF1">
        <w:rPr>
          <w:rFonts w:eastAsia="Times New Roman"/>
          <w:i/>
          <w:iCs/>
          <w:color w:val="000000"/>
        </w:rPr>
        <w:t>bi</w:t>
      </w:r>
      <w:r w:rsidR="008D2473" w:rsidRPr="008D2473">
        <w:rPr>
          <w:rFonts w:eastAsia="Times New Roman"/>
          <w:i/>
          <w:iCs/>
          <w:color w:val="000000"/>
        </w:rPr>
        <w:t>d</w:t>
      </w:r>
      <w:r w:rsidR="008D2473">
        <w:rPr>
          <w:rFonts w:eastAsia="Times New Roman"/>
          <w:color w:val="000000"/>
        </w:rPr>
        <w:t xml:space="preserve">., quoting </w:t>
      </w:r>
      <w:r w:rsidR="008D2473" w:rsidRPr="008D2473">
        <w:rPr>
          <w:rFonts w:eastAsia="Times New Roman"/>
          <w:i/>
          <w:iCs/>
          <w:color w:val="000000"/>
        </w:rPr>
        <w:t>Tison</w:t>
      </w:r>
      <w:r w:rsidR="008D2473">
        <w:rPr>
          <w:rFonts w:eastAsia="Times New Roman"/>
          <w:color w:val="000000"/>
        </w:rPr>
        <w:t xml:space="preserve">, </w:t>
      </w:r>
      <w:r w:rsidR="008D2473" w:rsidRPr="008D2473">
        <w:rPr>
          <w:rFonts w:eastAsia="Times New Roman"/>
          <w:i/>
          <w:iCs/>
          <w:color w:val="000000"/>
        </w:rPr>
        <w:t>supra</w:t>
      </w:r>
      <w:r w:rsidR="008D2473">
        <w:rPr>
          <w:rFonts w:eastAsia="Times New Roman"/>
          <w:color w:val="000000"/>
        </w:rPr>
        <w:t xml:space="preserve">, 481 U.S. at p. 153.)  According to </w:t>
      </w:r>
      <w:r w:rsidR="008D2473" w:rsidRPr="008D2473">
        <w:rPr>
          <w:rFonts w:eastAsia="Times New Roman"/>
          <w:i/>
          <w:iCs/>
          <w:color w:val="000000"/>
        </w:rPr>
        <w:t>Clark</w:t>
      </w:r>
      <w:r w:rsidR="008D2473">
        <w:rPr>
          <w:rFonts w:eastAsia="Times New Roman"/>
          <w:color w:val="000000"/>
        </w:rPr>
        <w:t>, the United States Supreme Court’s “view of ‘reckless indifference’ ” is “that it encompasses a willingness to kill (or to assist another in killing) to achieve a distinct aim, even if the defendant does not specifically desire that death as the outcome of his actions.”  (</w:t>
      </w:r>
      <w:r w:rsidR="008D2473" w:rsidRPr="008D2473">
        <w:rPr>
          <w:rFonts w:eastAsia="Times New Roman"/>
          <w:i/>
          <w:iCs/>
          <w:color w:val="000000"/>
        </w:rPr>
        <w:t>Clark</w:t>
      </w:r>
      <w:r w:rsidR="008D2473">
        <w:rPr>
          <w:rFonts w:eastAsia="Times New Roman"/>
          <w:color w:val="000000"/>
        </w:rPr>
        <w:t xml:space="preserve">, at p. 617.)  Citing the Model Penal Code, the court in </w:t>
      </w:r>
      <w:r w:rsidR="008D2473" w:rsidRPr="00AD3C03">
        <w:rPr>
          <w:rFonts w:eastAsia="Times New Roman"/>
          <w:i/>
          <w:iCs/>
          <w:color w:val="000000"/>
        </w:rPr>
        <w:t>Clark</w:t>
      </w:r>
      <w:r w:rsidR="008D2473">
        <w:rPr>
          <w:rFonts w:eastAsia="Times New Roman"/>
          <w:color w:val="000000"/>
        </w:rPr>
        <w:t xml:space="preserve"> observed that reckless indifference “encompasses both subjective and objective elements.”  (</w:t>
      </w:r>
      <w:r w:rsidRPr="008D2473">
        <w:rPr>
          <w:rFonts w:eastAsia="Times New Roman"/>
          <w:i/>
          <w:iCs/>
          <w:color w:val="000000"/>
        </w:rPr>
        <w:t>Clark</w:t>
      </w:r>
      <w:r>
        <w:rPr>
          <w:rFonts w:eastAsia="Times New Roman"/>
          <w:color w:val="000000"/>
        </w:rPr>
        <w:t>, at p. 617.</w:t>
      </w:r>
      <w:r w:rsidR="008D2473">
        <w:rPr>
          <w:rFonts w:eastAsia="Times New Roman"/>
          <w:color w:val="000000"/>
        </w:rPr>
        <w:t xml:space="preserve">)  </w:t>
      </w:r>
      <w:r w:rsidR="005D1CED">
        <w:rPr>
          <w:rFonts w:eastAsia="Times New Roman"/>
          <w:color w:val="000000"/>
        </w:rPr>
        <w:t>“The subjective element is the defendant’s conscious disregard of risks known to him or her.”  The objective component is measured by “what ‘a law-abiding person would observe in the actor’s situation,’ ” and whether the defendant’s disregard of the risk “</w:t>
      </w:r>
      <w:r w:rsidR="0097776A">
        <w:rPr>
          <w:rFonts w:eastAsia="Times New Roman"/>
          <w:color w:val="000000"/>
        </w:rPr>
        <w:t xml:space="preserve"> ‘</w:t>
      </w:r>
      <w:r w:rsidR="005D1CED">
        <w:rPr>
          <w:rFonts w:eastAsia="Times New Roman"/>
          <w:color w:val="000000"/>
        </w:rPr>
        <w:t>involved a gross deviation from the standard of conduct that a law-abiding person in the actor’s situation would observe.’ ”  (</w:t>
      </w:r>
      <w:r w:rsidR="005D1CED" w:rsidRPr="005D1CED">
        <w:rPr>
          <w:rFonts w:eastAsia="Times New Roman"/>
          <w:i/>
          <w:iCs/>
          <w:color w:val="000000"/>
        </w:rPr>
        <w:t>I</w:t>
      </w:r>
      <w:r w:rsidR="00280CF1">
        <w:rPr>
          <w:rFonts w:eastAsia="Times New Roman"/>
          <w:i/>
          <w:iCs/>
          <w:color w:val="000000"/>
        </w:rPr>
        <w:t>bi</w:t>
      </w:r>
      <w:r w:rsidR="005D1CED" w:rsidRPr="005D1CED">
        <w:rPr>
          <w:rFonts w:eastAsia="Times New Roman"/>
          <w:i/>
          <w:iCs/>
          <w:color w:val="000000"/>
        </w:rPr>
        <w:t>d</w:t>
      </w:r>
      <w:r w:rsidR="005D1CED">
        <w:rPr>
          <w:rFonts w:eastAsia="Times New Roman"/>
          <w:color w:val="000000"/>
        </w:rPr>
        <w:t>.)  The fact that a robbery involves gain is not enough; nor is the mere awareness that one’s confederates are armed.  (</w:t>
      </w:r>
      <w:r w:rsidR="005D1CED" w:rsidRPr="005D1CED">
        <w:rPr>
          <w:rFonts w:eastAsia="Times New Roman"/>
          <w:i/>
          <w:iCs/>
          <w:color w:val="000000"/>
        </w:rPr>
        <w:t>Id</w:t>
      </w:r>
      <w:r w:rsidR="005D1CED">
        <w:rPr>
          <w:rFonts w:eastAsia="Times New Roman"/>
          <w:color w:val="000000"/>
        </w:rPr>
        <w:t>. at p. 618</w:t>
      </w:r>
      <w:r w:rsidR="0097776A">
        <w:rPr>
          <w:rFonts w:eastAsia="Times New Roman"/>
          <w:color w:val="000000"/>
        </w:rPr>
        <w:t>.</w:t>
      </w:r>
      <w:r w:rsidR="005D1CED">
        <w:rPr>
          <w:rFonts w:eastAsia="Times New Roman"/>
          <w:color w:val="000000"/>
        </w:rPr>
        <w:t xml:space="preserve">)  </w:t>
      </w:r>
    </w:p>
    <w:p w14:paraId="7CA72FDA" w14:textId="791176F3" w:rsidR="005D1CED" w:rsidRDefault="00F255BF" w:rsidP="00712B92">
      <w:pPr>
        <w:spacing w:line="360" w:lineRule="auto"/>
        <w:ind w:firstLine="720"/>
        <w:rPr>
          <w:rFonts w:eastAsia="Times New Roman"/>
          <w:color w:val="000000"/>
        </w:rPr>
      </w:pPr>
      <w:r>
        <w:rPr>
          <w:rFonts w:eastAsia="Times New Roman"/>
          <w:color w:val="000000"/>
        </w:rPr>
        <w:t xml:space="preserve">Knowledge of weapons and use and number of weapons is the first factor identified in </w:t>
      </w:r>
      <w:r w:rsidRPr="006E6B89">
        <w:rPr>
          <w:rFonts w:eastAsia="Times New Roman"/>
          <w:i/>
          <w:iCs/>
          <w:color w:val="000000"/>
        </w:rPr>
        <w:t>Clark</w:t>
      </w:r>
      <w:r>
        <w:rPr>
          <w:rFonts w:eastAsia="Times New Roman"/>
          <w:color w:val="000000"/>
        </w:rPr>
        <w:t xml:space="preserve"> as bearing on reckless </w:t>
      </w:r>
      <w:r w:rsidR="0012195F">
        <w:rPr>
          <w:rFonts w:eastAsia="Times New Roman"/>
          <w:color w:val="000000"/>
        </w:rPr>
        <w:t>indifference</w:t>
      </w:r>
      <w:r>
        <w:rPr>
          <w:rFonts w:eastAsia="Times New Roman"/>
          <w:color w:val="000000"/>
        </w:rPr>
        <w:t xml:space="preserve">.  </w:t>
      </w:r>
      <w:r w:rsidR="006B1921">
        <w:rPr>
          <w:rFonts w:eastAsia="Times New Roman"/>
          <w:color w:val="000000"/>
        </w:rPr>
        <w:t>(</w:t>
      </w:r>
      <w:r w:rsidR="00935C31" w:rsidRPr="008D2473">
        <w:rPr>
          <w:rFonts w:eastAsia="Times New Roman"/>
          <w:i/>
          <w:iCs/>
          <w:color w:val="000000"/>
        </w:rPr>
        <w:t>Clark</w:t>
      </w:r>
      <w:r w:rsidR="00935C31">
        <w:rPr>
          <w:rFonts w:eastAsia="Times New Roman"/>
          <w:color w:val="000000"/>
        </w:rPr>
        <w:t xml:space="preserve">, </w:t>
      </w:r>
      <w:r w:rsidR="00935C31" w:rsidRPr="008D2473">
        <w:rPr>
          <w:rFonts w:eastAsia="Times New Roman"/>
          <w:i/>
          <w:iCs/>
          <w:color w:val="000000"/>
        </w:rPr>
        <w:t>supra</w:t>
      </w:r>
      <w:r w:rsidR="00935C31">
        <w:rPr>
          <w:rFonts w:eastAsia="Times New Roman"/>
          <w:color w:val="000000"/>
        </w:rPr>
        <w:t xml:space="preserve">, </w:t>
      </w:r>
      <w:r w:rsidR="007F6EC3">
        <w:rPr>
          <w:rFonts w:eastAsia="Times New Roman"/>
          <w:color w:val="000000"/>
        </w:rPr>
        <w:t>63 Cal.4th</w:t>
      </w:r>
      <w:r w:rsidR="00935C31">
        <w:rPr>
          <w:rFonts w:eastAsia="Times New Roman"/>
          <w:color w:val="000000"/>
        </w:rPr>
        <w:t xml:space="preserve"> at p. 618.</w:t>
      </w:r>
      <w:r w:rsidR="006B1921">
        <w:rPr>
          <w:rFonts w:eastAsia="Times New Roman"/>
          <w:color w:val="000000"/>
        </w:rPr>
        <w:t>)  Here, there was a single gun at the scene of Merrill’s killing</w:t>
      </w:r>
      <w:r w:rsidR="00935C31">
        <w:rPr>
          <w:rFonts w:eastAsia="Times New Roman"/>
          <w:color w:val="000000"/>
        </w:rPr>
        <w:t xml:space="preserve"> and </w:t>
      </w:r>
      <w:r w:rsidR="006B1921">
        <w:rPr>
          <w:rFonts w:eastAsia="Times New Roman"/>
          <w:color w:val="000000"/>
        </w:rPr>
        <w:t xml:space="preserve"> it was supplied by Price, who retrieved it from Fells’s drawer and brought it to the scene.  Further, Price was in possession of the gun when they arrived, and </w:t>
      </w:r>
      <w:r w:rsidR="000D2838">
        <w:rPr>
          <w:rFonts w:eastAsia="Times New Roman"/>
          <w:color w:val="000000"/>
        </w:rPr>
        <w:t>the evidence supported an</w:t>
      </w:r>
      <w:r w:rsidR="00B530EE">
        <w:rPr>
          <w:rFonts w:eastAsia="Times New Roman"/>
          <w:color w:val="000000"/>
        </w:rPr>
        <w:t xml:space="preserve"> infer</w:t>
      </w:r>
      <w:r w:rsidR="000D2838">
        <w:rPr>
          <w:rFonts w:eastAsia="Times New Roman"/>
          <w:color w:val="000000"/>
        </w:rPr>
        <w:t>ence that</w:t>
      </w:r>
      <w:r w:rsidR="003B46C5">
        <w:rPr>
          <w:rFonts w:eastAsia="Times New Roman"/>
          <w:color w:val="000000"/>
        </w:rPr>
        <w:t>,</w:t>
      </w:r>
      <w:r w:rsidR="00B530EE">
        <w:rPr>
          <w:rFonts w:eastAsia="Times New Roman"/>
          <w:color w:val="000000"/>
        </w:rPr>
        <w:t xml:space="preserve"> </w:t>
      </w:r>
      <w:r w:rsidR="004A64BE">
        <w:rPr>
          <w:rFonts w:eastAsia="Times New Roman"/>
          <w:color w:val="000000"/>
        </w:rPr>
        <w:t>if Brown was the killer</w:t>
      </w:r>
      <w:r w:rsidR="003B46C5">
        <w:rPr>
          <w:rFonts w:eastAsia="Times New Roman"/>
          <w:color w:val="000000"/>
        </w:rPr>
        <w:t>,</w:t>
      </w:r>
      <w:r w:rsidR="004A64BE">
        <w:rPr>
          <w:rFonts w:eastAsia="Times New Roman"/>
          <w:color w:val="000000"/>
        </w:rPr>
        <w:t xml:space="preserve"> </w:t>
      </w:r>
      <w:r w:rsidR="006B1921">
        <w:rPr>
          <w:rFonts w:eastAsia="Times New Roman"/>
          <w:color w:val="000000"/>
        </w:rPr>
        <w:t xml:space="preserve">Price </w:t>
      </w:r>
      <w:r w:rsidR="006E6B89">
        <w:rPr>
          <w:rFonts w:eastAsia="Times New Roman"/>
          <w:color w:val="000000"/>
        </w:rPr>
        <w:t>handed</w:t>
      </w:r>
      <w:r w:rsidR="006B1921">
        <w:rPr>
          <w:rFonts w:eastAsia="Times New Roman"/>
          <w:color w:val="000000"/>
        </w:rPr>
        <w:t xml:space="preserve"> </w:t>
      </w:r>
      <w:r w:rsidR="000D2838">
        <w:rPr>
          <w:rFonts w:eastAsia="Times New Roman"/>
          <w:color w:val="000000"/>
        </w:rPr>
        <w:t>Brown</w:t>
      </w:r>
      <w:r w:rsidR="006B1921">
        <w:rPr>
          <w:rFonts w:eastAsia="Times New Roman"/>
          <w:color w:val="000000"/>
        </w:rPr>
        <w:t xml:space="preserve"> the gun</w:t>
      </w:r>
      <w:r w:rsidR="00B530EE">
        <w:rPr>
          <w:rFonts w:eastAsia="Times New Roman"/>
          <w:color w:val="000000"/>
        </w:rPr>
        <w:t xml:space="preserve"> </w:t>
      </w:r>
      <w:r w:rsidR="00E35CAA">
        <w:rPr>
          <w:rFonts w:eastAsia="Times New Roman"/>
          <w:color w:val="000000"/>
        </w:rPr>
        <w:t>at the scene</w:t>
      </w:r>
      <w:r w:rsidR="006B1921">
        <w:rPr>
          <w:rFonts w:eastAsia="Times New Roman"/>
          <w:color w:val="000000"/>
        </w:rPr>
        <w:t xml:space="preserve">.  </w:t>
      </w:r>
      <w:r w:rsidR="0015054E">
        <w:rPr>
          <w:rFonts w:eastAsia="Times New Roman"/>
          <w:color w:val="000000"/>
        </w:rPr>
        <w:t xml:space="preserve">There was evidence that </w:t>
      </w:r>
      <w:r w:rsidR="006B1921">
        <w:rPr>
          <w:rFonts w:eastAsia="Times New Roman"/>
          <w:color w:val="000000"/>
        </w:rPr>
        <w:t xml:space="preserve">Price </w:t>
      </w:r>
      <w:r w:rsidR="00C70287">
        <w:rPr>
          <w:rFonts w:eastAsia="Times New Roman"/>
          <w:color w:val="000000"/>
        </w:rPr>
        <w:t>had owned multiple guns</w:t>
      </w:r>
      <w:r w:rsidR="00E35CAA">
        <w:rPr>
          <w:rFonts w:eastAsia="Times New Roman"/>
          <w:color w:val="000000"/>
        </w:rPr>
        <w:t xml:space="preserve"> (one having recently been confiscated by police)</w:t>
      </w:r>
      <w:r w:rsidR="00C70287">
        <w:rPr>
          <w:rFonts w:eastAsia="Times New Roman"/>
          <w:color w:val="000000"/>
        </w:rPr>
        <w:t>, had shot a revolver and was</w:t>
      </w:r>
      <w:r w:rsidR="006B1921">
        <w:rPr>
          <w:rFonts w:eastAsia="Times New Roman"/>
          <w:color w:val="000000"/>
        </w:rPr>
        <w:t xml:space="preserve"> familiar with guns</w:t>
      </w:r>
      <w:r w:rsidR="00C70287">
        <w:rPr>
          <w:rFonts w:eastAsia="Times New Roman"/>
          <w:color w:val="000000"/>
        </w:rPr>
        <w:t xml:space="preserve"> </w:t>
      </w:r>
      <w:r w:rsidR="0015054E">
        <w:rPr>
          <w:rFonts w:eastAsia="Times New Roman"/>
          <w:color w:val="000000"/>
        </w:rPr>
        <w:t xml:space="preserve">and </w:t>
      </w:r>
      <w:r w:rsidR="00724BCD">
        <w:rPr>
          <w:rFonts w:eastAsia="Times New Roman"/>
          <w:color w:val="000000"/>
        </w:rPr>
        <w:t>had been shown Fells</w:t>
      </w:r>
      <w:r w:rsidR="00E35CAA">
        <w:rPr>
          <w:rFonts w:eastAsia="Times New Roman"/>
          <w:color w:val="000000"/>
        </w:rPr>
        <w:t>’s gun</w:t>
      </w:r>
      <w:r w:rsidR="00724BCD">
        <w:rPr>
          <w:rFonts w:eastAsia="Times New Roman"/>
          <w:color w:val="000000"/>
        </w:rPr>
        <w:t xml:space="preserve"> earlier that night</w:t>
      </w:r>
      <w:r w:rsidR="0015054E">
        <w:rPr>
          <w:rFonts w:eastAsia="Times New Roman"/>
          <w:color w:val="000000"/>
        </w:rPr>
        <w:t>.  There was also evidence</w:t>
      </w:r>
      <w:r w:rsidR="00724BCD">
        <w:rPr>
          <w:rFonts w:eastAsia="Times New Roman"/>
          <w:color w:val="000000"/>
        </w:rPr>
        <w:t xml:space="preserve"> </w:t>
      </w:r>
      <w:r w:rsidR="00C70287">
        <w:rPr>
          <w:rFonts w:eastAsia="Times New Roman"/>
          <w:color w:val="000000"/>
        </w:rPr>
        <w:t>that</w:t>
      </w:r>
      <w:r w:rsidR="0015054E">
        <w:rPr>
          <w:rFonts w:eastAsia="Times New Roman"/>
          <w:color w:val="000000"/>
        </w:rPr>
        <w:t xml:space="preserve"> the</w:t>
      </w:r>
      <w:r w:rsidR="00C70287">
        <w:rPr>
          <w:rFonts w:eastAsia="Times New Roman"/>
          <w:color w:val="000000"/>
        </w:rPr>
        <w:t xml:space="preserve"> gun was</w:t>
      </w:r>
      <w:r w:rsidR="00724BCD">
        <w:rPr>
          <w:rFonts w:eastAsia="Times New Roman"/>
          <w:color w:val="000000"/>
        </w:rPr>
        <w:t xml:space="preserve"> </w:t>
      </w:r>
      <w:r w:rsidR="00C70287">
        <w:rPr>
          <w:rFonts w:eastAsia="Times New Roman"/>
          <w:color w:val="000000"/>
        </w:rPr>
        <w:t>loaded</w:t>
      </w:r>
      <w:r w:rsidR="00E35CAA">
        <w:rPr>
          <w:rFonts w:eastAsia="Times New Roman"/>
          <w:color w:val="000000"/>
        </w:rPr>
        <w:t xml:space="preserve">.  The jury reasonably could infer </w:t>
      </w:r>
      <w:r w:rsidR="0015054E">
        <w:rPr>
          <w:rFonts w:eastAsia="Times New Roman"/>
          <w:color w:val="000000"/>
        </w:rPr>
        <w:t xml:space="preserve">from her experience with guns </w:t>
      </w:r>
      <w:r w:rsidR="00E35CAA">
        <w:rPr>
          <w:rFonts w:eastAsia="Times New Roman"/>
          <w:color w:val="000000"/>
        </w:rPr>
        <w:t>that</w:t>
      </w:r>
      <w:r w:rsidR="006B1921">
        <w:rPr>
          <w:rFonts w:eastAsia="Times New Roman"/>
          <w:color w:val="000000"/>
        </w:rPr>
        <w:t xml:space="preserve"> Price knew </w:t>
      </w:r>
      <w:r w:rsidR="0015054E">
        <w:rPr>
          <w:rFonts w:eastAsia="Times New Roman"/>
          <w:color w:val="000000"/>
        </w:rPr>
        <w:t>Fells’s gun</w:t>
      </w:r>
      <w:r w:rsidR="006B1921">
        <w:rPr>
          <w:rFonts w:eastAsia="Times New Roman"/>
          <w:color w:val="000000"/>
        </w:rPr>
        <w:t xml:space="preserve"> was loaded</w:t>
      </w:r>
      <w:r w:rsidR="008317B5">
        <w:rPr>
          <w:rFonts w:eastAsia="Times New Roman"/>
          <w:color w:val="000000"/>
        </w:rPr>
        <w:t xml:space="preserve"> when she picked it up and brought it with </w:t>
      </w:r>
      <w:r w:rsidR="008317B5">
        <w:rPr>
          <w:rFonts w:eastAsia="Times New Roman"/>
          <w:color w:val="000000"/>
        </w:rPr>
        <w:lastRenderedPageBreak/>
        <w:t>her to the scene of the intended robbery</w:t>
      </w:r>
      <w:r w:rsidR="006B1921">
        <w:rPr>
          <w:rFonts w:eastAsia="Times New Roman"/>
          <w:color w:val="000000"/>
        </w:rPr>
        <w:t xml:space="preserve">.  </w:t>
      </w:r>
      <w:r w:rsidR="000D2838">
        <w:rPr>
          <w:rFonts w:eastAsia="Times New Roman"/>
          <w:color w:val="000000"/>
        </w:rPr>
        <w:t xml:space="preserve">Further, </w:t>
      </w:r>
      <w:r w:rsidR="000D2838" w:rsidRPr="00EC41D7">
        <w:rPr>
          <w:rFonts w:eastAsia="Times New Roman"/>
          <w:color w:val="000000"/>
        </w:rPr>
        <w:t xml:space="preserve">to </w:t>
      </w:r>
      <w:r w:rsidR="0058222A">
        <w:rPr>
          <w:rFonts w:eastAsia="Times New Roman"/>
          <w:color w:val="000000"/>
        </w:rPr>
        <w:t xml:space="preserve">the </w:t>
      </w:r>
      <w:r w:rsidR="000D2838" w:rsidRPr="00EC41D7">
        <w:rPr>
          <w:rFonts w:eastAsia="Times New Roman"/>
          <w:color w:val="000000"/>
        </w:rPr>
        <w:t>extent the shooting was precipitated by resistance on Merrill’s part,</w:t>
      </w:r>
      <w:r>
        <w:rPr>
          <w:rStyle w:val="FootnoteReference"/>
          <w:rFonts w:eastAsia="Times New Roman"/>
          <w:b/>
          <w:bCs/>
          <w:color w:val="000000"/>
        </w:rPr>
        <w:footnoteReference w:id="21"/>
      </w:r>
      <w:r w:rsidR="000D2838">
        <w:rPr>
          <w:rFonts w:eastAsia="Times New Roman"/>
          <w:color w:val="000000"/>
        </w:rPr>
        <w:t xml:space="preserve"> Price either knew or should have known of the potential that a </w:t>
      </w:r>
      <w:r w:rsidR="0058222A" w:rsidRPr="0058222A">
        <w:rPr>
          <w:rFonts w:eastAsia="Times New Roman"/>
          <w:color w:val="000000"/>
        </w:rPr>
        <w:t xml:space="preserve">strapping </w:t>
      </w:r>
      <w:r w:rsidR="000D2838">
        <w:rPr>
          <w:rFonts w:eastAsia="Times New Roman"/>
          <w:color w:val="000000"/>
        </w:rPr>
        <w:t>young man like Merrill,</w:t>
      </w:r>
      <w:r>
        <w:rPr>
          <w:rStyle w:val="FootnoteReference"/>
          <w:rFonts w:eastAsia="Times New Roman"/>
          <w:b/>
          <w:bCs/>
          <w:color w:val="000000"/>
        </w:rPr>
        <w:footnoteReference w:id="22"/>
      </w:r>
      <w:r w:rsidR="000D2838">
        <w:rPr>
          <w:rFonts w:eastAsia="Times New Roman"/>
          <w:color w:val="000000"/>
        </w:rPr>
        <w:t xml:space="preserve"> with a gun pointed at him, would attempt to defend himself, especially when he was extremely intoxicated and unable to appreciate the danger to himself, and that</w:t>
      </w:r>
      <w:r w:rsidR="00BB72AA">
        <w:rPr>
          <w:rFonts w:eastAsia="Times New Roman"/>
          <w:color w:val="000000"/>
        </w:rPr>
        <w:t>,</w:t>
      </w:r>
      <w:r w:rsidR="000D2838">
        <w:rPr>
          <w:rFonts w:eastAsia="Times New Roman"/>
          <w:color w:val="000000"/>
        </w:rPr>
        <w:t xml:space="preserve"> if he resisted</w:t>
      </w:r>
      <w:r w:rsidR="00BB72AA">
        <w:rPr>
          <w:rFonts w:eastAsia="Times New Roman"/>
          <w:color w:val="000000"/>
        </w:rPr>
        <w:t>,</w:t>
      </w:r>
      <w:r w:rsidR="000D2838">
        <w:rPr>
          <w:rFonts w:eastAsia="Times New Roman"/>
          <w:color w:val="000000"/>
        </w:rPr>
        <w:t xml:space="preserve"> she or one of her confederates would use the gun to kill him.  </w:t>
      </w:r>
      <w:r w:rsidR="00752411">
        <w:rPr>
          <w:rFonts w:eastAsia="Times New Roman"/>
          <w:color w:val="000000"/>
        </w:rPr>
        <w:t xml:space="preserve">These circumstances support a finding that Price was subjectively aware of and indifferent to the risk of death posed by her participation in the robbery and murder.  </w:t>
      </w:r>
    </w:p>
    <w:p w14:paraId="54158313" w14:textId="53071AB5" w:rsidR="006E6B89" w:rsidRDefault="00F255BF" w:rsidP="00712B92">
      <w:pPr>
        <w:spacing w:line="360" w:lineRule="auto"/>
        <w:ind w:firstLine="720"/>
        <w:rPr>
          <w:rFonts w:eastAsia="Times New Roman"/>
          <w:color w:val="000000"/>
        </w:rPr>
      </w:pPr>
      <w:r>
        <w:rPr>
          <w:rFonts w:eastAsia="Times New Roman"/>
          <w:color w:val="000000"/>
        </w:rPr>
        <w:t>Physical presence at the scene and opportunit</w:t>
      </w:r>
      <w:r w:rsidR="003D736B">
        <w:rPr>
          <w:rFonts w:eastAsia="Times New Roman"/>
          <w:color w:val="000000"/>
        </w:rPr>
        <w:t>y</w:t>
      </w:r>
      <w:r>
        <w:rPr>
          <w:rFonts w:eastAsia="Times New Roman"/>
          <w:color w:val="000000"/>
        </w:rPr>
        <w:t xml:space="preserve"> to prevent the crime or aid the victim is the second factor identified in </w:t>
      </w:r>
      <w:r w:rsidRPr="006E6B89">
        <w:rPr>
          <w:rFonts w:eastAsia="Times New Roman"/>
          <w:i/>
          <w:iCs/>
          <w:color w:val="000000"/>
        </w:rPr>
        <w:t>Clark</w:t>
      </w:r>
      <w:r w:rsidR="00E35CAA">
        <w:rPr>
          <w:rFonts w:eastAsia="Times New Roman"/>
          <w:i/>
          <w:iCs/>
          <w:color w:val="000000"/>
        </w:rPr>
        <w:t xml:space="preserve"> </w:t>
      </w:r>
      <w:r w:rsidR="00E35CAA">
        <w:rPr>
          <w:rFonts w:eastAsia="Times New Roman"/>
          <w:color w:val="000000"/>
        </w:rPr>
        <w:t xml:space="preserve">for reckless </w:t>
      </w:r>
      <w:r w:rsidR="00935C31">
        <w:rPr>
          <w:rFonts w:eastAsia="Times New Roman"/>
          <w:color w:val="000000"/>
        </w:rPr>
        <w:t>indifference</w:t>
      </w:r>
      <w:r>
        <w:rPr>
          <w:rFonts w:eastAsia="Times New Roman"/>
          <w:color w:val="000000"/>
        </w:rPr>
        <w:t>.  “Proximity to the murder and the events leading up to it may be particularly significant where</w:t>
      </w:r>
      <w:r w:rsidR="00280CF1">
        <w:rPr>
          <w:rFonts w:eastAsia="Times New Roman"/>
          <w:color w:val="000000"/>
        </w:rPr>
        <w:t xml:space="preserve"> </w:t>
      </w:r>
      <w:r w:rsidR="00935C31">
        <w:rPr>
          <w:rFonts w:eastAsia="Times New Roman"/>
          <w:color w:val="000000"/>
        </w:rPr>
        <w:t>. . .</w:t>
      </w:r>
      <w:r>
        <w:rPr>
          <w:rFonts w:eastAsia="Times New Roman"/>
          <w:color w:val="000000"/>
        </w:rPr>
        <w:t xml:space="preserve"> the murder is a culmination or a foreseeable result of several intermediate steps, or where the participant who personally commits the murder exhibits behavior tending to suggest a willingness to use lethal force.”  (</w:t>
      </w:r>
      <w:r w:rsidR="00E35CAA">
        <w:rPr>
          <w:rFonts w:eastAsia="Times New Roman"/>
          <w:i/>
          <w:iCs/>
          <w:color w:val="000000"/>
        </w:rPr>
        <w:t>Clark,</w:t>
      </w:r>
      <w:r w:rsidR="00935C31" w:rsidRPr="00935C31">
        <w:rPr>
          <w:rFonts w:eastAsia="Times New Roman"/>
          <w:i/>
          <w:iCs/>
          <w:color w:val="000000"/>
        </w:rPr>
        <w:t xml:space="preserve"> </w:t>
      </w:r>
      <w:r w:rsidR="00935C31" w:rsidRPr="008D2473">
        <w:rPr>
          <w:rFonts w:eastAsia="Times New Roman"/>
          <w:i/>
          <w:iCs/>
          <w:color w:val="000000"/>
        </w:rPr>
        <w:t>supra</w:t>
      </w:r>
      <w:r w:rsidR="00935C31">
        <w:rPr>
          <w:rFonts w:eastAsia="Times New Roman"/>
          <w:color w:val="000000"/>
        </w:rPr>
        <w:t xml:space="preserve">, </w:t>
      </w:r>
      <w:r w:rsidR="007F6EC3">
        <w:rPr>
          <w:rFonts w:eastAsia="Times New Roman"/>
          <w:color w:val="000000"/>
        </w:rPr>
        <w:t>63 Cal.4th</w:t>
      </w:r>
      <w:r w:rsidR="00E35CAA">
        <w:rPr>
          <w:rFonts w:eastAsia="Times New Roman"/>
          <w:i/>
          <w:iCs/>
          <w:color w:val="000000"/>
        </w:rPr>
        <w:t xml:space="preserve"> </w:t>
      </w:r>
      <w:r>
        <w:rPr>
          <w:rFonts w:eastAsia="Times New Roman"/>
          <w:color w:val="000000"/>
        </w:rPr>
        <w:t xml:space="preserve">at p. 619.)  “In such cases, ‘the defendant’s presence allows him to observe his cohorts so that it is fair to conclude that he shared in their actions and mental state. . . . </w:t>
      </w:r>
      <w:r w:rsidR="00935C31">
        <w:rPr>
          <w:rFonts w:eastAsia="Times New Roman"/>
          <w:color w:val="000000"/>
        </w:rPr>
        <w:t xml:space="preserve"> </w:t>
      </w:r>
      <w:r>
        <w:rPr>
          <w:rFonts w:eastAsia="Times New Roman"/>
          <w:color w:val="000000"/>
        </w:rPr>
        <w:t>[Moreover,] the defendant’s presence gives him an opportunity to act as a restraining influence on murderous cohorts.  If the defendant fails to act as a restraining influence, then the defendant is arguably more at fault for the resulting murders.’ ”  (</w:t>
      </w:r>
      <w:r w:rsidRPr="006E6B89">
        <w:rPr>
          <w:rFonts w:eastAsia="Times New Roman"/>
          <w:i/>
          <w:iCs/>
          <w:color w:val="000000"/>
        </w:rPr>
        <w:t>I</w:t>
      </w:r>
      <w:r w:rsidR="004256B4">
        <w:rPr>
          <w:rFonts w:eastAsia="Times New Roman"/>
          <w:i/>
          <w:iCs/>
          <w:color w:val="000000"/>
        </w:rPr>
        <w:t>bi</w:t>
      </w:r>
      <w:r w:rsidRPr="006E6B89">
        <w:rPr>
          <w:rFonts w:eastAsia="Times New Roman"/>
          <w:i/>
          <w:iCs/>
          <w:color w:val="000000"/>
        </w:rPr>
        <w:t>d</w:t>
      </w:r>
      <w:r>
        <w:rPr>
          <w:rFonts w:eastAsia="Times New Roman"/>
          <w:color w:val="000000"/>
        </w:rPr>
        <w:t xml:space="preserve">.)  The high court in </w:t>
      </w:r>
      <w:r w:rsidRPr="006E6B89">
        <w:rPr>
          <w:rFonts w:eastAsia="Times New Roman"/>
          <w:i/>
          <w:iCs/>
          <w:color w:val="000000"/>
        </w:rPr>
        <w:t>Tison</w:t>
      </w:r>
      <w:r>
        <w:rPr>
          <w:rFonts w:eastAsia="Times New Roman"/>
          <w:color w:val="000000"/>
        </w:rPr>
        <w:t xml:space="preserve"> and other appellate courts “have considered </w:t>
      </w:r>
      <w:r>
        <w:rPr>
          <w:rFonts w:eastAsia="Times New Roman"/>
          <w:color w:val="000000"/>
        </w:rPr>
        <w:lastRenderedPageBreak/>
        <w:t>relevant a defendant’s failure to provide aid while present at the scene.”  (</w:t>
      </w:r>
      <w:r w:rsidRPr="006E6B89">
        <w:rPr>
          <w:rFonts w:eastAsia="Times New Roman"/>
          <w:i/>
          <w:iCs/>
          <w:color w:val="000000"/>
        </w:rPr>
        <w:t>I</w:t>
      </w:r>
      <w:r w:rsidR="00550339">
        <w:rPr>
          <w:rFonts w:eastAsia="Times New Roman"/>
          <w:i/>
          <w:iCs/>
          <w:color w:val="000000"/>
        </w:rPr>
        <w:t>bi</w:t>
      </w:r>
      <w:r w:rsidRPr="006E6B89">
        <w:rPr>
          <w:rFonts w:eastAsia="Times New Roman"/>
          <w:i/>
          <w:iCs/>
          <w:color w:val="000000"/>
        </w:rPr>
        <w:t>d</w:t>
      </w:r>
      <w:r>
        <w:rPr>
          <w:rFonts w:eastAsia="Times New Roman"/>
          <w:color w:val="000000"/>
        </w:rPr>
        <w:t xml:space="preserve">.) </w:t>
      </w:r>
      <w:r w:rsidR="00280CF1">
        <w:rPr>
          <w:rFonts w:eastAsia="Times New Roman"/>
          <w:color w:val="000000"/>
        </w:rPr>
        <w:t xml:space="preserve"> </w:t>
      </w:r>
    </w:p>
    <w:p w14:paraId="192CF447" w14:textId="2E0D40C3" w:rsidR="00D26DBF" w:rsidRDefault="00F255BF" w:rsidP="00D26DBF">
      <w:pPr>
        <w:spacing w:line="360" w:lineRule="auto"/>
        <w:ind w:firstLine="720"/>
        <w:rPr>
          <w:rFonts w:eastAsia="Times New Roman"/>
          <w:color w:val="000000"/>
        </w:rPr>
      </w:pPr>
      <w:r>
        <w:rPr>
          <w:rFonts w:eastAsia="Times New Roman"/>
          <w:color w:val="000000"/>
        </w:rPr>
        <w:t xml:space="preserve">Price was present at the scene of </w:t>
      </w:r>
      <w:r w:rsidR="00935C31">
        <w:rPr>
          <w:rFonts w:eastAsia="Times New Roman"/>
          <w:color w:val="000000"/>
        </w:rPr>
        <w:t>Merrill’s</w:t>
      </w:r>
      <w:r>
        <w:rPr>
          <w:rFonts w:eastAsia="Times New Roman"/>
          <w:color w:val="000000"/>
        </w:rPr>
        <w:t xml:space="preserve"> killing</w:t>
      </w:r>
      <w:r w:rsidR="00935C31">
        <w:rPr>
          <w:rFonts w:eastAsia="Times New Roman"/>
          <w:color w:val="000000"/>
        </w:rPr>
        <w:t xml:space="preserve"> in the park</w:t>
      </w:r>
      <w:r>
        <w:rPr>
          <w:rFonts w:eastAsia="Times New Roman"/>
          <w:color w:val="000000"/>
        </w:rPr>
        <w:t>, which was the culmination of several intermediate steps</w:t>
      </w:r>
      <w:r w:rsidR="00E35CAA">
        <w:rPr>
          <w:rFonts w:eastAsia="Times New Roman"/>
          <w:color w:val="000000"/>
        </w:rPr>
        <w:t xml:space="preserve"> </w:t>
      </w:r>
      <w:r w:rsidR="00935C31">
        <w:rPr>
          <w:rFonts w:eastAsia="Times New Roman"/>
          <w:color w:val="000000"/>
        </w:rPr>
        <w:t>that</w:t>
      </w:r>
      <w:r w:rsidR="00E35CAA">
        <w:rPr>
          <w:rFonts w:eastAsia="Times New Roman"/>
          <w:color w:val="000000"/>
        </w:rPr>
        <w:t xml:space="preserve"> we have already spelled out.  She brought the loaded</w:t>
      </w:r>
      <w:r>
        <w:rPr>
          <w:rFonts w:eastAsia="Times New Roman"/>
          <w:color w:val="000000"/>
        </w:rPr>
        <w:t xml:space="preserve"> gun</w:t>
      </w:r>
      <w:r w:rsidR="00E35CAA">
        <w:rPr>
          <w:rFonts w:eastAsia="Times New Roman"/>
          <w:color w:val="000000"/>
        </w:rPr>
        <w:t xml:space="preserve"> with her </w:t>
      </w:r>
      <w:r>
        <w:rPr>
          <w:rFonts w:eastAsia="Times New Roman"/>
          <w:color w:val="000000"/>
        </w:rPr>
        <w:t xml:space="preserve">to </w:t>
      </w:r>
      <w:r w:rsidR="00E35CAA">
        <w:rPr>
          <w:rFonts w:eastAsia="Times New Roman"/>
          <w:color w:val="000000"/>
        </w:rPr>
        <w:t>the</w:t>
      </w:r>
      <w:r>
        <w:rPr>
          <w:rFonts w:eastAsia="Times New Roman"/>
          <w:color w:val="000000"/>
        </w:rPr>
        <w:t xml:space="preserve"> poorly lit park</w:t>
      </w:r>
      <w:r w:rsidR="00BB72AA">
        <w:rPr>
          <w:rFonts w:eastAsia="Times New Roman"/>
          <w:color w:val="000000"/>
        </w:rPr>
        <w:t>,</w:t>
      </w:r>
      <w:r>
        <w:rPr>
          <w:rFonts w:eastAsia="Times New Roman"/>
          <w:color w:val="000000"/>
        </w:rPr>
        <w:t xml:space="preserve"> </w:t>
      </w:r>
      <w:r w:rsidR="00E35CAA">
        <w:rPr>
          <w:rFonts w:eastAsia="Times New Roman"/>
          <w:color w:val="000000"/>
        </w:rPr>
        <w:t xml:space="preserve">where it became clear she and Brown intended to </w:t>
      </w:r>
      <w:r>
        <w:rPr>
          <w:rFonts w:eastAsia="Times New Roman"/>
          <w:color w:val="000000"/>
        </w:rPr>
        <w:t xml:space="preserve">further rob </w:t>
      </w:r>
      <w:r w:rsidR="00DF1EA6">
        <w:rPr>
          <w:rFonts w:eastAsia="Times New Roman"/>
          <w:color w:val="000000"/>
        </w:rPr>
        <w:t>Merrill</w:t>
      </w:r>
      <w:r>
        <w:rPr>
          <w:rFonts w:eastAsia="Times New Roman"/>
          <w:color w:val="000000"/>
        </w:rPr>
        <w:t xml:space="preserve"> of his wallet and </w:t>
      </w:r>
      <w:r w:rsidR="00DF1EA6">
        <w:rPr>
          <w:rFonts w:eastAsia="Times New Roman"/>
          <w:color w:val="000000"/>
        </w:rPr>
        <w:t>any</w:t>
      </w:r>
      <w:r>
        <w:rPr>
          <w:rFonts w:eastAsia="Times New Roman"/>
          <w:color w:val="000000"/>
        </w:rPr>
        <w:t xml:space="preserve"> other items</w:t>
      </w:r>
      <w:r w:rsidR="00DF1EA6">
        <w:rPr>
          <w:rFonts w:eastAsia="Times New Roman"/>
          <w:color w:val="000000"/>
        </w:rPr>
        <w:t xml:space="preserve"> of value he may have had</w:t>
      </w:r>
      <w:r>
        <w:rPr>
          <w:rFonts w:eastAsia="Times New Roman"/>
          <w:color w:val="000000"/>
        </w:rPr>
        <w:t xml:space="preserve">.  Far from attempting to restrain </w:t>
      </w:r>
      <w:r w:rsidR="00DF1EA6">
        <w:rPr>
          <w:rFonts w:eastAsia="Times New Roman"/>
          <w:color w:val="000000"/>
        </w:rPr>
        <w:t>Brown</w:t>
      </w:r>
      <w:r>
        <w:rPr>
          <w:rFonts w:eastAsia="Times New Roman"/>
          <w:color w:val="000000"/>
        </w:rPr>
        <w:t xml:space="preserve">, Price (assuming she was not herself the shooter) gave Brown the gun while </w:t>
      </w:r>
      <w:r w:rsidR="00DF1EA6">
        <w:rPr>
          <w:rFonts w:eastAsia="Times New Roman"/>
          <w:color w:val="000000"/>
        </w:rPr>
        <w:t xml:space="preserve">or after </w:t>
      </w:r>
      <w:r>
        <w:rPr>
          <w:rFonts w:eastAsia="Times New Roman"/>
          <w:color w:val="000000"/>
        </w:rPr>
        <w:t xml:space="preserve">Price tried to find other items of value to take from Merrill.  Further, </w:t>
      </w:r>
      <w:r w:rsidR="00752411">
        <w:rPr>
          <w:rFonts w:eastAsia="Times New Roman"/>
          <w:color w:val="000000"/>
        </w:rPr>
        <w:t xml:space="preserve">once </w:t>
      </w:r>
      <w:r>
        <w:rPr>
          <w:rFonts w:eastAsia="Times New Roman"/>
          <w:color w:val="000000"/>
        </w:rPr>
        <w:t>Merrill had been sho</w:t>
      </w:r>
      <w:r w:rsidR="00752411">
        <w:rPr>
          <w:rFonts w:eastAsia="Times New Roman"/>
          <w:color w:val="000000"/>
        </w:rPr>
        <w:t>t</w:t>
      </w:r>
      <w:r>
        <w:rPr>
          <w:rFonts w:eastAsia="Times New Roman"/>
          <w:color w:val="000000"/>
        </w:rPr>
        <w:t xml:space="preserve"> and even though he did not immediately die, </w:t>
      </w:r>
      <w:r w:rsidR="001A5DC2">
        <w:rPr>
          <w:rFonts w:eastAsia="Times New Roman"/>
          <w:color w:val="000000"/>
        </w:rPr>
        <w:t xml:space="preserve">neither </w:t>
      </w:r>
      <w:r w:rsidR="00935C31">
        <w:rPr>
          <w:rFonts w:eastAsia="Times New Roman"/>
          <w:color w:val="000000"/>
        </w:rPr>
        <w:t>Price</w:t>
      </w:r>
      <w:r w:rsidR="001A5DC2">
        <w:rPr>
          <w:rFonts w:eastAsia="Times New Roman"/>
          <w:color w:val="000000"/>
        </w:rPr>
        <w:t xml:space="preserve"> nor her confederates</w:t>
      </w:r>
      <w:r w:rsidR="00935C31">
        <w:rPr>
          <w:rFonts w:eastAsia="Times New Roman"/>
          <w:color w:val="000000"/>
        </w:rPr>
        <w:t xml:space="preserve"> made </w:t>
      </w:r>
      <w:r w:rsidR="001A5DC2">
        <w:rPr>
          <w:rFonts w:eastAsia="Times New Roman"/>
          <w:color w:val="000000"/>
        </w:rPr>
        <w:t>any</w:t>
      </w:r>
      <w:r w:rsidR="00935C31">
        <w:rPr>
          <w:rFonts w:eastAsia="Times New Roman"/>
          <w:color w:val="000000"/>
        </w:rPr>
        <w:t xml:space="preserve"> effort</w:t>
      </w:r>
      <w:r>
        <w:rPr>
          <w:rFonts w:eastAsia="Times New Roman"/>
          <w:color w:val="000000"/>
        </w:rPr>
        <w:t xml:space="preserve"> to render </w:t>
      </w:r>
      <w:r w:rsidR="00752411">
        <w:rPr>
          <w:rFonts w:eastAsia="Times New Roman"/>
          <w:color w:val="000000"/>
        </w:rPr>
        <w:t xml:space="preserve">him </w:t>
      </w:r>
      <w:r>
        <w:rPr>
          <w:rFonts w:eastAsia="Times New Roman"/>
          <w:color w:val="000000"/>
        </w:rPr>
        <w:t xml:space="preserve">aid.  Instead, </w:t>
      </w:r>
      <w:r w:rsidR="002D7DB0">
        <w:rPr>
          <w:rFonts w:eastAsia="Times New Roman"/>
          <w:color w:val="000000"/>
        </w:rPr>
        <w:t>they</w:t>
      </w:r>
      <w:r>
        <w:rPr>
          <w:rFonts w:eastAsia="Times New Roman"/>
          <w:color w:val="000000"/>
        </w:rPr>
        <w:t xml:space="preserve"> quickly got in the car and hurried off, neighbors nearby hearing the screech of their wheels.  </w:t>
      </w:r>
    </w:p>
    <w:p w14:paraId="317CDCA5" w14:textId="35E53477" w:rsidR="000A5CEE" w:rsidRDefault="00F255BF" w:rsidP="00D26DBF">
      <w:pPr>
        <w:spacing w:line="360" w:lineRule="auto"/>
        <w:ind w:firstLine="720"/>
        <w:rPr>
          <w:rFonts w:eastAsia="Times New Roman"/>
          <w:color w:val="000000"/>
        </w:rPr>
      </w:pPr>
      <w:r>
        <w:rPr>
          <w:rFonts w:eastAsia="Times New Roman"/>
          <w:color w:val="000000"/>
        </w:rPr>
        <w:t xml:space="preserve">The third </w:t>
      </w:r>
      <w:r w:rsidRPr="0090766D">
        <w:rPr>
          <w:rFonts w:eastAsia="Times New Roman"/>
          <w:i/>
          <w:iCs/>
          <w:color w:val="000000"/>
        </w:rPr>
        <w:t>Clark</w:t>
      </w:r>
      <w:r>
        <w:rPr>
          <w:rFonts w:eastAsia="Times New Roman"/>
          <w:color w:val="000000"/>
        </w:rPr>
        <w:t xml:space="preserve"> factor</w:t>
      </w:r>
      <w:r w:rsidR="00BB72AA">
        <w:rPr>
          <w:rFonts w:eastAsia="Times New Roman"/>
          <w:color w:val="000000"/>
        </w:rPr>
        <w:t xml:space="preserve"> for reckless indifference</w:t>
      </w:r>
      <w:r>
        <w:rPr>
          <w:rFonts w:eastAsia="Times New Roman"/>
          <w:color w:val="000000"/>
        </w:rPr>
        <w:t xml:space="preserve"> is the duration of the felony.  (</w:t>
      </w:r>
      <w:r w:rsidR="00D5140B" w:rsidRPr="008D2473">
        <w:rPr>
          <w:rFonts w:eastAsia="Times New Roman"/>
          <w:i/>
          <w:iCs/>
          <w:color w:val="000000"/>
        </w:rPr>
        <w:t>Clark</w:t>
      </w:r>
      <w:r w:rsidR="00D5140B">
        <w:rPr>
          <w:rFonts w:eastAsia="Times New Roman"/>
          <w:color w:val="000000"/>
        </w:rPr>
        <w:t xml:space="preserve">, </w:t>
      </w:r>
      <w:r w:rsidR="00D5140B" w:rsidRPr="008D2473">
        <w:rPr>
          <w:rFonts w:eastAsia="Times New Roman"/>
          <w:i/>
          <w:iCs/>
          <w:color w:val="000000"/>
        </w:rPr>
        <w:t>supra</w:t>
      </w:r>
      <w:r w:rsidR="00D5140B">
        <w:rPr>
          <w:rFonts w:eastAsia="Times New Roman"/>
          <w:color w:val="000000"/>
        </w:rPr>
        <w:t xml:space="preserve">, </w:t>
      </w:r>
      <w:r w:rsidR="007F6EC3">
        <w:rPr>
          <w:rFonts w:eastAsia="Times New Roman"/>
          <w:color w:val="000000"/>
        </w:rPr>
        <w:t>63</w:t>
      </w:r>
      <w:r w:rsidR="00280CF1">
        <w:rPr>
          <w:rFonts w:eastAsia="Times New Roman"/>
          <w:color w:val="000000"/>
        </w:rPr>
        <w:t> </w:t>
      </w:r>
      <w:r w:rsidR="007F6EC3">
        <w:rPr>
          <w:rFonts w:eastAsia="Times New Roman"/>
          <w:color w:val="000000"/>
        </w:rPr>
        <w:t>Cal.4th</w:t>
      </w:r>
      <w:r>
        <w:rPr>
          <w:rFonts w:eastAsia="Times New Roman"/>
          <w:color w:val="000000"/>
        </w:rPr>
        <w:t xml:space="preserve"> at p. 620.)  “Where </w:t>
      </w:r>
      <w:r w:rsidR="005676AD">
        <w:rPr>
          <w:rFonts w:eastAsia="Times New Roman"/>
          <w:color w:val="000000"/>
        </w:rPr>
        <w:t>a</w:t>
      </w:r>
      <w:r>
        <w:rPr>
          <w:rFonts w:eastAsia="Times New Roman"/>
          <w:color w:val="000000"/>
        </w:rPr>
        <w:t xml:space="preserve"> victim is held at gunpoint, kidnapped, or otherwise restrained in the presence of perpetrators for prolonged periods, </w:t>
      </w:r>
      <w:r w:rsidR="005676AD">
        <w:rPr>
          <w:rFonts w:eastAsia="Times New Roman"/>
          <w:color w:val="000000"/>
        </w:rPr>
        <w:t>‘</w:t>
      </w:r>
      <w:r>
        <w:rPr>
          <w:rFonts w:eastAsia="Times New Roman"/>
          <w:color w:val="000000"/>
        </w:rPr>
        <w:t>there is a greater window of opportunity for violence</w:t>
      </w:r>
      <w:r w:rsidR="00D82427">
        <w:rPr>
          <w:rFonts w:eastAsia="Times New Roman"/>
          <w:color w:val="000000"/>
        </w:rPr>
        <w:t> . . . </w:t>
      </w:r>
      <w:r>
        <w:rPr>
          <w:rFonts w:eastAsia="Times New Roman"/>
          <w:color w:val="000000"/>
        </w:rPr>
        <w:t>.</w:t>
      </w:r>
      <w:r w:rsidR="005676AD">
        <w:rPr>
          <w:rFonts w:eastAsia="Times New Roman"/>
          <w:color w:val="000000"/>
        </w:rPr>
        <w:t xml:space="preserve">’ </w:t>
      </w:r>
      <w:r>
        <w:rPr>
          <w:rFonts w:eastAsia="Times New Roman"/>
          <w:color w:val="000000"/>
        </w:rPr>
        <w:t>”  (</w:t>
      </w:r>
      <w:r w:rsidRPr="000A5CEE">
        <w:rPr>
          <w:rFonts w:eastAsia="Times New Roman"/>
          <w:i/>
          <w:iCs/>
          <w:color w:val="000000"/>
        </w:rPr>
        <w:t>I</w:t>
      </w:r>
      <w:r w:rsidR="00D82427">
        <w:rPr>
          <w:rFonts w:eastAsia="Times New Roman"/>
          <w:i/>
          <w:iCs/>
          <w:color w:val="000000"/>
        </w:rPr>
        <w:t>bi</w:t>
      </w:r>
      <w:r w:rsidRPr="000A5CEE">
        <w:rPr>
          <w:rFonts w:eastAsia="Times New Roman"/>
          <w:i/>
          <w:iCs/>
          <w:color w:val="000000"/>
        </w:rPr>
        <w:t>d</w:t>
      </w:r>
      <w:r>
        <w:rPr>
          <w:rFonts w:eastAsia="Times New Roman"/>
          <w:color w:val="000000"/>
        </w:rPr>
        <w:t xml:space="preserve">.)  </w:t>
      </w:r>
      <w:r w:rsidR="00914560">
        <w:rPr>
          <w:rFonts w:eastAsia="Times New Roman"/>
          <w:color w:val="000000"/>
        </w:rPr>
        <w:t>Here, w</w:t>
      </w:r>
      <w:r w:rsidR="00F443F2">
        <w:rPr>
          <w:rFonts w:eastAsia="Times New Roman"/>
          <w:color w:val="000000"/>
        </w:rPr>
        <w:t xml:space="preserve">hile the times at which different events occurred varied with the testimony, the </w:t>
      </w:r>
      <w:r w:rsidR="0090766D">
        <w:rPr>
          <w:rFonts w:eastAsia="Times New Roman"/>
          <w:color w:val="000000"/>
        </w:rPr>
        <w:t>most</w:t>
      </w:r>
      <w:r w:rsidR="00F443F2">
        <w:rPr>
          <w:rFonts w:eastAsia="Times New Roman"/>
          <w:color w:val="000000"/>
        </w:rPr>
        <w:t xml:space="preserve"> reliable</w:t>
      </w:r>
      <w:r w:rsidR="0090766D">
        <w:rPr>
          <w:rFonts w:eastAsia="Times New Roman"/>
          <w:color w:val="000000"/>
        </w:rPr>
        <w:t xml:space="preserve"> evidence indicated that</w:t>
      </w:r>
      <w:r w:rsidR="00F443F2">
        <w:rPr>
          <w:rFonts w:eastAsia="Times New Roman"/>
          <w:color w:val="000000"/>
        </w:rPr>
        <w:t xml:space="preserve"> Brown and Price crossed the </w:t>
      </w:r>
      <w:r w:rsidR="0090766D">
        <w:rPr>
          <w:rFonts w:eastAsia="Times New Roman"/>
          <w:color w:val="000000"/>
        </w:rPr>
        <w:t>Bay B</w:t>
      </w:r>
      <w:r w:rsidR="00F443F2">
        <w:rPr>
          <w:rFonts w:eastAsia="Times New Roman"/>
          <w:color w:val="000000"/>
        </w:rPr>
        <w:t xml:space="preserve">ridge </w:t>
      </w:r>
      <w:r w:rsidR="0090766D">
        <w:rPr>
          <w:rFonts w:eastAsia="Times New Roman"/>
          <w:color w:val="000000"/>
        </w:rPr>
        <w:t>heading to</w:t>
      </w:r>
      <w:r w:rsidR="00F443F2">
        <w:rPr>
          <w:rFonts w:eastAsia="Times New Roman"/>
          <w:color w:val="000000"/>
        </w:rPr>
        <w:t xml:space="preserve"> San Francisco at 1:21</w:t>
      </w:r>
      <w:r w:rsidR="00BB72AA">
        <w:rPr>
          <w:rFonts w:eastAsia="Times New Roman"/>
          <w:color w:val="000000"/>
        </w:rPr>
        <w:t> </w:t>
      </w:r>
      <w:r w:rsidR="00F443F2">
        <w:rPr>
          <w:rFonts w:eastAsia="Times New Roman"/>
          <w:color w:val="000000"/>
        </w:rPr>
        <w:t xml:space="preserve">a.m. and that </w:t>
      </w:r>
      <w:r w:rsidR="0090766D">
        <w:rPr>
          <w:rFonts w:eastAsia="Times New Roman"/>
          <w:color w:val="000000"/>
        </w:rPr>
        <w:t xml:space="preserve">the shots that killed </w:t>
      </w:r>
      <w:r w:rsidR="00F443F2">
        <w:rPr>
          <w:rFonts w:eastAsia="Times New Roman"/>
          <w:color w:val="000000"/>
        </w:rPr>
        <w:t xml:space="preserve">Merrill </w:t>
      </w:r>
      <w:r w:rsidR="00914560">
        <w:rPr>
          <w:rFonts w:eastAsia="Times New Roman"/>
          <w:color w:val="000000"/>
        </w:rPr>
        <w:t xml:space="preserve">were heard by nearby residents </w:t>
      </w:r>
      <w:r w:rsidR="0090766D">
        <w:rPr>
          <w:rFonts w:eastAsia="Times New Roman"/>
          <w:color w:val="000000"/>
        </w:rPr>
        <w:t>close to</w:t>
      </w:r>
      <w:r w:rsidR="00F443F2">
        <w:rPr>
          <w:rFonts w:eastAsia="Times New Roman"/>
          <w:color w:val="000000"/>
        </w:rPr>
        <w:t xml:space="preserve"> 3:00 a.m.  </w:t>
      </w:r>
      <w:r w:rsidR="00B759C1">
        <w:rPr>
          <w:rFonts w:eastAsia="Times New Roman"/>
          <w:color w:val="000000"/>
        </w:rPr>
        <w:t>Thus</w:t>
      </w:r>
      <w:r w:rsidR="00C70287">
        <w:rPr>
          <w:rFonts w:eastAsia="Times New Roman"/>
          <w:color w:val="000000"/>
        </w:rPr>
        <w:t xml:space="preserve">, it appears </w:t>
      </w:r>
      <w:r w:rsidR="00B759C1">
        <w:rPr>
          <w:rFonts w:eastAsia="Times New Roman"/>
          <w:color w:val="000000"/>
        </w:rPr>
        <w:t>Merrill</w:t>
      </w:r>
      <w:r w:rsidR="00C70287">
        <w:rPr>
          <w:rFonts w:eastAsia="Times New Roman"/>
          <w:color w:val="000000"/>
        </w:rPr>
        <w:t xml:space="preserve"> was in the car with </w:t>
      </w:r>
      <w:r w:rsidR="00B530EE">
        <w:rPr>
          <w:rFonts w:eastAsia="Times New Roman"/>
          <w:color w:val="000000"/>
        </w:rPr>
        <w:t xml:space="preserve">Price and Brown </w:t>
      </w:r>
      <w:r w:rsidR="00C70287">
        <w:rPr>
          <w:rFonts w:eastAsia="Times New Roman"/>
          <w:color w:val="000000"/>
        </w:rPr>
        <w:t>for</w:t>
      </w:r>
      <w:r w:rsidR="00752411">
        <w:rPr>
          <w:rFonts w:eastAsia="Times New Roman"/>
          <w:color w:val="000000"/>
        </w:rPr>
        <w:t xml:space="preserve"> </w:t>
      </w:r>
      <w:r w:rsidR="00DB492B">
        <w:rPr>
          <w:rFonts w:eastAsia="Times New Roman"/>
          <w:color w:val="000000"/>
        </w:rPr>
        <w:t xml:space="preserve">one to </w:t>
      </w:r>
      <w:r w:rsidR="00B530EE">
        <w:rPr>
          <w:rFonts w:eastAsia="Times New Roman"/>
          <w:color w:val="000000"/>
        </w:rPr>
        <w:t xml:space="preserve">two </w:t>
      </w:r>
      <w:r w:rsidR="00C70287">
        <w:rPr>
          <w:rFonts w:eastAsia="Times New Roman"/>
          <w:color w:val="000000"/>
        </w:rPr>
        <w:t>hour</w:t>
      </w:r>
      <w:r w:rsidR="00B530EE">
        <w:rPr>
          <w:rFonts w:eastAsia="Times New Roman"/>
          <w:color w:val="000000"/>
        </w:rPr>
        <w:t>s</w:t>
      </w:r>
      <w:r w:rsidR="00C70287">
        <w:rPr>
          <w:rFonts w:eastAsia="Times New Roman"/>
          <w:color w:val="000000"/>
        </w:rPr>
        <w:t xml:space="preserve"> between the time they picked him up in San Francisco and, after </w:t>
      </w:r>
      <w:r w:rsidR="00724BCD">
        <w:rPr>
          <w:rFonts w:eastAsia="Times New Roman"/>
          <w:color w:val="000000"/>
        </w:rPr>
        <w:t xml:space="preserve">stopping at Fells’s house, </w:t>
      </w:r>
      <w:r w:rsidR="00DF1EA6">
        <w:rPr>
          <w:rFonts w:eastAsia="Times New Roman"/>
          <w:color w:val="000000"/>
        </w:rPr>
        <w:t>took him</w:t>
      </w:r>
      <w:r w:rsidR="00724BCD">
        <w:rPr>
          <w:rFonts w:eastAsia="Times New Roman"/>
          <w:color w:val="000000"/>
        </w:rPr>
        <w:t xml:space="preserve"> to the park</w:t>
      </w:r>
      <w:r w:rsidR="00DF1EA6">
        <w:rPr>
          <w:rFonts w:eastAsia="Times New Roman"/>
          <w:color w:val="000000"/>
        </w:rPr>
        <w:t>, robbed and killed him</w:t>
      </w:r>
      <w:r w:rsidR="00724BCD">
        <w:rPr>
          <w:rFonts w:eastAsia="Times New Roman"/>
          <w:color w:val="000000"/>
        </w:rPr>
        <w:t xml:space="preserve">.  </w:t>
      </w:r>
      <w:r w:rsidR="00DF1EA6">
        <w:rPr>
          <w:rFonts w:eastAsia="Times New Roman"/>
          <w:color w:val="000000"/>
        </w:rPr>
        <w:t>H</w:t>
      </w:r>
      <w:r w:rsidR="00724BCD">
        <w:rPr>
          <w:rFonts w:eastAsia="Times New Roman"/>
          <w:color w:val="000000"/>
        </w:rPr>
        <w:t>e was passed out when they left Fells’s house</w:t>
      </w:r>
      <w:r w:rsidR="00752411">
        <w:rPr>
          <w:rFonts w:eastAsia="Times New Roman"/>
          <w:color w:val="000000"/>
        </w:rPr>
        <w:t xml:space="preserve"> and had a blood alcohol level of .24 at the time of his death</w:t>
      </w:r>
      <w:r w:rsidR="00B530EE">
        <w:rPr>
          <w:rFonts w:eastAsia="Times New Roman"/>
          <w:color w:val="000000"/>
        </w:rPr>
        <w:t>,</w:t>
      </w:r>
      <w:r w:rsidR="00724BCD">
        <w:rPr>
          <w:rFonts w:eastAsia="Times New Roman"/>
          <w:color w:val="000000"/>
        </w:rPr>
        <w:t xml:space="preserve"> indicating he was in a state of high intoxication</w:t>
      </w:r>
      <w:r w:rsidR="00B759C1">
        <w:rPr>
          <w:rFonts w:eastAsia="Times New Roman"/>
          <w:color w:val="000000"/>
        </w:rPr>
        <w:t xml:space="preserve"> throughout</w:t>
      </w:r>
      <w:r w:rsidR="00724BCD">
        <w:rPr>
          <w:rFonts w:eastAsia="Times New Roman"/>
          <w:color w:val="000000"/>
        </w:rPr>
        <w:t xml:space="preserve">, and there is no indication he consented to </w:t>
      </w:r>
      <w:r w:rsidR="00724BCD">
        <w:rPr>
          <w:rFonts w:eastAsia="Times New Roman"/>
          <w:color w:val="000000"/>
        </w:rPr>
        <w:lastRenderedPageBreak/>
        <w:t xml:space="preserve">being taken out of San Francisco.  </w:t>
      </w:r>
      <w:r w:rsidR="00B759C1">
        <w:rPr>
          <w:rFonts w:eastAsia="Times New Roman"/>
          <w:color w:val="000000"/>
        </w:rPr>
        <w:t>T</w:t>
      </w:r>
      <w:r w:rsidR="00724BCD">
        <w:rPr>
          <w:rFonts w:eastAsia="Times New Roman"/>
          <w:color w:val="000000"/>
        </w:rPr>
        <w:t>his period of time</w:t>
      </w:r>
      <w:r w:rsidR="00B530EE">
        <w:rPr>
          <w:rFonts w:eastAsia="Times New Roman"/>
          <w:color w:val="000000"/>
        </w:rPr>
        <w:t>, coupled with Merrill’s intoxication,</w:t>
      </w:r>
      <w:r w:rsidR="00724BCD">
        <w:rPr>
          <w:rFonts w:eastAsia="Times New Roman"/>
          <w:color w:val="000000"/>
        </w:rPr>
        <w:t xml:space="preserve"> </w:t>
      </w:r>
      <w:r w:rsidR="00B530EE">
        <w:rPr>
          <w:rFonts w:eastAsia="Times New Roman"/>
          <w:color w:val="000000"/>
        </w:rPr>
        <w:t>in fact</w:t>
      </w:r>
      <w:r w:rsidR="00724BCD">
        <w:rPr>
          <w:rFonts w:eastAsia="Times New Roman"/>
          <w:color w:val="000000"/>
        </w:rPr>
        <w:t xml:space="preserve"> provided a greater window of opportunity for violence</w:t>
      </w:r>
      <w:r w:rsidR="00B759C1">
        <w:rPr>
          <w:rFonts w:eastAsia="Times New Roman"/>
          <w:color w:val="000000"/>
        </w:rPr>
        <w:t xml:space="preserve"> </w:t>
      </w:r>
      <w:r w:rsidR="00B530EE">
        <w:rPr>
          <w:rFonts w:eastAsia="Times New Roman"/>
          <w:color w:val="000000"/>
        </w:rPr>
        <w:t xml:space="preserve">because it enabled </w:t>
      </w:r>
      <w:r w:rsidR="00B759C1">
        <w:rPr>
          <w:rFonts w:eastAsia="Times New Roman"/>
          <w:color w:val="000000"/>
        </w:rPr>
        <w:t>Price</w:t>
      </w:r>
      <w:r w:rsidR="00B530EE">
        <w:rPr>
          <w:rFonts w:eastAsia="Times New Roman"/>
          <w:color w:val="000000"/>
        </w:rPr>
        <w:t xml:space="preserve"> to</w:t>
      </w:r>
      <w:r w:rsidR="00B759C1">
        <w:rPr>
          <w:rFonts w:eastAsia="Times New Roman"/>
          <w:color w:val="000000"/>
        </w:rPr>
        <w:t xml:space="preserve"> </w:t>
      </w:r>
      <w:r w:rsidR="00DB492B">
        <w:rPr>
          <w:rFonts w:eastAsia="Times New Roman"/>
          <w:color w:val="000000"/>
        </w:rPr>
        <w:t>obtain</w:t>
      </w:r>
      <w:r w:rsidR="00B759C1">
        <w:rPr>
          <w:rFonts w:eastAsia="Times New Roman"/>
          <w:color w:val="000000"/>
        </w:rPr>
        <w:t xml:space="preserve"> Fells’s gun </w:t>
      </w:r>
      <w:r w:rsidR="00602177">
        <w:rPr>
          <w:rFonts w:eastAsia="Times New Roman"/>
          <w:color w:val="000000"/>
        </w:rPr>
        <w:t xml:space="preserve">and to </w:t>
      </w:r>
      <w:r w:rsidR="00B530EE">
        <w:rPr>
          <w:rFonts w:eastAsia="Times New Roman"/>
          <w:color w:val="000000"/>
        </w:rPr>
        <w:t>tak</w:t>
      </w:r>
      <w:r w:rsidR="00602177">
        <w:rPr>
          <w:rFonts w:eastAsia="Times New Roman"/>
          <w:color w:val="000000"/>
        </w:rPr>
        <w:t>e</w:t>
      </w:r>
      <w:r w:rsidR="00B759C1">
        <w:rPr>
          <w:rFonts w:eastAsia="Times New Roman"/>
          <w:color w:val="000000"/>
        </w:rPr>
        <w:t xml:space="preserve"> Merrill to </w:t>
      </w:r>
      <w:r w:rsidR="00602177">
        <w:rPr>
          <w:rFonts w:eastAsia="Times New Roman"/>
          <w:color w:val="000000"/>
        </w:rPr>
        <w:t xml:space="preserve">a </w:t>
      </w:r>
      <w:r w:rsidR="008A06A4">
        <w:rPr>
          <w:rFonts w:eastAsia="Times New Roman"/>
          <w:color w:val="000000"/>
        </w:rPr>
        <w:t xml:space="preserve">dimly lit </w:t>
      </w:r>
      <w:r w:rsidR="00B759C1">
        <w:rPr>
          <w:rFonts w:eastAsia="Times New Roman"/>
          <w:color w:val="000000"/>
        </w:rPr>
        <w:t>park</w:t>
      </w:r>
      <w:r w:rsidR="008A06A4">
        <w:rPr>
          <w:rFonts w:eastAsia="Times New Roman"/>
          <w:color w:val="000000"/>
        </w:rPr>
        <w:t xml:space="preserve"> where they could rob him without being seen</w:t>
      </w:r>
      <w:r w:rsidR="00B759C1">
        <w:rPr>
          <w:rFonts w:eastAsia="Times New Roman"/>
          <w:color w:val="000000"/>
        </w:rPr>
        <w:t>.</w:t>
      </w:r>
    </w:p>
    <w:p w14:paraId="4A7ED75C" w14:textId="75A2C6DE" w:rsidR="00DF1EA6" w:rsidRDefault="00F255BF" w:rsidP="00D26DBF">
      <w:pPr>
        <w:spacing w:line="360" w:lineRule="auto"/>
        <w:ind w:firstLine="720"/>
        <w:rPr>
          <w:rFonts w:eastAsia="Times New Roman"/>
          <w:color w:val="000000"/>
        </w:rPr>
      </w:pPr>
      <w:r>
        <w:rPr>
          <w:rFonts w:eastAsia="Times New Roman"/>
          <w:color w:val="000000"/>
        </w:rPr>
        <w:t xml:space="preserve">The fourth </w:t>
      </w:r>
      <w:r w:rsidRPr="00AC7874">
        <w:rPr>
          <w:rFonts w:eastAsia="Times New Roman"/>
          <w:i/>
          <w:iCs/>
          <w:color w:val="000000"/>
        </w:rPr>
        <w:t>Clark</w:t>
      </w:r>
      <w:r>
        <w:rPr>
          <w:rFonts w:eastAsia="Times New Roman"/>
          <w:color w:val="000000"/>
        </w:rPr>
        <w:t xml:space="preserve"> factor</w:t>
      </w:r>
      <w:r w:rsidR="00BB72AA">
        <w:rPr>
          <w:rFonts w:eastAsia="Times New Roman"/>
          <w:color w:val="000000"/>
        </w:rPr>
        <w:t xml:space="preserve"> for reckless indifference</w:t>
      </w:r>
      <w:r>
        <w:rPr>
          <w:rFonts w:eastAsia="Times New Roman"/>
          <w:color w:val="000000"/>
        </w:rPr>
        <w:t xml:space="preserve"> is a defendant’s knowledge of a cohort’s likelihood of killing.  (</w:t>
      </w:r>
      <w:r w:rsidRPr="008D2473">
        <w:rPr>
          <w:rFonts w:eastAsia="Times New Roman"/>
          <w:i/>
          <w:iCs/>
          <w:color w:val="000000"/>
        </w:rPr>
        <w:t>Clark</w:t>
      </w:r>
      <w:r>
        <w:rPr>
          <w:rFonts w:eastAsia="Times New Roman"/>
          <w:color w:val="000000"/>
        </w:rPr>
        <w:t xml:space="preserve">, </w:t>
      </w:r>
      <w:r w:rsidRPr="008D2473">
        <w:rPr>
          <w:rFonts w:eastAsia="Times New Roman"/>
          <w:i/>
          <w:iCs/>
          <w:color w:val="000000"/>
        </w:rPr>
        <w:t>supra</w:t>
      </w:r>
      <w:r>
        <w:rPr>
          <w:rFonts w:eastAsia="Times New Roman"/>
          <w:color w:val="000000"/>
        </w:rPr>
        <w:t>, 63 Cal.4th at p.</w:t>
      </w:r>
      <w:r w:rsidR="00620411">
        <w:rPr>
          <w:rFonts w:eastAsia="Times New Roman"/>
          <w:color w:val="000000"/>
        </w:rPr>
        <w:t> </w:t>
      </w:r>
      <w:r>
        <w:rPr>
          <w:rFonts w:eastAsia="Times New Roman"/>
          <w:color w:val="000000"/>
        </w:rPr>
        <w:t>621.)  There was no evidence that Brown or Fells had previously used guns in a robbery or otherwise</w:t>
      </w:r>
      <w:r w:rsidR="00620411">
        <w:rPr>
          <w:rFonts w:eastAsia="Times New Roman"/>
          <w:color w:val="000000"/>
        </w:rPr>
        <w:t>,</w:t>
      </w:r>
      <w:r>
        <w:rPr>
          <w:rFonts w:eastAsia="Times New Roman"/>
          <w:color w:val="000000"/>
        </w:rPr>
        <w:t xml:space="preserve"> or that Price was aware of past conduct on their part that heightened the risk of a killing here.  </w:t>
      </w:r>
      <w:r w:rsidR="00724BCD">
        <w:rPr>
          <w:rFonts w:eastAsia="Times New Roman"/>
          <w:color w:val="000000"/>
        </w:rPr>
        <w:t xml:space="preserve">Thus, the fourth </w:t>
      </w:r>
      <w:r w:rsidR="00724BCD" w:rsidRPr="00724BCD">
        <w:rPr>
          <w:rFonts w:eastAsia="Times New Roman"/>
          <w:i/>
          <w:iCs/>
          <w:color w:val="000000"/>
        </w:rPr>
        <w:t>Clark</w:t>
      </w:r>
      <w:r w:rsidR="00724BCD">
        <w:rPr>
          <w:rFonts w:eastAsia="Times New Roman"/>
          <w:color w:val="000000"/>
        </w:rPr>
        <w:t xml:space="preserve"> factor does not weigh in favor of a finding of reckless </w:t>
      </w:r>
      <w:r w:rsidR="008B4304">
        <w:rPr>
          <w:rFonts w:eastAsia="Times New Roman"/>
          <w:color w:val="000000"/>
        </w:rPr>
        <w:t>indifference</w:t>
      </w:r>
      <w:r w:rsidR="00724BCD">
        <w:rPr>
          <w:rFonts w:eastAsia="Times New Roman"/>
          <w:color w:val="000000"/>
        </w:rPr>
        <w:t xml:space="preserve">.  </w:t>
      </w:r>
      <w:r>
        <w:rPr>
          <w:rFonts w:eastAsia="Times New Roman"/>
          <w:color w:val="000000"/>
        </w:rPr>
        <w:t>Regardless</w:t>
      </w:r>
      <w:r w:rsidR="005016E3">
        <w:rPr>
          <w:rFonts w:eastAsia="Times New Roman"/>
          <w:color w:val="000000"/>
        </w:rPr>
        <w:t xml:space="preserve">, this factor is less significant where, as here, the defendant intentionally supplied a loaded gun to </w:t>
      </w:r>
      <w:r>
        <w:rPr>
          <w:rFonts w:eastAsia="Times New Roman"/>
          <w:color w:val="000000"/>
        </w:rPr>
        <w:t>her confederate</w:t>
      </w:r>
      <w:r w:rsidR="005016E3">
        <w:rPr>
          <w:rFonts w:eastAsia="Times New Roman"/>
          <w:color w:val="000000"/>
        </w:rPr>
        <w:t xml:space="preserve"> while the robbery attempts were ongoing.  </w:t>
      </w:r>
      <w:r>
        <w:rPr>
          <w:rFonts w:eastAsia="Times New Roman"/>
          <w:color w:val="000000"/>
        </w:rPr>
        <w:t xml:space="preserve">Further, other </w:t>
      </w:r>
      <w:r w:rsidR="009436BB">
        <w:rPr>
          <w:rFonts w:eastAsia="Times New Roman"/>
          <w:color w:val="000000"/>
        </w:rPr>
        <w:t>evidence</w:t>
      </w:r>
      <w:r>
        <w:rPr>
          <w:rFonts w:eastAsia="Times New Roman"/>
          <w:color w:val="000000"/>
        </w:rPr>
        <w:t xml:space="preserve"> </w:t>
      </w:r>
      <w:r w:rsidR="009436BB">
        <w:rPr>
          <w:rFonts w:eastAsia="Times New Roman"/>
          <w:color w:val="000000"/>
        </w:rPr>
        <w:t>indicates</w:t>
      </w:r>
      <w:r>
        <w:rPr>
          <w:rFonts w:eastAsia="Times New Roman"/>
          <w:color w:val="000000"/>
        </w:rPr>
        <w:t xml:space="preserve"> that even if Price was not intent on Merrill being killed, she was aware of a high risk that </w:t>
      </w:r>
      <w:r w:rsidR="00AD3C03">
        <w:rPr>
          <w:rFonts w:eastAsia="Times New Roman"/>
          <w:color w:val="000000"/>
        </w:rPr>
        <w:t>killing him would, in her view, be</w:t>
      </w:r>
      <w:r>
        <w:rPr>
          <w:rFonts w:eastAsia="Times New Roman"/>
          <w:color w:val="000000"/>
        </w:rPr>
        <w:t xml:space="preserve"> necessary.  Merrill was not only extremely drunk, but he was a </w:t>
      </w:r>
      <w:r w:rsidR="008E0DB7" w:rsidRPr="00F423DD">
        <w:rPr>
          <w:rFonts w:eastAsia="Times New Roman"/>
          <w:color w:val="000000"/>
        </w:rPr>
        <w:t>tall 22-year-old</w:t>
      </w:r>
      <w:r>
        <w:rPr>
          <w:rFonts w:eastAsia="Times New Roman"/>
          <w:color w:val="000000"/>
        </w:rPr>
        <w:t xml:space="preserve"> man.  The likelihood that he would resist efforts </w:t>
      </w:r>
      <w:r w:rsidR="008A06A4">
        <w:rPr>
          <w:rFonts w:eastAsia="Times New Roman"/>
          <w:color w:val="000000"/>
        </w:rPr>
        <w:t xml:space="preserve">by two women </w:t>
      </w:r>
      <w:r>
        <w:rPr>
          <w:rFonts w:eastAsia="Times New Roman"/>
          <w:color w:val="000000"/>
        </w:rPr>
        <w:t xml:space="preserve">to rob him had to have been apparent, and Price’s anticipation of this is evinced by her </w:t>
      </w:r>
      <w:r w:rsidR="00B530EE">
        <w:rPr>
          <w:rFonts w:eastAsia="Times New Roman"/>
          <w:color w:val="000000"/>
        </w:rPr>
        <w:t>stopping to pick up</w:t>
      </w:r>
      <w:r>
        <w:rPr>
          <w:rFonts w:eastAsia="Times New Roman"/>
          <w:color w:val="000000"/>
        </w:rPr>
        <w:t xml:space="preserve"> Fells and </w:t>
      </w:r>
      <w:r w:rsidR="00AD3C03">
        <w:rPr>
          <w:rFonts w:eastAsia="Times New Roman"/>
          <w:color w:val="000000"/>
        </w:rPr>
        <w:t xml:space="preserve">bring Fells’s </w:t>
      </w:r>
      <w:r>
        <w:rPr>
          <w:rFonts w:eastAsia="Times New Roman"/>
          <w:color w:val="000000"/>
        </w:rPr>
        <w:t xml:space="preserve">gun to the scene.  </w:t>
      </w:r>
      <w:r w:rsidR="009436BB">
        <w:rPr>
          <w:rFonts w:eastAsia="Times New Roman"/>
          <w:color w:val="000000"/>
        </w:rPr>
        <w:t>As she texted Fells later, she had done this before</w:t>
      </w:r>
      <w:r w:rsidR="00B530EE">
        <w:rPr>
          <w:rFonts w:eastAsia="Times New Roman"/>
          <w:color w:val="000000"/>
        </w:rPr>
        <w:t xml:space="preserve"> and</w:t>
      </w:r>
      <w:r w:rsidR="009436BB">
        <w:rPr>
          <w:rFonts w:eastAsia="Times New Roman"/>
          <w:color w:val="000000"/>
        </w:rPr>
        <w:t xml:space="preserve"> knew what she was doing, and</w:t>
      </w:r>
      <w:r w:rsidR="00B530EE">
        <w:rPr>
          <w:rFonts w:eastAsia="Times New Roman"/>
          <w:color w:val="000000"/>
        </w:rPr>
        <w:t xml:space="preserve"> she </w:t>
      </w:r>
      <w:r w:rsidR="009436BB">
        <w:rPr>
          <w:rFonts w:eastAsia="Times New Roman"/>
          <w:color w:val="000000"/>
        </w:rPr>
        <w:t xml:space="preserve">decided </w:t>
      </w:r>
      <w:r w:rsidR="00AD3C03">
        <w:rPr>
          <w:rFonts w:eastAsia="Times New Roman"/>
          <w:color w:val="000000"/>
        </w:rPr>
        <w:t xml:space="preserve">it was necessary to shoot </w:t>
      </w:r>
      <w:r w:rsidR="00B530EE">
        <w:rPr>
          <w:rFonts w:eastAsia="Times New Roman"/>
          <w:color w:val="000000"/>
        </w:rPr>
        <w:t>Merrill</w:t>
      </w:r>
      <w:r w:rsidR="009436BB">
        <w:rPr>
          <w:rFonts w:eastAsia="Times New Roman"/>
          <w:color w:val="000000"/>
        </w:rPr>
        <w:t>.</w:t>
      </w:r>
      <w:r w:rsidR="00AD3C03">
        <w:rPr>
          <w:rFonts w:eastAsia="Times New Roman"/>
          <w:color w:val="000000"/>
        </w:rPr>
        <w:t xml:space="preserve">  </w:t>
      </w:r>
    </w:p>
    <w:p w14:paraId="3CCAD320" w14:textId="709D1D76" w:rsidR="00724BCD" w:rsidRPr="00D26DBF" w:rsidRDefault="00F255BF" w:rsidP="00D26DBF">
      <w:pPr>
        <w:spacing w:line="360" w:lineRule="auto"/>
        <w:ind w:firstLine="720"/>
        <w:rPr>
          <w:rFonts w:eastAsia="Times New Roman"/>
          <w:color w:val="000000"/>
        </w:rPr>
      </w:pPr>
      <w:r>
        <w:rPr>
          <w:rFonts w:eastAsia="Times New Roman"/>
          <w:color w:val="000000"/>
        </w:rPr>
        <w:t xml:space="preserve">The fifth </w:t>
      </w:r>
      <w:r w:rsidR="0055768B" w:rsidRPr="00D82427">
        <w:rPr>
          <w:rFonts w:eastAsia="Times New Roman"/>
          <w:i/>
          <w:iCs/>
          <w:color w:val="000000"/>
        </w:rPr>
        <w:t>Clark</w:t>
      </w:r>
      <w:r w:rsidR="0055768B">
        <w:rPr>
          <w:rFonts w:eastAsia="Times New Roman"/>
          <w:color w:val="000000"/>
        </w:rPr>
        <w:t xml:space="preserve"> </w:t>
      </w:r>
      <w:r>
        <w:rPr>
          <w:rFonts w:eastAsia="Times New Roman"/>
          <w:color w:val="000000"/>
        </w:rPr>
        <w:t xml:space="preserve">factor </w:t>
      </w:r>
      <w:r w:rsidR="00620411">
        <w:rPr>
          <w:rFonts w:eastAsia="Times New Roman"/>
          <w:color w:val="000000"/>
        </w:rPr>
        <w:t xml:space="preserve">for reckless indifference </w:t>
      </w:r>
      <w:r>
        <w:rPr>
          <w:rFonts w:eastAsia="Times New Roman"/>
          <w:color w:val="000000"/>
        </w:rPr>
        <w:t>concern</w:t>
      </w:r>
      <w:r w:rsidR="0055768B">
        <w:rPr>
          <w:rFonts w:eastAsia="Times New Roman"/>
          <w:color w:val="000000"/>
        </w:rPr>
        <w:t>s</w:t>
      </w:r>
      <w:r>
        <w:rPr>
          <w:rFonts w:eastAsia="Times New Roman"/>
          <w:color w:val="000000"/>
        </w:rPr>
        <w:t xml:space="preserve"> a defendant’s efforts to minimize the risk of violence during the felony</w:t>
      </w:r>
      <w:r w:rsidR="0055768B">
        <w:rPr>
          <w:rFonts w:eastAsia="Times New Roman"/>
          <w:color w:val="000000"/>
        </w:rPr>
        <w:t>.  (</w:t>
      </w:r>
      <w:r w:rsidR="0055768B" w:rsidRPr="008D2473">
        <w:rPr>
          <w:rFonts w:eastAsia="Times New Roman"/>
          <w:i/>
          <w:iCs/>
          <w:color w:val="000000"/>
        </w:rPr>
        <w:t>Clark</w:t>
      </w:r>
      <w:r w:rsidR="0055768B">
        <w:rPr>
          <w:rFonts w:eastAsia="Times New Roman"/>
          <w:color w:val="000000"/>
        </w:rPr>
        <w:t xml:space="preserve">, </w:t>
      </w:r>
      <w:r w:rsidR="0055768B" w:rsidRPr="008D2473">
        <w:rPr>
          <w:rFonts w:eastAsia="Times New Roman"/>
          <w:i/>
          <w:iCs/>
          <w:color w:val="000000"/>
        </w:rPr>
        <w:t>supra</w:t>
      </w:r>
      <w:r w:rsidR="0055768B">
        <w:rPr>
          <w:rFonts w:eastAsia="Times New Roman"/>
          <w:color w:val="000000"/>
        </w:rPr>
        <w:t>, 63</w:t>
      </w:r>
      <w:r w:rsidR="00DB3750">
        <w:rPr>
          <w:rFonts w:eastAsia="Times New Roman"/>
          <w:color w:val="000000"/>
        </w:rPr>
        <w:t> </w:t>
      </w:r>
      <w:r w:rsidR="0055768B">
        <w:rPr>
          <w:rFonts w:eastAsia="Times New Roman"/>
          <w:color w:val="000000"/>
        </w:rPr>
        <w:t>Cal.4th at p</w:t>
      </w:r>
      <w:r w:rsidR="00D82427">
        <w:rPr>
          <w:rFonts w:eastAsia="Times New Roman"/>
          <w:color w:val="000000"/>
        </w:rPr>
        <w:t>p</w:t>
      </w:r>
      <w:r w:rsidR="0055768B">
        <w:rPr>
          <w:rFonts w:eastAsia="Times New Roman"/>
          <w:color w:val="000000"/>
        </w:rPr>
        <w:t>. 621</w:t>
      </w:r>
      <w:r w:rsidR="00D82427">
        <w:rPr>
          <w:rFonts w:eastAsia="Times New Roman"/>
          <w:color w:val="000000"/>
        </w:rPr>
        <w:t>-622</w:t>
      </w:r>
      <w:r w:rsidR="0055768B">
        <w:rPr>
          <w:rFonts w:eastAsia="Times New Roman"/>
          <w:color w:val="000000"/>
        </w:rPr>
        <w:t xml:space="preserve">.)  </w:t>
      </w:r>
      <w:r w:rsidR="00014B37">
        <w:rPr>
          <w:rFonts w:eastAsia="Times New Roman"/>
          <w:color w:val="000000"/>
        </w:rPr>
        <w:t>That factor</w:t>
      </w:r>
      <w:r>
        <w:rPr>
          <w:rFonts w:eastAsia="Times New Roman"/>
          <w:color w:val="000000"/>
        </w:rPr>
        <w:t xml:space="preserve"> </w:t>
      </w:r>
      <w:r w:rsidR="0055768B">
        <w:rPr>
          <w:rFonts w:eastAsia="Times New Roman"/>
          <w:color w:val="000000"/>
        </w:rPr>
        <w:t>also</w:t>
      </w:r>
      <w:r>
        <w:rPr>
          <w:rFonts w:eastAsia="Times New Roman"/>
          <w:color w:val="000000"/>
        </w:rPr>
        <w:t xml:space="preserve"> weigh</w:t>
      </w:r>
      <w:r w:rsidR="0055768B">
        <w:rPr>
          <w:rFonts w:eastAsia="Times New Roman"/>
          <w:color w:val="000000"/>
        </w:rPr>
        <w:t>s</w:t>
      </w:r>
      <w:r>
        <w:rPr>
          <w:rFonts w:eastAsia="Times New Roman"/>
          <w:color w:val="000000"/>
        </w:rPr>
        <w:t xml:space="preserve"> in favor of finding reckless </w:t>
      </w:r>
      <w:r w:rsidR="0055768B">
        <w:rPr>
          <w:rFonts w:eastAsia="Times New Roman"/>
          <w:color w:val="000000"/>
        </w:rPr>
        <w:t>indifference here</w:t>
      </w:r>
      <w:r>
        <w:rPr>
          <w:rFonts w:eastAsia="Times New Roman"/>
          <w:color w:val="000000"/>
        </w:rPr>
        <w:t>.  There is no evidence that Price took any steps to minimize the risk</w:t>
      </w:r>
      <w:r w:rsidR="00752411">
        <w:rPr>
          <w:rFonts w:eastAsia="Times New Roman"/>
          <w:color w:val="000000"/>
        </w:rPr>
        <w:t xml:space="preserve"> of</w:t>
      </w:r>
      <w:r>
        <w:rPr>
          <w:rFonts w:eastAsia="Times New Roman"/>
          <w:color w:val="000000"/>
        </w:rPr>
        <w:t xml:space="preserve"> violence</w:t>
      </w:r>
      <w:r w:rsidR="00752411">
        <w:rPr>
          <w:rFonts w:eastAsia="Times New Roman"/>
          <w:color w:val="000000"/>
        </w:rPr>
        <w:t>.  To the contrary,</w:t>
      </w:r>
      <w:r>
        <w:rPr>
          <w:rFonts w:eastAsia="Times New Roman"/>
          <w:color w:val="000000"/>
        </w:rPr>
        <w:t xml:space="preserve"> her acts of bringing a loaded gun to the scene of a robbery and handing it to a cohort while </w:t>
      </w:r>
      <w:r w:rsidR="00752411">
        <w:rPr>
          <w:rFonts w:eastAsia="Times New Roman"/>
          <w:color w:val="000000"/>
        </w:rPr>
        <w:t xml:space="preserve">they were </w:t>
      </w:r>
      <w:r>
        <w:rPr>
          <w:rFonts w:eastAsia="Times New Roman"/>
          <w:color w:val="000000"/>
        </w:rPr>
        <w:t>in the process of robbing the victim significantly increased the risk.</w:t>
      </w:r>
    </w:p>
    <w:p w14:paraId="16EBEF0E" w14:textId="0ECA617B" w:rsidR="00712B92" w:rsidRDefault="00F255BF" w:rsidP="008166BF">
      <w:pPr>
        <w:spacing w:line="360" w:lineRule="auto"/>
        <w:ind w:firstLine="720"/>
        <w:rPr>
          <w:rFonts w:eastAsia="Times New Roman"/>
          <w:color w:val="000000"/>
        </w:rPr>
      </w:pPr>
      <w:r>
        <w:rPr>
          <w:rFonts w:eastAsia="Times New Roman"/>
          <w:color w:val="000000"/>
        </w:rPr>
        <w:lastRenderedPageBreak/>
        <w:t>In short, t</w:t>
      </w:r>
      <w:r w:rsidR="005016E3">
        <w:rPr>
          <w:rFonts w:eastAsia="Times New Roman"/>
          <w:color w:val="000000"/>
        </w:rPr>
        <w:t xml:space="preserve">he evidence here, evaluated in the context of the </w:t>
      </w:r>
      <w:r w:rsidR="005016E3" w:rsidRPr="005016E3">
        <w:rPr>
          <w:rFonts w:eastAsia="Times New Roman"/>
          <w:i/>
          <w:iCs/>
          <w:color w:val="000000"/>
        </w:rPr>
        <w:t>Clark</w:t>
      </w:r>
      <w:r w:rsidR="005016E3">
        <w:rPr>
          <w:rFonts w:eastAsia="Times New Roman"/>
          <w:color w:val="000000"/>
        </w:rPr>
        <w:t xml:space="preserve"> </w:t>
      </w:r>
      <w:r>
        <w:rPr>
          <w:rFonts w:eastAsia="Times New Roman"/>
          <w:color w:val="000000"/>
        </w:rPr>
        <w:t>and</w:t>
      </w:r>
      <w:r w:rsidR="005016E3">
        <w:rPr>
          <w:rFonts w:eastAsia="Times New Roman"/>
          <w:color w:val="000000"/>
        </w:rPr>
        <w:t xml:space="preserve"> </w:t>
      </w:r>
      <w:r w:rsidR="005016E3" w:rsidRPr="005016E3">
        <w:rPr>
          <w:rFonts w:eastAsia="Times New Roman"/>
          <w:i/>
          <w:iCs/>
          <w:color w:val="000000"/>
        </w:rPr>
        <w:t>Banks</w:t>
      </w:r>
      <w:r w:rsidR="005016E3">
        <w:rPr>
          <w:rFonts w:eastAsia="Times New Roman"/>
          <w:color w:val="000000"/>
        </w:rPr>
        <w:t xml:space="preserve"> factors, support</w:t>
      </w:r>
      <w:r>
        <w:rPr>
          <w:rFonts w:eastAsia="Times New Roman"/>
          <w:color w:val="000000"/>
        </w:rPr>
        <w:t>s</w:t>
      </w:r>
      <w:r w:rsidR="005016E3">
        <w:rPr>
          <w:rFonts w:eastAsia="Times New Roman"/>
          <w:color w:val="000000"/>
        </w:rPr>
        <w:t xml:space="preserve"> a finding that Price acted with reckless indifference to the grave risk her acts posed to </w:t>
      </w:r>
      <w:r w:rsidR="00014B37">
        <w:rPr>
          <w:rFonts w:eastAsia="Times New Roman"/>
          <w:color w:val="000000"/>
        </w:rPr>
        <w:t xml:space="preserve">Merrill’s </w:t>
      </w:r>
      <w:r w:rsidR="005016E3">
        <w:rPr>
          <w:rFonts w:eastAsia="Times New Roman"/>
          <w:color w:val="000000"/>
        </w:rPr>
        <w:t xml:space="preserve">life.  Contrary to Price’s arguments, </w:t>
      </w:r>
      <w:r w:rsidR="00B70542">
        <w:rPr>
          <w:rFonts w:eastAsia="Times New Roman"/>
          <w:color w:val="000000"/>
        </w:rPr>
        <w:t xml:space="preserve">this case is not akin to one in which a getaway driver or other person involved in a limited way in an armed robbery has mere knowledge that his </w:t>
      </w:r>
      <w:r w:rsidR="009436BB">
        <w:rPr>
          <w:rFonts w:eastAsia="Times New Roman"/>
          <w:color w:val="000000"/>
        </w:rPr>
        <w:t>confederates</w:t>
      </w:r>
      <w:r w:rsidR="00B70542">
        <w:rPr>
          <w:rFonts w:eastAsia="Times New Roman"/>
          <w:color w:val="000000"/>
        </w:rPr>
        <w:t xml:space="preserve"> would be armed.  This is a case in which the individual who initiated the armed robbery actively acquired the gun,</w:t>
      </w:r>
      <w:r w:rsidR="009436BB">
        <w:rPr>
          <w:rFonts w:eastAsia="Times New Roman"/>
          <w:color w:val="000000"/>
        </w:rPr>
        <w:t xml:space="preserve"> knew it was loaded, brought it to the scene, participated in the robbery</w:t>
      </w:r>
      <w:r w:rsidR="00B70542">
        <w:rPr>
          <w:rFonts w:eastAsia="Times New Roman"/>
          <w:color w:val="000000"/>
        </w:rPr>
        <w:t xml:space="preserve">, </w:t>
      </w:r>
      <w:r w:rsidR="0047430E" w:rsidRPr="00F423DD">
        <w:rPr>
          <w:rFonts w:eastAsia="Times New Roman"/>
          <w:color w:val="000000"/>
        </w:rPr>
        <w:t>pointed the gun at the victim,</w:t>
      </w:r>
      <w:r w:rsidR="0047430E" w:rsidRPr="0047430E">
        <w:rPr>
          <w:rFonts w:eastAsia="Times New Roman"/>
          <w:b/>
          <w:bCs/>
          <w:color w:val="000000"/>
        </w:rPr>
        <w:t xml:space="preserve"> </w:t>
      </w:r>
      <w:r w:rsidR="00B70542">
        <w:rPr>
          <w:rFonts w:eastAsia="Times New Roman"/>
          <w:color w:val="000000"/>
        </w:rPr>
        <w:t>and</w:t>
      </w:r>
      <w:r w:rsidR="009436BB">
        <w:rPr>
          <w:rFonts w:eastAsia="Times New Roman"/>
          <w:color w:val="000000"/>
        </w:rPr>
        <w:t>—if she did not shoot</w:t>
      </w:r>
      <w:r w:rsidR="005B5BEB">
        <w:rPr>
          <w:rFonts w:eastAsia="Times New Roman"/>
          <w:color w:val="000000"/>
        </w:rPr>
        <w:t>—</w:t>
      </w:r>
      <w:r w:rsidR="00B70542">
        <w:rPr>
          <w:rFonts w:eastAsia="Times New Roman"/>
          <w:color w:val="000000"/>
        </w:rPr>
        <w:t>gave the gun to the shooter</w:t>
      </w:r>
      <w:r w:rsidR="00752411">
        <w:rPr>
          <w:rFonts w:eastAsia="Times New Roman"/>
          <w:color w:val="000000"/>
        </w:rPr>
        <w:t>,</w:t>
      </w:r>
      <w:r w:rsidR="00B70542">
        <w:rPr>
          <w:rFonts w:eastAsia="Times New Roman"/>
          <w:color w:val="000000"/>
        </w:rPr>
        <w:t xml:space="preserve"> in effect encouraging the shooting.  As her after-the-crime texts to Fells indicate, Price was more than willing to shoot</w:t>
      </w:r>
      <w:r w:rsidR="00D82427">
        <w:rPr>
          <w:rFonts w:eastAsia="Times New Roman"/>
          <w:color w:val="000000"/>
        </w:rPr>
        <w:t>,</w:t>
      </w:r>
      <w:r w:rsidR="00B70542">
        <w:rPr>
          <w:rFonts w:eastAsia="Times New Roman"/>
          <w:color w:val="000000"/>
        </w:rPr>
        <w:t xml:space="preserve"> or aid Brown in shooting</w:t>
      </w:r>
      <w:r w:rsidR="004260CD">
        <w:rPr>
          <w:rFonts w:eastAsia="Times New Roman"/>
          <w:color w:val="000000"/>
        </w:rPr>
        <w:t>,</w:t>
      </w:r>
      <w:r w:rsidR="00B70542">
        <w:rPr>
          <w:rFonts w:eastAsia="Times New Roman"/>
          <w:color w:val="000000"/>
        </w:rPr>
        <w:t xml:space="preserve"> Merrill; she was willing to kill </w:t>
      </w:r>
      <w:r w:rsidR="00DB3750">
        <w:rPr>
          <w:rFonts w:eastAsia="Times New Roman"/>
          <w:color w:val="000000"/>
        </w:rPr>
        <w:t xml:space="preserve">Merrill </w:t>
      </w:r>
      <w:r w:rsidR="00B70542">
        <w:rPr>
          <w:rFonts w:eastAsia="Times New Roman"/>
          <w:color w:val="000000"/>
        </w:rPr>
        <w:t>if she deemed it necessary</w:t>
      </w:r>
      <w:r w:rsidR="00782A16">
        <w:rPr>
          <w:rFonts w:eastAsia="Times New Roman"/>
          <w:color w:val="000000"/>
        </w:rPr>
        <w:t xml:space="preserve"> to accomplish the robbery and avoid detection</w:t>
      </w:r>
      <w:r w:rsidR="00DB3750">
        <w:rPr>
          <w:rFonts w:eastAsia="Times New Roman"/>
          <w:color w:val="000000"/>
        </w:rPr>
        <w:t>,</w:t>
      </w:r>
      <w:r w:rsidR="00B70542">
        <w:rPr>
          <w:rFonts w:eastAsia="Times New Roman"/>
          <w:color w:val="000000"/>
        </w:rPr>
        <w:t xml:space="preserve"> and </w:t>
      </w:r>
      <w:r w:rsidR="00DB3750">
        <w:rPr>
          <w:rFonts w:eastAsia="Times New Roman"/>
          <w:color w:val="000000"/>
        </w:rPr>
        <w:t xml:space="preserve">she </w:t>
      </w:r>
      <w:r w:rsidR="00B70542">
        <w:rPr>
          <w:rFonts w:eastAsia="Times New Roman"/>
          <w:color w:val="000000"/>
        </w:rPr>
        <w:t>was completely indifferent to the grave risk she created that he would end up losing his life.  In short, her words and acts reflected a “willingness to kill (or to assist another in killing) to achieve a distinct aim, even if [she did] not specifically desire that death as the outcome of [her] actions.”  (</w:t>
      </w:r>
      <w:r w:rsidR="00B70542" w:rsidRPr="00B70542">
        <w:rPr>
          <w:rFonts w:eastAsia="Times New Roman"/>
          <w:i/>
          <w:iCs/>
          <w:color w:val="000000"/>
        </w:rPr>
        <w:t>Clark</w:t>
      </w:r>
      <w:r w:rsidR="00B70542">
        <w:rPr>
          <w:rFonts w:eastAsia="Times New Roman"/>
          <w:color w:val="000000"/>
        </w:rPr>
        <w:t xml:space="preserve">, </w:t>
      </w:r>
      <w:r w:rsidRPr="008D2473">
        <w:rPr>
          <w:rFonts w:eastAsia="Times New Roman"/>
          <w:i/>
          <w:iCs/>
          <w:color w:val="000000"/>
        </w:rPr>
        <w:t>supra</w:t>
      </w:r>
      <w:r>
        <w:rPr>
          <w:rFonts w:eastAsia="Times New Roman"/>
          <w:color w:val="000000"/>
        </w:rPr>
        <w:t xml:space="preserve">, 63 Cal.4th </w:t>
      </w:r>
      <w:r w:rsidR="00B70542">
        <w:rPr>
          <w:rFonts w:eastAsia="Times New Roman"/>
          <w:color w:val="000000"/>
        </w:rPr>
        <w:t>at p. 617.)</w:t>
      </w:r>
    </w:p>
    <w:p w14:paraId="541CC52F" w14:textId="24CBCA8C" w:rsidR="00B70542" w:rsidRDefault="00F255BF" w:rsidP="00390D30">
      <w:pPr>
        <w:spacing w:line="360" w:lineRule="auto"/>
        <w:ind w:firstLine="720"/>
        <w:rPr>
          <w:rFonts w:eastAsia="Times New Roman"/>
          <w:color w:val="000000"/>
        </w:rPr>
      </w:pPr>
      <w:r>
        <w:rPr>
          <w:rFonts w:eastAsia="Times New Roman"/>
          <w:color w:val="000000"/>
        </w:rPr>
        <w:t xml:space="preserve">While Price is not as high on the culpability spectrum as the Tison brothers, she is well </w:t>
      </w:r>
      <w:r w:rsidR="0088458F">
        <w:rPr>
          <w:rFonts w:eastAsia="Times New Roman"/>
          <w:color w:val="000000"/>
        </w:rPr>
        <w:t>beyond</w:t>
      </w:r>
      <w:r>
        <w:rPr>
          <w:rFonts w:eastAsia="Times New Roman"/>
          <w:color w:val="000000"/>
        </w:rPr>
        <w:t xml:space="preserve"> E</w:t>
      </w:r>
      <w:r w:rsidR="00FD48D7">
        <w:rPr>
          <w:rFonts w:eastAsia="Times New Roman"/>
          <w:color w:val="000000"/>
        </w:rPr>
        <w:t>n</w:t>
      </w:r>
      <w:r>
        <w:rPr>
          <w:rFonts w:eastAsia="Times New Roman"/>
          <w:color w:val="000000"/>
        </w:rPr>
        <w:t>m</w:t>
      </w:r>
      <w:r w:rsidR="00FD48D7">
        <w:rPr>
          <w:rFonts w:eastAsia="Times New Roman"/>
          <w:color w:val="000000"/>
        </w:rPr>
        <w:t>u</w:t>
      </w:r>
      <w:r>
        <w:rPr>
          <w:rFonts w:eastAsia="Times New Roman"/>
          <w:color w:val="000000"/>
        </w:rPr>
        <w:t xml:space="preserve">nd, Banks and Clark.  We conclude the jury’s special circumstance finding is supported by substantial evidence meeting the culpability standard of </w:t>
      </w:r>
      <w:r w:rsidRPr="00B70542">
        <w:rPr>
          <w:rFonts w:eastAsia="Times New Roman"/>
          <w:i/>
          <w:iCs/>
          <w:color w:val="000000"/>
        </w:rPr>
        <w:t>Banks</w:t>
      </w:r>
      <w:r>
        <w:rPr>
          <w:rFonts w:eastAsia="Times New Roman"/>
          <w:color w:val="000000"/>
        </w:rPr>
        <w:t xml:space="preserve"> and </w:t>
      </w:r>
      <w:r w:rsidRPr="00B70542">
        <w:rPr>
          <w:rFonts w:eastAsia="Times New Roman"/>
          <w:i/>
          <w:iCs/>
          <w:color w:val="000000"/>
        </w:rPr>
        <w:t>Clark</w:t>
      </w:r>
      <w:r>
        <w:rPr>
          <w:rFonts w:eastAsia="Times New Roman"/>
          <w:color w:val="000000"/>
        </w:rPr>
        <w:t>.  We also conclude that</w:t>
      </w:r>
      <w:r w:rsidR="00AD3C03">
        <w:rPr>
          <w:rFonts w:eastAsia="Times New Roman"/>
          <w:color w:val="000000"/>
        </w:rPr>
        <w:t xml:space="preserve"> the</w:t>
      </w:r>
      <w:r>
        <w:rPr>
          <w:rFonts w:eastAsia="Times New Roman"/>
          <w:color w:val="000000"/>
        </w:rPr>
        <w:t xml:space="preserve"> finding bars Price’s petition for resentencing under section 1170.95 because she could be and was convicted of first degree murder under a theory that remains valid after S</w:t>
      </w:r>
      <w:r w:rsidR="00F608A4">
        <w:rPr>
          <w:rFonts w:eastAsia="Times New Roman"/>
          <w:color w:val="000000"/>
        </w:rPr>
        <w:t>enate Bill No.</w:t>
      </w:r>
      <w:r>
        <w:rPr>
          <w:rFonts w:eastAsia="Times New Roman"/>
          <w:color w:val="000000"/>
        </w:rPr>
        <w:t xml:space="preserve"> 1437</w:t>
      </w:r>
      <w:r w:rsidR="00F608A4">
        <w:rPr>
          <w:rFonts w:eastAsia="Times New Roman"/>
          <w:color w:val="000000"/>
        </w:rPr>
        <w:t xml:space="preserve"> </w:t>
      </w:r>
      <w:r w:rsidR="00F608A4">
        <w:t>(2017-2018 Reg. Sess.)</w:t>
      </w:r>
      <w:r w:rsidR="00EA49AB">
        <w:rPr>
          <w:rFonts w:eastAsia="Times New Roman"/>
          <w:color w:val="000000"/>
        </w:rPr>
        <w:t xml:space="preserve">, namely </w:t>
      </w:r>
      <w:r w:rsidR="00EA49AB">
        <w:rPr>
          <w:rFonts w:eastAsia="Times New Roman"/>
          <w:color w:val="000000"/>
        </w:rPr>
        <w:lastRenderedPageBreak/>
        <w:t>felony murder with the elements set forth in section</w:t>
      </w:r>
      <w:r w:rsidR="0055768B">
        <w:rPr>
          <w:rFonts w:eastAsia="Times New Roman"/>
          <w:color w:val="000000"/>
        </w:rPr>
        <w:t xml:space="preserve"> 189 as amended, which are the same as the special circumstances </w:t>
      </w:r>
      <w:r w:rsidR="003B3790">
        <w:rPr>
          <w:rFonts w:eastAsia="Times New Roman"/>
          <w:color w:val="000000"/>
        </w:rPr>
        <w:t>found by the jury</w:t>
      </w:r>
      <w:r w:rsidR="00EA49AB">
        <w:rPr>
          <w:rFonts w:eastAsia="Times New Roman"/>
          <w:color w:val="000000"/>
        </w:rPr>
        <w:t>.</w:t>
      </w:r>
      <w:r>
        <w:rPr>
          <w:rStyle w:val="FootnoteReference"/>
          <w:b/>
          <w:bCs/>
        </w:rPr>
        <w:footnoteReference w:id="23"/>
      </w:r>
    </w:p>
    <w:p w14:paraId="4379AF1B" w14:textId="4A5F0C91" w:rsidR="00B70542" w:rsidRDefault="00F255BF" w:rsidP="00B70542">
      <w:pPr>
        <w:spacing w:line="360" w:lineRule="auto"/>
        <w:jc w:val="center"/>
        <w:rPr>
          <w:rFonts w:eastAsia="Times New Roman"/>
          <w:b/>
          <w:bCs/>
          <w:color w:val="000000"/>
        </w:rPr>
      </w:pPr>
      <w:r w:rsidRPr="00997096">
        <w:rPr>
          <w:rFonts w:eastAsia="Times New Roman"/>
          <w:b/>
          <w:bCs/>
          <w:color w:val="000000"/>
        </w:rPr>
        <w:t>DISPOSITION</w:t>
      </w:r>
    </w:p>
    <w:p w14:paraId="3B71F935" w14:textId="1C4F87C7" w:rsidR="00997096" w:rsidRPr="00997096" w:rsidRDefault="00F255BF" w:rsidP="00997096">
      <w:pPr>
        <w:spacing w:line="360" w:lineRule="auto"/>
        <w:ind w:firstLine="720"/>
        <w:rPr>
          <w:rFonts w:eastAsia="Times New Roman"/>
          <w:color w:val="000000"/>
        </w:rPr>
      </w:pPr>
      <w:r>
        <w:rPr>
          <w:rFonts w:eastAsia="Times New Roman"/>
          <w:color w:val="000000"/>
        </w:rPr>
        <w:t>The decision of the Superior Court is affirmed.</w:t>
      </w:r>
    </w:p>
    <w:p w14:paraId="67D5524F" w14:textId="0B1B23CC" w:rsidR="001119B2" w:rsidRDefault="00F255BF">
      <w:pPr>
        <w:tabs>
          <w:tab w:val="clear" w:pos="720"/>
        </w:tabs>
        <w:spacing w:line="240" w:lineRule="auto"/>
        <w:rPr>
          <w:rFonts w:eastAsia="Times New Roman"/>
        </w:rPr>
      </w:pPr>
      <w:r>
        <w:rPr>
          <w:rFonts w:eastAsia="Times New Roman"/>
        </w:rPr>
        <w:br w:type="page"/>
      </w:r>
    </w:p>
    <w:p w14:paraId="2CDBBA92" w14:textId="77777777" w:rsidR="001119B2" w:rsidRPr="002F4802" w:rsidRDefault="001119B2" w:rsidP="00294971">
      <w:pPr>
        <w:spacing w:line="240" w:lineRule="auto"/>
        <w:rPr>
          <w:rFonts w:eastAsia="Calibri"/>
        </w:rPr>
      </w:pPr>
    </w:p>
    <w:p w14:paraId="04914B02" w14:textId="77777777" w:rsidR="001119B2" w:rsidRPr="002F4802" w:rsidRDefault="001119B2" w:rsidP="00294971">
      <w:pPr>
        <w:spacing w:line="240" w:lineRule="auto"/>
        <w:rPr>
          <w:rFonts w:eastAsia="Calibri"/>
        </w:rPr>
      </w:pPr>
    </w:p>
    <w:p w14:paraId="54F748A4" w14:textId="77777777" w:rsidR="001119B2" w:rsidRPr="002F4802" w:rsidRDefault="001119B2" w:rsidP="00294971">
      <w:pPr>
        <w:spacing w:line="240" w:lineRule="auto"/>
        <w:rPr>
          <w:rFonts w:eastAsia="Calibri"/>
        </w:rPr>
      </w:pPr>
    </w:p>
    <w:p w14:paraId="2DAAAF45" w14:textId="77777777" w:rsidR="001119B2" w:rsidRPr="002F4802" w:rsidRDefault="00F255BF" w:rsidP="00294971">
      <w:pPr>
        <w:spacing w:line="240" w:lineRule="auto"/>
        <w:rPr>
          <w:rFonts w:eastAsia="Calibri"/>
        </w:rPr>
      </w:pP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14:paraId="0812AEEE" w14:textId="77777777" w:rsidR="001119B2" w:rsidRPr="002F4802" w:rsidRDefault="00F255BF" w:rsidP="00294971">
      <w:pPr>
        <w:spacing w:line="240" w:lineRule="auto"/>
        <w:rPr>
          <w:rFonts w:eastAsia="Calibri"/>
        </w:rPr>
      </w:pP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t>STEWART, J.</w:t>
      </w:r>
    </w:p>
    <w:p w14:paraId="4FCD912A" w14:textId="77777777" w:rsidR="001119B2" w:rsidRPr="002F4802" w:rsidRDefault="001119B2" w:rsidP="00294971">
      <w:pPr>
        <w:spacing w:line="240" w:lineRule="auto"/>
        <w:rPr>
          <w:rFonts w:eastAsia="Calibri"/>
        </w:rPr>
      </w:pPr>
    </w:p>
    <w:p w14:paraId="1C46D4A6" w14:textId="77777777" w:rsidR="001119B2" w:rsidRPr="002F4802" w:rsidRDefault="001119B2" w:rsidP="00294971">
      <w:pPr>
        <w:spacing w:line="240" w:lineRule="auto"/>
        <w:rPr>
          <w:rFonts w:eastAsia="Calibri"/>
        </w:rPr>
      </w:pPr>
    </w:p>
    <w:p w14:paraId="6458965B" w14:textId="77777777" w:rsidR="001119B2" w:rsidRPr="002F4802" w:rsidRDefault="001119B2" w:rsidP="00294971">
      <w:pPr>
        <w:spacing w:line="240" w:lineRule="auto"/>
        <w:rPr>
          <w:rFonts w:eastAsia="Calibri"/>
        </w:rPr>
      </w:pPr>
    </w:p>
    <w:p w14:paraId="358D07C9" w14:textId="77777777" w:rsidR="001119B2" w:rsidRPr="002F4802" w:rsidRDefault="00F255BF" w:rsidP="00294971">
      <w:pPr>
        <w:spacing w:line="240" w:lineRule="auto"/>
        <w:rPr>
          <w:rFonts w:eastAsia="Calibri"/>
        </w:rPr>
      </w:pPr>
      <w:r w:rsidRPr="002F4802">
        <w:rPr>
          <w:rFonts w:eastAsia="Calibri"/>
        </w:rPr>
        <w:t>We concur.</w:t>
      </w:r>
    </w:p>
    <w:p w14:paraId="7E7084FB" w14:textId="77777777" w:rsidR="001119B2" w:rsidRPr="002F4802" w:rsidRDefault="001119B2" w:rsidP="00294971">
      <w:pPr>
        <w:spacing w:line="240" w:lineRule="auto"/>
        <w:rPr>
          <w:rFonts w:eastAsia="Calibri"/>
        </w:rPr>
      </w:pPr>
    </w:p>
    <w:p w14:paraId="3DAA7EA8" w14:textId="77777777" w:rsidR="001119B2" w:rsidRPr="002F4802" w:rsidRDefault="001119B2" w:rsidP="00294971">
      <w:pPr>
        <w:spacing w:line="240" w:lineRule="auto"/>
        <w:rPr>
          <w:rFonts w:eastAsia="Calibri"/>
        </w:rPr>
      </w:pPr>
    </w:p>
    <w:p w14:paraId="50C9B50B" w14:textId="77777777" w:rsidR="001119B2" w:rsidRPr="002F4802" w:rsidRDefault="001119B2" w:rsidP="00294971">
      <w:pPr>
        <w:spacing w:line="240" w:lineRule="auto"/>
        <w:rPr>
          <w:rFonts w:eastAsia="Calibri"/>
        </w:rPr>
      </w:pPr>
    </w:p>
    <w:p w14:paraId="653341CF" w14:textId="77777777" w:rsidR="001119B2" w:rsidRPr="002F4802" w:rsidRDefault="00F255BF" w:rsidP="00294971">
      <w:pPr>
        <w:spacing w:line="240" w:lineRule="auto"/>
        <w:rPr>
          <w:rFonts w:eastAsia="Calibri"/>
        </w:rPr>
      </w:pP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14:paraId="7A7081BB" w14:textId="77777777" w:rsidR="001119B2" w:rsidRPr="002F4802" w:rsidRDefault="00F255BF" w:rsidP="00294971">
      <w:pPr>
        <w:spacing w:line="240" w:lineRule="auto"/>
        <w:rPr>
          <w:rFonts w:eastAsia="Calibri"/>
        </w:rPr>
      </w:pPr>
      <w:r>
        <w:rPr>
          <w:rFonts w:eastAsia="Calibri"/>
        </w:rPr>
        <w:t>KLINE</w:t>
      </w:r>
      <w:r w:rsidRPr="002F4802">
        <w:rPr>
          <w:rFonts w:eastAsia="Calibri"/>
        </w:rPr>
        <w:t>, P.J.</w:t>
      </w:r>
    </w:p>
    <w:p w14:paraId="492DD37A" w14:textId="77777777" w:rsidR="001119B2" w:rsidRPr="002F4802" w:rsidRDefault="001119B2" w:rsidP="00294971">
      <w:pPr>
        <w:spacing w:line="240" w:lineRule="auto"/>
        <w:rPr>
          <w:rFonts w:eastAsia="Calibri"/>
        </w:rPr>
      </w:pPr>
    </w:p>
    <w:p w14:paraId="7E16C290" w14:textId="77777777" w:rsidR="001119B2" w:rsidRPr="002F4802" w:rsidRDefault="001119B2" w:rsidP="00294971">
      <w:pPr>
        <w:spacing w:line="240" w:lineRule="auto"/>
        <w:rPr>
          <w:rFonts w:eastAsia="Calibri"/>
        </w:rPr>
      </w:pPr>
    </w:p>
    <w:p w14:paraId="4A3306F2" w14:textId="77777777" w:rsidR="001119B2" w:rsidRPr="002F4802" w:rsidRDefault="001119B2" w:rsidP="00294971">
      <w:pPr>
        <w:spacing w:line="240" w:lineRule="auto"/>
        <w:rPr>
          <w:rFonts w:eastAsia="Calibri"/>
        </w:rPr>
      </w:pPr>
    </w:p>
    <w:p w14:paraId="229E5CD7" w14:textId="77777777" w:rsidR="001119B2" w:rsidRPr="002F4802" w:rsidRDefault="00F255BF" w:rsidP="00294971">
      <w:pPr>
        <w:spacing w:line="240" w:lineRule="auto"/>
        <w:rPr>
          <w:rFonts w:eastAsia="Calibri"/>
        </w:rPr>
      </w:pP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14:paraId="305C5F4D" w14:textId="77777777" w:rsidR="001119B2" w:rsidRPr="002F4802" w:rsidRDefault="00F255BF" w:rsidP="00294971">
      <w:pPr>
        <w:spacing w:line="240" w:lineRule="auto"/>
        <w:rPr>
          <w:rFonts w:eastAsia="Calibri"/>
        </w:rPr>
      </w:pPr>
      <w:r w:rsidRPr="002F4802">
        <w:rPr>
          <w:rFonts w:eastAsia="Calibri"/>
        </w:rPr>
        <w:t>R</w:t>
      </w:r>
      <w:r>
        <w:rPr>
          <w:rFonts w:eastAsia="Calibri"/>
        </w:rPr>
        <w:t>ICHMAN</w:t>
      </w:r>
      <w:r w:rsidRPr="002F4802">
        <w:rPr>
          <w:rFonts w:eastAsia="Calibri"/>
        </w:rPr>
        <w:t>, J.</w:t>
      </w:r>
    </w:p>
    <w:p w14:paraId="62C0D37A" w14:textId="77777777" w:rsidR="001119B2" w:rsidRPr="002F4802" w:rsidRDefault="001119B2" w:rsidP="00294971">
      <w:pPr>
        <w:spacing w:line="240" w:lineRule="auto"/>
        <w:rPr>
          <w:rFonts w:eastAsia="Calibri"/>
        </w:rPr>
      </w:pPr>
    </w:p>
    <w:p w14:paraId="1A7DEC9A" w14:textId="77777777" w:rsidR="001119B2" w:rsidRPr="002F4802" w:rsidRDefault="001119B2" w:rsidP="00294971">
      <w:pPr>
        <w:spacing w:line="240" w:lineRule="auto"/>
        <w:rPr>
          <w:rFonts w:eastAsia="Calibri"/>
        </w:rPr>
      </w:pPr>
    </w:p>
    <w:p w14:paraId="6BEA9E65" w14:textId="77777777" w:rsidR="001119B2" w:rsidRPr="002F4802" w:rsidRDefault="001119B2" w:rsidP="00294971">
      <w:pPr>
        <w:spacing w:line="240" w:lineRule="auto"/>
        <w:rPr>
          <w:rFonts w:eastAsia="Calibri"/>
        </w:rPr>
      </w:pPr>
    </w:p>
    <w:p w14:paraId="22CB695A" w14:textId="77777777" w:rsidR="001119B2" w:rsidRPr="002F4802" w:rsidRDefault="001119B2" w:rsidP="00294971">
      <w:pPr>
        <w:spacing w:line="240" w:lineRule="auto"/>
        <w:rPr>
          <w:rFonts w:eastAsia="Calibri"/>
        </w:rPr>
      </w:pPr>
    </w:p>
    <w:p w14:paraId="70956175" w14:textId="77777777" w:rsidR="001119B2" w:rsidRPr="002F4802" w:rsidRDefault="001119B2" w:rsidP="00294971">
      <w:pPr>
        <w:spacing w:line="240" w:lineRule="auto"/>
        <w:rPr>
          <w:rFonts w:eastAsia="Calibri"/>
        </w:rPr>
      </w:pPr>
    </w:p>
    <w:p w14:paraId="2DC8B573" w14:textId="77777777" w:rsidR="001119B2" w:rsidRPr="002F4802" w:rsidRDefault="001119B2" w:rsidP="00294971">
      <w:pPr>
        <w:spacing w:line="240" w:lineRule="auto"/>
        <w:rPr>
          <w:rFonts w:eastAsia="Calibri"/>
        </w:rPr>
      </w:pPr>
    </w:p>
    <w:p w14:paraId="07E5BEA5" w14:textId="77777777" w:rsidR="001119B2" w:rsidRPr="002F4802" w:rsidRDefault="001119B2" w:rsidP="00294971">
      <w:pPr>
        <w:spacing w:line="240" w:lineRule="auto"/>
        <w:rPr>
          <w:rFonts w:eastAsia="Calibri"/>
        </w:rPr>
      </w:pPr>
    </w:p>
    <w:p w14:paraId="13CF6675" w14:textId="77777777" w:rsidR="001119B2" w:rsidRPr="002F4802" w:rsidRDefault="001119B2" w:rsidP="00294971">
      <w:pPr>
        <w:spacing w:line="240" w:lineRule="auto"/>
        <w:rPr>
          <w:rFonts w:eastAsia="Calibri"/>
        </w:rPr>
      </w:pPr>
    </w:p>
    <w:p w14:paraId="169A57EB" w14:textId="77777777" w:rsidR="001119B2" w:rsidRPr="002F4802" w:rsidRDefault="001119B2" w:rsidP="00294971">
      <w:pPr>
        <w:spacing w:line="240" w:lineRule="auto"/>
        <w:rPr>
          <w:rFonts w:eastAsia="Calibri"/>
        </w:rPr>
      </w:pPr>
    </w:p>
    <w:p w14:paraId="3A2B9BCD" w14:textId="77777777" w:rsidR="001119B2" w:rsidRPr="002F4802" w:rsidRDefault="001119B2" w:rsidP="00294971">
      <w:pPr>
        <w:spacing w:line="240" w:lineRule="auto"/>
        <w:rPr>
          <w:rFonts w:eastAsia="Calibri"/>
        </w:rPr>
      </w:pPr>
    </w:p>
    <w:p w14:paraId="3604E19D" w14:textId="77777777" w:rsidR="001119B2" w:rsidRPr="002F4802" w:rsidRDefault="001119B2" w:rsidP="00294971">
      <w:pPr>
        <w:spacing w:line="240" w:lineRule="auto"/>
        <w:rPr>
          <w:rFonts w:eastAsia="Calibri"/>
        </w:rPr>
      </w:pPr>
    </w:p>
    <w:p w14:paraId="74500B37" w14:textId="77777777" w:rsidR="001119B2" w:rsidRPr="002F4802" w:rsidRDefault="001119B2" w:rsidP="00294971">
      <w:pPr>
        <w:spacing w:line="240" w:lineRule="auto"/>
        <w:rPr>
          <w:rFonts w:eastAsia="Calibri"/>
        </w:rPr>
      </w:pPr>
    </w:p>
    <w:p w14:paraId="3DCB2C40" w14:textId="77777777" w:rsidR="001119B2" w:rsidRPr="002F4802" w:rsidRDefault="001119B2" w:rsidP="00294971">
      <w:pPr>
        <w:spacing w:line="240" w:lineRule="auto"/>
        <w:rPr>
          <w:rFonts w:eastAsia="Calibri"/>
        </w:rPr>
      </w:pPr>
    </w:p>
    <w:p w14:paraId="366D630D" w14:textId="77777777" w:rsidR="001119B2" w:rsidRPr="002F4802" w:rsidRDefault="001119B2" w:rsidP="00294971">
      <w:pPr>
        <w:spacing w:line="240" w:lineRule="auto"/>
        <w:rPr>
          <w:rFonts w:eastAsia="Calibri"/>
        </w:rPr>
      </w:pPr>
    </w:p>
    <w:p w14:paraId="1D7DAE5C" w14:textId="77777777" w:rsidR="001119B2" w:rsidRPr="002F4802" w:rsidRDefault="001119B2" w:rsidP="00294971">
      <w:pPr>
        <w:spacing w:line="240" w:lineRule="auto"/>
        <w:rPr>
          <w:rFonts w:eastAsia="Calibri"/>
        </w:rPr>
      </w:pPr>
    </w:p>
    <w:p w14:paraId="74BDE42D" w14:textId="77777777" w:rsidR="001119B2" w:rsidRPr="002F4802" w:rsidRDefault="001119B2" w:rsidP="00294971">
      <w:pPr>
        <w:spacing w:line="240" w:lineRule="auto"/>
        <w:rPr>
          <w:rFonts w:eastAsia="Calibri"/>
        </w:rPr>
      </w:pPr>
    </w:p>
    <w:p w14:paraId="33E79194" w14:textId="77777777" w:rsidR="001119B2" w:rsidRPr="002F4802" w:rsidRDefault="001119B2" w:rsidP="00294971">
      <w:pPr>
        <w:spacing w:line="240" w:lineRule="auto"/>
        <w:rPr>
          <w:rFonts w:eastAsia="Calibri"/>
        </w:rPr>
      </w:pPr>
    </w:p>
    <w:p w14:paraId="55C89EB9" w14:textId="77777777" w:rsidR="001119B2" w:rsidRPr="002F4802" w:rsidRDefault="001119B2" w:rsidP="00294971">
      <w:pPr>
        <w:spacing w:line="240" w:lineRule="auto"/>
        <w:rPr>
          <w:rFonts w:eastAsia="Calibri"/>
        </w:rPr>
      </w:pPr>
    </w:p>
    <w:p w14:paraId="0C7E15BF" w14:textId="77777777" w:rsidR="001119B2" w:rsidRPr="002F4802" w:rsidRDefault="001119B2" w:rsidP="00294971">
      <w:pPr>
        <w:spacing w:line="240" w:lineRule="auto"/>
        <w:rPr>
          <w:rFonts w:eastAsia="Calibri"/>
        </w:rPr>
      </w:pPr>
    </w:p>
    <w:p w14:paraId="5C15017F" w14:textId="2E5AF063" w:rsidR="001119B2" w:rsidRDefault="00F255BF" w:rsidP="00294971">
      <w:pPr>
        <w:spacing w:line="240" w:lineRule="auto"/>
        <w:rPr>
          <w:rFonts w:eastAsia="Calibri"/>
        </w:rPr>
      </w:pPr>
      <w:r w:rsidRPr="002F4802">
        <w:rPr>
          <w:rFonts w:eastAsia="Calibri"/>
          <w:i/>
        </w:rPr>
        <w:t>P</w:t>
      </w:r>
      <w:r>
        <w:rPr>
          <w:rFonts w:eastAsia="Calibri"/>
          <w:i/>
        </w:rPr>
        <w:t>eople</w:t>
      </w:r>
      <w:r w:rsidRPr="002F4802">
        <w:rPr>
          <w:rFonts w:eastAsia="Calibri"/>
          <w:i/>
        </w:rPr>
        <w:t xml:space="preserve"> v. </w:t>
      </w:r>
      <w:r>
        <w:rPr>
          <w:rFonts w:eastAsia="Calibri"/>
          <w:i/>
        </w:rPr>
        <w:t>Price</w:t>
      </w:r>
      <w:r w:rsidRPr="002F4802">
        <w:rPr>
          <w:rFonts w:eastAsia="Calibri"/>
          <w:i/>
        </w:rPr>
        <w:t xml:space="preserve"> </w:t>
      </w:r>
      <w:r w:rsidRPr="002F4802">
        <w:rPr>
          <w:rFonts w:eastAsia="Calibri"/>
        </w:rPr>
        <w:t>(A1</w:t>
      </w:r>
      <w:r>
        <w:rPr>
          <w:rFonts w:eastAsia="Calibri"/>
        </w:rPr>
        <w:t>59439</w:t>
      </w:r>
      <w:r w:rsidRPr="002F4802">
        <w:rPr>
          <w:rFonts w:eastAsia="Calibri"/>
        </w:rPr>
        <w:t>)</w:t>
      </w:r>
    </w:p>
    <w:p w14:paraId="71C4C56D" w14:textId="77777777" w:rsidR="001119B2" w:rsidRDefault="00F255BF">
      <w:pPr>
        <w:tabs>
          <w:tab w:val="clear" w:pos="720"/>
        </w:tabs>
        <w:spacing w:line="240" w:lineRule="auto"/>
        <w:rPr>
          <w:rFonts w:eastAsia="Calibri"/>
        </w:rPr>
      </w:pPr>
      <w:r>
        <w:rPr>
          <w:rFonts w:eastAsia="Calibri"/>
        </w:rPr>
        <w:br w:type="page"/>
      </w:r>
    </w:p>
    <w:p w14:paraId="24D6E108" w14:textId="77777777" w:rsidR="001119B2" w:rsidRDefault="00F255BF" w:rsidP="0025232B">
      <w:pPr>
        <w:spacing w:line="240" w:lineRule="auto"/>
      </w:pPr>
      <w:r>
        <w:lastRenderedPageBreak/>
        <w:t>Trial Court:</w:t>
      </w:r>
      <w:r>
        <w:tab/>
        <w:t>Contra Costa County Superior Court</w:t>
      </w:r>
    </w:p>
    <w:p w14:paraId="6283C240" w14:textId="77777777" w:rsidR="001119B2" w:rsidRDefault="001119B2" w:rsidP="0025232B">
      <w:pPr>
        <w:spacing w:line="240" w:lineRule="auto"/>
      </w:pPr>
    </w:p>
    <w:p w14:paraId="73C002FD" w14:textId="77777777" w:rsidR="001119B2" w:rsidRDefault="00F255BF" w:rsidP="0025232B">
      <w:pPr>
        <w:spacing w:line="240" w:lineRule="auto"/>
      </w:pPr>
      <w:r>
        <w:t>Trial Judge:</w:t>
      </w:r>
      <w:r>
        <w:tab/>
        <w:t>Hon. Charles B. Burch</w:t>
      </w:r>
    </w:p>
    <w:p w14:paraId="283F99C6" w14:textId="77777777" w:rsidR="001119B2" w:rsidRDefault="001119B2" w:rsidP="0025232B">
      <w:pPr>
        <w:spacing w:line="240" w:lineRule="auto"/>
      </w:pPr>
    </w:p>
    <w:p w14:paraId="2AFB1021" w14:textId="77777777" w:rsidR="001119B2" w:rsidRDefault="00F255BF" w:rsidP="0025232B">
      <w:pPr>
        <w:spacing w:line="240" w:lineRule="auto"/>
      </w:pPr>
      <w:r>
        <w:t xml:space="preserve">Counsel:  </w:t>
      </w:r>
    </w:p>
    <w:p w14:paraId="7CA69B99" w14:textId="77777777" w:rsidR="001119B2" w:rsidRDefault="001119B2" w:rsidP="0025232B">
      <w:pPr>
        <w:spacing w:line="240" w:lineRule="auto"/>
      </w:pPr>
    </w:p>
    <w:p w14:paraId="1EAC4614" w14:textId="77777777" w:rsidR="001119B2" w:rsidRDefault="00F255BF" w:rsidP="0025232B">
      <w:pPr>
        <w:spacing w:line="240" w:lineRule="auto"/>
      </w:pPr>
      <w:r>
        <w:t>Spolin Law, Aaron Spolin for Defendant and Appellant.</w:t>
      </w:r>
    </w:p>
    <w:p w14:paraId="52092CBB" w14:textId="77777777" w:rsidR="001119B2" w:rsidRDefault="001119B2" w:rsidP="0025232B">
      <w:pPr>
        <w:spacing w:line="240" w:lineRule="auto"/>
      </w:pPr>
    </w:p>
    <w:p w14:paraId="4505D601" w14:textId="77777777" w:rsidR="001119B2" w:rsidRDefault="00F255BF" w:rsidP="00700228">
      <w:pPr>
        <w:spacing w:line="240" w:lineRule="auto"/>
      </w:pPr>
      <w:r>
        <w:t>Rob Bonta, Attorney General, Lance E. Winters, Chief Assistant Attorney General, Jeffrey M. Laurence, Assistant Attorney General, Donna M. Provenzano, David H. Rose, Deputy Attorneys General, for Plaintiff and Respondent.</w:t>
      </w:r>
    </w:p>
    <w:p w14:paraId="0BEFB690" w14:textId="77777777" w:rsidR="001119B2" w:rsidRDefault="001119B2" w:rsidP="00700228"/>
    <w:p w14:paraId="376EBD24" w14:textId="77777777" w:rsidR="001119B2" w:rsidRPr="002F4802" w:rsidRDefault="001119B2" w:rsidP="00294971">
      <w:pPr>
        <w:spacing w:line="240" w:lineRule="auto"/>
        <w:rPr>
          <w:rFonts w:eastAsia="Calibri"/>
        </w:rPr>
      </w:pPr>
    </w:p>
    <w:sectPr w:rsidR="001119B2" w:rsidRPr="002F4802" w:rsidSect="00B17AF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0352" w14:textId="77777777" w:rsidR="00576D0E" w:rsidRDefault="00F255BF">
      <w:pPr>
        <w:spacing w:line="240" w:lineRule="auto"/>
      </w:pPr>
      <w:r>
        <w:separator/>
      </w:r>
    </w:p>
  </w:endnote>
  <w:endnote w:type="continuationSeparator" w:id="0">
    <w:p w14:paraId="4CD76CBA" w14:textId="77777777" w:rsidR="00576D0E" w:rsidRDefault="00F25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082B" w14:textId="77777777" w:rsidR="00EE75B3" w:rsidRDefault="00F255BF" w:rsidP="00E053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706ED8">
      <w:rPr>
        <w:rStyle w:val="PageNumber"/>
      </w:rPr>
      <w:fldChar w:fldCharType="separate"/>
    </w:r>
    <w:r>
      <w:rPr>
        <w:rStyle w:val="PageNumber"/>
      </w:rPr>
      <w:fldChar w:fldCharType="end"/>
    </w:r>
  </w:p>
  <w:p w14:paraId="599D948F" w14:textId="77777777" w:rsidR="00EE75B3" w:rsidRDefault="00F255BF" w:rsidP="00E053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706ED8">
      <w:rPr>
        <w:rStyle w:val="PageNumber"/>
      </w:rPr>
      <w:fldChar w:fldCharType="separate"/>
    </w:r>
    <w:r>
      <w:rPr>
        <w:rStyle w:val="PageNumber"/>
      </w:rPr>
      <w:fldChar w:fldCharType="end"/>
    </w:r>
  </w:p>
  <w:p w14:paraId="30330544" w14:textId="77777777" w:rsidR="00EE75B3" w:rsidRDefault="00EE7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0DE4" w14:textId="5BDC856A" w:rsidR="00EE75B3" w:rsidRDefault="00F255BF" w:rsidP="00B17A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46</w:t>
    </w:r>
    <w:r>
      <w:rPr>
        <w:rStyle w:val="PageNumber"/>
      </w:rPr>
      <w:fldChar w:fldCharType="end"/>
    </w:r>
  </w:p>
  <w:p w14:paraId="173B8908" w14:textId="77777777" w:rsidR="00EE75B3" w:rsidRDefault="00EE7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8B31" w14:textId="77777777" w:rsidR="000F2998" w:rsidRDefault="00F255BF" w:rsidP="00B17AFC">
      <w:pPr>
        <w:spacing w:line="240" w:lineRule="auto"/>
      </w:pPr>
      <w:r>
        <w:separator/>
      </w:r>
    </w:p>
  </w:footnote>
  <w:footnote w:type="continuationSeparator" w:id="0">
    <w:p w14:paraId="02537DCB" w14:textId="77777777" w:rsidR="000F2998" w:rsidRDefault="00F255BF" w:rsidP="00B17AFC">
      <w:pPr>
        <w:spacing w:line="240" w:lineRule="auto"/>
      </w:pPr>
      <w:r>
        <w:continuationSeparator/>
      </w:r>
    </w:p>
  </w:footnote>
  <w:footnote w:id="1">
    <w:p w14:paraId="4E75BA4D" w14:textId="77777777" w:rsidR="00EE75B3" w:rsidRDefault="00F255BF" w:rsidP="00794BED">
      <w:pPr>
        <w:pStyle w:val="FootnoteText"/>
        <w:ind w:firstLine="720"/>
      </w:pPr>
      <w:r w:rsidRPr="0037265F">
        <w:rPr>
          <w:rStyle w:val="FootnoteReference"/>
          <w:b/>
          <w:bCs/>
        </w:rPr>
        <w:footnoteRef/>
      </w:r>
      <w:r>
        <w:t xml:space="preserve">  All section references are to the Penal Code.</w:t>
      </w:r>
    </w:p>
  </w:footnote>
  <w:footnote w:id="2">
    <w:p w14:paraId="6ADD2633" w14:textId="42EDAEA6" w:rsidR="00EE75B3" w:rsidRPr="00615AE9" w:rsidRDefault="00F255BF" w:rsidP="009764F8">
      <w:pPr>
        <w:pStyle w:val="FootnoteText"/>
        <w:spacing w:after="120"/>
        <w:ind w:firstLine="720"/>
      </w:pPr>
      <w:r w:rsidRPr="006E12E3">
        <w:rPr>
          <w:rStyle w:val="FootnoteReference"/>
          <w:b/>
          <w:bCs/>
        </w:rPr>
        <w:footnoteRef/>
      </w:r>
      <w:r w:rsidRPr="006E12E3">
        <w:rPr>
          <w:b/>
          <w:bCs/>
        </w:rPr>
        <w:t xml:space="preserve"> </w:t>
      </w:r>
      <w:r>
        <w:t xml:space="preserve"> From the evidence presented at trial, it appears that the entire sequence of events from the time Price arrived at Fell’s house the first time and when Price, Brown and Fells returned there after the robbery and shooting was approximately two hours.  (</w:t>
      </w:r>
      <w:r w:rsidRPr="00587B30">
        <w:rPr>
          <w:i/>
          <w:iCs/>
        </w:rPr>
        <w:t>Price I</w:t>
      </w:r>
      <w:r>
        <w:t xml:space="preserve">, </w:t>
      </w:r>
      <w:r w:rsidRPr="00E040FF">
        <w:rPr>
          <w:i/>
          <w:iCs/>
        </w:rPr>
        <w:t>supra</w:t>
      </w:r>
      <w:r>
        <w:t xml:space="preserve">, </w:t>
      </w:r>
      <w:r w:rsidRPr="00E040FF">
        <w:t>8</w:t>
      </w:r>
      <w:r>
        <w:t xml:space="preserve"> Cal.App.5th at pp. 417, 421, 423.)</w:t>
      </w:r>
    </w:p>
  </w:footnote>
  <w:footnote w:id="3">
    <w:p w14:paraId="5B9BAF1B" w14:textId="0BF792B7" w:rsidR="00EE75B3" w:rsidRDefault="00F255BF" w:rsidP="00F46D25">
      <w:pPr>
        <w:pStyle w:val="FootnoteText"/>
        <w:ind w:firstLine="720"/>
      </w:pPr>
      <w:r w:rsidRPr="00D24F12">
        <w:rPr>
          <w:rStyle w:val="FootnoteReference"/>
          <w:b/>
          <w:bCs/>
        </w:rPr>
        <w:footnoteRef/>
      </w:r>
      <w:r>
        <w:rPr>
          <w:b/>
          <w:bCs/>
        </w:rPr>
        <w:t xml:space="preserve"> </w:t>
      </w:r>
      <w:r w:rsidRPr="00D24F12">
        <w:rPr>
          <w:b/>
          <w:bCs/>
        </w:rPr>
        <w:t xml:space="preserve"> </w:t>
      </w:r>
      <w:r>
        <w:t>Fells testified that after she heard Price say, “He got more,” she saw Price pointing the gun at Merrill and understood Price was robbing him.  Shortly after that, as Fells was trying to get into the car, she turned and saw Price on the ground although Merrill was not on top of her.  At that point, she did not see where the gun was pointing but heard two shots and saw a flash.  After that she did not see Merrill</w:t>
      </w:r>
      <w:r w:rsidR="00C124C3">
        <w:t>.  H</w:t>
      </w:r>
      <w:r>
        <w:t>e did not get back in the car and she later read in the newspaper that he had died.</w:t>
      </w:r>
    </w:p>
  </w:footnote>
  <w:footnote w:id="4">
    <w:p w14:paraId="2E2D6DD1" w14:textId="7B000F0B" w:rsidR="00EE75B3" w:rsidRDefault="00F255BF" w:rsidP="008658AD">
      <w:pPr>
        <w:pStyle w:val="FootnoteText"/>
        <w:ind w:firstLine="720"/>
      </w:pPr>
      <w:r w:rsidRPr="008658AD">
        <w:rPr>
          <w:rStyle w:val="FootnoteReference"/>
          <w:b/>
          <w:bCs/>
        </w:rPr>
        <w:footnoteRef/>
      </w:r>
      <w:r w:rsidRPr="008658AD">
        <w:rPr>
          <w:b/>
          <w:bCs/>
        </w:rPr>
        <w:t xml:space="preserve">  </w:t>
      </w:r>
      <w:r>
        <w:t>We decline to spell out the n-word.</w:t>
      </w:r>
    </w:p>
  </w:footnote>
  <w:footnote w:id="5">
    <w:p w14:paraId="239E56C8" w14:textId="77777777" w:rsidR="00C124C3" w:rsidRDefault="00F255BF" w:rsidP="00C124C3">
      <w:pPr>
        <w:pStyle w:val="FootnoteText"/>
        <w:ind w:firstLine="720"/>
      </w:pPr>
      <w:r w:rsidRPr="008658AD">
        <w:rPr>
          <w:rStyle w:val="FootnoteReference"/>
          <w:b/>
          <w:bCs/>
        </w:rPr>
        <w:footnoteRef/>
      </w:r>
      <w:r w:rsidRPr="008658AD">
        <w:rPr>
          <w:b/>
          <w:bCs/>
        </w:rPr>
        <w:t xml:space="preserve">  </w:t>
      </w:r>
      <w:r>
        <w:t xml:space="preserve">Price contended not only that the jury’s finding was not supported by substantial evidence but that the instructions to the jury on the special circumstance were erroneous under </w:t>
      </w:r>
      <w:r w:rsidRPr="008658AD">
        <w:rPr>
          <w:i/>
          <w:iCs/>
        </w:rPr>
        <w:t>Banks</w:t>
      </w:r>
      <w:r>
        <w:t xml:space="preserve"> and </w:t>
      </w:r>
      <w:r w:rsidRPr="008658AD">
        <w:rPr>
          <w:i/>
          <w:iCs/>
        </w:rPr>
        <w:t>Clark</w:t>
      </w:r>
      <w:r>
        <w:t>.</w:t>
      </w:r>
    </w:p>
  </w:footnote>
  <w:footnote w:id="6">
    <w:p w14:paraId="19C0B8A0" w14:textId="52B274F1" w:rsidR="00EE75B3" w:rsidRDefault="00F255BF" w:rsidP="00775966">
      <w:pPr>
        <w:pStyle w:val="FootnoteText"/>
        <w:ind w:firstLine="720"/>
      </w:pPr>
      <w:r w:rsidRPr="00775966">
        <w:rPr>
          <w:rStyle w:val="FootnoteReference"/>
          <w:b/>
          <w:bCs/>
        </w:rPr>
        <w:footnoteRef/>
      </w:r>
      <w:r w:rsidRPr="00775966">
        <w:rPr>
          <w:b/>
          <w:bCs/>
        </w:rPr>
        <w:t xml:space="preserve"> </w:t>
      </w:r>
      <w:r>
        <w:t xml:space="preserve"> We stated that the evidence showed Price was a major participant in the felony murder but did not rely on that finding or reach the third alternative basis for a special circumstance finding of major participant and reckless indifference to human life, believing it unnecessary to reach the issue given our ruling on the first and second alternatives.  Insofar as they argue we previously decided the major participant </w:t>
      </w:r>
      <w:r w:rsidRPr="00775966">
        <w:rPr>
          <w:i/>
          <w:iCs/>
        </w:rPr>
        <w:t>and</w:t>
      </w:r>
      <w:r>
        <w:t xml:space="preserve"> reckless </w:t>
      </w:r>
      <w:r w:rsidR="006450A8">
        <w:t>indifference</w:t>
      </w:r>
      <w:r>
        <w:t xml:space="preserve"> issues, the People read too much into our prior opinion.  We did not address reckless </w:t>
      </w:r>
      <w:r w:rsidR="00C124C3">
        <w:t>indifference</w:t>
      </w:r>
      <w:r>
        <w:t xml:space="preserve"> at all, and our discussion of major participation was abbreviated.  (</w:t>
      </w:r>
      <w:r w:rsidRPr="00775966">
        <w:rPr>
          <w:i/>
          <w:iCs/>
        </w:rPr>
        <w:t>Price I</w:t>
      </w:r>
      <w:r>
        <w:t xml:space="preserve">, </w:t>
      </w:r>
      <w:r>
        <w:rPr>
          <w:i/>
          <w:iCs/>
        </w:rPr>
        <w:t xml:space="preserve">supra, </w:t>
      </w:r>
      <w:r>
        <w:t>8 Cal.App.5th at pp. 453-454 &amp; fn. 22.)</w:t>
      </w:r>
    </w:p>
  </w:footnote>
  <w:footnote w:id="7">
    <w:p w14:paraId="29803FD5" w14:textId="43930650" w:rsidR="00EE75B3" w:rsidRDefault="00F255BF" w:rsidP="00FE6A57">
      <w:pPr>
        <w:pStyle w:val="FootnoteText"/>
        <w:spacing w:after="120"/>
        <w:ind w:firstLine="720"/>
      </w:pPr>
      <w:r w:rsidRPr="008658AD">
        <w:rPr>
          <w:rStyle w:val="FootnoteReference"/>
          <w:b/>
          <w:bCs/>
        </w:rPr>
        <w:footnoteRef/>
      </w:r>
      <w:r w:rsidRPr="008658AD">
        <w:rPr>
          <w:b/>
          <w:bCs/>
        </w:rPr>
        <w:t xml:space="preserve"> </w:t>
      </w:r>
      <w:r>
        <w:t xml:space="preserve"> </w:t>
      </w:r>
      <w:r>
        <w:rPr>
          <w:i/>
          <w:iCs/>
        </w:rPr>
        <w:t>Moore, supra,</w:t>
      </w:r>
      <w:r w:rsidRPr="006E7922">
        <w:t xml:space="preserve"> </w:t>
      </w:r>
      <w:r>
        <w:t>68 Cal.App.5</w:t>
      </w:r>
      <w:r w:rsidRPr="0091741B">
        <w:t xml:space="preserve">th </w:t>
      </w:r>
      <w:r>
        <w:t xml:space="preserve">at p. 450, </w:t>
      </w:r>
      <w:r w:rsidRPr="006E7922">
        <w:t xml:space="preserve">citing </w:t>
      </w:r>
      <w:r w:rsidRPr="006E7922">
        <w:rPr>
          <w:i/>
          <w:iCs/>
        </w:rPr>
        <w:t>In re Taylor</w:t>
      </w:r>
      <w:r w:rsidRPr="006E7922">
        <w:t xml:space="preserve"> (2019) 34</w:t>
      </w:r>
      <w:r>
        <w:t> </w:t>
      </w:r>
      <w:r w:rsidRPr="006E7922">
        <w:t>Cal.App.5th 543</w:t>
      </w:r>
      <w:r>
        <w:t xml:space="preserve"> (</w:t>
      </w:r>
      <w:r w:rsidRPr="004C4BAF">
        <w:rPr>
          <w:i/>
          <w:iCs/>
        </w:rPr>
        <w:t>Taylor</w:t>
      </w:r>
      <w:r>
        <w:t>)</w:t>
      </w:r>
      <w:r w:rsidR="0059307F">
        <w:t>,</w:t>
      </w:r>
      <w:r w:rsidRPr="006E7922">
        <w:t xml:space="preserve"> </w:t>
      </w:r>
      <w:r w:rsidRPr="006E7922">
        <w:rPr>
          <w:i/>
          <w:iCs/>
        </w:rPr>
        <w:t>In re Ramirez</w:t>
      </w:r>
      <w:r w:rsidRPr="006E7922">
        <w:t xml:space="preserve"> (2019) 32 Cal.App.5th 384,</w:t>
      </w:r>
      <w:r>
        <w:t xml:space="preserve"> 404-406 (</w:t>
      </w:r>
      <w:r w:rsidRPr="004C4BAF">
        <w:rPr>
          <w:i/>
          <w:iCs/>
        </w:rPr>
        <w:t>Ramirez</w:t>
      </w:r>
      <w:r>
        <w:t>)</w:t>
      </w:r>
      <w:r w:rsidR="0059307F">
        <w:t>,</w:t>
      </w:r>
      <w:r w:rsidRPr="006E7922">
        <w:t xml:space="preserve"> </w:t>
      </w:r>
      <w:r w:rsidRPr="006E7922">
        <w:rPr>
          <w:i/>
          <w:iCs/>
        </w:rPr>
        <w:t>In re Bennett</w:t>
      </w:r>
      <w:r w:rsidRPr="006E7922">
        <w:t xml:space="preserve"> (2018) 26 Cal.App.5t</w:t>
      </w:r>
      <w:r>
        <w:t>h</w:t>
      </w:r>
      <w:r w:rsidRPr="006E7922">
        <w:t xml:space="preserve"> 1002,</w:t>
      </w:r>
      <w:r>
        <w:t xml:space="preserve"> 1018-1027 (</w:t>
      </w:r>
      <w:r w:rsidRPr="004C4BAF">
        <w:rPr>
          <w:i/>
          <w:iCs/>
        </w:rPr>
        <w:t>Bennet</w:t>
      </w:r>
      <w:r>
        <w:rPr>
          <w:i/>
          <w:iCs/>
        </w:rPr>
        <w:t>t</w:t>
      </w:r>
      <w:r>
        <w:t>)</w:t>
      </w:r>
      <w:r w:rsidR="0059307F">
        <w:t>,</w:t>
      </w:r>
      <w:r w:rsidRPr="006E7922">
        <w:t xml:space="preserve"> </w:t>
      </w:r>
      <w:r w:rsidRPr="006E7922">
        <w:rPr>
          <w:i/>
          <w:iCs/>
        </w:rPr>
        <w:t>In re Miller</w:t>
      </w:r>
      <w:r w:rsidRPr="006E7922">
        <w:t xml:space="preserve"> (2017)</w:t>
      </w:r>
      <w:r>
        <w:t xml:space="preserve"> </w:t>
      </w:r>
      <w:r w:rsidRPr="006E7922">
        <w:t>14 Cal.App.5th 960</w:t>
      </w:r>
      <w:r>
        <w:t>, 966-967, 974-980 (</w:t>
      </w:r>
      <w:r w:rsidRPr="004C4BAF">
        <w:rPr>
          <w:i/>
          <w:iCs/>
        </w:rPr>
        <w:t>Miller</w:t>
      </w:r>
      <w:r>
        <w:t>)</w:t>
      </w:r>
      <w:r w:rsidR="00B85AF6">
        <w:t xml:space="preserve">; see </w:t>
      </w:r>
      <w:r w:rsidR="00B85AF6" w:rsidRPr="00B85AF6">
        <w:rPr>
          <w:i/>
          <w:iCs/>
        </w:rPr>
        <w:t>Taylor</w:t>
      </w:r>
      <w:r w:rsidR="00B85AF6">
        <w:t>, at pp. 557-562</w:t>
      </w:r>
      <w:r>
        <w:t xml:space="preserve">.  </w:t>
      </w:r>
      <w:r>
        <w:rPr>
          <w:shd w:val="clear" w:color="auto" w:fill="FFFFFF"/>
        </w:rPr>
        <w:t xml:space="preserve">Unlike here, the evidence in these cases did not indicate the habeas petitioners were the actual killers or that they aided and abetted the murder with intent to kill.  (See </w:t>
      </w:r>
      <w:r w:rsidRPr="007257D3">
        <w:rPr>
          <w:i/>
          <w:iCs/>
          <w:shd w:val="clear" w:color="auto" w:fill="FFFFFF"/>
        </w:rPr>
        <w:t>Moore</w:t>
      </w:r>
      <w:r>
        <w:rPr>
          <w:shd w:val="clear" w:color="auto" w:fill="FFFFFF"/>
        </w:rPr>
        <w:t xml:space="preserve">, at p. 445 &amp; </w:t>
      </w:r>
      <w:r w:rsidR="00BC2650">
        <w:rPr>
          <w:shd w:val="clear" w:color="auto" w:fill="FFFFFF"/>
        </w:rPr>
        <w:t>f</w:t>
      </w:r>
      <w:r>
        <w:rPr>
          <w:shd w:val="clear" w:color="auto" w:fill="FFFFFF"/>
        </w:rPr>
        <w:t xml:space="preserve">n. 6 [petitioner not actual killer]; </w:t>
      </w:r>
      <w:r w:rsidRPr="007257D3">
        <w:rPr>
          <w:i/>
          <w:iCs/>
          <w:shd w:val="clear" w:color="auto" w:fill="FFFFFF"/>
        </w:rPr>
        <w:t>Taylor</w:t>
      </w:r>
      <w:r>
        <w:rPr>
          <w:shd w:val="clear" w:color="auto" w:fill="FFFFFF"/>
        </w:rPr>
        <w:t xml:space="preserve">, at p. 551 [petitioner aided and abetted felony but was not actual killer and did not have intent to kill]; </w:t>
      </w:r>
      <w:r w:rsidRPr="007257D3">
        <w:rPr>
          <w:i/>
          <w:iCs/>
          <w:shd w:val="clear" w:color="auto" w:fill="FFFFFF"/>
        </w:rPr>
        <w:t>Ramirez</w:t>
      </w:r>
      <w:r>
        <w:rPr>
          <w:shd w:val="clear" w:color="auto" w:fill="FFFFFF"/>
        </w:rPr>
        <w:t>, at pp. 393, 405-406 [petitioner aided and abetted felony but was not actual killer; no evidence he harbored willingness to kill</w:t>
      </w:r>
      <w:r w:rsidR="00E2725A">
        <w:rPr>
          <w:shd w:val="clear" w:color="auto" w:fill="FFFFFF"/>
        </w:rPr>
        <w:t>]</w:t>
      </w:r>
      <w:r>
        <w:rPr>
          <w:shd w:val="clear" w:color="auto" w:fill="FFFFFF"/>
        </w:rPr>
        <w:t xml:space="preserve">; </w:t>
      </w:r>
      <w:r w:rsidRPr="007257D3">
        <w:rPr>
          <w:i/>
          <w:iCs/>
          <w:shd w:val="clear" w:color="auto" w:fill="FFFFFF"/>
        </w:rPr>
        <w:t>Bennett</w:t>
      </w:r>
      <w:r>
        <w:rPr>
          <w:shd w:val="clear" w:color="auto" w:fill="FFFFFF"/>
        </w:rPr>
        <w:t xml:space="preserve">, at p. 1008 [petitioner not one of shooters and was tried on theory he was major participant who acted with reckless indifference to human life]; </w:t>
      </w:r>
      <w:r w:rsidRPr="008658AD">
        <w:rPr>
          <w:i/>
          <w:iCs/>
          <w:shd w:val="clear" w:color="auto" w:fill="FFFFFF"/>
        </w:rPr>
        <w:t>Miller</w:t>
      </w:r>
      <w:r>
        <w:rPr>
          <w:shd w:val="clear" w:color="auto" w:fill="FFFFFF"/>
        </w:rPr>
        <w:t>, at pp.</w:t>
      </w:r>
      <w:r w:rsidR="00CD77FF">
        <w:rPr>
          <w:shd w:val="clear" w:color="auto" w:fill="FFFFFF"/>
        </w:rPr>
        <w:t> </w:t>
      </w:r>
      <w:r>
        <w:rPr>
          <w:shd w:val="clear" w:color="auto" w:fill="FFFFFF"/>
        </w:rPr>
        <w:t>966-967 [petitioner not present at scene of crime and no evidence he knew lethal force was probable].)</w:t>
      </w:r>
    </w:p>
  </w:footnote>
  <w:footnote w:id="8">
    <w:p w14:paraId="5409906B" w14:textId="31E82750" w:rsidR="00EE75B3" w:rsidRDefault="00F255BF" w:rsidP="008658AD">
      <w:pPr>
        <w:pStyle w:val="FootnoteText"/>
        <w:ind w:firstLine="720"/>
      </w:pPr>
      <w:r w:rsidRPr="008658AD">
        <w:rPr>
          <w:rStyle w:val="FootnoteReference"/>
          <w:b/>
          <w:bCs/>
        </w:rPr>
        <w:footnoteRef/>
      </w:r>
      <w:r>
        <w:t xml:space="preserve">  In </w:t>
      </w:r>
      <w:r w:rsidRPr="008658AD">
        <w:rPr>
          <w:i/>
          <w:iCs/>
        </w:rPr>
        <w:t>Scoggins</w:t>
      </w:r>
      <w:r>
        <w:t>, too, the petitioner’s confederates, not petitioner, killed the victim and there was no evidence petitioner knew or intended that lethal force would be used.  (</w:t>
      </w:r>
      <w:r w:rsidRPr="008658AD">
        <w:rPr>
          <w:i/>
          <w:iCs/>
        </w:rPr>
        <w:t>Scoggins</w:t>
      </w:r>
      <w:r>
        <w:t>,</w:t>
      </w:r>
      <w:r>
        <w:rPr>
          <w:i/>
          <w:iCs/>
        </w:rPr>
        <w:t xml:space="preserve"> supra, </w:t>
      </w:r>
      <w:r>
        <w:t>9 Cal.5</w:t>
      </w:r>
      <w:r w:rsidRPr="00FE6A57">
        <w:t xml:space="preserve">th </w:t>
      </w:r>
      <w:r>
        <w:t>at p. 681.)</w:t>
      </w:r>
    </w:p>
  </w:footnote>
  <w:footnote w:id="9">
    <w:p w14:paraId="650CFB4F" w14:textId="4AE33E71" w:rsidR="00EE75B3" w:rsidRPr="00E77E25" w:rsidRDefault="00F255BF" w:rsidP="00E77E25">
      <w:pPr>
        <w:pStyle w:val="FootnoteText"/>
        <w:ind w:firstLine="720"/>
        <w:rPr>
          <w:b/>
          <w:bCs/>
        </w:rPr>
      </w:pPr>
      <w:r w:rsidRPr="00E77E25">
        <w:rPr>
          <w:rStyle w:val="FootnoteReference"/>
          <w:b/>
          <w:bCs/>
        </w:rPr>
        <w:footnoteRef/>
      </w:r>
      <w:r w:rsidRPr="00E77E25">
        <w:rPr>
          <w:b/>
          <w:bCs/>
        </w:rPr>
        <w:t xml:space="preserve"> </w:t>
      </w:r>
      <w:r w:rsidR="00CD77FF">
        <w:rPr>
          <w:b/>
          <w:bCs/>
        </w:rPr>
        <w:t xml:space="preserve"> </w:t>
      </w:r>
      <w:r>
        <w:rPr>
          <w:rFonts w:eastAsia="Times New Roman"/>
          <w:color w:val="000000"/>
        </w:rPr>
        <w:t xml:space="preserve">E.g., </w:t>
      </w:r>
      <w:r w:rsidRPr="0055240E">
        <w:rPr>
          <w:rFonts w:eastAsia="Times New Roman"/>
          <w:i/>
          <w:iCs/>
          <w:color w:val="000000"/>
        </w:rPr>
        <w:t>People v. Smith</w:t>
      </w:r>
      <w:r>
        <w:rPr>
          <w:rFonts w:eastAsia="Times New Roman"/>
          <w:color w:val="000000"/>
        </w:rPr>
        <w:t xml:space="preserve"> (2020) 49 </w:t>
      </w:r>
      <w:r w:rsidRPr="005571DA">
        <w:rPr>
          <w:rFonts w:eastAsia="Times New Roman"/>
          <w:color w:val="000000"/>
        </w:rPr>
        <w:t xml:space="preserve">Cal.App.5th </w:t>
      </w:r>
      <w:r>
        <w:rPr>
          <w:rFonts w:eastAsia="Times New Roman"/>
          <w:color w:val="000000"/>
        </w:rPr>
        <w:t xml:space="preserve">85, 95, </w:t>
      </w:r>
      <w:r w:rsidRPr="00775B96">
        <w:rPr>
          <w:rFonts w:eastAsia="Times New Roman"/>
          <w:color w:val="000000"/>
        </w:rPr>
        <w:t>rev</w:t>
      </w:r>
      <w:r w:rsidR="00416C19">
        <w:rPr>
          <w:rFonts w:eastAsia="Times New Roman"/>
          <w:color w:val="000000"/>
        </w:rPr>
        <w:t>.</w:t>
      </w:r>
      <w:r w:rsidRPr="00775B96">
        <w:rPr>
          <w:rFonts w:eastAsia="Times New Roman"/>
          <w:color w:val="000000"/>
        </w:rPr>
        <w:t xml:space="preserve"> granted </w:t>
      </w:r>
      <w:r>
        <w:rPr>
          <w:rFonts w:eastAsia="Times New Roman"/>
          <w:color w:val="000000"/>
        </w:rPr>
        <w:t>Jul</w:t>
      </w:r>
      <w:r w:rsidR="00416C19">
        <w:rPr>
          <w:rFonts w:eastAsia="Times New Roman"/>
          <w:color w:val="000000"/>
        </w:rPr>
        <w:t>y </w:t>
      </w:r>
      <w:r>
        <w:rPr>
          <w:rFonts w:eastAsia="Times New Roman"/>
          <w:color w:val="000000"/>
        </w:rPr>
        <w:t>22, 2020</w:t>
      </w:r>
      <w:r w:rsidR="00416C19">
        <w:rPr>
          <w:rFonts w:eastAsia="Times New Roman"/>
          <w:color w:val="000000"/>
        </w:rPr>
        <w:t>, S262835</w:t>
      </w:r>
      <w:r>
        <w:rPr>
          <w:rFonts w:eastAsia="Times New Roman"/>
          <w:color w:val="000000"/>
        </w:rPr>
        <w:t xml:space="preserve">; </w:t>
      </w:r>
      <w:r w:rsidRPr="0089619D">
        <w:rPr>
          <w:rFonts w:eastAsia="Times New Roman"/>
          <w:i/>
          <w:iCs/>
          <w:color w:val="000000"/>
        </w:rPr>
        <w:t>People v. York</w:t>
      </w:r>
      <w:r>
        <w:rPr>
          <w:rFonts w:eastAsia="Times New Roman"/>
          <w:color w:val="000000"/>
        </w:rPr>
        <w:t xml:space="preserve"> (2020) 54 Cal.App.5th 250, 258-261, rev</w:t>
      </w:r>
      <w:r w:rsidR="00416C19">
        <w:rPr>
          <w:rFonts w:eastAsia="Times New Roman"/>
          <w:color w:val="000000"/>
        </w:rPr>
        <w:t>.</w:t>
      </w:r>
      <w:r>
        <w:rPr>
          <w:rFonts w:eastAsia="Times New Roman"/>
          <w:color w:val="000000"/>
        </w:rPr>
        <w:t xml:space="preserve"> granted Nov. 18, 2020, S264954; </w:t>
      </w:r>
      <w:r w:rsidRPr="00D86674">
        <w:rPr>
          <w:rFonts w:eastAsia="Times New Roman"/>
          <w:i/>
          <w:iCs/>
          <w:color w:val="000000"/>
        </w:rPr>
        <w:t>People v. Torres</w:t>
      </w:r>
      <w:r>
        <w:rPr>
          <w:rFonts w:eastAsia="Times New Roman"/>
          <w:color w:val="000000"/>
        </w:rPr>
        <w:t xml:space="preserve"> (2020) 46 </w:t>
      </w:r>
      <w:r w:rsidRPr="004B4AEA">
        <w:rPr>
          <w:rFonts w:eastAsia="Times New Roman"/>
          <w:color w:val="000000"/>
        </w:rPr>
        <w:t xml:space="preserve">Cal.App.5th </w:t>
      </w:r>
      <w:r>
        <w:rPr>
          <w:rFonts w:eastAsia="Times New Roman"/>
          <w:color w:val="000000"/>
        </w:rPr>
        <w:t>1168, rev</w:t>
      </w:r>
      <w:r w:rsidR="00416C19">
        <w:rPr>
          <w:rFonts w:eastAsia="Times New Roman"/>
          <w:color w:val="000000"/>
        </w:rPr>
        <w:t>.</w:t>
      </w:r>
      <w:r>
        <w:rPr>
          <w:rFonts w:eastAsia="Times New Roman"/>
          <w:color w:val="000000"/>
        </w:rPr>
        <w:t xml:space="preserve"> granted June 24, 2020</w:t>
      </w:r>
      <w:r w:rsidR="00416C19">
        <w:rPr>
          <w:rFonts w:eastAsia="Times New Roman"/>
          <w:color w:val="000000"/>
        </w:rPr>
        <w:t>, S262011</w:t>
      </w:r>
      <w:r>
        <w:rPr>
          <w:rFonts w:eastAsia="Times New Roman"/>
          <w:color w:val="000000"/>
        </w:rPr>
        <w:t xml:space="preserve">.  See also </w:t>
      </w:r>
      <w:r>
        <w:rPr>
          <w:rFonts w:eastAsia="Times New Roman"/>
          <w:i/>
          <w:iCs/>
          <w:color w:val="000000"/>
        </w:rPr>
        <w:t>People v. Harris</w:t>
      </w:r>
      <w:r w:rsidR="00416C19">
        <w:rPr>
          <w:rFonts w:eastAsia="Times New Roman"/>
          <w:i/>
          <w:iCs/>
          <w:color w:val="000000"/>
        </w:rPr>
        <w:t>, supra,</w:t>
      </w:r>
      <w:r>
        <w:rPr>
          <w:rFonts w:eastAsia="Times New Roman"/>
          <w:color w:val="000000"/>
        </w:rPr>
        <w:t xml:space="preserve"> 60 </w:t>
      </w:r>
      <w:r w:rsidRPr="0055240E">
        <w:rPr>
          <w:rFonts w:eastAsia="Times New Roman"/>
          <w:color w:val="000000"/>
        </w:rPr>
        <w:t xml:space="preserve">Cal.App.5th </w:t>
      </w:r>
      <w:r w:rsidR="00416C19">
        <w:rPr>
          <w:rFonts w:eastAsia="Times New Roman"/>
          <w:color w:val="000000"/>
        </w:rPr>
        <w:t xml:space="preserve">at pp. </w:t>
      </w:r>
      <w:r>
        <w:rPr>
          <w:rFonts w:eastAsia="Times New Roman"/>
          <w:color w:val="000000"/>
        </w:rPr>
        <w:t xml:space="preserve">959-960 </w:t>
      </w:r>
      <w:r w:rsidR="00416C19">
        <w:rPr>
          <w:rFonts w:eastAsia="Times New Roman"/>
          <w:color w:val="000000"/>
        </w:rPr>
        <w:t>(</w:t>
      </w:r>
      <w:r>
        <w:rPr>
          <w:rFonts w:eastAsia="Times New Roman"/>
          <w:color w:val="000000"/>
        </w:rPr>
        <w:t>pre-</w:t>
      </w:r>
      <w:r w:rsidRPr="00846C95">
        <w:rPr>
          <w:rFonts w:eastAsia="Times New Roman"/>
          <w:i/>
          <w:iCs/>
          <w:color w:val="000000"/>
        </w:rPr>
        <w:t>Banks</w:t>
      </w:r>
      <w:r>
        <w:rPr>
          <w:rFonts w:eastAsia="Times New Roman"/>
          <w:color w:val="000000"/>
        </w:rPr>
        <w:t xml:space="preserve"> and </w:t>
      </w:r>
      <w:r w:rsidRPr="00846C95">
        <w:rPr>
          <w:rFonts w:eastAsia="Times New Roman"/>
          <w:i/>
          <w:iCs/>
          <w:color w:val="000000"/>
        </w:rPr>
        <w:t>Clark</w:t>
      </w:r>
      <w:r>
        <w:rPr>
          <w:rFonts w:eastAsia="Times New Roman"/>
          <w:color w:val="000000"/>
        </w:rPr>
        <w:t xml:space="preserve"> true finding on felony-murder special circumstance did not render petitioner ineligible as matter of law; where some </w:t>
      </w:r>
      <w:r w:rsidRPr="00846C95">
        <w:rPr>
          <w:rFonts w:eastAsia="Times New Roman"/>
          <w:i/>
          <w:iCs/>
          <w:color w:val="000000"/>
        </w:rPr>
        <w:t>Banks</w:t>
      </w:r>
      <w:r>
        <w:rPr>
          <w:rFonts w:eastAsia="Times New Roman"/>
          <w:color w:val="000000"/>
        </w:rPr>
        <w:t xml:space="preserve"> and </w:t>
      </w:r>
      <w:r w:rsidRPr="00846C95">
        <w:rPr>
          <w:rFonts w:eastAsia="Times New Roman"/>
          <w:i/>
          <w:iCs/>
          <w:color w:val="000000"/>
        </w:rPr>
        <w:t>Clark</w:t>
      </w:r>
      <w:r>
        <w:rPr>
          <w:rFonts w:eastAsia="Times New Roman"/>
          <w:color w:val="000000"/>
        </w:rPr>
        <w:t xml:space="preserve"> factors were disputed and not clearly resolved by jury, evidentiary hearing was required</w:t>
      </w:r>
      <w:r w:rsidR="00416C19">
        <w:rPr>
          <w:rFonts w:eastAsia="Times New Roman"/>
          <w:color w:val="000000"/>
        </w:rPr>
        <w:t>)</w:t>
      </w:r>
      <w:r>
        <w:rPr>
          <w:rFonts w:eastAsia="Times New Roman"/>
          <w:color w:val="000000"/>
        </w:rPr>
        <w:t>, rev</w:t>
      </w:r>
      <w:r w:rsidR="00416C19">
        <w:rPr>
          <w:rFonts w:eastAsia="Times New Roman"/>
          <w:color w:val="000000"/>
        </w:rPr>
        <w:t>.</w:t>
      </w:r>
      <w:r>
        <w:rPr>
          <w:rFonts w:eastAsia="Times New Roman"/>
          <w:color w:val="000000"/>
        </w:rPr>
        <w:t xml:space="preserve"> gr.</w:t>
      </w:r>
    </w:p>
  </w:footnote>
  <w:footnote w:id="10">
    <w:p w14:paraId="175EADA6" w14:textId="62E47530" w:rsidR="00EE75B3" w:rsidRPr="00E77E25" w:rsidRDefault="00F255BF" w:rsidP="00CD77FF">
      <w:pPr>
        <w:pStyle w:val="FootnoteText"/>
        <w:spacing w:after="120"/>
        <w:ind w:firstLine="720"/>
        <w:rPr>
          <w:b/>
          <w:bCs/>
        </w:rPr>
      </w:pPr>
      <w:r w:rsidRPr="00E77E25">
        <w:rPr>
          <w:rStyle w:val="FootnoteReference"/>
          <w:b/>
          <w:bCs/>
        </w:rPr>
        <w:footnoteRef/>
      </w:r>
      <w:r w:rsidRPr="00E77E25">
        <w:rPr>
          <w:b/>
          <w:bCs/>
        </w:rPr>
        <w:t xml:space="preserve"> </w:t>
      </w:r>
      <w:r>
        <w:rPr>
          <w:b/>
          <w:bCs/>
        </w:rPr>
        <w:t xml:space="preserve"> </w:t>
      </w:r>
      <w:r w:rsidRPr="00775B96">
        <w:rPr>
          <w:rFonts w:eastAsia="Times New Roman"/>
          <w:i/>
          <w:iCs/>
          <w:color w:val="000000"/>
        </w:rPr>
        <w:t>People v. Gomez</w:t>
      </w:r>
      <w:r>
        <w:rPr>
          <w:rFonts w:eastAsia="Times New Roman"/>
          <w:color w:val="000000"/>
        </w:rPr>
        <w:t xml:space="preserve"> (2020) 52 </w:t>
      </w:r>
      <w:r w:rsidRPr="00775B96">
        <w:rPr>
          <w:rFonts w:eastAsia="Times New Roman"/>
          <w:color w:val="000000"/>
        </w:rPr>
        <w:t xml:space="preserve">Cal.App.5th </w:t>
      </w:r>
      <w:r>
        <w:rPr>
          <w:rFonts w:eastAsia="Times New Roman"/>
          <w:color w:val="000000"/>
        </w:rPr>
        <w:t>1, 16-17</w:t>
      </w:r>
      <w:r w:rsidR="00AD1BDE">
        <w:rPr>
          <w:rFonts w:eastAsia="Times New Roman"/>
          <w:color w:val="000000"/>
        </w:rPr>
        <w:t xml:space="preserve"> (</w:t>
      </w:r>
      <w:r w:rsidR="00AD1BDE" w:rsidRPr="00C37286">
        <w:rPr>
          <w:rFonts w:eastAsia="Times New Roman"/>
          <w:i/>
          <w:iCs/>
          <w:color w:val="000000"/>
        </w:rPr>
        <w:t>Gomez</w:t>
      </w:r>
      <w:r w:rsidR="00AD1BDE">
        <w:rPr>
          <w:rFonts w:eastAsia="Times New Roman"/>
          <w:color w:val="000000"/>
        </w:rPr>
        <w:t>)</w:t>
      </w:r>
      <w:r>
        <w:rPr>
          <w:rFonts w:eastAsia="Times New Roman"/>
          <w:color w:val="000000"/>
        </w:rPr>
        <w:t>, r</w:t>
      </w:r>
      <w:r w:rsidRPr="001F60B6">
        <w:rPr>
          <w:rFonts w:eastAsia="Times New Roman"/>
          <w:color w:val="000000"/>
        </w:rPr>
        <w:t>ev</w:t>
      </w:r>
      <w:r w:rsidR="00AD1BDE">
        <w:rPr>
          <w:rFonts w:eastAsia="Times New Roman"/>
          <w:color w:val="000000"/>
        </w:rPr>
        <w:t>.</w:t>
      </w:r>
      <w:r w:rsidRPr="001F60B6">
        <w:rPr>
          <w:rFonts w:eastAsia="Times New Roman"/>
          <w:color w:val="000000"/>
        </w:rPr>
        <w:t xml:space="preserve"> granted Oct. 14, 2020, S264033;</w:t>
      </w:r>
      <w:r>
        <w:rPr>
          <w:rFonts w:eastAsia="Times New Roman"/>
          <w:color w:val="000000"/>
        </w:rPr>
        <w:t xml:space="preserve"> </w:t>
      </w:r>
      <w:r w:rsidRPr="001F60B6">
        <w:rPr>
          <w:rFonts w:eastAsia="Times New Roman"/>
          <w:i/>
          <w:iCs/>
          <w:color w:val="000000"/>
        </w:rPr>
        <w:t>People v. Galvan</w:t>
      </w:r>
      <w:r>
        <w:rPr>
          <w:rFonts w:eastAsia="Times New Roman"/>
          <w:color w:val="000000"/>
        </w:rPr>
        <w:t xml:space="preserve"> (2020) 52 </w:t>
      </w:r>
      <w:r w:rsidRPr="001F60B6">
        <w:rPr>
          <w:rFonts w:eastAsia="Times New Roman"/>
          <w:color w:val="000000"/>
        </w:rPr>
        <w:t xml:space="preserve">Cal.App.5th </w:t>
      </w:r>
      <w:r>
        <w:rPr>
          <w:rFonts w:eastAsia="Times New Roman"/>
          <w:color w:val="000000"/>
        </w:rPr>
        <w:t>1134, 1142-1143</w:t>
      </w:r>
      <w:r w:rsidR="00AD1BDE">
        <w:rPr>
          <w:rFonts w:eastAsia="Times New Roman"/>
          <w:color w:val="000000"/>
        </w:rPr>
        <w:t xml:space="preserve"> (</w:t>
      </w:r>
      <w:r w:rsidR="00AD1BDE" w:rsidRPr="00C37286">
        <w:rPr>
          <w:rFonts w:eastAsia="Times New Roman"/>
          <w:i/>
          <w:iCs/>
          <w:color w:val="000000"/>
        </w:rPr>
        <w:t>Galvan</w:t>
      </w:r>
      <w:r w:rsidR="00AD1BDE">
        <w:rPr>
          <w:rFonts w:eastAsia="Times New Roman"/>
          <w:color w:val="000000"/>
        </w:rPr>
        <w:t>)</w:t>
      </w:r>
      <w:r>
        <w:rPr>
          <w:rFonts w:eastAsia="Times New Roman"/>
          <w:color w:val="000000"/>
        </w:rPr>
        <w:t xml:space="preserve">, </w:t>
      </w:r>
      <w:r w:rsidRPr="001F60B6">
        <w:rPr>
          <w:rFonts w:eastAsia="Times New Roman"/>
          <w:color w:val="000000"/>
        </w:rPr>
        <w:t>rev</w:t>
      </w:r>
      <w:r w:rsidR="00AD1BDE">
        <w:rPr>
          <w:rFonts w:eastAsia="Times New Roman"/>
          <w:color w:val="000000"/>
        </w:rPr>
        <w:t>.</w:t>
      </w:r>
      <w:r w:rsidRPr="001F60B6">
        <w:rPr>
          <w:rFonts w:eastAsia="Times New Roman"/>
          <w:color w:val="000000"/>
        </w:rPr>
        <w:t xml:space="preserve"> granted Oct. 14, 2020, S264284</w:t>
      </w:r>
      <w:r>
        <w:rPr>
          <w:rFonts w:eastAsia="Times New Roman"/>
          <w:color w:val="000000"/>
        </w:rPr>
        <w:t xml:space="preserve">; </w:t>
      </w:r>
      <w:r w:rsidRPr="00AC6C22">
        <w:rPr>
          <w:rFonts w:eastAsia="Times New Roman"/>
          <w:i/>
          <w:iCs/>
          <w:color w:val="000000"/>
        </w:rPr>
        <w:t>People v. Allison</w:t>
      </w:r>
      <w:r>
        <w:rPr>
          <w:rFonts w:eastAsia="Times New Roman"/>
          <w:color w:val="000000"/>
        </w:rPr>
        <w:t xml:space="preserve"> (2020) 55</w:t>
      </w:r>
      <w:r w:rsidR="00AD1BDE">
        <w:rPr>
          <w:rFonts w:eastAsia="Times New Roman"/>
          <w:color w:val="000000"/>
        </w:rPr>
        <w:t> </w:t>
      </w:r>
      <w:r>
        <w:rPr>
          <w:rFonts w:eastAsia="Times New Roman"/>
          <w:color w:val="000000"/>
        </w:rPr>
        <w:t>Cal.App.5th 449, 457-461 (</w:t>
      </w:r>
      <w:r w:rsidRPr="00E40A1D">
        <w:rPr>
          <w:rFonts w:eastAsia="Times New Roman"/>
          <w:i/>
          <w:iCs/>
          <w:color w:val="000000"/>
        </w:rPr>
        <w:t>Allison</w:t>
      </w:r>
      <w:r>
        <w:rPr>
          <w:rFonts w:eastAsia="Times New Roman"/>
          <w:color w:val="000000"/>
        </w:rPr>
        <w:t xml:space="preserve">); </w:t>
      </w:r>
      <w:r w:rsidRPr="00210D8F">
        <w:rPr>
          <w:rFonts w:eastAsia="Times New Roman"/>
          <w:i/>
          <w:iCs/>
          <w:color w:val="000000"/>
        </w:rPr>
        <w:t>People v. Jones</w:t>
      </w:r>
      <w:r>
        <w:rPr>
          <w:rFonts w:eastAsia="Times New Roman"/>
          <w:color w:val="000000"/>
        </w:rPr>
        <w:t xml:space="preserve"> (2020) 56</w:t>
      </w:r>
      <w:r w:rsidR="009C5FFC">
        <w:rPr>
          <w:rFonts w:eastAsia="Times New Roman"/>
          <w:color w:val="000000"/>
        </w:rPr>
        <w:t> </w:t>
      </w:r>
      <w:r>
        <w:rPr>
          <w:rFonts w:eastAsia="Times New Roman"/>
          <w:color w:val="000000"/>
        </w:rPr>
        <w:t>Cal.App.5th 474, 479 (</w:t>
      </w:r>
      <w:r w:rsidRPr="00AD1BDE">
        <w:rPr>
          <w:rFonts w:eastAsia="Times New Roman"/>
          <w:i/>
          <w:iCs/>
          <w:color w:val="000000"/>
        </w:rPr>
        <w:t>Jones</w:t>
      </w:r>
      <w:r>
        <w:rPr>
          <w:rFonts w:eastAsia="Times New Roman"/>
          <w:color w:val="000000"/>
        </w:rPr>
        <w:t>)</w:t>
      </w:r>
      <w:r w:rsidR="009C5FFC">
        <w:rPr>
          <w:rFonts w:eastAsia="Times New Roman"/>
          <w:color w:val="000000"/>
        </w:rPr>
        <w:t>, rev. granted Jan. 27, 2021, S265854</w:t>
      </w:r>
      <w:r>
        <w:rPr>
          <w:rFonts w:eastAsia="Times New Roman"/>
          <w:color w:val="000000"/>
        </w:rPr>
        <w:t xml:space="preserve">; </w:t>
      </w:r>
      <w:r w:rsidRPr="00310FFC">
        <w:rPr>
          <w:rFonts w:eastAsia="Times New Roman"/>
          <w:i/>
          <w:iCs/>
          <w:color w:val="000000"/>
        </w:rPr>
        <w:t>People v. Nunez</w:t>
      </w:r>
      <w:r>
        <w:rPr>
          <w:rFonts w:eastAsia="Times New Roman"/>
          <w:color w:val="000000"/>
        </w:rPr>
        <w:t xml:space="preserve"> (2020) 5</w:t>
      </w:r>
      <w:r w:rsidR="00AD1BDE">
        <w:rPr>
          <w:rFonts w:eastAsia="Times New Roman"/>
          <w:color w:val="000000"/>
        </w:rPr>
        <w:t>7</w:t>
      </w:r>
      <w:r>
        <w:rPr>
          <w:rFonts w:eastAsia="Times New Roman"/>
          <w:color w:val="000000"/>
        </w:rPr>
        <w:t xml:space="preserve"> Cal.App.5th 78, 90-96 (</w:t>
      </w:r>
      <w:r w:rsidRPr="00310FFC">
        <w:rPr>
          <w:rFonts w:eastAsia="Times New Roman"/>
          <w:i/>
          <w:iCs/>
          <w:color w:val="000000"/>
        </w:rPr>
        <w:t>Nunez</w:t>
      </w:r>
      <w:r>
        <w:rPr>
          <w:rFonts w:eastAsia="Times New Roman"/>
          <w:color w:val="000000"/>
        </w:rPr>
        <w:t>)</w:t>
      </w:r>
      <w:r w:rsidR="00AD1BDE">
        <w:rPr>
          <w:rFonts w:eastAsia="Times New Roman"/>
          <w:color w:val="000000"/>
        </w:rPr>
        <w:t>, rev. granted Jan. 13, 2021, S265918</w:t>
      </w:r>
      <w:r>
        <w:rPr>
          <w:rFonts w:eastAsia="Times New Roman"/>
          <w:color w:val="000000"/>
        </w:rPr>
        <w:t xml:space="preserve">; </w:t>
      </w:r>
      <w:r w:rsidRPr="00053CDA">
        <w:rPr>
          <w:rFonts w:eastAsia="Times New Roman"/>
          <w:i/>
          <w:iCs/>
          <w:color w:val="000000"/>
        </w:rPr>
        <w:t xml:space="preserve">People v. Simmons </w:t>
      </w:r>
      <w:r>
        <w:rPr>
          <w:rFonts w:eastAsia="Times New Roman"/>
          <w:color w:val="000000"/>
        </w:rPr>
        <w:t>(2021) 65</w:t>
      </w:r>
      <w:r w:rsidR="00AD1BDE">
        <w:rPr>
          <w:rFonts w:eastAsia="Times New Roman"/>
          <w:color w:val="000000"/>
        </w:rPr>
        <w:t> </w:t>
      </w:r>
      <w:r w:rsidRPr="00053CDA">
        <w:rPr>
          <w:rFonts w:eastAsia="Times New Roman"/>
          <w:color w:val="000000"/>
        </w:rPr>
        <w:t>Cal.App.5th</w:t>
      </w:r>
      <w:r>
        <w:rPr>
          <w:rFonts w:eastAsia="Times New Roman"/>
          <w:color w:val="000000"/>
        </w:rPr>
        <w:t xml:space="preserve"> 739, 749-750</w:t>
      </w:r>
      <w:r w:rsidR="009C5FFC">
        <w:rPr>
          <w:rFonts w:eastAsia="Times New Roman"/>
          <w:color w:val="000000"/>
        </w:rPr>
        <w:t xml:space="preserve"> (</w:t>
      </w:r>
      <w:r w:rsidR="009C5FFC" w:rsidRPr="00C37286">
        <w:rPr>
          <w:rFonts w:eastAsia="Times New Roman"/>
          <w:i/>
          <w:iCs/>
          <w:color w:val="000000"/>
        </w:rPr>
        <w:t>Simmons</w:t>
      </w:r>
      <w:r w:rsidR="009C5FFC">
        <w:rPr>
          <w:rFonts w:eastAsia="Times New Roman"/>
          <w:color w:val="000000"/>
        </w:rPr>
        <w:t>)</w:t>
      </w:r>
      <w:r>
        <w:rPr>
          <w:rFonts w:eastAsia="Times New Roman"/>
          <w:color w:val="000000"/>
        </w:rPr>
        <w:t>, rev</w:t>
      </w:r>
      <w:r w:rsidR="00AD1BDE">
        <w:rPr>
          <w:rFonts w:eastAsia="Times New Roman"/>
          <w:color w:val="000000"/>
        </w:rPr>
        <w:t>.</w:t>
      </w:r>
      <w:r>
        <w:rPr>
          <w:rFonts w:eastAsia="Times New Roman"/>
          <w:color w:val="000000"/>
        </w:rPr>
        <w:t xml:space="preserve"> granted Sept. 1, 2021, S270048</w:t>
      </w:r>
      <w:r w:rsidR="00E32482">
        <w:rPr>
          <w:rFonts w:eastAsia="Times New Roman"/>
          <w:color w:val="000000"/>
        </w:rPr>
        <w:t xml:space="preserve">; see also </w:t>
      </w:r>
      <w:r w:rsidR="00E32482" w:rsidRPr="00B813DD">
        <w:rPr>
          <w:rFonts w:eastAsia="Times New Roman"/>
          <w:i/>
          <w:iCs/>
          <w:color w:val="000000"/>
        </w:rPr>
        <w:t>People v. Gutierrez-Salazar</w:t>
      </w:r>
      <w:r w:rsidR="00E32482">
        <w:rPr>
          <w:rFonts w:eastAsia="Times New Roman"/>
          <w:color w:val="000000"/>
        </w:rPr>
        <w:t xml:space="preserve"> (2019) 38 Cal.App.5th</w:t>
      </w:r>
      <w:r w:rsidR="00E32482">
        <w:rPr>
          <w:rFonts w:eastAsia="Times New Roman"/>
          <w:i/>
          <w:iCs/>
          <w:color w:val="000000"/>
        </w:rPr>
        <w:t xml:space="preserve"> </w:t>
      </w:r>
      <w:r w:rsidR="00E32482">
        <w:rPr>
          <w:rFonts w:eastAsia="Times New Roman"/>
          <w:color w:val="000000"/>
        </w:rPr>
        <w:t>411, 419-420</w:t>
      </w:r>
      <w:r>
        <w:rPr>
          <w:rFonts w:eastAsia="Times New Roman"/>
          <w:color w:val="000000"/>
        </w:rPr>
        <w:t>.</w:t>
      </w:r>
    </w:p>
  </w:footnote>
  <w:footnote w:id="11">
    <w:p w14:paraId="3A82F16F" w14:textId="302DA56E" w:rsidR="00EE75B3" w:rsidRPr="008658AD" w:rsidRDefault="00F255BF" w:rsidP="00AD1BDE">
      <w:pPr>
        <w:pStyle w:val="FootnoteText"/>
        <w:spacing w:after="120"/>
        <w:ind w:firstLine="720"/>
        <w:rPr>
          <w:b/>
          <w:bCs/>
        </w:rPr>
      </w:pPr>
      <w:r w:rsidRPr="008658AD">
        <w:rPr>
          <w:rStyle w:val="FootnoteReference"/>
          <w:b/>
          <w:bCs/>
        </w:rPr>
        <w:footnoteRef/>
      </w:r>
      <w:r w:rsidRPr="008658AD">
        <w:rPr>
          <w:b/>
          <w:bCs/>
        </w:rPr>
        <w:t xml:space="preserve"> </w:t>
      </w:r>
      <w:r>
        <w:rPr>
          <w:b/>
          <w:bCs/>
        </w:rPr>
        <w:t xml:space="preserve"> </w:t>
      </w:r>
      <w:r w:rsidRPr="00053CDA">
        <w:rPr>
          <w:rFonts w:eastAsia="Times New Roman"/>
          <w:i/>
          <w:iCs/>
          <w:color w:val="000000"/>
        </w:rPr>
        <w:t>Gomez</w:t>
      </w:r>
      <w:r>
        <w:rPr>
          <w:rFonts w:eastAsia="Times New Roman"/>
          <w:color w:val="000000"/>
        </w:rPr>
        <w:t xml:space="preserve">, </w:t>
      </w:r>
      <w:r w:rsidRPr="00053CDA">
        <w:rPr>
          <w:rFonts w:eastAsia="Times New Roman"/>
          <w:i/>
          <w:iCs/>
          <w:color w:val="000000"/>
        </w:rPr>
        <w:t>supra</w:t>
      </w:r>
      <w:r>
        <w:rPr>
          <w:rFonts w:eastAsia="Times New Roman"/>
          <w:color w:val="000000"/>
        </w:rPr>
        <w:t xml:space="preserve">, 52 </w:t>
      </w:r>
      <w:r w:rsidRPr="00775B96">
        <w:rPr>
          <w:rFonts w:eastAsia="Times New Roman"/>
          <w:color w:val="000000"/>
        </w:rPr>
        <w:t xml:space="preserve">Cal.App.5th </w:t>
      </w:r>
      <w:r>
        <w:rPr>
          <w:rFonts w:eastAsia="Times New Roman"/>
          <w:color w:val="000000"/>
        </w:rPr>
        <w:t>at p. 17</w:t>
      </w:r>
      <w:r w:rsidR="00AD1BDE">
        <w:rPr>
          <w:rFonts w:eastAsia="Times New Roman"/>
          <w:color w:val="000000"/>
        </w:rPr>
        <w:t>, rev. gr.</w:t>
      </w:r>
      <w:r>
        <w:rPr>
          <w:rFonts w:eastAsia="Times New Roman"/>
          <w:color w:val="000000"/>
        </w:rPr>
        <w:t xml:space="preserve">; </w:t>
      </w:r>
      <w:r w:rsidRPr="00053CDA">
        <w:rPr>
          <w:rFonts w:eastAsia="Times New Roman"/>
          <w:i/>
          <w:iCs/>
          <w:color w:val="000000"/>
        </w:rPr>
        <w:t>Galvan</w:t>
      </w:r>
      <w:r>
        <w:rPr>
          <w:rFonts w:eastAsia="Times New Roman"/>
          <w:color w:val="000000"/>
        </w:rPr>
        <w:t xml:space="preserve">, </w:t>
      </w:r>
      <w:r w:rsidRPr="00053CDA">
        <w:rPr>
          <w:rFonts w:eastAsia="Times New Roman"/>
          <w:i/>
          <w:iCs/>
          <w:color w:val="000000"/>
        </w:rPr>
        <w:t>supra</w:t>
      </w:r>
      <w:r>
        <w:rPr>
          <w:rFonts w:eastAsia="Times New Roman"/>
          <w:color w:val="000000"/>
        </w:rPr>
        <w:t>, 52</w:t>
      </w:r>
      <w:r w:rsidR="00BC10E1">
        <w:rPr>
          <w:rFonts w:eastAsia="Times New Roman"/>
          <w:color w:val="000000"/>
        </w:rPr>
        <w:t> </w:t>
      </w:r>
      <w:r w:rsidRPr="001F60B6">
        <w:rPr>
          <w:rFonts w:eastAsia="Times New Roman"/>
          <w:color w:val="000000"/>
        </w:rPr>
        <w:t>Cal.App.5</w:t>
      </w:r>
      <w:r>
        <w:rPr>
          <w:rFonts w:eastAsia="Times New Roman"/>
          <w:color w:val="000000"/>
        </w:rPr>
        <w:t>th at p. 1142</w:t>
      </w:r>
      <w:r w:rsidR="00AD1BDE">
        <w:rPr>
          <w:rFonts w:eastAsia="Times New Roman"/>
          <w:color w:val="000000"/>
        </w:rPr>
        <w:t>, rev. gr.</w:t>
      </w:r>
      <w:r>
        <w:rPr>
          <w:rFonts w:eastAsia="Times New Roman"/>
          <w:color w:val="000000"/>
        </w:rPr>
        <w:t xml:space="preserve">; </w:t>
      </w:r>
      <w:r w:rsidRPr="00053CDA">
        <w:rPr>
          <w:rFonts w:eastAsia="Times New Roman"/>
          <w:i/>
          <w:iCs/>
          <w:color w:val="000000"/>
        </w:rPr>
        <w:t>Simmons</w:t>
      </w:r>
      <w:r>
        <w:rPr>
          <w:rFonts w:eastAsia="Times New Roman"/>
          <w:color w:val="000000"/>
        </w:rPr>
        <w:t xml:space="preserve">, </w:t>
      </w:r>
      <w:r w:rsidRPr="00053CDA">
        <w:rPr>
          <w:rFonts w:eastAsia="Times New Roman"/>
          <w:i/>
          <w:iCs/>
          <w:color w:val="000000"/>
        </w:rPr>
        <w:t>supra</w:t>
      </w:r>
      <w:r>
        <w:rPr>
          <w:rFonts w:eastAsia="Times New Roman"/>
          <w:color w:val="000000"/>
        </w:rPr>
        <w:t xml:space="preserve">, 65 </w:t>
      </w:r>
      <w:r w:rsidRPr="00053CDA">
        <w:rPr>
          <w:rFonts w:eastAsia="Times New Roman"/>
          <w:color w:val="000000"/>
        </w:rPr>
        <w:t>Cal.App.5</w:t>
      </w:r>
      <w:r>
        <w:rPr>
          <w:rFonts w:eastAsia="Times New Roman"/>
          <w:color w:val="000000"/>
        </w:rPr>
        <w:t>th at pp.</w:t>
      </w:r>
      <w:r w:rsidR="00C65CFF">
        <w:rPr>
          <w:rFonts w:eastAsia="Times New Roman"/>
          <w:color w:val="000000"/>
        </w:rPr>
        <w:t> </w:t>
      </w:r>
      <w:r>
        <w:rPr>
          <w:rFonts w:eastAsia="Times New Roman"/>
          <w:color w:val="000000"/>
        </w:rPr>
        <w:t>748, 749</w:t>
      </w:r>
      <w:r w:rsidR="00AD1BDE">
        <w:rPr>
          <w:rFonts w:eastAsia="Times New Roman"/>
          <w:color w:val="000000"/>
        </w:rPr>
        <w:t>, rev. gr</w:t>
      </w:r>
      <w:r w:rsidR="00E32482">
        <w:rPr>
          <w:rFonts w:eastAsia="Times New Roman"/>
          <w:color w:val="000000"/>
        </w:rPr>
        <w:t xml:space="preserve">.; see also </w:t>
      </w:r>
      <w:r w:rsidR="00E32482" w:rsidRPr="00AC6C22">
        <w:rPr>
          <w:rFonts w:eastAsia="Times New Roman"/>
          <w:i/>
          <w:iCs/>
          <w:color w:val="000000"/>
        </w:rPr>
        <w:t>Allison</w:t>
      </w:r>
      <w:r w:rsidR="00E32482">
        <w:rPr>
          <w:rFonts w:eastAsia="Times New Roman"/>
          <w:i/>
          <w:iCs/>
          <w:color w:val="000000"/>
        </w:rPr>
        <w:t>,</w:t>
      </w:r>
      <w:r w:rsidR="00E32482">
        <w:rPr>
          <w:rFonts w:eastAsia="Times New Roman"/>
          <w:color w:val="000000"/>
        </w:rPr>
        <w:t xml:space="preserve"> </w:t>
      </w:r>
      <w:r w:rsidR="00E32482" w:rsidRPr="00AC6C22">
        <w:rPr>
          <w:rFonts w:eastAsia="Times New Roman"/>
          <w:i/>
          <w:iCs/>
          <w:color w:val="000000"/>
        </w:rPr>
        <w:t>supra</w:t>
      </w:r>
      <w:r w:rsidR="00E32482">
        <w:rPr>
          <w:rFonts w:eastAsia="Times New Roman"/>
          <w:color w:val="000000"/>
        </w:rPr>
        <w:t>, 55 Cal.App.5th at p. 459 &amp; fn. 9</w:t>
      </w:r>
      <w:r w:rsidR="00AD1BDE">
        <w:rPr>
          <w:rFonts w:eastAsia="Times New Roman"/>
          <w:color w:val="000000"/>
        </w:rPr>
        <w:t>.</w:t>
      </w:r>
      <w:r>
        <w:rPr>
          <w:rFonts w:eastAsia="Times New Roman"/>
          <w:color w:val="000000"/>
        </w:rPr>
        <w:t xml:space="preserve">  </w:t>
      </w:r>
    </w:p>
  </w:footnote>
  <w:footnote w:id="12">
    <w:p w14:paraId="46B20779" w14:textId="3E7BD658" w:rsidR="00EE75B3" w:rsidRDefault="00F255BF" w:rsidP="00195922">
      <w:pPr>
        <w:pStyle w:val="FootnoteText"/>
        <w:ind w:firstLine="720"/>
      </w:pPr>
      <w:r w:rsidRPr="00393BAC">
        <w:rPr>
          <w:rStyle w:val="FootnoteReference"/>
          <w:b/>
          <w:bCs/>
        </w:rPr>
        <w:footnoteRef/>
      </w:r>
      <w:r w:rsidRPr="00393BAC">
        <w:rPr>
          <w:b/>
          <w:bCs/>
        </w:rPr>
        <w:t xml:space="preserve"> </w:t>
      </w:r>
      <w:r>
        <w:rPr>
          <w:b/>
          <w:bCs/>
        </w:rPr>
        <w:t xml:space="preserve"> </w:t>
      </w:r>
      <w:r>
        <w:t xml:space="preserve">The “new trial” to which </w:t>
      </w:r>
      <w:r>
        <w:rPr>
          <w:i/>
          <w:iCs/>
        </w:rPr>
        <w:t>Galvan</w:t>
      </w:r>
      <w:r>
        <w:t xml:space="preserve"> was referring is the evidentiary hearing before a judge provided under section 1170.95, subdivision (d).  (See </w:t>
      </w:r>
      <w:r>
        <w:rPr>
          <w:i/>
          <w:iCs/>
        </w:rPr>
        <w:t>Galvan</w:t>
      </w:r>
      <w:r>
        <w:t xml:space="preserve">, </w:t>
      </w:r>
      <w:r w:rsidRPr="00096F4A">
        <w:rPr>
          <w:i/>
          <w:iCs/>
        </w:rPr>
        <w:t>supra</w:t>
      </w:r>
      <w:r>
        <w:t>, 52 Cal.App.5th at p. 1142</w:t>
      </w:r>
      <w:r w:rsidR="00BC10E1">
        <w:t>, rev. gr</w:t>
      </w:r>
      <w:r>
        <w:t>.)</w:t>
      </w:r>
    </w:p>
  </w:footnote>
  <w:footnote w:id="13">
    <w:p w14:paraId="6542236E" w14:textId="3A0D239D" w:rsidR="00EE75B3" w:rsidRPr="008658AD" w:rsidRDefault="00F255BF" w:rsidP="008658AD">
      <w:pPr>
        <w:pStyle w:val="FootnoteText"/>
        <w:ind w:firstLine="720"/>
        <w:rPr>
          <w:b/>
          <w:bCs/>
        </w:rPr>
      </w:pPr>
      <w:r w:rsidRPr="008658AD">
        <w:rPr>
          <w:rStyle w:val="FootnoteReference"/>
          <w:b/>
          <w:bCs/>
        </w:rPr>
        <w:footnoteRef/>
      </w:r>
      <w:r w:rsidRPr="008658AD">
        <w:rPr>
          <w:b/>
          <w:bCs/>
        </w:rPr>
        <w:t xml:space="preserve"> </w:t>
      </w:r>
      <w:r w:rsidR="00BC4E1B">
        <w:rPr>
          <w:b/>
          <w:bCs/>
        </w:rPr>
        <w:t xml:space="preserve"> </w:t>
      </w:r>
      <w:r w:rsidRPr="008658AD">
        <w:t xml:space="preserve">See </w:t>
      </w:r>
      <w:r w:rsidRPr="00C067ED">
        <w:rPr>
          <w:rFonts w:eastAsia="Times New Roman"/>
          <w:i/>
          <w:iCs/>
          <w:color w:val="000000"/>
        </w:rPr>
        <w:t>Pineda</w:t>
      </w:r>
      <w:r w:rsidR="00171621">
        <w:rPr>
          <w:rFonts w:eastAsia="Times New Roman"/>
          <w:color w:val="000000"/>
        </w:rPr>
        <w:t xml:space="preserve">, </w:t>
      </w:r>
      <w:r w:rsidR="00171621">
        <w:rPr>
          <w:rFonts w:eastAsia="Times New Roman"/>
          <w:i/>
          <w:iCs/>
          <w:color w:val="000000"/>
        </w:rPr>
        <w:t xml:space="preserve">supra, </w:t>
      </w:r>
      <w:r>
        <w:rPr>
          <w:rFonts w:eastAsia="Times New Roman"/>
          <w:color w:val="000000"/>
        </w:rPr>
        <w:t xml:space="preserve">66 </w:t>
      </w:r>
      <w:r w:rsidRPr="00EB05DB">
        <w:rPr>
          <w:rFonts w:eastAsia="Times New Roman"/>
          <w:color w:val="000000"/>
        </w:rPr>
        <w:t xml:space="preserve">Cal.App.5th </w:t>
      </w:r>
      <w:r w:rsidR="00171621">
        <w:rPr>
          <w:rFonts w:eastAsia="Times New Roman"/>
          <w:color w:val="000000"/>
        </w:rPr>
        <w:t>at pp.</w:t>
      </w:r>
      <w:r>
        <w:rPr>
          <w:rFonts w:eastAsia="Times New Roman"/>
          <w:color w:val="000000"/>
        </w:rPr>
        <w:t xml:space="preserve"> </w:t>
      </w:r>
      <w:r w:rsidR="00344401">
        <w:rPr>
          <w:rFonts w:eastAsia="Times New Roman"/>
          <w:color w:val="000000"/>
        </w:rPr>
        <w:t>801-802</w:t>
      </w:r>
      <w:r>
        <w:rPr>
          <w:rFonts w:eastAsia="Times New Roman"/>
          <w:color w:val="000000"/>
        </w:rPr>
        <w:t xml:space="preserve"> [same], </w:t>
      </w:r>
      <w:r w:rsidRPr="00492BD6">
        <w:rPr>
          <w:rFonts w:eastAsia="Times New Roman"/>
          <w:color w:val="000000"/>
        </w:rPr>
        <w:t>rev</w:t>
      </w:r>
      <w:r w:rsidR="00171621">
        <w:rPr>
          <w:rFonts w:eastAsia="Times New Roman"/>
          <w:color w:val="000000"/>
        </w:rPr>
        <w:t>. gr.</w:t>
      </w:r>
      <w:r>
        <w:rPr>
          <w:rFonts w:eastAsia="Times New Roman"/>
          <w:color w:val="000000"/>
        </w:rPr>
        <w:t xml:space="preserve">; </w:t>
      </w:r>
      <w:r w:rsidRPr="00215AAE">
        <w:rPr>
          <w:rFonts w:eastAsia="Times New Roman"/>
          <w:i/>
          <w:iCs/>
          <w:color w:val="000000"/>
        </w:rPr>
        <w:t>People v. Arias</w:t>
      </w:r>
      <w:r>
        <w:rPr>
          <w:rFonts w:eastAsia="Times New Roman"/>
          <w:color w:val="000000"/>
        </w:rPr>
        <w:t xml:space="preserve"> (2021) 66 </w:t>
      </w:r>
      <w:r w:rsidRPr="00215AAE">
        <w:rPr>
          <w:rFonts w:eastAsia="Times New Roman"/>
          <w:color w:val="000000"/>
        </w:rPr>
        <w:t xml:space="preserve">Cal.App.5th </w:t>
      </w:r>
      <w:r>
        <w:rPr>
          <w:rFonts w:eastAsia="Times New Roman"/>
          <w:color w:val="000000"/>
        </w:rPr>
        <w:t>987,</w:t>
      </w:r>
      <w:r w:rsidR="00344401">
        <w:rPr>
          <w:rFonts w:eastAsia="Times New Roman"/>
          <w:color w:val="000000"/>
        </w:rPr>
        <w:t xml:space="preserve"> 1004</w:t>
      </w:r>
      <w:r w:rsidR="00621383">
        <w:rPr>
          <w:rFonts w:eastAsia="Times New Roman"/>
          <w:color w:val="000000"/>
        </w:rPr>
        <w:t xml:space="preserve"> (</w:t>
      </w:r>
      <w:r w:rsidR="00621383" w:rsidRPr="00492BD6">
        <w:rPr>
          <w:rFonts w:eastAsia="Times New Roman"/>
          <w:i/>
          <w:iCs/>
          <w:color w:val="000000"/>
        </w:rPr>
        <w:t>Arias</w:t>
      </w:r>
      <w:r w:rsidR="00621383">
        <w:rPr>
          <w:rFonts w:eastAsia="Times New Roman"/>
          <w:color w:val="000000"/>
        </w:rPr>
        <w:t>)</w:t>
      </w:r>
      <w:r w:rsidR="004C6B6A">
        <w:rPr>
          <w:rFonts w:eastAsia="Times New Roman"/>
          <w:color w:val="000000"/>
        </w:rPr>
        <w:t>, rev. granted Sept. 29, 2021, S270555</w:t>
      </w:r>
      <w:r>
        <w:rPr>
          <w:rFonts w:eastAsia="Times New Roman"/>
          <w:color w:val="000000"/>
        </w:rPr>
        <w:t xml:space="preserve"> [same].  </w:t>
      </w:r>
    </w:p>
  </w:footnote>
  <w:footnote w:id="14">
    <w:p w14:paraId="795B69AC" w14:textId="4E2D0756" w:rsidR="00EE75B3" w:rsidRDefault="00F255BF" w:rsidP="00C65CFF">
      <w:pPr>
        <w:pStyle w:val="FootnoteText"/>
        <w:spacing w:after="120"/>
        <w:ind w:firstLine="720"/>
      </w:pPr>
      <w:r w:rsidRPr="00A654D6">
        <w:rPr>
          <w:rStyle w:val="FootnoteReference"/>
          <w:b/>
          <w:bCs/>
        </w:rPr>
        <w:footnoteRef/>
      </w:r>
      <w:r w:rsidRPr="00A654D6">
        <w:rPr>
          <w:b/>
          <w:bCs/>
        </w:rPr>
        <w:t xml:space="preserve"> </w:t>
      </w:r>
      <w:r>
        <w:t xml:space="preserve"> As we have indicated, the </w:t>
      </w:r>
      <w:r w:rsidRPr="00A654D6">
        <w:rPr>
          <w:i/>
          <w:iCs/>
        </w:rPr>
        <w:t>Secrease</w:t>
      </w:r>
      <w:r>
        <w:rPr>
          <w:i/>
          <w:iCs/>
        </w:rPr>
        <w:t xml:space="preserve"> </w:t>
      </w:r>
      <w:r>
        <w:t>case would allow the prosecution to re-try the special circumstance issue after a determination that there is insufficient evidence in the record to support it.  By relegating petitioners challenging a special circumstance finding to direct appeal or habeas corpus</w:t>
      </w:r>
      <w:r w:rsidR="0001513A">
        <w:t xml:space="preserve"> review</w:t>
      </w:r>
      <w:r>
        <w:t xml:space="preserve">, the </w:t>
      </w:r>
      <w:r w:rsidRPr="00A654D6">
        <w:rPr>
          <w:i/>
          <w:iCs/>
        </w:rPr>
        <w:t>Gomez</w:t>
      </w:r>
      <w:r>
        <w:t xml:space="preserve"> line of cases apparently would not provide for a re-do by the prosecution, since in habeas cases the courts have reversed insufficiently supported special circumstance findings without allowing for retrial. </w:t>
      </w:r>
    </w:p>
  </w:footnote>
  <w:footnote w:id="15">
    <w:p w14:paraId="141982D8" w14:textId="7468652F" w:rsidR="00EE75B3" w:rsidRPr="00C20AC9" w:rsidRDefault="00F255BF" w:rsidP="00FE4584">
      <w:pPr>
        <w:pStyle w:val="FootnoteText"/>
        <w:spacing w:after="120"/>
        <w:ind w:firstLine="720"/>
      </w:pPr>
      <w:r w:rsidRPr="00C20AC9">
        <w:rPr>
          <w:rStyle w:val="FootnoteReference"/>
          <w:b/>
          <w:bCs/>
        </w:rPr>
        <w:footnoteRef/>
      </w:r>
      <w:r w:rsidRPr="00C20AC9">
        <w:rPr>
          <w:b/>
          <w:bCs/>
        </w:rPr>
        <w:t xml:space="preserve"> </w:t>
      </w:r>
      <w:r>
        <w:rPr>
          <w:b/>
          <w:bCs/>
        </w:rPr>
        <w:t xml:space="preserve"> </w:t>
      </w:r>
      <w:r>
        <w:rPr>
          <w:rFonts w:eastAsia="Times New Roman"/>
          <w:color w:val="000000"/>
        </w:rPr>
        <w:t xml:space="preserve">In </w:t>
      </w:r>
      <w:r w:rsidRPr="00733DF0">
        <w:rPr>
          <w:rFonts w:eastAsia="Times New Roman"/>
          <w:i/>
          <w:iCs/>
          <w:color w:val="000000"/>
        </w:rPr>
        <w:t>People v. Law</w:t>
      </w:r>
      <w:r>
        <w:rPr>
          <w:rFonts w:eastAsia="Times New Roman"/>
          <w:color w:val="000000"/>
        </w:rPr>
        <w:t xml:space="preserve"> (2020) 48 </w:t>
      </w:r>
      <w:r w:rsidRPr="000A3362">
        <w:rPr>
          <w:rFonts w:eastAsia="Times New Roman"/>
          <w:color w:val="000000"/>
        </w:rPr>
        <w:t xml:space="preserve">Cal.App.5th </w:t>
      </w:r>
      <w:r>
        <w:rPr>
          <w:rFonts w:eastAsia="Times New Roman"/>
          <w:color w:val="000000"/>
        </w:rPr>
        <w:t>811, 821-826,</w:t>
      </w:r>
      <w:r w:rsidR="00FE4584">
        <w:rPr>
          <w:rFonts w:eastAsia="Times New Roman"/>
          <w:color w:val="000000"/>
        </w:rPr>
        <w:t xml:space="preserve"> review granted July 8, 2020, S262490,</w:t>
      </w:r>
      <w:r>
        <w:rPr>
          <w:rFonts w:eastAsia="Times New Roman"/>
          <w:color w:val="000000"/>
        </w:rPr>
        <w:t xml:space="preserve"> the court bypassed the proper forum question by holding that the trial court’s erroneous decision that a pre-</w:t>
      </w:r>
      <w:r w:rsidRPr="00B07477">
        <w:rPr>
          <w:rFonts w:eastAsia="Times New Roman"/>
          <w:i/>
          <w:iCs/>
          <w:color w:val="000000"/>
        </w:rPr>
        <w:t>Banks</w:t>
      </w:r>
      <w:r>
        <w:rPr>
          <w:rFonts w:eastAsia="Times New Roman"/>
          <w:color w:val="000000"/>
        </w:rPr>
        <w:t xml:space="preserve"> and </w:t>
      </w:r>
      <w:r w:rsidRPr="00B07477">
        <w:rPr>
          <w:rFonts w:eastAsia="Times New Roman"/>
          <w:i/>
          <w:iCs/>
          <w:color w:val="000000"/>
        </w:rPr>
        <w:t>Clark</w:t>
      </w:r>
      <w:r>
        <w:rPr>
          <w:rFonts w:eastAsia="Times New Roman"/>
          <w:i/>
          <w:iCs/>
          <w:color w:val="000000"/>
        </w:rPr>
        <w:t xml:space="preserve"> </w:t>
      </w:r>
      <w:r w:rsidRPr="00011E16">
        <w:rPr>
          <w:rFonts w:eastAsia="Times New Roman"/>
          <w:color w:val="000000"/>
        </w:rPr>
        <w:t>special</w:t>
      </w:r>
      <w:r>
        <w:rPr>
          <w:rFonts w:eastAsia="Times New Roman"/>
          <w:color w:val="000000"/>
        </w:rPr>
        <w:t xml:space="preserve"> circumstance finding was a categorical bar to resentencing was harmless because substantial evidence supported the jury’s special circumstance finding under </w:t>
      </w:r>
      <w:r w:rsidRPr="00B07477">
        <w:rPr>
          <w:rFonts w:eastAsia="Times New Roman"/>
          <w:i/>
          <w:iCs/>
          <w:color w:val="000000"/>
        </w:rPr>
        <w:t>Banks</w:t>
      </w:r>
      <w:r>
        <w:rPr>
          <w:rFonts w:eastAsia="Times New Roman"/>
          <w:color w:val="000000"/>
        </w:rPr>
        <w:t xml:space="preserve"> and </w:t>
      </w:r>
      <w:r w:rsidRPr="00B07477">
        <w:rPr>
          <w:rFonts w:eastAsia="Times New Roman"/>
          <w:i/>
          <w:iCs/>
          <w:color w:val="000000"/>
        </w:rPr>
        <w:t>Clar</w:t>
      </w:r>
      <w:r>
        <w:rPr>
          <w:rFonts w:eastAsia="Times New Roman"/>
          <w:i/>
          <w:iCs/>
          <w:color w:val="000000"/>
        </w:rPr>
        <w:t>k</w:t>
      </w:r>
      <w:r>
        <w:rPr>
          <w:rFonts w:eastAsia="Times New Roman"/>
          <w:color w:val="000000"/>
        </w:rPr>
        <w:t xml:space="preserve">.  </w:t>
      </w:r>
    </w:p>
  </w:footnote>
  <w:footnote w:id="16">
    <w:p w14:paraId="11438B1B" w14:textId="2562A33E" w:rsidR="00EE75B3" w:rsidRPr="008B3A32" w:rsidRDefault="00F255BF" w:rsidP="00FE4584">
      <w:pPr>
        <w:pStyle w:val="FootnoteText"/>
        <w:spacing w:after="120"/>
        <w:ind w:firstLine="720"/>
      </w:pPr>
      <w:r w:rsidRPr="002F4BA9">
        <w:rPr>
          <w:rStyle w:val="FootnoteReference"/>
          <w:b/>
          <w:bCs/>
        </w:rPr>
        <w:footnoteRef/>
      </w:r>
      <w:r>
        <w:t xml:space="preserve"> </w:t>
      </w:r>
      <w:r w:rsidR="0019493B">
        <w:t xml:space="preserve"> </w:t>
      </w:r>
      <w:r>
        <w:t>Prior to enactment of Senate Bill No. 1437 (2017-2018 Reg. Sess.), section 189 provided that murders committed “in the perpetration of” certain felonies, including “robbery” are murder of the first degree (</w:t>
      </w:r>
      <w:r w:rsidR="00FE4584">
        <w:t xml:space="preserve">former </w:t>
      </w:r>
      <w:r>
        <w:t xml:space="preserve">§ 189, subd. (a).)  Senate Bill No. 1437 (2017-2018 Reg. Sess.) added the proviso that </w:t>
      </w:r>
      <w:r w:rsidRPr="00D06816">
        <w:t>“[a</w:t>
      </w:r>
      <w:r w:rsidRPr="00D06816">
        <w:rPr>
          <w:szCs w:val="26"/>
        </w:rPr>
        <w:t xml:space="preserve">] participant in the perpetration or attempted perpetration of a felony listed in subdivision (a) in which a death occurs is liable for murder only if one of the following is proven: [¶] </w:t>
      </w:r>
      <w:r w:rsidRPr="00D06816">
        <w:rPr>
          <w:sz w:val="25"/>
          <w:szCs w:val="25"/>
        </w:rPr>
        <w:t xml:space="preserve">(1) </w:t>
      </w:r>
      <w:r w:rsidRPr="00D06816">
        <w:rPr>
          <w:szCs w:val="26"/>
        </w:rPr>
        <w:t>The person was the actual killer. [¶] (2) The person was not the actual killer, but, with the intent to kill, aided, abetted, counseled, commanded, induced, solicited, requested, or assisted the actual killer in the commission of murder in the first degree. [¶] (3) The person was a major participant in the underlying felony and acted with reckless indifference to human life, as described in</w:t>
      </w:r>
      <w:r w:rsidR="006431A3">
        <w:rPr>
          <w:szCs w:val="26"/>
        </w:rPr>
        <w:t xml:space="preserve"> </w:t>
      </w:r>
      <w:hyperlink r:id="rId1" w:anchor="co_pp_5ba1000067d06" w:history="1">
        <w:r w:rsidRPr="006431A3">
          <w:rPr>
            <w:rStyle w:val="Hyperlink"/>
            <w:color w:val="auto"/>
            <w:szCs w:val="26"/>
            <w:u w:val="none"/>
            <w:bdr w:val="none" w:sz="0" w:space="0" w:color="auto" w:frame="1"/>
          </w:rPr>
          <w:t>subdivision (d) of Section</w:t>
        </w:r>
        <w:r w:rsidR="006431A3">
          <w:rPr>
            <w:rStyle w:val="Hyperlink"/>
            <w:color w:val="auto"/>
            <w:szCs w:val="26"/>
            <w:u w:val="none"/>
            <w:bdr w:val="none" w:sz="0" w:space="0" w:color="auto" w:frame="1"/>
          </w:rPr>
          <w:t> </w:t>
        </w:r>
        <w:r w:rsidRPr="006431A3">
          <w:rPr>
            <w:rStyle w:val="Hyperlink"/>
            <w:color w:val="auto"/>
            <w:szCs w:val="26"/>
            <w:u w:val="none"/>
            <w:bdr w:val="none" w:sz="0" w:space="0" w:color="auto" w:frame="1"/>
          </w:rPr>
          <w:t>190.2</w:t>
        </w:r>
      </w:hyperlink>
      <w:r w:rsidRPr="00D06816">
        <w:rPr>
          <w:szCs w:val="26"/>
        </w:rPr>
        <w:t>.”  (Stats. 2018, ch. 101</w:t>
      </w:r>
      <w:r w:rsidR="00AA43B3">
        <w:rPr>
          <w:szCs w:val="26"/>
        </w:rPr>
        <w:t>5</w:t>
      </w:r>
      <w:r w:rsidRPr="00D06816">
        <w:rPr>
          <w:szCs w:val="26"/>
        </w:rPr>
        <w:t xml:space="preserve">, § </w:t>
      </w:r>
      <w:r w:rsidR="006431A3">
        <w:rPr>
          <w:szCs w:val="26"/>
        </w:rPr>
        <w:t>3</w:t>
      </w:r>
      <w:r w:rsidRPr="00D06816">
        <w:rPr>
          <w:szCs w:val="26"/>
        </w:rPr>
        <w:t xml:space="preserve">.)  This addition incorporated </w:t>
      </w:r>
      <w:r w:rsidRPr="005D562B">
        <w:rPr>
          <w:szCs w:val="26"/>
        </w:rPr>
        <w:t xml:space="preserve">the elements of the felony-murder special circumstance into the murder statute.  (Compare </w:t>
      </w:r>
      <w:r w:rsidRPr="00214C86">
        <w:rPr>
          <w:i/>
          <w:iCs/>
          <w:szCs w:val="26"/>
        </w:rPr>
        <w:t>i</w:t>
      </w:r>
      <w:r w:rsidR="00214C86" w:rsidRPr="00214C86">
        <w:rPr>
          <w:i/>
          <w:iCs/>
          <w:szCs w:val="26"/>
        </w:rPr>
        <w:t>bi</w:t>
      </w:r>
      <w:r w:rsidRPr="00214C86">
        <w:rPr>
          <w:i/>
          <w:iCs/>
          <w:szCs w:val="26"/>
        </w:rPr>
        <w:t>d.</w:t>
      </w:r>
      <w:r w:rsidRPr="005D562B">
        <w:rPr>
          <w:szCs w:val="26"/>
        </w:rPr>
        <w:t xml:space="preserve"> with </w:t>
      </w:r>
      <w:r w:rsidRPr="005D562B">
        <w:t>§ 190.2, subds. (a)(17)(A) [felony-murder special circumstance], (</w:t>
      </w:r>
      <w:r>
        <w:t xml:space="preserve">b) [actual killer need not have had intent to kill], (c) [person not actual killer who, with intent to kill, </w:t>
      </w:r>
      <w:r w:rsidRPr="007257D3">
        <w:rPr>
          <w:color w:val="3D3D3D"/>
          <w:szCs w:val="26"/>
        </w:rPr>
        <w:t xml:space="preserve">aided, abetted, counseled, commanded, induced, solicited, requested, or assisted </w:t>
      </w:r>
      <w:r>
        <w:t xml:space="preserve">actor committing first degree murder] &amp; (d) [person not actual killer who, with reckless indifference to human life and as major participant, </w:t>
      </w:r>
      <w:r w:rsidRPr="007257D3">
        <w:rPr>
          <w:color w:val="3D3D3D"/>
          <w:szCs w:val="26"/>
        </w:rPr>
        <w:t xml:space="preserve">aided, abetted, counseled, commanded, induced, solicited, requested, or assisted </w:t>
      </w:r>
      <w:r>
        <w:rPr>
          <w:color w:val="3D3D3D"/>
          <w:szCs w:val="26"/>
        </w:rPr>
        <w:t xml:space="preserve">in </w:t>
      </w:r>
      <w:r>
        <w:t>commission of felony that resulted in death].)</w:t>
      </w:r>
    </w:p>
  </w:footnote>
  <w:footnote w:id="17">
    <w:p w14:paraId="2DC0F7B6" w14:textId="34A1B539" w:rsidR="00EE75B3" w:rsidRDefault="00F255BF" w:rsidP="00CF7093">
      <w:pPr>
        <w:pStyle w:val="FootnoteText"/>
        <w:ind w:firstLine="720"/>
      </w:pPr>
      <w:r w:rsidRPr="00C20AC9">
        <w:rPr>
          <w:rStyle w:val="FootnoteReference"/>
          <w:b/>
          <w:bCs/>
        </w:rPr>
        <w:footnoteRef/>
      </w:r>
      <w:r>
        <w:t xml:space="preserve">  Indeed, the presumption arguably is not necessary since the legislative history of the bill shows the Legislature was in fact aware of the </w:t>
      </w:r>
      <w:r w:rsidRPr="00CF7093">
        <w:rPr>
          <w:i/>
          <w:iCs/>
        </w:rPr>
        <w:t>Banks</w:t>
      </w:r>
      <w:r>
        <w:t xml:space="preserve"> and </w:t>
      </w:r>
      <w:r w:rsidRPr="00CF7093">
        <w:rPr>
          <w:i/>
          <w:iCs/>
        </w:rPr>
        <w:t>Clark</w:t>
      </w:r>
      <w:r>
        <w:t xml:space="preserve"> decisions when it adopted Senate Bill No. 1437 (2017-2018 Reg. Sess.).  (</w:t>
      </w:r>
      <w:r w:rsidRPr="00CF7093">
        <w:rPr>
          <w:i/>
          <w:iCs/>
        </w:rPr>
        <w:t>Secrease</w:t>
      </w:r>
      <w:r>
        <w:t>, 63 Cal.App.5th at pp. 258-259 &amp; fn. 20</w:t>
      </w:r>
      <w:r w:rsidR="00FE4584">
        <w:t>, rev</w:t>
      </w:r>
      <w:r>
        <w:t>.</w:t>
      </w:r>
      <w:r w:rsidR="00FE4584">
        <w:t xml:space="preserve"> gr.</w:t>
      </w:r>
      <w:r>
        <w:t>)</w:t>
      </w:r>
    </w:p>
  </w:footnote>
  <w:footnote w:id="18">
    <w:p w14:paraId="56CEDA13" w14:textId="3EC266A9" w:rsidR="00EE75B3" w:rsidRDefault="00F255BF" w:rsidP="008658AD">
      <w:pPr>
        <w:pStyle w:val="FootnoteText"/>
        <w:ind w:firstLine="720"/>
        <w:rPr>
          <w:rFonts w:eastAsia="Times New Roman"/>
          <w:color w:val="000000"/>
        </w:rPr>
      </w:pPr>
      <w:r w:rsidRPr="008658AD">
        <w:rPr>
          <w:rStyle w:val="FootnoteReference"/>
          <w:b/>
          <w:bCs/>
        </w:rPr>
        <w:footnoteRef/>
      </w:r>
      <w:r w:rsidRPr="008658AD">
        <w:rPr>
          <w:b/>
          <w:bCs/>
        </w:rPr>
        <w:t xml:space="preserve"> </w:t>
      </w:r>
      <w:r>
        <w:t xml:space="preserve"> </w:t>
      </w:r>
      <w:r>
        <w:rPr>
          <w:rFonts w:eastAsia="Times New Roman"/>
          <w:color w:val="000000"/>
        </w:rPr>
        <w:t xml:space="preserve">We express no view whether </w:t>
      </w:r>
      <w:r w:rsidRPr="008658AD">
        <w:rPr>
          <w:rFonts w:eastAsia="Times New Roman"/>
          <w:i/>
          <w:iCs/>
          <w:color w:val="000000"/>
        </w:rPr>
        <w:t>Secrease</w:t>
      </w:r>
      <w:r>
        <w:rPr>
          <w:rFonts w:eastAsia="Times New Roman"/>
          <w:color w:val="000000"/>
        </w:rPr>
        <w:t xml:space="preserve"> is correct in holding subdivision (d) provides the People with a do-over on the special circumstance finding if a court concludes substantial evidence does not support the finding under the standards set in </w:t>
      </w:r>
      <w:r w:rsidRPr="00E64D2A">
        <w:rPr>
          <w:rFonts w:eastAsia="Times New Roman"/>
          <w:i/>
          <w:iCs/>
          <w:color w:val="000000"/>
        </w:rPr>
        <w:t>Banks</w:t>
      </w:r>
      <w:r>
        <w:rPr>
          <w:rFonts w:eastAsia="Times New Roman"/>
          <w:color w:val="000000"/>
        </w:rPr>
        <w:t xml:space="preserve"> and </w:t>
      </w:r>
      <w:r w:rsidRPr="00E64D2A">
        <w:rPr>
          <w:rFonts w:eastAsia="Times New Roman"/>
          <w:i/>
          <w:iCs/>
          <w:color w:val="000000"/>
        </w:rPr>
        <w:t>Clark</w:t>
      </w:r>
      <w:r>
        <w:rPr>
          <w:rFonts w:eastAsia="Times New Roman"/>
          <w:color w:val="000000"/>
        </w:rPr>
        <w:t xml:space="preserve">.  We note that successful habeas challenges to special circumstance findings have resulted in such findings being vacated.  (See </w:t>
      </w:r>
      <w:r w:rsidRPr="00E64D2A">
        <w:rPr>
          <w:rFonts w:eastAsia="Times New Roman"/>
          <w:i/>
          <w:iCs/>
          <w:color w:val="000000"/>
        </w:rPr>
        <w:t>Scoggins</w:t>
      </w:r>
      <w:r>
        <w:rPr>
          <w:rFonts w:eastAsia="Times New Roman"/>
          <w:color w:val="000000"/>
        </w:rPr>
        <w:t xml:space="preserve">, </w:t>
      </w:r>
      <w:r w:rsidRPr="00135CEC">
        <w:rPr>
          <w:rFonts w:eastAsia="Times New Roman"/>
          <w:i/>
          <w:iCs/>
          <w:color w:val="000000"/>
        </w:rPr>
        <w:t>supra</w:t>
      </w:r>
      <w:r>
        <w:rPr>
          <w:rFonts w:eastAsia="Times New Roman"/>
          <w:color w:val="000000"/>
        </w:rPr>
        <w:t xml:space="preserve">, 9 Cal.5th at p. 684; </w:t>
      </w:r>
      <w:r w:rsidRPr="003C45F4">
        <w:rPr>
          <w:rFonts w:eastAsia="Times New Roman"/>
          <w:i/>
          <w:iCs/>
          <w:color w:val="000000"/>
        </w:rPr>
        <w:t>Taylor</w:t>
      </w:r>
      <w:r>
        <w:rPr>
          <w:rFonts w:eastAsia="Times New Roman"/>
          <w:color w:val="000000"/>
        </w:rPr>
        <w:t xml:space="preserve">, </w:t>
      </w:r>
      <w:r w:rsidRPr="003C45F4">
        <w:rPr>
          <w:rFonts w:eastAsia="Times New Roman"/>
          <w:i/>
          <w:iCs/>
          <w:color w:val="000000"/>
        </w:rPr>
        <w:t>supra</w:t>
      </w:r>
      <w:r>
        <w:rPr>
          <w:rFonts w:eastAsia="Times New Roman"/>
          <w:color w:val="000000"/>
        </w:rPr>
        <w:t>, 34</w:t>
      </w:r>
      <w:r w:rsidR="00C65CFF">
        <w:rPr>
          <w:rFonts w:eastAsia="Times New Roman"/>
          <w:color w:val="000000"/>
        </w:rPr>
        <w:t> </w:t>
      </w:r>
      <w:r w:rsidRPr="00E64D2A">
        <w:rPr>
          <w:rFonts w:eastAsia="Times New Roman"/>
          <w:color w:val="000000"/>
        </w:rPr>
        <w:t xml:space="preserve">Cal.App.5th </w:t>
      </w:r>
      <w:r>
        <w:rPr>
          <w:rFonts w:eastAsia="Times New Roman"/>
          <w:color w:val="000000"/>
        </w:rPr>
        <w:t xml:space="preserve">at p. 563; </w:t>
      </w:r>
      <w:r w:rsidRPr="00135CEC">
        <w:rPr>
          <w:rFonts w:eastAsia="Times New Roman"/>
          <w:i/>
          <w:iCs/>
          <w:color w:val="000000"/>
        </w:rPr>
        <w:t>Ramirez</w:t>
      </w:r>
      <w:r>
        <w:rPr>
          <w:rFonts w:eastAsia="Times New Roman"/>
          <w:color w:val="000000"/>
        </w:rPr>
        <w:t xml:space="preserve">, </w:t>
      </w:r>
      <w:r w:rsidRPr="00135CEC">
        <w:rPr>
          <w:rFonts w:eastAsia="Times New Roman"/>
          <w:i/>
          <w:iCs/>
          <w:color w:val="000000"/>
        </w:rPr>
        <w:t>supra</w:t>
      </w:r>
      <w:r>
        <w:rPr>
          <w:rFonts w:eastAsia="Times New Roman"/>
          <w:color w:val="000000"/>
        </w:rPr>
        <w:t xml:space="preserve">, 32 </w:t>
      </w:r>
      <w:r w:rsidRPr="00135CEC">
        <w:rPr>
          <w:rFonts w:eastAsia="Times New Roman"/>
          <w:color w:val="000000"/>
        </w:rPr>
        <w:t xml:space="preserve">Cal.App.5th </w:t>
      </w:r>
      <w:r>
        <w:rPr>
          <w:rFonts w:eastAsia="Times New Roman"/>
          <w:color w:val="000000"/>
        </w:rPr>
        <w:t xml:space="preserve">at p. </w:t>
      </w:r>
      <w:r w:rsidR="00214C86">
        <w:rPr>
          <w:rFonts w:eastAsia="Times New Roman"/>
          <w:color w:val="000000"/>
        </w:rPr>
        <w:t>408</w:t>
      </w:r>
      <w:r>
        <w:rPr>
          <w:rFonts w:eastAsia="Times New Roman"/>
          <w:color w:val="000000"/>
        </w:rPr>
        <w:t xml:space="preserve">; </w:t>
      </w:r>
      <w:r w:rsidRPr="00E64D2A">
        <w:rPr>
          <w:rFonts w:eastAsia="Times New Roman"/>
          <w:i/>
          <w:iCs/>
          <w:color w:val="000000"/>
        </w:rPr>
        <w:t>Bennett</w:t>
      </w:r>
      <w:r>
        <w:rPr>
          <w:rFonts w:eastAsia="Times New Roman"/>
          <w:color w:val="000000"/>
        </w:rPr>
        <w:t xml:space="preserve">, </w:t>
      </w:r>
      <w:r w:rsidRPr="00E64D2A">
        <w:rPr>
          <w:rFonts w:eastAsia="Times New Roman"/>
          <w:i/>
          <w:iCs/>
          <w:color w:val="000000"/>
        </w:rPr>
        <w:t>supra</w:t>
      </w:r>
      <w:r>
        <w:rPr>
          <w:rFonts w:eastAsia="Times New Roman"/>
          <w:color w:val="000000"/>
        </w:rPr>
        <w:t xml:space="preserve">, 26 </w:t>
      </w:r>
      <w:r w:rsidRPr="00E64D2A">
        <w:rPr>
          <w:rFonts w:eastAsia="Times New Roman"/>
          <w:color w:val="000000"/>
        </w:rPr>
        <w:t xml:space="preserve">Cal.App.5th </w:t>
      </w:r>
      <w:r>
        <w:rPr>
          <w:rFonts w:eastAsia="Times New Roman"/>
          <w:color w:val="000000"/>
        </w:rPr>
        <w:t xml:space="preserve">at p. 1027; </w:t>
      </w:r>
      <w:r w:rsidRPr="00E64D2A">
        <w:rPr>
          <w:rFonts w:eastAsia="Times New Roman"/>
          <w:i/>
          <w:iCs/>
          <w:color w:val="000000"/>
        </w:rPr>
        <w:t>Miller</w:t>
      </w:r>
      <w:r>
        <w:rPr>
          <w:rFonts w:eastAsia="Times New Roman"/>
          <w:color w:val="000000"/>
        </w:rPr>
        <w:t xml:space="preserve">, </w:t>
      </w:r>
      <w:r w:rsidRPr="00E64D2A">
        <w:rPr>
          <w:rFonts w:eastAsia="Times New Roman"/>
          <w:i/>
          <w:iCs/>
          <w:color w:val="000000"/>
        </w:rPr>
        <w:t>supra</w:t>
      </w:r>
      <w:r>
        <w:rPr>
          <w:rFonts w:eastAsia="Times New Roman"/>
          <w:color w:val="000000"/>
        </w:rPr>
        <w:t xml:space="preserve">, 14 </w:t>
      </w:r>
      <w:r w:rsidRPr="00E64D2A">
        <w:rPr>
          <w:rFonts w:eastAsia="Times New Roman"/>
          <w:color w:val="000000"/>
        </w:rPr>
        <w:t xml:space="preserve">Cal.App.5th </w:t>
      </w:r>
      <w:r>
        <w:rPr>
          <w:rFonts w:eastAsia="Times New Roman"/>
          <w:color w:val="000000"/>
        </w:rPr>
        <w:t xml:space="preserve">at p. 980.)  None of those cases addressed the effect of their rulings on the underlying murder conviction in the wake of Senate Bill No. 1437 </w:t>
      </w:r>
      <w:r>
        <w:t>(2017-2018 Reg. Sess.)</w:t>
      </w:r>
      <w:r>
        <w:rPr>
          <w:rFonts w:eastAsia="Times New Roman"/>
          <w:color w:val="000000"/>
        </w:rPr>
        <w:t>.</w:t>
      </w:r>
    </w:p>
    <w:p w14:paraId="193FB8A9" w14:textId="77777777" w:rsidR="00EE75B3" w:rsidRDefault="00EE75B3" w:rsidP="008658AD">
      <w:pPr>
        <w:pStyle w:val="FootnoteText"/>
        <w:ind w:firstLine="720"/>
      </w:pPr>
    </w:p>
  </w:footnote>
  <w:footnote w:id="19">
    <w:p w14:paraId="3C5BFAFB" w14:textId="01182715" w:rsidR="00EE75B3" w:rsidRDefault="00F255BF" w:rsidP="00DB664E">
      <w:pPr>
        <w:pStyle w:val="FootnoteText"/>
        <w:spacing w:after="120"/>
        <w:ind w:firstLine="720"/>
      </w:pPr>
      <w:r w:rsidRPr="00AD3C03">
        <w:rPr>
          <w:rStyle w:val="FootnoteReference"/>
          <w:b/>
          <w:bCs/>
        </w:rPr>
        <w:footnoteRef/>
      </w:r>
      <w:r w:rsidRPr="00AD3C03">
        <w:rPr>
          <w:b/>
          <w:bCs/>
        </w:rPr>
        <w:t xml:space="preserve"> </w:t>
      </w:r>
      <w:r>
        <w:t xml:space="preserve"> Indeed, </w:t>
      </w:r>
      <w:r>
        <w:rPr>
          <w:rFonts w:eastAsia="Times New Roman"/>
          <w:color w:val="000000"/>
        </w:rPr>
        <w:t xml:space="preserve">the jury’s not true finding that Price personally used a gun suggests it may not have found that she brandished a gun at Merrill, since the </w:t>
      </w:r>
      <w:r>
        <w:t xml:space="preserve">instructions indicated that “display[ing] the firearm in a menacing manner during the commission of the offense” constituted personal use. </w:t>
      </w:r>
    </w:p>
  </w:footnote>
  <w:footnote w:id="20">
    <w:p w14:paraId="4C5E1EB8" w14:textId="5C21882E" w:rsidR="00EE75B3" w:rsidRDefault="00F255BF" w:rsidP="008658AD">
      <w:pPr>
        <w:pStyle w:val="FootnoteText"/>
        <w:ind w:firstLine="720"/>
      </w:pPr>
      <w:r w:rsidRPr="008658AD">
        <w:rPr>
          <w:rStyle w:val="FootnoteReference"/>
          <w:b/>
          <w:bCs/>
        </w:rPr>
        <w:footnoteRef/>
      </w:r>
      <w:r w:rsidRPr="008658AD">
        <w:rPr>
          <w:b/>
          <w:bCs/>
        </w:rPr>
        <w:t xml:space="preserve"> </w:t>
      </w:r>
      <w:r w:rsidR="00BF16F1">
        <w:rPr>
          <w:b/>
          <w:bCs/>
        </w:rPr>
        <w:t xml:space="preserve"> </w:t>
      </w:r>
      <w:r>
        <w:rPr>
          <w:rFonts w:eastAsia="Times New Roman"/>
          <w:color w:val="000000"/>
        </w:rPr>
        <w:t>Here, the pre-</w:t>
      </w:r>
      <w:r w:rsidRPr="006A53BD">
        <w:rPr>
          <w:rFonts w:eastAsia="Times New Roman"/>
          <w:i/>
          <w:iCs/>
          <w:color w:val="000000"/>
        </w:rPr>
        <w:t>Banks</w:t>
      </w:r>
      <w:r w:rsidR="00BF16F1">
        <w:rPr>
          <w:rFonts w:eastAsia="Times New Roman"/>
          <w:color w:val="000000"/>
        </w:rPr>
        <w:t>/</w:t>
      </w:r>
      <w:r w:rsidRPr="006A53BD">
        <w:rPr>
          <w:rFonts w:eastAsia="Times New Roman"/>
          <w:i/>
          <w:iCs/>
          <w:color w:val="000000"/>
        </w:rPr>
        <w:t>Clark</w:t>
      </w:r>
      <w:r>
        <w:rPr>
          <w:rFonts w:eastAsia="Times New Roman"/>
          <w:i/>
          <w:iCs/>
          <w:color w:val="000000"/>
        </w:rPr>
        <w:t xml:space="preserve"> </w:t>
      </w:r>
      <w:r>
        <w:rPr>
          <w:rFonts w:eastAsia="Times New Roman"/>
          <w:color w:val="000000"/>
        </w:rPr>
        <w:t xml:space="preserve">jury found the special circumstance to be true but the verdict form did not require it to specify which of the three alternatives it relied on.  Thus, we do not know whether it concluded Price was the actual killer, an aider and abettor of the murder acting with intent to kill or a major participant acting with reckless indifference to human life.  </w:t>
      </w:r>
    </w:p>
  </w:footnote>
  <w:footnote w:id="21">
    <w:p w14:paraId="5785696F" w14:textId="0E4ACE61" w:rsidR="00EE75B3" w:rsidRPr="00E8140D" w:rsidRDefault="00F255BF" w:rsidP="0058222A">
      <w:pPr>
        <w:pStyle w:val="FootnoteText"/>
        <w:spacing w:after="120"/>
        <w:ind w:firstLine="720"/>
        <w:rPr>
          <w:b/>
          <w:bCs/>
        </w:rPr>
      </w:pPr>
      <w:r w:rsidRPr="00AD3C03">
        <w:rPr>
          <w:rStyle w:val="FootnoteReference"/>
          <w:b/>
          <w:bCs/>
        </w:rPr>
        <w:footnoteRef/>
      </w:r>
      <w:r w:rsidRPr="00AD3C03">
        <w:rPr>
          <w:b/>
          <w:bCs/>
        </w:rPr>
        <w:t xml:space="preserve"> </w:t>
      </w:r>
      <w:r>
        <w:t xml:space="preserve"> </w:t>
      </w:r>
      <w:r>
        <w:rPr>
          <w:rFonts w:eastAsia="Times New Roman"/>
          <w:color w:val="000000"/>
        </w:rPr>
        <w:t>Fells testified that Price pointed the gun at Merrill</w:t>
      </w:r>
      <w:r w:rsidR="0058222A" w:rsidRPr="00E8140D">
        <w:rPr>
          <w:rFonts w:eastAsia="Times New Roman"/>
          <w:color w:val="000000"/>
        </w:rPr>
        <w:t>’s chest</w:t>
      </w:r>
      <w:r>
        <w:rPr>
          <w:rFonts w:eastAsia="Times New Roman"/>
          <w:color w:val="000000"/>
        </w:rPr>
        <w:t xml:space="preserve"> but that, after Price did so and </w:t>
      </w:r>
      <w:r>
        <w:t>before the shooting, she saw Price on the ground and could not see the gun.</w:t>
      </w:r>
      <w:r>
        <w:rPr>
          <w:b/>
          <w:bCs/>
        </w:rPr>
        <w:t xml:space="preserve"> </w:t>
      </w:r>
      <w:r w:rsidR="00E8140D">
        <w:t xml:space="preserve"> </w:t>
      </w:r>
      <w:r w:rsidR="00E8140D" w:rsidRPr="008457BA">
        <w:t>Fells did not know whether Price had been pushed or tripped or slipped.  Merrill was not on top of Price when she was on the ground.  However, Fells heard two shots and saw a flash.</w:t>
      </w:r>
      <w:r w:rsidR="00E8140D">
        <w:rPr>
          <w:b/>
          <w:bCs/>
        </w:rPr>
        <w:t xml:space="preserve"> </w:t>
      </w:r>
    </w:p>
  </w:footnote>
  <w:footnote w:id="22">
    <w:p w14:paraId="1D8B0E5C" w14:textId="5B36B284" w:rsidR="0058222A" w:rsidRPr="0058222A" w:rsidRDefault="00F255BF" w:rsidP="0058222A">
      <w:pPr>
        <w:pStyle w:val="FootnoteText"/>
        <w:ind w:firstLine="720"/>
        <w:rPr>
          <w:b/>
          <w:bCs/>
        </w:rPr>
      </w:pPr>
      <w:r w:rsidRPr="0058222A">
        <w:rPr>
          <w:rStyle w:val="FootnoteReference"/>
          <w:b/>
          <w:bCs/>
        </w:rPr>
        <w:footnoteRef/>
      </w:r>
      <w:r w:rsidRPr="0058222A">
        <w:rPr>
          <w:b/>
          <w:bCs/>
        </w:rPr>
        <w:t xml:space="preserve"> </w:t>
      </w:r>
      <w:r>
        <w:rPr>
          <w:b/>
          <w:bCs/>
        </w:rPr>
        <w:t xml:space="preserve"> </w:t>
      </w:r>
      <w:r w:rsidRPr="008457BA">
        <w:t>Merrill was six feet two inches tall and weighed 185 pounds.</w:t>
      </w:r>
    </w:p>
  </w:footnote>
  <w:footnote w:id="23">
    <w:p w14:paraId="3BDF64B5" w14:textId="605D3C65" w:rsidR="00EE75B3" w:rsidRDefault="00F255BF" w:rsidP="00556E42">
      <w:pPr>
        <w:pStyle w:val="FootnoteText"/>
        <w:ind w:firstLine="720"/>
      </w:pPr>
      <w:r w:rsidRPr="00301F5B">
        <w:rPr>
          <w:rStyle w:val="FootnoteReference"/>
          <w:b/>
          <w:bCs/>
        </w:rPr>
        <w:footnoteRef/>
      </w:r>
      <w:r w:rsidRPr="00301F5B">
        <w:rPr>
          <w:b/>
          <w:bCs/>
        </w:rPr>
        <w:t xml:space="preserve">  </w:t>
      </w:r>
      <w:r w:rsidRPr="00390D30">
        <w:t xml:space="preserve">Price points out that </w:t>
      </w:r>
      <w:r>
        <w:t xml:space="preserve">some of the murder instructions given in the case permitted the jury to find her guilty of murder under a natural and probable consequences theory, which is no longer permitted by the murder statute.  Price fails to explain how the instructions on these now invalid theories could entitle her to resentencing.  Since the jury necessarily found all of the essential elements for first degree felony murder under the current murder statute when it found the felony-murder special circumstance was true, any error in instructions on other theories would not entitle her to relief.  (See </w:t>
      </w:r>
      <w:r w:rsidRPr="00F81128">
        <w:rPr>
          <w:i/>
          <w:iCs/>
        </w:rPr>
        <w:t>Simmons</w:t>
      </w:r>
      <w:r w:rsidR="00FD48D7">
        <w:t xml:space="preserve">, </w:t>
      </w:r>
      <w:r w:rsidR="00FD48D7">
        <w:rPr>
          <w:i/>
          <w:iCs/>
        </w:rPr>
        <w:t xml:space="preserve">supra, </w:t>
      </w:r>
      <w:r>
        <w:t xml:space="preserve">65 Cal.App.5th </w:t>
      </w:r>
      <w:r w:rsidR="00FD48D7">
        <w:t>at p.</w:t>
      </w:r>
      <w:r>
        <w:t xml:space="preserve"> 747 [“by finding the special circumstance true, the jury made the requisite findings necessary to sustain a felony-murder conviction under the amended law,” </w:t>
      </w:r>
      <w:r w:rsidR="00FD48D7">
        <w:t>“</w:t>
      </w:r>
      <w:r>
        <w:t>rendering him ineligible for resentencing as matter of law”]</w:t>
      </w:r>
      <w:r w:rsidR="00BC77CA">
        <w:t>, rev. gr.</w:t>
      </w:r>
      <w:r>
        <w:t xml:space="preserve">; cf. </w:t>
      </w:r>
      <w:r w:rsidRPr="003967C0">
        <w:rPr>
          <w:i/>
          <w:iCs/>
        </w:rPr>
        <w:t>Gonzalez</w:t>
      </w:r>
      <w:r>
        <w:t xml:space="preserve">, </w:t>
      </w:r>
      <w:r w:rsidRPr="003967C0">
        <w:rPr>
          <w:i/>
          <w:iCs/>
        </w:rPr>
        <w:t>supra</w:t>
      </w:r>
      <w:r>
        <w:t>, 5</w:t>
      </w:r>
      <w:r w:rsidR="00C3024C">
        <w:t> </w:t>
      </w:r>
      <w:r>
        <w:t>Cal.5</w:t>
      </w:r>
      <w:r w:rsidRPr="00E85ED8">
        <w:t>th</w:t>
      </w:r>
      <w:r w:rsidRPr="00E85ED8">
        <w:rPr>
          <w:sz w:val="28"/>
        </w:rPr>
        <w:t xml:space="preserve"> </w:t>
      </w:r>
      <w:r>
        <w:t>at p. 200 [error in failing to give instructions on lesser included offenses and related defenses was harmless where jury made special circumstance finding, which “necessarily demonstrates the jury’s determination that the defendant committed felony murder rather than a lesser form of homicide”];</w:t>
      </w:r>
      <w:r w:rsidR="00FD48D7">
        <w:t xml:space="preserve"> </w:t>
      </w:r>
      <w:r w:rsidR="00FD48D7">
        <w:rPr>
          <w:i/>
          <w:iCs/>
        </w:rPr>
        <w:t>People v.</w:t>
      </w:r>
      <w:r>
        <w:t xml:space="preserve"> </w:t>
      </w:r>
      <w:r w:rsidRPr="003967C0">
        <w:rPr>
          <w:i/>
          <w:iCs/>
        </w:rPr>
        <w:t>Lewis</w:t>
      </w:r>
      <w:r>
        <w:t>,</w:t>
      </w:r>
      <w:r w:rsidR="00FD48D7">
        <w:t xml:space="preserve"> </w:t>
      </w:r>
      <w:r>
        <w:rPr>
          <w:i/>
          <w:iCs/>
        </w:rPr>
        <w:t>supra</w:t>
      </w:r>
      <w:r>
        <w:t xml:space="preserve">, </w:t>
      </w:r>
      <w:r w:rsidRPr="00CC2CCF">
        <w:t xml:space="preserve">25 </w:t>
      </w:r>
      <w:r w:rsidRPr="00AD3C03">
        <w:t>Cal.4th</w:t>
      </w:r>
      <w:r>
        <w:t xml:space="preserve"> at p. 646 [“</w:t>
      </w:r>
      <w:r w:rsidRPr="003967C0">
        <w:t>Error in failing to instruct the jury on a lesser included offense is harmless when the jury necessarily decides the factual questions posed by the omitted instructions adversely to defendant under other properly given instructions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D7A"/>
    <w:multiLevelType w:val="hybridMultilevel"/>
    <w:tmpl w:val="BA8E4DCE"/>
    <w:lvl w:ilvl="0" w:tplc="74DA5096">
      <w:start w:val="1"/>
      <w:numFmt w:val="upperLetter"/>
      <w:lvlText w:val="%1."/>
      <w:lvlJc w:val="left"/>
      <w:pPr>
        <w:ind w:left="720" w:hanging="360"/>
      </w:pPr>
      <w:rPr>
        <w:rFonts w:hint="default"/>
        <w:b/>
        <w:bCs/>
      </w:rPr>
    </w:lvl>
    <w:lvl w:ilvl="1" w:tplc="00FAD318" w:tentative="1">
      <w:start w:val="1"/>
      <w:numFmt w:val="lowerLetter"/>
      <w:lvlText w:val="%2."/>
      <w:lvlJc w:val="left"/>
      <w:pPr>
        <w:ind w:left="1440" w:hanging="360"/>
      </w:pPr>
    </w:lvl>
    <w:lvl w:ilvl="2" w:tplc="D2020C30" w:tentative="1">
      <w:start w:val="1"/>
      <w:numFmt w:val="lowerRoman"/>
      <w:lvlText w:val="%3."/>
      <w:lvlJc w:val="right"/>
      <w:pPr>
        <w:ind w:left="2160" w:hanging="180"/>
      </w:pPr>
    </w:lvl>
    <w:lvl w:ilvl="3" w:tplc="F286C360" w:tentative="1">
      <w:start w:val="1"/>
      <w:numFmt w:val="decimal"/>
      <w:lvlText w:val="%4."/>
      <w:lvlJc w:val="left"/>
      <w:pPr>
        <w:ind w:left="2880" w:hanging="360"/>
      </w:pPr>
    </w:lvl>
    <w:lvl w:ilvl="4" w:tplc="E4866B76" w:tentative="1">
      <w:start w:val="1"/>
      <w:numFmt w:val="lowerLetter"/>
      <w:lvlText w:val="%5."/>
      <w:lvlJc w:val="left"/>
      <w:pPr>
        <w:ind w:left="3600" w:hanging="360"/>
      </w:pPr>
    </w:lvl>
    <w:lvl w:ilvl="5" w:tplc="E988C2B4" w:tentative="1">
      <w:start w:val="1"/>
      <w:numFmt w:val="lowerRoman"/>
      <w:lvlText w:val="%6."/>
      <w:lvlJc w:val="right"/>
      <w:pPr>
        <w:ind w:left="4320" w:hanging="180"/>
      </w:pPr>
    </w:lvl>
    <w:lvl w:ilvl="6" w:tplc="1D385A2E" w:tentative="1">
      <w:start w:val="1"/>
      <w:numFmt w:val="decimal"/>
      <w:lvlText w:val="%7."/>
      <w:lvlJc w:val="left"/>
      <w:pPr>
        <w:ind w:left="5040" w:hanging="360"/>
      </w:pPr>
    </w:lvl>
    <w:lvl w:ilvl="7" w:tplc="29DC520C" w:tentative="1">
      <w:start w:val="1"/>
      <w:numFmt w:val="lowerLetter"/>
      <w:lvlText w:val="%8."/>
      <w:lvlJc w:val="left"/>
      <w:pPr>
        <w:ind w:left="5760" w:hanging="360"/>
      </w:pPr>
    </w:lvl>
    <w:lvl w:ilvl="8" w:tplc="E69A61CA" w:tentative="1">
      <w:start w:val="1"/>
      <w:numFmt w:val="lowerRoman"/>
      <w:lvlText w:val="%9."/>
      <w:lvlJc w:val="right"/>
      <w:pPr>
        <w:ind w:left="6480" w:hanging="180"/>
      </w:pPr>
    </w:lvl>
  </w:abstractNum>
  <w:abstractNum w:abstractNumId="1" w15:restartNumberingAfterBreak="0">
    <w:nsid w:val="2A93117A"/>
    <w:multiLevelType w:val="hybridMultilevel"/>
    <w:tmpl w:val="481AA5D6"/>
    <w:lvl w:ilvl="0" w:tplc="D576BF82">
      <w:start w:val="1"/>
      <w:numFmt w:val="upperRoman"/>
      <w:lvlText w:val="%1."/>
      <w:lvlJc w:val="left"/>
      <w:pPr>
        <w:ind w:left="1080" w:hanging="720"/>
      </w:pPr>
      <w:rPr>
        <w:rFonts w:hint="default"/>
      </w:rPr>
    </w:lvl>
    <w:lvl w:ilvl="1" w:tplc="82684EF2" w:tentative="1">
      <w:start w:val="1"/>
      <w:numFmt w:val="lowerLetter"/>
      <w:lvlText w:val="%2."/>
      <w:lvlJc w:val="left"/>
      <w:pPr>
        <w:ind w:left="1440" w:hanging="360"/>
      </w:pPr>
    </w:lvl>
    <w:lvl w:ilvl="2" w:tplc="18886A3A" w:tentative="1">
      <w:start w:val="1"/>
      <w:numFmt w:val="lowerRoman"/>
      <w:lvlText w:val="%3."/>
      <w:lvlJc w:val="right"/>
      <w:pPr>
        <w:ind w:left="2160" w:hanging="180"/>
      </w:pPr>
    </w:lvl>
    <w:lvl w:ilvl="3" w:tplc="CEAE6FE4" w:tentative="1">
      <w:start w:val="1"/>
      <w:numFmt w:val="decimal"/>
      <w:lvlText w:val="%4."/>
      <w:lvlJc w:val="left"/>
      <w:pPr>
        <w:ind w:left="2880" w:hanging="360"/>
      </w:pPr>
    </w:lvl>
    <w:lvl w:ilvl="4" w:tplc="E916B708" w:tentative="1">
      <w:start w:val="1"/>
      <w:numFmt w:val="lowerLetter"/>
      <w:lvlText w:val="%5."/>
      <w:lvlJc w:val="left"/>
      <w:pPr>
        <w:ind w:left="3600" w:hanging="360"/>
      </w:pPr>
    </w:lvl>
    <w:lvl w:ilvl="5" w:tplc="40463A80" w:tentative="1">
      <w:start w:val="1"/>
      <w:numFmt w:val="lowerRoman"/>
      <w:lvlText w:val="%6."/>
      <w:lvlJc w:val="right"/>
      <w:pPr>
        <w:ind w:left="4320" w:hanging="180"/>
      </w:pPr>
    </w:lvl>
    <w:lvl w:ilvl="6" w:tplc="C434ABF2" w:tentative="1">
      <w:start w:val="1"/>
      <w:numFmt w:val="decimal"/>
      <w:lvlText w:val="%7."/>
      <w:lvlJc w:val="left"/>
      <w:pPr>
        <w:ind w:left="5040" w:hanging="360"/>
      </w:pPr>
    </w:lvl>
    <w:lvl w:ilvl="7" w:tplc="02888044" w:tentative="1">
      <w:start w:val="1"/>
      <w:numFmt w:val="lowerLetter"/>
      <w:lvlText w:val="%8."/>
      <w:lvlJc w:val="left"/>
      <w:pPr>
        <w:ind w:left="5760" w:hanging="360"/>
      </w:pPr>
    </w:lvl>
    <w:lvl w:ilvl="8" w:tplc="21BEC570" w:tentative="1">
      <w:start w:val="1"/>
      <w:numFmt w:val="lowerRoman"/>
      <w:lvlText w:val="%9."/>
      <w:lvlJc w:val="right"/>
      <w:pPr>
        <w:ind w:left="6480" w:hanging="180"/>
      </w:pPr>
    </w:lvl>
  </w:abstractNum>
  <w:abstractNum w:abstractNumId="2" w15:restartNumberingAfterBreak="0">
    <w:nsid w:val="4CA9308E"/>
    <w:multiLevelType w:val="hybridMultilevel"/>
    <w:tmpl w:val="5CCC7AF4"/>
    <w:lvl w:ilvl="0" w:tplc="7C3C7926">
      <w:start w:val="1"/>
      <w:numFmt w:val="upperLetter"/>
      <w:lvlText w:val="%1."/>
      <w:lvlJc w:val="left"/>
      <w:pPr>
        <w:ind w:left="720" w:hanging="360"/>
      </w:pPr>
      <w:rPr>
        <w:rFonts w:hint="default"/>
      </w:rPr>
    </w:lvl>
    <w:lvl w:ilvl="1" w:tplc="38D83F1C" w:tentative="1">
      <w:start w:val="1"/>
      <w:numFmt w:val="lowerLetter"/>
      <w:lvlText w:val="%2."/>
      <w:lvlJc w:val="left"/>
      <w:pPr>
        <w:ind w:left="1440" w:hanging="360"/>
      </w:pPr>
    </w:lvl>
    <w:lvl w:ilvl="2" w:tplc="977616EC" w:tentative="1">
      <w:start w:val="1"/>
      <w:numFmt w:val="lowerRoman"/>
      <w:lvlText w:val="%3."/>
      <w:lvlJc w:val="right"/>
      <w:pPr>
        <w:ind w:left="2160" w:hanging="180"/>
      </w:pPr>
    </w:lvl>
    <w:lvl w:ilvl="3" w:tplc="A50C3E78" w:tentative="1">
      <w:start w:val="1"/>
      <w:numFmt w:val="decimal"/>
      <w:lvlText w:val="%4."/>
      <w:lvlJc w:val="left"/>
      <w:pPr>
        <w:ind w:left="2880" w:hanging="360"/>
      </w:pPr>
    </w:lvl>
    <w:lvl w:ilvl="4" w:tplc="00CE4010" w:tentative="1">
      <w:start w:val="1"/>
      <w:numFmt w:val="lowerLetter"/>
      <w:lvlText w:val="%5."/>
      <w:lvlJc w:val="left"/>
      <w:pPr>
        <w:ind w:left="3600" w:hanging="360"/>
      </w:pPr>
    </w:lvl>
    <w:lvl w:ilvl="5" w:tplc="17A44360" w:tentative="1">
      <w:start w:val="1"/>
      <w:numFmt w:val="lowerRoman"/>
      <w:lvlText w:val="%6."/>
      <w:lvlJc w:val="right"/>
      <w:pPr>
        <w:ind w:left="4320" w:hanging="180"/>
      </w:pPr>
    </w:lvl>
    <w:lvl w:ilvl="6" w:tplc="15E6844A" w:tentative="1">
      <w:start w:val="1"/>
      <w:numFmt w:val="decimal"/>
      <w:lvlText w:val="%7."/>
      <w:lvlJc w:val="left"/>
      <w:pPr>
        <w:ind w:left="5040" w:hanging="360"/>
      </w:pPr>
    </w:lvl>
    <w:lvl w:ilvl="7" w:tplc="87F2DFD0" w:tentative="1">
      <w:start w:val="1"/>
      <w:numFmt w:val="lowerLetter"/>
      <w:lvlText w:val="%8."/>
      <w:lvlJc w:val="left"/>
      <w:pPr>
        <w:ind w:left="5760" w:hanging="360"/>
      </w:pPr>
    </w:lvl>
    <w:lvl w:ilvl="8" w:tplc="DFC64128"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FC"/>
    <w:rsid w:val="00001F51"/>
    <w:rsid w:val="00011E16"/>
    <w:rsid w:val="00014B37"/>
    <w:rsid w:val="0001513A"/>
    <w:rsid w:val="0001625E"/>
    <w:rsid w:val="00016886"/>
    <w:rsid w:val="00017D0B"/>
    <w:rsid w:val="00023630"/>
    <w:rsid w:val="000265E0"/>
    <w:rsid w:val="00027CD0"/>
    <w:rsid w:val="00030552"/>
    <w:rsid w:val="0003108D"/>
    <w:rsid w:val="000503A6"/>
    <w:rsid w:val="00052AD4"/>
    <w:rsid w:val="0005357F"/>
    <w:rsid w:val="00053CDA"/>
    <w:rsid w:val="00053E13"/>
    <w:rsid w:val="00056790"/>
    <w:rsid w:val="00057738"/>
    <w:rsid w:val="000805C7"/>
    <w:rsid w:val="00081506"/>
    <w:rsid w:val="00081CF6"/>
    <w:rsid w:val="00087709"/>
    <w:rsid w:val="0009036C"/>
    <w:rsid w:val="00090D83"/>
    <w:rsid w:val="00096F4A"/>
    <w:rsid w:val="000A3362"/>
    <w:rsid w:val="000A40D8"/>
    <w:rsid w:val="000A5CEE"/>
    <w:rsid w:val="000B0DB8"/>
    <w:rsid w:val="000B344A"/>
    <w:rsid w:val="000B471E"/>
    <w:rsid w:val="000D1D27"/>
    <w:rsid w:val="000D2838"/>
    <w:rsid w:val="000D40C0"/>
    <w:rsid w:val="000E1FCC"/>
    <w:rsid w:val="000E568F"/>
    <w:rsid w:val="000E5A45"/>
    <w:rsid w:val="000E5F42"/>
    <w:rsid w:val="000E6D18"/>
    <w:rsid w:val="000F2998"/>
    <w:rsid w:val="000F31C7"/>
    <w:rsid w:val="000F5A58"/>
    <w:rsid w:val="00101833"/>
    <w:rsid w:val="00101FFF"/>
    <w:rsid w:val="00102731"/>
    <w:rsid w:val="00106024"/>
    <w:rsid w:val="001070D9"/>
    <w:rsid w:val="001108DE"/>
    <w:rsid w:val="001108ED"/>
    <w:rsid w:val="001119B2"/>
    <w:rsid w:val="0012195F"/>
    <w:rsid w:val="00122243"/>
    <w:rsid w:val="00126F72"/>
    <w:rsid w:val="00127BF2"/>
    <w:rsid w:val="00135CEC"/>
    <w:rsid w:val="00136C51"/>
    <w:rsid w:val="0015054E"/>
    <w:rsid w:val="0015079B"/>
    <w:rsid w:val="00153ABC"/>
    <w:rsid w:val="00162959"/>
    <w:rsid w:val="0016662A"/>
    <w:rsid w:val="00166887"/>
    <w:rsid w:val="001702BA"/>
    <w:rsid w:val="00171621"/>
    <w:rsid w:val="001764BB"/>
    <w:rsid w:val="00192A3E"/>
    <w:rsid w:val="0019493B"/>
    <w:rsid w:val="00194DAA"/>
    <w:rsid w:val="00195746"/>
    <w:rsid w:val="00195922"/>
    <w:rsid w:val="001A5DC2"/>
    <w:rsid w:val="001B13BF"/>
    <w:rsid w:val="001B2DEE"/>
    <w:rsid w:val="001C0AB4"/>
    <w:rsid w:val="001C241A"/>
    <w:rsid w:val="001C3A50"/>
    <w:rsid w:val="001C719E"/>
    <w:rsid w:val="001D056E"/>
    <w:rsid w:val="001F4882"/>
    <w:rsid w:val="001F5A7E"/>
    <w:rsid w:val="001F60B6"/>
    <w:rsid w:val="00200D83"/>
    <w:rsid w:val="00204776"/>
    <w:rsid w:val="00204A22"/>
    <w:rsid w:val="0020734D"/>
    <w:rsid w:val="00210D8F"/>
    <w:rsid w:val="00214C86"/>
    <w:rsid w:val="00215AAE"/>
    <w:rsid w:val="00216372"/>
    <w:rsid w:val="00220A77"/>
    <w:rsid w:val="00224A96"/>
    <w:rsid w:val="0022531C"/>
    <w:rsid w:val="00235DB2"/>
    <w:rsid w:val="002366FF"/>
    <w:rsid w:val="0023675C"/>
    <w:rsid w:val="00244FE7"/>
    <w:rsid w:val="00247A39"/>
    <w:rsid w:val="002504A3"/>
    <w:rsid w:val="0025232B"/>
    <w:rsid w:val="00252736"/>
    <w:rsid w:val="00254EFC"/>
    <w:rsid w:val="00255B8F"/>
    <w:rsid w:val="00256C25"/>
    <w:rsid w:val="00257C52"/>
    <w:rsid w:val="00262723"/>
    <w:rsid w:val="002627D6"/>
    <w:rsid w:val="00273800"/>
    <w:rsid w:val="00274B0E"/>
    <w:rsid w:val="00275E8F"/>
    <w:rsid w:val="00280CF1"/>
    <w:rsid w:val="00283A05"/>
    <w:rsid w:val="00283B84"/>
    <w:rsid w:val="002877E0"/>
    <w:rsid w:val="00294733"/>
    <w:rsid w:val="00294971"/>
    <w:rsid w:val="00294E6D"/>
    <w:rsid w:val="00296512"/>
    <w:rsid w:val="002965CD"/>
    <w:rsid w:val="00297827"/>
    <w:rsid w:val="002A0D4D"/>
    <w:rsid w:val="002A272D"/>
    <w:rsid w:val="002A296C"/>
    <w:rsid w:val="002A2D76"/>
    <w:rsid w:val="002A44C3"/>
    <w:rsid w:val="002B16FB"/>
    <w:rsid w:val="002B185F"/>
    <w:rsid w:val="002B2C02"/>
    <w:rsid w:val="002B3FCD"/>
    <w:rsid w:val="002B5089"/>
    <w:rsid w:val="002C068F"/>
    <w:rsid w:val="002C3E6C"/>
    <w:rsid w:val="002C742C"/>
    <w:rsid w:val="002C7D3E"/>
    <w:rsid w:val="002D7DB0"/>
    <w:rsid w:val="002E47B3"/>
    <w:rsid w:val="002F3372"/>
    <w:rsid w:val="002F4802"/>
    <w:rsid w:val="002F4BA9"/>
    <w:rsid w:val="002F6C12"/>
    <w:rsid w:val="002F7022"/>
    <w:rsid w:val="00301F5B"/>
    <w:rsid w:val="00306684"/>
    <w:rsid w:val="00310FFC"/>
    <w:rsid w:val="00312043"/>
    <w:rsid w:val="00320553"/>
    <w:rsid w:val="00320726"/>
    <w:rsid w:val="003211AF"/>
    <w:rsid w:val="00325E20"/>
    <w:rsid w:val="003310E2"/>
    <w:rsid w:val="00332D51"/>
    <w:rsid w:val="003350C9"/>
    <w:rsid w:val="00340EC1"/>
    <w:rsid w:val="00344401"/>
    <w:rsid w:val="00346514"/>
    <w:rsid w:val="0035083B"/>
    <w:rsid w:val="00354F5C"/>
    <w:rsid w:val="00355986"/>
    <w:rsid w:val="0035628E"/>
    <w:rsid w:val="00357BF3"/>
    <w:rsid w:val="003662CF"/>
    <w:rsid w:val="00366E67"/>
    <w:rsid w:val="00372176"/>
    <w:rsid w:val="0037265F"/>
    <w:rsid w:val="00373D20"/>
    <w:rsid w:val="0037502A"/>
    <w:rsid w:val="00375F1B"/>
    <w:rsid w:val="003763E8"/>
    <w:rsid w:val="00376D78"/>
    <w:rsid w:val="00380F6C"/>
    <w:rsid w:val="00382CCF"/>
    <w:rsid w:val="00390D30"/>
    <w:rsid w:val="00391E05"/>
    <w:rsid w:val="00392018"/>
    <w:rsid w:val="00392C8F"/>
    <w:rsid w:val="00392F67"/>
    <w:rsid w:val="00393BAC"/>
    <w:rsid w:val="00394BCA"/>
    <w:rsid w:val="00396046"/>
    <w:rsid w:val="00396635"/>
    <w:rsid w:val="00396702"/>
    <w:rsid w:val="003967C0"/>
    <w:rsid w:val="00396DF5"/>
    <w:rsid w:val="003A06EB"/>
    <w:rsid w:val="003A0DD4"/>
    <w:rsid w:val="003A5FC6"/>
    <w:rsid w:val="003B3790"/>
    <w:rsid w:val="003B39FD"/>
    <w:rsid w:val="003B46C5"/>
    <w:rsid w:val="003B694F"/>
    <w:rsid w:val="003C2F19"/>
    <w:rsid w:val="003C45F4"/>
    <w:rsid w:val="003C4806"/>
    <w:rsid w:val="003C661C"/>
    <w:rsid w:val="003D0605"/>
    <w:rsid w:val="003D35D0"/>
    <w:rsid w:val="003D736B"/>
    <w:rsid w:val="003E0736"/>
    <w:rsid w:val="003F1230"/>
    <w:rsid w:val="003F1D79"/>
    <w:rsid w:val="003F476D"/>
    <w:rsid w:val="003F4A65"/>
    <w:rsid w:val="003F5F45"/>
    <w:rsid w:val="00402639"/>
    <w:rsid w:val="004046CB"/>
    <w:rsid w:val="00404AC3"/>
    <w:rsid w:val="00405AB5"/>
    <w:rsid w:val="00411A53"/>
    <w:rsid w:val="00412D71"/>
    <w:rsid w:val="00416C19"/>
    <w:rsid w:val="004256B4"/>
    <w:rsid w:val="004260CD"/>
    <w:rsid w:val="00430663"/>
    <w:rsid w:val="004307C3"/>
    <w:rsid w:val="00431116"/>
    <w:rsid w:val="004355D1"/>
    <w:rsid w:val="00435FBC"/>
    <w:rsid w:val="004360D4"/>
    <w:rsid w:val="00437CAC"/>
    <w:rsid w:val="00447FEA"/>
    <w:rsid w:val="0045316E"/>
    <w:rsid w:val="00465871"/>
    <w:rsid w:val="00465C25"/>
    <w:rsid w:val="00465F80"/>
    <w:rsid w:val="00470B75"/>
    <w:rsid w:val="0047430E"/>
    <w:rsid w:val="004746EE"/>
    <w:rsid w:val="00474C43"/>
    <w:rsid w:val="00477CE8"/>
    <w:rsid w:val="00481413"/>
    <w:rsid w:val="00492711"/>
    <w:rsid w:val="00492BD6"/>
    <w:rsid w:val="00495C53"/>
    <w:rsid w:val="00495F67"/>
    <w:rsid w:val="004A489C"/>
    <w:rsid w:val="004A64BE"/>
    <w:rsid w:val="004B01DE"/>
    <w:rsid w:val="004B4AEA"/>
    <w:rsid w:val="004B6432"/>
    <w:rsid w:val="004B6FB9"/>
    <w:rsid w:val="004C4BAF"/>
    <w:rsid w:val="004C6B6A"/>
    <w:rsid w:val="004D590A"/>
    <w:rsid w:val="004E6563"/>
    <w:rsid w:val="004F288E"/>
    <w:rsid w:val="005016E3"/>
    <w:rsid w:val="005052B1"/>
    <w:rsid w:val="005068EE"/>
    <w:rsid w:val="0050768A"/>
    <w:rsid w:val="00520A70"/>
    <w:rsid w:val="005218CB"/>
    <w:rsid w:val="00522C05"/>
    <w:rsid w:val="0052578B"/>
    <w:rsid w:val="0052749D"/>
    <w:rsid w:val="005476DE"/>
    <w:rsid w:val="00547D8A"/>
    <w:rsid w:val="00550339"/>
    <w:rsid w:val="0055051A"/>
    <w:rsid w:val="0055224A"/>
    <w:rsid w:val="0055240E"/>
    <w:rsid w:val="00554B78"/>
    <w:rsid w:val="00556E42"/>
    <w:rsid w:val="005571DA"/>
    <w:rsid w:val="0055768B"/>
    <w:rsid w:val="00561BAB"/>
    <w:rsid w:val="00564C06"/>
    <w:rsid w:val="00565EDE"/>
    <w:rsid w:val="005676AD"/>
    <w:rsid w:val="00576208"/>
    <w:rsid w:val="00576D0E"/>
    <w:rsid w:val="0058222A"/>
    <w:rsid w:val="00583B79"/>
    <w:rsid w:val="00587B30"/>
    <w:rsid w:val="00591AD2"/>
    <w:rsid w:val="0059307F"/>
    <w:rsid w:val="005938EF"/>
    <w:rsid w:val="005958EF"/>
    <w:rsid w:val="005A7DE2"/>
    <w:rsid w:val="005B018F"/>
    <w:rsid w:val="005B287F"/>
    <w:rsid w:val="005B50E1"/>
    <w:rsid w:val="005B5BEB"/>
    <w:rsid w:val="005B6DB8"/>
    <w:rsid w:val="005C2A2D"/>
    <w:rsid w:val="005C55EA"/>
    <w:rsid w:val="005C6DF5"/>
    <w:rsid w:val="005C78C4"/>
    <w:rsid w:val="005D1CED"/>
    <w:rsid w:val="005D562B"/>
    <w:rsid w:val="005E117C"/>
    <w:rsid w:val="005E4690"/>
    <w:rsid w:val="005E4AC8"/>
    <w:rsid w:val="005F6137"/>
    <w:rsid w:val="00601CF8"/>
    <w:rsid w:val="00602177"/>
    <w:rsid w:val="00605C28"/>
    <w:rsid w:val="00611DE4"/>
    <w:rsid w:val="00612412"/>
    <w:rsid w:val="00615AE9"/>
    <w:rsid w:val="0061663B"/>
    <w:rsid w:val="00620411"/>
    <w:rsid w:val="00621383"/>
    <w:rsid w:val="00621579"/>
    <w:rsid w:val="00627655"/>
    <w:rsid w:val="00627806"/>
    <w:rsid w:val="0063313E"/>
    <w:rsid w:val="00633D2F"/>
    <w:rsid w:val="006431A3"/>
    <w:rsid w:val="006434B6"/>
    <w:rsid w:val="006450A8"/>
    <w:rsid w:val="0064707B"/>
    <w:rsid w:val="00647085"/>
    <w:rsid w:val="0065401C"/>
    <w:rsid w:val="00655D2E"/>
    <w:rsid w:val="00655E60"/>
    <w:rsid w:val="00660AB3"/>
    <w:rsid w:val="00661569"/>
    <w:rsid w:val="006627F3"/>
    <w:rsid w:val="00663D5F"/>
    <w:rsid w:val="006659D6"/>
    <w:rsid w:val="00665C70"/>
    <w:rsid w:val="00667A63"/>
    <w:rsid w:val="00680BF0"/>
    <w:rsid w:val="00686D88"/>
    <w:rsid w:val="00687C21"/>
    <w:rsid w:val="00691290"/>
    <w:rsid w:val="0069380C"/>
    <w:rsid w:val="006945B8"/>
    <w:rsid w:val="006A53BD"/>
    <w:rsid w:val="006B1921"/>
    <w:rsid w:val="006B60AB"/>
    <w:rsid w:val="006E12E3"/>
    <w:rsid w:val="006E1C42"/>
    <w:rsid w:val="006E313E"/>
    <w:rsid w:val="006E4629"/>
    <w:rsid w:val="006E6B89"/>
    <w:rsid w:val="006E7922"/>
    <w:rsid w:val="006E7F12"/>
    <w:rsid w:val="006F617A"/>
    <w:rsid w:val="006F7095"/>
    <w:rsid w:val="00700228"/>
    <w:rsid w:val="00703632"/>
    <w:rsid w:val="0070452C"/>
    <w:rsid w:val="00712B92"/>
    <w:rsid w:val="00720635"/>
    <w:rsid w:val="00720D80"/>
    <w:rsid w:val="00724BCD"/>
    <w:rsid w:val="007257D3"/>
    <w:rsid w:val="00730D90"/>
    <w:rsid w:val="00732B37"/>
    <w:rsid w:val="00732D30"/>
    <w:rsid w:val="00733DF0"/>
    <w:rsid w:val="007471DA"/>
    <w:rsid w:val="00750E0B"/>
    <w:rsid w:val="00752411"/>
    <w:rsid w:val="00761BEF"/>
    <w:rsid w:val="00764FCC"/>
    <w:rsid w:val="0076553F"/>
    <w:rsid w:val="00766113"/>
    <w:rsid w:val="0077178E"/>
    <w:rsid w:val="00775966"/>
    <w:rsid w:val="00775B96"/>
    <w:rsid w:val="00776033"/>
    <w:rsid w:val="007813CE"/>
    <w:rsid w:val="00782A16"/>
    <w:rsid w:val="00784235"/>
    <w:rsid w:val="007855B6"/>
    <w:rsid w:val="007871DF"/>
    <w:rsid w:val="00787C20"/>
    <w:rsid w:val="00791347"/>
    <w:rsid w:val="00794BED"/>
    <w:rsid w:val="00795D91"/>
    <w:rsid w:val="0079629D"/>
    <w:rsid w:val="007A2790"/>
    <w:rsid w:val="007A314A"/>
    <w:rsid w:val="007A6CBC"/>
    <w:rsid w:val="007B14AE"/>
    <w:rsid w:val="007B1FD6"/>
    <w:rsid w:val="007C11EA"/>
    <w:rsid w:val="007C2021"/>
    <w:rsid w:val="007C709D"/>
    <w:rsid w:val="007D2D3B"/>
    <w:rsid w:val="007D509E"/>
    <w:rsid w:val="007F03F9"/>
    <w:rsid w:val="007F1876"/>
    <w:rsid w:val="007F6EC3"/>
    <w:rsid w:val="00801EAA"/>
    <w:rsid w:val="008073D6"/>
    <w:rsid w:val="0080778D"/>
    <w:rsid w:val="0081024A"/>
    <w:rsid w:val="00811161"/>
    <w:rsid w:val="00811F65"/>
    <w:rsid w:val="008166BF"/>
    <w:rsid w:val="0082185E"/>
    <w:rsid w:val="00821ABA"/>
    <w:rsid w:val="00827C47"/>
    <w:rsid w:val="008317B5"/>
    <w:rsid w:val="008322DA"/>
    <w:rsid w:val="00841AE6"/>
    <w:rsid w:val="00844C1A"/>
    <w:rsid w:val="008457BA"/>
    <w:rsid w:val="008458F2"/>
    <w:rsid w:val="00845EEF"/>
    <w:rsid w:val="00846C95"/>
    <w:rsid w:val="008520E1"/>
    <w:rsid w:val="00857147"/>
    <w:rsid w:val="0086192F"/>
    <w:rsid w:val="008658AD"/>
    <w:rsid w:val="008720B2"/>
    <w:rsid w:val="00873737"/>
    <w:rsid w:val="00875355"/>
    <w:rsid w:val="00876CC6"/>
    <w:rsid w:val="008779E9"/>
    <w:rsid w:val="0088458F"/>
    <w:rsid w:val="00892560"/>
    <w:rsid w:val="00893429"/>
    <w:rsid w:val="008944DC"/>
    <w:rsid w:val="0089619D"/>
    <w:rsid w:val="008963D7"/>
    <w:rsid w:val="008A06A4"/>
    <w:rsid w:val="008B3A32"/>
    <w:rsid w:val="008B4304"/>
    <w:rsid w:val="008B62FF"/>
    <w:rsid w:val="008C1461"/>
    <w:rsid w:val="008D2473"/>
    <w:rsid w:val="008D4FF9"/>
    <w:rsid w:val="008D508B"/>
    <w:rsid w:val="008E0DB7"/>
    <w:rsid w:val="008E5A94"/>
    <w:rsid w:val="008E754F"/>
    <w:rsid w:val="008F00AA"/>
    <w:rsid w:val="008F6AE7"/>
    <w:rsid w:val="009049D6"/>
    <w:rsid w:val="00906D99"/>
    <w:rsid w:val="0090766D"/>
    <w:rsid w:val="00910538"/>
    <w:rsid w:val="009138BF"/>
    <w:rsid w:val="00914560"/>
    <w:rsid w:val="0091741B"/>
    <w:rsid w:val="009218F8"/>
    <w:rsid w:val="00923042"/>
    <w:rsid w:val="00924F61"/>
    <w:rsid w:val="00925F48"/>
    <w:rsid w:val="00927C19"/>
    <w:rsid w:val="00934493"/>
    <w:rsid w:val="00935C31"/>
    <w:rsid w:val="009401E6"/>
    <w:rsid w:val="00942ADE"/>
    <w:rsid w:val="00943441"/>
    <w:rsid w:val="009436BB"/>
    <w:rsid w:val="00943856"/>
    <w:rsid w:val="0094719A"/>
    <w:rsid w:val="00951155"/>
    <w:rsid w:val="00954BAE"/>
    <w:rsid w:val="00964063"/>
    <w:rsid w:val="00964470"/>
    <w:rsid w:val="00966D84"/>
    <w:rsid w:val="0097059E"/>
    <w:rsid w:val="0097092D"/>
    <w:rsid w:val="009764F8"/>
    <w:rsid w:val="0097776A"/>
    <w:rsid w:val="00981653"/>
    <w:rsid w:val="00981736"/>
    <w:rsid w:val="00981AE8"/>
    <w:rsid w:val="00997096"/>
    <w:rsid w:val="009A0A2F"/>
    <w:rsid w:val="009A14CB"/>
    <w:rsid w:val="009A1F47"/>
    <w:rsid w:val="009B0DA9"/>
    <w:rsid w:val="009B6056"/>
    <w:rsid w:val="009C5FFC"/>
    <w:rsid w:val="009D1915"/>
    <w:rsid w:val="009D2CA1"/>
    <w:rsid w:val="009D3366"/>
    <w:rsid w:val="009D42FA"/>
    <w:rsid w:val="009E3F75"/>
    <w:rsid w:val="009E5CC2"/>
    <w:rsid w:val="009E624E"/>
    <w:rsid w:val="009E6CB6"/>
    <w:rsid w:val="009E7573"/>
    <w:rsid w:val="009F071E"/>
    <w:rsid w:val="009F13F4"/>
    <w:rsid w:val="009F229A"/>
    <w:rsid w:val="009F64D9"/>
    <w:rsid w:val="009F688F"/>
    <w:rsid w:val="00A002C3"/>
    <w:rsid w:val="00A0424F"/>
    <w:rsid w:val="00A06052"/>
    <w:rsid w:val="00A061BC"/>
    <w:rsid w:val="00A0642E"/>
    <w:rsid w:val="00A07DCC"/>
    <w:rsid w:val="00A11B06"/>
    <w:rsid w:val="00A20931"/>
    <w:rsid w:val="00A24A97"/>
    <w:rsid w:val="00A24EFC"/>
    <w:rsid w:val="00A3173E"/>
    <w:rsid w:val="00A32523"/>
    <w:rsid w:val="00A34BB5"/>
    <w:rsid w:val="00A3630A"/>
    <w:rsid w:val="00A43C5F"/>
    <w:rsid w:val="00A43F5B"/>
    <w:rsid w:val="00A46478"/>
    <w:rsid w:val="00A469D1"/>
    <w:rsid w:val="00A46BD9"/>
    <w:rsid w:val="00A63155"/>
    <w:rsid w:val="00A654D6"/>
    <w:rsid w:val="00A7148F"/>
    <w:rsid w:val="00A81B85"/>
    <w:rsid w:val="00A83116"/>
    <w:rsid w:val="00A8644C"/>
    <w:rsid w:val="00A877D4"/>
    <w:rsid w:val="00A970F8"/>
    <w:rsid w:val="00AA02BB"/>
    <w:rsid w:val="00AA1AE6"/>
    <w:rsid w:val="00AA2086"/>
    <w:rsid w:val="00AA43B3"/>
    <w:rsid w:val="00AB12F7"/>
    <w:rsid w:val="00AB2B22"/>
    <w:rsid w:val="00AB2D5B"/>
    <w:rsid w:val="00AB32E0"/>
    <w:rsid w:val="00AB790D"/>
    <w:rsid w:val="00AC6C22"/>
    <w:rsid w:val="00AC6E25"/>
    <w:rsid w:val="00AC7874"/>
    <w:rsid w:val="00AD197F"/>
    <w:rsid w:val="00AD1BDE"/>
    <w:rsid w:val="00AD23F3"/>
    <w:rsid w:val="00AD2746"/>
    <w:rsid w:val="00AD28AC"/>
    <w:rsid w:val="00AD3C03"/>
    <w:rsid w:val="00AD4613"/>
    <w:rsid w:val="00AE4715"/>
    <w:rsid w:val="00AF0472"/>
    <w:rsid w:val="00AF2422"/>
    <w:rsid w:val="00AF3995"/>
    <w:rsid w:val="00AF6919"/>
    <w:rsid w:val="00B0280B"/>
    <w:rsid w:val="00B07477"/>
    <w:rsid w:val="00B12913"/>
    <w:rsid w:val="00B13A62"/>
    <w:rsid w:val="00B140C0"/>
    <w:rsid w:val="00B148D3"/>
    <w:rsid w:val="00B16E5D"/>
    <w:rsid w:val="00B17AFC"/>
    <w:rsid w:val="00B2225F"/>
    <w:rsid w:val="00B26898"/>
    <w:rsid w:val="00B30DC5"/>
    <w:rsid w:val="00B32497"/>
    <w:rsid w:val="00B3293F"/>
    <w:rsid w:val="00B4417B"/>
    <w:rsid w:val="00B465AD"/>
    <w:rsid w:val="00B5244C"/>
    <w:rsid w:val="00B52F3B"/>
    <w:rsid w:val="00B530EE"/>
    <w:rsid w:val="00B53709"/>
    <w:rsid w:val="00B54E37"/>
    <w:rsid w:val="00B573DB"/>
    <w:rsid w:val="00B70542"/>
    <w:rsid w:val="00B70D95"/>
    <w:rsid w:val="00B71B6F"/>
    <w:rsid w:val="00B73D81"/>
    <w:rsid w:val="00B759C1"/>
    <w:rsid w:val="00B813DD"/>
    <w:rsid w:val="00B849C1"/>
    <w:rsid w:val="00B85296"/>
    <w:rsid w:val="00B85AF6"/>
    <w:rsid w:val="00B97118"/>
    <w:rsid w:val="00B97716"/>
    <w:rsid w:val="00BA0D16"/>
    <w:rsid w:val="00BA3603"/>
    <w:rsid w:val="00BA41BD"/>
    <w:rsid w:val="00BA4E7C"/>
    <w:rsid w:val="00BB0F00"/>
    <w:rsid w:val="00BB2E3B"/>
    <w:rsid w:val="00BB72AA"/>
    <w:rsid w:val="00BC0754"/>
    <w:rsid w:val="00BC10E1"/>
    <w:rsid w:val="00BC2650"/>
    <w:rsid w:val="00BC4E1B"/>
    <w:rsid w:val="00BC77CA"/>
    <w:rsid w:val="00BD1DA7"/>
    <w:rsid w:val="00BF0EE8"/>
    <w:rsid w:val="00BF15D4"/>
    <w:rsid w:val="00BF16F1"/>
    <w:rsid w:val="00BF43FA"/>
    <w:rsid w:val="00BF4C42"/>
    <w:rsid w:val="00C02977"/>
    <w:rsid w:val="00C02AF0"/>
    <w:rsid w:val="00C05001"/>
    <w:rsid w:val="00C067ED"/>
    <w:rsid w:val="00C10CE4"/>
    <w:rsid w:val="00C124C3"/>
    <w:rsid w:val="00C12A3E"/>
    <w:rsid w:val="00C13BAC"/>
    <w:rsid w:val="00C15E97"/>
    <w:rsid w:val="00C20AC9"/>
    <w:rsid w:val="00C24753"/>
    <w:rsid w:val="00C3024C"/>
    <w:rsid w:val="00C30E26"/>
    <w:rsid w:val="00C3636E"/>
    <w:rsid w:val="00C37281"/>
    <w:rsid w:val="00C37286"/>
    <w:rsid w:val="00C41EE2"/>
    <w:rsid w:val="00C42B42"/>
    <w:rsid w:val="00C44E5B"/>
    <w:rsid w:val="00C4515C"/>
    <w:rsid w:val="00C46F5E"/>
    <w:rsid w:val="00C564CD"/>
    <w:rsid w:val="00C5718E"/>
    <w:rsid w:val="00C62D40"/>
    <w:rsid w:val="00C65CFF"/>
    <w:rsid w:val="00C70287"/>
    <w:rsid w:val="00C71ABC"/>
    <w:rsid w:val="00C73E34"/>
    <w:rsid w:val="00C83CB3"/>
    <w:rsid w:val="00C83F2E"/>
    <w:rsid w:val="00C84B5E"/>
    <w:rsid w:val="00C84E66"/>
    <w:rsid w:val="00C856DE"/>
    <w:rsid w:val="00C92352"/>
    <w:rsid w:val="00C95651"/>
    <w:rsid w:val="00C9645B"/>
    <w:rsid w:val="00C97F1A"/>
    <w:rsid w:val="00CA654B"/>
    <w:rsid w:val="00CC2CCF"/>
    <w:rsid w:val="00CC4A35"/>
    <w:rsid w:val="00CC6E4A"/>
    <w:rsid w:val="00CC703A"/>
    <w:rsid w:val="00CD09B5"/>
    <w:rsid w:val="00CD17E7"/>
    <w:rsid w:val="00CD4446"/>
    <w:rsid w:val="00CD6331"/>
    <w:rsid w:val="00CD77FF"/>
    <w:rsid w:val="00CE2A62"/>
    <w:rsid w:val="00CE775F"/>
    <w:rsid w:val="00CF395C"/>
    <w:rsid w:val="00CF7093"/>
    <w:rsid w:val="00D03538"/>
    <w:rsid w:val="00D04769"/>
    <w:rsid w:val="00D04DCC"/>
    <w:rsid w:val="00D061C6"/>
    <w:rsid w:val="00D067A8"/>
    <w:rsid w:val="00D06816"/>
    <w:rsid w:val="00D11D62"/>
    <w:rsid w:val="00D11EE8"/>
    <w:rsid w:val="00D12209"/>
    <w:rsid w:val="00D15964"/>
    <w:rsid w:val="00D24F12"/>
    <w:rsid w:val="00D26DBF"/>
    <w:rsid w:val="00D31673"/>
    <w:rsid w:val="00D3274C"/>
    <w:rsid w:val="00D44F48"/>
    <w:rsid w:val="00D466FD"/>
    <w:rsid w:val="00D5140B"/>
    <w:rsid w:val="00D5326A"/>
    <w:rsid w:val="00D54275"/>
    <w:rsid w:val="00D544FD"/>
    <w:rsid w:val="00D61FE6"/>
    <w:rsid w:val="00D74AC1"/>
    <w:rsid w:val="00D770DF"/>
    <w:rsid w:val="00D82427"/>
    <w:rsid w:val="00D84EAE"/>
    <w:rsid w:val="00D86674"/>
    <w:rsid w:val="00D86A16"/>
    <w:rsid w:val="00D919CA"/>
    <w:rsid w:val="00D930C3"/>
    <w:rsid w:val="00D97BC5"/>
    <w:rsid w:val="00D97C10"/>
    <w:rsid w:val="00DA0DB8"/>
    <w:rsid w:val="00DA744C"/>
    <w:rsid w:val="00DA74DC"/>
    <w:rsid w:val="00DB06FA"/>
    <w:rsid w:val="00DB2E2D"/>
    <w:rsid w:val="00DB3750"/>
    <w:rsid w:val="00DB492B"/>
    <w:rsid w:val="00DB6566"/>
    <w:rsid w:val="00DB664E"/>
    <w:rsid w:val="00DC1AA0"/>
    <w:rsid w:val="00DC47AB"/>
    <w:rsid w:val="00DC4D3E"/>
    <w:rsid w:val="00DC6BC2"/>
    <w:rsid w:val="00DC6D27"/>
    <w:rsid w:val="00DC72F5"/>
    <w:rsid w:val="00DD3789"/>
    <w:rsid w:val="00DD7AD3"/>
    <w:rsid w:val="00DE2A43"/>
    <w:rsid w:val="00DE6015"/>
    <w:rsid w:val="00DE6047"/>
    <w:rsid w:val="00DE6E42"/>
    <w:rsid w:val="00DF1E4D"/>
    <w:rsid w:val="00DF1EA6"/>
    <w:rsid w:val="00DF57F5"/>
    <w:rsid w:val="00E02368"/>
    <w:rsid w:val="00E03A23"/>
    <w:rsid w:val="00E040FF"/>
    <w:rsid w:val="00E053F3"/>
    <w:rsid w:val="00E12319"/>
    <w:rsid w:val="00E12F0A"/>
    <w:rsid w:val="00E152DC"/>
    <w:rsid w:val="00E17DD7"/>
    <w:rsid w:val="00E20141"/>
    <w:rsid w:val="00E21A38"/>
    <w:rsid w:val="00E25410"/>
    <w:rsid w:val="00E2725A"/>
    <w:rsid w:val="00E31507"/>
    <w:rsid w:val="00E32482"/>
    <w:rsid w:val="00E329E1"/>
    <w:rsid w:val="00E35CAA"/>
    <w:rsid w:val="00E40A1D"/>
    <w:rsid w:val="00E43681"/>
    <w:rsid w:val="00E43B6B"/>
    <w:rsid w:val="00E44374"/>
    <w:rsid w:val="00E4504E"/>
    <w:rsid w:val="00E50C66"/>
    <w:rsid w:val="00E52092"/>
    <w:rsid w:val="00E53B50"/>
    <w:rsid w:val="00E56B1E"/>
    <w:rsid w:val="00E63C83"/>
    <w:rsid w:val="00E64D2A"/>
    <w:rsid w:val="00E73472"/>
    <w:rsid w:val="00E77474"/>
    <w:rsid w:val="00E775F5"/>
    <w:rsid w:val="00E77E25"/>
    <w:rsid w:val="00E8140D"/>
    <w:rsid w:val="00E825C0"/>
    <w:rsid w:val="00E85ED8"/>
    <w:rsid w:val="00E879C1"/>
    <w:rsid w:val="00E9205E"/>
    <w:rsid w:val="00E97BB1"/>
    <w:rsid w:val="00EA0FB1"/>
    <w:rsid w:val="00EA39A9"/>
    <w:rsid w:val="00EA49AB"/>
    <w:rsid w:val="00EB05DB"/>
    <w:rsid w:val="00EB5455"/>
    <w:rsid w:val="00EB55B5"/>
    <w:rsid w:val="00EB63E8"/>
    <w:rsid w:val="00EC3A76"/>
    <w:rsid w:val="00EC41D7"/>
    <w:rsid w:val="00EC4877"/>
    <w:rsid w:val="00EC707C"/>
    <w:rsid w:val="00ED5B21"/>
    <w:rsid w:val="00EE132F"/>
    <w:rsid w:val="00EE3254"/>
    <w:rsid w:val="00EE75B3"/>
    <w:rsid w:val="00EF3C70"/>
    <w:rsid w:val="00F02455"/>
    <w:rsid w:val="00F029D3"/>
    <w:rsid w:val="00F030A5"/>
    <w:rsid w:val="00F05880"/>
    <w:rsid w:val="00F06CF3"/>
    <w:rsid w:val="00F06ED4"/>
    <w:rsid w:val="00F17561"/>
    <w:rsid w:val="00F231E9"/>
    <w:rsid w:val="00F23F84"/>
    <w:rsid w:val="00F24673"/>
    <w:rsid w:val="00F255BF"/>
    <w:rsid w:val="00F25F3F"/>
    <w:rsid w:val="00F268EE"/>
    <w:rsid w:val="00F276BB"/>
    <w:rsid w:val="00F423DD"/>
    <w:rsid w:val="00F434A6"/>
    <w:rsid w:val="00F443F2"/>
    <w:rsid w:val="00F46D25"/>
    <w:rsid w:val="00F531BC"/>
    <w:rsid w:val="00F538D4"/>
    <w:rsid w:val="00F5761C"/>
    <w:rsid w:val="00F608A4"/>
    <w:rsid w:val="00F60C41"/>
    <w:rsid w:val="00F74414"/>
    <w:rsid w:val="00F748C9"/>
    <w:rsid w:val="00F76054"/>
    <w:rsid w:val="00F81128"/>
    <w:rsid w:val="00F837D7"/>
    <w:rsid w:val="00F93003"/>
    <w:rsid w:val="00FA06AC"/>
    <w:rsid w:val="00FA13A2"/>
    <w:rsid w:val="00FB5834"/>
    <w:rsid w:val="00FC2559"/>
    <w:rsid w:val="00FC2FD6"/>
    <w:rsid w:val="00FC3CE9"/>
    <w:rsid w:val="00FC447D"/>
    <w:rsid w:val="00FC45E0"/>
    <w:rsid w:val="00FD17C3"/>
    <w:rsid w:val="00FD1A90"/>
    <w:rsid w:val="00FD1EC3"/>
    <w:rsid w:val="00FD48D7"/>
    <w:rsid w:val="00FD6FB3"/>
    <w:rsid w:val="00FE4584"/>
    <w:rsid w:val="00FE506B"/>
    <w:rsid w:val="00FE6766"/>
    <w:rsid w:val="00FE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AFC"/>
    <w:pPr>
      <w:tabs>
        <w:tab w:val="center" w:pos="4680"/>
        <w:tab w:val="right" w:pos="9360"/>
      </w:tabs>
    </w:pPr>
  </w:style>
  <w:style w:type="character" w:customStyle="1" w:styleId="HeaderChar">
    <w:name w:val="Header Char"/>
    <w:basedOn w:val="DefaultParagraphFont"/>
    <w:link w:val="Header"/>
    <w:uiPriority w:val="99"/>
    <w:rsid w:val="00B17AFC"/>
  </w:style>
  <w:style w:type="paragraph" w:styleId="Footer">
    <w:name w:val="footer"/>
    <w:basedOn w:val="Normal"/>
    <w:link w:val="FooterChar"/>
    <w:uiPriority w:val="99"/>
    <w:unhideWhenUsed/>
    <w:rsid w:val="00B17AFC"/>
    <w:pPr>
      <w:tabs>
        <w:tab w:val="center" w:pos="4680"/>
        <w:tab w:val="right" w:pos="9360"/>
      </w:tabs>
    </w:pPr>
  </w:style>
  <w:style w:type="character" w:customStyle="1" w:styleId="FooterChar">
    <w:name w:val="Footer Char"/>
    <w:basedOn w:val="DefaultParagraphFont"/>
    <w:link w:val="Footer"/>
    <w:uiPriority w:val="99"/>
    <w:rsid w:val="00B17AFC"/>
  </w:style>
  <w:style w:type="character" w:styleId="PageNumber">
    <w:name w:val="page number"/>
    <w:basedOn w:val="DefaultParagraphFont"/>
    <w:uiPriority w:val="99"/>
    <w:semiHidden/>
    <w:unhideWhenUsed/>
    <w:rsid w:val="00B17AFC"/>
  </w:style>
  <w:style w:type="paragraph" w:styleId="FootnoteText">
    <w:name w:val="footnote text"/>
    <w:link w:val="FootnoteTextChar"/>
    <w:uiPriority w:val="99"/>
    <w:unhideWhenUsed/>
    <w:rsid w:val="00B17AFC"/>
    <w:rPr>
      <w:rFonts w:ascii="Century Schoolbook" w:hAnsi="Century Schoolbook"/>
      <w:szCs w:val="20"/>
    </w:rPr>
  </w:style>
  <w:style w:type="character" w:customStyle="1" w:styleId="FootnoteTextChar">
    <w:name w:val="Footnote Text Char"/>
    <w:basedOn w:val="DefaultParagraphFont"/>
    <w:link w:val="FootnoteText"/>
    <w:uiPriority w:val="99"/>
    <w:rsid w:val="00B17AFC"/>
    <w:rPr>
      <w:rFonts w:ascii="Century Schoolbook" w:hAnsi="Century Schoolbook"/>
      <w:szCs w:val="20"/>
    </w:rPr>
  </w:style>
  <w:style w:type="character" w:styleId="FootnoteReference">
    <w:name w:val="footnote reference"/>
    <w:basedOn w:val="DefaultParagraphFont"/>
    <w:uiPriority w:val="99"/>
    <w:semiHidden/>
    <w:unhideWhenUsed/>
    <w:rsid w:val="0037265F"/>
    <w:rPr>
      <w:vertAlign w:val="superscript"/>
    </w:rPr>
  </w:style>
  <w:style w:type="character" w:styleId="Hyperlink">
    <w:name w:val="Hyperlink"/>
    <w:basedOn w:val="DefaultParagraphFont"/>
    <w:uiPriority w:val="99"/>
    <w:semiHidden/>
    <w:unhideWhenUsed/>
    <w:rsid w:val="00C05001"/>
    <w:rPr>
      <w:color w:val="0000FF"/>
      <w:u w:val="single"/>
    </w:rPr>
  </w:style>
  <w:style w:type="paragraph" w:styleId="ListParagraph">
    <w:name w:val="List Paragraph"/>
    <w:basedOn w:val="Normal"/>
    <w:uiPriority w:val="34"/>
    <w:qFormat/>
    <w:rsid w:val="002366FF"/>
    <w:pPr>
      <w:ind w:left="720"/>
      <w:contextualSpacing/>
    </w:pPr>
  </w:style>
  <w:style w:type="character" w:customStyle="1" w:styleId="costarpage">
    <w:name w:val="co_starpage"/>
    <w:basedOn w:val="DefaultParagraphFont"/>
    <w:rsid w:val="0001625E"/>
  </w:style>
  <w:style w:type="character" w:styleId="Emphasis">
    <w:name w:val="Emphasis"/>
    <w:basedOn w:val="DefaultParagraphFont"/>
    <w:uiPriority w:val="20"/>
    <w:qFormat/>
    <w:rsid w:val="00E03A23"/>
    <w:rPr>
      <w:i/>
      <w:iCs/>
    </w:rPr>
  </w:style>
  <w:style w:type="character" w:styleId="FollowedHyperlink">
    <w:name w:val="FollowedHyperlink"/>
    <w:basedOn w:val="DefaultParagraphFont"/>
    <w:uiPriority w:val="99"/>
    <w:semiHidden/>
    <w:unhideWhenUsed/>
    <w:rsid w:val="00E03A23"/>
    <w:rPr>
      <w:color w:val="954F72" w:themeColor="followedHyperlink"/>
      <w:u w:val="single"/>
    </w:rPr>
  </w:style>
  <w:style w:type="character" w:customStyle="1" w:styleId="cohl">
    <w:name w:val="co_hl"/>
    <w:basedOn w:val="DefaultParagraphFont"/>
    <w:rsid w:val="00BA3603"/>
  </w:style>
  <w:style w:type="character" w:styleId="CommentReference">
    <w:name w:val="annotation reference"/>
    <w:basedOn w:val="DefaultParagraphFont"/>
    <w:uiPriority w:val="99"/>
    <w:semiHidden/>
    <w:unhideWhenUsed/>
    <w:rsid w:val="00F029D3"/>
    <w:rPr>
      <w:sz w:val="16"/>
      <w:szCs w:val="16"/>
    </w:rPr>
  </w:style>
  <w:style w:type="paragraph" w:styleId="CommentText">
    <w:name w:val="annotation text"/>
    <w:basedOn w:val="Normal"/>
    <w:link w:val="CommentTextChar"/>
    <w:uiPriority w:val="99"/>
    <w:semiHidden/>
    <w:unhideWhenUsed/>
    <w:rsid w:val="00F029D3"/>
    <w:pPr>
      <w:spacing w:line="240" w:lineRule="auto"/>
    </w:pPr>
    <w:rPr>
      <w:sz w:val="20"/>
      <w:szCs w:val="20"/>
    </w:rPr>
  </w:style>
  <w:style w:type="character" w:customStyle="1" w:styleId="CommentTextChar">
    <w:name w:val="Comment Text Char"/>
    <w:basedOn w:val="DefaultParagraphFont"/>
    <w:link w:val="CommentText"/>
    <w:uiPriority w:val="99"/>
    <w:semiHidden/>
    <w:rsid w:val="00F029D3"/>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F029D3"/>
    <w:rPr>
      <w:b/>
      <w:bCs/>
    </w:rPr>
  </w:style>
  <w:style w:type="character" w:customStyle="1" w:styleId="CommentSubjectChar">
    <w:name w:val="Comment Subject Char"/>
    <w:basedOn w:val="CommentTextChar"/>
    <w:link w:val="CommentSubject"/>
    <w:uiPriority w:val="99"/>
    <w:semiHidden/>
    <w:rsid w:val="00F029D3"/>
    <w:rPr>
      <w:rFonts w:ascii="Century Schoolbook" w:hAnsi="Century Schoolbook"/>
      <w:b/>
      <w:bCs/>
      <w:sz w:val="20"/>
      <w:szCs w:val="20"/>
    </w:rPr>
  </w:style>
  <w:style w:type="paragraph" w:styleId="Revision">
    <w:name w:val="Revision"/>
    <w:hidden/>
    <w:uiPriority w:val="99"/>
    <w:semiHidden/>
    <w:rsid w:val="008458F2"/>
    <w:rPr>
      <w:rFonts w:ascii="Century Schoolbook" w:hAnsi="Century Schoolbook"/>
    </w:rPr>
  </w:style>
  <w:style w:type="character" w:customStyle="1" w:styleId="coinlinekeyciteflag">
    <w:name w:val="co_inlinekeyciteflag"/>
    <w:basedOn w:val="DefaultParagraphFont"/>
    <w:rsid w:val="002B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217&amp;cite=CAPES1170.95&amp;originatingDoc=Ic1da62f0ee3e11ebb6c88f5a8acc8086&amp;refType=SP&amp;originationContext=document&amp;transitionType=DocumentItem&amp;ppcid=40af364409dc4ca786b3976778eea18b&amp;contextData=(sc.UserEnteredCit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1.next.westlaw.com/Link/Document/FullText?findType=L&amp;pubNum=1000217&amp;cite=CAPES1170.95&amp;originatingDoc=I4936e6d06b0711ebae408ff11f155a05&amp;refType=SP&amp;originationContext=document&amp;transitionType=DocumentItem&amp;ppcid=6e3eb6a1a12b4fc68f7cf93335c156e7&amp;contextData=(sc.History*oc.Sear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next.westlaw.com/Link/Document/FullText?findType=L&amp;pubNum=1000217&amp;cite=CAPES1170.95&amp;originatingDoc=Ic1da62f0ee3e11ebb6c88f5a8acc8086&amp;refType=SP&amp;originationContext=document&amp;transitionType=DocumentItem&amp;ppcid=40af364409dc4ca786b3976778eea18b&amp;contextData=(sc.UserEnteredCi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1.next.westlaw.com/Link/Document/FullText?findType=L&amp;pubNum=1000217&amp;cite=CAPES1170.95&amp;originatingDoc=Ic1da62f0ee3e11ebb6c88f5a8acc8086&amp;refType=SP&amp;originationContext=document&amp;transitionType=DocumentItem&amp;ppcid=40af364409dc4ca786b3976778eea18b&amp;contextData=(sc.UserEnteredCitation)"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L&amp;pubNum=1000217&amp;cite=CAPES1170.95&amp;originatingDoc=Ic1da62f0ee3e11ebb6c88f5a8acc8086&amp;refType=SP&amp;originationContext=document&amp;transitionType=DocumentItem&amp;ppcid=40af364409dc4ca786b3976778eea18b&amp;contextData=(sc.UserEnteredCit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L&amp;pubNum=1000217&amp;cite=CAPES190.2&amp;originatingDoc=NAB25A030EA6F11E9B91A96B9DDA60BD8&amp;refType=SP&amp;originationContext=document&amp;transitionType=DocumentItem&amp;ppcid=f53a26bcacd843f895a452bb9e9b7322&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12342</Words>
  <Characters>62933</Characters>
  <Application>Microsoft Office Word</Application>
  <DocSecurity>0</DocSecurity>
  <Lines>1120</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2022-02-16T16:08:00Z</dcterms:created>
  <dcterms:modified xsi:type="dcterms:W3CDTF">2022-02-16T16:08:00Z</dcterms:modified>
  <cp:category/>
</cp:coreProperties>
</file>