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889B" w14:textId="06031816" w:rsidR="00252B71" w:rsidRDefault="00C6573A" w:rsidP="00882969">
      <w:pPr>
        <w:pStyle w:val="paragraph"/>
        <w:spacing w:before="0" w:beforeAutospacing="0" w:after="0" w:afterAutospacing="0"/>
        <w:jc w:val="center"/>
        <w:textAlignment w:val="baseline"/>
        <w:rPr>
          <w:rStyle w:val="eop"/>
          <w:sz w:val="20"/>
          <w:szCs w:val="26"/>
        </w:rPr>
      </w:pPr>
      <w:r>
        <w:rPr>
          <w:rStyle w:val="eop"/>
          <w:sz w:val="20"/>
          <w:szCs w:val="26"/>
        </w:rPr>
        <w:t>Filed 10/10/22</w:t>
      </w:r>
      <w:r w:rsidR="007D6374">
        <w:rPr>
          <w:rStyle w:val="eop"/>
          <w:sz w:val="20"/>
          <w:szCs w:val="26"/>
        </w:rPr>
        <w:t xml:space="preserve"> (unmodified opinion attached)</w:t>
      </w:r>
      <w:bookmarkStart w:id="0" w:name="_Hlk91684443"/>
      <w:r w:rsidR="00882969" w:rsidRPr="003B76B3">
        <w:rPr>
          <w:sz w:val="20"/>
        </w:rPr>
        <w:t>; REVIEW GRANTED.  See Cal. Rules of Court, rules 8.1105 and 8.1115 (and corresponding Comment, par. 2, concerning rule 8.1115(e)(3)).</w:t>
      </w:r>
      <w:bookmarkEnd w:id="0"/>
    </w:p>
    <w:p w14:paraId="78CF6717" w14:textId="77777777" w:rsidR="00252B71" w:rsidRPr="00C32861" w:rsidRDefault="00C6573A" w:rsidP="00252B71">
      <w:pPr>
        <w:pStyle w:val="paragraph"/>
        <w:spacing w:before="0" w:beforeAutospacing="0" w:after="0" w:afterAutospacing="0"/>
        <w:jc w:val="center"/>
        <w:textAlignment w:val="baseline"/>
        <w:rPr>
          <w:rStyle w:val="eop"/>
          <w:sz w:val="26"/>
          <w:szCs w:val="26"/>
        </w:rPr>
      </w:pPr>
      <w:r>
        <w:rPr>
          <w:rStyle w:val="eop"/>
          <w:b/>
          <w:sz w:val="26"/>
          <w:szCs w:val="26"/>
        </w:rPr>
        <w:t>CERTIFIED FOR PARTIAL PUBLICATION</w:t>
      </w:r>
      <w:r>
        <w:rPr>
          <w:rStyle w:val="FootnoteReference"/>
          <w:b/>
          <w:sz w:val="26"/>
          <w:szCs w:val="26"/>
        </w:rPr>
        <w:footnoteReference w:customMarkFollows="1" w:id="1"/>
        <w:t>*</w:t>
      </w:r>
    </w:p>
    <w:p w14:paraId="47B2D3D1" w14:textId="77777777" w:rsidR="00252B71" w:rsidRPr="00C32861" w:rsidRDefault="00252B71" w:rsidP="00252B71">
      <w:pPr>
        <w:pStyle w:val="paragraph"/>
        <w:spacing w:before="0" w:beforeAutospacing="0" w:after="0" w:afterAutospacing="0"/>
        <w:textAlignment w:val="baseline"/>
        <w:rPr>
          <w:rStyle w:val="eop"/>
          <w:sz w:val="20"/>
          <w:szCs w:val="26"/>
        </w:rPr>
      </w:pPr>
    </w:p>
    <w:p w14:paraId="3274D982" w14:textId="77777777" w:rsidR="00252B71" w:rsidRPr="00AF72C6" w:rsidRDefault="00C6573A" w:rsidP="00252B71">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14:paraId="47C92F3C" w14:textId="77777777" w:rsidR="00252B71" w:rsidRPr="002D57BE" w:rsidRDefault="00C6573A" w:rsidP="00252B71">
      <w:pPr>
        <w:spacing w:line="240" w:lineRule="auto"/>
        <w:jc w:val="center"/>
      </w:pPr>
      <w:r w:rsidRPr="002D57BE">
        <w:t>IN THE COURT OF APPEAL OF THE STATE OF CALIFORNIA</w:t>
      </w:r>
    </w:p>
    <w:p w14:paraId="0C25F6ED" w14:textId="77777777" w:rsidR="00252B71" w:rsidRPr="002D57BE" w:rsidRDefault="00252B71" w:rsidP="00252B71">
      <w:pPr>
        <w:spacing w:line="240" w:lineRule="auto"/>
        <w:jc w:val="center"/>
      </w:pPr>
    </w:p>
    <w:p w14:paraId="277EABAE" w14:textId="77777777" w:rsidR="00252B71" w:rsidRPr="002D57BE" w:rsidRDefault="00C6573A" w:rsidP="00252B71">
      <w:pPr>
        <w:spacing w:line="240" w:lineRule="auto"/>
        <w:jc w:val="center"/>
      </w:pPr>
      <w:r w:rsidRPr="002D57BE">
        <w:t>FIRST APPELLATE DISTRICT</w:t>
      </w:r>
    </w:p>
    <w:p w14:paraId="418CF3EC" w14:textId="77777777" w:rsidR="00252B71" w:rsidRPr="002D57BE" w:rsidRDefault="00252B71" w:rsidP="00252B71">
      <w:pPr>
        <w:spacing w:line="240" w:lineRule="auto"/>
        <w:jc w:val="center"/>
      </w:pPr>
    </w:p>
    <w:p w14:paraId="57768A09" w14:textId="77777777" w:rsidR="00252B71" w:rsidRPr="002D57BE" w:rsidRDefault="00C6573A" w:rsidP="00252B71">
      <w:pPr>
        <w:spacing w:line="240" w:lineRule="auto"/>
        <w:jc w:val="center"/>
      </w:pPr>
      <w:r w:rsidRPr="002D57BE">
        <w:t>DIVISION FIVE</w:t>
      </w:r>
    </w:p>
    <w:p w14:paraId="799A6B49" w14:textId="77777777" w:rsidR="00252B71" w:rsidRPr="002D57BE" w:rsidRDefault="00252B71" w:rsidP="00252B71">
      <w:pPr>
        <w:spacing w:line="240" w:lineRule="auto"/>
        <w:jc w:val="center"/>
      </w:pPr>
    </w:p>
    <w:tbl>
      <w:tblPr>
        <w:tblW w:w="9576" w:type="dxa"/>
        <w:tblLayout w:type="fixed"/>
        <w:tblLook w:val="0000" w:firstRow="0" w:lastRow="0" w:firstColumn="0" w:lastColumn="0" w:noHBand="0" w:noVBand="0"/>
      </w:tblPr>
      <w:tblGrid>
        <w:gridCol w:w="4860"/>
        <w:gridCol w:w="4716"/>
      </w:tblGrid>
      <w:tr w:rsidR="00377EAC" w14:paraId="71AACC14" w14:textId="77777777" w:rsidTr="000A5C51">
        <w:tc>
          <w:tcPr>
            <w:tcW w:w="4860" w:type="dxa"/>
            <w:tcBorders>
              <w:right w:val="single" w:sz="4" w:space="0" w:color="auto"/>
            </w:tcBorders>
            <w:shd w:val="clear" w:color="auto" w:fill="auto"/>
          </w:tcPr>
          <w:p w14:paraId="3412BE90" w14:textId="77777777" w:rsidR="00252B71" w:rsidRPr="002D57BE" w:rsidRDefault="00C6573A" w:rsidP="000A5C51">
            <w:pPr>
              <w:spacing w:after="120" w:line="240" w:lineRule="auto"/>
              <w:rPr>
                <w:rFonts w:cs="Times New Roman"/>
              </w:rPr>
            </w:pPr>
            <w:r w:rsidRPr="002D57BE">
              <w:rPr>
                <w:rFonts w:cs="Times New Roman"/>
              </w:rPr>
              <w:t>THE PEOPLE,</w:t>
            </w:r>
          </w:p>
          <w:p w14:paraId="4E257BA5" w14:textId="77777777" w:rsidR="00252B71" w:rsidRPr="002D57BE" w:rsidRDefault="00C6573A" w:rsidP="000A5C51">
            <w:pPr>
              <w:spacing w:after="120" w:line="240" w:lineRule="auto"/>
              <w:rPr>
                <w:rFonts w:cs="Times New Roman"/>
              </w:rPr>
            </w:pPr>
            <w:r w:rsidRPr="002D57BE">
              <w:rPr>
                <w:rFonts w:cs="Times New Roman"/>
              </w:rPr>
              <w:tab/>
              <w:t>Plaintiff and Respondent,</w:t>
            </w:r>
          </w:p>
          <w:p w14:paraId="0F0540E9" w14:textId="77777777" w:rsidR="00252B71" w:rsidRPr="002D57BE" w:rsidRDefault="00C6573A" w:rsidP="000A5C51">
            <w:pPr>
              <w:spacing w:after="120" w:line="240" w:lineRule="auto"/>
              <w:rPr>
                <w:rFonts w:cs="Times New Roman"/>
              </w:rPr>
            </w:pPr>
            <w:r w:rsidRPr="002D57BE">
              <w:rPr>
                <w:rFonts w:cs="Times New Roman"/>
              </w:rPr>
              <w:t>v.</w:t>
            </w:r>
          </w:p>
          <w:p w14:paraId="5797E78F" w14:textId="77777777" w:rsidR="00252B71" w:rsidRPr="002D57BE" w:rsidRDefault="00C6573A" w:rsidP="000A5C51">
            <w:pPr>
              <w:spacing w:after="120" w:line="240" w:lineRule="auto"/>
              <w:rPr>
                <w:rFonts w:cs="Times New Roman"/>
              </w:rPr>
            </w:pPr>
            <w:r w:rsidRPr="002D57BE">
              <w:rPr>
                <w:rFonts w:cs="Times New Roman"/>
              </w:rPr>
              <w:t>ALEJANDRO GARCIA,</w:t>
            </w:r>
          </w:p>
          <w:p w14:paraId="799B4CA3" w14:textId="77777777" w:rsidR="00252B71" w:rsidRPr="002D57BE" w:rsidRDefault="00C6573A" w:rsidP="000A5C51">
            <w:pPr>
              <w:spacing w:after="120" w:line="240" w:lineRule="auto"/>
              <w:rPr>
                <w:rFonts w:cs="Times New Roman"/>
              </w:rPr>
            </w:pPr>
            <w:r w:rsidRPr="002D57BE">
              <w:rPr>
                <w:rFonts w:cs="Times New Roman"/>
              </w:rPr>
              <w:tab/>
              <w:t xml:space="preserve">Defendant and </w:t>
            </w:r>
            <w:r w:rsidRPr="002D57BE">
              <w:rPr>
                <w:rFonts w:cs="Times New Roman"/>
              </w:rPr>
              <w:t>Appellant.</w:t>
            </w:r>
          </w:p>
          <w:p w14:paraId="55D7F470" w14:textId="77777777" w:rsidR="00252B71" w:rsidRPr="002D57BE" w:rsidRDefault="00C6573A" w:rsidP="000A5C51">
            <w:pPr>
              <w:spacing w:after="120" w:line="240" w:lineRule="auto"/>
              <w:rPr>
                <w:rFonts w:cs="Times New Roman"/>
              </w:rPr>
            </w:pPr>
            <w:r w:rsidRPr="002D57BE">
              <w:rPr>
                <w:rFonts w:cs="Times New Roman"/>
              </w:rPr>
              <w:t>___________________________________</w:t>
            </w:r>
          </w:p>
          <w:p w14:paraId="58C943D4" w14:textId="77777777" w:rsidR="00252B71" w:rsidRPr="002D57BE" w:rsidRDefault="00C6573A" w:rsidP="000A5C51">
            <w:pPr>
              <w:spacing w:after="120" w:line="240" w:lineRule="auto"/>
              <w:rPr>
                <w:rFonts w:cs="Times New Roman"/>
              </w:rPr>
            </w:pPr>
            <w:r w:rsidRPr="002D57BE">
              <w:rPr>
                <w:rFonts w:cs="Times New Roman"/>
              </w:rPr>
              <w:t>THE PEOPLE,</w:t>
            </w:r>
          </w:p>
          <w:p w14:paraId="3C3BFF5F" w14:textId="77777777" w:rsidR="00252B71" w:rsidRPr="002D57BE" w:rsidRDefault="00C6573A" w:rsidP="000A5C51">
            <w:pPr>
              <w:spacing w:after="120" w:line="240" w:lineRule="auto"/>
              <w:rPr>
                <w:rFonts w:cs="Times New Roman"/>
              </w:rPr>
            </w:pPr>
            <w:r w:rsidRPr="002D57BE">
              <w:rPr>
                <w:rFonts w:cs="Times New Roman"/>
              </w:rPr>
              <w:tab/>
              <w:t>Plaintiff and Respondent,</w:t>
            </w:r>
          </w:p>
          <w:p w14:paraId="64C0B3CE" w14:textId="77777777" w:rsidR="00252B71" w:rsidRPr="002D57BE" w:rsidRDefault="00C6573A" w:rsidP="000A5C51">
            <w:pPr>
              <w:spacing w:after="120" w:line="240" w:lineRule="auto"/>
              <w:rPr>
                <w:rFonts w:cs="Times New Roman"/>
              </w:rPr>
            </w:pPr>
            <w:r w:rsidRPr="002D57BE">
              <w:rPr>
                <w:rFonts w:cs="Times New Roman"/>
              </w:rPr>
              <w:t>v.</w:t>
            </w:r>
          </w:p>
          <w:p w14:paraId="4FBECCF0" w14:textId="77777777" w:rsidR="00252B71" w:rsidRPr="002D57BE" w:rsidRDefault="00C6573A" w:rsidP="000A5C51">
            <w:pPr>
              <w:spacing w:after="120" w:line="240" w:lineRule="auto"/>
              <w:rPr>
                <w:rFonts w:cs="Times New Roman"/>
              </w:rPr>
            </w:pPr>
            <w:r w:rsidRPr="002D57BE">
              <w:rPr>
                <w:rFonts w:cs="Times New Roman"/>
              </w:rPr>
              <w:t>JAMES EARL SCOTT,</w:t>
            </w:r>
          </w:p>
          <w:p w14:paraId="65C8EAA0" w14:textId="77777777" w:rsidR="00252B71" w:rsidRPr="002D57BE" w:rsidRDefault="00C6573A" w:rsidP="000A5C51">
            <w:pPr>
              <w:spacing w:after="120" w:line="240" w:lineRule="auto"/>
              <w:rPr>
                <w:rFonts w:cs="Times New Roman"/>
              </w:rPr>
            </w:pPr>
            <w:r w:rsidRPr="002D57BE">
              <w:rPr>
                <w:rFonts w:cs="Times New Roman"/>
              </w:rPr>
              <w:tab/>
              <w:t>Defendant and Appellant.</w:t>
            </w:r>
          </w:p>
        </w:tc>
        <w:tc>
          <w:tcPr>
            <w:tcW w:w="4716" w:type="dxa"/>
            <w:tcBorders>
              <w:left w:val="single" w:sz="4" w:space="0" w:color="auto"/>
            </w:tcBorders>
            <w:shd w:val="clear" w:color="auto" w:fill="auto"/>
          </w:tcPr>
          <w:p w14:paraId="67DDFB5A" w14:textId="77777777" w:rsidR="00252B71" w:rsidRDefault="00C6573A" w:rsidP="000A5C51">
            <w:pPr>
              <w:spacing w:line="240" w:lineRule="auto"/>
            </w:pPr>
            <w:r w:rsidRPr="002D57BE">
              <w:t xml:space="preserve"> </w:t>
            </w:r>
          </w:p>
          <w:p w14:paraId="4A0095DE" w14:textId="77777777" w:rsidR="00252B71" w:rsidRDefault="00C6573A" w:rsidP="000A5C51">
            <w:pPr>
              <w:spacing w:line="240" w:lineRule="auto"/>
            </w:pPr>
            <w:r w:rsidRPr="002D57BE">
              <w:t xml:space="preserve">     A161579 </w:t>
            </w:r>
          </w:p>
          <w:p w14:paraId="13824E40" w14:textId="77777777" w:rsidR="00252B71" w:rsidRDefault="00252B71" w:rsidP="000A5C51">
            <w:pPr>
              <w:spacing w:line="240" w:lineRule="auto"/>
            </w:pPr>
          </w:p>
          <w:p w14:paraId="0900B69C" w14:textId="77777777" w:rsidR="00252B71" w:rsidRPr="002D57BE" w:rsidRDefault="00C6573A" w:rsidP="000A5C51">
            <w:pPr>
              <w:spacing w:line="240" w:lineRule="auto"/>
            </w:pPr>
            <w:r w:rsidRPr="002D57BE">
              <w:t xml:space="preserve">      (Alameda County</w:t>
            </w:r>
          </w:p>
          <w:p w14:paraId="7B6A2B7A" w14:textId="77777777" w:rsidR="00252B71" w:rsidRPr="002D57BE" w:rsidRDefault="00C6573A" w:rsidP="000A5C51">
            <w:pPr>
              <w:spacing w:line="240" w:lineRule="auto"/>
            </w:pPr>
            <w:r w:rsidRPr="002D57BE">
              <w:t xml:space="preserve">      Super. Ct. No. 617384D)</w:t>
            </w:r>
          </w:p>
          <w:p w14:paraId="3312D8FD" w14:textId="77777777" w:rsidR="00252B71" w:rsidRDefault="00252B71" w:rsidP="000A5C51">
            <w:pPr>
              <w:spacing w:line="240" w:lineRule="auto"/>
              <w:ind w:left="720"/>
            </w:pPr>
          </w:p>
          <w:p w14:paraId="751B2A83" w14:textId="77777777" w:rsidR="00252B71" w:rsidRPr="002D57BE" w:rsidRDefault="00252B71" w:rsidP="000A5C51">
            <w:pPr>
              <w:spacing w:line="240" w:lineRule="auto"/>
            </w:pPr>
          </w:p>
          <w:p w14:paraId="2E3AE42B" w14:textId="77777777" w:rsidR="00252B71" w:rsidRDefault="00C6573A" w:rsidP="000A5C51">
            <w:pPr>
              <w:spacing w:line="240" w:lineRule="auto"/>
            </w:pPr>
            <w:r w:rsidRPr="002D57BE">
              <w:t xml:space="preserve">      A161644</w:t>
            </w:r>
          </w:p>
          <w:p w14:paraId="245013C6" w14:textId="77777777" w:rsidR="00252B71" w:rsidRDefault="00252B71" w:rsidP="000A5C51">
            <w:pPr>
              <w:spacing w:line="240" w:lineRule="auto"/>
            </w:pPr>
          </w:p>
          <w:p w14:paraId="2F1357B7" w14:textId="77777777" w:rsidR="00252B71" w:rsidRPr="002D57BE" w:rsidRDefault="00C6573A" w:rsidP="000A5C51">
            <w:pPr>
              <w:spacing w:line="240" w:lineRule="auto"/>
            </w:pPr>
            <w:r w:rsidRPr="002D57BE">
              <w:t xml:space="preserve">      (Alameda County</w:t>
            </w:r>
          </w:p>
          <w:p w14:paraId="1418D795" w14:textId="77777777" w:rsidR="00252B71" w:rsidRPr="002D57BE" w:rsidRDefault="00C6573A" w:rsidP="000A5C51">
            <w:pPr>
              <w:spacing w:line="240" w:lineRule="auto"/>
            </w:pPr>
            <w:r w:rsidRPr="002D57BE">
              <w:t xml:space="preserve">      Super. Ct. No.</w:t>
            </w:r>
            <w:r>
              <w:t xml:space="preserve"> </w:t>
            </w:r>
            <w:r w:rsidRPr="002D57BE">
              <w:t>617384E)</w:t>
            </w:r>
          </w:p>
          <w:p w14:paraId="18132947" w14:textId="77777777" w:rsidR="00252B71" w:rsidRDefault="00252B71" w:rsidP="000A5C51">
            <w:pPr>
              <w:spacing w:line="240" w:lineRule="auto"/>
            </w:pPr>
          </w:p>
          <w:p w14:paraId="32233A79" w14:textId="77777777" w:rsidR="00252B71" w:rsidRDefault="00C6573A" w:rsidP="000A5C51">
            <w:pPr>
              <w:pStyle w:val="paragraph"/>
              <w:spacing w:before="0" w:beforeAutospacing="0" w:after="0" w:afterAutospacing="0"/>
              <w:textAlignment w:val="baseline"/>
              <w:rPr>
                <w:rFonts w:ascii="Segoe UI" w:hAnsi="Segoe UI" w:cs="Segoe UI"/>
                <w:sz w:val="18"/>
                <w:szCs w:val="18"/>
              </w:rPr>
            </w:pPr>
            <w:r>
              <w:rPr>
                <w:rStyle w:val="normaltextrun"/>
                <w:b/>
                <w:bCs/>
                <w:sz w:val="26"/>
                <w:szCs w:val="26"/>
              </w:rPr>
              <w:t>ORDER MODIFYING OPINION </w:t>
            </w:r>
            <w:r>
              <w:rPr>
                <w:rStyle w:val="eop"/>
                <w:sz w:val="26"/>
                <w:szCs w:val="26"/>
              </w:rPr>
              <w:t> </w:t>
            </w:r>
          </w:p>
          <w:p w14:paraId="0C86F7D8" w14:textId="77777777" w:rsidR="00252B71" w:rsidRDefault="00C6573A" w:rsidP="000A5C51">
            <w:pPr>
              <w:pStyle w:val="paragraph"/>
              <w:spacing w:before="0" w:beforeAutospacing="0" w:after="0" w:afterAutospacing="0"/>
              <w:textAlignment w:val="baseline"/>
              <w:rPr>
                <w:rFonts w:ascii="Segoe UI" w:hAnsi="Segoe UI" w:cs="Segoe UI"/>
                <w:sz w:val="18"/>
                <w:szCs w:val="18"/>
              </w:rPr>
            </w:pPr>
            <w:r>
              <w:rPr>
                <w:rStyle w:val="normaltextrun"/>
                <w:b/>
                <w:bCs/>
                <w:sz w:val="26"/>
                <w:szCs w:val="26"/>
              </w:rPr>
              <w:t>    AND DENYING REHEARING</w:t>
            </w:r>
            <w:r>
              <w:rPr>
                <w:rStyle w:val="eop"/>
                <w:sz w:val="26"/>
                <w:szCs w:val="26"/>
              </w:rPr>
              <w:t> </w:t>
            </w:r>
          </w:p>
          <w:p w14:paraId="30DEE2AD" w14:textId="77777777" w:rsidR="00252B71" w:rsidRPr="00AF72C6" w:rsidRDefault="00C6573A" w:rsidP="000A5C51">
            <w:pPr>
              <w:pStyle w:val="paragraph"/>
              <w:spacing w:before="0" w:beforeAutospacing="0" w:after="0" w:afterAutospacing="0"/>
              <w:textAlignment w:val="baseline"/>
              <w:rPr>
                <w:rFonts w:ascii="Segoe UI" w:hAnsi="Segoe UI" w:cs="Segoe UI"/>
                <w:sz w:val="18"/>
                <w:szCs w:val="18"/>
              </w:rPr>
            </w:pPr>
            <w:r>
              <w:rPr>
                <w:rStyle w:val="normaltextrun"/>
                <w:b/>
                <w:bCs/>
                <w:sz w:val="26"/>
                <w:szCs w:val="26"/>
              </w:rPr>
              <w:t>    [NO CHANGE IN JUDGMENT]</w:t>
            </w:r>
            <w:r>
              <w:rPr>
                <w:rStyle w:val="eop"/>
                <w:sz w:val="26"/>
                <w:szCs w:val="26"/>
              </w:rPr>
              <w:t> </w:t>
            </w:r>
          </w:p>
        </w:tc>
      </w:tr>
      <w:tr w:rsidR="00377EAC" w14:paraId="7425D725" w14:textId="77777777" w:rsidTr="000A5C51">
        <w:tc>
          <w:tcPr>
            <w:tcW w:w="4860" w:type="dxa"/>
            <w:tcBorders>
              <w:bottom w:val="single" w:sz="4" w:space="0" w:color="auto"/>
              <w:right w:val="single" w:sz="4" w:space="0" w:color="auto"/>
            </w:tcBorders>
            <w:shd w:val="clear" w:color="auto" w:fill="auto"/>
          </w:tcPr>
          <w:p w14:paraId="4064152D" w14:textId="77777777" w:rsidR="00252B71" w:rsidRPr="002D57BE" w:rsidRDefault="00252B71" w:rsidP="000A5C51">
            <w:pPr>
              <w:spacing w:line="240" w:lineRule="auto"/>
            </w:pPr>
          </w:p>
        </w:tc>
        <w:tc>
          <w:tcPr>
            <w:tcW w:w="4716" w:type="dxa"/>
            <w:tcBorders>
              <w:left w:val="single" w:sz="4" w:space="0" w:color="auto"/>
            </w:tcBorders>
            <w:shd w:val="clear" w:color="auto" w:fill="auto"/>
          </w:tcPr>
          <w:p w14:paraId="5A8D2734" w14:textId="77777777" w:rsidR="00252B71" w:rsidRPr="002D57BE" w:rsidRDefault="00252B71" w:rsidP="000A5C51">
            <w:pPr>
              <w:spacing w:line="240" w:lineRule="auto"/>
            </w:pPr>
          </w:p>
        </w:tc>
      </w:tr>
    </w:tbl>
    <w:p w14:paraId="371210D6" w14:textId="77777777" w:rsidR="004D4144" w:rsidRDefault="004D4144" w:rsidP="00252B71">
      <w:pPr>
        <w:pStyle w:val="paragraph"/>
        <w:spacing w:before="0" w:beforeAutospacing="0" w:after="0" w:afterAutospacing="0"/>
        <w:textAlignment w:val="baseline"/>
        <w:rPr>
          <w:rStyle w:val="normaltextrun"/>
          <w:b/>
          <w:bCs/>
          <w:sz w:val="26"/>
          <w:szCs w:val="26"/>
        </w:rPr>
      </w:pPr>
    </w:p>
    <w:p w14:paraId="6ABB9DCD" w14:textId="154FF260" w:rsidR="00252B71" w:rsidRDefault="00C6573A" w:rsidP="00252B71">
      <w:pPr>
        <w:pStyle w:val="paragraph"/>
        <w:spacing w:before="0" w:beforeAutospacing="0" w:after="0" w:afterAutospacing="0"/>
        <w:textAlignment w:val="baseline"/>
        <w:rPr>
          <w:rFonts w:ascii="Segoe UI" w:hAnsi="Segoe UI" w:cs="Segoe UI"/>
          <w:sz w:val="18"/>
          <w:szCs w:val="18"/>
        </w:rPr>
      </w:pPr>
      <w:r>
        <w:rPr>
          <w:rStyle w:val="normaltextrun"/>
          <w:b/>
          <w:bCs/>
          <w:sz w:val="26"/>
          <w:szCs w:val="26"/>
        </w:rPr>
        <w:t>THE COURT:</w:t>
      </w:r>
      <w:r>
        <w:rPr>
          <w:rStyle w:val="eop"/>
          <w:sz w:val="26"/>
          <w:szCs w:val="26"/>
        </w:rPr>
        <w:t> </w:t>
      </w:r>
    </w:p>
    <w:p w14:paraId="3AA1A8F3" w14:textId="77777777" w:rsidR="00252B71" w:rsidRPr="0086028C" w:rsidRDefault="00C6573A" w:rsidP="00252B71">
      <w:pPr>
        <w:pStyle w:val="paragraph"/>
        <w:spacing w:before="0" w:beforeAutospacing="0" w:after="0" w:afterAutospacing="0"/>
        <w:textAlignment w:val="baseline"/>
        <w:rPr>
          <w:rFonts w:ascii="Century Schoolbook" w:hAnsi="Century Schoolbook" w:cs="Segoe UI"/>
          <w:sz w:val="18"/>
          <w:szCs w:val="18"/>
        </w:rPr>
      </w:pPr>
      <w:r>
        <w:rPr>
          <w:rStyle w:val="eop"/>
          <w:sz w:val="26"/>
          <w:szCs w:val="26"/>
        </w:rPr>
        <w:t> </w:t>
      </w:r>
    </w:p>
    <w:p w14:paraId="66DB4632" w14:textId="77777777" w:rsidR="00252B71" w:rsidRPr="0086028C" w:rsidRDefault="00C6573A" w:rsidP="00252B71">
      <w:pPr>
        <w:pStyle w:val="paragraph"/>
        <w:spacing w:before="0" w:beforeAutospacing="0" w:after="0" w:afterAutospacing="0"/>
        <w:textAlignment w:val="baseline"/>
        <w:rPr>
          <w:rStyle w:val="eop"/>
          <w:rFonts w:ascii="Century Schoolbook" w:hAnsi="Century Schoolbook"/>
          <w:sz w:val="26"/>
          <w:szCs w:val="26"/>
        </w:rPr>
      </w:pPr>
      <w:r w:rsidRPr="0086028C">
        <w:rPr>
          <w:rStyle w:val="normaltextrun"/>
          <w:rFonts w:ascii="Century Schoolbook" w:hAnsi="Century Schoolbook"/>
          <w:sz w:val="26"/>
          <w:szCs w:val="26"/>
        </w:rPr>
        <w:t>Appellant</w:t>
      </w:r>
      <w:r>
        <w:rPr>
          <w:rStyle w:val="normaltextrun"/>
          <w:rFonts w:ascii="Century Schoolbook" w:hAnsi="Century Schoolbook"/>
          <w:sz w:val="26"/>
          <w:szCs w:val="26"/>
        </w:rPr>
        <w:t xml:space="preserve"> Scott’s</w:t>
      </w:r>
      <w:r w:rsidRPr="0086028C">
        <w:rPr>
          <w:rStyle w:val="normaltextrun"/>
          <w:rFonts w:ascii="Century Schoolbook" w:hAnsi="Century Schoolbook"/>
          <w:sz w:val="26"/>
          <w:szCs w:val="26"/>
        </w:rPr>
        <w:t xml:space="preserve"> petition for rehearing is denied.  It is ordered that the opinion filed on </w:t>
      </w:r>
      <w:r>
        <w:rPr>
          <w:rStyle w:val="normaltextrun"/>
          <w:rFonts w:ascii="Century Schoolbook" w:hAnsi="Century Schoolbook"/>
          <w:sz w:val="26"/>
          <w:szCs w:val="26"/>
        </w:rPr>
        <w:t>September</w:t>
      </w:r>
      <w:r w:rsidRPr="0086028C">
        <w:rPr>
          <w:rStyle w:val="normaltextrun"/>
          <w:sz w:val="26"/>
          <w:szCs w:val="26"/>
        </w:rPr>
        <w:t> </w:t>
      </w:r>
      <w:r>
        <w:rPr>
          <w:rStyle w:val="normaltextrun"/>
          <w:rFonts w:ascii="Century Schoolbook" w:hAnsi="Century Schoolbook"/>
          <w:sz w:val="26"/>
          <w:szCs w:val="26"/>
        </w:rPr>
        <w:t>13</w:t>
      </w:r>
      <w:r w:rsidRPr="0086028C">
        <w:rPr>
          <w:rStyle w:val="normaltextrun"/>
          <w:rFonts w:ascii="Century Schoolbook" w:hAnsi="Century Schoolbook"/>
          <w:sz w:val="26"/>
          <w:szCs w:val="26"/>
        </w:rPr>
        <w:t>, 2</w:t>
      </w:r>
      <w:r>
        <w:rPr>
          <w:rStyle w:val="normaltextrun"/>
          <w:rFonts w:ascii="Century Schoolbook" w:hAnsi="Century Schoolbook"/>
          <w:sz w:val="26"/>
          <w:szCs w:val="26"/>
        </w:rPr>
        <w:t>022</w:t>
      </w:r>
      <w:r w:rsidRPr="0086028C">
        <w:rPr>
          <w:rStyle w:val="normaltextrun"/>
          <w:rFonts w:ascii="Century Schoolbook" w:hAnsi="Century Schoolbook"/>
          <w:sz w:val="26"/>
          <w:szCs w:val="26"/>
        </w:rPr>
        <w:t>, is modified as follows:</w:t>
      </w:r>
      <w:r w:rsidRPr="0086028C">
        <w:rPr>
          <w:rStyle w:val="eop"/>
          <w:rFonts w:ascii="Century Schoolbook" w:hAnsi="Century Schoolbook"/>
          <w:sz w:val="26"/>
          <w:szCs w:val="26"/>
        </w:rPr>
        <w:t> </w:t>
      </w:r>
    </w:p>
    <w:p w14:paraId="0520D6CA" w14:textId="77777777" w:rsidR="00252B71" w:rsidRPr="0086028C" w:rsidRDefault="00252B71" w:rsidP="00252B71">
      <w:pPr>
        <w:pStyle w:val="paragraph"/>
        <w:spacing w:before="0" w:beforeAutospacing="0" w:after="0" w:afterAutospacing="0"/>
        <w:textAlignment w:val="baseline"/>
        <w:rPr>
          <w:rFonts w:ascii="Century Schoolbook" w:hAnsi="Century Schoolbook" w:cs="Segoe UI"/>
          <w:sz w:val="18"/>
          <w:szCs w:val="18"/>
        </w:rPr>
      </w:pPr>
    </w:p>
    <w:p w14:paraId="57DCC911" w14:textId="77777777" w:rsidR="00252B71" w:rsidRDefault="00C6573A" w:rsidP="00252B71">
      <w:pPr>
        <w:pStyle w:val="paragraph"/>
        <w:spacing w:before="0" w:beforeAutospacing="0" w:after="0" w:afterAutospacing="0"/>
        <w:ind w:left="720"/>
        <w:textAlignment w:val="baseline"/>
        <w:rPr>
          <w:rStyle w:val="eop"/>
          <w:rFonts w:ascii="Century Schoolbook" w:hAnsi="Century Schoolbook"/>
          <w:sz w:val="26"/>
          <w:szCs w:val="26"/>
        </w:rPr>
      </w:pPr>
      <w:r w:rsidRPr="0086028C">
        <w:rPr>
          <w:rStyle w:val="normaltextrun"/>
          <w:rFonts w:ascii="Century Schoolbook" w:hAnsi="Century Schoolbook"/>
          <w:sz w:val="26"/>
          <w:szCs w:val="26"/>
        </w:rPr>
        <w:t xml:space="preserve">On page </w:t>
      </w:r>
      <w:r>
        <w:rPr>
          <w:rStyle w:val="normaltextrun"/>
          <w:rFonts w:ascii="Century Schoolbook" w:hAnsi="Century Schoolbook"/>
          <w:sz w:val="26"/>
          <w:szCs w:val="26"/>
        </w:rPr>
        <w:t>11</w:t>
      </w:r>
      <w:r w:rsidRPr="0086028C">
        <w:rPr>
          <w:rStyle w:val="normaltextrun"/>
          <w:rFonts w:ascii="Century Schoolbook" w:hAnsi="Century Schoolbook"/>
          <w:sz w:val="26"/>
          <w:szCs w:val="26"/>
        </w:rPr>
        <w:t>,</w:t>
      </w:r>
      <w:r>
        <w:rPr>
          <w:rStyle w:val="normaltextrun"/>
          <w:rFonts w:ascii="Century Schoolbook" w:hAnsi="Century Schoolbook"/>
          <w:sz w:val="26"/>
          <w:szCs w:val="26"/>
        </w:rPr>
        <w:t xml:space="preserve"> a footnote will be added after the sentence that says: “Appellants rely on several cases to support their argument that reversal is warranted.”  The footnote</w:t>
      </w:r>
      <w:r w:rsidRPr="0086028C">
        <w:rPr>
          <w:rStyle w:val="normaltextrun"/>
          <w:rFonts w:ascii="Century Schoolbook" w:hAnsi="Century Schoolbook"/>
          <w:sz w:val="26"/>
          <w:szCs w:val="26"/>
        </w:rPr>
        <w:t xml:space="preserve"> shall read:</w:t>
      </w:r>
      <w:r w:rsidRPr="0086028C">
        <w:rPr>
          <w:rStyle w:val="eop"/>
          <w:rFonts w:ascii="Century Schoolbook" w:hAnsi="Century Schoolbook"/>
          <w:sz w:val="26"/>
          <w:szCs w:val="26"/>
        </w:rPr>
        <w:t> </w:t>
      </w:r>
    </w:p>
    <w:p w14:paraId="4C1A682B" w14:textId="77777777" w:rsidR="00252B71" w:rsidRPr="0086028C" w:rsidRDefault="00252B71" w:rsidP="00252B71">
      <w:pPr>
        <w:pStyle w:val="paragraph"/>
        <w:spacing w:before="0" w:beforeAutospacing="0" w:after="0" w:afterAutospacing="0"/>
        <w:ind w:left="720"/>
        <w:textAlignment w:val="baseline"/>
        <w:rPr>
          <w:rFonts w:ascii="Century Schoolbook" w:hAnsi="Century Schoolbook" w:cs="Segoe UI"/>
          <w:sz w:val="18"/>
          <w:szCs w:val="18"/>
        </w:rPr>
      </w:pPr>
    </w:p>
    <w:p w14:paraId="2C1B0F0A" w14:textId="77777777" w:rsidR="00252B71" w:rsidRPr="00C36E58" w:rsidRDefault="00C6573A" w:rsidP="00252B71">
      <w:pPr>
        <w:ind w:left="720" w:right="720"/>
        <w:jc w:val="both"/>
      </w:pPr>
      <w:r w:rsidRPr="00C36E58">
        <w:lastRenderedPageBreak/>
        <w:t xml:space="preserve">Scott filed a petition for rehearing pointing out we did not address </w:t>
      </w:r>
      <w:r w:rsidRPr="00C36E58">
        <w:rPr>
          <w:i/>
          <w:iCs/>
        </w:rPr>
        <w:t>People v. Loga</w:t>
      </w:r>
      <w:r w:rsidRPr="00C36E58">
        <w:rPr>
          <w:i/>
          <w:iCs/>
        </w:rPr>
        <w:t xml:space="preserve">n </w:t>
      </w:r>
      <w:r w:rsidRPr="00C36E58">
        <w:t>(1899) 123 Cal.414 in our discussion of the four leading cases addressing midtrial continuances.  In that case, our high court affirmed the trial court’s denial of the defendant’s request for a two-month trial continuance due to witness illness after the</w:t>
      </w:r>
      <w:r w:rsidRPr="00C36E58">
        <w:t xml:space="preserve"> jury was impaneled.  The court held that had the trial court granted the continuance, such an order “would have been reversible error.”  (Id. at p. 416.) Scott concedes in his petition that the court’s comments were arguably dicta.  Nevertheless, we find </w:t>
      </w:r>
      <w:r w:rsidRPr="00C36E58">
        <w:rPr>
          <w:i/>
          <w:iCs/>
        </w:rPr>
        <w:t xml:space="preserve">Logan </w:t>
      </w:r>
      <w:r w:rsidRPr="00C36E58">
        <w:t xml:space="preserve">readily distinguishable as it did not involve the denial of a motion for mistrial following a </w:t>
      </w:r>
      <w:r w:rsidRPr="00C36E58">
        <w:rPr>
          <w:i/>
          <w:iCs/>
        </w:rPr>
        <w:t xml:space="preserve">mandatory </w:t>
      </w:r>
      <w:r w:rsidRPr="00C36E58">
        <w:t xml:space="preserve">continuance based on exceptionally good cause due to an unprecedented pandemic.  By contrast, the </w:t>
      </w:r>
      <w:r w:rsidRPr="00C36E58">
        <w:rPr>
          <w:i/>
          <w:iCs/>
        </w:rPr>
        <w:t xml:space="preserve">Logan </w:t>
      </w:r>
      <w:r w:rsidRPr="00C36E58">
        <w:t>court implicitly found a lack of good caus</w:t>
      </w:r>
      <w:r w:rsidRPr="00C36E58">
        <w:t>e for the continuance because “Defendant’s counsel should have known the condition of their witness before the jury was impaneled, and should have made their showing at that time.”  (</w:t>
      </w:r>
      <w:r w:rsidRPr="00C36E58">
        <w:rPr>
          <w:i/>
          <w:iCs/>
        </w:rPr>
        <w:t>Ibid.</w:t>
      </w:r>
      <w:r w:rsidRPr="00C36E58">
        <w:t>)</w:t>
      </w:r>
    </w:p>
    <w:p w14:paraId="251CCF2C" w14:textId="77777777" w:rsidR="00252B71" w:rsidRDefault="00252B71" w:rsidP="00252B71">
      <w:pPr>
        <w:pStyle w:val="paragraph"/>
        <w:spacing w:before="0" w:beforeAutospacing="0" w:after="0" w:afterAutospacing="0"/>
        <w:textAlignment w:val="baseline"/>
        <w:rPr>
          <w:rStyle w:val="normaltextrun"/>
          <w:rFonts w:ascii="Century Schoolbook" w:hAnsi="Century Schoolbook"/>
          <w:sz w:val="26"/>
          <w:szCs w:val="26"/>
        </w:rPr>
      </w:pPr>
    </w:p>
    <w:p w14:paraId="5D448AF9" w14:textId="77777777" w:rsidR="00252B71" w:rsidRDefault="00252B71" w:rsidP="00252B71">
      <w:pPr>
        <w:pStyle w:val="paragraph"/>
        <w:spacing w:before="0" w:beforeAutospacing="0" w:after="0" w:afterAutospacing="0"/>
        <w:textAlignment w:val="baseline"/>
        <w:rPr>
          <w:rStyle w:val="normaltextrun"/>
          <w:rFonts w:ascii="Century Schoolbook" w:hAnsi="Century Schoolbook"/>
          <w:sz w:val="26"/>
          <w:szCs w:val="26"/>
        </w:rPr>
      </w:pPr>
    </w:p>
    <w:p w14:paraId="299450F1" w14:textId="77777777" w:rsidR="00252B71" w:rsidRPr="0086028C" w:rsidRDefault="00C6573A" w:rsidP="00252B71">
      <w:pPr>
        <w:pStyle w:val="paragraph"/>
        <w:spacing w:before="0" w:beforeAutospacing="0" w:after="0" w:afterAutospacing="0"/>
        <w:textAlignment w:val="baseline"/>
        <w:rPr>
          <w:rFonts w:ascii="Century Schoolbook" w:hAnsi="Century Schoolbook" w:cs="Segoe UI"/>
          <w:sz w:val="18"/>
          <w:szCs w:val="18"/>
        </w:rPr>
      </w:pPr>
      <w:r w:rsidRPr="0086028C">
        <w:rPr>
          <w:rStyle w:val="normaltextrun"/>
          <w:rFonts w:ascii="Century Schoolbook" w:hAnsi="Century Schoolbook"/>
          <w:sz w:val="26"/>
          <w:szCs w:val="26"/>
        </w:rPr>
        <w:t>The modification effects no change in the judgment.</w:t>
      </w:r>
      <w:r w:rsidRPr="0086028C">
        <w:rPr>
          <w:rStyle w:val="eop"/>
          <w:rFonts w:ascii="Century Schoolbook" w:hAnsi="Century Schoolbook"/>
          <w:sz w:val="26"/>
          <w:szCs w:val="26"/>
        </w:rPr>
        <w:t> </w:t>
      </w:r>
    </w:p>
    <w:p w14:paraId="39F20944" w14:textId="77777777" w:rsidR="00252B71" w:rsidRPr="0086028C" w:rsidRDefault="00C6573A" w:rsidP="00252B71">
      <w:pPr>
        <w:pStyle w:val="paragraph"/>
        <w:spacing w:before="0" w:beforeAutospacing="0" w:after="0" w:afterAutospacing="0"/>
        <w:jc w:val="both"/>
        <w:textAlignment w:val="baseline"/>
        <w:rPr>
          <w:rFonts w:ascii="Century Schoolbook" w:hAnsi="Century Schoolbook" w:cs="Segoe UI"/>
          <w:sz w:val="18"/>
          <w:szCs w:val="18"/>
        </w:rPr>
      </w:pPr>
      <w:r w:rsidRPr="0086028C">
        <w:rPr>
          <w:rStyle w:val="eop"/>
          <w:rFonts w:ascii="Century Schoolbook" w:hAnsi="Century Schoolbook"/>
          <w:sz w:val="26"/>
          <w:szCs w:val="26"/>
        </w:rPr>
        <w:t> </w:t>
      </w:r>
    </w:p>
    <w:p w14:paraId="155A35C5" w14:textId="77777777" w:rsidR="00252B71" w:rsidRPr="0086028C" w:rsidRDefault="00C6573A" w:rsidP="00252B71">
      <w:pPr>
        <w:pStyle w:val="paragraph"/>
        <w:spacing w:before="0" w:beforeAutospacing="0" w:after="0" w:afterAutospacing="0"/>
        <w:jc w:val="both"/>
        <w:textAlignment w:val="baseline"/>
        <w:rPr>
          <w:rFonts w:ascii="Century Schoolbook" w:hAnsi="Century Schoolbook" w:cs="Segoe UI"/>
          <w:sz w:val="18"/>
          <w:szCs w:val="18"/>
        </w:rPr>
      </w:pPr>
      <w:r w:rsidRPr="0086028C">
        <w:rPr>
          <w:rStyle w:val="eop"/>
          <w:rFonts w:ascii="Century Schoolbook" w:hAnsi="Century Schoolbook"/>
          <w:sz w:val="26"/>
          <w:szCs w:val="26"/>
        </w:rPr>
        <w:t> </w:t>
      </w:r>
    </w:p>
    <w:p w14:paraId="40CD85A8" w14:textId="77777777" w:rsidR="00252B71" w:rsidRPr="001A28A7" w:rsidRDefault="00C6573A" w:rsidP="00252B71">
      <w:pPr>
        <w:pStyle w:val="paragraph"/>
        <w:spacing w:before="0" w:beforeAutospacing="0" w:after="0" w:afterAutospacing="0"/>
        <w:jc w:val="both"/>
        <w:textAlignment w:val="baseline"/>
        <w:rPr>
          <w:rFonts w:ascii="Century Schoolbook" w:hAnsi="Century Schoolbook"/>
          <w:sz w:val="26"/>
          <w:szCs w:val="26"/>
        </w:rPr>
      </w:pPr>
      <w:r w:rsidRPr="0086028C">
        <w:rPr>
          <w:rStyle w:val="normaltextrun"/>
          <w:rFonts w:ascii="Century Schoolbook" w:hAnsi="Century Schoolbook"/>
          <w:sz w:val="26"/>
          <w:szCs w:val="26"/>
        </w:rPr>
        <w:t>Date:</w:t>
      </w:r>
      <w:r>
        <w:rPr>
          <w:rStyle w:val="normaltextrun"/>
          <w:rFonts w:ascii="Century Schoolbook" w:hAnsi="Century Schoolbook"/>
          <w:sz w:val="26"/>
          <w:szCs w:val="26"/>
        </w:rPr>
        <w:t xml:space="preserve"> </w:t>
      </w:r>
      <w:r w:rsidRPr="0086028C">
        <w:rPr>
          <w:rStyle w:val="normaltextrun"/>
          <w:rFonts w:ascii="Century Schoolbook" w:hAnsi="Century Schoolbook"/>
          <w:sz w:val="26"/>
          <w:szCs w:val="26"/>
          <w:u w:val="single"/>
        </w:rPr>
        <w:t> </w:t>
      </w:r>
      <w:r w:rsidRPr="0086028C">
        <w:rPr>
          <w:rStyle w:val="normaltextrun"/>
          <w:rFonts w:ascii="Century Schoolbook" w:hAnsi="Century Schoolbook"/>
          <w:sz w:val="26"/>
          <w:szCs w:val="26"/>
          <w:u w:val="single"/>
        </w:rPr>
        <w:t>            </w:t>
      </w:r>
      <w:r>
        <w:rPr>
          <w:rStyle w:val="normaltextrun"/>
          <w:rFonts w:ascii="Century Schoolbook" w:hAnsi="Century Schoolbook"/>
          <w:sz w:val="26"/>
          <w:szCs w:val="26"/>
          <w:u w:val="single"/>
        </w:rPr>
        <w:t>10/10/2022</w:t>
      </w:r>
      <w:r w:rsidRPr="0086028C">
        <w:rPr>
          <w:rStyle w:val="normaltextrun"/>
          <w:rFonts w:ascii="Century Schoolbook" w:hAnsi="Century Schoolbook"/>
          <w:sz w:val="26"/>
          <w:szCs w:val="26"/>
          <w:u w:val="single"/>
        </w:rPr>
        <w:t xml:space="preserve">                  </w:t>
      </w:r>
      <w:r w:rsidRPr="0086028C">
        <w:rPr>
          <w:rStyle w:val="tabchar"/>
          <w:rFonts w:ascii="Century Schoolbook" w:hAnsi="Century Schoolbook" w:cs="Calibri"/>
          <w:sz w:val="26"/>
          <w:szCs w:val="26"/>
        </w:rPr>
        <w:tab/>
      </w:r>
      <w:r w:rsidRPr="0086028C">
        <w:rPr>
          <w:rStyle w:val="tabchar"/>
          <w:rFonts w:ascii="Century Schoolbook" w:hAnsi="Century Schoolbook" w:cs="Calibri"/>
          <w:sz w:val="26"/>
          <w:szCs w:val="26"/>
        </w:rPr>
        <w:tab/>
      </w:r>
      <w:r w:rsidRPr="0086028C">
        <w:rPr>
          <w:rStyle w:val="normaltextrun"/>
          <w:rFonts w:ascii="Century Schoolbook" w:hAnsi="Century Schoolbook"/>
          <w:sz w:val="26"/>
          <w:szCs w:val="26"/>
        </w:rPr>
        <w:t>_______</w:t>
      </w:r>
      <w:r>
        <w:rPr>
          <w:rStyle w:val="normaltextrun"/>
          <w:rFonts w:ascii="Century Schoolbook" w:hAnsi="Century Schoolbook"/>
          <w:sz w:val="26"/>
          <w:szCs w:val="26"/>
          <w:u w:val="single"/>
        </w:rPr>
        <w:t>Jackson, P.J.</w:t>
      </w:r>
      <w:r w:rsidRPr="0086028C">
        <w:rPr>
          <w:rStyle w:val="normaltextrun"/>
          <w:rFonts w:ascii="Century Schoolbook" w:hAnsi="Century Schoolbook"/>
          <w:sz w:val="26"/>
          <w:szCs w:val="26"/>
        </w:rPr>
        <w:t>________ P.J.</w:t>
      </w:r>
      <w:r w:rsidRPr="0086028C">
        <w:rPr>
          <w:rStyle w:val="eop"/>
          <w:rFonts w:ascii="Century Schoolbook" w:hAnsi="Century Schoolbook"/>
          <w:sz w:val="26"/>
          <w:szCs w:val="26"/>
        </w:rPr>
        <w:t> </w:t>
      </w:r>
    </w:p>
    <w:p w14:paraId="278D55A0" w14:textId="77777777" w:rsidR="00252B71" w:rsidRPr="0086028C" w:rsidRDefault="00252B71" w:rsidP="00252B71">
      <w:pPr>
        <w:spacing w:line="360" w:lineRule="auto"/>
      </w:pPr>
    </w:p>
    <w:p w14:paraId="741A9B8F" w14:textId="77777777" w:rsidR="00252B71" w:rsidRDefault="00C6573A" w:rsidP="00252B71">
      <w:r w:rsidRPr="0086028C">
        <w:t xml:space="preserve"> </w:t>
      </w:r>
    </w:p>
    <w:p w14:paraId="3BCEC53F" w14:textId="77777777" w:rsidR="00252B71" w:rsidRDefault="00252B71" w:rsidP="00252B71"/>
    <w:p w14:paraId="0671C4F4" w14:textId="77777777" w:rsidR="00252B71" w:rsidRDefault="00252B71" w:rsidP="00252B71"/>
    <w:p w14:paraId="559D678E" w14:textId="77777777" w:rsidR="00252B71" w:rsidRDefault="00252B71" w:rsidP="00252B71"/>
    <w:p w14:paraId="129AA528" w14:textId="77777777" w:rsidR="00252B71" w:rsidRDefault="00252B71" w:rsidP="00252B71"/>
    <w:p w14:paraId="51BE9897" w14:textId="77777777" w:rsidR="00252B71" w:rsidRDefault="00252B71" w:rsidP="00252B71"/>
    <w:p w14:paraId="17F0C761" w14:textId="77777777" w:rsidR="00252B71" w:rsidRPr="0048404A" w:rsidRDefault="00C6573A" w:rsidP="00252B71">
      <w:r w:rsidRPr="0048404A">
        <w:lastRenderedPageBreak/>
        <w:t>A1</w:t>
      </w:r>
      <w:r>
        <w:t>61579, A161644</w:t>
      </w:r>
      <w:r w:rsidRPr="0048404A">
        <w:t xml:space="preserve"> / </w:t>
      </w:r>
      <w:r>
        <w:t>People v. Garcia &amp; Scott</w:t>
      </w:r>
    </w:p>
    <w:p w14:paraId="0B1D84A5" w14:textId="77777777" w:rsidR="00252B71" w:rsidRPr="0048404A" w:rsidRDefault="00252B71" w:rsidP="00252B71"/>
    <w:p w14:paraId="06766E75" w14:textId="77777777" w:rsidR="00252B71" w:rsidRPr="0048404A" w:rsidRDefault="00C6573A" w:rsidP="00252B71">
      <w:r w:rsidRPr="0048404A">
        <w:t>Trial Court:</w:t>
      </w:r>
      <w:r w:rsidRPr="0048404A">
        <w:tab/>
      </w:r>
      <w:r>
        <w:t xml:space="preserve">  Alameda County Superior Court</w:t>
      </w:r>
    </w:p>
    <w:p w14:paraId="0878410B" w14:textId="77777777" w:rsidR="00252B71" w:rsidRPr="0048404A" w:rsidRDefault="00252B71" w:rsidP="00252B71"/>
    <w:p w14:paraId="086401DD" w14:textId="77777777" w:rsidR="00252B71" w:rsidRPr="0048404A" w:rsidRDefault="00C6573A" w:rsidP="00252B71">
      <w:r w:rsidRPr="0048404A">
        <w:t>Trial Judge:</w:t>
      </w:r>
      <w:r>
        <w:t xml:space="preserve">  </w:t>
      </w:r>
      <w:r w:rsidRPr="0048404A">
        <w:t xml:space="preserve">Hon. </w:t>
      </w:r>
      <w:r>
        <w:t>Mark A. McCannon</w:t>
      </w:r>
    </w:p>
    <w:p w14:paraId="7FA83DF8" w14:textId="77777777" w:rsidR="00252B71" w:rsidRPr="0048404A" w:rsidRDefault="00252B71" w:rsidP="00252B71"/>
    <w:p w14:paraId="745E4641" w14:textId="77777777" w:rsidR="00252B71" w:rsidRPr="0048404A" w:rsidRDefault="00C6573A" w:rsidP="00252B71">
      <w:r w:rsidRPr="0048404A">
        <w:t>Counsel:</w:t>
      </w:r>
      <w:r>
        <w:t xml:space="preserve">  Kathy R. Moreno, Solomon Wollack; By Appointment of the First District Court of Appeal under the First District Appellate Project, for Appellants. </w:t>
      </w:r>
    </w:p>
    <w:p w14:paraId="5FBA32DB" w14:textId="77777777" w:rsidR="00252B71" w:rsidRPr="0048404A" w:rsidRDefault="00252B71" w:rsidP="00252B71"/>
    <w:p w14:paraId="053DF685" w14:textId="77777777" w:rsidR="00252B71" w:rsidRPr="00C96CCF" w:rsidRDefault="00C6573A" w:rsidP="00252B71">
      <w:r>
        <w:t>Rob Bonta, Attorney General, Lance E. Winters, Chief Assistant Attorney General, Jeffrey M. Laurence, Sen</w:t>
      </w:r>
      <w:r>
        <w:t xml:space="preserve">ior Assistant Attorney General, Catherine A. Rivlin, Supervising Deputy Attorney General, and Bruce M. Slavin, Deputy Attorney General, for Respondent. </w:t>
      </w:r>
    </w:p>
    <w:p w14:paraId="35270291" w14:textId="77777777" w:rsidR="00252B71" w:rsidRPr="0086028C" w:rsidRDefault="00252B71" w:rsidP="00252B71"/>
    <w:p w14:paraId="5CB39A35" w14:textId="77777777" w:rsidR="00252B71" w:rsidRDefault="00252B71" w:rsidP="001E5A37">
      <w:pPr>
        <w:pStyle w:val="paragraph"/>
        <w:spacing w:before="0" w:beforeAutospacing="0" w:after="0" w:afterAutospacing="0"/>
        <w:textAlignment w:val="baseline"/>
        <w:rPr>
          <w:rStyle w:val="eop"/>
          <w:sz w:val="20"/>
          <w:szCs w:val="26"/>
        </w:rPr>
        <w:sectPr w:rsidR="00252B71" w:rsidSect="00C92CB2">
          <w:footerReference w:type="even" r:id="rId7"/>
          <w:footerReference w:type="default" r:id="rId8"/>
          <w:pgSz w:w="12240" w:h="15840"/>
          <w:pgMar w:top="1440" w:right="1440" w:bottom="1440" w:left="1440" w:header="0" w:footer="759" w:gutter="0"/>
          <w:cols w:space="720"/>
          <w:docGrid w:linePitch="354"/>
        </w:sectPr>
      </w:pPr>
    </w:p>
    <w:p w14:paraId="3EA0EFD4" w14:textId="686D526E" w:rsidR="001A05AD" w:rsidRPr="00942448" w:rsidRDefault="00C6573A" w:rsidP="001A05AD">
      <w:pPr>
        <w:spacing w:line="240" w:lineRule="auto"/>
        <w:rPr>
          <w:bCs/>
          <w:sz w:val="20"/>
        </w:rPr>
      </w:pPr>
      <w:r w:rsidRPr="00942448">
        <w:rPr>
          <w:bCs/>
          <w:sz w:val="20"/>
        </w:rPr>
        <w:lastRenderedPageBreak/>
        <w:t>Filed</w:t>
      </w:r>
      <w:r w:rsidR="00A31F4D">
        <w:rPr>
          <w:bCs/>
          <w:sz w:val="20"/>
        </w:rPr>
        <w:t xml:space="preserve"> </w:t>
      </w:r>
      <w:r w:rsidRPr="00942448">
        <w:rPr>
          <w:bCs/>
          <w:sz w:val="20"/>
        </w:rPr>
        <w:t>9/1</w:t>
      </w:r>
      <w:r w:rsidR="00E61DE3" w:rsidRPr="00942448">
        <w:rPr>
          <w:bCs/>
          <w:sz w:val="20"/>
        </w:rPr>
        <w:t>3</w:t>
      </w:r>
      <w:r w:rsidRPr="00942448">
        <w:rPr>
          <w:bCs/>
          <w:sz w:val="20"/>
        </w:rPr>
        <w:t>/22</w:t>
      </w:r>
      <w:r w:rsidR="0040705C">
        <w:rPr>
          <w:bCs/>
          <w:sz w:val="20"/>
        </w:rPr>
        <w:t xml:space="preserve"> (unmodified opinion)</w:t>
      </w:r>
    </w:p>
    <w:p w14:paraId="69AC72E1" w14:textId="4D70176D" w:rsidR="001A05AD" w:rsidRPr="001A05AD" w:rsidRDefault="00C6573A" w:rsidP="001A05AD">
      <w:pPr>
        <w:spacing w:line="240" w:lineRule="auto"/>
        <w:jc w:val="center"/>
      </w:pPr>
      <w:r>
        <w:rPr>
          <w:b/>
        </w:rPr>
        <w:t>CERTIFIED FOR PARTIAL PUBLICATION</w:t>
      </w:r>
      <w:r>
        <w:rPr>
          <w:rStyle w:val="FootnoteReference"/>
          <w:b/>
        </w:rPr>
        <w:footnoteReference w:customMarkFollows="1" w:id="2"/>
        <w:t>*</w:t>
      </w:r>
    </w:p>
    <w:p w14:paraId="2360D146" w14:textId="77777777" w:rsidR="001A05AD" w:rsidRPr="001A05AD" w:rsidRDefault="001A05AD" w:rsidP="00214546">
      <w:pPr>
        <w:spacing w:line="240" w:lineRule="auto"/>
        <w:rPr>
          <w:b/>
        </w:rPr>
      </w:pPr>
    </w:p>
    <w:p w14:paraId="6E5DD357" w14:textId="6422779A" w:rsidR="00761302" w:rsidRPr="002D57BE" w:rsidRDefault="00C6573A" w:rsidP="00761302">
      <w:pPr>
        <w:spacing w:line="240" w:lineRule="auto"/>
        <w:jc w:val="center"/>
      </w:pPr>
      <w:r w:rsidRPr="002D57BE">
        <w:t>IN THE COURT OF APPEAL OF THE STATE OF CALIFORNIA</w:t>
      </w:r>
    </w:p>
    <w:p w14:paraId="20819F47" w14:textId="77777777" w:rsidR="00761302" w:rsidRPr="002D57BE" w:rsidRDefault="00761302" w:rsidP="00761302">
      <w:pPr>
        <w:spacing w:line="240" w:lineRule="auto"/>
        <w:jc w:val="center"/>
      </w:pPr>
    </w:p>
    <w:p w14:paraId="27C82536" w14:textId="77777777" w:rsidR="00761302" w:rsidRPr="002D57BE" w:rsidRDefault="00C6573A" w:rsidP="00761302">
      <w:pPr>
        <w:spacing w:line="240" w:lineRule="auto"/>
        <w:jc w:val="center"/>
      </w:pPr>
      <w:r w:rsidRPr="002D57BE">
        <w:t>FIRST APPELLATE DISTRICT</w:t>
      </w:r>
    </w:p>
    <w:p w14:paraId="444847DB" w14:textId="77777777" w:rsidR="00761302" w:rsidRPr="002D57BE" w:rsidRDefault="00761302" w:rsidP="00761302">
      <w:pPr>
        <w:spacing w:line="240" w:lineRule="auto"/>
        <w:jc w:val="center"/>
      </w:pPr>
    </w:p>
    <w:p w14:paraId="3600648D" w14:textId="05E98470" w:rsidR="00761302" w:rsidRPr="002D57BE" w:rsidRDefault="00C6573A" w:rsidP="00092A9F">
      <w:pPr>
        <w:spacing w:line="240" w:lineRule="auto"/>
        <w:jc w:val="center"/>
      </w:pPr>
      <w:r w:rsidRPr="002D57BE">
        <w:t>DIVISION FIVE</w:t>
      </w:r>
    </w:p>
    <w:p w14:paraId="481E57E7" w14:textId="77777777" w:rsidR="00761302" w:rsidRPr="002D57BE" w:rsidRDefault="00761302" w:rsidP="00761302">
      <w:pPr>
        <w:spacing w:line="240" w:lineRule="auto"/>
        <w:jc w:val="center"/>
      </w:pPr>
    </w:p>
    <w:tbl>
      <w:tblPr>
        <w:tblW w:w="9576" w:type="dxa"/>
        <w:tblLayout w:type="fixed"/>
        <w:tblLook w:val="0000" w:firstRow="0" w:lastRow="0" w:firstColumn="0" w:lastColumn="0" w:noHBand="0" w:noVBand="0"/>
      </w:tblPr>
      <w:tblGrid>
        <w:gridCol w:w="4860"/>
        <w:gridCol w:w="4716"/>
      </w:tblGrid>
      <w:tr w:rsidR="00377EAC" w14:paraId="0214105A" w14:textId="77777777" w:rsidTr="00A37D80">
        <w:tc>
          <w:tcPr>
            <w:tcW w:w="4860" w:type="dxa"/>
            <w:tcBorders>
              <w:right w:val="single" w:sz="4" w:space="0" w:color="auto"/>
            </w:tcBorders>
            <w:shd w:val="clear" w:color="auto" w:fill="auto"/>
          </w:tcPr>
          <w:p w14:paraId="60ECB976" w14:textId="7AAB5AFC" w:rsidR="00FA19FB" w:rsidRPr="002D57BE" w:rsidRDefault="00C6573A" w:rsidP="00FA19FB">
            <w:pPr>
              <w:spacing w:after="120" w:line="240" w:lineRule="auto"/>
              <w:rPr>
                <w:rFonts w:cs="Times New Roman"/>
              </w:rPr>
            </w:pPr>
            <w:r w:rsidRPr="002D57BE">
              <w:rPr>
                <w:rFonts w:cs="Times New Roman"/>
              </w:rPr>
              <w:t>THE PEOPLE,</w:t>
            </w:r>
          </w:p>
          <w:p w14:paraId="3C8B5446" w14:textId="0D24AA53" w:rsidR="00FA19FB" w:rsidRPr="002D57BE" w:rsidRDefault="00C6573A" w:rsidP="00FA19FB">
            <w:pPr>
              <w:spacing w:after="120" w:line="240" w:lineRule="auto"/>
              <w:rPr>
                <w:rFonts w:cs="Times New Roman"/>
              </w:rPr>
            </w:pPr>
            <w:r w:rsidRPr="002D57BE">
              <w:rPr>
                <w:rFonts w:cs="Times New Roman"/>
              </w:rPr>
              <w:tab/>
            </w:r>
            <w:r w:rsidR="00763764" w:rsidRPr="002D57BE">
              <w:rPr>
                <w:rFonts w:cs="Times New Roman"/>
              </w:rPr>
              <w:t>Plaintiff</w:t>
            </w:r>
            <w:r w:rsidRPr="002D57BE">
              <w:rPr>
                <w:rFonts w:cs="Times New Roman"/>
              </w:rPr>
              <w:t xml:space="preserve"> and Respondent</w:t>
            </w:r>
            <w:r w:rsidR="00357122" w:rsidRPr="002D57BE">
              <w:rPr>
                <w:rFonts w:cs="Times New Roman"/>
              </w:rPr>
              <w:t>,</w:t>
            </w:r>
          </w:p>
          <w:p w14:paraId="0C5C0086" w14:textId="65D87848" w:rsidR="00070D94" w:rsidRPr="002D57BE" w:rsidRDefault="00C6573A" w:rsidP="00FA19FB">
            <w:pPr>
              <w:spacing w:after="120" w:line="240" w:lineRule="auto"/>
              <w:rPr>
                <w:rFonts w:cs="Times New Roman"/>
              </w:rPr>
            </w:pPr>
            <w:r w:rsidRPr="002D57BE">
              <w:rPr>
                <w:rFonts w:cs="Times New Roman"/>
              </w:rPr>
              <w:t>v.</w:t>
            </w:r>
          </w:p>
          <w:p w14:paraId="408CDE1C" w14:textId="7EE8B061" w:rsidR="00070D94" w:rsidRPr="002D57BE" w:rsidRDefault="00C6573A" w:rsidP="00070D94">
            <w:pPr>
              <w:spacing w:after="120" w:line="240" w:lineRule="auto"/>
              <w:rPr>
                <w:rFonts w:cs="Times New Roman"/>
              </w:rPr>
            </w:pPr>
            <w:r w:rsidRPr="002D57BE">
              <w:rPr>
                <w:rFonts w:cs="Times New Roman"/>
              </w:rPr>
              <w:t>ALEJANDRO GARCIA</w:t>
            </w:r>
            <w:r w:rsidR="006216C8" w:rsidRPr="002D57BE">
              <w:rPr>
                <w:rFonts w:cs="Times New Roman"/>
              </w:rPr>
              <w:t>,</w:t>
            </w:r>
          </w:p>
          <w:p w14:paraId="5B56EA38" w14:textId="6EAE4FE9" w:rsidR="00761302" w:rsidRPr="002D57BE" w:rsidRDefault="00C6573A" w:rsidP="00070D94">
            <w:pPr>
              <w:spacing w:after="120" w:line="240" w:lineRule="auto"/>
              <w:rPr>
                <w:rFonts w:cs="Times New Roman"/>
              </w:rPr>
            </w:pPr>
            <w:r w:rsidRPr="002D57BE">
              <w:rPr>
                <w:rFonts w:cs="Times New Roman"/>
              </w:rPr>
              <w:tab/>
            </w:r>
            <w:r w:rsidR="00FA19FB" w:rsidRPr="002D57BE">
              <w:rPr>
                <w:rFonts w:cs="Times New Roman"/>
              </w:rPr>
              <w:t>Defendant</w:t>
            </w:r>
            <w:r w:rsidRPr="002D57BE">
              <w:rPr>
                <w:rFonts w:cs="Times New Roman"/>
              </w:rPr>
              <w:t xml:space="preserve"> and </w:t>
            </w:r>
            <w:r w:rsidR="00FA19FB" w:rsidRPr="002D57BE">
              <w:rPr>
                <w:rFonts w:cs="Times New Roman"/>
              </w:rPr>
              <w:t>Appellant.</w:t>
            </w:r>
          </w:p>
          <w:p w14:paraId="10E53DEA" w14:textId="47C31353" w:rsidR="00B01461" w:rsidRPr="002D57BE" w:rsidRDefault="00C6573A" w:rsidP="00070D94">
            <w:pPr>
              <w:spacing w:after="120" w:line="240" w:lineRule="auto"/>
              <w:rPr>
                <w:rFonts w:cs="Times New Roman"/>
              </w:rPr>
            </w:pPr>
            <w:r w:rsidRPr="002D57BE">
              <w:rPr>
                <w:rFonts w:cs="Times New Roman"/>
              </w:rPr>
              <w:t>___________________</w:t>
            </w:r>
            <w:r w:rsidRPr="002D57BE">
              <w:rPr>
                <w:rFonts w:cs="Times New Roman"/>
              </w:rPr>
              <w:t>________________</w:t>
            </w:r>
          </w:p>
          <w:p w14:paraId="661EA651" w14:textId="184F026C" w:rsidR="00772CD1" w:rsidRPr="002D57BE" w:rsidRDefault="00C6573A" w:rsidP="00772CD1">
            <w:pPr>
              <w:spacing w:after="120" w:line="240" w:lineRule="auto"/>
              <w:rPr>
                <w:rFonts w:cs="Times New Roman"/>
              </w:rPr>
            </w:pPr>
            <w:r w:rsidRPr="002D57BE">
              <w:rPr>
                <w:rFonts w:cs="Times New Roman"/>
              </w:rPr>
              <w:t>THE PEOPLE,</w:t>
            </w:r>
          </w:p>
          <w:p w14:paraId="40DF5528" w14:textId="449698CE" w:rsidR="00772CD1" w:rsidRPr="002D57BE" w:rsidRDefault="00C6573A" w:rsidP="00772CD1">
            <w:pPr>
              <w:spacing w:after="120" w:line="240" w:lineRule="auto"/>
              <w:rPr>
                <w:rFonts w:cs="Times New Roman"/>
              </w:rPr>
            </w:pPr>
            <w:r w:rsidRPr="002D57BE">
              <w:rPr>
                <w:rFonts w:cs="Times New Roman"/>
              </w:rPr>
              <w:tab/>
            </w:r>
            <w:r w:rsidR="00CD66E2" w:rsidRPr="002D57BE">
              <w:rPr>
                <w:rFonts w:cs="Times New Roman"/>
              </w:rPr>
              <w:t>Plaintiff</w:t>
            </w:r>
            <w:r w:rsidRPr="002D57BE">
              <w:rPr>
                <w:rFonts w:cs="Times New Roman"/>
              </w:rPr>
              <w:t xml:space="preserve"> and Respondent</w:t>
            </w:r>
            <w:r w:rsidR="00357122" w:rsidRPr="002D57BE">
              <w:rPr>
                <w:rFonts w:cs="Times New Roman"/>
              </w:rPr>
              <w:t>,</w:t>
            </w:r>
          </w:p>
          <w:p w14:paraId="52D2B04E" w14:textId="77777777" w:rsidR="00772CD1" w:rsidRPr="002D57BE" w:rsidRDefault="00C6573A" w:rsidP="00772CD1">
            <w:pPr>
              <w:spacing w:after="120" w:line="240" w:lineRule="auto"/>
              <w:rPr>
                <w:rFonts w:cs="Times New Roman"/>
              </w:rPr>
            </w:pPr>
            <w:r w:rsidRPr="002D57BE">
              <w:rPr>
                <w:rFonts w:cs="Times New Roman"/>
              </w:rPr>
              <w:t>v.</w:t>
            </w:r>
          </w:p>
          <w:p w14:paraId="77C272D4" w14:textId="01E2484F" w:rsidR="00772CD1" w:rsidRPr="002D57BE" w:rsidRDefault="00C6573A" w:rsidP="00772CD1">
            <w:pPr>
              <w:spacing w:after="120" w:line="240" w:lineRule="auto"/>
              <w:rPr>
                <w:rFonts w:cs="Times New Roman"/>
              </w:rPr>
            </w:pPr>
            <w:r w:rsidRPr="002D57BE">
              <w:rPr>
                <w:rFonts w:cs="Times New Roman"/>
              </w:rPr>
              <w:t xml:space="preserve">JAMES </w:t>
            </w:r>
            <w:r w:rsidR="00DE7315" w:rsidRPr="002D57BE">
              <w:rPr>
                <w:rFonts w:cs="Times New Roman"/>
              </w:rPr>
              <w:t xml:space="preserve">EARL </w:t>
            </w:r>
            <w:r w:rsidRPr="002D57BE">
              <w:rPr>
                <w:rFonts w:cs="Times New Roman"/>
              </w:rPr>
              <w:t>SCOTT,</w:t>
            </w:r>
          </w:p>
          <w:p w14:paraId="56A4EF0D" w14:textId="43CC94E2" w:rsidR="00B01461" w:rsidRPr="002D57BE" w:rsidRDefault="00C6573A" w:rsidP="00772CD1">
            <w:pPr>
              <w:spacing w:after="120" w:line="240" w:lineRule="auto"/>
              <w:rPr>
                <w:rFonts w:cs="Times New Roman"/>
              </w:rPr>
            </w:pPr>
            <w:r w:rsidRPr="002D57BE">
              <w:rPr>
                <w:rFonts w:cs="Times New Roman"/>
              </w:rPr>
              <w:tab/>
              <w:t>Defendant and Appellant.</w:t>
            </w:r>
          </w:p>
        </w:tc>
        <w:tc>
          <w:tcPr>
            <w:tcW w:w="4716" w:type="dxa"/>
            <w:tcBorders>
              <w:left w:val="single" w:sz="4" w:space="0" w:color="auto"/>
            </w:tcBorders>
            <w:shd w:val="clear" w:color="auto" w:fill="auto"/>
          </w:tcPr>
          <w:p w14:paraId="1556E953" w14:textId="4241C029" w:rsidR="00A45A1D" w:rsidRDefault="00C6573A" w:rsidP="005F65F0">
            <w:pPr>
              <w:spacing w:line="240" w:lineRule="auto"/>
            </w:pPr>
            <w:r w:rsidRPr="002D57BE">
              <w:t xml:space="preserve"> </w:t>
            </w:r>
          </w:p>
          <w:p w14:paraId="519BBFD6" w14:textId="67B13BFB" w:rsidR="00761302" w:rsidRDefault="00C6573A" w:rsidP="005F65F0">
            <w:pPr>
              <w:spacing w:line="240" w:lineRule="auto"/>
            </w:pPr>
            <w:r w:rsidRPr="002D57BE">
              <w:t xml:space="preserve">     </w:t>
            </w:r>
            <w:r w:rsidR="006F2945" w:rsidRPr="002D57BE">
              <w:t>A</w:t>
            </w:r>
            <w:r w:rsidR="000D6BF4" w:rsidRPr="002D57BE">
              <w:t xml:space="preserve">161579 </w:t>
            </w:r>
          </w:p>
          <w:p w14:paraId="4AC45E41" w14:textId="77777777" w:rsidR="00A45A1D" w:rsidRDefault="00A45A1D" w:rsidP="005F65F0">
            <w:pPr>
              <w:spacing w:line="240" w:lineRule="auto"/>
            </w:pPr>
          </w:p>
          <w:p w14:paraId="36CA8E7B" w14:textId="6F75C8C5" w:rsidR="00761302" w:rsidRPr="002D57BE" w:rsidRDefault="00C6573A" w:rsidP="005F65F0">
            <w:pPr>
              <w:spacing w:line="240" w:lineRule="auto"/>
            </w:pPr>
            <w:r w:rsidRPr="002D57BE">
              <w:t xml:space="preserve">      (</w:t>
            </w:r>
            <w:r w:rsidR="00252B9C" w:rsidRPr="002D57BE">
              <w:t xml:space="preserve">Alameda </w:t>
            </w:r>
            <w:r w:rsidRPr="002D57BE">
              <w:t>County</w:t>
            </w:r>
          </w:p>
          <w:p w14:paraId="13C8DB9A" w14:textId="30F6ED39" w:rsidR="00761302" w:rsidRPr="002D57BE" w:rsidRDefault="00C6573A" w:rsidP="00B27CC1">
            <w:pPr>
              <w:spacing w:line="240" w:lineRule="auto"/>
            </w:pPr>
            <w:r w:rsidRPr="002D57BE">
              <w:t xml:space="preserve">      Super. Ct. No. </w:t>
            </w:r>
            <w:r w:rsidR="00CD66E2" w:rsidRPr="002D57BE">
              <w:t>617</w:t>
            </w:r>
            <w:r w:rsidR="00CC0B22" w:rsidRPr="002D57BE">
              <w:t>384D</w:t>
            </w:r>
            <w:r w:rsidRPr="002D57BE">
              <w:t>)</w:t>
            </w:r>
          </w:p>
          <w:p w14:paraId="74587796" w14:textId="77777777" w:rsidR="00761302" w:rsidRPr="002D57BE" w:rsidRDefault="00761302" w:rsidP="00B27CC1">
            <w:pPr>
              <w:spacing w:line="240" w:lineRule="auto"/>
              <w:ind w:left="720"/>
            </w:pPr>
          </w:p>
          <w:p w14:paraId="2B1E7A84" w14:textId="7A3787D4" w:rsidR="0032468D" w:rsidRDefault="0032468D" w:rsidP="00B27CC1">
            <w:pPr>
              <w:spacing w:line="240" w:lineRule="auto"/>
              <w:ind w:left="720"/>
            </w:pPr>
          </w:p>
          <w:p w14:paraId="3F62D071" w14:textId="4B686377" w:rsidR="00A45A1D" w:rsidRDefault="00A45A1D" w:rsidP="00B27CC1">
            <w:pPr>
              <w:spacing w:line="240" w:lineRule="auto"/>
              <w:ind w:left="720"/>
            </w:pPr>
          </w:p>
          <w:p w14:paraId="7EBCB281" w14:textId="77777777" w:rsidR="006E313E" w:rsidRPr="002D57BE" w:rsidRDefault="006E313E" w:rsidP="00B27CC1">
            <w:pPr>
              <w:spacing w:line="240" w:lineRule="auto"/>
              <w:ind w:left="720"/>
            </w:pPr>
          </w:p>
          <w:p w14:paraId="253196A1" w14:textId="5FDA3381" w:rsidR="0032468D" w:rsidRDefault="00C6573A" w:rsidP="0032468D">
            <w:pPr>
              <w:spacing w:line="240" w:lineRule="auto"/>
            </w:pPr>
            <w:r w:rsidRPr="002D57BE">
              <w:t xml:space="preserve">      A161644</w:t>
            </w:r>
          </w:p>
          <w:p w14:paraId="50F6D76B" w14:textId="77777777" w:rsidR="006E313E" w:rsidRDefault="006E313E" w:rsidP="0032468D">
            <w:pPr>
              <w:spacing w:line="240" w:lineRule="auto"/>
            </w:pPr>
          </w:p>
          <w:p w14:paraId="7A6C5435" w14:textId="77777777" w:rsidR="006E313E" w:rsidRPr="002D57BE" w:rsidRDefault="00C6573A" w:rsidP="006E313E">
            <w:pPr>
              <w:spacing w:line="240" w:lineRule="auto"/>
            </w:pPr>
            <w:r w:rsidRPr="002D57BE">
              <w:t xml:space="preserve">      (Alameda County</w:t>
            </w:r>
          </w:p>
          <w:p w14:paraId="53EDAB87" w14:textId="6917A6D7" w:rsidR="006E313E" w:rsidRPr="002D57BE" w:rsidRDefault="00C6573A" w:rsidP="006E313E">
            <w:pPr>
              <w:spacing w:line="240" w:lineRule="auto"/>
            </w:pPr>
            <w:r w:rsidRPr="002D57BE">
              <w:t xml:space="preserve">      Super. Ct. No.</w:t>
            </w:r>
            <w:r>
              <w:t xml:space="preserve"> </w:t>
            </w:r>
            <w:r w:rsidRPr="002D57BE">
              <w:t>617384E)</w:t>
            </w:r>
          </w:p>
          <w:p w14:paraId="1B9D7166" w14:textId="1B910320" w:rsidR="006E313E" w:rsidRPr="002D57BE" w:rsidRDefault="006E313E" w:rsidP="0032468D">
            <w:pPr>
              <w:spacing w:line="240" w:lineRule="auto"/>
            </w:pPr>
          </w:p>
        </w:tc>
      </w:tr>
      <w:tr w:rsidR="00377EAC" w14:paraId="4D74153E" w14:textId="77777777" w:rsidTr="00A37D80">
        <w:tc>
          <w:tcPr>
            <w:tcW w:w="4860" w:type="dxa"/>
            <w:tcBorders>
              <w:bottom w:val="single" w:sz="4" w:space="0" w:color="auto"/>
              <w:right w:val="single" w:sz="4" w:space="0" w:color="auto"/>
            </w:tcBorders>
            <w:shd w:val="clear" w:color="auto" w:fill="auto"/>
          </w:tcPr>
          <w:p w14:paraId="4B9B8D9E" w14:textId="77777777" w:rsidR="00A15BF0" w:rsidRPr="002D57BE" w:rsidRDefault="00A15BF0" w:rsidP="00357122">
            <w:pPr>
              <w:spacing w:line="240" w:lineRule="auto"/>
            </w:pPr>
          </w:p>
        </w:tc>
        <w:tc>
          <w:tcPr>
            <w:tcW w:w="4716" w:type="dxa"/>
            <w:tcBorders>
              <w:left w:val="single" w:sz="4" w:space="0" w:color="auto"/>
            </w:tcBorders>
            <w:shd w:val="clear" w:color="auto" w:fill="auto"/>
          </w:tcPr>
          <w:p w14:paraId="2994D31F" w14:textId="77777777" w:rsidR="00A15BF0" w:rsidRPr="002D57BE" w:rsidRDefault="00A15BF0" w:rsidP="005F65F0">
            <w:pPr>
              <w:spacing w:line="240" w:lineRule="auto"/>
            </w:pPr>
          </w:p>
        </w:tc>
      </w:tr>
    </w:tbl>
    <w:p w14:paraId="56C40C4F" w14:textId="77777777" w:rsidR="00761302" w:rsidRPr="002D57BE" w:rsidRDefault="00761302" w:rsidP="00761302">
      <w:pPr>
        <w:spacing w:line="360" w:lineRule="auto"/>
      </w:pPr>
    </w:p>
    <w:p w14:paraId="211A9E80" w14:textId="450EE832" w:rsidR="00953193" w:rsidRPr="002D57BE" w:rsidRDefault="00C6573A" w:rsidP="001A05AD">
      <w:pPr>
        <w:pStyle w:val="BodyText"/>
        <w:widowControl/>
        <w:spacing w:line="360" w:lineRule="auto"/>
        <w:ind w:left="0" w:firstLine="720"/>
      </w:pPr>
      <w:r w:rsidRPr="002D57BE">
        <w:t>Appellants</w:t>
      </w:r>
      <w:r w:rsidR="00C64D55" w:rsidRPr="002D57BE">
        <w:t xml:space="preserve"> Alejandro Garcia</w:t>
      </w:r>
      <w:r w:rsidR="00DE7315" w:rsidRPr="002D57BE">
        <w:t xml:space="preserve"> and James Earl Scott </w:t>
      </w:r>
      <w:r w:rsidR="00717450" w:rsidRPr="002D57BE">
        <w:t xml:space="preserve">appeal </w:t>
      </w:r>
      <w:r w:rsidR="00BE49C1" w:rsidRPr="002D57BE">
        <w:t>final judgments following</w:t>
      </w:r>
      <w:r w:rsidR="00D046BC" w:rsidRPr="002D57BE">
        <w:t xml:space="preserve"> a jury trial</w:t>
      </w:r>
      <w:r w:rsidR="003B6EBF" w:rsidRPr="002D57BE">
        <w:t xml:space="preserve"> for mu</w:t>
      </w:r>
      <w:r w:rsidR="00D71A96" w:rsidRPr="002D57BE">
        <w:t>rder and kidnapping</w:t>
      </w:r>
      <w:r w:rsidR="00D046BC" w:rsidRPr="002D57BE">
        <w:t>.</w:t>
      </w:r>
      <w:r w:rsidR="00B34B1F">
        <w:t xml:space="preserve"> </w:t>
      </w:r>
      <w:r w:rsidR="004C2E05" w:rsidRPr="002D57BE">
        <w:t xml:space="preserve"> </w:t>
      </w:r>
      <w:r w:rsidR="009D223B" w:rsidRPr="002D57BE">
        <w:t>Appellants</w:t>
      </w:r>
      <w:r w:rsidR="004C2E05" w:rsidRPr="002D57BE">
        <w:t xml:space="preserve"> argue that the trial court erred in denying </w:t>
      </w:r>
      <w:r w:rsidR="00D71A96" w:rsidRPr="002D57BE">
        <w:t>a</w:t>
      </w:r>
      <w:r w:rsidR="00993A75" w:rsidRPr="002D57BE">
        <w:t xml:space="preserve"> motion for mistrial</w:t>
      </w:r>
      <w:r w:rsidR="00ED191A" w:rsidRPr="002D57BE">
        <w:t xml:space="preserve"> </w:t>
      </w:r>
      <w:r w:rsidR="00532DF5" w:rsidRPr="002D57BE">
        <w:t xml:space="preserve">made </w:t>
      </w:r>
      <w:r w:rsidR="004005F3" w:rsidRPr="002D57BE">
        <w:t xml:space="preserve">following </w:t>
      </w:r>
      <w:r w:rsidR="00ED191A" w:rsidRPr="002D57BE">
        <w:t xml:space="preserve">a </w:t>
      </w:r>
      <w:r w:rsidR="005C3C15" w:rsidRPr="002D57BE">
        <w:t xml:space="preserve">mandatory </w:t>
      </w:r>
      <w:r w:rsidR="00E17A0D" w:rsidRPr="002D57BE">
        <w:t xml:space="preserve">103-day </w:t>
      </w:r>
      <w:r w:rsidR="00ED191A" w:rsidRPr="002D57BE">
        <w:t xml:space="preserve">midtrial </w:t>
      </w:r>
      <w:r w:rsidR="00032304" w:rsidRPr="002D57BE">
        <w:t>delay</w:t>
      </w:r>
      <w:r w:rsidR="005C3C15" w:rsidRPr="002D57BE">
        <w:t xml:space="preserve"> as a result of </w:t>
      </w:r>
      <w:r w:rsidR="00ED2F1B" w:rsidRPr="002D57BE">
        <w:t xml:space="preserve">court </w:t>
      </w:r>
      <w:r w:rsidR="005C3C15" w:rsidRPr="002D57BE">
        <w:t xml:space="preserve">closure orders </w:t>
      </w:r>
      <w:r w:rsidR="00675373" w:rsidRPr="002D57BE">
        <w:t xml:space="preserve">issued </w:t>
      </w:r>
      <w:r w:rsidR="005C3C15" w:rsidRPr="002D57BE">
        <w:t xml:space="preserve">due to </w:t>
      </w:r>
      <w:r w:rsidR="00682E70" w:rsidRPr="002D57BE">
        <w:t xml:space="preserve">public health concerns related to </w:t>
      </w:r>
      <w:r w:rsidR="003E339D" w:rsidRPr="002D57BE">
        <w:t>COVID-19</w:t>
      </w:r>
      <w:r w:rsidR="005C3C15" w:rsidRPr="002D57BE">
        <w:t xml:space="preserve">.  </w:t>
      </w:r>
      <w:r w:rsidR="00032304" w:rsidRPr="002D57BE">
        <w:t xml:space="preserve">Under the unique circumstances of this case, which include the timing of the </w:t>
      </w:r>
      <w:r w:rsidR="00032304" w:rsidRPr="002D57BE">
        <w:lastRenderedPageBreak/>
        <w:t xml:space="preserve">continuance, the relative lack of complexity of the case, and the trial court’s </w:t>
      </w:r>
      <w:r w:rsidR="00371D6A" w:rsidRPr="002D57BE">
        <w:t>communications with</w:t>
      </w:r>
      <w:r w:rsidR="00C531ED" w:rsidRPr="002D57BE">
        <w:t xml:space="preserve"> and instructions to</w:t>
      </w:r>
      <w:r w:rsidR="00371D6A" w:rsidRPr="002D57BE">
        <w:t xml:space="preserve"> </w:t>
      </w:r>
      <w:r w:rsidR="00032304" w:rsidRPr="002D57BE">
        <w:t>the jury, we find no error.</w:t>
      </w:r>
      <w:r w:rsidR="00EB2C85" w:rsidRPr="002D57BE">
        <w:t xml:space="preserve"> </w:t>
      </w:r>
    </w:p>
    <w:p w14:paraId="06498F1F" w14:textId="40F32D9B" w:rsidR="00D26652" w:rsidRPr="002D57BE" w:rsidRDefault="00C6573A" w:rsidP="001A05AD">
      <w:pPr>
        <w:pStyle w:val="BodyText"/>
        <w:widowControl/>
        <w:spacing w:line="360" w:lineRule="auto"/>
        <w:ind w:firstLine="620"/>
      </w:pPr>
      <w:r w:rsidRPr="002D57BE">
        <w:t>Scott further</w:t>
      </w:r>
      <w:r w:rsidR="007F158E" w:rsidRPr="002D57BE">
        <w:t xml:space="preserve"> argues that he is entitled to resentencing based on a recent amendment to Penal Code section 654.</w:t>
      </w:r>
      <w:r>
        <w:rPr>
          <w:rStyle w:val="FootnoteReference"/>
        </w:rPr>
        <w:footnoteReference w:id="3"/>
      </w:r>
      <w:r w:rsidR="007F158E" w:rsidRPr="002D57BE">
        <w:t xml:space="preserve">  </w:t>
      </w:r>
      <w:r w:rsidR="0005734F" w:rsidRPr="002D57BE">
        <w:t>Although we agree this amendment applies retroactively, we conclude that amended section 654 does not grant the trial court discretion to essentially “strike” the special circumstance finding and reduce Scott’s sentence to anything less than life without the possibility of parole.  As a result, there is no reason to remand Scott’s case for resentencing.</w:t>
      </w:r>
    </w:p>
    <w:p w14:paraId="2622D297" w14:textId="6B084B17" w:rsidR="00700346" w:rsidRPr="002D57BE" w:rsidRDefault="00C6573A" w:rsidP="001A05AD">
      <w:pPr>
        <w:spacing w:line="360" w:lineRule="auto"/>
      </w:pPr>
      <w:r w:rsidRPr="002D57BE">
        <w:tab/>
        <w:t>In the unpublished portions of this opinion</w:t>
      </w:r>
      <w:r w:rsidR="00144871" w:rsidRPr="002D57BE">
        <w:t>,</w:t>
      </w:r>
      <w:r w:rsidRPr="002D57BE">
        <w:t xml:space="preserve"> we addre</w:t>
      </w:r>
      <w:r w:rsidRPr="002D57BE">
        <w:t>ss</w:t>
      </w:r>
      <w:r w:rsidR="00BF1B6C" w:rsidRPr="002D57BE">
        <w:t xml:space="preserve"> </w:t>
      </w:r>
      <w:r w:rsidRPr="002D57BE">
        <w:t xml:space="preserve">Scott’s contentions </w:t>
      </w:r>
      <w:r w:rsidR="005331D7" w:rsidRPr="002D57BE">
        <w:t>that his sentence to life without the possibility of parole constitutes cruel and unusual punishment and violate</w:t>
      </w:r>
      <w:r w:rsidR="00BF1B6C" w:rsidRPr="002D57BE">
        <w:t>s</w:t>
      </w:r>
      <w:r w:rsidR="005331D7" w:rsidRPr="002D57BE">
        <w:t xml:space="preserve"> his right to equal protection</w:t>
      </w:r>
      <w:r w:rsidR="00F57E38" w:rsidRPr="002D57BE">
        <w:t>.</w:t>
      </w:r>
      <w:r w:rsidR="005331D7" w:rsidRPr="002D57BE">
        <w:t xml:space="preserve">  </w:t>
      </w:r>
      <w:r w:rsidR="00BF1B6C" w:rsidRPr="002D57BE">
        <w:t xml:space="preserve">We also address </w:t>
      </w:r>
      <w:r w:rsidR="00503016" w:rsidRPr="002D57BE">
        <w:t>Garcia</w:t>
      </w:r>
      <w:r w:rsidRPr="002D57BE">
        <w:t>’s arguments</w:t>
      </w:r>
      <w:r w:rsidR="00503016" w:rsidRPr="002D57BE">
        <w:t xml:space="preserve"> </w:t>
      </w:r>
      <w:r w:rsidR="00572E6F" w:rsidRPr="002D57BE">
        <w:t>that hi</w:t>
      </w:r>
      <w:r w:rsidR="00A826E5" w:rsidRPr="002D57BE">
        <w:t>s inability to accept a package plea deal offered to him and Scott violated his right to due process</w:t>
      </w:r>
      <w:r w:rsidR="000146B2" w:rsidRPr="002D57BE">
        <w:t xml:space="preserve"> and that the verdict rendered against him was coerced</w:t>
      </w:r>
      <w:r w:rsidR="00A826E5" w:rsidRPr="002D57BE">
        <w:t xml:space="preserve">. </w:t>
      </w:r>
      <w:r w:rsidR="00A60F9B" w:rsidRPr="002D57BE">
        <w:t xml:space="preserve"> </w:t>
      </w:r>
      <w:r w:rsidR="00611F0C" w:rsidRPr="002D57BE">
        <w:t>We</w:t>
      </w:r>
      <w:r w:rsidR="00261721" w:rsidRPr="002D57BE">
        <w:t xml:space="preserve"> find no error and</w:t>
      </w:r>
      <w:r w:rsidR="00611F0C" w:rsidRPr="002D57BE">
        <w:t xml:space="preserve"> affirm the judgments. </w:t>
      </w:r>
    </w:p>
    <w:p w14:paraId="70FFBCDB" w14:textId="2218DE47" w:rsidR="00521A6D" w:rsidRPr="002D57BE" w:rsidRDefault="00C6573A" w:rsidP="001A05AD">
      <w:pPr>
        <w:tabs>
          <w:tab w:val="clear" w:pos="720"/>
          <w:tab w:val="left" w:pos="0"/>
        </w:tabs>
        <w:spacing w:line="360" w:lineRule="auto"/>
        <w:jc w:val="center"/>
        <w:rPr>
          <w:b/>
          <w:bCs/>
          <w:u w:val="single"/>
        </w:rPr>
      </w:pPr>
      <w:r w:rsidRPr="002D57BE">
        <w:rPr>
          <w:b/>
          <w:bCs/>
        </w:rPr>
        <w:t>I.</w:t>
      </w:r>
      <w:r w:rsidR="0094528F" w:rsidRPr="002D57BE">
        <w:rPr>
          <w:b/>
          <w:bCs/>
        </w:rPr>
        <w:t xml:space="preserve">  </w:t>
      </w:r>
      <w:r w:rsidR="00F37BDA" w:rsidRPr="002D57BE">
        <w:rPr>
          <w:b/>
          <w:bCs/>
          <w:u w:val="single"/>
        </w:rPr>
        <w:t>BACKGROUND</w:t>
      </w:r>
    </w:p>
    <w:p w14:paraId="5B6FF24D" w14:textId="3638EB5F" w:rsidR="004F724C" w:rsidRPr="002D57BE" w:rsidRDefault="00C6573A" w:rsidP="001A05AD">
      <w:pPr>
        <w:tabs>
          <w:tab w:val="clear" w:pos="720"/>
          <w:tab w:val="left" w:pos="0"/>
        </w:tabs>
        <w:spacing w:line="360" w:lineRule="auto"/>
        <w:rPr>
          <w:u w:val="single"/>
        </w:rPr>
      </w:pPr>
      <w:r w:rsidRPr="002D57BE">
        <w:tab/>
        <w:t xml:space="preserve">A.  </w:t>
      </w:r>
      <w:r w:rsidRPr="002D57BE">
        <w:rPr>
          <w:u w:val="single"/>
        </w:rPr>
        <w:t>Procedural History</w:t>
      </w:r>
    </w:p>
    <w:p w14:paraId="40AA799F" w14:textId="45A5D8C1" w:rsidR="00BA5A08" w:rsidRPr="002D57BE" w:rsidRDefault="00C6573A" w:rsidP="001A05AD">
      <w:pPr>
        <w:tabs>
          <w:tab w:val="clear" w:pos="720"/>
          <w:tab w:val="left" w:pos="0"/>
        </w:tabs>
        <w:spacing w:line="360" w:lineRule="auto"/>
      </w:pPr>
      <w:r w:rsidRPr="002D57BE">
        <w:tab/>
      </w:r>
      <w:r w:rsidR="00E46B46" w:rsidRPr="002D57BE">
        <w:t>Appellants were charged with the murder and kidnapping of</w:t>
      </w:r>
      <w:r w:rsidR="00DC1311" w:rsidRPr="002D57BE">
        <w:t xml:space="preserve"> Reynaldo Vazquez.</w:t>
      </w:r>
      <w:r w:rsidR="008D18A0" w:rsidRPr="002D57BE">
        <w:t xml:space="preserve"> </w:t>
      </w:r>
      <w:r w:rsidR="00B91B98" w:rsidRPr="002D57BE">
        <w:t xml:space="preserve"> Scott was</w:t>
      </w:r>
      <w:r w:rsidR="002A3B5A" w:rsidRPr="002D57BE">
        <w:t xml:space="preserve"> also charged with robbery and</w:t>
      </w:r>
      <w:r w:rsidR="00263D0C" w:rsidRPr="002D57BE">
        <w:t xml:space="preserve"> a special circumstance </w:t>
      </w:r>
      <w:r w:rsidR="006B4D19" w:rsidRPr="002D57BE">
        <w:t xml:space="preserve">of </w:t>
      </w:r>
      <w:r w:rsidR="00BC4194" w:rsidRPr="002D57BE">
        <w:t>felony murder in the course of kidnapping</w:t>
      </w:r>
      <w:r w:rsidR="00C86A46" w:rsidRPr="002D57BE">
        <w:t>.</w:t>
      </w:r>
      <w:r w:rsidR="00B76884" w:rsidRPr="002D57BE">
        <w:t xml:space="preserve"> </w:t>
      </w:r>
      <w:r w:rsidR="00B34B1F">
        <w:t xml:space="preserve"> </w:t>
      </w:r>
      <w:r w:rsidR="00C86A46" w:rsidRPr="002D57BE">
        <w:t>(</w:t>
      </w:r>
      <w:r w:rsidR="00BC4194" w:rsidRPr="002D57BE">
        <w:t>Penal Code</w:t>
      </w:r>
      <w:r w:rsidR="004A3310" w:rsidRPr="002D57BE">
        <w:t>,</w:t>
      </w:r>
      <w:r w:rsidR="00AD33B0" w:rsidRPr="002D57BE">
        <w:t xml:space="preserve"> § </w:t>
      </w:r>
      <w:r w:rsidR="00BC4194" w:rsidRPr="002D57BE">
        <w:t>190.2</w:t>
      </w:r>
      <w:r w:rsidR="00B80060" w:rsidRPr="002D57BE">
        <w:t xml:space="preserve">, subd. </w:t>
      </w:r>
      <w:r w:rsidR="00BC4194" w:rsidRPr="002D57BE">
        <w:t>(a)(17)(B).</w:t>
      </w:r>
      <w:r w:rsidR="004A3310" w:rsidRPr="002D57BE">
        <w:t>)</w:t>
      </w:r>
      <w:r w:rsidR="00E65671" w:rsidRPr="002D57BE">
        <w:t xml:space="preserve"> </w:t>
      </w:r>
      <w:r w:rsidR="008A13A1" w:rsidRPr="002D57BE">
        <w:t xml:space="preserve"> Scott was </w:t>
      </w:r>
      <w:r w:rsidR="002A3B5A" w:rsidRPr="002D57BE">
        <w:t>further</w:t>
      </w:r>
      <w:r w:rsidR="008A13A1" w:rsidRPr="002D57BE">
        <w:t xml:space="preserve"> charged with </w:t>
      </w:r>
      <w:r w:rsidR="00DD2AC0" w:rsidRPr="002D57BE">
        <w:t xml:space="preserve">a </w:t>
      </w:r>
      <w:r w:rsidR="00682CFE" w:rsidRPr="002D57BE">
        <w:t>special allegation</w:t>
      </w:r>
      <w:r w:rsidR="000E5617" w:rsidRPr="002D57BE">
        <w:t xml:space="preserve"> that he person</w:t>
      </w:r>
      <w:r w:rsidR="00471D9F" w:rsidRPr="002D57BE">
        <w:t xml:space="preserve">ally and intentionally discharged a </w:t>
      </w:r>
      <w:r w:rsidR="00FB7611" w:rsidRPr="002D57BE">
        <w:t xml:space="preserve">firearm </w:t>
      </w:r>
      <w:r w:rsidR="00324383" w:rsidRPr="002D57BE">
        <w:t>that caused</w:t>
      </w:r>
      <w:r w:rsidR="00FB7611" w:rsidRPr="002D57BE">
        <w:t xml:space="preserve"> great bodily injury and death.</w:t>
      </w:r>
      <w:r w:rsidR="00471D9F" w:rsidRPr="002D57BE">
        <w:t xml:space="preserve"> </w:t>
      </w:r>
      <w:r w:rsidR="00950225" w:rsidRPr="002D57BE">
        <w:t xml:space="preserve"> Garcia was charged </w:t>
      </w:r>
      <w:r w:rsidR="00146C26" w:rsidRPr="002D57BE">
        <w:t>with the commission of an offense</w:t>
      </w:r>
      <w:r w:rsidR="00294EDB" w:rsidRPr="002D57BE">
        <w:t xml:space="preserve"> in which the principal was armed with a firearm </w:t>
      </w:r>
      <w:r w:rsidR="00060752" w:rsidRPr="002D57BE">
        <w:t xml:space="preserve">(§ 12022, subd. (a)(1)) </w:t>
      </w:r>
      <w:r w:rsidR="002024E3" w:rsidRPr="002D57BE">
        <w:t xml:space="preserve">and </w:t>
      </w:r>
      <w:r w:rsidR="003D3314" w:rsidRPr="002D57BE">
        <w:t xml:space="preserve">a </w:t>
      </w:r>
      <w:r w:rsidR="003D3314" w:rsidRPr="002D57BE">
        <w:lastRenderedPageBreak/>
        <w:t xml:space="preserve">special allegation that he was a major participant in a felony and acted with reckless indifference to human life. </w:t>
      </w:r>
      <w:r w:rsidR="00B34B1F">
        <w:t xml:space="preserve"> </w:t>
      </w:r>
      <w:r w:rsidR="003D3314" w:rsidRPr="002D57BE">
        <w:t>(§ </w:t>
      </w:r>
      <w:r w:rsidR="009F438C" w:rsidRPr="002D57BE">
        <w:t>189, subd. (e)(3).)</w:t>
      </w:r>
      <w:r w:rsidR="00375800" w:rsidRPr="002D57BE">
        <w:t xml:space="preserve">  </w:t>
      </w:r>
    </w:p>
    <w:p w14:paraId="115AA358" w14:textId="01FF7BB5" w:rsidR="00C56171" w:rsidRPr="002D57BE" w:rsidRDefault="00C6573A" w:rsidP="001A05AD">
      <w:pPr>
        <w:tabs>
          <w:tab w:val="clear" w:pos="720"/>
          <w:tab w:val="left" w:pos="0"/>
        </w:tabs>
        <w:spacing w:line="360" w:lineRule="auto"/>
      </w:pPr>
      <w:r w:rsidRPr="002D57BE">
        <w:tab/>
      </w:r>
      <w:r w:rsidR="001644A9" w:rsidRPr="002D57BE">
        <w:t xml:space="preserve">On </w:t>
      </w:r>
      <w:r w:rsidRPr="002D57BE">
        <w:t>January 29, 2020</w:t>
      </w:r>
      <w:r w:rsidR="001644A9" w:rsidRPr="002D57BE">
        <w:t>, jury selection began</w:t>
      </w:r>
      <w:r w:rsidRPr="002D57BE">
        <w:t>.</w:t>
      </w:r>
      <w:r w:rsidR="007D7084" w:rsidRPr="002D57BE">
        <w:t xml:space="preserve"> </w:t>
      </w:r>
      <w:r w:rsidR="0088693B" w:rsidRPr="002D57BE">
        <w:t xml:space="preserve"> </w:t>
      </w:r>
      <w:r w:rsidR="001644A9" w:rsidRPr="002D57BE">
        <w:t>On March 2, 2020, trial commenced</w:t>
      </w:r>
      <w:r w:rsidR="0088693B" w:rsidRPr="002D57BE">
        <w:t>.</w:t>
      </w:r>
      <w:r w:rsidR="0079311B" w:rsidRPr="002D57BE">
        <w:t xml:space="preserve"> </w:t>
      </w:r>
      <w:r w:rsidR="001644A9" w:rsidRPr="002D57BE">
        <w:t xml:space="preserve"> On July 2, 2020, </w:t>
      </w:r>
      <w:r w:rsidR="00EB6FF3" w:rsidRPr="002D57BE">
        <w:t xml:space="preserve">the jury found </w:t>
      </w:r>
      <w:r w:rsidR="007C5F79" w:rsidRPr="002D57BE">
        <w:t xml:space="preserve">Garcia guilty of first degree murder and kidnapping but did not find true the </w:t>
      </w:r>
      <w:r w:rsidR="00AD4F95" w:rsidRPr="002D57BE">
        <w:t>firearm allegation.</w:t>
      </w:r>
      <w:r w:rsidR="00FC7164" w:rsidRPr="002D57BE">
        <w:t xml:space="preserve">  The jury found Scott guilty of first degree murder, kidnapping, </w:t>
      </w:r>
      <w:r w:rsidR="000C1404" w:rsidRPr="002D57BE">
        <w:t>and robbery</w:t>
      </w:r>
      <w:r w:rsidR="009D0C18" w:rsidRPr="002D57BE">
        <w:t xml:space="preserve">, and found true </w:t>
      </w:r>
      <w:r w:rsidR="000C1404" w:rsidRPr="002D57BE">
        <w:t xml:space="preserve">the </w:t>
      </w:r>
      <w:r w:rsidR="00337B8B" w:rsidRPr="002D57BE">
        <w:t>kidnapping special circumstance</w:t>
      </w:r>
      <w:r w:rsidR="00404514" w:rsidRPr="002D57BE">
        <w:t>.  It also found t</w:t>
      </w:r>
      <w:r w:rsidR="00CF00B8" w:rsidRPr="002D57BE">
        <w:t>rue</w:t>
      </w:r>
      <w:r w:rsidR="0082654E" w:rsidRPr="002D57BE">
        <w:t xml:space="preserve"> </w:t>
      </w:r>
      <w:r w:rsidR="00CF00B8" w:rsidRPr="002D57BE">
        <w:t>the</w:t>
      </w:r>
      <w:r w:rsidR="0082654E" w:rsidRPr="002D57BE">
        <w:t xml:space="preserve"> firearm allegation</w:t>
      </w:r>
      <w:r w:rsidR="00CF00B8" w:rsidRPr="002D57BE">
        <w:t xml:space="preserve"> </w:t>
      </w:r>
      <w:r w:rsidR="003F1AE6" w:rsidRPr="002D57BE">
        <w:t>on the murder and kidnapping counts</w:t>
      </w:r>
      <w:r w:rsidR="0082654E" w:rsidRPr="002D57BE">
        <w:t xml:space="preserve">. </w:t>
      </w:r>
    </w:p>
    <w:p w14:paraId="4D28216B" w14:textId="4FAA7922" w:rsidR="00615902" w:rsidRPr="002D57BE" w:rsidRDefault="00C6573A" w:rsidP="001A05AD">
      <w:pPr>
        <w:tabs>
          <w:tab w:val="clear" w:pos="720"/>
          <w:tab w:val="left" w:pos="0"/>
        </w:tabs>
        <w:spacing w:line="360" w:lineRule="auto"/>
      </w:pPr>
      <w:r w:rsidRPr="002D57BE">
        <w:tab/>
        <w:t xml:space="preserve">The trial court sentenced Garcia to 25 years to life on the murder count and stayed the sentence on the kidnapping count.  The trial court sentenced Scott to statutory life without the possibility </w:t>
      </w:r>
      <w:r w:rsidRPr="002D57BE">
        <w:t>of parole on the murder count based on the special circumstance finding.  The court sentenced Scott to a middle term of five years on the kidnapping count, with an additional 25 years based on the firearm enhancement and three years based on the great bodi</w:t>
      </w:r>
      <w:r w:rsidRPr="002D57BE">
        <w:t xml:space="preserve">ly injury enhancement. </w:t>
      </w:r>
      <w:r w:rsidR="00877DAA">
        <w:t xml:space="preserve"> </w:t>
      </w:r>
      <w:r w:rsidRPr="002D57BE">
        <w:t xml:space="preserve">The court stayed this 33-year-to-life sentence. </w:t>
      </w:r>
      <w:r w:rsidR="005F0CFF" w:rsidRPr="002D57BE">
        <w:t xml:space="preserve"> The c</w:t>
      </w:r>
      <w:r w:rsidR="001F6985" w:rsidRPr="002D57BE">
        <w:t xml:space="preserve">ourt also sentenced Scott to one year on the robbery count, and eight months on the </w:t>
      </w:r>
      <w:r w:rsidR="006B2AA5" w:rsidRPr="002D57BE">
        <w:t>firearm</w:t>
      </w:r>
      <w:r w:rsidR="001F6985" w:rsidRPr="002D57BE">
        <w:t xml:space="preserve"> possession </w:t>
      </w:r>
      <w:r w:rsidR="00CA4D48" w:rsidRPr="002D57BE">
        <w:t>count</w:t>
      </w:r>
      <w:r w:rsidR="009E5C14" w:rsidRPr="002D57BE">
        <w:t xml:space="preserve">.  </w:t>
      </w:r>
      <w:r w:rsidR="00AA657B" w:rsidRPr="002D57BE">
        <w:t xml:space="preserve">These sentences were also stayed. </w:t>
      </w:r>
    </w:p>
    <w:p w14:paraId="30768063" w14:textId="6BA2B195" w:rsidR="00615902" w:rsidRPr="000E3801" w:rsidRDefault="00C6573A" w:rsidP="001A05AD">
      <w:pPr>
        <w:tabs>
          <w:tab w:val="clear" w:pos="720"/>
          <w:tab w:val="left" w:pos="0"/>
        </w:tabs>
        <w:spacing w:line="360" w:lineRule="auto"/>
      </w:pPr>
      <w:r w:rsidRPr="002D57BE">
        <w:tab/>
      </w:r>
      <w:bookmarkStart w:id="1" w:name="_Hlk113953513"/>
      <w:r w:rsidRPr="000E3801">
        <w:t>Appellants filed separate appea</w:t>
      </w:r>
      <w:r w:rsidRPr="000E3801">
        <w:t>ls.</w:t>
      </w:r>
      <w:r w:rsidR="000E3801" w:rsidRPr="000E3801">
        <w:t xml:space="preserve">  </w:t>
      </w:r>
      <w:r w:rsidRPr="000E3801">
        <w:t xml:space="preserve">After opening briefs were filed, this court granted the People’s unopposed motion to consolidate the two appeals. </w:t>
      </w:r>
    </w:p>
    <w:bookmarkEnd w:id="1"/>
    <w:p w14:paraId="7B462EB9" w14:textId="0EBA3C2B" w:rsidR="00C73563" w:rsidRPr="002D57BE" w:rsidRDefault="00C6573A" w:rsidP="001A05AD">
      <w:pPr>
        <w:tabs>
          <w:tab w:val="clear" w:pos="720"/>
          <w:tab w:val="left" w:pos="0"/>
        </w:tabs>
        <w:spacing w:line="360" w:lineRule="auto"/>
        <w:rPr>
          <w:u w:val="single"/>
        </w:rPr>
      </w:pPr>
      <w:r w:rsidRPr="002D57BE">
        <w:tab/>
        <w:t>B</w:t>
      </w:r>
      <w:r w:rsidR="0094528F" w:rsidRPr="002D57BE">
        <w:t xml:space="preserve">.  </w:t>
      </w:r>
      <w:r w:rsidR="00E809E7" w:rsidRPr="002D57BE">
        <w:rPr>
          <w:u w:val="single"/>
        </w:rPr>
        <w:t>Factual History</w:t>
      </w:r>
    </w:p>
    <w:p w14:paraId="19A30867" w14:textId="55E0F670" w:rsidR="00FB13FF" w:rsidRPr="002D57BE" w:rsidRDefault="00C6573A" w:rsidP="001A05AD">
      <w:pPr>
        <w:tabs>
          <w:tab w:val="clear" w:pos="720"/>
          <w:tab w:val="left" w:pos="0"/>
        </w:tabs>
        <w:spacing w:line="360" w:lineRule="auto"/>
        <w:ind w:left="1440"/>
        <w:rPr>
          <w:i/>
          <w:iCs/>
        </w:rPr>
      </w:pPr>
      <w:r w:rsidRPr="002D57BE">
        <w:t>1.</w:t>
      </w:r>
      <w:r w:rsidRPr="002D57BE">
        <w:rPr>
          <w:i/>
          <w:iCs/>
        </w:rPr>
        <w:t xml:space="preserve"> </w:t>
      </w:r>
      <w:r w:rsidR="00053692" w:rsidRPr="002D57BE">
        <w:rPr>
          <w:i/>
          <w:iCs/>
        </w:rPr>
        <w:t xml:space="preserve"> </w:t>
      </w:r>
      <w:r w:rsidR="00744CAF" w:rsidRPr="002D57BE">
        <w:rPr>
          <w:i/>
          <w:iCs/>
        </w:rPr>
        <w:t xml:space="preserve">The Shop and </w:t>
      </w:r>
      <w:r w:rsidR="00A4537B" w:rsidRPr="002D57BE">
        <w:rPr>
          <w:i/>
          <w:iCs/>
        </w:rPr>
        <w:t>The Parties Involved</w:t>
      </w:r>
      <w:r w:rsidR="00AF1A4D" w:rsidRPr="002D57BE">
        <w:rPr>
          <w:i/>
          <w:iCs/>
        </w:rPr>
        <w:t xml:space="preserve"> </w:t>
      </w:r>
    </w:p>
    <w:p w14:paraId="1F9C621D" w14:textId="4AF7E5DC" w:rsidR="00674364" w:rsidRPr="002D57BE" w:rsidRDefault="00C6573A" w:rsidP="001A05AD">
      <w:pPr>
        <w:tabs>
          <w:tab w:val="clear" w:pos="720"/>
          <w:tab w:val="left" w:pos="0"/>
        </w:tabs>
        <w:spacing w:line="360" w:lineRule="auto"/>
      </w:pPr>
      <w:r w:rsidRPr="002D57BE">
        <w:tab/>
      </w:r>
      <w:r w:rsidR="00B37BF8" w:rsidRPr="002D57BE">
        <w:t xml:space="preserve">The relevant </w:t>
      </w:r>
      <w:r w:rsidR="00A839E5" w:rsidRPr="002D57BE">
        <w:t xml:space="preserve">events </w:t>
      </w:r>
      <w:r w:rsidR="00434394" w:rsidRPr="002D57BE">
        <w:t>center</w:t>
      </w:r>
      <w:r w:rsidR="00A839E5" w:rsidRPr="002D57BE">
        <w:t xml:space="preserve"> around an automobile mechanics </w:t>
      </w:r>
      <w:r w:rsidRPr="002D57BE">
        <w:t xml:space="preserve">shop in East Oakland that </w:t>
      </w:r>
      <w:r w:rsidR="00330CBF" w:rsidRPr="002D57BE">
        <w:t>was</w:t>
      </w:r>
      <w:r w:rsidRPr="002D57BE">
        <w:t xml:space="preserve"> converted to a marijuana grow </w:t>
      </w:r>
      <w:r w:rsidR="006A0443" w:rsidRPr="002D57BE">
        <w:t xml:space="preserve">house. </w:t>
      </w:r>
      <w:r w:rsidR="00BF07E5" w:rsidRPr="002D57BE">
        <w:t xml:space="preserve"> </w:t>
      </w:r>
      <w:r w:rsidR="00AB237F" w:rsidRPr="002D57BE">
        <w:t xml:space="preserve">Garcia, </w:t>
      </w:r>
      <w:r w:rsidR="00680432" w:rsidRPr="002D57BE">
        <w:t>Louis Velasco, Carlos Vera, Faustino Becerra, and Armani Miller</w:t>
      </w:r>
      <w:r w:rsidR="00506152" w:rsidRPr="002D57BE">
        <w:t xml:space="preserve"> </w:t>
      </w:r>
      <w:r w:rsidR="001C2C28" w:rsidRPr="002D57BE">
        <w:t xml:space="preserve">were </w:t>
      </w:r>
      <w:r w:rsidR="0016077A" w:rsidRPr="002D57BE">
        <w:t xml:space="preserve">all </w:t>
      </w:r>
      <w:r w:rsidR="001C2C28" w:rsidRPr="002D57BE">
        <w:t xml:space="preserve">friends or </w:t>
      </w:r>
      <w:r w:rsidR="0016077A" w:rsidRPr="002D57BE">
        <w:t>acquaintances</w:t>
      </w:r>
      <w:r w:rsidR="001C2C28" w:rsidRPr="002D57BE">
        <w:t xml:space="preserve"> who</w:t>
      </w:r>
      <w:r w:rsidR="000C6817" w:rsidRPr="002D57BE">
        <w:t xml:space="preserve"> assisted in </w:t>
      </w:r>
      <w:r w:rsidR="0016077A" w:rsidRPr="002D57BE">
        <w:t xml:space="preserve">the </w:t>
      </w:r>
      <w:r w:rsidR="00D501EE" w:rsidRPr="002D57BE">
        <w:t xml:space="preserve">marijuana </w:t>
      </w:r>
      <w:r w:rsidR="0016077A" w:rsidRPr="002D57BE">
        <w:t>operation at</w:t>
      </w:r>
      <w:r w:rsidR="00D501EE" w:rsidRPr="002D57BE">
        <w:t xml:space="preserve"> the shop. </w:t>
      </w:r>
      <w:r w:rsidR="002065AA" w:rsidRPr="002D57BE">
        <w:t xml:space="preserve"> </w:t>
      </w:r>
      <w:r w:rsidR="006C0AA4" w:rsidRPr="002D57BE">
        <w:t>Garcia and Velasco were close f</w:t>
      </w:r>
      <w:r w:rsidR="00810BC2" w:rsidRPr="002D57BE">
        <w:t xml:space="preserve">riends who hung out </w:t>
      </w:r>
      <w:r w:rsidR="00274650" w:rsidRPr="002D57BE">
        <w:t xml:space="preserve">almost every </w:t>
      </w:r>
      <w:r w:rsidR="00243F73" w:rsidRPr="002D57BE">
        <w:t xml:space="preserve">night </w:t>
      </w:r>
      <w:r w:rsidR="00810BC2" w:rsidRPr="002D57BE">
        <w:t xml:space="preserve">and slept at the shop. </w:t>
      </w:r>
      <w:r w:rsidR="006B1D50" w:rsidRPr="002D57BE">
        <w:t xml:space="preserve"> </w:t>
      </w:r>
      <w:r w:rsidR="009A409B" w:rsidRPr="002D57BE">
        <w:t xml:space="preserve">Velasco knew Scott from juvenile hall but did not consider </w:t>
      </w:r>
      <w:r w:rsidR="009A409B" w:rsidRPr="002D57BE">
        <w:lastRenderedPageBreak/>
        <w:t>him a friend.  Sco</w:t>
      </w:r>
      <w:r w:rsidR="002F3E40" w:rsidRPr="002D57BE">
        <w:t xml:space="preserve">tt visited the shop occasionally to cut marijuana. </w:t>
      </w:r>
      <w:r w:rsidR="00B027BB" w:rsidRPr="002D57BE">
        <w:t xml:space="preserve"> Vera viewed him as an outside</w:t>
      </w:r>
      <w:r w:rsidR="00C853C5" w:rsidRPr="002D57BE">
        <w:t>r</w:t>
      </w:r>
      <w:r w:rsidR="00B027BB" w:rsidRPr="002D57BE">
        <w:t xml:space="preserve"> because he was the only African American</w:t>
      </w:r>
      <w:r w:rsidR="00BC1485" w:rsidRPr="002D57BE">
        <w:t xml:space="preserve"> in a Latino social group. </w:t>
      </w:r>
      <w:r w:rsidR="00393A7C" w:rsidRPr="002D57BE">
        <w:t xml:space="preserve"> </w:t>
      </w:r>
    </w:p>
    <w:p w14:paraId="41D7F29A" w14:textId="2339FCFE" w:rsidR="00F20DFF" w:rsidRPr="002D57BE" w:rsidRDefault="00C6573A" w:rsidP="001A05AD">
      <w:pPr>
        <w:tabs>
          <w:tab w:val="clear" w:pos="720"/>
          <w:tab w:val="left" w:pos="0"/>
        </w:tabs>
        <w:spacing w:line="360" w:lineRule="auto"/>
      </w:pPr>
      <w:r w:rsidRPr="002D57BE">
        <w:tab/>
      </w:r>
      <w:r w:rsidR="0049445B" w:rsidRPr="002D57BE">
        <w:t xml:space="preserve">Vera lived near the shop and became friends with Garcia.  They hung out at Vera’s house, the shop, or the park.  </w:t>
      </w:r>
      <w:r w:rsidR="003D2DDC" w:rsidRPr="002D57BE">
        <w:t xml:space="preserve">Vazquez </w:t>
      </w:r>
      <w:r w:rsidR="00BF28B4" w:rsidRPr="002D57BE">
        <w:t>lived across the street from Vera and</w:t>
      </w:r>
      <w:r w:rsidR="003D2DDC" w:rsidRPr="002D57BE">
        <w:t xml:space="preserve"> was </w:t>
      </w:r>
      <w:r w:rsidR="005C2088" w:rsidRPr="002D57BE">
        <w:t>good</w:t>
      </w:r>
      <w:r w:rsidR="003D2DDC" w:rsidRPr="002D57BE">
        <w:t xml:space="preserve"> friends </w:t>
      </w:r>
      <w:r w:rsidR="007C0FFB" w:rsidRPr="002D57BE">
        <w:t xml:space="preserve">with </w:t>
      </w:r>
      <w:r w:rsidR="00BF28B4" w:rsidRPr="002D57BE">
        <w:t>him</w:t>
      </w:r>
      <w:r w:rsidR="00755F6E" w:rsidRPr="002D57BE">
        <w:t xml:space="preserve">. </w:t>
      </w:r>
      <w:r w:rsidR="00DD1AC0" w:rsidRPr="002D57BE">
        <w:t xml:space="preserve"> </w:t>
      </w:r>
      <w:r w:rsidR="00755F6E" w:rsidRPr="002D57BE">
        <w:t>The two of them hung out on a daily basis.</w:t>
      </w:r>
      <w:r w:rsidR="0049445B" w:rsidRPr="002D57BE">
        <w:t xml:space="preserve"> </w:t>
      </w:r>
      <w:r w:rsidR="00D415F4" w:rsidRPr="002D57BE">
        <w:t xml:space="preserve"> </w:t>
      </w:r>
      <w:r w:rsidR="00033D90" w:rsidRPr="002D57BE">
        <w:t xml:space="preserve">Miller </w:t>
      </w:r>
      <w:r w:rsidR="00882D62" w:rsidRPr="002D57BE">
        <w:t>was also previously</w:t>
      </w:r>
      <w:r w:rsidR="00CA107B" w:rsidRPr="002D57BE">
        <w:t xml:space="preserve"> </w:t>
      </w:r>
      <w:r w:rsidR="00882D62" w:rsidRPr="002D57BE">
        <w:t>good</w:t>
      </w:r>
      <w:r w:rsidR="00CA107B" w:rsidRPr="002D57BE">
        <w:t xml:space="preserve"> friends with Vazquez, but their </w:t>
      </w:r>
      <w:r w:rsidR="00DD1AC0" w:rsidRPr="002D57BE">
        <w:t>friendship</w:t>
      </w:r>
      <w:r w:rsidR="00CA107B" w:rsidRPr="002D57BE">
        <w:t xml:space="preserve"> deteriorated after </w:t>
      </w:r>
      <w:r w:rsidR="00540AF6" w:rsidRPr="002D57BE">
        <w:t xml:space="preserve">Vazquez shorted him on proceeds </w:t>
      </w:r>
      <w:r w:rsidR="00B114EA" w:rsidRPr="002D57BE">
        <w:t>from</w:t>
      </w:r>
      <w:r w:rsidR="00540AF6" w:rsidRPr="002D57BE">
        <w:t xml:space="preserve"> a burglary they had committed together. </w:t>
      </w:r>
      <w:r w:rsidR="00CA107B" w:rsidRPr="002D57BE">
        <w:t xml:space="preserve"> </w:t>
      </w:r>
      <w:r w:rsidR="0023164C" w:rsidRPr="002D57BE">
        <w:t xml:space="preserve">Miller was then sent to a group home in Iowa and when he returned, </w:t>
      </w:r>
      <w:r w:rsidR="00B114EA" w:rsidRPr="002D57BE">
        <w:t xml:space="preserve">he no longer hung out with Vazquez. </w:t>
      </w:r>
    </w:p>
    <w:p w14:paraId="1C92B226" w14:textId="02AB6E79" w:rsidR="0049445B" w:rsidRPr="002D57BE" w:rsidRDefault="00C6573A" w:rsidP="001A05AD">
      <w:pPr>
        <w:tabs>
          <w:tab w:val="clear" w:pos="720"/>
          <w:tab w:val="left" w:pos="0"/>
        </w:tabs>
        <w:spacing w:line="360" w:lineRule="auto"/>
      </w:pPr>
      <w:r w:rsidRPr="002D57BE">
        <w:tab/>
      </w:r>
      <w:r w:rsidR="005A6FFF" w:rsidRPr="002D57BE">
        <w:t xml:space="preserve">Vazquez was known </w:t>
      </w:r>
      <w:r w:rsidR="00BD6D18" w:rsidRPr="002D57BE">
        <w:t xml:space="preserve">to </w:t>
      </w:r>
      <w:r w:rsidR="00E54BB6" w:rsidRPr="002D57BE">
        <w:t>be in the business of committing robberies and had</w:t>
      </w:r>
      <w:r w:rsidR="005A6FFF" w:rsidRPr="002D57BE">
        <w:t xml:space="preserve"> problems with </w:t>
      </w:r>
      <w:r w:rsidR="00BC01E1" w:rsidRPr="002D57BE">
        <w:t>numerous</w:t>
      </w:r>
      <w:r w:rsidR="006E1995" w:rsidRPr="002D57BE">
        <w:t xml:space="preserve"> </w:t>
      </w:r>
      <w:r w:rsidR="005E3455" w:rsidRPr="002D57BE">
        <w:t>people</w:t>
      </w:r>
      <w:r w:rsidR="006E1995" w:rsidRPr="002D57BE">
        <w:t>, including Garcia.</w:t>
      </w:r>
      <w:r w:rsidR="005E3455" w:rsidRPr="002D57BE">
        <w:t xml:space="preserve"> </w:t>
      </w:r>
      <w:r w:rsidR="00DD70AC" w:rsidRPr="002D57BE">
        <w:t xml:space="preserve"> Vazquez had sold </w:t>
      </w:r>
      <w:r w:rsidR="00481108" w:rsidRPr="002D57BE">
        <w:t xml:space="preserve">his Mercedes to Garcia in exchange for marijuana. </w:t>
      </w:r>
      <w:r w:rsidR="00D63C69" w:rsidRPr="002D57BE">
        <w:t xml:space="preserve"> </w:t>
      </w:r>
      <w:r w:rsidR="00AA367F" w:rsidRPr="002D57BE">
        <w:t xml:space="preserve">Issues arose after Vazquez </w:t>
      </w:r>
      <w:r w:rsidR="00B9240D" w:rsidRPr="002D57BE">
        <w:t xml:space="preserve">later </w:t>
      </w:r>
      <w:r w:rsidR="0012670A" w:rsidRPr="002D57BE">
        <w:t>stole</w:t>
      </w:r>
      <w:r w:rsidR="00AA367F" w:rsidRPr="002D57BE">
        <w:t xml:space="preserve"> marijuana plants </w:t>
      </w:r>
      <w:r w:rsidR="0076709D" w:rsidRPr="002D57BE">
        <w:t>from</w:t>
      </w:r>
      <w:r w:rsidR="00BB69DF" w:rsidRPr="002D57BE">
        <w:t xml:space="preserve"> </w:t>
      </w:r>
      <w:r w:rsidR="00432845" w:rsidRPr="002D57BE">
        <w:t xml:space="preserve">the </w:t>
      </w:r>
      <w:r w:rsidR="00B9240D" w:rsidRPr="002D57BE">
        <w:t>Mercedes</w:t>
      </w:r>
      <w:r w:rsidR="00BB69DF" w:rsidRPr="002D57BE">
        <w:t xml:space="preserve"> and </w:t>
      </w:r>
      <w:r w:rsidR="0076709D" w:rsidRPr="002D57BE">
        <w:t xml:space="preserve">then </w:t>
      </w:r>
      <w:r w:rsidR="00BC01E1" w:rsidRPr="002D57BE">
        <w:t xml:space="preserve">separately </w:t>
      </w:r>
      <w:r w:rsidR="00BB69DF" w:rsidRPr="002D57BE">
        <w:t>confronted Garcia</w:t>
      </w:r>
      <w:r w:rsidR="00623E78" w:rsidRPr="002D57BE">
        <w:t xml:space="preserve"> outside of Vera’s house</w:t>
      </w:r>
      <w:r w:rsidR="00BB69DF" w:rsidRPr="002D57BE">
        <w:t xml:space="preserve"> as to why </w:t>
      </w:r>
      <w:r w:rsidR="00623E78" w:rsidRPr="002D57BE">
        <w:t>Garcia</w:t>
      </w:r>
      <w:r w:rsidR="00032027" w:rsidRPr="002D57BE">
        <w:t xml:space="preserve"> had not changed the registration </w:t>
      </w:r>
      <w:r w:rsidR="00A45A85" w:rsidRPr="002D57BE">
        <w:t xml:space="preserve">name </w:t>
      </w:r>
      <w:r w:rsidR="00032027" w:rsidRPr="002D57BE">
        <w:t xml:space="preserve">on the </w:t>
      </w:r>
      <w:r w:rsidR="00B9240D" w:rsidRPr="002D57BE">
        <w:t xml:space="preserve">Mercedes </w:t>
      </w:r>
      <w:r w:rsidR="00400D58" w:rsidRPr="002D57BE">
        <w:t>yet</w:t>
      </w:r>
      <w:r w:rsidR="00032027" w:rsidRPr="002D57BE">
        <w:t xml:space="preserve">. </w:t>
      </w:r>
      <w:r w:rsidR="00877DAA">
        <w:t xml:space="preserve"> </w:t>
      </w:r>
      <w:r w:rsidR="0076709D" w:rsidRPr="002D57BE">
        <w:t xml:space="preserve">Vera was present and heard Vazquez </w:t>
      </w:r>
      <w:r w:rsidR="00125081" w:rsidRPr="002D57BE">
        <w:t xml:space="preserve">say, “I’m going to fuck </w:t>
      </w:r>
      <w:r w:rsidR="000C31D0" w:rsidRPr="002D57BE">
        <w:t>[Garcia]</w:t>
      </w:r>
      <w:r w:rsidR="00125081" w:rsidRPr="002D57BE">
        <w:t xml:space="preserve"> up.”</w:t>
      </w:r>
      <w:r w:rsidR="00400D58" w:rsidRPr="002D57BE">
        <w:t xml:space="preserve">  Vera told Vazquez not to do anything.</w:t>
      </w:r>
      <w:r w:rsidR="0076709D" w:rsidRPr="002D57BE">
        <w:t xml:space="preserve"> </w:t>
      </w:r>
      <w:r w:rsidR="00400D58" w:rsidRPr="002D57BE">
        <w:t xml:space="preserve"> </w:t>
      </w:r>
    </w:p>
    <w:p w14:paraId="62DD8A0E" w14:textId="58B7EF31" w:rsidR="00A4537B" w:rsidRPr="002D57BE" w:rsidRDefault="00C6573A" w:rsidP="001A05AD">
      <w:pPr>
        <w:tabs>
          <w:tab w:val="clear" w:pos="720"/>
          <w:tab w:val="left" w:pos="0"/>
        </w:tabs>
        <w:spacing w:line="360" w:lineRule="auto"/>
        <w:ind w:left="1440"/>
        <w:rPr>
          <w:i/>
          <w:iCs/>
        </w:rPr>
      </w:pPr>
      <w:r w:rsidRPr="002D57BE">
        <w:t xml:space="preserve">2. </w:t>
      </w:r>
      <w:r w:rsidR="00053692" w:rsidRPr="002D57BE">
        <w:t xml:space="preserve"> </w:t>
      </w:r>
      <w:r w:rsidRPr="002D57BE">
        <w:rPr>
          <w:i/>
          <w:iCs/>
        </w:rPr>
        <w:t>The Incident at the Park</w:t>
      </w:r>
    </w:p>
    <w:p w14:paraId="04759975" w14:textId="5BCA3CBC" w:rsidR="007B47CD" w:rsidRPr="002D57BE" w:rsidRDefault="00C6573A" w:rsidP="001A05AD">
      <w:pPr>
        <w:tabs>
          <w:tab w:val="clear" w:pos="720"/>
          <w:tab w:val="left" w:pos="0"/>
        </w:tabs>
        <w:spacing w:line="360" w:lineRule="auto"/>
      </w:pPr>
      <w:r w:rsidRPr="002D57BE">
        <w:tab/>
      </w:r>
      <w:r w:rsidR="0061666B" w:rsidRPr="002D57BE">
        <w:t xml:space="preserve">About a week </w:t>
      </w:r>
      <w:r w:rsidR="009F654E" w:rsidRPr="002D57BE">
        <w:t>prior to the</w:t>
      </w:r>
      <w:r w:rsidR="0061666B" w:rsidRPr="002D57BE">
        <w:t xml:space="preserve"> murder, </w:t>
      </w:r>
      <w:r w:rsidR="00257C53" w:rsidRPr="002D57BE">
        <w:t>Garcia, Miller</w:t>
      </w:r>
      <w:r w:rsidR="00A47711" w:rsidRPr="002D57BE">
        <w:t xml:space="preserve">, and Becerra were </w:t>
      </w:r>
      <w:r w:rsidR="00DE028F" w:rsidRPr="002D57BE">
        <w:t xml:space="preserve">sitting </w:t>
      </w:r>
      <w:r w:rsidR="001E3ECA" w:rsidRPr="002D57BE">
        <w:t>on a park bench</w:t>
      </w:r>
      <w:r w:rsidR="006A6B4C" w:rsidRPr="002D57BE">
        <w:t xml:space="preserve"> smoking marijuana. </w:t>
      </w:r>
      <w:r w:rsidR="003455D8" w:rsidRPr="002D57BE">
        <w:t xml:space="preserve"> </w:t>
      </w:r>
      <w:r w:rsidR="00C57BCC" w:rsidRPr="002D57BE">
        <w:t>A car</w:t>
      </w:r>
      <w:r w:rsidR="00516BA4" w:rsidRPr="002D57BE">
        <w:t xml:space="preserve"> </w:t>
      </w:r>
      <w:r w:rsidR="0023407B" w:rsidRPr="002D57BE">
        <w:t xml:space="preserve">drove by </w:t>
      </w:r>
      <w:r w:rsidR="00516BA4" w:rsidRPr="002D57BE">
        <w:t>and shots</w:t>
      </w:r>
      <w:r w:rsidR="00C57BCC" w:rsidRPr="002D57BE">
        <w:t xml:space="preserve"> were fired</w:t>
      </w:r>
      <w:r w:rsidR="00516BA4" w:rsidRPr="002D57BE">
        <w:t xml:space="preserve"> at them. </w:t>
      </w:r>
      <w:r w:rsidR="00C55614" w:rsidRPr="002D57BE">
        <w:t xml:space="preserve"> No one was hurt, but a bullet</w:t>
      </w:r>
      <w:r w:rsidR="00535BAB" w:rsidRPr="002D57BE">
        <w:t xml:space="preserve"> passed through Garcia’s pant</w:t>
      </w:r>
      <w:r w:rsidR="00C06FBA" w:rsidRPr="002D57BE">
        <w:t>s</w:t>
      </w:r>
      <w:r w:rsidR="00535BAB" w:rsidRPr="002D57BE">
        <w:t xml:space="preserve"> leg</w:t>
      </w:r>
      <w:r w:rsidR="003039B5" w:rsidRPr="002D57BE">
        <w:t xml:space="preserve">. </w:t>
      </w:r>
      <w:r w:rsidR="00C613F3" w:rsidRPr="002D57BE">
        <w:t xml:space="preserve"> The group believed </w:t>
      </w:r>
      <w:r w:rsidR="002F79FF" w:rsidRPr="002D57BE">
        <w:t xml:space="preserve">that </w:t>
      </w:r>
      <w:r w:rsidR="00C613F3" w:rsidRPr="002D57BE">
        <w:t xml:space="preserve">Vazquez was </w:t>
      </w:r>
      <w:r w:rsidR="00AE5DFD" w:rsidRPr="002D57BE">
        <w:t>responsible for the</w:t>
      </w:r>
      <w:r w:rsidR="00C613F3" w:rsidRPr="002D57BE">
        <w:t xml:space="preserve"> shooting. </w:t>
      </w:r>
      <w:r w:rsidR="002F79FF" w:rsidRPr="002D57BE">
        <w:t xml:space="preserve"> </w:t>
      </w:r>
    </w:p>
    <w:p w14:paraId="04F59022" w14:textId="05B9D567" w:rsidR="00F75AB3" w:rsidRPr="002D57BE" w:rsidRDefault="00C6573A" w:rsidP="001A05AD">
      <w:pPr>
        <w:tabs>
          <w:tab w:val="clear" w:pos="720"/>
          <w:tab w:val="left" w:pos="0"/>
        </w:tabs>
        <w:spacing w:line="360" w:lineRule="auto"/>
        <w:rPr>
          <w:i/>
          <w:iCs/>
        </w:rPr>
      </w:pPr>
      <w:r w:rsidRPr="002D57BE">
        <w:tab/>
        <w:t>Garcia, Miller, and Becerra</w:t>
      </w:r>
      <w:r w:rsidR="002F79FF" w:rsidRPr="002D57BE">
        <w:t xml:space="preserve"> returned to the </w:t>
      </w:r>
      <w:r w:rsidR="00657E51" w:rsidRPr="002D57BE">
        <w:t>shop to get guns</w:t>
      </w:r>
      <w:r w:rsidR="004E13F9" w:rsidRPr="002D57BE">
        <w:t xml:space="preserve"> and then drove </w:t>
      </w:r>
      <w:r w:rsidR="00AE5DFD" w:rsidRPr="002D57BE">
        <w:t>off</w:t>
      </w:r>
      <w:r w:rsidRPr="002D57BE">
        <w:t xml:space="preserve"> in Garcia’s car to</w:t>
      </w:r>
      <w:r w:rsidR="004E13F9" w:rsidRPr="002D57BE">
        <w:t xml:space="preserve"> </w:t>
      </w:r>
      <w:r w:rsidRPr="002D57BE">
        <w:t>find</w:t>
      </w:r>
      <w:r w:rsidR="004E13F9" w:rsidRPr="002D57BE">
        <w:t xml:space="preserve"> Vazquez. </w:t>
      </w:r>
      <w:r w:rsidR="00D95505" w:rsidRPr="002D57BE">
        <w:t xml:space="preserve"> Miller </w:t>
      </w:r>
      <w:r w:rsidR="0037388E" w:rsidRPr="002D57BE">
        <w:t xml:space="preserve">testified that he was prepared to shoot </w:t>
      </w:r>
      <w:r w:rsidR="007648C5" w:rsidRPr="002D57BE">
        <w:t>Vazquez</w:t>
      </w:r>
      <w:r w:rsidR="0037388E" w:rsidRPr="002D57BE">
        <w:t xml:space="preserve"> if he found him</w:t>
      </w:r>
      <w:r w:rsidR="007648C5" w:rsidRPr="002D57BE">
        <w:t xml:space="preserve">.  </w:t>
      </w:r>
      <w:r w:rsidR="005574FA" w:rsidRPr="002D57BE">
        <w:t>They chased down a car they believed was Vazquez’s</w:t>
      </w:r>
      <w:r w:rsidR="005B4320" w:rsidRPr="002D57BE">
        <w:t xml:space="preserve"> but </w:t>
      </w:r>
      <w:r w:rsidR="00324423" w:rsidRPr="002D57BE">
        <w:t xml:space="preserve">saw that Vazquez was not in it.  They then </w:t>
      </w:r>
      <w:r w:rsidR="00324423" w:rsidRPr="002D57BE">
        <w:lastRenderedPageBreak/>
        <w:t xml:space="preserve">returned to the shop. </w:t>
      </w:r>
      <w:r w:rsidR="001E5CEF" w:rsidRPr="002D57BE">
        <w:t xml:space="preserve"> The three of them were angry and told Velasco </w:t>
      </w:r>
      <w:r w:rsidR="00F14E79" w:rsidRPr="002D57BE">
        <w:t xml:space="preserve">afterwards </w:t>
      </w:r>
      <w:r w:rsidR="001E5CEF" w:rsidRPr="002D57BE">
        <w:t>that they w</w:t>
      </w:r>
      <w:r w:rsidR="0037388E" w:rsidRPr="002D57BE">
        <w:t>ere going to get Vazquez back.</w:t>
      </w:r>
      <w:r w:rsidR="006B2FAE" w:rsidRPr="002D57BE">
        <w:t xml:space="preserve"> </w:t>
      </w:r>
    </w:p>
    <w:p w14:paraId="3C3048DA" w14:textId="6809BA3C" w:rsidR="00053692" w:rsidRPr="002D57BE" w:rsidRDefault="00C6573A" w:rsidP="001A05AD">
      <w:pPr>
        <w:tabs>
          <w:tab w:val="clear" w:pos="720"/>
          <w:tab w:val="left" w:pos="0"/>
        </w:tabs>
        <w:spacing w:line="360" w:lineRule="auto"/>
        <w:ind w:left="1440"/>
      </w:pPr>
      <w:r w:rsidRPr="002D57BE">
        <w:t xml:space="preserve">3.  </w:t>
      </w:r>
      <w:r w:rsidRPr="002D57BE">
        <w:rPr>
          <w:i/>
          <w:iCs/>
        </w:rPr>
        <w:t xml:space="preserve">The </w:t>
      </w:r>
      <w:r w:rsidR="00852B58" w:rsidRPr="002D57BE">
        <w:rPr>
          <w:i/>
          <w:iCs/>
        </w:rPr>
        <w:t>Kidnapping and</w:t>
      </w:r>
      <w:r w:rsidRPr="002D57BE">
        <w:rPr>
          <w:i/>
          <w:iCs/>
        </w:rPr>
        <w:t xml:space="preserve"> Murder</w:t>
      </w:r>
      <w:r w:rsidRPr="002D57BE">
        <w:t xml:space="preserve"> </w:t>
      </w:r>
    </w:p>
    <w:p w14:paraId="5FF4853B" w14:textId="7DD05F62" w:rsidR="004030AF" w:rsidRPr="002D57BE" w:rsidRDefault="00C6573A" w:rsidP="001A05AD">
      <w:pPr>
        <w:tabs>
          <w:tab w:val="clear" w:pos="720"/>
          <w:tab w:val="left" w:pos="0"/>
        </w:tabs>
        <w:spacing w:line="360" w:lineRule="auto"/>
      </w:pPr>
      <w:r w:rsidRPr="002D57BE">
        <w:tab/>
      </w:r>
      <w:r w:rsidR="00DB2977" w:rsidRPr="002D57BE">
        <w:t xml:space="preserve">On the night of </w:t>
      </w:r>
      <w:r w:rsidR="001C277C" w:rsidRPr="002D57BE">
        <w:t xml:space="preserve">the </w:t>
      </w:r>
      <w:r w:rsidR="00DB2977" w:rsidRPr="002D57BE">
        <w:t xml:space="preserve">murder, </w:t>
      </w:r>
      <w:r w:rsidR="00C6462C" w:rsidRPr="002D57BE">
        <w:t xml:space="preserve">Vera, Miller, and Velasco were hanging out </w:t>
      </w:r>
      <w:r w:rsidR="00BF6BAE" w:rsidRPr="002D57BE">
        <w:t>in front of</w:t>
      </w:r>
      <w:r w:rsidR="00C6462C" w:rsidRPr="002D57BE">
        <w:t xml:space="preserve"> Vera’s house</w:t>
      </w:r>
      <w:r w:rsidR="00720A96" w:rsidRPr="002D57BE">
        <w:t xml:space="preserve"> while </w:t>
      </w:r>
      <w:r w:rsidR="00BF6BAE" w:rsidRPr="002D57BE">
        <w:t>Garcia</w:t>
      </w:r>
      <w:r w:rsidR="00720A96" w:rsidRPr="002D57BE">
        <w:t xml:space="preserve">, Scott, and Becerra were at the shop. </w:t>
      </w:r>
      <w:r w:rsidR="005C5959" w:rsidRPr="002D57BE">
        <w:t xml:space="preserve"> </w:t>
      </w:r>
      <w:r w:rsidR="008D7292" w:rsidRPr="002D57BE">
        <w:t xml:space="preserve">Miller saw Vazquez leave </w:t>
      </w:r>
      <w:r w:rsidR="00A1708C" w:rsidRPr="002D57BE">
        <w:t xml:space="preserve">his house and </w:t>
      </w:r>
      <w:r w:rsidR="008E3753" w:rsidRPr="002D57BE">
        <w:t>said,</w:t>
      </w:r>
      <w:r w:rsidR="00A6702F" w:rsidRPr="002D57BE">
        <w:t xml:space="preserve"> “Let’s get him.”</w:t>
      </w:r>
      <w:r w:rsidR="000B7EC6" w:rsidRPr="002D57BE">
        <w:t xml:space="preserve"> </w:t>
      </w:r>
      <w:r w:rsidR="00E7681F" w:rsidRPr="002D57BE">
        <w:t xml:space="preserve"> Miller and Velasco ran to the shop and </w:t>
      </w:r>
      <w:r w:rsidR="00DA2B48" w:rsidRPr="002D57BE">
        <w:t>told Garcia</w:t>
      </w:r>
      <w:r w:rsidR="0095340F" w:rsidRPr="002D57BE">
        <w:t>, Scott, and Becerra that Vazquez was in the area.</w:t>
      </w:r>
      <w:r w:rsidR="0079217C" w:rsidRPr="002D57BE">
        <w:t xml:space="preserve">  </w:t>
      </w:r>
      <w:r w:rsidR="003810AE" w:rsidRPr="002D57BE">
        <w:t xml:space="preserve">The group then positioned themselves </w:t>
      </w:r>
      <w:r w:rsidR="001D0446" w:rsidRPr="002D57BE">
        <w:t>to surround Vazquez</w:t>
      </w:r>
      <w:r w:rsidR="00C21332" w:rsidRPr="002D57BE">
        <w:t xml:space="preserve"> </w:t>
      </w:r>
      <w:r w:rsidR="00076952" w:rsidRPr="002D57BE">
        <w:t>after he walked out of a nearby</w:t>
      </w:r>
      <w:r w:rsidR="0008450D" w:rsidRPr="002D57BE">
        <w:t xml:space="preserve"> store.  Miller and Becerra approached Vazquez from either </w:t>
      </w:r>
      <w:r w:rsidR="006A7208" w:rsidRPr="002D57BE">
        <w:t>side</w:t>
      </w:r>
      <w:r w:rsidR="00517CFE" w:rsidRPr="002D57BE">
        <w:t xml:space="preserve">.  Miller </w:t>
      </w:r>
      <w:r w:rsidR="005C6D02" w:rsidRPr="002D57BE">
        <w:t xml:space="preserve">and Velasco </w:t>
      </w:r>
      <w:r w:rsidR="00517CFE" w:rsidRPr="002D57BE">
        <w:t xml:space="preserve">testified that </w:t>
      </w:r>
      <w:r w:rsidR="006A7208" w:rsidRPr="002D57BE">
        <w:t xml:space="preserve">Scott approached </w:t>
      </w:r>
      <w:r w:rsidR="00517CFE" w:rsidRPr="002D57BE">
        <w:t>Vazquez</w:t>
      </w:r>
      <w:r w:rsidR="006A7208" w:rsidRPr="002D57BE">
        <w:t xml:space="preserve"> from behind </w:t>
      </w:r>
      <w:r w:rsidR="00956E01" w:rsidRPr="002D57BE">
        <w:t>with a gun.</w:t>
      </w:r>
      <w:r w:rsidR="006A7208" w:rsidRPr="002D57BE">
        <w:t xml:space="preserve"> </w:t>
      </w:r>
      <w:r w:rsidR="00D5086E" w:rsidRPr="002D57BE">
        <w:t xml:space="preserve"> Vera was still in front of his house and </w:t>
      </w:r>
      <w:r w:rsidR="00E445D2" w:rsidRPr="002D57BE">
        <w:t xml:space="preserve">saw Scott </w:t>
      </w:r>
      <w:r w:rsidR="00BF1E2E" w:rsidRPr="002D57BE">
        <w:t>point a gun</w:t>
      </w:r>
      <w:r w:rsidR="00E445D2" w:rsidRPr="002D57BE">
        <w:t xml:space="preserve"> to the back of Vazquez’s head. </w:t>
      </w:r>
    </w:p>
    <w:p w14:paraId="09F9656D" w14:textId="270000E3" w:rsidR="008B1723" w:rsidRPr="002D57BE" w:rsidRDefault="00C6573A" w:rsidP="001A05AD">
      <w:pPr>
        <w:tabs>
          <w:tab w:val="clear" w:pos="720"/>
          <w:tab w:val="left" w:pos="0"/>
        </w:tabs>
        <w:spacing w:line="360" w:lineRule="auto"/>
      </w:pPr>
      <w:r w:rsidRPr="002D57BE">
        <w:tab/>
        <w:t>The group escort</w:t>
      </w:r>
      <w:r w:rsidR="001F6FFA" w:rsidRPr="002D57BE">
        <w:t>ed Vazquez into the shop</w:t>
      </w:r>
      <w:r w:rsidR="001F0076" w:rsidRPr="002D57BE">
        <w:t xml:space="preserve"> and closed the door</w:t>
      </w:r>
      <w:r w:rsidR="001F6FFA" w:rsidRPr="002D57BE">
        <w:t xml:space="preserve">.  </w:t>
      </w:r>
      <w:r w:rsidR="006E1BCC" w:rsidRPr="002D57BE">
        <w:t>Once inside</w:t>
      </w:r>
      <w:r w:rsidR="003D7A86" w:rsidRPr="002D57BE">
        <w:t xml:space="preserve">, </w:t>
      </w:r>
      <w:r w:rsidR="00E31990" w:rsidRPr="002D57BE">
        <w:t xml:space="preserve">Scott and Becerra pistol-whipped </w:t>
      </w:r>
      <w:r w:rsidR="003A2C0C" w:rsidRPr="002D57BE">
        <w:t>Vazquez</w:t>
      </w:r>
      <w:r w:rsidR="00265BDE" w:rsidRPr="002D57BE">
        <w:t xml:space="preserve">.  Vazquez begged for his life and </w:t>
      </w:r>
      <w:r w:rsidR="007D6E02" w:rsidRPr="002D57BE">
        <w:t>pleaded with them not to do this because</w:t>
      </w:r>
      <w:r w:rsidR="00265BDE" w:rsidRPr="002D57BE">
        <w:t xml:space="preserve"> he had a daughter</w:t>
      </w:r>
      <w:r w:rsidR="00E31990" w:rsidRPr="002D57BE">
        <w:t>.</w:t>
      </w:r>
      <w:r>
        <w:rPr>
          <w:rStyle w:val="FootnoteReference"/>
        </w:rPr>
        <w:footnoteReference w:id="4"/>
      </w:r>
      <w:r w:rsidR="00E31990" w:rsidRPr="002D57BE">
        <w:t xml:space="preserve"> </w:t>
      </w:r>
      <w:r w:rsidR="007D6E02" w:rsidRPr="002D57BE">
        <w:t xml:space="preserve"> Garcia</w:t>
      </w:r>
      <w:r w:rsidR="004B40B6" w:rsidRPr="002D57BE">
        <w:t xml:space="preserve">, Scott, and Becerra tied Vazquez up with a </w:t>
      </w:r>
      <w:r w:rsidR="008C3B99" w:rsidRPr="002D57BE">
        <w:t>rope</w:t>
      </w:r>
      <w:r w:rsidR="00F52C2C" w:rsidRPr="002D57BE">
        <w:t xml:space="preserve"> </w:t>
      </w:r>
      <w:r w:rsidR="000D7C7E" w:rsidRPr="002D57BE">
        <w:t>while he was</w:t>
      </w:r>
      <w:r w:rsidR="00F52C2C" w:rsidRPr="002D57BE">
        <w:t xml:space="preserve"> face down on the floor</w:t>
      </w:r>
      <w:r w:rsidR="008C3B99" w:rsidRPr="002D57BE">
        <w:t xml:space="preserve">.  Becerra </w:t>
      </w:r>
      <w:r w:rsidR="007845D2" w:rsidRPr="002D57BE">
        <w:t xml:space="preserve">then dragged Vazquez around the shop </w:t>
      </w:r>
      <w:r w:rsidR="00352077" w:rsidRPr="002D57BE">
        <w:t xml:space="preserve">while </w:t>
      </w:r>
      <w:r w:rsidR="008F47B6" w:rsidRPr="002D57BE">
        <w:t>he laughed</w:t>
      </w:r>
      <w:r w:rsidR="00352077" w:rsidRPr="002D57BE">
        <w:t xml:space="preserve"> and poured a liquid chemical </w:t>
      </w:r>
      <w:r w:rsidR="00857234" w:rsidRPr="002D57BE">
        <w:t>on his face.</w:t>
      </w:r>
      <w:r w:rsidR="00352077" w:rsidRPr="002D57BE">
        <w:t xml:space="preserve"> </w:t>
      </w:r>
    </w:p>
    <w:p w14:paraId="62733E87" w14:textId="453C81CC" w:rsidR="009B5D75" w:rsidRPr="002D57BE" w:rsidRDefault="00C6573A" w:rsidP="001A05AD">
      <w:pPr>
        <w:tabs>
          <w:tab w:val="clear" w:pos="720"/>
          <w:tab w:val="left" w:pos="0"/>
        </w:tabs>
        <w:spacing w:line="360" w:lineRule="auto"/>
      </w:pPr>
      <w:r w:rsidRPr="002D57BE">
        <w:tab/>
        <w:t xml:space="preserve">At this point, Garcia told Velasco to </w:t>
      </w:r>
      <w:r w:rsidR="00A56BF2" w:rsidRPr="002D57BE">
        <w:t>get Garcia’s car and back it up to the shop’s entrance.</w:t>
      </w:r>
      <w:r w:rsidR="009B3145" w:rsidRPr="002D57BE">
        <w:t xml:space="preserve"> </w:t>
      </w:r>
      <w:r w:rsidR="00877DAA">
        <w:t xml:space="preserve"> </w:t>
      </w:r>
      <w:r w:rsidR="009B3145" w:rsidRPr="002D57BE">
        <w:t xml:space="preserve">The two of them, along with Scott and Becerra then </w:t>
      </w:r>
      <w:r w:rsidR="00D045E3" w:rsidRPr="002D57BE">
        <w:t xml:space="preserve">shoved Vazquez into the trunk. </w:t>
      </w:r>
      <w:r w:rsidR="00A56BF2" w:rsidRPr="002D57BE">
        <w:t xml:space="preserve"> </w:t>
      </w:r>
      <w:r w:rsidR="00EB4898" w:rsidRPr="002D57BE">
        <w:t xml:space="preserve">Scott pistol-whipped Vazquez </w:t>
      </w:r>
      <w:r w:rsidR="0052338D" w:rsidRPr="002D57BE">
        <w:t xml:space="preserve">as he tried to </w:t>
      </w:r>
      <w:r w:rsidR="00B9267A" w:rsidRPr="002D57BE">
        <w:t>prevent the trunk from closing</w:t>
      </w:r>
      <w:r w:rsidR="00EB4898" w:rsidRPr="002D57BE">
        <w:t xml:space="preserve">. </w:t>
      </w:r>
      <w:r w:rsidR="0052338D" w:rsidRPr="002D57BE">
        <w:t xml:space="preserve"> </w:t>
      </w:r>
      <w:r w:rsidR="003278E0" w:rsidRPr="002D57BE">
        <w:t xml:space="preserve">Once the trunk was closed, Vera suggested a place they could take Vazquez. </w:t>
      </w:r>
      <w:r w:rsidR="002056B8" w:rsidRPr="002D57BE">
        <w:t xml:space="preserve"> Velasco no longer wanted to participate and </w:t>
      </w:r>
      <w:r w:rsidR="002056B8" w:rsidRPr="002D57BE">
        <w:lastRenderedPageBreak/>
        <w:t>refused to go</w:t>
      </w:r>
      <w:r w:rsidR="00673E21" w:rsidRPr="002D57BE">
        <w:t xml:space="preserve">. </w:t>
      </w:r>
      <w:r w:rsidR="00770980" w:rsidRPr="002D57BE">
        <w:t xml:space="preserve"> Scott or Becerra told him to stay behind to clean up the blood in the shop.</w:t>
      </w:r>
      <w:r w:rsidR="00673E21" w:rsidRPr="002D57BE">
        <w:t xml:space="preserve"> </w:t>
      </w:r>
    </w:p>
    <w:p w14:paraId="2AB210E1" w14:textId="3D4C547A" w:rsidR="00B02B37" w:rsidRPr="002D57BE" w:rsidRDefault="00C6573A" w:rsidP="001A05AD">
      <w:pPr>
        <w:tabs>
          <w:tab w:val="clear" w:pos="720"/>
          <w:tab w:val="left" w:pos="0"/>
        </w:tabs>
        <w:spacing w:line="360" w:lineRule="auto"/>
      </w:pPr>
      <w:r w:rsidRPr="002D57BE">
        <w:tab/>
      </w:r>
      <w:r w:rsidR="00881C95" w:rsidRPr="002D57BE">
        <w:t>Vera</w:t>
      </w:r>
      <w:r w:rsidR="00B9240D" w:rsidRPr="002D57BE">
        <w:t xml:space="preserve"> and another </w:t>
      </w:r>
      <w:r w:rsidR="00C137EA" w:rsidRPr="002D57BE">
        <w:t xml:space="preserve">friend </w:t>
      </w:r>
      <w:r w:rsidR="00B9240D" w:rsidRPr="002D57BE">
        <w:t xml:space="preserve">drove </w:t>
      </w:r>
      <w:r w:rsidR="005C1439" w:rsidRPr="002D57BE">
        <w:t>to</w:t>
      </w:r>
      <w:r w:rsidR="006A67E2" w:rsidRPr="002D57BE">
        <w:t xml:space="preserve"> a dark area in</w:t>
      </w:r>
      <w:r w:rsidR="005C1439" w:rsidRPr="002D57BE">
        <w:t xml:space="preserve"> the Oakland Hills in one car</w:t>
      </w:r>
      <w:r w:rsidR="00B9240D" w:rsidRPr="002D57BE">
        <w:t xml:space="preserve"> while Garcia, Scott, and Becerra f</w:t>
      </w:r>
      <w:r w:rsidR="00273D3C" w:rsidRPr="002D57BE">
        <w:t xml:space="preserve">ollowed them in </w:t>
      </w:r>
      <w:r w:rsidR="00366C68" w:rsidRPr="002D57BE">
        <w:t>Garcia’s car.</w:t>
      </w:r>
      <w:r w:rsidR="00273D3C" w:rsidRPr="002D57BE">
        <w:t xml:space="preserve"> </w:t>
      </w:r>
      <w:r w:rsidR="00077084" w:rsidRPr="002D57BE">
        <w:t xml:space="preserve"> </w:t>
      </w:r>
      <w:r w:rsidR="00570967" w:rsidRPr="002D57BE">
        <w:t xml:space="preserve">When they stopped and opened the trunk, Vazquez </w:t>
      </w:r>
      <w:r w:rsidR="002E0AAB" w:rsidRPr="002D57BE">
        <w:t>pleaded with them to let him go</w:t>
      </w:r>
      <w:r w:rsidR="009C6190" w:rsidRPr="002D57BE">
        <w:t>, got out</w:t>
      </w:r>
      <w:r w:rsidR="004B3BC3" w:rsidRPr="002D57BE">
        <w:t xml:space="preserve"> of the trunk</w:t>
      </w:r>
      <w:r w:rsidR="009C6190" w:rsidRPr="002D57BE">
        <w:t xml:space="preserve">, and </w:t>
      </w:r>
      <w:r w:rsidR="00E2100B" w:rsidRPr="002D57BE">
        <w:t xml:space="preserve">briefly </w:t>
      </w:r>
      <w:r w:rsidR="004B3BC3" w:rsidRPr="002D57BE">
        <w:t>scuffled</w:t>
      </w:r>
      <w:r w:rsidR="00E2100B" w:rsidRPr="002D57BE">
        <w:t xml:space="preserve"> with Garcia</w:t>
      </w:r>
      <w:r w:rsidR="002E0AAB" w:rsidRPr="002D57BE">
        <w:t xml:space="preserve">. </w:t>
      </w:r>
      <w:r w:rsidR="00544C9F" w:rsidRPr="002D57BE">
        <w:t xml:space="preserve"> </w:t>
      </w:r>
      <w:r w:rsidR="00E2100B" w:rsidRPr="002D57BE">
        <w:t xml:space="preserve">Scott </w:t>
      </w:r>
      <w:r w:rsidR="00DB1938" w:rsidRPr="002D57BE">
        <w:t xml:space="preserve">then </w:t>
      </w:r>
      <w:r w:rsidR="009E68CB" w:rsidRPr="002D57BE">
        <w:t>pointed a gun to</w:t>
      </w:r>
      <w:r w:rsidR="00DB1938" w:rsidRPr="002D57BE">
        <w:t xml:space="preserve"> Vazquez</w:t>
      </w:r>
      <w:r w:rsidR="009E68CB" w:rsidRPr="002D57BE">
        <w:t>’s head and backed him into a grassy area</w:t>
      </w:r>
      <w:r w:rsidR="00D51431" w:rsidRPr="002D57BE">
        <w:t xml:space="preserve"> about </w:t>
      </w:r>
      <w:r w:rsidR="000401F7" w:rsidRPr="002D57BE">
        <w:t>10 to 15 feet away</w:t>
      </w:r>
      <w:r w:rsidR="009E68CB" w:rsidRPr="002D57BE">
        <w:t xml:space="preserve">.  </w:t>
      </w:r>
      <w:r w:rsidR="002C4FFA" w:rsidRPr="002D57BE">
        <w:t>Everyone else stayed by the</w:t>
      </w:r>
      <w:r w:rsidR="004C0DCD" w:rsidRPr="002D57BE">
        <w:t xml:space="preserve"> trunk</w:t>
      </w:r>
      <w:r w:rsidR="002C4FFA" w:rsidRPr="002D57BE">
        <w:t xml:space="preserve">. </w:t>
      </w:r>
      <w:r w:rsidR="00AF3BB6" w:rsidRPr="002D57BE">
        <w:t xml:space="preserve"> </w:t>
      </w:r>
      <w:r w:rsidR="001E362F" w:rsidRPr="002D57BE">
        <w:t xml:space="preserve">Vera then </w:t>
      </w:r>
      <w:r w:rsidR="00694E9C" w:rsidRPr="002D57BE">
        <w:t>heard a</w:t>
      </w:r>
      <w:r w:rsidR="001E362F" w:rsidRPr="002D57BE">
        <w:t xml:space="preserve"> gunshot, saw Vazquez </w:t>
      </w:r>
      <w:r w:rsidR="006F6937" w:rsidRPr="002D57BE">
        <w:t>drop</w:t>
      </w:r>
      <w:r w:rsidR="001E362F" w:rsidRPr="002D57BE">
        <w:t xml:space="preserve"> to the ground, and </w:t>
      </w:r>
      <w:r w:rsidR="00694E9C" w:rsidRPr="002D57BE">
        <w:t xml:space="preserve">saw Scott shoot Vazquez twice more in the head. </w:t>
      </w:r>
      <w:r w:rsidR="00FA3404" w:rsidRPr="002D57BE">
        <w:t xml:space="preserve"> Everyone got back into their cars and left. </w:t>
      </w:r>
      <w:r w:rsidR="004C0DCD" w:rsidRPr="002D57BE">
        <w:t xml:space="preserve"> </w:t>
      </w:r>
      <w:r w:rsidR="00E422B2" w:rsidRPr="002D57BE">
        <w:t>The following morning, a</w:t>
      </w:r>
      <w:r w:rsidR="004C0DCD" w:rsidRPr="002D57BE">
        <w:t xml:space="preserve"> passing cyclist discovered Vazquez’s body. </w:t>
      </w:r>
      <w:r w:rsidR="00E422B2" w:rsidRPr="002D57BE">
        <w:t xml:space="preserve"> </w:t>
      </w:r>
    </w:p>
    <w:p w14:paraId="481CE820" w14:textId="619C59E3" w:rsidR="00FC372C" w:rsidRPr="002D57BE" w:rsidRDefault="00C6573A" w:rsidP="001A05AD">
      <w:pPr>
        <w:tabs>
          <w:tab w:val="clear" w:pos="720"/>
          <w:tab w:val="left" w:pos="0"/>
          <w:tab w:val="center" w:pos="5400"/>
        </w:tabs>
        <w:spacing w:line="360" w:lineRule="auto"/>
        <w:ind w:left="1440"/>
      </w:pPr>
      <w:r w:rsidRPr="002D57BE">
        <w:t xml:space="preserve">4.  </w:t>
      </w:r>
      <w:r w:rsidRPr="002D57BE">
        <w:rPr>
          <w:i/>
          <w:iCs/>
        </w:rPr>
        <w:t>Charges and Pleas</w:t>
      </w:r>
      <w:r w:rsidRPr="002D57BE">
        <w:t xml:space="preserve"> </w:t>
      </w:r>
      <w:r w:rsidRPr="002D57BE">
        <w:tab/>
      </w:r>
    </w:p>
    <w:p w14:paraId="531B4924" w14:textId="2815CDD7" w:rsidR="005C580E" w:rsidRPr="002D57BE" w:rsidRDefault="00C6573A" w:rsidP="001A05AD">
      <w:pPr>
        <w:tabs>
          <w:tab w:val="clear" w:pos="720"/>
          <w:tab w:val="left" w:pos="0"/>
        </w:tabs>
        <w:spacing w:line="360" w:lineRule="auto"/>
      </w:pPr>
      <w:r w:rsidRPr="002D57BE">
        <w:tab/>
      </w:r>
      <w:r w:rsidR="006C4D56" w:rsidRPr="002D57BE">
        <w:t>Appellants, Miller, Vera, and Velasco</w:t>
      </w:r>
      <w:r w:rsidRPr="002D57BE">
        <w:t xml:space="preserve"> were charged with murder. </w:t>
      </w:r>
      <w:r w:rsidR="00877DAA">
        <w:t xml:space="preserve"> </w:t>
      </w:r>
      <w:r w:rsidR="00D612C3" w:rsidRPr="002D57BE">
        <w:t xml:space="preserve">They were also </w:t>
      </w:r>
      <w:r w:rsidR="00024CB6" w:rsidRPr="002D57BE">
        <w:t xml:space="preserve">initially </w:t>
      </w:r>
      <w:r w:rsidR="00D612C3" w:rsidRPr="002D57BE">
        <w:t xml:space="preserve">charged with the special circumstance of murder in the commission of a kidnapping.  Miller was additionally charged with the special circumstance of murder in the commission of a robbery.  </w:t>
      </w:r>
      <w:r w:rsidR="00046C7A" w:rsidRPr="002D57BE">
        <w:t xml:space="preserve">Scott was charged with discharging a firearm that caused great bodily injury and death.  </w:t>
      </w:r>
      <w:r w:rsidR="007A1874" w:rsidRPr="002D57BE">
        <w:t>Garcia, Miller, Vera, and Velasco were charged with the commission of an offense in which a</w:t>
      </w:r>
      <w:r w:rsidR="00E1538A" w:rsidRPr="002D57BE">
        <w:t xml:space="preserve"> principal was armed with a firearm.</w:t>
      </w:r>
      <w:r w:rsidR="00046C7A" w:rsidRPr="002D57BE">
        <w:t xml:space="preserve"> </w:t>
      </w:r>
      <w:r w:rsidR="00E1538A" w:rsidRPr="002D57BE">
        <w:t xml:space="preserve"> </w:t>
      </w:r>
    </w:p>
    <w:p w14:paraId="546AF4F6" w14:textId="41631008" w:rsidR="00187D30" w:rsidRPr="002D57BE" w:rsidRDefault="00C6573A" w:rsidP="001A05AD">
      <w:pPr>
        <w:tabs>
          <w:tab w:val="clear" w:pos="720"/>
          <w:tab w:val="left" w:pos="0"/>
        </w:tabs>
        <w:spacing w:line="360" w:lineRule="auto"/>
      </w:pPr>
      <w:r w:rsidRPr="002D57BE">
        <w:tab/>
      </w:r>
      <w:r w:rsidR="0035639C" w:rsidRPr="002D57BE">
        <w:t xml:space="preserve">Soon after </w:t>
      </w:r>
      <w:r w:rsidR="004911B4" w:rsidRPr="002D57BE">
        <w:t>jury selection began, Vera</w:t>
      </w:r>
      <w:r w:rsidR="0035639C" w:rsidRPr="002D57BE">
        <w:t>, Miller, and Velasco</w:t>
      </w:r>
      <w:r w:rsidR="004911B4" w:rsidRPr="002D57BE">
        <w:t xml:space="preserve"> </w:t>
      </w:r>
      <w:r w:rsidR="00330188" w:rsidRPr="002D57BE">
        <w:t>all agreed to</w:t>
      </w:r>
      <w:r w:rsidR="00ED6277" w:rsidRPr="002D57BE">
        <w:t xml:space="preserve"> ple</w:t>
      </w:r>
      <w:r w:rsidR="00EB0DF8" w:rsidRPr="002D57BE">
        <w:t>a</w:t>
      </w:r>
      <w:r w:rsidR="00ED6277" w:rsidRPr="002D57BE">
        <w:t>d guilty to second degree mu</w:t>
      </w:r>
      <w:r w:rsidR="005C1CC4" w:rsidRPr="002D57BE">
        <w:t>rder</w:t>
      </w:r>
      <w:r w:rsidR="001A2E22" w:rsidRPr="002D57BE">
        <w:t xml:space="preserve"> with </w:t>
      </w:r>
      <w:r w:rsidR="00330188" w:rsidRPr="002D57BE">
        <w:t>the understanding</w:t>
      </w:r>
      <w:r w:rsidR="001A2E22" w:rsidRPr="002D57BE">
        <w:t xml:space="preserve"> that </w:t>
      </w:r>
      <w:r w:rsidR="00AF7CF3" w:rsidRPr="002D57BE">
        <w:t>this</w:t>
      </w:r>
      <w:r w:rsidR="00D62770" w:rsidRPr="002D57BE">
        <w:t xml:space="preserve"> would be reduced to voluntary manslaughter if they testified truthfully at trial</w:t>
      </w:r>
      <w:r w:rsidRPr="002D57BE">
        <w:t xml:space="preserve">.  The </w:t>
      </w:r>
      <w:r w:rsidR="00763501" w:rsidRPr="002D57BE">
        <w:t>prosecutor</w:t>
      </w:r>
      <w:r w:rsidRPr="002D57BE">
        <w:t xml:space="preserve"> offered </w:t>
      </w:r>
      <w:r w:rsidR="00522306" w:rsidRPr="002D57BE">
        <w:t>a</w:t>
      </w:r>
      <w:r w:rsidR="00740841" w:rsidRPr="002D57BE">
        <w:t>ppellants</w:t>
      </w:r>
      <w:r w:rsidRPr="002D57BE">
        <w:t xml:space="preserve"> </w:t>
      </w:r>
      <w:r w:rsidR="00142F03" w:rsidRPr="002D57BE">
        <w:t xml:space="preserve">a package plea deal </w:t>
      </w:r>
      <w:r w:rsidR="00CF1BB3" w:rsidRPr="002D57BE">
        <w:t xml:space="preserve">of 15 years to life </w:t>
      </w:r>
      <w:r w:rsidR="00DE43C5" w:rsidRPr="002D57BE">
        <w:t>for</w:t>
      </w:r>
      <w:r w:rsidR="00CF1BB3" w:rsidRPr="002D57BE">
        <w:t xml:space="preserve"> second degree murder. </w:t>
      </w:r>
      <w:r w:rsidR="005036C2" w:rsidRPr="002D57BE">
        <w:t xml:space="preserve"> Garcia wa</w:t>
      </w:r>
      <w:r w:rsidR="00FE163F" w:rsidRPr="002D57BE">
        <w:t>nted</w:t>
      </w:r>
      <w:r w:rsidR="005036C2" w:rsidRPr="002D57BE">
        <w:t xml:space="preserve"> to accept the offer but Scott </w:t>
      </w:r>
      <w:r w:rsidR="00FE163F" w:rsidRPr="002D57BE">
        <w:t>did not</w:t>
      </w:r>
      <w:r w:rsidR="005036C2" w:rsidRPr="002D57BE">
        <w:t>, and the prosecut</w:t>
      </w:r>
      <w:r w:rsidR="00763501" w:rsidRPr="002D57BE">
        <w:t>or</w:t>
      </w:r>
      <w:r w:rsidR="005036C2" w:rsidRPr="002D57BE">
        <w:t xml:space="preserve"> </w:t>
      </w:r>
      <w:r w:rsidR="001F68A9" w:rsidRPr="002D57BE">
        <w:t>was unwilling to sever these remaining two defendants.</w:t>
      </w:r>
      <w:r w:rsidR="005036C2" w:rsidRPr="002D57BE">
        <w:t xml:space="preserve"> </w:t>
      </w:r>
      <w:r w:rsidR="0084434E" w:rsidRPr="002D57BE">
        <w:t xml:space="preserve"> </w:t>
      </w:r>
      <w:r w:rsidR="000E1CE0" w:rsidRPr="002D57BE">
        <w:t xml:space="preserve">Appellants </w:t>
      </w:r>
      <w:r w:rsidR="001E7F68" w:rsidRPr="002D57BE">
        <w:t xml:space="preserve">therefore </w:t>
      </w:r>
      <w:r w:rsidR="000E1CE0" w:rsidRPr="002D57BE">
        <w:t>proceeded to trial.</w:t>
      </w:r>
    </w:p>
    <w:p w14:paraId="44AB2DC6" w14:textId="4863C701" w:rsidR="008F27C9" w:rsidRPr="002D57BE" w:rsidRDefault="00C6573A" w:rsidP="00FA7E16">
      <w:pPr>
        <w:keepNext/>
        <w:keepLines/>
        <w:tabs>
          <w:tab w:val="clear" w:pos="720"/>
          <w:tab w:val="left" w:pos="0"/>
        </w:tabs>
        <w:spacing w:line="360" w:lineRule="auto"/>
        <w:rPr>
          <w:u w:val="single"/>
        </w:rPr>
      </w:pPr>
      <w:r w:rsidRPr="002D57BE">
        <w:lastRenderedPageBreak/>
        <w:tab/>
      </w:r>
      <w:r w:rsidR="009C532C" w:rsidRPr="002D57BE">
        <w:tab/>
      </w:r>
      <w:r w:rsidR="00FC372C" w:rsidRPr="002D57BE">
        <w:t>5</w:t>
      </w:r>
      <w:r w:rsidRPr="002D57BE">
        <w:t xml:space="preserve">.  </w:t>
      </w:r>
      <w:r w:rsidR="009D4E50" w:rsidRPr="002D57BE">
        <w:rPr>
          <w:i/>
          <w:iCs/>
        </w:rPr>
        <w:t>Trial</w:t>
      </w:r>
      <w:r w:rsidR="0005652A" w:rsidRPr="002D57BE">
        <w:rPr>
          <w:i/>
          <w:iCs/>
        </w:rPr>
        <w:t>, Delay, and Motion for Mistrial</w:t>
      </w:r>
    </w:p>
    <w:p w14:paraId="76B70755" w14:textId="678677E9" w:rsidR="005F4A0C" w:rsidRPr="002D57BE" w:rsidRDefault="00C6573A" w:rsidP="00FA7E16">
      <w:pPr>
        <w:keepNext/>
        <w:keepLines/>
        <w:tabs>
          <w:tab w:val="clear" w:pos="720"/>
          <w:tab w:val="left" w:pos="0"/>
        </w:tabs>
        <w:spacing w:line="360" w:lineRule="auto"/>
      </w:pPr>
      <w:r w:rsidRPr="002D57BE">
        <w:tab/>
      </w:r>
      <w:r w:rsidR="00CF472E" w:rsidRPr="002D57BE">
        <w:t xml:space="preserve">On March 2, 2020, </w:t>
      </w:r>
      <w:r w:rsidR="00A0627A" w:rsidRPr="002D57BE">
        <w:t>witness testimony</w:t>
      </w:r>
      <w:r w:rsidR="0084434E" w:rsidRPr="002D57BE">
        <w:t xml:space="preserve"> </w:t>
      </w:r>
      <w:r w:rsidR="008A50C2" w:rsidRPr="002D57BE">
        <w:t>began</w:t>
      </w:r>
      <w:r w:rsidR="00E86B08" w:rsidRPr="002D57BE">
        <w:t xml:space="preserve"> and lasted for eight days</w:t>
      </w:r>
      <w:r w:rsidR="007636EC" w:rsidRPr="002D57BE">
        <w:t xml:space="preserve">. </w:t>
      </w:r>
      <w:r w:rsidR="00CF472E" w:rsidRPr="002D57BE">
        <w:t xml:space="preserve"> On March 12, </w:t>
      </w:r>
      <w:r w:rsidR="004C65E7" w:rsidRPr="002D57BE">
        <w:t xml:space="preserve">2020, </w:t>
      </w:r>
      <w:r w:rsidR="00E86B08" w:rsidRPr="002D57BE">
        <w:t>both</w:t>
      </w:r>
      <w:r w:rsidR="004C65E7" w:rsidRPr="002D57BE">
        <w:t xml:space="preserve"> parties rested. </w:t>
      </w:r>
      <w:r w:rsidR="00981422" w:rsidRPr="002D57BE">
        <w:t xml:space="preserve"> The jury was scheduled to return on March 17, 2020</w:t>
      </w:r>
      <w:r w:rsidR="002D6390" w:rsidRPr="002D57BE">
        <w:t xml:space="preserve"> </w:t>
      </w:r>
      <w:r w:rsidR="000B142C" w:rsidRPr="002D57BE">
        <w:t>to hear</w:t>
      </w:r>
      <w:r w:rsidR="002D6390" w:rsidRPr="002D57BE">
        <w:t xml:space="preserve"> closing arguments. </w:t>
      </w:r>
      <w:r w:rsidR="007018AC" w:rsidRPr="002D57BE">
        <w:t xml:space="preserve"> </w:t>
      </w:r>
      <w:r w:rsidR="00611B8E" w:rsidRPr="002D57BE">
        <w:t xml:space="preserve">On March 16, 2020, the Alameda </w:t>
      </w:r>
      <w:r w:rsidR="00A0627A" w:rsidRPr="002D57BE">
        <w:t>C</w:t>
      </w:r>
      <w:r w:rsidR="00611B8E" w:rsidRPr="002D57BE">
        <w:t xml:space="preserve">ounty Public Health Department issued </w:t>
      </w:r>
      <w:r w:rsidR="00CF0C26" w:rsidRPr="002D57BE">
        <w:t xml:space="preserve">a shelter-in-place order </w:t>
      </w:r>
      <w:r w:rsidR="0038584E" w:rsidRPr="002D57BE">
        <w:t xml:space="preserve">due to COVID-19. </w:t>
      </w:r>
      <w:r w:rsidR="00AD6E54" w:rsidRPr="002D57BE">
        <w:t xml:space="preserve"> </w:t>
      </w:r>
      <w:r w:rsidR="00DE592F" w:rsidRPr="002D57BE">
        <w:t>In response, the Alameda County Superior Court sought an emergency order from the California Supreme Court to cl</w:t>
      </w:r>
      <w:r w:rsidR="00353B49" w:rsidRPr="002D57BE">
        <w:t xml:space="preserve">ose </w:t>
      </w:r>
      <w:r w:rsidR="00460753" w:rsidRPr="002D57BE">
        <w:t xml:space="preserve">its courthouses until April 7, 2020.  </w:t>
      </w:r>
      <w:r w:rsidR="00F82820" w:rsidRPr="002D57BE">
        <w:t>The March 17, 2020 proceedings were cancelled as a result.</w:t>
      </w:r>
      <w:r w:rsidR="00C67EEC" w:rsidRPr="002D57BE">
        <w:t xml:space="preserve">  </w:t>
      </w:r>
      <w:r w:rsidR="00460753" w:rsidRPr="002D57BE">
        <w:t xml:space="preserve">On March 23, 2020, </w:t>
      </w:r>
      <w:r w:rsidR="00DC7584" w:rsidRPr="002D57BE">
        <w:t xml:space="preserve">Chief Justice </w:t>
      </w:r>
      <w:r w:rsidR="00FD7A23" w:rsidRPr="002D57BE">
        <w:t xml:space="preserve">Tani Cantil-Sakauye issued an order </w:t>
      </w:r>
      <w:r w:rsidR="001C515A" w:rsidRPr="002D57BE">
        <w:t>that suspended all jury trials</w:t>
      </w:r>
      <w:r w:rsidR="00F82820" w:rsidRPr="002D57BE">
        <w:t xml:space="preserve"> in California</w:t>
      </w:r>
      <w:r w:rsidR="001C515A" w:rsidRPr="002D57BE">
        <w:t xml:space="preserve"> for 60 days.  </w:t>
      </w:r>
      <w:r w:rsidR="00FF1B9F" w:rsidRPr="002D57BE">
        <w:t>Th</w:t>
      </w:r>
      <w:r w:rsidR="00885905" w:rsidRPr="002D57BE">
        <w:t xml:space="preserve">e Chief Justice later extended </w:t>
      </w:r>
      <w:r w:rsidR="00B67ED2" w:rsidRPr="002D57BE">
        <w:t xml:space="preserve">this </w:t>
      </w:r>
      <w:r w:rsidR="00E062D2" w:rsidRPr="002D57BE">
        <w:t>suspension</w:t>
      </w:r>
      <w:r w:rsidR="00FF1B9F" w:rsidRPr="002D57BE">
        <w:t xml:space="preserve"> by </w:t>
      </w:r>
      <w:r w:rsidR="007706CD" w:rsidRPr="002D57BE">
        <w:t>an additional</w:t>
      </w:r>
      <w:r w:rsidR="00FF1B9F" w:rsidRPr="002D57BE">
        <w:t xml:space="preserve"> 30 days.</w:t>
      </w:r>
      <w:r w:rsidR="001A4B3C" w:rsidRPr="002D57BE">
        <w:t xml:space="preserve"> </w:t>
      </w:r>
      <w:r w:rsidR="00D074F3" w:rsidRPr="002D57BE">
        <w:t xml:space="preserve"> </w:t>
      </w:r>
    </w:p>
    <w:p w14:paraId="7AE55B64" w14:textId="364801E1" w:rsidR="00360301" w:rsidRPr="002D57BE" w:rsidRDefault="00C6573A" w:rsidP="001A05AD">
      <w:pPr>
        <w:tabs>
          <w:tab w:val="clear" w:pos="720"/>
          <w:tab w:val="left" w:pos="0"/>
        </w:tabs>
        <w:spacing w:line="360" w:lineRule="auto"/>
      </w:pPr>
      <w:r w:rsidRPr="002D57BE">
        <w:tab/>
      </w:r>
      <w:r w:rsidR="00101F4E" w:rsidRPr="002D57BE">
        <w:t>The</w:t>
      </w:r>
      <w:r w:rsidR="00DA5838" w:rsidRPr="002D57BE">
        <w:t xml:space="preserve"> trial court </w:t>
      </w:r>
      <w:r w:rsidR="0064249C" w:rsidRPr="002D57BE">
        <w:t xml:space="preserve">eventually </w:t>
      </w:r>
      <w:r w:rsidR="00A708D6" w:rsidRPr="002D57BE">
        <w:t>continued tr</w:t>
      </w:r>
      <w:r w:rsidR="0064249C" w:rsidRPr="002D57BE">
        <w:t>ial to June 8, 2020</w:t>
      </w:r>
      <w:r w:rsidR="00F55123" w:rsidRPr="002D57BE">
        <w:t>.</w:t>
      </w:r>
      <w:r w:rsidR="00DA5838" w:rsidRPr="002D57BE">
        <w:t xml:space="preserve"> </w:t>
      </w:r>
      <w:r w:rsidR="00F55123" w:rsidRPr="002D57BE">
        <w:t xml:space="preserve"> </w:t>
      </w:r>
      <w:r w:rsidR="00292F75" w:rsidRPr="002D57BE">
        <w:t xml:space="preserve">On June 5, 2020, </w:t>
      </w:r>
      <w:r w:rsidR="00E02A4A" w:rsidRPr="002D57BE">
        <w:t xml:space="preserve">Scott moved for a mistrial </w:t>
      </w:r>
      <w:r w:rsidR="00A84A17" w:rsidRPr="002D57BE">
        <w:t>based on the</w:t>
      </w:r>
      <w:r w:rsidR="00E14984" w:rsidRPr="002D57BE">
        <w:t xml:space="preserve"> three-month</w:t>
      </w:r>
      <w:r w:rsidR="00AD583E" w:rsidRPr="002D57BE">
        <w:t xml:space="preserve"> delay.  </w:t>
      </w:r>
      <w:r w:rsidR="00C1184C" w:rsidRPr="002D57BE">
        <w:t>At th</w:t>
      </w:r>
      <w:r w:rsidR="007A649E" w:rsidRPr="002D57BE">
        <w:t>e June 9, 2020</w:t>
      </w:r>
      <w:r w:rsidR="00C1184C" w:rsidRPr="002D57BE">
        <w:t xml:space="preserve"> h</w:t>
      </w:r>
      <w:r w:rsidR="00433373" w:rsidRPr="002D57BE">
        <w:t xml:space="preserve">earing on </w:t>
      </w:r>
      <w:r w:rsidR="007A649E" w:rsidRPr="002D57BE">
        <w:t>the motion,</w:t>
      </w:r>
      <w:r w:rsidR="00433373" w:rsidRPr="002D57BE">
        <w:t xml:space="preserve"> </w:t>
      </w:r>
      <w:r w:rsidR="00AD583E" w:rsidRPr="002D57BE">
        <w:t xml:space="preserve">Garcia orally joined </w:t>
      </w:r>
      <w:r w:rsidR="00D60F5B" w:rsidRPr="002D57BE">
        <w:t>the</w:t>
      </w:r>
      <w:r w:rsidR="006B40CD" w:rsidRPr="002D57BE">
        <w:t xml:space="preserve"> motion. </w:t>
      </w:r>
      <w:r w:rsidR="00FA0120" w:rsidRPr="002D57BE">
        <w:t xml:space="preserve"> </w:t>
      </w:r>
      <w:r w:rsidR="0041458E" w:rsidRPr="002D57BE">
        <w:t>Scott argued that</w:t>
      </w:r>
      <w:r w:rsidR="00CC247C" w:rsidRPr="002D57BE">
        <w:t xml:space="preserve"> there was a concern </w:t>
      </w:r>
      <w:r w:rsidR="0031375B" w:rsidRPr="002D57BE">
        <w:t xml:space="preserve">over “the inability of jurors to remember or being able to focus during this pandemic </w:t>
      </w:r>
      <w:r w:rsidR="004923AE" w:rsidRPr="002D57BE">
        <w:t xml:space="preserve">. . </w:t>
      </w:r>
      <w:r w:rsidR="0031375B" w:rsidRPr="002D57BE">
        <w:t>.</w:t>
      </w:r>
      <w:r w:rsidR="004923AE" w:rsidRPr="002D57BE">
        <w:t xml:space="preserve"> .</w:t>
      </w:r>
      <w:r w:rsidR="0031375B" w:rsidRPr="002D57BE">
        <w:t xml:space="preserve">” </w:t>
      </w:r>
      <w:r w:rsidR="0041458E" w:rsidRPr="002D57BE">
        <w:t xml:space="preserve"> </w:t>
      </w:r>
      <w:r w:rsidR="00FA0120" w:rsidRPr="002D57BE">
        <w:t>The trial court denied the motion</w:t>
      </w:r>
      <w:r w:rsidR="003B6B7B" w:rsidRPr="002D57BE">
        <w:t xml:space="preserve"> </w:t>
      </w:r>
      <w:r w:rsidR="00D60F5B" w:rsidRPr="002D57BE">
        <w:t>based on</w:t>
      </w:r>
      <w:r w:rsidR="003B6B7B" w:rsidRPr="002D57BE">
        <w:t xml:space="preserve"> good cause </w:t>
      </w:r>
      <w:r w:rsidR="0098399A" w:rsidRPr="002D57BE">
        <w:t>for the continuance.</w:t>
      </w:r>
      <w:r w:rsidR="009A19AA" w:rsidRPr="002D57BE">
        <w:t xml:space="preserve"> </w:t>
      </w:r>
      <w:r w:rsidR="00065470" w:rsidRPr="002D57BE">
        <w:t xml:space="preserve"> The </w:t>
      </w:r>
      <w:r w:rsidR="009A50B9" w:rsidRPr="002D57BE">
        <w:t xml:space="preserve">court explained </w:t>
      </w:r>
      <w:r w:rsidR="00DD1E37" w:rsidRPr="002D57BE">
        <w:t>that social distancing measures would be put in pl</w:t>
      </w:r>
      <w:r w:rsidR="00E74207" w:rsidRPr="002D57BE">
        <w:t>ace and though not ideal, it</w:t>
      </w:r>
      <w:r w:rsidR="009A50B9" w:rsidRPr="002D57BE">
        <w:t xml:space="preserve"> </w:t>
      </w:r>
      <w:r w:rsidR="00E74207" w:rsidRPr="002D57BE">
        <w:t xml:space="preserve">“cannot </w:t>
      </w:r>
      <w:r w:rsidR="00A500A0" w:rsidRPr="002D57BE">
        <w:t>have people languishing in custody”</w:t>
      </w:r>
      <w:r w:rsidR="00E07C4E" w:rsidRPr="002D57BE">
        <w:t xml:space="preserve"> while it waits for the pandemic to be over before resuming jury trials.</w:t>
      </w:r>
      <w:r w:rsidR="00BA19DE" w:rsidRPr="002D57BE">
        <w:t xml:space="preserve"> </w:t>
      </w:r>
      <w:r w:rsidR="00CF3DC7" w:rsidRPr="002D57BE">
        <w:t xml:space="preserve"> </w:t>
      </w:r>
    </w:p>
    <w:p w14:paraId="595D5A2F" w14:textId="19A9884A" w:rsidR="00E8131C" w:rsidRPr="002D57BE" w:rsidRDefault="00C6573A" w:rsidP="001A05AD">
      <w:pPr>
        <w:tabs>
          <w:tab w:val="clear" w:pos="720"/>
          <w:tab w:val="left" w:pos="0"/>
        </w:tabs>
        <w:spacing w:line="360" w:lineRule="auto"/>
      </w:pPr>
      <w:r w:rsidRPr="002D57BE">
        <w:tab/>
      </w:r>
      <w:r w:rsidR="00C01058" w:rsidRPr="002D57BE">
        <w:t xml:space="preserve">The trial court held that </w:t>
      </w:r>
      <w:r w:rsidR="009A7EC6" w:rsidRPr="002D57BE">
        <w:t>the risk of lost</w:t>
      </w:r>
      <w:r w:rsidR="00411689" w:rsidRPr="002D57BE">
        <w:t xml:space="preserve"> </w:t>
      </w:r>
      <w:r w:rsidR="000E740D" w:rsidRPr="002D57BE">
        <w:t>juror</w:t>
      </w:r>
      <w:r w:rsidR="00782284" w:rsidRPr="002D57BE">
        <w:t xml:space="preserve"> </w:t>
      </w:r>
      <w:r w:rsidR="001354F8" w:rsidRPr="002D57BE">
        <w:t>recollection</w:t>
      </w:r>
      <w:r w:rsidR="00472072" w:rsidRPr="002D57BE">
        <w:t xml:space="preserve"> </w:t>
      </w:r>
      <w:r w:rsidR="00C01058" w:rsidRPr="002D57BE">
        <w:t>was an</w:t>
      </w:r>
      <w:r w:rsidR="00472072" w:rsidRPr="002D57BE">
        <w:t xml:space="preserve"> insufficient </w:t>
      </w:r>
      <w:r w:rsidR="00C01058" w:rsidRPr="002D57BE">
        <w:t>reason</w:t>
      </w:r>
      <w:r w:rsidR="00472072" w:rsidRPr="002D57BE">
        <w:t xml:space="preserve"> </w:t>
      </w:r>
      <w:r w:rsidR="00C01058" w:rsidRPr="002D57BE">
        <w:t>to grant a</w:t>
      </w:r>
      <w:r w:rsidR="00472072" w:rsidRPr="002D57BE">
        <w:t xml:space="preserve"> mistrial</w:t>
      </w:r>
      <w:r w:rsidR="00C01058" w:rsidRPr="002D57BE">
        <w:t xml:space="preserve"> and</w:t>
      </w:r>
      <w:r w:rsidR="001354F8" w:rsidRPr="002D57BE">
        <w:t xml:space="preserve"> stated</w:t>
      </w:r>
      <w:r w:rsidR="0077042C" w:rsidRPr="002D57BE">
        <w:t xml:space="preserve">, </w:t>
      </w:r>
      <w:r w:rsidR="00411689" w:rsidRPr="002D57BE">
        <w:t>“we have notebooks</w:t>
      </w:r>
      <w:r w:rsidRPr="002D57BE">
        <w:t xml:space="preserve"> that the jurors were informed that they could take notes for their own recollection.  There’s also the reporter’s transcript in this case that can be read back just in case the jurors missed something.  And, as well as their clo</w:t>
      </w:r>
      <w:r w:rsidRPr="002D57BE">
        <w:t>sing arguments, those arguments are there to refresh the recollection of the jurors as to what they heard during the trial.</w:t>
      </w:r>
      <w:r w:rsidR="00472072" w:rsidRPr="002D57BE">
        <w:t>”</w:t>
      </w:r>
      <w:r w:rsidR="00411689" w:rsidRPr="002D57BE">
        <w:t xml:space="preserve"> </w:t>
      </w:r>
      <w:r w:rsidR="00C16551" w:rsidRPr="002D57BE">
        <w:t xml:space="preserve"> </w:t>
      </w:r>
      <w:r w:rsidRPr="002D57BE">
        <w:t>The court further</w:t>
      </w:r>
      <w:r w:rsidR="00C16551" w:rsidRPr="002D57BE">
        <w:t xml:space="preserve"> </w:t>
      </w:r>
      <w:r w:rsidR="005F4A0C" w:rsidRPr="002D57BE">
        <w:t xml:space="preserve">stated that it </w:t>
      </w:r>
      <w:r w:rsidR="000325B3" w:rsidRPr="002D57BE">
        <w:t xml:space="preserve">would conduct </w:t>
      </w:r>
      <w:r w:rsidR="000325B3" w:rsidRPr="002D57BE">
        <w:lastRenderedPageBreak/>
        <w:t xml:space="preserve">voir dire </w:t>
      </w:r>
      <w:r w:rsidR="00007DDC" w:rsidRPr="002D57BE">
        <w:t>and “inquire as to whether or not the jurors had adhered to their juror obligations during the recess</w:t>
      </w:r>
      <w:r w:rsidR="00407CD2" w:rsidRPr="002D57BE">
        <w:t>.</w:t>
      </w:r>
      <w:r w:rsidR="00007DDC" w:rsidRPr="002D57BE">
        <w:t>”</w:t>
      </w:r>
      <w:r w:rsidR="000325B3" w:rsidRPr="002D57BE">
        <w:t xml:space="preserve"> </w:t>
      </w:r>
    </w:p>
    <w:p w14:paraId="731B4ADA" w14:textId="071AEBDC" w:rsidR="00B01628" w:rsidRPr="002D57BE" w:rsidRDefault="00C6573A" w:rsidP="001A05AD">
      <w:pPr>
        <w:tabs>
          <w:tab w:val="clear" w:pos="720"/>
          <w:tab w:val="left" w:pos="0"/>
        </w:tabs>
        <w:spacing w:line="360" w:lineRule="auto"/>
      </w:pPr>
      <w:r w:rsidRPr="002D57BE">
        <w:tab/>
        <w:t xml:space="preserve">Following the hearing, the trial court sent the jurors a letter to inform them that trial would soon resume and to ask that they answer some questions related to their health and continuation of their jury service in light </w:t>
      </w:r>
      <w:r w:rsidRPr="002D57BE">
        <w:t xml:space="preserve">of COVID-19.  </w:t>
      </w:r>
      <w:r w:rsidR="0008001E" w:rsidRPr="002D57BE">
        <w:t xml:space="preserve">The trial court noted that it “received positive responses from most of the jurors.”  </w:t>
      </w:r>
      <w:r w:rsidR="00C32E39" w:rsidRPr="002D57BE">
        <w:t>Three jurors raised issues</w:t>
      </w:r>
      <w:r w:rsidRPr="002D57BE">
        <w:t xml:space="preserve"> </w:t>
      </w:r>
      <w:r w:rsidR="003A60A2" w:rsidRPr="002D57BE">
        <w:t>with</w:t>
      </w:r>
      <w:r w:rsidR="00BF2BF2" w:rsidRPr="002D57BE">
        <w:t xml:space="preserve"> continuing</w:t>
      </w:r>
      <w:r w:rsidRPr="002D57BE">
        <w:t xml:space="preserve"> their jury service due to COVID-19 concerns.  The court excused these jurors and replaced them with alternat</w:t>
      </w:r>
      <w:r w:rsidR="007C3C1D" w:rsidRPr="002D57BE">
        <w:t>e</w:t>
      </w:r>
      <w:r w:rsidR="00E428CC" w:rsidRPr="002D57BE">
        <w:t>s</w:t>
      </w:r>
      <w:r w:rsidRPr="002D57BE">
        <w:t xml:space="preserve">. </w:t>
      </w:r>
    </w:p>
    <w:p w14:paraId="40DDC6F3" w14:textId="0F30E3B5" w:rsidR="007B0EA8" w:rsidRPr="002D57BE" w:rsidRDefault="00C6573A" w:rsidP="001A05AD">
      <w:pPr>
        <w:tabs>
          <w:tab w:val="clear" w:pos="720"/>
          <w:tab w:val="left" w:pos="0"/>
        </w:tabs>
        <w:spacing w:line="360" w:lineRule="auto"/>
      </w:pPr>
      <w:r w:rsidRPr="002D57BE">
        <w:tab/>
      </w:r>
      <w:r w:rsidRPr="002D57BE">
        <w:tab/>
      </w:r>
      <w:r w:rsidR="00FC372C" w:rsidRPr="002D57BE">
        <w:t>6</w:t>
      </w:r>
      <w:r w:rsidRPr="002D57BE">
        <w:t xml:space="preserve">.  </w:t>
      </w:r>
      <w:r w:rsidRPr="002D57BE">
        <w:rPr>
          <w:i/>
          <w:iCs/>
        </w:rPr>
        <w:t>Deliberations and Verdict</w:t>
      </w:r>
    </w:p>
    <w:p w14:paraId="112A8828" w14:textId="2CB31870" w:rsidR="00BA47D7" w:rsidRPr="002D57BE" w:rsidRDefault="00C6573A" w:rsidP="001A05AD">
      <w:pPr>
        <w:tabs>
          <w:tab w:val="clear" w:pos="720"/>
          <w:tab w:val="left" w:pos="0"/>
        </w:tabs>
        <w:spacing w:line="360" w:lineRule="auto"/>
      </w:pPr>
      <w:r w:rsidRPr="002D57BE">
        <w:tab/>
      </w:r>
      <w:r w:rsidR="00C24AFC" w:rsidRPr="002D57BE">
        <w:t xml:space="preserve">Trial resumed on June 23, 2020. </w:t>
      </w:r>
      <w:r w:rsidRPr="002D57BE">
        <w:t xml:space="preserve"> </w:t>
      </w:r>
      <w:r w:rsidR="00800F5F" w:rsidRPr="002D57BE">
        <w:t>The trial court</w:t>
      </w:r>
      <w:r w:rsidR="00216592" w:rsidRPr="002D57BE">
        <w:t xml:space="preserve"> </w:t>
      </w:r>
      <w:r w:rsidR="00332AD6" w:rsidRPr="002D57BE">
        <w:t xml:space="preserve">re-read </w:t>
      </w:r>
      <w:r w:rsidR="00216592" w:rsidRPr="002D57BE">
        <w:t xml:space="preserve"> </w:t>
      </w:r>
      <w:r w:rsidR="00332AD6" w:rsidRPr="002D57BE">
        <w:t>CALCRIM No. 101</w:t>
      </w:r>
      <w:r w:rsidR="005C4D68" w:rsidRPr="002D57BE">
        <w:t xml:space="preserve"> to the jury, </w:t>
      </w:r>
      <w:r w:rsidR="009D241B" w:rsidRPr="002D57BE">
        <w:t xml:space="preserve">including </w:t>
      </w:r>
      <w:r w:rsidR="005C4D68" w:rsidRPr="002D57BE">
        <w:t xml:space="preserve">the </w:t>
      </w:r>
      <w:r w:rsidR="00835E23" w:rsidRPr="002D57BE">
        <w:t>admonition</w:t>
      </w:r>
      <w:r w:rsidR="005C4D68" w:rsidRPr="002D57BE">
        <w:t xml:space="preserve"> no</w:t>
      </w:r>
      <w:r w:rsidR="0057265F" w:rsidRPr="002D57BE">
        <w:t>t to discuss the</w:t>
      </w:r>
      <w:r w:rsidR="005C4D68" w:rsidRPr="002D57BE">
        <w:t xml:space="preserve"> case</w:t>
      </w:r>
      <w:r w:rsidR="00563595" w:rsidRPr="002D57BE">
        <w:t xml:space="preserve"> with anyone or </w:t>
      </w:r>
      <w:r w:rsidR="00C51B87" w:rsidRPr="002D57BE">
        <w:t xml:space="preserve">to </w:t>
      </w:r>
      <w:r w:rsidR="001E2AFD" w:rsidRPr="002D57BE">
        <w:t>conduct any independent research</w:t>
      </w:r>
      <w:r w:rsidR="00C51B87" w:rsidRPr="002D57BE">
        <w:t xml:space="preserve"> or investigation</w:t>
      </w:r>
      <w:r w:rsidR="00C6785A" w:rsidRPr="002D57BE">
        <w:t xml:space="preserve"> during trial</w:t>
      </w:r>
      <w:r w:rsidR="00563595" w:rsidRPr="002D57BE">
        <w:t>.</w:t>
      </w:r>
      <w:r w:rsidR="00800F5F" w:rsidRPr="002D57BE">
        <w:t xml:space="preserve"> </w:t>
      </w:r>
      <w:r w:rsidR="001E2AFD" w:rsidRPr="002D57BE">
        <w:t xml:space="preserve"> </w:t>
      </w:r>
      <w:r w:rsidR="009A65A4" w:rsidRPr="002D57BE">
        <w:t>The</w:t>
      </w:r>
      <w:r w:rsidR="001E2AFD" w:rsidRPr="002D57BE">
        <w:t xml:space="preserve"> court did not </w:t>
      </w:r>
      <w:r w:rsidR="008A767B" w:rsidRPr="002D57BE">
        <w:t xml:space="preserve">ask the jurors whether they had followed </w:t>
      </w:r>
      <w:r w:rsidR="001C2B55" w:rsidRPr="002D57BE">
        <w:t>these</w:t>
      </w:r>
      <w:r w:rsidR="00C51B87" w:rsidRPr="002D57BE">
        <w:t xml:space="preserve"> obligations</w:t>
      </w:r>
      <w:r w:rsidR="008A767B" w:rsidRPr="002D57BE">
        <w:t xml:space="preserve"> during the 103-day recess. </w:t>
      </w:r>
      <w:r w:rsidR="00877DAA">
        <w:t xml:space="preserve"> </w:t>
      </w:r>
      <w:r w:rsidR="00F15CBB" w:rsidRPr="002D57BE">
        <w:t xml:space="preserve">The parties did not </w:t>
      </w:r>
      <w:r w:rsidR="000E50FF" w:rsidRPr="002D57BE">
        <w:t xml:space="preserve">raise any objections </w:t>
      </w:r>
      <w:r w:rsidR="00937A64" w:rsidRPr="002D57BE">
        <w:t>to this lack of questioning.</w:t>
      </w:r>
      <w:r w:rsidR="004175F6" w:rsidRPr="002D57BE">
        <w:t xml:space="preserve"> </w:t>
      </w:r>
      <w:r w:rsidR="00B115E2" w:rsidRPr="002D57BE">
        <w:t xml:space="preserve"> </w:t>
      </w:r>
      <w:r w:rsidR="004175F6" w:rsidRPr="002D57BE">
        <w:t>Closing arguments took place on June 23 and 24, 2020</w:t>
      </w:r>
      <w:r w:rsidRPr="002D57BE">
        <w:t>.</w:t>
      </w:r>
      <w:r w:rsidR="004175F6" w:rsidRPr="002D57BE">
        <w:t xml:space="preserve"> </w:t>
      </w:r>
      <w:r w:rsidR="009E4CD7" w:rsidRPr="002D57BE">
        <w:t xml:space="preserve"> Scott’s attorney argued</w:t>
      </w:r>
      <w:r w:rsidR="00DF1E69" w:rsidRPr="002D57BE">
        <w:t xml:space="preserve"> that Scott was being accused of a crime he did not commit and that </w:t>
      </w:r>
      <w:r w:rsidR="007A2DF6" w:rsidRPr="002D57BE">
        <w:t xml:space="preserve">the prosecution’s key witnesses were </w:t>
      </w:r>
      <w:r w:rsidR="003C685B" w:rsidRPr="002D57BE">
        <w:t>incentivized to lie</w:t>
      </w:r>
      <w:r w:rsidR="00B115E2" w:rsidRPr="002D57BE">
        <w:t xml:space="preserve"> about his involvement</w:t>
      </w:r>
      <w:r w:rsidR="003C685B" w:rsidRPr="002D57BE">
        <w:t xml:space="preserve"> in order to </w:t>
      </w:r>
      <w:r w:rsidR="00194006" w:rsidRPr="002D57BE">
        <w:t>secure shorter sentences for themselves</w:t>
      </w:r>
      <w:r w:rsidR="003C685B" w:rsidRPr="002D57BE">
        <w:t>.</w:t>
      </w:r>
      <w:r w:rsidR="005C1EF3" w:rsidRPr="002D57BE">
        <w:t xml:space="preserve"> </w:t>
      </w:r>
    </w:p>
    <w:p w14:paraId="706C7E8C" w14:textId="173C4CE8" w:rsidR="00764B74" w:rsidRPr="002D57BE" w:rsidRDefault="00C6573A" w:rsidP="001A05AD">
      <w:pPr>
        <w:tabs>
          <w:tab w:val="clear" w:pos="720"/>
          <w:tab w:val="left" w:pos="0"/>
        </w:tabs>
        <w:spacing w:line="360" w:lineRule="auto"/>
      </w:pPr>
      <w:r w:rsidRPr="002D57BE">
        <w:tab/>
        <w:t>D</w:t>
      </w:r>
      <w:r w:rsidR="004175F6" w:rsidRPr="002D57BE">
        <w:t xml:space="preserve">eliberations </w:t>
      </w:r>
      <w:r w:rsidR="00A97E48" w:rsidRPr="002D57BE">
        <w:t xml:space="preserve">began </w:t>
      </w:r>
      <w:r w:rsidR="004175F6" w:rsidRPr="002D57BE">
        <w:t xml:space="preserve">on June 25, 2020. </w:t>
      </w:r>
      <w:r w:rsidR="00B66A0B" w:rsidRPr="002D57BE">
        <w:t xml:space="preserve"> </w:t>
      </w:r>
      <w:r w:rsidR="005C60F3" w:rsidRPr="002D57BE">
        <w:t>On the first day of deliberations</w:t>
      </w:r>
      <w:r w:rsidR="00904D1D" w:rsidRPr="002D57BE">
        <w:t xml:space="preserve">, the jury asked for readback of testimony </w:t>
      </w:r>
      <w:r w:rsidR="00FC5B0C" w:rsidRPr="002D57BE">
        <w:t>of</w:t>
      </w:r>
      <w:r w:rsidR="008A3128" w:rsidRPr="002D57BE">
        <w:t xml:space="preserve"> </w:t>
      </w:r>
      <w:r w:rsidR="00EC09F1" w:rsidRPr="002D57BE">
        <w:t>two eye</w:t>
      </w:r>
      <w:r w:rsidR="00C90C20" w:rsidRPr="002D57BE">
        <w:t>witnesses</w:t>
      </w:r>
      <w:r w:rsidR="00EB059B" w:rsidRPr="002D57BE">
        <w:t xml:space="preserve"> from the night of the murder,</w:t>
      </w:r>
      <w:r w:rsidR="00BE26D7" w:rsidRPr="002D57BE">
        <w:t xml:space="preserve"> the coroner</w:t>
      </w:r>
      <w:r w:rsidR="00FC5B0C" w:rsidRPr="002D57BE">
        <w:t>, and appellan</w:t>
      </w:r>
      <w:r w:rsidR="0079709E" w:rsidRPr="002D57BE">
        <w:t>ts’ interviews with the police.</w:t>
      </w:r>
      <w:r w:rsidR="00BE26D7" w:rsidRPr="002D57BE">
        <w:t xml:space="preserve"> </w:t>
      </w:r>
      <w:r w:rsidR="000F2646" w:rsidRPr="002D57BE">
        <w:t xml:space="preserve"> </w:t>
      </w:r>
      <w:r w:rsidR="00514590" w:rsidRPr="002D57BE">
        <w:t>On June 29, the jury asked for</w:t>
      </w:r>
      <w:r w:rsidR="00FB7F6A" w:rsidRPr="002D57BE">
        <w:t xml:space="preserve"> readback of</w:t>
      </w:r>
      <w:r w:rsidR="00514590" w:rsidRPr="002D57BE">
        <w:t xml:space="preserve"> the testimony of Miller, Velasco, and Vera. </w:t>
      </w:r>
    </w:p>
    <w:p w14:paraId="10A1AC90" w14:textId="6DBD3EA7" w:rsidR="00D916B3" w:rsidRPr="002D57BE" w:rsidRDefault="00C6573A" w:rsidP="001A05AD">
      <w:pPr>
        <w:tabs>
          <w:tab w:val="clear" w:pos="720"/>
          <w:tab w:val="left" w:pos="0"/>
        </w:tabs>
        <w:spacing w:line="360" w:lineRule="auto"/>
      </w:pPr>
      <w:r w:rsidRPr="002D57BE">
        <w:tab/>
      </w:r>
      <w:r w:rsidR="00B66A0B" w:rsidRPr="002D57BE">
        <w:t xml:space="preserve">On July 1, 2020, </w:t>
      </w:r>
      <w:r w:rsidR="006D1BD4" w:rsidRPr="002D57BE">
        <w:t>the jur</w:t>
      </w:r>
      <w:r w:rsidR="00F85AFB" w:rsidRPr="002D57BE">
        <w:t>y</w:t>
      </w:r>
      <w:r w:rsidR="006D1BD4" w:rsidRPr="002D57BE">
        <w:t xml:space="preserve"> foreperson</w:t>
      </w:r>
      <w:r w:rsidR="00F85AFB" w:rsidRPr="002D57BE">
        <w:t xml:space="preserve"> </w:t>
      </w:r>
      <w:r w:rsidR="00796551" w:rsidRPr="002D57BE">
        <w:t>informed the court</w:t>
      </w:r>
      <w:r w:rsidR="00F85AFB" w:rsidRPr="002D57BE">
        <w:t xml:space="preserve"> that </w:t>
      </w:r>
      <w:r w:rsidR="00DE4459" w:rsidRPr="002D57BE">
        <w:t xml:space="preserve">the jury could not </w:t>
      </w:r>
      <w:r w:rsidR="00737356" w:rsidRPr="002D57BE">
        <w:t>all agree to first</w:t>
      </w:r>
      <w:r w:rsidR="00DE4459" w:rsidRPr="002D57BE">
        <w:t xml:space="preserve"> degree murder as to Garcia and was split 11 to 1. </w:t>
      </w:r>
      <w:r w:rsidR="00552204" w:rsidRPr="002D57BE">
        <w:t xml:space="preserve"> </w:t>
      </w:r>
      <w:r w:rsidR="00CA7811" w:rsidRPr="002D57BE">
        <w:t xml:space="preserve">The jury asked </w:t>
      </w:r>
      <w:r w:rsidR="0054649F" w:rsidRPr="002D57BE">
        <w:t>the court for the definition of intent</w:t>
      </w:r>
      <w:r w:rsidR="00CA7811" w:rsidRPr="002D57BE">
        <w:t xml:space="preserve"> </w:t>
      </w:r>
      <w:r w:rsidR="0054649F" w:rsidRPr="002D57BE">
        <w:t>a</w:t>
      </w:r>
      <w:r w:rsidR="00F61010" w:rsidRPr="002D57BE">
        <w:t>nd a</w:t>
      </w:r>
      <w:r w:rsidR="0054649F" w:rsidRPr="002D57BE">
        <w:t xml:space="preserve"> more elaborate </w:t>
      </w:r>
      <w:r w:rsidR="0054649F" w:rsidRPr="002D57BE">
        <w:lastRenderedPageBreak/>
        <w:t>definition of second degree murder</w:t>
      </w:r>
      <w:r w:rsidR="005304BE" w:rsidRPr="002D57BE">
        <w:t xml:space="preserve">. </w:t>
      </w:r>
      <w:r w:rsidR="001A72A2" w:rsidRPr="002D57BE">
        <w:t xml:space="preserve"> The court responded that both definitions were </w:t>
      </w:r>
      <w:r w:rsidR="00704798" w:rsidRPr="002D57BE">
        <w:t>already included in the instructions</w:t>
      </w:r>
      <w:r w:rsidR="00245498" w:rsidRPr="002D57BE">
        <w:t>.</w:t>
      </w:r>
      <w:r w:rsidR="00877DAA">
        <w:t xml:space="preserve"> </w:t>
      </w:r>
      <w:r w:rsidR="00245498" w:rsidRPr="002D57BE">
        <w:t xml:space="preserve"> </w:t>
      </w:r>
      <w:r w:rsidR="00EE66B4" w:rsidRPr="002D57BE">
        <w:t xml:space="preserve">The court asked if the jury all agreed </w:t>
      </w:r>
      <w:r w:rsidR="00E850DF" w:rsidRPr="002D57BE">
        <w:t>on</w:t>
      </w:r>
      <w:r w:rsidR="00EE66B4" w:rsidRPr="002D57BE">
        <w:t xml:space="preserve"> second degree murder and the foreperson responded</w:t>
      </w:r>
      <w:r w:rsidR="00E850DF" w:rsidRPr="002D57BE">
        <w:t xml:space="preserve"> no.  </w:t>
      </w:r>
      <w:r w:rsidR="00F4720F" w:rsidRPr="002D57BE">
        <w:t>The foreperson t</w:t>
      </w:r>
      <w:r w:rsidR="009A09F9" w:rsidRPr="002D57BE">
        <w:t xml:space="preserve">hen began to say, “I feel like they…” </w:t>
      </w:r>
      <w:r w:rsidR="00A57651" w:rsidRPr="002D57BE">
        <w:t>before the court</w:t>
      </w:r>
      <w:r w:rsidR="009A09F9" w:rsidRPr="002D57BE">
        <w:t xml:space="preserve"> interjected </w:t>
      </w:r>
      <w:r w:rsidR="008C2247" w:rsidRPr="002D57BE">
        <w:t>and s</w:t>
      </w:r>
      <w:r w:rsidR="00D9356F" w:rsidRPr="002D57BE">
        <w:t>aid</w:t>
      </w:r>
      <w:r w:rsidR="008C2247" w:rsidRPr="002D57BE">
        <w:t>, “</w:t>
      </w:r>
      <w:r w:rsidR="00A2217C" w:rsidRPr="002D57BE">
        <w:t xml:space="preserve">If you all agree on murder, fill out the form for the degree of murder which you all agree.  Okay?” </w:t>
      </w:r>
      <w:r w:rsidR="00297CBF" w:rsidRPr="002D57BE">
        <w:t xml:space="preserve">  The court </w:t>
      </w:r>
      <w:r w:rsidR="004A6227" w:rsidRPr="002D57BE">
        <w:t xml:space="preserve">directed </w:t>
      </w:r>
      <w:r w:rsidR="00A57651" w:rsidRPr="002D57BE">
        <w:t>the jurors to continue deliberati</w:t>
      </w:r>
      <w:r w:rsidR="004A6227" w:rsidRPr="002D57BE">
        <w:t>ng</w:t>
      </w:r>
      <w:r w:rsidR="00A57651" w:rsidRPr="002D57BE">
        <w:t xml:space="preserve"> and stated, “if you all still cannot agree, please let me know.  Okay?  And then we will explore other options.” </w:t>
      </w:r>
    </w:p>
    <w:p w14:paraId="16AD33FA" w14:textId="5178341E" w:rsidR="00D154EC" w:rsidRPr="002D57BE" w:rsidRDefault="00C6573A" w:rsidP="001A05AD">
      <w:pPr>
        <w:tabs>
          <w:tab w:val="clear" w:pos="720"/>
          <w:tab w:val="left" w:pos="0"/>
        </w:tabs>
        <w:spacing w:line="360" w:lineRule="auto"/>
      </w:pPr>
      <w:r w:rsidRPr="002D57BE">
        <w:tab/>
      </w:r>
      <w:r w:rsidR="00513BEC" w:rsidRPr="002D57BE">
        <w:t xml:space="preserve">The next afternoon, the jury </w:t>
      </w:r>
      <w:r w:rsidR="00AF7801" w:rsidRPr="002D57BE">
        <w:t xml:space="preserve">reached a </w:t>
      </w:r>
      <w:r w:rsidR="00C336E3" w:rsidRPr="002D57BE">
        <w:t>verdict</w:t>
      </w:r>
      <w:r w:rsidR="009B2597" w:rsidRPr="002D57BE">
        <w:t xml:space="preserve"> that found Garcia and Scott guilty of first degree murder and kidnapping.</w:t>
      </w:r>
      <w:r>
        <w:rPr>
          <w:rStyle w:val="FootnoteReference"/>
        </w:rPr>
        <w:footnoteReference w:id="5"/>
      </w:r>
      <w:r w:rsidR="009B2597" w:rsidRPr="002D57BE">
        <w:t xml:space="preserve">  </w:t>
      </w:r>
      <w:r w:rsidR="00866391" w:rsidRPr="002D57BE">
        <w:t>As to Scott, t</w:t>
      </w:r>
      <w:r w:rsidR="001976C9" w:rsidRPr="002D57BE">
        <w:t>he jury</w:t>
      </w:r>
      <w:r w:rsidR="00E645C4" w:rsidRPr="002D57BE">
        <w:t xml:space="preserve"> </w:t>
      </w:r>
      <w:r w:rsidR="001976C9" w:rsidRPr="002D57BE">
        <w:t>found true the special circumstance</w:t>
      </w:r>
      <w:r w:rsidR="000773DD" w:rsidRPr="002D57BE">
        <w:t xml:space="preserve"> that the murder was committed </w:t>
      </w:r>
      <w:r w:rsidR="00D35D30" w:rsidRPr="002D57BE">
        <w:t xml:space="preserve">during the </w:t>
      </w:r>
      <w:r w:rsidR="001A7C4F" w:rsidRPr="002D57BE">
        <w:t xml:space="preserve">commission of </w:t>
      </w:r>
      <w:r w:rsidR="00F559AD" w:rsidRPr="002D57BE">
        <w:t xml:space="preserve">a </w:t>
      </w:r>
      <w:r w:rsidR="00D35D30" w:rsidRPr="002D57BE">
        <w:t>kidnapping</w:t>
      </w:r>
      <w:r w:rsidR="001976C9" w:rsidRPr="002D57BE">
        <w:t xml:space="preserve">. </w:t>
      </w:r>
      <w:r w:rsidR="00227AE1" w:rsidRPr="002D57BE">
        <w:t xml:space="preserve"> </w:t>
      </w:r>
      <w:r w:rsidR="00866391" w:rsidRPr="002D57BE">
        <w:t>The</w:t>
      </w:r>
      <w:r w:rsidR="00B95475" w:rsidRPr="002D57BE">
        <w:t xml:space="preserve"> jury </w:t>
      </w:r>
      <w:r w:rsidR="00866391" w:rsidRPr="002D57BE">
        <w:t xml:space="preserve">also </w:t>
      </w:r>
      <w:r w:rsidR="00B95475" w:rsidRPr="002D57BE">
        <w:t xml:space="preserve">found true </w:t>
      </w:r>
      <w:r w:rsidR="001A7C4F" w:rsidRPr="002D57BE">
        <w:t>the</w:t>
      </w:r>
      <w:r w:rsidR="001F3F3F" w:rsidRPr="002D57BE">
        <w:t xml:space="preserve"> special allegation that </w:t>
      </w:r>
      <w:r w:rsidR="00866391" w:rsidRPr="002D57BE">
        <w:t xml:space="preserve">Scott </w:t>
      </w:r>
      <w:r w:rsidR="001F3F3F" w:rsidRPr="002D57BE">
        <w:t xml:space="preserve">intentionally discharged a firearm and caused great bodily injury and death. </w:t>
      </w:r>
      <w:r w:rsidR="00227AE1" w:rsidRPr="002D57BE">
        <w:t xml:space="preserve"> </w:t>
      </w:r>
    </w:p>
    <w:p w14:paraId="7497340B" w14:textId="34D996C6" w:rsidR="00E351E2" w:rsidRPr="002D57BE" w:rsidRDefault="00C6573A" w:rsidP="001A05AD">
      <w:pPr>
        <w:tabs>
          <w:tab w:val="clear" w:pos="720"/>
          <w:tab w:val="left" w:pos="0"/>
        </w:tabs>
        <w:spacing w:line="360" w:lineRule="auto"/>
        <w:jc w:val="center"/>
        <w:rPr>
          <w:b/>
          <w:bCs/>
          <w:u w:val="single"/>
        </w:rPr>
      </w:pPr>
      <w:r w:rsidRPr="002D57BE">
        <w:rPr>
          <w:b/>
          <w:bCs/>
        </w:rPr>
        <w:t xml:space="preserve">II.  </w:t>
      </w:r>
      <w:r w:rsidRPr="002D57BE">
        <w:rPr>
          <w:b/>
          <w:bCs/>
          <w:u w:val="single"/>
        </w:rPr>
        <w:t>DISCUSSION</w:t>
      </w:r>
    </w:p>
    <w:p w14:paraId="2260D1A9" w14:textId="0A05FAC2" w:rsidR="002767E6" w:rsidRPr="002D57BE" w:rsidRDefault="00C6573A" w:rsidP="001A05AD">
      <w:pPr>
        <w:pStyle w:val="BodyText"/>
        <w:widowControl/>
        <w:numPr>
          <w:ilvl w:val="0"/>
          <w:numId w:val="7"/>
        </w:numPr>
        <w:spacing w:line="360" w:lineRule="auto"/>
        <w:rPr>
          <w:u w:val="single"/>
        </w:rPr>
      </w:pPr>
      <w:r w:rsidRPr="002D57BE">
        <w:rPr>
          <w:u w:val="single"/>
        </w:rPr>
        <w:t>Motion for Mistrial</w:t>
      </w:r>
    </w:p>
    <w:p w14:paraId="739E6CCE" w14:textId="3D5FE1A8" w:rsidR="00D91825" w:rsidRPr="002D57BE" w:rsidRDefault="00C6573A" w:rsidP="001A05AD">
      <w:pPr>
        <w:pStyle w:val="BodyText"/>
        <w:widowControl/>
        <w:numPr>
          <w:ilvl w:val="1"/>
          <w:numId w:val="7"/>
        </w:numPr>
        <w:spacing w:line="360" w:lineRule="auto"/>
        <w:rPr>
          <w:i/>
          <w:iCs/>
        </w:rPr>
      </w:pPr>
      <w:r w:rsidRPr="002D57BE">
        <w:rPr>
          <w:i/>
          <w:iCs/>
        </w:rPr>
        <w:t>Standard of Review</w:t>
      </w:r>
    </w:p>
    <w:p w14:paraId="0C99E3B5" w14:textId="2586ECCB" w:rsidR="002B4F65" w:rsidRPr="002D57BE" w:rsidRDefault="00C6573A" w:rsidP="001A05AD">
      <w:pPr>
        <w:pStyle w:val="BodyText"/>
        <w:widowControl/>
        <w:spacing w:line="360" w:lineRule="auto"/>
        <w:ind w:firstLine="620"/>
        <w:rPr>
          <w:rFonts w:cs="Times New Roman"/>
          <w:bCs/>
          <w:iCs/>
        </w:rPr>
      </w:pPr>
      <w:r w:rsidRPr="002D57BE">
        <w:rPr>
          <w:rFonts w:cs="Times New Roman"/>
          <w:bCs/>
          <w:iCs/>
        </w:rPr>
        <w:t xml:space="preserve">The denial of </w:t>
      </w:r>
      <w:r w:rsidR="002C1FB7" w:rsidRPr="002D57BE">
        <w:rPr>
          <w:rFonts w:cs="Times New Roman"/>
          <w:bCs/>
          <w:iCs/>
        </w:rPr>
        <w:t>a</w:t>
      </w:r>
      <w:r w:rsidR="008B4811" w:rsidRPr="002D57BE">
        <w:rPr>
          <w:rFonts w:cs="Times New Roman"/>
          <w:bCs/>
          <w:iCs/>
        </w:rPr>
        <w:t xml:space="preserve"> motion for mistrial is</w:t>
      </w:r>
      <w:r w:rsidR="006230A6" w:rsidRPr="002D57BE">
        <w:rPr>
          <w:rFonts w:cs="Times New Roman"/>
          <w:bCs/>
          <w:iCs/>
        </w:rPr>
        <w:t xml:space="preserve"> generally</w:t>
      </w:r>
      <w:r w:rsidR="008B4811" w:rsidRPr="002D57BE">
        <w:rPr>
          <w:rFonts w:cs="Times New Roman"/>
          <w:bCs/>
          <w:iCs/>
        </w:rPr>
        <w:t xml:space="preserve"> reviewed for abuse of discretion. </w:t>
      </w:r>
      <w:r w:rsidR="002C1FB7" w:rsidRPr="002D57BE">
        <w:rPr>
          <w:rFonts w:cs="Times New Roman"/>
          <w:bCs/>
          <w:iCs/>
        </w:rPr>
        <w:t xml:space="preserve"> (</w:t>
      </w:r>
      <w:r w:rsidR="002C1FB7" w:rsidRPr="002D57BE">
        <w:rPr>
          <w:rFonts w:cs="Times New Roman"/>
          <w:bCs/>
          <w:i/>
        </w:rPr>
        <w:t>People v. Avila</w:t>
      </w:r>
      <w:r w:rsidR="002C1FB7" w:rsidRPr="002D57BE">
        <w:rPr>
          <w:rFonts w:cs="Times New Roman"/>
          <w:bCs/>
          <w:iCs/>
        </w:rPr>
        <w:t xml:space="preserve"> </w:t>
      </w:r>
      <w:r w:rsidR="00CC0AEF" w:rsidRPr="002D57BE">
        <w:rPr>
          <w:rFonts w:cs="Times New Roman"/>
          <w:bCs/>
          <w:iCs/>
        </w:rPr>
        <w:t xml:space="preserve">(2006) 38 Cal.4th 491, </w:t>
      </w:r>
      <w:r w:rsidR="00D45984" w:rsidRPr="002D57BE">
        <w:rPr>
          <w:rFonts w:cs="Times New Roman"/>
          <w:bCs/>
          <w:iCs/>
        </w:rPr>
        <w:t>573.)</w:t>
      </w:r>
      <w:r w:rsidR="00D451D9" w:rsidRPr="002D57BE">
        <w:rPr>
          <w:rFonts w:cs="Times New Roman"/>
          <w:bCs/>
          <w:iCs/>
        </w:rPr>
        <w:t xml:space="preserve">  “ ‘A mistrial should be granted if the court is apprised of </w:t>
      </w:r>
      <w:r w:rsidR="00101A9B" w:rsidRPr="002D57BE">
        <w:rPr>
          <w:rFonts w:cs="Times New Roman"/>
          <w:bCs/>
          <w:iCs/>
        </w:rPr>
        <w:t xml:space="preserve">prejudice that it judges incurable by admonition or instruction. </w:t>
      </w:r>
      <w:r w:rsidR="006E6594" w:rsidRPr="002D57BE">
        <w:rPr>
          <w:rFonts w:cs="Times New Roman"/>
          <w:bCs/>
          <w:iCs/>
        </w:rPr>
        <w:t xml:space="preserve"> </w:t>
      </w:r>
      <w:r w:rsidR="00101A9B" w:rsidRPr="002D57BE">
        <w:rPr>
          <w:rFonts w:cs="Times New Roman"/>
          <w:bCs/>
          <w:iCs/>
        </w:rPr>
        <w:t xml:space="preserve">[Citation.] </w:t>
      </w:r>
      <w:r w:rsidR="006E6594" w:rsidRPr="002D57BE">
        <w:rPr>
          <w:rFonts w:cs="Times New Roman"/>
          <w:bCs/>
          <w:iCs/>
        </w:rPr>
        <w:t xml:space="preserve"> </w:t>
      </w:r>
      <w:r w:rsidR="00101A9B" w:rsidRPr="002D57BE">
        <w:rPr>
          <w:rFonts w:cs="Times New Roman"/>
          <w:bCs/>
          <w:iCs/>
        </w:rPr>
        <w:t>Whether a particular incident is incurably prejudicial is by its nature</w:t>
      </w:r>
      <w:r w:rsidR="00DA1F53" w:rsidRPr="002D57BE">
        <w:rPr>
          <w:rFonts w:cs="Times New Roman"/>
          <w:bCs/>
          <w:iCs/>
        </w:rPr>
        <w:t xml:space="preserve"> a speculative matter, and the trial court is vested with considerable discretion in ruling on mistrial motions.</w:t>
      </w:r>
      <w:r w:rsidR="00D17357" w:rsidRPr="002D57BE">
        <w:rPr>
          <w:rFonts w:cs="Times New Roman"/>
          <w:bCs/>
          <w:iCs/>
        </w:rPr>
        <w:t xml:space="preserve"> </w:t>
      </w:r>
      <w:r w:rsidR="00AF79E8" w:rsidRPr="002D57BE">
        <w:rPr>
          <w:rFonts w:cs="Times New Roman"/>
          <w:bCs/>
          <w:iCs/>
        </w:rPr>
        <w:t xml:space="preserve"> [Citation.]’</w:t>
      </w:r>
      <w:r w:rsidR="00F14568" w:rsidRPr="002D57BE">
        <w:rPr>
          <w:rFonts w:cs="Times New Roman"/>
          <w:bCs/>
          <w:iCs/>
        </w:rPr>
        <w:t xml:space="preserve"> </w:t>
      </w:r>
      <w:r w:rsidR="00D17357" w:rsidRPr="002D57BE">
        <w:rPr>
          <w:rFonts w:cs="Times New Roman"/>
          <w:bCs/>
          <w:iCs/>
        </w:rPr>
        <w:t xml:space="preserve"> </w:t>
      </w:r>
      <w:r w:rsidR="00F14568" w:rsidRPr="002D57BE">
        <w:rPr>
          <w:rFonts w:cs="Times New Roman"/>
          <w:bCs/>
          <w:iCs/>
        </w:rPr>
        <w:t xml:space="preserve">[Citation.] </w:t>
      </w:r>
      <w:r w:rsidR="007E3E3B" w:rsidRPr="002D57BE">
        <w:rPr>
          <w:rFonts w:cs="Times New Roman"/>
          <w:bCs/>
          <w:iCs/>
        </w:rPr>
        <w:t xml:space="preserve"> </w:t>
      </w:r>
      <w:r w:rsidR="00F14568" w:rsidRPr="002D57BE">
        <w:rPr>
          <w:rFonts w:cs="Times New Roman"/>
          <w:bCs/>
          <w:iCs/>
        </w:rPr>
        <w:t xml:space="preserve">A motion for a mistrial should be granted when ‘ “ ‘a </w:t>
      </w:r>
      <w:r w:rsidR="00F14568" w:rsidRPr="002D57BE">
        <w:rPr>
          <w:rFonts w:cs="Times New Roman"/>
          <w:bCs/>
          <w:iCs/>
        </w:rPr>
        <w:lastRenderedPageBreak/>
        <w:t xml:space="preserve">[defendant’s] </w:t>
      </w:r>
      <w:r w:rsidR="00C92BD2" w:rsidRPr="002D57BE">
        <w:rPr>
          <w:rFonts w:cs="Times New Roman"/>
          <w:bCs/>
          <w:iCs/>
        </w:rPr>
        <w:t>chan</w:t>
      </w:r>
      <w:r w:rsidR="00111C99" w:rsidRPr="002D57BE">
        <w:rPr>
          <w:rFonts w:cs="Times New Roman"/>
          <w:bCs/>
          <w:iCs/>
        </w:rPr>
        <w:t>c</w:t>
      </w:r>
      <w:r w:rsidR="00C92BD2" w:rsidRPr="002D57BE">
        <w:rPr>
          <w:rFonts w:cs="Times New Roman"/>
          <w:bCs/>
          <w:iCs/>
        </w:rPr>
        <w:t>es of receiving a fair trial have been irreparably damaged.’ ” ’ ”</w:t>
      </w:r>
      <w:r w:rsidR="00953416" w:rsidRPr="002D57BE">
        <w:rPr>
          <w:rFonts w:cs="Times New Roman"/>
          <w:bCs/>
          <w:iCs/>
        </w:rPr>
        <w:t xml:space="preserve"> </w:t>
      </w:r>
      <w:r w:rsidR="00D17357" w:rsidRPr="002D57BE">
        <w:rPr>
          <w:rFonts w:cs="Times New Roman"/>
          <w:bCs/>
          <w:iCs/>
        </w:rPr>
        <w:t xml:space="preserve"> </w:t>
      </w:r>
      <w:r w:rsidR="00953416" w:rsidRPr="002D57BE">
        <w:rPr>
          <w:rFonts w:cs="Times New Roman"/>
          <w:bCs/>
          <w:iCs/>
        </w:rPr>
        <w:t>(</w:t>
      </w:r>
      <w:r w:rsidR="00953416" w:rsidRPr="002D57BE">
        <w:rPr>
          <w:rFonts w:cs="Times New Roman"/>
          <w:bCs/>
          <w:i/>
        </w:rPr>
        <w:t>People v. Collins</w:t>
      </w:r>
      <w:r w:rsidR="007C1B67" w:rsidRPr="002D57BE">
        <w:rPr>
          <w:rFonts w:cs="Times New Roman"/>
          <w:bCs/>
          <w:i/>
        </w:rPr>
        <w:t xml:space="preserve"> </w:t>
      </w:r>
      <w:r w:rsidR="007C1B67" w:rsidRPr="002D57BE">
        <w:rPr>
          <w:rFonts w:cs="Times New Roman"/>
          <w:bCs/>
          <w:iCs/>
        </w:rPr>
        <w:t>(2010) 49 Cal.4th 175, 198</w:t>
      </w:r>
      <w:r w:rsidR="00D17357" w:rsidRPr="002D57BE">
        <w:rPr>
          <w:rFonts w:cs="Times New Roman"/>
          <w:bCs/>
          <w:iCs/>
        </w:rPr>
        <w:t>–</w:t>
      </w:r>
      <w:r w:rsidR="007C1B67" w:rsidRPr="002D57BE">
        <w:rPr>
          <w:rFonts w:cs="Times New Roman"/>
          <w:bCs/>
          <w:iCs/>
        </w:rPr>
        <w:t>199.)</w:t>
      </w:r>
      <w:r w:rsidR="00DF561A" w:rsidRPr="002D57BE">
        <w:rPr>
          <w:rFonts w:cs="Times New Roman"/>
          <w:bCs/>
          <w:iCs/>
        </w:rPr>
        <w:t xml:space="preserve">  As the moving parties, </w:t>
      </w:r>
      <w:r w:rsidR="00B40CAD" w:rsidRPr="002D57BE">
        <w:rPr>
          <w:rFonts w:cs="Times New Roman"/>
          <w:bCs/>
          <w:iCs/>
        </w:rPr>
        <w:t xml:space="preserve">appellants </w:t>
      </w:r>
      <w:r w:rsidR="00DD6B80" w:rsidRPr="002D57BE">
        <w:rPr>
          <w:rFonts w:cs="Times New Roman"/>
          <w:bCs/>
          <w:iCs/>
        </w:rPr>
        <w:t>bore</w:t>
      </w:r>
      <w:r w:rsidR="00B40CAD" w:rsidRPr="002D57BE">
        <w:rPr>
          <w:rFonts w:cs="Times New Roman"/>
          <w:bCs/>
          <w:iCs/>
        </w:rPr>
        <w:t xml:space="preserve"> </w:t>
      </w:r>
      <w:r w:rsidR="0051755A" w:rsidRPr="002D57BE">
        <w:rPr>
          <w:rFonts w:cs="Times New Roman"/>
          <w:bCs/>
          <w:iCs/>
        </w:rPr>
        <w:t>the</w:t>
      </w:r>
      <w:r w:rsidR="00DF561A" w:rsidRPr="002D57BE">
        <w:rPr>
          <w:rFonts w:cs="Times New Roman"/>
          <w:bCs/>
          <w:iCs/>
        </w:rPr>
        <w:t xml:space="preserve"> burden of proo</w:t>
      </w:r>
      <w:r w:rsidR="00FB1C40" w:rsidRPr="002D57BE">
        <w:rPr>
          <w:rFonts w:cs="Times New Roman"/>
          <w:bCs/>
          <w:iCs/>
        </w:rPr>
        <w:t xml:space="preserve">f </w:t>
      </w:r>
      <w:r w:rsidR="000D3B43" w:rsidRPr="002D57BE">
        <w:rPr>
          <w:rFonts w:cs="Times New Roman"/>
          <w:bCs/>
          <w:iCs/>
        </w:rPr>
        <w:t>to demonstrate this</w:t>
      </w:r>
      <w:r w:rsidR="0024603F" w:rsidRPr="002D57BE">
        <w:rPr>
          <w:rFonts w:cs="Times New Roman"/>
          <w:bCs/>
          <w:iCs/>
        </w:rPr>
        <w:t>.</w:t>
      </w:r>
    </w:p>
    <w:p w14:paraId="4F2F8713" w14:textId="6A2D6100" w:rsidR="00B7384E" w:rsidRPr="002D57BE" w:rsidRDefault="00C6573A" w:rsidP="001A05AD">
      <w:pPr>
        <w:pStyle w:val="BodyText"/>
        <w:widowControl/>
        <w:spacing w:line="360" w:lineRule="auto"/>
        <w:ind w:left="101" w:firstLine="619"/>
        <w:rPr>
          <w:rFonts w:cs="Times New Roman"/>
          <w:bCs/>
          <w:iCs/>
        </w:rPr>
      </w:pPr>
      <w:r w:rsidRPr="002D57BE">
        <w:rPr>
          <w:rFonts w:cs="Times New Roman"/>
          <w:bCs/>
          <w:iCs/>
        </w:rPr>
        <w:t>In cases where a defendant’s federal constitutional right</w:t>
      </w:r>
      <w:r w:rsidR="00A7632B" w:rsidRPr="002D57BE">
        <w:rPr>
          <w:rFonts w:cs="Times New Roman"/>
          <w:bCs/>
          <w:iCs/>
        </w:rPr>
        <w:t>s</w:t>
      </w:r>
      <w:r w:rsidRPr="002D57BE">
        <w:rPr>
          <w:rFonts w:cs="Times New Roman"/>
          <w:bCs/>
          <w:iCs/>
        </w:rPr>
        <w:t xml:space="preserve"> to due process and a fair trial are implicated, courts apply the de novo standard of review.  (</w:t>
      </w:r>
      <w:r w:rsidRPr="002D57BE">
        <w:rPr>
          <w:rFonts w:cs="Times New Roman"/>
          <w:bCs/>
          <w:i/>
        </w:rPr>
        <w:t>People v. Albarran</w:t>
      </w:r>
      <w:r w:rsidRPr="002D57BE">
        <w:rPr>
          <w:rFonts w:cs="Times New Roman"/>
          <w:bCs/>
          <w:iCs/>
        </w:rPr>
        <w:t xml:space="preserve"> (2007) 149 Cal.App.4th 214, </w:t>
      </w:r>
      <w:r w:rsidR="00E840EE" w:rsidRPr="002D57BE">
        <w:rPr>
          <w:rFonts w:cs="Times New Roman"/>
          <w:bCs/>
          <w:iCs/>
        </w:rPr>
        <w:t xml:space="preserve">224, </w:t>
      </w:r>
      <w:r w:rsidRPr="002D57BE">
        <w:rPr>
          <w:rFonts w:cs="Times New Roman"/>
          <w:bCs/>
          <w:iCs/>
        </w:rPr>
        <w:t>fn. 7.)  Under the standard set</w:t>
      </w:r>
      <w:r w:rsidRPr="002D57BE">
        <w:rPr>
          <w:rFonts w:cs="Times New Roman"/>
          <w:bCs/>
          <w:iCs/>
        </w:rPr>
        <w:t xml:space="preserve"> forth in </w:t>
      </w:r>
      <w:r w:rsidRPr="002D57BE">
        <w:rPr>
          <w:rFonts w:cs="Times New Roman"/>
          <w:bCs/>
          <w:i/>
        </w:rPr>
        <w:t>Chapman v. California</w:t>
      </w:r>
      <w:r w:rsidRPr="002D57BE">
        <w:rPr>
          <w:rFonts w:cs="Times New Roman"/>
          <w:bCs/>
          <w:iCs/>
        </w:rPr>
        <w:t xml:space="preserve"> (1967) 386 U.S. 18, 24, </w:t>
      </w:r>
      <w:r w:rsidR="00916BEF" w:rsidRPr="002D57BE">
        <w:rPr>
          <w:rFonts w:cs="Times New Roman"/>
          <w:bCs/>
          <w:iCs/>
        </w:rPr>
        <w:t>where</w:t>
      </w:r>
      <w:r w:rsidRPr="002D57BE">
        <w:rPr>
          <w:rFonts w:cs="Times New Roman"/>
          <w:bCs/>
          <w:iCs/>
        </w:rPr>
        <w:t xml:space="preserve"> a constitutional error is found, reversal is required unless the prosecution can show that the error was harmless beyond a reasonable doubt. </w:t>
      </w:r>
    </w:p>
    <w:p w14:paraId="312F552C" w14:textId="3D66FAD5" w:rsidR="00464666" w:rsidRPr="002D57BE" w:rsidRDefault="00C6573A" w:rsidP="001A05AD">
      <w:pPr>
        <w:pStyle w:val="BodyText"/>
        <w:widowControl/>
        <w:spacing w:line="360" w:lineRule="auto"/>
        <w:ind w:firstLine="620"/>
      </w:pPr>
      <w:r w:rsidRPr="002D57BE">
        <w:t xml:space="preserve">Appellants contend that </w:t>
      </w:r>
      <w:r w:rsidR="009625D9" w:rsidRPr="002D57BE">
        <w:t>the prejudice resulting from a</w:t>
      </w:r>
      <w:r w:rsidRPr="002D57BE">
        <w:t xml:space="preserve"> midtrial continuance constitutes structural error and therefore defies harmless error analysis.  Most constitutional errors are trial errors that occur “during the presentation of the case to the jury.”  (</w:t>
      </w:r>
      <w:r w:rsidRPr="002D57BE">
        <w:rPr>
          <w:i/>
          <w:iCs/>
        </w:rPr>
        <w:t>Arizona v. Fulminante</w:t>
      </w:r>
      <w:r w:rsidRPr="002D57BE">
        <w:t xml:space="preserve"> (1991) 499 U.S. 279, 307</w:t>
      </w:r>
      <w:r w:rsidR="00A45A1D">
        <w:t>–308</w:t>
      </w:r>
      <w:r w:rsidRPr="002D57BE">
        <w:t xml:space="preserve">.) “They are amenable to harmless error review because they can be ‘quantitatively assessed in the context of other evidence presented in order to determine whether [their] admission was harmless beyond a reasonable doubt.’ </w:t>
      </w:r>
      <w:r w:rsidR="00877DAA">
        <w:t xml:space="preserve"> </w:t>
      </w:r>
      <w:r w:rsidRPr="002D57BE">
        <w:t xml:space="preserve">[Citation.]  ‘Structural </w:t>
      </w:r>
      <w:r w:rsidR="00F10F3F" w:rsidRPr="002D57BE">
        <w:t>defects</w:t>
      </w:r>
      <w:r w:rsidRPr="002D57BE">
        <w:t>,’ on the other hand, ‘defy analysis by “harmless-error” standards’ [citation] because they are not ‘simply an error in the trial process,’ but rather an error ‘affecting the framework within which the trial proceeds.’ ”  (</w:t>
      </w:r>
      <w:r w:rsidRPr="002D57BE">
        <w:rPr>
          <w:i/>
          <w:iCs/>
        </w:rPr>
        <w:t>People v. Aranda</w:t>
      </w:r>
      <w:r w:rsidRPr="002D57BE">
        <w:t xml:space="preserve"> (2012) 55 Cal</w:t>
      </w:r>
      <w:r w:rsidRPr="002D57BE">
        <w:t>.4th 342, 363</w:t>
      </w:r>
      <w:r w:rsidR="001A05AD">
        <w:t>–</w:t>
      </w:r>
      <w:r w:rsidRPr="002D57BE">
        <w:t>364.)</w:t>
      </w:r>
      <w:r>
        <w:rPr>
          <w:rStyle w:val="FootnoteReference"/>
        </w:rPr>
        <w:footnoteReference w:id="6"/>
      </w:r>
      <w:r w:rsidRPr="002D57BE">
        <w:t xml:space="preserve">  </w:t>
      </w:r>
    </w:p>
    <w:p w14:paraId="20325026" w14:textId="6E856E4C" w:rsidR="006D48DE" w:rsidRPr="002D57BE" w:rsidRDefault="00C6573A" w:rsidP="001A05AD">
      <w:pPr>
        <w:pStyle w:val="BodyText"/>
        <w:widowControl/>
        <w:spacing w:line="360" w:lineRule="auto"/>
        <w:rPr>
          <w:rFonts w:cs="Times New Roman"/>
          <w:bCs/>
          <w:iCs/>
        </w:rPr>
      </w:pPr>
      <w:r w:rsidRPr="002D57BE">
        <w:rPr>
          <w:rFonts w:cs="Times New Roman"/>
          <w:bCs/>
          <w:iCs/>
        </w:rPr>
        <w:tab/>
      </w:r>
      <w:r w:rsidR="006C51D6" w:rsidRPr="002D57BE">
        <w:rPr>
          <w:rFonts w:cs="Times New Roman"/>
          <w:bCs/>
          <w:iCs/>
        </w:rPr>
        <w:t xml:space="preserve">We </w:t>
      </w:r>
      <w:r w:rsidR="00A217FF" w:rsidRPr="002D57BE">
        <w:rPr>
          <w:rFonts w:cs="Times New Roman"/>
          <w:bCs/>
          <w:iCs/>
        </w:rPr>
        <w:t>conclude</w:t>
      </w:r>
      <w:r w:rsidR="001F02E6" w:rsidRPr="002D57BE">
        <w:rPr>
          <w:rFonts w:cs="Times New Roman"/>
          <w:bCs/>
          <w:iCs/>
        </w:rPr>
        <w:t xml:space="preserve"> </w:t>
      </w:r>
      <w:r w:rsidR="00A217FF" w:rsidRPr="002D57BE">
        <w:rPr>
          <w:rFonts w:cs="Times New Roman"/>
          <w:bCs/>
          <w:iCs/>
        </w:rPr>
        <w:t xml:space="preserve">that </w:t>
      </w:r>
      <w:r w:rsidR="00DF7672" w:rsidRPr="002D57BE">
        <w:rPr>
          <w:rFonts w:cs="Times New Roman"/>
          <w:bCs/>
          <w:iCs/>
        </w:rPr>
        <w:t xml:space="preserve">the trial court did not err in denying the </w:t>
      </w:r>
      <w:r w:rsidR="00A217FF" w:rsidRPr="002D57BE">
        <w:rPr>
          <w:rFonts w:cs="Times New Roman"/>
          <w:bCs/>
          <w:iCs/>
        </w:rPr>
        <w:t xml:space="preserve">appellants’ </w:t>
      </w:r>
      <w:r w:rsidR="00DF7672" w:rsidRPr="002D57BE">
        <w:rPr>
          <w:rFonts w:cs="Times New Roman"/>
          <w:bCs/>
          <w:iCs/>
        </w:rPr>
        <w:t>motion for mistrial</w:t>
      </w:r>
      <w:r w:rsidR="0024603F" w:rsidRPr="002D57BE">
        <w:rPr>
          <w:rFonts w:cs="Times New Roman"/>
          <w:bCs/>
          <w:iCs/>
        </w:rPr>
        <w:t xml:space="preserve">.  </w:t>
      </w:r>
      <w:r w:rsidR="006C51D6" w:rsidRPr="002D57BE">
        <w:rPr>
          <w:rFonts w:cs="Times New Roman"/>
          <w:bCs/>
          <w:iCs/>
        </w:rPr>
        <w:t xml:space="preserve">Consequently, there is no reason for us to </w:t>
      </w:r>
      <w:r w:rsidR="00A217FF" w:rsidRPr="002D57BE">
        <w:rPr>
          <w:rFonts w:cs="Times New Roman"/>
          <w:bCs/>
          <w:iCs/>
        </w:rPr>
        <w:t xml:space="preserve">quantitatively </w:t>
      </w:r>
      <w:r w:rsidR="00A217FF" w:rsidRPr="002D57BE">
        <w:rPr>
          <w:rFonts w:cs="Times New Roman"/>
          <w:bCs/>
          <w:iCs/>
        </w:rPr>
        <w:lastRenderedPageBreak/>
        <w:t xml:space="preserve">assess whether a non-existent hypothetical error was harmless beyond a reasonable doubt. </w:t>
      </w:r>
    </w:p>
    <w:p w14:paraId="18C9F949" w14:textId="4684CBB8" w:rsidR="00976928" w:rsidRPr="002D57BE" w:rsidRDefault="00C6573A" w:rsidP="001A05AD">
      <w:pPr>
        <w:pStyle w:val="BodyText"/>
        <w:widowControl/>
        <w:numPr>
          <w:ilvl w:val="1"/>
          <w:numId w:val="7"/>
        </w:numPr>
        <w:spacing w:line="360" w:lineRule="auto"/>
        <w:rPr>
          <w:rFonts w:cs="Times New Roman"/>
          <w:bCs/>
          <w:iCs/>
        </w:rPr>
      </w:pPr>
      <w:r w:rsidRPr="002D57BE">
        <w:t xml:space="preserve"> </w:t>
      </w:r>
      <w:r w:rsidR="00D347C4" w:rsidRPr="002D57BE">
        <w:rPr>
          <w:i/>
          <w:iCs/>
        </w:rPr>
        <w:t>Cases Regarding Midtrial Continuances</w:t>
      </w:r>
    </w:p>
    <w:p w14:paraId="289E5618" w14:textId="4DA8DB4E" w:rsidR="00F85F2C" w:rsidRPr="002D57BE" w:rsidRDefault="00C6573A" w:rsidP="001A05AD">
      <w:pPr>
        <w:pStyle w:val="BodyText"/>
        <w:widowControl/>
        <w:spacing w:line="360" w:lineRule="auto"/>
        <w:ind w:firstLine="620"/>
      </w:pPr>
      <w:r w:rsidRPr="002D57BE">
        <w:t>Appellants contend that in denying the motion for mistrial, the trial court deprived them of</w:t>
      </w:r>
      <w:r w:rsidR="00E0093C" w:rsidRPr="002D57BE">
        <w:t xml:space="preserve"> </w:t>
      </w:r>
      <w:r w:rsidRPr="002D57BE">
        <w:t>their constitutiona</w:t>
      </w:r>
      <w:r w:rsidRPr="002D57BE">
        <w:t xml:space="preserve">l right to a fair trial.  Appellants rely on </w:t>
      </w:r>
      <w:r w:rsidR="00132189" w:rsidRPr="002D57BE">
        <w:t>several</w:t>
      </w:r>
      <w:r w:rsidRPr="002D57BE">
        <w:t xml:space="preserve"> cases to support their argument that </w:t>
      </w:r>
      <w:r w:rsidR="00AA2346" w:rsidRPr="002D57BE">
        <w:t>reversal</w:t>
      </w:r>
      <w:r w:rsidR="00DF5904" w:rsidRPr="002D57BE">
        <w:t xml:space="preserve"> is warranted</w:t>
      </w:r>
      <w:r w:rsidR="00711542" w:rsidRPr="002D57BE">
        <w:t xml:space="preserve">. </w:t>
      </w:r>
      <w:r w:rsidR="00B05DF3" w:rsidRPr="002D57BE">
        <w:rPr>
          <w:rStyle w:val="CommentReference"/>
          <w:rFonts w:eastAsiaTheme="minorHAnsi"/>
        </w:rPr>
        <w:t xml:space="preserve"> </w:t>
      </w:r>
    </w:p>
    <w:p w14:paraId="2E94C93B" w14:textId="63B23D9D" w:rsidR="005E3AC1" w:rsidRPr="002D57BE" w:rsidRDefault="00C6573A" w:rsidP="001A05AD">
      <w:pPr>
        <w:pStyle w:val="BodyText"/>
        <w:widowControl/>
        <w:spacing w:line="360" w:lineRule="auto"/>
        <w:ind w:firstLine="620"/>
      </w:pPr>
      <w:r w:rsidRPr="002D57BE">
        <w:t xml:space="preserve">The first </w:t>
      </w:r>
      <w:r w:rsidR="00F85F2C" w:rsidRPr="002D57BE">
        <w:t>case is</w:t>
      </w:r>
      <w:r w:rsidR="007810F0" w:rsidRPr="002D57BE">
        <w:t xml:space="preserve"> </w:t>
      </w:r>
      <w:r w:rsidR="007810F0" w:rsidRPr="002D57BE">
        <w:rPr>
          <w:i/>
          <w:iCs/>
        </w:rPr>
        <w:t>People v. Dinsmore</w:t>
      </w:r>
      <w:r w:rsidR="00BC32CE" w:rsidRPr="002D57BE">
        <w:rPr>
          <w:i/>
          <w:iCs/>
        </w:rPr>
        <w:t xml:space="preserve"> </w:t>
      </w:r>
      <w:r w:rsidR="00BC32CE" w:rsidRPr="002D57BE">
        <w:t>(1894) 102 Cal. 381</w:t>
      </w:r>
      <w:r w:rsidR="00683439" w:rsidRPr="002D57BE">
        <w:t xml:space="preserve"> (</w:t>
      </w:r>
      <w:r w:rsidR="00683439" w:rsidRPr="002D57BE">
        <w:rPr>
          <w:i/>
          <w:iCs/>
        </w:rPr>
        <w:t>Dinsmore</w:t>
      </w:r>
      <w:r w:rsidR="00683439" w:rsidRPr="002D57BE">
        <w:t>)</w:t>
      </w:r>
      <w:r w:rsidRPr="002D57BE">
        <w:t>.</w:t>
      </w:r>
      <w:r w:rsidR="00455A37" w:rsidRPr="002D57BE">
        <w:t xml:space="preserve">  There, our high court found that </w:t>
      </w:r>
      <w:r w:rsidR="00CE14CD" w:rsidRPr="002D57BE">
        <w:t xml:space="preserve">the trial court’s </w:t>
      </w:r>
      <w:r w:rsidR="006D5446" w:rsidRPr="002D57BE">
        <w:t xml:space="preserve">order granting a </w:t>
      </w:r>
      <w:r w:rsidR="00455A37" w:rsidRPr="002D57BE">
        <w:t xml:space="preserve">63-day </w:t>
      </w:r>
      <w:r w:rsidR="003543E2" w:rsidRPr="002D57BE">
        <w:t xml:space="preserve">midtrial continuance </w:t>
      </w:r>
      <w:r w:rsidR="008A7F79" w:rsidRPr="002D57BE">
        <w:t>due to witness illness</w:t>
      </w:r>
      <w:r w:rsidR="00300472" w:rsidRPr="002D57BE">
        <w:t xml:space="preserve"> constituted </w:t>
      </w:r>
      <w:r w:rsidR="000160D6" w:rsidRPr="002D57BE">
        <w:t>an abuse of discretion</w:t>
      </w:r>
      <w:r w:rsidR="005E7EB0" w:rsidRPr="002D57BE">
        <w:t>.  (</w:t>
      </w:r>
      <w:r w:rsidR="005E7EB0" w:rsidRPr="002D57BE">
        <w:rPr>
          <w:i/>
          <w:iCs/>
        </w:rPr>
        <w:t>Id</w:t>
      </w:r>
      <w:r w:rsidR="005E7EB0" w:rsidRPr="002D57BE">
        <w:t xml:space="preserve"> at p</w:t>
      </w:r>
      <w:r w:rsidR="00BA0FB2" w:rsidRPr="002D57BE">
        <w:t>p</w:t>
      </w:r>
      <w:r w:rsidR="005E7EB0" w:rsidRPr="002D57BE">
        <w:t>. 382</w:t>
      </w:r>
      <w:r w:rsidR="001A05AD">
        <w:t>–</w:t>
      </w:r>
      <w:r w:rsidR="005E7EB0" w:rsidRPr="002D57BE">
        <w:t>383.)</w:t>
      </w:r>
      <w:r w:rsidR="006A59E6" w:rsidRPr="002D57BE">
        <w:t xml:space="preserve"> </w:t>
      </w:r>
      <w:r w:rsidR="00877DAA">
        <w:t xml:space="preserve"> </w:t>
      </w:r>
      <w:r w:rsidR="006A59E6" w:rsidRPr="002D57BE">
        <w:t>The court</w:t>
      </w:r>
      <w:r w:rsidR="0056709C" w:rsidRPr="002D57BE">
        <w:t xml:space="preserve"> emphasized </w:t>
      </w:r>
      <w:r w:rsidR="000160D6" w:rsidRPr="002D57BE">
        <w:t>the seriousness of the</w:t>
      </w:r>
      <w:r w:rsidR="0074517F" w:rsidRPr="002D57BE">
        <w:t xml:space="preserve"> charges made against </w:t>
      </w:r>
      <w:r w:rsidR="00624EAA" w:rsidRPr="002D57BE">
        <w:t xml:space="preserve">the </w:t>
      </w:r>
      <w:r w:rsidR="0074517F" w:rsidRPr="002D57BE">
        <w:t xml:space="preserve">defendant as well as </w:t>
      </w:r>
      <w:r w:rsidR="00624EAA" w:rsidRPr="002D57BE">
        <w:t xml:space="preserve">the </w:t>
      </w:r>
      <w:r w:rsidR="0074517F" w:rsidRPr="002D57BE">
        <w:t xml:space="preserve">defendant’s lack of fault in causing the delay. </w:t>
      </w:r>
      <w:r w:rsidR="0056709C" w:rsidRPr="002D57BE">
        <w:t xml:space="preserve"> (</w:t>
      </w:r>
      <w:r w:rsidR="0056709C" w:rsidRPr="002D57BE">
        <w:rPr>
          <w:i/>
          <w:iCs/>
        </w:rPr>
        <w:t>Id.</w:t>
      </w:r>
      <w:r w:rsidR="0056709C" w:rsidRPr="002D57BE">
        <w:t xml:space="preserve"> at p. 383.)</w:t>
      </w:r>
      <w:r w:rsidR="00BA0FB2" w:rsidRPr="002D57BE">
        <w:t xml:space="preserve">  </w:t>
      </w:r>
      <w:r w:rsidR="00956302" w:rsidRPr="002D57BE">
        <w:t>The court</w:t>
      </w:r>
      <w:r w:rsidR="00796325" w:rsidRPr="002D57BE">
        <w:t xml:space="preserve"> also considered the risk </w:t>
      </w:r>
      <w:r w:rsidR="000110B6" w:rsidRPr="002D57BE">
        <w:t xml:space="preserve">that the jurors’ impartiality </w:t>
      </w:r>
      <w:r w:rsidR="00AD7A94" w:rsidRPr="002D57BE">
        <w:t>was</w:t>
      </w:r>
      <w:r w:rsidR="000110B6" w:rsidRPr="002D57BE">
        <w:t xml:space="preserve"> com</w:t>
      </w:r>
      <w:r w:rsidR="00AD7A94" w:rsidRPr="002D57BE">
        <w:t xml:space="preserve">promised </w:t>
      </w:r>
      <w:r w:rsidR="000110B6" w:rsidRPr="002D57BE">
        <w:t>after</w:t>
      </w:r>
      <w:r w:rsidR="00AD7A94" w:rsidRPr="002D57BE">
        <w:t xml:space="preserve"> “roaming at large throughout the county and state for a continuous period of 63 days</w:t>
      </w:r>
      <w:r w:rsidR="00877DAA">
        <w:t xml:space="preserve"> . . . .</w:t>
      </w:r>
      <w:r w:rsidR="001B033B" w:rsidRPr="002D57BE">
        <w:t>”</w:t>
      </w:r>
      <w:r w:rsidR="0024369D" w:rsidRPr="002D57BE">
        <w:t xml:space="preserve">  </w:t>
      </w:r>
      <w:r w:rsidR="001B033B" w:rsidRPr="002D57BE">
        <w:t>(</w:t>
      </w:r>
      <w:r w:rsidR="001B033B" w:rsidRPr="002D57BE">
        <w:rPr>
          <w:i/>
          <w:iCs/>
        </w:rPr>
        <w:t>I</w:t>
      </w:r>
      <w:r w:rsidR="00334407" w:rsidRPr="002D57BE">
        <w:rPr>
          <w:i/>
          <w:iCs/>
        </w:rPr>
        <w:t>bid</w:t>
      </w:r>
      <w:r w:rsidR="00334407" w:rsidRPr="002D57BE">
        <w:t>.)</w:t>
      </w:r>
      <w:r w:rsidR="001B033B" w:rsidRPr="002D57BE">
        <w:t xml:space="preserve"> </w:t>
      </w:r>
      <w:r w:rsidR="00FB6D5A" w:rsidRPr="002D57BE">
        <w:t xml:space="preserve"> </w:t>
      </w:r>
      <w:r w:rsidR="00BA0FB2" w:rsidRPr="002D57BE">
        <w:t>However, t</w:t>
      </w:r>
      <w:r w:rsidR="00225934" w:rsidRPr="002D57BE">
        <w:t>he court</w:t>
      </w:r>
      <w:r w:rsidR="00FB6D5A" w:rsidRPr="002D57BE">
        <w:t xml:space="preserve"> emphasized that</w:t>
      </w:r>
      <w:r w:rsidR="007D0301" w:rsidRPr="002D57BE">
        <w:t xml:space="preserve"> it </w:t>
      </w:r>
      <w:r w:rsidR="00737013" w:rsidRPr="002D57BE">
        <w:t xml:space="preserve">was not attempting to establish any fixed rule and </w:t>
      </w:r>
      <w:r w:rsidR="00E3719B" w:rsidRPr="002D57BE">
        <w:t>recognized</w:t>
      </w:r>
      <w:r w:rsidR="00781E05" w:rsidRPr="002D57BE">
        <w:t xml:space="preserve"> that “it would be impossible to lay down any fixed rule – by which all cases presenting this question could be determined</w:t>
      </w:r>
      <w:r w:rsidR="00877DAA">
        <w:t xml:space="preserve"> . . . .</w:t>
      </w:r>
      <w:r w:rsidR="004649AD" w:rsidRPr="002D57BE">
        <w:t>”</w:t>
      </w:r>
      <w:r w:rsidR="00764026" w:rsidRPr="002D57BE">
        <w:t xml:space="preserve">  </w:t>
      </w:r>
      <w:r w:rsidR="0038173C" w:rsidRPr="002D57BE">
        <w:t>(</w:t>
      </w:r>
      <w:r w:rsidR="0038173C" w:rsidRPr="002D57BE">
        <w:rPr>
          <w:i/>
          <w:iCs/>
        </w:rPr>
        <w:t xml:space="preserve">Id. </w:t>
      </w:r>
      <w:r w:rsidR="0038173C" w:rsidRPr="002D57BE">
        <w:t>at p. 384.)</w:t>
      </w:r>
      <w:r w:rsidR="00494ABF" w:rsidRPr="002D57BE">
        <w:t xml:space="preserve"> </w:t>
      </w:r>
    </w:p>
    <w:p w14:paraId="779EA957" w14:textId="77777777" w:rsidR="00FA7E16" w:rsidRDefault="00C6573A" w:rsidP="001A05AD">
      <w:pPr>
        <w:pStyle w:val="BodyText"/>
        <w:widowControl/>
        <w:spacing w:line="360" w:lineRule="auto"/>
        <w:ind w:firstLine="620"/>
      </w:pPr>
      <w:r w:rsidRPr="002D57BE">
        <w:t>In the second case of</w:t>
      </w:r>
      <w:r w:rsidR="00D27223" w:rsidRPr="002D57BE">
        <w:t xml:space="preserve"> </w:t>
      </w:r>
      <w:r w:rsidR="00786605" w:rsidRPr="002D57BE">
        <w:rPr>
          <w:i/>
          <w:iCs/>
        </w:rPr>
        <w:t>People v. Engleman</w:t>
      </w:r>
      <w:r w:rsidR="00786605" w:rsidRPr="002D57BE">
        <w:t xml:space="preserve"> (1981) 116 Cal.App.3d Supp. 14</w:t>
      </w:r>
      <w:r w:rsidR="00C6717F" w:rsidRPr="002D57BE">
        <w:t xml:space="preserve"> (</w:t>
      </w:r>
      <w:r w:rsidR="00C6717F" w:rsidRPr="002D57BE">
        <w:rPr>
          <w:i/>
          <w:iCs/>
        </w:rPr>
        <w:t>Engleman</w:t>
      </w:r>
      <w:r w:rsidR="00C6717F" w:rsidRPr="002D57BE">
        <w:t>)</w:t>
      </w:r>
      <w:r w:rsidR="00A52A98" w:rsidRPr="002D57BE">
        <w:t xml:space="preserve">, the </w:t>
      </w:r>
      <w:r w:rsidR="001E4349" w:rsidRPr="002D57BE">
        <w:t xml:space="preserve">appellate division of the </w:t>
      </w:r>
      <w:r w:rsidR="00D20025" w:rsidRPr="002D57BE">
        <w:t>trial court</w:t>
      </w:r>
      <w:r w:rsidR="001E4349" w:rsidRPr="002D57BE">
        <w:t xml:space="preserve"> </w:t>
      </w:r>
      <w:r w:rsidR="00A52A98" w:rsidRPr="002D57BE">
        <w:t xml:space="preserve">held that a </w:t>
      </w:r>
    </w:p>
    <w:p w14:paraId="60E30640" w14:textId="7FABA9D1" w:rsidR="00D27223" w:rsidRPr="002D57BE" w:rsidRDefault="00C6573A" w:rsidP="00FA7E16">
      <w:pPr>
        <w:pStyle w:val="BodyText"/>
        <w:widowControl/>
        <w:spacing w:line="360" w:lineRule="auto"/>
      </w:pPr>
      <w:r w:rsidRPr="002D57BE">
        <w:t>three-week</w:t>
      </w:r>
      <w:r w:rsidR="00B90A8C" w:rsidRPr="002D57BE">
        <w:t xml:space="preserve"> </w:t>
      </w:r>
      <w:r w:rsidR="00E44700" w:rsidRPr="002D57BE">
        <w:t>midtrial continuance</w:t>
      </w:r>
      <w:r w:rsidR="00452292" w:rsidRPr="002D57BE">
        <w:t xml:space="preserve"> </w:t>
      </w:r>
      <w:r w:rsidR="0063531B" w:rsidRPr="002D57BE">
        <w:t>to accommodate the trial judge’s schedule was</w:t>
      </w:r>
      <w:r w:rsidR="00E44700" w:rsidRPr="002D57BE">
        <w:t xml:space="preserve"> inherently prejudicial</w:t>
      </w:r>
      <w:r w:rsidR="000A797B" w:rsidRPr="002D57BE">
        <w:t xml:space="preserve"> even though it was difficult to show what </w:t>
      </w:r>
      <w:r w:rsidR="009654EA" w:rsidRPr="002D57BE">
        <w:t>effect</w:t>
      </w:r>
      <w:r w:rsidR="000A797B" w:rsidRPr="002D57BE">
        <w:t xml:space="preserve"> th</w:t>
      </w:r>
      <w:r w:rsidR="00C679D2" w:rsidRPr="002D57BE">
        <w:t>e</w:t>
      </w:r>
      <w:r w:rsidR="000A797B" w:rsidRPr="002D57BE">
        <w:t xml:space="preserve"> delay </w:t>
      </w:r>
      <w:r w:rsidR="009654EA" w:rsidRPr="002D57BE">
        <w:t xml:space="preserve">had </w:t>
      </w:r>
      <w:r w:rsidR="000A797B" w:rsidRPr="002D57BE">
        <w:t>on the ju</w:t>
      </w:r>
      <w:r w:rsidR="005F0B0C" w:rsidRPr="002D57BE">
        <w:t>ry’s</w:t>
      </w:r>
      <w:r w:rsidR="000A797B" w:rsidRPr="002D57BE">
        <w:t xml:space="preserve"> thought process.</w:t>
      </w:r>
      <w:r w:rsidR="009654EA" w:rsidRPr="002D57BE">
        <w:t xml:space="preserve">  (</w:t>
      </w:r>
      <w:r w:rsidR="009654EA" w:rsidRPr="002D57BE">
        <w:rPr>
          <w:i/>
          <w:iCs/>
        </w:rPr>
        <w:t>Id.</w:t>
      </w:r>
      <w:r w:rsidR="009654EA" w:rsidRPr="002D57BE">
        <w:t xml:space="preserve"> at p. 21.)  The </w:t>
      </w:r>
      <w:r w:rsidR="003555CD" w:rsidRPr="002D57BE">
        <w:t xml:space="preserve">court </w:t>
      </w:r>
      <w:r w:rsidR="00A25E01" w:rsidRPr="002D57BE">
        <w:t>highlighted</w:t>
      </w:r>
      <w:r w:rsidR="00683388" w:rsidRPr="002D57BE">
        <w:t xml:space="preserve"> that the delay occurred after the prosecution</w:t>
      </w:r>
      <w:r w:rsidR="0028563A" w:rsidRPr="002D57BE">
        <w:t xml:space="preserve"> </w:t>
      </w:r>
      <w:r w:rsidR="00683388" w:rsidRPr="002D57BE">
        <w:t xml:space="preserve">rested </w:t>
      </w:r>
      <w:r w:rsidR="0028563A" w:rsidRPr="002D57BE">
        <w:t>but</w:t>
      </w:r>
      <w:r w:rsidR="00E954AA" w:rsidRPr="002D57BE">
        <w:t xml:space="preserve"> before the defendant presented his case.  (</w:t>
      </w:r>
      <w:r w:rsidR="00E954AA" w:rsidRPr="002D57BE">
        <w:rPr>
          <w:i/>
          <w:iCs/>
        </w:rPr>
        <w:t>Ibid</w:t>
      </w:r>
      <w:r w:rsidR="00E954AA" w:rsidRPr="002D57BE">
        <w:t xml:space="preserve">.) </w:t>
      </w:r>
      <w:r w:rsidR="00F24704" w:rsidRPr="002D57BE">
        <w:t xml:space="preserve"> </w:t>
      </w:r>
      <w:r w:rsidR="002E6242" w:rsidRPr="002D57BE">
        <w:t>The court reasoned that “the jury was left w</w:t>
      </w:r>
      <w:r w:rsidR="003276AA" w:rsidRPr="002D57BE">
        <w:t>ith a one-sided presentation for three weeks” and that “this would cause</w:t>
      </w:r>
      <w:r w:rsidR="0038291A" w:rsidRPr="002D57BE">
        <w:t xml:space="preserve"> the jurors to determine the case before hearing both sides.” </w:t>
      </w:r>
      <w:r w:rsidR="0014289D" w:rsidRPr="002D57BE">
        <w:t xml:space="preserve"> (</w:t>
      </w:r>
      <w:r w:rsidR="0014289D" w:rsidRPr="002D57BE">
        <w:rPr>
          <w:i/>
          <w:iCs/>
        </w:rPr>
        <w:t>Ibid</w:t>
      </w:r>
      <w:r w:rsidR="0014289D" w:rsidRPr="002D57BE">
        <w:t>.)</w:t>
      </w:r>
    </w:p>
    <w:p w14:paraId="72AB76D8" w14:textId="77777777" w:rsidR="00FA7E16" w:rsidRDefault="00C6573A" w:rsidP="001A05AD">
      <w:pPr>
        <w:pStyle w:val="BodyText"/>
        <w:widowControl/>
        <w:spacing w:line="360" w:lineRule="auto"/>
        <w:ind w:firstLine="620"/>
      </w:pPr>
      <w:r w:rsidRPr="002D57BE">
        <w:lastRenderedPageBreak/>
        <w:t>In the third case of</w:t>
      </w:r>
      <w:r w:rsidR="00B265A6" w:rsidRPr="002D57BE">
        <w:t xml:space="preserve"> </w:t>
      </w:r>
      <w:r w:rsidR="00B265A6" w:rsidRPr="002D57BE">
        <w:rPr>
          <w:i/>
          <w:iCs/>
        </w:rPr>
        <w:t>People v. Santamaria</w:t>
      </w:r>
      <w:r w:rsidR="00B265A6" w:rsidRPr="002D57BE">
        <w:t xml:space="preserve"> (1991) 229 Cal.App.3d 269</w:t>
      </w:r>
      <w:r w:rsidR="00C6717F" w:rsidRPr="002D57BE">
        <w:t xml:space="preserve"> (</w:t>
      </w:r>
      <w:r w:rsidR="00C6717F" w:rsidRPr="002D57BE">
        <w:rPr>
          <w:i/>
          <w:iCs/>
        </w:rPr>
        <w:t>Santamaria</w:t>
      </w:r>
      <w:r w:rsidR="00C6717F" w:rsidRPr="002D57BE">
        <w:t>)</w:t>
      </w:r>
      <w:r w:rsidR="00B265A6" w:rsidRPr="002D57BE">
        <w:t xml:space="preserve">, </w:t>
      </w:r>
      <w:r w:rsidR="00604057" w:rsidRPr="002D57BE">
        <w:t xml:space="preserve">our colleagues in Division </w:t>
      </w:r>
      <w:r w:rsidR="00C4622B" w:rsidRPr="002D57BE">
        <w:t>Th</w:t>
      </w:r>
      <w:r w:rsidR="003519D8" w:rsidRPr="002D57BE">
        <w:t>ree</w:t>
      </w:r>
      <w:r w:rsidR="00C47A40" w:rsidRPr="002D57BE">
        <w:t xml:space="preserve"> </w:t>
      </w:r>
      <w:r w:rsidRPr="002D57BE">
        <w:t xml:space="preserve">held </w:t>
      </w:r>
      <w:r w:rsidR="00C47A40" w:rsidRPr="002D57BE">
        <w:t>that</w:t>
      </w:r>
      <w:r w:rsidR="00312726" w:rsidRPr="002D57BE">
        <w:t xml:space="preserve"> the </w:t>
      </w:r>
      <w:r w:rsidR="00463CFD" w:rsidRPr="002D57BE">
        <w:t xml:space="preserve">trial court erred </w:t>
      </w:r>
      <w:r w:rsidR="00312726" w:rsidRPr="002D57BE">
        <w:t xml:space="preserve">in suspending jury deliberations for 11 days </w:t>
      </w:r>
      <w:r w:rsidR="00A61C9D" w:rsidRPr="002D57BE">
        <w:t>due to the judge’s schedule.</w:t>
      </w:r>
      <w:r w:rsidR="00A05250" w:rsidRPr="002D57BE">
        <w:t xml:space="preserve"> </w:t>
      </w:r>
      <w:r w:rsidR="00877DAA">
        <w:t xml:space="preserve"> </w:t>
      </w:r>
      <w:r w:rsidR="00A05250" w:rsidRPr="002D57BE">
        <w:t>(</w:t>
      </w:r>
      <w:r w:rsidR="00A05250" w:rsidRPr="002D57BE">
        <w:rPr>
          <w:i/>
          <w:iCs/>
        </w:rPr>
        <w:t>Id.</w:t>
      </w:r>
      <w:r w:rsidR="00A05250" w:rsidRPr="002D57BE">
        <w:t xml:space="preserve"> at p</w:t>
      </w:r>
      <w:r w:rsidR="00A61C9D" w:rsidRPr="002D57BE">
        <w:t>p</w:t>
      </w:r>
      <w:r w:rsidR="00A05250" w:rsidRPr="002D57BE">
        <w:t xml:space="preserve">. </w:t>
      </w:r>
      <w:r w:rsidR="00A61C9D" w:rsidRPr="002D57BE">
        <w:t xml:space="preserve">275, </w:t>
      </w:r>
      <w:r w:rsidR="00A05250" w:rsidRPr="002D57BE">
        <w:t>283.)</w:t>
      </w:r>
      <w:r w:rsidR="0028499C" w:rsidRPr="002D57BE">
        <w:t xml:space="preserve">  </w:t>
      </w:r>
      <w:r w:rsidR="00A901FD" w:rsidRPr="002D57BE">
        <w:t xml:space="preserve">We </w:t>
      </w:r>
      <w:r w:rsidR="00F5514D" w:rsidRPr="002D57BE">
        <w:t>stated that this unwarranted interruption</w:t>
      </w:r>
      <w:r w:rsidR="00B90B37" w:rsidRPr="002D57BE">
        <w:t xml:space="preserve"> “came at the most critical period in the trial</w:t>
      </w:r>
      <w:r w:rsidR="003B79B5" w:rsidRPr="002D57BE">
        <w:t>.  The prosecutor and appellant had presented their evidence and argued its significance; the court had instructed on the legal principles to be applied.  The case was in the hands of the jury, which had begun its vital task of considering the government’s charges against appellant and determining his guilt or innocence of a special circumstances first degree murder.”</w:t>
      </w:r>
      <w:r w:rsidR="00B274FD" w:rsidRPr="002D57BE">
        <w:t xml:space="preserve"> </w:t>
      </w:r>
      <w:r w:rsidR="00285E0B" w:rsidRPr="002D57BE">
        <w:t xml:space="preserve"> </w:t>
      </w:r>
      <w:r w:rsidR="005741BD" w:rsidRPr="002D57BE">
        <w:t>(</w:t>
      </w:r>
      <w:r w:rsidR="005741BD" w:rsidRPr="002D57BE">
        <w:rPr>
          <w:i/>
          <w:iCs/>
        </w:rPr>
        <w:t xml:space="preserve">Id. </w:t>
      </w:r>
      <w:r w:rsidR="005741BD" w:rsidRPr="002D57BE">
        <w:t>at p.</w:t>
      </w:r>
      <w:r w:rsidR="00C110E1" w:rsidRPr="002D57BE">
        <w:t xml:space="preserve"> 281.) </w:t>
      </w:r>
      <w:r w:rsidR="00ED5865" w:rsidRPr="002D57BE">
        <w:t xml:space="preserve"> We </w:t>
      </w:r>
      <w:r w:rsidR="00135E3E" w:rsidRPr="002D57BE">
        <w:t>held</w:t>
      </w:r>
      <w:r w:rsidR="00D75155" w:rsidRPr="002D57BE">
        <w:t xml:space="preserve"> that</w:t>
      </w:r>
      <w:r w:rsidR="00ED5865" w:rsidRPr="002D57BE">
        <w:t xml:space="preserve"> “at no time is it more essential that the jury should be immunized from </w:t>
      </w:r>
      <w:r w:rsidR="00596EAD" w:rsidRPr="002D57BE">
        <w:t>such [outside] influences than when it is deliberating on its verdict”</w:t>
      </w:r>
      <w:r w:rsidR="006C2284" w:rsidRPr="002D57BE">
        <w:t xml:space="preserve"> and that the trial court “acted to undermine due process requirements by releasing the jurors into the community for 11 days.</w:t>
      </w:r>
      <w:r w:rsidR="00135E3E" w:rsidRPr="002D57BE">
        <w:t>”</w:t>
      </w:r>
      <w:r w:rsidR="00596EAD" w:rsidRPr="002D57BE">
        <w:t xml:space="preserve"> </w:t>
      </w:r>
      <w:r w:rsidR="00285E0B" w:rsidRPr="002D57BE">
        <w:t xml:space="preserve"> </w:t>
      </w:r>
      <w:r w:rsidR="00596EAD" w:rsidRPr="002D57BE">
        <w:t>(</w:t>
      </w:r>
      <w:r w:rsidR="00596EAD" w:rsidRPr="002D57BE">
        <w:rPr>
          <w:i/>
          <w:iCs/>
        </w:rPr>
        <w:t>Ibid</w:t>
      </w:r>
      <w:r w:rsidR="00596EAD" w:rsidRPr="002D57BE">
        <w:t>.)</w:t>
      </w:r>
      <w:r w:rsidR="00285E0B" w:rsidRPr="002D57BE">
        <w:t xml:space="preserve"> </w:t>
      </w:r>
      <w:r w:rsidR="00A13791" w:rsidRPr="002D57BE">
        <w:rPr>
          <w:i/>
          <w:iCs/>
        </w:rPr>
        <w:t xml:space="preserve"> </w:t>
      </w:r>
      <w:r w:rsidR="00285E0B" w:rsidRPr="002D57BE">
        <w:t>We</w:t>
      </w:r>
      <w:r w:rsidR="006C2284" w:rsidRPr="002D57BE">
        <w:t xml:space="preserve"> noted however,</w:t>
      </w:r>
      <w:r w:rsidR="00ED1A99" w:rsidRPr="002D57BE">
        <w:t xml:space="preserve"> that </w:t>
      </w:r>
      <w:r w:rsidR="00285E0B" w:rsidRPr="002D57BE">
        <w:t>“[h]ad the</w:t>
      </w:r>
      <w:r w:rsidR="00ED1A99" w:rsidRPr="002D57BE">
        <w:t xml:space="preserve"> adjournment occurred in midtrial, counsels’ recapitulation of the evidence during argument might have nullified or minimized the effect of the delay on the jurors’ recall.”  </w:t>
      </w:r>
    </w:p>
    <w:p w14:paraId="2A09E557" w14:textId="1CD35689" w:rsidR="005E3AC1" w:rsidRPr="002D57BE" w:rsidRDefault="00C6573A" w:rsidP="00FA7E16">
      <w:pPr>
        <w:pStyle w:val="BodyText"/>
        <w:widowControl/>
        <w:spacing w:line="360" w:lineRule="auto"/>
      </w:pPr>
      <w:r w:rsidRPr="002D57BE">
        <w:t>(</w:t>
      </w:r>
      <w:r w:rsidRPr="002D57BE">
        <w:rPr>
          <w:i/>
          <w:iCs/>
        </w:rPr>
        <w:t>Id.</w:t>
      </w:r>
      <w:r w:rsidRPr="002D57BE">
        <w:t xml:space="preserve"> at p. 282.)</w:t>
      </w:r>
    </w:p>
    <w:p w14:paraId="5F2E05FC" w14:textId="77777777" w:rsidR="00FA7E16" w:rsidRDefault="00C6573A" w:rsidP="001A05AD">
      <w:pPr>
        <w:pStyle w:val="BodyText"/>
        <w:widowControl/>
        <w:spacing w:line="360" w:lineRule="auto"/>
        <w:ind w:firstLine="620"/>
      </w:pPr>
      <w:r w:rsidRPr="002D57BE">
        <w:t xml:space="preserve">Finally, in </w:t>
      </w:r>
      <w:r w:rsidR="00CD38D2" w:rsidRPr="002D57BE">
        <w:rPr>
          <w:i/>
          <w:iCs/>
        </w:rPr>
        <w:t>U.S.</w:t>
      </w:r>
      <w:r w:rsidRPr="002D57BE">
        <w:rPr>
          <w:i/>
          <w:iCs/>
        </w:rPr>
        <w:t xml:space="preserve"> v. Hay</w:t>
      </w:r>
      <w:r w:rsidRPr="002D57BE">
        <w:t xml:space="preserve"> (9th Cir. 1997) 122 F.3d 1233</w:t>
      </w:r>
      <w:r w:rsidR="002915D1" w:rsidRPr="002D57BE">
        <w:t xml:space="preserve"> (</w:t>
      </w:r>
      <w:r w:rsidR="002915D1" w:rsidRPr="002D57BE">
        <w:rPr>
          <w:i/>
          <w:iCs/>
        </w:rPr>
        <w:t>Hay</w:t>
      </w:r>
      <w:r w:rsidR="002915D1" w:rsidRPr="002D57BE">
        <w:t>)</w:t>
      </w:r>
      <w:r w:rsidRPr="002D57BE">
        <w:t xml:space="preserve">, to accommodate jurors’ vacations, the district court continued trial for 48 days after the presentation of evidence and before closing arguments. </w:t>
      </w:r>
      <w:r w:rsidR="00877DAA">
        <w:t xml:space="preserve"> </w:t>
      </w:r>
      <w:r w:rsidRPr="002D57BE">
        <w:t>(</w:t>
      </w:r>
      <w:r w:rsidRPr="002D57BE">
        <w:rPr>
          <w:i/>
          <w:iCs/>
        </w:rPr>
        <w:t>Id</w:t>
      </w:r>
      <w:r w:rsidRPr="002D57BE">
        <w:t xml:space="preserve">. at </w:t>
      </w:r>
    </w:p>
    <w:p w14:paraId="73EC8C1A" w14:textId="77777777" w:rsidR="00FA7E16" w:rsidRDefault="00C6573A" w:rsidP="00FA7E16">
      <w:pPr>
        <w:pStyle w:val="BodyText"/>
        <w:widowControl/>
        <w:spacing w:line="360" w:lineRule="auto"/>
      </w:pPr>
      <w:r w:rsidRPr="002D57BE">
        <w:t xml:space="preserve">p. 1235.) </w:t>
      </w:r>
      <w:r w:rsidR="00691937" w:rsidRPr="002D57BE">
        <w:t xml:space="preserve"> </w:t>
      </w:r>
      <w:r w:rsidRPr="002D57BE">
        <w:t>On review, the Ninth Circuit held that the district court abused its discretion as it h</w:t>
      </w:r>
      <w:r w:rsidRPr="002D57BE">
        <w:t xml:space="preserve">as “never approved a jury separation even close to </w:t>
      </w:r>
    </w:p>
    <w:p w14:paraId="3E3F5CBB" w14:textId="03A88B16" w:rsidR="00B05DF3" w:rsidRPr="002D57BE" w:rsidRDefault="00C6573A" w:rsidP="00FA7E16">
      <w:pPr>
        <w:pStyle w:val="BodyText"/>
        <w:widowControl/>
        <w:spacing w:line="360" w:lineRule="auto"/>
      </w:pPr>
      <w:r w:rsidRPr="002D57BE">
        <w:t>forty-eight days in a criminal case.”</w:t>
      </w:r>
      <w:r w:rsidR="00691937" w:rsidRPr="002D57BE">
        <w:t xml:space="preserve">  </w:t>
      </w:r>
      <w:r w:rsidRPr="002D57BE">
        <w:t>(</w:t>
      </w:r>
      <w:r w:rsidRPr="002D57BE">
        <w:rPr>
          <w:i/>
          <w:iCs/>
        </w:rPr>
        <w:t>Id</w:t>
      </w:r>
      <w:r w:rsidRPr="002D57BE">
        <w:t>. at p. 1235</w:t>
      </w:r>
      <w:r w:rsidR="00C65FB5" w:rsidRPr="002D57BE">
        <w:t>–</w:t>
      </w:r>
      <w:r w:rsidRPr="002D57BE">
        <w:t xml:space="preserve">1236.) </w:t>
      </w:r>
      <w:r w:rsidR="00691937" w:rsidRPr="002D57BE">
        <w:t xml:space="preserve"> </w:t>
      </w:r>
      <w:r w:rsidRPr="002D57BE">
        <w:t xml:space="preserve">The unprecedented length of delay, coupled with the complex and technical evidence presented to the jury, equated to an inherent lack of due </w:t>
      </w:r>
      <w:r w:rsidRPr="002D57BE">
        <w:t xml:space="preserve">process. </w:t>
      </w:r>
      <w:r w:rsidR="00877DAA">
        <w:t xml:space="preserve"> </w:t>
      </w:r>
      <w:r w:rsidRPr="002D57BE">
        <w:t>(</w:t>
      </w:r>
      <w:r w:rsidRPr="002D57BE">
        <w:rPr>
          <w:i/>
          <w:iCs/>
        </w:rPr>
        <w:t>Id</w:t>
      </w:r>
      <w:r w:rsidRPr="002D57BE">
        <w:t xml:space="preserve">. at p. 1236.) </w:t>
      </w:r>
      <w:r w:rsidR="00F113DD" w:rsidRPr="002D57BE">
        <w:t xml:space="preserve"> </w:t>
      </w:r>
      <w:r w:rsidR="004C0537" w:rsidRPr="002D57BE">
        <w:t>The Ninth Circuit</w:t>
      </w:r>
      <w:r w:rsidR="002D2BDD" w:rsidRPr="002D57BE">
        <w:t xml:space="preserve"> further noted that the</w:t>
      </w:r>
      <w:r w:rsidRPr="002D57BE">
        <w:t xml:space="preserve"> trial</w:t>
      </w:r>
      <w:r w:rsidR="00B27F1D" w:rsidRPr="002D57BE">
        <w:t xml:space="preserve"> court</w:t>
      </w:r>
      <w:r w:rsidRPr="002D57BE">
        <w:t xml:space="preserve"> could </w:t>
      </w:r>
      <w:r w:rsidRPr="002D57BE">
        <w:lastRenderedPageBreak/>
        <w:t>have still proceeded</w:t>
      </w:r>
      <w:r w:rsidR="004C0537" w:rsidRPr="002D57BE">
        <w:t xml:space="preserve"> with trial since the</w:t>
      </w:r>
      <w:r w:rsidRPr="002D57BE">
        <w:t xml:space="preserve"> parties stipulated to</w:t>
      </w:r>
      <w:r w:rsidR="004C0537" w:rsidRPr="002D57BE">
        <w:t xml:space="preserve"> continuing</w:t>
      </w:r>
      <w:r w:rsidRPr="002D57BE">
        <w:t xml:space="preserve"> with only eleven jurors if necessary. </w:t>
      </w:r>
      <w:r w:rsidR="002D2BDD" w:rsidRPr="002D57BE">
        <w:t xml:space="preserve"> </w:t>
      </w:r>
      <w:r w:rsidRPr="002D57BE">
        <w:t>(</w:t>
      </w:r>
      <w:r w:rsidRPr="002D57BE">
        <w:rPr>
          <w:i/>
          <w:iCs/>
        </w:rPr>
        <w:t xml:space="preserve">Id. </w:t>
      </w:r>
      <w:r w:rsidRPr="002D57BE">
        <w:t>at p. 1235.)</w:t>
      </w:r>
    </w:p>
    <w:p w14:paraId="0D79B932" w14:textId="77777777" w:rsidR="00FA7E16" w:rsidRDefault="00C6573A" w:rsidP="001A05AD">
      <w:pPr>
        <w:pStyle w:val="BodyText"/>
        <w:widowControl/>
        <w:spacing w:line="360" w:lineRule="auto"/>
        <w:ind w:firstLine="620"/>
      </w:pPr>
      <w:r w:rsidRPr="002D57BE">
        <w:t xml:space="preserve">By contrast, in </w:t>
      </w:r>
      <w:r w:rsidRPr="002D57BE">
        <w:rPr>
          <w:i/>
          <w:iCs/>
        </w:rPr>
        <w:t>People v. Gray</w:t>
      </w:r>
      <w:r w:rsidRPr="002D57BE">
        <w:t xml:space="preserve"> (2005</w:t>
      </w:r>
      <w:r w:rsidRPr="002D57BE">
        <w:t xml:space="preserve">) </w:t>
      </w:r>
      <w:r w:rsidRPr="002D57BE">
        <w:rPr>
          <w:rFonts w:cs="Times New Roman"/>
        </w:rPr>
        <w:t>37 Cal.4th</w:t>
      </w:r>
      <w:r w:rsidRPr="002D57BE">
        <w:t xml:space="preserve"> </w:t>
      </w:r>
      <w:r w:rsidR="00375F13" w:rsidRPr="002D57BE">
        <w:t>168</w:t>
      </w:r>
      <w:r w:rsidR="002915D1" w:rsidRPr="002D57BE">
        <w:t xml:space="preserve"> (</w:t>
      </w:r>
      <w:r w:rsidR="002915D1" w:rsidRPr="002D57BE">
        <w:rPr>
          <w:i/>
          <w:iCs/>
        </w:rPr>
        <w:t>Gray</w:t>
      </w:r>
      <w:r w:rsidR="002915D1" w:rsidRPr="002D57BE">
        <w:t>)</w:t>
      </w:r>
      <w:r w:rsidR="00375F13" w:rsidRPr="002D57BE">
        <w:t>,</w:t>
      </w:r>
      <w:r w:rsidR="00AD0F14" w:rsidRPr="002D57BE">
        <w:t xml:space="preserve"> our high court </w:t>
      </w:r>
      <w:r w:rsidR="00120542" w:rsidRPr="002D57BE">
        <w:t>held that a 338-day delay</w:t>
      </w:r>
      <w:r w:rsidR="00E000BF" w:rsidRPr="002D57BE">
        <w:t xml:space="preserve"> between the</w:t>
      </w:r>
      <w:r w:rsidR="00130737" w:rsidRPr="002D57BE">
        <w:t xml:space="preserve"> guilt and penalty phases of trial did not warrant reversal. </w:t>
      </w:r>
      <w:r w:rsidR="007643B5" w:rsidRPr="002D57BE">
        <w:t xml:space="preserve"> </w:t>
      </w:r>
      <w:r w:rsidR="0034780A" w:rsidRPr="002D57BE">
        <w:t xml:space="preserve">The delay was caused by </w:t>
      </w:r>
      <w:r w:rsidR="00447735" w:rsidRPr="002D57BE">
        <w:t>a stay in the proceedings after the defendant filed a</w:t>
      </w:r>
      <w:r w:rsidR="00F476ED" w:rsidRPr="002D57BE">
        <w:t xml:space="preserve"> writ</w:t>
      </w:r>
      <w:r w:rsidR="006A4110" w:rsidRPr="002D57BE">
        <w:t xml:space="preserve"> of mandate</w:t>
      </w:r>
      <w:r w:rsidR="00B471F2" w:rsidRPr="002D57BE">
        <w:t>.  (</w:t>
      </w:r>
      <w:r w:rsidR="00B471F2" w:rsidRPr="002D57BE">
        <w:rPr>
          <w:i/>
          <w:iCs/>
        </w:rPr>
        <w:t xml:space="preserve">Id. </w:t>
      </w:r>
      <w:r w:rsidR="00B471F2" w:rsidRPr="002D57BE">
        <w:t xml:space="preserve">at p. </w:t>
      </w:r>
      <w:r w:rsidR="0037418D" w:rsidRPr="002D57BE">
        <w:t xml:space="preserve">226.)  </w:t>
      </w:r>
      <w:r w:rsidR="006B289F" w:rsidRPr="002D57BE">
        <w:t xml:space="preserve">The court </w:t>
      </w:r>
      <w:r w:rsidR="00562AAC" w:rsidRPr="002D57BE">
        <w:t xml:space="preserve">distinguished the facts from those in </w:t>
      </w:r>
      <w:r w:rsidR="00562AAC" w:rsidRPr="002D57BE">
        <w:rPr>
          <w:i/>
          <w:iCs/>
        </w:rPr>
        <w:t>Santamaria</w:t>
      </w:r>
      <w:r w:rsidR="00562AAC" w:rsidRPr="002D57BE">
        <w:t xml:space="preserve"> and stated that although the delay here was much longer, “it occurred at a natural break in the trial, between the guilt and penalty phases, and not in the middle of deliberations.</w:t>
      </w:r>
      <w:r w:rsidR="002C53E6" w:rsidRPr="002D57BE">
        <w:t xml:space="preserve">  Moreover, unlike in </w:t>
      </w:r>
      <w:r w:rsidR="002C53E6" w:rsidRPr="002D57BE">
        <w:rPr>
          <w:i/>
          <w:iCs/>
        </w:rPr>
        <w:t>Santamaria</w:t>
      </w:r>
      <w:r w:rsidR="002C53E6" w:rsidRPr="002D57BE">
        <w:t>, where the trial court lacked good cause for the delay</w:t>
      </w:r>
      <w:r w:rsidR="00493EBE" w:rsidRPr="002D57BE">
        <w:t xml:space="preserve"> and a viable alternative existed, the trial court here had ample cause for </w:t>
      </w:r>
      <w:r w:rsidR="0029359C" w:rsidRPr="002D57BE">
        <w:t xml:space="preserve">the delay and no alternative: </w:t>
      </w:r>
      <w:r w:rsidR="001A05AD">
        <w:t xml:space="preserve"> </w:t>
      </w:r>
      <w:r w:rsidR="0029359C" w:rsidRPr="002D57BE">
        <w:t>an appellate court had stayed the trial.</w:t>
      </w:r>
      <w:r w:rsidR="002E6053" w:rsidRPr="002D57BE">
        <w:t xml:space="preserve">  The trial court had no </w:t>
      </w:r>
      <w:r w:rsidR="00436962" w:rsidRPr="002D57BE">
        <w:t>ch</w:t>
      </w:r>
      <w:r w:rsidR="002E6053" w:rsidRPr="002D57BE">
        <w:t>oice but to obey the stay order.</w:t>
      </w:r>
      <w:r w:rsidR="0029359C" w:rsidRPr="002D57BE">
        <w:t>”</w:t>
      </w:r>
      <w:r w:rsidR="00ED6C5D" w:rsidRPr="002D57BE">
        <w:t xml:space="preserve"> </w:t>
      </w:r>
      <w:r w:rsidR="002E6053" w:rsidRPr="002D57BE">
        <w:t xml:space="preserve"> </w:t>
      </w:r>
      <w:r w:rsidR="00ED6C5D" w:rsidRPr="002D57BE">
        <w:t>(</w:t>
      </w:r>
      <w:r w:rsidR="00ED6C5D" w:rsidRPr="002D57BE">
        <w:rPr>
          <w:i/>
          <w:iCs/>
        </w:rPr>
        <w:t>Id</w:t>
      </w:r>
      <w:r w:rsidR="00ED6C5D" w:rsidRPr="002D57BE">
        <w:t xml:space="preserve">. at </w:t>
      </w:r>
    </w:p>
    <w:p w14:paraId="180DAF85" w14:textId="54C7BBBA" w:rsidR="001C5841" w:rsidRPr="002D57BE" w:rsidRDefault="00C6573A" w:rsidP="00FA7E16">
      <w:pPr>
        <w:pStyle w:val="BodyText"/>
        <w:widowControl/>
        <w:spacing w:line="360" w:lineRule="auto"/>
      </w:pPr>
      <w:r w:rsidRPr="002D57BE">
        <w:t xml:space="preserve">p. 228.)  </w:t>
      </w:r>
    </w:p>
    <w:p w14:paraId="5528509F" w14:textId="6BCFC7B2" w:rsidR="00B92252" w:rsidRPr="002D57BE" w:rsidRDefault="00C6573A" w:rsidP="001A05AD">
      <w:pPr>
        <w:pStyle w:val="BodyText"/>
        <w:widowControl/>
        <w:spacing w:line="360" w:lineRule="auto"/>
        <w:ind w:firstLine="620"/>
      </w:pPr>
      <w:r w:rsidRPr="002D57BE">
        <w:t xml:space="preserve">Most recently in </w:t>
      </w:r>
      <w:r w:rsidRPr="002D57BE">
        <w:rPr>
          <w:i/>
          <w:iCs/>
        </w:rPr>
        <w:t>People v.</w:t>
      </w:r>
      <w:r w:rsidR="00C64295" w:rsidRPr="002D57BE">
        <w:rPr>
          <w:i/>
          <w:iCs/>
        </w:rPr>
        <w:t xml:space="preserve"> Breceda </w:t>
      </w:r>
      <w:r w:rsidR="00C64295" w:rsidRPr="002D57BE">
        <w:t xml:space="preserve">(2022) 76 Cal.App.5th </w:t>
      </w:r>
      <w:r w:rsidR="0073649A" w:rsidRPr="002D57BE">
        <w:t>71</w:t>
      </w:r>
      <w:r w:rsidR="00175709" w:rsidRPr="002D57BE">
        <w:t xml:space="preserve"> (</w:t>
      </w:r>
      <w:r w:rsidR="00175709" w:rsidRPr="002D57BE">
        <w:rPr>
          <w:i/>
          <w:iCs/>
        </w:rPr>
        <w:t>Breceda</w:t>
      </w:r>
      <w:r w:rsidR="00175709" w:rsidRPr="002D57BE">
        <w:t>)</w:t>
      </w:r>
      <w:r w:rsidR="0073649A" w:rsidRPr="002D57BE">
        <w:t xml:space="preserve">, the Fourth District </w:t>
      </w:r>
      <w:r w:rsidR="005D2BC4" w:rsidRPr="002D57BE">
        <w:t xml:space="preserve">held that </w:t>
      </w:r>
      <w:r w:rsidR="00FF6802" w:rsidRPr="002D57BE">
        <w:t>the defendant’s right to a fair trial was not violated by a</w:t>
      </w:r>
      <w:r w:rsidR="005D2BC4" w:rsidRPr="002D57BE">
        <w:t xml:space="preserve"> 73-day</w:t>
      </w:r>
      <w:r w:rsidR="00483FF1" w:rsidRPr="002D57BE">
        <w:t xml:space="preserve"> </w:t>
      </w:r>
      <w:r w:rsidR="00EF615A" w:rsidRPr="002D57BE">
        <w:t xml:space="preserve">midtrial </w:t>
      </w:r>
      <w:r w:rsidR="00483FF1" w:rsidRPr="002D57BE">
        <w:t xml:space="preserve">delay due to </w:t>
      </w:r>
      <w:r w:rsidR="00561854" w:rsidRPr="002D57BE">
        <w:t>COVID-19</w:t>
      </w:r>
      <w:r w:rsidR="0091238D" w:rsidRPr="002D57BE">
        <w:t>.  (</w:t>
      </w:r>
      <w:r w:rsidR="0091238D" w:rsidRPr="002D57BE">
        <w:rPr>
          <w:i/>
          <w:iCs/>
        </w:rPr>
        <w:t>Id.</w:t>
      </w:r>
      <w:r w:rsidR="0091238D" w:rsidRPr="002D57BE">
        <w:t xml:space="preserve"> at p. </w:t>
      </w:r>
      <w:r w:rsidR="004A4B9E" w:rsidRPr="002D57BE">
        <w:t xml:space="preserve">100.)  </w:t>
      </w:r>
      <w:r w:rsidR="00F37B49" w:rsidRPr="002D57BE">
        <w:t>The delay occurred near the end of the prosecution’s case-in-chief.  (</w:t>
      </w:r>
      <w:r w:rsidR="00F37B49" w:rsidRPr="002D57BE">
        <w:rPr>
          <w:i/>
          <w:iCs/>
        </w:rPr>
        <w:t>Id.</w:t>
      </w:r>
      <w:r w:rsidR="00F37B49" w:rsidRPr="002D57BE">
        <w:t xml:space="preserve"> at p. 95.) </w:t>
      </w:r>
      <w:r w:rsidR="004A4B9E" w:rsidRPr="002D57BE">
        <w:t xml:space="preserve">The court </w:t>
      </w:r>
      <w:r w:rsidR="00696F6C" w:rsidRPr="002D57BE">
        <w:t>found</w:t>
      </w:r>
      <w:r w:rsidR="00ED0762" w:rsidRPr="002D57BE">
        <w:t xml:space="preserve"> that although the delay was long, </w:t>
      </w:r>
      <w:r w:rsidR="00696F6C" w:rsidRPr="002D57BE">
        <w:t>several factors weighed against finding a violation.</w:t>
      </w:r>
      <w:r w:rsidR="0041793E" w:rsidRPr="002D57BE">
        <w:t xml:space="preserve"> </w:t>
      </w:r>
      <w:r w:rsidR="00877DAA">
        <w:t xml:space="preserve"> </w:t>
      </w:r>
      <w:r w:rsidR="0041793E" w:rsidRPr="002D57BE">
        <w:t xml:space="preserve">Good cause existed due to the pandemic, </w:t>
      </w:r>
      <w:r w:rsidR="00615C35" w:rsidRPr="002D57BE">
        <w:t>the case was not complex</w:t>
      </w:r>
      <w:r w:rsidR="00B84FC8" w:rsidRPr="002D57BE">
        <w:t xml:space="preserve"> such that a delay was detrimental to the jurors’ ability to recall evidence</w:t>
      </w:r>
      <w:r w:rsidR="00615C35" w:rsidRPr="002D57BE">
        <w:t>, the delay occurred prior to de</w:t>
      </w:r>
      <w:r w:rsidR="00EB6B09" w:rsidRPr="002D57BE">
        <w:t xml:space="preserve">liberations, and </w:t>
      </w:r>
      <w:r w:rsidR="0047019D" w:rsidRPr="002D57BE">
        <w:t xml:space="preserve">the trial court </w:t>
      </w:r>
      <w:r w:rsidR="008437CD" w:rsidRPr="002D57BE">
        <w:t xml:space="preserve">properly </w:t>
      </w:r>
      <w:r w:rsidR="00615C35" w:rsidRPr="002D57BE">
        <w:t>admonished the jur</w:t>
      </w:r>
      <w:r w:rsidR="005E42F0" w:rsidRPr="002D57BE">
        <w:t>ors</w:t>
      </w:r>
      <w:r w:rsidR="0047019D" w:rsidRPr="002D57BE">
        <w:t xml:space="preserve"> </w:t>
      </w:r>
      <w:r w:rsidR="005C3743" w:rsidRPr="002D57BE">
        <w:t>before and after they</w:t>
      </w:r>
      <w:r w:rsidR="00615C35" w:rsidRPr="002D57BE">
        <w:t xml:space="preserve"> returned and </w:t>
      </w:r>
      <w:r w:rsidR="002E1695" w:rsidRPr="002D57BE">
        <w:t>confirmed</w:t>
      </w:r>
      <w:r w:rsidR="00615C35" w:rsidRPr="002D57BE">
        <w:t xml:space="preserve"> </w:t>
      </w:r>
      <w:r w:rsidR="005E42F0" w:rsidRPr="002D57BE">
        <w:t>that they obeyed its</w:t>
      </w:r>
      <w:r w:rsidR="0047019D" w:rsidRPr="002D57BE">
        <w:t xml:space="preserve"> order</w:t>
      </w:r>
      <w:r w:rsidR="00441914" w:rsidRPr="002D57BE">
        <w:t>s during the re</w:t>
      </w:r>
      <w:r w:rsidR="002E1695" w:rsidRPr="002D57BE">
        <w:t>c</w:t>
      </w:r>
      <w:r w:rsidR="00441914" w:rsidRPr="002D57BE">
        <w:t>ess</w:t>
      </w:r>
      <w:r w:rsidR="005C3743" w:rsidRPr="002D57BE">
        <w:t xml:space="preserve">.  </w:t>
      </w:r>
      <w:r w:rsidR="0041793E" w:rsidRPr="002D57BE">
        <w:t>(</w:t>
      </w:r>
      <w:r w:rsidR="0041793E" w:rsidRPr="002D57BE">
        <w:rPr>
          <w:i/>
          <w:iCs/>
        </w:rPr>
        <w:t>Ibid</w:t>
      </w:r>
      <w:r w:rsidR="0041793E" w:rsidRPr="002D57BE">
        <w:t>.)</w:t>
      </w:r>
      <w:r w:rsidR="005C3743" w:rsidRPr="002D57BE">
        <w:t xml:space="preserve">  </w:t>
      </w:r>
      <w:r w:rsidR="00620811" w:rsidRPr="002D57BE">
        <w:t xml:space="preserve">The court distinguished both </w:t>
      </w:r>
      <w:r w:rsidR="00620811" w:rsidRPr="002D57BE">
        <w:rPr>
          <w:i/>
          <w:iCs/>
        </w:rPr>
        <w:t xml:space="preserve">Engleman </w:t>
      </w:r>
      <w:r w:rsidR="00620811" w:rsidRPr="002D57BE">
        <w:t xml:space="preserve">and </w:t>
      </w:r>
      <w:r w:rsidR="00620811" w:rsidRPr="002D57BE">
        <w:rPr>
          <w:i/>
          <w:iCs/>
        </w:rPr>
        <w:t>Santamaria</w:t>
      </w:r>
      <w:r w:rsidR="00DF62FA" w:rsidRPr="002D57BE">
        <w:t xml:space="preserve"> </w:t>
      </w:r>
      <w:r w:rsidR="00893955" w:rsidRPr="002D57BE">
        <w:t xml:space="preserve">on the grounds that </w:t>
      </w:r>
      <w:r w:rsidR="00404F24" w:rsidRPr="002D57BE">
        <w:t>the delays there lacked good cause</w:t>
      </w:r>
      <w:r w:rsidR="008539A6" w:rsidRPr="002D57BE">
        <w:t xml:space="preserve"> since</w:t>
      </w:r>
      <w:r w:rsidR="0017110A" w:rsidRPr="002D57BE">
        <w:t xml:space="preserve"> another judge could have presided over </w:t>
      </w:r>
      <w:r w:rsidR="0017110A" w:rsidRPr="002D57BE">
        <w:lastRenderedPageBreak/>
        <w:t xml:space="preserve">the </w:t>
      </w:r>
      <w:r w:rsidR="006474EE" w:rsidRPr="002D57BE">
        <w:t>remainder of trial</w:t>
      </w:r>
      <w:r w:rsidR="008539A6" w:rsidRPr="002D57BE">
        <w:t>.</w:t>
      </w:r>
      <w:r w:rsidR="0048290F" w:rsidRPr="002D57BE">
        <w:t xml:space="preserve"> </w:t>
      </w:r>
      <w:r w:rsidR="00620811" w:rsidRPr="002D57BE">
        <w:rPr>
          <w:i/>
          <w:iCs/>
        </w:rPr>
        <w:t xml:space="preserve"> </w:t>
      </w:r>
      <w:r w:rsidR="00FB7DE8" w:rsidRPr="002D57BE">
        <w:t>(</w:t>
      </w:r>
      <w:r w:rsidR="00FB7DE8" w:rsidRPr="002D57BE">
        <w:rPr>
          <w:i/>
          <w:iCs/>
        </w:rPr>
        <w:t>Id.</w:t>
      </w:r>
      <w:r w:rsidR="00FB7DE8" w:rsidRPr="002D57BE">
        <w:t xml:space="preserve"> at p. 96.)</w:t>
      </w:r>
      <w:r w:rsidR="00725990" w:rsidRPr="002D57BE">
        <w:t xml:space="preserve">  </w:t>
      </w:r>
      <w:r w:rsidR="00165351" w:rsidRPr="002D57BE">
        <w:t>No such alternative existed here due to the Chief Justice and presiding judge’s orders</w:t>
      </w:r>
      <w:r w:rsidR="00B12F28" w:rsidRPr="002D57BE">
        <w:t xml:space="preserve">. </w:t>
      </w:r>
      <w:r w:rsidRPr="002D57BE">
        <w:t xml:space="preserve"> </w:t>
      </w:r>
      <w:r w:rsidR="00725990" w:rsidRPr="002D57BE">
        <w:t>(</w:t>
      </w:r>
      <w:r w:rsidR="00725990" w:rsidRPr="002D57BE">
        <w:rPr>
          <w:i/>
          <w:iCs/>
        </w:rPr>
        <w:t>Id.</w:t>
      </w:r>
      <w:r w:rsidR="00725990" w:rsidRPr="002D57BE">
        <w:t xml:space="preserve"> at p. 95.)</w:t>
      </w:r>
    </w:p>
    <w:p w14:paraId="2BF44FC8" w14:textId="3D5AC07B" w:rsidR="00A67246" w:rsidRPr="002D57BE" w:rsidRDefault="00C6573A" w:rsidP="001A05AD">
      <w:pPr>
        <w:pStyle w:val="BodyText"/>
        <w:widowControl/>
        <w:numPr>
          <w:ilvl w:val="1"/>
          <w:numId w:val="7"/>
        </w:numPr>
        <w:spacing w:line="360" w:lineRule="auto"/>
        <w:rPr>
          <w:i/>
          <w:iCs/>
        </w:rPr>
      </w:pPr>
      <w:r w:rsidRPr="002D57BE">
        <w:rPr>
          <w:i/>
          <w:iCs/>
        </w:rPr>
        <w:t>The Trial Court Did Not Err in Denying the Motion for Mistrial.</w:t>
      </w:r>
    </w:p>
    <w:p w14:paraId="5D970F1D" w14:textId="26A8A970" w:rsidR="003E0613" w:rsidRPr="002D57BE" w:rsidRDefault="00C6573A" w:rsidP="001A05AD">
      <w:pPr>
        <w:pStyle w:val="BodyText"/>
        <w:widowControl/>
        <w:numPr>
          <w:ilvl w:val="2"/>
          <w:numId w:val="7"/>
        </w:numPr>
        <w:spacing w:line="360" w:lineRule="auto"/>
        <w:rPr>
          <w:i/>
          <w:iCs/>
        </w:rPr>
      </w:pPr>
      <w:r w:rsidRPr="002D57BE">
        <w:rPr>
          <w:i/>
          <w:iCs/>
        </w:rPr>
        <w:t xml:space="preserve">Good Cause for the Continuance </w:t>
      </w:r>
    </w:p>
    <w:p w14:paraId="5175A2FE" w14:textId="37F8693A" w:rsidR="001969AE" w:rsidRPr="002D57BE" w:rsidRDefault="00C6573A" w:rsidP="001A05AD">
      <w:pPr>
        <w:pStyle w:val="BodyText"/>
        <w:widowControl/>
        <w:spacing w:line="360" w:lineRule="auto"/>
        <w:ind w:firstLine="620"/>
      </w:pPr>
      <w:r w:rsidRPr="002D57BE">
        <w:t>The issue in</w:t>
      </w:r>
      <w:r w:rsidR="009413A7" w:rsidRPr="002D57BE">
        <w:t xml:space="preserve"> </w:t>
      </w:r>
      <w:r w:rsidR="009413A7" w:rsidRPr="002D57BE">
        <w:rPr>
          <w:i/>
          <w:iCs/>
        </w:rPr>
        <w:t>Dinsmore, Engleman</w:t>
      </w:r>
      <w:r w:rsidR="009413A7" w:rsidRPr="002D57BE">
        <w:t xml:space="preserve">, </w:t>
      </w:r>
      <w:r w:rsidR="009413A7" w:rsidRPr="002D57BE">
        <w:rPr>
          <w:i/>
          <w:iCs/>
        </w:rPr>
        <w:t>Santamaria</w:t>
      </w:r>
      <w:r w:rsidR="009413A7" w:rsidRPr="002D57BE">
        <w:t>,</w:t>
      </w:r>
      <w:r w:rsidR="000F7AF8" w:rsidRPr="002D57BE">
        <w:t xml:space="preserve"> and</w:t>
      </w:r>
      <w:r w:rsidR="000F7AF8" w:rsidRPr="002D57BE">
        <w:rPr>
          <w:i/>
          <w:iCs/>
        </w:rPr>
        <w:t xml:space="preserve"> Hay</w:t>
      </w:r>
      <w:r w:rsidRPr="002D57BE">
        <w:t xml:space="preserve"> </w:t>
      </w:r>
      <w:r w:rsidR="009413A7" w:rsidRPr="002D57BE">
        <w:t xml:space="preserve">was whether the trial court abused its discretion in ordering a midtrial continuance.  In all </w:t>
      </w:r>
      <w:r w:rsidR="00CD4DDD" w:rsidRPr="002D57BE">
        <w:t>four</w:t>
      </w:r>
      <w:r w:rsidR="009413A7" w:rsidRPr="002D57BE">
        <w:t xml:space="preserve"> cases, the </w:t>
      </w:r>
      <w:r w:rsidR="00BB6711" w:rsidRPr="002D57BE">
        <w:t xml:space="preserve">reviewing </w:t>
      </w:r>
      <w:r w:rsidR="009413A7" w:rsidRPr="002D57BE">
        <w:t xml:space="preserve">court explicitly or implicitly found </w:t>
      </w:r>
      <w:r w:rsidR="00BB6711" w:rsidRPr="002D57BE">
        <w:t>a lack of</w:t>
      </w:r>
      <w:r w:rsidR="009413A7" w:rsidRPr="002D57BE">
        <w:t xml:space="preserve"> good cause for </w:t>
      </w:r>
      <w:r w:rsidR="00941EF4" w:rsidRPr="002D57BE">
        <w:t>the</w:t>
      </w:r>
      <w:r w:rsidR="009413A7" w:rsidRPr="002D57BE">
        <w:t xml:space="preserve"> continuance in the first place.  There was therefore </w:t>
      </w:r>
      <w:r w:rsidR="00B71E04" w:rsidRPr="002D57BE">
        <w:t>l</w:t>
      </w:r>
      <w:r w:rsidR="00526407" w:rsidRPr="002D57BE">
        <w:t xml:space="preserve">ess </w:t>
      </w:r>
      <w:r w:rsidR="00B71E04" w:rsidRPr="002D57BE">
        <w:t>need</w:t>
      </w:r>
      <w:r w:rsidR="009413A7" w:rsidRPr="002D57BE">
        <w:t xml:space="preserve"> for the court to </w:t>
      </w:r>
      <w:r w:rsidR="00B71E04" w:rsidRPr="002D57BE">
        <w:t xml:space="preserve">rigorously </w:t>
      </w:r>
      <w:r w:rsidR="009413A7" w:rsidRPr="002D57BE">
        <w:t xml:space="preserve">analyze the strength of the defendant’s showing of prejudice as balanced against the strength of the good cause for the continuance in order to find </w:t>
      </w:r>
      <w:r w:rsidR="00B71E04" w:rsidRPr="002D57BE">
        <w:t>an abuse of discretion.</w:t>
      </w:r>
      <w:r w:rsidRPr="002D57BE">
        <w:t xml:space="preserve">  </w:t>
      </w:r>
      <w:r w:rsidR="00182C1E" w:rsidRPr="002D57BE">
        <w:t xml:space="preserve">Here, it is undisputed that there was exceptionally good cause for the </w:t>
      </w:r>
      <w:r w:rsidR="00C5274D" w:rsidRPr="002D57BE">
        <w:t xml:space="preserve">continuance </w:t>
      </w:r>
      <w:r w:rsidR="00FB2E50" w:rsidRPr="002D57BE">
        <w:t>bas</w:t>
      </w:r>
      <w:r w:rsidR="00350F5D" w:rsidRPr="002D57BE">
        <w:t>ed on the emergency orders issued</w:t>
      </w:r>
      <w:r w:rsidR="003F6092" w:rsidRPr="002D57BE">
        <w:t xml:space="preserve"> due to the pandemic</w:t>
      </w:r>
      <w:r w:rsidR="00350F5D" w:rsidRPr="002D57BE">
        <w:t xml:space="preserve">. </w:t>
      </w:r>
      <w:r w:rsidR="001A6851" w:rsidRPr="002D57BE">
        <w:t xml:space="preserve"> Unlike in </w:t>
      </w:r>
      <w:r w:rsidR="001A6851" w:rsidRPr="002D57BE">
        <w:rPr>
          <w:i/>
          <w:iCs/>
        </w:rPr>
        <w:t xml:space="preserve">Dinsmore, Engleman, Santamaria, </w:t>
      </w:r>
      <w:r w:rsidR="001A6851" w:rsidRPr="002D57BE">
        <w:t xml:space="preserve">and </w:t>
      </w:r>
      <w:r w:rsidR="001A6851" w:rsidRPr="002D57BE">
        <w:rPr>
          <w:i/>
          <w:iCs/>
        </w:rPr>
        <w:t>Hay</w:t>
      </w:r>
      <w:r w:rsidR="001A6851" w:rsidRPr="002D57BE">
        <w:t>, the trial court had no</w:t>
      </w:r>
      <w:r w:rsidR="008F1F77" w:rsidRPr="002D57BE">
        <w:t xml:space="preserve"> choice</w:t>
      </w:r>
      <w:r w:rsidR="001A6851" w:rsidRPr="002D57BE">
        <w:t xml:space="preserve"> but to continue trial.</w:t>
      </w:r>
      <w:r w:rsidR="008A3203" w:rsidRPr="002D57BE">
        <w:t xml:space="preserve">  </w:t>
      </w:r>
    </w:p>
    <w:p w14:paraId="13F99ECE" w14:textId="4B012974" w:rsidR="00BB6711" w:rsidRPr="002D57BE" w:rsidRDefault="00C6573A" w:rsidP="001A05AD">
      <w:pPr>
        <w:tabs>
          <w:tab w:val="clear" w:pos="720"/>
          <w:tab w:val="left" w:pos="0"/>
        </w:tabs>
        <w:spacing w:line="360" w:lineRule="auto"/>
      </w:pPr>
      <w:r w:rsidRPr="002D57BE">
        <w:tab/>
        <w:t xml:space="preserve">At </w:t>
      </w:r>
      <w:r w:rsidR="00CA24E5" w:rsidRPr="002D57BE">
        <w:t>the hearing on the motion for mistrial</w:t>
      </w:r>
      <w:r w:rsidR="009A3EDD" w:rsidRPr="002D57BE">
        <w:t xml:space="preserve">, the trial court </w:t>
      </w:r>
      <w:r w:rsidR="003933CB" w:rsidRPr="002D57BE">
        <w:t xml:space="preserve">distinguished </w:t>
      </w:r>
      <w:r w:rsidR="00C37F3B" w:rsidRPr="002D57BE">
        <w:t>the facts here from the cases</w:t>
      </w:r>
      <w:r w:rsidR="008F7728" w:rsidRPr="002D57BE">
        <w:t xml:space="preserve"> regarding midtrial continuances</w:t>
      </w:r>
      <w:r w:rsidR="00C37F3B" w:rsidRPr="002D57BE">
        <w:t xml:space="preserve"> cited in </w:t>
      </w:r>
      <w:r w:rsidR="006C03C3" w:rsidRPr="002D57BE">
        <w:t>Scott’s</w:t>
      </w:r>
      <w:r w:rsidR="00C37F3B" w:rsidRPr="002D57BE">
        <w:t xml:space="preserve"> moving papers </w:t>
      </w:r>
      <w:r w:rsidR="008F7728" w:rsidRPr="002D57BE">
        <w:t xml:space="preserve">and </w:t>
      </w:r>
      <w:r w:rsidR="00DA1A2B" w:rsidRPr="002D57BE">
        <w:t>stated</w:t>
      </w:r>
      <w:r w:rsidR="008F7728" w:rsidRPr="002D57BE">
        <w:t>, “This is not a jurors’ vacation.  I’m not going off to play golf for a couple of weeks while your client sits in custody.  This is something that was mandatory, that no one expected and we all have to be flexible in this regard.”</w:t>
      </w:r>
      <w:r w:rsidR="003933CB" w:rsidRPr="002D57BE">
        <w:t xml:space="preserve"> </w:t>
      </w:r>
      <w:r w:rsidR="00DA1A2B" w:rsidRPr="002D57BE">
        <w:t xml:space="preserve"> </w:t>
      </w:r>
      <w:r w:rsidR="008C6E4F" w:rsidRPr="002D57BE">
        <w:t>The</w:t>
      </w:r>
      <w:r w:rsidR="000824FC" w:rsidRPr="002D57BE">
        <w:t xml:space="preserve"> trial court was in an extremely difficult </w:t>
      </w:r>
      <w:r w:rsidR="007810A9" w:rsidRPr="002D57BE">
        <w:t>position</w:t>
      </w:r>
      <w:r w:rsidR="00D242B7" w:rsidRPr="002D57BE">
        <w:t>.</w:t>
      </w:r>
      <w:r w:rsidR="007810A9" w:rsidRPr="002D57BE">
        <w:t xml:space="preserve"> </w:t>
      </w:r>
      <w:r w:rsidR="00D242B7" w:rsidRPr="002D57BE">
        <w:t xml:space="preserve"> I</w:t>
      </w:r>
      <w:r w:rsidR="007810A9" w:rsidRPr="002D57BE">
        <w:t xml:space="preserve">t had no choice but to comply with the </w:t>
      </w:r>
      <w:r w:rsidR="00A84493" w:rsidRPr="002D57BE">
        <w:t xml:space="preserve">closure </w:t>
      </w:r>
      <w:r w:rsidR="007810A9" w:rsidRPr="002D57BE">
        <w:t xml:space="preserve">orders </w:t>
      </w:r>
      <w:r w:rsidR="00A84493" w:rsidRPr="002D57BE">
        <w:t>issued by the Chief Justice and by Alameda County</w:t>
      </w:r>
      <w:r w:rsidR="00D63D0B" w:rsidRPr="002D57BE">
        <w:t xml:space="preserve"> bu</w:t>
      </w:r>
      <w:r w:rsidR="002E2FE3" w:rsidRPr="002D57BE">
        <w:t xml:space="preserve">t </w:t>
      </w:r>
      <w:r w:rsidR="009508C8" w:rsidRPr="002D57BE">
        <w:t>was concerned about</w:t>
      </w:r>
      <w:r w:rsidR="00616BDC" w:rsidRPr="002D57BE">
        <w:t xml:space="preserve"> </w:t>
      </w:r>
      <w:r w:rsidR="005F6B6C" w:rsidRPr="002D57BE">
        <w:t>appellants’ right to</w:t>
      </w:r>
      <w:r w:rsidR="000828EA" w:rsidRPr="002D57BE">
        <w:t xml:space="preserve"> a fair</w:t>
      </w:r>
      <w:r w:rsidR="008609CB" w:rsidRPr="002D57BE">
        <w:t xml:space="preserve"> and speedy</w:t>
      </w:r>
      <w:r w:rsidR="002A2AD8" w:rsidRPr="002D57BE">
        <w:t xml:space="preserve"> trial</w:t>
      </w:r>
      <w:r w:rsidR="00616BDC" w:rsidRPr="002D57BE">
        <w:t>, as evidenced by its commen</w:t>
      </w:r>
      <w:r w:rsidR="005F6B6C" w:rsidRPr="002D57BE">
        <w:t>t</w:t>
      </w:r>
      <w:r w:rsidR="00616BDC" w:rsidRPr="002D57BE">
        <w:t xml:space="preserve"> that “[w]e just cannot have people lan</w:t>
      </w:r>
      <w:r w:rsidR="00AA77F2" w:rsidRPr="002D57BE">
        <w:t>guishing in custody</w:t>
      </w:r>
      <w:r w:rsidR="001044D8" w:rsidRPr="002D57BE">
        <w:t xml:space="preserve"> . . . .</w:t>
      </w:r>
      <w:r w:rsidR="005F6B6C" w:rsidRPr="002D57BE">
        <w:t xml:space="preserve">”  </w:t>
      </w:r>
    </w:p>
    <w:p w14:paraId="1A320265" w14:textId="1B68D677" w:rsidR="00090F72" w:rsidRPr="002D57BE" w:rsidRDefault="00C6573A" w:rsidP="001A05AD">
      <w:pPr>
        <w:pStyle w:val="BodyText"/>
        <w:widowControl/>
        <w:spacing w:line="360" w:lineRule="auto"/>
        <w:ind w:left="0" w:firstLine="720"/>
      </w:pPr>
      <w:bookmarkStart w:id="2" w:name="_Hlk112855764"/>
      <w:r w:rsidRPr="002D57BE">
        <w:lastRenderedPageBreak/>
        <w:t>The pertinent issue</w:t>
      </w:r>
      <w:r w:rsidR="002B7D56" w:rsidRPr="002D57BE">
        <w:t xml:space="preserve"> then, is not whether the trial court erred i</w:t>
      </w:r>
      <w:r w:rsidR="00D267A9" w:rsidRPr="002D57BE">
        <w:t>n ordering a midtrial continuance</w:t>
      </w:r>
      <w:r w:rsidR="002B7D56" w:rsidRPr="002D57BE">
        <w:t>, but whether</w:t>
      </w:r>
      <w:r w:rsidR="00A25301" w:rsidRPr="002D57BE">
        <w:t xml:space="preserve"> it erred</w:t>
      </w:r>
      <w:r w:rsidR="002B7D56" w:rsidRPr="002D57BE">
        <w:t xml:space="preserve"> in denying the motion for mistrial following the </w:t>
      </w:r>
      <w:r w:rsidR="0015195B" w:rsidRPr="002D57BE">
        <w:t xml:space="preserve">mandatory </w:t>
      </w:r>
      <w:r w:rsidR="002B7D56" w:rsidRPr="002D57BE">
        <w:t>continuance</w:t>
      </w:r>
      <w:r w:rsidR="00A25301" w:rsidRPr="002D57BE">
        <w:t>.</w:t>
      </w:r>
      <w:r w:rsidR="00767333" w:rsidRPr="002D57BE">
        <w:t xml:space="preserve">  Th</w:t>
      </w:r>
      <w:r w:rsidR="0091665F" w:rsidRPr="002D57BE">
        <w:t>is</w:t>
      </w:r>
      <w:r w:rsidR="0027716F" w:rsidRPr="002D57BE">
        <w:t xml:space="preserve"> denial is reviewed for abuse </w:t>
      </w:r>
      <w:r w:rsidR="00767333" w:rsidRPr="002D57BE">
        <w:t>of discretion.</w:t>
      </w:r>
      <w:r w:rsidR="000035A4" w:rsidRPr="002D57BE">
        <w:t xml:space="preserve"> </w:t>
      </w:r>
      <w:r w:rsidR="001F7344" w:rsidRPr="002D57BE">
        <w:t xml:space="preserve"> Based</w:t>
      </w:r>
      <w:r w:rsidR="00C9471D" w:rsidRPr="002D57BE">
        <w:t xml:space="preserve"> on the timing of the continuance, the complexity of the case, and </w:t>
      </w:r>
      <w:r w:rsidRPr="002D57BE">
        <w:t xml:space="preserve">the trial court’s communications with and instructions to the jury, we find no error. </w:t>
      </w:r>
    </w:p>
    <w:bookmarkEnd w:id="2"/>
    <w:p w14:paraId="23D6D5AF" w14:textId="11EC5591" w:rsidR="00E06278" w:rsidRPr="002D57BE" w:rsidRDefault="00C6573A" w:rsidP="001A05AD">
      <w:pPr>
        <w:pStyle w:val="BodyText"/>
        <w:widowControl/>
        <w:numPr>
          <w:ilvl w:val="2"/>
          <w:numId w:val="7"/>
        </w:numPr>
        <w:spacing w:line="360" w:lineRule="auto"/>
        <w:rPr>
          <w:i/>
          <w:iCs/>
        </w:rPr>
      </w:pPr>
      <w:r w:rsidRPr="002D57BE">
        <w:rPr>
          <w:i/>
          <w:iCs/>
        </w:rPr>
        <w:t>Timing of the Continuance</w:t>
      </w:r>
    </w:p>
    <w:p w14:paraId="531CDCDE" w14:textId="358D02F5" w:rsidR="0063730C" w:rsidRPr="002D57BE" w:rsidRDefault="00C6573A" w:rsidP="001A05AD">
      <w:pPr>
        <w:pStyle w:val="BodyText"/>
        <w:widowControl/>
        <w:spacing w:line="360" w:lineRule="auto"/>
        <w:ind w:left="0" w:firstLine="720"/>
      </w:pPr>
      <w:r w:rsidRPr="002D57BE">
        <w:t>In</w:t>
      </w:r>
      <w:r w:rsidR="00EB6C7B" w:rsidRPr="002D57BE">
        <w:t xml:space="preserve"> </w:t>
      </w:r>
      <w:r w:rsidR="00EB6C7B" w:rsidRPr="002D57BE">
        <w:rPr>
          <w:i/>
          <w:iCs/>
        </w:rPr>
        <w:t>Santamaria</w:t>
      </w:r>
      <w:r w:rsidR="00A1004A" w:rsidRPr="002D57BE">
        <w:rPr>
          <w:i/>
          <w:iCs/>
        </w:rPr>
        <w:t xml:space="preserve">, supra, </w:t>
      </w:r>
      <w:r w:rsidR="00AE3A5F" w:rsidRPr="002D57BE">
        <w:t>229 Cal.App.3d 269</w:t>
      </w:r>
      <w:r w:rsidR="00EB6C7B" w:rsidRPr="002D57BE">
        <w:t xml:space="preserve">, </w:t>
      </w:r>
      <w:r w:rsidRPr="002D57BE">
        <w:t xml:space="preserve">our colleagues in Division </w:t>
      </w:r>
      <w:r w:rsidR="00000D2E" w:rsidRPr="002D57BE">
        <w:t>Three</w:t>
      </w:r>
      <w:r w:rsidRPr="002D57BE">
        <w:t xml:space="preserve"> were faced with an 11-day interruption while the jury was deliberating to enable the judge to go on vacation.  </w:t>
      </w:r>
      <w:r w:rsidR="004121F9" w:rsidRPr="002D57BE">
        <w:t>Un</w:t>
      </w:r>
      <w:r w:rsidRPr="002D57BE">
        <w:t>surprisingly, we concluded that this continuance was improperly granted and lack</w:t>
      </w:r>
      <w:r w:rsidR="005B33F4" w:rsidRPr="002D57BE">
        <w:t>ed</w:t>
      </w:r>
      <w:r w:rsidRPr="002D57BE">
        <w:t xml:space="preserve"> good cause. </w:t>
      </w:r>
      <w:r w:rsidR="004121F9" w:rsidRPr="002D57BE">
        <w:t xml:space="preserve"> (</w:t>
      </w:r>
      <w:r w:rsidR="004121F9" w:rsidRPr="002D57BE">
        <w:rPr>
          <w:i/>
          <w:iCs/>
        </w:rPr>
        <w:t>Id.</w:t>
      </w:r>
      <w:r w:rsidR="004121F9" w:rsidRPr="002D57BE">
        <w:t xml:space="preserve"> at p. 272.) </w:t>
      </w:r>
      <w:r w:rsidRPr="002D57BE">
        <w:t xml:space="preserve"> We then proceeded to analyze</w:t>
      </w:r>
      <w:r w:rsidRPr="002D57BE">
        <w:t xml:space="preserve"> whether the defendant was pre</w:t>
      </w:r>
      <w:r w:rsidR="004121F9" w:rsidRPr="002D57BE">
        <w:t xml:space="preserve">judiced by the interruption.  </w:t>
      </w:r>
      <w:r w:rsidR="00185E83" w:rsidRPr="002D57BE">
        <w:t>Based on the lack of good cause, we</w:t>
      </w:r>
      <w:r w:rsidR="004121F9" w:rsidRPr="002D57BE">
        <w:t xml:space="preserve"> concluded that an “11-day continuance granted without established necessity” was not harmless error under any standard.</w:t>
      </w:r>
      <w:r w:rsidR="00A45A1D">
        <w:t xml:space="preserve"> </w:t>
      </w:r>
      <w:r w:rsidR="004121F9" w:rsidRPr="002D57BE">
        <w:t xml:space="preserve"> </w:t>
      </w:r>
      <w:r w:rsidR="00D314F4" w:rsidRPr="002D57BE">
        <w:t>(</w:t>
      </w:r>
      <w:r w:rsidR="00D314F4" w:rsidRPr="002D57BE">
        <w:rPr>
          <w:i/>
          <w:iCs/>
        </w:rPr>
        <w:t>Id.</w:t>
      </w:r>
      <w:r w:rsidR="00D314F4" w:rsidRPr="002D57BE">
        <w:t xml:space="preserve"> at p. 283.)</w:t>
      </w:r>
    </w:p>
    <w:p w14:paraId="38B4A1A8" w14:textId="6CB1ACF8" w:rsidR="00222CB7" w:rsidRPr="002D57BE" w:rsidRDefault="00C6573A" w:rsidP="001A05AD">
      <w:pPr>
        <w:pStyle w:val="BodyText"/>
        <w:widowControl/>
        <w:spacing w:line="360" w:lineRule="auto"/>
        <w:ind w:left="0" w:firstLine="720"/>
      </w:pPr>
      <w:r w:rsidRPr="002D57BE">
        <w:t xml:space="preserve">In </w:t>
      </w:r>
      <w:r w:rsidRPr="002D57BE">
        <w:rPr>
          <w:i/>
          <w:iCs/>
        </w:rPr>
        <w:t>Engleman</w:t>
      </w:r>
      <w:r w:rsidRPr="002D57BE">
        <w:t xml:space="preserve">, </w:t>
      </w:r>
      <w:r w:rsidRPr="002D57BE">
        <w:rPr>
          <w:i/>
          <w:iCs/>
        </w:rPr>
        <w:t>supra</w:t>
      </w:r>
      <w:r w:rsidRPr="002D57BE">
        <w:t>, 11</w:t>
      </w:r>
      <w:r w:rsidRPr="002D57BE">
        <w:t>6 Cal.App.3d Supp. 14,</w:t>
      </w:r>
      <w:r w:rsidR="00F60E74" w:rsidRPr="002D57BE">
        <w:t xml:space="preserve"> </w:t>
      </w:r>
      <w:r w:rsidRPr="002D57BE">
        <w:t xml:space="preserve">the </w:t>
      </w:r>
      <w:r w:rsidR="00820E5D" w:rsidRPr="002D57BE">
        <w:t xml:space="preserve">three-week </w:t>
      </w:r>
      <w:r w:rsidR="009F201E" w:rsidRPr="002D57BE">
        <w:t>continuance to accommodate the judge’s schedule</w:t>
      </w:r>
      <w:r w:rsidRPr="002D57BE">
        <w:t xml:space="preserve"> occurred </w:t>
      </w:r>
      <w:r w:rsidR="00C30E8A" w:rsidRPr="002D57BE">
        <w:t>after the prosecution rested</w:t>
      </w:r>
      <w:r w:rsidR="00820E5D" w:rsidRPr="002D57BE">
        <w:t xml:space="preserve"> and before the defense </w:t>
      </w:r>
      <w:r w:rsidR="00C51FC9" w:rsidRPr="002D57BE">
        <w:t>presented</w:t>
      </w:r>
      <w:r w:rsidR="00820E5D" w:rsidRPr="002D57BE">
        <w:t xml:space="preserve"> its case. </w:t>
      </w:r>
      <w:r w:rsidR="009F201E" w:rsidRPr="002D57BE">
        <w:t xml:space="preserve"> </w:t>
      </w:r>
      <w:r w:rsidR="00820E5D" w:rsidRPr="002D57BE">
        <w:t xml:space="preserve">The court </w:t>
      </w:r>
      <w:r w:rsidR="00B71953" w:rsidRPr="002D57BE">
        <w:t>held that this was prejudicia</w:t>
      </w:r>
      <w:r w:rsidR="00015240" w:rsidRPr="002D57BE">
        <w:t xml:space="preserve">l, as the timing of the continuance </w:t>
      </w:r>
      <w:r w:rsidR="00330D33" w:rsidRPr="002D57BE">
        <w:t xml:space="preserve">left </w:t>
      </w:r>
      <w:r w:rsidR="00F60E74" w:rsidRPr="002D57BE">
        <w:t>the jur</w:t>
      </w:r>
      <w:r w:rsidR="008411F7" w:rsidRPr="002D57BE">
        <w:t>ors</w:t>
      </w:r>
      <w:r w:rsidR="00F60E74" w:rsidRPr="002D57BE">
        <w:t xml:space="preserve"> with a one-sided presentation</w:t>
      </w:r>
      <w:r w:rsidR="00330D33" w:rsidRPr="002D57BE">
        <w:t xml:space="preserve"> for weeks, which </w:t>
      </w:r>
      <w:r w:rsidR="008411F7" w:rsidRPr="002D57BE">
        <w:t>may have caused them to</w:t>
      </w:r>
      <w:r w:rsidR="002C4BC1" w:rsidRPr="002D57BE">
        <w:t xml:space="preserve"> decid</w:t>
      </w:r>
      <w:r w:rsidR="008411F7" w:rsidRPr="002D57BE">
        <w:t>e</w:t>
      </w:r>
      <w:r w:rsidR="002C4BC1" w:rsidRPr="002D57BE">
        <w:t xml:space="preserve"> the case before hearing </w:t>
      </w:r>
      <w:r w:rsidR="001E14B1" w:rsidRPr="002D57BE">
        <w:t>evidence from the defense</w:t>
      </w:r>
      <w:r w:rsidR="001F6CDB" w:rsidRPr="002D57BE">
        <w:t xml:space="preserve">. </w:t>
      </w:r>
      <w:r w:rsidR="002C4BC1" w:rsidRPr="002D57BE">
        <w:t xml:space="preserve"> </w:t>
      </w:r>
      <w:r w:rsidR="00015240" w:rsidRPr="002D57BE">
        <w:t>(</w:t>
      </w:r>
      <w:r w:rsidR="00015240" w:rsidRPr="002D57BE">
        <w:rPr>
          <w:i/>
          <w:iCs/>
        </w:rPr>
        <w:t>Id.</w:t>
      </w:r>
      <w:r w:rsidR="00015240" w:rsidRPr="002D57BE">
        <w:t xml:space="preserve"> at p. 21.)  </w:t>
      </w:r>
    </w:p>
    <w:p w14:paraId="60CBAC9A" w14:textId="1D2CD8EC" w:rsidR="00C6663C" w:rsidRPr="002D57BE" w:rsidRDefault="00C6573A" w:rsidP="001A05AD">
      <w:pPr>
        <w:pStyle w:val="BodyText"/>
        <w:widowControl/>
        <w:spacing w:line="360" w:lineRule="auto"/>
        <w:ind w:left="0" w:firstLine="720"/>
      </w:pPr>
      <w:r w:rsidRPr="002D57BE">
        <w:t>By contrast, the</w:t>
      </w:r>
      <w:r w:rsidR="00A267BE" w:rsidRPr="002D57BE">
        <w:t xml:space="preserve"> continuance here </w:t>
      </w:r>
      <w:r w:rsidR="006373CB" w:rsidRPr="002D57BE">
        <w:t>occur</w:t>
      </w:r>
      <w:r w:rsidR="003000B6" w:rsidRPr="002D57BE">
        <w:t xml:space="preserve">red after both parties </w:t>
      </w:r>
      <w:r w:rsidR="00D21489" w:rsidRPr="002D57BE">
        <w:t>rested</w:t>
      </w:r>
      <w:r w:rsidR="007F0139" w:rsidRPr="002D57BE">
        <w:t>.  The</w:t>
      </w:r>
      <w:r w:rsidR="00C05369" w:rsidRPr="002D57BE">
        <w:t>refore, the</w:t>
      </w:r>
      <w:r w:rsidR="007F0139" w:rsidRPr="002D57BE">
        <w:t xml:space="preserve"> prosecution’s evidence </w:t>
      </w:r>
      <w:r w:rsidR="000E0A6D" w:rsidRPr="002D57BE">
        <w:t>was</w:t>
      </w:r>
      <w:r w:rsidR="007F0139" w:rsidRPr="002D57BE">
        <w:t xml:space="preserve"> not the last impression left with the jury</w:t>
      </w:r>
      <w:r w:rsidR="000E0A6D" w:rsidRPr="002D57BE">
        <w:t xml:space="preserve"> during the </w:t>
      </w:r>
      <w:r w:rsidR="00581512" w:rsidRPr="002D57BE">
        <w:t>103-day recess</w:t>
      </w:r>
      <w:r w:rsidR="000E0A6D" w:rsidRPr="002D57BE">
        <w:t>.</w:t>
      </w:r>
      <w:r w:rsidR="00581512" w:rsidRPr="002D57BE">
        <w:t xml:space="preserve">  </w:t>
      </w:r>
      <w:r w:rsidR="003939B0" w:rsidRPr="002D57BE">
        <w:t xml:space="preserve">When the jury returned, </w:t>
      </w:r>
      <w:r w:rsidR="00CD0E5F" w:rsidRPr="002D57BE">
        <w:t>counsel had the chance to summarize the evidence and remind the ju</w:t>
      </w:r>
      <w:r w:rsidR="002B4CA8" w:rsidRPr="002D57BE">
        <w:t>rors</w:t>
      </w:r>
      <w:r w:rsidR="00CD0E5F" w:rsidRPr="002D57BE">
        <w:t xml:space="preserve"> </w:t>
      </w:r>
      <w:r w:rsidR="002D48A5" w:rsidRPr="002D57BE">
        <w:t>of its theories during closing arguments</w:t>
      </w:r>
      <w:r w:rsidR="00DE10E0" w:rsidRPr="002D57BE">
        <w:t>.</w:t>
      </w:r>
      <w:r w:rsidR="00E33713" w:rsidRPr="002D57BE">
        <w:t xml:space="preserve"> </w:t>
      </w:r>
      <w:r w:rsidR="002B4CA8" w:rsidRPr="002D57BE">
        <w:t xml:space="preserve"> The trial court then instructed</w:t>
      </w:r>
      <w:r w:rsidR="00C77557" w:rsidRPr="002D57BE">
        <w:t xml:space="preserve"> the jurors before they began their deliberations.  </w:t>
      </w:r>
      <w:r w:rsidR="00C51C44" w:rsidRPr="002D57BE">
        <w:t xml:space="preserve">Although </w:t>
      </w:r>
      <w:r w:rsidR="00537FF7" w:rsidRPr="002D57BE">
        <w:t xml:space="preserve">no midtrial </w:t>
      </w:r>
      <w:r w:rsidR="00F50E18" w:rsidRPr="002D57BE">
        <w:t>delay is ideal,</w:t>
      </w:r>
      <w:r w:rsidR="00E45BFD" w:rsidRPr="002D57BE">
        <w:t xml:space="preserve"> similar to</w:t>
      </w:r>
      <w:r w:rsidR="00E45BFD" w:rsidRPr="002D57BE">
        <w:rPr>
          <w:i/>
          <w:iCs/>
        </w:rPr>
        <w:t xml:space="preserve"> </w:t>
      </w:r>
      <w:r w:rsidR="00E45BFD" w:rsidRPr="002D57BE">
        <w:rPr>
          <w:i/>
          <w:iCs/>
        </w:rPr>
        <w:lastRenderedPageBreak/>
        <w:t>Gray</w:t>
      </w:r>
      <w:r w:rsidR="00E45BFD" w:rsidRPr="002D57BE">
        <w:t xml:space="preserve">, </w:t>
      </w:r>
      <w:r w:rsidR="00E45BFD" w:rsidRPr="002D57BE">
        <w:rPr>
          <w:i/>
          <w:iCs/>
        </w:rPr>
        <w:t>supra</w:t>
      </w:r>
      <w:r w:rsidR="00E45BFD" w:rsidRPr="002D57BE">
        <w:t>, 37 Cal.4th 168,</w:t>
      </w:r>
      <w:r w:rsidR="00F50E18" w:rsidRPr="002D57BE">
        <w:t xml:space="preserve"> </w:t>
      </w:r>
      <w:r w:rsidR="00B72B42" w:rsidRPr="002D57BE">
        <w:t xml:space="preserve">the </w:t>
      </w:r>
      <w:r w:rsidR="004E5230" w:rsidRPr="002D57BE">
        <w:t xml:space="preserve">timing of the delay </w:t>
      </w:r>
      <w:r w:rsidR="00B72B42" w:rsidRPr="002D57BE">
        <w:t>at least occurred</w:t>
      </w:r>
      <w:r w:rsidR="003C11A2" w:rsidRPr="002D57BE">
        <w:t xml:space="preserve"> at a natural break during the trial</w:t>
      </w:r>
      <w:r w:rsidR="00E45BFD" w:rsidRPr="002D57BE">
        <w:t xml:space="preserve">. </w:t>
      </w:r>
      <w:r w:rsidR="00B6269F" w:rsidRPr="002D57BE">
        <w:t xml:space="preserve"> T</w:t>
      </w:r>
      <w:r w:rsidR="00FB0A90" w:rsidRPr="002D57BE">
        <w:t xml:space="preserve">he trial court </w:t>
      </w:r>
      <w:r w:rsidR="00B6269F" w:rsidRPr="002D57BE">
        <w:t>recognized this</w:t>
      </w:r>
      <w:r w:rsidR="00FB0A90" w:rsidRPr="002D57BE">
        <w:t xml:space="preserve"> when it denied the motion for mistrial</w:t>
      </w:r>
      <w:r w:rsidR="00B6269F" w:rsidRPr="002D57BE">
        <w:t>, noting that the</w:t>
      </w:r>
      <w:r w:rsidR="00F02B7C" w:rsidRPr="002D57BE">
        <w:t xml:space="preserve"> </w:t>
      </w:r>
      <w:r w:rsidR="00BC7A24" w:rsidRPr="002D57BE">
        <w:t xml:space="preserve">parties </w:t>
      </w:r>
      <w:r w:rsidR="00FB0A90" w:rsidRPr="002D57BE">
        <w:t>would have the</w:t>
      </w:r>
      <w:r w:rsidR="00BC7A24" w:rsidRPr="002D57BE">
        <w:t xml:space="preserve"> opportunity to refresh the jury’s recollection </w:t>
      </w:r>
      <w:r w:rsidR="004C419A" w:rsidRPr="002D57BE">
        <w:t xml:space="preserve">of the evidence </w:t>
      </w:r>
      <w:r w:rsidR="00E14B21" w:rsidRPr="002D57BE">
        <w:t xml:space="preserve">in their closing arguments. </w:t>
      </w:r>
    </w:p>
    <w:p w14:paraId="4C46BEEB" w14:textId="73E91332" w:rsidR="00F77C0C" w:rsidRPr="002D57BE" w:rsidRDefault="00C6573A" w:rsidP="001A05AD">
      <w:pPr>
        <w:pStyle w:val="BodyText"/>
        <w:widowControl/>
        <w:numPr>
          <w:ilvl w:val="2"/>
          <w:numId w:val="7"/>
        </w:numPr>
        <w:spacing w:line="360" w:lineRule="auto"/>
        <w:rPr>
          <w:i/>
          <w:iCs/>
        </w:rPr>
      </w:pPr>
      <w:r w:rsidRPr="002D57BE">
        <w:rPr>
          <w:i/>
          <w:iCs/>
        </w:rPr>
        <w:t>Complexity of the Case</w:t>
      </w:r>
    </w:p>
    <w:p w14:paraId="345FFE75" w14:textId="0A9C5679" w:rsidR="00D72940" w:rsidRPr="002D57BE" w:rsidRDefault="00C6573A" w:rsidP="001A05AD">
      <w:pPr>
        <w:pStyle w:val="BodyText"/>
        <w:widowControl/>
        <w:spacing w:line="360" w:lineRule="auto"/>
        <w:ind w:firstLine="620"/>
      </w:pPr>
      <w:r w:rsidRPr="002D57BE">
        <w:t xml:space="preserve">Scott argues that this </w:t>
      </w:r>
      <w:r w:rsidRPr="002D57BE">
        <w:t>was a serious and complex case</w:t>
      </w:r>
      <w:r w:rsidR="00A64E04" w:rsidRPr="002D57BE">
        <w:t xml:space="preserve"> in which </w:t>
      </w:r>
      <w:r w:rsidR="007D1467" w:rsidRPr="002D57BE">
        <w:t xml:space="preserve">a lengthy midtrial delay compromised the jury’s ability to recall </w:t>
      </w:r>
      <w:r w:rsidR="00184AFC" w:rsidRPr="002D57BE">
        <w:t>the testimony of</w:t>
      </w:r>
      <w:r w:rsidR="00DB3D29" w:rsidRPr="002D57BE">
        <w:t xml:space="preserve"> </w:t>
      </w:r>
      <w:r w:rsidR="001C4674" w:rsidRPr="002D57BE">
        <w:t xml:space="preserve">the </w:t>
      </w:r>
      <w:r w:rsidR="00F9180F" w:rsidRPr="002D57BE">
        <w:t xml:space="preserve">key </w:t>
      </w:r>
      <w:r w:rsidR="00DB3D29" w:rsidRPr="002D57BE">
        <w:t xml:space="preserve">witnesses in order to </w:t>
      </w:r>
      <w:r w:rsidR="00BA01AF" w:rsidRPr="002D57BE">
        <w:t>make credibility assessments</w:t>
      </w:r>
      <w:r w:rsidR="00CE1055" w:rsidRPr="002D57BE">
        <w:t xml:space="preserve">. </w:t>
      </w:r>
      <w:r w:rsidR="00C45E41" w:rsidRPr="002D57BE">
        <w:t xml:space="preserve"> </w:t>
      </w:r>
      <w:r w:rsidR="00BA5A66" w:rsidRPr="002D57BE">
        <w:t>As</w:t>
      </w:r>
      <w:r w:rsidR="00C45E41" w:rsidRPr="002D57BE">
        <w:t xml:space="preserve"> the “lone African American in a Latino social group,” Scott contends that he was an easy target for the witnesses to all point the finger at as the shooter.  Scott’s attorney emphasized this point in his closing argument and stated that </w:t>
      </w:r>
      <w:r w:rsidR="00691300" w:rsidRPr="002D57BE">
        <w:t>the prosecution’s key</w:t>
      </w:r>
      <w:r w:rsidR="00C45E41" w:rsidRPr="002D57BE">
        <w:t xml:space="preserve"> witnesses were </w:t>
      </w:r>
      <w:r w:rsidR="00691300" w:rsidRPr="002D57BE">
        <w:t>incentivized</w:t>
      </w:r>
      <w:r w:rsidR="00C45E41" w:rsidRPr="002D57BE">
        <w:t xml:space="preserve"> to lie</w:t>
      </w:r>
      <w:r w:rsidR="00691300" w:rsidRPr="002D57BE">
        <w:t xml:space="preserve"> in order to receive shorter sentences</w:t>
      </w:r>
      <w:r w:rsidR="00067B1E" w:rsidRPr="002D57BE">
        <w:t xml:space="preserve"> pursuant to </w:t>
      </w:r>
      <w:r w:rsidR="00BF2FF5" w:rsidRPr="002D57BE">
        <w:t xml:space="preserve">the </w:t>
      </w:r>
      <w:r w:rsidR="00067B1E" w:rsidRPr="002D57BE">
        <w:t>plea deals</w:t>
      </w:r>
      <w:r w:rsidR="00BF2FF5" w:rsidRPr="002D57BE">
        <w:t xml:space="preserve"> they reached with the prosecution</w:t>
      </w:r>
      <w:r w:rsidR="00C45E41" w:rsidRPr="002D57BE">
        <w:t xml:space="preserve">. </w:t>
      </w:r>
    </w:p>
    <w:p w14:paraId="39AA726E" w14:textId="05685733" w:rsidR="00E617EB" w:rsidRPr="002D57BE" w:rsidRDefault="00C6573A" w:rsidP="001A05AD">
      <w:pPr>
        <w:pStyle w:val="BodyText"/>
        <w:widowControl/>
        <w:spacing w:line="360" w:lineRule="auto"/>
        <w:ind w:firstLine="620"/>
      </w:pPr>
      <w:r w:rsidRPr="002D57BE">
        <w:t xml:space="preserve">First, we note that </w:t>
      </w:r>
      <w:r w:rsidR="00765D61" w:rsidRPr="002D57BE">
        <w:t>although all murder cases are serious, not all of them are complex</w:t>
      </w:r>
      <w:r w:rsidR="001843AA" w:rsidRPr="002D57BE">
        <w:t xml:space="preserve"> such that a midtrial </w:t>
      </w:r>
      <w:r w:rsidR="00046F3B" w:rsidRPr="002D57BE">
        <w:t>continuance causes equal concern</w:t>
      </w:r>
      <w:r w:rsidR="008942E5" w:rsidRPr="002D57BE">
        <w:t xml:space="preserve"> with respect to juror recollection</w:t>
      </w:r>
      <w:r w:rsidR="00046F3B" w:rsidRPr="002D57BE">
        <w:t>.</w:t>
      </w:r>
      <w:r w:rsidR="005453DE" w:rsidRPr="002D57BE">
        <w:t xml:space="preserve">  </w:t>
      </w:r>
      <w:r w:rsidR="00046F3B" w:rsidRPr="002D57BE">
        <w:t xml:space="preserve">For example, in </w:t>
      </w:r>
      <w:r w:rsidR="00046F3B" w:rsidRPr="002D57BE">
        <w:rPr>
          <w:i/>
          <w:iCs/>
        </w:rPr>
        <w:t>Hay</w:t>
      </w:r>
      <w:r w:rsidR="00046F3B" w:rsidRPr="002D57BE">
        <w:t xml:space="preserve">, </w:t>
      </w:r>
      <w:r w:rsidR="00046F3B" w:rsidRPr="002D57BE">
        <w:rPr>
          <w:i/>
          <w:iCs/>
        </w:rPr>
        <w:t>supra</w:t>
      </w:r>
      <w:r w:rsidR="00046F3B" w:rsidRPr="002D57BE">
        <w:t xml:space="preserve">, </w:t>
      </w:r>
      <w:r w:rsidR="001F29CE" w:rsidRPr="002D57BE">
        <w:t xml:space="preserve">122 F.3d 1233, the Ninth Circuit </w:t>
      </w:r>
      <w:r w:rsidR="00056A51" w:rsidRPr="002D57BE">
        <w:t xml:space="preserve">stated that “the jury heard complex, technical evidence against two defendants over a period of nearly four months.  The jury could not be expected to adjourn this late in the case for a month and a half without forgetting any of the relevant </w:t>
      </w:r>
      <w:r w:rsidR="00AF75A3" w:rsidRPr="002D57BE">
        <w:t>evidence.”  (</w:t>
      </w:r>
      <w:r w:rsidR="00AF75A3" w:rsidRPr="002D57BE">
        <w:rPr>
          <w:i/>
          <w:iCs/>
        </w:rPr>
        <w:t>Id</w:t>
      </w:r>
      <w:r w:rsidR="00AF75A3" w:rsidRPr="002D57BE">
        <w:t xml:space="preserve">. at p. 1236.) </w:t>
      </w:r>
      <w:r w:rsidR="00B571C2" w:rsidRPr="002D57BE">
        <w:t xml:space="preserve"> </w:t>
      </w:r>
    </w:p>
    <w:p w14:paraId="7A0AE13B" w14:textId="4E30FB13" w:rsidR="00F07A6F" w:rsidRPr="002D57BE" w:rsidRDefault="00C6573A" w:rsidP="001A05AD">
      <w:pPr>
        <w:pStyle w:val="BodyText"/>
        <w:widowControl/>
        <w:spacing w:line="360" w:lineRule="auto"/>
        <w:ind w:firstLine="620"/>
      </w:pPr>
      <w:r w:rsidRPr="002D57BE">
        <w:t xml:space="preserve">In </w:t>
      </w:r>
      <w:r w:rsidR="00C6181C" w:rsidRPr="002D57BE">
        <w:rPr>
          <w:i/>
          <w:iCs/>
        </w:rPr>
        <w:t>Breceda</w:t>
      </w:r>
      <w:r w:rsidR="00C6181C" w:rsidRPr="002D57BE">
        <w:t xml:space="preserve">, </w:t>
      </w:r>
      <w:r w:rsidR="00C6181C" w:rsidRPr="002D57BE">
        <w:rPr>
          <w:i/>
          <w:iCs/>
        </w:rPr>
        <w:t>supra</w:t>
      </w:r>
      <w:r w:rsidR="00C6181C" w:rsidRPr="002D57BE">
        <w:t xml:space="preserve">, 76 Cal.App.5th 71, the court </w:t>
      </w:r>
      <w:r w:rsidR="00FE62B4" w:rsidRPr="002D57BE">
        <w:t xml:space="preserve">distinguished </w:t>
      </w:r>
      <w:r w:rsidR="00210BF3" w:rsidRPr="002D57BE">
        <w:rPr>
          <w:i/>
          <w:iCs/>
        </w:rPr>
        <w:t>Hay</w:t>
      </w:r>
      <w:r w:rsidR="00210BF3" w:rsidRPr="002D57BE">
        <w:t xml:space="preserve"> on this basis and stated that “there was no complex or scientific evidence such that a</w:t>
      </w:r>
      <w:r w:rsidR="004271B5" w:rsidRPr="002D57BE">
        <w:t xml:space="preserve"> </w:t>
      </w:r>
      <w:r w:rsidR="00210BF3" w:rsidRPr="002D57BE">
        <w:t xml:space="preserve">delay would have been detrimental to jurors’ </w:t>
      </w:r>
      <w:r w:rsidR="00A66833" w:rsidRPr="002D57BE">
        <w:t>ability to recall specific, complicated evidence.”  (</w:t>
      </w:r>
      <w:r w:rsidR="00A66833" w:rsidRPr="002D57BE">
        <w:rPr>
          <w:i/>
          <w:iCs/>
        </w:rPr>
        <w:t>Id</w:t>
      </w:r>
      <w:r w:rsidR="00A66833" w:rsidRPr="002D57BE">
        <w:t>. at p. 97.)</w:t>
      </w:r>
      <w:r w:rsidR="00D671F3" w:rsidRPr="002D57BE">
        <w:t xml:space="preserve">  “</w:t>
      </w:r>
      <w:r w:rsidR="00871ECF" w:rsidRPr="002D57BE">
        <w:t xml:space="preserve">Unlike in </w:t>
      </w:r>
      <w:r w:rsidR="00871ECF" w:rsidRPr="002D57BE">
        <w:rPr>
          <w:i/>
          <w:iCs/>
        </w:rPr>
        <w:t>Hay</w:t>
      </w:r>
      <w:r w:rsidR="00871ECF" w:rsidRPr="002D57BE">
        <w:t>, the case was not complex</w:t>
      </w:r>
      <w:r w:rsidR="00CF12B6" w:rsidRPr="002D57BE">
        <w:t>—</w:t>
      </w:r>
      <w:r w:rsidR="00871ECF" w:rsidRPr="002D57BE">
        <w:t>Breceda admitted he inflicted the mortal wound and the only issue was whether he did so intentionally or in self-</w:t>
      </w:r>
      <w:r w:rsidR="00973261" w:rsidRPr="002D57BE">
        <w:t>defense</w:t>
      </w:r>
      <w:r w:rsidR="00871ECF" w:rsidRPr="002D57BE">
        <w:t>.”  (</w:t>
      </w:r>
      <w:r w:rsidR="00871ECF" w:rsidRPr="002D57BE">
        <w:rPr>
          <w:i/>
          <w:iCs/>
        </w:rPr>
        <w:t>Id.</w:t>
      </w:r>
      <w:r w:rsidR="00871ECF" w:rsidRPr="002D57BE">
        <w:t xml:space="preserve"> at p. 100.)</w:t>
      </w:r>
      <w:r w:rsidR="00550645" w:rsidRPr="002D57BE">
        <w:t xml:space="preserve"> </w:t>
      </w:r>
      <w:r w:rsidR="00550645" w:rsidRPr="002D57BE">
        <w:lastRenderedPageBreak/>
        <w:t>Without</w:t>
      </w:r>
      <w:r w:rsidR="00220D1F" w:rsidRPr="002D57BE">
        <w:t xml:space="preserve"> any evidence of juror misconduct, the court concluded that a 73-day</w:t>
      </w:r>
      <w:r w:rsidR="006C3CEE" w:rsidRPr="002D57BE">
        <w:t xml:space="preserve"> delay alone (especially an unavoidable one) does not establish a due process violation.  </w:t>
      </w:r>
      <w:r w:rsidR="00B72789" w:rsidRPr="002D57BE">
        <w:t>(</w:t>
      </w:r>
      <w:r w:rsidR="00B72789" w:rsidRPr="002D57BE">
        <w:rPr>
          <w:i/>
          <w:iCs/>
        </w:rPr>
        <w:t>Id.</w:t>
      </w:r>
      <w:r w:rsidR="00B72789" w:rsidRPr="002D57BE">
        <w:t xml:space="preserve"> at p</w:t>
      </w:r>
      <w:r w:rsidR="00456A48" w:rsidRPr="002D57BE">
        <w:t>p. 94</w:t>
      </w:r>
      <w:r w:rsidR="00877DAA">
        <w:t>–</w:t>
      </w:r>
      <w:r w:rsidR="00456A48" w:rsidRPr="002D57BE">
        <w:t>95.)</w:t>
      </w:r>
    </w:p>
    <w:p w14:paraId="1ECF0E56" w14:textId="2AAE1190" w:rsidR="00733C6E" w:rsidRPr="002D57BE" w:rsidRDefault="00C6573A" w:rsidP="001A05AD">
      <w:pPr>
        <w:pStyle w:val="BodyText"/>
        <w:widowControl/>
        <w:spacing w:line="360" w:lineRule="auto"/>
        <w:ind w:firstLine="620"/>
      </w:pPr>
      <w:r w:rsidRPr="002D57BE">
        <w:t>In several respects, t</w:t>
      </w:r>
      <w:r w:rsidR="00B33835" w:rsidRPr="002D57BE">
        <w:t>his case</w:t>
      </w:r>
      <w:r w:rsidR="0071080F" w:rsidRPr="002D57BE">
        <w:t xml:space="preserve"> was even less complex</w:t>
      </w:r>
      <w:r w:rsidR="00B33835" w:rsidRPr="002D57BE">
        <w:t xml:space="preserve"> than </w:t>
      </w:r>
      <w:r w:rsidRPr="002D57BE">
        <w:rPr>
          <w:i/>
          <w:iCs/>
        </w:rPr>
        <w:t xml:space="preserve">Hay </w:t>
      </w:r>
      <w:r w:rsidRPr="002D57BE">
        <w:t xml:space="preserve">and </w:t>
      </w:r>
      <w:r w:rsidR="00B33835" w:rsidRPr="002D57BE">
        <w:rPr>
          <w:i/>
          <w:iCs/>
        </w:rPr>
        <w:t>Breceda</w:t>
      </w:r>
      <w:r w:rsidR="0071080F" w:rsidRPr="002D57BE">
        <w:t>.</w:t>
      </w:r>
      <w:r w:rsidR="009665B1" w:rsidRPr="002D57BE">
        <w:t xml:space="preserve">  Witness testimony </w:t>
      </w:r>
      <w:r w:rsidR="00831C80" w:rsidRPr="002D57BE">
        <w:t xml:space="preserve">did not involve </w:t>
      </w:r>
      <w:r w:rsidR="00BA30F8" w:rsidRPr="002D57BE">
        <w:t xml:space="preserve">any </w:t>
      </w:r>
      <w:r w:rsidR="00831C80" w:rsidRPr="002D57BE">
        <w:t xml:space="preserve">complex or scientific evidence </w:t>
      </w:r>
      <w:r w:rsidR="009665B1" w:rsidRPr="002D57BE">
        <w:t xml:space="preserve">and lasted for only eight days. </w:t>
      </w:r>
      <w:r w:rsidR="00F77661" w:rsidRPr="002D57BE">
        <w:t xml:space="preserve"> </w:t>
      </w:r>
      <w:r w:rsidR="00831C80" w:rsidRPr="002D57BE">
        <w:t xml:space="preserve">And </w:t>
      </w:r>
      <w:r w:rsidR="00F77661" w:rsidRPr="002D57BE">
        <w:t xml:space="preserve">unlike in </w:t>
      </w:r>
      <w:r w:rsidR="00F77661" w:rsidRPr="002D57BE">
        <w:rPr>
          <w:i/>
          <w:iCs/>
        </w:rPr>
        <w:t>Breceda</w:t>
      </w:r>
      <w:r w:rsidR="00F77661" w:rsidRPr="002D57BE">
        <w:t xml:space="preserve"> where the jury had</w:t>
      </w:r>
      <w:r w:rsidR="00B34363" w:rsidRPr="002D57BE">
        <w:t xml:space="preserve"> the difficult task of</w:t>
      </w:r>
      <w:r w:rsidR="00F77661" w:rsidRPr="002D57BE">
        <w:t xml:space="preserve"> </w:t>
      </w:r>
      <w:r w:rsidR="00074A54" w:rsidRPr="002D57BE">
        <w:t>determin</w:t>
      </w:r>
      <w:r w:rsidR="00B34363" w:rsidRPr="002D57BE">
        <w:t>ing</w:t>
      </w:r>
      <w:r w:rsidR="00074A54" w:rsidRPr="002D57BE">
        <w:t xml:space="preserve"> what Breceda’s state of mind was when he </w:t>
      </w:r>
      <w:r w:rsidR="00FC7E45" w:rsidRPr="002D57BE">
        <w:t xml:space="preserve">committed </w:t>
      </w:r>
      <w:r w:rsidR="00831C80" w:rsidRPr="002D57BE">
        <w:t>the offense</w:t>
      </w:r>
      <w:r w:rsidR="00FC7E45" w:rsidRPr="002D57BE">
        <w:t xml:space="preserve">, the jury here </w:t>
      </w:r>
      <w:r w:rsidR="009262B5" w:rsidRPr="002D57BE">
        <w:t xml:space="preserve">had to determine </w:t>
      </w:r>
      <w:r w:rsidR="006C0D5C" w:rsidRPr="002D57BE">
        <w:t>who</w:t>
      </w:r>
      <w:r w:rsidR="00DB21FE" w:rsidRPr="002D57BE">
        <w:t xml:space="preserve"> they believed </w:t>
      </w:r>
      <w:r w:rsidR="00B57904" w:rsidRPr="002D57BE">
        <w:t>since</w:t>
      </w:r>
      <w:r w:rsidR="00DB21FE" w:rsidRPr="002D57BE">
        <w:t xml:space="preserve"> Scott’s defense was that he was not </w:t>
      </w:r>
      <w:r w:rsidR="00681F6E" w:rsidRPr="002D57BE">
        <w:t>present when the</w:t>
      </w:r>
      <w:r w:rsidR="00DB21FE" w:rsidRPr="002D57BE">
        <w:t xml:space="preserve"> kidnapping and </w:t>
      </w:r>
      <w:r w:rsidR="00681F6E" w:rsidRPr="002D57BE">
        <w:t>murder occurred</w:t>
      </w:r>
      <w:r w:rsidR="00E66820" w:rsidRPr="002D57BE">
        <w:t xml:space="preserve"> while the prosecution’s witnesses testified that </w:t>
      </w:r>
      <w:r w:rsidR="00246116" w:rsidRPr="002D57BE">
        <w:t>he was</w:t>
      </w:r>
      <w:r w:rsidR="002270DE" w:rsidRPr="002D57BE">
        <w:t xml:space="preserve"> present</w:t>
      </w:r>
      <w:r w:rsidR="00D03DC1" w:rsidRPr="002D57BE">
        <w:t>.</w:t>
      </w:r>
      <w:r w:rsidR="00D8116F" w:rsidRPr="002D57BE">
        <w:t xml:space="preserve">  Scott’s state of mind</w:t>
      </w:r>
      <w:r w:rsidR="009133DA" w:rsidRPr="002D57BE">
        <w:t xml:space="preserve"> at the time of the shooting</w:t>
      </w:r>
      <w:r w:rsidR="00D8116F" w:rsidRPr="002D57BE">
        <w:t xml:space="preserve"> was not at issue.</w:t>
      </w:r>
    </w:p>
    <w:p w14:paraId="4F6225CF" w14:textId="19A229F4" w:rsidR="005D7BBE" w:rsidRPr="002D57BE" w:rsidRDefault="00C6573A" w:rsidP="001A05AD">
      <w:pPr>
        <w:tabs>
          <w:tab w:val="clear" w:pos="720"/>
          <w:tab w:val="left" w:pos="0"/>
        </w:tabs>
        <w:spacing w:line="360" w:lineRule="auto"/>
      </w:pPr>
      <w:r w:rsidRPr="002D57BE">
        <w:tab/>
      </w:r>
      <w:r w:rsidR="003B1AE0" w:rsidRPr="002D57BE">
        <w:t xml:space="preserve">Second, </w:t>
      </w:r>
      <w:r w:rsidR="00A81CD4" w:rsidRPr="002D57BE">
        <w:t xml:space="preserve">when </w:t>
      </w:r>
      <w:r w:rsidR="009625F2" w:rsidRPr="002D57BE">
        <w:t>denying</w:t>
      </w:r>
      <w:r w:rsidR="00A106D4" w:rsidRPr="002D57BE">
        <w:t xml:space="preserve"> the motion for mistrial, the trial court </w:t>
      </w:r>
      <w:r w:rsidR="00F43223" w:rsidRPr="002D57BE">
        <w:t>reasoned</w:t>
      </w:r>
      <w:r w:rsidR="00F9180F" w:rsidRPr="002D57BE">
        <w:t xml:space="preserve"> that the jurors’ notebooks, the reporter’s transcr</w:t>
      </w:r>
      <w:r w:rsidR="00A21C9D" w:rsidRPr="002D57BE">
        <w:t xml:space="preserve">ipt, </w:t>
      </w:r>
      <w:r w:rsidR="00834ADC" w:rsidRPr="002D57BE">
        <w:t>and the parties’ closing arguments would all serve to refresh the jur</w:t>
      </w:r>
      <w:r w:rsidR="004624A0" w:rsidRPr="002D57BE">
        <w:t>y’s</w:t>
      </w:r>
      <w:r w:rsidR="00834ADC" w:rsidRPr="002D57BE">
        <w:t xml:space="preserve"> recoll</w:t>
      </w:r>
      <w:r w:rsidR="00F00FC9" w:rsidRPr="002D57BE">
        <w:t>ection.</w:t>
      </w:r>
      <w:r w:rsidR="00063694" w:rsidRPr="002D57BE">
        <w:t xml:space="preserve">  </w:t>
      </w:r>
      <w:r w:rsidR="002437CF" w:rsidRPr="002D57BE">
        <w:t>The jur</w:t>
      </w:r>
      <w:r w:rsidR="001E6948" w:rsidRPr="002D57BE">
        <w:t>y</w:t>
      </w:r>
      <w:r w:rsidR="00096EFC" w:rsidRPr="002D57BE">
        <w:t xml:space="preserve"> </w:t>
      </w:r>
      <w:r w:rsidR="009F05C4" w:rsidRPr="002D57BE">
        <w:t xml:space="preserve">did in fact, </w:t>
      </w:r>
      <w:r w:rsidR="00096EFC" w:rsidRPr="002D57BE">
        <w:t xml:space="preserve">request readback </w:t>
      </w:r>
      <w:r w:rsidR="003516F1" w:rsidRPr="002D57BE">
        <w:t xml:space="preserve">during deliberations </w:t>
      </w:r>
      <w:r w:rsidR="000905BF" w:rsidRPr="002D57BE">
        <w:t>of the testimony of five eyewitnesses and appellants’ interviews with the police</w:t>
      </w:r>
      <w:r w:rsidR="009F05C4" w:rsidRPr="002D57BE">
        <w:t>.</w:t>
      </w:r>
      <w:r w:rsidR="000905BF" w:rsidRPr="002D57BE">
        <w:t xml:space="preserve"> </w:t>
      </w:r>
      <w:r w:rsidR="00174064" w:rsidRPr="002D57BE">
        <w:t xml:space="preserve"> </w:t>
      </w:r>
      <w:r w:rsidR="008750C7" w:rsidRPr="002D57BE">
        <w:t>The</w:t>
      </w:r>
      <w:r w:rsidR="00C62C52" w:rsidRPr="002D57BE">
        <w:t xml:space="preserve"> jury </w:t>
      </w:r>
      <w:r w:rsidR="008750C7" w:rsidRPr="002D57BE">
        <w:t>did not ask for the</w:t>
      </w:r>
      <w:r w:rsidR="00C62C52" w:rsidRPr="002D57BE">
        <w:t xml:space="preserve"> readback of Miller, Velasco, </w:t>
      </w:r>
      <w:r w:rsidR="002E1CD5" w:rsidRPr="002D57BE">
        <w:t>or</w:t>
      </w:r>
      <w:r w:rsidR="00C62C52" w:rsidRPr="002D57BE">
        <w:t xml:space="preserve"> Vera’s testimony </w:t>
      </w:r>
      <w:r w:rsidR="008750C7" w:rsidRPr="002D57BE">
        <w:t>until the third day of deliberations</w:t>
      </w:r>
      <w:r w:rsidR="002772E7" w:rsidRPr="002D57BE">
        <w:t xml:space="preserve">, which suggests that </w:t>
      </w:r>
      <w:r w:rsidRPr="002D57BE">
        <w:t xml:space="preserve">the jury recalled at least some of </w:t>
      </w:r>
      <w:r w:rsidR="00CF3030" w:rsidRPr="002D57BE">
        <w:t>the</w:t>
      </w:r>
      <w:r w:rsidR="009133DA" w:rsidRPr="002D57BE">
        <w:t>ir</w:t>
      </w:r>
      <w:r w:rsidR="00CF3030" w:rsidRPr="002D57BE">
        <w:t xml:space="preserve"> testimony </w:t>
      </w:r>
      <w:r w:rsidR="009133DA" w:rsidRPr="002D57BE">
        <w:t>from before</w:t>
      </w:r>
      <w:r w:rsidR="00042E36" w:rsidRPr="002D57BE">
        <w:t xml:space="preserve"> the recess. </w:t>
      </w:r>
      <w:r w:rsidR="00D71CC6" w:rsidRPr="002D57BE">
        <w:t xml:space="preserve"> At the time </w:t>
      </w:r>
      <w:r w:rsidR="00B22B03" w:rsidRPr="002D57BE">
        <w:t>of the</w:t>
      </w:r>
      <w:r w:rsidR="00D71CC6" w:rsidRPr="002D57BE">
        <w:t xml:space="preserve"> mistrial motion, there was no evidence that any jurors would have trouble remembering the evidence presented before the recess, and it would have been pure speculation </w:t>
      </w:r>
      <w:r w:rsidR="006B0FE2" w:rsidRPr="002D57BE">
        <w:t xml:space="preserve">for the </w:t>
      </w:r>
      <w:r w:rsidR="00B22B03" w:rsidRPr="002D57BE">
        <w:t xml:space="preserve">trial </w:t>
      </w:r>
      <w:r w:rsidR="006B0FE2" w:rsidRPr="002D57BE">
        <w:t>court to assume so.</w:t>
      </w:r>
    </w:p>
    <w:p w14:paraId="02F5720B" w14:textId="3D4422F3" w:rsidR="002772E7" w:rsidRPr="002D57BE" w:rsidRDefault="00C6573A" w:rsidP="001A05AD">
      <w:pPr>
        <w:tabs>
          <w:tab w:val="clear" w:pos="720"/>
          <w:tab w:val="left" w:pos="0"/>
        </w:tabs>
        <w:spacing w:line="360" w:lineRule="auto"/>
      </w:pPr>
      <w:r w:rsidRPr="002D57BE">
        <w:tab/>
        <w:t xml:space="preserve">Finally, Scott’s attorney attacked </w:t>
      </w:r>
      <w:r w:rsidR="00D07D57" w:rsidRPr="002D57BE">
        <w:t xml:space="preserve">the credibility of </w:t>
      </w:r>
      <w:r w:rsidR="00850FAB" w:rsidRPr="002D57BE">
        <w:t>these key</w:t>
      </w:r>
      <w:r w:rsidR="00D07D57" w:rsidRPr="002D57BE">
        <w:t xml:space="preserve"> witnesses </w:t>
      </w:r>
      <w:r w:rsidR="006F39BB" w:rsidRPr="002D57BE">
        <w:t>in his closing argument</w:t>
      </w:r>
      <w:r w:rsidR="00850FAB" w:rsidRPr="002D57BE">
        <w:t xml:space="preserve">, stating </w:t>
      </w:r>
      <w:r w:rsidR="00567110" w:rsidRPr="002D57BE">
        <w:t xml:space="preserve">that they were motivated </w:t>
      </w:r>
      <w:r w:rsidR="001847DA" w:rsidRPr="002D57BE">
        <w:t xml:space="preserve">to help the prosecution </w:t>
      </w:r>
      <w:r w:rsidR="00567110" w:rsidRPr="002D57BE">
        <w:t>convict</w:t>
      </w:r>
      <w:r w:rsidR="001847DA" w:rsidRPr="002D57BE">
        <w:t xml:space="preserve"> Scott </w:t>
      </w:r>
      <w:r w:rsidR="00435A44" w:rsidRPr="002D57BE">
        <w:t xml:space="preserve">in </w:t>
      </w:r>
      <w:r w:rsidR="00DA7AF9" w:rsidRPr="002D57BE">
        <w:t>order to</w:t>
      </w:r>
      <w:r w:rsidR="00435A44" w:rsidRPr="002D57BE">
        <w:t xml:space="preserve"> receiv</w:t>
      </w:r>
      <w:r w:rsidR="00DA7AF9" w:rsidRPr="002D57BE">
        <w:t>e</w:t>
      </w:r>
      <w:r w:rsidR="001847DA" w:rsidRPr="002D57BE">
        <w:t xml:space="preserve"> shorter sentences for themselves.</w:t>
      </w:r>
      <w:r w:rsidR="00163462" w:rsidRPr="002D57BE">
        <w:t xml:space="preserve"> </w:t>
      </w:r>
      <w:r w:rsidR="00DA3E78" w:rsidRPr="002D57BE">
        <w:t xml:space="preserve"> </w:t>
      </w:r>
      <w:r w:rsidR="00AA1B6A" w:rsidRPr="002D57BE">
        <w:t xml:space="preserve">We presume </w:t>
      </w:r>
      <w:r w:rsidR="003F1EF7" w:rsidRPr="002D57BE">
        <w:t>the</w:t>
      </w:r>
      <w:r w:rsidR="00DA3E78" w:rsidRPr="002D57BE">
        <w:t xml:space="preserve"> </w:t>
      </w:r>
      <w:r w:rsidR="00793D25" w:rsidRPr="002D57BE">
        <w:t>jur</w:t>
      </w:r>
      <w:r w:rsidR="00C675A6" w:rsidRPr="002D57BE">
        <w:t>ors</w:t>
      </w:r>
      <w:r w:rsidR="00793D25" w:rsidRPr="002D57BE">
        <w:t xml:space="preserve"> </w:t>
      </w:r>
      <w:r w:rsidR="00C675A6" w:rsidRPr="002D57BE">
        <w:t>were</w:t>
      </w:r>
      <w:r w:rsidR="00793D25" w:rsidRPr="002D57BE">
        <w:t xml:space="preserve"> fully</w:t>
      </w:r>
      <w:r w:rsidR="00DA3E78" w:rsidRPr="002D57BE">
        <w:t xml:space="preserve"> aware </w:t>
      </w:r>
      <w:r w:rsidR="00793D25" w:rsidRPr="002D57BE">
        <w:t>of this potential bias and</w:t>
      </w:r>
      <w:r w:rsidR="00DA3E78" w:rsidRPr="002D57BE">
        <w:t xml:space="preserve"> </w:t>
      </w:r>
      <w:r w:rsidR="00793D25" w:rsidRPr="002D57BE">
        <w:t xml:space="preserve">took this </w:t>
      </w:r>
      <w:r w:rsidR="00793D25" w:rsidRPr="002D57BE">
        <w:lastRenderedPageBreak/>
        <w:t xml:space="preserve">into account </w:t>
      </w:r>
      <w:r w:rsidR="00244428" w:rsidRPr="002D57BE">
        <w:t>when they</w:t>
      </w:r>
      <w:r w:rsidR="003F1EF7" w:rsidRPr="002D57BE">
        <w:t xml:space="preserve"> assess</w:t>
      </w:r>
      <w:r w:rsidR="00244428" w:rsidRPr="002D57BE">
        <w:t>ed</w:t>
      </w:r>
      <w:r w:rsidR="003F1EF7" w:rsidRPr="002D57BE">
        <w:t xml:space="preserve"> </w:t>
      </w:r>
      <w:r w:rsidR="009B130C" w:rsidRPr="002D57BE">
        <w:t>the credibility of these witnesses</w:t>
      </w:r>
      <w:r w:rsidR="003F1EF7" w:rsidRPr="002D57BE">
        <w:t xml:space="preserve"> during</w:t>
      </w:r>
      <w:r w:rsidR="00773A60" w:rsidRPr="002D57BE">
        <w:t xml:space="preserve"> </w:t>
      </w:r>
      <w:r w:rsidR="003F1EF7" w:rsidRPr="002D57BE">
        <w:t>deliberations</w:t>
      </w:r>
      <w:r w:rsidR="00C525F1" w:rsidRPr="002D57BE">
        <w:t xml:space="preserve">.  </w:t>
      </w:r>
      <w:r w:rsidR="00AD5C5C" w:rsidRPr="002D57BE">
        <w:t>And as the trial court pointed out, t</w:t>
      </w:r>
      <w:r w:rsidR="00C525F1" w:rsidRPr="002D57BE">
        <w:t>he</w:t>
      </w:r>
      <w:r w:rsidR="00773A60" w:rsidRPr="002D57BE">
        <w:t xml:space="preserve"> </w:t>
      </w:r>
      <w:r w:rsidR="004E0F66" w:rsidRPr="002D57BE">
        <w:t>jurors</w:t>
      </w:r>
      <w:r w:rsidR="004D6033" w:rsidRPr="002D57BE">
        <w:t xml:space="preserve"> had their note</w:t>
      </w:r>
      <w:r w:rsidR="00EF4F9B" w:rsidRPr="002D57BE">
        <w:t>s from before the recess</w:t>
      </w:r>
      <w:r w:rsidR="004D6033" w:rsidRPr="002D57BE">
        <w:t xml:space="preserve"> and readback of witness testimony to </w:t>
      </w:r>
      <w:r w:rsidR="006176E3" w:rsidRPr="002D57BE">
        <w:t>aid in their recollection and credibility determinations</w:t>
      </w:r>
      <w:r w:rsidR="004D6033" w:rsidRPr="002D57BE">
        <w:t xml:space="preserve">. </w:t>
      </w:r>
      <w:r w:rsidR="008C0D17" w:rsidRPr="002D57BE">
        <w:t xml:space="preserve"> </w:t>
      </w:r>
      <w:r w:rsidR="009418A4" w:rsidRPr="002D57BE">
        <w:t xml:space="preserve">Just because the jury </w:t>
      </w:r>
      <w:r w:rsidR="004E73E2" w:rsidRPr="002D57BE">
        <w:t xml:space="preserve">ultimately </w:t>
      </w:r>
      <w:r w:rsidR="009418A4" w:rsidRPr="002D57BE">
        <w:t xml:space="preserve">found the </w:t>
      </w:r>
      <w:r w:rsidR="008E2B86" w:rsidRPr="002D57BE">
        <w:t xml:space="preserve">testimony of the </w:t>
      </w:r>
      <w:r w:rsidR="009418A4" w:rsidRPr="002D57BE">
        <w:t xml:space="preserve">prosecution’s witnesses credible </w:t>
      </w:r>
      <w:r w:rsidR="00426D0C" w:rsidRPr="002D57BE">
        <w:t xml:space="preserve">does not mean that </w:t>
      </w:r>
      <w:r w:rsidR="00096B87" w:rsidRPr="002D57BE">
        <w:t xml:space="preserve">the </w:t>
      </w:r>
      <w:r w:rsidR="00810341" w:rsidRPr="002D57BE">
        <w:t>trial court erred in denying the motion for mistrial.</w:t>
      </w:r>
      <w:r w:rsidR="00167F1D" w:rsidRPr="002D57BE">
        <w:t xml:space="preserve"> </w:t>
      </w:r>
      <w:r w:rsidR="00E4531B" w:rsidRPr="002D57BE">
        <w:t xml:space="preserve"> The trial court </w:t>
      </w:r>
      <w:r w:rsidR="00144E3C" w:rsidRPr="002D57BE">
        <w:t xml:space="preserve">acted reasonably in proceeding with trial while </w:t>
      </w:r>
      <w:r w:rsidR="00106EBC" w:rsidRPr="002D57BE">
        <w:t xml:space="preserve">ensuring that appellants’ due process rights were observed. </w:t>
      </w:r>
    </w:p>
    <w:p w14:paraId="44C6D7DF" w14:textId="2A67B509" w:rsidR="00185B86" w:rsidRPr="002D57BE" w:rsidRDefault="00C6573A" w:rsidP="001A05AD">
      <w:pPr>
        <w:pStyle w:val="BodyText"/>
        <w:widowControl/>
        <w:numPr>
          <w:ilvl w:val="2"/>
          <w:numId w:val="7"/>
        </w:numPr>
        <w:spacing w:line="360" w:lineRule="auto"/>
        <w:rPr>
          <w:i/>
          <w:iCs/>
        </w:rPr>
      </w:pPr>
      <w:r w:rsidRPr="002D57BE">
        <w:rPr>
          <w:i/>
          <w:iCs/>
        </w:rPr>
        <w:t xml:space="preserve">Instructions and Admonitions </w:t>
      </w:r>
      <w:r w:rsidR="007B1FA4" w:rsidRPr="002D57BE">
        <w:rPr>
          <w:i/>
          <w:iCs/>
        </w:rPr>
        <w:t>Provided to Jury</w:t>
      </w:r>
    </w:p>
    <w:p w14:paraId="62B2E1F9" w14:textId="295FEF49" w:rsidR="007C1034" w:rsidRPr="002D57BE" w:rsidRDefault="00C6573A" w:rsidP="001A05AD">
      <w:pPr>
        <w:pStyle w:val="BodyText"/>
        <w:widowControl/>
        <w:spacing w:line="360" w:lineRule="auto"/>
        <w:ind w:left="0" w:firstLine="720"/>
      </w:pPr>
      <w:r w:rsidRPr="002D57BE">
        <w:t>As</w:t>
      </w:r>
      <w:r w:rsidR="0093250E" w:rsidRPr="002D57BE">
        <w:t xml:space="preserve"> </w:t>
      </w:r>
      <w:r w:rsidRPr="002D57BE">
        <w:t xml:space="preserve">for </w:t>
      </w:r>
      <w:r w:rsidRPr="002D57BE">
        <w:t xml:space="preserve">the risk </w:t>
      </w:r>
      <w:r w:rsidR="007C638D" w:rsidRPr="002D57BE">
        <w:t xml:space="preserve">the jurors were exposed to outside influences during the </w:t>
      </w:r>
      <w:r w:rsidR="00AA066E" w:rsidRPr="002D57BE">
        <w:t xml:space="preserve">103-day </w:t>
      </w:r>
      <w:r w:rsidR="007C638D" w:rsidRPr="002D57BE">
        <w:t>recess</w:t>
      </w:r>
      <w:r w:rsidR="002F25E0" w:rsidRPr="002D57BE">
        <w:t>, the trial</w:t>
      </w:r>
      <w:r w:rsidR="008C5F79" w:rsidRPr="002D57BE">
        <w:t xml:space="preserve"> </w:t>
      </w:r>
      <w:r w:rsidR="00DE0035" w:rsidRPr="002D57BE">
        <w:t xml:space="preserve">court admonished the jurors not to speak with anyone </w:t>
      </w:r>
      <w:r w:rsidR="006107A9" w:rsidRPr="002D57BE">
        <w:t>each time the</w:t>
      </w:r>
      <w:r w:rsidR="00DE0035" w:rsidRPr="002D57BE">
        <w:t xml:space="preserve"> jury adjourned for a break</w:t>
      </w:r>
      <w:r w:rsidR="00AA066E" w:rsidRPr="002D57BE">
        <w:t>, prior to the continuance.</w:t>
      </w:r>
      <w:r>
        <w:rPr>
          <w:rStyle w:val="FootnoteReference"/>
        </w:rPr>
        <w:footnoteReference w:id="7"/>
      </w:r>
      <w:r w:rsidR="00DE0035" w:rsidRPr="002D57BE">
        <w:t xml:space="preserve">  </w:t>
      </w:r>
      <w:r w:rsidR="00906A4A" w:rsidRPr="002D57BE">
        <w:t xml:space="preserve">At the </w:t>
      </w:r>
      <w:r w:rsidR="00AA066E" w:rsidRPr="002D57BE">
        <w:t>hearing</w:t>
      </w:r>
      <w:r w:rsidR="00D10F8A" w:rsidRPr="002D57BE">
        <w:t xml:space="preserve"> on the mistrial motion</w:t>
      </w:r>
      <w:r w:rsidR="00906A4A" w:rsidRPr="002D57BE">
        <w:t xml:space="preserve">, the trial court </w:t>
      </w:r>
      <w:r w:rsidR="004464C3" w:rsidRPr="002D57BE">
        <w:t xml:space="preserve">further </w:t>
      </w:r>
      <w:r w:rsidR="005D7E11" w:rsidRPr="002D57BE">
        <w:t>stated it would send a letter to the jurors</w:t>
      </w:r>
      <w:r w:rsidR="00B332AA" w:rsidRPr="002D57BE">
        <w:t xml:space="preserve">. </w:t>
      </w:r>
      <w:r w:rsidR="00125D4A" w:rsidRPr="002D57BE">
        <w:t xml:space="preserve"> </w:t>
      </w:r>
      <w:r w:rsidR="00B332AA" w:rsidRPr="002D57BE">
        <w:t xml:space="preserve">Although the record does not include a copy of the final version of </w:t>
      </w:r>
      <w:r w:rsidR="00D636E6" w:rsidRPr="002D57BE">
        <w:t>this letter</w:t>
      </w:r>
      <w:r w:rsidR="00B332AA" w:rsidRPr="002D57BE">
        <w:t>, it does contain a draft version which the court provided to counsel for their input.  The draft addressed COVID-related concerns</w:t>
      </w:r>
      <w:r w:rsidR="00F33686" w:rsidRPr="002D57BE">
        <w:t>,</w:t>
      </w:r>
      <w:r w:rsidR="00B332AA" w:rsidRPr="002D57BE">
        <w:t xml:space="preserve"> procedures in place to keep the jurors safe</w:t>
      </w:r>
      <w:r w:rsidR="00F33686" w:rsidRPr="002D57BE">
        <w:t>, and invited the jurors to respond with any concerns.</w:t>
      </w:r>
      <w:r w:rsidR="00B332AA" w:rsidRPr="002D57BE">
        <w:t xml:space="preserve"> </w:t>
      </w:r>
      <w:r w:rsidR="00A70874" w:rsidRPr="002D57BE">
        <w:t xml:space="preserve"> </w:t>
      </w:r>
      <w:r w:rsidR="009C65FD" w:rsidRPr="002D57BE">
        <w:t>Appellants</w:t>
      </w:r>
      <w:r w:rsidR="00B332AA" w:rsidRPr="002D57BE">
        <w:t xml:space="preserve"> objected to certain phras</w:t>
      </w:r>
      <w:r w:rsidR="00F33686" w:rsidRPr="002D57BE">
        <w:t xml:space="preserve">eology in the draft letter, </w:t>
      </w:r>
      <w:r w:rsidR="00F0582B" w:rsidRPr="002D57BE">
        <w:t>and the trial court responded that it would make the appropriate changes.</w:t>
      </w:r>
      <w:r w:rsidR="00F33686" w:rsidRPr="002D57BE">
        <w:t xml:space="preserve"> </w:t>
      </w:r>
      <w:r w:rsidR="00A70874" w:rsidRPr="002D57BE">
        <w:t xml:space="preserve"> Since there is nothing in the record to indicate otherwise, we presume that the trial court updated the letter and sent the final version to the jurors.</w:t>
      </w:r>
    </w:p>
    <w:p w14:paraId="3FA50D49" w14:textId="0EEA5621" w:rsidR="001D3B5D" w:rsidRPr="002D57BE" w:rsidRDefault="00C6573A" w:rsidP="001A05AD">
      <w:pPr>
        <w:pStyle w:val="BodyText"/>
        <w:widowControl/>
        <w:spacing w:line="360" w:lineRule="auto"/>
        <w:ind w:left="0" w:firstLine="720"/>
      </w:pPr>
      <w:r w:rsidRPr="002D57BE">
        <w:t>This presumption is confirmed by the statement the trial court made to counsel, outside</w:t>
      </w:r>
      <w:r w:rsidRPr="002D57BE">
        <w:t xml:space="preserve"> the presence of the jurors, after trial resumed.  The trial </w:t>
      </w:r>
      <w:r w:rsidRPr="002D57BE">
        <w:lastRenderedPageBreak/>
        <w:t xml:space="preserve">court stated that after sending the letter to the jurors, it “received positive responses from most of the jurors” and that the three jurors who raised COVID-related concerns </w:t>
      </w:r>
      <w:r w:rsidR="00151EC8" w:rsidRPr="002D57BE">
        <w:t>were</w:t>
      </w:r>
      <w:r w:rsidRPr="002D57BE">
        <w:t xml:space="preserve"> </w:t>
      </w:r>
      <w:r w:rsidR="00DB34C9" w:rsidRPr="002D57BE">
        <w:t>removed pursuant to the parties’ stipulation</w:t>
      </w:r>
      <w:r w:rsidRPr="002D57BE">
        <w:t xml:space="preserve"> and would be replaced with alternates.  The trial court then asked whether anyone wished to make a record of anything and all counsel replied, “no.”  Closing arguments then proceeded. </w:t>
      </w:r>
      <w:r w:rsidR="00877DAA">
        <w:t xml:space="preserve"> </w:t>
      </w:r>
      <w:r w:rsidRPr="002D57BE">
        <w:t>We presume the jurors who did not respond</w:t>
      </w:r>
      <w:r w:rsidRPr="002D57BE">
        <w:t xml:space="preserve"> positively were the ones excused by the trial court and that the remaining original jurors did not have any unaddressed concerns </w:t>
      </w:r>
      <w:r w:rsidR="00E974DF" w:rsidRPr="002D57BE">
        <w:t xml:space="preserve">that would </w:t>
      </w:r>
      <w:r w:rsidR="00FB429C" w:rsidRPr="002D57BE">
        <w:t>have impaired their ability to continue trial</w:t>
      </w:r>
      <w:r w:rsidRPr="002D57BE">
        <w:t xml:space="preserve">. </w:t>
      </w:r>
    </w:p>
    <w:p w14:paraId="754FB9DC" w14:textId="71AC1073" w:rsidR="00E5387F" w:rsidRPr="002D57BE" w:rsidRDefault="00C6573A" w:rsidP="001A05AD">
      <w:pPr>
        <w:pStyle w:val="BodyText"/>
        <w:widowControl/>
        <w:spacing w:line="360" w:lineRule="auto"/>
        <w:ind w:left="0" w:firstLine="720"/>
      </w:pPr>
      <w:r w:rsidRPr="002D57BE">
        <w:t>At the mistrial motion, t</w:t>
      </w:r>
      <w:r w:rsidR="00125D4A" w:rsidRPr="002D57BE">
        <w:t xml:space="preserve">he </w:t>
      </w:r>
      <w:r w:rsidR="007C1034" w:rsidRPr="002D57BE">
        <w:t xml:space="preserve">trial </w:t>
      </w:r>
      <w:r w:rsidR="00125D4A" w:rsidRPr="002D57BE">
        <w:t xml:space="preserve">court further stated that </w:t>
      </w:r>
      <w:r w:rsidR="000313F4" w:rsidRPr="002D57BE">
        <w:t xml:space="preserve">when the jurors returned, it would conduct voir dire to see whether </w:t>
      </w:r>
      <w:r w:rsidR="00995203" w:rsidRPr="002D57BE">
        <w:t>they</w:t>
      </w:r>
      <w:r w:rsidR="000313F4" w:rsidRPr="002D57BE">
        <w:t xml:space="preserve"> adhered to their obligations during the recess. </w:t>
      </w:r>
      <w:r w:rsidR="006107A9" w:rsidRPr="002D57BE">
        <w:t xml:space="preserve"> </w:t>
      </w:r>
      <w:r w:rsidR="00A83608" w:rsidRPr="002D57BE">
        <w:t xml:space="preserve">Scott argues that </w:t>
      </w:r>
      <w:r w:rsidR="009801D7" w:rsidRPr="002D57BE">
        <w:t>when trial resumed,</w:t>
      </w:r>
      <w:r w:rsidR="00A83608" w:rsidRPr="002D57BE">
        <w:t xml:space="preserve"> the trial court did not</w:t>
      </w:r>
      <w:r w:rsidR="009801D7" w:rsidRPr="002D57BE">
        <w:t xml:space="preserve"> </w:t>
      </w:r>
      <w:r w:rsidR="00644A9F" w:rsidRPr="002D57BE">
        <w:t>follow through in</w:t>
      </w:r>
      <w:r w:rsidR="00A83608" w:rsidRPr="002D57BE">
        <w:t xml:space="preserve"> ask</w:t>
      </w:r>
      <w:r w:rsidR="00644A9F" w:rsidRPr="002D57BE">
        <w:t>ing</w:t>
      </w:r>
      <w:r w:rsidR="00A83608" w:rsidRPr="002D57BE">
        <w:t xml:space="preserve"> the jurors whether they </w:t>
      </w:r>
      <w:r w:rsidR="008B12D5" w:rsidRPr="002D57BE">
        <w:t>adhered to</w:t>
      </w:r>
      <w:r w:rsidR="00A83608" w:rsidRPr="002D57BE">
        <w:t xml:space="preserve"> their obligations during t</w:t>
      </w:r>
      <w:r w:rsidR="009801D7" w:rsidRPr="002D57BE">
        <w:t>he</w:t>
      </w:r>
      <w:r w:rsidR="0090159E" w:rsidRPr="002D57BE">
        <w:t xml:space="preserve"> lengthy</w:t>
      </w:r>
      <w:r w:rsidR="009801D7" w:rsidRPr="002D57BE">
        <w:t xml:space="preserve"> recess</w:t>
      </w:r>
      <w:r w:rsidR="002E5584" w:rsidRPr="002D57BE">
        <w:t>.</w:t>
      </w:r>
      <w:r w:rsidR="004F0943" w:rsidRPr="002D57BE">
        <w:t xml:space="preserve">  Although it is recommended that the trial court </w:t>
      </w:r>
      <w:r w:rsidR="00E04AC3" w:rsidRPr="002D57BE">
        <w:t>inqu</w:t>
      </w:r>
      <w:r w:rsidR="00203E25" w:rsidRPr="002D57BE">
        <w:t>ire</w:t>
      </w:r>
      <w:r w:rsidR="00994ECB" w:rsidRPr="002D57BE">
        <w:t xml:space="preserve"> about potential juror misconduct</w:t>
      </w:r>
      <w:r w:rsidR="004F0943" w:rsidRPr="002D57BE">
        <w:t xml:space="preserve"> following a lengthy recess, </w:t>
      </w:r>
      <w:r w:rsidR="005868F0" w:rsidRPr="002D57BE">
        <w:t>no authority supports that the</w:t>
      </w:r>
      <w:r w:rsidR="004F0943" w:rsidRPr="002D57BE">
        <w:t xml:space="preserve"> trial court is</w:t>
      </w:r>
      <w:r w:rsidR="003C4FE7" w:rsidRPr="002D57BE">
        <w:t xml:space="preserve"> </w:t>
      </w:r>
      <w:r w:rsidR="004F0943" w:rsidRPr="002D57BE">
        <w:t xml:space="preserve">required to do </w:t>
      </w:r>
      <w:r w:rsidR="005868F0" w:rsidRPr="002D57BE">
        <w:t>so</w:t>
      </w:r>
      <w:r w:rsidR="003C4FE7" w:rsidRPr="002D57BE">
        <w:t>.</w:t>
      </w:r>
      <w:r>
        <w:rPr>
          <w:rStyle w:val="FootnoteReference"/>
        </w:rPr>
        <w:footnoteReference w:id="8"/>
      </w:r>
      <w:r w:rsidR="00946EC0" w:rsidRPr="002D57BE">
        <w:t xml:space="preserve">  </w:t>
      </w:r>
      <w:r w:rsidR="008B12D5" w:rsidRPr="002D57BE">
        <w:t>The trial</w:t>
      </w:r>
      <w:r w:rsidR="002E5584" w:rsidRPr="002D57BE">
        <w:t xml:space="preserve"> court</w:t>
      </w:r>
      <w:r w:rsidR="008B12D5" w:rsidRPr="002D57BE">
        <w:t xml:space="preserve"> did</w:t>
      </w:r>
      <w:r w:rsidR="000A0A0E" w:rsidRPr="002D57BE">
        <w:t xml:space="preserve"> re-read CALCRIM No. 101 </w:t>
      </w:r>
      <w:r w:rsidR="00574DA0" w:rsidRPr="002D57BE">
        <w:t xml:space="preserve">when trial resumed </w:t>
      </w:r>
      <w:r w:rsidR="00312C76" w:rsidRPr="002D57BE">
        <w:t>which</w:t>
      </w:r>
      <w:r w:rsidR="000A0A0E" w:rsidRPr="002D57BE">
        <w:t xml:space="preserve"> included </w:t>
      </w:r>
      <w:r w:rsidR="008B12D5" w:rsidRPr="002D57BE">
        <w:t>an admonition for the jury</w:t>
      </w:r>
      <w:r w:rsidR="007A17CB" w:rsidRPr="002D57BE">
        <w:t xml:space="preserve"> not to discuss the case with anyone or to conduct any independent research or investigation.</w:t>
      </w:r>
      <w:r>
        <w:rPr>
          <w:rStyle w:val="FootnoteReference"/>
        </w:rPr>
        <w:footnoteReference w:id="9"/>
      </w:r>
      <w:r w:rsidR="006044C2" w:rsidRPr="002D57BE">
        <w:t xml:space="preserve"> </w:t>
      </w:r>
      <w:r w:rsidR="00DA0E87" w:rsidRPr="002D57BE">
        <w:t xml:space="preserve"> The </w:t>
      </w:r>
      <w:r w:rsidR="00DA0E87" w:rsidRPr="002D57BE">
        <w:lastRenderedPageBreak/>
        <w:t xml:space="preserve">court then </w:t>
      </w:r>
      <w:r w:rsidR="001D716C" w:rsidRPr="002D57BE">
        <w:t xml:space="preserve">asked </w:t>
      </w:r>
      <w:r w:rsidR="00E9755B" w:rsidRPr="002D57BE">
        <w:t>each</w:t>
      </w:r>
      <w:r w:rsidR="008D2EBE" w:rsidRPr="002D57BE">
        <w:t xml:space="preserve"> juror</w:t>
      </w:r>
      <w:r w:rsidR="00E9755B" w:rsidRPr="002D57BE">
        <w:t xml:space="preserve"> individually</w:t>
      </w:r>
      <w:r w:rsidR="008D2EBE" w:rsidRPr="002D57BE">
        <w:t xml:space="preserve"> </w:t>
      </w:r>
      <w:r w:rsidR="00E9755B" w:rsidRPr="002D57BE">
        <w:t xml:space="preserve">whether </w:t>
      </w:r>
      <w:r w:rsidR="006809F5" w:rsidRPr="002D57BE">
        <w:t>he or she</w:t>
      </w:r>
      <w:r w:rsidR="008D2EBE" w:rsidRPr="002D57BE">
        <w:t xml:space="preserve"> </w:t>
      </w:r>
      <w:r w:rsidR="00D7474F" w:rsidRPr="002D57BE">
        <w:t>would</w:t>
      </w:r>
      <w:r w:rsidR="00B847F7" w:rsidRPr="002D57BE">
        <w:t xml:space="preserve"> prospectively</w:t>
      </w:r>
      <w:r w:rsidR="00D7474F" w:rsidRPr="002D57BE">
        <w:t xml:space="preserve"> follow its instruction</w:t>
      </w:r>
      <w:r w:rsidR="00BD6503" w:rsidRPr="002D57BE">
        <w:t>s</w:t>
      </w:r>
      <w:r w:rsidR="00E9755B" w:rsidRPr="002D57BE">
        <w:t xml:space="preserve"> and each juror responded yes.</w:t>
      </w:r>
      <w:r w:rsidR="00D7474F" w:rsidRPr="002D57BE">
        <w:t xml:space="preserve"> </w:t>
      </w:r>
      <w:r w:rsidR="005D2272" w:rsidRPr="002D57BE">
        <w:t xml:space="preserve"> </w:t>
      </w:r>
      <w:r w:rsidR="00F47791" w:rsidRPr="002D57BE">
        <w:t xml:space="preserve">This is sufficient. </w:t>
      </w:r>
      <w:r w:rsidR="00555F71" w:rsidRPr="002D57BE">
        <w:t xml:space="preserve"> </w:t>
      </w:r>
    </w:p>
    <w:p w14:paraId="4B05F71F" w14:textId="5B838DA0" w:rsidR="00A83608" w:rsidRPr="002D57BE" w:rsidRDefault="00C6573A" w:rsidP="001A05AD">
      <w:pPr>
        <w:pStyle w:val="BodyText"/>
        <w:widowControl/>
        <w:spacing w:line="360" w:lineRule="auto"/>
        <w:ind w:left="0" w:firstLine="720"/>
      </w:pPr>
      <w:r w:rsidRPr="002D57BE">
        <w:t>Moreover, despite Scott having made the original request</w:t>
      </w:r>
      <w:r w:rsidR="00C14C4B" w:rsidRPr="002D57BE">
        <w:t xml:space="preserve"> in his motion for mistrial</w:t>
      </w:r>
      <w:r w:rsidRPr="002D57BE">
        <w:t xml:space="preserve"> to voir dire the jurors </w:t>
      </w:r>
      <w:r w:rsidR="004E024B" w:rsidRPr="002D57BE">
        <w:t xml:space="preserve">regarding their </w:t>
      </w:r>
      <w:r w:rsidR="001D4808" w:rsidRPr="002D57BE">
        <w:t xml:space="preserve">potential </w:t>
      </w:r>
      <w:r w:rsidR="004E024B" w:rsidRPr="002D57BE">
        <w:t xml:space="preserve">exposure to outside influences during the </w:t>
      </w:r>
      <w:r w:rsidR="004E024B" w:rsidRPr="000E3801">
        <w:t>recess</w:t>
      </w:r>
      <w:r w:rsidRPr="000E3801">
        <w:t>, neither</w:t>
      </w:r>
      <w:r w:rsidRPr="002D57BE">
        <w:t xml:space="preserve"> he nor Garcia </w:t>
      </w:r>
      <w:r w:rsidR="00B847F7" w:rsidRPr="002D57BE">
        <w:t>objected</w:t>
      </w:r>
      <w:r w:rsidR="00775151" w:rsidRPr="002D57BE">
        <w:t xml:space="preserve"> after the trial court </w:t>
      </w:r>
      <w:r w:rsidR="00925DDC" w:rsidRPr="002D57BE">
        <w:t>re-</w:t>
      </w:r>
      <w:r w:rsidR="00551DE7" w:rsidRPr="002D57BE">
        <w:t xml:space="preserve">read CALCRIM </w:t>
      </w:r>
      <w:r w:rsidR="00B847F7" w:rsidRPr="002D57BE">
        <w:t>101</w:t>
      </w:r>
      <w:r w:rsidR="003D5EEA" w:rsidRPr="002D57BE">
        <w:t xml:space="preserve"> or </w:t>
      </w:r>
      <w:r w:rsidR="00B03252" w:rsidRPr="002D57BE">
        <w:t>otherwise ma</w:t>
      </w:r>
      <w:r w:rsidR="00905C0B" w:rsidRPr="002D57BE">
        <w:t>de</w:t>
      </w:r>
      <w:r w:rsidR="00B03252" w:rsidRPr="002D57BE">
        <w:t xml:space="preserve"> a record that they wished the trial court to ask the jur</w:t>
      </w:r>
      <w:r w:rsidR="00734F29" w:rsidRPr="002D57BE">
        <w:t>ors</w:t>
      </w:r>
      <w:r w:rsidR="00B03252" w:rsidRPr="002D57BE">
        <w:t xml:space="preserve"> whether </w:t>
      </w:r>
      <w:r w:rsidR="00734F29" w:rsidRPr="002D57BE">
        <w:t xml:space="preserve">they </w:t>
      </w:r>
      <w:r w:rsidR="00905C0B" w:rsidRPr="002D57BE">
        <w:t xml:space="preserve">followed </w:t>
      </w:r>
      <w:r w:rsidR="003014ED" w:rsidRPr="002D57BE">
        <w:t>the court’s</w:t>
      </w:r>
      <w:r w:rsidR="00905C0B" w:rsidRPr="002D57BE">
        <w:t xml:space="preserve"> instruction</w:t>
      </w:r>
      <w:r w:rsidR="003014ED" w:rsidRPr="002D57BE">
        <w:t>s</w:t>
      </w:r>
      <w:r w:rsidR="00905C0B" w:rsidRPr="002D57BE">
        <w:t xml:space="preserve"> during the recess.</w:t>
      </w:r>
      <w:r w:rsidRPr="002D57BE">
        <w:t xml:space="preserve"> </w:t>
      </w:r>
      <w:r w:rsidR="0086308B" w:rsidRPr="002D57BE">
        <w:t xml:space="preserve"> As </w:t>
      </w:r>
      <w:r w:rsidR="00734F29" w:rsidRPr="002D57BE">
        <w:t>the moving part</w:t>
      </w:r>
      <w:r w:rsidR="00960E76" w:rsidRPr="002D57BE">
        <w:t>ies</w:t>
      </w:r>
      <w:r w:rsidR="00734F29" w:rsidRPr="002D57BE">
        <w:t xml:space="preserve">, appellants had the burden of establishing that </w:t>
      </w:r>
      <w:r w:rsidR="00960E76" w:rsidRPr="002D57BE">
        <w:t xml:space="preserve">a </w:t>
      </w:r>
      <w:r w:rsidR="00734F29" w:rsidRPr="002D57BE">
        <w:t>mistrial was warranted</w:t>
      </w:r>
      <w:r w:rsidR="0086308B" w:rsidRPr="002D57BE">
        <w:t xml:space="preserve"> </w:t>
      </w:r>
      <w:r w:rsidR="00734F29" w:rsidRPr="002D57BE">
        <w:t xml:space="preserve">and </w:t>
      </w:r>
      <w:r w:rsidR="0086308B" w:rsidRPr="002D57BE">
        <w:t xml:space="preserve">should </w:t>
      </w:r>
      <w:r w:rsidR="00EC3DCA" w:rsidRPr="002D57BE">
        <w:t xml:space="preserve">have </w:t>
      </w:r>
      <w:r w:rsidR="00234B37" w:rsidRPr="002D57BE">
        <w:t>voiced any concerns they had if they</w:t>
      </w:r>
      <w:r w:rsidR="00517D3A" w:rsidRPr="002D57BE">
        <w:t xml:space="preserve"> </w:t>
      </w:r>
      <w:r w:rsidR="001D4808" w:rsidRPr="002D57BE">
        <w:t>wanted</w:t>
      </w:r>
      <w:r w:rsidR="009E34A2" w:rsidRPr="002D57BE">
        <w:t xml:space="preserve"> to </w:t>
      </w:r>
      <w:r w:rsidR="00C70EC4" w:rsidRPr="002D57BE">
        <w:t>renew their</w:t>
      </w:r>
      <w:r w:rsidR="009E34A2" w:rsidRPr="002D57BE">
        <w:t xml:space="preserve"> request for a mistrial </w:t>
      </w:r>
      <w:r w:rsidR="00C70EC4" w:rsidRPr="002D57BE">
        <w:t>based on</w:t>
      </w:r>
      <w:r w:rsidR="009E34A2" w:rsidRPr="002D57BE">
        <w:t xml:space="preserve"> evidence </w:t>
      </w:r>
      <w:r w:rsidR="003F436A" w:rsidRPr="002D57BE">
        <w:t>that the jurors were subjected to outside influences</w:t>
      </w:r>
      <w:r w:rsidR="00234B37" w:rsidRPr="002D57BE">
        <w:t>.</w:t>
      </w:r>
      <w:r w:rsidR="00215AA7" w:rsidRPr="002D57BE">
        <w:t xml:space="preserve"> </w:t>
      </w:r>
      <w:r w:rsidR="00234B37" w:rsidRPr="002D57BE">
        <w:t xml:space="preserve"> </w:t>
      </w:r>
      <w:r w:rsidR="00453D44" w:rsidRPr="002D57BE">
        <w:t>Appellants did not do so and arguably failed to</w:t>
      </w:r>
      <w:r w:rsidRPr="002D57BE">
        <w:t xml:space="preserve"> preserve this issue on appeal.</w:t>
      </w:r>
      <w:r>
        <w:rPr>
          <w:rStyle w:val="FootnoteReference"/>
        </w:rPr>
        <w:footnoteReference w:id="10"/>
      </w:r>
      <w:r w:rsidRPr="002D57BE">
        <w:t xml:space="preserve"> </w:t>
      </w:r>
      <w:r w:rsidR="00453D44" w:rsidRPr="002D57BE">
        <w:t xml:space="preserve"> </w:t>
      </w:r>
      <w:r w:rsidRPr="002D57BE">
        <w:t>(See</w:t>
      </w:r>
      <w:r w:rsidRPr="002D57BE">
        <w:rPr>
          <w:i/>
          <w:iCs/>
        </w:rPr>
        <w:t xml:space="preserve"> People v. Gray</w:t>
      </w:r>
      <w:r w:rsidRPr="002D57BE">
        <w:t xml:space="preserve">, </w:t>
      </w:r>
      <w:r w:rsidRPr="002D57BE">
        <w:rPr>
          <w:i/>
          <w:iCs/>
        </w:rPr>
        <w:t>supra</w:t>
      </w:r>
      <w:r w:rsidRPr="002D57BE">
        <w:t xml:space="preserve">, </w:t>
      </w:r>
      <w:r w:rsidRPr="002D57BE">
        <w:rPr>
          <w:rFonts w:cs="Times New Roman"/>
        </w:rPr>
        <w:t xml:space="preserve">37 Cal.4th at p. 230.)  </w:t>
      </w:r>
    </w:p>
    <w:p w14:paraId="4FE593D1" w14:textId="28CA3A17" w:rsidR="00770296" w:rsidRPr="002D57BE" w:rsidRDefault="00C6573A" w:rsidP="001A05AD">
      <w:pPr>
        <w:pStyle w:val="BodyText"/>
        <w:widowControl/>
        <w:spacing w:line="360" w:lineRule="auto"/>
        <w:ind w:left="0" w:firstLine="720"/>
      </w:pPr>
      <w:r w:rsidRPr="002D57BE">
        <w:lastRenderedPageBreak/>
        <w:t>In any case, in</w:t>
      </w:r>
      <w:r w:rsidR="00E3265B" w:rsidRPr="002D57BE">
        <w:t xml:space="preserve"> the absence of any contrary evidence, it is presumed that the jury followed the court’s </w:t>
      </w:r>
      <w:r w:rsidR="00141FA3" w:rsidRPr="002D57BE">
        <w:t>instructions</w:t>
      </w:r>
      <w:r w:rsidR="00E3265B" w:rsidRPr="002D57BE">
        <w:t xml:space="preserve"> during the entirety of trial. </w:t>
      </w:r>
      <w:r w:rsidR="00877DAA">
        <w:t xml:space="preserve"> </w:t>
      </w:r>
      <w:r w:rsidR="00E3265B" w:rsidRPr="002D57BE">
        <w:t>(</w:t>
      </w:r>
      <w:r w:rsidR="00E3265B" w:rsidRPr="002D57BE">
        <w:rPr>
          <w:i/>
          <w:iCs/>
        </w:rPr>
        <w:t>People v. Stanley</w:t>
      </w:r>
      <w:r w:rsidR="00E3265B" w:rsidRPr="002D57BE">
        <w:t xml:space="preserve"> (1995) 10 Cal.4th 764, 837.)</w:t>
      </w:r>
      <w:r w:rsidR="007F14A6" w:rsidRPr="002D57BE">
        <w:t xml:space="preserve"> </w:t>
      </w:r>
      <w:r w:rsidR="005F0B11" w:rsidRPr="002D57BE">
        <w:rPr>
          <w:i/>
          <w:iCs/>
        </w:rPr>
        <w:t xml:space="preserve"> </w:t>
      </w:r>
      <w:r w:rsidR="002800FD" w:rsidRPr="002D57BE">
        <w:t>“We ‘credit jurors with intelligence and common sense’ [citation] and presume they generally understand and follow instructions</w:t>
      </w:r>
      <w:r w:rsidR="006C4E04" w:rsidRPr="002D57BE">
        <w:t>.”  (</w:t>
      </w:r>
      <w:r w:rsidR="006C4E04" w:rsidRPr="002D57BE">
        <w:rPr>
          <w:i/>
          <w:iCs/>
        </w:rPr>
        <w:t>People v. McKinnon</w:t>
      </w:r>
      <w:r w:rsidR="006C4E04" w:rsidRPr="002D57BE">
        <w:t xml:space="preserve"> (2011) 52 Cal.4th 610, 6</w:t>
      </w:r>
      <w:r w:rsidR="00A45A1D">
        <w:t>70</w:t>
      </w:r>
      <w:r w:rsidR="006C4E04" w:rsidRPr="002D57BE">
        <w:t>.)</w:t>
      </w:r>
      <w:r w:rsidR="00D82D7E" w:rsidRPr="002D57BE">
        <w:t xml:space="preserve">  </w:t>
      </w:r>
      <w:r w:rsidR="00101B59" w:rsidRPr="002D57BE">
        <w:t>D</w:t>
      </w:r>
      <w:r w:rsidR="00CD7ED9" w:rsidRPr="002D57BE">
        <w:t>espite the length of the</w:t>
      </w:r>
      <w:r w:rsidR="00D82D7E" w:rsidRPr="002D57BE">
        <w:t xml:space="preserve"> delay, we pre</w:t>
      </w:r>
      <w:r w:rsidR="00AC36F9" w:rsidRPr="002D57BE">
        <w:t xml:space="preserve">sume that the jurors followed their obligations </w:t>
      </w:r>
      <w:r w:rsidR="00336C28" w:rsidRPr="002D57BE">
        <w:t>and</w:t>
      </w:r>
      <w:r w:rsidR="0091396E" w:rsidRPr="002D57BE">
        <w:t xml:space="preserve"> did not </w:t>
      </w:r>
      <w:r w:rsidR="0097132D" w:rsidRPr="002D57BE">
        <w:t xml:space="preserve">discuss the case with anyone or conduct any </w:t>
      </w:r>
      <w:r w:rsidR="00141FA3" w:rsidRPr="002D57BE">
        <w:t>outside</w:t>
      </w:r>
      <w:r w:rsidR="0097132D" w:rsidRPr="002D57BE">
        <w:t xml:space="preserve"> research during the </w:t>
      </w:r>
      <w:r w:rsidR="00EF54A8" w:rsidRPr="002D57BE">
        <w:t xml:space="preserve">entirety of trial, including </w:t>
      </w:r>
      <w:r w:rsidR="00997D99" w:rsidRPr="002D57BE">
        <w:t xml:space="preserve">all </w:t>
      </w:r>
      <w:r w:rsidR="00E538E2" w:rsidRPr="002D57BE">
        <w:t>recesses</w:t>
      </w:r>
      <w:r w:rsidR="0091396E" w:rsidRPr="002D57BE">
        <w:t>.</w:t>
      </w:r>
      <w:r>
        <w:rPr>
          <w:rStyle w:val="FootnoteReference"/>
        </w:rPr>
        <w:footnoteReference w:id="11"/>
      </w:r>
      <w:r w:rsidR="00415673" w:rsidRPr="002D57BE">
        <w:t xml:space="preserve">  </w:t>
      </w:r>
      <w:r w:rsidR="00D8718D" w:rsidRPr="002D57BE">
        <w:t xml:space="preserve">There is no evidence to the contrary and </w:t>
      </w:r>
      <w:r w:rsidR="00FB1368" w:rsidRPr="002D57BE">
        <w:t xml:space="preserve">no jurors raised </w:t>
      </w:r>
      <w:r w:rsidR="000D4B28" w:rsidRPr="002D57BE">
        <w:t>any such issues in response to the court’s letter</w:t>
      </w:r>
      <w:r w:rsidR="00596023" w:rsidRPr="002D57BE">
        <w:t xml:space="preserve"> that was sen</w:t>
      </w:r>
      <w:r w:rsidR="007E74D3" w:rsidRPr="002D57BE">
        <w:t>t</w:t>
      </w:r>
      <w:r w:rsidR="00596023" w:rsidRPr="002D57BE">
        <w:t xml:space="preserve"> before trial resumed</w:t>
      </w:r>
      <w:r w:rsidR="000D4B28" w:rsidRPr="002D57BE">
        <w:t xml:space="preserve">. </w:t>
      </w:r>
      <w:r w:rsidR="00B63ADA" w:rsidRPr="002D57BE">
        <w:t xml:space="preserve"> </w:t>
      </w:r>
      <w:r w:rsidR="00535034" w:rsidRPr="002D57BE">
        <w:t>Appellants argue</w:t>
      </w:r>
      <w:r w:rsidR="00381945" w:rsidRPr="002D57BE">
        <w:t xml:space="preserve"> that there is</w:t>
      </w:r>
      <w:r w:rsidR="00F96610" w:rsidRPr="002D57BE">
        <w:t xml:space="preserve"> </w:t>
      </w:r>
      <w:r w:rsidR="00C937D8" w:rsidRPr="002D57BE">
        <w:t>no way of knowing whether any juror was subjected to any outside influences</w:t>
      </w:r>
      <w:r w:rsidR="00F45592" w:rsidRPr="002D57BE">
        <w:t xml:space="preserve"> but that the risk of it was great.</w:t>
      </w:r>
      <w:r w:rsidR="00C937D8" w:rsidRPr="002D57BE">
        <w:t xml:space="preserve"> </w:t>
      </w:r>
      <w:r w:rsidR="00E538E2" w:rsidRPr="002D57BE">
        <w:t xml:space="preserve"> This argument is based on speculation </w:t>
      </w:r>
      <w:r w:rsidR="002516D8" w:rsidRPr="002D57BE">
        <w:t>and appellant</w:t>
      </w:r>
      <w:r w:rsidR="007E74D3" w:rsidRPr="002D57BE">
        <w:t xml:space="preserve">s have not </w:t>
      </w:r>
      <w:r w:rsidR="0084477A" w:rsidRPr="002D57BE">
        <w:t>presented</w:t>
      </w:r>
      <w:r w:rsidR="002516D8" w:rsidRPr="002D57BE">
        <w:t xml:space="preserve"> </w:t>
      </w:r>
      <w:r w:rsidR="007E74D3" w:rsidRPr="002D57BE">
        <w:t>any e</w:t>
      </w:r>
      <w:r w:rsidR="002516D8" w:rsidRPr="002D57BE">
        <w:t>vidence</w:t>
      </w:r>
      <w:r w:rsidR="0084477A" w:rsidRPr="002D57BE">
        <w:t xml:space="preserve"> here or at the trial level </w:t>
      </w:r>
      <w:r w:rsidR="0064548F" w:rsidRPr="002D57BE">
        <w:t xml:space="preserve">to </w:t>
      </w:r>
      <w:r w:rsidR="009C4891" w:rsidRPr="002D57BE">
        <w:t>show that any jury misconduct occurred.</w:t>
      </w:r>
    </w:p>
    <w:p w14:paraId="02A14072" w14:textId="0AA3BA94" w:rsidR="0066639F" w:rsidRPr="002D57BE" w:rsidRDefault="00C6573A" w:rsidP="001A05AD">
      <w:pPr>
        <w:pStyle w:val="BodyText"/>
        <w:widowControl/>
        <w:spacing w:line="360" w:lineRule="auto"/>
        <w:ind w:left="0" w:firstLine="720"/>
      </w:pPr>
      <w:r w:rsidRPr="002D57BE">
        <w:t>Based on the record before us</w:t>
      </w:r>
      <w:r w:rsidR="00E0650C" w:rsidRPr="002D57BE">
        <w:t xml:space="preserve"> and </w:t>
      </w:r>
      <w:r w:rsidR="002F7BC0" w:rsidRPr="002D57BE">
        <w:t>critically, the</w:t>
      </w:r>
      <w:r w:rsidR="00E0650C" w:rsidRPr="002D57BE">
        <w:t xml:space="preserve"> timing of the </w:t>
      </w:r>
      <w:r w:rsidR="009D04AA" w:rsidRPr="002D57BE">
        <w:t>continuance</w:t>
      </w:r>
      <w:r w:rsidR="00E0650C" w:rsidRPr="002D57BE">
        <w:t xml:space="preserve">, </w:t>
      </w:r>
      <w:r w:rsidRPr="002D57BE">
        <w:t>we do not find any abuse of discretion or error in the trial court’s denial of the motion for mistrial.  We</w:t>
      </w:r>
      <w:r w:rsidR="00A04ED9" w:rsidRPr="002D57BE">
        <w:t xml:space="preserve"> </w:t>
      </w:r>
      <w:r w:rsidR="009D04AA" w:rsidRPr="002D57BE">
        <w:t>emphasize</w:t>
      </w:r>
      <w:r w:rsidR="00A8597F" w:rsidRPr="002D57BE">
        <w:t xml:space="preserve"> however, that </w:t>
      </w:r>
      <w:r w:rsidR="001E479F" w:rsidRPr="002D57BE">
        <w:t xml:space="preserve">this opinion is not intended </w:t>
      </w:r>
      <w:r w:rsidR="003E60CC" w:rsidRPr="002D57BE">
        <w:t xml:space="preserve">to provide any fixed rule </w:t>
      </w:r>
      <w:r w:rsidR="000F6E8E" w:rsidRPr="002D57BE">
        <w:t xml:space="preserve">with respect to midtrial delays due to COVID. </w:t>
      </w:r>
      <w:r w:rsidR="00066BE0" w:rsidRPr="002D57BE">
        <w:t xml:space="preserve"> </w:t>
      </w:r>
      <w:r w:rsidR="00CD1B30" w:rsidRPr="002D57BE">
        <w:t xml:space="preserve">As </w:t>
      </w:r>
      <w:r w:rsidR="00CD1B30" w:rsidRPr="002D57BE">
        <w:rPr>
          <w:i/>
          <w:iCs/>
        </w:rPr>
        <w:t>Dinsmore, supra</w:t>
      </w:r>
      <w:r w:rsidR="002C5EBC" w:rsidRPr="002D57BE">
        <w:t>,</w:t>
      </w:r>
      <w:r w:rsidR="00CD1B30" w:rsidRPr="002D57BE">
        <w:t xml:space="preserve"> 102 Cal. 381</w:t>
      </w:r>
      <w:r w:rsidR="002C5EBC" w:rsidRPr="002D57BE">
        <w:t xml:space="preserve"> held, such a fixed rule would be impossible </w:t>
      </w:r>
      <w:r w:rsidR="0074176F" w:rsidRPr="002D57BE">
        <w:t xml:space="preserve">to fashion </w:t>
      </w:r>
      <w:r w:rsidR="002C5EBC" w:rsidRPr="002D57BE">
        <w:t>as</w:t>
      </w:r>
      <w:r w:rsidR="00066AF5" w:rsidRPr="002D57BE">
        <w:t xml:space="preserve"> the</w:t>
      </w:r>
      <w:r w:rsidR="00C112BC" w:rsidRPr="002D57BE">
        <w:t xml:space="preserve"> </w:t>
      </w:r>
      <w:r w:rsidR="006F66B9" w:rsidRPr="002D57BE">
        <w:t>unique</w:t>
      </w:r>
      <w:r w:rsidR="00C112BC" w:rsidRPr="002D57BE">
        <w:t xml:space="preserve"> facts </w:t>
      </w:r>
      <w:r w:rsidR="00E72A41" w:rsidRPr="002D57BE">
        <w:t xml:space="preserve">of </w:t>
      </w:r>
      <w:r w:rsidR="00C112BC" w:rsidRPr="002D57BE">
        <w:t xml:space="preserve">each case </w:t>
      </w:r>
      <w:r w:rsidR="006F66B9" w:rsidRPr="002D57BE">
        <w:t xml:space="preserve">must govern </w:t>
      </w:r>
      <w:r w:rsidR="00C112BC" w:rsidRPr="002D57BE">
        <w:t>the</w:t>
      </w:r>
      <w:r w:rsidR="00F70E28" w:rsidRPr="002D57BE">
        <w:t xml:space="preserve"> </w:t>
      </w:r>
      <w:r w:rsidR="00C112BC" w:rsidRPr="002D57BE">
        <w:t xml:space="preserve">court’s analysis. </w:t>
      </w:r>
      <w:r w:rsidR="00974A1C" w:rsidRPr="002D57BE">
        <w:t xml:space="preserve"> </w:t>
      </w:r>
    </w:p>
    <w:p w14:paraId="2D9EAFC6" w14:textId="77777777" w:rsidR="00C60B5C" w:rsidRPr="002D57BE" w:rsidRDefault="00C6573A" w:rsidP="001A05AD">
      <w:pPr>
        <w:pStyle w:val="BodyText"/>
        <w:widowControl/>
        <w:numPr>
          <w:ilvl w:val="0"/>
          <w:numId w:val="7"/>
        </w:numPr>
        <w:spacing w:line="360" w:lineRule="auto"/>
        <w:rPr>
          <w:u w:val="single"/>
        </w:rPr>
      </w:pPr>
      <w:r w:rsidRPr="002D57BE">
        <w:rPr>
          <w:u w:val="single"/>
        </w:rPr>
        <w:t>Resentencing Under Amended Section 654 as to Scott</w:t>
      </w:r>
    </w:p>
    <w:p w14:paraId="3BCA17F2" w14:textId="7123422B" w:rsidR="00C60B5C" w:rsidRPr="002D57BE" w:rsidRDefault="00C6573A" w:rsidP="001A05AD">
      <w:pPr>
        <w:pStyle w:val="BodyText"/>
        <w:widowControl/>
        <w:spacing w:line="360" w:lineRule="auto"/>
        <w:ind w:left="101" w:firstLine="619"/>
      </w:pPr>
      <w:r w:rsidRPr="002D57BE">
        <w:t>Scott was sentenced to life without the possibility</w:t>
      </w:r>
      <w:r w:rsidRPr="002D57BE">
        <w:t xml:space="preserve"> of parole on the murder count based on the jury’s kidnapping special circumstance finding </w:t>
      </w:r>
      <w:r w:rsidRPr="002D57BE">
        <w:lastRenderedPageBreak/>
        <w:t xml:space="preserve">under section 190.2, subdivision (a)(17).  The court imposed but stayed the sentences on the remaining three counts for kidnapping, robbery, and firearm possession. </w:t>
      </w:r>
      <w:r w:rsidRPr="002D57BE">
        <w:t xml:space="preserve"> In his supplemental brief, Scott contends that he is entitled to resentencing based on a recent amendment to section 654. </w:t>
      </w:r>
    </w:p>
    <w:p w14:paraId="530570A9" w14:textId="43A7EE1C" w:rsidR="00C60B5C" w:rsidRPr="002D57BE" w:rsidRDefault="00C6573A" w:rsidP="001A05AD">
      <w:pPr>
        <w:pStyle w:val="BodyText"/>
        <w:widowControl/>
        <w:spacing w:line="360" w:lineRule="auto"/>
        <w:ind w:firstLine="620"/>
      </w:pPr>
      <w:r w:rsidRPr="002D57BE">
        <w:t>Section 654 prohibits multiple punishment for a single act or course of conduct.  (</w:t>
      </w:r>
      <w:r w:rsidRPr="002D57BE">
        <w:rPr>
          <w:i/>
          <w:iCs/>
        </w:rPr>
        <w:t>People v. Delgado</w:t>
      </w:r>
      <w:r w:rsidRPr="002D57BE">
        <w:t xml:space="preserve"> (2017) 2 Cal.5th 544, 570.)  At</w:t>
      </w:r>
      <w:r w:rsidRPr="002D57BE">
        <w:t xml:space="preserve"> the time Scott was sentenced, section 654 required that the trial court impose punishment “under the provision that provide[d] for the longest potential term of imprisonment.”  (Former § 654, subd. (a).)  Effective January 1, 2022, Assembly Bill No. 518 (</w:t>
      </w:r>
      <w:r w:rsidRPr="002D57BE">
        <w:t>2021</w:t>
      </w:r>
      <w:r w:rsidR="001A05AD">
        <w:t>–</w:t>
      </w:r>
      <w:r w:rsidRPr="002D57BE">
        <w:t>2022 Reg. Sess.) amended section 654 to provide the trial court “with discretion to impose and execute the sentence of either term, which could result in the trial court imposing and executing the shorter sentence rather than the longer sentence.”  (</w:t>
      </w:r>
      <w:r w:rsidRPr="002D57BE">
        <w:rPr>
          <w:i/>
          <w:iCs/>
        </w:rPr>
        <w:t>P</w:t>
      </w:r>
      <w:r w:rsidRPr="002D57BE">
        <w:rPr>
          <w:i/>
          <w:iCs/>
        </w:rPr>
        <w:t>eople v. Mani</w:t>
      </w:r>
      <w:r w:rsidRPr="002D57BE">
        <w:t xml:space="preserve"> (2022) 74 Cal.App.5th 343, 379.)</w:t>
      </w:r>
    </w:p>
    <w:p w14:paraId="12BFE3C1" w14:textId="70AE6633" w:rsidR="00C60B5C" w:rsidRPr="002D57BE" w:rsidRDefault="00C6573A" w:rsidP="001A05AD">
      <w:pPr>
        <w:pStyle w:val="BodyText"/>
        <w:widowControl/>
        <w:spacing w:line="360" w:lineRule="auto"/>
        <w:ind w:firstLine="620"/>
      </w:pPr>
      <w:r w:rsidRPr="002D57BE">
        <w:t>The People concede that this amendment to section 654 applies retroactively but argue it is inapplicable here because Scott was convicted of special circumstance first degree murder and sentenced to the mandat</w:t>
      </w:r>
      <w:r w:rsidRPr="002D57BE">
        <w:t>ory life without the possibility of parole.  The People contend that amended section 654 does not grant the trial court discretion to essentially strike the special circumstance finding and reduce Scott’s sentence to anything less than life without the pos</w:t>
      </w:r>
      <w:r w:rsidRPr="002D57BE">
        <w:t>sibility of parole.  We agree.</w:t>
      </w:r>
    </w:p>
    <w:p w14:paraId="66912D37" w14:textId="33F56510" w:rsidR="00C60B5C" w:rsidRPr="002D57BE" w:rsidRDefault="00C6573A" w:rsidP="00C96CCF">
      <w:pPr>
        <w:pStyle w:val="BodyText"/>
        <w:widowControl/>
        <w:spacing w:line="360" w:lineRule="auto"/>
        <w:ind w:firstLine="620"/>
      </w:pPr>
      <w:r w:rsidRPr="002D57BE">
        <w:t xml:space="preserve">Section 1385.1 states, “Notwithstanding Section 1385 </w:t>
      </w:r>
      <w:r w:rsidRPr="002D57BE">
        <w:rPr>
          <w:i/>
          <w:iCs/>
        </w:rPr>
        <w:t>or any other provision of law</w:t>
      </w:r>
      <w:r w:rsidRPr="002D57BE">
        <w:t>, a judge shall not strike or dismiss any special circumstance which is admitted by a plea of guilty or nolo contendere or is found by a jury o</w:t>
      </w:r>
      <w:r w:rsidRPr="002D57BE">
        <w:t>r court as provided in Sections 190.1 to 190.5, inclusive.” (Italics added.)  The trial court therefore has no authority or discretion to strike a special circumstance finding in order to reduce a defendant’s punishment.  (</w:t>
      </w:r>
      <w:r w:rsidRPr="002D57BE">
        <w:rPr>
          <w:i/>
          <w:iCs/>
        </w:rPr>
        <w:t xml:space="preserve">People </w:t>
      </w:r>
      <w:r w:rsidRPr="002D57BE">
        <w:rPr>
          <w:i/>
          <w:iCs/>
        </w:rPr>
        <w:lastRenderedPageBreak/>
        <w:t xml:space="preserve">v. Mendoza </w:t>
      </w:r>
      <w:r w:rsidRPr="002D57BE">
        <w:t>(2011) 52 Cal.4</w:t>
      </w:r>
      <w:r w:rsidRPr="002D57BE">
        <w:t xml:space="preserve">th 1056, 1078; </w:t>
      </w:r>
      <w:r w:rsidRPr="002D57BE">
        <w:rPr>
          <w:i/>
          <w:iCs/>
        </w:rPr>
        <w:t xml:space="preserve">People v. Mora </w:t>
      </w:r>
      <w:r w:rsidRPr="002D57BE">
        <w:t>(1995) 39 Cal.App.4th 607, 614</w:t>
      </w:r>
      <w:r w:rsidR="00F40DCD" w:rsidRPr="002D57BE">
        <w:t>–</w:t>
      </w:r>
      <w:r w:rsidRPr="002D57BE">
        <w:t>615.)</w:t>
      </w:r>
    </w:p>
    <w:p w14:paraId="03F3D79B" w14:textId="77777777" w:rsidR="00C96CCF" w:rsidRDefault="00C6573A" w:rsidP="001A05AD">
      <w:pPr>
        <w:pStyle w:val="BodyText"/>
        <w:widowControl/>
        <w:spacing w:line="360" w:lineRule="auto"/>
        <w:ind w:firstLine="620"/>
      </w:pPr>
      <w:r w:rsidRPr="002D57BE">
        <w:t xml:space="preserve">Scott argues that staying a sentence of life without the possibility of parole following a special circumstance finding is not the same as striking the special circumstance finding itself. </w:t>
      </w:r>
      <w:r w:rsidRPr="002D57BE">
        <w:t xml:space="preserve"> We fail to see a practical distinction.  In </w:t>
      </w:r>
      <w:r w:rsidRPr="002D57BE">
        <w:rPr>
          <w:i/>
          <w:iCs/>
        </w:rPr>
        <w:t>People v. Mora</w:t>
      </w:r>
      <w:r w:rsidRPr="002D57BE">
        <w:t xml:space="preserve">, </w:t>
      </w:r>
      <w:r w:rsidRPr="002D57BE">
        <w:rPr>
          <w:i/>
          <w:iCs/>
        </w:rPr>
        <w:t>supra</w:t>
      </w:r>
      <w:r w:rsidRPr="002D57BE">
        <w:t>, 39 Cal.App.4th at p. 613 for example, the defendant was convicted of murder with special circumstances, and the trial court reduced the offense to ordinary first degree murder and imposed a term of 25 years to life.  On review, the court held that this w</w:t>
      </w:r>
      <w:r w:rsidRPr="002D57BE">
        <w:t xml:space="preserve">as improper, as a finding under section 190.2 “provides only two possible punishments, death or life imprisonment without possibility of parole.” </w:t>
      </w:r>
      <w:r w:rsidR="00877DAA">
        <w:t xml:space="preserve"> </w:t>
      </w:r>
      <w:r w:rsidRPr="002D57BE">
        <w:t>(</w:t>
      </w:r>
      <w:r w:rsidRPr="002D57BE">
        <w:rPr>
          <w:i/>
          <w:iCs/>
        </w:rPr>
        <w:t>Id.</w:t>
      </w:r>
      <w:r w:rsidRPr="002D57BE">
        <w:t xml:space="preserve"> at pp. </w:t>
      </w:r>
    </w:p>
    <w:p w14:paraId="6A808978" w14:textId="6832E7CF" w:rsidR="00C60B5C" w:rsidRPr="002D57BE" w:rsidRDefault="00C6573A" w:rsidP="00C96CCF">
      <w:pPr>
        <w:pStyle w:val="BodyText"/>
        <w:widowControl/>
        <w:spacing w:line="360" w:lineRule="auto"/>
      </w:pPr>
      <w:r w:rsidRPr="002D57BE">
        <w:t>614</w:t>
      </w:r>
      <w:r w:rsidR="00F568B7" w:rsidRPr="002D57BE">
        <w:t>–</w:t>
      </w:r>
      <w:r w:rsidRPr="002D57BE">
        <w:t xml:space="preserve">615.)  </w:t>
      </w:r>
    </w:p>
    <w:p w14:paraId="53A66EEF" w14:textId="77777777" w:rsidR="00C96CCF" w:rsidRDefault="00C6573A" w:rsidP="001A05AD">
      <w:pPr>
        <w:pStyle w:val="BodyText"/>
        <w:widowControl/>
        <w:spacing w:line="360" w:lineRule="auto"/>
        <w:ind w:firstLine="620"/>
      </w:pPr>
      <w:r w:rsidRPr="002D57BE">
        <w:t xml:space="preserve">Section 1385.1 was enacted by the voters through Proposition 115, also known as the </w:t>
      </w:r>
      <w:r w:rsidRPr="002D57BE">
        <w:t>Crime Victims Justice Reform Act.  A stated goal of Proposition 115 was that it would “remed[y] gross inequities and will bring more violent criminals to justice.”  (Ballot Pamp., Primary Elec. (June 5, 1990) argument in favor of Prop. 115, p.</w:t>
      </w:r>
      <w:r w:rsidR="00A45A1D">
        <w:t xml:space="preserve"> </w:t>
      </w:r>
      <w:r w:rsidR="00785853" w:rsidRPr="002D57BE">
        <w:t>34</w:t>
      </w:r>
      <w:r w:rsidRPr="002D57BE">
        <w:t>.)  Courts</w:t>
      </w:r>
      <w:r w:rsidRPr="002D57BE">
        <w:t xml:space="preserve"> have interpreted section 1385.1 to remove the trial court’s power to modify or reduce a defendant’s sentence of life imprisonment without the possibility of parole when a special circumstance finding has been made.</w:t>
      </w:r>
      <w:r w:rsidR="00877DAA">
        <w:t xml:space="preserve"> </w:t>
      </w:r>
      <w:r w:rsidRPr="002D57BE">
        <w:t xml:space="preserve"> (</w:t>
      </w:r>
      <w:r w:rsidRPr="002D57BE">
        <w:rPr>
          <w:i/>
          <w:iCs/>
        </w:rPr>
        <w:t>Tapia v. Superior Court</w:t>
      </w:r>
      <w:r w:rsidRPr="002D57BE">
        <w:t xml:space="preserve"> (1991) 53 Cal.</w:t>
      </w:r>
      <w:r w:rsidRPr="002D57BE">
        <w:t xml:space="preserve">3d 282, 298, fn. 17; </w:t>
      </w:r>
      <w:r w:rsidRPr="002D57BE">
        <w:rPr>
          <w:i/>
          <w:iCs/>
        </w:rPr>
        <w:t>People v. Mora, supra</w:t>
      </w:r>
      <w:r w:rsidRPr="002D57BE">
        <w:t xml:space="preserve">, 39 Cal.App.4th at </w:t>
      </w:r>
    </w:p>
    <w:p w14:paraId="6026AF69" w14:textId="3CA2FBE6" w:rsidR="00C60B5C" w:rsidRPr="002D57BE" w:rsidRDefault="00C6573A" w:rsidP="00C96CCF">
      <w:pPr>
        <w:pStyle w:val="BodyText"/>
        <w:widowControl/>
        <w:spacing w:line="360" w:lineRule="auto"/>
      </w:pPr>
      <w:r w:rsidRPr="002D57BE">
        <w:t>p. 614</w:t>
      </w:r>
      <w:r w:rsidR="00B84A51" w:rsidRPr="002D57BE">
        <w:t>–615</w:t>
      </w:r>
      <w:r w:rsidRPr="002D57BE">
        <w:t>.)</w:t>
      </w:r>
      <w:r>
        <w:rPr>
          <w:rStyle w:val="FootnoteReference"/>
        </w:rPr>
        <w:footnoteReference w:id="12"/>
      </w:r>
    </w:p>
    <w:p w14:paraId="472441C9" w14:textId="487B89E9" w:rsidR="00C60B5C" w:rsidRPr="002D57BE" w:rsidRDefault="00C6573A" w:rsidP="001A05AD">
      <w:pPr>
        <w:pStyle w:val="BodyText"/>
        <w:widowControl/>
        <w:spacing w:line="360" w:lineRule="auto"/>
        <w:ind w:firstLine="620"/>
      </w:pPr>
      <w:r w:rsidRPr="002D57BE">
        <w:lastRenderedPageBreak/>
        <w:t xml:space="preserve">Scott’s interpretation of amended </w:t>
      </w:r>
      <w:r w:rsidR="004848FE" w:rsidRPr="002D57BE">
        <w:t xml:space="preserve">section </w:t>
      </w:r>
      <w:r w:rsidRPr="002D57BE">
        <w:t>654 would render section 1385.1 pointless, as trial courts could simply ignore a special circumstance finding and impose a lesser term o</w:t>
      </w:r>
      <w:r w:rsidRPr="002D57BE">
        <w:t>f punishment at sentencing, effectively “striking” the special circumstance finding.  Scott’s interpretation would also render section 1385.1’s inclusion of “notwithstanding</w:t>
      </w:r>
      <w:r w:rsidR="00946AB6" w:rsidRPr="002D57BE">
        <w:t xml:space="preserve"> </w:t>
      </w:r>
      <w:r w:rsidRPr="002D57BE">
        <w:t>any other</w:t>
      </w:r>
      <w:r w:rsidR="00946AB6" w:rsidRPr="002D57BE">
        <w:t xml:space="preserve"> . . .</w:t>
      </w:r>
      <w:r w:rsidRPr="002D57BE">
        <w:t xml:space="preserve"> provision</w:t>
      </w:r>
      <w:r w:rsidR="00946AB6" w:rsidRPr="002D57BE">
        <w:t>s</w:t>
      </w:r>
      <w:r w:rsidRPr="002D57BE">
        <w:t xml:space="preserve"> of law” superfluous.  “When the Legislature intends for</w:t>
      </w:r>
      <w:r w:rsidRPr="002D57BE">
        <w:t xml:space="preserve"> a statute to prevail over all contrary law, it typically signals this intent by using phrases like ‘notwithstanding any other law’ or ‘notwithstanding other provisions of the law.”  (</w:t>
      </w:r>
      <w:r w:rsidRPr="002D57BE">
        <w:rPr>
          <w:i/>
          <w:iCs/>
        </w:rPr>
        <w:t>In re Greg F.</w:t>
      </w:r>
      <w:r w:rsidRPr="002D57BE">
        <w:t xml:space="preserve"> (2012) 55 Cal.4th 393, 406.)  The same holds true for init</w:t>
      </w:r>
      <w:r w:rsidRPr="002D57BE">
        <w:t>iative measures by voters, and we can conclude that by including such a phrase, the voters intended for section 1385.1 to prevail over any contrary law, including amended section 654.  The judiciary has the duty to guard the voters’ initiative power so tha</w:t>
      </w:r>
      <w:r w:rsidRPr="002D57BE">
        <w:t>t it is not undone by improper action or amendment by the Legislature.  (</w:t>
      </w:r>
      <w:r w:rsidRPr="002D57BE">
        <w:rPr>
          <w:i/>
          <w:iCs/>
        </w:rPr>
        <w:t>People v. Kelly</w:t>
      </w:r>
      <w:r w:rsidRPr="002D57BE">
        <w:t xml:space="preserve"> (2010) 47 Cal.4</w:t>
      </w:r>
      <w:r w:rsidR="00A835B9" w:rsidRPr="002D57BE">
        <w:t xml:space="preserve">th </w:t>
      </w:r>
      <w:r w:rsidRPr="002D57BE">
        <w:t xml:space="preserve">1008, 1025.)  </w:t>
      </w:r>
    </w:p>
    <w:p w14:paraId="26737D9C" w14:textId="77777777" w:rsidR="00C96CCF" w:rsidRDefault="00C6573A" w:rsidP="001A05AD">
      <w:pPr>
        <w:pStyle w:val="BodyText"/>
        <w:widowControl/>
        <w:spacing w:line="360" w:lineRule="auto"/>
        <w:ind w:firstLine="620"/>
      </w:pPr>
      <w:r w:rsidRPr="002D57BE">
        <w:t xml:space="preserve">Our holding also comports with our colleagues in Division Two’s recent ruling in </w:t>
      </w:r>
      <w:r w:rsidRPr="002D57BE">
        <w:rPr>
          <w:i/>
          <w:iCs/>
        </w:rPr>
        <w:t xml:space="preserve">People v. Caparaz </w:t>
      </w:r>
      <w:r w:rsidRPr="002D57BE">
        <w:t xml:space="preserve">(2022) 80 Cal.App.5th 669.  There, </w:t>
      </w:r>
      <w:r w:rsidRPr="002D57BE">
        <w:t xml:space="preserve">we held that the trial court was without discretion to suspend or stay sentencing under amended section 654 because defendant was convicted of a One Strike offense. </w:t>
      </w:r>
      <w:r w:rsidR="00877DAA">
        <w:t xml:space="preserve"> </w:t>
      </w:r>
      <w:r w:rsidRPr="002D57BE">
        <w:t>(</w:t>
      </w:r>
      <w:r w:rsidRPr="002D57BE">
        <w:rPr>
          <w:i/>
          <w:iCs/>
        </w:rPr>
        <w:t>Id.</w:t>
      </w:r>
      <w:r w:rsidRPr="002D57BE">
        <w:t xml:space="preserve"> at p. 69</w:t>
      </w:r>
      <w:r w:rsidR="00A45A1D">
        <w:t>0</w:t>
      </w:r>
      <w:r w:rsidRPr="002D57BE">
        <w:t>.)  The One Strike law under section 667.61, subdivision (h) provides, “Notw</w:t>
      </w:r>
      <w:r w:rsidRPr="002D57BE">
        <w:t xml:space="preserve">ithstanding any other law, probation shall not be granted to, nor shall the execution or imposition of sentence be suspended for, a person who is subject to punishment under this section.” </w:t>
      </w:r>
      <w:r w:rsidR="007928BD" w:rsidRPr="002D57BE">
        <w:t xml:space="preserve"> </w:t>
      </w:r>
      <w:r w:rsidRPr="002D57BE">
        <w:t>That this section does not expressly prohibit a “stay” of a senten</w:t>
      </w:r>
      <w:r w:rsidRPr="002D57BE">
        <w:t xml:space="preserve">ce or identify section 654 “is not dispositive; it is enough that the provision applies ‘[n]otwithstanding any other law.’ ” </w:t>
      </w:r>
      <w:r w:rsidR="00877DAA">
        <w:t xml:space="preserve"> </w:t>
      </w:r>
      <w:r w:rsidRPr="002D57BE">
        <w:t>(</w:t>
      </w:r>
      <w:r w:rsidR="007928BD" w:rsidRPr="002D57BE">
        <w:rPr>
          <w:i/>
          <w:iCs/>
        </w:rPr>
        <w:t xml:space="preserve">Caparaz, supra, </w:t>
      </w:r>
      <w:r w:rsidR="007928BD" w:rsidRPr="002D57BE">
        <w:t xml:space="preserve">80 Cal.App.5th at </w:t>
      </w:r>
    </w:p>
    <w:p w14:paraId="255E4C37" w14:textId="49FDBE1F" w:rsidR="00C60B5C" w:rsidRPr="002D57BE" w:rsidRDefault="00C6573A" w:rsidP="00C96CCF">
      <w:pPr>
        <w:pStyle w:val="BodyText"/>
        <w:widowControl/>
        <w:spacing w:line="360" w:lineRule="auto"/>
      </w:pPr>
      <w:r w:rsidRPr="002D57BE">
        <w:lastRenderedPageBreak/>
        <w:t>p.</w:t>
      </w:r>
      <w:r w:rsidR="00C96CCF">
        <w:t xml:space="preserve"> </w:t>
      </w:r>
      <w:r w:rsidRPr="002D57BE">
        <w:t>689.)  We find the same here with respect to section 1385.1.</w:t>
      </w:r>
      <w:r>
        <w:rPr>
          <w:rStyle w:val="FootnoteReference"/>
        </w:rPr>
        <w:footnoteReference w:id="13"/>
      </w:r>
    </w:p>
    <w:p w14:paraId="70BF77BC" w14:textId="77777777" w:rsidR="000034B8" w:rsidRPr="00214546" w:rsidRDefault="00C6573A" w:rsidP="001A05AD">
      <w:pPr>
        <w:pStyle w:val="BodyText"/>
        <w:widowControl/>
        <w:numPr>
          <w:ilvl w:val="0"/>
          <w:numId w:val="7"/>
        </w:numPr>
        <w:spacing w:line="360" w:lineRule="auto"/>
        <w:rPr>
          <w:u w:val="single"/>
        </w:rPr>
      </w:pPr>
      <w:r w:rsidRPr="00214546">
        <w:rPr>
          <w:u w:val="single"/>
        </w:rPr>
        <w:t xml:space="preserve">Cruel and Unusual </w:t>
      </w:r>
      <w:r w:rsidRPr="00214546">
        <w:rPr>
          <w:u w:val="single"/>
        </w:rPr>
        <w:t>Punishment as to Scott</w:t>
      </w:r>
    </w:p>
    <w:p w14:paraId="7C615D3B" w14:textId="419C4FA5" w:rsidR="000034B8" w:rsidRPr="002D57BE" w:rsidRDefault="00C6573A" w:rsidP="001A05AD">
      <w:pPr>
        <w:pStyle w:val="BodyText"/>
        <w:widowControl/>
        <w:spacing w:line="360" w:lineRule="auto"/>
        <w:ind w:firstLine="620"/>
      </w:pPr>
      <w:r w:rsidRPr="002D57BE">
        <w:t xml:space="preserve">Scott </w:t>
      </w:r>
      <w:r w:rsidR="000146B2" w:rsidRPr="002D57BE">
        <w:t xml:space="preserve">next </w:t>
      </w:r>
      <w:r w:rsidRPr="002D57BE">
        <w:t>argues that his sentence of life without the possibility of parole constitutes cruel and unusual punishment under the state and federal Constitutions because he was only 22 years old at the time of the murder.  Case author</w:t>
      </w:r>
      <w:r w:rsidRPr="002D57BE">
        <w:t xml:space="preserve">ity in this area is well settled, and Scott acknowledges in his brief that his argument has been rejected by a series of California cases. </w:t>
      </w:r>
    </w:p>
    <w:p w14:paraId="3E429D0A" w14:textId="2676BC3C" w:rsidR="000034B8" w:rsidRPr="002D57BE" w:rsidRDefault="00C6573A" w:rsidP="001A05AD">
      <w:pPr>
        <w:pStyle w:val="BodyText"/>
        <w:widowControl/>
        <w:spacing w:line="360" w:lineRule="auto"/>
        <w:ind w:firstLine="620"/>
      </w:pPr>
      <w:r w:rsidRPr="002D57BE">
        <w:t xml:space="preserve">In </w:t>
      </w:r>
      <w:r w:rsidRPr="002D57BE">
        <w:rPr>
          <w:i/>
          <w:iCs/>
        </w:rPr>
        <w:t>Graham v. Florida</w:t>
      </w:r>
      <w:r w:rsidRPr="002D57BE">
        <w:t xml:space="preserve"> (2010) 560 U.S. 48, 82, the United States Supreme Court held that sentencing a 16-year-old offe</w:t>
      </w:r>
      <w:r w:rsidRPr="002D57BE">
        <w:t>nder to life without the possibility of parole for a nonhomicide offense violated the Eighth Amendment’s prohibition against cruel and unusual punishment.  The court stated, “Because ‘[t]he age of 18 is the point where society draws the line for many purpo</w:t>
      </w:r>
      <w:r w:rsidRPr="002D57BE">
        <w:t>ses between childhood and adulthood,’ those who were below that age when the offense was committed may not be sentenced to life without parole for a nonhomicide crime.”  (</w:t>
      </w:r>
      <w:r w:rsidRPr="002D57BE">
        <w:rPr>
          <w:i/>
          <w:iCs/>
        </w:rPr>
        <w:t>Id.</w:t>
      </w:r>
      <w:r w:rsidRPr="002D57BE">
        <w:t xml:space="preserve"> at p. 74</w:t>
      </w:r>
      <w:r w:rsidR="00A97D3D" w:rsidRPr="002D57BE">
        <w:t>–</w:t>
      </w:r>
      <w:r w:rsidRPr="002D57BE">
        <w:t xml:space="preserve">75, quoting </w:t>
      </w:r>
      <w:r w:rsidRPr="002D57BE">
        <w:rPr>
          <w:i/>
          <w:iCs/>
        </w:rPr>
        <w:t>Roper v. Simmons</w:t>
      </w:r>
      <w:r w:rsidRPr="002D57BE">
        <w:t xml:space="preserve"> (2005) 543 U.S. 551, 5</w:t>
      </w:r>
      <w:r w:rsidR="00A97D3D" w:rsidRPr="002D57BE">
        <w:t>74</w:t>
      </w:r>
      <w:r w:rsidRPr="002D57BE">
        <w:t>.)  The Supreme Cou</w:t>
      </w:r>
      <w:r w:rsidRPr="002D57BE">
        <w:t xml:space="preserve">rt soon extended its holding in </w:t>
      </w:r>
      <w:r w:rsidRPr="002D57BE">
        <w:rPr>
          <w:i/>
          <w:iCs/>
        </w:rPr>
        <w:t xml:space="preserve">Graham </w:t>
      </w:r>
      <w:r w:rsidRPr="002D57BE">
        <w:t>and held that a juvenile may not be sentenced to mandatory life without the possibility of parole for a homicide offense.  (</w:t>
      </w:r>
      <w:r w:rsidRPr="002D57BE">
        <w:rPr>
          <w:i/>
          <w:iCs/>
        </w:rPr>
        <w:t>Miller v. Alabama</w:t>
      </w:r>
      <w:r w:rsidRPr="002D57BE">
        <w:t xml:space="preserve"> (2012) 567 U.S. 460, 479.)  The court reasoned that juveniles have “diminis</w:t>
      </w:r>
      <w:r w:rsidRPr="002D57BE">
        <w:t xml:space="preserve">hed culpability and greater prosects of reform” based on their lack of maturity, vulnerability to outside influences, and less formed character compared to an adult. </w:t>
      </w:r>
      <w:r w:rsidR="00D41E5E">
        <w:t xml:space="preserve"> </w:t>
      </w:r>
      <w:r w:rsidRPr="002D57BE">
        <w:t>(</w:t>
      </w:r>
      <w:r w:rsidRPr="002D57BE">
        <w:rPr>
          <w:i/>
          <w:iCs/>
        </w:rPr>
        <w:t>Id.</w:t>
      </w:r>
      <w:r w:rsidRPr="002D57BE">
        <w:t xml:space="preserve"> at p. 471.)</w:t>
      </w:r>
    </w:p>
    <w:p w14:paraId="0CB0E33A" w14:textId="77777777" w:rsidR="00C96CCF" w:rsidRDefault="00C6573A" w:rsidP="001A05AD">
      <w:pPr>
        <w:pStyle w:val="BodyText"/>
        <w:widowControl/>
        <w:spacing w:line="360" w:lineRule="auto"/>
        <w:ind w:firstLine="620"/>
      </w:pPr>
      <w:r w:rsidRPr="002D57BE">
        <w:lastRenderedPageBreak/>
        <w:t>Challenges have since been made to extend this line of reasoning to youn</w:t>
      </w:r>
      <w:r w:rsidRPr="002D57BE">
        <w:t xml:space="preserve">g adults.  In </w:t>
      </w:r>
      <w:r w:rsidRPr="002D57BE">
        <w:rPr>
          <w:i/>
          <w:iCs/>
        </w:rPr>
        <w:t>People v. Argeta</w:t>
      </w:r>
      <w:r w:rsidRPr="002D57BE">
        <w:t xml:space="preserve"> (2012) 210 Cal.App.4th 1478, the defendant was sentenced to life without the possibility of parole for first degree murder.</w:t>
      </w:r>
      <w:r w:rsidR="00D41E5E">
        <w:t xml:space="preserve"> </w:t>
      </w:r>
      <w:r w:rsidRPr="002D57BE">
        <w:t xml:space="preserve"> He argued that his sentence constituted cruel and unusual punishment since the crime was committed o</w:t>
      </w:r>
      <w:r w:rsidRPr="002D57BE">
        <w:t>nly five months after he turned 18.  The court disagreed, stating that while “ ‘[d]rawing the line at 18 years of age is subject … to the objections always raised against categorical rules … [</w:t>
      </w:r>
      <w:r w:rsidR="004C258E" w:rsidRPr="002D57BE">
        <w:t>,</w:t>
      </w:r>
      <w:r w:rsidRPr="002D57BE">
        <w:t>it] is the point where society draws the line for many purposes</w:t>
      </w:r>
      <w:r w:rsidRPr="002D57BE">
        <w:t xml:space="preserve"> between childhood and adulthood.’</w:t>
      </w:r>
      <w:r w:rsidR="00D41E5E">
        <w:t xml:space="preserve"> </w:t>
      </w:r>
      <w:r w:rsidRPr="002D57BE">
        <w:t xml:space="preserve"> [Citations.]  Making an exception for a defendant who committed a crime just five months past his 18th birthday opens the door for the next defendant who is only six months into adulthood.”  (</w:t>
      </w:r>
      <w:r w:rsidRPr="002D57BE">
        <w:rPr>
          <w:i/>
          <w:iCs/>
        </w:rPr>
        <w:t>Id.</w:t>
      </w:r>
      <w:r w:rsidRPr="002D57BE">
        <w:t xml:space="preserve"> at </w:t>
      </w:r>
    </w:p>
    <w:p w14:paraId="1C8F652C" w14:textId="37A6950D" w:rsidR="000034B8" w:rsidRPr="002D57BE" w:rsidRDefault="00C6573A" w:rsidP="00C96CCF">
      <w:pPr>
        <w:pStyle w:val="BodyText"/>
        <w:widowControl/>
        <w:spacing w:line="360" w:lineRule="auto"/>
      </w:pPr>
      <w:r w:rsidRPr="002D57BE">
        <w:t>p. 245</w:t>
      </w:r>
      <w:r w:rsidR="004C258E" w:rsidRPr="002D57BE">
        <w:t>–</w:t>
      </w:r>
      <w:r w:rsidRPr="002D57BE">
        <w:t>246.)</w:t>
      </w:r>
    </w:p>
    <w:p w14:paraId="442908F9" w14:textId="4F06ACEC" w:rsidR="000034B8" w:rsidRPr="002D57BE" w:rsidRDefault="00C6573A" w:rsidP="001A05AD">
      <w:pPr>
        <w:pStyle w:val="BodyText"/>
        <w:widowControl/>
        <w:spacing w:line="360" w:lineRule="auto"/>
        <w:ind w:firstLine="620"/>
      </w:pPr>
      <w:r w:rsidRPr="002D57BE">
        <w:t xml:space="preserve">In </w:t>
      </w:r>
      <w:r w:rsidRPr="002D57BE">
        <w:rPr>
          <w:i/>
          <w:iCs/>
        </w:rPr>
        <w:t>Peop</w:t>
      </w:r>
      <w:r w:rsidRPr="002D57BE">
        <w:rPr>
          <w:i/>
          <w:iCs/>
        </w:rPr>
        <w:t>le v. Edwards</w:t>
      </w:r>
      <w:r w:rsidRPr="002D57BE">
        <w:t xml:space="preserve"> (2019) 34 Cal.App.5th 183, our colleagues in Division Four rejected a similar challenge made by defendants who were 19 years old at the time they committed the crimes. </w:t>
      </w:r>
      <w:r w:rsidR="00D41E5E">
        <w:t xml:space="preserve"> </w:t>
      </w:r>
      <w:r w:rsidRPr="002D57BE">
        <w:t xml:space="preserve">Relying on </w:t>
      </w:r>
      <w:r w:rsidRPr="002D57BE">
        <w:rPr>
          <w:i/>
          <w:iCs/>
        </w:rPr>
        <w:t>Argeta</w:t>
      </w:r>
      <w:r w:rsidRPr="002D57BE">
        <w:t>, we confirmed that “a defendant’s 18th birthday marks a</w:t>
      </w:r>
      <w:r w:rsidRPr="002D57BE">
        <w:t xml:space="preserve"> bright line, and only for crimes committed before that date can he or she take advantage of the </w:t>
      </w:r>
      <w:r w:rsidRPr="002D57BE">
        <w:rPr>
          <w:i/>
          <w:iCs/>
        </w:rPr>
        <w:t>Graham/Caballero</w:t>
      </w:r>
      <w:r w:rsidRPr="002D57BE">
        <w:t xml:space="preserve"> jurisprudence in arguing cruel and unusual punishment. </w:t>
      </w:r>
      <w:r w:rsidR="00A45A1D">
        <w:t xml:space="preserve"> </w:t>
      </w:r>
      <w:r w:rsidRPr="002D57BE">
        <w:t>(</w:t>
      </w:r>
      <w:r w:rsidR="00A45A1D">
        <w:rPr>
          <w:i/>
          <w:iCs/>
        </w:rPr>
        <w:t>Edwards</w:t>
      </w:r>
      <w:r w:rsidR="00A45A1D" w:rsidRPr="00A45A1D">
        <w:t>,</w:t>
      </w:r>
      <w:r w:rsidR="00A45A1D">
        <w:rPr>
          <w:i/>
          <w:iCs/>
        </w:rPr>
        <w:t xml:space="preserve"> supra</w:t>
      </w:r>
      <w:r w:rsidR="00A45A1D">
        <w:t>, 34 Cal.App.5th</w:t>
      </w:r>
      <w:r w:rsidRPr="002D57BE">
        <w:t xml:space="preserve"> at p.</w:t>
      </w:r>
      <w:r w:rsidR="00A45A1D">
        <w:t xml:space="preserve"> 190.</w:t>
      </w:r>
      <w:r w:rsidRPr="002D57BE">
        <w:t>)  We agree with this reasoning and hold tha</w:t>
      </w:r>
      <w:r w:rsidRPr="002D57BE">
        <w:t xml:space="preserve">t Scott’s sentence does not constitute cruel and unusual punishment because he was not a juvenile at the time of the offense. </w:t>
      </w:r>
    </w:p>
    <w:p w14:paraId="754A16F0" w14:textId="77777777" w:rsidR="000034B8" w:rsidRPr="002D57BE" w:rsidRDefault="00C6573A" w:rsidP="001A05AD">
      <w:pPr>
        <w:pStyle w:val="BodyText"/>
        <w:widowControl/>
        <w:numPr>
          <w:ilvl w:val="0"/>
          <w:numId w:val="7"/>
        </w:numPr>
        <w:spacing w:line="360" w:lineRule="auto"/>
        <w:rPr>
          <w:u w:val="single"/>
        </w:rPr>
      </w:pPr>
      <w:r w:rsidRPr="002D57BE">
        <w:rPr>
          <w:u w:val="single"/>
        </w:rPr>
        <w:t>Equal Protection Challenge by Scott</w:t>
      </w:r>
    </w:p>
    <w:p w14:paraId="365EF744" w14:textId="4E24B37F" w:rsidR="000034B8" w:rsidRPr="002D57BE" w:rsidRDefault="00C6573A" w:rsidP="001A05AD">
      <w:pPr>
        <w:pStyle w:val="BodyText"/>
        <w:widowControl/>
        <w:spacing w:line="360" w:lineRule="auto"/>
        <w:ind w:firstLine="620"/>
      </w:pPr>
      <w:r w:rsidRPr="002D57BE">
        <w:t xml:space="preserve">Finally, Scott argues that his right to equal protection under the state and federal </w:t>
      </w:r>
      <w:r w:rsidRPr="002D57BE">
        <w:t>Constitutions was violated because he is ineligible for a youth offender parole hearing under section 3051 while two other similarly situated groups are</w:t>
      </w:r>
      <w:r w:rsidR="00944A07" w:rsidRPr="002D57BE">
        <w:t xml:space="preserve"> eligible</w:t>
      </w:r>
      <w:r w:rsidRPr="002D57BE">
        <w:t xml:space="preserve">.  Our review of an equal protection challenge is </w:t>
      </w:r>
      <w:r w:rsidRPr="002D57BE">
        <w:lastRenderedPageBreak/>
        <w:t>de novo.  (</w:t>
      </w:r>
      <w:r w:rsidRPr="002D57BE">
        <w:rPr>
          <w:i/>
          <w:iCs/>
        </w:rPr>
        <w:t>California Grocers Assn. v. City o</w:t>
      </w:r>
      <w:r w:rsidRPr="002D57BE">
        <w:rPr>
          <w:i/>
          <w:iCs/>
        </w:rPr>
        <w:t>f Los Angeles</w:t>
      </w:r>
      <w:r w:rsidRPr="002D57BE">
        <w:t xml:space="preserve"> (2011) 52 Cal.4th 177, 208.)</w:t>
      </w:r>
    </w:p>
    <w:p w14:paraId="7440ABC4" w14:textId="6C0C4544" w:rsidR="000034B8" w:rsidRPr="002D57BE" w:rsidRDefault="00C6573A" w:rsidP="001A05AD">
      <w:pPr>
        <w:pStyle w:val="BodyText"/>
        <w:widowControl/>
        <w:spacing w:line="360" w:lineRule="auto"/>
        <w:ind w:firstLine="620"/>
      </w:pPr>
      <w:r w:rsidRPr="002D57BE">
        <w:t>Under section 3051, juveniles who are sentenced to life without the possibility of parole are eligible for a youth offender parole hearing after 25 years of incarceration.</w:t>
      </w:r>
      <w:r w:rsidR="00D41E5E">
        <w:t xml:space="preserve"> </w:t>
      </w:r>
      <w:r w:rsidRPr="002D57BE">
        <w:t xml:space="preserve"> (§ 3051, subd. (b)(4).)  Likewise, young</w:t>
      </w:r>
      <w:r w:rsidRPr="002D57BE">
        <w:t xml:space="preserve"> adults between the ages of 18 and 25 who are sentenced to 25 years to life are also eligible for a youth offender parole hearing after 25 years. </w:t>
      </w:r>
      <w:r w:rsidR="00D41E5E">
        <w:t xml:space="preserve"> </w:t>
      </w:r>
      <w:r w:rsidRPr="002D57BE">
        <w:t xml:space="preserve">(§ 3051, subd. (b)(3).) </w:t>
      </w:r>
      <w:r w:rsidR="00D41E5E">
        <w:t xml:space="preserve"> </w:t>
      </w:r>
      <w:r w:rsidRPr="002D57BE">
        <w:t>Young adults sentenced to life without the possibility of parole like Scott however,</w:t>
      </w:r>
      <w:r w:rsidRPr="002D57BE">
        <w:t xml:space="preserve"> are ineligible for a youth offender parole hearing. </w:t>
      </w:r>
    </w:p>
    <w:p w14:paraId="700A63A7" w14:textId="77777777" w:rsidR="000034B8" w:rsidRPr="002D57BE" w:rsidRDefault="00C6573A" w:rsidP="001A05AD">
      <w:pPr>
        <w:pStyle w:val="ListParagraph"/>
        <w:widowControl/>
        <w:numPr>
          <w:ilvl w:val="0"/>
          <w:numId w:val="14"/>
        </w:numPr>
        <w:tabs>
          <w:tab w:val="left" w:pos="0"/>
        </w:tabs>
        <w:spacing w:line="360" w:lineRule="auto"/>
        <w:rPr>
          <w:rFonts w:ascii="Century Schoolbook" w:hAnsi="Century Schoolbook"/>
          <w:i/>
          <w:iCs/>
          <w:sz w:val="26"/>
          <w:szCs w:val="26"/>
        </w:rPr>
      </w:pPr>
      <w:r w:rsidRPr="002D57BE">
        <w:rPr>
          <w:rFonts w:ascii="Century Schoolbook" w:hAnsi="Century Schoolbook"/>
          <w:i/>
          <w:iCs/>
          <w:sz w:val="26"/>
          <w:szCs w:val="26"/>
        </w:rPr>
        <w:t>Similarly Situated Groups</w:t>
      </w:r>
    </w:p>
    <w:p w14:paraId="599DFBC5" w14:textId="538AEDE6" w:rsidR="000034B8" w:rsidRPr="002D57BE" w:rsidRDefault="00C6573A" w:rsidP="001A05AD">
      <w:pPr>
        <w:tabs>
          <w:tab w:val="left" w:pos="0"/>
        </w:tabs>
        <w:spacing w:line="360" w:lineRule="auto"/>
      </w:pPr>
      <w:r w:rsidRPr="002D57BE">
        <w:tab/>
        <w:t>“The constitutional guaranty of equal protection of the laws means simply that persons similarly situated with respect to the purpose of the law must be similarly treated unde</w:t>
      </w:r>
      <w:r w:rsidRPr="002D57BE">
        <w:t>r the law.  [Citations.]  If persons are not similarly situated for purposes of the law, an equal protection claim fails at the threshold.  [Citation.]</w:t>
      </w:r>
      <w:r w:rsidR="004539BE" w:rsidRPr="002D57BE">
        <w:t xml:space="preserve"> </w:t>
      </w:r>
      <w:r w:rsidRPr="002D57BE">
        <w:t xml:space="preserve"> The question is not whether persons are similarly situated for all purposes, but ‘whether they are simi</w:t>
      </w:r>
      <w:r w:rsidRPr="002D57BE">
        <w:t>larly situated for purposes of the law challenged.’ ”  (</w:t>
      </w:r>
      <w:r w:rsidRPr="002D57BE">
        <w:rPr>
          <w:i/>
          <w:iCs/>
        </w:rPr>
        <w:t>People v. Buffington</w:t>
      </w:r>
      <w:r w:rsidRPr="002D57BE">
        <w:t xml:space="preserve"> (1999) 74 Cal.App.4th 1149, 1155.)</w:t>
      </w:r>
    </w:p>
    <w:p w14:paraId="3F303E87" w14:textId="22CD47D1" w:rsidR="004E2AAE" w:rsidRPr="002D57BE" w:rsidRDefault="00C6573A" w:rsidP="001A05AD">
      <w:pPr>
        <w:tabs>
          <w:tab w:val="left" w:pos="0"/>
        </w:tabs>
        <w:spacing w:line="360" w:lineRule="auto"/>
      </w:pPr>
      <w:r w:rsidRPr="002D57BE">
        <w:tab/>
        <w:t>We find that for purposes of section 3051, young adults sentenced to life without the possibility of parole are similarly situated to those sen</w:t>
      </w:r>
      <w:r w:rsidRPr="002D57BE">
        <w:t>tenced to 25 years to life as well as juveniles sentenced to life without the possibility of parole.  “[T]he purpose of section 3051 is not to measure the extent of punishment warranted by the offense the individual committed but to permit the evaluation o</w:t>
      </w:r>
      <w:r w:rsidRPr="002D57BE">
        <w:t>f whether, after years of growth in prison, that person has attained the maturity to lead a law-abiding life outside of prison.”  (</w:t>
      </w:r>
      <w:r w:rsidRPr="002D57BE">
        <w:rPr>
          <w:i/>
          <w:iCs/>
        </w:rPr>
        <w:t>In re Jones</w:t>
      </w:r>
      <w:r w:rsidRPr="002D57BE">
        <w:t xml:space="preserve"> (2019) 42 Cal.App.5th 477, 485</w:t>
      </w:r>
      <w:r w:rsidR="001A05AD">
        <w:t>–</w:t>
      </w:r>
      <w:r w:rsidRPr="002D57BE">
        <w:t>486 (conc. opn. of Pollak, J.).)  These three groups are therefore similarly situa</w:t>
      </w:r>
      <w:r w:rsidRPr="002D57BE">
        <w:t xml:space="preserve">ted “for the purpose of evaluating </w:t>
      </w:r>
      <w:r w:rsidRPr="002D57BE">
        <w:lastRenderedPageBreak/>
        <w:t>whether they have outgrown the youthful impulses that led to the commission of their offenses.”</w:t>
      </w:r>
      <w:r w:rsidR="00D41E5E">
        <w:t xml:space="preserve"> </w:t>
      </w:r>
      <w:r w:rsidRPr="002D57BE">
        <w:t xml:space="preserve"> (</w:t>
      </w:r>
      <w:r w:rsidRPr="002D57BE">
        <w:rPr>
          <w:i/>
          <w:iCs/>
        </w:rPr>
        <w:t>Ibid.</w:t>
      </w:r>
      <w:r w:rsidRPr="002D57BE">
        <w:t xml:space="preserve">) </w:t>
      </w:r>
    </w:p>
    <w:p w14:paraId="0BFECEE6" w14:textId="77777777" w:rsidR="000034B8" w:rsidRPr="002D57BE" w:rsidRDefault="00C6573A" w:rsidP="001A05AD">
      <w:pPr>
        <w:pStyle w:val="ListParagraph"/>
        <w:widowControl/>
        <w:numPr>
          <w:ilvl w:val="0"/>
          <w:numId w:val="14"/>
        </w:numPr>
        <w:tabs>
          <w:tab w:val="left" w:pos="0"/>
        </w:tabs>
        <w:spacing w:line="360" w:lineRule="auto"/>
        <w:rPr>
          <w:rFonts w:ascii="Century Schoolbook" w:hAnsi="Century Schoolbook"/>
          <w:i/>
          <w:iCs/>
          <w:sz w:val="26"/>
          <w:szCs w:val="26"/>
        </w:rPr>
      </w:pPr>
      <w:r w:rsidRPr="002D57BE">
        <w:rPr>
          <w:rFonts w:ascii="Century Schoolbook" w:hAnsi="Century Schoolbook"/>
          <w:sz w:val="26"/>
          <w:szCs w:val="26"/>
        </w:rPr>
        <w:t xml:space="preserve"> </w:t>
      </w:r>
      <w:r w:rsidRPr="002D57BE">
        <w:rPr>
          <w:rFonts w:ascii="Century Schoolbook" w:hAnsi="Century Schoolbook"/>
          <w:i/>
          <w:iCs/>
          <w:sz w:val="26"/>
          <w:szCs w:val="26"/>
        </w:rPr>
        <w:t>Rational Basis for</w:t>
      </w:r>
      <w:r w:rsidRPr="002D57BE">
        <w:rPr>
          <w:rFonts w:ascii="Century Schoolbook" w:hAnsi="Century Schoolbook"/>
          <w:sz w:val="26"/>
          <w:szCs w:val="26"/>
        </w:rPr>
        <w:t xml:space="preserve"> </w:t>
      </w:r>
      <w:r w:rsidRPr="002D57BE">
        <w:rPr>
          <w:rFonts w:ascii="Century Schoolbook" w:hAnsi="Century Schoolbook"/>
          <w:i/>
          <w:iCs/>
          <w:sz w:val="26"/>
          <w:szCs w:val="26"/>
        </w:rPr>
        <w:t>Disparate Treatment</w:t>
      </w:r>
    </w:p>
    <w:p w14:paraId="49540D2B" w14:textId="712B4A88" w:rsidR="000034B8" w:rsidRPr="002D57BE" w:rsidRDefault="00C6573A" w:rsidP="001A05AD">
      <w:pPr>
        <w:pStyle w:val="BodyText"/>
        <w:widowControl/>
        <w:spacing w:line="360" w:lineRule="auto"/>
        <w:ind w:firstLine="620"/>
      </w:pPr>
      <w:r w:rsidRPr="002D57BE">
        <w:t>“Where a class of criminal defendants is similarly situated to another clas</w:t>
      </w:r>
      <w:r w:rsidRPr="002D57BE">
        <w:t xml:space="preserve">s of defendants who are sentenced differently, courts look to determine whether there is a rational basis for the difference. </w:t>
      </w:r>
      <w:r w:rsidR="004539BE" w:rsidRPr="002D57BE">
        <w:t xml:space="preserve"> </w:t>
      </w:r>
      <w:r w:rsidRPr="002D57BE">
        <w:t xml:space="preserve">[Citation.] </w:t>
      </w:r>
      <w:r w:rsidR="004539BE" w:rsidRPr="002D57BE">
        <w:t xml:space="preserve"> </w:t>
      </w:r>
      <w:r w:rsidRPr="002D57BE">
        <w:t>“[E]qual protection of the law is denied only where there is no ‘rational relationship between the disparity of trea</w:t>
      </w:r>
      <w:r w:rsidRPr="002D57BE">
        <w:t>tment and some legitimate governmental purpose.’ ”</w:t>
      </w:r>
      <w:r w:rsidR="004539BE" w:rsidRPr="002D57BE">
        <w:t xml:space="preserve"> </w:t>
      </w:r>
      <w:r w:rsidRPr="002D57BE">
        <w:t xml:space="preserve"> (</w:t>
      </w:r>
      <w:r w:rsidRPr="002D57BE">
        <w:rPr>
          <w:i/>
          <w:iCs/>
        </w:rPr>
        <w:t>People v. Edwards</w:t>
      </w:r>
      <w:r w:rsidRPr="002D57BE">
        <w:t xml:space="preserve">, </w:t>
      </w:r>
      <w:r w:rsidRPr="002D57BE">
        <w:rPr>
          <w:i/>
          <w:iCs/>
        </w:rPr>
        <w:t>supra</w:t>
      </w:r>
      <w:r w:rsidRPr="002D57BE">
        <w:t>, 34 Cal.App.5th at p. 195.)  This standard is exceedingly deferential.  “</w:t>
      </w:r>
      <w:r w:rsidR="00822788" w:rsidRPr="002D57BE">
        <w:t>We must accept any plausible rational basis without questioning its wisdom, logic, persuasiveness, or fairness, and regardless of whether the Legislature ever articulated it.”  (</w:t>
      </w:r>
      <w:r w:rsidR="00822788" w:rsidRPr="002D57BE">
        <w:rPr>
          <w:i/>
          <w:iCs/>
        </w:rPr>
        <w:t>People v. Sands</w:t>
      </w:r>
      <w:r w:rsidR="00822788" w:rsidRPr="002D57BE">
        <w:t xml:space="preserve"> (2021) 70 </w:t>
      </w:r>
      <w:r w:rsidR="00C614E6" w:rsidRPr="002D57BE">
        <w:t>Cal.App.5th 193, 204.)</w:t>
      </w:r>
    </w:p>
    <w:p w14:paraId="388A0CA1" w14:textId="41B9E557" w:rsidR="000034B8" w:rsidRPr="002D57BE" w:rsidRDefault="00C6573A" w:rsidP="001A05AD">
      <w:pPr>
        <w:pStyle w:val="BodyText"/>
        <w:widowControl/>
        <w:spacing w:line="360" w:lineRule="auto"/>
        <w:ind w:firstLine="620"/>
      </w:pPr>
      <w:r w:rsidRPr="002D57BE">
        <w:t>We find there is a rational basis for the disparate treatment of young adults sentenced to life without the possibility of parole.  Fi</w:t>
      </w:r>
      <w:r w:rsidRPr="002D57BE">
        <w:t>rst, as between young adults (between the ages of 18 and 25) and juveniles (below the age of 18) sentenced to life without the possibility of parole, our colleagues in Division Four followed the precedent of the United States Supreme Court and held that th</w:t>
      </w:r>
      <w:r w:rsidRPr="002D57BE">
        <w:t>e age line drawn by the Legislature between juveniles and adults is a rational one to justify disparate treatment.  (</w:t>
      </w:r>
      <w:r w:rsidRPr="002D57BE">
        <w:rPr>
          <w:i/>
          <w:iCs/>
        </w:rPr>
        <w:t xml:space="preserve">People v. Morales </w:t>
      </w:r>
      <w:r w:rsidRPr="002D57BE">
        <w:t xml:space="preserve">(2021) 67 Cal.App.5th 326, 347; </w:t>
      </w:r>
      <w:r w:rsidRPr="002D57BE">
        <w:rPr>
          <w:i/>
          <w:iCs/>
        </w:rPr>
        <w:t>In re Murray</w:t>
      </w:r>
      <w:r w:rsidRPr="002D57BE">
        <w:t xml:space="preserve"> (2021) 68 Cal.App.5th 456, 463</w:t>
      </w:r>
      <w:r w:rsidR="00C56D77" w:rsidRPr="002D57BE">
        <w:t>–</w:t>
      </w:r>
      <w:r w:rsidRPr="002D57BE">
        <w:t xml:space="preserve">464.)  </w:t>
      </w:r>
      <w:r w:rsidR="00272B66" w:rsidRPr="002D57BE">
        <w:t xml:space="preserve">Our own </w:t>
      </w:r>
      <w:r w:rsidR="0042671D" w:rsidRPr="002D57BE">
        <w:t>D</w:t>
      </w:r>
      <w:r w:rsidR="00272B66" w:rsidRPr="002D57BE">
        <w:t>ivision</w:t>
      </w:r>
      <w:r w:rsidR="005112F6" w:rsidRPr="002D57BE">
        <w:t xml:space="preserve"> also concluded the same in </w:t>
      </w:r>
      <w:r w:rsidR="005112F6" w:rsidRPr="002D57BE">
        <w:rPr>
          <w:i/>
          <w:iCs/>
        </w:rPr>
        <w:t>People v. Sands</w:t>
      </w:r>
      <w:r w:rsidR="005112F6" w:rsidRPr="002D57BE">
        <w:t xml:space="preserve">, </w:t>
      </w:r>
      <w:r w:rsidR="005112F6" w:rsidRPr="002D57BE">
        <w:rPr>
          <w:i/>
          <w:iCs/>
        </w:rPr>
        <w:t>supra</w:t>
      </w:r>
      <w:r w:rsidR="005112F6" w:rsidRPr="002D57BE">
        <w:t xml:space="preserve">, 70 Cal.App.5th </w:t>
      </w:r>
      <w:r w:rsidR="003963C1" w:rsidRPr="002D57BE">
        <w:t xml:space="preserve">at p. </w:t>
      </w:r>
      <w:r w:rsidR="001260B8" w:rsidRPr="002D57BE">
        <w:t>204</w:t>
      </w:r>
      <w:r w:rsidR="0068048D" w:rsidRPr="002D57BE">
        <w:t>.</w:t>
      </w:r>
      <w:r w:rsidR="003963C1" w:rsidRPr="002D57BE">
        <w:t xml:space="preserve">  </w:t>
      </w:r>
      <w:r w:rsidRPr="002D57BE">
        <w:t xml:space="preserve">We follow this line of reasoning and reject Scott’s contention that these cases were wrongly decided.  </w:t>
      </w:r>
    </w:p>
    <w:p w14:paraId="23134672" w14:textId="5F240ECB" w:rsidR="000034B8" w:rsidRPr="002D57BE" w:rsidRDefault="00C6573A" w:rsidP="001A05AD">
      <w:pPr>
        <w:pStyle w:val="BodyText"/>
        <w:widowControl/>
        <w:spacing w:line="360" w:lineRule="auto"/>
        <w:ind w:firstLine="620"/>
      </w:pPr>
      <w:r w:rsidRPr="002D57BE">
        <w:t>Second, as we held in</w:t>
      </w:r>
      <w:r w:rsidR="00BF77DF" w:rsidRPr="002D57BE">
        <w:t xml:space="preserve"> both</w:t>
      </w:r>
      <w:r w:rsidRPr="002D57BE">
        <w:t xml:space="preserve"> </w:t>
      </w:r>
      <w:r w:rsidRPr="002D57BE">
        <w:rPr>
          <w:i/>
          <w:iCs/>
        </w:rPr>
        <w:t>People v. Morales</w:t>
      </w:r>
      <w:r w:rsidRPr="002D57BE">
        <w:t xml:space="preserve">, </w:t>
      </w:r>
      <w:r w:rsidRPr="002D57BE">
        <w:rPr>
          <w:i/>
          <w:iCs/>
        </w:rPr>
        <w:t>supra</w:t>
      </w:r>
      <w:r w:rsidRPr="002D57BE">
        <w:t>, 67 Cal.App.5th at p.</w:t>
      </w:r>
      <w:r w:rsidRPr="002D57BE">
        <w:t xml:space="preserve"> 348</w:t>
      </w:r>
      <w:r w:rsidR="00D07EC6" w:rsidRPr="002D57BE">
        <w:t xml:space="preserve"> and </w:t>
      </w:r>
      <w:r w:rsidR="00D07EC6" w:rsidRPr="002D57BE">
        <w:rPr>
          <w:i/>
          <w:iCs/>
        </w:rPr>
        <w:t>People v. Sands</w:t>
      </w:r>
      <w:r w:rsidR="00D07EC6" w:rsidRPr="002D57BE">
        <w:t xml:space="preserve">, </w:t>
      </w:r>
      <w:r w:rsidR="00D07EC6" w:rsidRPr="002D57BE">
        <w:rPr>
          <w:i/>
          <w:iCs/>
        </w:rPr>
        <w:t>supra</w:t>
      </w:r>
      <w:r w:rsidR="00D07EC6" w:rsidRPr="002D57BE">
        <w:t xml:space="preserve">, </w:t>
      </w:r>
      <w:r w:rsidR="00BF77DF" w:rsidRPr="002D57BE">
        <w:t>70 Cal.App.5th at p. 204,</w:t>
      </w:r>
      <w:r w:rsidRPr="002D57BE">
        <w:t xml:space="preserve"> the severity of the crime provides a rational basis for disparate treatment between young </w:t>
      </w:r>
      <w:r w:rsidRPr="002D57BE">
        <w:lastRenderedPageBreak/>
        <w:t>adults sentenced to life without the possibility of parole and those sentenced to a lesser term like 25 yea</w:t>
      </w:r>
      <w:r w:rsidRPr="002D57BE">
        <w:t>rs to life.  Special circumstance murder “carries a mandatory sentence of [life without the possibility of parole] or death (§ 190.2, subd. (a)), which are the harshest penalties available under our penal system and are reserved for crimes of the most hein</w:t>
      </w:r>
      <w:r w:rsidRPr="002D57BE">
        <w:t>ous nature.”  (</w:t>
      </w:r>
      <w:r w:rsidRPr="002D57BE">
        <w:rPr>
          <w:i/>
          <w:iCs/>
        </w:rPr>
        <w:t>In re Williams</w:t>
      </w:r>
      <w:r w:rsidRPr="002D57BE">
        <w:t xml:space="preserve"> (2020) 57 Cal.App.5th 427, 436.)  “In excluding [such offenders] from youth offender parole hearings, the Legislature reasonably could have decided that youthful offenders who have committed such crimes</w:t>
      </w:r>
      <w:r w:rsidR="00C96CCF">
        <w:t>—</w:t>
      </w:r>
      <w:r w:rsidRPr="002D57BE">
        <w:t>even with diminished cu</w:t>
      </w:r>
      <w:r w:rsidRPr="002D57BE">
        <w:t>lpability and increased potential for rehabilitation</w:t>
      </w:r>
      <w:r w:rsidR="00C96CCF">
        <w:t>—</w:t>
      </w:r>
      <w:r w:rsidRPr="002D57BE">
        <w:t>are nonetheless still sufficiently culpable and sufficiently dangerous to justify lifetime incarceration.”</w:t>
      </w:r>
      <w:r w:rsidR="00D41E5E">
        <w:t xml:space="preserve"> </w:t>
      </w:r>
      <w:r w:rsidRPr="002D57BE">
        <w:t xml:space="preserve"> (</w:t>
      </w:r>
      <w:r w:rsidRPr="002D57BE">
        <w:rPr>
          <w:i/>
          <w:iCs/>
        </w:rPr>
        <w:t>Ibid</w:t>
      </w:r>
      <w:r w:rsidRPr="002D57BE">
        <w:t>.)</w:t>
      </w:r>
    </w:p>
    <w:p w14:paraId="5F21BF16" w14:textId="7E93B139" w:rsidR="00D318FA" w:rsidRPr="002D57BE" w:rsidRDefault="00C6573A" w:rsidP="001A05AD">
      <w:pPr>
        <w:pStyle w:val="BodyText"/>
        <w:widowControl/>
        <w:spacing w:line="360" w:lineRule="auto"/>
        <w:ind w:firstLine="620"/>
      </w:pPr>
      <w:r w:rsidRPr="002D57BE">
        <w:t>We acknowledge that a number of Court of Appeal justices, including from this court, ha</w:t>
      </w:r>
      <w:r w:rsidRPr="002D57BE">
        <w:t>ve called for legislative reconsideration of section 3051 to include young adults sentenced to life without the possibility of parole.  (</w:t>
      </w:r>
      <w:r w:rsidRPr="002D57BE">
        <w:rPr>
          <w:i/>
          <w:iCs/>
        </w:rPr>
        <w:t>In re Murray</w:t>
      </w:r>
      <w:r w:rsidRPr="002D57BE">
        <w:t xml:space="preserve">, </w:t>
      </w:r>
      <w:r w:rsidRPr="002D57BE">
        <w:rPr>
          <w:i/>
          <w:iCs/>
        </w:rPr>
        <w:t>supra</w:t>
      </w:r>
      <w:r w:rsidRPr="002D57BE">
        <w:t xml:space="preserve">, 68 Cal.App.5th at p. 464.) However, </w:t>
      </w:r>
      <w:r w:rsidR="00390BE3" w:rsidRPr="002D57BE">
        <w:t xml:space="preserve">our </w:t>
      </w:r>
      <w:r w:rsidR="004A4D00" w:rsidRPr="002D57BE">
        <w:t xml:space="preserve">high court reminds us </w:t>
      </w:r>
      <w:r w:rsidRPr="002D57BE">
        <w:t xml:space="preserve">that “[e]qual protection </w:t>
      </w:r>
      <w:r w:rsidRPr="002D57BE">
        <w:t>analysis does not entitle the judiciary to second-guess the wisdom, fairness, or logic of the law.”  (</w:t>
      </w:r>
      <w:r w:rsidRPr="002D57BE">
        <w:rPr>
          <w:i/>
          <w:iCs/>
        </w:rPr>
        <w:t>People v. Turnage</w:t>
      </w:r>
      <w:r w:rsidRPr="002D57BE">
        <w:t xml:space="preserve"> (2012) 55 Cal.4th 62, 74.)</w:t>
      </w:r>
    </w:p>
    <w:p w14:paraId="2A0ED3B5" w14:textId="56C16DA8" w:rsidR="000D4FE5" w:rsidRPr="002D57BE" w:rsidRDefault="00C6573A" w:rsidP="001A05AD">
      <w:pPr>
        <w:pStyle w:val="BodyText"/>
        <w:widowControl/>
        <w:numPr>
          <w:ilvl w:val="0"/>
          <w:numId w:val="7"/>
        </w:numPr>
        <w:spacing w:line="360" w:lineRule="auto"/>
        <w:rPr>
          <w:u w:val="single"/>
        </w:rPr>
      </w:pPr>
      <w:r w:rsidRPr="002D57BE">
        <w:rPr>
          <w:u w:val="single"/>
        </w:rPr>
        <w:t>Package</w:t>
      </w:r>
      <w:r w:rsidR="0055575B" w:rsidRPr="002D57BE">
        <w:rPr>
          <w:u w:val="single"/>
        </w:rPr>
        <w:t>-Deal</w:t>
      </w:r>
      <w:r w:rsidR="009D5187" w:rsidRPr="002D57BE">
        <w:rPr>
          <w:u w:val="single"/>
        </w:rPr>
        <w:t xml:space="preserve"> Plea Bargain</w:t>
      </w:r>
      <w:r w:rsidRPr="002D57BE">
        <w:rPr>
          <w:u w:val="single"/>
        </w:rPr>
        <w:t xml:space="preserve"> as to Garcia</w:t>
      </w:r>
    </w:p>
    <w:p w14:paraId="6A5B50B0" w14:textId="250E4215" w:rsidR="00242AA4" w:rsidRPr="002D57BE" w:rsidRDefault="00C6573A" w:rsidP="001A05AD">
      <w:pPr>
        <w:pStyle w:val="BodyText"/>
        <w:widowControl/>
        <w:spacing w:line="360" w:lineRule="auto"/>
        <w:ind w:firstLine="620"/>
      </w:pPr>
      <w:r w:rsidRPr="002D57BE">
        <w:t xml:space="preserve">Garcia contends that </w:t>
      </w:r>
      <w:r w:rsidR="00C639A4" w:rsidRPr="002D57BE">
        <w:t>the package</w:t>
      </w:r>
      <w:r w:rsidR="006B3442" w:rsidRPr="002D57BE">
        <w:t xml:space="preserve">-deal plea bargain </w:t>
      </w:r>
      <w:r w:rsidR="00C639A4" w:rsidRPr="002D57BE">
        <w:t>offered to him and</w:t>
      </w:r>
      <w:r w:rsidR="00321F5F" w:rsidRPr="002D57BE">
        <w:t xml:space="preserve"> to</w:t>
      </w:r>
      <w:r w:rsidR="00C639A4" w:rsidRPr="002D57BE">
        <w:t xml:space="preserve"> Scott violated his right to due process</w:t>
      </w:r>
      <w:r w:rsidR="00885651" w:rsidRPr="002D57BE">
        <w:t xml:space="preserve"> because </w:t>
      </w:r>
      <w:r w:rsidR="00116D96" w:rsidRPr="002D57BE">
        <w:t xml:space="preserve">he was prevented from accepting </w:t>
      </w:r>
      <w:r w:rsidR="00A552F4" w:rsidRPr="002D57BE">
        <w:t>the offer</w:t>
      </w:r>
      <w:r w:rsidR="00820E34" w:rsidRPr="002D57BE">
        <w:t xml:space="preserve"> </w:t>
      </w:r>
      <w:r w:rsidR="00732BF5" w:rsidRPr="002D57BE">
        <w:t xml:space="preserve">after Scott </w:t>
      </w:r>
      <w:r w:rsidR="00A552F4" w:rsidRPr="002D57BE">
        <w:t>rejected it</w:t>
      </w:r>
      <w:r w:rsidR="008559E6" w:rsidRPr="002D57BE">
        <w:t>.</w:t>
      </w:r>
      <w:r w:rsidR="00C639A4" w:rsidRPr="002D57BE">
        <w:t xml:space="preserve"> </w:t>
      </w:r>
      <w:r w:rsidR="008559E6" w:rsidRPr="002D57BE">
        <w:t xml:space="preserve"> We disagree.</w:t>
      </w:r>
    </w:p>
    <w:p w14:paraId="7D47A0BB" w14:textId="7C5A6C52" w:rsidR="00573CFC" w:rsidRPr="002D57BE" w:rsidRDefault="00C6573A" w:rsidP="001A05AD">
      <w:pPr>
        <w:pStyle w:val="BodyText"/>
        <w:widowControl/>
        <w:spacing w:line="360" w:lineRule="auto"/>
        <w:ind w:firstLine="620"/>
      </w:pPr>
      <w:r w:rsidRPr="002D57BE">
        <w:t xml:space="preserve">“It has long been established </w:t>
      </w:r>
      <w:r w:rsidR="00010D5F" w:rsidRPr="002D57BE">
        <w:t>that guilty pleas</w:t>
      </w:r>
      <w:r w:rsidR="00B30F80" w:rsidRPr="002D57BE">
        <w:t xml:space="preserve"> obtained through ‘coercion, terror, inducements, </w:t>
      </w:r>
      <w:r w:rsidR="0052470D" w:rsidRPr="002D57BE">
        <w:t xml:space="preserve">subtle or blatant threats’ are involuntarily and violative of due process. </w:t>
      </w:r>
      <w:r w:rsidR="00A17895" w:rsidRPr="002D57BE">
        <w:t xml:space="preserve"> </w:t>
      </w:r>
      <w:r w:rsidR="0052470D" w:rsidRPr="002D57BE">
        <w:t>[Citation</w:t>
      </w:r>
      <w:r w:rsidR="003B321E" w:rsidRPr="002D57BE">
        <w:t>.</w:t>
      </w:r>
      <w:r w:rsidR="009327FE" w:rsidRPr="002D57BE">
        <w:t>]”  (</w:t>
      </w:r>
      <w:r w:rsidR="009327FE" w:rsidRPr="002D57BE">
        <w:rPr>
          <w:i/>
          <w:iCs/>
        </w:rPr>
        <w:t>In re Ibarra</w:t>
      </w:r>
      <w:r w:rsidR="009327FE" w:rsidRPr="002D57BE">
        <w:t xml:space="preserve"> (1983) 34 Cal.3d 277, 287, disapproved on another ground in </w:t>
      </w:r>
      <w:r w:rsidR="009327FE" w:rsidRPr="002D57BE">
        <w:rPr>
          <w:i/>
          <w:iCs/>
        </w:rPr>
        <w:t xml:space="preserve">People v. </w:t>
      </w:r>
      <w:r w:rsidR="00FC63F2">
        <w:rPr>
          <w:i/>
          <w:iCs/>
        </w:rPr>
        <w:t>Mosby</w:t>
      </w:r>
      <w:r w:rsidR="009327FE" w:rsidRPr="002D57BE">
        <w:t xml:space="preserve"> (</w:t>
      </w:r>
      <w:r w:rsidR="00FC63F2">
        <w:t>2004</w:t>
      </w:r>
      <w:r w:rsidR="009327FE" w:rsidRPr="002D57BE">
        <w:t xml:space="preserve">) </w:t>
      </w:r>
      <w:r w:rsidR="00FC63F2">
        <w:t>33</w:t>
      </w:r>
      <w:r w:rsidR="009327FE" w:rsidRPr="002D57BE">
        <w:t xml:space="preserve"> Cal.4t</w:t>
      </w:r>
      <w:r w:rsidR="00713F4A" w:rsidRPr="002D57BE">
        <w:t>h</w:t>
      </w:r>
      <w:r w:rsidR="009327FE" w:rsidRPr="002D57BE">
        <w:t xml:space="preserve"> </w:t>
      </w:r>
      <w:r w:rsidR="00FC63F2">
        <w:t>353</w:t>
      </w:r>
      <w:r w:rsidR="009327FE" w:rsidRPr="002D57BE">
        <w:t xml:space="preserve">, </w:t>
      </w:r>
      <w:r w:rsidR="00FC63F2">
        <w:t>360–361.</w:t>
      </w:r>
      <w:r w:rsidR="00713F4A" w:rsidRPr="002D57BE">
        <w:t>)</w:t>
      </w:r>
      <w:r w:rsidR="00F11E12" w:rsidRPr="002D57BE">
        <w:t xml:space="preserve">  </w:t>
      </w:r>
      <w:r w:rsidR="007B668C" w:rsidRPr="002D57BE">
        <w:t xml:space="preserve">Coercion is of </w:t>
      </w:r>
      <w:r w:rsidR="00174886" w:rsidRPr="002D57BE">
        <w:t xml:space="preserve">special </w:t>
      </w:r>
      <w:r w:rsidR="007B668C" w:rsidRPr="002D57BE">
        <w:t>concern in the context of package</w:t>
      </w:r>
      <w:r w:rsidR="00F70D75" w:rsidRPr="002D57BE">
        <w:t xml:space="preserve">-deal </w:t>
      </w:r>
      <w:r w:rsidR="00F70D75" w:rsidRPr="002D57BE">
        <w:lastRenderedPageBreak/>
        <w:t>plea bargains</w:t>
      </w:r>
      <w:r w:rsidR="001960C4" w:rsidRPr="002D57BE">
        <w:t xml:space="preserve">, as </w:t>
      </w:r>
      <w:r w:rsidR="008C63EF" w:rsidRPr="002D57BE">
        <w:t xml:space="preserve">a defendant may fear </w:t>
      </w:r>
      <w:r w:rsidR="00610028" w:rsidRPr="002D57BE">
        <w:t>harm or retaliation by his codefendant if he does not plead guilty.</w:t>
      </w:r>
      <w:r w:rsidR="00DE5866" w:rsidRPr="002D57BE">
        <w:t xml:space="preserve">  </w:t>
      </w:r>
      <w:r w:rsidR="00114659" w:rsidRPr="002D57BE">
        <w:t>Therefore, “special scrutiny must be employed to ensure a voluntary plea.</w:t>
      </w:r>
      <w:r w:rsidR="00446C65" w:rsidRPr="002D57BE">
        <w:t>”</w:t>
      </w:r>
      <w:r w:rsidR="00D41E5E">
        <w:t xml:space="preserve"> </w:t>
      </w:r>
      <w:r w:rsidR="00610028" w:rsidRPr="002D57BE">
        <w:t xml:space="preserve"> (</w:t>
      </w:r>
      <w:r w:rsidR="00610028" w:rsidRPr="002D57BE">
        <w:rPr>
          <w:i/>
          <w:iCs/>
        </w:rPr>
        <w:t>Id</w:t>
      </w:r>
      <w:r w:rsidR="00610028" w:rsidRPr="002D57BE">
        <w:t>. at p. 287.)</w:t>
      </w:r>
      <w:r w:rsidR="00CA0A81" w:rsidRPr="002D57BE">
        <w:t xml:space="preserve"> </w:t>
      </w:r>
    </w:p>
    <w:p w14:paraId="64197AD7" w14:textId="0E76BFB0" w:rsidR="009F771A" w:rsidRPr="002D57BE" w:rsidRDefault="00C6573A" w:rsidP="001A05AD">
      <w:pPr>
        <w:pStyle w:val="BodyText"/>
        <w:widowControl/>
        <w:spacing w:line="360" w:lineRule="auto"/>
        <w:ind w:firstLine="620"/>
      </w:pPr>
      <w:r w:rsidRPr="002D57BE">
        <w:t>P</w:t>
      </w:r>
      <w:r w:rsidR="00446C65" w:rsidRPr="002D57BE">
        <w:t xml:space="preserve">ackage-deal pleas </w:t>
      </w:r>
      <w:r w:rsidRPr="002D57BE">
        <w:t xml:space="preserve">however, </w:t>
      </w:r>
      <w:r w:rsidR="00BD5954" w:rsidRPr="002D57BE">
        <w:t>are not by themselves coercive per se</w:t>
      </w:r>
      <w:r w:rsidR="00536B8F" w:rsidRPr="002D57BE">
        <w:t xml:space="preserve"> and must be analyzed based on the totality of </w:t>
      </w:r>
      <w:r w:rsidR="00953193" w:rsidRPr="002D57BE">
        <w:t xml:space="preserve">the </w:t>
      </w:r>
      <w:r w:rsidR="00536B8F" w:rsidRPr="002D57BE">
        <w:t>circumstances</w:t>
      </w:r>
      <w:r w:rsidR="00D41E5E">
        <w:t xml:space="preserve">. </w:t>
      </w:r>
      <w:r w:rsidR="00BD5954" w:rsidRPr="002D57BE">
        <w:t xml:space="preserve"> (</w:t>
      </w:r>
      <w:r w:rsidR="0077025D" w:rsidRPr="002D57BE">
        <w:rPr>
          <w:i/>
          <w:iCs/>
        </w:rPr>
        <w:t>In re Ibarra</w:t>
      </w:r>
      <w:r w:rsidR="00C237AA" w:rsidRPr="002D57BE">
        <w:t xml:space="preserve">, </w:t>
      </w:r>
      <w:r w:rsidR="00C237AA" w:rsidRPr="002D57BE">
        <w:rPr>
          <w:i/>
          <w:iCs/>
        </w:rPr>
        <w:t xml:space="preserve">supra, </w:t>
      </w:r>
      <w:r w:rsidR="00C237AA" w:rsidRPr="002D57BE">
        <w:t xml:space="preserve">34 Cal.3d </w:t>
      </w:r>
      <w:r w:rsidR="00BD5954" w:rsidRPr="002D57BE">
        <w:t xml:space="preserve">at p. 286.) </w:t>
      </w:r>
      <w:r w:rsidR="00DE5866" w:rsidRPr="002D57BE">
        <w:t xml:space="preserve"> </w:t>
      </w:r>
      <w:r w:rsidR="00DA4EF5" w:rsidRPr="002D57BE">
        <w:t xml:space="preserve">Our high court has </w:t>
      </w:r>
      <w:r w:rsidR="005B5055" w:rsidRPr="002D57BE">
        <w:t xml:space="preserve">recognized </w:t>
      </w:r>
      <w:r w:rsidR="00DA4EF5" w:rsidRPr="002D57BE">
        <w:t xml:space="preserve">them </w:t>
      </w:r>
      <w:r w:rsidR="003703E7" w:rsidRPr="002D57BE">
        <w:t xml:space="preserve">as “a </w:t>
      </w:r>
      <w:r w:rsidR="003703E7" w:rsidRPr="002D57BE">
        <w:rPr>
          <w:i/>
          <w:iCs/>
        </w:rPr>
        <w:t>valuable tool</w:t>
      </w:r>
      <w:r w:rsidR="003703E7" w:rsidRPr="002D57BE">
        <w:t xml:space="preserve"> to the prosecutor, who has a need for </w:t>
      </w:r>
      <w:r w:rsidR="003703E7" w:rsidRPr="002D57BE">
        <w:rPr>
          <w:i/>
          <w:iCs/>
        </w:rPr>
        <w:t>all</w:t>
      </w:r>
      <w:r w:rsidR="003703E7" w:rsidRPr="002D57BE">
        <w:t xml:space="preserve"> defendants, or none, to plead guilty.</w:t>
      </w:r>
      <w:r w:rsidR="00DC179A" w:rsidRPr="002D57BE">
        <w:t xml:space="preserve">  The prosecutor may be properly interested in avoiding time, delay</w:t>
      </w:r>
      <w:r w:rsidR="00922B99" w:rsidRPr="002D57BE">
        <w:t>,</w:t>
      </w:r>
      <w:r w:rsidR="00DC179A" w:rsidRPr="002D57BE">
        <w:t xml:space="preserve"> and expense of trial of all the defendants.</w:t>
      </w:r>
      <w:r w:rsidR="00FB6443" w:rsidRPr="002D57BE">
        <w:t xml:space="preserve">  He</w:t>
      </w:r>
      <w:r w:rsidR="00424476" w:rsidRPr="002D57BE">
        <w:t xml:space="preserve"> [or she]</w:t>
      </w:r>
      <w:r w:rsidR="00FB6443" w:rsidRPr="002D57BE">
        <w:t xml:space="preserve"> is also placed in a difficult position should one defendant plead and another go to trial, because the defendant who pleads may become an adverse witness on behalf of his codefendant, free of jeopardy</w:t>
      </w:r>
      <w:r w:rsidR="00671968" w:rsidRPr="002D57BE">
        <w:t>.</w:t>
      </w:r>
      <w:r w:rsidR="00DC179A" w:rsidRPr="002D57BE">
        <w:t>”  (</w:t>
      </w:r>
      <w:r w:rsidR="00DC179A" w:rsidRPr="002D57BE">
        <w:rPr>
          <w:i/>
          <w:iCs/>
        </w:rPr>
        <w:t>Id</w:t>
      </w:r>
      <w:r w:rsidR="00DC179A" w:rsidRPr="002D57BE">
        <w:t>. at</w:t>
      </w:r>
      <w:r w:rsidR="009A34E8" w:rsidRPr="002D57BE">
        <w:t xml:space="preserve"> </w:t>
      </w:r>
      <w:r w:rsidR="00016938" w:rsidRPr="002D57BE">
        <w:t xml:space="preserve">p. </w:t>
      </w:r>
      <w:r w:rsidR="009A34E8" w:rsidRPr="002D57BE">
        <w:t>289,</w:t>
      </w:r>
      <w:r w:rsidR="00DC179A" w:rsidRPr="002D57BE">
        <w:t xml:space="preserve"> fn. 5.)</w:t>
      </w:r>
      <w:r w:rsidR="001960C4" w:rsidRPr="002D57BE">
        <w:t xml:space="preserve"> </w:t>
      </w:r>
    </w:p>
    <w:p w14:paraId="0CB819F4" w14:textId="23DD48C2" w:rsidR="008559E6" w:rsidRPr="002D57BE" w:rsidRDefault="00C6573A" w:rsidP="001A05AD">
      <w:pPr>
        <w:pStyle w:val="BodyText"/>
        <w:widowControl/>
        <w:spacing w:line="360" w:lineRule="auto"/>
        <w:ind w:firstLine="620"/>
      </w:pPr>
      <w:r w:rsidRPr="002D57BE">
        <w:t xml:space="preserve">In </w:t>
      </w:r>
      <w:r w:rsidRPr="002D57BE">
        <w:rPr>
          <w:i/>
          <w:iCs/>
        </w:rPr>
        <w:t>Liang v. Superior Court</w:t>
      </w:r>
      <w:r w:rsidRPr="002D57BE">
        <w:t xml:space="preserve"> (2002) 100 </w:t>
      </w:r>
      <w:r w:rsidR="007D4A41" w:rsidRPr="002D57BE">
        <w:t>Cal.App.4th 1047, the court held that where</w:t>
      </w:r>
      <w:r w:rsidR="003D5F16" w:rsidRPr="002D57BE">
        <w:t xml:space="preserve"> </w:t>
      </w:r>
      <w:r w:rsidR="00111AAF" w:rsidRPr="002D57BE">
        <w:t xml:space="preserve">Liang’s </w:t>
      </w:r>
      <w:r w:rsidR="00994B39" w:rsidRPr="002D57BE">
        <w:t xml:space="preserve">co-defendants </w:t>
      </w:r>
      <w:r w:rsidR="00036C7E" w:rsidRPr="002D57BE">
        <w:t xml:space="preserve">accepted but then </w:t>
      </w:r>
      <w:r w:rsidR="00994B39" w:rsidRPr="002D57BE">
        <w:t>withdrew their guilty pleas</w:t>
      </w:r>
      <w:r w:rsidR="00111AAF" w:rsidRPr="002D57BE">
        <w:t xml:space="preserve"> in the context of a package-deal plea</w:t>
      </w:r>
      <w:r w:rsidR="00994B39" w:rsidRPr="002D57BE">
        <w:t xml:space="preserve">, </w:t>
      </w:r>
      <w:r w:rsidR="003D5F16" w:rsidRPr="002D57BE">
        <w:t>Liang’s guilty plea was also properly voided</w:t>
      </w:r>
      <w:r w:rsidR="00927583" w:rsidRPr="002D57BE">
        <w:t>.  (</w:t>
      </w:r>
      <w:r w:rsidR="00927583" w:rsidRPr="002D57BE">
        <w:rPr>
          <w:i/>
          <w:iCs/>
        </w:rPr>
        <w:t>Id</w:t>
      </w:r>
      <w:r w:rsidR="00927583" w:rsidRPr="002D57BE">
        <w:t>. at p.</w:t>
      </w:r>
      <w:r w:rsidR="00592D8B" w:rsidRPr="002D57BE">
        <w:t xml:space="preserve"> 1059.)  The court </w:t>
      </w:r>
      <w:r w:rsidR="003956E3" w:rsidRPr="002D57BE">
        <w:t xml:space="preserve">stated, </w:t>
      </w:r>
      <w:r w:rsidR="00592D8B" w:rsidRPr="002D57BE">
        <w:t>“</w:t>
      </w:r>
      <w:r w:rsidR="0005430F" w:rsidRPr="002D57BE">
        <w:t>Liang is trying to receive the benefits of his bargain when an express reciprocal condition was v</w:t>
      </w:r>
      <w:r w:rsidR="003956E3" w:rsidRPr="002D57BE">
        <w:t xml:space="preserve">oided. </w:t>
      </w:r>
      <w:r w:rsidR="00D41E5E">
        <w:t xml:space="preserve"> </w:t>
      </w:r>
      <w:r w:rsidR="003956E3" w:rsidRPr="002D57BE">
        <w:t xml:space="preserve">Moreover, Liang </w:t>
      </w:r>
      <w:r w:rsidR="00702141" w:rsidRPr="002D57BE">
        <w:t>has not been deprived of any right to receive the indicated sentence.  He only had that right if all three defendants agreed to plead guilty.</w:t>
      </w:r>
      <w:r w:rsidR="00FB3BC7" w:rsidRPr="002D57BE">
        <w:t>”</w:t>
      </w:r>
      <w:r w:rsidR="00702141" w:rsidRPr="002D57BE">
        <w:t xml:space="preserve"> </w:t>
      </w:r>
      <w:r w:rsidR="00D41E5E">
        <w:t xml:space="preserve"> </w:t>
      </w:r>
      <w:r w:rsidR="00702141" w:rsidRPr="002D57BE">
        <w:t>(</w:t>
      </w:r>
      <w:r w:rsidR="00702141" w:rsidRPr="002D57BE">
        <w:rPr>
          <w:i/>
          <w:iCs/>
        </w:rPr>
        <w:t>Id</w:t>
      </w:r>
      <w:r w:rsidR="00702141" w:rsidRPr="002D57BE">
        <w:t>. at p. 1056</w:t>
      </w:r>
      <w:r w:rsidR="00D41E5E">
        <w:t>–</w:t>
      </w:r>
      <w:r w:rsidR="00702141" w:rsidRPr="002D57BE">
        <w:t xml:space="preserve">1058.) </w:t>
      </w:r>
    </w:p>
    <w:p w14:paraId="477CA12C" w14:textId="7B3D0F11" w:rsidR="009A5816" w:rsidRPr="002D57BE" w:rsidRDefault="00C6573A" w:rsidP="001A05AD">
      <w:pPr>
        <w:pStyle w:val="BodyText"/>
        <w:widowControl/>
        <w:spacing w:line="360" w:lineRule="auto"/>
        <w:ind w:firstLine="620"/>
      </w:pPr>
      <w:r w:rsidRPr="002D57BE">
        <w:t>Here, the prosecut</w:t>
      </w:r>
      <w:r w:rsidR="00763501" w:rsidRPr="002D57BE">
        <w:t>or</w:t>
      </w:r>
      <w:r w:rsidRPr="002D57BE">
        <w:t xml:space="preserve"> had the discretion to offer a package-deal plea to Garcia and Scott</w:t>
      </w:r>
      <w:r w:rsidR="00EB61AA" w:rsidRPr="002D57BE">
        <w:t>.  As they were the only two defendants left at this point, the prosecut</w:t>
      </w:r>
      <w:r w:rsidR="00763501" w:rsidRPr="002D57BE">
        <w:t>or</w:t>
      </w:r>
      <w:r w:rsidR="00EB61AA" w:rsidRPr="002D57BE">
        <w:t xml:space="preserve"> </w:t>
      </w:r>
      <w:r w:rsidR="00FF3CA7" w:rsidRPr="002D57BE">
        <w:t xml:space="preserve">had a </w:t>
      </w:r>
      <w:r w:rsidR="00036C7E" w:rsidRPr="002D57BE">
        <w:t>legitimate</w:t>
      </w:r>
      <w:r w:rsidR="00FF3CA7" w:rsidRPr="002D57BE">
        <w:t xml:space="preserve"> interest </w:t>
      </w:r>
      <w:r w:rsidR="006E4CBC" w:rsidRPr="002D57BE">
        <w:t xml:space="preserve">to condition the plea deal on both parties’ acceptance, to avoid </w:t>
      </w:r>
      <w:r w:rsidR="00733024" w:rsidRPr="002D57BE">
        <w:t>the time and expense of trial</w:t>
      </w:r>
      <w:r w:rsidR="006E4CBC" w:rsidRPr="002D57BE">
        <w:t xml:space="preserve">. </w:t>
      </w:r>
      <w:r w:rsidR="00116D96" w:rsidRPr="002D57BE">
        <w:t xml:space="preserve"> </w:t>
      </w:r>
      <w:r w:rsidR="00933B99" w:rsidRPr="002D57BE">
        <w:t>Garcia argues that</w:t>
      </w:r>
      <w:r w:rsidR="0079151F" w:rsidRPr="002D57BE">
        <w:t xml:space="preserve"> </w:t>
      </w:r>
      <w:r w:rsidR="00CB1FA4" w:rsidRPr="002D57BE">
        <w:t>by</w:t>
      </w:r>
      <w:r w:rsidR="0079151F" w:rsidRPr="002D57BE">
        <w:t xml:space="preserve"> conditioning his acceptance of the plea deal on Scott’s, the prosecut</w:t>
      </w:r>
      <w:r w:rsidR="00763501" w:rsidRPr="002D57BE">
        <w:t>or</w:t>
      </w:r>
      <w:r w:rsidR="003D7A77" w:rsidRPr="002D57BE">
        <w:t xml:space="preserve"> gave Scott </w:t>
      </w:r>
      <w:r w:rsidR="0056257C" w:rsidRPr="002D57BE">
        <w:t>coercive power over</w:t>
      </w:r>
      <w:r w:rsidR="0032447D" w:rsidRPr="002D57BE">
        <w:t xml:space="preserve"> Garcia </w:t>
      </w:r>
      <w:r w:rsidR="00BE29A7" w:rsidRPr="002D57BE">
        <w:t xml:space="preserve">to not accept the plea deal and proceed </w:t>
      </w:r>
      <w:r w:rsidR="00BE29A7" w:rsidRPr="002D57BE">
        <w:lastRenderedPageBreak/>
        <w:t xml:space="preserve">to </w:t>
      </w:r>
      <w:r w:rsidR="00417951" w:rsidRPr="002D57BE">
        <w:t>a joint trial</w:t>
      </w:r>
      <w:r w:rsidR="00564807" w:rsidRPr="002D57BE">
        <w:t xml:space="preserve"> so that</w:t>
      </w:r>
      <w:r w:rsidR="00417951" w:rsidRPr="002D57BE">
        <w:t xml:space="preserve"> Scott could deflect </w:t>
      </w:r>
      <w:r w:rsidR="00564807" w:rsidRPr="002D57BE">
        <w:t xml:space="preserve">the </w:t>
      </w:r>
      <w:r w:rsidR="00417951" w:rsidRPr="002D57BE">
        <w:t>blam</w:t>
      </w:r>
      <w:r w:rsidR="00564807" w:rsidRPr="002D57BE">
        <w:t>e</w:t>
      </w:r>
      <w:r w:rsidR="00F30A5F" w:rsidRPr="002D57BE">
        <w:t>.</w:t>
      </w:r>
      <w:r w:rsidR="0079151F" w:rsidRPr="002D57BE">
        <w:t xml:space="preserve"> </w:t>
      </w:r>
      <w:r w:rsidR="0062232A" w:rsidRPr="002D57BE">
        <w:t xml:space="preserve"> </w:t>
      </w:r>
      <w:r w:rsidR="00933B99" w:rsidRPr="002D57BE">
        <w:t xml:space="preserve">Garcia concedes he </w:t>
      </w:r>
      <w:r w:rsidR="00D30DFB" w:rsidRPr="002D57BE">
        <w:t>has</w:t>
      </w:r>
      <w:r w:rsidR="00933B99" w:rsidRPr="002D57BE">
        <w:t xml:space="preserve"> no case authorities to support this </w:t>
      </w:r>
      <w:r w:rsidR="003E404A" w:rsidRPr="002D57BE">
        <w:t xml:space="preserve">novel </w:t>
      </w:r>
      <w:r w:rsidR="00933B99" w:rsidRPr="002D57BE">
        <w:t xml:space="preserve">argument. </w:t>
      </w:r>
      <w:r w:rsidR="00116D96" w:rsidRPr="002D57BE">
        <w:t xml:space="preserve"> </w:t>
      </w:r>
    </w:p>
    <w:p w14:paraId="76D86B92" w14:textId="46F75920" w:rsidR="006F1888" w:rsidRPr="002D57BE" w:rsidRDefault="00C6573A" w:rsidP="001A05AD">
      <w:pPr>
        <w:pStyle w:val="BodyText"/>
        <w:widowControl/>
        <w:spacing w:line="360" w:lineRule="auto"/>
        <w:ind w:firstLine="620"/>
      </w:pPr>
      <w:r w:rsidRPr="002D57BE">
        <w:t>The package-deal plea</w:t>
      </w:r>
      <w:r w:rsidR="00030345" w:rsidRPr="002D57BE">
        <w:t xml:space="preserve"> offered by the prosecution</w:t>
      </w:r>
      <w:r w:rsidRPr="002D57BE">
        <w:t xml:space="preserve"> was expressly conditioned on both Garcia and Scott’s acceptance of it. </w:t>
      </w:r>
      <w:r w:rsidR="00791565" w:rsidRPr="002D57BE">
        <w:t xml:space="preserve"> </w:t>
      </w:r>
      <w:r w:rsidR="002C08AB" w:rsidRPr="002D57BE">
        <w:t>This was properly within the prosecutor’s discretion to offer.</w:t>
      </w:r>
      <w:r w:rsidR="00D41E5E">
        <w:t xml:space="preserve"> </w:t>
      </w:r>
      <w:r w:rsidR="002C08AB" w:rsidRPr="002D57BE">
        <w:t xml:space="preserve"> </w:t>
      </w:r>
      <w:r w:rsidR="00D01877" w:rsidRPr="002D57BE">
        <w:t xml:space="preserve">Garcia </w:t>
      </w:r>
      <w:r w:rsidR="00422D70" w:rsidRPr="002D57BE">
        <w:t xml:space="preserve">did not have an </w:t>
      </w:r>
      <w:r w:rsidR="00BA382B" w:rsidRPr="002D57BE">
        <w:t>independent</w:t>
      </w:r>
      <w:r w:rsidR="00422D70" w:rsidRPr="002D57BE">
        <w:t xml:space="preserve"> right to the reduced sentencing offered in this </w:t>
      </w:r>
      <w:r w:rsidR="004B5C7C" w:rsidRPr="002D57BE">
        <w:t>plea deal</w:t>
      </w:r>
      <w:r w:rsidR="00833AE0" w:rsidRPr="002D57BE">
        <w:t xml:space="preserve">, absent </w:t>
      </w:r>
      <w:r w:rsidR="007E488D" w:rsidRPr="002D57BE">
        <w:t>both their acceptance</w:t>
      </w:r>
      <w:r w:rsidR="00833AE0" w:rsidRPr="002D57BE">
        <w:t xml:space="preserve">. </w:t>
      </w:r>
      <w:r w:rsidR="009F207E" w:rsidRPr="002D57BE">
        <w:t xml:space="preserve"> </w:t>
      </w:r>
      <w:r w:rsidR="004B5C7C" w:rsidRPr="002D57BE">
        <w:t xml:space="preserve">Like any defendant, </w:t>
      </w:r>
      <w:r w:rsidR="003E6399" w:rsidRPr="002D57BE">
        <w:t>Scott had the right</w:t>
      </w:r>
      <w:r w:rsidR="00AB28AB" w:rsidRPr="002D57BE">
        <w:t xml:space="preserve"> to refuse the deal and proceed to </w:t>
      </w:r>
      <w:r w:rsidR="00C67969" w:rsidRPr="002D57BE">
        <w:t xml:space="preserve">a jury </w:t>
      </w:r>
      <w:r w:rsidR="00AB28AB" w:rsidRPr="002D57BE">
        <w:t xml:space="preserve">trial. </w:t>
      </w:r>
      <w:r w:rsidR="00D41E5E">
        <w:t xml:space="preserve"> </w:t>
      </w:r>
      <w:r w:rsidR="00AB28AB" w:rsidRPr="002D57BE">
        <w:t xml:space="preserve">His exercise of this right </w:t>
      </w:r>
      <w:r w:rsidR="00F45B23" w:rsidRPr="002D57BE">
        <w:t>d</w:t>
      </w:r>
      <w:r w:rsidR="00E749BA" w:rsidRPr="002D57BE">
        <w:t>id</w:t>
      </w:r>
      <w:r w:rsidR="00F45B23" w:rsidRPr="002D57BE">
        <w:t xml:space="preserve"> not</w:t>
      </w:r>
      <w:r w:rsidR="00AB28AB" w:rsidRPr="002D57BE">
        <w:t xml:space="preserve"> equate to </w:t>
      </w:r>
      <w:r w:rsidR="00833AE0" w:rsidRPr="002D57BE">
        <w:t>exercising coercion</w:t>
      </w:r>
      <w:r w:rsidR="00F45B23" w:rsidRPr="002D57BE">
        <w:t xml:space="preserve"> over Garcia</w:t>
      </w:r>
      <w:r w:rsidRPr="002D57BE">
        <w:t xml:space="preserve"> like in the case </w:t>
      </w:r>
      <w:r w:rsidR="00791565" w:rsidRPr="002D57BE">
        <w:t>where a co-defendant coerces or threatens a defendant to accept a plea deal</w:t>
      </w:r>
      <w:r w:rsidR="00F45B23" w:rsidRPr="002D57BE">
        <w:t>.</w:t>
      </w:r>
      <w:r w:rsidR="000E4564" w:rsidRPr="002D57BE">
        <w:t xml:space="preserve"> </w:t>
      </w:r>
      <w:r w:rsidR="00600809" w:rsidRPr="002D57BE">
        <w:t xml:space="preserve"> </w:t>
      </w:r>
    </w:p>
    <w:p w14:paraId="730159ED" w14:textId="0A5D6BB3" w:rsidR="00D318FA" w:rsidRPr="002D57BE" w:rsidRDefault="00C6573A" w:rsidP="001A05AD">
      <w:pPr>
        <w:pStyle w:val="BodyText"/>
        <w:widowControl/>
        <w:spacing w:line="360" w:lineRule="auto"/>
        <w:ind w:firstLine="620"/>
      </w:pPr>
      <w:r w:rsidRPr="002D57BE">
        <w:t xml:space="preserve">Nor </w:t>
      </w:r>
      <w:r w:rsidR="00A75B98" w:rsidRPr="002D57BE">
        <w:t>did</w:t>
      </w:r>
      <w:r w:rsidRPr="002D57BE">
        <w:t xml:space="preserve"> Garcia’s </w:t>
      </w:r>
      <w:r w:rsidR="003211FC" w:rsidRPr="002D57BE">
        <w:t xml:space="preserve">inability to accept the plea deal implicate a waiver of </w:t>
      </w:r>
      <w:r w:rsidR="00CC2936" w:rsidRPr="002D57BE">
        <w:t>any</w:t>
      </w:r>
      <w:r w:rsidR="00843AE1" w:rsidRPr="002D57BE">
        <w:t xml:space="preserve"> </w:t>
      </w:r>
      <w:r w:rsidR="003211FC" w:rsidRPr="002D57BE">
        <w:t>constitutional rights</w:t>
      </w:r>
      <w:r w:rsidR="007A0888" w:rsidRPr="002D57BE">
        <w:t>, which</w:t>
      </w:r>
      <w:r w:rsidR="003211FC" w:rsidRPr="002D57BE">
        <w:t xml:space="preserve"> is </w:t>
      </w:r>
      <w:r w:rsidR="007A0888" w:rsidRPr="002D57BE">
        <w:t>the</w:t>
      </w:r>
      <w:r w:rsidR="003211FC" w:rsidRPr="002D57BE">
        <w:t xml:space="preserve"> </w:t>
      </w:r>
      <w:r w:rsidR="001131AD" w:rsidRPr="002D57BE">
        <w:t>primary</w:t>
      </w:r>
      <w:r w:rsidR="00843AE1" w:rsidRPr="002D57BE">
        <w:t xml:space="preserve"> </w:t>
      </w:r>
      <w:r w:rsidR="003211FC" w:rsidRPr="002D57BE">
        <w:t xml:space="preserve">concern </w:t>
      </w:r>
      <w:r w:rsidR="007A742C" w:rsidRPr="002D57BE">
        <w:t xml:space="preserve">when a defendant </w:t>
      </w:r>
      <w:r w:rsidR="00921A8D" w:rsidRPr="002D57BE">
        <w:t>is coerced into accepting</w:t>
      </w:r>
      <w:r w:rsidR="007A742C" w:rsidRPr="002D57BE">
        <w:t xml:space="preserve"> </w:t>
      </w:r>
      <w:r w:rsidR="001131AD" w:rsidRPr="002D57BE">
        <w:t xml:space="preserve">a </w:t>
      </w:r>
      <w:r w:rsidR="007A742C" w:rsidRPr="002D57BE">
        <w:t xml:space="preserve">plea </w:t>
      </w:r>
      <w:r w:rsidR="00A75B98" w:rsidRPr="002D57BE">
        <w:t xml:space="preserve">deal. </w:t>
      </w:r>
      <w:r w:rsidR="00C67969" w:rsidRPr="002D57BE">
        <w:t xml:space="preserve"> </w:t>
      </w:r>
      <w:r w:rsidR="009F207E" w:rsidRPr="002D57BE">
        <w:t>The r</w:t>
      </w:r>
      <w:r w:rsidR="00EB040B" w:rsidRPr="002D57BE">
        <w:t>ights that are waived</w:t>
      </w:r>
      <w:r w:rsidR="001131AD" w:rsidRPr="002D57BE">
        <w:t xml:space="preserve"> include</w:t>
      </w:r>
      <w:r w:rsidR="00C7330B" w:rsidRPr="002D57BE">
        <w:t xml:space="preserve"> “the privilege against self-incrimination, the right to trial by jury, and the right to confront his accuser</w:t>
      </w:r>
      <w:r w:rsidR="00DD21E7" w:rsidRPr="002D57BE">
        <w:t>s.”  (</w:t>
      </w:r>
      <w:r w:rsidR="0055453C" w:rsidRPr="002D57BE">
        <w:rPr>
          <w:i/>
          <w:iCs/>
        </w:rPr>
        <w:t xml:space="preserve">In re </w:t>
      </w:r>
      <w:r w:rsidR="00DD21E7" w:rsidRPr="002D57BE">
        <w:rPr>
          <w:i/>
          <w:iCs/>
        </w:rPr>
        <w:t>Ibarra</w:t>
      </w:r>
      <w:r w:rsidR="00DD21E7" w:rsidRPr="002D57BE">
        <w:t xml:space="preserve">, </w:t>
      </w:r>
      <w:r w:rsidR="00DD21E7" w:rsidRPr="002D57BE">
        <w:rPr>
          <w:i/>
          <w:iCs/>
        </w:rPr>
        <w:t>supra</w:t>
      </w:r>
      <w:r w:rsidR="00DD21E7" w:rsidRPr="002D57BE">
        <w:t>, 34 Cal.3d at p. 284.)</w:t>
      </w:r>
      <w:r w:rsidR="00921A8D" w:rsidRPr="002D57BE">
        <w:t xml:space="preserve">  </w:t>
      </w:r>
      <w:r w:rsidR="008C18C8" w:rsidRPr="002D57BE">
        <w:t xml:space="preserve">By not accepting the package-deal plea, </w:t>
      </w:r>
      <w:r w:rsidR="004B5C7C" w:rsidRPr="002D57BE">
        <w:t xml:space="preserve">Garcia and Scott </w:t>
      </w:r>
      <w:r w:rsidR="008D3BAF" w:rsidRPr="002D57BE">
        <w:t>proceeded to a jury trial without waiving any of their rights.</w:t>
      </w:r>
    </w:p>
    <w:p w14:paraId="645B2AC2" w14:textId="56D02BF3" w:rsidR="00FE731F" w:rsidRPr="002D57BE" w:rsidRDefault="00C6573A" w:rsidP="001A05AD">
      <w:pPr>
        <w:pStyle w:val="BodyText"/>
        <w:widowControl/>
        <w:numPr>
          <w:ilvl w:val="0"/>
          <w:numId w:val="7"/>
        </w:numPr>
        <w:spacing w:line="360" w:lineRule="auto"/>
        <w:rPr>
          <w:u w:val="single"/>
        </w:rPr>
      </w:pPr>
      <w:r w:rsidRPr="002D57BE">
        <w:rPr>
          <w:u w:val="single"/>
        </w:rPr>
        <w:t xml:space="preserve">Coerced </w:t>
      </w:r>
      <w:r w:rsidR="000E19CA" w:rsidRPr="002D57BE">
        <w:rPr>
          <w:u w:val="single"/>
        </w:rPr>
        <w:t xml:space="preserve">Jury </w:t>
      </w:r>
      <w:r w:rsidRPr="002D57BE">
        <w:rPr>
          <w:u w:val="single"/>
        </w:rPr>
        <w:t>Verdict as to Garcia</w:t>
      </w:r>
    </w:p>
    <w:p w14:paraId="3A36D376" w14:textId="3BC491F1" w:rsidR="00FE731F" w:rsidRPr="002D57BE" w:rsidRDefault="00C6573A" w:rsidP="001A05AD">
      <w:pPr>
        <w:pStyle w:val="BodyText"/>
        <w:widowControl/>
        <w:spacing w:line="360" w:lineRule="auto"/>
        <w:ind w:left="0" w:firstLine="720"/>
      </w:pPr>
      <w:r w:rsidRPr="002D57BE">
        <w:t>Garcia next argues that</w:t>
      </w:r>
      <w:r w:rsidR="003D360B" w:rsidRPr="002D57BE">
        <w:t xml:space="preserve"> he was deni</w:t>
      </w:r>
      <w:r w:rsidR="00E13117" w:rsidRPr="002D57BE">
        <w:t xml:space="preserve">ed </w:t>
      </w:r>
      <w:r w:rsidR="006A713F" w:rsidRPr="002D57BE">
        <w:t>the</w:t>
      </w:r>
      <w:r w:rsidR="00E13117" w:rsidRPr="002D57BE">
        <w:t xml:space="preserve"> right to a fair trial</w:t>
      </w:r>
      <w:r w:rsidR="00B054D5" w:rsidRPr="002D57BE">
        <w:t xml:space="preserve"> </w:t>
      </w:r>
      <w:r w:rsidR="003F018F" w:rsidRPr="002D57BE">
        <w:t>as the</w:t>
      </w:r>
      <w:r w:rsidR="00B054D5" w:rsidRPr="002D57BE">
        <w:t xml:space="preserve"> trial court coerced the jury to return a verdict</w:t>
      </w:r>
      <w:r w:rsidR="00886A22" w:rsidRPr="002D57BE">
        <w:t xml:space="preserve"> after</w:t>
      </w:r>
      <w:r w:rsidR="00CF6069" w:rsidRPr="002D57BE">
        <w:t xml:space="preserve"> </w:t>
      </w:r>
      <w:r w:rsidR="006A713F" w:rsidRPr="002D57BE">
        <w:t>the jury</w:t>
      </w:r>
      <w:r w:rsidR="00CF6069" w:rsidRPr="002D57BE">
        <w:t xml:space="preserve"> informed the court</w:t>
      </w:r>
      <w:r w:rsidR="00AC5A37" w:rsidRPr="002D57BE">
        <w:t>, on the fourth day of deliberations,</w:t>
      </w:r>
      <w:r w:rsidR="00CF6069" w:rsidRPr="002D57BE">
        <w:t xml:space="preserve"> that </w:t>
      </w:r>
      <w:r w:rsidR="009C092E" w:rsidRPr="002D57BE">
        <w:t xml:space="preserve">it was split 11 to 1 as to </w:t>
      </w:r>
      <w:r w:rsidR="00B05111" w:rsidRPr="002D57BE">
        <w:t>convicting Garcia of first</w:t>
      </w:r>
      <w:r w:rsidR="00CF6069" w:rsidRPr="002D57BE">
        <w:t xml:space="preserve"> degree</w:t>
      </w:r>
      <w:r w:rsidR="00AD313C" w:rsidRPr="002D57BE">
        <w:t xml:space="preserve"> murder.</w:t>
      </w:r>
      <w:r w:rsidR="00E13117" w:rsidRPr="002D57BE">
        <w:t xml:space="preserve"> </w:t>
      </w:r>
      <w:r w:rsidR="00ED4A34" w:rsidRPr="002D57BE">
        <w:t xml:space="preserve"> We</w:t>
      </w:r>
      <w:r w:rsidR="000D7428" w:rsidRPr="002D57BE">
        <w:t xml:space="preserve"> </w:t>
      </w:r>
      <w:r w:rsidR="000F2D19" w:rsidRPr="002D57BE">
        <w:t>are not persuaded.</w:t>
      </w:r>
    </w:p>
    <w:p w14:paraId="69FC9858" w14:textId="05DA1668" w:rsidR="00B71148" w:rsidRPr="002D57BE" w:rsidRDefault="00C6573A" w:rsidP="001A05AD">
      <w:pPr>
        <w:pStyle w:val="BodyText"/>
        <w:widowControl/>
        <w:spacing w:line="360" w:lineRule="auto"/>
        <w:ind w:left="0" w:firstLine="720"/>
      </w:pPr>
      <w:r w:rsidRPr="002D57BE">
        <w:t>“Except as provid</w:t>
      </w:r>
      <w:r w:rsidR="00B11F27" w:rsidRPr="002D57BE">
        <w:t>ed by law, the jury cannot be discharged after the cause is submitted to them until they have agreed</w:t>
      </w:r>
      <w:r w:rsidR="00DF11BF" w:rsidRPr="002D57BE">
        <w:t xml:space="preserve"> upon their verdict and rendered it in open court, unless by consent of both parties, entered upon the minutes, or unless, at the expiration of such time as the court may deem proper, it satisfactorily appears that there is no reasonable probability that </w:t>
      </w:r>
      <w:r w:rsidR="00DF11BF" w:rsidRPr="002D57BE">
        <w:lastRenderedPageBreak/>
        <w:t xml:space="preserve">the jury can agree.”  (§ 1140.) </w:t>
      </w:r>
      <w:r w:rsidR="008B7ADD" w:rsidRPr="002D57BE">
        <w:t xml:space="preserve"> “The determination whether there is reasonable </w:t>
      </w:r>
      <w:r w:rsidR="00937D79" w:rsidRPr="002D57BE">
        <w:t xml:space="preserve">probability of agreement rests in the sound discretion of the trial court. </w:t>
      </w:r>
      <w:r w:rsidR="00962419" w:rsidRPr="002D57BE">
        <w:t xml:space="preserve"> </w:t>
      </w:r>
      <w:r w:rsidR="00937D79" w:rsidRPr="002D57BE">
        <w:t>[Citation.]</w:t>
      </w:r>
      <w:r w:rsidR="00962419" w:rsidRPr="002D57BE">
        <w:t xml:space="preserve"> </w:t>
      </w:r>
      <w:r w:rsidR="00937D79" w:rsidRPr="002D57BE">
        <w:t xml:space="preserve"> The court must exercise its power, however, without coercion of the jury, so as to avoid displacing the jury’s independent judgment ‘in favor of considerations of compromise and expediency.’ ”</w:t>
      </w:r>
      <w:r w:rsidR="007E2A52" w:rsidRPr="002D57BE">
        <w:t xml:space="preserve">  (</w:t>
      </w:r>
      <w:r w:rsidR="007E2A52" w:rsidRPr="002D57BE">
        <w:rPr>
          <w:i/>
          <w:iCs/>
        </w:rPr>
        <w:t>People v. Rodriguez</w:t>
      </w:r>
      <w:r w:rsidR="007E2A52" w:rsidRPr="002D57BE">
        <w:t xml:space="preserve"> (1986) 42 Cal.3d 730, 775.)</w:t>
      </w:r>
      <w:r w:rsidR="00CB6133" w:rsidRPr="002D57BE">
        <w:t xml:space="preserve"> </w:t>
      </w:r>
    </w:p>
    <w:p w14:paraId="19CD1235" w14:textId="47E133EC" w:rsidR="009C490C" w:rsidRPr="002D57BE" w:rsidRDefault="00C6573A" w:rsidP="001A05AD">
      <w:pPr>
        <w:pStyle w:val="BodyText"/>
        <w:widowControl/>
        <w:spacing w:line="360" w:lineRule="auto"/>
        <w:ind w:left="0" w:firstLine="720"/>
      </w:pPr>
      <w:r w:rsidRPr="002D57BE">
        <w:t>It is not necessarily coercive for a trial court</w:t>
      </w:r>
      <w:r w:rsidR="00AB3287" w:rsidRPr="002D57BE">
        <w:t xml:space="preserve"> to ask the jury to continue deliberating after learning that the vote is split 11 to 1</w:t>
      </w:r>
      <w:r w:rsidR="0029328A" w:rsidRPr="002D57BE">
        <w:t>.  The court may do so “</w:t>
      </w:r>
      <w:r w:rsidR="005C24EB" w:rsidRPr="002D57BE">
        <w:t>where, in the exercise of its discretion, it finds a ‘reasonable probability’ of agreement.”  (</w:t>
      </w:r>
      <w:r w:rsidR="005C24EB" w:rsidRPr="002D57BE">
        <w:rPr>
          <w:i/>
          <w:iCs/>
        </w:rPr>
        <w:t xml:space="preserve">People v. </w:t>
      </w:r>
      <w:r w:rsidR="00074E4A" w:rsidRPr="002D57BE">
        <w:rPr>
          <w:i/>
          <w:iCs/>
        </w:rPr>
        <w:t>Pride</w:t>
      </w:r>
      <w:r w:rsidR="00074E4A" w:rsidRPr="002D57BE">
        <w:t xml:space="preserve"> (1992) 3 Cal.4th 195, 265.)</w:t>
      </w:r>
      <w:r w:rsidR="00392231" w:rsidRPr="002D57BE">
        <w:t xml:space="preserve">  Any claim of coercion depends on the specific circumstances of the case.</w:t>
      </w:r>
      <w:r w:rsidR="00E059FE" w:rsidRPr="002D57BE">
        <w:t xml:space="preserve">  </w:t>
      </w:r>
      <w:r w:rsidR="00392231" w:rsidRPr="002D57BE">
        <w:t>(</w:t>
      </w:r>
      <w:r w:rsidR="00392231" w:rsidRPr="002D57BE">
        <w:rPr>
          <w:i/>
          <w:iCs/>
        </w:rPr>
        <w:t>Id</w:t>
      </w:r>
      <w:r w:rsidR="00392231" w:rsidRPr="002D57BE">
        <w:t>.)</w:t>
      </w:r>
      <w:r w:rsidR="002817E0" w:rsidRPr="002D57BE">
        <w:t xml:space="preserve"> </w:t>
      </w:r>
      <w:r w:rsidR="00392231" w:rsidRPr="002D57BE">
        <w:t xml:space="preserve"> </w:t>
      </w:r>
      <w:r w:rsidR="00544FBB" w:rsidRPr="002D57BE">
        <w:t xml:space="preserve">For example, </w:t>
      </w:r>
      <w:r w:rsidR="00E059FE" w:rsidRPr="002D57BE">
        <w:t xml:space="preserve">there was </w:t>
      </w:r>
      <w:r w:rsidR="00CB47A5" w:rsidRPr="002D57BE">
        <w:t>no coercion found where</w:t>
      </w:r>
      <w:r w:rsidR="0056551F" w:rsidRPr="002D57BE">
        <w:t xml:space="preserve"> the trial court </w:t>
      </w:r>
      <w:r w:rsidR="007D3C98" w:rsidRPr="002D57BE">
        <w:t xml:space="preserve">did not make any coercive remarks to pressure the minority juror, </w:t>
      </w:r>
      <w:r w:rsidR="00AF5445" w:rsidRPr="002D57BE">
        <w:t>nor any remarks “urging that a verdict be reached or indicating possible reprisals for failure to reach agreement.”  (</w:t>
      </w:r>
      <w:r w:rsidR="00AF5445" w:rsidRPr="002D57BE">
        <w:rPr>
          <w:i/>
          <w:iCs/>
        </w:rPr>
        <w:t>People v. Sheldon</w:t>
      </w:r>
      <w:r w:rsidR="00AF5445" w:rsidRPr="002D57BE">
        <w:t xml:space="preserve"> (1989) 48 Cal.3d 9</w:t>
      </w:r>
      <w:r w:rsidR="00547AD6" w:rsidRPr="002D57BE">
        <w:t>35,</w:t>
      </w:r>
      <w:r w:rsidR="005723A6">
        <w:t xml:space="preserve"> </w:t>
      </w:r>
      <w:r w:rsidR="00547AD6" w:rsidRPr="002D57BE">
        <w:t xml:space="preserve">960.) </w:t>
      </w:r>
    </w:p>
    <w:p w14:paraId="4F08DF50" w14:textId="1A22FB11" w:rsidR="009579EE" w:rsidRPr="002D57BE" w:rsidRDefault="00C6573A" w:rsidP="001A05AD">
      <w:pPr>
        <w:pStyle w:val="BodyText"/>
        <w:widowControl/>
        <w:spacing w:line="360" w:lineRule="auto"/>
        <w:ind w:left="0" w:firstLine="720"/>
      </w:pPr>
      <w:r w:rsidRPr="002D57BE">
        <w:t>Here, the trial court did n</w:t>
      </w:r>
      <w:r w:rsidR="009A28E0" w:rsidRPr="002D57BE">
        <w:t xml:space="preserve">ot </w:t>
      </w:r>
      <w:r w:rsidR="005C0816" w:rsidRPr="002D57BE">
        <w:t>make any remarks to pressure</w:t>
      </w:r>
      <w:r w:rsidR="009A28E0" w:rsidRPr="002D57BE">
        <w:t xml:space="preserve"> the minority juror to change his or her vote, nor </w:t>
      </w:r>
      <w:r w:rsidR="005C0816" w:rsidRPr="002D57BE">
        <w:t xml:space="preserve">make any remarks that </w:t>
      </w:r>
      <w:r w:rsidR="00436D53" w:rsidRPr="002D57BE">
        <w:t>there would be</w:t>
      </w:r>
      <w:r w:rsidR="005C0816" w:rsidRPr="002D57BE">
        <w:t xml:space="preserve"> a negative consequence </w:t>
      </w:r>
      <w:r w:rsidR="0023020A" w:rsidRPr="002D57BE">
        <w:t xml:space="preserve">if the jury failed to reach </w:t>
      </w:r>
      <w:r w:rsidR="003A0B04" w:rsidRPr="002D57BE">
        <w:t>an agreement</w:t>
      </w:r>
      <w:r w:rsidR="0023020A" w:rsidRPr="002D57BE">
        <w:t xml:space="preserve">.  </w:t>
      </w:r>
      <w:r w:rsidR="004F4B97" w:rsidRPr="002D57BE">
        <w:t xml:space="preserve">After the </w:t>
      </w:r>
      <w:r w:rsidR="00CF2A0A" w:rsidRPr="002D57BE">
        <w:t>jury</w:t>
      </w:r>
      <w:r w:rsidR="00B55ECE" w:rsidRPr="002D57BE">
        <w:t xml:space="preserve"> informed the court that it was split 11 to 1 as to first degree murder</w:t>
      </w:r>
      <w:r w:rsidR="000C17C1" w:rsidRPr="002D57BE">
        <w:t>,</w:t>
      </w:r>
      <w:r w:rsidR="005106E5" w:rsidRPr="002D57BE">
        <w:t xml:space="preserve"> </w:t>
      </w:r>
      <w:r w:rsidR="00FF75DB" w:rsidRPr="002D57BE">
        <w:t>it asked the court for the definition of intent and a more elaborate definition of second degree murder.  The court responded that both definitions were</w:t>
      </w:r>
      <w:r w:rsidR="00005155" w:rsidRPr="002D57BE">
        <w:t xml:space="preserve"> already</w:t>
      </w:r>
      <w:r w:rsidR="00FF75DB" w:rsidRPr="002D57BE">
        <w:t xml:space="preserve"> included in the instructions</w:t>
      </w:r>
      <w:r w:rsidR="008A090B" w:rsidRPr="002D57BE">
        <w:t xml:space="preserve">.  </w:t>
      </w:r>
      <w:r w:rsidR="00164305" w:rsidRPr="002D57BE">
        <w:t>When the jury foreperson began to say</w:t>
      </w:r>
      <w:r w:rsidR="00237FCD" w:rsidRPr="002D57BE">
        <w:t xml:space="preserve">, “I feel like they…” </w:t>
      </w:r>
      <w:r w:rsidR="008462E8" w:rsidRPr="002D57BE">
        <w:t xml:space="preserve">to potentially </w:t>
      </w:r>
      <w:r w:rsidR="00E60CB7" w:rsidRPr="002D57BE">
        <w:t>share more details of</w:t>
      </w:r>
      <w:r w:rsidR="00005155" w:rsidRPr="002D57BE">
        <w:t xml:space="preserve"> the</w:t>
      </w:r>
      <w:r w:rsidR="00E60CB7" w:rsidRPr="002D57BE">
        <w:t xml:space="preserve"> deliberations, the court properly in</w:t>
      </w:r>
      <w:r w:rsidR="00C82C6A" w:rsidRPr="002D57BE">
        <w:t xml:space="preserve">terjected and informed her </w:t>
      </w:r>
      <w:r w:rsidR="00341551" w:rsidRPr="002D57BE">
        <w:t>that the jurors should continue deliberating and</w:t>
      </w:r>
      <w:r w:rsidR="000B73D1" w:rsidRPr="002D57BE">
        <w:t xml:space="preserve"> then</w:t>
      </w:r>
      <w:r w:rsidR="00341551" w:rsidRPr="002D57BE">
        <w:t xml:space="preserve"> “fill out the form for the degree of murder which you all agree.” </w:t>
      </w:r>
      <w:r w:rsidR="00150E69" w:rsidRPr="002D57BE">
        <w:t xml:space="preserve"> The court also </w:t>
      </w:r>
      <w:r w:rsidR="000B73D1" w:rsidRPr="002D57BE">
        <w:t>told</w:t>
      </w:r>
      <w:r w:rsidR="00150E69" w:rsidRPr="002D57BE">
        <w:t xml:space="preserve"> the foreperson to let </w:t>
      </w:r>
      <w:r w:rsidR="000B73D1" w:rsidRPr="002D57BE">
        <w:t>the court</w:t>
      </w:r>
      <w:r w:rsidR="00150E69" w:rsidRPr="002D57BE">
        <w:t xml:space="preserve"> know if the jury could still not </w:t>
      </w:r>
      <w:r w:rsidR="00D4341B" w:rsidRPr="002D57BE">
        <w:t xml:space="preserve">agree after further deliberations.  The </w:t>
      </w:r>
      <w:r w:rsidR="00D4341B" w:rsidRPr="002D57BE">
        <w:lastRenderedPageBreak/>
        <w:t>next day, the jury reached a verdict</w:t>
      </w:r>
      <w:r w:rsidR="000A4E2D" w:rsidRPr="002D57BE">
        <w:t xml:space="preserve"> without </w:t>
      </w:r>
      <w:r w:rsidR="00CF2A0A" w:rsidRPr="002D57BE">
        <w:t>raising any further issues</w:t>
      </w:r>
      <w:r w:rsidR="000A4E2D" w:rsidRPr="002D57BE">
        <w:t xml:space="preserve"> to the court</w:t>
      </w:r>
      <w:r w:rsidR="00D4341B" w:rsidRPr="002D57BE">
        <w:t xml:space="preserve">. </w:t>
      </w:r>
    </w:p>
    <w:p w14:paraId="7A291553" w14:textId="30930419" w:rsidR="00AF03EA" w:rsidRPr="002D57BE" w:rsidRDefault="00C6573A" w:rsidP="001A05AD">
      <w:pPr>
        <w:pStyle w:val="BodyText"/>
        <w:widowControl/>
        <w:spacing w:line="360" w:lineRule="auto"/>
        <w:ind w:left="0" w:firstLine="720"/>
      </w:pPr>
      <w:r w:rsidRPr="002D57BE">
        <w:t xml:space="preserve">The trial court did not abuse its discretion in directing the jury to </w:t>
      </w:r>
      <w:r w:rsidR="00FD0EA0" w:rsidRPr="002D57BE">
        <w:t>continue</w:t>
      </w:r>
      <w:r w:rsidRPr="002D57BE">
        <w:t xml:space="preserve"> deliberat</w:t>
      </w:r>
      <w:r w:rsidR="00FD0EA0" w:rsidRPr="002D57BE">
        <w:t>ing</w:t>
      </w:r>
      <w:r w:rsidR="00CF2A0A" w:rsidRPr="002D57BE">
        <w:t xml:space="preserve"> after the jury voluntarily informed the court that it was split 11 to 1 as to first degree murder.</w:t>
      </w:r>
      <w:r w:rsidR="00F91E57" w:rsidRPr="002D57BE">
        <w:t xml:space="preserve">  </w:t>
      </w:r>
      <w:r w:rsidR="00E63AD3" w:rsidRPr="002D57BE">
        <w:t xml:space="preserve">Under these circumstances, the </w:t>
      </w:r>
      <w:r w:rsidR="00F91E57" w:rsidRPr="002D57BE">
        <w:t xml:space="preserve">court </w:t>
      </w:r>
      <w:r w:rsidR="004A188B" w:rsidRPr="002D57BE">
        <w:t xml:space="preserve">properly found that there was a reasonable probability </w:t>
      </w:r>
      <w:r w:rsidR="000A6219" w:rsidRPr="002D57BE">
        <w:t>of an agreement</w:t>
      </w:r>
      <w:r w:rsidR="00E70BF9" w:rsidRPr="002D57BE">
        <w:t>.</w:t>
      </w:r>
      <w:r w:rsidR="007059DB" w:rsidRPr="002D57BE">
        <w:t xml:space="preserve"> </w:t>
      </w:r>
      <w:r w:rsidR="00775066" w:rsidRPr="002D57BE">
        <w:t xml:space="preserve"> </w:t>
      </w:r>
      <w:r w:rsidR="007059DB" w:rsidRPr="002D57BE">
        <w:t xml:space="preserve">(§ 1140.) </w:t>
      </w:r>
      <w:r w:rsidR="00775066" w:rsidRPr="002D57BE">
        <w:t xml:space="preserve"> </w:t>
      </w:r>
      <w:r w:rsidR="006D57C0" w:rsidRPr="002D57BE">
        <w:t>Contrary to Garcia</w:t>
      </w:r>
      <w:r w:rsidR="00974D51" w:rsidRPr="002D57BE">
        <w:t>’s argument</w:t>
      </w:r>
      <w:r w:rsidR="006D57C0" w:rsidRPr="002D57BE">
        <w:t>, the trial court did not “repeatedly</w:t>
      </w:r>
      <w:r w:rsidR="00160AEC" w:rsidRPr="002D57BE">
        <w:t xml:space="preserve"> [tell] the jurors to return with a verdict they all agreed upon” but </w:t>
      </w:r>
      <w:r w:rsidR="00283D48" w:rsidRPr="002D57BE">
        <w:t>did so only once</w:t>
      </w:r>
      <w:r w:rsidR="003134E6" w:rsidRPr="002D57BE">
        <w:t xml:space="preserve"> and </w:t>
      </w:r>
      <w:r w:rsidR="00BF66FF" w:rsidRPr="002D57BE">
        <w:t xml:space="preserve">also </w:t>
      </w:r>
      <w:r w:rsidR="0050231E" w:rsidRPr="002D57BE">
        <w:t>told the foreperson to let the</w:t>
      </w:r>
      <w:r w:rsidR="001F5E16" w:rsidRPr="002D57BE">
        <w:t xml:space="preserve"> court know if</w:t>
      </w:r>
      <w:r w:rsidR="000A6A1C" w:rsidRPr="002D57BE">
        <w:t xml:space="preserve"> further deliberations proved unsuccessful</w:t>
      </w:r>
      <w:r w:rsidR="001F5E16" w:rsidRPr="002D57BE">
        <w:t>.</w:t>
      </w:r>
      <w:r w:rsidR="006D57C0" w:rsidRPr="002D57BE">
        <w:t xml:space="preserve"> </w:t>
      </w:r>
      <w:r w:rsidR="00810E05" w:rsidRPr="002D57BE">
        <w:t xml:space="preserve"> </w:t>
      </w:r>
      <w:r w:rsidR="00283D48" w:rsidRPr="002D57BE">
        <w:t xml:space="preserve">The jury </w:t>
      </w:r>
      <w:r w:rsidR="0031426F" w:rsidRPr="002D57BE">
        <w:t xml:space="preserve">raised no further issues </w:t>
      </w:r>
      <w:r w:rsidR="00356081" w:rsidRPr="002D57BE">
        <w:t xml:space="preserve">and reached a verdict the following day. </w:t>
      </w:r>
      <w:r w:rsidR="00C016B8" w:rsidRPr="002D57BE">
        <w:t xml:space="preserve"> </w:t>
      </w:r>
      <w:r w:rsidR="00EE57CD" w:rsidRPr="002D57BE">
        <w:t xml:space="preserve">The court did not </w:t>
      </w:r>
      <w:r w:rsidR="00A556A7" w:rsidRPr="002D57BE">
        <w:t xml:space="preserve">make any coercive statements that a verdict must be reached. </w:t>
      </w:r>
    </w:p>
    <w:p w14:paraId="25948F88" w14:textId="4B0677DE" w:rsidR="00201589" w:rsidRPr="002D57BE" w:rsidRDefault="00C6573A" w:rsidP="001A05AD">
      <w:pPr>
        <w:pStyle w:val="BodyText"/>
        <w:widowControl/>
        <w:spacing w:line="360" w:lineRule="auto"/>
        <w:ind w:left="0" w:firstLine="720"/>
      </w:pPr>
      <w:r w:rsidRPr="002D57BE">
        <w:t>Finally, we do not</w:t>
      </w:r>
      <w:r w:rsidR="00810E05" w:rsidRPr="002D57BE">
        <w:t xml:space="preserve"> find Garcia’s reliance on </w:t>
      </w:r>
      <w:r w:rsidR="00810E05" w:rsidRPr="002D57BE">
        <w:rPr>
          <w:i/>
          <w:iCs/>
        </w:rPr>
        <w:t>Smalls v. Batista</w:t>
      </w:r>
      <w:r w:rsidR="00810E05" w:rsidRPr="002D57BE">
        <w:t xml:space="preserve"> (2</w:t>
      </w:r>
      <w:r w:rsidR="00884416" w:rsidRPr="002D57BE">
        <w:t>d Cir. 1999) 191 F.</w:t>
      </w:r>
      <w:r w:rsidR="004F641A" w:rsidRPr="002D57BE">
        <w:t>3</w:t>
      </w:r>
      <w:r w:rsidR="00884416" w:rsidRPr="002D57BE">
        <w:t>d 272</w:t>
      </w:r>
      <w:r w:rsidR="00950700" w:rsidRPr="002D57BE">
        <w:t xml:space="preserve"> apposite. </w:t>
      </w:r>
      <w:r w:rsidR="009E7F2A" w:rsidRPr="002D57BE">
        <w:t xml:space="preserve"> There, </w:t>
      </w:r>
      <w:r w:rsidR="00CD6530" w:rsidRPr="002D57BE">
        <w:t>the</w:t>
      </w:r>
      <w:r w:rsidR="00455023" w:rsidRPr="002D57BE">
        <w:t xml:space="preserve"> court </w:t>
      </w:r>
      <w:r w:rsidR="00425E3F" w:rsidRPr="002D57BE">
        <w:t>held</w:t>
      </w:r>
      <w:r w:rsidR="00455023" w:rsidRPr="002D57BE">
        <w:t xml:space="preserve"> that the</w:t>
      </w:r>
      <w:r w:rsidR="00CD6530" w:rsidRPr="002D57BE">
        <w:t xml:space="preserve"> trial court</w:t>
      </w:r>
      <w:r w:rsidR="00455023" w:rsidRPr="002D57BE">
        <w:t xml:space="preserve"> </w:t>
      </w:r>
      <w:r w:rsidR="00CD6530" w:rsidRPr="002D57BE">
        <w:t>placed a</w:t>
      </w:r>
      <w:r w:rsidR="00EF4ABF" w:rsidRPr="002D57BE">
        <w:t xml:space="preserve"> “</w:t>
      </w:r>
      <w:r w:rsidR="004F641A" w:rsidRPr="002D57BE">
        <w:t xml:space="preserve"> ‘</w:t>
      </w:r>
      <w:r w:rsidR="00EF4ABF" w:rsidRPr="002D57BE">
        <w:t>novel burden</w:t>
      </w:r>
      <w:r w:rsidR="004F641A" w:rsidRPr="002D57BE">
        <w:t xml:space="preserve">’ </w:t>
      </w:r>
      <w:r w:rsidR="00EF4ABF" w:rsidRPr="002D57BE">
        <w:t xml:space="preserve">” </w:t>
      </w:r>
      <w:r w:rsidR="00B13506" w:rsidRPr="002D57BE">
        <w:t>on</w:t>
      </w:r>
      <w:r w:rsidR="00EF4ABF" w:rsidRPr="002D57BE">
        <w:t xml:space="preserve"> the jurors to </w:t>
      </w:r>
      <w:r w:rsidR="00E523D1" w:rsidRPr="002D57BE">
        <w:t xml:space="preserve">convince one another </w:t>
      </w:r>
      <w:r w:rsidR="00B13506" w:rsidRPr="002D57BE">
        <w:t xml:space="preserve">of their views </w:t>
      </w:r>
      <w:r w:rsidR="00E523D1" w:rsidRPr="002D57BE">
        <w:t>after</w:t>
      </w:r>
      <w:r w:rsidR="00001C7D" w:rsidRPr="002D57BE">
        <w:t xml:space="preserve"> learning of a 11 to 1 split</w:t>
      </w:r>
      <w:r w:rsidR="00B14683" w:rsidRPr="002D57BE">
        <w:t xml:space="preserve">.  </w:t>
      </w:r>
      <w:r w:rsidR="00B743FC" w:rsidRPr="002D57BE">
        <w:t>The court held that based on this, t</w:t>
      </w:r>
      <w:r w:rsidR="00B14683" w:rsidRPr="002D57BE">
        <w:t>he trial court</w:t>
      </w:r>
      <w:r w:rsidR="00B85227" w:rsidRPr="002D57BE">
        <w:t xml:space="preserve"> </w:t>
      </w:r>
      <w:r w:rsidR="00B14683" w:rsidRPr="002D57BE">
        <w:t>was</w:t>
      </w:r>
      <w:r w:rsidR="00B85227" w:rsidRPr="002D57BE">
        <w:t xml:space="preserve"> also required to </w:t>
      </w:r>
      <w:r w:rsidR="00316C5B" w:rsidRPr="002D57BE">
        <w:t xml:space="preserve">provide cautionary language that the jurors should not surrender their own </w:t>
      </w:r>
      <w:r w:rsidR="00BB0F49" w:rsidRPr="002D57BE">
        <w:t xml:space="preserve">conscientiously held </w:t>
      </w:r>
      <w:r w:rsidR="00316C5B" w:rsidRPr="002D57BE">
        <w:t xml:space="preserve">beliefs. </w:t>
      </w:r>
      <w:r w:rsidR="00D41E5E">
        <w:t xml:space="preserve"> </w:t>
      </w:r>
      <w:r w:rsidR="002A1A45" w:rsidRPr="002D57BE">
        <w:t>(</w:t>
      </w:r>
      <w:r w:rsidR="002A1A45" w:rsidRPr="002D57BE">
        <w:rPr>
          <w:i/>
          <w:iCs/>
        </w:rPr>
        <w:t>Id.</w:t>
      </w:r>
      <w:r w:rsidR="002A1A45" w:rsidRPr="002D57BE">
        <w:t xml:space="preserve"> at p</w:t>
      </w:r>
      <w:r w:rsidR="00BB1E65" w:rsidRPr="002D57BE">
        <w:t>p. 280</w:t>
      </w:r>
      <w:r w:rsidR="004F641A" w:rsidRPr="002D57BE">
        <w:t>–</w:t>
      </w:r>
      <w:r w:rsidR="00BB1E65" w:rsidRPr="002D57BE">
        <w:t>281.)</w:t>
      </w:r>
      <w:r w:rsidR="00504E71" w:rsidRPr="002D57BE">
        <w:t xml:space="preserve">  The trial court placed no such “</w:t>
      </w:r>
      <w:r w:rsidR="004F641A" w:rsidRPr="002D57BE">
        <w:t xml:space="preserve"> ‘</w:t>
      </w:r>
      <w:r w:rsidR="00504E71" w:rsidRPr="002D57BE">
        <w:t>novel burden</w:t>
      </w:r>
      <w:r w:rsidR="004F641A" w:rsidRPr="002D57BE">
        <w:t xml:space="preserve">’ </w:t>
      </w:r>
      <w:r w:rsidR="00504E71" w:rsidRPr="002D57BE">
        <w:t xml:space="preserve">” on the jurors here. </w:t>
      </w:r>
    </w:p>
    <w:p w14:paraId="38E5CD15" w14:textId="77777777" w:rsidR="00686FE2" w:rsidRPr="002D57BE" w:rsidRDefault="00C6573A" w:rsidP="001A05AD">
      <w:pPr>
        <w:pStyle w:val="BodyText"/>
        <w:widowControl/>
        <w:spacing w:line="360" w:lineRule="auto"/>
        <w:jc w:val="center"/>
        <w:rPr>
          <w:b/>
          <w:bCs/>
        </w:rPr>
      </w:pPr>
      <w:r w:rsidRPr="002D57BE">
        <w:rPr>
          <w:b/>
          <w:bCs/>
        </w:rPr>
        <w:t xml:space="preserve">III.  </w:t>
      </w:r>
      <w:r w:rsidRPr="002D57BE">
        <w:rPr>
          <w:b/>
          <w:bCs/>
          <w:u w:val="single"/>
        </w:rPr>
        <w:t>DISPOSITION</w:t>
      </w:r>
    </w:p>
    <w:p w14:paraId="52B7EB3F" w14:textId="4117D7E0" w:rsidR="00251CDC" w:rsidRPr="00466783" w:rsidRDefault="00C6573A" w:rsidP="001A05AD">
      <w:pPr>
        <w:pStyle w:val="BodyText"/>
        <w:widowControl/>
        <w:spacing w:line="360" w:lineRule="auto"/>
      </w:pPr>
      <w:r w:rsidRPr="002D57BE">
        <w:tab/>
      </w:r>
      <w:bookmarkStart w:id="3" w:name="_Hlk12277120"/>
      <w:bookmarkStart w:id="4" w:name="_Hlk13645698"/>
      <w:r w:rsidR="00456027" w:rsidRPr="002D57BE">
        <w:t>The judgments are affirmed.</w:t>
      </w:r>
      <w:r w:rsidR="00A35EA9">
        <w:t xml:space="preserve"> </w:t>
      </w:r>
    </w:p>
    <w:p w14:paraId="355923FD" w14:textId="0AD8E429" w:rsidR="00212CB7" w:rsidRDefault="00212CB7" w:rsidP="001A05AD">
      <w:pPr>
        <w:rPr>
          <w:rFonts w:eastAsia="Calibri"/>
        </w:rPr>
      </w:pPr>
    </w:p>
    <w:p w14:paraId="3DB5BFA1" w14:textId="008548F3" w:rsidR="001A410C" w:rsidRDefault="001A410C" w:rsidP="001A05AD">
      <w:pPr>
        <w:rPr>
          <w:rFonts w:eastAsia="Calibri"/>
        </w:rPr>
      </w:pPr>
    </w:p>
    <w:p w14:paraId="144C545E" w14:textId="4F4D5591" w:rsidR="001A410C" w:rsidRDefault="001A410C" w:rsidP="001A05AD">
      <w:pPr>
        <w:rPr>
          <w:rFonts w:eastAsia="Calibri"/>
        </w:rPr>
      </w:pPr>
    </w:p>
    <w:p w14:paraId="64D88296" w14:textId="6116B405" w:rsidR="001A410C" w:rsidRDefault="001A410C" w:rsidP="001A05AD">
      <w:pPr>
        <w:rPr>
          <w:rFonts w:eastAsia="Calibri"/>
        </w:rPr>
      </w:pPr>
    </w:p>
    <w:p w14:paraId="3F050380" w14:textId="3E641D9E" w:rsidR="001A410C" w:rsidRDefault="001A410C" w:rsidP="001A05AD">
      <w:pPr>
        <w:rPr>
          <w:rFonts w:eastAsia="Calibri"/>
        </w:rPr>
      </w:pPr>
    </w:p>
    <w:p w14:paraId="21D10141" w14:textId="6A29DFB2" w:rsidR="001A410C" w:rsidRDefault="001A410C" w:rsidP="001A05AD">
      <w:pPr>
        <w:rPr>
          <w:rFonts w:eastAsia="Calibri"/>
        </w:rPr>
      </w:pPr>
    </w:p>
    <w:p w14:paraId="63779BA2" w14:textId="7E9A8C3C" w:rsidR="001A410C" w:rsidRDefault="001A410C" w:rsidP="001A05AD">
      <w:pPr>
        <w:rPr>
          <w:rFonts w:eastAsia="Calibri"/>
        </w:rPr>
      </w:pPr>
    </w:p>
    <w:p w14:paraId="0A02D9B4" w14:textId="2A668444" w:rsidR="001A410C" w:rsidRDefault="001A410C" w:rsidP="001A05AD">
      <w:pPr>
        <w:rPr>
          <w:rFonts w:eastAsia="Calibri"/>
        </w:rPr>
      </w:pPr>
    </w:p>
    <w:p w14:paraId="39ECEF2F" w14:textId="77777777" w:rsidR="001A410C" w:rsidRDefault="001A410C" w:rsidP="001A05AD">
      <w:pPr>
        <w:rPr>
          <w:rFonts w:eastAsia="Calibri"/>
        </w:rPr>
      </w:pPr>
    </w:p>
    <w:p w14:paraId="72D9543F" w14:textId="77777777" w:rsidR="00C57720" w:rsidRDefault="00C6573A" w:rsidP="001A05AD">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5A3E2FFF" w14:textId="49D8C2AF" w:rsidR="00475008" w:rsidRDefault="00C6573A" w:rsidP="001A05AD">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B258D1">
        <w:rPr>
          <w:rFonts w:eastAsia="Calibri"/>
        </w:rPr>
        <w:t>WISEMAN</w:t>
      </w:r>
      <w:r>
        <w:rPr>
          <w:rFonts w:eastAsia="Calibri"/>
        </w:rPr>
        <w:t>, J.</w:t>
      </w:r>
      <w:r>
        <w:rPr>
          <w:rStyle w:val="FootnoteReference"/>
        </w:rPr>
        <w:footnoteReference w:customMarkFollows="1" w:id="14"/>
        <w:t>*</w:t>
      </w:r>
    </w:p>
    <w:p w14:paraId="64B2632A" w14:textId="4812C454" w:rsidR="00C57720" w:rsidRDefault="00C6573A" w:rsidP="001A05AD">
      <w:pPr>
        <w:rPr>
          <w:rFonts w:eastAsia="Calibri"/>
        </w:rPr>
      </w:pPr>
      <w:r>
        <w:rPr>
          <w:rFonts w:eastAsia="Calibri"/>
        </w:rPr>
        <w:t>We concur.</w:t>
      </w:r>
    </w:p>
    <w:p w14:paraId="6CD9EC83" w14:textId="77777777" w:rsidR="00C57720" w:rsidRDefault="00C57720" w:rsidP="001A05AD">
      <w:pPr>
        <w:rPr>
          <w:rFonts w:eastAsia="Calibri"/>
        </w:rPr>
      </w:pPr>
    </w:p>
    <w:p w14:paraId="7F535AB7" w14:textId="77777777" w:rsidR="00C57720" w:rsidRDefault="00C6573A" w:rsidP="001A05AD">
      <w:pPr>
        <w:rPr>
          <w:rFonts w:eastAsia="Calibri"/>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3BCC2BDF" w14:textId="1A546E7F" w:rsidR="00C57720" w:rsidRDefault="00C6573A" w:rsidP="001A05AD">
      <w:pPr>
        <w:rPr>
          <w:rFonts w:eastAsia="Calibri"/>
        </w:rPr>
      </w:pPr>
      <w:r>
        <w:rPr>
          <w:rFonts w:eastAsia="Calibri"/>
        </w:rPr>
        <w:t xml:space="preserve">JACKSON, </w:t>
      </w:r>
      <w:r w:rsidR="0089060E">
        <w:rPr>
          <w:rFonts w:eastAsia="Calibri"/>
        </w:rPr>
        <w:t xml:space="preserve">P. </w:t>
      </w:r>
      <w:r>
        <w:rPr>
          <w:rFonts w:eastAsia="Calibri"/>
        </w:rPr>
        <w:t>J.</w:t>
      </w:r>
    </w:p>
    <w:p w14:paraId="2A1D1A99" w14:textId="1249C410" w:rsidR="00C57720" w:rsidRDefault="00C57720" w:rsidP="001A05AD">
      <w:pPr>
        <w:rPr>
          <w:rFonts w:eastAsia="Calibri"/>
        </w:rPr>
      </w:pPr>
    </w:p>
    <w:p w14:paraId="32F35289" w14:textId="77777777" w:rsidR="008B4D09" w:rsidRDefault="008B4D09" w:rsidP="001A05AD">
      <w:pPr>
        <w:rPr>
          <w:rFonts w:eastAsia="Calibri"/>
        </w:rPr>
      </w:pPr>
    </w:p>
    <w:p w14:paraId="399225B7" w14:textId="77777777" w:rsidR="00C57720" w:rsidRDefault="00C6573A" w:rsidP="001A05AD">
      <w:pPr>
        <w:rPr>
          <w:rFonts w:eastAsia="Calibri"/>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615E20A" w14:textId="51A0A6AE" w:rsidR="00434A35" w:rsidRDefault="00C6573A" w:rsidP="001A05AD">
      <w:pPr>
        <w:rPr>
          <w:rFonts w:eastAsia="Calibri"/>
        </w:rPr>
      </w:pPr>
      <w:r>
        <w:rPr>
          <w:rFonts w:eastAsia="Calibri"/>
        </w:rPr>
        <w:t>BURNS, J</w:t>
      </w:r>
      <w:r w:rsidR="00D7022A">
        <w:rPr>
          <w:rFonts w:eastAsia="Calibri"/>
        </w:rPr>
        <w:t>.</w:t>
      </w:r>
      <w:bookmarkEnd w:id="3"/>
      <w:bookmarkEnd w:id="4"/>
    </w:p>
    <w:p w14:paraId="1B273B6D" w14:textId="4B1F92BF" w:rsidR="001A410C" w:rsidRDefault="001A410C" w:rsidP="001A05AD">
      <w:pPr>
        <w:rPr>
          <w:rFonts w:eastAsia="Calibri"/>
        </w:rPr>
      </w:pPr>
    </w:p>
    <w:p w14:paraId="154D9489" w14:textId="5C481BDE" w:rsidR="001A410C" w:rsidRDefault="001A410C" w:rsidP="001A05AD">
      <w:pPr>
        <w:rPr>
          <w:rFonts w:eastAsia="Calibri"/>
        </w:rPr>
      </w:pPr>
    </w:p>
    <w:p w14:paraId="5561F428" w14:textId="29E07A93" w:rsidR="001A410C" w:rsidRDefault="001A410C" w:rsidP="001A05AD">
      <w:pPr>
        <w:rPr>
          <w:rFonts w:eastAsia="Calibri"/>
        </w:rPr>
      </w:pPr>
    </w:p>
    <w:p w14:paraId="23CB1D4A" w14:textId="422F6917" w:rsidR="001A410C" w:rsidRDefault="001A410C" w:rsidP="001A05AD">
      <w:pPr>
        <w:rPr>
          <w:rFonts w:eastAsia="Calibri"/>
        </w:rPr>
      </w:pPr>
    </w:p>
    <w:p w14:paraId="2FDF5C97" w14:textId="26EFE067" w:rsidR="001A410C" w:rsidRDefault="001A410C" w:rsidP="001A05AD">
      <w:pPr>
        <w:rPr>
          <w:rFonts w:eastAsia="Calibri"/>
        </w:rPr>
      </w:pPr>
    </w:p>
    <w:p w14:paraId="5B809733" w14:textId="6F3559D0" w:rsidR="001A410C" w:rsidRDefault="001A410C" w:rsidP="001A05AD">
      <w:pPr>
        <w:rPr>
          <w:rFonts w:eastAsia="Calibri"/>
        </w:rPr>
      </w:pPr>
    </w:p>
    <w:p w14:paraId="6CC37C0B" w14:textId="227A9906" w:rsidR="001A410C" w:rsidRDefault="001A410C" w:rsidP="001A05AD">
      <w:pPr>
        <w:rPr>
          <w:rFonts w:eastAsia="Calibri"/>
        </w:rPr>
      </w:pPr>
    </w:p>
    <w:p w14:paraId="544D4BBA" w14:textId="345F0287" w:rsidR="001A410C" w:rsidRDefault="001A410C" w:rsidP="001A05AD">
      <w:pPr>
        <w:rPr>
          <w:rFonts w:eastAsia="Calibri"/>
        </w:rPr>
      </w:pPr>
    </w:p>
    <w:p w14:paraId="3BF0B45C" w14:textId="1C43F38F" w:rsidR="001A410C" w:rsidRDefault="001A410C" w:rsidP="001A05AD">
      <w:pPr>
        <w:rPr>
          <w:rFonts w:eastAsia="Calibri"/>
        </w:rPr>
      </w:pPr>
    </w:p>
    <w:p w14:paraId="75E36905" w14:textId="3040EE3C" w:rsidR="001A410C" w:rsidRDefault="001A410C" w:rsidP="001A05AD">
      <w:pPr>
        <w:rPr>
          <w:rFonts w:eastAsia="Calibri"/>
        </w:rPr>
      </w:pPr>
    </w:p>
    <w:p w14:paraId="5AA7E448" w14:textId="62AACD88" w:rsidR="001A410C" w:rsidRDefault="00C6573A" w:rsidP="001A05AD">
      <w:pPr>
        <w:rPr>
          <w:rFonts w:eastAsia="Calibri"/>
        </w:rPr>
      </w:pPr>
      <w:r w:rsidRPr="001A410C">
        <w:rPr>
          <w:rFonts w:eastAsia="Calibri"/>
          <w:i/>
          <w:iCs/>
        </w:rPr>
        <w:t>People v. Garcia &amp; Scott</w:t>
      </w:r>
      <w:r>
        <w:rPr>
          <w:rFonts w:eastAsia="Calibri"/>
        </w:rPr>
        <w:t xml:space="preserve"> / A161579, </w:t>
      </w:r>
      <w:r w:rsidR="0060210B">
        <w:rPr>
          <w:rFonts w:eastAsia="Calibri"/>
        </w:rPr>
        <w:t>A</w:t>
      </w:r>
      <w:r>
        <w:rPr>
          <w:rFonts w:eastAsia="Calibri"/>
        </w:rPr>
        <w:t>161644</w:t>
      </w:r>
    </w:p>
    <w:p w14:paraId="04B80F4E" w14:textId="319F22BD" w:rsidR="001A410C" w:rsidRPr="0048404A" w:rsidRDefault="00C6573A" w:rsidP="001A410C">
      <w:r w:rsidRPr="0048404A">
        <w:lastRenderedPageBreak/>
        <w:t>A1</w:t>
      </w:r>
      <w:r>
        <w:t xml:space="preserve">61579, </w:t>
      </w:r>
      <w:r w:rsidR="007840F1">
        <w:t>A</w:t>
      </w:r>
      <w:r>
        <w:t>161644</w:t>
      </w:r>
      <w:r w:rsidRPr="0048404A">
        <w:t xml:space="preserve"> / </w:t>
      </w:r>
      <w:r>
        <w:t>People v. Garcia &amp; Scott</w:t>
      </w:r>
    </w:p>
    <w:p w14:paraId="242FD04C" w14:textId="77777777" w:rsidR="001A410C" w:rsidRPr="0048404A" w:rsidRDefault="001A410C" w:rsidP="001A410C"/>
    <w:p w14:paraId="5956A67C" w14:textId="2280F16B" w:rsidR="001A410C" w:rsidRPr="0048404A" w:rsidRDefault="00C6573A" w:rsidP="001A410C">
      <w:r w:rsidRPr="0048404A">
        <w:t>Trial Court:</w:t>
      </w:r>
      <w:r w:rsidRPr="0048404A">
        <w:tab/>
      </w:r>
      <w:r>
        <w:t xml:space="preserve">  Alameda County Superior Court</w:t>
      </w:r>
    </w:p>
    <w:p w14:paraId="6C3DC9B2" w14:textId="77777777" w:rsidR="001A410C" w:rsidRPr="0048404A" w:rsidRDefault="001A410C" w:rsidP="001A410C"/>
    <w:p w14:paraId="196FAC06" w14:textId="5CEAADDF" w:rsidR="001A410C" w:rsidRPr="0048404A" w:rsidRDefault="00C6573A" w:rsidP="001A410C">
      <w:r w:rsidRPr="0048404A">
        <w:t>Trial Judge:</w:t>
      </w:r>
      <w:r>
        <w:t xml:space="preserve">  </w:t>
      </w:r>
      <w:r w:rsidRPr="0048404A">
        <w:t xml:space="preserve">Hon. </w:t>
      </w:r>
      <w:r>
        <w:t>Mark A. McCannon</w:t>
      </w:r>
    </w:p>
    <w:p w14:paraId="6C272D7B" w14:textId="77777777" w:rsidR="001A410C" w:rsidRPr="0048404A" w:rsidRDefault="001A410C" w:rsidP="001A410C"/>
    <w:p w14:paraId="3608B694" w14:textId="7166E0B3" w:rsidR="001A410C" w:rsidRPr="0048404A" w:rsidRDefault="00C6573A" w:rsidP="001A410C">
      <w:r w:rsidRPr="0048404A">
        <w:t>Counsel:</w:t>
      </w:r>
      <w:r>
        <w:t xml:space="preserve">  </w:t>
      </w:r>
      <w:r w:rsidR="00CB1325">
        <w:t xml:space="preserve">Kathy </w:t>
      </w:r>
      <w:r w:rsidR="00E61DE3">
        <w:t>R</w:t>
      </w:r>
      <w:r w:rsidR="00CB1325">
        <w:t xml:space="preserve">. Moreno, Solomon Wollack; By Appointment of the First District Court of Appeal under the First District Appellate Project, for </w:t>
      </w:r>
      <w:r w:rsidR="00FE1D5C">
        <w:t>Appellants</w:t>
      </w:r>
      <w:r w:rsidR="00CB1325">
        <w:t xml:space="preserve">. </w:t>
      </w:r>
    </w:p>
    <w:p w14:paraId="07511F04" w14:textId="77777777" w:rsidR="001A410C" w:rsidRPr="0048404A" w:rsidRDefault="001A410C" w:rsidP="001A410C"/>
    <w:p w14:paraId="14510D94" w14:textId="1917A2A3" w:rsidR="001A410C" w:rsidRPr="00C96CCF" w:rsidRDefault="00C6573A" w:rsidP="00C96CCF">
      <w:r>
        <w:t>Rob Bonta, Attorney General, Lance E. Winters, Chief Assistant Attorney General, Jeffrey M. Laurence, Senior Assis</w:t>
      </w:r>
      <w:r>
        <w:t>tant Attorney General, Catherine A</w:t>
      </w:r>
      <w:r w:rsidR="00E61DE3">
        <w:t>.</w:t>
      </w:r>
      <w:r>
        <w:t xml:space="preserve"> Rivlin, Supervising Deputy Attorney General, and Bruce M. Slavin, Deputy Attorney General, for Respondent. </w:t>
      </w:r>
    </w:p>
    <w:sectPr w:rsidR="001A410C" w:rsidRPr="00C96CCF" w:rsidSect="0040705C">
      <w:pgSz w:w="12240" w:h="15840"/>
      <w:pgMar w:top="1440" w:right="1440" w:bottom="1440" w:left="1440" w:header="0" w:footer="759"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BBBC" w14:textId="77777777" w:rsidR="00000000" w:rsidRDefault="00C6573A">
      <w:pPr>
        <w:spacing w:line="240" w:lineRule="auto"/>
      </w:pPr>
      <w:r>
        <w:separator/>
      </w:r>
    </w:p>
  </w:endnote>
  <w:endnote w:type="continuationSeparator" w:id="0">
    <w:p w14:paraId="767D036B" w14:textId="77777777" w:rsidR="00000000" w:rsidRDefault="00C65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2F0" w14:textId="074038FB" w:rsidR="00C520E3" w:rsidRDefault="00C6573A"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4592">
      <w:rPr>
        <w:rStyle w:val="PageNumber"/>
        <w:noProof/>
      </w:rPr>
      <w:t>2</w:t>
    </w:r>
    <w:r>
      <w:rPr>
        <w:rStyle w:val="PageNumber"/>
      </w:rPr>
      <w:fldChar w:fldCharType="end"/>
    </w:r>
  </w:p>
  <w:p w14:paraId="6FCEB4AF" w14:textId="77777777" w:rsidR="00C520E3" w:rsidRDefault="00C52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D50" w14:textId="18DC7DB2" w:rsidR="00C520E3" w:rsidRDefault="00C6573A"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0D241C" w14:textId="77777777" w:rsidR="00C520E3" w:rsidRDefault="00C5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1DE0" w14:textId="77777777" w:rsidR="00305E77" w:rsidRDefault="00C6573A" w:rsidP="00C520E3">
      <w:pPr>
        <w:spacing w:line="240" w:lineRule="auto"/>
      </w:pPr>
      <w:r>
        <w:separator/>
      </w:r>
    </w:p>
  </w:footnote>
  <w:footnote w:type="continuationSeparator" w:id="0">
    <w:p w14:paraId="2288A73D" w14:textId="77777777" w:rsidR="00305E77" w:rsidRDefault="00C6573A" w:rsidP="00C520E3">
      <w:pPr>
        <w:spacing w:line="240" w:lineRule="auto"/>
      </w:pPr>
      <w:r>
        <w:continuationSeparator/>
      </w:r>
    </w:p>
  </w:footnote>
  <w:footnote w:id="1">
    <w:p w14:paraId="349A3BA2" w14:textId="77777777" w:rsidR="00252B71" w:rsidRDefault="00C6573A" w:rsidP="00252B71">
      <w:pPr>
        <w:pStyle w:val="FootnoteText"/>
        <w:ind w:firstLine="720"/>
      </w:pPr>
      <w:r>
        <w:rPr>
          <w:rStyle w:val="FootnoteReference"/>
        </w:rPr>
        <w:t>*</w:t>
      </w:r>
      <w:r>
        <w:t xml:space="preserve"> Pursuant to California Rules of Court, rules 8.1105(b) and 8.1110, this opinion is certified for publicati</w:t>
      </w:r>
      <w:r>
        <w:t xml:space="preserve">on with the exception of parts: </w:t>
      </w:r>
      <w:r w:rsidRPr="000E3801">
        <w:t>C, D., E., and F.</w:t>
      </w:r>
    </w:p>
    <w:p w14:paraId="1BEE9038" w14:textId="77777777" w:rsidR="00252B71" w:rsidRDefault="00252B71" w:rsidP="00252B71">
      <w:pPr>
        <w:pStyle w:val="FootnoteText"/>
      </w:pPr>
    </w:p>
  </w:footnote>
  <w:footnote w:id="2">
    <w:p w14:paraId="603F95C0" w14:textId="3EDA0FB2" w:rsidR="001A05AD" w:rsidRDefault="00C6573A" w:rsidP="00214546">
      <w:pPr>
        <w:pStyle w:val="FootnoteText"/>
        <w:ind w:firstLine="720"/>
      </w:pPr>
      <w:r>
        <w:rPr>
          <w:rStyle w:val="FootnoteReference"/>
        </w:rPr>
        <w:t>*</w:t>
      </w:r>
      <w:r>
        <w:t xml:space="preserve"> Pursuant to California Rules of Court, rules 8.1105(b) and 8.1110, this opinion is certified for publication with the exception of part</w:t>
      </w:r>
      <w:r w:rsidR="001A410C">
        <w:t xml:space="preserve">s: </w:t>
      </w:r>
      <w:r w:rsidR="000E3801" w:rsidRPr="000E3801">
        <w:t xml:space="preserve">C, </w:t>
      </w:r>
      <w:r w:rsidR="001A410C" w:rsidRPr="000E3801">
        <w:t>D.</w:t>
      </w:r>
      <w:r w:rsidRPr="000E3801">
        <w:t>,</w:t>
      </w:r>
      <w:r w:rsidR="001A410C" w:rsidRPr="000E3801">
        <w:t xml:space="preserve"> E., and F.</w:t>
      </w:r>
    </w:p>
  </w:footnote>
  <w:footnote w:id="3">
    <w:p w14:paraId="47013EA3" w14:textId="06799E60" w:rsidR="007F158E" w:rsidRPr="002D57BE" w:rsidRDefault="00C6573A" w:rsidP="004923AE">
      <w:pPr>
        <w:pStyle w:val="FootnoteText"/>
        <w:spacing w:after="120"/>
        <w:ind w:firstLine="720"/>
      </w:pPr>
      <w:r w:rsidRPr="002D57BE">
        <w:rPr>
          <w:rStyle w:val="FootnoteReference"/>
        </w:rPr>
        <w:footnoteRef/>
      </w:r>
      <w:r w:rsidRPr="002D57BE">
        <w:t xml:space="preserve"> All further statutory references are to the P</w:t>
      </w:r>
      <w:r w:rsidRPr="002D57BE">
        <w:t>enal Code unless otherwise noted.</w:t>
      </w:r>
    </w:p>
  </w:footnote>
  <w:footnote w:id="4">
    <w:p w14:paraId="0D139407" w14:textId="1310EEBA" w:rsidR="002C4B1B" w:rsidRPr="002D57BE" w:rsidRDefault="00C6573A" w:rsidP="004923AE">
      <w:pPr>
        <w:pStyle w:val="FootnoteText"/>
        <w:ind w:firstLine="720"/>
      </w:pPr>
      <w:r w:rsidRPr="002D57BE">
        <w:rPr>
          <w:rStyle w:val="FootnoteReference"/>
        </w:rPr>
        <w:footnoteRef/>
      </w:r>
      <w:r w:rsidRPr="002D57BE">
        <w:t xml:space="preserve"> </w:t>
      </w:r>
      <w:r w:rsidR="004A10C5" w:rsidRPr="002D57BE">
        <w:t xml:space="preserve">During Velasco’s testimony of </w:t>
      </w:r>
      <w:r w:rsidR="009F3606" w:rsidRPr="002D57BE">
        <w:t>Vazquez begging for his life</w:t>
      </w:r>
      <w:r w:rsidR="004A10C5" w:rsidRPr="002D57BE">
        <w:t xml:space="preserve">, </w:t>
      </w:r>
      <w:r w:rsidR="00265BDE" w:rsidRPr="002D57BE">
        <w:t xml:space="preserve">one juror became emotional </w:t>
      </w:r>
      <w:r w:rsidR="003120C5" w:rsidRPr="002D57BE">
        <w:t xml:space="preserve">and </w:t>
      </w:r>
      <w:r w:rsidR="00953A5D" w:rsidRPr="002D57BE">
        <w:t>began to cry</w:t>
      </w:r>
      <w:r w:rsidR="003120C5" w:rsidRPr="002D57BE">
        <w:t xml:space="preserve">.  </w:t>
      </w:r>
      <w:r w:rsidR="009F3606" w:rsidRPr="002D57BE">
        <w:t xml:space="preserve">The trial court took a brief recess. </w:t>
      </w:r>
      <w:r w:rsidR="00F45FC1" w:rsidRPr="002D57BE">
        <w:t xml:space="preserve"> The court noted </w:t>
      </w:r>
      <w:r w:rsidR="00A35B55" w:rsidRPr="002D57BE">
        <w:t xml:space="preserve">to counsel </w:t>
      </w:r>
      <w:r w:rsidR="00F45FC1" w:rsidRPr="002D57BE">
        <w:t>during the recess that the juror started to cry</w:t>
      </w:r>
      <w:r w:rsidR="00953A5D" w:rsidRPr="002D57BE">
        <w:t xml:space="preserve"> when Velasco “seemed to get emotional about what happened to Mr. Vazquez.” </w:t>
      </w:r>
    </w:p>
  </w:footnote>
  <w:footnote w:id="5">
    <w:p w14:paraId="19D88F72" w14:textId="52315E6F" w:rsidR="00E65C5E" w:rsidRPr="002D57BE" w:rsidRDefault="00C6573A" w:rsidP="004923AE">
      <w:pPr>
        <w:pStyle w:val="FootnoteText"/>
        <w:ind w:firstLine="720"/>
      </w:pPr>
      <w:r w:rsidRPr="002D57BE">
        <w:rPr>
          <w:rStyle w:val="FootnoteReference"/>
        </w:rPr>
        <w:footnoteRef/>
      </w:r>
      <w:r w:rsidRPr="002D57BE">
        <w:t xml:space="preserve"> </w:t>
      </w:r>
      <w:r w:rsidR="005A67CC" w:rsidRPr="002D57BE">
        <w:t>A</w:t>
      </w:r>
      <w:r w:rsidR="00E03B27" w:rsidRPr="002D57BE">
        <w:t xml:space="preserve"> new</w:t>
      </w:r>
      <w:r w:rsidR="00F6577C" w:rsidRPr="002D57BE">
        <w:t xml:space="preserve"> </w:t>
      </w:r>
      <w:r w:rsidR="00175E5A" w:rsidRPr="002D57BE">
        <w:t>foreperson</w:t>
      </w:r>
      <w:r w:rsidR="00E03B27" w:rsidRPr="002D57BE">
        <w:t xml:space="preserve"> informed</w:t>
      </w:r>
      <w:r w:rsidR="00175E5A" w:rsidRPr="002D57BE">
        <w:t xml:space="preserve"> th</w:t>
      </w:r>
      <w:r w:rsidR="00F6577C" w:rsidRPr="002D57BE">
        <w:t>e court that the jury had reached a verdict.</w:t>
      </w:r>
      <w:r w:rsidR="00D41E5E">
        <w:t xml:space="preserve"> </w:t>
      </w:r>
      <w:r w:rsidR="00F6577C" w:rsidRPr="002D57BE">
        <w:t xml:space="preserve"> When </w:t>
      </w:r>
      <w:r w:rsidR="00E03B27" w:rsidRPr="002D57BE">
        <w:t xml:space="preserve">the court </w:t>
      </w:r>
      <w:r w:rsidR="001E6D9A" w:rsidRPr="002D57BE">
        <w:t xml:space="preserve">inquired about </w:t>
      </w:r>
      <w:r w:rsidR="00534392" w:rsidRPr="002D57BE">
        <w:t>switching forepersons</w:t>
      </w:r>
      <w:r w:rsidR="00F6577C" w:rsidRPr="002D57BE">
        <w:t xml:space="preserve">, the foreperson </w:t>
      </w:r>
      <w:r w:rsidR="001E6D9A" w:rsidRPr="002D57BE">
        <w:t>responded</w:t>
      </w:r>
      <w:r w:rsidR="00F6577C" w:rsidRPr="002D57BE">
        <w:t xml:space="preserve"> </w:t>
      </w:r>
      <w:r w:rsidR="00E03B27" w:rsidRPr="002D57BE">
        <w:t xml:space="preserve">that it was “a group decision.” </w:t>
      </w:r>
    </w:p>
  </w:footnote>
  <w:footnote w:id="6">
    <w:p w14:paraId="568699E6" w14:textId="221FBC5D" w:rsidR="00B57061" w:rsidRPr="002D57BE" w:rsidRDefault="00C6573A" w:rsidP="004923AE">
      <w:pPr>
        <w:pStyle w:val="FootnoteText"/>
        <w:spacing w:after="120"/>
        <w:ind w:firstLine="720"/>
      </w:pPr>
      <w:r w:rsidRPr="002D57BE">
        <w:rPr>
          <w:rStyle w:val="FootnoteReference"/>
        </w:rPr>
        <w:footnoteRef/>
      </w:r>
      <w:r w:rsidR="006C1AAA" w:rsidRPr="002D57BE">
        <w:t xml:space="preserve"> Examples of structural errors include the denial of the right to counsel, trial by a biased judge, racial discrimination in grand jury selection, and the denial of the right to a public trial.  (</w:t>
      </w:r>
      <w:r w:rsidR="006C1AAA" w:rsidRPr="002D57BE">
        <w:rPr>
          <w:i/>
          <w:iCs/>
        </w:rPr>
        <w:t>Neder v. U.S.</w:t>
      </w:r>
      <w:r w:rsidR="006C1AAA" w:rsidRPr="002D57BE">
        <w:t xml:space="preserve"> (1999) 527 U.S. 1, 8.)  </w:t>
      </w:r>
    </w:p>
  </w:footnote>
  <w:footnote w:id="7">
    <w:p w14:paraId="69D42067" w14:textId="0BFD3C3D" w:rsidR="00DE0035" w:rsidRPr="002D57BE" w:rsidRDefault="00C6573A" w:rsidP="004923AE">
      <w:pPr>
        <w:pStyle w:val="FootnoteText"/>
        <w:ind w:firstLine="720"/>
      </w:pPr>
      <w:r w:rsidRPr="002D57BE">
        <w:rPr>
          <w:rStyle w:val="FootnoteReference"/>
        </w:rPr>
        <w:footnoteRef/>
      </w:r>
      <w:r w:rsidRPr="002D57BE">
        <w:t xml:space="preserve"> At the </w:t>
      </w:r>
      <w:r w:rsidRPr="002D57BE">
        <w:t xml:space="preserve">start of trial, counsel stipulated that the jurors may be deemed to have been admonished at each adjournment whether or not the admonition </w:t>
      </w:r>
      <w:r w:rsidR="000E3EA7" w:rsidRPr="002D57BE">
        <w:t>was</w:t>
      </w:r>
      <w:r w:rsidRPr="002D57BE">
        <w:t xml:space="preserve"> repeated in full each time. </w:t>
      </w:r>
    </w:p>
  </w:footnote>
  <w:footnote w:id="8">
    <w:p w14:paraId="1733F406" w14:textId="3C3A9863" w:rsidR="008B12D5" w:rsidRPr="002D57BE" w:rsidRDefault="00C6573A" w:rsidP="004923AE">
      <w:pPr>
        <w:pStyle w:val="FootnoteText"/>
        <w:spacing w:after="120"/>
        <w:ind w:firstLine="720"/>
      </w:pPr>
      <w:r w:rsidRPr="002D57BE">
        <w:rPr>
          <w:rStyle w:val="FootnoteReference"/>
        </w:rPr>
        <w:footnoteRef/>
      </w:r>
      <w:r w:rsidRPr="002D57BE">
        <w:t xml:space="preserve"> For example, in </w:t>
      </w:r>
      <w:r w:rsidRPr="002D57BE">
        <w:rPr>
          <w:i/>
          <w:iCs/>
        </w:rPr>
        <w:t>People v. Clark</w:t>
      </w:r>
      <w:r w:rsidRPr="002D57BE">
        <w:t xml:space="preserve"> (2011) 52 Cal.4th 856, our high court held that a failure to explicitly instruct the jury at each adjournment not to view or listen to media coverage of the trial did not violate the defendant’s due process </w:t>
      </w:r>
      <w:r w:rsidR="00553372" w:rsidRPr="002D57BE">
        <w:t>rights</w:t>
      </w:r>
      <w:r w:rsidR="009026B0" w:rsidRPr="002D57BE">
        <w:t xml:space="preserve"> </w:t>
      </w:r>
      <w:r w:rsidRPr="002D57BE">
        <w:t>where the trial court generally advised t</w:t>
      </w:r>
      <w:r w:rsidRPr="002D57BE">
        <w:t>he jurors not to speak to anyone or express any opinions during trial in accordance with section 1122.  (</w:t>
      </w:r>
      <w:r w:rsidRPr="002D57BE">
        <w:rPr>
          <w:i/>
          <w:iCs/>
        </w:rPr>
        <w:t xml:space="preserve">Id. </w:t>
      </w:r>
      <w:r w:rsidRPr="002D57BE">
        <w:t>at pp. 955</w:t>
      </w:r>
      <w:r w:rsidR="002161A7" w:rsidRPr="002D57BE">
        <w:t>–</w:t>
      </w:r>
      <w:r w:rsidRPr="002D57BE">
        <w:t>956.)</w:t>
      </w:r>
    </w:p>
  </w:footnote>
  <w:footnote w:id="9">
    <w:p w14:paraId="45938174" w14:textId="371A8966" w:rsidR="00C96CCF" w:rsidRPr="002D57BE" w:rsidRDefault="00C6573A" w:rsidP="00C96CCF">
      <w:pPr>
        <w:pStyle w:val="FootnoteText"/>
        <w:spacing w:after="120"/>
        <w:ind w:firstLine="720"/>
      </w:pPr>
      <w:r w:rsidRPr="002D57BE">
        <w:rPr>
          <w:rStyle w:val="FootnoteReference"/>
        </w:rPr>
        <w:footnoteRef/>
      </w:r>
      <w:r w:rsidRPr="002D57BE">
        <w:t xml:space="preserve"> At oral argument, Scott’s counsel asserted that the trial court erred by telling the jurors not to access the internet at all an</w:t>
      </w:r>
      <w:r w:rsidRPr="002D57BE">
        <w:t>d suggested that this type of order was nearly impossible for jurors to comply with, especially during a pandemic.  Even</w:t>
      </w:r>
      <w:r w:rsidR="00E76D71" w:rsidRPr="002D57BE">
        <w:t xml:space="preserve"> if the court’s order may have been overbroad, there is nothing in the record to indicate that any jurors were unable or unwilling to comply with it. </w:t>
      </w:r>
    </w:p>
  </w:footnote>
  <w:footnote w:id="10">
    <w:p w14:paraId="770BBFEE" w14:textId="2EF4E8EE" w:rsidR="006620A6" w:rsidRPr="002D57BE" w:rsidRDefault="00C6573A" w:rsidP="00006D96">
      <w:pPr>
        <w:pStyle w:val="FootnoteText"/>
        <w:ind w:firstLine="720"/>
      </w:pPr>
      <w:r w:rsidRPr="002D57BE">
        <w:rPr>
          <w:rStyle w:val="FootnoteReference"/>
        </w:rPr>
        <w:footnoteRef/>
      </w:r>
      <w:r w:rsidRPr="002D57BE">
        <w:t xml:space="preserve"> </w:t>
      </w:r>
      <w:r w:rsidR="00453D44" w:rsidRPr="002D57BE">
        <w:t xml:space="preserve">Of course, </w:t>
      </w:r>
      <w:r w:rsidR="00282896" w:rsidRPr="002D57BE">
        <w:t>“</w:t>
      </w:r>
      <w:r w:rsidR="00453D44" w:rsidRPr="002D57BE">
        <w:t>[a]</w:t>
      </w:r>
      <w:r w:rsidR="00282896" w:rsidRPr="002D57BE">
        <w:t xml:space="preserve"> court must indulge a strong presumption that counsel’s</w:t>
      </w:r>
      <w:r w:rsidR="008A1455" w:rsidRPr="002D57BE">
        <w:t xml:space="preserve"> conduct falls within the wide range of reasonable professional assistance.”  (</w:t>
      </w:r>
      <w:r w:rsidR="008A1455" w:rsidRPr="002D57BE">
        <w:rPr>
          <w:i/>
          <w:iCs/>
        </w:rPr>
        <w:t>Strickland v. Washington</w:t>
      </w:r>
      <w:r w:rsidR="008A1455" w:rsidRPr="002D57BE">
        <w:t xml:space="preserve"> (1984) 466 U.S. 668,</w:t>
      </w:r>
      <w:r w:rsidR="00517D3A" w:rsidRPr="002D57BE">
        <w:t xml:space="preserve"> 6</w:t>
      </w:r>
      <w:r w:rsidR="004B20FA" w:rsidRPr="002D57BE">
        <w:t>8</w:t>
      </w:r>
      <w:r w:rsidR="00517D3A" w:rsidRPr="002D57BE">
        <w:t>9.)</w:t>
      </w:r>
      <w:r w:rsidR="008A1455" w:rsidRPr="002D57BE">
        <w:t xml:space="preserve"> </w:t>
      </w:r>
      <w:r w:rsidR="00282896" w:rsidRPr="002D57BE">
        <w:t xml:space="preserve"> </w:t>
      </w:r>
      <w:r w:rsidR="003C046A" w:rsidRPr="002D57BE">
        <w:t>Here,</w:t>
      </w:r>
      <w:r w:rsidR="00A400F5" w:rsidRPr="002D57BE">
        <w:t xml:space="preserve"> tr</w:t>
      </w:r>
      <w:r w:rsidR="003E1C47" w:rsidRPr="002D57BE">
        <w:t xml:space="preserve">ial counsel may have had any number of strategic reasons for </w:t>
      </w:r>
      <w:r w:rsidR="00E25AB6" w:rsidRPr="002D57BE">
        <w:t xml:space="preserve">not </w:t>
      </w:r>
      <w:r w:rsidR="003C046A" w:rsidRPr="002D57BE">
        <w:t>raising an objection</w:t>
      </w:r>
      <w:r w:rsidR="003E1C47" w:rsidRPr="002D57BE">
        <w:t xml:space="preserve">.  Counsel were present and </w:t>
      </w:r>
      <w:r w:rsidR="00245C55" w:rsidRPr="002D57BE">
        <w:t xml:space="preserve">able to </w:t>
      </w:r>
      <w:r w:rsidR="00A400F5" w:rsidRPr="002D57BE">
        <w:t>(</w:t>
      </w:r>
      <w:r w:rsidR="003E1C47" w:rsidRPr="002D57BE">
        <w:t>1) observe the jurors while the trial court questioned them</w:t>
      </w:r>
      <w:r w:rsidR="00A400F5" w:rsidRPr="002D57BE">
        <w:t>;</w:t>
      </w:r>
      <w:r w:rsidR="003E1C47" w:rsidRPr="002D57BE">
        <w:t xml:space="preserve"> </w:t>
      </w:r>
      <w:r w:rsidR="00A400F5" w:rsidRPr="002D57BE">
        <w:t>(</w:t>
      </w:r>
      <w:r w:rsidR="003E1C47" w:rsidRPr="002D57BE">
        <w:t>2) see first-hand what protocols the court had employed to ensure the safety of jurors</w:t>
      </w:r>
      <w:r w:rsidR="00245C55" w:rsidRPr="002D57BE">
        <w:t xml:space="preserve">; </w:t>
      </w:r>
      <w:r w:rsidR="003E1C47" w:rsidRPr="002D57BE">
        <w:t xml:space="preserve">and </w:t>
      </w:r>
      <w:r w:rsidR="00245C55" w:rsidRPr="002D57BE">
        <w:t>(</w:t>
      </w:r>
      <w:r w:rsidR="003E1C47" w:rsidRPr="002D57BE">
        <w:t>3) consider whether it was in their clients’ best interest</w:t>
      </w:r>
      <w:r w:rsidR="00245C55" w:rsidRPr="002D57BE">
        <w:t>s</w:t>
      </w:r>
      <w:r w:rsidR="003E1C47" w:rsidRPr="002D57BE">
        <w:t xml:space="preserve"> to return to square one and wait in jail until </w:t>
      </w:r>
      <w:r w:rsidR="00F44DBC" w:rsidRPr="002D57BE">
        <w:t>a new trial date</w:t>
      </w:r>
      <w:r w:rsidR="003E1C47" w:rsidRPr="002D57BE">
        <w:t xml:space="preserve"> could be secured or, instead, to go forward.  Counsel may have</w:t>
      </w:r>
      <w:r w:rsidR="003C046A" w:rsidRPr="002D57BE">
        <w:t xml:space="preserve"> also</w:t>
      </w:r>
      <w:r w:rsidR="003E1C47" w:rsidRPr="002D57BE">
        <w:t xml:space="preserve"> concluded for strategic reasons </w:t>
      </w:r>
      <w:r w:rsidR="00296D6D" w:rsidRPr="002D57BE">
        <w:t xml:space="preserve">that </w:t>
      </w:r>
      <w:r w:rsidR="00DE1EFB" w:rsidRPr="002D57BE">
        <w:t>it was advantageous for</w:t>
      </w:r>
      <w:r w:rsidR="003E1C47" w:rsidRPr="002D57BE">
        <w:t xml:space="preserve"> the jury </w:t>
      </w:r>
      <w:r w:rsidR="00DE1EFB" w:rsidRPr="002D57BE">
        <w:t>to have</w:t>
      </w:r>
      <w:r w:rsidR="003E1C47" w:rsidRPr="002D57BE">
        <w:t xml:space="preserve"> heard the prosecution’s evidence months before in </w:t>
      </w:r>
      <w:r w:rsidR="00296D6D" w:rsidRPr="002D57BE">
        <w:t xml:space="preserve">the </w:t>
      </w:r>
      <w:r w:rsidR="003E1C47" w:rsidRPr="002D57BE">
        <w:t xml:space="preserve">hopes </w:t>
      </w:r>
      <w:r w:rsidR="00296D6D" w:rsidRPr="002D57BE">
        <w:t>that the</w:t>
      </w:r>
      <w:r w:rsidR="003E1C47" w:rsidRPr="002D57BE">
        <w:t xml:space="preserve"> jurors’ memories </w:t>
      </w:r>
      <w:r w:rsidR="00B85D50" w:rsidRPr="002D57BE">
        <w:t xml:space="preserve">of </w:t>
      </w:r>
      <w:r w:rsidR="00A85859" w:rsidRPr="002D57BE">
        <w:t>it</w:t>
      </w:r>
      <w:r w:rsidR="00B85D50" w:rsidRPr="002D57BE">
        <w:t xml:space="preserve"> </w:t>
      </w:r>
      <w:r w:rsidR="00FC1829" w:rsidRPr="002D57BE">
        <w:t xml:space="preserve">would have </w:t>
      </w:r>
      <w:r w:rsidR="00B85D50" w:rsidRPr="002D57BE">
        <w:t>faded.</w:t>
      </w:r>
      <w:r w:rsidR="003E1C47" w:rsidRPr="002D57BE">
        <w:t xml:space="preserve">  We will not second-guess counsel’s strategic choices and presume they did their best under very trying</w:t>
      </w:r>
      <w:r w:rsidR="00FC1829" w:rsidRPr="002D57BE">
        <w:t xml:space="preserve"> and unusual</w:t>
      </w:r>
      <w:r w:rsidR="003E1C47" w:rsidRPr="002D57BE">
        <w:t xml:space="preserve"> circumstances.</w:t>
      </w:r>
    </w:p>
    <w:p w14:paraId="7307B0A8" w14:textId="77777777" w:rsidR="00561A2D" w:rsidRPr="002D57BE" w:rsidRDefault="00561A2D" w:rsidP="007827D0">
      <w:pPr>
        <w:pStyle w:val="FootnoteText"/>
        <w:ind w:firstLine="720"/>
      </w:pPr>
    </w:p>
  </w:footnote>
  <w:footnote w:id="11">
    <w:p w14:paraId="7731C1B3" w14:textId="07D7179B" w:rsidR="004D1FBA" w:rsidRPr="002D57BE" w:rsidRDefault="00C6573A" w:rsidP="007827D0">
      <w:pPr>
        <w:pStyle w:val="FootnoteText"/>
        <w:ind w:firstLine="720"/>
      </w:pPr>
      <w:r w:rsidRPr="002D57BE">
        <w:rPr>
          <w:rStyle w:val="FootnoteReference"/>
        </w:rPr>
        <w:footnoteRef/>
      </w:r>
      <w:r w:rsidRPr="002D57BE">
        <w:t xml:space="preserve"> At oral argument, </w:t>
      </w:r>
      <w:r w:rsidR="002F3CF0" w:rsidRPr="002D57BE">
        <w:t>Scott’s counsel</w:t>
      </w:r>
      <w:r w:rsidRPr="002D57BE">
        <w:t xml:space="preserve"> was asked whether there was any extensive media coverage of </w:t>
      </w:r>
      <w:r w:rsidR="00E6488B" w:rsidRPr="002D57BE">
        <w:t xml:space="preserve">this case.  Counsel did not know and could only speculate that there was likely some local coverage. </w:t>
      </w:r>
    </w:p>
  </w:footnote>
  <w:footnote w:id="12">
    <w:p w14:paraId="569E8CA6" w14:textId="77777777" w:rsidR="00C96CCF" w:rsidRDefault="00C6573A" w:rsidP="007827D0">
      <w:pPr>
        <w:pStyle w:val="FootnoteText"/>
        <w:ind w:firstLine="720"/>
      </w:pPr>
      <w:r w:rsidRPr="002D57BE">
        <w:rPr>
          <w:rStyle w:val="FootnoteReference"/>
        </w:rPr>
        <w:footnoteRef/>
      </w:r>
      <w:r w:rsidRPr="002D57BE">
        <w:t xml:space="preserve"> This comports with the rationale that life without the po</w:t>
      </w:r>
      <w:r w:rsidRPr="002D57BE">
        <w:t>ssibility of parole is “reserved for crimes of the most heinous nature” that includes special circumstance murder.  (</w:t>
      </w:r>
      <w:r w:rsidRPr="002D57BE">
        <w:rPr>
          <w:i/>
          <w:iCs/>
        </w:rPr>
        <w:t>In re Williams, supra</w:t>
      </w:r>
      <w:r w:rsidRPr="002D57BE">
        <w:t xml:space="preserve">, 57 Cal.App.5th at </w:t>
      </w:r>
    </w:p>
    <w:p w14:paraId="17A7BF2F" w14:textId="77777777" w:rsidR="00C96CCF" w:rsidRDefault="00C6573A" w:rsidP="00C96CCF">
      <w:pPr>
        <w:pStyle w:val="FootnoteText"/>
      </w:pPr>
      <w:r w:rsidRPr="002D57BE">
        <w:t>p. 436.)  “The Legislature rationally judged this crime to be more severe and more deserving of l</w:t>
      </w:r>
      <w:r w:rsidRPr="002D57BE">
        <w:t xml:space="preserve">ifetime punishment than nonspecial circumstance </w:t>
      </w:r>
    </w:p>
    <w:p w14:paraId="7889B08A" w14:textId="1B86A655" w:rsidR="00C60B5C" w:rsidRPr="002D57BE" w:rsidRDefault="00C6573A" w:rsidP="00C96CCF">
      <w:pPr>
        <w:pStyle w:val="FootnoteText"/>
      </w:pPr>
      <w:r w:rsidRPr="002D57BE">
        <w:t>first-degree murder.”  (</w:t>
      </w:r>
      <w:r w:rsidRPr="002D57BE">
        <w:rPr>
          <w:i/>
          <w:iCs/>
        </w:rPr>
        <w:t>Id.</w:t>
      </w:r>
      <w:r w:rsidRPr="002D57BE">
        <w:t>)</w:t>
      </w:r>
    </w:p>
  </w:footnote>
  <w:footnote w:id="13">
    <w:p w14:paraId="09A140BD" w14:textId="0498B992" w:rsidR="005B5DC9" w:rsidRDefault="00C6573A" w:rsidP="007827D0">
      <w:pPr>
        <w:pStyle w:val="FootnoteText"/>
        <w:ind w:firstLine="720"/>
      </w:pPr>
      <w:r w:rsidRPr="002D57BE">
        <w:rPr>
          <w:rStyle w:val="FootnoteReference"/>
        </w:rPr>
        <w:footnoteRef/>
      </w:r>
      <w:r w:rsidRPr="002D57BE">
        <w:t xml:space="preserve"> </w:t>
      </w:r>
      <w:r w:rsidR="00273F96" w:rsidRPr="002D57BE">
        <w:t xml:space="preserve">Prior to oral argument, </w:t>
      </w:r>
      <w:r w:rsidR="008D5017" w:rsidRPr="002D57BE">
        <w:t xml:space="preserve">Scott’s attorney </w:t>
      </w:r>
      <w:r w:rsidR="00D54A93" w:rsidRPr="002D57BE">
        <w:t>alerted us to Senate Bill No. 300 (</w:t>
      </w:r>
      <w:r w:rsidR="00D10D86" w:rsidRPr="002D57BE">
        <w:t>2021</w:t>
      </w:r>
      <w:r w:rsidR="004432DC" w:rsidRPr="002D57BE">
        <w:t>–</w:t>
      </w:r>
      <w:r w:rsidR="00D553F2" w:rsidRPr="002D57BE">
        <w:t xml:space="preserve">2022 Reg. Sess.) which, </w:t>
      </w:r>
      <w:r w:rsidR="0097692C" w:rsidRPr="002D57BE">
        <w:t xml:space="preserve">if passed, would repeal section </w:t>
      </w:r>
      <w:r w:rsidR="00EE53AF" w:rsidRPr="002D57BE">
        <w:t xml:space="preserve">1385.1. </w:t>
      </w:r>
      <w:r w:rsidR="005C035E" w:rsidRPr="002D57BE">
        <w:t xml:space="preserve"> </w:t>
      </w:r>
      <w:r w:rsidR="006B4A76" w:rsidRPr="002D57BE">
        <w:t>However, a</w:t>
      </w:r>
      <w:r w:rsidR="005C035E" w:rsidRPr="002D57BE">
        <w:t xml:space="preserve">s of August 29, 2022, </w:t>
      </w:r>
      <w:r w:rsidR="004D518E" w:rsidRPr="002D57BE">
        <w:t>this bill was ordered to inactive file.</w:t>
      </w:r>
      <w:r w:rsidR="00677E34" w:rsidRPr="002D57BE">
        <w:t xml:space="preserve">  </w:t>
      </w:r>
      <w:r w:rsidR="00384DD4" w:rsidRPr="002D57BE">
        <w:t>Consequently, it does not impact our analysis.</w:t>
      </w:r>
      <w:r w:rsidR="00384DD4">
        <w:t xml:space="preserve"> </w:t>
      </w:r>
      <w:r w:rsidR="00BA3509">
        <w:t xml:space="preserve"> </w:t>
      </w:r>
    </w:p>
  </w:footnote>
  <w:footnote w:id="14">
    <w:p w14:paraId="2B9CC13C" w14:textId="77777777" w:rsidR="00860783" w:rsidRPr="00052551" w:rsidRDefault="00C6573A" w:rsidP="00860783">
      <w:pPr>
        <w:pStyle w:val="FootnoteText"/>
        <w:rPr>
          <w:szCs w:val="26"/>
        </w:rPr>
      </w:pPr>
      <w:r>
        <w:rPr>
          <w:rStyle w:val="FootnoteReference"/>
          <w:szCs w:val="26"/>
        </w:rPr>
        <w:tab/>
        <w:t>*</w:t>
      </w:r>
      <w:r>
        <w:rPr>
          <w:szCs w:val="26"/>
        </w:rPr>
        <w:t xml:space="preserve"> Retired Associate Justice of the Court of Appeal, Fifth Appellate District, assigned by the Chief Justice pursuant to article VI, section 6 o</w:t>
      </w:r>
      <w:r>
        <w:rPr>
          <w:szCs w:val="26"/>
        </w:rPr>
        <w:t>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AE3"/>
    <w:multiLevelType w:val="hybridMultilevel"/>
    <w:tmpl w:val="AEF8CFEE"/>
    <w:lvl w:ilvl="0" w:tplc="504263F8">
      <w:start w:val="1"/>
      <w:numFmt w:val="lowerRoman"/>
      <w:lvlText w:val="%1."/>
      <w:lvlJc w:val="right"/>
      <w:pPr>
        <w:ind w:left="2520" w:hanging="180"/>
      </w:pPr>
    </w:lvl>
    <w:lvl w:ilvl="1" w:tplc="754EAF2E" w:tentative="1">
      <w:start w:val="1"/>
      <w:numFmt w:val="lowerLetter"/>
      <w:lvlText w:val="%2."/>
      <w:lvlJc w:val="left"/>
      <w:pPr>
        <w:ind w:left="1440" w:hanging="360"/>
      </w:pPr>
    </w:lvl>
    <w:lvl w:ilvl="2" w:tplc="E856EFBE" w:tentative="1">
      <w:start w:val="1"/>
      <w:numFmt w:val="lowerRoman"/>
      <w:lvlText w:val="%3."/>
      <w:lvlJc w:val="right"/>
      <w:pPr>
        <w:ind w:left="2160" w:hanging="180"/>
      </w:pPr>
    </w:lvl>
    <w:lvl w:ilvl="3" w:tplc="F38CE8C0" w:tentative="1">
      <w:start w:val="1"/>
      <w:numFmt w:val="decimal"/>
      <w:lvlText w:val="%4."/>
      <w:lvlJc w:val="left"/>
      <w:pPr>
        <w:ind w:left="2880" w:hanging="360"/>
      </w:pPr>
    </w:lvl>
    <w:lvl w:ilvl="4" w:tplc="9662B52E" w:tentative="1">
      <w:start w:val="1"/>
      <w:numFmt w:val="lowerLetter"/>
      <w:lvlText w:val="%5."/>
      <w:lvlJc w:val="left"/>
      <w:pPr>
        <w:ind w:left="3600" w:hanging="360"/>
      </w:pPr>
    </w:lvl>
    <w:lvl w:ilvl="5" w:tplc="44967F80" w:tentative="1">
      <w:start w:val="1"/>
      <w:numFmt w:val="lowerRoman"/>
      <w:lvlText w:val="%6."/>
      <w:lvlJc w:val="right"/>
      <w:pPr>
        <w:ind w:left="4320" w:hanging="180"/>
      </w:pPr>
    </w:lvl>
    <w:lvl w:ilvl="6" w:tplc="C5B07E5C" w:tentative="1">
      <w:start w:val="1"/>
      <w:numFmt w:val="decimal"/>
      <w:lvlText w:val="%7."/>
      <w:lvlJc w:val="left"/>
      <w:pPr>
        <w:ind w:left="5040" w:hanging="360"/>
      </w:pPr>
    </w:lvl>
    <w:lvl w:ilvl="7" w:tplc="15360B26" w:tentative="1">
      <w:start w:val="1"/>
      <w:numFmt w:val="lowerLetter"/>
      <w:lvlText w:val="%8."/>
      <w:lvlJc w:val="left"/>
      <w:pPr>
        <w:ind w:left="5760" w:hanging="360"/>
      </w:pPr>
    </w:lvl>
    <w:lvl w:ilvl="8" w:tplc="09207C20" w:tentative="1">
      <w:start w:val="1"/>
      <w:numFmt w:val="lowerRoman"/>
      <w:lvlText w:val="%9."/>
      <w:lvlJc w:val="right"/>
      <w:pPr>
        <w:ind w:left="6480" w:hanging="180"/>
      </w:pPr>
    </w:lvl>
  </w:abstractNum>
  <w:abstractNum w:abstractNumId="1" w15:restartNumberingAfterBreak="0">
    <w:nsid w:val="06AA5CF5"/>
    <w:multiLevelType w:val="hybridMultilevel"/>
    <w:tmpl w:val="1DE2BF84"/>
    <w:lvl w:ilvl="0" w:tplc="F53CAE78">
      <w:start w:val="3"/>
      <w:numFmt w:val="bullet"/>
      <w:lvlText w:val="-"/>
      <w:lvlJc w:val="left"/>
      <w:pPr>
        <w:ind w:left="1080" w:hanging="360"/>
      </w:pPr>
      <w:rPr>
        <w:rFonts w:ascii="Century Schoolbook" w:eastAsia="Century Schoolbook" w:hAnsi="Century Schoolbook" w:cstheme="minorBidi" w:hint="default"/>
      </w:rPr>
    </w:lvl>
    <w:lvl w:ilvl="1" w:tplc="C000628A" w:tentative="1">
      <w:start w:val="1"/>
      <w:numFmt w:val="bullet"/>
      <w:lvlText w:val="o"/>
      <w:lvlJc w:val="left"/>
      <w:pPr>
        <w:ind w:left="1800" w:hanging="360"/>
      </w:pPr>
      <w:rPr>
        <w:rFonts w:ascii="Courier New" w:hAnsi="Courier New" w:cs="Courier New" w:hint="default"/>
      </w:rPr>
    </w:lvl>
    <w:lvl w:ilvl="2" w:tplc="B7A4C1D4" w:tentative="1">
      <w:start w:val="1"/>
      <w:numFmt w:val="bullet"/>
      <w:lvlText w:val=""/>
      <w:lvlJc w:val="left"/>
      <w:pPr>
        <w:ind w:left="2520" w:hanging="360"/>
      </w:pPr>
      <w:rPr>
        <w:rFonts w:ascii="Wingdings" w:hAnsi="Wingdings" w:hint="default"/>
      </w:rPr>
    </w:lvl>
    <w:lvl w:ilvl="3" w:tplc="861EC64A" w:tentative="1">
      <w:start w:val="1"/>
      <w:numFmt w:val="bullet"/>
      <w:lvlText w:val=""/>
      <w:lvlJc w:val="left"/>
      <w:pPr>
        <w:ind w:left="3240" w:hanging="360"/>
      </w:pPr>
      <w:rPr>
        <w:rFonts w:ascii="Symbol" w:hAnsi="Symbol" w:hint="default"/>
      </w:rPr>
    </w:lvl>
    <w:lvl w:ilvl="4" w:tplc="A3B60FDA" w:tentative="1">
      <w:start w:val="1"/>
      <w:numFmt w:val="bullet"/>
      <w:lvlText w:val="o"/>
      <w:lvlJc w:val="left"/>
      <w:pPr>
        <w:ind w:left="3960" w:hanging="360"/>
      </w:pPr>
      <w:rPr>
        <w:rFonts w:ascii="Courier New" w:hAnsi="Courier New" w:cs="Courier New" w:hint="default"/>
      </w:rPr>
    </w:lvl>
    <w:lvl w:ilvl="5" w:tplc="6C36EF3C" w:tentative="1">
      <w:start w:val="1"/>
      <w:numFmt w:val="bullet"/>
      <w:lvlText w:val=""/>
      <w:lvlJc w:val="left"/>
      <w:pPr>
        <w:ind w:left="4680" w:hanging="360"/>
      </w:pPr>
      <w:rPr>
        <w:rFonts w:ascii="Wingdings" w:hAnsi="Wingdings" w:hint="default"/>
      </w:rPr>
    </w:lvl>
    <w:lvl w:ilvl="6" w:tplc="7E60CF82" w:tentative="1">
      <w:start w:val="1"/>
      <w:numFmt w:val="bullet"/>
      <w:lvlText w:val=""/>
      <w:lvlJc w:val="left"/>
      <w:pPr>
        <w:ind w:left="5400" w:hanging="360"/>
      </w:pPr>
      <w:rPr>
        <w:rFonts w:ascii="Symbol" w:hAnsi="Symbol" w:hint="default"/>
      </w:rPr>
    </w:lvl>
    <w:lvl w:ilvl="7" w:tplc="659CA536" w:tentative="1">
      <w:start w:val="1"/>
      <w:numFmt w:val="bullet"/>
      <w:lvlText w:val="o"/>
      <w:lvlJc w:val="left"/>
      <w:pPr>
        <w:ind w:left="6120" w:hanging="360"/>
      </w:pPr>
      <w:rPr>
        <w:rFonts w:ascii="Courier New" w:hAnsi="Courier New" w:cs="Courier New" w:hint="default"/>
      </w:rPr>
    </w:lvl>
    <w:lvl w:ilvl="8" w:tplc="944826C4" w:tentative="1">
      <w:start w:val="1"/>
      <w:numFmt w:val="bullet"/>
      <w:lvlText w:val=""/>
      <w:lvlJc w:val="left"/>
      <w:pPr>
        <w:ind w:left="6840" w:hanging="360"/>
      </w:pPr>
      <w:rPr>
        <w:rFonts w:ascii="Wingdings" w:hAnsi="Wingdings" w:hint="default"/>
      </w:rPr>
    </w:lvl>
  </w:abstractNum>
  <w:abstractNum w:abstractNumId="2" w15:restartNumberingAfterBreak="0">
    <w:nsid w:val="08EC683B"/>
    <w:multiLevelType w:val="hybridMultilevel"/>
    <w:tmpl w:val="8CE80CC8"/>
    <w:lvl w:ilvl="0" w:tplc="70E68B1A">
      <w:start w:val="2"/>
      <w:numFmt w:val="bullet"/>
      <w:lvlText w:val="-"/>
      <w:lvlJc w:val="left"/>
      <w:pPr>
        <w:ind w:left="1480" w:hanging="360"/>
      </w:pPr>
      <w:rPr>
        <w:rFonts w:ascii="Century Schoolbook" w:eastAsia="Century Schoolbook" w:hAnsi="Century Schoolbook" w:cstheme="minorBidi" w:hint="default"/>
      </w:rPr>
    </w:lvl>
    <w:lvl w:ilvl="1" w:tplc="E20C9A3E" w:tentative="1">
      <w:start w:val="1"/>
      <w:numFmt w:val="bullet"/>
      <w:lvlText w:val="o"/>
      <w:lvlJc w:val="left"/>
      <w:pPr>
        <w:ind w:left="2200" w:hanging="360"/>
      </w:pPr>
      <w:rPr>
        <w:rFonts w:ascii="Courier New" w:hAnsi="Courier New" w:cs="Courier New" w:hint="default"/>
      </w:rPr>
    </w:lvl>
    <w:lvl w:ilvl="2" w:tplc="B3C4F276" w:tentative="1">
      <w:start w:val="1"/>
      <w:numFmt w:val="bullet"/>
      <w:lvlText w:val=""/>
      <w:lvlJc w:val="left"/>
      <w:pPr>
        <w:ind w:left="2920" w:hanging="360"/>
      </w:pPr>
      <w:rPr>
        <w:rFonts w:ascii="Wingdings" w:hAnsi="Wingdings" w:hint="default"/>
      </w:rPr>
    </w:lvl>
    <w:lvl w:ilvl="3" w:tplc="34AC1444" w:tentative="1">
      <w:start w:val="1"/>
      <w:numFmt w:val="bullet"/>
      <w:lvlText w:val=""/>
      <w:lvlJc w:val="left"/>
      <w:pPr>
        <w:ind w:left="3640" w:hanging="360"/>
      </w:pPr>
      <w:rPr>
        <w:rFonts w:ascii="Symbol" w:hAnsi="Symbol" w:hint="default"/>
      </w:rPr>
    </w:lvl>
    <w:lvl w:ilvl="4" w:tplc="B9A69D7A" w:tentative="1">
      <w:start w:val="1"/>
      <w:numFmt w:val="bullet"/>
      <w:lvlText w:val="o"/>
      <w:lvlJc w:val="left"/>
      <w:pPr>
        <w:ind w:left="4360" w:hanging="360"/>
      </w:pPr>
      <w:rPr>
        <w:rFonts w:ascii="Courier New" w:hAnsi="Courier New" w:cs="Courier New" w:hint="default"/>
      </w:rPr>
    </w:lvl>
    <w:lvl w:ilvl="5" w:tplc="E758E0D8" w:tentative="1">
      <w:start w:val="1"/>
      <w:numFmt w:val="bullet"/>
      <w:lvlText w:val=""/>
      <w:lvlJc w:val="left"/>
      <w:pPr>
        <w:ind w:left="5080" w:hanging="360"/>
      </w:pPr>
      <w:rPr>
        <w:rFonts w:ascii="Wingdings" w:hAnsi="Wingdings" w:hint="default"/>
      </w:rPr>
    </w:lvl>
    <w:lvl w:ilvl="6" w:tplc="532AE162" w:tentative="1">
      <w:start w:val="1"/>
      <w:numFmt w:val="bullet"/>
      <w:lvlText w:val=""/>
      <w:lvlJc w:val="left"/>
      <w:pPr>
        <w:ind w:left="5800" w:hanging="360"/>
      </w:pPr>
      <w:rPr>
        <w:rFonts w:ascii="Symbol" w:hAnsi="Symbol" w:hint="default"/>
      </w:rPr>
    </w:lvl>
    <w:lvl w:ilvl="7" w:tplc="00FE55DE" w:tentative="1">
      <w:start w:val="1"/>
      <w:numFmt w:val="bullet"/>
      <w:lvlText w:val="o"/>
      <w:lvlJc w:val="left"/>
      <w:pPr>
        <w:ind w:left="6520" w:hanging="360"/>
      </w:pPr>
      <w:rPr>
        <w:rFonts w:ascii="Courier New" w:hAnsi="Courier New" w:cs="Courier New" w:hint="default"/>
      </w:rPr>
    </w:lvl>
    <w:lvl w:ilvl="8" w:tplc="89EA7978" w:tentative="1">
      <w:start w:val="1"/>
      <w:numFmt w:val="bullet"/>
      <w:lvlText w:val=""/>
      <w:lvlJc w:val="left"/>
      <w:pPr>
        <w:ind w:left="7240" w:hanging="360"/>
      </w:pPr>
      <w:rPr>
        <w:rFonts w:ascii="Wingdings" w:hAnsi="Wingdings" w:hint="default"/>
      </w:rPr>
    </w:lvl>
  </w:abstractNum>
  <w:abstractNum w:abstractNumId="3" w15:restartNumberingAfterBreak="0">
    <w:nsid w:val="0C1F21DD"/>
    <w:multiLevelType w:val="hybridMultilevel"/>
    <w:tmpl w:val="AB2C5228"/>
    <w:lvl w:ilvl="0" w:tplc="30162EA0">
      <w:start w:val="1"/>
      <w:numFmt w:val="bullet"/>
      <w:lvlText w:val=""/>
      <w:lvlJc w:val="left"/>
      <w:pPr>
        <w:ind w:left="1440" w:hanging="360"/>
      </w:pPr>
      <w:rPr>
        <w:rFonts w:ascii="Symbol" w:hAnsi="Symbol" w:hint="default"/>
      </w:rPr>
    </w:lvl>
    <w:lvl w:ilvl="1" w:tplc="136ED90E" w:tentative="1">
      <w:start w:val="1"/>
      <w:numFmt w:val="bullet"/>
      <w:lvlText w:val="o"/>
      <w:lvlJc w:val="left"/>
      <w:pPr>
        <w:ind w:left="2160" w:hanging="360"/>
      </w:pPr>
      <w:rPr>
        <w:rFonts w:ascii="Courier New" w:hAnsi="Courier New" w:cs="Courier New" w:hint="default"/>
      </w:rPr>
    </w:lvl>
    <w:lvl w:ilvl="2" w:tplc="929AC738" w:tentative="1">
      <w:start w:val="1"/>
      <w:numFmt w:val="bullet"/>
      <w:lvlText w:val=""/>
      <w:lvlJc w:val="left"/>
      <w:pPr>
        <w:ind w:left="2880" w:hanging="360"/>
      </w:pPr>
      <w:rPr>
        <w:rFonts w:ascii="Wingdings" w:hAnsi="Wingdings" w:hint="default"/>
      </w:rPr>
    </w:lvl>
    <w:lvl w:ilvl="3" w:tplc="3E1C1446" w:tentative="1">
      <w:start w:val="1"/>
      <w:numFmt w:val="bullet"/>
      <w:lvlText w:val=""/>
      <w:lvlJc w:val="left"/>
      <w:pPr>
        <w:ind w:left="3600" w:hanging="360"/>
      </w:pPr>
      <w:rPr>
        <w:rFonts w:ascii="Symbol" w:hAnsi="Symbol" w:hint="default"/>
      </w:rPr>
    </w:lvl>
    <w:lvl w:ilvl="4" w:tplc="22A8EF1A" w:tentative="1">
      <w:start w:val="1"/>
      <w:numFmt w:val="bullet"/>
      <w:lvlText w:val="o"/>
      <w:lvlJc w:val="left"/>
      <w:pPr>
        <w:ind w:left="4320" w:hanging="360"/>
      </w:pPr>
      <w:rPr>
        <w:rFonts w:ascii="Courier New" w:hAnsi="Courier New" w:cs="Courier New" w:hint="default"/>
      </w:rPr>
    </w:lvl>
    <w:lvl w:ilvl="5" w:tplc="7DF80FCE" w:tentative="1">
      <w:start w:val="1"/>
      <w:numFmt w:val="bullet"/>
      <w:lvlText w:val=""/>
      <w:lvlJc w:val="left"/>
      <w:pPr>
        <w:ind w:left="5040" w:hanging="360"/>
      </w:pPr>
      <w:rPr>
        <w:rFonts w:ascii="Wingdings" w:hAnsi="Wingdings" w:hint="default"/>
      </w:rPr>
    </w:lvl>
    <w:lvl w:ilvl="6" w:tplc="C7743A92" w:tentative="1">
      <w:start w:val="1"/>
      <w:numFmt w:val="bullet"/>
      <w:lvlText w:val=""/>
      <w:lvlJc w:val="left"/>
      <w:pPr>
        <w:ind w:left="5760" w:hanging="360"/>
      </w:pPr>
      <w:rPr>
        <w:rFonts w:ascii="Symbol" w:hAnsi="Symbol" w:hint="default"/>
      </w:rPr>
    </w:lvl>
    <w:lvl w:ilvl="7" w:tplc="4A3C5E38" w:tentative="1">
      <w:start w:val="1"/>
      <w:numFmt w:val="bullet"/>
      <w:lvlText w:val="o"/>
      <w:lvlJc w:val="left"/>
      <w:pPr>
        <w:ind w:left="6480" w:hanging="360"/>
      </w:pPr>
      <w:rPr>
        <w:rFonts w:ascii="Courier New" w:hAnsi="Courier New" w:cs="Courier New" w:hint="default"/>
      </w:rPr>
    </w:lvl>
    <w:lvl w:ilvl="8" w:tplc="EA3C8CE6" w:tentative="1">
      <w:start w:val="1"/>
      <w:numFmt w:val="bullet"/>
      <w:lvlText w:val=""/>
      <w:lvlJc w:val="left"/>
      <w:pPr>
        <w:ind w:left="7200" w:hanging="360"/>
      </w:pPr>
      <w:rPr>
        <w:rFonts w:ascii="Wingdings" w:hAnsi="Wingdings" w:hint="default"/>
      </w:rPr>
    </w:lvl>
  </w:abstractNum>
  <w:abstractNum w:abstractNumId="4" w15:restartNumberingAfterBreak="0">
    <w:nsid w:val="1B540D89"/>
    <w:multiLevelType w:val="hybridMultilevel"/>
    <w:tmpl w:val="E2C2D2D6"/>
    <w:lvl w:ilvl="0" w:tplc="46685FBE">
      <w:start w:val="1"/>
      <w:numFmt w:val="lowerRoman"/>
      <w:lvlText w:val="%1."/>
      <w:lvlJc w:val="right"/>
      <w:pPr>
        <w:ind w:left="2520" w:hanging="180"/>
      </w:pPr>
    </w:lvl>
    <w:lvl w:ilvl="1" w:tplc="871A7EFE" w:tentative="1">
      <w:start w:val="1"/>
      <w:numFmt w:val="lowerLetter"/>
      <w:lvlText w:val="%2."/>
      <w:lvlJc w:val="left"/>
      <w:pPr>
        <w:ind w:left="1440" w:hanging="360"/>
      </w:pPr>
    </w:lvl>
    <w:lvl w:ilvl="2" w:tplc="43C67276" w:tentative="1">
      <w:start w:val="1"/>
      <w:numFmt w:val="lowerRoman"/>
      <w:lvlText w:val="%3."/>
      <w:lvlJc w:val="right"/>
      <w:pPr>
        <w:ind w:left="2160" w:hanging="180"/>
      </w:pPr>
    </w:lvl>
    <w:lvl w:ilvl="3" w:tplc="8B6E5E08" w:tentative="1">
      <w:start w:val="1"/>
      <w:numFmt w:val="decimal"/>
      <w:lvlText w:val="%4."/>
      <w:lvlJc w:val="left"/>
      <w:pPr>
        <w:ind w:left="2880" w:hanging="360"/>
      </w:pPr>
    </w:lvl>
    <w:lvl w:ilvl="4" w:tplc="ABA8CFF0" w:tentative="1">
      <w:start w:val="1"/>
      <w:numFmt w:val="lowerLetter"/>
      <w:lvlText w:val="%5."/>
      <w:lvlJc w:val="left"/>
      <w:pPr>
        <w:ind w:left="3600" w:hanging="360"/>
      </w:pPr>
    </w:lvl>
    <w:lvl w:ilvl="5" w:tplc="DDEC3AC2" w:tentative="1">
      <w:start w:val="1"/>
      <w:numFmt w:val="lowerRoman"/>
      <w:lvlText w:val="%6."/>
      <w:lvlJc w:val="right"/>
      <w:pPr>
        <w:ind w:left="4320" w:hanging="180"/>
      </w:pPr>
    </w:lvl>
    <w:lvl w:ilvl="6" w:tplc="826AACD2" w:tentative="1">
      <w:start w:val="1"/>
      <w:numFmt w:val="decimal"/>
      <w:lvlText w:val="%7."/>
      <w:lvlJc w:val="left"/>
      <w:pPr>
        <w:ind w:left="5040" w:hanging="360"/>
      </w:pPr>
    </w:lvl>
    <w:lvl w:ilvl="7" w:tplc="8902715C" w:tentative="1">
      <w:start w:val="1"/>
      <w:numFmt w:val="lowerLetter"/>
      <w:lvlText w:val="%8."/>
      <w:lvlJc w:val="left"/>
      <w:pPr>
        <w:ind w:left="5760" w:hanging="360"/>
      </w:pPr>
    </w:lvl>
    <w:lvl w:ilvl="8" w:tplc="77DEEA10" w:tentative="1">
      <w:start w:val="1"/>
      <w:numFmt w:val="lowerRoman"/>
      <w:lvlText w:val="%9."/>
      <w:lvlJc w:val="right"/>
      <w:pPr>
        <w:ind w:left="6480" w:hanging="180"/>
      </w:pPr>
    </w:lvl>
  </w:abstractNum>
  <w:abstractNum w:abstractNumId="5" w15:restartNumberingAfterBreak="0">
    <w:nsid w:val="1E6D6B41"/>
    <w:multiLevelType w:val="hybridMultilevel"/>
    <w:tmpl w:val="B156D99C"/>
    <w:lvl w:ilvl="0" w:tplc="7E702FD4">
      <w:start w:val="1"/>
      <w:numFmt w:val="decimal"/>
      <w:lvlText w:val="%1."/>
      <w:lvlJc w:val="left"/>
      <w:pPr>
        <w:ind w:left="1800" w:hanging="360"/>
      </w:pPr>
      <w:rPr>
        <w:i w:val="0"/>
        <w:iCs w:val="0"/>
      </w:rPr>
    </w:lvl>
    <w:lvl w:ilvl="1" w:tplc="3DAEC352" w:tentative="1">
      <w:start w:val="1"/>
      <w:numFmt w:val="lowerLetter"/>
      <w:lvlText w:val="%2."/>
      <w:lvlJc w:val="left"/>
      <w:pPr>
        <w:ind w:left="1440" w:hanging="360"/>
      </w:pPr>
    </w:lvl>
    <w:lvl w:ilvl="2" w:tplc="C4AA5106" w:tentative="1">
      <w:start w:val="1"/>
      <w:numFmt w:val="lowerRoman"/>
      <w:lvlText w:val="%3."/>
      <w:lvlJc w:val="right"/>
      <w:pPr>
        <w:ind w:left="2160" w:hanging="180"/>
      </w:pPr>
    </w:lvl>
    <w:lvl w:ilvl="3" w:tplc="AB905398" w:tentative="1">
      <w:start w:val="1"/>
      <w:numFmt w:val="decimal"/>
      <w:lvlText w:val="%4."/>
      <w:lvlJc w:val="left"/>
      <w:pPr>
        <w:ind w:left="2880" w:hanging="360"/>
      </w:pPr>
    </w:lvl>
    <w:lvl w:ilvl="4" w:tplc="4F087DCA" w:tentative="1">
      <w:start w:val="1"/>
      <w:numFmt w:val="lowerLetter"/>
      <w:lvlText w:val="%5."/>
      <w:lvlJc w:val="left"/>
      <w:pPr>
        <w:ind w:left="3600" w:hanging="360"/>
      </w:pPr>
    </w:lvl>
    <w:lvl w:ilvl="5" w:tplc="3C76D398" w:tentative="1">
      <w:start w:val="1"/>
      <w:numFmt w:val="lowerRoman"/>
      <w:lvlText w:val="%6."/>
      <w:lvlJc w:val="right"/>
      <w:pPr>
        <w:ind w:left="4320" w:hanging="180"/>
      </w:pPr>
    </w:lvl>
    <w:lvl w:ilvl="6" w:tplc="E968E982" w:tentative="1">
      <w:start w:val="1"/>
      <w:numFmt w:val="decimal"/>
      <w:lvlText w:val="%7."/>
      <w:lvlJc w:val="left"/>
      <w:pPr>
        <w:ind w:left="5040" w:hanging="360"/>
      </w:pPr>
    </w:lvl>
    <w:lvl w:ilvl="7" w:tplc="B04A9118" w:tentative="1">
      <w:start w:val="1"/>
      <w:numFmt w:val="lowerLetter"/>
      <w:lvlText w:val="%8."/>
      <w:lvlJc w:val="left"/>
      <w:pPr>
        <w:ind w:left="5760" w:hanging="360"/>
      </w:pPr>
    </w:lvl>
    <w:lvl w:ilvl="8" w:tplc="BFB4071C" w:tentative="1">
      <w:start w:val="1"/>
      <w:numFmt w:val="lowerRoman"/>
      <w:lvlText w:val="%9."/>
      <w:lvlJc w:val="right"/>
      <w:pPr>
        <w:ind w:left="6480" w:hanging="180"/>
      </w:pPr>
    </w:lvl>
  </w:abstractNum>
  <w:abstractNum w:abstractNumId="6" w15:restartNumberingAfterBreak="0">
    <w:nsid w:val="2FE77B42"/>
    <w:multiLevelType w:val="hybridMultilevel"/>
    <w:tmpl w:val="5EA8AF38"/>
    <w:lvl w:ilvl="0" w:tplc="B914AA2C">
      <w:start w:val="2"/>
      <w:numFmt w:val="bullet"/>
      <w:lvlText w:val="-"/>
      <w:lvlJc w:val="left"/>
      <w:pPr>
        <w:ind w:left="1080" w:hanging="360"/>
      </w:pPr>
      <w:rPr>
        <w:rFonts w:ascii="Century Schoolbook" w:eastAsia="Century Schoolbook" w:hAnsi="Century Schoolbook" w:cstheme="minorBidi" w:hint="default"/>
      </w:rPr>
    </w:lvl>
    <w:lvl w:ilvl="1" w:tplc="E80EF89C" w:tentative="1">
      <w:start w:val="1"/>
      <w:numFmt w:val="bullet"/>
      <w:lvlText w:val="o"/>
      <w:lvlJc w:val="left"/>
      <w:pPr>
        <w:ind w:left="1800" w:hanging="360"/>
      </w:pPr>
      <w:rPr>
        <w:rFonts w:ascii="Courier New" w:hAnsi="Courier New" w:cs="Courier New" w:hint="default"/>
      </w:rPr>
    </w:lvl>
    <w:lvl w:ilvl="2" w:tplc="324299EC" w:tentative="1">
      <w:start w:val="1"/>
      <w:numFmt w:val="bullet"/>
      <w:lvlText w:val=""/>
      <w:lvlJc w:val="left"/>
      <w:pPr>
        <w:ind w:left="2520" w:hanging="360"/>
      </w:pPr>
      <w:rPr>
        <w:rFonts w:ascii="Wingdings" w:hAnsi="Wingdings" w:hint="default"/>
      </w:rPr>
    </w:lvl>
    <w:lvl w:ilvl="3" w:tplc="5D10C114" w:tentative="1">
      <w:start w:val="1"/>
      <w:numFmt w:val="bullet"/>
      <w:lvlText w:val=""/>
      <w:lvlJc w:val="left"/>
      <w:pPr>
        <w:ind w:left="3240" w:hanging="360"/>
      </w:pPr>
      <w:rPr>
        <w:rFonts w:ascii="Symbol" w:hAnsi="Symbol" w:hint="default"/>
      </w:rPr>
    </w:lvl>
    <w:lvl w:ilvl="4" w:tplc="96525F1E" w:tentative="1">
      <w:start w:val="1"/>
      <w:numFmt w:val="bullet"/>
      <w:lvlText w:val="o"/>
      <w:lvlJc w:val="left"/>
      <w:pPr>
        <w:ind w:left="3960" w:hanging="360"/>
      </w:pPr>
      <w:rPr>
        <w:rFonts w:ascii="Courier New" w:hAnsi="Courier New" w:cs="Courier New" w:hint="default"/>
      </w:rPr>
    </w:lvl>
    <w:lvl w:ilvl="5" w:tplc="8BE0A3A0" w:tentative="1">
      <w:start w:val="1"/>
      <w:numFmt w:val="bullet"/>
      <w:lvlText w:val=""/>
      <w:lvlJc w:val="left"/>
      <w:pPr>
        <w:ind w:left="4680" w:hanging="360"/>
      </w:pPr>
      <w:rPr>
        <w:rFonts w:ascii="Wingdings" w:hAnsi="Wingdings" w:hint="default"/>
      </w:rPr>
    </w:lvl>
    <w:lvl w:ilvl="6" w:tplc="CF4C3E36" w:tentative="1">
      <w:start w:val="1"/>
      <w:numFmt w:val="bullet"/>
      <w:lvlText w:val=""/>
      <w:lvlJc w:val="left"/>
      <w:pPr>
        <w:ind w:left="5400" w:hanging="360"/>
      </w:pPr>
      <w:rPr>
        <w:rFonts w:ascii="Symbol" w:hAnsi="Symbol" w:hint="default"/>
      </w:rPr>
    </w:lvl>
    <w:lvl w:ilvl="7" w:tplc="1CAC5F30" w:tentative="1">
      <w:start w:val="1"/>
      <w:numFmt w:val="bullet"/>
      <w:lvlText w:val="o"/>
      <w:lvlJc w:val="left"/>
      <w:pPr>
        <w:ind w:left="6120" w:hanging="360"/>
      </w:pPr>
      <w:rPr>
        <w:rFonts w:ascii="Courier New" w:hAnsi="Courier New" w:cs="Courier New" w:hint="default"/>
      </w:rPr>
    </w:lvl>
    <w:lvl w:ilvl="8" w:tplc="1D94FEC4" w:tentative="1">
      <w:start w:val="1"/>
      <w:numFmt w:val="bullet"/>
      <w:lvlText w:val=""/>
      <w:lvlJc w:val="left"/>
      <w:pPr>
        <w:ind w:left="6840" w:hanging="360"/>
      </w:pPr>
      <w:rPr>
        <w:rFonts w:ascii="Wingdings" w:hAnsi="Wingdings" w:hint="default"/>
      </w:rPr>
    </w:lvl>
  </w:abstractNum>
  <w:abstractNum w:abstractNumId="7" w15:restartNumberingAfterBreak="0">
    <w:nsid w:val="3E881F13"/>
    <w:multiLevelType w:val="hybridMultilevel"/>
    <w:tmpl w:val="BD0C06D0"/>
    <w:lvl w:ilvl="0" w:tplc="815E7E78">
      <w:start w:val="23"/>
      <w:numFmt w:val="upperLetter"/>
      <w:lvlText w:val="%1."/>
      <w:lvlJc w:val="left"/>
      <w:pPr>
        <w:ind w:left="120" w:hanging="386"/>
      </w:pPr>
      <w:rPr>
        <w:rFonts w:ascii="Century Schoolbook" w:eastAsia="Century Schoolbook" w:hAnsi="Century Schoolbook" w:hint="default"/>
        <w:i/>
        <w:w w:val="100"/>
        <w:sz w:val="26"/>
        <w:szCs w:val="26"/>
      </w:rPr>
    </w:lvl>
    <w:lvl w:ilvl="1" w:tplc="4D6240C4">
      <w:start w:val="2"/>
      <w:numFmt w:val="upperLetter"/>
      <w:lvlText w:val="%2."/>
      <w:lvlJc w:val="left"/>
      <w:pPr>
        <w:ind w:left="1541" w:hanging="720"/>
      </w:pPr>
      <w:rPr>
        <w:rFonts w:ascii="Century Schoolbook" w:eastAsia="Century Schoolbook" w:hAnsi="Century Schoolbook" w:hint="default"/>
        <w:b/>
        <w:bCs/>
        <w:w w:val="100"/>
        <w:sz w:val="26"/>
        <w:szCs w:val="26"/>
      </w:rPr>
    </w:lvl>
    <w:lvl w:ilvl="2" w:tplc="270673E0">
      <w:start w:val="1"/>
      <w:numFmt w:val="decimal"/>
      <w:lvlText w:val="%3."/>
      <w:lvlJc w:val="left"/>
      <w:pPr>
        <w:ind w:left="1900" w:hanging="795"/>
      </w:pPr>
      <w:rPr>
        <w:rFonts w:ascii="Century Schoolbook" w:eastAsia="Century Schoolbook" w:hAnsi="Century Schoolbook" w:hint="default"/>
        <w:b/>
        <w:bCs/>
        <w:w w:val="100"/>
        <w:sz w:val="26"/>
        <w:szCs w:val="26"/>
      </w:rPr>
    </w:lvl>
    <w:lvl w:ilvl="3" w:tplc="CDA84C28">
      <w:start w:val="1"/>
      <w:numFmt w:val="bullet"/>
      <w:lvlText w:val="•"/>
      <w:lvlJc w:val="left"/>
      <w:pPr>
        <w:ind w:left="2765" w:hanging="795"/>
      </w:pPr>
      <w:rPr>
        <w:rFonts w:hint="default"/>
      </w:rPr>
    </w:lvl>
    <w:lvl w:ilvl="4" w:tplc="115C34F4">
      <w:start w:val="1"/>
      <w:numFmt w:val="bullet"/>
      <w:lvlText w:val="•"/>
      <w:lvlJc w:val="left"/>
      <w:pPr>
        <w:ind w:left="3630" w:hanging="795"/>
      </w:pPr>
      <w:rPr>
        <w:rFonts w:hint="default"/>
      </w:rPr>
    </w:lvl>
    <w:lvl w:ilvl="5" w:tplc="05088566">
      <w:start w:val="1"/>
      <w:numFmt w:val="bullet"/>
      <w:lvlText w:val="•"/>
      <w:lvlJc w:val="left"/>
      <w:pPr>
        <w:ind w:left="4495" w:hanging="795"/>
      </w:pPr>
      <w:rPr>
        <w:rFonts w:hint="default"/>
      </w:rPr>
    </w:lvl>
    <w:lvl w:ilvl="6" w:tplc="1A1C07E0">
      <w:start w:val="1"/>
      <w:numFmt w:val="bullet"/>
      <w:lvlText w:val="•"/>
      <w:lvlJc w:val="left"/>
      <w:pPr>
        <w:ind w:left="5360" w:hanging="795"/>
      </w:pPr>
      <w:rPr>
        <w:rFonts w:hint="default"/>
      </w:rPr>
    </w:lvl>
    <w:lvl w:ilvl="7" w:tplc="7B26DEE0">
      <w:start w:val="1"/>
      <w:numFmt w:val="bullet"/>
      <w:lvlText w:val="•"/>
      <w:lvlJc w:val="left"/>
      <w:pPr>
        <w:ind w:left="6225" w:hanging="795"/>
      </w:pPr>
      <w:rPr>
        <w:rFonts w:hint="default"/>
      </w:rPr>
    </w:lvl>
    <w:lvl w:ilvl="8" w:tplc="DDA4A046">
      <w:start w:val="1"/>
      <w:numFmt w:val="bullet"/>
      <w:lvlText w:val="•"/>
      <w:lvlJc w:val="left"/>
      <w:pPr>
        <w:ind w:left="7090" w:hanging="795"/>
      </w:pPr>
      <w:rPr>
        <w:rFonts w:hint="default"/>
      </w:rPr>
    </w:lvl>
  </w:abstractNum>
  <w:abstractNum w:abstractNumId="8" w15:restartNumberingAfterBreak="0">
    <w:nsid w:val="3EA749F5"/>
    <w:multiLevelType w:val="hybridMultilevel"/>
    <w:tmpl w:val="FA7853F2"/>
    <w:lvl w:ilvl="0" w:tplc="5C9897B4">
      <w:start w:val="16"/>
      <w:numFmt w:val="upperLetter"/>
      <w:lvlText w:val="%1."/>
      <w:lvlJc w:val="left"/>
      <w:pPr>
        <w:ind w:left="438" w:hanging="318"/>
      </w:pPr>
      <w:rPr>
        <w:rFonts w:ascii="Century Schoolbook" w:eastAsia="Century Schoolbook" w:hAnsi="Century Schoolbook" w:hint="default"/>
        <w:i/>
        <w:w w:val="100"/>
        <w:sz w:val="26"/>
        <w:szCs w:val="26"/>
      </w:rPr>
    </w:lvl>
    <w:lvl w:ilvl="1" w:tplc="704A5A16">
      <w:start w:val="3"/>
      <w:numFmt w:val="upperLetter"/>
      <w:lvlText w:val="%2."/>
      <w:lvlJc w:val="left"/>
      <w:pPr>
        <w:ind w:left="1540" w:hanging="720"/>
      </w:pPr>
      <w:rPr>
        <w:rFonts w:ascii="Century Schoolbook" w:eastAsia="Century Schoolbook" w:hAnsi="Century Schoolbook" w:hint="default"/>
        <w:b/>
        <w:bCs/>
        <w:w w:val="100"/>
        <w:sz w:val="26"/>
        <w:szCs w:val="26"/>
      </w:rPr>
    </w:lvl>
    <w:lvl w:ilvl="2" w:tplc="849A8A08">
      <w:start w:val="1"/>
      <w:numFmt w:val="decimal"/>
      <w:lvlText w:val="%3."/>
      <w:lvlJc w:val="left"/>
      <w:pPr>
        <w:ind w:left="1974" w:hanging="435"/>
      </w:pPr>
      <w:rPr>
        <w:rFonts w:ascii="Century Schoolbook" w:eastAsia="Century Schoolbook" w:hAnsi="Century Schoolbook" w:hint="default"/>
        <w:b/>
        <w:bCs/>
        <w:w w:val="100"/>
        <w:sz w:val="26"/>
        <w:szCs w:val="26"/>
      </w:rPr>
    </w:lvl>
    <w:lvl w:ilvl="3" w:tplc="FFBECB70">
      <w:start w:val="1"/>
      <w:numFmt w:val="bullet"/>
      <w:lvlText w:val="•"/>
      <w:lvlJc w:val="left"/>
      <w:pPr>
        <w:ind w:left="2835" w:hanging="435"/>
      </w:pPr>
      <w:rPr>
        <w:rFonts w:hint="default"/>
      </w:rPr>
    </w:lvl>
    <w:lvl w:ilvl="4" w:tplc="FC108E12">
      <w:start w:val="1"/>
      <w:numFmt w:val="bullet"/>
      <w:lvlText w:val="•"/>
      <w:lvlJc w:val="left"/>
      <w:pPr>
        <w:ind w:left="3690" w:hanging="435"/>
      </w:pPr>
      <w:rPr>
        <w:rFonts w:hint="default"/>
      </w:rPr>
    </w:lvl>
    <w:lvl w:ilvl="5" w:tplc="C4266D3A">
      <w:start w:val="1"/>
      <w:numFmt w:val="bullet"/>
      <w:lvlText w:val="•"/>
      <w:lvlJc w:val="left"/>
      <w:pPr>
        <w:ind w:left="4545" w:hanging="435"/>
      </w:pPr>
      <w:rPr>
        <w:rFonts w:hint="default"/>
      </w:rPr>
    </w:lvl>
    <w:lvl w:ilvl="6" w:tplc="AE70996C">
      <w:start w:val="1"/>
      <w:numFmt w:val="bullet"/>
      <w:lvlText w:val="•"/>
      <w:lvlJc w:val="left"/>
      <w:pPr>
        <w:ind w:left="5400" w:hanging="435"/>
      </w:pPr>
      <w:rPr>
        <w:rFonts w:hint="default"/>
      </w:rPr>
    </w:lvl>
    <w:lvl w:ilvl="7" w:tplc="343C6F54">
      <w:start w:val="1"/>
      <w:numFmt w:val="bullet"/>
      <w:lvlText w:val="•"/>
      <w:lvlJc w:val="left"/>
      <w:pPr>
        <w:ind w:left="6255" w:hanging="435"/>
      </w:pPr>
      <w:rPr>
        <w:rFonts w:hint="default"/>
      </w:rPr>
    </w:lvl>
    <w:lvl w:ilvl="8" w:tplc="5C965656">
      <w:start w:val="1"/>
      <w:numFmt w:val="bullet"/>
      <w:lvlText w:val="•"/>
      <w:lvlJc w:val="left"/>
      <w:pPr>
        <w:ind w:left="7110" w:hanging="435"/>
      </w:pPr>
      <w:rPr>
        <w:rFonts w:hint="default"/>
      </w:rPr>
    </w:lvl>
  </w:abstractNum>
  <w:abstractNum w:abstractNumId="9" w15:restartNumberingAfterBreak="0">
    <w:nsid w:val="43DC11C3"/>
    <w:multiLevelType w:val="hybridMultilevel"/>
    <w:tmpl w:val="5354303A"/>
    <w:lvl w:ilvl="0" w:tplc="7CD0A1AA">
      <w:start w:val="1"/>
      <w:numFmt w:val="decimal"/>
      <w:lvlText w:val="%1."/>
      <w:lvlJc w:val="left"/>
      <w:pPr>
        <w:ind w:left="1891" w:hanging="333"/>
      </w:pPr>
      <w:rPr>
        <w:rFonts w:ascii="Century Schoolbook" w:eastAsia="Century Schoolbook" w:hAnsi="Century Schoolbook" w:hint="default"/>
        <w:w w:val="100"/>
        <w:sz w:val="26"/>
        <w:szCs w:val="26"/>
      </w:rPr>
    </w:lvl>
    <w:lvl w:ilvl="1" w:tplc="910056F6">
      <w:start w:val="1"/>
      <w:numFmt w:val="bullet"/>
      <w:lvlText w:val="•"/>
      <w:lvlJc w:val="left"/>
      <w:pPr>
        <w:ind w:left="2598" w:hanging="333"/>
      </w:pPr>
      <w:rPr>
        <w:rFonts w:hint="default"/>
      </w:rPr>
    </w:lvl>
    <w:lvl w:ilvl="2" w:tplc="870EA892">
      <w:start w:val="1"/>
      <w:numFmt w:val="bullet"/>
      <w:lvlText w:val="•"/>
      <w:lvlJc w:val="left"/>
      <w:pPr>
        <w:ind w:left="3296" w:hanging="333"/>
      </w:pPr>
      <w:rPr>
        <w:rFonts w:hint="default"/>
      </w:rPr>
    </w:lvl>
    <w:lvl w:ilvl="3" w:tplc="9208BF20">
      <w:start w:val="1"/>
      <w:numFmt w:val="bullet"/>
      <w:lvlText w:val="•"/>
      <w:lvlJc w:val="left"/>
      <w:pPr>
        <w:ind w:left="3994" w:hanging="333"/>
      </w:pPr>
      <w:rPr>
        <w:rFonts w:hint="default"/>
      </w:rPr>
    </w:lvl>
    <w:lvl w:ilvl="4" w:tplc="D1264256">
      <w:start w:val="1"/>
      <w:numFmt w:val="bullet"/>
      <w:lvlText w:val="•"/>
      <w:lvlJc w:val="left"/>
      <w:pPr>
        <w:ind w:left="4692" w:hanging="333"/>
      </w:pPr>
      <w:rPr>
        <w:rFonts w:hint="default"/>
      </w:rPr>
    </w:lvl>
    <w:lvl w:ilvl="5" w:tplc="3CA04C38">
      <w:start w:val="1"/>
      <w:numFmt w:val="bullet"/>
      <w:lvlText w:val="•"/>
      <w:lvlJc w:val="left"/>
      <w:pPr>
        <w:ind w:left="5390" w:hanging="333"/>
      </w:pPr>
      <w:rPr>
        <w:rFonts w:hint="default"/>
      </w:rPr>
    </w:lvl>
    <w:lvl w:ilvl="6" w:tplc="8EFAA522">
      <w:start w:val="1"/>
      <w:numFmt w:val="bullet"/>
      <w:lvlText w:val="•"/>
      <w:lvlJc w:val="left"/>
      <w:pPr>
        <w:ind w:left="6088" w:hanging="333"/>
      </w:pPr>
      <w:rPr>
        <w:rFonts w:hint="default"/>
      </w:rPr>
    </w:lvl>
    <w:lvl w:ilvl="7" w:tplc="7334082C">
      <w:start w:val="1"/>
      <w:numFmt w:val="bullet"/>
      <w:lvlText w:val="•"/>
      <w:lvlJc w:val="left"/>
      <w:pPr>
        <w:ind w:left="6786" w:hanging="333"/>
      </w:pPr>
      <w:rPr>
        <w:rFonts w:hint="default"/>
      </w:rPr>
    </w:lvl>
    <w:lvl w:ilvl="8" w:tplc="C3981804">
      <w:start w:val="1"/>
      <w:numFmt w:val="bullet"/>
      <w:lvlText w:val="•"/>
      <w:lvlJc w:val="left"/>
      <w:pPr>
        <w:ind w:left="7484" w:hanging="333"/>
      </w:pPr>
      <w:rPr>
        <w:rFonts w:hint="default"/>
      </w:rPr>
    </w:lvl>
  </w:abstractNum>
  <w:abstractNum w:abstractNumId="10" w15:restartNumberingAfterBreak="0">
    <w:nsid w:val="4DB676B5"/>
    <w:multiLevelType w:val="hybridMultilevel"/>
    <w:tmpl w:val="630AF55E"/>
    <w:lvl w:ilvl="0" w:tplc="6E0E7D58">
      <w:start w:val="1"/>
      <w:numFmt w:val="decimal"/>
      <w:lvlText w:val="%1."/>
      <w:lvlJc w:val="left"/>
      <w:pPr>
        <w:ind w:left="1800" w:hanging="360"/>
      </w:pPr>
      <w:rPr>
        <w:rFonts w:hint="default"/>
        <w:i w:val="0"/>
      </w:rPr>
    </w:lvl>
    <w:lvl w:ilvl="1" w:tplc="3352429A" w:tentative="1">
      <w:start w:val="1"/>
      <w:numFmt w:val="lowerLetter"/>
      <w:lvlText w:val="%2."/>
      <w:lvlJc w:val="left"/>
      <w:pPr>
        <w:ind w:left="2520" w:hanging="360"/>
      </w:pPr>
    </w:lvl>
    <w:lvl w:ilvl="2" w:tplc="5AE20E76" w:tentative="1">
      <w:start w:val="1"/>
      <w:numFmt w:val="lowerRoman"/>
      <w:lvlText w:val="%3."/>
      <w:lvlJc w:val="right"/>
      <w:pPr>
        <w:ind w:left="3240" w:hanging="180"/>
      </w:pPr>
    </w:lvl>
    <w:lvl w:ilvl="3" w:tplc="2D104B9E" w:tentative="1">
      <w:start w:val="1"/>
      <w:numFmt w:val="decimal"/>
      <w:lvlText w:val="%4."/>
      <w:lvlJc w:val="left"/>
      <w:pPr>
        <w:ind w:left="3960" w:hanging="360"/>
      </w:pPr>
    </w:lvl>
    <w:lvl w:ilvl="4" w:tplc="7562A254" w:tentative="1">
      <w:start w:val="1"/>
      <w:numFmt w:val="lowerLetter"/>
      <w:lvlText w:val="%5."/>
      <w:lvlJc w:val="left"/>
      <w:pPr>
        <w:ind w:left="4680" w:hanging="360"/>
      </w:pPr>
    </w:lvl>
    <w:lvl w:ilvl="5" w:tplc="14E01BB0" w:tentative="1">
      <w:start w:val="1"/>
      <w:numFmt w:val="lowerRoman"/>
      <w:lvlText w:val="%6."/>
      <w:lvlJc w:val="right"/>
      <w:pPr>
        <w:ind w:left="5400" w:hanging="180"/>
      </w:pPr>
    </w:lvl>
    <w:lvl w:ilvl="6" w:tplc="7A3A9E80" w:tentative="1">
      <w:start w:val="1"/>
      <w:numFmt w:val="decimal"/>
      <w:lvlText w:val="%7."/>
      <w:lvlJc w:val="left"/>
      <w:pPr>
        <w:ind w:left="6120" w:hanging="360"/>
      </w:pPr>
    </w:lvl>
    <w:lvl w:ilvl="7" w:tplc="2570AC04" w:tentative="1">
      <w:start w:val="1"/>
      <w:numFmt w:val="lowerLetter"/>
      <w:lvlText w:val="%8."/>
      <w:lvlJc w:val="left"/>
      <w:pPr>
        <w:ind w:left="6840" w:hanging="360"/>
      </w:pPr>
    </w:lvl>
    <w:lvl w:ilvl="8" w:tplc="C7187A8C" w:tentative="1">
      <w:start w:val="1"/>
      <w:numFmt w:val="lowerRoman"/>
      <w:lvlText w:val="%9."/>
      <w:lvlJc w:val="right"/>
      <w:pPr>
        <w:ind w:left="7560" w:hanging="180"/>
      </w:pPr>
    </w:lvl>
  </w:abstractNum>
  <w:abstractNum w:abstractNumId="11" w15:restartNumberingAfterBreak="0">
    <w:nsid w:val="51167FA7"/>
    <w:multiLevelType w:val="hybridMultilevel"/>
    <w:tmpl w:val="F7AE50BC"/>
    <w:lvl w:ilvl="0" w:tplc="F132CBCA">
      <w:start w:val="1"/>
      <w:numFmt w:val="lowerRoman"/>
      <w:lvlText w:val="%1."/>
      <w:lvlJc w:val="right"/>
      <w:pPr>
        <w:ind w:left="2520" w:hanging="180"/>
      </w:pPr>
    </w:lvl>
    <w:lvl w:ilvl="1" w:tplc="962A6346" w:tentative="1">
      <w:start w:val="1"/>
      <w:numFmt w:val="lowerLetter"/>
      <w:lvlText w:val="%2."/>
      <w:lvlJc w:val="left"/>
      <w:pPr>
        <w:ind w:left="1440" w:hanging="360"/>
      </w:pPr>
    </w:lvl>
    <w:lvl w:ilvl="2" w:tplc="0F0A602E" w:tentative="1">
      <w:start w:val="1"/>
      <w:numFmt w:val="lowerRoman"/>
      <w:lvlText w:val="%3."/>
      <w:lvlJc w:val="right"/>
      <w:pPr>
        <w:ind w:left="2160" w:hanging="180"/>
      </w:pPr>
    </w:lvl>
    <w:lvl w:ilvl="3" w:tplc="2F6CBE92" w:tentative="1">
      <w:start w:val="1"/>
      <w:numFmt w:val="decimal"/>
      <w:lvlText w:val="%4."/>
      <w:lvlJc w:val="left"/>
      <w:pPr>
        <w:ind w:left="2880" w:hanging="360"/>
      </w:pPr>
    </w:lvl>
    <w:lvl w:ilvl="4" w:tplc="77B24458" w:tentative="1">
      <w:start w:val="1"/>
      <w:numFmt w:val="lowerLetter"/>
      <w:lvlText w:val="%5."/>
      <w:lvlJc w:val="left"/>
      <w:pPr>
        <w:ind w:left="3600" w:hanging="360"/>
      </w:pPr>
    </w:lvl>
    <w:lvl w:ilvl="5" w:tplc="3F24D964" w:tentative="1">
      <w:start w:val="1"/>
      <w:numFmt w:val="lowerRoman"/>
      <w:lvlText w:val="%6."/>
      <w:lvlJc w:val="right"/>
      <w:pPr>
        <w:ind w:left="4320" w:hanging="180"/>
      </w:pPr>
    </w:lvl>
    <w:lvl w:ilvl="6" w:tplc="6480EA60" w:tentative="1">
      <w:start w:val="1"/>
      <w:numFmt w:val="decimal"/>
      <w:lvlText w:val="%7."/>
      <w:lvlJc w:val="left"/>
      <w:pPr>
        <w:ind w:left="5040" w:hanging="360"/>
      </w:pPr>
    </w:lvl>
    <w:lvl w:ilvl="7" w:tplc="E4B6BAB0" w:tentative="1">
      <w:start w:val="1"/>
      <w:numFmt w:val="lowerLetter"/>
      <w:lvlText w:val="%8."/>
      <w:lvlJc w:val="left"/>
      <w:pPr>
        <w:ind w:left="5760" w:hanging="360"/>
      </w:pPr>
    </w:lvl>
    <w:lvl w:ilvl="8" w:tplc="A688512C" w:tentative="1">
      <w:start w:val="1"/>
      <w:numFmt w:val="lowerRoman"/>
      <w:lvlText w:val="%9."/>
      <w:lvlJc w:val="right"/>
      <w:pPr>
        <w:ind w:left="6480" w:hanging="180"/>
      </w:pPr>
    </w:lvl>
  </w:abstractNum>
  <w:abstractNum w:abstractNumId="12" w15:restartNumberingAfterBreak="0">
    <w:nsid w:val="533E3DB1"/>
    <w:multiLevelType w:val="hybridMultilevel"/>
    <w:tmpl w:val="E09EAC36"/>
    <w:lvl w:ilvl="0" w:tplc="226A84C4">
      <w:start w:val="1"/>
      <w:numFmt w:val="decimal"/>
      <w:lvlText w:val="%1."/>
      <w:lvlJc w:val="left"/>
      <w:pPr>
        <w:ind w:left="1800" w:hanging="360"/>
      </w:pPr>
      <w:rPr>
        <w:i w:val="0"/>
        <w:iCs w:val="0"/>
      </w:rPr>
    </w:lvl>
    <w:lvl w:ilvl="1" w:tplc="BF84C52E" w:tentative="1">
      <w:start w:val="1"/>
      <w:numFmt w:val="lowerLetter"/>
      <w:lvlText w:val="%2."/>
      <w:lvlJc w:val="left"/>
      <w:pPr>
        <w:ind w:left="1440" w:hanging="360"/>
      </w:pPr>
    </w:lvl>
    <w:lvl w:ilvl="2" w:tplc="F312A4EC" w:tentative="1">
      <w:start w:val="1"/>
      <w:numFmt w:val="lowerRoman"/>
      <w:lvlText w:val="%3."/>
      <w:lvlJc w:val="right"/>
      <w:pPr>
        <w:ind w:left="2160" w:hanging="180"/>
      </w:pPr>
    </w:lvl>
    <w:lvl w:ilvl="3" w:tplc="81B09F2E" w:tentative="1">
      <w:start w:val="1"/>
      <w:numFmt w:val="decimal"/>
      <w:lvlText w:val="%4."/>
      <w:lvlJc w:val="left"/>
      <w:pPr>
        <w:ind w:left="2880" w:hanging="360"/>
      </w:pPr>
    </w:lvl>
    <w:lvl w:ilvl="4" w:tplc="4CE07F8A" w:tentative="1">
      <w:start w:val="1"/>
      <w:numFmt w:val="lowerLetter"/>
      <w:lvlText w:val="%5."/>
      <w:lvlJc w:val="left"/>
      <w:pPr>
        <w:ind w:left="3600" w:hanging="360"/>
      </w:pPr>
    </w:lvl>
    <w:lvl w:ilvl="5" w:tplc="78EED12A" w:tentative="1">
      <w:start w:val="1"/>
      <w:numFmt w:val="lowerRoman"/>
      <w:lvlText w:val="%6."/>
      <w:lvlJc w:val="right"/>
      <w:pPr>
        <w:ind w:left="4320" w:hanging="180"/>
      </w:pPr>
    </w:lvl>
    <w:lvl w:ilvl="6" w:tplc="CB2ABDF4" w:tentative="1">
      <w:start w:val="1"/>
      <w:numFmt w:val="decimal"/>
      <w:lvlText w:val="%7."/>
      <w:lvlJc w:val="left"/>
      <w:pPr>
        <w:ind w:left="5040" w:hanging="360"/>
      </w:pPr>
    </w:lvl>
    <w:lvl w:ilvl="7" w:tplc="DE24ACDA" w:tentative="1">
      <w:start w:val="1"/>
      <w:numFmt w:val="lowerLetter"/>
      <w:lvlText w:val="%8."/>
      <w:lvlJc w:val="left"/>
      <w:pPr>
        <w:ind w:left="5760" w:hanging="360"/>
      </w:pPr>
    </w:lvl>
    <w:lvl w:ilvl="8" w:tplc="DBF01A0C" w:tentative="1">
      <w:start w:val="1"/>
      <w:numFmt w:val="lowerRoman"/>
      <w:lvlText w:val="%9."/>
      <w:lvlJc w:val="right"/>
      <w:pPr>
        <w:ind w:left="6480" w:hanging="180"/>
      </w:pPr>
    </w:lvl>
  </w:abstractNum>
  <w:abstractNum w:abstractNumId="13" w15:restartNumberingAfterBreak="0">
    <w:nsid w:val="537456C3"/>
    <w:multiLevelType w:val="hybridMultilevel"/>
    <w:tmpl w:val="964A39B0"/>
    <w:lvl w:ilvl="0" w:tplc="5CFA7F36">
      <w:start w:val="1"/>
      <w:numFmt w:val="upperLetter"/>
      <w:lvlText w:val="%1."/>
      <w:lvlJc w:val="left"/>
      <w:pPr>
        <w:ind w:left="1120" w:hanging="400"/>
      </w:pPr>
      <w:rPr>
        <w:rFonts w:hint="default"/>
        <w:u w:val="none"/>
      </w:rPr>
    </w:lvl>
    <w:lvl w:ilvl="1" w:tplc="D4C2D52E">
      <w:start w:val="1"/>
      <w:numFmt w:val="decimal"/>
      <w:lvlText w:val="%2."/>
      <w:lvlJc w:val="left"/>
      <w:pPr>
        <w:ind w:left="1800" w:hanging="360"/>
      </w:pPr>
      <w:rPr>
        <w:i w:val="0"/>
        <w:iCs w:val="0"/>
      </w:rPr>
    </w:lvl>
    <w:lvl w:ilvl="2" w:tplc="D58E3A0C">
      <w:start w:val="1"/>
      <w:numFmt w:val="lowerRoman"/>
      <w:lvlText w:val="%3."/>
      <w:lvlJc w:val="right"/>
      <w:pPr>
        <w:ind w:left="2520" w:hanging="180"/>
      </w:pPr>
    </w:lvl>
    <w:lvl w:ilvl="3" w:tplc="51CA2750" w:tentative="1">
      <w:start w:val="1"/>
      <w:numFmt w:val="decimal"/>
      <w:lvlText w:val="%4."/>
      <w:lvlJc w:val="left"/>
      <w:pPr>
        <w:ind w:left="3240" w:hanging="360"/>
      </w:pPr>
    </w:lvl>
    <w:lvl w:ilvl="4" w:tplc="8EF85126" w:tentative="1">
      <w:start w:val="1"/>
      <w:numFmt w:val="lowerLetter"/>
      <w:lvlText w:val="%5."/>
      <w:lvlJc w:val="left"/>
      <w:pPr>
        <w:ind w:left="3960" w:hanging="360"/>
      </w:pPr>
    </w:lvl>
    <w:lvl w:ilvl="5" w:tplc="7D1CFB26" w:tentative="1">
      <w:start w:val="1"/>
      <w:numFmt w:val="lowerRoman"/>
      <w:lvlText w:val="%6."/>
      <w:lvlJc w:val="right"/>
      <w:pPr>
        <w:ind w:left="4680" w:hanging="180"/>
      </w:pPr>
    </w:lvl>
    <w:lvl w:ilvl="6" w:tplc="993C1366" w:tentative="1">
      <w:start w:val="1"/>
      <w:numFmt w:val="decimal"/>
      <w:lvlText w:val="%7."/>
      <w:lvlJc w:val="left"/>
      <w:pPr>
        <w:ind w:left="5400" w:hanging="360"/>
      </w:pPr>
    </w:lvl>
    <w:lvl w:ilvl="7" w:tplc="96BE612C" w:tentative="1">
      <w:start w:val="1"/>
      <w:numFmt w:val="lowerLetter"/>
      <w:lvlText w:val="%8."/>
      <w:lvlJc w:val="left"/>
      <w:pPr>
        <w:ind w:left="6120" w:hanging="360"/>
      </w:pPr>
    </w:lvl>
    <w:lvl w:ilvl="8" w:tplc="72D00142" w:tentative="1">
      <w:start w:val="1"/>
      <w:numFmt w:val="lowerRoman"/>
      <w:lvlText w:val="%9."/>
      <w:lvlJc w:val="right"/>
      <w:pPr>
        <w:ind w:left="6840" w:hanging="180"/>
      </w:pPr>
    </w:lvl>
  </w:abstractNum>
  <w:abstractNum w:abstractNumId="14" w15:restartNumberingAfterBreak="0">
    <w:nsid w:val="563507AF"/>
    <w:multiLevelType w:val="multilevel"/>
    <w:tmpl w:val="07188E28"/>
    <w:lvl w:ilvl="0">
      <w:start w:val="366"/>
      <w:numFmt w:val="decimal"/>
      <w:lvlText w:val="%1"/>
      <w:lvlJc w:val="left"/>
      <w:pPr>
        <w:ind w:left="120" w:hanging="869"/>
      </w:pPr>
      <w:rPr>
        <w:rFonts w:hint="default"/>
      </w:rPr>
    </w:lvl>
    <w:lvl w:ilvl="1">
      <w:start w:val="26"/>
      <w:numFmt w:val="decimal"/>
      <w:lvlText w:val="%1.%2"/>
      <w:lvlJc w:val="left"/>
      <w:pPr>
        <w:ind w:left="120" w:hanging="869"/>
      </w:pPr>
      <w:rPr>
        <w:rFonts w:ascii="Century Schoolbook" w:eastAsia="Century Schoolbook" w:hAnsi="Century Schoolbook" w:hint="default"/>
        <w:w w:val="100"/>
        <w:sz w:val="26"/>
        <w:szCs w:val="26"/>
      </w:rPr>
    </w:lvl>
    <w:lvl w:ilvl="2">
      <w:start w:val="1"/>
      <w:numFmt w:val="upperLetter"/>
      <w:lvlText w:val="%3."/>
      <w:lvlJc w:val="left"/>
      <w:pPr>
        <w:ind w:left="1559" w:hanging="720"/>
      </w:pPr>
      <w:rPr>
        <w:rFonts w:ascii="Century Schoolbook" w:eastAsia="Century Schoolbook" w:hAnsi="Century Schoolbook" w:hint="default"/>
        <w:b/>
        <w:bCs/>
        <w:w w:val="100"/>
        <w:sz w:val="26"/>
        <w:szCs w:val="26"/>
      </w:rPr>
    </w:lvl>
    <w:lvl w:ilvl="3">
      <w:start w:val="1"/>
      <w:numFmt w:val="decimal"/>
      <w:lvlText w:val="%4."/>
      <w:lvlJc w:val="left"/>
      <w:pPr>
        <w:ind w:left="1920" w:hanging="361"/>
      </w:pPr>
      <w:rPr>
        <w:rFonts w:ascii="Century Schoolbook" w:eastAsia="Century Schoolbook" w:hAnsi="Century Schoolbook" w:hint="default"/>
        <w:b/>
        <w:bCs/>
        <w:w w:val="100"/>
        <w:sz w:val="26"/>
        <w:szCs w:val="26"/>
      </w:rPr>
    </w:lvl>
    <w:lvl w:ilvl="4">
      <w:start w:val="1"/>
      <w:numFmt w:val="bullet"/>
      <w:lvlText w:val="•"/>
      <w:lvlJc w:val="left"/>
      <w:pPr>
        <w:ind w:left="3655" w:hanging="361"/>
      </w:pPr>
      <w:rPr>
        <w:rFonts w:hint="default"/>
      </w:rPr>
    </w:lvl>
    <w:lvl w:ilvl="5">
      <w:start w:val="1"/>
      <w:numFmt w:val="bullet"/>
      <w:lvlText w:val="•"/>
      <w:lvlJc w:val="left"/>
      <w:pPr>
        <w:ind w:left="4522" w:hanging="361"/>
      </w:pPr>
      <w:rPr>
        <w:rFonts w:hint="default"/>
      </w:rPr>
    </w:lvl>
    <w:lvl w:ilvl="6">
      <w:start w:val="1"/>
      <w:numFmt w:val="bullet"/>
      <w:lvlText w:val="•"/>
      <w:lvlJc w:val="left"/>
      <w:pPr>
        <w:ind w:left="5390" w:hanging="361"/>
      </w:pPr>
      <w:rPr>
        <w:rFonts w:hint="default"/>
      </w:rPr>
    </w:lvl>
    <w:lvl w:ilvl="7">
      <w:start w:val="1"/>
      <w:numFmt w:val="bullet"/>
      <w:lvlText w:val="•"/>
      <w:lvlJc w:val="left"/>
      <w:pPr>
        <w:ind w:left="6257" w:hanging="361"/>
      </w:pPr>
      <w:rPr>
        <w:rFonts w:hint="default"/>
      </w:rPr>
    </w:lvl>
    <w:lvl w:ilvl="8">
      <w:start w:val="1"/>
      <w:numFmt w:val="bullet"/>
      <w:lvlText w:val="•"/>
      <w:lvlJc w:val="left"/>
      <w:pPr>
        <w:ind w:left="7125" w:hanging="361"/>
      </w:pPr>
      <w:rPr>
        <w:rFonts w:hint="default"/>
      </w:rPr>
    </w:lvl>
  </w:abstractNum>
  <w:abstractNum w:abstractNumId="15" w15:restartNumberingAfterBreak="0">
    <w:nsid w:val="66AC32F6"/>
    <w:multiLevelType w:val="hybridMultilevel"/>
    <w:tmpl w:val="8422AE86"/>
    <w:lvl w:ilvl="0" w:tplc="83FE4E4C">
      <w:start w:val="1"/>
      <w:numFmt w:val="decimal"/>
      <w:lvlText w:val="%1."/>
      <w:lvlJc w:val="left"/>
      <w:pPr>
        <w:ind w:left="1892" w:hanging="324"/>
      </w:pPr>
      <w:rPr>
        <w:rFonts w:ascii="Century Schoolbook" w:eastAsia="Century Schoolbook" w:hAnsi="Century Schoolbook" w:hint="default"/>
        <w:w w:val="100"/>
        <w:sz w:val="26"/>
        <w:szCs w:val="26"/>
      </w:rPr>
    </w:lvl>
    <w:lvl w:ilvl="1" w:tplc="3AAC494A">
      <w:start w:val="1"/>
      <w:numFmt w:val="bullet"/>
      <w:lvlText w:val="•"/>
      <w:lvlJc w:val="left"/>
      <w:pPr>
        <w:ind w:left="2594" w:hanging="324"/>
      </w:pPr>
      <w:rPr>
        <w:rFonts w:hint="default"/>
      </w:rPr>
    </w:lvl>
    <w:lvl w:ilvl="2" w:tplc="14844AAC">
      <w:start w:val="1"/>
      <w:numFmt w:val="bullet"/>
      <w:lvlText w:val="•"/>
      <w:lvlJc w:val="left"/>
      <w:pPr>
        <w:ind w:left="3288" w:hanging="324"/>
      </w:pPr>
      <w:rPr>
        <w:rFonts w:hint="default"/>
      </w:rPr>
    </w:lvl>
    <w:lvl w:ilvl="3" w:tplc="326CCEEE">
      <w:start w:val="1"/>
      <w:numFmt w:val="bullet"/>
      <w:lvlText w:val="•"/>
      <w:lvlJc w:val="left"/>
      <w:pPr>
        <w:ind w:left="3982" w:hanging="324"/>
      </w:pPr>
      <w:rPr>
        <w:rFonts w:hint="default"/>
      </w:rPr>
    </w:lvl>
    <w:lvl w:ilvl="4" w:tplc="2BAA9BB4">
      <w:start w:val="1"/>
      <w:numFmt w:val="bullet"/>
      <w:lvlText w:val="•"/>
      <w:lvlJc w:val="left"/>
      <w:pPr>
        <w:ind w:left="4676" w:hanging="324"/>
      </w:pPr>
      <w:rPr>
        <w:rFonts w:hint="default"/>
      </w:rPr>
    </w:lvl>
    <w:lvl w:ilvl="5" w:tplc="B374E4C8">
      <w:start w:val="1"/>
      <w:numFmt w:val="bullet"/>
      <w:lvlText w:val="•"/>
      <w:lvlJc w:val="left"/>
      <w:pPr>
        <w:ind w:left="5370" w:hanging="324"/>
      </w:pPr>
      <w:rPr>
        <w:rFonts w:hint="default"/>
      </w:rPr>
    </w:lvl>
    <w:lvl w:ilvl="6" w:tplc="517C7BDA">
      <w:start w:val="1"/>
      <w:numFmt w:val="bullet"/>
      <w:lvlText w:val="•"/>
      <w:lvlJc w:val="left"/>
      <w:pPr>
        <w:ind w:left="6064" w:hanging="324"/>
      </w:pPr>
      <w:rPr>
        <w:rFonts w:hint="default"/>
      </w:rPr>
    </w:lvl>
    <w:lvl w:ilvl="7" w:tplc="B5865C54">
      <w:start w:val="1"/>
      <w:numFmt w:val="bullet"/>
      <w:lvlText w:val="•"/>
      <w:lvlJc w:val="left"/>
      <w:pPr>
        <w:ind w:left="6758" w:hanging="324"/>
      </w:pPr>
      <w:rPr>
        <w:rFonts w:hint="default"/>
      </w:rPr>
    </w:lvl>
    <w:lvl w:ilvl="8" w:tplc="769EF7B0">
      <w:start w:val="1"/>
      <w:numFmt w:val="bullet"/>
      <w:lvlText w:val="•"/>
      <w:lvlJc w:val="left"/>
      <w:pPr>
        <w:ind w:left="7452" w:hanging="324"/>
      </w:pPr>
      <w:rPr>
        <w:rFonts w:hint="default"/>
      </w:rPr>
    </w:lvl>
  </w:abstractNum>
  <w:abstractNum w:abstractNumId="16" w15:restartNumberingAfterBreak="0">
    <w:nsid w:val="71F8191C"/>
    <w:multiLevelType w:val="hybridMultilevel"/>
    <w:tmpl w:val="051AF64A"/>
    <w:lvl w:ilvl="0" w:tplc="9A2E48BC">
      <w:start w:val="1"/>
      <w:numFmt w:val="upperRoman"/>
      <w:lvlText w:val="%1."/>
      <w:lvlJc w:val="left"/>
      <w:pPr>
        <w:ind w:left="369" w:hanging="250"/>
      </w:pPr>
      <w:rPr>
        <w:rFonts w:ascii="Century Schoolbook" w:eastAsia="Century Schoolbook" w:hAnsi="Century Schoolbook" w:hint="default"/>
        <w:spacing w:val="-1"/>
        <w:w w:val="100"/>
        <w:sz w:val="26"/>
        <w:szCs w:val="26"/>
      </w:rPr>
    </w:lvl>
    <w:lvl w:ilvl="1" w:tplc="D6620516">
      <w:start w:val="1"/>
      <w:numFmt w:val="upperLetter"/>
      <w:lvlText w:val="%2."/>
      <w:lvlJc w:val="left"/>
      <w:pPr>
        <w:ind w:left="1560" w:hanging="720"/>
      </w:pPr>
      <w:rPr>
        <w:rFonts w:ascii="Century Schoolbook" w:eastAsia="Century Schoolbook" w:hAnsi="Century Schoolbook" w:hint="default"/>
        <w:w w:val="100"/>
        <w:sz w:val="26"/>
        <w:szCs w:val="26"/>
      </w:rPr>
    </w:lvl>
    <w:lvl w:ilvl="2" w:tplc="8DE893EC">
      <w:start w:val="2"/>
      <w:numFmt w:val="decimal"/>
      <w:lvlText w:val="%3."/>
      <w:lvlJc w:val="left"/>
      <w:pPr>
        <w:ind w:left="1892" w:hanging="333"/>
      </w:pPr>
      <w:rPr>
        <w:rFonts w:ascii="Century Schoolbook" w:eastAsia="Century Schoolbook" w:hAnsi="Century Schoolbook" w:hint="default"/>
        <w:w w:val="100"/>
        <w:sz w:val="26"/>
        <w:szCs w:val="26"/>
      </w:rPr>
    </w:lvl>
    <w:lvl w:ilvl="3" w:tplc="52EE084C">
      <w:start w:val="1"/>
      <w:numFmt w:val="bullet"/>
      <w:lvlText w:val="•"/>
      <w:lvlJc w:val="left"/>
      <w:pPr>
        <w:ind w:left="2772" w:hanging="333"/>
      </w:pPr>
      <w:rPr>
        <w:rFonts w:hint="default"/>
      </w:rPr>
    </w:lvl>
    <w:lvl w:ilvl="4" w:tplc="AC5CFAFC">
      <w:start w:val="1"/>
      <w:numFmt w:val="bullet"/>
      <w:lvlText w:val="•"/>
      <w:lvlJc w:val="left"/>
      <w:pPr>
        <w:ind w:left="3645" w:hanging="333"/>
      </w:pPr>
      <w:rPr>
        <w:rFonts w:hint="default"/>
      </w:rPr>
    </w:lvl>
    <w:lvl w:ilvl="5" w:tplc="4B2890DA">
      <w:start w:val="1"/>
      <w:numFmt w:val="bullet"/>
      <w:lvlText w:val="•"/>
      <w:lvlJc w:val="left"/>
      <w:pPr>
        <w:ind w:left="4517" w:hanging="333"/>
      </w:pPr>
      <w:rPr>
        <w:rFonts w:hint="default"/>
      </w:rPr>
    </w:lvl>
    <w:lvl w:ilvl="6" w:tplc="73587276">
      <w:start w:val="1"/>
      <w:numFmt w:val="bullet"/>
      <w:lvlText w:val="•"/>
      <w:lvlJc w:val="left"/>
      <w:pPr>
        <w:ind w:left="5390" w:hanging="333"/>
      </w:pPr>
      <w:rPr>
        <w:rFonts w:hint="default"/>
      </w:rPr>
    </w:lvl>
    <w:lvl w:ilvl="7" w:tplc="A44ED2DE">
      <w:start w:val="1"/>
      <w:numFmt w:val="bullet"/>
      <w:lvlText w:val="•"/>
      <w:lvlJc w:val="left"/>
      <w:pPr>
        <w:ind w:left="6262" w:hanging="333"/>
      </w:pPr>
      <w:rPr>
        <w:rFonts w:hint="default"/>
      </w:rPr>
    </w:lvl>
    <w:lvl w:ilvl="8" w:tplc="0DC248E2">
      <w:start w:val="1"/>
      <w:numFmt w:val="bullet"/>
      <w:lvlText w:val="•"/>
      <w:lvlJc w:val="left"/>
      <w:pPr>
        <w:ind w:left="7135" w:hanging="333"/>
      </w:pPr>
      <w:rPr>
        <w:rFonts w:hint="default"/>
      </w:rPr>
    </w:lvl>
  </w:abstractNum>
  <w:abstractNum w:abstractNumId="17" w15:restartNumberingAfterBreak="0">
    <w:nsid w:val="7C9C4860"/>
    <w:multiLevelType w:val="hybridMultilevel"/>
    <w:tmpl w:val="476C7E92"/>
    <w:lvl w:ilvl="0" w:tplc="5516B694">
      <w:start w:val="3"/>
      <w:numFmt w:val="bullet"/>
      <w:lvlText w:val="-"/>
      <w:lvlJc w:val="left"/>
      <w:pPr>
        <w:ind w:left="1480" w:hanging="360"/>
      </w:pPr>
      <w:rPr>
        <w:rFonts w:ascii="Century Schoolbook" w:eastAsia="Century Schoolbook" w:hAnsi="Century Schoolbook" w:cstheme="minorBidi" w:hint="default"/>
      </w:rPr>
    </w:lvl>
    <w:lvl w:ilvl="1" w:tplc="E0D60702" w:tentative="1">
      <w:start w:val="1"/>
      <w:numFmt w:val="bullet"/>
      <w:lvlText w:val="o"/>
      <w:lvlJc w:val="left"/>
      <w:pPr>
        <w:ind w:left="2200" w:hanging="360"/>
      </w:pPr>
      <w:rPr>
        <w:rFonts w:ascii="Courier New" w:hAnsi="Courier New" w:cs="Courier New" w:hint="default"/>
      </w:rPr>
    </w:lvl>
    <w:lvl w:ilvl="2" w:tplc="3F8AF8C8" w:tentative="1">
      <w:start w:val="1"/>
      <w:numFmt w:val="bullet"/>
      <w:lvlText w:val=""/>
      <w:lvlJc w:val="left"/>
      <w:pPr>
        <w:ind w:left="2920" w:hanging="360"/>
      </w:pPr>
      <w:rPr>
        <w:rFonts w:ascii="Wingdings" w:hAnsi="Wingdings" w:hint="default"/>
      </w:rPr>
    </w:lvl>
    <w:lvl w:ilvl="3" w:tplc="92B49AB2" w:tentative="1">
      <w:start w:val="1"/>
      <w:numFmt w:val="bullet"/>
      <w:lvlText w:val=""/>
      <w:lvlJc w:val="left"/>
      <w:pPr>
        <w:ind w:left="3640" w:hanging="360"/>
      </w:pPr>
      <w:rPr>
        <w:rFonts w:ascii="Symbol" w:hAnsi="Symbol" w:hint="default"/>
      </w:rPr>
    </w:lvl>
    <w:lvl w:ilvl="4" w:tplc="104C9EA2" w:tentative="1">
      <w:start w:val="1"/>
      <w:numFmt w:val="bullet"/>
      <w:lvlText w:val="o"/>
      <w:lvlJc w:val="left"/>
      <w:pPr>
        <w:ind w:left="4360" w:hanging="360"/>
      </w:pPr>
      <w:rPr>
        <w:rFonts w:ascii="Courier New" w:hAnsi="Courier New" w:cs="Courier New" w:hint="default"/>
      </w:rPr>
    </w:lvl>
    <w:lvl w:ilvl="5" w:tplc="4002F2F0" w:tentative="1">
      <w:start w:val="1"/>
      <w:numFmt w:val="bullet"/>
      <w:lvlText w:val=""/>
      <w:lvlJc w:val="left"/>
      <w:pPr>
        <w:ind w:left="5080" w:hanging="360"/>
      </w:pPr>
      <w:rPr>
        <w:rFonts w:ascii="Wingdings" w:hAnsi="Wingdings" w:hint="default"/>
      </w:rPr>
    </w:lvl>
    <w:lvl w:ilvl="6" w:tplc="A350DFD2" w:tentative="1">
      <w:start w:val="1"/>
      <w:numFmt w:val="bullet"/>
      <w:lvlText w:val=""/>
      <w:lvlJc w:val="left"/>
      <w:pPr>
        <w:ind w:left="5800" w:hanging="360"/>
      </w:pPr>
      <w:rPr>
        <w:rFonts w:ascii="Symbol" w:hAnsi="Symbol" w:hint="default"/>
      </w:rPr>
    </w:lvl>
    <w:lvl w:ilvl="7" w:tplc="173228D4" w:tentative="1">
      <w:start w:val="1"/>
      <w:numFmt w:val="bullet"/>
      <w:lvlText w:val="o"/>
      <w:lvlJc w:val="left"/>
      <w:pPr>
        <w:ind w:left="6520" w:hanging="360"/>
      </w:pPr>
      <w:rPr>
        <w:rFonts w:ascii="Courier New" w:hAnsi="Courier New" w:cs="Courier New" w:hint="default"/>
      </w:rPr>
    </w:lvl>
    <w:lvl w:ilvl="8" w:tplc="BA3ABF78" w:tentative="1">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4"/>
  </w:num>
  <w:num w:numId="4">
    <w:abstractNumId w:val="15"/>
  </w:num>
  <w:num w:numId="5">
    <w:abstractNumId w:val="9"/>
  </w:num>
  <w:num w:numId="6">
    <w:abstractNumId w:val="16"/>
  </w:num>
  <w:num w:numId="7">
    <w:abstractNumId w:val="13"/>
  </w:num>
  <w:num w:numId="8">
    <w:abstractNumId w:val="2"/>
  </w:num>
  <w:num w:numId="9">
    <w:abstractNumId w:val="17"/>
  </w:num>
  <w:num w:numId="10">
    <w:abstractNumId w:val="1"/>
  </w:num>
  <w:num w:numId="11">
    <w:abstractNumId w:val="5"/>
  </w:num>
  <w:num w:numId="12">
    <w:abstractNumId w:val="3"/>
  </w:num>
  <w:num w:numId="13">
    <w:abstractNumId w:val="6"/>
  </w:num>
  <w:num w:numId="14">
    <w:abstractNumId w:val="10"/>
  </w:num>
  <w:num w:numId="15">
    <w:abstractNumId w:val="12"/>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E3"/>
    <w:rsid w:val="0000045F"/>
    <w:rsid w:val="00000B6E"/>
    <w:rsid w:val="00000D2E"/>
    <w:rsid w:val="000013E4"/>
    <w:rsid w:val="00001475"/>
    <w:rsid w:val="00001C7D"/>
    <w:rsid w:val="0000311D"/>
    <w:rsid w:val="000034B8"/>
    <w:rsid w:val="000035A4"/>
    <w:rsid w:val="000035EA"/>
    <w:rsid w:val="00003FD2"/>
    <w:rsid w:val="00004101"/>
    <w:rsid w:val="0000431A"/>
    <w:rsid w:val="00005155"/>
    <w:rsid w:val="00005644"/>
    <w:rsid w:val="000060BA"/>
    <w:rsid w:val="00006D96"/>
    <w:rsid w:val="0000714E"/>
    <w:rsid w:val="000072C8"/>
    <w:rsid w:val="00007906"/>
    <w:rsid w:val="00007DDC"/>
    <w:rsid w:val="0001020A"/>
    <w:rsid w:val="0001056C"/>
    <w:rsid w:val="000108A5"/>
    <w:rsid w:val="00010B1D"/>
    <w:rsid w:val="00010D5F"/>
    <w:rsid w:val="000110B6"/>
    <w:rsid w:val="00011192"/>
    <w:rsid w:val="00012AEA"/>
    <w:rsid w:val="00013E81"/>
    <w:rsid w:val="00014267"/>
    <w:rsid w:val="000146B2"/>
    <w:rsid w:val="00014D36"/>
    <w:rsid w:val="00015240"/>
    <w:rsid w:val="00015FD0"/>
    <w:rsid w:val="000160D6"/>
    <w:rsid w:val="000161DB"/>
    <w:rsid w:val="00016938"/>
    <w:rsid w:val="00016BF9"/>
    <w:rsid w:val="00017ECC"/>
    <w:rsid w:val="000207BE"/>
    <w:rsid w:val="000210CD"/>
    <w:rsid w:val="00021753"/>
    <w:rsid w:val="00021A8B"/>
    <w:rsid w:val="0002255A"/>
    <w:rsid w:val="00023005"/>
    <w:rsid w:val="00023726"/>
    <w:rsid w:val="00023D63"/>
    <w:rsid w:val="00023E0D"/>
    <w:rsid w:val="000241DA"/>
    <w:rsid w:val="00024CB6"/>
    <w:rsid w:val="00025B3B"/>
    <w:rsid w:val="0002675C"/>
    <w:rsid w:val="00027421"/>
    <w:rsid w:val="00027450"/>
    <w:rsid w:val="00027F1E"/>
    <w:rsid w:val="00030345"/>
    <w:rsid w:val="000313F4"/>
    <w:rsid w:val="000315A4"/>
    <w:rsid w:val="00032027"/>
    <w:rsid w:val="00032304"/>
    <w:rsid w:val="000325B3"/>
    <w:rsid w:val="000337A9"/>
    <w:rsid w:val="00033D90"/>
    <w:rsid w:val="00033F1B"/>
    <w:rsid w:val="00036B67"/>
    <w:rsid w:val="00036C7E"/>
    <w:rsid w:val="0003752F"/>
    <w:rsid w:val="00037AB4"/>
    <w:rsid w:val="00037E0C"/>
    <w:rsid w:val="000401F7"/>
    <w:rsid w:val="0004178F"/>
    <w:rsid w:val="0004209E"/>
    <w:rsid w:val="00042E36"/>
    <w:rsid w:val="0004325A"/>
    <w:rsid w:val="00043B2A"/>
    <w:rsid w:val="00043DA0"/>
    <w:rsid w:val="000444A0"/>
    <w:rsid w:val="000449E5"/>
    <w:rsid w:val="00044DFA"/>
    <w:rsid w:val="000461B8"/>
    <w:rsid w:val="00046C7A"/>
    <w:rsid w:val="00046E6C"/>
    <w:rsid w:val="00046F3B"/>
    <w:rsid w:val="00047ABF"/>
    <w:rsid w:val="00047B72"/>
    <w:rsid w:val="00047F42"/>
    <w:rsid w:val="000503D7"/>
    <w:rsid w:val="00050839"/>
    <w:rsid w:val="00050E58"/>
    <w:rsid w:val="00051364"/>
    <w:rsid w:val="00052551"/>
    <w:rsid w:val="00052B45"/>
    <w:rsid w:val="00052E4C"/>
    <w:rsid w:val="00053692"/>
    <w:rsid w:val="00053811"/>
    <w:rsid w:val="00054277"/>
    <w:rsid w:val="0005430F"/>
    <w:rsid w:val="000544C5"/>
    <w:rsid w:val="00054836"/>
    <w:rsid w:val="0005558A"/>
    <w:rsid w:val="000564F1"/>
    <w:rsid w:val="0005652A"/>
    <w:rsid w:val="00056A51"/>
    <w:rsid w:val="00056C52"/>
    <w:rsid w:val="00057255"/>
    <w:rsid w:val="0005734F"/>
    <w:rsid w:val="00060752"/>
    <w:rsid w:val="000608E7"/>
    <w:rsid w:val="00060D1C"/>
    <w:rsid w:val="00061851"/>
    <w:rsid w:val="00062027"/>
    <w:rsid w:val="000623BF"/>
    <w:rsid w:val="00063694"/>
    <w:rsid w:val="00065470"/>
    <w:rsid w:val="00065DA0"/>
    <w:rsid w:val="00066039"/>
    <w:rsid w:val="0006636D"/>
    <w:rsid w:val="00066AF5"/>
    <w:rsid w:val="00066BE0"/>
    <w:rsid w:val="00066F04"/>
    <w:rsid w:val="00066F17"/>
    <w:rsid w:val="00067A95"/>
    <w:rsid w:val="00067B1E"/>
    <w:rsid w:val="00070D94"/>
    <w:rsid w:val="00071034"/>
    <w:rsid w:val="00071057"/>
    <w:rsid w:val="00072408"/>
    <w:rsid w:val="000731E0"/>
    <w:rsid w:val="00073454"/>
    <w:rsid w:val="000742A3"/>
    <w:rsid w:val="000743A1"/>
    <w:rsid w:val="00074A54"/>
    <w:rsid w:val="00074B02"/>
    <w:rsid w:val="00074E4A"/>
    <w:rsid w:val="00074F27"/>
    <w:rsid w:val="000756F4"/>
    <w:rsid w:val="0007667D"/>
    <w:rsid w:val="00076952"/>
    <w:rsid w:val="00076C2C"/>
    <w:rsid w:val="00077084"/>
    <w:rsid w:val="000773DD"/>
    <w:rsid w:val="00077640"/>
    <w:rsid w:val="0008001E"/>
    <w:rsid w:val="000824FC"/>
    <w:rsid w:val="000827FA"/>
    <w:rsid w:val="000828EA"/>
    <w:rsid w:val="00083854"/>
    <w:rsid w:val="0008450D"/>
    <w:rsid w:val="00084B30"/>
    <w:rsid w:val="00085795"/>
    <w:rsid w:val="0008589D"/>
    <w:rsid w:val="000868E4"/>
    <w:rsid w:val="00087017"/>
    <w:rsid w:val="00087C53"/>
    <w:rsid w:val="000905BF"/>
    <w:rsid w:val="00090F72"/>
    <w:rsid w:val="00091032"/>
    <w:rsid w:val="00091593"/>
    <w:rsid w:val="00092A9F"/>
    <w:rsid w:val="00093570"/>
    <w:rsid w:val="0009436A"/>
    <w:rsid w:val="00094500"/>
    <w:rsid w:val="00094612"/>
    <w:rsid w:val="00094DB1"/>
    <w:rsid w:val="00094FD1"/>
    <w:rsid w:val="00095631"/>
    <w:rsid w:val="00096B87"/>
    <w:rsid w:val="00096EFC"/>
    <w:rsid w:val="00097D57"/>
    <w:rsid w:val="000A0A0E"/>
    <w:rsid w:val="000A1533"/>
    <w:rsid w:val="000A1D0B"/>
    <w:rsid w:val="000A33D6"/>
    <w:rsid w:val="000A4E2D"/>
    <w:rsid w:val="000A5C51"/>
    <w:rsid w:val="000A60E0"/>
    <w:rsid w:val="000A6219"/>
    <w:rsid w:val="000A6A1C"/>
    <w:rsid w:val="000A6E9D"/>
    <w:rsid w:val="000A797B"/>
    <w:rsid w:val="000B050C"/>
    <w:rsid w:val="000B126A"/>
    <w:rsid w:val="000B142C"/>
    <w:rsid w:val="000B1D73"/>
    <w:rsid w:val="000B22AE"/>
    <w:rsid w:val="000B2B34"/>
    <w:rsid w:val="000B3412"/>
    <w:rsid w:val="000B3775"/>
    <w:rsid w:val="000B50A7"/>
    <w:rsid w:val="000B56A5"/>
    <w:rsid w:val="000B596E"/>
    <w:rsid w:val="000B5A66"/>
    <w:rsid w:val="000B5C91"/>
    <w:rsid w:val="000B73D1"/>
    <w:rsid w:val="000B767B"/>
    <w:rsid w:val="000B7824"/>
    <w:rsid w:val="000B7EC6"/>
    <w:rsid w:val="000C0610"/>
    <w:rsid w:val="000C0C46"/>
    <w:rsid w:val="000C1257"/>
    <w:rsid w:val="000C1259"/>
    <w:rsid w:val="000C1404"/>
    <w:rsid w:val="000C17C1"/>
    <w:rsid w:val="000C2C01"/>
    <w:rsid w:val="000C31D0"/>
    <w:rsid w:val="000C39F9"/>
    <w:rsid w:val="000C3A39"/>
    <w:rsid w:val="000C3AEA"/>
    <w:rsid w:val="000C3DA9"/>
    <w:rsid w:val="000C4B30"/>
    <w:rsid w:val="000C4F8C"/>
    <w:rsid w:val="000C5644"/>
    <w:rsid w:val="000C6817"/>
    <w:rsid w:val="000C6C33"/>
    <w:rsid w:val="000C71AF"/>
    <w:rsid w:val="000C732F"/>
    <w:rsid w:val="000C7642"/>
    <w:rsid w:val="000C7E06"/>
    <w:rsid w:val="000D0059"/>
    <w:rsid w:val="000D0D34"/>
    <w:rsid w:val="000D0F46"/>
    <w:rsid w:val="000D148E"/>
    <w:rsid w:val="000D1F8B"/>
    <w:rsid w:val="000D2CBA"/>
    <w:rsid w:val="000D3B43"/>
    <w:rsid w:val="000D3C49"/>
    <w:rsid w:val="000D46E7"/>
    <w:rsid w:val="000D47F8"/>
    <w:rsid w:val="000D4B28"/>
    <w:rsid w:val="000D4FE5"/>
    <w:rsid w:val="000D5C34"/>
    <w:rsid w:val="000D6443"/>
    <w:rsid w:val="000D66FD"/>
    <w:rsid w:val="000D6926"/>
    <w:rsid w:val="000D6BF4"/>
    <w:rsid w:val="000D708C"/>
    <w:rsid w:val="000D7428"/>
    <w:rsid w:val="000D781B"/>
    <w:rsid w:val="000D7C7E"/>
    <w:rsid w:val="000D7DBA"/>
    <w:rsid w:val="000E0355"/>
    <w:rsid w:val="000E0A6D"/>
    <w:rsid w:val="000E19CA"/>
    <w:rsid w:val="000E1CE0"/>
    <w:rsid w:val="000E1D50"/>
    <w:rsid w:val="000E26B6"/>
    <w:rsid w:val="000E32E8"/>
    <w:rsid w:val="000E3801"/>
    <w:rsid w:val="000E3EA7"/>
    <w:rsid w:val="000E44B9"/>
    <w:rsid w:val="000E4564"/>
    <w:rsid w:val="000E5045"/>
    <w:rsid w:val="000E509B"/>
    <w:rsid w:val="000E509C"/>
    <w:rsid w:val="000E50FF"/>
    <w:rsid w:val="000E53EB"/>
    <w:rsid w:val="000E5453"/>
    <w:rsid w:val="000E5617"/>
    <w:rsid w:val="000E5DC1"/>
    <w:rsid w:val="000E601C"/>
    <w:rsid w:val="000E6134"/>
    <w:rsid w:val="000E740D"/>
    <w:rsid w:val="000F017D"/>
    <w:rsid w:val="000F0E80"/>
    <w:rsid w:val="000F147F"/>
    <w:rsid w:val="000F148F"/>
    <w:rsid w:val="000F1720"/>
    <w:rsid w:val="000F1872"/>
    <w:rsid w:val="000F2646"/>
    <w:rsid w:val="000F2A11"/>
    <w:rsid w:val="000F2D19"/>
    <w:rsid w:val="000F2E60"/>
    <w:rsid w:val="000F32B5"/>
    <w:rsid w:val="000F33FB"/>
    <w:rsid w:val="000F3CA7"/>
    <w:rsid w:val="000F596C"/>
    <w:rsid w:val="000F6E8E"/>
    <w:rsid w:val="000F7AF8"/>
    <w:rsid w:val="00100053"/>
    <w:rsid w:val="001011EC"/>
    <w:rsid w:val="00101A9B"/>
    <w:rsid w:val="00101B59"/>
    <w:rsid w:val="00101F4E"/>
    <w:rsid w:val="001022A8"/>
    <w:rsid w:val="00102FA8"/>
    <w:rsid w:val="0010434E"/>
    <w:rsid w:val="001044D8"/>
    <w:rsid w:val="001053C5"/>
    <w:rsid w:val="001063C4"/>
    <w:rsid w:val="00106AB3"/>
    <w:rsid w:val="00106B8D"/>
    <w:rsid w:val="00106EBC"/>
    <w:rsid w:val="00107B9B"/>
    <w:rsid w:val="00110975"/>
    <w:rsid w:val="001118FF"/>
    <w:rsid w:val="00111AAF"/>
    <w:rsid w:val="00111C99"/>
    <w:rsid w:val="001130E8"/>
    <w:rsid w:val="001131AD"/>
    <w:rsid w:val="00114659"/>
    <w:rsid w:val="001149D4"/>
    <w:rsid w:val="00115008"/>
    <w:rsid w:val="00116D54"/>
    <w:rsid w:val="00116D96"/>
    <w:rsid w:val="00116FF6"/>
    <w:rsid w:val="00117402"/>
    <w:rsid w:val="00117B5F"/>
    <w:rsid w:val="00120542"/>
    <w:rsid w:val="001220E2"/>
    <w:rsid w:val="00122422"/>
    <w:rsid w:val="001238B8"/>
    <w:rsid w:val="00124162"/>
    <w:rsid w:val="001242A4"/>
    <w:rsid w:val="00125081"/>
    <w:rsid w:val="00125B91"/>
    <w:rsid w:val="00125D4A"/>
    <w:rsid w:val="001260B8"/>
    <w:rsid w:val="001263E6"/>
    <w:rsid w:val="0012670A"/>
    <w:rsid w:val="00126A14"/>
    <w:rsid w:val="00127BD2"/>
    <w:rsid w:val="00127E37"/>
    <w:rsid w:val="001302FE"/>
    <w:rsid w:val="00130737"/>
    <w:rsid w:val="00130CDE"/>
    <w:rsid w:val="00130DED"/>
    <w:rsid w:val="00131F8C"/>
    <w:rsid w:val="00132189"/>
    <w:rsid w:val="0013321A"/>
    <w:rsid w:val="00133268"/>
    <w:rsid w:val="00133708"/>
    <w:rsid w:val="00134312"/>
    <w:rsid w:val="00134ACC"/>
    <w:rsid w:val="00134D25"/>
    <w:rsid w:val="00134DAC"/>
    <w:rsid w:val="0013505E"/>
    <w:rsid w:val="00135143"/>
    <w:rsid w:val="00135214"/>
    <w:rsid w:val="001354CA"/>
    <w:rsid w:val="001354F8"/>
    <w:rsid w:val="00135E3E"/>
    <w:rsid w:val="001360BB"/>
    <w:rsid w:val="0013636F"/>
    <w:rsid w:val="001366D7"/>
    <w:rsid w:val="00136C13"/>
    <w:rsid w:val="00137304"/>
    <w:rsid w:val="00137DB5"/>
    <w:rsid w:val="001401E9"/>
    <w:rsid w:val="00141100"/>
    <w:rsid w:val="001415FF"/>
    <w:rsid w:val="00141FA3"/>
    <w:rsid w:val="0014289D"/>
    <w:rsid w:val="00142D41"/>
    <w:rsid w:val="00142F03"/>
    <w:rsid w:val="00144871"/>
    <w:rsid w:val="001448BF"/>
    <w:rsid w:val="00144E3C"/>
    <w:rsid w:val="00146C1C"/>
    <w:rsid w:val="00146C26"/>
    <w:rsid w:val="00147AA9"/>
    <w:rsid w:val="00150E69"/>
    <w:rsid w:val="00151448"/>
    <w:rsid w:val="0015195B"/>
    <w:rsid w:val="00151ABA"/>
    <w:rsid w:val="00151E93"/>
    <w:rsid w:val="00151EC8"/>
    <w:rsid w:val="00152748"/>
    <w:rsid w:val="001530DE"/>
    <w:rsid w:val="00153257"/>
    <w:rsid w:val="00154ED5"/>
    <w:rsid w:val="00155657"/>
    <w:rsid w:val="00155C3E"/>
    <w:rsid w:val="00156B0B"/>
    <w:rsid w:val="00156C38"/>
    <w:rsid w:val="0015707F"/>
    <w:rsid w:val="00157845"/>
    <w:rsid w:val="001579E9"/>
    <w:rsid w:val="0016077A"/>
    <w:rsid w:val="00160AEC"/>
    <w:rsid w:val="00160E06"/>
    <w:rsid w:val="00161358"/>
    <w:rsid w:val="0016228C"/>
    <w:rsid w:val="00163462"/>
    <w:rsid w:val="001636A7"/>
    <w:rsid w:val="00164305"/>
    <w:rsid w:val="00164424"/>
    <w:rsid w:val="001644A9"/>
    <w:rsid w:val="00164C03"/>
    <w:rsid w:val="00164FA5"/>
    <w:rsid w:val="00165067"/>
    <w:rsid w:val="00165179"/>
    <w:rsid w:val="00165351"/>
    <w:rsid w:val="0016542E"/>
    <w:rsid w:val="001658B7"/>
    <w:rsid w:val="0016657B"/>
    <w:rsid w:val="00167F1D"/>
    <w:rsid w:val="00167F9F"/>
    <w:rsid w:val="001703BD"/>
    <w:rsid w:val="0017110A"/>
    <w:rsid w:val="001716E3"/>
    <w:rsid w:val="00171A87"/>
    <w:rsid w:val="00174064"/>
    <w:rsid w:val="00174886"/>
    <w:rsid w:val="00174B86"/>
    <w:rsid w:val="0017552D"/>
    <w:rsid w:val="00175709"/>
    <w:rsid w:val="00175E5A"/>
    <w:rsid w:val="00176D00"/>
    <w:rsid w:val="0017779C"/>
    <w:rsid w:val="0017795F"/>
    <w:rsid w:val="00177B05"/>
    <w:rsid w:val="00177F0A"/>
    <w:rsid w:val="00177F65"/>
    <w:rsid w:val="00180912"/>
    <w:rsid w:val="001811ED"/>
    <w:rsid w:val="001813A1"/>
    <w:rsid w:val="00181DE3"/>
    <w:rsid w:val="00182AD7"/>
    <w:rsid w:val="00182C1E"/>
    <w:rsid w:val="001832DE"/>
    <w:rsid w:val="001834CB"/>
    <w:rsid w:val="00183576"/>
    <w:rsid w:val="0018402D"/>
    <w:rsid w:val="001843AA"/>
    <w:rsid w:val="0018461F"/>
    <w:rsid w:val="001847DA"/>
    <w:rsid w:val="00184AFC"/>
    <w:rsid w:val="00184D8B"/>
    <w:rsid w:val="00185B11"/>
    <w:rsid w:val="00185B86"/>
    <w:rsid w:val="00185E83"/>
    <w:rsid w:val="001879E9"/>
    <w:rsid w:val="00187D30"/>
    <w:rsid w:val="00190DEF"/>
    <w:rsid w:val="001913E4"/>
    <w:rsid w:val="00192930"/>
    <w:rsid w:val="0019391F"/>
    <w:rsid w:val="00193DBA"/>
    <w:rsid w:val="00194006"/>
    <w:rsid w:val="0019448A"/>
    <w:rsid w:val="00194651"/>
    <w:rsid w:val="00194F06"/>
    <w:rsid w:val="0019527E"/>
    <w:rsid w:val="001960C4"/>
    <w:rsid w:val="00196339"/>
    <w:rsid w:val="001969AE"/>
    <w:rsid w:val="00196F61"/>
    <w:rsid w:val="001976C9"/>
    <w:rsid w:val="00197A31"/>
    <w:rsid w:val="00197B6B"/>
    <w:rsid w:val="00197D94"/>
    <w:rsid w:val="001A05AD"/>
    <w:rsid w:val="001A103F"/>
    <w:rsid w:val="001A1308"/>
    <w:rsid w:val="001A1334"/>
    <w:rsid w:val="001A2736"/>
    <w:rsid w:val="001A28A7"/>
    <w:rsid w:val="001A2E22"/>
    <w:rsid w:val="001A410C"/>
    <w:rsid w:val="001A4B3C"/>
    <w:rsid w:val="001A53C5"/>
    <w:rsid w:val="001A5ABB"/>
    <w:rsid w:val="001A635E"/>
    <w:rsid w:val="001A6851"/>
    <w:rsid w:val="001A6B93"/>
    <w:rsid w:val="001A710B"/>
    <w:rsid w:val="001A72A2"/>
    <w:rsid w:val="001A7B7F"/>
    <w:rsid w:val="001A7C4F"/>
    <w:rsid w:val="001B033B"/>
    <w:rsid w:val="001B0626"/>
    <w:rsid w:val="001B0BDD"/>
    <w:rsid w:val="001B2564"/>
    <w:rsid w:val="001B4199"/>
    <w:rsid w:val="001B43EC"/>
    <w:rsid w:val="001B6214"/>
    <w:rsid w:val="001B680E"/>
    <w:rsid w:val="001B75A9"/>
    <w:rsid w:val="001B7D5F"/>
    <w:rsid w:val="001C08C1"/>
    <w:rsid w:val="001C15BB"/>
    <w:rsid w:val="001C277C"/>
    <w:rsid w:val="001C28B0"/>
    <w:rsid w:val="001C2B55"/>
    <w:rsid w:val="001C2C28"/>
    <w:rsid w:val="001C2C4D"/>
    <w:rsid w:val="001C2C5D"/>
    <w:rsid w:val="001C4674"/>
    <w:rsid w:val="001C4E45"/>
    <w:rsid w:val="001C515A"/>
    <w:rsid w:val="001C519C"/>
    <w:rsid w:val="001C54DD"/>
    <w:rsid w:val="001C5841"/>
    <w:rsid w:val="001C6139"/>
    <w:rsid w:val="001C63A9"/>
    <w:rsid w:val="001C6449"/>
    <w:rsid w:val="001C695C"/>
    <w:rsid w:val="001C7FB6"/>
    <w:rsid w:val="001D0446"/>
    <w:rsid w:val="001D0EAF"/>
    <w:rsid w:val="001D3B5D"/>
    <w:rsid w:val="001D4808"/>
    <w:rsid w:val="001D5B0F"/>
    <w:rsid w:val="001D5C1C"/>
    <w:rsid w:val="001D716C"/>
    <w:rsid w:val="001D74AD"/>
    <w:rsid w:val="001D76B5"/>
    <w:rsid w:val="001E0897"/>
    <w:rsid w:val="001E0C61"/>
    <w:rsid w:val="001E1495"/>
    <w:rsid w:val="001E14B1"/>
    <w:rsid w:val="001E20C1"/>
    <w:rsid w:val="001E280B"/>
    <w:rsid w:val="001E2AFD"/>
    <w:rsid w:val="001E35B3"/>
    <w:rsid w:val="001E362F"/>
    <w:rsid w:val="001E3ECA"/>
    <w:rsid w:val="001E41BA"/>
    <w:rsid w:val="001E4349"/>
    <w:rsid w:val="001E479F"/>
    <w:rsid w:val="001E5A37"/>
    <w:rsid w:val="001E5CEF"/>
    <w:rsid w:val="001E654E"/>
    <w:rsid w:val="001E663A"/>
    <w:rsid w:val="001E6948"/>
    <w:rsid w:val="001E6D9A"/>
    <w:rsid w:val="001E7F68"/>
    <w:rsid w:val="001F0076"/>
    <w:rsid w:val="001F02E6"/>
    <w:rsid w:val="001F1569"/>
    <w:rsid w:val="001F1BF9"/>
    <w:rsid w:val="001F2263"/>
    <w:rsid w:val="001F29CE"/>
    <w:rsid w:val="001F2CDC"/>
    <w:rsid w:val="001F31EC"/>
    <w:rsid w:val="001F35C1"/>
    <w:rsid w:val="001F3F3F"/>
    <w:rsid w:val="001F43B6"/>
    <w:rsid w:val="001F4E2E"/>
    <w:rsid w:val="001F500D"/>
    <w:rsid w:val="001F53F3"/>
    <w:rsid w:val="001F5737"/>
    <w:rsid w:val="001F5E16"/>
    <w:rsid w:val="001F68A9"/>
    <w:rsid w:val="001F6985"/>
    <w:rsid w:val="001F6CDB"/>
    <w:rsid w:val="001F6FAD"/>
    <w:rsid w:val="001F6FFA"/>
    <w:rsid w:val="001F7344"/>
    <w:rsid w:val="001F749C"/>
    <w:rsid w:val="001F75BA"/>
    <w:rsid w:val="001F7BF3"/>
    <w:rsid w:val="00201399"/>
    <w:rsid w:val="00201589"/>
    <w:rsid w:val="002024E3"/>
    <w:rsid w:val="002024FF"/>
    <w:rsid w:val="00203E25"/>
    <w:rsid w:val="00204BD7"/>
    <w:rsid w:val="002052F3"/>
    <w:rsid w:val="002056B8"/>
    <w:rsid w:val="002065AA"/>
    <w:rsid w:val="00206C7B"/>
    <w:rsid w:val="00207ECE"/>
    <w:rsid w:val="00210547"/>
    <w:rsid w:val="002108D0"/>
    <w:rsid w:val="00210958"/>
    <w:rsid w:val="00210BF3"/>
    <w:rsid w:val="00210CFE"/>
    <w:rsid w:val="00211210"/>
    <w:rsid w:val="002115F4"/>
    <w:rsid w:val="00212CB7"/>
    <w:rsid w:val="00212F25"/>
    <w:rsid w:val="00213911"/>
    <w:rsid w:val="00213E8A"/>
    <w:rsid w:val="002141E8"/>
    <w:rsid w:val="00214546"/>
    <w:rsid w:val="00214C4E"/>
    <w:rsid w:val="0021542D"/>
    <w:rsid w:val="00215AA7"/>
    <w:rsid w:val="002161A7"/>
    <w:rsid w:val="002162B9"/>
    <w:rsid w:val="00216592"/>
    <w:rsid w:val="002167BD"/>
    <w:rsid w:val="0021719E"/>
    <w:rsid w:val="002176A2"/>
    <w:rsid w:val="00217944"/>
    <w:rsid w:val="0022066F"/>
    <w:rsid w:val="00220D1F"/>
    <w:rsid w:val="002213CB"/>
    <w:rsid w:val="0022189B"/>
    <w:rsid w:val="00221CF7"/>
    <w:rsid w:val="00221DCC"/>
    <w:rsid w:val="002222CF"/>
    <w:rsid w:val="00222CB7"/>
    <w:rsid w:val="00222CC4"/>
    <w:rsid w:val="00223C60"/>
    <w:rsid w:val="0022444A"/>
    <w:rsid w:val="00225934"/>
    <w:rsid w:val="00225C04"/>
    <w:rsid w:val="00226E67"/>
    <w:rsid w:val="002270DE"/>
    <w:rsid w:val="00227AE1"/>
    <w:rsid w:val="002300B8"/>
    <w:rsid w:val="0023020A"/>
    <w:rsid w:val="002307CB"/>
    <w:rsid w:val="002313D8"/>
    <w:rsid w:val="0023164C"/>
    <w:rsid w:val="00232BCE"/>
    <w:rsid w:val="0023352F"/>
    <w:rsid w:val="002339D7"/>
    <w:rsid w:val="0023407B"/>
    <w:rsid w:val="00234B37"/>
    <w:rsid w:val="00235109"/>
    <w:rsid w:val="00235648"/>
    <w:rsid w:val="00236C44"/>
    <w:rsid w:val="0023710F"/>
    <w:rsid w:val="002371B4"/>
    <w:rsid w:val="00237FCD"/>
    <w:rsid w:val="00240002"/>
    <w:rsid w:val="0024014A"/>
    <w:rsid w:val="00240247"/>
    <w:rsid w:val="002416B8"/>
    <w:rsid w:val="002423A0"/>
    <w:rsid w:val="002423DE"/>
    <w:rsid w:val="002424D3"/>
    <w:rsid w:val="00242AA4"/>
    <w:rsid w:val="00242E78"/>
    <w:rsid w:val="0024369D"/>
    <w:rsid w:val="002437CF"/>
    <w:rsid w:val="00243A80"/>
    <w:rsid w:val="00243AA4"/>
    <w:rsid w:val="00243F73"/>
    <w:rsid w:val="002441C7"/>
    <w:rsid w:val="00244428"/>
    <w:rsid w:val="00245498"/>
    <w:rsid w:val="00245C55"/>
    <w:rsid w:val="0024603F"/>
    <w:rsid w:val="00246116"/>
    <w:rsid w:val="00246741"/>
    <w:rsid w:val="00246BD6"/>
    <w:rsid w:val="0024794B"/>
    <w:rsid w:val="00250653"/>
    <w:rsid w:val="00251531"/>
    <w:rsid w:val="002516D8"/>
    <w:rsid w:val="00251CDC"/>
    <w:rsid w:val="00252B71"/>
    <w:rsid w:val="00252B9C"/>
    <w:rsid w:val="002534F2"/>
    <w:rsid w:val="002535CE"/>
    <w:rsid w:val="002547B4"/>
    <w:rsid w:val="00254839"/>
    <w:rsid w:val="00254C3B"/>
    <w:rsid w:val="00255C48"/>
    <w:rsid w:val="00257C53"/>
    <w:rsid w:val="0026054D"/>
    <w:rsid w:val="00261721"/>
    <w:rsid w:val="00261882"/>
    <w:rsid w:val="00262548"/>
    <w:rsid w:val="00262F4D"/>
    <w:rsid w:val="002633D6"/>
    <w:rsid w:val="00263D0C"/>
    <w:rsid w:val="00263E4B"/>
    <w:rsid w:val="002646ED"/>
    <w:rsid w:val="002649FC"/>
    <w:rsid w:val="00264A06"/>
    <w:rsid w:val="00264A68"/>
    <w:rsid w:val="00264B43"/>
    <w:rsid w:val="00265489"/>
    <w:rsid w:val="002658C7"/>
    <w:rsid w:val="00265BDE"/>
    <w:rsid w:val="00265C2F"/>
    <w:rsid w:val="00265F22"/>
    <w:rsid w:val="00266E8C"/>
    <w:rsid w:val="00267C42"/>
    <w:rsid w:val="00267F37"/>
    <w:rsid w:val="00270286"/>
    <w:rsid w:val="0027034B"/>
    <w:rsid w:val="0027204E"/>
    <w:rsid w:val="00272A56"/>
    <w:rsid w:val="00272B66"/>
    <w:rsid w:val="00273D3C"/>
    <w:rsid w:val="00273F96"/>
    <w:rsid w:val="00274650"/>
    <w:rsid w:val="00274898"/>
    <w:rsid w:val="00275B8E"/>
    <w:rsid w:val="002760E7"/>
    <w:rsid w:val="00276572"/>
    <w:rsid w:val="002767E6"/>
    <w:rsid w:val="00277058"/>
    <w:rsid w:val="0027716F"/>
    <w:rsid w:val="002772E7"/>
    <w:rsid w:val="002800FD"/>
    <w:rsid w:val="00280303"/>
    <w:rsid w:val="00280E51"/>
    <w:rsid w:val="00280FEB"/>
    <w:rsid w:val="002817E0"/>
    <w:rsid w:val="00282896"/>
    <w:rsid w:val="00283D48"/>
    <w:rsid w:val="00283E68"/>
    <w:rsid w:val="0028499C"/>
    <w:rsid w:val="0028563A"/>
    <w:rsid w:val="00285E0B"/>
    <w:rsid w:val="00286B7E"/>
    <w:rsid w:val="0028784F"/>
    <w:rsid w:val="002902DB"/>
    <w:rsid w:val="002912FC"/>
    <w:rsid w:val="002915D1"/>
    <w:rsid w:val="00291FF1"/>
    <w:rsid w:val="00292277"/>
    <w:rsid w:val="00292F75"/>
    <w:rsid w:val="0029328A"/>
    <w:rsid w:val="0029359C"/>
    <w:rsid w:val="00294DB5"/>
    <w:rsid w:val="00294EDB"/>
    <w:rsid w:val="002953E4"/>
    <w:rsid w:val="00296D6D"/>
    <w:rsid w:val="00296E50"/>
    <w:rsid w:val="00297433"/>
    <w:rsid w:val="00297816"/>
    <w:rsid w:val="00297B9D"/>
    <w:rsid w:val="00297CBF"/>
    <w:rsid w:val="002A0711"/>
    <w:rsid w:val="002A0A6A"/>
    <w:rsid w:val="002A0E9C"/>
    <w:rsid w:val="002A12A6"/>
    <w:rsid w:val="002A1A45"/>
    <w:rsid w:val="002A2662"/>
    <w:rsid w:val="002A293F"/>
    <w:rsid w:val="002A2AD8"/>
    <w:rsid w:val="002A38DC"/>
    <w:rsid w:val="002A3B5A"/>
    <w:rsid w:val="002A3F9D"/>
    <w:rsid w:val="002A4787"/>
    <w:rsid w:val="002A565B"/>
    <w:rsid w:val="002A6870"/>
    <w:rsid w:val="002A73F8"/>
    <w:rsid w:val="002A79BD"/>
    <w:rsid w:val="002B05C2"/>
    <w:rsid w:val="002B0EEA"/>
    <w:rsid w:val="002B127B"/>
    <w:rsid w:val="002B1AF4"/>
    <w:rsid w:val="002B2031"/>
    <w:rsid w:val="002B255D"/>
    <w:rsid w:val="002B278D"/>
    <w:rsid w:val="002B3217"/>
    <w:rsid w:val="002B3424"/>
    <w:rsid w:val="002B4A66"/>
    <w:rsid w:val="002B4CA8"/>
    <w:rsid w:val="002B4F65"/>
    <w:rsid w:val="002B54DC"/>
    <w:rsid w:val="002B59A1"/>
    <w:rsid w:val="002B7712"/>
    <w:rsid w:val="002B7D56"/>
    <w:rsid w:val="002C08AB"/>
    <w:rsid w:val="002C1872"/>
    <w:rsid w:val="002C1FB7"/>
    <w:rsid w:val="002C27E6"/>
    <w:rsid w:val="002C3F63"/>
    <w:rsid w:val="002C4639"/>
    <w:rsid w:val="002C4B1B"/>
    <w:rsid w:val="002C4BC1"/>
    <w:rsid w:val="002C4FFA"/>
    <w:rsid w:val="002C50EB"/>
    <w:rsid w:val="002C5270"/>
    <w:rsid w:val="002C53E6"/>
    <w:rsid w:val="002C542C"/>
    <w:rsid w:val="002C599B"/>
    <w:rsid w:val="002C5EBC"/>
    <w:rsid w:val="002C601E"/>
    <w:rsid w:val="002D228B"/>
    <w:rsid w:val="002D2BDD"/>
    <w:rsid w:val="002D2D29"/>
    <w:rsid w:val="002D3DEA"/>
    <w:rsid w:val="002D41D6"/>
    <w:rsid w:val="002D4450"/>
    <w:rsid w:val="002D4466"/>
    <w:rsid w:val="002D48A5"/>
    <w:rsid w:val="002D57BE"/>
    <w:rsid w:val="002D6390"/>
    <w:rsid w:val="002D6F8B"/>
    <w:rsid w:val="002D7FD1"/>
    <w:rsid w:val="002E0232"/>
    <w:rsid w:val="002E0AAB"/>
    <w:rsid w:val="002E0E44"/>
    <w:rsid w:val="002E0FA2"/>
    <w:rsid w:val="002E125C"/>
    <w:rsid w:val="002E1695"/>
    <w:rsid w:val="002E1CD5"/>
    <w:rsid w:val="002E2FD6"/>
    <w:rsid w:val="002E2FE3"/>
    <w:rsid w:val="002E3D02"/>
    <w:rsid w:val="002E3E56"/>
    <w:rsid w:val="002E4556"/>
    <w:rsid w:val="002E4A58"/>
    <w:rsid w:val="002E4B7A"/>
    <w:rsid w:val="002E4DA5"/>
    <w:rsid w:val="002E5584"/>
    <w:rsid w:val="002E6053"/>
    <w:rsid w:val="002E6242"/>
    <w:rsid w:val="002F06D8"/>
    <w:rsid w:val="002F078D"/>
    <w:rsid w:val="002F0ADA"/>
    <w:rsid w:val="002F18BD"/>
    <w:rsid w:val="002F1E18"/>
    <w:rsid w:val="002F25E0"/>
    <w:rsid w:val="002F2682"/>
    <w:rsid w:val="002F2878"/>
    <w:rsid w:val="002F2BD3"/>
    <w:rsid w:val="002F2C79"/>
    <w:rsid w:val="002F3CF0"/>
    <w:rsid w:val="002F3E40"/>
    <w:rsid w:val="002F4035"/>
    <w:rsid w:val="002F4781"/>
    <w:rsid w:val="002F618C"/>
    <w:rsid w:val="002F61E7"/>
    <w:rsid w:val="002F642D"/>
    <w:rsid w:val="002F6F6B"/>
    <w:rsid w:val="002F7237"/>
    <w:rsid w:val="002F76B6"/>
    <w:rsid w:val="002F79FF"/>
    <w:rsid w:val="002F7BC0"/>
    <w:rsid w:val="003000B6"/>
    <w:rsid w:val="00300472"/>
    <w:rsid w:val="003014ED"/>
    <w:rsid w:val="003039B5"/>
    <w:rsid w:val="0030423D"/>
    <w:rsid w:val="00304742"/>
    <w:rsid w:val="00305BE9"/>
    <w:rsid w:val="00305E77"/>
    <w:rsid w:val="00306377"/>
    <w:rsid w:val="00306B7D"/>
    <w:rsid w:val="00306E27"/>
    <w:rsid w:val="00307BD3"/>
    <w:rsid w:val="00310847"/>
    <w:rsid w:val="00311341"/>
    <w:rsid w:val="003120C5"/>
    <w:rsid w:val="00312726"/>
    <w:rsid w:val="00312C76"/>
    <w:rsid w:val="003134E6"/>
    <w:rsid w:val="0031375B"/>
    <w:rsid w:val="003139CE"/>
    <w:rsid w:val="00313C02"/>
    <w:rsid w:val="0031426F"/>
    <w:rsid w:val="00314932"/>
    <w:rsid w:val="0031532C"/>
    <w:rsid w:val="00315369"/>
    <w:rsid w:val="00315D87"/>
    <w:rsid w:val="0031663E"/>
    <w:rsid w:val="00316B8A"/>
    <w:rsid w:val="00316C5B"/>
    <w:rsid w:val="00320AEB"/>
    <w:rsid w:val="00320E18"/>
    <w:rsid w:val="003211FC"/>
    <w:rsid w:val="00321F5F"/>
    <w:rsid w:val="003229C2"/>
    <w:rsid w:val="00323AB4"/>
    <w:rsid w:val="00324383"/>
    <w:rsid w:val="00324423"/>
    <w:rsid w:val="0032447D"/>
    <w:rsid w:val="003244AB"/>
    <w:rsid w:val="0032468D"/>
    <w:rsid w:val="0032500F"/>
    <w:rsid w:val="003251AC"/>
    <w:rsid w:val="00325B2B"/>
    <w:rsid w:val="00326059"/>
    <w:rsid w:val="00326430"/>
    <w:rsid w:val="003270FA"/>
    <w:rsid w:val="003276AA"/>
    <w:rsid w:val="003278E0"/>
    <w:rsid w:val="00330188"/>
    <w:rsid w:val="00330CA4"/>
    <w:rsid w:val="00330CBF"/>
    <w:rsid w:val="00330D33"/>
    <w:rsid w:val="00332194"/>
    <w:rsid w:val="00332AD6"/>
    <w:rsid w:val="00333288"/>
    <w:rsid w:val="0033329A"/>
    <w:rsid w:val="00334407"/>
    <w:rsid w:val="0033558D"/>
    <w:rsid w:val="00336110"/>
    <w:rsid w:val="00336307"/>
    <w:rsid w:val="003367F5"/>
    <w:rsid w:val="00336C28"/>
    <w:rsid w:val="00337B8B"/>
    <w:rsid w:val="003400C7"/>
    <w:rsid w:val="00341551"/>
    <w:rsid w:val="003415E9"/>
    <w:rsid w:val="00341ADB"/>
    <w:rsid w:val="00343472"/>
    <w:rsid w:val="003434FC"/>
    <w:rsid w:val="00343591"/>
    <w:rsid w:val="00343CBD"/>
    <w:rsid w:val="00343D71"/>
    <w:rsid w:val="003455D8"/>
    <w:rsid w:val="003460BD"/>
    <w:rsid w:val="00347507"/>
    <w:rsid w:val="0034780A"/>
    <w:rsid w:val="0035020B"/>
    <w:rsid w:val="0035092C"/>
    <w:rsid w:val="00350C66"/>
    <w:rsid w:val="00350F5D"/>
    <w:rsid w:val="0035157F"/>
    <w:rsid w:val="003516F1"/>
    <w:rsid w:val="003519D8"/>
    <w:rsid w:val="00352077"/>
    <w:rsid w:val="0035248B"/>
    <w:rsid w:val="0035387D"/>
    <w:rsid w:val="00353B49"/>
    <w:rsid w:val="00353EFA"/>
    <w:rsid w:val="00353F07"/>
    <w:rsid w:val="003543E2"/>
    <w:rsid w:val="0035472E"/>
    <w:rsid w:val="0035498E"/>
    <w:rsid w:val="00354CE9"/>
    <w:rsid w:val="003555CD"/>
    <w:rsid w:val="00356081"/>
    <w:rsid w:val="0035639C"/>
    <w:rsid w:val="00357122"/>
    <w:rsid w:val="00357ECB"/>
    <w:rsid w:val="00360301"/>
    <w:rsid w:val="003610C5"/>
    <w:rsid w:val="00361A64"/>
    <w:rsid w:val="00362BAD"/>
    <w:rsid w:val="00362CE8"/>
    <w:rsid w:val="003633F3"/>
    <w:rsid w:val="0036367E"/>
    <w:rsid w:val="003638BE"/>
    <w:rsid w:val="00364463"/>
    <w:rsid w:val="00364B64"/>
    <w:rsid w:val="00364F24"/>
    <w:rsid w:val="00365A68"/>
    <w:rsid w:val="00366C68"/>
    <w:rsid w:val="003703E7"/>
    <w:rsid w:val="00371D6A"/>
    <w:rsid w:val="0037388E"/>
    <w:rsid w:val="00373AF7"/>
    <w:rsid w:val="00373DC6"/>
    <w:rsid w:val="00373E13"/>
    <w:rsid w:val="0037418D"/>
    <w:rsid w:val="0037442F"/>
    <w:rsid w:val="00374555"/>
    <w:rsid w:val="00375800"/>
    <w:rsid w:val="00375BE7"/>
    <w:rsid w:val="00375F13"/>
    <w:rsid w:val="00376C9D"/>
    <w:rsid w:val="00376E6F"/>
    <w:rsid w:val="00377234"/>
    <w:rsid w:val="00377516"/>
    <w:rsid w:val="00377EAC"/>
    <w:rsid w:val="00377EB2"/>
    <w:rsid w:val="003810AE"/>
    <w:rsid w:val="0038173C"/>
    <w:rsid w:val="00381945"/>
    <w:rsid w:val="00381F64"/>
    <w:rsid w:val="0038291A"/>
    <w:rsid w:val="00382FB6"/>
    <w:rsid w:val="00384D43"/>
    <w:rsid w:val="00384DD4"/>
    <w:rsid w:val="0038584E"/>
    <w:rsid w:val="00386520"/>
    <w:rsid w:val="00387269"/>
    <w:rsid w:val="003874D3"/>
    <w:rsid w:val="003876B4"/>
    <w:rsid w:val="003907E9"/>
    <w:rsid w:val="00390BE3"/>
    <w:rsid w:val="00391A28"/>
    <w:rsid w:val="00392231"/>
    <w:rsid w:val="0039264E"/>
    <w:rsid w:val="00392CEA"/>
    <w:rsid w:val="00392DD7"/>
    <w:rsid w:val="003933CB"/>
    <w:rsid w:val="003939B0"/>
    <w:rsid w:val="00393A7C"/>
    <w:rsid w:val="00394175"/>
    <w:rsid w:val="00394559"/>
    <w:rsid w:val="003956E3"/>
    <w:rsid w:val="00395A03"/>
    <w:rsid w:val="00395BA8"/>
    <w:rsid w:val="00395D83"/>
    <w:rsid w:val="003963C1"/>
    <w:rsid w:val="00396BB0"/>
    <w:rsid w:val="00396C30"/>
    <w:rsid w:val="003A0B04"/>
    <w:rsid w:val="003A0D53"/>
    <w:rsid w:val="003A1E57"/>
    <w:rsid w:val="003A2C0C"/>
    <w:rsid w:val="003A313A"/>
    <w:rsid w:val="003A39DC"/>
    <w:rsid w:val="003A4B54"/>
    <w:rsid w:val="003A5BAA"/>
    <w:rsid w:val="003A60A2"/>
    <w:rsid w:val="003A672D"/>
    <w:rsid w:val="003A6D4E"/>
    <w:rsid w:val="003A7321"/>
    <w:rsid w:val="003B07FC"/>
    <w:rsid w:val="003B0B7A"/>
    <w:rsid w:val="003B0FC9"/>
    <w:rsid w:val="003B1642"/>
    <w:rsid w:val="003B1AE0"/>
    <w:rsid w:val="003B1FB8"/>
    <w:rsid w:val="003B28D2"/>
    <w:rsid w:val="003B2E2C"/>
    <w:rsid w:val="003B321E"/>
    <w:rsid w:val="003B3400"/>
    <w:rsid w:val="003B3D69"/>
    <w:rsid w:val="003B4A58"/>
    <w:rsid w:val="003B6B7B"/>
    <w:rsid w:val="003B6EBF"/>
    <w:rsid w:val="003B792A"/>
    <w:rsid w:val="003B79B5"/>
    <w:rsid w:val="003B7C69"/>
    <w:rsid w:val="003C00B5"/>
    <w:rsid w:val="003C02E6"/>
    <w:rsid w:val="003C046A"/>
    <w:rsid w:val="003C061F"/>
    <w:rsid w:val="003C0A50"/>
    <w:rsid w:val="003C0A59"/>
    <w:rsid w:val="003C0A69"/>
    <w:rsid w:val="003C11A2"/>
    <w:rsid w:val="003C1E05"/>
    <w:rsid w:val="003C30A1"/>
    <w:rsid w:val="003C33AB"/>
    <w:rsid w:val="003C3CAA"/>
    <w:rsid w:val="003C4749"/>
    <w:rsid w:val="003C47AB"/>
    <w:rsid w:val="003C4FE7"/>
    <w:rsid w:val="003C57E2"/>
    <w:rsid w:val="003C685B"/>
    <w:rsid w:val="003C7495"/>
    <w:rsid w:val="003D03C2"/>
    <w:rsid w:val="003D044E"/>
    <w:rsid w:val="003D063D"/>
    <w:rsid w:val="003D0CDA"/>
    <w:rsid w:val="003D137C"/>
    <w:rsid w:val="003D137D"/>
    <w:rsid w:val="003D1793"/>
    <w:rsid w:val="003D18BC"/>
    <w:rsid w:val="003D1C06"/>
    <w:rsid w:val="003D2DDC"/>
    <w:rsid w:val="003D3314"/>
    <w:rsid w:val="003D360B"/>
    <w:rsid w:val="003D3DA3"/>
    <w:rsid w:val="003D3EF8"/>
    <w:rsid w:val="003D4F5A"/>
    <w:rsid w:val="003D520F"/>
    <w:rsid w:val="003D5EEA"/>
    <w:rsid w:val="003D5F16"/>
    <w:rsid w:val="003D70D4"/>
    <w:rsid w:val="003D7A77"/>
    <w:rsid w:val="003D7A86"/>
    <w:rsid w:val="003E0613"/>
    <w:rsid w:val="003E1624"/>
    <w:rsid w:val="003E1C47"/>
    <w:rsid w:val="003E339D"/>
    <w:rsid w:val="003E396C"/>
    <w:rsid w:val="003E3BD2"/>
    <w:rsid w:val="003E404A"/>
    <w:rsid w:val="003E49A0"/>
    <w:rsid w:val="003E4B02"/>
    <w:rsid w:val="003E560E"/>
    <w:rsid w:val="003E562C"/>
    <w:rsid w:val="003E581F"/>
    <w:rsid w:val="003E60CC"/>
    <w:rsid w:val="003E6399"/>
    <w:rsid w:val="003E64DD"/>
    <w:rsid w:val="003E65E0"/>
    <w:rsid w:val="003E69BC"/>
    <w:rsid w:val="003E6E63"/>
    <w:rsid w:val="003E7B85"/>
    <w:rsid w:val="003F018F"/>
    <w:rsid w:val="003F1AE6"/>
    <w:rsid w:val="003F1EF7"/>
    <w:rsid w:val="003F25AD"/>
    <w:rsid w:val="003F276D"/>
    <w:rsid w:val="003F2D8B"/>
    <w:rsid w:val="003F32F8"/>
    <w:rsid w:val="003F3537"/>
    <w:rsid w:val="003F3FE7"/>
    <w:rsid w:val="003F436A"/>
    <w:rsid w:val="003F48ED"/>
    <w:rsid w:val="003F574C"/>
    <w:rsid w:val="003F591E"/>
    <w:rsid w:val="003F6092"/>
    <w:rsid w:val="003F6A98"/>
    <w:rsid w:val="004005F3"/>
    <w:rsid w:val="004005FD"/>
    <w:rsid w:val="00400D58"/>
    <w:rsid w:val="00400F13"/>
    <w:rsid w:val="0040146D"/>
    <w:rsid w:val="00401764"/>
    <w:rsid w:val="00401D1A"/>
    <w:rsid w:val="004025A4"/>
    <w:rsid w:val="00402983"/>
    <w:rsid w:val="004030AF"/>
    <w:rsid w:val="004037D2"/>
    <w:rsid w:val="00403B57"/>
    <w:rsid w:val="00403D1D"/>
    <w:rsid w:val="00404514"/>
    <w:rsid w:val="0040454F"/>
    <w:rsid w:val="00404F24"/>
    <w:rsid w:val="004050CE"/>
    <w:rsid w:val="0040705C"/>
    <w:rsid w:val="004070A8"/>
    <w:rsid w:val="00407CD2"/>
    <w:rsid w:val="00410A7F"/>
    <w:rsid w:val="00410EC7"/>
    <w:rsid w:val="00411689"/>
    <w:rsid w:val="00411C47"/>
    <w:rsid w:val="004121F9"/>
    <w:rsid w:val="00412D8C"/>
    <w:rsid w:val="0041337C"/>
    <w:rsid w:val="00413778"/>
    <w:rsid w:val="00413973"/>
    <w:rsid w:val="00413A7C"/>
    <w:rsid w:val="004142DA"/>
    <w:rsid w:val="004143EE"/>
    <w:rsid w:val="0041458E"/>
    <w:rsid w:val="004147B0"/>
    <w:rsid w:val="00415673"/>
    <w:rsid w:val="00415C7E"/>
    <w:rsid w:val="0041603B"/>
    <w:rsid w:val="00416479"/>
    <w:rsid w:val="00416A60"/>
    <w:rsid w:val="004175F6"/>
    <w:rsid w:val="0041793E"/>
    <w:rsid w:val="00417951"/>
    <w:rsid w:val="00417D1C"/>
    <w:rsid w:val="00420252"/>
    <w:rsid w:val="004203CF"/>
    <w:rsid w:val="00420BFF"/>
    <w:rsid w:val="004216CB"/>
    <w:rsid w:val="00421D8D"/>
    <w:rsid w:val="00422782"/>
    <w:rsid w:val="00422D70"/>
    <w:rsid w:val="004238FA"/>
    <w:rsid w:val="00423AD0"/>
    <w:rsid w:val="00423CB1"/>
    <w:rsid w:val="00424476"/>
    <w:rsid w:val="004255F5"/>
    <w:rsid w:val="004256A5"/>
    <w:rsid w:val="00425D75"/>
    <w:rsid w:val="00425E3F"/>
    <w:rsid w:val="00426710"/>
    <w:rsid w:val="0042671D"/>
    <w:rsid w:val="00426D0C"/>
    <w:rsid w:val="00426F41"/>
    <w:rsid w:val="004271B5"/>
    <w:rsid w:val="0042756F"/>
    <w:rsid w:val="004277C3"/>
    <w:rsid w:val="00427C3C"/>
    <w:rsid w:val="00430BB6"/>
    <w:rsid w:val="00431D48"/>
    <w:rsid w:val="00432845"/>
    <w:rsid w:val="00433373"/>
    <w:rsid w:val="00433619"/>
    <w:rsid w:val="00433A2A"/>
    <w:rsid w:val="00434394"/>
    <w:rsid w:val="00434A35"/>
    <w:rsid w:val="00434E8C"/>
    <w:rsid w:val="004359D8"/>
    <w:rsid w:val="00435A44"/>
    <w:rsid w:val="004360F1"/>
    <w:rsid w:val="004366AC"/>
    <w:rsid w:val="00436962"/>
    <w:rsid w:val="00436B52"/>
    <w:rsid w:val="00436D53"/>
    <w:rsid w:val="00437A95"/>
    <w:rsid w:val="004415E3"/>
    <w:rsid w:val="00441914"/>
    <w:rsid w:val="00441D26"/>
    <w:rsid w:val="004432DC"/>
    <w:rsid w:val="00445C92"/>
    <w:rsid w:val="0044631D"/>
    <w:rsid w:val="0044635A"/>
    <w:rsid w:val="004464C3"/>
    <w:rsid w:val="0044679D"/>
    <w:rsid w:val="00446C65"/>
    <w:rsid w:val="00447430"/>
    <w:rsid w:val="00447605"/>
    <w:rsid w:val="00447735"/>
    <w:rsid w:val="0045015B"/>
    <w:rsid w:val="004508A6"/>
    <w:rsid w:val="0045153C"/>
    <w:rsid w:val="00452292"/>
    <w:rsid w:val="004528FB"/>
    <w:rsid w:val="004539BE"/>
    <w:rsid w:val="00453C71"/>
    <w:rsid w:val="00453D44"/>
    <w:rsid w:val="00454B2B"/>
    <w:rsid w:val="00455023"/>
    <w:rsid w:val="0045524C"/>
    <w:rsid w:val="00455A37"/>
    <w:rsid w:val="00455E53"/>
    <w:rsid w:val="00456027"/>
    <w:rsid w:val="0045669E"/>
    <w:rsid w:val="00456A48"/>
    <w:rsid w:val="004605EA"/>
    <w:rsid w:val="00460753"/>
    <w:rsid w:val="00460897"/>
    <w:rsid w:val="0046109C"/>
    <w:rsid w:val="004624A0"/>
    <w:rsid w:val="004627BB"/>
    <w:rsid w:val="00463CFD"/>
    <w:rsid w:val="004642F9"/>
    <w:rsid w:val="00464666"/>
    <w:rsid w:val="004649AD"/>
    <w:rsid w:val="00465955"/>
    <w:rsid w:val="00465F68"/>
    <w:rsid w:val="004665E4"/>
    <w:rsid w:val="00466783"/>
    <w:rsid w:val="00467071"/>
    <w:rsid w:val="0047019D"/>
    <w:rsid w:val="0047085E"/>
    <w:rsid w:val="0047088C"/>
    <w:rsid w:val="00470D86"/>
    <w:rsid w:val="00471D9F"/>
    <w:rsid w:val="00471FF5"/>
    <w:rsid w:val="00472072"/>
    <w:rsid w:val="00472325"/>
    <w:rsid w:val="00472651"/>
    <w:rsid w:val="00472CB9"/>
    <w:rsid w:val="00472E3A"/>
    <w:rsid w:val="00473822"/>
    <w:rsid w:val="00474FB8"/>
    <w:rsid w:val="00475008"/>
    <w:rsid w:val="0047539C"/>
    <w:rsid w:val="004754D7"/>
    <w:rsid w:val="00475D49"/>
    <w:rsid w:val="00475DE8"/>
    <w:rsid w:val="004770C3"/>
    <w:rsid w:val="004775E6"/>
    <w:rsid w:val="00477F85"/>
    <w:rsid w:val="0048109B"/>
    <w:rsid w:val="00481108"/>
    <w:rsid w:val="0048290F"/>
    <w:rsid w:val="00482C71"/>
    <w:rsid w:val="00482F61"/>
    <w:rsid w:val="00483463"/>
    <w:rsid w:val="00483E86"/>
    <w:rsid w:val="00483FF1"/>
    <w:rsid w:val="0048404A"/>
    <w:rsid w:val="00484060"/>
    <w:rsid w:val="00484201"/>
    <w:rsid w:val="004848FE"/>
    <w:rsid w:val="00485E9C"/>
    <w:rsid w:val="004868DA"/>
    <w:rsid w:val="00486BC8"/>
    <w:rsid w:val="00487913"/>
    <w:rsid w:val="004904A5"/>
    <w:rsid w:val="00490DA7"/>
    <w:rsid w:val="004911B4"/>
    <w:rsid w:val="0049153B"/>
    <w:rsid w:val="0049168C"/>
    <w:rsid w:val="004923AE"/>
    <w:rsid w:val="00493C38"/>
    <w:rsid w:val="00493EBE"/>
    <w:rsid w:val="0049445B"/>
    <w:rsid w:val="0049449B"/>
    <w:rsid w:val="004946C7"/>
    <w:rsid w:val="00494ABF"/>
    <w:rsid w:val="00496389"/>
    <w:rsid w:val="00497E80"/>
    <w:rsid w:val="004A0B9B"/>
    <w:rsid w:val="004A0E75"/>
    <w:rsid w:val="004A10C5"/>
    <w:rsid w:val="004A188B"/>
    <w:rsid w:val="004A20BF"/>
    <w:rsid w:val="004A21DC"/>
    <w:rsid w:val="004A245E"/>
    <w:rsid w:val="004A2A9D"/>
    <w:rsid w:val="004A3310"/>
    <w:rsid w:val="004A3378"/>
    <w:rsid w:val="004A345D"/>
    <w:rsid w:val="004A3712"/>
    <w:rsid w:val="004A4109"/>
    <w:rsid w:val="004A4648"/>
    <w:rsid w:val="004A4B9E"/>
    <w:rsid w:val="004A4D00"/>
    <w:rsid w:val="004A5A45"/>
    <w:rsid w:val="004A6227"/>
    <w:rsid w:val="004A65E7"/>
    <w:rsid w:val="004B024B"/>
    <w:rsid w:val="004B0609"/>
    <w:rsid w:val="004B20FA"/>
    <w:rsid w:val="004B3BC3"/>
    <w:rsid w:val="004B3BE5"/>
    <w:rsid w:val="004B40B6"/>
    <w:rsid w:val="004B4533"/>
    <w:rsid w:val="004B4C27"/>
    <w:rsid w:val="004B50DD"/>
    <w:rsid w:val="004B5277"/>
    <w:rsid w:val="004B5C7C"/>
    <w:rsid w:val="004B5FC9"/>
    <w:rsid w:val="004B6561"/>
    <w:rsid w:val="004C0537"/>
    <w:rsid w:val="004C0C3F"/>
    <w:rsid w:val="004C0CC0"/>
    <w:rsid w:val="004C0DCD"/>
    <w:rsid w:val="004C1C9B"/>
    <w:rsid w:val="004C258E"/>
    <w:rsid w:val="004C2E05"/>
    <w:rsid w:val="004C328E"/>
    <w:rsid w:val="004C3788"/>
    <w:rsid w:val="004C419A"/>
    <w:rsid w:val="004C487E"/>
    <w:rsid w:val="004C4E43"/>
    <w:rsid w:val="004C5658"/>
    <w:rsid w:val="004C5AC7"/>
    <w:rsid w:val="004C65E7"/>
    <w:rsid w:val="004C7BF2"/>
    <w:rsid w:val="004C7C8B"/>
    <w:rsid w:val="004C7D4F"/>
    <w:rsid w:val="004D0529"/>
    <w:rsid w:val="004D0931"/>
    <w:rsid w:val="004D15A6"/>
    <w:rsid w:val="004D1F80"/>
    <w:rsid w:val="004D1FBA"/>
    <w:rsid w:val="004D2772"/>
    <w:rsid w:val="004D2974"/>
    <w:rsid w:val="004D343E"/>
    <w:rsid w:val="004D3662"/>
    <w:rsid w:val="004D3B83"/>
    <w:rsid w:val="004D4144"/>
    <w:rsid w:val="004D518E"/>
    <w:rsid w:val="004D6033"/>
    <w:rsid w:val="004D68AD"/>
    <w:rsid w:val="004D715D"/>
    <w:rsid w:val="004E024B"/>
    <w:rsid w:val="004E0A12"/>
    <w:rsid w:val="004E0F66"/>
    <w:rsid w:val="004E13F9"/>
    <w:rsid w:val="004E14DD"/>
    <w:rsid w:val="004E1BAA"/>
    <w:rsid w:val="004E2363"/>
    <w:rsid w:val="004E28BE"/>
    <w:rsid w:val="004E2AAE"/>
    <w:rsid w:val="004E31C9"/>
    <w:rsid w:val="004E3244"/>
    <w:rsid w:val="004E34C5"/>
    <w:rsid w:val="004E4438"/>
    <w:rsid w:val="004E49C2"/>
    <w:rsid w:val="004E5230"/>
    <w:rsid w:val="004E5EA1"/>
    <w:rsid w:val="004E5EB8"/>
    <w:rsid w:val="004E6D42"/>
    <w:rsid w:val="004E73E2"/>
    <w:rsid w:val="004E77C8"/>
    <w:rsid w:val="004F0943"/>
    <w:rsid w:val="004F1850"/>
    <w:rsid w:val="004F227E"/>
    <w:rsid w:val="004F26B4"/>
    <w:rsid w:val="004F2A1E"/>
    <w:rsid w:val="004F325E"/>
    <w:rsid w:val="004F3346"/>
    <w:rsid w:val="004F3D52"/>
    <w:rsid w:val="004F406E"/>
    <w:rsid w:val="004F438E"/>
    <w:rsid w:val="004F4AA2"/>
    <w:rsid w:val="004F4B97"/>
    <w:rsid w:val="004F592C"/>
    <w:rsid w:val="004F641A"/>
    <w:rsid w:val="004F6506"/>
    <w:rsid w:val="004F6B87"/>
    <w:rsid w:val="004F6DC0"/>
    <w:rsid w:val="004F724C"/>
    <w:rsid w:val="004F771D"/>
    <w:rsid w:val="00500D7E"/>
    <w:rsid w:val="00501180"/>
    <w:rsid w:val="00501339"/>
    <w:rsid w:val="005013DA"/>
    <w:rsid w:val="005015C0"/>
    <w:rsid w:val="0050231E"/>
    <w:rsid w:val="00503016"/>
    <w:rsid w:val="0050329C"/>
    <w:rsid w:val="005036B8"/>
    <w:rsid w:val="005036C2"/>
    <w:rsid w:val="005037C9"/>
    <w:rsid w:val="00504129"/>
    <w:rsid w:val="00504D08"/>
    <w:rsid w:val="00504E71"/>
    <w:rsid w:val="00504F4B"/>
    <w:rsid w:val="00506152"/>
    <w:rsid w:val="00506492"/>
    <w:rsid w:val="0050719C"/>
    <w:rsid w:val="005106E5"/>
    <w:rsid w:val="00510F6D"/>
    <w:rsid w:val="005112F6"/>
    <w:rsid w:val="005121F1"/>
    <w:rsid w:val="00512D81"/>
    <w:rsid w:val="00513BEC"/>
    <w:rsid w:val="005140A9"/>
    <w:rsid w:val="00514590"/>
    <w:rsid w:val="00516BA4"/>
    <w:rsid w:val="0051755A"/>
    <w:rsid w:val="00517CFE"/>
    <w:rsid w:val="00517D3A"/>
    <w:rsid w:val="0052026D"/>
    <w:rsid w:val="00521A6D"/>
    <w:rsid w:val="00522147"/>
    <w:rsid w:val="00522306"/>
    <w:rsid w:val="0052233C"/>
    <w:rsid w:val="00522ECA"/>
    <w:rsid w:val="0052338D"/>
    <w:rsid w:val="00523770"/>
    <w:rsid w:val="0052470D"/>
    <w:rsid w:val="005248FE"/>
    <w:rsid w:val="00525F66"/>
    <w:rsid w:val="00526407"/>
    <w:rsid w:val="005304BE"/>
    <w:rsid w:val="005305DD"/>
    <w:rsid w:val="00530950"/>
    <w:rsid w:val="0053147F"/>
    <w:rsid w:val="00532DF5"/>
    <w:rsid w:val="005330B4"/>
    <w:rsid w:val="005331D7"/>
    <w:rsid w:val="00533353"/>
    <w:rsid w:val="00533786"/>
    <w:rsid w:val="00534392"/>
    <w:rsid w:val="00534D4B"/>
    <w:rsid w:val="00535034"/>
    <w:rsid w:val="005356A6"/>
    <w:rsid w:val="00535BAB"/>
    <w:rsid w:val="005363F1"/>
    <w:rsid w:val="005364DF"/>
    <w:rsid w:val="00536B8F"/>
    <w:rsid w:val="00537143"/>
    <w:rsid w:val="005371F5"/>
    <w:rsid w:val="005373FD"/>
    <w:rsid w:val="00537606"/>
    <w:rsid w:val="005377C6"/>
    <w:rsid w:val="00537FF7"/>
    <w:rsid w:val="005400AE"/>
    <w:rsid w:val="00540AF6"/>
    <w:rsid w:val="00541483"/>
    <w:rsid w:val="00541BC2"/>
    <w:rsid w:val="00542BFA"/>
    <w:rsid w:val="00543159"/>
    <w:rsid w:val="005432CC"/>
    <w:rsid w:val="005438A1"/>
    <w:rsid w:val="005440D4"/>
    <w:rsid w:val="00544C9F"/>
    <w:rsid w:val="00544CFA"/>
    <w:rsid w:val="00544FBB"/>
    <w:rsid w:val="005453DE"/>
    <w:rsid w:val="0054599A"/>
    <w:rsid w:val="00545A5B"/>
    <w:rsid w:val="0054649F"/>
    <w:rsid w:val="005469FF"/>
    <w:rsid w:val="00546D52"/>
    <w:rsid w:val="0054787C"/>
    <w:rsid w:val="00547AD6"/>
    <w:rsid w:val="00550431"/>
    <w:rsid w:val="005505DB"/>
    <w:rsid w:val="00550645"/>
    <w:rsid w:val="00551DE7"/>
    <w:rsid w:val="00552204"/>
    <w:rsid w:val="00552A0C"/>
    <w:rsid w:val="00553372"/>
    <w:rsid w:val="0055351A"/>
    <w:rsid w:val="00553D37"/>
    <w:rsid w:val="0055453C"/>
    <w:rsid w:val="0055575B"/>
    <w:rsid w:val="00555E04"/>
    <w:rsid w:val="00555F71"/>
    <w:rsid w:val="00556A6C"/>
    <w:rsid w:val="005570E2"/>
    <w:rsid w:val="005571DE"/>
    <w:rsid w:val="005574FA"/>
    <w:rsid w:val="0056087C"/>
    <w:rsid w:val="00561854"/>
    <w:rsid w:val="005618D3"/>
    <w:rsid w:val="00561A02"/>
    <w:rsid w:val="00561A2D"/>
    <w:rsid w:val="00561EF1"/>
    <w:rsid w:val="0056257C"/>
    <w:rsid w:val="00562A8D"/>
    <w:rsid w:val="00562AAC"/>
    <w:rsid w:val="00563595"/>
    <w:rsid w:val="00563B3C"/>
    <w:rsid w:val="0056425F"/>
    <w:rsid w:val="0056457E"/>
    <w:rsid w:val="00564807"/>
    <w:rsid w:val="00564BA2"/>
    <w:rsid w:val="0056551F"/>
    <w:rsid w:val="0056573A"/>
    <w:rsid w:val="00565B4C"/>
    <w:rsid w:val="005662BD"/>
    <w:rsid w:val="0056652D"/>
    <w:rsid w:val="00566D41"/>
    <w:rsid w:val="00566F28"/>
    <w:rsid w:val="0056709C"/>
    <w:rsid w:val="00567110"/>
    <w:rsid w:val="00570967"/>
    <w:rsid w:val="005709E3"/>
    <w:rsid w:val="0057158B"/>
    <w:rsid w:val="005723A6"/>
    <w:rsid w:val="005723C7"/>
    <w:rsid w:val="0057265F"/>
    <w:rsid w:val="00572E6F"/>
    <w:rsid w:val="005739F8"/>
    <w:rsid w:val="00573CFC"/>
    <w:rsid w:val="00573F96"/>
    <w:rsid w:val="005741BD"/>
    <w:rsid w:val="00574A57"/>
    <w:rsid w:val="00574DA0"/>
    <w:rsid w:val="00574F24"/>
    <w:rsid w:val="00575D20"/>
    <w:rsid w:val="00576854"/>
    <w:rsid w:val="005778E2"/>
    <w:rsid w:val="00577F98"/>
    <w:rsid w:val="0058082D"/>
    <w:rsid w:val="00581512"/>
    <w:rsid w:val="00583268"/>
    <w:rsid w:val="005833AC"/>
    <w:rsid w:val="00584E82"/>
    <w:rsid w:val="005852D9"/>
    <w:rsid w:val="00585352"/>
    <w:rsid w:val="00585840"/>
    <w:rsid w:val="00585F37"/>
    <w:rsid w:val="005868F0"/>
    <w:rsid w:val="00586950"/>
    <w:rsid w:val="00590380"/>
    <w:rsid w:val="0059105B"/>
    <w:rsid w:val="005910F0"/>
    <w:rsid w:val="005918C6"/>
    <w:rsid w:val="00591FD0"/>
    <w:rsid w:val="00592D8B"/>
    <w:rsid w:val="00592E50"/>
    <w:rsid w:val="005939AD"/>
    <w:rsid w:val="005956DC"/>
    <w:rsid w:val="00596023"/>
    <w:rsid w:val="0059626C"/>
    <w:rsid w:val="00596674"/>
    <w:rsid w:val="0059668F"/>
    <w:rsid w:val="00596E04"/>
    <w:rsid w:val="00596EAD"/>
    <w:rsid w:val="00597CF6"/>
    <w:rsid w:val="00597F2E"/>
    <w:rsid w:val="005A08FE"/>
    <w:rsid w:val="005A0A79"/>
    <w:rsid w:val="005A199F"/>
    <w:rsid w:val="005A1D4E"/>
    <w:rsid w:val="005A21AD"/>
    <w:rsid w:val="005A21D0"/>
    <w:rsid w:val="005A2209"/>
    <w:rsid w:val="005A24D7"/>
    <w:rsid w:val="005A258C"/>
    <w:rsid w:val="005A2FF2"/>
    <w:rsid w:val="005A31AA"/>
    <w:rsid w:val="005A3434"/>
    <w:rsid w:val="005A3B3E"/>
    <w:rsid w:val="005A515C"/>
    <w:rsid w:val="005A5568"/>
    <w:rsid w:val="005A67CC"/>
    <w:rsid w:val="005A690A"/>
    <w:rsid w:val="005A6FFF"/>
    <w:rsid w:val="005A7A11"/>
    <w:rsid w:val="005B02E0"/>
    <w:rsid w:val="005B0A56"/>
    <w:rsid w:val="005B10C8"/>
    <w:rsid w:val="005B14DF"/>
    <w:rsid w:val="005B2578"/>
    <w:rsid w:val="005B2B90"/>
    <w:rsid w:val="005B33F4"/>
    <w:rsid w:val="005B386C"/>
    <w:rsid w:val="005B4320"/>
    <w:rsid w:val="005B5055"/>
    <w:rsid w:val="005B5DC9"/>
    <w:rsid w:val="005B7D32"/>
    <w:rsid w:val="005C035E"/>
    <w:rsid w:val="005C0816"/>
    <w:rsid w:val="005C086D"/>
    <w:rsid w:val="005C1439"/>
    <w:rsid w:val="005C1CC4"/>
    <w:rsid w:val="005C1EF3"/>
    <w:rsid w:val="005C2088"/>
    <w:rsid w:val="005C24EB"/>
    <w:rsid w:val="005C3011"/>
    <w:rsid w:val="005C3285"/>
    <w:rsid w:val="005C35CD"/>
    <w:rsid w:val="005C3743"/>
    <w:rsid w:val="005C37B5"/>
    <w:rsid w:val="005C3C15"/>
    <w:rsid w:val="005C45A9"/>
    <w:rsid w:val="005C4D68"/>
    <w:rsid w:val="005C549B"/>
    <w:rsid w:val="005C580E"/>
    <w:rsid w:val="005C5959"/>
    <w:rsid w:val="005C60F3"/>
    <w:rsid w:val="005C6237"/>
    <w:rsid w:val="005C68CA"/>
    <w:rsid w:val="005C6D02"/>
    <w:rsid w:val="005C7008"/>
    <w:rsid w:val="005D0108"/>
    <w:rsid w:val="005D1258"/>
    <w:rsid w:val="005D1F22"/>
    <w:rsid w:val="005D206E"/>
    <w:rsid w:val="005D2272"/>
    <w:rsid w:val="005D29B6"/>
    <w:rsid w:val="005D2BC4"/>
    <w:rsid w:val="005D477A"/>
    <w:rsid w:val="005D49F5"/>
    <w:rsid w:val="005D5190"/>
    <w:rsid w:val="005D6553"/>
    <w:rsid w:val="005D67D3"/>
    <w:rsid w:val="005D6829"/>
    <w:rsid w:val="005D6899"/>
    <w:rsid w:val="005D7BBE"/>
    <w:rsid w:val="005D7E11"/>
    <w:rsid w:val="005E0403"/>
    <w:rsid w:val="005E05F2"/>
    <w:rsid w:val="005E1B09"/>
    <w:rsid w:val="005E28FE"/>
    <w:rsid w:val="005E2A55"/>
    <w:rsid w:val="005E2C50"/>
    <w:rsid w:val="005E3455"/>
    <w:rsid w:val="005E39AF"/>
    <w:rsid w:val="005E3AC1"/>
    <w:rsid w:val="005E3B33"/>
    <w:rsid w:val="005E42F0"/>
    <w:rsid w:val="005E522C"/>
    <w:rsid w:val="005E55EA"/>
    <w:rsid w:val="005E56B5"/>
    <w:rsid w:val="005E56E9"/>
    <w:rsid w:val="005E652F"/>
    <w:rsid w:val="005E7101"/>
    <w:rsid w:val="005E71AD"/>
    <w:rsid w:val="005E7657"/>
    <w:rsid w:val="005E7A8C"/>
    <w:rsid w:val="005E7EB0"/>
    <w:rsid w:val="005F0B0C"/>
    <w:rsid w:val="005F0B11"/>
    <w:rsid w:val="005F0CFF"/>
    <w:rsid w:val="005F22D0"/>
    <w:rsid w:val="005F2D02"/>
    <w:rsid w:val="005F3307"/>
    <w:rsid w:val="005F4A0C"/>
    <w:rsid w:val="005F4BDB"/>
    <w:rsid w:val="005F559D"/>
    <w:rsid w:val="005F5B24"/>
    <w:rsid w:val="005F5E74"/>
    <w:rsid w:val="005F65F0"/>
    <w:rsid w:val="005F6B6C"/>
    <w:rsid w:val="005F7252"/>
    <w:rsid w:val="00600103"/>
    <w:rsid w:val="00600809"/>
    <w:rsid w:val="0060111B"/>
    <w:rsid w:val="00601F5D"/>
    <w:rsid w:val="0060210B"/>
    <w:rsid w:val="00602734"/>
    <w:rsid w:val="00602E83"/>
    <w:rsid w:val="0060375C"/>
    <w:rsid w:val="006038AE"/>
    <w:rsid w:val="00603B6E"/>
    <w:rsid w:val="00604057"/>
    <w:rsid w:val="006043C4"/>
    <w:rsid w:val="006044C2"/>
    <w:rsid w:val="00604B42"/>
    <w:rsid w:val="00605B42"/>
    <w:rsid w:val="00607578"/>
    <w:rsid w:val="00610028"/>
    <w:rsid w:val="00610677"/>
    <w:rsid w:val="006107A9"/>
    <w:rsid w:val="00610CA8"/>
    <w:rsid w:val="006110DE"/>
    <w:rsid w:val="006115DA"/>
    <w:rsid w:val="006119A2"/>
    <w:rsid w:val="00611B8E"/>
    <w:rsid w:val="00611F0C"/>
    <w:rsid w:val="00612E1A"/>
    <w:rsid w:val="00614EAC"/>
    <w:rsid w:val="00615902"/>
    <w:rsid w:val="00615C35"/>
    <w:rsid w:val="00615EB2"/>
    <w:rsid w:val="00615FB0"/>
    <w:rsid w:val="00616011"/>
    <w:rsid w:val="0061666B"/>
    <w:rsid w:val="00616AE7"/>
    <w:rsid w:val="00616BDC"/>
    <w:rsid w:val="00616CFC"/>
    <w:rsid w:val="0061735C"/>
    <w:rsid w:val="006176E3"/>
    <w:rsid w:val="006177C1"/>
    <w:rsid w:val="006203CD"/>
    <w:rsid w:val="00620434"/>
    <w:rsid w:val="00620811"/>
    <w:rsid w:val="00620951"/>
    <w:rsid w:val="00620EE4"/>
    <w:rsid w:val="006216C8"/>
    <w:rsid w:val="0062232A"/>
    <w:rsid w:val="0062245D"/>
    <w:rsid w:val="00622757"/>
    <w:rsid w:val="006230A6"/>
    <w:rsid w:val="006230B6"/>
    <w:rsid w:val="00623CE2"/>
    <w:rsid w:val="00623E78"/>
    <w:rsid w:val="00624149"/>
    <w:rsid w:val="00624A39"/>
    <w:rsid w:val="00624D86"/>
    <w:rsid w:val="00624EAA"/>
    <w:rsid w:val="0062588F"/>
    <w:rsid w:val="00630948"/>
    <w:rsid w:val="006309E7"/>
    <w:rsid w:val="00630B98"/>
    <w:rsid w:val="00631201"/>
    <w:rsid w:val="00631239"/>
    <w:rsid w:val="00631410"/>
    <w:rsid w:val="00631632"/>
    <w:rsid w:val="00631E29"/>
    <w:rsid w:val="0063225A"/>
    <w:rsid w:val="00632AD6"/>
    <w:rsid w:val="00632DBE"/>
    <w:rsid w:val="00634E55"/>
    <w:rsid w:val="0063531B"/>
    <w:rsid w:val="006355ED"/>
    <w:rsid w:val="00635DDA"/>
    <w:rsid w:val="00636B24"/>
    <w:rsid w:val="006370F1"/>
    <w:rsid w:val="0063730C"/>
    <w:rsid w:val="006373CB"/>
    <w:rsid w:val="00637FBB"/>
    <w:rsid w:val="00640B97"/>
    <w:rsid w:val="00641007"/>
    <w:rsid w:val="0064249C"/>
    <w:rsid w:val="0064261B"/>
    <w:rsid w:val="006427F2"/>
    <w:rsid w:val="006431AB"/>
    <w:rsid w:val="006432BF"/>
    <w:rsid w:val="00643FFD"/>
    <w:rsid w:val="00644A9F"/>
    <w:rsid w:val="00644D23"/>
    <w:rsid w:val="00645021"/>
    <w:rsid w:val="0064548F"/>
    <w:rsid w:val="00646AE3"/>
    <w:rsid w:val="00646C6D"/>
    <w:rsid w:val="0064743A"/>
    <w:rsid w:val="006474EE"/>
    <w:rsid w:val="00647A6F"/>
    <w:rsid w:val="00651410"/>
    <w:rsid w:val="0065199A"/>
    <w:rsid w:val="00653085"/>
    <w:rsid w:val="006531C4"/>
    <w:rsid w:val="006535AA"/>
    <w:rsid w:val="006536AA"/>
    <w:rsid w:val="00653BD1"/>
    <w:rsid w:val="00654487"/>
    <w:rsid w:val="00655E4C"/>
    <w:rsid w:val="00655F59"/>
    <w:rsid w:val="00656FD0"/>
    <w:rsid w:val="0065722E"/>
    <w:rsid w:val="00657731"/>
    <w:rsid w:val="00657D0B"/>
    <w:rsid w:val="00657E51"/>
    <w:rsid w:val="0066071E"/>
    <w:rsid w:val="00660A4D"/>
    <w:rsid w:val="00660B6A"/>
    <w:rsid w:val="006620A6"/>
    <w:rsid w:val="00662510"/>
    <w:rsid w:val="006630E1"/>
    <w:rsid w:val="00663220"/>
    <w:rsid w:val="006636FE"/>
    <w:rsid w:val="00663956"/>
    <w:rsid w:val="00664390"/>
    <w:rsid w:val="0066481E"/>
    <w:rsid w:val="00665328"/>
    <w:rsid w:val="0066557F"/>
    <w:rsid w:val="0066598A"/>
    <w:rsid w:val="0066639F"/>
    <w:rsid w:val="006668FE"/>
    <w:rsid w:val="00667890"/>
    <w:rsid w:val="006679D4"/>
    <w:rsid w:val="006701E7"/>
    <w:rsid w:val="00671088"/>
    <w:rsid w:val="006713B3"/>
    <w:rsid w:val="00671968"/>
    <w:rsid w:val="0067246F"/>
    <w:rsid w:val="00673043"/>
    <w:rsid w:val="006734E1"/>
    <w:rsid w:val="006734FE"/>
    <w:rsid w:val="00673E21"/>
    <w:rsid w:val="00674364"/>
    <w:rsid w:val="00674607"/>
    <w:rsid w:val="00674726"/>
    <w:rsid w:val="00674740"/>
    <w:rsid w:val="00675126"/>
    <w:rsid w:val="00675373"/>
    <w:rsid w:val="006768BE"/>
    <w:rsid w:val="006769E1"/>
    <w:rsid w:val="00676E19"/>
    <w:rsid w:val="00677E34"/>
    <w:rsid w:val="006802F4"/>
    <w:rsid w:val="00680336"/>
    <w:rsid w:val="00680432"/>
    <w:rsid w:val="0068048D"/>
    <w:rsid w:val="00680971"/>
    <w:rsid w:val="006809C0"/>
    <w:rsid w:val="006809F5"/>
    <w:rsid w:val="00681513"/>
    <w:rsid w:val="0068161C"/>
    <w:rsid w:val="00681F6E"/>
    <w:rsid w:val="00682CFE"/>
    <w:rsid w:val="00682E70"/>
    <w:rsid w:val="00683388"/>
    <w:rsid w:val="00683439"/>
    <w:rsid w:val="00683C22"/>
    <w:rsid w:val="00684789"/>
    <w:rsid w:val="00686F8C"/>
    <w:rsid w:val="00686FE2"/>
    <w:rsid w:val="00690593"/>
    <w:rsid w:val="00691300"/>
    <w:rsid w:val="00691937"/>
    <w:rsid w:val="00691A3F"/>
    <w:rsid w:val="006922B9"/>
    <w:rsid w:val="0069249B"/>
    <w:rsid w:val="00693119"/>
    <w:rsid w:val="006931A5"/>
    <w:rsid w:val="00693CCE"/>
    <w:rsid w:val="006943F0"/>
    <w:rsid w:val="00694E9C"/>
    <w:rsid w:val="0069518D"/>
    <w:rsid w:val="0069564A"/>
    <w:rsid w:val="00695BC1"/>
    <w:rsid w:val="00696057"/>
    <w:rsid w:val="00696756"/>
    <w:rsid w:val="00696932"/>
    <w:rsid w:val="00696E18"/>
    <w:rsid w:val="00696F6C"/>
    <w:rsid w:val="00697E62"/>
    <w:rsid w:val="006A0443"/>
    <w:rsid w:val="006A0986"/>
    <w:rsid w:val="006A10F5"/>
    <w:rsid w:val="006A1DCF"/>
    <w:rsid w:val="006A282B"/>
    <w:rsid w:val="006A3385"/>
    <w:rsid w:val="006A4110"/>
    <w:rsid w:val="006A59E6"/>
    <w:rsid w:val="006A65B7"/>
    <w:rsid w:val="006A65DF"/>
    <w:rsid w:val="006A67E2"/>
    <w:rsid w:val="006A6B4C"/>
    <w:rsid w:val="006A6E0B"/>
    <w:rsid w:val="006A6EAE"/>
    <w:rsid w:val="006A70E4"/>
    <w:rsid w:val="006A713F"/>
    <w:rsid w:val="006A7208"/>
    <w:rsid w:val="006A7623"/>
    <w:rsid w:val="006B0C71"/>
    <w:rsid w:val="006B0FE2"/>
    <w:rsid w:val="006B14CD"/>
    <w:rsid w:val="006B1575"/>
    <w:rsid w:val="006B1D50"/>
    <w:rsid w:val="006B2548"/>
    <w:rsid w:val="006B289F"/>
    <w:rsid w:val="006B2AA5"/>
    <w:rsid w:val="006B2DF3"/>
    <w:rsid w:val="006B2FAE"/>
    <w:rsid w:val="006B3442"/>
    <w:rsid w:val="006B34C8"/>
    <w:rsid w:val="006B35C3"/>
    <w:rsid w:val="006B40CD"/>
    <w:rsid w:val="006B43A4"/>
    <w:rsid w:val="006B4A76"/>
    <w:rsid w:val="006B4D19"/>
    <w:rsid w:val="006B4E85"/>
    <w:rsid w:val="006B566A"/>
    <w:rsid w:val="006B5B1A"/>
    <w:rsid w:val="006B5B47"/>
    <w:rsid w:val="006B5DA8"/>
    <w:rsid w:val="006B5DC2"/>
    <w:rsid w:val="006B70EF"/>
    <w:rsid w:val="006B74CD"/>
    <w:rsid w:val="006B7961"/>
    <w:rsid w:val="006C03C3"/>
    <w:rsid w:val="006C0AA4"/>
    <w:rsid w:val="006C0D5C"/>
    <w:rsid w:val="006C1A0F"/>
    <w:rsid w:val="006C1AAA"/>
    <w:rsid w:val="006C211E"/>
    <w:rsid w:val="006C2284"/>
    <w:rsid w:val="006C229F"/>
    <w:rsid w:val="006C23C0"/>
    <w:rsid w:val="006C2656"/>
    <w:rsid w:val="006C31D9"/>
    <w:rsid w:val="006C32CA"/>
    <w:rsid w:val="006C3CEE"/>
    <w:rsid w:val="006C4215"/>
    <w:rsid w:val="006C466C"/>
    <w:rsid w:val="006C4D56"/>
    <w:rsid w:val="006C4E04"/>
    <w:rsid w:val="006C51D6"/>
    <w:rsid w:val="006C7B90"/>
    <w:rsid w:val="006D084E"/>
    <w:rsid w:val="006D1138"/>
    <w:rsid w:val="006D1304"/>
    <w:rsid w:val="006D15D1"/>
    <w:rsid w:val="006D180D"/>
    <w:rsid w:val="006D1BD4"/>
    <w:rsid w:val="006D1ECD"/>
    <w:rsid w:val="006D24C9"/>
    <w:rsid w:val="006D25A9"/>
    <w:rsid w:val="006D304E"/>
    <w:rsid w:val="006D48DE"/>
    <w:rsid w:val="006D4DE7"/>
    <w:rsid w:val="006D51E7"/>
    <w:rsid w:val="006D5446"/>
    <w:rsid w:val="006D55C4"/>
    <w:rsid w:val="006D57C0"/>
    <w:rsid w:val="006D6179"/>
    <w:rsid w:val="006E10AA"/>
    <w:rsid w:val="006E1995"/>
    <w:rsid w:val="006E1BCC"/>
    <w:rsid w:val="006E2562"/>
    <w:rsid w:val="006E256D"/>
    <w:rsid w:val="006E293D"/>
    <w:rsid w:val="006E2FCC"/>
    <w:rsid w:val="006E2FF1"/>
    <w:rsid w:val="006E313E"/>
    <w:rsid w:val="006E348B"/>
    <w:rsid w:val="006E397B"/>
    <w:rsid w:val="006E3BD4"/>
    <w:rsid w:val="006E4CBC"/>
    <w:rsid w:val="006E56E7"/>
    <w:rsid w:val="006E6594"/>
    <w:rsid w:val="006F0430"/>
    <w:rsid w:val="006F1525"/>
    <w:rsid w:val="006F155D"/>
    <w:rsid w:val="006F1872"/>
    <w:rsid w:val="006F1888"/>
    <w:rsid w:val="006F1C32"/>
    <w:rsid w:val="006F2371"/>
    <w:rsid w:val="006F2945"/>
    <w:rsid w:val="006F2DCF"/>
    <w:rsid w:val="006F39BB"/>
    <w:rsid w:val="006F4F47"/>
    <w:rsid w:val="006F5836"/>
    <w:rsid w:val="006F650F"/>
    <w:rsid w:val="006F66B9"/>
    <w:rsid w:val="006F67CB"/>
    <w:rsid w:val="006F6937"/>
    <w:rsid w:val="006F6F6C"/>
    <w:rsid w:val="006F7BB7"/>
    <w:rsid w:val="00700346"/>
    <w:rsid w:val="00700CA2"/>
    <w:rsid w:val="007011D1"/>
    <w:rsid w:val="0070158F"/>
    <w:rsid w:val="007018AC"/>
    <w:rsid w:val="00701D35"/>
    <w:rsid w:val="00701E8E"/>
    <w:rsid w:val="00702141"/>
    <w:rsid w:val="00703991"/>
    <w:rsid w:val="00703C91"/>
    <w:rsid w:val="00704798"/>
    <w:rsid w:val="007049E2"/>
    <w:rsid w:val="007059DB"/>
    <w:rsid w:val="00706804"/>
    <w:rsid w:val="007079CC"/>
    <w:rsid w:val="0071080F"/>
    <w:rsid w:val="00711542"/>
    <w:rsid w:val="007117A4"/>
    <w:rsid w:val="00713F4A"/>
    <w:rsid w:val="00714137"/>
    <w:rsid w:val="00714719"/>
    <w:rsid w:val="00714AEC"/>
    <w:rsid w:val="00714E12"/>
    <w:rsid w:val="00715724"/>
    <w:rsid w:val="00717450"/>
    <w:rsid w:val="00720A96"/>
    <w:rsid w:val="00721020"/>
    <w:rsid w:val="0072192D"/>
    <w:rsid w:val="00722C97"/>
    <w:rsid w:val="00724A21"/>
    <w:rsid w:val="00724C53"/>
    <w:rsid w:val="007250FB"/>
    <w:rsid w:val="00725990"/>
    <w:rsid w:val="00725BEA"/>
    <w:rsid w:val="00727A12"/>
    <w:rsid w:val="007318FA"/>
    <w:rsid w:val="007322DC"/>
    <w:rsid w:val="0073268E"/>
    <w:rsid w:val="00732BF5"/>
    <w:rsid w:val="00732C01"/>
    <w:rsid w:val="00733024"/>
    <w:rsid w:val="007330EB"/>
    <w:rsid w:val="00733C6E"/>
    <w:rsid w:val="00733F55"/>
    <w:rsid w:val="00734F29"/>
    <w:rsid w:val="00734F47"/>
    <w:rsid w:val="00736230"/>
    <w:rsid w:val="0073649A"/>
    <w:rsid w:val="00736B36"/>
    <w:rsid w:val="00737013"/>
    <w:rsid w:val="00737356"/>
    <w:rsid w:val="0073775F"/>
    <w:rsid w:val="007402B2"/>
    <w:rsid w:val="00740841"/>
    <w:rsid w:val="00740B1B"/>
    <w:rsid w:val="0074176F"/>
    <w:rsid w:val="00741B8B"/>
    <w:rsid w:val="0074276D"/>
    <w:rsid w:val="00742C38"/>
    <w:rsid w:val="00744CAF"/>
    <w:rsid w:val="0074517F"/>
    <w:rsid w:val="00745C6F"/>
    <w:rsid w:val="00746450"/>
    <w:rsid w:val="00746A96"/>
    <w:rsid w:val="0075069D"/>
    <w:rsid w:val="00751187"/>
    <w:rsid w:val="00751971"/>
    <w:rsid w:val="00751CBE"/>
    <w:rsid w:val="007521F4"/>
    <w:rsid w:val="007526FF"/>
    <w:rsid w:val="00752A59"/>
    <w:rsid w:val="00752F4C"/>
    <w:rsid w:val="007535FE"/>
    <w:rsid w:val="007537CF"/>
    <w:rsid w:val="00753C18"/>
    <w:rsid w:val="0075447F"/>
    <w:rsid w:val="00754790"/>
    <w:rsid w:val="00755F6E"/>
    <w:rsid w:val="007576B6"/>
    <w:rsid w:val="0076021D"/>
    <w:rsid w:val="00761302"/>
    <w:rsid w:val="00762468"/>
    <w:rsid w:val="00762F2A"/>
    <w:rsid w:val="00763501"/>
    <w:rsid w:val="007635E2"/>
    <w:rsid w:val="007636EC"/>
    <w:rsid w:val="00763734"/>
    <w:rsid w:val="00763764"/>
    <w:rsid w:val="00764026"/>
    <w:rsid w:val="007643B5"/>
    <w:rsid w:val="007643C4"/>
    <w:rsid w:val="007648C5"/>
    <w:rsid w:val="00764A3E"/>
    <w:rsid w:val="00764B74"/>
    <w:rsid w:val="00765D61"/>
    <w:rsid w:val="0076709D"/>
    <w:rsid w:val="00767164"/>
    <w:rsid w:val="00767333"/>
    <w:rsid w:val="0077025D"/>
    <w:rsid w:val="00770296"/>
    <w:rsid w:val="0077036F"/>
    <w:rsid w:val="0077042C"/>
    <w:rsid w:val="007706CD"/>
    <w:rsid w:val="00770980"/>
    <w:rsid w:val="00770CC7"/>
    <w:rsid w:val="00771818"/>
    <w:rsid w:val="00771A39"/>
    <w:rsid w:val="00771AF5"/>
    <w:rsid w:val="00772CD1"/>
    <w:rsid w:val="00772F24"/>
    <w:rsid w:val="00773266"/>
    <w:rsid w:val="0077346F"/>
    <w:rsid w:val="00773A60"/>
    <w:rsid w:val="00774740"/>
    <w:rsid w:val="00774B2D"/>
    <w:rsid w:val="00775066"/>
    <w:rsid w:val="00775151"/>
    <w:rsid w:val="00775797"/>
    <w:rsid w:val="007760A1"/>
    <w:rsid w:val="0077617B"/>
    <w:rsid w:val="00777004"/>
    <w:rsid w:val="00777985"/>
    <w:rsid w:val="00777E18"/>
    <w:rsid w:val="007807B8"/>
    <w:rsid w:val="007809B7"/>
    <w:rsid w:val="007810A9"/>
    <w:rsid w:val="007810F0"/>
    <w:rsid w:val="007816BF"/>
    <w:rsid w:val="00781E05"/>
    <w:rsid w:val="00781E51"/>
    <w:rsid w:val="00781F1F"/>
    <w:rsid w:val="007820A8"/>
    <w:rsid w:val="00782284"/>
    <w:rsid w:val="007824D5"/>
    <w:rsid w:val="007827D0"/>
    <w:rsid w:val="00782A2D"/>
    <w:rsid w:val="007834E5"/>
    <w:rsid w:val="007837F6"/>
    <w:rsid w:val="007840F1"/>
    <w:rsid w:val="0078454B"/>
    <w:rsid w:val="007845D2"/>
    <w:rsid w:val="0078463E"/>
    <w:rsid w:val="007849FE"/>
    <w:rsid w:val="00785853"/>
    <w:rsid w:val="00785B99"/>
    <w:rsid w:val="00786605"/>
    <w:rsid w:val="00786E18"/>
    <w:rsid w:val="00786F5D"/>
    <w:rsid w:val="00790F64"/>
    <w:rsid w:val="0079151F"/>
    <w:rsid w:val="00791565"/>
    <w:rsid w:val="0079217C"/>
    <w:rsid w:val="007928BD"/>
    <w:rsid w:val="0079311B"/>
    <w:rsid w:val="007938E4"/>
    <w:rsid w:val="00793D25"/>
    <w:rsid w:val="00795DA1"/>
    <w:rsid w:val="00796325"/>
    <w:rsid w:val="00796551"/>
    <w:rsid w:val="00796584"/>
    <w:rsid w:val="007966BC"/>
    <w:rsid w:val="0079709E"/>
    <w:rsid w:val="00797EA2"/>
    <w:rsid w:val="007A0888"/>
    <w:rsid w:val="007A128F"/>
    <w:rsid w:val="007A17CB"/>
    <w:rsid w:val="007A1874"/>
    <w:rsid w:val="007A1C9C"/>
    <w:rsid w:val="007A2783"/>
    <w:rsid w:val="007A29C2"/>
    <w:rsid w:val="007A2AC3"/>
    <w:rsid w:val="007A2DF3"/>
    <w:rsid w:val="007A2DF6"/>
    <w:rsid w:val="007A353D"/>
    <w:rsid w:val="007A413F"/>
    <w:rsid w:val="007A54E5"/>
    <w:rsid w:val="007A5FB4"/>
    <w:rsid w:val="007A649E"/>
    <w:rsid w:val="007A742C"/>
    <w:rsid w:val="007A7DAC"/>
    <w:rsid w:val="007A7DC9"/>
    <w:rsid w:val="007B0EA8"/>
    <w:rsid w:val="007B1FA4"/>
    <w:rsid w:val="007B23BE"/>
    <w:rsid w:val="007B2B42"/>
    <w:rsid w:val="007B2DA9"/>
    <w:rsid w:val="007B3172"/>
    <w:rsid w:val="007B3295"/>
    <w:rsid w:val="007B3865"/>
    <w:rsid w:val="007B3C3C"/>
    <w:rsid w:val="007B47CD"/>
    <w:rsid w:val="007B4D35"/>
    <w:rsid w:val="007B60D7"/>
    <w:rsid w:val="007B668C"/>
    <w:rsid w:val="007B6DE2"/>
    <w:rsid w:val="007C006A"/>
    <w:rsid w:val="007C0FFB"/>
    <w:rsid w:val="007C1034"/>
    <w:rsid w:val="007C1B67"/>
    <w:rsid w:val="007C1BDA"/>
    <w:rsid w:val="007C3760"/>
    <w:rsid w:val="007C3BA3"/>
    <w:rsid w:val="007C3C1D"/>
    <w:rsid w:val="007C3E24"/>
    <w:rsid w:val="007C45BC"/>
    <w:rsid w:val="007C4CD1"/>
    <w:rsid w:val="007C5F79"/>
    <w:rsid w:val="007C638D"/>
    <w:rsid w:val="007C650E"/>
    <w:rsid w:val="007C781E"/>
    <w:rsid w:val="007C7FEC"/>
    <w:rsid w:val="007D0079"/>
    <w:rsid w:val="007D0301"/>
    <w:rsid w:val="007D0DEE"/>
    <w:rsid w:val="007D1467"/>
    <w:rsid w:val="007D17EB"/>
    <w:rsid w:val="007D301E"/>
    <w:rsid w:val="007D31E9"/>
    <w:rsid w:val="007D3C98"/>
    <w:rsid w:val="007D4A41"/>
    <w:rsid w:val="007D50A2"/>
    <w:rsid w:val="007D60DB"/>
    <w:rsid w:val="007D6374"/>
    <w:rsid w:val="007D68F5"/>
    <w:rsid w:val="007D6AC9"/>
    <w:rsid w:val="007D6E02"/>
    <w:rsid w:val="007D7084"/>
    <w:rsid w:val="007D7177"/>
    <w:rsid w:val="007D749F"/>
    <w:rsid w:val="007E135B"/>
    <w:rsid w:val="007E17E1"/>
    <w:rsid w:val="007E1D13"/>
    <w:rsid w:val="007E2A52"/>
    <w:rsid w:val="007E2FAC"/>
    <w:rsid w:val="007E306D"/>
    <w:rsid w:val="007E3D1B"/>
    <w:rsid w:val="007E3E3B"/>
    <w:rsid w:val="007E429B"/>
    <w:rsid w:val="007E4652"/>
    <w:rsid w:val="007E488D"/>
    <w:rsid w:val="007E5207"/>
    <w:rsid w:val="007E61F3"/>
    <w:rsid w:val="007E6240"/>
    <w:rsid w:val="007E74D3"/>
    <w:rsid w:val="007E79DA"/>
    <w:rsid w:val="007F0139"/>
    <w:rsid w:val="007F01BF"/>
    <w:rsid w:val="007F020C"/>
    <w:rsid w:val="007F02C8"/>
    <w:rsid w:val="007F14A6"/>
    <w:rsid w:val="007F158E"/>
    <w:rsid w:val="007F19B6"/>
    <w:rsid w:val="007F2109"/>
    <w:rsid w:val="007F2623"/>
    <w:rsid w:val="007F4517"/>
    <w:rsid w:val="007F4785"/>
    <w:rsid w:val="007F54E9"/>
    <w:rsid w:val="007F565F"/>
    <w:rsid w:val="007F5B27"/>
    <w:rsid w:val="007F74E0"/>
    <w:rsid w:val="007F78B3"/>
    <w:rsid w:val="0080031C"/>
    <w:rsid w:val="00800F5F"/>
    <w:rsid w:val="008012D4"/>
    <w:rsid w:val="00801742"/>
    <w:rsid w:val="00801B86"/>
    <w:rsid w:val="008021E1"/>
    <w:rsid w:val="008023D6"/>
    <w:rsid w:val="008024C2"/>
    <w:rsid w:val="008024D1"/>
    <w:rsid w:val="0080252E"/>
    <w:rsid w:val="0080255F"/>
    <w:rsid w:val="0080332E"/>
    <w:rsid w:val="00803E7C"/>
    <w:rsid w:val="00803F73"/>
    <w:rsid w:val="00805E4D"/>
    <w:rsid w:val="00806400"/>
    <w:rsid w:val="00807470"/>
    <w:rsid w:val="00807528"/>
    <w:rsid w:val="00807AF0"/>
    <w:rsid w:val="00807D6A"/>
    <w:rsid w:val="00810341"/>
    <w:rsid w:val="008107A5"/>
    <w:rsid w:val="00810BC2"/>
    <w:rsid w:val="00810E05"/>
    <w:rsid w:val="00811103"/>
    <w:rsid w:val="00812533"/>
    <w:rsid w:val="008134E4"/>
    <w:rsid w:val="00813CA3"/>
    <w:rsid w:val="0081420C"/>
    <w:rsid w:val="008143FA"/>
    <w:rsid w:val="00815B06"/>
    <w:rsid w:val="00815BCB"/>
    <w:rsid w:val="00816573"/>
    <w:rsid w:val="0081712A"/>
    <w:rsid w:val="0081778C"/>
    <w:rsid w:val="00820A4A"/>
    <w:rsid w:val="00820CC4"/>
    <w:rsid w:val="00820E34"/>
    <w:rsid w:val="00820E5D"/>
    <w:rsid w:val="008210B5"/>
    <w:rsid w:val="0082149D"/>
    <w:rsid w:val="008214D9"/>
    <w:rsid w:val="00821BA2"/>
    <w:rsid w:val="00822466"/>
    <w:rsid w:val="00822698"/>
    <w:rsid w:val="00822788"/>
    <w:rsid w:val="008229F7"/>
    <w:rsid w:val="00823114"/>
    <w:rsid w:val="00823567"/>
    <w:rsid w:val="00823D72"/>
    <w:rsid w:val="00823F7A"/>
    <w:rsid w:val="008242C3"/>
    <w:rsid w:val="00824611"/>
    <w:rsid w:val="0082654E"/>
    <w:rsid w:val="00826A6A"/>
    <w:rsid w:val="00826BDD"/>
    <w:rsid w:val="00827D2C"/>
    <w:rsid w:val="0083004A"/>
    <w:rsid w:val="008314CC"/>
    <w:rsid w:val="008317AB"/>
    <w:rsid w:val="00831C58"/>
    <w:rsid w:val="00831C80"/>
    <w:rsid w:val="00833371"/>
    <w:rsid w:val="008333FF"/>
    <w:rsid w:val="00833AE0"/>
    <w:rsid w:val="00834ADC"/>
    <w:rsid w:val="00835794"/>
    <w:rsid w:val="00835E23"/>
    <w:rsid w:val="0083615A"/>
    <w:rsid w:val="008370A7"/>
    <w:rsid w:val="00837272"/>
    <w:rsid w:val="008372D2"/>
    <w:rsid w:val="00840103"/>
    <w:rsid w:val="008404F6"/>
    <w:rsid w:val="008406D1"/>
    <w:rsid w:val="00841044"/>
    <w:rsid w:val="008411F7"/>
    <w:rsid w:val="00841FBA"/>
    <w:rsid w:val="00842101"/>
    <w:rsid w:val="008430C9"/>
    <w:rsid w:val="008437CD"/>
    <w:rsid w:val="00843AE1"/>
    <w:rsid w:val="0084434E"/>
    <w:rsid w:val="0084477A"/>
    <w:rsid w:val="00845484"/>
    <w:rsid w:val="008461CB"/>
    <w:rsid w:val="008462E8"/>
    <w:rsid w:val="00847CD8"/>
    <w:rsid w:val="0085040A"/>
    <w:rsid w:val="00850C90"/>
    <w:rsid w:val="00850FAB"/>
    <w:rsid w:val="00851493"/>
    <w:rsid w:val="008517C5"/>
    <w:rsid w:val="00852B58"/>
    <w:rsid w:val="008539A6"/>
    <w:rsid w:val="0085515F"/>
    <w:rsid w:val="008551F5"/>
    <w:rsid w:val="0085541C"/>
    <w:rsid w:val="008559E6"/>
    <w:rsid w:val="008564D2"/>
    <w:rsid w:val="00857234"/>
    <w:rsid w:val="00857262"/>
    <w:rsid w:val="008574EB"/>
    <w:rsid w:val="008601CA"/>
    <w:rsid w:val="0086028C"/>
    <w:rsid w:val="00860783"/>
    <w:rsid w:val="008609CB"/>
    <w:rsid w:val="00861A5D"/>
    <w:rsid w:val="00861F88"/>
    <w:rsid w:val="0086214E"/>
    <w:rsid w:val="00862346"/>
    <w:rsid w:val="00862BEB"/>
    <w:rsid w:val="0086308B"/>
    <w:rsid w:val="008633C6"/>
    <w:rsid w:val="008639D0"/>
    <w:rsid w:val="0086503C"/>
    <w:rsid w:val="00865207"/>
    <w:rsid w:val="00865D84"/>
    <w:rsid w:val="00866391"/>
    <w:rsid w:val="008675BE"/>
    <w:rsid w:val="00870AA1"/>
    <w:rsid w:val="00871122"/>
    <w:rsid w:val="00871942"/>
    <w:rsid w:val="00871E6B"/>
    <w:rsid w:val="00871ECF"/>
    <w:rsid w:val="00872358"/>
    <w:rsid w:val="008726B6"/>
    <w:rsid w:val="00872B36"/>
    <w:rsid w:val="00874508"/>
    <w:rsid w:val="00874B98"/>
    <w:rsid w:val="008750C7"/>
    <w:rsid w:val="0087586A"/>
    <w:rsid w:val="00876E77"/>
    <w:rsid w:val="00876FF4"/>
    <w:rsid w:val="00877DAA"/>
    <w:rsid w:val="008804B7"/>
    <w:rsid w:val="00880621"/>
    <w:rsid w:val="00880A25"/>
    <w:rsid w:val="008814DD"/>
    <w:rsid w:val="00881C95"/>
    <w:rsid w:val="00882662"/>
    <w:rsid w:val="008826BE"/>
    <w:rsid w:val="00882969"/>
    <w:rsid w:val="00882B6A"/>
    <w:rsid w:val="00882C36"/>
    <w:rsid w:val="00882D62"/>
    <w:rsid w:val="00883396"/>
    <w:rsid w:val="00883C81"/>
    <w:rsid w:val="00884148"/>
    <w:rsid w:val="00884416"/>
    <w:rsid w:val="00885651"/>
    <w:rsid w:val="00885905"/>
    <w:rsid w:val="00885C45"/>
    <w:rsid w:val="0088628B"/>
    <w:rsid w:val="00886636"/>
    <w:rsid w:val="0088693B"/>
    <w:rsid w:val="00886A22"/>
    <w:rsid w:val="00886C6B"/>
    <w:rsid w:val="00886FEA"/>
    <w:rsid w:val="0089060E"/>
    <w:rsid w:val="0089111A"/>
    <w:rsid w:val="0089157D"/>
    <w:rsid w:val="008915C5"/>
    <w:rsid w:val="00892089"/>
    <w:rsid w:val="00892103"/>
    <w:rsid w:val="0089262B"/>
    <w:rsid w:val="00893344"/>
    <w:rsid w:val="00893955"/>
    <w:rsid w:val="008942E5"/>
    <w:rsid w:val="008958A6"/>
    <w:rsid w:val="0089634B"/>
    <w:rsid w:val="008964ED"/>
    <w:rsid w:val="008965BD"/>
    <w:rsid w:val="00896C33"/>
    <w:rsid w:val="00897183"/>
    <w:rsid w:val="008A090B"/>
    <w:rsid w:val="008A13A1"/>
    <w:rsid w:val="008A1455"/>
    <w:rsid w:val="008A1B92"/>
    <w:rsid w:val="008A1ED1"/>
    <w:rsid w:val="008A2368"/>
    <w:rsid w:val="008A3128"/>
    <w:rsid w:val="008A3203"/>
    <w:rsid w:val="008A353E"/>
    <w:rsid w:val="008A4B68"/>
    <w:rsid w:val="008A50C2"/>
    <w:rsid w:val="008A60F4"/>
    <w:rsid w:val="008A6B22"/>
    <w:rsid w:val="008A6B76"/>
    <w:rsid w:val="008A6C2C"/>
    <w:rsid w:val="008A767B"/>
    <w:rsid w:val="008A7E13"/>
    <w:rsid w:val="008A7F79"/>
    <w:rsid w:val="008B124E"/>
    <w:rsid w:val="008B12D5"/>
    <w:rsid w:val="008B1723"/>
    <w:rsid w:val="008B232D"/>
    <w:rsid w:val="008B3712"/>
    <w:rsid w:val="008B3E2E"/>
    <w:rsid w:val="008B416F"/>
    <w:rsid w:val="008B4811"/>
    <w:rsid w:val="008B4D09"/>
    <w:rsid w:val="008B5F90"/>
    <w:rsid w:val="008B7ADD"/>
    <w:rsid w:val="008B7EF2"/>
    <w:rsid w:val="008C011C"/>
    <w:rsid w:val="008C05C8"/>
    <w:rsid w:val="008C0D17"/>
    <w:rsid w:val="008C15A5"/>
    <w:rsid w:val="008C18C8"/>
    <w:rsid w:val="008C2247"/>
    <w:rsid w:val="008C3638"/>
    <w:rsid w:val="008C3B99"/>
    <w:rsid w:val="008C3F7E"/>
    <w:rsid w:val="008C510B"/>
    <w:rsid w:val="008C540C"/>
    <w:rsid w:val="008C5CAE"/>
    <w:rsid w:val="008C5F79"/>
    <w:rsid w:val="008C5F93"/>
    <w:rsid w:val="008C63EF"/>
    <w:rsid w:val="008C67C4"/>
    <w:rsid w:val="008C6E4F"/>
    <w:rsid w:val="008C6FB7"/>
    <w:rsid w:val="008C78B6"/>
    <w:rsid w:val="008C7F8E"/>
    <w:rsid w:val="008D121C"/>
    <w:rsid w:val="008D1700"/>
    <w:rsid w:val="008D18A0"/>
    <w:rsid w:val="008D25E2"/>
    <w:rsid w:val="008D27D9"/>
    <w:rsid w:val="008D2EBE"/>
    <w:rsid w:val="008D2FFE"/>
    <w:rsid w:val="008D3BAF"/>
    <w:rsid w:val="008D5017"/>
    <w:rsid w:val="008D573A"/>
    <w:rsid w:val="008D5F82"/>
    <w:rsid w:val="008D6954"/>
    <w:rsid w:val="008D7031"/>
    <w:rsid w:val="008D7292"/>
    <w:rsid w:val="008E0495"/>
    <w:rsid w:val="008E063D"/>
    <w:rsid w:val="008E08DE"/>
    <w:rsid w:val="008E0C74"/>
    <w:rsid w:val="008E2A4C"/>
    <w:rsid w:val="008E2B86"/>
    <w:rsid w:val="008E2C3F"/>
    <w:rsid w:val="008E3269"/>
    <w:rsid w:val="008E35CF"/>
    <w:rsid w:val="008E3753"/>
    <w:rsid w:val="008E5E8F"/>
    <w:rsid w:val="008E6CFC"/>
    <w:rsid w:val="008E70D2"/>
    <w:rsid w:val="008F0E1F"/>
    <w:rsid w:val="008F1892"/>
    <w:rsid w:val="008F1F77"/>
    <w:rsid w:val="008F26DE"/>
    <w:rsid w:val="008F27C9"/>
    <w:rsid w:val="008F3E5F"/>
    <w:rsid w:val="008F3F46"/>
    <w:rsid w:val="008F40B4"/>
    <w:rsid w:val="008F47B6"/>
    <w:rsid w:val="008F4BB1"/>
    <w:rsid w:val="008F6DB1"/>
    <w:rsid w:val="008F6EBC"/>
    <w:rsid w:val="008F6FF9"/>
    <w:rsid w:val="008F7728"/>
    <w:rsid w:val="008F79E7"/>
    <w:rsid w:val="008F7E62"/>
    <w:rsid w:val="008F7E85"/>
    <w:rsid w:val="009008B4"/>
    <w:rsid w:val="00900EFD"/>
    <w:rsid w:val="0090159E"/>
    <w:rsid w:val="00901C4B"/>
    <w:rsid w:val="009026B0"/>
    <w:rsid w:val="00902B93"/>
    <w:rsid w:val="0090363E"/>
    <w:rsid w:val="009038D8"/>
    <w:rsid w:val="00903AD9"/>
    <w:rsid w:val="00903B61"/>
    <w:rsid w:val="00904060"/>
    <w:rsid w:val="00904D1D"/>
    <w:rsid w:val="00905794"/>
    <w:rsid w:val="009057A1"/>
    <w:rsid w:val="00905936"/>
    <w:rsid w:val="00905C0B"/>
    <w:rsid w:val="009060CB"/>
    <w:rsid w:val="009063C2"/>
    <w:rsid w:val="00906A4A"/>
    <w:rsid w:val="009072DC"/>
    <w:rsid w:val="009073A3"/>
    <w:rsid w:val="0091071E"/>
    <w:rsid w:val="009108C3"/>
    <w:rsid w:val="00911609"/>
    <w:rsid w:val="00911EEF"/>
    <w:rsid w:val="0091238D"/>
    <w:rsid w:val="009124BA"/>
    <w:rsid w:val="009127C3"/>
    <w:rsid w:val="00912ABF"/>
    <w:rsid w:val="00913144"/>
    <w:rsid w:val="009133DA"/>
    <w:rsid w:val="009138D1"/>
    <w:rsid w:val="0091396B"/>
    <w:rsid w:val="0091396E"/>
    <w:rsid w:val="00913D83"/>
    <w:rsid w:val="0091539E"/>
    <w:rsid w:val="0091665F"/>
    <w:rsid w:val="00916880"/>
    <w:rsid w:val="00916BEF"/>
    <w:rsid w:val="00921638"/>
    <w:rsid w:val="00921A8D"/>
    <w:rsid w:val="00922780"/>
    <w:rsid w:val="009227AE"/>
    <w:rsid w:val="00922B99"/>
    <w:rsid w:val="009246E0"/>
    <w:rsid w:val="00924FA6"/>
    <w:rsid w:val="00925664"/>
    <w:rsid w:val="00925744"/>
    <w:rsid w:val="00925DDC"/>
    <w:rsid w:val="009262B5"/>
    <w:rsid w:val="00927583"/>
    <w:rsid w:val="00930D5B"/>
    <w:rsid w:val="009313D5"/>
    <w:rsid w:val="00931B49"/>
    <w:rsid w:val="0093250E"/>
    <w:rsid w:val="009327FE"/>
    <w:rsid w:val="00932B19"/>
    <w:rsid w:val="0093319E"/>
    <w:rsid w:val="00933B99"/>
    <w:rsid w:val="00934277"/>
    <w:rsid w:val="00934592"/>
    <w:rsid w:val="009347B3"/>
    <w:rsid w:val="009356E0"/>
    <w:rsid w:val="00936938"/>
    <w:rsid w:val="00937A64"/>
    <w:rsid w:val="00937D79"/>
    <w:rsid w:val="009404E4"/>
    <w:rsid w:val="00940ACE"/>
    <w:rsid w:val="00940E17"/>
    <w:rsid w:val="009413A7"/>
    <w:rsid w:val="009418A4"/>
    <w:rsid w:val="00941BD9"/>
    <w:rsid w:val="00941EF4"/>
    <w:rsid w:val="00942448"/>
    <w:rsid w:val="00942E7F"/>
    <w:rsid w:val="0094332C"/>
    <w:rsid w:val="00943BEA"/>
    <w:rsid w:val="00944A07"/>
    <w:rsid w:val="00944F9E"/>
    <w:rsid w:val="0094523F"/>
    <w:rsid w:val="0094528F"/>
    <w:rsid w:val="009456F1"/>
    <w:rsid w:val="0094691A"/>
    <w:rsid w:val="00946AB6"/>
    <w:rsid w:val="00946D2F"/>
    <w:rsid w:val="00946EC0"/>
    <w:rsid w:val="00947237"/>
    <w:rsid w:val="009479EA"/>
    <w:rsid w:val="0095020C"/>
    <w:rsid w:val="00950225"/>
    <w:rsid w:val="00950527"/>
    <w:rsid w:val="00950700"/>
    <w:rsid w:val="009508C8"/>
    <w:rsid w:val="009508D8"/>
    <w:rsid w:val="009509C2"/>
    <w:rsid w:val="00950D7F"/>
    <w:rsid w:val="00951210"/>
    <w:rsid w:val="00951575"/>
    <w:rsid w:val="009518F3"/>
    <w:rsid w:val="00951CA1"/>
    <w:rsid w:val="00953193"/>
    <w:rsid w:val="0095340F"/>
    <w:rsid w:val="00953416"/>
    <w:rsid w:val="009538A8"/>
    <w:rsid w:val="00953A5D"/>
    <w:rsid w:val="00954518"/>
    <w:rsid w:val="00954EFD"/>
    <w:rsid w:val="009551BB"/>
    <w:rsid w:val="00955CC4"/>
    <w:rsid w:val="00955F9F"/>
    <w:rsid w:val="00956302"/>
    <w:rsid w:val="00956E01"/>
    <w:rsid w:val="009571E7"/>
    <w:rsid w:val="009574C6"/>
    <w:rsid w:val="009579EE"/>
    <w:rsid w:val="00960870"/>
    <w:rsid w:val="00960E76"/>
    <w:rsid w:val="0096142E"/>
    <w:rsid w:val="00961CD5"/>
    <w:rsid w:val="00962419"/>
    <w:rsid w:val="009625D9"/>
    <w:rsid w:val="009625F2"/>
    <w:rsid w:val="00963146"/>
    <w:rsid w:val="009635D8"/>
    <w:rsid w:val="00963FD7"/>
    <w:rsid w:val="009646D7"/>
    <w:rsid w:val="00964785"/>
    <w:rsid w:val="00964A93"/>
    <w:rsid w:val="00964B9E"/>
    <w:rsid w:val="00964D68"/>
    <w:rsid w:val="00965044"/>
    <w:rsid w:val="009654EA"/>
    <w:rsid w:val="00966152"/>
    <w:rsid w:val="009665B1"/>
    <w:rsid w:val="00966712"/>
    <w:rsid w:val="009670F4"/>
    <w:rsid w:val="00970E2E"/>
    <w:rsid w:val="00970EA7"/>
    <w:rsid w:val="0097132D"/>
    <w:rsid w:val="009716CB"/>
    <w:rsid w:val="00971DA5"/>
    <w:rsid w:val="00973261"/>
    <w:rsid w:val="0097487B"/>
    <w:rsid w:val="00974991"/>
    <w:rsid w:val="00974A1C"/>
    <w:rsid w:val="00974D51"/>
    <w:rsid w:val="00974E2B"/>
    <w:rsid w:val="00975C5F"/>
    <w:rsid w:val="00976928"/>
    <w:rsid w:val="0097692C"/>
    <w:rsid w:val="00976F0A"/>
    <w:rsid w:val="00977610"/>
    <w:rsid w:val="00977714"/>
    <w:rsid w:val="00977ABF"/>
    <w:rsid w:val="009801D7"/>
    <w:rsid w:val="009804BD"/>
    <w:rsid w:val="009811BD"/>
    <w:rsid w:val="00981422"/>
    <w:rsid w:val="009826F5"/>
    <w:rsid w:val="00982D48"/>
    <w:rsid w:val="00983392"/>
    <w:rsid w:val="0098399A"/>
    <w:rsid w:val="009853C7"/>
    <w:rsid w:val="00986506"/>
    <w:rsid w:val="00986915"/>
    <w:rsid w:val="009875E1"/>
    <w:rsid w:val="0099138A"/>
    <w:rsid w:val="0099143E"/>
    <w:rsid w:val="00991889"/>
    <w:rsid w:val="00991B66"/>
    <w:rsid w:val="00992163"/>
    <w:rsid w:val="00992A20"/>
    <w:rsid w:val="0099300A"/>
    <w:rsid w:val="0099391E"/>
    <w:rsid w:val="00993A75"/>
    <w:rsid w:val="00993C26"/>
    <w:rsid w:val="0099430B"/>
    <w:rsid w:val="009945B1"/>
    <w:rsid w:val="00994B39"/>
    <w:rsid w:val="00994ECB"/>
    <w:rsid w:val="00995203"/>
    <w:rsid w:val="009954D4"/>
    <w:rsid w:val="00995667"/>
    <w:rsid w:val="00997193"/>
    <w:rsid w:val="00997493"/>
    <w:rsid w:val="0099752B"/>
    <w:rsid w:val="00997D99"/>
    <w:rsid w:val="009A09F9"/>
    <w:rsid w:val="009A0EE9"/>
    <w:rsid w:val="009A1130"/>
    <w:rsid w:val="009A120C"/>
    <w:rsid w:val="009A19AA"/>
    <w:rsid w:val="009A24AF"/>
    <w:rsid w:val="009A28E0"/>
    <w:rsid w:val="009A34E8"/>
    <w:rsid w:val="009A3EDD"/>
    <w:rsid w:val="009A409B"/>
    <w:rsid w:val="009A441D"/>
    <w:rsid w:val="009A46B6"/>
    <w:rsid w:val="009A50B9"/>
    <w:rsid w:val="009A5816"/>
    <w:rsid w:val="009A65A4"/>
    <w:rsid w:val="009A717D"/>
    <w:rsid w:val="009A7EC6"/>
    <w:rsid w:val="009A7F80"/>
    <w:rsid w:val="009B00CC"/>
    <w:rsid w:val="009B0F28"/>
    <w:rsid w:val="009B130C"/>
    <w:rsid w:val="009B1503"/>
    <w:rsid w:val="009B187E"/>
    <w:rsid w:val="009B22C7"/>
    <w:rsid w:val="009B2597"/>
    <w:rsid w:val="009B3145"/>
    <w:rsid w:val="009B37D3"/>
    <w:rsid w:val="009B401E"/>
    <w:rsid w:val="009B40F8"/>
    <w:rsid w:val="009B50A4"/>
    <w:rsid w:val="009B5D75"/>
    <w:rsid w:val="009B6403"/>
    <w:rsid w:val="009B6A14"/>
    <w:rsid w:val="009B7B47"/>
    <w:rsid w:val="009C02FB"/>
    <w:rsid w:val="009C0879"/>
    <w:rsid w:val="009C092E"/>
    <w:rsid w:val="009C0A60"/>
    <w:rsid w:val="009C0C4C"/>
    <w:rsid w:val="009C0CBD"/>
    <w:rsid w:val="009C12F3"/>
    <w:rsid w:val="009C177F"/>
    <w:rsid w:val="009C2225"/>
    <w:rsid w:val="009C32BB"/>
    <w:rsid w:val="009C40D2"/>
    <w:rsid w:val="009C4891"/>
    <w:rsid w:val="009C490C"/>
    <w:rsid w:val="009C4F14"/>
    <w:rsid w:val="009C532C"/>
    <w:rsid w:val="009C57A6"/>
    <w:rsid w:val="009C5851"/>
    <w:rsid w:val="009C58B2"/>
    <w:rsid w:val="009C58BA"/>
    <w:rsid w:val="009C5BEE"/>
    <w:rsid w:val="009C6190"/>
    <w:rsid w:val="009C65FD"/>
    <w:rsid w:val="009C6A59"/>
    <w:rsid w:val="009C72D3"/>
    <w:rsid w:val="009C78CE"/>
    <w:rsid w:val="009C7E73"/>
    <w:rsid w:val="009D04AA"/>
    <w:rsid w:val="009D0C18"/>
    <w:rsid w:val="009D218A"/>
    <w:rsid w:val="009D223B"/>
    <w:rsid w:val="009D241B"/>
    <w:rsid w:val="009D26A0"/>
    <w:rsid w:val="009D2E9D"/>
    <w:rsid w:val="009D2EFC"/>
    <w:rsid w:val="009D3024"/>
    <w:rsid w:val="009D44B7"/>
    <w:rsid w:val="009D4E50"/>
    <w:rsid w:val="009D5187"/>
    <w:rsid w:val="009D5C3E"/>
    <w:rsid w:val="009D5E8D"/>
    <w:rsid w:val="009D62C0"/>
    <w:rsid w:val="009D6800"/>
    <w:rsid w:val="009D7335"/>
    <w:rsid w:val="009E06EF"/>
    <w:rsid w:val="009E085B"/>
    <w:rsid w:val="009E25D3"/>
    <w:rsid w:val="009E34A2"/>
    <w:rsid w:val="009E36C6"/>
    <w:rsid w:val="009E398C"/>
    <w:rsid w:val="009E4479"/>
    <w:rsid w:val="009E46FA"/>
    <w:rsid w:val="009E481F"/>
    <w:rsid w:val="009E4CD7"/>
    <w:rsid w:val="009E5C14"/>
    <w:rsid w:val="009E68CB"/>
    <w:rsid w:val="009E69E7"/>
    <w:rsid w:val="009E7F2A"/>
    <w:rsid w:val="009F05C4"/>
    <w:rsid w:val="009F201E"/>
    <w:rsid w:val="009F207E"/>
    <w:rsid w:val="009F2497"/>
    <w:rsid w:val="009F28C7"/>
    <w:rsid w:val="009F2B10"/>
    <w:rsid w:val="009F3606"/>
    <w:rsid w:val="009F3FA7"/>
    <w:rsid w:val="009F438C"/>
    <w:rsid w:val="009F46C5"/>
    <w:rsid w:val="009F53A6"/>
    <w:rsid w:val="009F572D"/>
    <w:rsid w:val="009F62C9"/>
    <w:rsid w:val="009F654E"/>
    <w:rsid w:val="009F65DE"/>
    <w:rsid w:val="009F6CC0"/>
    <w:rsid w:val="009F750B"/>
    <w:rsid w:val="009F771A"/>
    <w:rsid w:val="009F793F"/>
    <w:rsid w:val="009F7C35"/>
    <w:rsid w:val="009F7D4C"/>
    <w:rsid w:val="00A006F4"/>
    <w:rsid w:val="00A00E8D"/>
    <w:rsid w:val="00A01FB8"/>
    <w:rsid w:val="00A02C56"/>
    <w:rsid w:val="00A036E2"/>
    <w:rsid w:val="00A038A9"/>
    <w:rsid w:val="00A04ED9"/>
    <w:rsid w:val="00A050C2"/>
    <w:rsid w:val="00A05250"/>
    <w:rsid w:val="00A058A3"/>
    <w:rsid w:val="00A05A09"/>
    <w:rsid w:val="00A05C2E"/>
    <w:rsid w:val="00A05CCB"/>
    <w:rsid w:val="00A05FE9"/>
    <w:rsid w:val="00A06074"/>
    <w:rsid w:val="00A06128"/>
    <w:rsid w:val="00A0627A"/>
    <w:rsid w:val="00A06AF8"/>
    <w:rsid w:val="00A1001B"/>
    <w:rsid w:val="00A1004A"/>
    <w:rsid w:val="00A106D4"/>
    <w:rsid w:val="00A11757"/>
    <w:rsid w:val="00A11D5D"/>
    <w:rsid w:val="00A1206B"/>
    <w:rsid w:val="00A124BD"/>
    <w:rsid w:val="00A12A80"/>
    <w:rsid w:val="00A12F76"/>
    <w:rsid w:val="00A12FB8"/>
    <w:rsid w:val="00A13791"/>
    <w:rsid w:val="00A13DE8"/>
    <w:rsid w:val="00A14133"/>
    <w:rsid w:val="00A15686"/>
    <w:rsid w:val="00A15BF0"/>
    <w:rsid w:val="00A16BAA"/>
    <w:rsid w:val="00A16DA2"/>
    <w:rsid w:val="00A1708C"/>
    <w:rsid w:val="00A172CE"/>
    <w:rsid w:val="00A17886"/>
    <w:rsid w:val="00A17895"/>
    <w:rsid w:val="00A178A5"/>
    <w:rsid w:val="00A17D00"/>
    <w:rsid w:val="00A206F0"/>
    <w:rsid w:val="00A2125A"/>
    <w:rsid w:val="00A217FF"/>
    <w:rsid w:val="00A21A71"/>
    <w:rsid w:val="00A21C9D"/>
    <w:rsid w:val="00A2217C"/>
    <w:rsid w:val="00A22751"/>
    <w:rsid w:val="00A231D4"/>
    <w:rsid w:val="00A23294"/>
    <w:rsid w:val="00A25301"/>
    <w:rsid w:val="00A253DF"/>
    <w:rsid w:val="00A25845"/>
    <w:rsid w:val="00A25E01"/>
    <w:rsid w:val="00A26104"/>
    <w:rsid w:val="00A267BE"/>
    <w:rsid w:val="00A278D1"/>
    <w:rsid w:val="00A27D05"/>
    <w:rsid w:val="00A304F9"/>
    <w:rsid w:val="00A309A1"/>
    <w:rsid w:val="00A31524"/>
    <w:rsid w:val="00A31F4D"/>
    <w:rsid w:val="00A32920"/>
    <w:rsid w:val="00A329E6"/>
    <w:rsid w:val="00A33768"/>
    <w:rsid w:val="00A33A67"/>
    <w:rsid w:val="00A3448C"/>
    <w:rsid w:val="00A3471D"/>
    <w:rsid w:val="00A34CDB"/>
    <w:rsid w:val="00A35939"/>
    <w:rsid w:val="00A35B55"/>
    <w:rsid w:val="00A35EA9"/>
    <w:rsid w:val="00A3635E"/>
    <w:rsid w:val="00A36B7F"/>
    <w:rsid w:val="00A37607"/>
    <w:rsid w:val="00A37C51"/>
    <w:rsid w:val="00A37D80"/>
    <w:rsid w:val="00A400F5"/>
    <w:rsid w:val="00A40508"/>
    <w:rsid w:val="00A410D3"/>
    <w:rsid w:val="00A41265"/>
    <w:rsid w:val="00A415C8"/>
    <w:rsid w:val="00A421EF"/>
    <w:rsid w:val="00A42B86"/>
    <w:rsid w:val="00A42CB2"/>
    <w:rsid w:val="00A42D8B"/>
    <w:rsid w:val="00A4537B"/>
    <w:rsid w:val="00A45529"/>
    <w:rsid w:val="00A45A1D"/>
    <w:rsid w:val="00A45A85"/>
    <w:rsid w:val="00A47711"/>
    <w:rsid w:val="00A500A0"/>
    <w:rsid w:val="00A523C4"/>
    <w:rsid w:val="00A52854"/>
    <w:rsid w:val="00A52869"/>
    <w:rsid w:val="00A52A98"/>
    <w:rsid w:val="00A52B5F"/>
    <w:rsid w:val="00A52B8A"/>
    <w:rsid w:val="00A52E7D"/>
    <w:rsid w:val="00A534E2"/>
    <w:rsid w:val="00A5408C"/>
    <w:rsid w:val="00A546EB"/>
    <w:rsid w:val="00A55208"/>
    <w:rsid w:val="00A552F4"/>
    <w:rsid w:val="00A553CD"/>
    <w:rsid w:val="00A556A7"/>
    <w:rsid w:val="00A563E0"/>
    <w:rsid w:val="00A567A1"/>
    <w:rsid w:val="00A56BF2"/>
    <w:rsid w:val="00A5730C"/>
    <w:rsid w:val="00A57651"/>
    <w:rsid w:val="00A57A60"/>
    <w:rsid w:val="00A57B65"/>
    <w:rsid w:val="00A6023F"/>
    <w:rsid w:val="00A602DA"/>
    <w:rsid w:val="00A60D16"/>
    <w:rsid w:val="00A60F9B"/>
    <w:rsid w:val="00A611AC"/>
    <w:rsid w:val="00A6162B"/>
    <w:rsid w:val="00A61987"/>
    <w:rsid w:val="00A61B09"/>
    <w:rsid w:val="00A61C9D"/>
    <w:rsid w:val="00A6215C"/>
    <w:rsid w:val="00A62658"/>
    <w:rsid w:val="00A62D20"/>
    <w:rsid w:val="00A63042"/>
    <w:rsid w:val="00A648B7"/>
    <w:rsid w:val="00A64E04"/>
    <w:rsid w:val="00A64FF4"/>
    <w:rsid w:val="00A65A80"/>
    <w:rsid w:val="00A66833"/>
    <w:rsid w:val="00A66B81"/>
    <w:rsid w:val="00A6702F"/>
    <w:rsid w:val="00A67246"/>
    <w:rsid w:val="00A6733A"/>
    <w:rsid w:val="00A67A7F"/>
    <w:rsid w:val="00A67CD3"/>
    <w:rsid w:val="00A70874"/>
    <w:rsid w:val="00A708D6"/>
    <w:rsid w:val="00A70BA9"/>
    <w:rsid w:val="00A714B8"/>
    <w:rsid w:val="00A71985"/>
    <w:rsid w:val="00A7250D"/>
    <w:rsid w:val="00A725E7"/>
    <w:rsid w:val="00A72EFE"/>
    <w:rsid w:val="00A73610"/>
    <w:rsid w:val="00A740C5"/>
    <w:rsid w:val="00A747F3"/>
    <w:rsid w:val="00A74882"/>
    <w:rsid w:val="00A74FCE"/>
    <w:rsid w:val="00A75039"/>
    <w:rsid w:val="00A75B98"/>
    <w:rsid w:val="00A7632B"/>
    <w:rsid w:val="00A800A8"/>
    <w:rsid w:val="00A801AF"/>
    <w:rsid w:val="00A810C0"/>
    <w:rsid w:val="00A8151D"/>
    <w:rsid w:val="00A81CD4"/>
    <w:rsid w:val="00A826E5"/>
    <w:rsid w:val="00A82911"/>
    <w:rsid w:val="00A835B9"/>
    <w:rsid w:val="00A83608"/>
    <w:rsid w:val="00A839E5"/>
    <w:rsid w:val="00A84493"/>
    <w:rsid w:val="00A84A17"/>
    <w:rsid w:val="00A85070"/>
    <w:rsid w:val="00A8575B"/>
    <w:rsid w:val="00A85859"/>
    <w:rsid w:val="00A8597F"/>
    <w:rsid w:val="00A859BF"/>
    <w:rsid w:val="00A85A92"/>
    <w:rsid w:val="00A86BF4"/>
    <w:rsid w:val="00A86EB0"/>
    <w:rsid w:val="00A87274"/>
    <w:rsid w:val="00A901FD"/>
    <w:rsid w:val="00A90278"/>
    <w:rsid w:val="00A9067A"/>
    <w:rsid w:val="00A915AA"/>
    <w:rsid w:val="00A91A57"/>
    <w:rsid w:val="00A91B3D"/>
    <w:rsid w:val="00A9245E"/>
    <w:rsid w:val="00A938C2"/>
    <w:rsid w:val="00A93C95"/>
    <w:rsid w:val="00A94D92"/>
    <w:rsid w:val="00A951AE"/>
    <w:rsid w:val="00A95C87"/>
    <w:rsid w:val="00A960E9"/>
    <w:rsid w:val="00A9618C"/>
    <w:rsid w:val="00A96744"/>
    <w:rsid w:val="00A971DB"/>
    <w:rsid w:val="00A972E0"/>
    <w:rsid w:val="00A97971"/>
    <w:rsid w:val="00A97D3D"/>
    <w:rsid w:val="00A97E48"/>
    <w:rsid w:val="00AA066E"/>
    <w:rsid w:val="00AA0E65"/>
    <w:rsid w:val="00AA1225"/>
    <w:rsid w:val="00AA1B6A"/>
    <w:rsid w:val="00AA2073"/>
    <w:rsid w:val="00AA2302"/>
    <w:rsid w:val="00AA2346"/>
    <w:rsid w:val="00AA2487"/>
    <w:rsid w:val="00AA295F"/>
    <w:rsid w:val="00AA3349"/>
    <w:rsid w:val="00AA35E2"/>
    <w:rsid w:val="00AA367F"/>
    <w:rsid w:val="00AA3A9C"/>
    <w:rsid w:val="00AA4F6C"/>
    <w:rsid w:val="00AA5C96"/>
    <w:rsid w:val="00AA657B"/>
    <w:rsid w:val="00AA6CF9"/>
    <w:rsid w:val="00AA6F7F"/>
    <w:rsid w:val="00AA77F2"/>
    <w:rsid w:val="00AA782E"/>
    <w:rsid w:val="00AB0798"/>
    <w:rsid w:val="00AB18CF"/>
    <w:rsid w:val="00AB237F"/>
    <w:rsid w:val="00AB28AB"/>
    <w:rsid w:val="00AB2BB1"/>
    <w:rsid w:val="00AB3287"/>
    <w:rsid w:val="00AB41AD"/>
    <w:rsid w:val="00AB4AD5"/>
    <w:rsid w:val="00AB5458"/>
    <w:rsid w:val="00AB588D"/>
    <w:rsid w:val="00AB5A12"/>
    <w:rsid w:val="00AB5CC8"/>
    <w:rsid w:val="00AB5FBE"/>
    <w:rsid w:val="00AB6721"/>
    <w:rsid w:val="00AB6B43"/>
    <w:rsid w:val="00AB7442"/>
    <w:rsid w:val="00AC0AC3"/>
    <w:rsid w:val="00AC0EDC"/>
    <w:rsid w:val="00AC1371"/>
    <w:rsid w:val="00AC1B8E"/>
    <w:rsid w:val="00AC36F9"/>
    <w:rsid w:val="00AC4337"/>
    <w:rsid w:val="00AC5321"/>
    <w:rsid w:val="00AC5362"/>
    <w:rsid w:val="00AC5A37"/>
    <w:rsid w:val="00AC5B25"/>
    <w:rsid w:val="00AC7072"/>
    <w:rsid w:val="00AC7775"/>
    <w:rsid w:val="00AD0047"/>
    <w:rsid w:val="00AD0F14"/>
    <w:rsid w:val="00AD0F87"/>
    <w:rsid w:val="00AD1450"/>
    <w:rsid w:val="00AD1989"/>
    <w:rsid w:val="00AD23CE"/>
    <w:rsid w:val="00AD2481"/>
    <w:rsid w:val="00AD2493"/>
    <w:rsid w:val="00AD313C"/>
    <w:rsid w:val="00AD33B0"/>
    <w:rsid w:val="00AD3F45"/>
    <w:rsid w:val="00AD4B87"/>
    <w:rsid w:val="00AD4F95"/>
    <w:rsid w:val="00AD50F0"/>
    <w:rsid w:val="00AD583E"/>
    <w:rsid w:val="00AD5C59"/>
    <w:rsid w:val="00AD5C5C"/>
    <w:rsid w:val="00AD63E5"/>
    <w:rsid w:val="00AD6E54"/>
    <w:rsid w:val="00AD6E68"/>
    <w:rsid w:val="00AD74ED"/>
    <w:rsid w:val="00AD7A94"/>
    <w:rsid w:val="00AE00D0"/>
    <w:rsid w:val="00AE2AA4"/>
    <w:rsid w:val="00AE2BB0"/>
    <w:rsid w:val="00AE2E2A"/>
    <w:rsid w:val="00AE3A5F"/>
    <w:rsid w:val="00AE5511"/>
    <w:rsid w:val="00AE580D"/>
    <w:rsid w:val="00AE5C7F"/>
    <w:rsid w:val="00AE5DFD"/>
    <w:rsid w:val="00AE6154"/>
    <w:rsid w:val="00AE6BFB"/>
    <w:rsid w:val="00AE6D99"/>
    <w:rsid w:val="00AE71B4"/>
    <w:rsid w:val="00AE7BB7"/>
    <w:rsid w:val="00AE7D5B"/>
    <w:rsid w:val="00AF03EA"/>
    <w:rsid w:val="00AF09A0"/>
    <w:rsid w:val="00AF18D3"/>
    <w:rsid w:val="00AF1A4D"/>
    <w:rsid w:val="00AF3BB6"/>
    <w:rsid w:val="00AF5445"/>
    <w:rsid w:val="00AF5588"/>
    <w:rsid w:val="00AF5CED"/>
    <w:rsid w:val="00AF60FD"/>
    <w:rsid w:val="00AF6794"/>
    <w:rsid w:val="00AF68A8"/>
    <w:rsid w:val="00AF6F4B"/>
    <w:rsid w:val="00AF72C6"/>
    <w:rsid w:val="00AF75A3"/>
    <w:rsid w:val="00AF7801"/>
    <w:rsid w:val="00AF79E8"/>
    <w:rsid w:val="00AF7C51"/>
    <w:rsid w:val="00AF7CF3"/>
    <w:rsid w:val="00B01461"/>
    <w:rsid w:val="00B01628"/>
    <w:rsid w:val="00B0193D"/>
    <w:rsid w:val="00B01FF0"/>
    <w:rsid w:val="00B027BB"/>
    <w:rsid w:val="00B02B37"/>
    <w:rsid w:val="00B03044"/>
    <w:rsid w:val="00B03122"/>
    <w:rsid w:val="00B03252"/>
    <w:rsid w:val="00B0481B"/>
    <w:rsid w:val="00B05095"/>
    <w:rsid w:val="00B05111"/>
    <w:rsid w:val="00B053D9"/>
    <w:rsid w:val="00B054D5"/>
    <w:rsid w:val="00B059FF"/>
    <w:rsid w:val="00B05B3B"/>
    <w:rsid w:val="00B05DA7"/>
    <w:rsid w:val="00B05DF3"/>
    <w:rsid w:val="00B06F64"/>
    <w:rsid w:val="00B071A8"/>
    <w:rsid w:val="00B10144"/>
    <w:rsid w:val="00B11432"/>
    <w:rsid w:val="00B114EA"/>
    <w:rsid w:val="00B115E2"/>
    <w:rsid w:val="00B11944"/>
    <w:rsid w:val="00B11B3F"/>
    <w:rsid w:val="00B11BED"/>
    <w:rsid w:val="00B11F27"/>
    <w:rsid w:val="00B122A7"/>
    <w:rsid w:val="00B129C5"/>
    <w:rsid w:val="00B12BE2"/>
    <w:rsid w:val="00B12F28"/>
    <w:rsid w:val="00B1340B"/>
    <w:rsid w:val="00B13506"/>
    <w:rsid w:val="00B14544"/>
    <w:rsid w:val="00B14683"/>
    <w:rsid w:val="00B14684"/>
    <w:rsid w:val="00B1482B"/>
    <w:rsid w:val="00B14AB2"/>
    <w:rsid w:val="00B15CEE"/>
    <w:rsid w:val="00B16D29"/>
    <w:rsid w:val="00B1790B"/>
    <w:rsid w:val="00B1798B"/>
    <w:rsid w:val="00B205F7"/>
    <w:rsid w:val="00B21BB8"/>
    <w:rsid w:val="00B21BEF"/>
    <w:rsid w:val="00B224DD"/>
    <w:rsid w:val="00B225DD"/>
    <w:rsid w:val="00B2273A"/>
    <w:rsid w:val="00B22B03"/>
    <w:rsid w:val="00B231E2"/>
    <w:rsid w:val="00B23C89"/>
    <w:rsid w:val="00B249AA"/>
    <w:rsid w:val="00B24A97"/>
    <w:rsid w:val="00B25207"/>
    <w:rsid w:val="00B258D1"/>
    <w:rsid w:val="00B25A9E"/>
    <w:rsid w:val="00B25C4A"/>
    <w:rsid w:val="00B25CE0"/>
    <w:rsid w:val="00B25FBF"/>
    <w:rsid w:val="00B265A6"/>
    <w:rsid w:val="00B27074"/>
    <w:rsid w:val="00B274FD"/>
    <w:rsid w:val="00B27620"/>
    <w:rsid w:val="00B27CC1"/>
    <w:rsid w:val="00B27F1D"/>
    <w:rsid w:val="00B30B33"/>
    <w:rsid w:val="00B30BDE"/>
    <w:rsid w:val="00B30F80"/>
    <w:rsid w:val="00B30FC4"/>
    <w:rsid w:val="00B314C2"/>
    <w:rsid w:val="00B31608"/>
    <w:rsid w:val="00B332AA"/>
    <w:rsid w:val="00B33542"/>
    <w:rsid w:val="00B33835"/>
    <w:rsid w:val="00B33920"/>
    <w:rsid w:val="00B340FB"/>
    <w:rsid w:val="00B34363"/>
    <w:rsid w:val="00B34B1F"/>
    <w:rsid w:val="00B34C29"/>
    <w:rsid w:val="00B34D61"/>
    <w:rsid w:val="00B36082"/>
    <w:rsid w:val="00B3660A"/>
    <w:rsid w:val="00B368BB"/>
    <w:rsid w:val="00B36ED2"/>
    <w:rsid w:val="00B3720F"/>
    <w:rsid w:val="00B3734C"/>
    <w:rsid w:val="00B37BF8"/>
    <w:rsid w:val="00B40A3F"/>
    <w:rsid w:val="00B40CAD"/>
    <w:rsid w:val="00B42EEF"/>
    <w:rsid w:val="00B4304E"/>
    <w:rsid w:val="00B43339"/>
    <w:rsid w:val="00B44B4D"/>
    <w:rsid w:val="00B44B83"/>
    <w:rsid w:val="00B45027"/>
    <w:rsid w:val="00B4541E"/>
    <w:rsid w:val="00B471F2"/>
    <w:rsid w:val="00B47E37"/>
    <w:rsid w:val="00B50B88"/>
    <w:rsid w:val="00B5217C"/>
    <w:rsid w:val="00B52A7B"/>
    <w:rsid w:val="00B52B52"/>
    <w:rsid w:val="00B5340D"/>
    <w:rsid w:val="00B538F9"/>
    <w:rsid w:val="00B542FA"/>
    <w:rsid w:val="00B55ECE"/>
    <w:rsid w:val="00B562ED"/>
    <w:rsid w:val="00B56BEA"/>
    <w:rsid w:val="00B57061"/>
    <w:rsid w:val="00B571C2"/>
    <w:rsid w:val="00B57268"/>
    <w:rsid w:val="00B57904"/>
    <w:rsid w:val="00B57E44"/>
    <w:rsid w:val="00B604E8"/>
    <w:rsid w:val="00B60971"/>
    <w:rsid w:val="00B60B62"/>
    <w:rsid w:val="00B60BE3"/>
    <w:rsid w:val="00B61066"/>
    <w:rsid w:val="00B61AFA"/>
    <w:rsid w:val="00B61C73"/>
    <w:rsid w:val="00B62311"/>
    <w:rsid w:val="00B6261D"/>
    <w:rsid w:val="00B6269F"/>
    <w:rsid w:val="00B63ADA"/>
    <w:rsid w:val="00B65A89"/>
    <w:rsid w:val="00B66416"/>
    <w:rsid w:val="00B6663F"/>
    <w:rsid w:val="00B66A0B"/>
    <w:rsid w:val="00B67D94"/>
    <w:rsid w:val="00B67DFD"/>
    <w:rsid w:val="00B67ED2"/>
    <w:rsid w:val="00B70071"/>
    <w:rsid w:val="00B701AB"/>
    <w:rsid w:val="00B71148"/>
    <w:rsid w:val="00B71953"/>
    <w:rsid w:val="00B71AC6"/>
    <w:rsid w:val="00B71E04"/>
    <w:rsid w:val="00B72656"/>
    <w:rsid w:val="00B72789"/>
    <w:rsid w:val="00B72B42"/>
    <w:rsid w:val="00B7384E"/>
    <w:rsid w:val="00B743FC"/>
    <w:rsid w:val="00B75DDD"/>
    <w:rsid w:val="00B76884"/>
    <w:rsid w:val="00B77196"/>
    <w:rsid w:val="00B774D4"/>
    <w:rsid w:val="00B775C1"/>
    <w:rsid w:val="00B80060"/>
    <w:rsid w:val="00B80287"/>
    <w:rsid w:val="00B8109E"/>
    <w:rsid w:val="00B81374"/>
    <w:rsid w:val="00B81B17"/>
    <w:rsid w:val="00B82DC0"/>
    <w:rsid w:val="00B83BAF"/>
    <w:rsid w:val="00B847F7"/>
    <w:rsid w:val="00B84820"/>
    <w:rsid w:val="00B84A51"/>
    <w:rsid w:val="00B84B12"/>
    <w:rsid w:val="00B84FC8"/>
    <w:rsid w:val="00B85227"/>
    <w:rsid w:val="00B85D50"/>
    <w:rsid w:val="00B902BE"/>
    <w:rsid w:val="00B903D2"/>
    <w:rsid w:val="00B904FF"/>
    <w:rsid w:val="00B90A8C"/>
    <w:rsid w:val="00B90B37"/>
    <w:rsid w:val="00B90B9F"/>
    <w:rsid w:val="00B91082"/>
    <w:rsid w:val="00B918A0"/>
    <w:rsid w:val="00B91B78"/>
    <w:rsid w:val="00B91B98"/>
    <w:rsid w:val="00B92252"/>
    <w:rsid w:val="00B922F5"/>
    <w:rsid w:val="00B9232B"/>
    <w:rsid w:val="00B9238D"/>
    <w:rsid w:val="00B9240D"/>
    <w:rsid w:val="00B9267A"/>
    <w:rsid w:val="00B94443"/>
    <w:rsid w:val="00B9483A"/>
    <w:rsid w:val="00B94951"/>
    <w:rsid w:val="00B95475"/>
    <w:rsid w:val="00B95D87"/>
    <w:rsid w:val="00B95DC7"/>
    <w:rsid w:val="00B96BF4"/>
    <w:rsid w:val="00B97533"/>
    <w:rsid w:val="00B97F70"/>
    <w:rsid w:val="00BA01AF"/>
    <w:rsid w:val="00BA0FB2"/>
    <w:rsid w:val="00BA1805"/>
    <w:rsid w:val="00BA19DE"/>
    <w:rsid w:val="00BA2206"/>
    <w:rsid w:val="00BA28B5"/>
    <w:rsid w:val="00BA30F8"/>
    <w:rsid w:val="00BA3509"/>
    <w:rsid w:val="00BA382B"/>
    <w:rsid w:val="00BA3879"/>
    <w:rsid w:val="00BA47D7"/>
    <w:rsid w:val="00BA483E"/>
    <w:rsid w:val="00BA4D65"/>
    <w:rsid w:val="00BA5A08"/>
    <w:rsid w:val="00BA5A66"/>
    <w:rsid w:val="00BA601E"/>
    <w:rsid w:val="00BA656F"/>
    <w:rsid w:val="00BA6A41"/>
    <w:rsid w:val="00BA6CAD"/>
    <w:rsid w:val="00BA75B0"/>
    <w:rsid w:val="00BA764F"/>
    <w:rsid w:val="00BB0137"/>
    <w:rsid w:val="00BB02E7"/>
    <w:rsid w:val="00BB0DBC"/>
    <w:rsid w:val="00BB0F49"/>
    <w:rsid w:val="00BB1E65"/>
    <w:rsid w:val="00BB286F"/>
    <w:rsid w:val="00BB2DC3"/>
    <w:rsid w:val="00BB3268"/>
    <w:rsid w:val="00BB3C57"/>
    <w:rsid w:val="00BB4AF7"/>
    <w:rsid w:val="00BB568C"/>
    <w:rsid w:val="00BB6111"/>
    <w:rsid w:val="00BB6711"/>
    <w:rsid w:val="00BB6745"/>
    <w:rsid w:val="00BB69DF"/>
    <w:rsid w:val="00BC01E1"/>
    <w:rsid w:val="00BC05C5"/>
    <w:rsid w:val="00BC1485"/>
    <w:rsid w:val="00BC1DC3"/>
    <w:rsid w:val="00BC2237"/>
    <w:rsid w:val="00BC251E"/>
    <w:rsid w:val="00BC3185"/>
    <w:rsid w:val="00BC32CE"/>
    <w:rsid w:val="00BC389D"/>
    <w:rsid w:val="00BC4194"/>
    <w:rsid w:val="00BC4918"/>
    <w:rsid w:val="00BC4CBE"/>
    <w:rsid w:val="00BC4E7B"/>
    <w:rsid w:val="00BC672D"/>
    <w:rsid w:val="00BC7466"/>
    <w:rsid w:val="00BC7673"/>
    <w:rsid w:val="00BC7A24"/>
    <w:rsid w:val="00BD0B21"/>
    <w:rsid w:val="00BD3336"/>
    <w:rsid w:val="00BD3765"/>
    <w:rsid w:val="00BD4030"/>
    <w:rsid w:val="00BD49FE"/>
    <w:rsid w:val="00BD530C"/>
    <w:rsid w:val="00BD5594"/>
    <w:rsid w:val="00BD5954"/>
    <w:rsid w:val="00BD6503"/>
    <w:rsid w:val="00BD67F2"/>
    <w:rsid w:val="00BD67FA"/>
    <w:rsid w:val="00BD6D18"/>
    <w:rsid w:val="00BD71C0"/>
    <w:rsid w:val="00BD7FF8"/>
    <w:rsid w:val="00BE12E7"/>
    <w:rsid w:val="00BE269B"/>
    <w:rsid w:val="00BE26D7"/>
    <w:rsid w:val="00BE29A7"/>
    <w:rsid w:val="00BE2B5B"/>
    <w:rsid w:val="00BE2F95"/>
    <w:rsid w:val="00BE49C1"/>
    <w:rsid w:val="00BE4C44"/>
    <w:rsid w:val="00BE4D83"/>
    <w:rsid w:val="00BE51A1"/>
    <w:rsid w:val="00BE68F9"/>
    <w:rsid w:val="00BE73EB"/>
    <w:rsid w:val="00BE7962"/>
    <w:rsid w:val="00BE7BB0"/>
    <w:rsid w:val="00BE7E57"/>
    <w:rsid w:val="00BF07E5"/>
    <w:rsid w:val="00BF0F5A"/>
    <w:rsid w:val="00BF1235"/>
    <w:rsid w:val="00BF1796"/>
    <w:rsid w:val="00BF1B6C"/>
    <w:rsid w:val="00BF1E2E"/>
    <w:rsid w:val="00BF2076"/>
    <w:rsid w:val="00BF2451"/>
    <w:rsid w:val="00BF2503"/>
    <w:rsid w:val="00BF28B4"/>
    <w:rsid w:val="00BF2B5B"/>
    <w:rsid w:val="00BF2BF2"/>
    <w:rsid w:val="00BF2FF5"/>
    <w:rsid w:val="00BF339C"/>
    <w:rsid w:val="00BF3B91"/>
    <w:rsid w:val="00BF40E8"/>
    <w:rsid w:val="00BF43D4"/>
    <w:rsid w:val="00BF4F1C"/>
    <w:rsid w:val="00BF66FF"/>
    <w:rsid w:val="00BF6846"/>
    <w:rsid w:val="00BF6BAE"/>
    <w:rsid w:val="00BF77DF"/>
    <w:rsid w:val="00BF7D41"/>
    <w:rsid w:val="00C01038"/>
    <w:rsid w:val="00C01058"/>
    <w:rsid w:val="00C016B8"/>
    <w:rsid w:val="00C01B6D"/>
    <w:rsid w:val="00C01C02"/>
    <w:rsid w:val="00C020B8"/>
    <w:rsid w:val="00C02273"/>
    <w:rsid w:val="00C02646"/>
    <w:rsid w:val="00C04566"/>
    <w:rsid w:val="00C04907"/>
    <w:rsid w:val="00C04D78"/>
    <w:rsid w:val="00C05369"/>
    <w:rsid w:val="00C059D3"/>
    <w:rsid w:val="00C05CD0"/>
    <w:rsid w:val="00C060CB"/>
    <w:rsid w:val="00C06AAA"/>
    <w:rsid w:val="00C06CE3"/>
    <w:rsid w:val="00C06FBA"/>
    <w:rsid w:val="00C078DF"/>
    <w:rsid w:val="00C107C3"/>
    <w:rsid w:val="00C1082B"/>
    <w:rsid w:val="00C110E1"/>
    <w:rsid w:val="00C112BC"/>
    <w:rsid w:val="00C1184C"/>
    <w:rsid w:val="00C121F7"/>
    <w:rsid w:val="00C12A28"/>
    <w:rsid w:val="00C137EA"/>
    <w:rsid w:val="00C143B2"/>
    <w:rsid w:val="00C14556"/>
    <w:rsid w:val="00C14C4B"/>
    <w:rsid w:val="00C15A93"/>
    <w:rsid w:val="00C16551"/>
    <w:rsid w:val="00C169A5"/>
    <w:rsid w:val="00C17087"/>
    <w:rsid w:val="00C20BDE"/>
    <w:rsid w:val="00C21332"/>
    <w:rsid w:val="00C21724"/>
    <w:rsid w:val="00C21C49"/>
    <w:rsid w:val="00C21E4F"/>
    <w:rsid w:val="00C22D3C"/>
    <w:rsid w:val="00C23276"/>
    <w:rsid w:val="00C237AA"/>
    <w:rsid w:val="00C23D33"/>
    <w:rsid w:val="00C24AFC"/>
    <w:rsid w:val="00C251B0"/>
    <w:rsid w:val="00C254F3"/>
    <w:rsid w:val="00C26F0F"/>
    <w:rsid w:val="00C27FDA"/>
    <w:rsid w:val="00C30B01"/>
    <w:rsid w:val="00C30E8A"/>
    <w:rsid w:val="00C31249"/>
    <w:rsid w:val="00C3132C"/>
    <w:rsid w:val="00C31ED6"/>
    <w:rsid w:val="00C32446"/>
    <w:rsid w:val="00C32453"/>
    <w:rsid w:val="00C32861"/>
    <w:rsid w:val="00C32DD0"/>
    <w:rsid w:val="00C32E39"/>
    <w:rsid w:val="00C32E6F"/>
    <w:rsid w:val="00C336E3"/>
    <w:rsid w:val="00C33A16"/>
    <w:rsid w:val="00C33FB0"/>
    <w:rsid w:val="00C342DF"/>
    <w:rsid w:val="00C3442E"/>
    <w:rsid w:val="00C344D5"/>
    <w:rsid w:val="00C34F33"/>
    <w:rsid w:val="00C35008"/>
    <w:rsid w:val="00C35277"/>
    <w:rsid w:val="00C35303"/>
    <w:rsid w:val="00C36258"/>
    <w:rsid w:val="00C36657"/>
    <w:rsid w:val="00C36E58"/>
    <w:rsid w:val="00C3729F"/>
    <w:rsid w:val="00C37F13"/>
    <w:rsid w:val="00C37F3B"/>
    <w:rsid w:val="00C40F1A"/>
    <w:rsid w:val="00C412CC"/>
    <w:rsid w:val="00C419B7"/>
    <w:rsid w:val="00C42050"/>
    <w:rsid w:val="00C42A86"/>
    <w:rsid w:val="00C42B5B"/>
    <w:rsid w:val="00C42FDF"/>
    <w:rsid w:val="00C4389F"/>
    <w:rsid w:val="00C438CE"/>
    <w:rsid w:val="00C453B2"/>
    <w:rsid w:val="00C456F3"/>
    <w:rsid w:val="00C45E41"/>
    <w:rsid w:val="00C45EA0"/>
    <w:rsid w:val="00C46174"/>
    <w:rsid w:val="00C4622B"/>
    <w:rsid w:val="00C46EED"/>
    <w:rsid w:val="00C47A40"/>
    <w:rsid w:val="00C51B87"/>
    <w:rsid w:val="00C51C44"/>
    <w:rsid w:val="00C51FC9"/>
    <w:rsid w:val="00C520E3"/>
    <w:rsid w:val="00C525F1"/>
    <w:rsid w:val="00C526F8"/>
    <w:rsid w:val="00C5274D"/>
    <w:rsid w:val="00C531EB"/>
    <w:rsid w:val="00C531ED"/>
    <w:rsid w:val="00C53499"/>
    <w:rsid w:val="00C53941"/>
    <w:rsid w:val="00C55614"/>
    <w:rsid w:val="00C56171"/>
    <w:rsid w:val="00C562BA"/>
    <w:rsid w:val="00C569C4"/>
    <w:rsid w:val="00C56CDD"/>
    <w:rsid w:val="00C56D77"/>
    <w:rsid w:val="00C57720"/>
    <w:rsid w:val="00C57BCC"/>
    <w:rsid w:val="00C60B5C"/>
    <w:rsid w:val="00C60CD3"/>
    <w:rsid w:val="00C613F3"/>
    <w:rsid w:val="00C614E6"/>
    <w:rsid w:val="00C61685"/>
    <w:rsid w:val="00C6181C"/>
    <w:rsid w:val="00C61C21"/>
    <w:rsid w:val="00C62B45"/>
    <w:rsid w:val="00C62C52"/>
    <w:rsid w:val="00C62DDA"/>
    <w:rsid w:val="00C63994"/>
    <w:rsid w:val="00C639A4"/>
    <w:rsid w:val="00C63AE6"/>
    <w:rsid w:val="00C63B2E"/>
    <w:rsid w:val="00C64295"/>
    <w:rsid w:val="00C642E0"/>
    <w:rsid w:val="00C64587"/>
    <w:rsid w:val="00C6462C"/>
    <w:rsid w:val="00C64D55"/>
    <w:rsid w:val="00C6573A"/>
    <w:rsid w:val="00C6591D"/>
    <w:rsid w:val="00C65D67"/>
    <w:rsid w:val="00C65E93"/>
    <w:rsid w:val="00C65FB5"/>
    <w:rsid w:val="00C6663C"/>
    <w:rsid w:val="00C66CD3"/>
    <w:rsid w:val="00C6717F"/>
    <w:rsid w:val="00C675A6"/>
    <w:rsid w:val="00C6785A"/>
    <w:rsid w:val="00C678F4"/>
    <w:rsid w:val="00C67969"/>
    <w:rsid w:val="00C679D2"/>
    <w:rsid w:val="00C67EEC"/>
    <w:rsid w:val="00C706EC"/>
    <w:rsid w:val="00C70EC4"/>
    <w:rsid w:val="00C711A9"/>
    <w:rsid w:val="00C724D8"/>
    <w:rsid w:val="00C732BB"/>
    <w:rsid w:val="00C7330B"/>
    <w:rsid w:val="00C73563"/>
    <w:rsid w:val="00C73AA0"/>
    <w:rsid w:val="00C73FC7"/>
    <w:rsid w:val="00C762FD"/>
    <w:rsid w:val="00C766EE"/>
    <w:rsid w:val="00C76C00"/>
    <w:rsid w:val="00C77557"/>
    <w:rsid w:val="00C775E1"/>
    <w:rsid w:val="00C77C31"/>
    <w:rsid w:val="00C802FC"/>
    <w:rsid w:val="00C80A22"/>
    <w:rsid w:val="00C81142"/>
    <w:rsid w:val="00C81591"/>
    <w:rsid w:val="00C81C69"/>
    <w:rsid w:val="00C82C29"/>
    <w:rsid w:val="00C82C6A"/>
    <w:rsid w:val="00C8357A"/>
    <w:rsid w:val="00C83BA3"/>
    <w:rsid w:val="00C83C00"/>
    <w:rsid w:val="00C84DD3"/>
    <w:rsid w:val="00C853C5"/>
    <w:rsid w:val="00C85627"/>
    <w:rsid w:val="00C85DCD"/>
    <w:rsid w:val="00C8637C"/>
    <w:rsid w:val="00C863BF"/>
    <w:rsid w:val="00C86A46"/>
    <w:rsid w:val="00C87513"/>
    <w:rsid w:val="00C87D2E"/>
    <w:rsid w:val="00C90C20"/>
    <w:rsid w:val="00C920B9"/>
    <w:rsid w:val="00C9242E"/>
    <w:rsid w:val="00C92BD2"/>
    <w:rsid w:val="00C92CB2"/>
    <w:rsid w:val="00C937D8"/>
    <w:rsid w:val="00C9471D"/>
    <w:rsid w:val="00C95757"/>
    <w:rsid w:val="00C95832"/>
    <w:rsid w:val="00C96943"/>
    <w:rsid w:val="00C96CCF"/>
    <w:rsid w:val="00C96D1D"/>
    <w:rsid w:val="00C97439"/>
    <w:rsid w:val="00CA0524"/>
    <w:rsid w:val="00CA0A81"/>
    <w:rsid w:val="00CA107B"/>
    <w:rsid w:val="00CA1BB4"/>
    <w:rsid w:val="00CA24E5"/>
    <w:rsid w:val="00CA2580"/>
    <w:rsid w:val="00CA2F21"/>
    <w:rsid w:val="00CA33CE"/>
    <w:rsid w:val="00CA3624"/>
    <w:rsid w:val="00CA4838"/>
    <w:rsid w:val="00CA4C0C"/>
    <w:rsid w:val="00CA4D48"/>
    <w:rsid w:val="00CA61F4"/>
    <w:rsid w:val="00CA6923"/>
    <w:rsid w:val="00CA69CA"/>
    <w:rsid w:val="00CA6E69"/>
    <w:rsid w:val="00CA6E81"/>
    <w:rsid w:val="00CA70B4"/>
    <w:rsid w:val="00CA7294"/>
    <w:rsid w:val="00CA7811"/>
    <w:rsid w:val="00CA7CF4"/>
    <w:rsid w:val="00CA7FA3"/>
    <w:rsid w:val="00CB099A"/>
    <w:rsid w:val="00CB1325"/>
    <w:rsid w:val="00CB13F0"/>
    <w:rsid w:val="00CB19E3"/>
    <w:rsid w:val="00CB1FA4"/>
    <w:rsid w:val="00CB39F6"/>
    <w:rsid w:val="00CB47A5"/>
    <w:rsid w:val="00CB4B98"/>
    <w:rsid w:val="00CB5D8C"/>
    <w:rsid w:val="00CB5EA1"/>
    <w:rsid w:val="00CB6133"/>
    <w:rsid w:val="00CB6678"/>
    <w:rsid w:val="00CC0AEF"/>
    <w:rsid w:val="00CC0B22"/>
    <w:rsid w:val="00CC0EDB"/>
    <w:rsid w:val="00CC197A"/>
    <w:rsid w:val="00CC247C"/>
    <w:rsid w:val="00CC263B"/>
    <w:rsid w:val="00CC277C"/>
    <w:rsid w:val="00CC2936"/>
    <w:rsid w:val="00CC35A4"/>
    <w:rsid w:val="00CC3991"/>
    <w:rsid w:val="00CC4A94"/>
    <w:rsid w:val="00CC4D68"/>
    <w:rsid w:val="00CC5BE2"/>
    <w:rsid w:val="00CC6A0A"/>
    <w:rsid w:val="00CC6BFE"/>
    <w:rsid w:val="00CC6E13"/>
    <w:rsid w:val="00CC7243"/>
    <w:rsid w:val="00CD0524"/>
    <w:rsid w:val="00CD0E5F"/>
    <w:rsid w:val="00CD1B30"/>
    <w:rsid w:val="00CD20F7"/>
    <w:rsid w:val="00CD2856"/>
    <w:rsid w:val="00CD2C38"/>
    <w:rsid w:val="00CD38D2"/>
    <w:rsid w:val="00CD4294"/>
    <w:rsid w:val="00CD4DDD"/>
    <w:rsid w:val="00CD5036"/>
    <w:rsid w:val="00CD60AE"/>
    <w:rsid w:val="00CD6166"/>
    <w:rsid w:val="00CD6530"/>
    <w:rsid w:val="00CD65ED"/>
    <w:rsid w:val="00CD66E2"/>
    <w:rsid w:val="00CD7C88"/>
    <w:rsid w:val="00CD7D5A"/>
    <w:rsid w:val="00CD7ED9"/>
    <w:rsid w:val="00CE0B12"/>
    <w:rsid w:val="00CE1055"/>
    <w:rsid w:val="00CE1108"/>
    <w:rsid w:val="00CE14CD"/>
    <w:rsid w:val="00CE18C8"/>
    <w:rsid w:val="00CE39CB"/>
    <w:rsid w:val="00CE3A72"/>
    <w:rsid w:val="00CE628B"/>
    <w:rsid w:val="00CE6537"/>
    <w:rsid w:val="00CE66E9"/>
    <w:rsid w:val="00CE735D"/>
    <w:rsid w:val="00CF00B8"/>
    <w:rsid w:val="00CF0237"/>
    <w:rsid w:val="00CF051E"/>
    <w:rsid w:val="00CF056C"/>
    <w:rsid w:val="00CF0C26"/>
    <w:rsid w:val="00CF12B6"/>
    <w:rsid w:val="00CF1BB3"/>
    <w:rsid w:val="00CF1C5C"/>
    <w:rsid w:val="00CF226B"/>
    <w:rsid w:val="00CF2A0A"/>
    <w:rsid w:val="00CF2A17"/>
    <w:rsid w:val="00CF3030"/>
    <w:rsid w:val="00CF392B"/>
    <w:rsid w:val="00CF3B24"/>
    <w:rsid w:val="00CF3B7D"/>
    <w:rsid w:val="00CF3DC7"/>
    <w:rsid w:val="00CF3EA9"/>
    <w:rsid w:val="00CF472E"/>
    <w:rsid w:val="00CF4FEE"/>
    <w:rsid w:val="00CF528E"/>
    <w:rsid w:val="00CF56D1"/>
    <w:rsid w:val="00CF6069"/>
    <w:rsid w:val="00CF6347"/>
    <w:rsid w:val="00CF639E"/>
    <w:rsid w:val="00CF67B6"/>
    <w:rsid w:val="00CF7B0F"/>
    <w:rsid w:val="00CF7B9E"/>
    <w:rsid w:val="00CF7D82"/>
    <w:rsid w:val="00CF7DD0"/>
    <w:rsid w:val="00D00212"/>
    <w:rsid w:val="00D0079F"/>
    <w:rsid w:val="00D01631"/>
    <w:rsid w:val="00D01877"/>
    <w:rsid w:val="00D01878"/>
    <w:rsid w:val="00D01D62"/>
    <w:rsid w:val="00D02452"/>
    <w:rsid w:val="00D025DF"/>
    <w:rsid w:val="00D02669"/>
    <w:rsid w:val="00D03DC1"/>
    <w:rsid w:val="00D03E03"/>
    <w:rsid w:val="00D045E3"/>
    <w:rsid w:val="00D046BC"/>
    <w:rsid w:val="00D04AF0"/>
    <w:rsid w:val="00D04C13"/>
    <w:rsid w:val="00D050D9"/>
    <w:rsid w:val="00D05D2C"/>
    <w:rsid w:val="00D0724F"/>
    <w:rsid w:val="00D074F3"/>
    <w:rsid w:val="00D07D57"/>
    <w:rsid w:val="00D07EC6"/>
    <w:rsid w:val="00D100EF"/>
    <w:rsid w:val="00D104BA"/>
    <w:rsid w:val="00D10904"/>
    <w:rsid w:val="00D10AA4"/>
    <w:rsid w:val="00D10D86"/>
    <w:rsid w:val="00D10F8A"/>
    <w:rsid w:val="00D11011"/>
    <w:rsid w:val="00D11DC0"/>
    <w:rsid w:val="00D11F38"/>
    <w:rsid w:val="00D120A4"/>
    <w:rsid w:val="00D1223F"/>
    <w:rsid w:val="00D127C5"/>
    <w:rsid w:val="00D138FB"/>
    <w:rsid w:val="00D141E8"/>
    <w:rsid w:val="00D14877"/>
    <w:rsid w:val="00D1491D"/>
    <w:rsid w:val="00D14F1A"/>
    <w:rsid w:val="00D154EC"/>
    <w:rsid w:val="00D15FCD"/>
    <w:rsid w:val="00D1611B"/>
    <w:rsid w:val="00D16A39"/>
    <w:rsid w:val="00D17357"/>
    <w:rsid w:val="00D17D33"/>
    <w:rsid w:val="00D20025"/>
    <w:rsid w:val="00D20C1D"/>
    <w:rsid w:val="00D20E79"/>
    <w:rsid w:val="00D21489"/>
    <w:rsid w:val="00D21C52"/>
    <w:rsid w:val="00D21F54"/>
    <w:rsid w:val="00D2237B"/>
    <w:rsid w:val="00D22FE6"/>
    <w:rsid w:val="00D23192"/>
    <w:rsid w:val="00D242B7"/>
    <w:rsid w:val="00D24E6C"/>
    <w:rsid w:val="00D259F1"/>
    <w:rsid w:val="00D25A0F"/>
    <w:rsid w:val="00D25F65"/>
    <w:rsid w:val="00D262D7"/>
    <w:rsid w:val="00D26652"/>
    <w:rsid w:val="00D267A9"/>
    <w:rsid w:val="00D27223"/>
    <w:rsid w:val="00D2745E"/>
    <w:rsid w:val="00D27CD9"/>
    <w:rsid w:val="00D302B6"/>
    <w:rsid w:val="00D306D0"/>
    <w:rsid w:val="00D30DFB"/>
    <w:rsid w:val="00D314F4"/>
    <w:rsid w:val="00D318FA"/>
    <w:rsid w:val="00D3268D"/>
    <w:rsid w:val="00D32750"/>
    <w:rsid w:val="00D33A34"/>
    <w:rsid w:val="00D33EB0"/>
    <w:rsid w:val="00D3466C"/>
    <w:rsid w:val="00D347C4"/>
    <w:rsid w:val="00D35D30"/>
    <w:rsid w:val="00D35D3E"/>
    <w:rsid w:val="00D35E4E"/>
    <w:rsid w:val="00D363AB"/>
    <w:rsid w:val="00D40097"/>
    <w:rsid w:val="00D401FC"/>
    <w:rsid w:val="00D40448"/>
    <w:rsid w:val="00D415F4"/>
    <w:rsid w:val="00D41623"/>
    <w:rsid w:val="00D416CC"/>
    <w:rsid w:val="00D417E6"/>
    <w:rsid w:val="00D41BDB"/>
    <w:rsid w:val="00D41E5E"/>
    <w:rsid w:val="00D42403"/>
    <w:rsid w:val="00D42BE3"/>
    <w:rsid w:val="00D42CC1"/>
    <w:rsid w:val="00D42F9C"/>
    <w:rsid w:val="00D430F4"/>
    <w:rsid w:val="00D4341B"/>
    <w:rsid w:val="00D45065"/>
    <w:rsid w:val="00D451D9"/>
    <w:rsid w:val="00D45984"/>
    <w:rsid w:val="00D45DAB"/>
    <w:rsid w:val="00D4686F"/>
    <w:rsid w:val="00D501EE"/>
    <w:rsid w:val="00D5074C"/>
    <w:rsid w:val="00D5086E"/>
    <w:rsid w:val="00D50875"/>
    <w:rsid w:val="00D51431"/>
    <w:rsid w:val="00D5178B"/>
    <w:rsid w:val="00D51BE6"/>
    <w:rsid w:val="00D525C3"/>
    <w:rsid w:val="00D52BDC"/>
    <w:rsid w:val="00D53648"/>
    <w:rsid w:val="00D54215"/>
    <w:rsid w:val="00D54A93"/>
    <w:rsid w:val="00D54CF8"/>
    <w:rsid w:val="00D55029"/>
    <w:rsid w:val="00D553F2"/>
    <w:rsid w:val="00D559D9"/>
    <w:rsid w:val="00D55B99"/>
    <w:rsid w:val="00D55D3D"/>
    <w:rsid w:val="00D56A00"/>
    <w:rsid w:val="00D56E87"/>
    <w:rsid w:val="00D5776C"/>
    <w:rsid w:val="00D60F5B"/>
    <w:rsid w:val="00D612C3"/>
    <w:rsid w:val="00D61695"/>
    <w:rsid w:val="00D616CA"/>
    <w:rsid w:val="00D62770"/>
    <w:rsid w:val="00D63610"/>
    <w:rsid w:val="00D636E6"/>
    <w:rsid w:val="00D63A08"/>
    <w:rsid w:val="00D63A5C"/>
    <w:rsid w:val="00D63C69"/>
    <w:rsid w:val="00D63D0B"/>
    <w:rsid w:val="00D63F8C"/>
    <w:rsid w:val="00D64198"/>
    <w:rsid w:val="00D6468E"/>
    <w:rsid w:val="00D6479F"/>
    <w:rsid w:val="00D657A3"/>
    <w:rsid w:val="00D65C11"/>
    <w:rsid w:val="00D660B3"/>
    <w:rsid w:val="00D66F99"/>
    <w:rsid w:val="00D671F3"/>
    <w:rsid w:val="00D67447"/>
    <w:rsid w:val="00D7022A"/>
    <w:rsid w:val="00D706BA"/>
    <w:rsid w:val="00D70B17"/>
    <w:rsid w:val="00D70DF9"/>
    <w:rsid w:val="00D71A96"/>
    <w:rsid w:val="00D71CC6"/>
    <w:rsid w:val="00D720AD"/>
    <w:rsid w:val="00D7288D"/>
    <w:rsid w:val="00D72940"/>
    <w:rsid w:val="00D72E1B"/>
    <w:rsid w:val="00D73391"/>
    <w:rsid w:val="00D73497"/>
    <w:rsid w:val="00D7436D"/>
    <w:rsid w:val="00D7474F"/>
    <w:rsid w:val="00D75155"/>
    <w:rsid w:val="00D761CA"/>
    <w:rsid w:val="00D76CB3"/>
    <w:rsid w:val="00D779BB"/>
    <w:rsid w:val="00D80EF1"/>
    <w:rsid w:val="00D810E5"/>
    <w:rsid w:val="00D8116F"/>
    <w:rsid w:val="00D8164E"/>
    <w:rsid w:val="00D82206"/>
    <w:rsid w:val="00D829EE"/>
    <w:rsid w:val="00D82D7E"/>
    <w:rsid w:val="00D838E0"/>
    <w:rsid w:val="00D83A77"/>
    <w:rsid w:val="00D84832"/>
    <w:rsid w:val="00D84ECD"/>
    <w:rsid w:val="00D8532C"/>
    <w:rsid w:val="00D85AEC"/>
    <w:rsid w:val="00D85EDC"/>
    <w:rsid w:val="00D86F1C"/>
    <w:rsid w:val="00D8718D"/>
    <w:rsid w:val="00D871FC"/>
    <w:rsid w:val="00D87BC6"/>
    <w:rsid w:val="00D906EA"/>
    <w:rsid w:val="00D90E19"/>
    <w:rsid w:val="00D916B3"/>
    <w:rsid w:val="00D91825"/>
    <w:rsid w:val="00D91B4A"/>
    <w:rsid w:val="00D9331B"/>
    <w:rsid w:val="00D9356F"/>
    <w:rsid w:val="00D942FB"/>
    <w:rsid w:val="00D943AD"/>
    <w:rsid w:val="00D9466D"/>
    <w:rsid w:val="00D95479"/>
    <w:rsid w:val="00D95505"/>
    <w:rsid w:val="00D957D3"/>
    <w:rsid w:val="00D96217"/>
    <w:rsid w:val="00D96272"/>
    <w:rsid w:val="00D9736E"/>
    <w:rsid w:val="00D976C6"/>
    <w:rsid w:val="00DA0C27"/>
    <w:rsid w:val="00DA0E87"/>
    <w:rsid w:val="00DA15C3"/>
    <w:rsid w:val="00DA1885"/>
    <w:rsid w:val="00DA1A2B"/>
    <w:rsid w:val="00DA1F53"/>
    <w:rsid w:val="00DA251A"/>
    <w:rsid w:val="00DA2798"/>
    <w:rsid w:val="00DA28BF"/>
    <w:rsid w:val="00DA2B48"/>
    <w:rsid w:val="00DA3091"/>
    <w:rsid w:val="00DA3B05"/>
    <w:rsid w:val="00DA3E78"/>
    <w:rsid w:val="00DA48B7"/>
    <w:rsid w:val="00DA4EF5"/>
    <w:rsid w:val="00DA5672"/>
    <w:rsid w:val="00DA5753"/>
    <w:rsid w:val="00DA5838"/>
    <w:rsid w:val="00DA611E"/>
    <w:rsid w:val="00DA6E2D"/>
    <w:rsid w:val="00DA7AF9"/>
    <w:rsid w:val="00DB00E4"/>
    <w:rsid w:val="00DB0FAF"/>
    <w:rsid w:val="00DB1472"/>
    <w:rsid w:val="00DB1938"/>
    <w:rsid w:val="00DB19C8"/>
    <w:rsid w:val="00DB21FE"/>
    <w:rsid w:val="00DB2977"/>
    <w:rsid w:val="00DB34C9"/>
    <w:rsid w:val="00DB392B"/>
    <w:rsid w:val="00DB3D29"/>
    <w:rsid w:val="00DB3F0D"/>
    <w:rsid w:val="00DB4D82"/>
    <w:rsid w:val="00DB778B"/>
    <w:rsid w:val="00DB7965"/>
    <w:rsid w:val="00DB7F92"/>
    <w:rsid w:val="00DB7FE1"/>
    <w:rsid w:val="00DC00A2"/>
    <w:rsid w:val="00DC0438"/>
    <w:rsid w:val="00DC1311"/>
    <w:rsid w:val="00DC179A"/>
    <w:rsid w:val="00DC33BF"/>
    <w:rsid w:val="00DC4B38"/>
    <w:rsid w:val="00DC57A7"/>
    <w:rsid w:val="00DC598B"/>
    <w:rsid w:val="00DC60A2"/>
    <w:rsid w:val="00DC6621"/>
    <w:rsid w:val="00DC66B2"/>
    <w:rsid w:val="00DC6D37"/>
    <w:rsid w:val="00DC72C8"/>
    <w:rsid w:val="00DC7584"/>
    <w:rsid w:val="00DC76E2"/>
    <w:rsid w:val="00DD1AC0"/>
    <w:rsid w:val="00DD1AEA"/>
    <w:rsid w:val="00DD1E37"/>
    <w:rsid w:val="00DD2029"/>
    <w:rsid w:val="00DD21E7"/>
    <w:rsid w:val="00DD26D9"/>
    <w:rsid w:val="00DD2736"/>
    <w:rsid w:val="00DD2AA7"/>
    <w:rsid w:val="00DD2AC0"/>
    <w:rsid w:val="00DD3943"/>
    <w:rsid w:val="00DD46AE"/>
    <w:rsid w:val="00DD4861"/>
    <w:rsid w:val="00DD4F85"/>
    <w:rsid w:val="00DD510A"/>
    <w:rsid w:val="00DD5D1C"/>
    <w:rsid w:val="00DD5E68"/>
    <w:rsid w:val="00DD6A87"/>
    <w:rsid w:val="00DD6B80"/>
    <w:rsid w:val="00DD70AC"/>
    <w:rsid w:val="00DD70B5"/>
    <w:rsid w:val="00DD70EB"/>
    <w:rsid w:val="00DD762A"/>
    <w:rsid w:val="00DE0035"/>
    <w:rsid w:val="00DE028F"/>
    <w:rsid w:val="00DE093D"/>
    <w:rsid w:val="00DE0DFA"/>
    <w:rsid w:val="00DE10E0"/>
    <w:rsid w:val="00DE1DC1"/>
    <w:rsid w:val="00DE1EFB"/>
    <w:rsid w:val="00DE27D3"/>
    <w:rsid w:val="00DE29CB"/>
    <w:rsid w:val="00DE2A2E"/>
    <w:rsid w:val="00DE2CAD"/>
    <w:rsid w:val="00DE43C5"/>
    <w:rsid w:val="00DE4459"/>
    <w:rsid w:val="00DE45FE"/>
    <w:rsid w:val="00DE46A3"/>
    <w:rsid w:val="00DE5042"/>
    <w:rsid w:val="00DE5866"/>
    <w:rsid w:val="00DE592F"/>
    <w:rsid w:val="00DE5A8A"/>
    <w:rsid w:val="00DE5E20"/>
    <w:rsid w:val="00DE5E36"/>
    <w:rsid w:val="00DE6B02"/>
    <w:rsid w:val="00DE6F48"/>
    <w:rsid w:val="00DE7315"/>
    <w:rsid w:val="00DE746E"/>
    <w:rsid w:val="00DF04CB"/>
    <w:rsid w:val="00DF057F"/>
    <w:rsid w:val="00DF11BF"/>
    <w:rsid w:val="00DF1E69"/>
    <w:rsid w:val="00DF1F52"/>
    <w:rsid w:val="00DF2F40"/>
    <w:rsid w:val="00DF3EE1"/>
    <w:rsid w:val="00DF46FF"/>
    <w:rsid w:val="00DF48D2"/>
    <w:rsid w:val="00DF561A"/>
    <w:rsid w:val="00DF5693"/>
    <w:rsid w:val="00DF5904"/>
    <w:rsid w:val="00DF62FA"/>
    <w:rsid w:val="00DF6D06"/>
    <w:rsid w:val="00DF71F2"/>
    <w:rsid w:val="00DF7672"/>
    <w:rsid w:val="00E000BF"/>
    <w:rsid w:val="00E00914"/>
    <w:rsid w:val="00E0093C"/>
    <w:rsid w:val="00E01995"/>
    <w:rsid w:val="00E02989"/>
    <w:rsid w:val="00E02A4A"/>
    <w:rsid w:val="00E033EB"/>
    <w:rsid w:val="00E03681"/>
    <w:rsid w:val="00E03B27"/>
    <w:rsid w:val="00E04AC3"/>
    <w:rsid w:val="00E0501D"/>
    <w:rsid w:val="00E059FE"/>
    <w:rsid w:val="00E06278"/>
    <w:rsid w:val="00E062D2"/>
    <w:rsid w:val="00E0650C"/>
    <w:rsid w:val="00E07C4E"/>
    <w:rsid w:val="00E10905"/>
    <w:rsid w:val="00E10BDF"/>
    <w:rsid w:val="00E10EEA"/>
    <w:rsid w:val="00E1175D"/>
    <w:rsid w:val="00E12358"/>
    <w:rsid w:val="00E124E8"/>
    <w:rsid w:val="00E1288D"/>
    <w:rsid w:val="00E13022"/>
    <w:rsid w:val="00E13117"/>
    <w:rsid w:val="00E13699"/>
    <w:rsid w:val="00E142D2"/>
    <w:rsid w:val="00E14984"/>
    <w:rsid w:val="00E14B21"/>
    <w:rsid w:val="00E1538A"/>
    <w:rsid w:val="00E15D16"/>
    <w:rsid w:val="00E16ADA"/>
    <w:rsid w:val="00E17700"/>
    <w:rsid w:val="00E17843"/>
    <w:rsid w:val="00E17900"/>
    <w:rsid w:val="00E17A0D"/>
    <w:rsid w:val="00E17D11"/>
    <w:rsid w:val="00E202F2"/>
    <w:rsid w:val="00E20346"/>
    <w:rsid w:val="00E20770"/>
    <w:rsid w:val="00E20883"/>
    <w:rsid w:val="00E20FAE"/>
    <w:rsid w:val="00E2100B"/>
    <w:rsid w:val="00E216D4"/>
    <w:rsid w:val="00E2267B"/>
    <w:rsid w:val="00E22870"/>
    <w:rsid w:val="00E22C4E"/>
    <w:rsid w:val="00E23790"/>
    <w:rsid w:val="00E23856"/>
    <w:rsid w:val="00E2446B"/>
    <w:rsid w:val="00E24525"/>
    <w:rsid w:val="00E246A2"/>
    <w:rsid w:val="00E2585C"/>
    <w:rsid w:val="00E25AB6"/>
    <w:rsid w:val="00E268C6"/>
    <w:rsid w:val="00E27F2D"/>
    <w:rsid w:val="00E31990"/>
    <w:rsid w:val="00E31A78"/>
    <w:rsid w:val="00E31BF0"/>
    <w:rsid w:val="00E3265B"/>
    <w:rsid w:val="00E32FB7"/>
    <w:rsid w:val="00E32FF5"/>
    <w:rsid w:val="00E3316B"/>
    <w:rsid w:val="00E3316E"/>
    <w:rsid w:val="00E331D2"/>
    <w:rsid w:val="00E33713"/>
    <w:rsid w:val="00E351E2"/>
    <w:rsid w:val="00E35568"/>
    <w:rsid w:val="00E35A37"/>
    <w:rsid w:val="00E36088"/>
    <w:rsid w:val="00E361DA"/>
    <w:rsid w:val="00E3719B"/>
    <w:rsid w:val="00E4020D"/>
    <w:rsid w:val="00E402CE"/>
    <w:rsid w:val="00E41CDB"/>
    <w:rsid w:val="00E41F04"/>
    <w:rsid w:val="00E41F82"/>
    <w:rsid w:val="00E422B2"/>
    <w:rsid w:val="00E428CC"/>
    <w:rsid w:val="00E433BE"/>
    <w:rsid w:val="00E43A9E"/>
    <w:rsid w:val="00E444AB"/>
    <w:rsid w:val="00E445D2"/>
    <w:rsid w:val="00E44700"/>
    <w:rsid w:val="00E4531B"/>
    <w:rsid w:val="00E4584F"/>
    <w:rsid w:val="00E45BFD"/>
    <w:rsid w:val="00E464CA"/>
    <w:rsid w:val="00E46B46"/>
    <w:rsid w:val="00E46D36"/>
    <w:rsid w:val="00E471A8"/>
    <w:rsid w:val="00E503EE"/>
    <w:rsid w:val="00E50C8C"/>
    <w:rsid w:val="00E523D1"/>
    <w:rsid w:val="00E52929"/>
    <w:rsid w:val="00E52C42"/>
    <w:rsid w:val="00E52EC0"/>
    <w:rsid w:val="00E53183"/>
    <w:rsid w:val="00E53240"/>
    <w:rsid w:val="00E53292"/>
    <w:rsid w:val="00E5387F"/>
    <w:rsid w:val="00E538E2"/>
    <w:rsid w:val="00E54BB6"/>
    <w:rsid w:val="00E54C2A"/>
    <w:rsid w:val="00E55208"/>
    <w:rsid w:val="00E55C84"/>
    <w:rsid w:val="00E55DD5"/>
    <w:rsid w:val="00E5639B"/>
    <w:rsid w:val="00E57B6E"/>
    <w:rsid w:val="00E60CB7"/>
    <w:rsid w:val="00E611C7"/>
    <w:rsid w:val="00E617EB"/>
    <w:rsid w:val="00E619C2"/>
    <w:rsid w:val="00E61DE3"/>
    <w:rsid w:val="00E6216E"/>
    <w:rsid w:val="00E621D1"/>
    <w:rsid w:val="00E622A7"/>
    <w:rsid w:val="00E62D00"/>
    <w:rsid w:val="00E63AD3"/>
    <w:rsid w:val="00E63BCB"/>
    <w:rsid w:val="00E63CCA"/>
    <w:rsid w:val="00E641B2"/>
    <w:rsid w:val="00E643ED"/>
    <w:rsid w:val="00E645C4"/>
    <w:rsid w:val="00E6488B"/>
    <w:rsid w:val="00E65671"/>
    <w:rsid w:val="00E65A7C"/>
    <w:rsid w:val="00E65C5E"/>
    <w:rsid w:val="00E664AA"/>
    <w:rsid w:val="00E66820"/>
    <w:rsid w:val="00E67677"/>
    <w:rsid w:val="00E6767D"/>
    <w:rsid w:val="00E70842"/>
    <w:rsid w:val="00E70BF9"/>
    <w:rsid w:val="00E70EBE"/>
    <w:rsid w:val="00E71CA9"/>
    <w:rsid w:val="00E71E7C"/>
    <w:rsid w:val="00E72061"/>
    <w:rsid w:val="00E723B3"/>
    <w:rsid w:val="00E723EA"/>
    <w:rsid w:val="00E729E7"/>
    <w:rsid w:val="00E72A41"/>
    <w:rsid w:val="00E74207"/>
    <w:rsid w:val="00E74404"/>
    <w:rsid w:val="00E749BA"/>
    <w:rsid w:val="00E75469"/>
    <w:rsid w:val="00E75E50"/>
    <w:rsid w:val="00E7635E"/>
    <w:rsid w:val="00E7681F"/>
    <w:rsid w:val="00E76D71"/>
    <w:rsid w:val="00E77D09"/>
    <w:rsid w:val="00E805B0"/>
    <w:rsid w:val="00E80943"/>
    <w:rsid w:val="00E809E7"/>
    <w:rsid w:val="00E80B34"/>
    <w:rsid w:val="00E80CBD"/>
    <w:rsid w:val="00E80F31"/>
    <w:rsid w:val="00E8131C"/>
    <w:rsid w:val="00E817D1"/>
    <w:rsid w:val="00E81E53"/>
    <w:rsid w:val="00E821EC"/>
    <w:rsid w:val="00E8299D"/>
    <w:rsid w:val="00E840EE"/>
    <w:rsid w:val="00E850DF"/>
    <w:rsid w:val="00E86B08"/>
    <w:rsid w:val="00E86CB1"/>
    <w:rsid w:val="00E87C6D"/>
    <w:rsid w:val="00E905FE"/>
    <w:rsid w:val="00E91577"/>
    <w:rsid w:val="00E91D70"/>
    <w:rsid w:val="00E92717"/>
    <w:rsid w:val="00E9312E"/>
    <w:rsid w:val="00E931F0"/>
    <w:rsid w:val="00E94103"/>
    <w:rsid w:val="00E943BD"/>
    <w:rsid w:val="00E944D7"/>
    <w:rsid w:val="00E9481C"/>
    <w:rsid w:val="00E954AA"/>
    <w:rsid w:val="00E96522"/>
    <w:rsid w:val="00E974DF"/>
    <w:rsid w:val="00E9755B"/>
    <w:rsid w:val="00E97D3D"/>
    <w:rsid w:val="00E97E30"/>
    <w:rsid w:val="00EA0D1E"/>
    <w:rsid w:val="00EA0DE3"/>
    <w:rsid w:val="00EA18C0"/>
    <w:rsid w:val="00EA1B67"/>
    <w:rsid w:val="00EA1E77"/>
    <w:rsid w:val="00EA25E8"/>
    <w:rsid w:val="00EA34D8"/>
    <w:rsid w:val="00EA3C95"/>
    <w:rsid w:val="00EA57D4"/>
    <w:rsid w:val="00EA6789"/>
    <w:rsid w:val="00EA67D0"/>
    <w:rsid w:val="00EA745B"/>
    <w:rsid w:val="00EB0280"/>
    <w:rsid w:val="00EB040B"/>
    <w:rsid w:val="00EB059B"/>
    <w:rsid w:val="00EB08B8"/>
    <w:rsid w:val="00EB0D99"/>
    <w:rsid w:val="00EB0DF8"/>
    <w:rsid w:val="00EB10F9"/>
    <w:rsid w:val="00EB14D7"/>
    <w:rsid w:val="00EB1C06"/>
    <w:rsid w:val="00EB2C85"/>
    <w:rsid w:val="00EB42A8"/>
    <w:rsid w:val="00EB42C7"/>
    <w:rsid w:val="00EB4898"/>
    <w:rsid w:val="00EB5108"/>
    <w:rsid w:val="00EB61AA"/>
    <w:rsid w:val="00EB647C"/>
    <w:rsid w:val="00EB6B09"/>
    <w:rsid w:val="00EB6C7B"/>
    <w:rsid w:val="00EB6F80"/>
    <w:rsid w:val="00EB6FF3"/>
    <w:rsid w:val="00EB75B4"/>
    <w:rsid w:val="00EC065D"/>
    <w:rsid w:val="00EC076F"/>
    <w:rsid w:val="00EC084A"/>
    <w:rsid w:val="00EC09F1"/>
    <w:rsid w:val="00EC0A11"/>
    <w:rsid w:val="00EC2E73"/>
    <w:rsid w:val="00EC33EF"/>
    <w:rsid w:val="00EC39C1"/>
    <w:rsid w:val="00EC3DCA"/>
    <w:rsid w:val="00EC67DB"/>
    <w:rsid w:val="00EC7E59"/>
    <w:rsid w:val="00EC7F07"/>
    <w:rsid w:val="00ED0762"/>
    <w:rsid w:val="00ED0A3F"/>
    <w:rsid w:val="00ED0D6B"/>
    <w:rsid w:val="00ED191A"/>
    <w:rsid w:val="00ED1A99"/>
    <w:rsid w:val="00ED28A5"/>
    <w:rsid w:val="00ED2F1B"/>
    <w:rsid w:val="00ED3010"/>
    <w:rsid w:val="00ED36E1"/>
    <w:rsid w:val="00ED3E12"/>
    <w:rsid w:val="00ED47D4"/>
    <w:rsid w:val="00ED4A34"/>
    <w:rsid w:val="00ED534E"/>
    <w:rsid w:val="00ED569B"/>
    <w:rsid w:val="00ED5865"/>
    <w:rsid w:val="00ED61C0"/>
    <w:rsid w:val="00ED6277"/>
    <w:rsid w:val="00ED64E3"/>
    <w:rsid w:val="00ED67DC"/>
    <w:rsid w:val="00ED6ACF"/>
    <w:rsid w:val="00ED6C5D"/>
    <w:rsid w:val="00ED7E9E"/>
    <w:rsid w:val="00ED7FAC"/>
    <w:rsid w:val="00EE070B"/>
    <w:rsid w:val="00EE1373"/>
    <w:rsid w:val="00EE2D53"/>
    <w:rsid w:val="00EE493F"/>
    <w:rsid w:val="00EE53AF"/>
    <w:rsid w:val="00EE57CD"/>
    <w:rsid w:val="00EE58CC"/>
    <w:rsid w:val="00EE5930"/>
    <w:rsid w:val="00EE660C"/>
    <w:rsid w:val="00EE66B4"/>
    <w:rsid w:val="00EE68AB"/>
    <w:rsid w:val="00EE6EE7"/>
    <w:rsid w:val="00EE79E7"/>
    <w:rsid w:val="00EF10E3"/>
    <w:rsid w:val="00EF190D"/>
    <w:rsid w:val="00EF22D7"/>
    <w:rsid w:val="00EF25C1"/>
    <w:rsid w:val="00EF26A2"/>
    <w:rsid w:val="00EF322B"/>
    <w:rsid w:val="00EF3795"/>
    <w:rsid w:val="00EF3B53"/>
    <w:rsid w:val="00EF4ABF"/>
    <w:rsid w:val="00EF4F9B"/>
    <w:rsid w:val="00EF54A8"/>
    <w:rsid w:val="00EF615A"/>
    <w:rsid w:val="00EF6167"/>
    <w:rsid w:val="00EF6658"/>
    <w:rsid w:val="00EF7097"/>
    <w:rsid w:val="00EF7E70"/>
    <w:rsid w:val="00F00321"/>
    <w:rsid w:val="00F00FC9"/>
    <w:rsid w:val="00F01EE1"/>
    <w:rsid w:val="00F01F7F"/>
    <w:rsid w:val="00F02588"/>
    <w:rsid w:val="00F02A74"/>
    <w:rsid w:val="00F02B7C"/>
    <w:rsid w:val="00F0582B"/>
    <w:rsid w:val="00F06818"/>
    <w:rsid w:val="00F07906"/>
    <w:rsid w:val="00F07A6F"/>
    <w:rsid w:val="00F1001A"/>
    <w:rsid w:val="00F10103"/>
    <w:rsid w:val="00F10448"/>
    <w:rsid w:val="00F108E4"/>
    <w:rsid w:val="00F10F3F"/>
    <w:rsid w:val="00F113DD"/>
    <w:rsid w:val="00F11474"/>
    <w:rsid w:val="00F11764"/>
    <w:rsid w:val="00F11E12"/>
    <w:rsid w:val="00F11E34"/>
    <w:rsid w:val="00F12112"/>
    <w:rsid w:val="00F12967"/>
    <w:rsid w:val="00F135FC"/>
    <w:rsid w:val="00F14568"/>
    <w:rsid w:val="00F14E79"/>
    <w:rsid w:val="00F15CBB"/>
    <w:rsid w:val="00F15CD2"/>
    <w:rsid w:val="00F15FF1"/>
    <w:rsid w:val="00F20DFF"/>
    <w:rsid w:val="00F21E90"/>
    <w:rsid w:val="00F222DE"/>
    <w:rsid w:val="00F22E96"/>
    <w:rsid w:val="00F24704"/>
    <w:rsid w:val="00F24907"/>
    <w:rsid w:val="00F2570E"/>
    <w:rsid w:val="00F257FE"/>
    <w:rsid w:val="00F263E2"/>
    <w:rsid w:val="00F270A7"/>
    <w:rsid w:val="00F279D1"/>
    <w:rsid w:val="00F30396"/>
    <w:rsid w:val="00F30A5F"/>
    <w:rsid w:val="00F317D6"/>
    <w:rsid w:val="00F318A7"/>
    <w:rsid w:val="00F32CC2"/>
    <w:rsid w:val="00F33686"/>
    <w:rsid w:val="00F33BFB"/>
    <w:rsid w:val="00F3402F"/>
    <w:rsid w:val="00F371F9"/>
    <w:rsid w:val="00F372EC"/>
    <w:rsid w:val="00F37B49"/>
    <w:rsid w:val="00F37BDA"/>
    <w:rsid w:val="00F40DCD"/>
    <w:rsid w:val="00F410B8"/>
    <w:rsid w:val="00F410E4"/>
    <w:rsid w:val="00F415F2"/>
    <w:rsid w:val="00F41875"/>
    <w:rsid w:val="00F42987"/>
    <w:rsid w:val="00F43223"/>
    <w:rsid w:val="00F43D16"/>
    <w:rsid w:val="00F44DBC"/>
    <w:rsid w:val="00F45592"/>
    <w:rsid w:val="00F45B23"/>
    <w:rsid w:val="00F45FC1"/>
    <w:rsid w:val="00F466AB"/>
    <w:rsid w:val="00F4720F"/>
    <w:rsid w:val="00F47360"/>
    <w:rsid w:val="00F476ED"/>
    <w:rsid w:val="00F47791"/>
    <w:rsid w:val="00F47F38"/>
    <w:rsid w:val="00F50D7A"/>
    <w:rsid w:val="00F50E18"/>
    <w:rsid w:val="00F51CB6"/>
    <w:rsid w:val="00F524F6"/>
    <w:rsid w:val="00F52C2C"/>
    <w:rsid w:val="00F5431A"/>
    <w:rsid w:val="00F54878"/>
    <w:rsid w:val="00F55123"/>
    <w:rsid w:val="00F5514D"/>
    <w:rsid w:val="00F55953"/>
    <w:rsid w:val="00F559AD"/>
    <w:rsid w:val="00F561F1"/>
    <w:rsid w:val="00F568B7"/>
    <w:rsid w:val="00F56CFE"/>
    <w:rsid w:val="00F570BA"/>
    <w:rsid w:val="00F57757"/>
    <w:rsid w:val="00F57AB6"/>
    <w:rsid w:val="00F57E38"/>
    <w:rsid w:val="00F60772"/>
    <w:rsid w:val="00F60986"/>
    <w:rsid w:val="00F60E0C"/>
    <w:rsid w:val="00F60E74"/>
    <w:rsid w:val="00F61010"/>
    <w:rsid w:val="00F6106A"/>
    <w:rsid w:val="00F6138F"/>
    <w:rsid w:val="00F6164A"/>
    <w:rsid w:val="00F61678"/>
    <w:rsid w:val="00F618CD"/>
    <w:rsid w:val="00F61FD6"/>
    <w:rsid w:val="00F62850"/>
    <w:rsid w:val="00F64554"/>
    <w:rsid w:val="00F64981"/>
    <w:rsid w:val="00F65288"/>
    <w:rsid w:val="00F655C4"/>
    <w:rsid w:val="00F6577C"/>
    <w:rsid w:val="00F660E8"/>
    <w:rsid w:val="00F6691F"/>
    <w:rsid w:val="00F66E83"/>
    <w:rsid w:val="00F67189"/>
    <w:rsid w:val="00F67683"/>
    <w:rsid w:val="00F70D30"/>
    <w:rsid w:val="00F70D75"/>
    <w:rsid w:val="00F70E28"/>
    <w:rsid w:val="00F7215D"/>
    <w:rsid w:val="00F72209"/>
    <w:rsid w:val="00F72A63"/>
    <w:rsid w:val="00F735EA"/>
    <w:rsid w:val="00F74F28"/>
    <w:rsid w:val="00F752D7"/>
    <w:rsid w:val="00F75AB3"/>
    <w:rsid w:val="00F774CD"/>
    <w:rsid w:val="00F77661"/>
    <w:rsid w:val="00F77C0C"/>
    <w:rsid w:val="00F80D9C"/>
    <w:rsid w:val="00F816D4"/>
    <w:rsid w:val="00F8177F"/>
    <w:rsid w:val="00F81F73"/>
    <w:rsid w:val="00F82820"/>
    <w:rsid w:val="00F82C98"/>
    <w:rsid w:val="00F82FAD"/>
    <w:rsid w:val="00F830FE"/>
    <w:rsid w:val="00F8367D"/>
    <w:rsid w:val="00F83792"/>
    <w:rsid w:val="00F83A5E"/>
    <w:rsid w:val="00F83D7E"/>
    <w:rsid w:val="00F83F7D"/>
    <w:rsid w:val="00F84C47"/>
    <w:rsid w:val="00F85AFB"/>
    <w:rsid w:val="00F85E62"/>
    <w:rsid w:val="00F85F2C"/>
    <w:rsid w:val="00F86CA4"/>
    <w:rsid w:val="00F87C1F"/>
    <w:rsid w:val="00F87CD1"/>
    <w:rsid w:val="00F90401"/>
    <w:rsid w:val="00F9180F"/>
    <w:rsid w:val="00F91E57"/>
    <w:rsid w:val="00F91FEE"/>
    <w:rsid w:val="00F926F6"/>
    <w:rsid w:val="00F92F9D"/>
    <w:rsid w:val="00F93042"/>
    <w:rsid w:val="00F94387"/>
    <w:rsid w:val="00F952B3"/>
    <w:rsid w:val="00F95626"/>
    <w:rsid w:val="00F95879"/>
    <w:rsid w:val="00F95DAE"/>
    <w:rsid w:val="00F9645C"/>
    <w:rsid w:val="00F96610"/>
    <w:rsid w:val="00FA0120"/>
    <w:rsid w:val="00FA01F1"/>
    <w:rsid w:val="00FA050A"/>
    <w:rsid w:val="00FA0B97"/>
    <w:rsid w:val="00FA19FB"/>
    <w:rsid w:val="00FA2BE2"/>
    <w:rsid w:val="00FA2C30"/>
    <w:rsid w:val="00FA3404"/>
    <w:rsid w:val="00FA4011"/>
    <w:rsid w:val="00FA4E19"/>
    <w:rsid w:val="00FA5FDC"/>
    <w:rsid w:val="00FA7E16"/>
    <w:rsid w:val="00FB0A90"/>
    <w:rsid w:val="00FB118B"/>
    <w:rsid w:val="00FB1368"/>
    <w:rsid w:val="00FB13FF"/>
    <w:rsid w:val="00FB1C40"/>
    <w:rsid w:val="00FB2299"/>
    <w:rsid w:val="00FB27E8"/>
    <w:rsid w:val="00FB2E50"/>
    <w:rsid w:val="00FB3A0F"/>
    <w:rsid w:val="00FB3BC7"/>
    <w:rsid w:val="00FB429C"/>
    <w:rsid w:val="00FB45D6"/>
    <w:rsid w:val="00FB4A0E"/>
    <w:rsid w:val="00FB4DA2"/>
    <w:rsid w:val="00FB5CED"/>
    <w:rsid w:val="00FB5EAD"/>
    <w:rsid w:val="00FB5EEF"/>
    <w:rsid w:val="00FB6443"/>
    <w:rsid w:val="00FB6D5A"/>
    <w:rsid w:val="00FB7611"/>
    <w:rsid w:val="00FB7684"/>
    <w:rsid w:val="00FB7DE8"/>
    <w:rsid w:val="00FB7F6A"/>
    <w:rsid w:val="00FC0BCF"/>
    <w:rsid w:val="00FC0D2E"/>
    <w:rsid w:val="00FC1829"/>
    <w:rsid w:val="00FC2CA0"/>
    <w:rsid w:val="00FC2FF9"/>
    <w:rsid w:val="00FC372C"/>
    <w:rsid w:val="00FC38E6"/>
    <w:rsid w:val="00FC3975"/>
    <w:rsid w:val="00FC3A76"/>
    <w:rsid w:val="00FC3C4D"/>
    <w:rsid w:val="00FC47EF"/>
    <w:rsid w:val="00FC4D86"/>
    <w:rsid w:val="00FC5833"/>
    <w:rsid w:val="00FC5B0C"/>
    <w:rsid w:val="00FC5CE7"/>
    <w:rsid w:val="00FC5E2E"/>
    <w:rsid w:val="00FC6048"/>
    <w:rsid w:val="00FC63F2"/>
    <w:rsid w:val="00FC7164"/>
    <w:rsid w:val="00FC7363"/>
    <w:rsid w:val="00FC77B4"/>
    <w:rsid w:val="00FC7E45"/>
    <w:rsid w:val="00FD0149"/>
    <w:rsid w:val="00FD0EA0"/>
    <w:rsid w:val="00FD1681"/>
    <w:rsid w:val="00FD1985"/>
    <w:rsid w:val="00FD1FCF"/>
    <w:rsid w:val="00FD2A26"/>
    <w:rsid w:val="00FD3D19"/>
    <w:rsid w:val="00FD44D8"/>
    <w:rsid w:val="00FD4A3D"/>
    <w:rsid w:val="00FD55FF"/>
    <w:rsid w:val="00FD5937"/>
    <w:rsid w:val="00FD6E94"/>
    <w:rsid w:val="00FD7589"/>
    <w:rsid w:val="00FD7A08"/>
    <w:rsid w:val="00FD7A23"/>
    <w:rsid w:val="00FD7A26"/>
    <w:rsid w:val="00FE01DB"/>
    <w:rsid w:val="00FE0594"/>
    <w:rsid w:val="00FE0C18"/>
    <w:rsid w:val="00FE163F"/>
    <w:rsid w:val="00FE18EC"/>
    <w:rsid w:val="00FE1B8C"/>
    <w:rsid w:val="00FE1D5C"/>
    <w:rsid w:val="00FE2F44"/>
    <w:rsid w:val="00FE37D7"/>
    <w:rsid w:val="00FE4324"/>
    <w:rsid w:val="00FE4397"/>
    <w:rsid w:val="00FE4DB2"/>
    <w:rsid w:val="00FE4FA0"/>
    <w:rsid w:val="00FE52C1"/>
    <w:rsid w:val="00FE5367"/>
    <w:rsid w:val="00FE5A04"/>
    <w:rsid w:val="00FE5FC6"/>
    <w:rsid w:val="00FE62B4"/>
    <w:rsid w:val="00FE6508"/>
    <w:rsid w:val="00FE6757"/>
    <w:rsid w:val="00FE731F"/>
    <w:rsid w:val="00FE744B"/>
    <w:rsid w:val="00FF032C"/>
    <w:rsid w:val="00FF07FF"/>
    <w:rsid w:val="00FF1B9F"/>
    <w:rsid w:val="00FF30B0"/>
    <w:rsid w:val="00FF340A"/>
    <w:rsid w:val="00FF340F"/>
    <w:rsid w:val="00FF3573"/>
    <w:rsid w:val="00FF3CA7"/>
    <w:rsid w:val="00FF4DDA"/>
    <w:rsid w:val="00FF6179"/>
    <w:rsid w:val="00FF6802"/>
    <w:rsid w:val="00FF75DB"/>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25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rPr>
      <w:rFonts w:ascii="Century Schoolbook" w:hAnsi="Century Schoolbook"/>
    </w:rPr>
  </w:style>
  <w:style w:type="paragraph" w:styleId="Heading1">
    <w:name w:val="heading 1"/>
    <w:basedOn w:val="Normal"/>
    <w:link w:val="Heading1Char"/>
    <w:uiPriority w:val="9"/>
    <w:qFormat/>
    <w:rsid w:val="00C520E3"/>
    <w:pPr>
      <w:widowControl w:val="0"/>
      <w:tabs>
        <w:tab w:val="clear" w:pos="720"/>
      </w:tabs>
      <w:spacing w:line="240" w:lineRule="auto"/>
      <w:ind w:left="1283"/>
      <w:outlineLvl w:val="0"/>
    </w:pPr>
    <w:rPr>
      <w:rFonts w:eastAsia="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0E3"/>
    <w:pPr>
      <w:tabs>
        <w:tab w:val="center" w:pos="4680"/>
        <w:tab w:val="right" w:pos="9360"/>
      </w:tabs>
      <w:spacing w:line="240" w:lineRule="auto"/>
    </w:pPr>
  </w:style>
  <w:style w:type="character" w:customStyle="1" w:styleId="HeaderChar">
    <w:name w:val="Header Char"/>
    <w:basedOn w:val="DefaultParagraphFont"/>
    <w:link w:val="Header"/>
    <w:uiPriority w:val="99"/>
    <w:rsid w:val="00C520E3"/>
  </w:style>
  <w:style w:type="paragraph" w:styleId="Footer">
    <w:name w:val="footer"/>
    <w:basedOn w:val="Normal"/>
    <w:link w:val="FooterChar"/>
    <w:uiPriority w:val="99"/>
    <w:unhideWhenUsed/>
    <w:rsid w:val="00C520E3"/>
    <w:pPr>
      <w:tabs>
        <w:tab w:val="center" w:pos="4680"/>
        <w:tab w:val="right" w:pos="9360"/>
      </w:tabs>
      <w:spacing w:line="240" w:lineRule="auto"/>
    </w:pPr>
  </w:style>
  <w:style w:type="character" w:customStyle="1" w:styleId="FooterChar">
    <w:name w:val="Footer Char"/>
    <w:basedOn w:val="DefaultParagraphFont"/>
    <w:link w:val="Footer"/>
    <w:uiPriority w:val="99"/>
    <w:rsid w:val="00C520E3"/>
  </w:style>
  <w:style w:type="character" w:styleId="PageNumber">
    <w:name w:val="page number"/>
    <w:basedOn w:val="DefaultParagraphFont"/>
    <w:uiPriority w:val="99"/>
    <w:semiHidden/>
    <w:unhideWhenUsed/>
    <w:rsid w:val="00C520E3"/>
  </w:style>
  <w:style w:type="paragraph" w:styleId="FootnoteText">
    <w:name w:val="footnote text"/>
    <w:link w:val="FootnoteTextChar"/>
    <w:uiPriority w:val="99"/>
    <w:unhideWhenUsed/>
    <w:rsid w:val="00C520E3"/>
    <w:pPr>
      <w:spacing w:line="240" w:lineRule="auto"/>
    </w:pPr>
    <w:rPr>
      <w:rFonts w:ascii="Century Schoolbook" w:hAnsi="Century Schoolbook"/>
      <w:szCs w:val="20"/>
    </w:rPr>
  </w:style>
  <w:style w:type="character" w:customStyle="1" w:styleId="FootnoteTextChar">
    <w:name w:val="Footnote Text Char"/>
    <w:basedOn w:val="DefaultParagraphFont"/>
    <w:link w:val="FootnoteText"/>
    <w:uiPriority w:val="99"/>
    <w:rsid w:val="00C520E3"/>
    <w:rPr>
      <w:rFonts w:ascii="Century Schoolbook" w:hAnsi="Century Schoolbook"/>
      <w:szCs w:val="20"/>
    </w:rPr>
  </w:style>
  <w:style w:type="character" w:customStyle="1" w:styleId="Heading1Char">
    <w:name w:val="Heading 1 Char"/>
    <w:basedOn w:val="DefaultParagraphFont"/>
    <w:link w:val="Heading1"/>
    <w:uiPriority w:val="9"/>
    <w:rsid w:val="00C520E3"/>
    <w:rPr>
      <w:rFonts w:ascii="Century Schoolbook" w:eastAsia="Century Schoolbook" w:hAnsi="Century Schoolbook"/>
      <w:b/>
      <w:bCs/>
    </w:rPr>
  </w:style>
  <w:style w:type="paragraph" w:styleId="TOC1">
    <w:name w:val="toc 1"/>
    <w:basedOn w:val="Normal"/>
    <w:uiPriority w:val="1"/>
    <w:qFormat/>
    <w:rsid w:val="00C520E3"/>
    <w:pPr>
      <w:widowControl w:val="0"/>
      <w:tabs>
        <w:tab w:val="clear" w:pos="720"/>
      </w:tabs>
      <w:spacing w:before="312" w:line="240" w:lineRule="auto"/>
      <w:ind w:left="119" w:hanging="461"/>
    </w:pPr>
    <w:rPr>
      <w:rFonts w:eastAsia="Century Schoolbook"/>
    </w:rPr>
  </w:style>
  <w:style w:type="paragraph" w:styleId="TOC2">
    <w:name w:val="toc 2"/>
    <w:basedOn w:val="Normal"/>
    <w:uiPriority w:val="1"/>
    <w:qFormat/>
    <w:rsid w:val="00C520E3"/>
    <w:pPr>
      <w:widowControl w:val="0"/>
      <w:tabs>
        <w:tab w:val="clear" w:pos="720"/>
      </w:tabs>
      <w:spacing w:line="240" w:lineRule="auto"/>
      <w:ind w:left="480"/>
    </w:pPr>
    <w:rPr>
      <w:rFonts w:eastAsia="Century Schoolbook"/>
    </w:rPr>
  </w:style>
  <w:style w:type="paragraph" w:styleId="TOC3">
    <w:name w:val="toc 3"/>
    <w:basedOn w:val="Normal"/>
    <w:uiPriority w:val="1"/>
    <w:qFormat/>
    <w:rsid w:val="00C520E3"/>
    <w:pPr>
      <w:widowControl w:val="0"/>
      <w:tabs>
        <w:tab w:val="clear" w:pos="720"/>
      </w:tabs>
      <w:spacing w:before="311" w:line="240" w:lineRule="auto"/>
      <w:ind w:left="1559" w:hanging="720"/>
    </w:pPr>
    <w:rPr>
      <w:rFonts w:eastAsia="Century Schoolbook"/>
    </w:rPr>
  </w:style>
  <w:style w:type="paragraph" w:styleId="TOC4">
    <w:name w:val="toc 4"/>
    <w:basedOn w:val="Normal"/>
    <w:uiPriority w:val="1"/>
    <w:qFormat/>
    <w:rsid w:val="00C520E3"/>
    <w:pPr>
      <w:widowControl w:val="0"/>
      <w:tabs>
        <w:tab w:val="clear" w:pos="720"/>
      </w:tabs>
      <w:spacing w:before="312" w:line="240" w:lineRule="auto"/>
      <w:ind w:left="1891" w:hanging="332"/>
    </w:pPr>
    <w:rPr>
      <w:rFonts w:eastAsia="Century Schoolbook"/>
    </w:rPr>
  </w:style>
  <w:style w:type="paragraph" w:styleId="TOC5">
    <w:name w:val="toc 5"/>
    <w:basedOn w:val="Normal"/>
    <w:uiPriority w:val="1"/>
    <w:qFormat/>
    <w:rsid w:val="00C520E3"/>
    <w:pPr>
      <w:widowControl w:val="0"/>
      <w:tabs>
        <w:tab w:val="clear" w:pos="720"/>
      </w:tabs>
      <w:spacing w:line="240" w:lineRule="auto"/>
      <w:ind w:left="1891"/>
    </w:pPr>
    <w:rPr>
      <w:rFonts w:eastAsia="Century Schoolbook"/>
    </w:rPr>
  </w:style>
  <w:style w:type="paragraph" w:styleId="BodyText">
    <w:name w:val="Body Text"/>
    <w:basedOn w:val="Normal"/>
    <w:link w:val="BodyTextChar"/>
    <w:uiPriority w:val="1"/>
    <w:qFormat/>
    <w:rsid w:val="00C520E3"/>
    <w:pPr>
      <w:widowControl w:val="0"/>
      <w:tabs>
        <w:tab w:val="clear" w:pos="720"/>
      </w:tabs>
      <w:spacing w:line="240" w:lineRule="auto"/>
      <w:ind w:left="100"/>
    </w:pPr>
    <w:rPr>
      <w:rFonts w:eastAsia="Century Schoolbook"/>
    </w:rPr>
  </w:style>
  <w:style w:type="character" w:customStyle="1" w:styleId="BodyTextChar">
    <w:name w:val="Body Text Char"/>
    <w:basedOn w:val="DefaultParagraphFont"/>
    <w:link w:val="BodyText"/>
    <w:uiPriority w:val="1"/>
    <w:rsid w:val="00C520E3"/>
    <w:rPr>
      <w:rFonts w:ascii="Century Schoolbook" w:eastAsia="Century Schoolbook" w:hAnsi="Century Schoolbook"/>
    </w:rPr>
  </w:style>
  <w:style w:type="paragraph" w:styleId="ListParagraph">
    <w:name w:val="List Paragraph"/>
    <w:basedOn w:val="Normal"/>
    <w:uiPriority w:val="1"/>
    <w:qFormat/>
    <w:rsid w:val="00C520E3"/>
    <w:pPr>
      <w:widowControl w:val="0"/>
      <w:tabs>
        <w:tab w:val="clear" w:pos="720"/>
      </w:tabs>
      <w:spacing w:line="240" w:lineRule="auto"/>
    </w:pPr>
    <w:rPr>
      <w:rFonts w:asciiTheme="minorHAnsi" w:hAnsiTheme="minorHAnsi"/>
      <w:sz w:val="22"/>
      <w:szCs w:val="22"/>
    </w:rPr>
  </w:style>
  <w:style w:type="paragraph" w:customStyle="1" w:styleId="TableParagraph">
    <w:name w:val="Table Paragraph"/>
    <w:basedOn w:val="Normal"/>
    <w:uiPriority w:val="1"/>
    <w:qFormat/>
    <w:rsid w:val="00C520E3"/>
    <w:pPr>
      <w:widowControl w:val="0"/>
      <w:tabs>
        <w:tab w:val="clear" w:pos="720"/>
      </w:tabs>
      <w:spacing w:line="240" w:lineRule="auto"/>
    </w:pPr>
    <w:rPr>
      <w:rFonts w:asciiTheme="minorHAnsi" w:hAnsiTheme="minorHAnsi"/>
      <w:sz w:val="22"/>
      <w:szCs w:val="22"/>
    </w:rPr>
  </w:style>
  <w:style w:type="character" w:styleId="FootnoteReference">
    <w:name w:val="footnote reference"/>
    <w:basedOn w:val="DefaultParagraphFont"/>
    <w:uiPriority w:val="99"/>
    <w:semiHidden/>
    <w:unhideWhenUsed/>
    <w:rsid w:val="00135143"/>
    <w:rPr>
      <w:vertAlign w:val="superscript"/>
    </w:rPr>
  </w:style>
  <w:style w:type="character" w:styleId="CommentReference">
    <w:name w:val="annotation reference"/>
    <w:basedOn w:val="DefaultParagraphFont"/>
    <w:uiPriority w:val="99"/>
    <w:semiHidden/>
    <w:unhideWhenUsed/>
    <w:rsid w:val="00A05C2E"/>
    <w:rPr>
      <w:sz w:val="16"/>
      <w:szCs w:val="16"/>
    </w:rPr>
  </w:style>
  <w:style w:type="paragraph" w:styleId="CommentText">
    <w:name w:val="annotation text"/>
    <w:basedOn w:val="Normal"/>
    <w:link w:val="CommentTextChar"/>
    <w:uiPriority w:val="99"/>
    <w:semiHidden/>
    <w:unhideWhenUsed/>
    <w:rsid w:val="00A05C2E"/>
    <w:pPr>
      <w:spacing w:line="240" w:lineRule="auto"/>
    </w:pPr>
    <w:rPr>
      <w:sz w:val="20"/>
      <w:szCs w:val="20"/>
    </w:rPr>
  </w:style>
  <w:style w:type="character" w:customStyle="1" w:styleId="CommentTextChar">
    <w:name w:val="Comment Text Char"/>
    <w:basedOn w:val="DefaultParagraphFont"/>
    <w:link w:val="CommentText"/>
    <w:uiPriority w:val="99"/>
    <w:semiHidden/>
    <w:rsid w:val="00A05C2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05C2E"/>
    <w:rPr>
      <w:b/>
      <w:bCs/>
    </w:rPr>
  </w:style>
  <w:style w:type="character" w:customStyle="1" w:styleId="CommentSubjectChar">
    <w:name w:val="Comment Subject Char"/>
    <w:basedOn w:val="CommentTextChar"/>
    <w:link w:val="CommentSubject"/>
    <w:uiPriority w:val="99"/>
    <w:semiHidden/>
    <w:rsid w:val="00A05C2E"/>
    <w:rPr>
      <w:rFonts w:ascii="Century Schoolbook" w:hAnsi="Century Schoolbook"/>
      <w:b/>
      <w:bCs/>
      <w:sz w:val="20"/>
      <w:szCs w:val="20"/>
    </w:rPr>
  </w:style>
  <w:style w:type="paragraph" w:customStyle="1" w:styleId="paragraph">
    <w:name w:val="paragraph"/>
    <w:basedOn w:val="Normal"/>
    <w:rsid w:val="001E5A37"/>
    <w:pPr>
      <w:tabs>
        <w:tab w:val="clear" w:pos="720"/>
      </w:tab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5A37"/>
  </w:style>
  <w:style w:type="character" w:customStyle="1" w:styleId="eop">
    <w:name w:val="eop"/>
    <w:basedOn w:val="DefaultParagraphFont"/>
    <w:rsid w:val="001E5A37"/>
  </w:style>
  <w:style w:type="character" w:customStyle="1" w:styleId="tabchar">
    <w:name w:val="tabchar"/>
    <w:basedOn w:val="DefaultParagraphFont"/>
    <w:rsid w:val="001E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9807</Words>
  <Characters>49805</Characters>
  <Application>Microsoft Office Word</Application>
  <DocSecurity>0</DocSecurity>
  <Lines>985</Lines>
  <Paragraphs>192</Paragraphs>
  <ScaleCrop>false</ScaleCrop>
  <Manager/>
  <Company/>
  <LinksUpToDate>false</LinksUpToDate>
  <CharactersWithSpaces>60105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2023-01-13T20:43:00Z</dcterms:created>
  <dcterms:modified xsi:type="dcterms:W3CDTF">2023-01-13T20:43:00Z</dcterms:modified>
  <cp:category/>
</cp:coreProperties>
</file>