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B1822" w14:textId="5EE6161D" w:rsidR="00DE4629" w:rsidRDefault="00CA5748" w:rsidP="00E3198F">
      <w:pPr>
        <w:spacing w:line="240" w:lineRule="auto"/>
        <w:jc w:val="center"/>
        <w:rPr>
          <w:sz w:val="20"/>
        </w:rPr>
      </w:pPr>
      <w:r>
        <w:rPr>
          <w:sz w:val="20"/>
        </w:rPr>
        <w:t xml:space="preserve">Filed </w:t>
      </w:r>
      <w:r w:rsidR="00CC29C9">
        <w:rPr>
          <w:sz w:val="20"/>
        </w:rPr>
        <w:t>3/23/23</w:t>
      </w:r>
      <w:r w:rsidR="00FA30F8">
        <w:rPr>
          <w:sz w:val="20"/>
        </w:rPr>
        <w:t>; Certified for Publication 4/20/23 (order attached</w:t>
      </w:r>
      <w:proofErr w:type="gramStart"/>
      <w:r w:rsidR="00FA30F8">
        <w:rPr>
          <w:sz w:val="20"/>
        </w:rPr>
        <w:t>)</w:t>
      </w:r>
      <w:r w:rsidR="00E3198F" w:rsidRPr="00E3198F">
        <w:t xml:space="preserve"> </w:t>
      </w:r>
      <w:r w:rsidR="00E3198F" w:rsidRPr="00E3198F">
        <w:rPr>
          <w:sz w:val="20"/>
        </w:rPr>
        <w:t>;</w:t>
      </w:r>
      <w:proofErr w:type="gramEnd"/>
      <w:r w:rsidR="00E3198F" w:rsidRPr="00E3198F">
        <w:rPr>
          <w:sz w:val="20"/>
        </w:rPr>
        <w:t xml:space="preserve"> REVIEW GRANTED.  See Cal. Rules of Court, rules 8.1105 and 8.1115 (and corresponding Comment, par. 2, concerning rule 8.1115(e)(3)).</w:t>
      </w:r>
    </w:p>
    <w:p w14:paraId="7B08D354" w14:textId="77777777" w:rsidR="00FA30F8" w:rsidRDefault="00FA30F8" w:rsidP="00E3198F">
      <w:pPr>
        <w:spacing w:line="240" w:lineRule="auto"/>
        <w:rPr>
          <w:b/>
        </w:rPr>
      </w:pPr>
    </w:p>
    <w:p w14:paraId="49A91662" w14:textId="77777777" w:rsidR="00FA30F8" w:rsidRDefault="00FA30F8" w:rsidP="00DE4629">
      <w:pPr>
        <w:spacing w:line="240" w:lineRule="auto"/>
        <w:jc w:val="center"/>
        <w:rPr>
          <w:b/>
        </w:rPr>
      </w:pPr>
    </w:p>
    <w:p w14:paraId="222F4C4C" w14:textId="77777777" w:rsidR="00FA30F8" w:rsidRDefault="00FA30F8" w:rsidP="00DE4629">
      <w:pPr>
        <w:spacing w:line="240" w:lineRule="auto"/>
        <w:jc w:val="center"/>
        <w:rPr>
          <w:b/>
        </w:rPr>
      </w:pPr>
    </w:p>
    <w:p w14:paraId="16EBD941" w14:textId="76CC99A5" w:rsidR="00561DB8" w:rsidRPr="00DE4629" w:rsidRDefault="00CA5748" w:rsidP="00DE4629">
      <w:pPr>
        <w:spacing w:line="240" w:lineRule="auto"/>
        <w:jc w:val="center"/>
      </w:pPr>
      <w:r w:rsidRPr="00DE4629">
        <w:t>IN THE COURT OF APPEAL OF THE STATE OF CALIFORNIA</w:t>
      </w:r>
    </w:p>
    <w:p w14:paraId="4030E451" w14:textId="77777777" w:rsidR="007D0BA2" w:rsidRPr="00DE4629" w:rsidRDefault="007D0BA2" w:rsidP="003D3ADB">
      <w:pPr>
        <w:spacing w:line="240" w:lineRule="auto"/>
        <w:jc w:val="center"/>
      </w:pPr>
    </w:p>
    <w:p w14:paraId="42507C4F" w14:textId="24BDB233" w:rsidR="007D0BA2" w:rsidRPr="00DE4629" w:rsidRDefault="00CA5748" w:rsidP="003D3ADB">
      <w:pPr>
        <w:spacing w:line="240" w:lineRule="auto"/>
        <w:jc w:val="center"/>
      </w:pPr>
      <w:r w:rsidRPr="00DE4629">
        <w:t>FIRST APPELLATE DISTRICT</w:t>
      </w:r>
    </w:p>
    <w:p w14:paraId="2E006251" w14:textId="77777777" w:rsidR="007D0BA2" w:rsidRPr="00DE4629" w:rsidRDefault="007D0BA2" w:rsidP="003D3ADB">
      <w:pPr>
        <w:spacing w:line="240" w:lineRule="auto"/>
        <w:jc w:val="center"/>
      </w:pPr>
    </w:p>
    <w:p w14:paraId="29A2A871" w14:textId="3D0A2A0E" w:rsidR="007D0BA2" w:rsidRPr="00DE4629" w:rsidRDefault="00CA5748" w:rsidP="003D3ADB">
      <w:pPr>
        <w:spacing w:line="240" w:lineRule="auto"/>
        <w:jc w:val="center"/>
      </w:pPr>
      <w:r w:rsidRPr="00DE4629">
        <w:t>DIVISION ONE</w:t>
      </w:r>
    </w:p>
    <w:p w14:paraId="533C0356" w14:textId="77777777" w:rsidR="007D0BA2" w:rsidRPr="00DE4629" w:rsidRDefault="007D0BA2" w:rsidP="003D3ADB">
      <w:pPr>
        <w:spacing w:line="240" w:lineRule="auto"/>
        <w:jc w:val="center"/>
      </w:pPr>
    </w:p>
    <w:p w14:paraId="2DACDA32" w14:textId="77777777" w:rsidR="007D0BA2" w:rsidRPr="00DE4629" w:rsidRDefault="007D0BA2" w:rsidP="003D3ADB">
      <w:pPr>
        <w:spacing w:line="240" w:lineRule="auto"/>
        <w:jc w:val="center"/>
      </w:pPr>
    </w:p>
    <w:tbl>
      <w:tblPr>
        <w:tblW w:w="0" w:type="auto"/>
        <w:tblLayout w:type="fixed"/>
        <w:tblLook w:val="0000" w:firstRow="0" w:lastRow="0" w:firstColumn="0" w:lastColumn="0" w:noHBand="0" w:noVBand="0"/>
      </w:tblPr>
      <w:tblGrid>
        <w:gridCol w:w="4860"/>
        <w:gridCol w:w="3060"/>
      </w:tblGrid>
      <w:tr w:rsidR="00C22158" w14:paraId="7C0CA9DF" w14:textId="77777777" w:rsidTr="003D3ADB">
        <w:tc>
          <w:tcPr>
            <w:tcW w:w="4860" w:type="dxa"/>
            <w:tcBorders>
              <w:bottom w:val="single" w:sz="4" w:space="0" w:color="auto"/>
              <w:right w:val="single" w:sz="4" w:space="0" w:color="auto"/>
            </w:tcBorders>
            <w:shd w:val="clear" w:color="auto" w:fill="auto"/>
          </w:tcPr>
          <w:p w14:paraId="0C6E62C7" w14:textId="7F3E9C1E" w:rsidR="007D0BA2" w:rsidRPr="00DE4629" w:rsidRDefault="00CA5748" w:rsidP="003D3ADB">
            <w:pPr>
              <w:spacing w:after="120" w:line="240" w:lineRule="auto"/>
            </w:pPr>
            <w:r w:rsidRPr="00DE4629">
              <w:t>CRES</w:t>
            </w:r>
            <w:r w:rsidR="00D57DA4" w:rsidRPr="00DE4629">
              <w:t>C</w:t>
            </w:r>
            <w:r w:rsidRPr="00DE4629">
              <w:t xml:space="preserve">ENT TRUST, </w:t>
            </w:r>
          </w:p>
          <w:p w14:paraId="5114A50E" w14:textId="77777777" w:rsidR="007D0BA2" w:rsidRPr="00DE4629" w:rsidRDefault="00CA5748" w:rsidP="003D3ADB">
            <w:pPr>
              <w:spacing w:after="120" w:line="240" w:lineRule="auto"/>
            </w:pPr>
            <w:r w:rsidRPr="00DE4629">
              <w:tab/>
              <w:t>Plaintiff and Appellant,</w:t>
            </w:r>
          </w:p>
          <w:p w14:paraId="7301D6FD" w14:textId="77777777" w:rsidR="00A6742D" w:rsidRPr="00DE4629" w:rsidRDefault="00CA5748" w:rsidP="003D3ADB">
            <w:pPr>
              <w:spacing w:after="120" w:line="240" w:lineRule="auto"/>
            </w:pPr>
            <w:r w:rsidRPr="00DE4629">
              <w:t>v.</w:t>
            </w:r>
          </w:p>
          <w:p w14:paraId="08B26031" w14:textId="7BF14C1C" w:rsidR="007D0BA2" w:rsidRPr="00DE4629" w:rsidRDefault="00CA5748" w:rsidP="003D3ADB">
            <w:pPr>
              <w:spacing w:after="120" w:line="240" w:lineRule="auto"/>
            </w:pPr>
            <w:r w:rsidRPr="00DE4629">
              <w:t>CITY OF OAKLAND,</w:t>
            </w:r>
          </w:p>
          <w:p w14:paraId="2079F5D7" w14:textId="59C6E1E5" w:rsidR="007D0BA2" w:rsidRPr="00DE4629" w:rsidRDefault="00CA5748" w:rsidP="003D3ADB">
            <w:pPr>
              <w:spacing w:after="120" w:line="240" w:lineRule="auto"/>
              <w:ind w:right="-377"/>
            </w:pPr>
            <w:r w:rsidRPr="00DE4629">
              <w:tab/>
              <w:t>Defendant an</w:t>
            </w:r>
            <w:r w:rsidR="00E33F30" w:rsidRPr="00DE4629">
              <w:t xml:space="preserve">d </w:t>
            </w:r>
            <w:r w:rsidRPr="00DE4629">
              <w:t>Respondent.</w:t>
            </w:r>
          </w:p>
        </w:tc>
        <w:tc>
          <w:tcPr>
            <w:tcW w:w="3060" w:type="dxa"/>
            <w:tcBorders>
              <w:left w:val="single" w:sz="4" w:space="0" w:color="auto"/>
            </w:tcBorders>
            <w:shd w:val="clear" w:color="auto" w:fill="auto"/>
          </w:tcPr>
          <w:p w14:paraId="11173F8B" w14:textId="4FD06CF2" w:rsidR="007D0BA2" w:rsidRPr="00DE4629" w:rsidRDefault="00CA5748" w:rsidP="003D3ADB">
            <w:pPr>
              <w:spacing w:line="240" w:lineRule="auto"/>
            </w:pPr>
            <w:r w:rsidRPr="00DE4629">
              <w:t xml:space="preserve">      A162465</w:t>
            </w:r>
          </w:p>
          <w:p w14:paraId="0513F0CF" w14:textId="77777777" w:rsidR="007D0BA2" w:rsidRPr="00DE4629" w:rsidRDefault="007D0BA2" w:rsidP="003D3ADB">
            <w:pPr>
              <w:spacing w:line="240" w:lineRule="auto"/>
            </w:pPr>
          </w:p>
          <w:p w14:paraId="454060D2" w14:textId="12A3BA81" w:rsidR="007D0BA2" w:rsidRPr="00DE4629" w:rsidRDefault="00CA5748" w:rsidP="003D3ADB">
            <w:pPr>
              <w:spacing w:line="240" w:lineRule="auto"/>
            </w:pPr>
            <w:r w:rsidRPr="00DE4629">
              <w:t xml:space="preserve">      (Alameda County</w:t>
            </w:r>
          </w:p>
          <w:p w14:paraId="51EC985E" w14:textId="77777777" w:rsidR="007D0BA2" w:rsidRPr="00DE4629" w:rsidRDefault="00CA5748" w:rsidP="003D3ADB">
            <w:pPr>
              <w:spacing w:line="240" w:lineRule="auto"/>
            </w:pPr>
            <w:r w:rsidRPr="00DE4629">
              <w:t xml:space="preserve">      Super. Ct. No.      RG20068131)</w:t>
            </w:r>
          </w:p>
          <w:p w14:paraId="01D8FA72" w14:textId="16583B6E" w:rsidR="007D0BA2" w:rsidRPr="00DE4629" w:rsidRDefault="007D0BA2" w:rsidP="003D3ADB">
            <w:pPr>
              <w:spacing w:line="240" w:lineRule="auto"/>
            </w:pPr>
          </w:p>
        </w:tc>
      </w:tr>
    </w:tbl>
    <w:p w14:paraId="1338FBEC" w14:textId="6105858A" w:rsidR="007D0BA2" w:rsidRPr="00DE4629" w:rsidRDefault="007D0BA2" w:rsidP="003D3ADB">
      <w:pPr>
        <w:spacing w:line="360" w:lineRule="auto"/>
      </w:pPr>
    </w:p>
    <w:p w14:paraId="14EBEAAD" w14:textId="60A40BA3" w:rsidR="00091FA6" w:rsidRPr="00DE4629" w:rsidRDefault="00CA5748" w:rsidP="00E93843">
      <w:pPr>
        <w:spacing w:line="360" w:lineRule="auto"/>
      </w:pPr>
      <w:r w:rsidRPr="00DE4629">
        <w:tab/>
        <w:t>This is an appeal from the denial of a petition for writ of mandate to compel the City of Oakland to issue a certificate of compliance</w:t>
      </w:r>
      <w:r w:rsidR="00BD7048" w:rsidRPr="00DE4629">
        <w:t xml:space="preserve"> for a </w:t>
      </w:r>
      <w:r w:rsidR="00A20ED2" w:rsidRPr="00DE4629">
        <w:t xml:space="preserve">single </w:t>
      </w:r>
      <w:r w:rsidR="00BD7048" w:rsidRPr="00DE4629">
        <w:t>lot</w:t>
      </w:r>
      <w:r w:rsidR="00B4541D" w:rsidRPr="00DE4629">
        <w:t xml:space="preserve">, </w:t>
      </w:r>
      <w:r w:rsidR="00BD7048" w:rsidRPr="00DE4629">
        <w:t xml:space="preserve">known as </w:t>
      </w:r>
      <w:r w:rsidR="00BF38F0">
        <w:t>l</w:t>
      </w:r>
      <w:r w:rsidR="00BD7048" w:rsidRPr="00DE4629">
        <w:t>ot 18,</w:t>
      </w:r>
      <w:r w:rsidRPr="00DE4629">
        <w:t xml:space="preserve"> under the Subdivision Map Act.</w:t>
      </w:r>
      <w:r>
        <w:rPr>
          <w:rStyle w:val="FootnoteReference"/>
        </w:rPr>
        <w:footnoteReference w:id="1"/>
      </w:r>
      <w:r w:rsidR="00E93843" w:rsidRPr="00DE4629">
        <w:t xml:space="preserve">  We </w:t>
      </w:r>
      <w:r w:rsidR="009D02B9" w:rsidRPr="00DE4629">
        <w:t>reverse</w:t>
      </w:r>
      <w:r w:rsidR="00A20ED2" w:rsidRPr="00DE4629">
        <w:t xml:space="preserve"> with directions to grant the petition and issue an appropriate writ</w:t>
      </w:r>
      <w:r w:rsidR="009D02B9" w:rsidRPr="00DE4629">
        <w:t>.</w:t>
      </w:r>
    </w:p>
    <w:p w14:paraId="62EF5B0C" w14:textId="07928491" w:rsidR="00091FA6" w:rsidRPr="00DE4629" w:rsidRDefault="00CA5748" w:rsidP="00091FA6">
      <w:pPr>
        <w:spacing w:line="360" w:lineRule="auto"/>
        <w:jc w:val="center"/>
        <w:rPr>
          <w:b/>
          <w:bCs/>
        </w:rPr>
      </w:pPr>
      <w:r w:rsidRPr="00DE4629">
        <w:rPr>
          <w:b/>
          <w:bCs/>
        </w:rPr>
        <w:t>BACKGROUND</w:t>
      </w:r>
    </w:p>
    <w:p w14:paraId="05D7CF7C" w14:textId="41BC2D2B" w:rsidR="00CD27F4" w:rsidRPr="00DE4629" w:rsidRDefault="00CA5748" w:rsidP="00F9593A">
      <w:pPr>
        <w:spacing w:line="360" w:lineRule="auto"/>
        <w:rPr>
          <w:rFonts w:cstheme="minorHAnsi"/>
        </w:rPr>
      </w:pPr>
      <w:r w:rsidRPr="00DE4629">
        <w:tab/>
      </w:r>
      <w:r w:rsidR="00F9593A" w:rsidRPr="00DE4629">
        <w:t>Lot 18 has its origins in t</w:t>
      </w:r>
      <w:r w:rsidRPr="00DE4629">
        <w:rPr>
          <w:rFonts w:cstheme="minorHAnsi"/>
        </w:rPr>
        <w:t>he Map of San Antonio</w:t>
      </w:r>
      <w:r w:rsidR="007211CE" w:rsidRPr="00DE4629">
        <w:rPr>
          <w:rFonts w:cstheme="minorHAnsi"/>
        </w:rPr>
        <w:t xml:space="preserve"> (Map) </w:t>
      </w:r>
      <w:r w:rsidR="002D2134" w:rsidRPr="00DE4629">
        <w:rPr>
          <w:rFonts w:cstheme="minorHAnsi"/>
        </w:rPr>
        <w:t>which was prepared by surveyors and filed with the Alameda County Recorder’s Office in 1854</w:t>
      </w:r>
      <w:r w:rsidR="00E93843" w:rsidRPr="00DE4629">
        <w:rPr>
          <w:rFonts w:cstheme="minorHAnsi"/>
        </w:rPr>
        <w:t xml:space="preserve"> and </w:t>
      </w:r>
      <w:r w:rsidR="009B7B48" w:rsidRPr="00DE4629">
        <w:rPr>
          <w:rFonts w:cstheme="minorHAnsi"/>
        </w:rPr>
        <w:t xml:space="preserve">later </w:t>
      </w:r>
      <w:r w:rsidR="00E93843" w:rsidRPr="00DE4629">
        <w:rPr>
          <w:rFonts w:cstheme="minorHAnsi"/>
        </w:rPr>
        <w:t>recorded in 1869</w:t>
      </w:r>
      <w:r w:rsidR="002D2134" w:rsidRPr="00DE4629">
        <w:rPr>
          <w:rFonts w:cstheme="minorHAnsi"/>
        </w:rPr>
        <w:t>.</w:t>
      </w:r>
      <w:r>
        <w:rPr>
          <w:rStyle w:val="FootnoteReference"/>
          <w:rFonts w:cstheme="minorHAnsi"/>
        </w:rPr>
        <w:footnoteReference w:id="2"/>
      </w:r>
      <w:r w:rsidR="002D2134" w:rsidRPr="00DE4629">
        <w:rPr>
          <w:rFonts w:cstheme="minorHAnsi"/>
        </w:rPr>
        <w:t xml:space="preserve">  The </w:t>
      </w:r>
      <w:r w:rsidR="007211CE" w:rsidRPr="00DE4629">
        <w:rPr>
          <w:rFonts w:cstheme="minorHAnsi"/>
        </w:rPr>
        <w:t>M</w:t>
      </w:r>
      <w:r w:rsidR="002D2134" w:rsidRPr="00DE4629">
        <w:rPr>
          <w:rFonts w:cstheme="minorHAnsi"/>
        </w:rPr>
        <w:t xml:space="preserve">ap </w:t>
      </w:r>
      <w:r w:rsidRPr="00DE4629">
        <w:rPr>
          <w:rFonts w:cstheme="minorHAnsi"/>
        </w:rPr>
        <w:t>depict</w:t>
      </w:r>
      <w:r w:rsidR="002D2134" w:rsidRPr="00DE4629">
        <w:rPr>
          <w:rFonts w:cstheme="minorHAnsi"/>
        </w:rPr>
        <w:t>s</w:t>
      </w:r>
      <w:r w:rsidRPr="00DE4629">
        <w:rPr>
          <w:rFonts w:cstheme="minorHAnsi"/>
        </w:rPr>
        <w:t xml:space="preserve"> numerous “blocks” </w:t>
      </w:r>
      <w:r w:rsidR="00F9593A" w:rsidRPr="00DE4629">
        <w:rPr>
          <w:rFonts w:cstheme="minorHAnsi"/>
        </w:rPr>
        <w:t>that</w:t>
      </w:r>
      <w:r w:rsidR="00577D39" w:rsidRPr="00DE4629">
        <w:rPr>
          <w:rFonts w:cstheme="minorHAnsi"/>
        </w:rPr>
        <w:t>, in turn,</w:t>
      </w:r>
      <w:r w:rsidRPr="00DE4629">
        <w:rPr>
          <w:rFonts w:cstheme="minorHAnsi"/>
        </w:rPr>
        <w:t xml:space="preserve"> are divided into </w:t>
      </w:r>
      <w:r w:rsidR="00577D39" w:rsidRPr="00DE4629">
        <w:rPr>
          <w:rFonts w:cstheme="minorHAnsi"/>
        </w:rPr>
        <w:t>numerous</w:t>
      </w:r>
      <w:r w:rsidRPr="00DE4629">
        <w:rPr>
          <w:rFonts w:cstheme="minorHAnsi"/>
        </w:rPr>
        <w:t xml:space="preserve"> </w:t>
      </w:r>
      <w:r w:rsidR="008E3188" w:rsidRPr="00DE4629">
        <w:rPr>
          <w:rFonts w:cstheme="minorHAnsi"/>
        </w:rPr>
        <w:t>“</w:t>
      </w:r>
      <w:r w:rsidRPr="00DE4629">
        <w:rPr>
          <w:rFonts w:cstheme="minorHAnsi"/>
        </w:rPr>
        <w:t>lots.</w:t>
      </w:r>
      <w:r w:rsidR="008E3188" w:rsidRPr="00DE4629">
        <w:rPr>
          <w:rFonts w:cstheme="minorHAnsi"/>
        </w:rPr>
        <w:t>”</w:t>
      </w:r>
      <w:r w:rsidRPr="00DE4629">
        <w:rPr>
          <w:rFonts w:cstheme="minorHAnsi"/>
        </w:rPr>
        <w:t xml:space="preserve">  </w:t>
      </w:r>
      <w:r w:rsidR="002D2134" w:rsidRPr="00DE4629">
        <w:rPr>
          <w:rFonts w:cstheme="minorHAnsi"/>
        </w:rPr>
        <w:t xml:space="preserve">Many of </w:t>
      </w:r>
      <w:r w:rsidRPr="00DE4629">
        <w:rPr>
          <w:rFonts w:cstheme="minorHAnsi"/>
        </w:rPr>
        <w:t>the</w:t>
      </w:r>
      <w:r w:rsidR="008E3188" w:rsidRPr="00DE4629">
        <w:rPr>
          <w:rFonts w:cstheme="minorHAnsi"/>
        </w:rPr>
        <w:t>se</w:t>
      </w:r>
      <w:r w:rsidRPr="00DE4629">
        <w:rPr>
          <w:rFonts w:cstheme="minorHAnsi"/>
        </w:rPr>
        <w:t xml:space="preserve"> lots were </w:t>
      </w:r>
      <w:r w:rsidR="002D2134" w:rsidRPr="00DE4629">
        <w:rPr>
          <w:rFonts w:cstheme="minorHAnsi"/>
        </w:rPr>
        <w:t xml:space="preserve">soon </w:t>
      </w:r>
      <w:r w:rsidRPr="00DE4629">
        <w:rPr>
          <w:rFonts w:cstheme="minorHAnsi"/>
        </w:rPr>
        <w:lastRenderedPageBreak/>
        <w:t xml:space="preserve">conveyed to numerous grantees.  One of the blocks, </w:t>
      </w:r>
      <w:r w:rsidR="00063E07" w:rsidRPr="00DE4629">
        <w:rPr>
          <w:rFonts w:cstheme="minorHAnsi"/>
        </w:rPr>
        <w:t>b</w:t>
      </w:r>
      <w:r w:rsidRPr="00DE4629">
        <w:rPr>
          <w:rFonts w:cstheme="minorHAnsi"/>
        </w:rPr>
        <w:t xml:space="preserve">lock 66, was retained by the </w:t>
      </w:r>
      <w:r w:rsidR="00577D39" w:rsidRPr="00DE4629">
        <w:rPr>
          <w:rFonts w:cstheme="minorHAnsi"/>
        </w:rPr>
        <w:t>owner</w:t>
      </w:r>
      <w:r w:rsidRPr="00DE4629">
        <w:rPr>
          <w:rFonts w:cstheme="minorHAnsi"/>
        </w:rPr>
        <w:t>.  This block include</w:t>
      </w:r>
      <w:r w:rsidR="002D2134" w:rsidRPr="00DE4629">
        <w:rPr>
          <w:rFonts w:cstheme="minorHAnsi"/>
        </w:rPr>
        <w:t>s</w:t>
      </w:r>
      <w:r w:rsidRPr="00DE4629">
        <w:rPr>
          <w:rFonts w:cstheme="minorHAnsi"/>
        </w:rPr>
        <w:t xml:space="preserve"> </w:t>
      </w:r>
      <w:r w:rsidR="00C660AD" w:rsidRPr="00DE4629">
        <w:rPr>
          <w:rFonts w:cstheme="minorHAnsi"/>
        </w:rPr>
        <w:t>l</w:t>
      </w:r>
      <w:r w:rsidRPr="00DE4629">
        <w:rPr>
          <w:rFonts w:cstheme="minorHAnsi"/>
        </w:rPr>
        <w:t xml:space="preserve">ots 15, 16, 17, and 18.    </w:t>
      </w:r>
    </w:p>
    <w:p w14:paraId="7238886F" w14:textId="68301796" w:rsidR="0099480C" w:rsidRPr="00DE4629" w:rsidRDefault="00CA5748" w:rsidP="00CD27F4">
      <w:pPr>
        <w:spacing w:line="360" w:lineRule="auto"/>
        <w:ind w:firstLine="720"/>
        <w:rPr>
          <w:rFonts w:cstheme="minorHAnsi"/>
        </w:rPr>
      </w:pPr>
      <w:r w:rsidRPr="00DE4629">
        <w:rPr>
          <w:rFonts w:cstheme="minorHAnsi"/>
        </w:rPr>
        <w:t xml:space="preserve">In 1877, these </w:t>
      </w:r>
      <w:r w:rsidR="00A20ED2" w:rsidRPr="00DE4629">
        <w:rPr>
          <w:rFonts w:cstheme="minorHAnsi"/>
        </w:rPr>
        <w:t xml:space="preserve">four lots were conveyed in conjunction with </w:t>
      </w:r>
      <w:r w:rsidR="00C660AD" w:rsidRPr="00DE4629">
        <w:rPr>
          <w:rFonts w:cstheme="minorHAnsi"/>
        </w:rPr>
        <w:t>l</w:t>
      </w:r>
      <w:r w:rsidRPr="00DE4629">
        <w:rPr>
          <w:rFonts w:cstheme="minorHAnsi"/>
        </w:rPr>
        <w:t>ots 10 through 14</w:t>
      </w:r>
      <w:r w:rsidR="00577D39" w:rsidRPr="00DE4629">
        <w:rPr>
          <w:rFonts w:cstheme="minorHAnsi"/>
        </w:rPr>
        <w:t xml:space="preserve"> </w:t>
      </w:r>
      <w:r w:rsidR="009B7B48" w:rsidRPr="00DE4629">
        <w:rPr>
          <w:rFonts w:cstheme="minorHAnsi"/>
        </w:rPr>
        <w:t xml:space="preserve">through </w:t>
      </w:r>
      <w:r w:rsidR="00A20ED2" w:rsidRPr="00DE4629">
        <w:rPr>
          <w:rFonts w:cstheme="minorHAnsi"/>
        </w:rPr>
        <w:t xml:space="preserve">a probate proceeding, as were </w:t>
      </w:r>
      <w:r w:rsidR="00CF5810" w:rsidRPr="00DE4629">
        <w:rPr>
          <w:rFonts w:cstheme="minorHAnsi"/>
        </w:rPr>
        <w:t>numerous other lots in other blocks</w:t>
      </w:r>
      <w:r w:rsidR="009B7B48" w:rsidRPr="00DE4629">
        <w:rPr>
          <w:rFonts w:cstheme="minorHAnsi"/>
        </w:rPr>
        <w:t>.</w:t>
      </w:r>
      <w:r w:rsidR="00A20ED2" w:rsidRPr="00DE4629">
        <w:rPr>
          <w:rFonts w:cstheme="minorHAnsi"/>
        </w:rPr>
        <w:t xml:space="preserve">  The nine lots were separately identified, as were all the other lots conveyed at that time, by reference to the Map.</w:t>
      </w:r>
      <w:r>
        <w:rPr>
          <w:rStyle w:val="FootnoteReference"/>
          <w:rFonts w:cstheme="minorHAnsi"/>
        </w:rPr>
        <w:footnoteReference w:id="3"/>
      </w:r>
      <w:r w:rsidRPr="00DE4629">
        <w:rPr>
          <w:rFonts w:cstheme="minorHAnsi"/>
        </w:rPr>
        <w:t xml:space="preserve">  </w:t>
      </w:r>
      <w:r w:rsidR="00577D39" w:rsidRPr="00DE4629">
        <w:rPr>
          <w:rFonts w:cstheme="minorHAnsi"/>
        </w:rPr>
        <w:t xml:space="preserve">  </w:t>
      </w:r>
    </w:p>
    <w:p w14:paraId="65972F46" w14:textId="2DB99AD4" w:rsidR="00CF5810" w:rsidRPr="00DE4629" w:rsidRDefault="00CA5748" w:rsidP="00CD27F4">
      <w:pPr>
        <w:spacing w:line="360" w:lineRule="auto"/>
        <w:ind w:firstLine="720"/>
      </w:pPr>
      <w:r w:rsidRPr="00DE4629">
        <w:t xml:space="preserve">In 1881, </w:t>
      </w:r>
      <w:r w:rsidR="00C660AD" w:rsidRPr="00DE4629">
        <w:t>l</w:t>
      </w:r>
      <w:r w:rsidRPr="00DE4629">
        <w:t>ots 10 through 18</w:t>
      </w:r>
      <w:r w:rsidR="00A20ED2" w:rsidRPr="00DE4629">
        <w:t xml:space="preserve">, </w:t>
      </w:r>
      <w:r w:rsidR="00E32A86" w:rsidRPr="00DE4629">
        <w:t xml:space="preserve">along with numerous other lots in numerous other blocks, </w:t>
      </w:r>
      <w:r w:rsidR="00A20ED2" w:rsidRPr="00DE4629">
        <w:t xml:space="preserve">were </w:t>
      </w:r>
      <w:r w:rsidRPr="00DE4629">
        <w:t>transferred to a bank as part of a financing arrangement.</w:t>
      </w:r>
      <w:r>
        <w:rPr>
          <w:rStyle w:val="FootnoteReference"/>
        </w:rPr>
        <w:footnoteReference w:id="4"/>
      </w:r>
      <w:r w:rsidRPr="00DE4629">
        <w:t xml:space="preserve">  </w:t>
      </w:r>
    </w:p>
    <w:p w14:paraId="433F7CA6" w14:textId="69D35ACD" w:rsidR="00CD27F4" w:rsidRPr="00DE4629" w:rsidRDefault="00CA5748" w:rsidP="00CD27F4">
      <w:pPr>
        <w:spacing w:line="360" w:lineRule="auto"/>
        <w:ind w:firstLine="720"/>
        <w:rPr>
          <w:rFonts w:cstheme="minorHAnsi"/>
        </w:rPr>
      </w:pPr>
      <w:r w:rsidRPr="00DE4629">
        <w:t xml:space="preserve">In 1885, the bank conveyed </w:t>
      </w:r>
      <w:r w:rsidR="00C660AD" w:rsidRPr="00DE4629">
        <w:t>l</w:t>
      </w:r>
      <w:r w:rsidRPr="00DE4629">
        <w:t>ots 15, 16, 17, and 18 to an individual grantee, by way of a single conveyance.</w:t>
      </w:r>
      <w:r>
        <w:rPr>
          <w:rStyle w:val="FootnoteReference"/>
        </w:rPr>
        <w:footnoteReference w:id="5"/>
      </w:r>
      <w:r w:rsidRPr="00DE4629">
        <w:t xml:space="preserve">  </w:t>
      </w:r>
      <w:r w:rsidR="00577D39" w:rsidRPr="00DE4629">
        <w:rPr>
          <w:rFonts w:cstheme="minorHAnsi"/>
        </w:rPr>
        <w:t xml:space="preserve"> </w:t>
      </w:r>
      <w:r w:rsidRPr="00DE4629">
        <w:rPr>
          <w:rFonts w:cstheme="minorHAnsi"/>
        </w:rPr>
        <w:t xml:space="preserve">  </w:t>
      </w:r>
    </w:p>
    <w:p w14:paraId="670CD66D" w14:textId="50CED01C" w:rsidR="006260AA" w:rsidRPr="00DE4629" w:rsidRDefault="00CA5748" w:rsidP="00CD27F4">
      <w:pPr>
        <w:spacing w:line="360" w:lineRule="auto"/>
        <w:ind w:firstLine="720"/>
        <w:rPr>
          <w:rFonts w:cstheme="minorHAnsi"/>
        </w:rPr>
      </w:pPr>
      <w:r w:rsidRPr="00DE4629">
        <w:rPr>
          <w:rFonts w:cstheme="minorHAnsi"/>
        </w:rPr>
        <w:t>I</w:t>
      </w:r>
      <w:r w:rsidR="00CD27F4" w:rsidRPr="00DE4629">
        <w:rPr>
          <w:rFonts w:cstheme="minorHAnsi"/>
        </w:rPr>
        <w:t>n 188</w:t>
      </w:r>
      <w:r w:rsidR="0099480C" w:rsidRPr="00DE4629">
        <w:rPr>
          <w:rFonts w:cstheme="minorHAnsi"/>
        </w:rPr>
        <w:t>7</w:t>
      </w:r>
      <w:r w:rsidR="00CD27F4" w:rsidRPr="00DE4629">
        <w:rPr>
          <w:rFonts w:cstheme="minorHAnsi"/>
        </w:rPr>
        <w:t xml:space="preserve">, </w:t>
      </w:r>
      <w:r w:rsidR="0099480C" w:rsidRPr="00DE4629">
        <w:rPr>
          <w:rFonts w:cstheme="minorHAnsi"/>
        </w:rPr>
        <w:t xml:space="preserve">this individual grantee conveyed </w:t>
      </w:r>
      <w:r w:rsidR="00E32A86" w:rsidRPr="00DE4629">
        <w:rPr>
          <w:rFonts w:cstheme="minorHAnsi"/>
        </w:rPr>
        <w:t>the four lots</w:t>
      </w:r>
      <w:r w:rsidR="0099480C" w:rsidRPr="00DE4629">
        <w:rPr>
          <w:rFonts w:cstheme="minorHAnsi"/>
        </w:rPr>
        <w:t xml:space="preserve">, </w:t>
      </w:r>
      <w:r w:rsidR="00CD27F4" w:rsidRPr="00DE4629">
        <w:rPr>
          <w:rFonts w:cstheme="minorHAnsi"/>
        </w:rPr>
        <w:t>again</w:t>
      </w:r>
      <w:r w:rsidR="007211CE" w:rsidRPr="00DE4629">
        <w:rPr>
          <w:rFonts w:cstheme="minorHAnsi"/>
        </w:rPr>
        <w:t xml:space="preserve"> </w:t>
      </w:r>
      <w:r w:rsidRPr="00DE4629">
        <w:rPr>
          <w:rFonts w:cstheme="minorHAnsi"/>
        </w:rPr>
        <w:t xml:space="preserve">by way of </w:t>
      </w:r>
      <w:r w:rsidR="00CD27F4" w:rsidRPr="00DE4629">
        <w:rPr>
          <w:rFonts w:cstheme="minorHAnsi"/>
        </w:rPr>
        <w:t xml:space="preserve">a single </w:t>
      </w:r>
      <w:r w:rsidRPr="00DE4629">
        <w:rPr>
          <w:rFonts w:cstheme="minorHAnsi"/>
        </w:rPr>
        <w:t>conveyance</w:t>
      </w:r>
      <w:r w:rsidR="00CD27F4" w:rsidRPr="00DE4629">
        <w:rPr>
          <w:rFonts w:cstheme="minorHAnsi"/>
        </w:rPr>
        <w:t xml:space="preserve">, to a </w:t>
      </w:r>
      <w:r w:rsidR="0099480C" w:rsidRPr="00DE4629">
        <w:rPr>
          <w:rFonts w:cstheme="minorHAnsi"/>
        </w:rPr>
        <w:t xml:space="preserve">new </w:t>
      </w:r>
      <w:r w:rsidR="00CD27F4" w:rsidRPr="00DE4629">
        <w:rPr>
          <w:rFonts w:cstheme="minorHAnsi"/>
        </w:rPr>
        <w:t>grantee.</w:t>
      </w:r>
      <w:r>
        <w:rPr>
          <w:rStyle w:val="FootnoteReference"/>
          <w:rFonts w:cstheme="minorHAnsi"/>
        </w:rPr>
        <w:footnoteReference w:id="6"/>
      </w:r>
      <w:r w:rsidR="00CD27F4" w:rsidRPr="00DE4629">
        <w:rPr>
          <w:rFonts w:cstheme="minorHAnsi"/>
        </w:rPr>
        <w:t xml:space="preserve">  </w:t>
      </w:r>
    </w:p>
    <w:p w14:paraId="759DB369" w14:textId="29129425" w:rsidR="00CD27F4" w:rsidRPr="00DE4629" w:rsidRDefault="00CA5748" w:rsidP="00CD27F4">
      <w:pPr>
        <w:spacing w:line="360" w:lineRule="auto"/>
        <w:ind w:firstLine="720"/>
        <w:rPr>
          <w:rFonts w:cstheme="minorHAnsi"/>
        </w:rPr>
      </w:pPr>
      <w:r w:rsidRPr="00DE4629">
        <w:rPr>
          <w:rFonts w:cstheme="minorHAnsi"/>
        </w:rPr>
        <w:t xml:space="preserve">In 1913, the lots were </w:t>
      </w:r>
      <w:r w:rsidR="00E32A86" w:rsidRPr="00DE4629">
        <w:rPr>
          <w:rFonts w:cstheme="minorHAnsi"/>
        </w:rPr>
        <w:t xml:space="preserve">again </w:t>
      </w:r>
      <w:r w:rsidRPr="00DE4629">
        <w:rPr>
          <w:rFonts w:cstheme="minorHAnsi"/>
        </w:rPr>
        <w:t xml:space="preserve">conveyed by way of a single </w:t>
      </w:r>
      <w:r w:rsidR="0091279F" w:rsidRPr="00DE4629">
        <w:rPr>
          <w:rFonts w:cstheme="minorHAnsi"/>
        </w:rPr>
        <w:t>deed</w:t>
      </w:r>
      <w:r w:rsidRPr="00DE4629">
        <w:rPr>
          <w:rFonts w:cstheme="minorHAnsi"/>
        </w:rPr>
        <w:t>.</w:t>
      </w:r>
      <w:r>
        <w:rPr>
          <w:rStyle w:val="FootnoteReference"/>
          <w:rFonts w:cstheme="minorHAnsi"/>
        </w:rPr>
        <w:footnoteReference w:id="7"/>
      </w:r>
      <w:r w:rsidRPr="00DE4629">
        <w:rPr>
          <w:rFonts w:cstheme="minorHAnsi"/>
        </w:rPr>
        <w:t xml:space="preserve">    </w:t>
      </w:r>
    </w:p>
    <w:p w14:paraId="3DF8AB72" w14:textId="1586B920" w:rsidR="00CD27F4" w:rsidRPr="00DE4629" w:rsidRDefault="00CA5748" w:rsidP="00CD27F4">
      <w:pPr>
        <w:spacing w:line="360" w:lineRule="auto"/>
        <w:ind w:firstLine="720"/>
        <w:rPr>
          <w:rFonts w:cstheme="minorHAnsi"/>
        </w:rPr>
      </w:pPr>
      <w:r w:rsidRPr="00DE4629">
        <w:rPr>
          <w:rFonts w:cstheme="minorHAnsi"/>
        </w:rPr>
        <w:lastRenderedPageBreak/>
        <w:t xml:space="preserve">Nearly </w:t>
      </w:r>
      <w:r w:rsidR="000429FF" w:rsidRPr="00DE4629">
        <w:rPr>
          <w:rFonts w:cstheme="minorHAnsi"/>
        </w:rPr>
        <w:t>20</w:t>
      </w:r>
      <w:r w:rsidRPr="00DE4629">
        <w:rPr>
          <w:rFonts w:cstheme="minorHAnsi"/>
        </w:rPr>
        <w:t xml:space="preserve"> years later, in 1932, </w:t>
      </w:r>
      <w:r w:rsidR="00C660AD" w:rsidRPr="00DE4629">
        <w:rPr>
          <w:rFonts w:cstheme="minorHAnsi"/>
        </w:rPr>
        <w:t>l</w:t>
      </w:r>
      <w:r w:rsidRPr="00DE4629">
        <w:rPr>
          <w:rFonts w:cstheme="minorHAnsi"/>
        </w:rPr>
        <w:t>ots 17 and 18 were, in a single deed, conveyed to a</w:t>
      </w:r>
      <w:r w:rsidR="0099480C" w:rsidRPr="00DE4629">
        <w:rPr>
          <w:rFonts w:cstheme="minorHAnsi"/>
        </w:rPr>
        <w:t>nother</w:t>
      </w:r>
      <w:r w:rsidRPr="00DE4629">
        <w:rPr>
          <w:rFonts w:cstheme="minorHAnsi"/>
        </w:rPr>
        <w:t xml:space="preserve"> grantee.  This transaction was challenged in a probate proceeding</w:t>
      </w:r>
      <w:r w:rsidR="00E32A86" w:rsidRPr="00DE4629">
        <w:rPr>
          <w:rFonts w:cstheme="minorHAnsi"/>
        </w:rPr>
        <w:t>,</w:t>
      </w:r>
      <w:r w:rsidRPr="00DE4629">
        <w:rPr>
          <w:rFonts w:cstheme="minorHAnsi"/>
        </w:rPr>
        <w:t xml:space="preserve"> </w:t>
      </w:r>
      <w:r w:rsidR="00E32A86" w:rsidRPr="00DE4629">
        <w:rPr>
          <w:rFonts w:cstheme="minorHAnsi"/>
        </w:rPr>
        <w:t xml:space="preserve">resulting </w:t>
      </w:r>
      <w:r w:rsidRPr="00DE4629">
        <w:rPr>
          <w:rFonts w:cstheme="minorHAnsi"/>
        </w:rPr>
        <w:t xml:space="preserve">in a 1933 judgment that apparently invalidated the transaction and, in any case, adjusted the boundaries of several of the four lots.  Lot 18, however, remained as depicted </w:t>
      </w:r>
      <w:r w:rsidR="00B11699" w:rsidRPr="00DE4629">
        <w:rPr>
          <w:rFonts w:cstheme="minorHAnsi"/>
        </w:rPr>
        <w:t>o</w:t>
      </w:r>
      <w:r w:rsidRPr="00DE4629">
        <w:rPr>
          <w:rFonts w:cstheme="minorHAnsi"/>
        </w:rPr>
        <w:t xml:space="preserve">n the 1854 </w:t>
      </w:r>
      <w:r w:rsidR="00AF695F" w:rsidRPr="00DE4629">
        <w:rPr>
          <w:rFonts w:cstheme="minorHAnsi"/>
        </w:rPr>
        <w:t>M</w:t>
      </w:r>
      <w:r w:rsidRPr="00DE4629">
        <w:rPr>
          <w:rFonts w:cstheme="minorHAnsi"/>
        </w:rPr>
        <w:t>ap</w:t>
      </w:r>
      <w:r w:rsidR="00AF695F" w:rsidRPr="00DE4629">
        <w:rPr>
          <w:rFonts w:cstheme="minorHAnsi"/>
        </w:rPr>
        <w:t>.</w:t>
      </w:r>
      <w:r w:rsidRPr="00DE4629">
        <w:rPr>
          <w:rFonts w:cstheme="minorHAnsi"/>
        </w:rPr>
        <w:t xml:space="preserve">    </w:t>
      </w:r>
    </w:p>
    <w:p w14:paraId="07D60843" w14:textId="73F5889F" w:rsidR="00CD27F4" w:rsidRPr="00DE4629" w:rsidRDefault="00CA5748" w:rsidP="00CD27F4">
      <w:pPr>
        <w:spacing w:line="360" w:lineRule="auto"/>
        <w:ind w:firstLine="720"/>
        <w:rPr>
          <w:rFonts w:cstheme="minorHAnsi"/>
        </w:rPr>
      </w:pPr>
      <w:r w:rsidRPr="00DE4629">
        <w:rPr>
          <w:rFonts w:cstheme="minorHAnsi"/>
        </w:rPr>
        <w:t xml:space="preserve">In 1944, </w:t>
      </w:r>
      <w:r w:rsidR="00C660AD" w:rsidRPr="00DE4629">
        <w:rPr>
          <w:rFonts w:cstheme="minorHAnsi"/>
        </w:rPr>
        <w:t>l</w:t>
      </w:r>
      <w:r w:rsidRPr="00DE4629">
        <w:rPr>
          <w:rFonts w:cstheme="minorHAnsi"/>
        </w:rPr>
        <w:t xml:space="preserve">ots 17 and 18 and a portion of </w:t>
      </w:r>
      <w:r w:rsidR="00C660AD" w:rsidRPr="00DE4629">
        <w:rPr>
          <w:rFonts w:cstheme="minorHAnsi"/>
        </w:rPr>
        <w:t>l</w:t>
      </w:r>
      <w:r w:rsidRPr="00DE4629">
        <w:rPr>
          <w:rFonts w:cstheme="minorHAnsi"/>
        </w:rPr>
        <w:t>ot 16 were, in a single deed, conveyed to a grantee.</w:t>
      </w:r>
      <w:r>
        <w:rPr>
          <w:rStyle w:val="FootnoteReference"/>
          <w:rFonts w:cstheme="minorHAnsi"/>
        </w:rPr>
        <w:footnoteReference w:id="8"/>
      </w:r>
      <w:r w:rsidRPr="00DE4629">
        <w:rPr>
          <w:rFonts w:cstheme="minorHAnsi"/>
        </w:rPr>
        <w:t xml:space="preserve">    </w:t>
      </w:r>
    </w:p>
    <w:p w14:paraId="3907AFA2" w14:textId="3136BF95" w:rsidR="00CD27F4" w:rsidRPr="00DE4629" w:rsidRDefault="00CA5748" w:rsidP="00CD27F4">
      <w:pPr>
        <w:spacing w:line="360" w:lineRule="auto"/>
        <w:ind w:firstLine="720"/>
        <w:rPr>
          <w:rFonts w:cstheme="minorHAnsi"/>
        </w:rPr>
      </w:pPr>
      <w:r w:rsidRPr="00DE4629">
        <w:rPr>
          <w:rFonts w:cstheme="minorHAnsi"/>
        </w:rPr>
        <w:t>Appellant eventually acquired this property i</w:t>
      </w:r>
      <w:r w:rsidR="00F9593A" w:rsidRPr="00DE4629">
        <w:rPr>
          <w:rFonts w:cstheme="minorHAnsi"/>
        </w:rPr>
        <w:t xml:space="preserve">n 2015, </w:t>
      </w:r>
      <w:r w:rsidRPr="00DE4629">
        <w:rPr>
          <w:rFonts w:cstheme="minorHAnsi"/>
        </w:rPr>
        <w:t xml:space="preserve">that is, </w:t>
      </w:r>
      <w:r w:rsidR="00C660AD" w:rsidRPr="00DE4629">
        <w:rPr>
          <w:rFonts w:cstheme="minorHAnsi"/>
        </w:rPr>
        <w:t>l</w:t>
      </w:r>
      <w:r w:rsidRPr="00DE4629">
        <w:rPr>
          <w:rFonts w:cstheme="minorHAnsi"/>
        </w:rPr>
        <w:t xml:space="preserve">ots 17 and 18 and part of </w:t>
      </w:r>
      <w:r w:rsidR="00C660AD" w:rsidRPr="00DE4629">
        <w:rPr>
          <w:rFonts w:cstheme="minorHAnsi"/>
        </w:rPr>
        <w:t>l</w:t>
      </w:r>
      <w:r w:rsidRPr="00DE4629">
        <w:rPr>
          <w:rFonts w:cstheme="minorHAnsi"/>
        </w:rPr>
        <w:t>ot 16, again by way of a single deed.</w:t>
      </w:r>
      <w:r>
        <w:rPr>
          <w:rStyle w:val="FootnoteReference"/>
          <w:rFonts w:cstheme="minorHAnsi"/>
        </w:rPr>
        <w:footnoteReference w:id="9"/>
      </w:r>
      <w:r w:rsidRPr="00DE4629">
        <w:rPr>
          <w:rFonts w:cstheme="minorHAnsi"/>
        </w:rPr>
        <w:t xml:space="preserve">  </w:t>
      </w:r>
    </w:p>
    <w:p w14:paraId="259EDA85" w14:textId="4270ACC0" w:rsidR="00FC3644" w:rsidRPr="00DE4629" w:rsidRDefault="00CA5748" w:rsidP="00CD27F4">
      <w:pPr>
        <w:spacing w:line="360" w:lineRule="auto"/>
      </w:pPr>
      <w:r w:rsidRPr="00DE4629">
        <w:rPr>
          <w:rFonts w:cstheme="minorHAnsi"/>
        </w:rPr>
        <w:lastRenderedPageBreak/>
        <w:tab/>
      </w:r>
      <w:r w:rsidR="00CD27F4" w:rsidRPr="00DE4629">
        <w:rPr>
          <w:rFonts w:cstheme="minorHAnsi"/>
        </w:rPr>
        <w:t xml:space="preserve">Appellant subsequently </w:t>
      </w:r>
      <w:r w:rsidR="00B11699" w:rsidRPr="00DE4629">
        <w:rPr>
          <w:rFonts w:cstheme="minorHAnsi"/>
        </w:rPr>
        <w:t xml:space="preserve">applied for </w:t>
      </w:r>
      <w:r w:rsidR="00CD27F4" w:rsidRPr="00DE4629">
        <w:rPr>
          <w:rFonts w:cstheme="minorHAnsi"/>
        </w:rPr>
        <w:t xml:space="preserve">a certificate of compliance for </w:t>
      </w:r>
      <w:r w:rsidR="00C660AD" w:rsidRPr="00DE4629">
        <w:rPr>
          <w:rFonts w:cstheme="minorHAnsi"/>
        </w:rPr>
        <w:t>l</w:t>
      </w:r>
      <w:r w:rsidR="00CD27F4" w:rsidRPr="00DE4629">
        <w:rPr>
          <w:rFonts w:cstheme="minorHAnsi"/>
        </w:rPr>
        <w:t xml:space="preserve">ot 18.  </w:t>
      </w:r>
      <w:r w:rsidR="00F9593A" w:rsidRPr="00DE4629">
        <w:t>In its application</w:t>
      </w:r>
      <w:r w:rsidRPr="00DE4629">
        <w:t xml:space="preserve">, </w:t>
      </w:r>
      <w:r w:rsidR="00F9593A" w:rsidRPr="00DE4629">
        <w:t xml:space="preserve">appellant </w:t>
      </w:r>
      <w:r w:rsidR="007211CE" w:rsidRPr="00DE4629">
        <w:t>made the following statements</w:t>
      </w:r>
      <w:proofErr w:type="gramStart"/>
      <w:r w:rsidR="007211CE" w:rsidRPr="00DE4629">
        <w:t>:</w:t>
      </w:r>
      <w:r w:rsidR="00BF38F0">
        <w:t xml:space="preserve"> </w:t>
      </w:r>
      <w:r w:rsidR="007211CE" w:rsidRPr="00DE4629">
        <w:t xml:space="preserve"> </w:t>
      </w:r>
      <w:r w:rsidR="00F9593A" w:rsidRPr="00DE4629">
        <w:t>“</w:t>
      </w:r>
      <w:proofErr w:type="gramEnd"/>
      <w:r w:rsidR="007211CE" w:rsidRPr="00DE4629">
        <w:t>[L]</w:t>
      </w:r>
      <w:proofErr w:type="spellStart"/>
      <w:r w:rsidR="00F9593A" w:rsidRPr="00DE4629">
        <w:t>ots</w:t>
      </w:r>
      <w:proofErr w:type="spellEnd"/>
      <w:r w:rsidR="00F9593A" w:rsidRPr="00DE4629">
        <w:t xml:space="preserve"> were created pursuant to the </w:t>
      </w:r>
      <w:r w:rsidR="00FB4E1D" w:rsidRPr="00DE4629">
        <w:t>‘</w:t>
      </w:r>
      <w:r w:rsidR="00F9593A" w:rsidRPr="00DE4629">
        <w:t>Map of San Antonio,</w:t>
      </w:r>
      <w:r w:rsidR="00FB4E1D" w:rsidRPr="00DE4629">
        <w:t>’</w:t>
      </w:r>
      <w:r w:rsidR="00F9593A" w:rsidRPr="00DE4629">
        <w:t xml:space="preserve"> filed in Book 1 of Maps at Page 2.”  “</w:t>
      </w:r>
      <w:r w:rsidR="00B11699" w:rsidRPr="00DE4629">
        <w:t>T</w:t>
      </w:r>
      <w:r w:rsidR="00F9593A" w:rsidRPr="00DE4629">
        <w:t>hese are legal lots that were created under the applicable rules in effect at the time the Map of San Antonio was filed</w:t>
      </w:r>
      <w:r w:rsidRPr="00DE4629">
        <w:t>.</w:t>
      </w:r>
      <w:r w:rsidR="00F9593A" w:rsidRPr="00DE4629">
        <w:t>”</w:t>
      </w:r>
      <w:r w:rsidRPr="00DE4629">
        <w:t xml:space="preserve">  “The lots” have since “</w:t>
      </w:r>
      <w:r w:rsidR="00F9593A" w:rsidRPr="00DE4629">
        <w:t xml:space="preserve">been improved pursuant to the map” and “streets accepted, and the improvements [] constructed pursuant to the map.”  </w:t>
      </w:r>
      <w:r w:rsidRPr="00DE4629">
        <w:t xml:space="preserve">Appellant </w:t>
      </w:r>
      <w:proofErr w:type="gramStart"/>
      <w:r w:rsidRPr="00DE4629">
        <w:t>asked</w:t>
      </w:r>
      <w:proofErr w:type="gramEnd"/>
      <w:r w:rsidRPr="00DE4629">
        <w:t xml:space="preserve"> “that a certificate of compliance be issued, unconditionally, as Lot 18, </w:t>
      </w:r>
      <w:r w:rsidR="000429FF" w:rsidRPr="00DE4629">
        <w:t>B</w:t>
      </w:r>
      <w:r w:rsidRPr="00DE4629">
        <w:t xml:space="preserve">lock 66 was legally created and has never had a building over its lot line, which would have merged the parcel.”  </w:t>
      </w:r>
    </w:p>
    <w:p w14:paraId="1BDC1F4E" w14:textId="46780A05" w:rsidR="00CD27F4" w:rsidRPr="00DE4629" w:rsidRDefault="00CA5748" w:rsidP="00CD27F4">
      <w:pPr>
        <w:spacing w:line="360" w:lineRule="auto"/>
      </w:pPr>
      <w:r w:rsidRPr="00DE4629">
        <w:tab/>
      </w:r>
      <w:r w:rsidR="00C87C2F" w:rsidRPr="00DE4629">
        <w:t xml:space="preserve">The </w:t>
      </w:r>
      <w:r w:rsidR="006C6C35" w:rsidRPr="00DE4629">
        <w:t>c</w:t>
      </w:r>
      <w:r w:rsidR="00C87C2F" w:rsidRPr="00DE4629">
        <w:t xml:space="preserve">ity </w:t>
      </w:r>
      <w:r w:rsidR="006C6C35" w:rsidRPr="00DE4629">
        <w:t>s</w:t>
      </w:r>
      <w:r w:rsidR="00C87C2F" w:rsidRPr="00DE4629">
        <w:t xml:space="preserve">urveyor </w:t>
      </w:r>
      <w:r w:rsidRPr="00DE4629">
        <w:t xml:space="preserve">agreed </w:t>
      </w:r>
      <w:r w:rsidR="00C660AD" w:rsidRPr="00DE4629">
        <w:t>l</w:t>
      </w:r>
      <w:r w:rsidR="008E3188" w:rsidRPr="00DE4629">
        <w:t>ot 18</w:t>
      </w:r>
      <w:r w:rsidRPr="00DE4629">
        <w:t xml:space="preserve"> “was legally created by conveyance in accordance with the original said map,” </w:t>
      </w:r>
      <w:r w:rsidR="008E3188" w:rsidRPr="00DE4629">
        <w:t xml:space="preserve">observing </w:t>
      </w:r>
      <w:r w:rsidR="007211CE" w:rsidRPr="00DE4629">
        <w:t xml:space="preserve">that </w:t>
      </w:r>
      <w:r w:rsidR="00694289" w:rsidRPr="00DE4629">
        <w:t xml:space="preserve">the “first labeled indenture” of </w:t>
      </w:r>
      <w:r w:rsidR="00C660AD" w:rsidRPr="00DE4629">
        <w:t>l</w:t>
      </w:r>
      <w:r w:rsidR="00B11699" w:rsidRPr="00DE4629">
        <w:t xml:space="preserve">ots “15, 16, 17 and 18 per 1M2” </w:t>
      </w:r>
      <w:r w:rsidR="007211CE" w:rsidRPr="00DE4629">
        <w:t>was</w:t>
      </w:r>
      <w:r w:rsidR="00C87C2F" w:rsidRPr="00DE4629">
        <w:t xml:space="preserve"> by </w:t>
      </w:r>
      <w:r w:rsidR="008E3188" w:rsidRPr="00DE4629">
        <w:t xml:space="preserve">way of </w:t>
      </w:r>
      <w:r w:rsidR="00C87C2F" w:rsidRPr="00DE4629">
        <w:t>the 1885 deed “in 280 D 284</w:t>
      </w:r>
      <w:r w:rsidR="008E3188" w:rsidRPr="00DE4629">
        <w:t>.</w:t>
      </w:r>
      <w:r w:rsidR="00C87C2F" w:rsidRPr="00DE4629">
        <w:t xml:space="preserve">”  </w:t>
      </w:r>
      <w:r w:rsidR="007211CE" w:rsidRPr="00DE4629">
        <w:t>T</w:t>
      </w:r>
      <w:r w:rsidR="00C87C2F" w:rsidRPr="00DE4629">
        <w:t xml:space="preserve">he surveyor </w:t>
      </w:r>
      <w:r w:rsidRPr="00DE4629">
        <w:t>concluded</w:t>
      </w:r>
      <w:r w:rsidR="007211CE" w:rsidRPr="00DE4629">
        <w:t>, however, that</w:t>
      </w:r>
      <w:r w:rsidRPr="00DE4629">
        <w:t xml:space="preserve"> </w:t>
      </w:r>
      <w:r w:rsidR="00C660AD" w:rsidRPr="00DE4629">
        <w:t>l</w:t>
      </w:r>
      <w:r w:rsidR="00C87C2F" w:rsidRPr="00DE4629">
        <w:rPr>
          <w:rFonts w:cstheme="minorHAnsi"/>
        </w:rPr>
        <w:t xml:space="preserve">ots “18 and 17, and a portion of 15 and 16 were merged” by the 1933 probate judgment because “[t]he adjudicated lines of the original lots were removed per judgment by metes and bounds description,” and thereafter </w:t>
      </w:r>
      <w:r w:rsidR="00C660AD" w:rsidRPr="00DE4629">
        <w:rPr>
          <w:rFonts w:cstheme="minorHAnsi"/>
        </w:rPr>
        <w:t>l</w:t>
      </w:r>
      <w:r w:rsidR="00C87C2F" w:rsidRPr="00DE4629">
        <w:rPr>
          <w:rFonts w:cstheme="minorHAnsi"/>
        </w:rPr>
        <w:t xml:space="preserve">ots “18, 17 and a portion of Lot 16 were effectively merged and </w:t>
      </w:r>
      <w:proofErr w:type="spellStart"/>
      <w:r w:rsidR="00C87C2F" w:rsidRPr="00DE4629">
        <w:rPr>
          <w:rFonts w:cstheme="minorHAnsi"/>
        </w:rPr>
        <w:t>resubdivided</w:t>
      </w:r>
      <w:proofErr w:type="spellEnd"/>
      <w:r w:rsidR="00C87C2F" w:rsidRPr="00DE4629">
        <w:rPr>
          <w:rFonts w:cstheme="minorHAnsi"/>
        </w:rPr>
        <w:t xml:space="preserve">” by their conveyance in 1944.  </w:t>
      </w:r>
      <w:r w:rsidR="00166522" w:rsidRPr="00DE4629">
        <w:rPr>
          <w:rFonts w:cstheme="minorHAnsi"/>
        </w:rPr>
        <w:t xml:space="preserve">Since then, there had “been no effort to divide the parcel into the </w:t>
      </w:r>
      <w:r w:rsidR="00166522" w:rsidRPr="00DE4629">
        <w:rPr>
          <w:rFonts w:cstheme="minorHAnsi"/>
        </w:rPr>
        <w:lastRenderedPageBreak/>
        <w:t xml:space="preserve">original </w:t>
      </w:r>
      <w:proofErr w:type="gramStart"/>
      <w:r w:rsidR="00166522" w:rsidRPr="00DE4629">
        <w:rPr>
          <w:rFonts w:cstheme="minorHAnsi"/>
        </w:rPr>
        <w:t>25 foot</w:t>
      </w:r>
      <w:proofErr w:type="gramEnd"/>
      <w:r w:rsidR="00166522" w:rsidRPr="00DE4629">
        <w:rPr>
          <w:rFonts w:cstheme="minorHAnsi"/>
        </w:rPr>
        <w:t xml:space="preserve"> configurations,” “</w:t>
      </w:r>
      <w:r w:rsidR="006C6C35" w:rsidRPr="00DE4629">
        <w:rPr>
          <w:rFonts w:cstheme="minorHAnsi"/>
        </w:rPr>
        <w:t>[</w:t>
      </w:r>
      <w:r w:rsidR="00166522" w:rsidRPr="00DE4629">
        <w:rPr>
          <w:rFonts w:cstheme="minorHAnsi"/>
        </w:rPr>
        <w:t>n</w:t>
      </w:r>
      <w:r w:rsidR="006C6C35" w:rsidRPr="00DE4629">
        <w:rPr>
          <w:rFonts w:cstheme="minorHAnsi"/>
        </w:rPr>
        <w:t>]</w:t>
      </w:r>
      <w:r w:rsidR="00166522" w:rsidRPr="00DE4629">
        <w:rPr>
          <w:rFonts w:cstheme="minorHAnsi"/>
        </w:rPr>
        <w:t>o separately assessed parcel exist[s] for [</w:t>
      </w:r>
      <w:r w:rsidR="00C660AD" w:rsidRPr="00DE4629">
        <w:rPr>
          <w:rFonts w:cstheme="minorHAnsi"/>
        </w:rPr>
        <w:t>l</w:t>
      </w:r>
      <w:r w:rsidR="00166522" w:rsidRPr="00DE4629">
        <w:rPr>
          <w:rFonts w:cstheme="minorHAnsi"/>
        </w:rPr>
        <w:t xml:space="preserve">ot] 18 as of 1972,” and the lot had not been “separately” sold or conveyed.  In sum, the city “deem[ed] the [lots] effectively merged since 1944.” </w:t>
      </w:r>
    </w:p>
    <w:p w14:paraId="1B6D399C" w14:textId="43D71676" w:rsidR="00166522" w:rsidRPr="00DE4629" w:rsidRDefault="00CA5748" w:rsidP="00CD27F4">
      <w:pPr>
        <w:spacing w:line="360" w:lineRule="auto"/>
      </w:pPr>
      <w:r w:rsidRPr="00DE4629">
        <w:tab/>
        <w:t>Appellant responded</w:t>
      </w:r>
      <w:r w:rsidR="00B11699" w:rsidRPr="00DE4629">
        <w:t>,</w:t>
      </w:r>
      <w:r w:rsidRPr="00DE4629">
        <w:t xml:space="preserve"> stating </w:t>
      </w:r>
      <w:r w:rsidR="008E3188" w:rsidRPr="00DE4629">
        <w:t>it</w:t>
      </w:r>
      <w:r w:rsidRPr="00DE4629">
        <w:t xml:space="preserve"> did “not wish to merge” the lots and “view[ed] these as legally created.”    </w:t>
      </w:r>
    </w:p>
    <w:p w14:paraId="4F55666A" w14:textId="3B16D899" w:rsidR="00B73317" w:rsidRPr="00DE4629" w:rsidRDefault="00CA5748" w:rsidP="00CD27F4">
      <w:pPr>
        <w:spacing w:line="360" w:lineRule="auto"/>
      </w:pPr>
      <w:r w:rsidRPr="00DE4629">
        <w:tab/>
        <w:t xml:space="preserve">The </w:t>
      </w:r>
      <w:r w:rsidR="000429FF" w:rsidRPr="00DE4629">
        <w:t>c</w:t>
      </w:r>
      <w:r w:rsidRPr="00DE4629">
        <w:t xml:space="preserve">ity </w:t>
      </w:r>
      <w:r w:rsidR="000429FF" w:rsidRPr="00DE4629">
        <w:t>s</w:t>
      </w:r>
      <w:r w:rsidRPr="00DE4629">
        <w:t>urveyor rep</w:t>
      </w:r>
      <w:r w:rsidR="00B11699" w:rsidRPr="00DE4629">
        <w:t>lied</w:t>
      </w:r>
      <w:r w:rsidRPr="00DE4629">
        <w:t xml:space="preserve"> </w:t>
      </w:r>
      <w:r w:rsidR="00B11699" w:rsidRPr="00DE4629">
        <w:t xml:space="preserve">that </w:t>
      </w:r>
      <w:r w:rsidRPr="00DE4629">
        <w:t xml:space="preserve">he “never said [the lots] were not legally created,” but said they “are not in the same configuration as they were </w:t>
      </w:r>
      <w:r w:rsidRPr="00DE4629">
        <w:rPr>
          <w:u w:val="single"/>
        </w:rPr>
        <w:t xml:space="preserve">when they were </w:t>
      </w:r>
      <w:r w:rsidRPr="00DE4629">
        <w:t xml:space="preserve">legally created.”  “Regarding </w:t>
      </w:r>
      <w:r w:rsidR="001A30C6" w:rsidRPr="00DE4629">
        <w:t xml:space="preserve">. . . </w:t>
      </w:r>
      <w:r w:rsidRPr="00DE4629">
        <w:t xml:space="preserve">merger,” </w:t>
      </w:r>
      <w:r w:rsidR="008E3188" w:rsidRPr="00DE4629">
        <w:t xml:space="preserve">the surveyor stated </w:t>
      </w:r>
      <w:r w:rsidRPr="00DE4629">
        <w:t xml:space="preserve">appellant “ha[d] no choice as the [lots] are now legally merged” into a single parcel.  </w:t>
      </w:r>
    </w:p>
    <w:p w14:paraId="4A46FFC1" w14:textId="7F416B0A" w:rsidR="00B73317" w:rsidRPr="00DE4629" w:rsidRDefault="00CA5748" w:rsidP="00CD27F4">
      <w:pPr>
        <w:spacing w:line="360" w:lineRule="auto"/>
      </w:pPr>
      <w:r w:rsidRPr="00DE4629">
        <w:tab/>
        <w:t xml:space="preserve">Appellant attempted to file an appeal with the </w:t>
      </w:r>
      <w:r w:rsidR="00950F8F" w:rsidRPr="00DE4629">
        <w:t>c</w:t>
      </w:r>
      <w:r w:rsidRPr="00DE4629">
        <w:t xml:space="preserve">ity </w:t>
      </w:r>
      <w:r w:rsidR="00950F8F" w:rsidRPr="00DE4629">
        <w:t>p</w:t>
      </w:r>
      <w:r w:rsidRPr="00DE4629">
        <w:t xml:space="preserve">lanning </w:t>
      </w:r>
      <w:r w:rsidR="00950F8F" w:rsidRPr="00DE4629">
        <w:t>c</w:t>
      </w:r>
      <w:r w:rsidRPr="00DE4629">
        <w:t xml:space="preserve">ommission but was told by the </w:t>
      </w:r>
      <w:r w:rsidR="00950F8F" w:rsidRPr="00DE4629">
        <w:t>c</w:t>
      </w:r>
      <w:r w:rsidR="00B11699" w:rsidRPr="00DE4629">
        <w:t xml:space="preserve">ity </w:t>
      </w:r>
      <w:r w:rsidR="00950F8F" w:rsidRPr="00DE4629">
        <w:t>z</w:t>
      </w:r>
      <w:r w:rsidRPr="00DE4629">
        <w:t xml:space="preserve">oning </w:t>
      </w:r>
      <w:r w:rsidR="00950F8F" w:rsidRPr="00DE4629">
        <w:t>m</w:t>
      </w:r>
      <w:r w:rsidRPr="00DE4629">
        <w:t xml:space="preserve">anager there was no administrative appeal from the denial of an application for a certificate of compliance, and any legal recourse required </w:t>
      </w:r>
      <w:r w:rsidR="0091279F" w:rsidRPr="00DE4629">
        <w:t xml:space="preserve">a </w:t>
      </w:r>
      <w:r w:rsidRPr="00DE4629">
        <w:t xml:space="preserve">court action.    </w:t>
      </w:r>
    </w:p>
    <w:p w14:paraId="29731DB7" w14:textId="5A4EA34E" w:rsidR="00D62E1B" w:rsidRPr="00DE4629" w:rsidRDefault="00CA5748" w:rsidP="00CD27F4">
      <w:pPr>
        <w:spacing w:line="360" w:lineRule="auto"/>
      </w:pPr>
      <w:r w:rsidRPr="00DE4629">
        <w:tab/>
        <w:t>D</w:t>
      </w:r>
      <w:r w:rsidR="00CD27F4" w:rsidRPr="00DE4629">
        <w:t xml:space="preserve">isagreeing that </w:t>
      </w:r>
      <w:r w:rsidR="00C660AD" w:rsidRPr="00DE4629">
        <w:t>l</w:t>
      </w:r>
      <w:r w:rsidR="00CD27F4" w:rsidRPr="00DE4629">
        <w:t xml:space="preserve">ot 18 had been lost through merger, appellant </w:t>
      </w:r>
      <w:r w:rsidR="00F2783D" w:rsidRPr="00DE4629">
        <w:t>filed the instant writ proceeding.</w:t>
      </w:r>
      <w:r w:rsidR="00CD27F4" w:rsidRPr="00DE4629">
        <w:t xml:space="preserve">  </w:t>
      </w:r>
      <w:r w:rsidR="003D7228" w:rsidRPr="00DE4629">
        <w:t>In its petition, a</w:t>
      </w:r>
      <w:r w:rsidRPr="00DE4629">
        <w:t>ppellant described the origin of the lot as follows</w:t>
      </w:r>
      <w:proofErr w:type="gramStart"/>
      <w:r w:rsidRPr="00DE4629">
        <w:t>:</w:t>
      </w:r>
      <w:r w:rsidR="009B5999" w:rsidRPr="00DE4629">
        <w:t xml:space="preserve"> </w:t>
      </w:r>
      <w:r w:rsidRPr="00DE4629">
        <w:t xml:space="preserve"> “</w:t>
      </w:r>
      <w:proofErr w:type="gramEnd"/>
      <w:r w:rsidRPr="00DE4629">
        <w:t>On September 1, 1854, multiple lots were recorded as part of the ‘Map of San Antoni</w:t>
      </w:r>
      <w:r w:rsidR="002A2DAD" w:rsidRPr="00DE4629">
        <w:t>[o]</w:t>
      </w:r>
      <w:r w:rsidRPr="00DE4629">
        <w:t xml:space="preserve">,’ filed in </w:t>
      </w:r>
      <w:r w:rsidR="001A30C6" w:rsidRPr="00DE4629">
        <w:t>B</w:t>
      </w:r>
      <w:r w:rsidRPr="00DE4629">
        <w:t>ook 1 of Maps at Page 2, Alameda County Records.  Individual lots were thereafter transferred to other owners through sales, gifts, and as part of estates.  Ultimately, [appellant] bec</w:t>
      </w:r>
      <w:r w:rsidR="007211CE" w:rsidRPr="00DE4629">
        <w:t>a</w:t>
      </w:r>
      <w:r w:rsidRPr="00DE4629">
        <w:t>me the owner of lots 17, 18, and portions of lot 15 and 16</w:t>
      </w:r>
      <w:proofErr w:type="gramStart"/>
      <w:r w:rsidRPr="00DE4629">
        <w:t xml:space="preserve">.  </w:t>
      </w:r>
      <w:r w:rsidR="001A30C6" w:rsidRPr="00DE4629">
        <w:t>[</w:t>
      </w:r>
      <w:proofErr w:type="gramEnd"/>
      <w:r w:rsidR="001A30C6" w:rsidRPr="00DE4629">
        <w:t>Appellant]</w:t>
      </w:r>
      <w:r w:rsidRPr="00DE4629">
        <w:t xml:space="preserve"> requested a Certificate of </w:t>
      </w:r>
      <w:r w:rsidR="00F2783D" w:rsidRPr="00DE4629">
        <w:t>C</w:t>
      </w:r>
      <w:r w:rsidRPr="00DE4629">
        <w:t xml:space="preserve">ompliance for Lot 18 only.”  In short, appellant proceeded on the assumption </w:t>
      </w:r>
      <w:r w:rsidR="00C660AD" w:rsidRPr="00DE4629">
        <w:t>l</w:t>
      </w:r>
      <w:r w:rsidRPr="00DE4629">
        <w:t>ot 18 had been legally created</w:t>
      </w:r>
      <w:r w:rsidR="00FA4596" w:rsidRPr="00DE4629">
        <w:t xml:space="preserve"> and the city was in error with respect to merger.</w:t>
      </w:r>
    </w:p>
    <w:p w14:paraId="7FD3A032" w14:textId="6D6A0C83" w:rsidR="009D19A9" w:rsidRPr="00DE4629" w:rsidRDefault="00CA5748" w:rsidP="00CD27F4">
      <w:pPr>
        <w:spacing w:line="360" w:lineRule="auto"/>
      </w:pPr>
      <w:r w:rsidRPr="00DE4629">
        <w:tab/>
        <w:t xml:space="preserve">In its supporting memorandum of points and authorities, appellant identified two ways in which </w:t>
      </w:r>
      <w:r w:rsidR="00CE2DEB" w:rsidRPr="00DE4629">
        <w:t>“parcels” (used here interchangeabl</w:t>
      </w:r>
      <w:r w:rsidR="00F2783D" w:rsidRPr="00DE4629">
        <w:t>y</w:t>
      </w:r>
      <w:r w:rsidR="00CE2DEB" w:rsidRPr="00DE4629">
        <w:t xml:space="preserve"> with the term “lots”) created prior to 1972 can be deemed legally created</w:t>
      </w:r>
      <w:r w:rsidR="00AF695F" w:rsidRPr="00DE4629">
        <w:t xml:space="preserve"> for purposes </w:t>
      </w:r>
      <w:r w:rsidR="00AF695F" w:rsidRPr="00DE4629">
        <w:lastRenderedPageBreak/>
        <w:t>of the Subdivision Map Act</w:t>
      </w:r>
      <w:r w:rsidR="00CE2DEB" w:rsidRPr="00DE4629">
        <w:t>.  One way, as appellant characterized it, is through the Act’s “compliance</w:t>
      </w:r>
      <w:r w:rsidR="00AF695F" w:rsidRPr="00DE4629">
        <w:t>”</w:t>
      </w:r>
      <w:r w:rsidR="00CE2DEB" w:rsidRPr="00DE4629">
        <w:t xml:space="preserve"> provision set forth in </w:t>
      </w:r>
      <w:r w:rsidR="00AF695F" w:rsidRPr="00DE4629">
        <w:t xml:space="preserve">Government Code </w:t>
      </w:r>
      <w:r w:rsidR="00CE2DEB" w:rsidRPr="00DE4629">
        <w:t>section 66499.30.</w:t>
      </w:r>
      <w:r>
        <w:rPr>
          <w:rStyle w:val="FootnoteReference"/>
        </w:rPr>
        <w:footnoteReference w:id="10"/>
      </w:r>
      <w:r w:rsidR="00CE2DEB" w:rsidRPr="00DE4629">
        <w:t xml:space="preserve">  </w:t>
      </w:r>
      <w:r w:rsidR="00F2783D" w:rsidRPr="00DE4629">
        <w:t>T</w:t>
      </w:r>
      <w:r w:rsidR="00CE2DEB" w:rsidRPr="00DE4629">
        <w:t>his</w:t>
      </w:r>
      <w:r w:rsidR="00F2783D" w:rsidRPr="00DE4629">
        <w:t>, said appellant,</w:t>
      </w:r>
      <w:r w:rsidR="00CE2DEB" w:rsidRPr="00DE4629">
        <w:t xml:space="preserve"> “allows a historic subdivision of land to be considered compliant if the division was done by </w:t>
      </w:r>
      <w:r w:rsidR="002A2DAD" w:rsidRPr="00DE4629">
        <w:t xml:space="preserve">the recording of </w:t>
      </w:r>
      <w:r w:rsidR="00CE2DEB" w:rsidRPr="00DE4629">
        <w:t>a compliant map</w:t>
      </w:r>
      <w:r w:rsidR="002A2DAD" w:rsidRPr="00DE4629">
        <w:t>,</w:t>
      </w:r>
      <w:r w:rsidR="00CE2DEB" w:rsidRPr="00DE4629">
        <w:t xml:space="preserve"> regardless of the size of the subdivision,” a “compliant map” being one that complied with “a law </w:t>
      </w:r>
      <w:r w:rsidR="002A2DAD" w:rsidRPr="00DE4629">
        <w:t>[</w:t>
      </w:r>
      <w:r w:rsidR="00CE2DEB" w:rsidRPr="00DE4629">
        <w:t>that</w:t>
      </w:r>
      <w:r w:rsidR="002A2DAD" w:rsidRPr="00DE4629">
        <w:t>]</w:t>
      </w:r>
      <w:r w:rsidR="00CE2DEB" w:rsidRPr="00DE4629">
        <w:t xml:space="preserve"> ‘substantively’ regulate</w:t>
      </w:r>
      <w:r w:rsidR="002A2DAD" w:rsidRPr="00DE4629">
        <w:t>[</w:t>
      </w:r>
      <w:r w:rsidR="00CE2DEB" w:rsidRPr="00DE4629">
        <w:t>d</w:t>
      </w:r>
      <w:r w:rsidR="002A2DAD" w:rsidRPr="00DE4629">
        <w:t>]</w:t>
      </w:r>
      <w:r w:rsidR="00CE2DEB" w:rsidRPr="00DE4629">
        <w:t xml:space="preserve"> the design and improvement of subdivisions.”  Appellant acknowledged “the Map of San Antonio that originally described Lot 18 . . . </w:t>
      </w:r>
      <w:r w:rsidR="002A2DAD" w:rsidRPr="00DE4629">
        <w:t>[</w:t>
      </w:r>
      <w:r w:rsidR="00CE2DEB" w:rsidRPr="00DE4629">
        <w:t>did</w:t>
      </w:r>
      <w:r w:rsidR="002A2DAD" w:rsidRPr="00DE4629">
        <w:t>]</w:t>
      </w:r>
      <w:r w:rsidR="00CE2DEB" w:rsidRPr="00DE4629">
        <w:t xml:space="preserve"> not qualify for the </w:t>
      </w:r>
      <w:r w:rsidR="002A2DAD" w:rsidRPr="00DE4629">
        <w:t>C</w:t>
      </w:r>
      <w:r w:rsidR="00CE2DEB" w:rsidRPr="00DE4629">
        <w:t xml:space="preserve">ompliance </w:t>
      </w:r>
      <w:r w:rsidR="002A2DAD" w:rsidRPr="00DE4629">
        <w:t>P</w:t>
      </w:r>
      <w:r w:rsidR="00CE2DEB" w:rsidRPr="00DE4629">
        <w:t xml:space="preserve">rovision because no subdivision </w:t>
      </w:r>
      <w:r w:rsidRPr="00DE4629">
        <w:t xml:space="preserve">law was in effect in California </w:t>
      </w:r>
      <w:r w:rsidR="002A2DAD" w:rsidRPr="00DE4629">
        <w:t xml:space="preserve">in </w:t>
      </w:r>
      <w:r w:rsidRPr="00DE4629">
        <w:t>1854” when the Map was recorded.</w:t>
      </w:r>
      <w:r>
        <w:rPr>
          <w:rStyle w:val="FootnoteReference"/>
        </w:rPr>
        <w:footnoteReference w:id="11"/>
      </w:r>
      <w:r w:rsidRPr="00DE4629">
        <w:t xml:space="preserve">  </w:t>
      </w:r>
    </w:p>
    <w:p w14:paraId="37D8FFA4" w14:textId="76E28183" w:rsidR="00FA4596" w:rsidRPr="00DE4629" w:rsidRDefault="00CA5748" w:rsidP="00CD27F4">
      <w:pPr>
        <w:spacing w:line="360" w:lineRule="auto"/>
      </w:pPr>
      <w:r w:rsidRPr="00DE4629">
        <w:tab/>
        <w:t xml:space="preserve">The other way, as appellant characterized it, is through the </w:t>
      </w:r>
      <w:r w:rsidR="00950F8F" w:rsidRPr="00DE4629">
        <w:t xml:space="preserve">Subdivision </w:t>
      </w:r>
      <w:r w:rsidRPr="00DE4629">
        <w:t xml:space="preserve">Map Act’s “Small Subdivision Provision” set forth in section 66412.6, subdivision (a).  </w:t>
      </w:r>
      <w:r w:rsidR="009201E7" w:rsidRPr="00DE4629">
        <w:t xml:space="preserve">This provision applies, as described by appellant, where </w:t>
      </w:r>
      <w:r w:rsidRPr="00DE4629">
        <w:t>(a) there “was a division” of land prior to 1972, (b) the division resulted in “the creation of fewer than five parcels,</w:t>
      </w:r>
      <w:r w:rsidR="009201E7" w:rsidRPr="00DE4629">
        <w:t>”</w:t>
      </w:r>
      <w:r w:rsidRPr="00DE4629">
        <w:t xml:space="preserve"> and (c) at the time of the division, there was no local ordinance regulating </w:t>
      </w:r>
      <w:r w:rsidR="00F2783D" w:rsidRPr="00DE4629">
        <w:t>sub</w:t>
      </w:r>
      <w:r w:rsidRPr="00DE4629">
        <w:t xml:space="preserve">divisions resulting in fewer than five parcels.  Appellant </w:t>
      </w:r>
      <w:r w:rsidR="00FD0431" w:rsidRPr="00DE4629">
        <w:t>asserted</w:t>
      </w:r>
      <w:r w:rsidRPr="00DE4629">
        <w:t xml:space="preserve"> this provision applied because “Lot 18 was conveyed in groups of fewer than five lots in 1887</w:t>
      </w:r>
      <w:r w:rsidR="006260AA" w:rsidRPr="00DE4629">
        <w:t>,</w:t>
      </w:r>
      <w:r w:rsidRPr="00DE4629">
        <w:t xml:space="preserve"> 1913, 1932, and 1933”</w:t>
      </w:r>
      <w:r>
        <w:rPr>
          <w:rStyle w:val="FootnoteReference"/>
        </w:rPr>
        <w:footnoteReference w:id="12"/>
      </w:r>
      <w:r w:rsidRPr="00DE4629">
        <w:t xml:space="preserve"> and “any of these conveyances would have been sufficient to subdivide the </w:t>
      </w:r>
      <w:r w:rsidRPr="00DE4629">
        <w:lastRenderedPageBreak/>
        <w:t>property” as there was no local ordinance regulating divisions resulting in fewer than five pa</w:t>
      </w:r>
      <w:r w:rsidR="00C65CF7" w:rsidRPr="00DE4629">
        <w:t>rcels</w:t>
      </w:r>
      <w:r w:rsidR="009201E7" w:rsidRPr="00DE4629">
        <w:t xml:space="preserve"> during that </w:t>
      </w:r>
      <w:proofErr w:type="gramStart"/>
      <w:r w:rsidR="009201E7" w:rsidRPr="00DE4629">
        <w:t>period of time</w:t>
      </w:r>
      <w:proofErr w:type="gramEnd"/>
      <w:r w:rsidR="00C65CF7" w:rsidRPr="00DE4629">
        <w:t xml:space="preserve">.    </w:t>
      </w:r>
      <w:r w:rsidR="00D62E1B" w:rsidRPr="00DE4629">
        <w:t xml:space="preserve">  </w:t>
      </w:r>
      <w:r w:rsidRPr="00DE4629">
        <w:t xml:space="preserve">  </w:t>
      </w:r>
    </w:p>
    <w:p w14:paraId="73EA0CD7" w14:textId="57699A17" w:rsidR="00FA4596" w:rsidRPr="00DE4629" w:rsidRDefault="00CA5748" w:rsidP="00CD27F4">
      <w:pPr>
        <w:spacing w:line="360" w:lineRule="auto"/>
      </w:pPr>
      <w:r w:rsidRPr="00DE4629">
        <w:tab/>
      </w:r>
      <w:r w:rsidR="00FD0431" w:rsidRPr="00DE4629">
        <w:t>Following this general discussion, a</w:t>
      </w:r>
      <w:r w:rsidRPr="00DE4629">
        <w:t xml:space="preserve">ppellant </w:t>
      </w:r>
      <w:r w:rsidR="00FD0431" w:rsidRPr="00DE4629">
        <w:t xml:space="preserve">turned to the issue of merger.  It </w:t>
      </w:r>
      <w:r w:rsidR="00C65CF7" w:rsidRPr="00DE4629">
        <w:t xml:space="preserve">supplied a copy of the </w:t>
      </w:r>
      <w:r w:rsidRPr="00DE4629">
        <w:t>1933 judgment</w:t>
      </w:r>
      <w:r w:rsidR="00C65CF7" w:rsidRPr="00DE4629">
        <w:t xml:space="preserve"> showing it</w:t>
      </w:r>
      <w:r w:rsidRPr="00DE4629">
        <w:t xml:space="preserve"> was issued </w:t>
      </w:r>
      <w:r w:rsidR="003D7228" w:rsidRPr="00DE4629">
        <w:t xml:space="preserve">in connection with </w:t>
      </w:r>
      <w:r w:rsidRPr="00DE4629">
        <w:t>a quiet title claim following a bench trial</w:t>
      </w:r>
      <w:r w:rsidR="006260AA" w:rsidRPr="00DE4629">
        <w:t>.  A</w:t>
      </w:r>
      <w:r w:rsidR="00FD0431" w:rsidRPr="00DE4629">
        <w:t xml:space="preserve">ppellant </w:t>
      </w:r>
      <w:r w:rsidRPr="00DE4629">
        <w:t xml:space="preserve">maintained </w:t>
      </w:r>
      <w:r w:rsidR="006260AA" w:rsidRPr="00DE4629">
        <w:t>the judgment</w:t>
      </w:r>
      <w:r w:rsidR="00FD0431" w:rsidRPr="00DE4629">
        <w:t xml:space="preserve"> preserved </w:t>
      </w:r>
      <w:r w:rsidRPr="00DE4629">
        <w:t>the “status quo by granting lots 17 and 18 as distinct lots, along with ‘portions of’ lots 15 and 16</w:t>
      </w:r>
      <w:proofErr w:type="gramStart"/>
      <w:r w:rsidRPr="00DE4629">
        <w:t>.</w:t>
      </w:r>
      <w:r w:rsidR="00CB7E30" w:rsidRPr="00DE4629">
        <w:t xml:space="preserve"> . . .</w:t>
      </w:r>
      <w:proofErr w:type="gramEnd"/>
      <w:r w:rsidR="00B0356F">
        <w:t xml:space="preserve"> </w:t>
      </w:r>
      <w:r w:rsidR="00CB7E30" w:rsidRPr="00DE4629">
        <w:t xml:space="preserve"> </w:t>
      </w:r>
      <w:r w:rsidRPr="00DE4629">
        <w:t>The judgment stated the description</w:t>
      </w:r>
      <w:r w:rsidR="00D62E1B" w:rsidRPr="00DE4629">
        <w:t xml:space="preserve"> in its then</w:t>
      </w:r>
      <w:r w:rsidR="00CB7E30" w:rsidRPr="00DE4629">
        <w:t>-</w:t>
      </w:r>
      <w:r w:rsidR="00D62E1B" w:rsidRPr="00DE4629">
        <w:t xml:space="preserve">current form, using </w:t>
      </w:r>
      <w:r w:rsidR="007E1CD4" w:rsidRPr="00DE4629">
        <w:t>[</w:t>
      </w:r>
      <w:r w:rsidR="009201E7" w:rsidRPr="00DE4629">
        <w:t>both</w:t>
      </w:r>
      <w:r w:rsidR="007E1CD4" w:rsidRPr="00DE4629">
        <w:t>]</w:t>
      </w:r>
      <w:r w:rsidR="009201E7" w:rsidRPr="00DE4629">
        <w:t xml:space="preserve"> </w:t>
      </w:r>
      <w:r w:rsidR="00D62E1B" w:rsidRPr="00DE4629">
        <w:t xml:space="preserve">a </w:t>
      </w:r>
      <w:proofErr w:type="gramStart"/>
      <w:r w:rsidR="00D62E1B" w:rsidRPr="00DE4629">
        <w:t>metes</w:t>
      </w:r>
      <w:proofErr w:type="gramEnd"/>
      <w:r w:rsidR="00D62E1B" w:rsidRPr="00DE4629">
        <w:t xml:space="preserve"> and bounds description</w:t>
      </w:r>
      <w:r w:rsidR="007E1CD4" w:rsidRPr="00DE4629">
        <w:t>,</w:t>
      </w:r>
      <w:r w:rsidR="00D62E1B" w:rsidRPr="00DE4629">
        <w:t xml:space="preserve"> an</w:t>
      </w:r>
      <w:r w:rsidR="00C65CF7" w:rsidRPr="00DE4629">
        <w:t>d</w:t>
      </w:r>
      <w:r w:rsidR="00D62E1B" w:rsidRPr="00DE4629">
        <w:t xml:space="preserve"> a lot and block description</w:t>
      </w:r>
      <w:r w:rsidR="00C65CF7" w:rsidRPr="00DE4629">
        <w:t>.</w:t>
      </w:r>
      <w:r w:rsidR="00D62E1B" w:rsidRPr="00DE4629">
        <w:t>”</w:t>
      </w:r>
      <w:r w:rsidR="00C65CF7" w:rsidRPr="00DE4629">
        <w:t xml:space="preserve">  </w:t>
      </w:r>
      <w:r w:rsidR="00BB3835" w:rsidRPr="00DE4629">
        <w:t xml:space="preserve">It did </w:t>
      </w:r>
      <w:r w:rsidR="00D62E1B" w:rsidRPr="00DE4629">
        <w:t xml:space="preserve">“not include any language about merger.”  </w:t>
      </w:r>
      <w:r w:rsidRPr="00DE4629">
        <w:t xml:space="preserve">     </w:t>
      </w:r>
    </w:p>
    <w:p w14:paraId="2E2E1C3D" w14:textId="6D37502C" w:rsidR="00C65CF7" w:rsidRPr="00DE4629" w:rsidRDefault="00CA5748" w:rsidP="00CD27F4">
      <w:pPr>
        <w:spacing w:line="360" w:lineRule="auto"/>
      </w:pPr>
      <w:r w:rsidRPr="00DE4629">
        <w:tab/>
      </w:r>
      <w:r w:rsidR="00CD27F4" w:rsidRPr="00DE4629">
        <w:t xml:space="preserve">The city opposed the </w:t>
      </w:r>
      <w:r w:rsidRPr="00DE4629">
        <w:t xml:space="preserve">writ </w:t>
      </w:r>
      <w:r w:rsidR="00CD27F4" w:rsidRPr="00DE4629">
        <w:t>petition</w:t>
      </w:r>
      <w:r w:rsidRPr="00DE4629">
        <w:t xml:space="preserve">—but </w:t>
      </w:r>
      <w:r w:rsidR="00CD27F4" w:rsidRPr="00DE4629">
        <w:t xml:space="preserve">not on the ground </w:t>
      </w:r>
      <w:r w:rsidR="007E1CD4" w:rsidRPr="00DE4629">
        <w:t>l</w:t>
      </w:r>
      <w:r w:rsidRPr="00DE4629">
        <w:t xml:space="preserve">ot 18 had been lost through merger.  Rather, </w:t>
      </w:r>
      <w:r w:rsidR="00D62E1B" w:rsidRPr="00DE4629">
        <w:t xml:space="preserve">the city changed course and </w:t>
      </w:r>
      <w:r w:rsidR="003D7228" w:rsidRPr="00DE4629">
        <w:t xml:space="preserve">now </w:t>
      </w:r>
      <w:r w:rsidR="00D62E1B" w:rsidRPr="00DE4629">
        <w:t xml:space="preserve">asserted </w:t>
      </w:r>
      <w:r w:rsidR="007E1CD4" w:rsidRPr="00DE4629">
        <w:t>l</w:t>
      </w:r>
      <w:r w:rsidR="00CD27F4" w:rsidRPr="00DE4629">
        <w:t xml:space="preserve">ot 18 “was never lawfully created” because it was depicted on an “antiquated </w:t>
      </w:r>
      <w:r w:rsidR="00CB7E30" w:rsidRPr="00DE4629">
        <w:t xml:space="preserve">subdivision </w:t>
      </w:r>
      <w:r w:rsidR="00CD27F4" w:rsidRPr="00DE4629">
        <w:t xml:space="preserve">map” and </w:t>
      </w:r>
      <w:r w:rsidR="00D62E1B" w:rsidRPr="00DE4629">
        <w:t xml:space="preserve">had not been </w:t>
      </w:r>
      <w:r w:rsidR="00CD27F4" w:rsidRPr="00DE4629">
        <w:t xml:space="preserve">conveyed as a “separate” lot, citing </w:t>
      </w:r>
      <w:r w:rsidR="00CD27F4" w:rsidRPr="00DE4629">
        <w:rPr>
          <w:i/>
        </w:rPr>
        <w:t>Gardner</w:t>
      </w:r>
      <w:r w:rsidR="006260AA" w:rsidRPr="00DE4629">
        <w:rPr>
          <w:i/>
        </w:rPr>
        <w:t xml:space="preserve">, </w:t>
      </w:r>
      <w:r w:rsidR="00D62E1B" w:rsidRPr="00DE4629">
        <w:rPr>
          <w:iCs/>
        </w:rPr>
        <w:t xml:space="preserve">which it maintained was “dispositive.”  </w:t>
      </w:r>
      <w:r w:rsidR="00CD27F4" w:rsidRPr="00DE4629">
        <w:t xml:space="preserve">  </w:t>
      </w:r>
    </w:p>
    <w:p w14:paraId="66A9AD67" w14:textId="18C757C5" w:rsidR="00CD27F4" w:rsidRPr="00DE4629" w:rsidRDefault="00CA5748" w:rsidP="00CD27F4">
      <w:pPr>
        <w:spacing w:line="360" w:lineRule="auto"/>
      </w:pPr>
      <w:r w:rsidRPr="00DE4629">
        <w:tab/>
        <w:t xml:space="preserve">In reply, appellant emphasized it was not relying on </w:t>
      </w:r>
      <w:r w:rsidR="001C440A" w:rsidRPr="00DE4629">
        <w:t xml:space="preserve">either </w:t>
      </w:r>
      <w:r w:rsidRPr="00DE4629">
        <w:t xml:space="preserve">the </w:t>
      </w:r>
      <w:r w:rsidR="001C440A" w:rsidRPr="00DE4629">
        <w:t xml:space="preserve">filing or recording of the </w:t>
      </w:r>
      <w:r w:rsidRPr="00DE4629">
        <w:t xml:space="preserve">Map, in and of </w:t>
      </w:r>
      <w:r w:rsidR="001C440A" w:rsidRPr="00DE4629">
        <w:t xml:space="preserve">itself, </w:t>
      </w:r>
      <w:r w:rsidRPr="00DE4629">
        <w:t>as having created the lot</w:t>
      </w:r>
      <w:r w:rsidR="00164702" w:rsidRPr="00DE4629">
        <w:t xml:space="preserve">.  Rather, it was relying </w:t>
      </w:r>
      <w:r w:rsidRPr="00DE4629">
        <w:t xml:space="preserve">on the </w:t>
      </w:r>
      <w:r w:rsidRPr="00DE4629">
        <w:rPr>
          <w:i/>
          <w:iCs/>
        </w:rPr>
        <w:t>conveyance</w:t>
      </w:r>
      <w:r w:rsidR="009201E7" w:rsidRPr="00DE4629">
        <w:rPr>
          <w:i/>
          <w:iCs/>
        </w:rPr>
        <w:t>s</w:t>
      </w:r>
      <w:r w:rsidR="00164702" w:rsidRPr="00DE4629">
        <w:t xml:space="preserve"> </w:t>
      </w:r>
      <w:r w:rsidR="009201E7" w:rsidRPr="00DE4629">
        <w:t xml:space="preserve">that transferred only </w:t>
      </w:r>
      <w:r w:rsidR="007E1CD4" w:rsidRPr="00DE4629">
        <w:t>l</w:t>
      </w:r>
      <w:r w:rsidR="003D7228" w:rsidRPr="00DE4629">
        <w:t>ots 1</w:t>
      </w:r>
      <w:r w:rsidR="006260AA" w:rsidRPr="00DE4629">
        <w:t>5</w:t>
      </w:r>
      <w:r w:rsidR="003D7228" w:rsidRPr="00DE4629">
        <w:t>, 16, 17 and 18</w:t>
      </w:r>
      <w:r w:rsidR="009201E7" w:rsidRPr="00DE4629">
        <w:t xml:space="preserve"> </w:t>
      </w:r>
      <w:r w:rsidR="00164702" w:rsidRPr="00DE4629">
        <w:t xml:space="preserve">through </w:t>
      </w:r>
      <w:r w:rsidR="00D3523A" w:rsidRPr="00DE4629">
        <w:t>at least 193</w:t>
      </w:r>
      <w:r w:rsidR="00AA3D94" w:rsidRPr="00DE4629">
        <w:t>3</w:t>
      </w:r>
      <w:r w:rsidR="009201E7" w:rsidRPr="00DE4629">
        <w:t xml:space="preserve">—all </w:t>
      </w:r>
      <w:r w:rsidRPr="00DE4629">
        <w:t xml:space="preserve">of which, according to appellant, resulted in </w:t>
      </w:r>
      <w:r w:rsidR="007E1CD4" w:rsidRPr="00DE4629">
        <w:t>l</w:t>
      </w:r>
      <w:r w:rsidRPr="00DE4629">
        <w:t xml:space="preserve">ot 18 being </w:t>
      </w:r>
      <w:r w:rsidR="001C440A" w:rsidRPr="00DE4629">
        <w:t xml:space="preserve">presumptively legal </w:t>
      </w:r>
      <w:r w:rsidR="009201E7" w:rsidRPr="00DE4629">
        <w:t xml:space="preserve">for Subdivision Map Act purposes </w:t>
      </w:r>
      <w:r w:rsidR="00B5473F" w:rsidRPr="00DE4629">
        <w:t xml:space="preserve">pursuant to </w:t>
      </w:r>
      <w:r w:rsidRPr="00DE4629">
        <w:t>section 66412.6, subdivision (a).</w:t>
      </w:r>
      <w:r w:rsidR="00164702" w:rsidRPr="00DE4629">
        <w:t xml:space="preserve">  Th</w:t>
      </w:r>
      <w:r w:rsidR="00F2783D" w:rsidRPr="00DE4629">
        <w:t xml:space="preserve">e fact </w:t>
      </w:r>
      <w:r w:rsidR="00164702" w:rsidRPr="00DE4629">
        <w:t>the lot was</w:t>
      </w:r>
      <w:r w:rsidR="006260AA" w:rsidRPr="00DE4629">
        <w:t xml:space="preserve"> not</w:t>
      </w:r>
      <w:r w:rsidR="00164702" w:rsidRPr="00DE4629">
        <w:t xml:space="preserve"> </w:t>
      </w:r>
      <w:r w:rsidR="00694289" w:rsidRPr="00DE4629">
        <w:t xml:space="preserve">individually </w:t>
      </w:r>
      <w:r w:rsidR="00164702" w:rsidRPr="00DE4629">
        <w:t>conveyed</w:t>
      </w:r>
      <w:r w:rsidR="00694289" w:rsidRPr="00DE4629">
        <w:t xml:space="preserve">, </w:t>
      </w:r>
      <w:r w:rsidR="006260AA" w:rsidRPr="00DE4629">
        <w:t xml:space="preserve">but </w:t>
      </w:r>
      <w:r w:rsidR="00694289" w:rsidRPr="00DE4629">
        <w:t xml:space="preserve">was conveyed </w:t>
      </w:r>
      <w:r w:rsidR="006260AA" w:rsidRPr="00DE4629">
        <w:t>in</w:t>
      </w:r>
      <w:r w:rsidR="00164702" w:rsidRPr="00DE4629">
        <w:t xml:space="preserve"> conjunction with three</w:t>
      </w:r>
      <w:r w:rsidR="00C94C0F" w:rsidRPr="00DE4629">
        <w:t xml:space="preserve"> other lots</w:t>
      </w:r>
      <w:r w:rsidR="001C413C" w:rsidRPr="00DE4629">
        <w:t>,</w:t>
      </w:r>
      <w:r w:rsidR="00164702" w:rsidRPr="00DE4629">
        <w:t xml:space="preserve"> </w:t>
      </w:r>
      <w:r w:rsidR="001C413C" w:rsidRPr="00DE4629">
        <w:t xml:space="preserve">was, </w:t>
      </w:r>
      <w:r w:rsidR="00164702" w:rsidRPr="00DE4629">
        <w:t xml:space="preserve">according to appellant, </w:t>
      </w:r>
      <w:r w:rsidR="001C413C" w:rsidRPr="00DE4629">
        <w:t>immaterial.</w:t>
      </w:r>
      <w:r w:rsidR="00164702" w:rsidRPr="00DE4629">
        <w:t xml:space="preserve">  </w:t>
      </w:r>
      <w:r w:rsidR="00B5473F" w:rsidRPr="00DE4629">
        <w:t>The</w:t>
      </w:r>
      <w:r w:rsidR="00F36C95" w:rsidRPr="00DE4629">
        <w:t>se</w:t>
      </w:r>
      <w:r w:rsidR="00B5473F" w:rsidRPr="00DE4629">
        <w:t xml:space="preserve"> deeds </w:t>
      </w:r>
      <w:r w:rsidR="00D3523A" w:rsidRPr="00DE4629">
        <w:t xml:space="preserve">separately </w:t>
      </w:r>
      <w:r w:rsidR="001C440A" w:rsidRPr="00DE4629">
        <w:t>identified</w:t>
      </w:r>
      <w:r w:rsidR="00D3523A" w:rsidRPr="00DE4629">
        <w:t xml:space="preserve"> </w:t>
      </w:r>
      <w:r w:rsidR="00FD0431" w:rsidRPr="00DE4629">
        <w:t>the</w:t>
      </w:r>
      <w:r w:rsidR="00D3523A" w:rsidRPr="00DE4629">
        <w:t xml:space="preserve"> </w:t>
      </w:r>
      <w:r w:rsidR="001C413C" w:rsidRPr="00DE4629">
        <w:t xml:space="preserve">four </w:t>
      </w:r>
      <w:r w:rsidR="00D3523A" w:rsidRPr="00DE4629">
        <w:t>lot</w:t>
      </w:r>
      <w:r w:rsidR="00FD0431" w:rsidRPr="00DE4629">
        <w:t>s</w:t>
      </w:r>
      <w:r w:rsidR="001C413C" w:rsidRPr="00DE4629">
        <w:t>,</w:t>
      </w:r>
      <w:r w:rsidR="00D3523A" w:rsidRPr="00DE4629">
        <w:t xml:space="preserve"> and thus</w:t>
      </w:r>
      <w:r w:rsidR="00F2783D" w:rsidRPr="00DE4629">
        <w:t>, according to appellant,</w:t>
      </w:r>
      <w:r w:rsidR="00D3523A" w:rsidRPr="00DE4629">
        <w:t xml:space="preserve"> </w:t>
      </w:r>
      <w:r w:rsidR="001C413C" w:rsidRPr="00DE4629">
        <w:t xml:space="preserve">effectuated a division of </w:t>
      </w:r>
      <w:r w:rsidR="00694289" w:rsidRPr="00DE4629">
        <w:t>the property.</w:t>
      </w:r>
      <w:r w:rsidR="00D3523A" w:rsidRPr="00DE4629">
        <w:t xml:space="preserve">  </w:t>
      </w:r>
      <w:r w:rsidRPr="00DE4629">
        <w:t xml:space="preserve">Appellant </w:t>
      </w:r>
      <w:r w:rsidR="00FD0431" w:rsidRPr="00DE4629">
        <w:t>asserted</w:t>
      </w:r>
      <w:r w:rsidRPr="00DE4629">
        <w:t xml:space="preserve"> </w:t>
      </w:r>
      <w:r w:rsidRPr="00DE4629">
        <w:rPr>
          <w:i/>
          <w:iCs/>
        </w:rPr>
        <w:t xml:space="preserve">Gardner </w:t>
      </w:r>
      <w:r w:rsidRPr="00DE4629">
        <w:t>was</w:t>
      </w:r>
      <w:r w:rsidRPr="00DE4629">
        <w:rPr>
          <w:i/>
          <w:iCs/>
        </w:rPr>
        <w:t xml:space="preserve"> </w:t>
      </w:r>
      <w:r w:rsidR="00FD0431" w:rsidRPr="00DE4629">
        <w:t xml:space="preserve">not only </w:t>
      </w:r>
      <w:r w:rsidR="003D7228" w:rsidRPr="00DE4629">
        <w:t xml:space="preserve">factually </w:t>
      </w:r>
      <w:r w:rsidRPr="00DE4629">
        <w:t>distinguishable</w:t>
      </w:r>
      <w:r w:rsidR="00FD0431" w:rsidRPr="00DE4629">
        <w:t xml:space="preserve">, but </w:t>
      </w:r>
      <w:r w:rsidRPr="00DE4629">
        <w:t xml:space="preserve">the </w:t>
      </w:r>
      <w:r w:rsidR="00694289" w:rsidRPr="00DE4629">
        <w:t xml:space="preserve">Supreme Court </w:t>
      </w:r>
      <w:r w:rsidRPr="00DE4629">
        <w:t xml:space="preserve">expressly stated it was not considering </w:t>
      </w:r>
      <w:r w:rsidR="00D3523A" w:rsidRPr="00DE4629">
        <w:t>section 66412.6, subdivision (a)</w:t>
      </w:r>
      <w:r w:rsidRPr="00DE4629">
        <w:t xml:space="preserve">.  </w:t>
      </w:r>
    </w:p>
    <w:p w14:paraId="5A423BAA" w14:textId="4508D1C4" w:rsidR="00E70D68" w:rsidRPr="00DE4629" w:rsidRDefault="00CA5748" w:rsidP="00E70D68">
      <w:pPr>
        <w:spacing w:line="360" w:lineRule="auto"/>
        <w:ind w:firstLine="720"/>
        <w:rPr>
          <w:rFonts w:cstheme="minorHAnsi"/>
        </w:rPr>
      </w:pPr>
      <w:r w:rsidRPr="00DE4629">
        <w:lastRenderedPageBreak/>
        <w:t>After hearing argument by the parties, t</w:t>
      </w:r>
      <w:r w:rsidR="00CD27F4" w:rsidRPr="00DE4629">
        <w:t>he trial court denied the writ petition</w:t>
      </w:r>
      <w:r w:rsidR="00CC50C0" w:rsidRPr="00DE4629">
        <w:t xml:space="preserve"> in a judgment stating </w:t>
      </w:r>
      <w:r w:rsidR="00425766" w:rsidRPr="00DE4629">
        <w:t xml:space="preserve">only </w:t>
      </w:r>
      <w:r w:rsidR="00CC50C0" w:rsidRPr="00DE4629">
        <w:t xml:space="preserve">that </w:t>
      </w:r>
      <w:r w:rsidR="00446E22" w:rsidRPr="00DE4629">
        <w:t xml:space="preserve">“the arguments raised [by the city] are dispositive, and that controlling </w:t>
      </w:r>
      <w:r w:rsidR="006A22DF" w:rsidRPr="00DE4629">
        <w:t xml:space="preserve">legal </w:t>
      </w:r>
      <w:r w:rsidR="00446E22" w:rsidRPr="00DE4629">
        <w:t xml:space="preserve">authority prohibits [the city] from issuing a certificate of compliance for Lot 18.”  </w:t>
      </w:r>
      <w:r w:rsidR="00CD27F4" w:rsidRPr="00DE4629">
        <w:t xml:space="preserve">  </w:t>
      </w:r>
      <w:r w:rsidR="008E7050" w:rsidRPr="00DE4629">
        <w:rPr>
          <w:rFonts w:cstheme="minorHAnsi"/>
        </w:rPr>
        <w:t xml:space="preserve">  </w:t>
      </w:r>
    </w:p>
    <w:p w14:paraId="70C05B73" w14:textId="7DCC862D" w:rsidR="00E70D68" w:rsidRPr="00DE4629" w:rsidRDefault="00CA5748" w:rsidP="00E70D68">
      <w:pPr>
        <w:spacing w:line="360" w:lineRule="auto"/>
        <w:ind w:firstLine="720"/>
        <w:jc w:val="center"/>
        <w:rPr>
          <w:rFonts w:cstheme="minorHAnsi"/>
        </w:rPr>
      </w:pPr>
      <w:r w:rsidRPr="00DE4629">
        <w:rPr>
          <w:rFonts w:cstheme="minorHAnsi"/>
          <w:b/>
          <w:bCs/>
        </w:rPr>
        <w:t>DISCUSSION</w:t>
      </w:r>
    </w:p>
    <w:p w14:paraId="1F1F35F9" w14:textId="16FE7632" w:rsidR="00D3523A" w:rsidRPr="00DE4629" w:rsidRDefault="00CA5748" w:rsidP="003D3ADB">
      <w:pPr>
        <w:spacing w:line="360" w:lineRule="auto"/>
        <w:rPr>
          <w:b/>
          <w:bCs/>
        </w:rPr>
      </w:pPr>
      <w:r w:rsidRPr="00DE4629">
        <w:tab/>
        <w:t>Given the parties’ articulated positions, the issue before us boils down to the following—</w:t>
      </w:r>
      <w:r w:rsidR="001C413C" w:rsidRPr="00DE4629">
        <w:t xml:space="preserve">since </w:t>
      </w:r>
      <w:r w:rsidR="007E1CD4" w:rsidRPr="00DE4629">
        <w:t>l</w:t>
      </w:r>
      <w:r w:rsidRPr="00DE4629">
        <w:t>ot 18</w:t>
      </w:r>
      <w:r w:rsidR="001C413C" w:rsidRPr="00DE4629">
        <w:t xml:space="preserve"> was conveyed in </w:t>
      </w:r>
      <w:r w:rsidRPr="00DE4629">
        <w:t xml:space="preserve">conjunction with </w:t>
      </w:r>
      <w:r w:rsidR="0023611F" w:rsidRPr="00DE4629">
        <w:t>three or fewer other lots</w:t>
      </w:r>
      <w:r w:rsidR="001C413C" w:rsidRPr="00DE4629">
        <w:t xml:space="preserve"> prior to the enactment of any local ordinance governing such subdivisions, is the lot presumptively legal for purposes of the Subdivision Map Act pursuant to </w:t>
      </w:r>
      <w:r w:rsidR="0023611F" w:rsidRPr="00DE4629">
        <w:t>section 66412.6, subdivision (a).</w:t>
      </w:r>
      <w:r>
        <w:rPr>
          <w:rStyle w:val="FootnoteReference"/>
          <w:rFonts w:cstheme="minorHAnsi"/>
          <w:b/>
          <w:bCs/>
        </w:rPr>
        <w:footnoteReference w:id="13"/>
      </w:r>
      <w:r w:rsidR="0023611F" w:rsidRPr="00DE4629">
        <w:t xml:space="preserve">  </w:t>
      </w:r>
      <w:r w:rsidR="00E05F75" w:rsidRPr="00DE4629">
        <w:t xml:space="preserve">In other words, we are not concerned with whether the </w:t>
      </w:r>
      <w:r w:rsidR="001C440A" w:rsidRPr="00DE4629">
        <w:t xml:space="preserve">filing and recording of the </w:t>
      </w:r>
      <w:r w:rsidR="00F2783D" w:rsidRPr="00DE4629">
        <w:t>Map</w:t>
      </w:r>
      <w:r w:rsidR="00E05F75" w:rsidRPr="00DE4629">
        <w:t xml:space="preserve">, itself, created </w:t>
      </w:r>
      <w:r w:rsidR="00CC50C0" w:rsidRPr="00DE4629">
        <w:t xml:space="preserve">legal parcels for purposes of </w:t>
      </w:r>
      <w:r w:rsidR="00446E22" w:rsidRPr="00DE4629">
        <w:t xml:space="preserve">the </w:t>
      </w:r>
      <w:r w:rsidR="00CC50C0" w:rsidRPr="00DE4629">
        <w:t>S</w:t>
      </w:r>
      <w:r w:rsidR="00446E22" w:rsidRPr="00DE4629">
        <w:t>ubdivision Map Act</w:t>
      </w:r>
      <w:r w:rsidR="00E05F75" w:rsidRPr="00DE4629">
        <w:t xml:space="preserve">, as appellant has </w:t>
      </w:r>
      <w:r w:rsidR="00CC50C0" w:rsidRPr="00DE4629">
        <w:t xml:space="preserve">acknowledged </w:t>
      </w:r>
      <w:r w:rsidR="00E05F75" w:rsidRPr="00DE4629">
        <w:t xml:space="preserve">it did not.  Nor are we concerned with whether </w:t>
      </w:r>
      <w:r w:rsidR="007E1CD4" w:rsidRPr="00DE4629">
        <w:t>l</w:t>
      </w:r>
      <w:r w:rsidR="00E05F75" w:rsidRPr="00DE4629">
        <w:t xml:space="preserve">ot 18 was </w:t>
      </w:r>
      <w:r w:rsidR="00446E22" w:rsidRPr="00DE4629">
        <w:t xml:space="preserve">ever </w:t>
      </w:r>
      <w:r w:rsidR="00E05F75" w:rsidRPr="00DE4629">
        <w:t xml:space="preserve">“merged” into </w:t>
      </w:r>
      <w:r w:rsidR="00F2783D" w:rsidRPr="00DE4629">
        <w:t xml:space="preserve">the </w:t>
      </w:r>
      <w:r w:rsidR="00E05F75" w:rsidRPr="00DE4629">
        <w:t>adjoining lot</w:t>
      </w:r>
      <w:r w:rsidR="00F2783D" w:rsidRPr="00DE4629">
        <w:t>s</w:t>
      </w:r>
      <w:r w:rsidR="00E05F75" w:rsidRPr="00DE4629">
        <w:t>, as the city has never made any effort</w:t>
      </w:r>
      <w:r w:rsidR="002D2028" w:rsidRPr="00DE4629">
        <w:t>, in either the trial court or on appeal,</w:t>
      </w:r>
      <w:r w:rsidR="00E05F75" w:rsidRPr="00DE4629">
        <w:t xml:space="preserve"> to justify its denial of a certificate of compliance on that basis.</w:t>
      </w:r>
      <w:r>
        <w:rPr>
          <w:rStyle w:val="FootnoteReference"/>
          <w:iCs/>
        </w:rPr>
        <w:footnoteReference w:id="14"/>
      </w:r>
      <w:r w:rsidR="0023611F" w:rsidRPr="00DE4629">
        <w:t xml:space="preserve">  </w:t>
      </w:r>
    </w:p>
    <w:p w14:paraId="0D3A9B0F" w14:textId="5DE61FC9" w:rsidR="00194A9A" w:rsidRPr="00DE4629" w:rsidRDefault="00CA5748" w:rsidP="00B6350D">
      <w:pPr>
        <w:spacing w:line="360" w:lineRule="auto"/>
      </w:pPr>
      <w:r w:rsidRPr="00DE4629">
        <w:rPr>
          <w:b/>
          <w:bCs/>
          <w:i/>
          <w:iCs/>
        </w:rPr>
        <w:t xml:space="preserve">The </w:t>
      </w:r>
      <w:r w:rsidR="004A68EF" w:rsidRPr="00DE4629">
        <w:rPr>
          <w:b/>
          <w:bCs/>
          <w:i/>
          <w:iCs/>
        </w:rPr>
        <w:t>Statutory Language</w:t>
      </w:r>
    </w:p>
    <w:p w14:paraId="01797973" w14:textId="66F5C366" w:rsidR="00287C43" w:rsidRPr="00DE4629" w:rsidRDefault="00CA5748" w:rsidP="00B6350D">
      <w:pPr>
        <w:spacing w:line="360" w:lineRule="auto"/>
      </w:pPr>
      <w:r w:rsidRPr="00DE4629">
        <w:tab/>
      </w:r>
      <w:r w:rsidR="00BB3835" w:rsidRPr="00DE4629">
        <w:t xml:space="preserve">Section </w:t>
      </w:r>
      <w:r w:rsidRPr="00DE4629">
        <w:t>66412.6, subdivision (a) provides:</w:t>
      </w:r>
    </w:p>
    <w:p w14:paraId="6851CFEF" w14:textId="4F4F6365" w:rsidR="00425766" w:rsidRPr="00DE4629" w:rsidRDefault="00CA5748" w:rsidP="00AA3D94">
      <w:pPr>
        <w:spacing w:line="240" w:lineRule="auto"/>
        <w:ind w:left="720"/>
      </w:pPr>
      <w:r w:rsidRPr="00DE4629">
        <w:t>“</w:t>
      </w:r>
      <w:r w:rsidR="00287C43" w:rsidRPr="00DE4629">
        <w:t xml:space="preserve">For purposes of this division or of a local ordinance enacted pursuant thereto, any parcel created prior to March 4, 1972, shall be conclusively presumed to have been lawfully created if the parcel resulted from a </w:t>
      </w:r>
      <w:r w:rsidR="00287C43" w:rsidRPr="00DE4629">
        <w:lastRenderedPageBreak/>
        <w:t>division of land in which fewer than five parcels were created and if at the time of the creation of the parcel, there was no local ordinance in effect which regulated divisions of land creating fewer than five parcels.</w:t>
      </w:r>
      <w:r w:rsidRPr="00DE4629">
        <w:t>”</w:t>
      </w:r>
      <w:r>
        <w:rPr>
          <w:rStyle w:val="FootnoteReference"/>
        </w:rPr>
        <w:footnoteReference w:id="15"/>
      </w:r>
      <w:r w:rsidR="00306FB3" w:rsidRPr="00DE4629">
        <w:t xml:space="preserve"> </w:t>
      </w:r>
    </w:p>
    <w:p w14:paraId="559E7DEB" w14:textId="4B316F2C" w:rsidR="00BB3835" w:rsidRPr="00DE4629" w:rsidRDefault="00BB3835" w:rsidP="00664106">
      <w:pPr>
        <w:spacing w:line="240" w:lineRule="auto"/>
      </w:pPr>
    </w:p>
    <w:p w14:paraId="1EBB84EB" w14:textId="2D93F05C" w:rsidR="00287C43" w:rsidRPr="00DE4629" w:rsidRDefault="00CA5748" w:rsidP="00287C43">
      <w:pPr>
        <w:spacing w:line="360" w:lineRule="auto"/>
      </w:pPr>
      <w:r w:rsidRPr="00DE4629">
        <w:tab/>
        <w:t xml:space="preserve">This section was added to the Subdivision Map Act in 1980 by way of </w:t>
      </w:r>
    </w:p>
    <w:p w14:paraId="446AA0D3" w14:textId="3BA06892" w:rsidR="00292E4F" w:rsidRPr="00DE4629" w:rsidRDefault="00CA5748" w:rsidP="00B6350D">
      <w:pPr>
        <w:spacing w:line="360" w:lineRule="auto"/>
      </w:pPr>
      <w:r w:rsidRPr="00DE4629">
        <w:t xml:space="preserve">Assembly Bill </w:t>
      </w:r>
      <w:r w:rsidR="004D3FFA" w:rsidRPr="00DE4629">
        <w:t xml:space="preserve">No. </w:t>
      </w:r>
      <w:r w:rsidRPr="00DE4629">
        <w:t>978</w:t>
      </w:r>
      <w:r w:rsidR="004D3FFA" w:rsidRPr="00DE4629">
        <w:t xml:space="preserve"> (1979</w:t>
      </w:r>
      <w:r w:rsidR="009B5999" w:rsidRPr="00DE4629">
        <w:t>–1</w:t>
      </w:r>
      <w:r w:rsidR="004D3FFA" w:rsidRPr="00DE4629">
        <w:t xml:space="preserve">980 Reg. Sess.). </w:t>
      </w:r>
      <w:r w:rsidRPr="00DE4629">
        <w:t xml:space="preserve"> (Stats. 1980, </w:t>
      </w:r>
      <w:proofErr w:type="spellStart"/>
      <w:r w:rsidRPr="00DE4629">
        <w:t>ch.</w:t>
      </w:r>
      <w:proofErr w:type="spellEnd"/>
      <w:r w:rsidRPr="00DE4629">
        <w:t xml:space="preserve"> </w:t>
      </w:r>
      <w:r w:rsidR="006C77A9" w:rsidRPr="00DE4629">
        <w:t>403</w:t>
      </w:r>
      <w:r w:rsidRPr="00DE4629">
        <w:t>, § 1.)  Th</w:t>
      </w:r>
      <w:r w:rsidR="00F2783D" w:rsidRPr="00DE4629">
        <w:t>e</w:t>
      </w:r>
      <w:r w:rsidRPr="00DE4629">
        <w:t xml:space="preserve"> legislation “create[d] a conclusive presumption” that a parcel was “lawfully created if such parcel resulted from a division of land into fewer than </w:t>
      </w:r>
      <w:r w:rsidR="00B0356F">
        <w:t>[five]</w:t>
      </w:r>
      <w:r w:rsidRPr="00DE4629">
        <w:t xml:space="preserve"> parcels prior to March 4, 1972, and if at such time there was no local ordinance in effect which regulated divisions of land creating fewer than five parcels.”  (Sen. Dem. Caucus Report, </w:t>
      </w:r>
      <w:proofErr w:type="spellStart"/>
      <w:r w:rsidRPr="00DE4629">
        <w:t>A</w:t>
      </w:r>
      <w:r w:rsidR="00950F8F" w:rsidRPr="00DE4629">
        <w:t>ssem</w:t>
      </w:r>
      <w:proofErr w:type="spellEnd"/>
      <w:r w:rsidR="00950F8F" w:rsidRPr="00DE4629">
        <w:t>. Bill No.</w:t>
      </w:r>
      <w:r w:rsidRPr="00DE4629">
        <w:t xml:space="preserve"> 978</w:t>
      </w:r>
      <w:r w:rsidR="009B5999" w:rsidRPr="00DE4629">
        <w:t xml:space="preserve"> (1979–1980 Reg. Sess.)</w:t>
      </w:r>
      <w:r w:rsidRPr="00DE4629">
        <w:t xml:space="preserve"> as amend</w:t>
      </w:r>
      <w:r w:rsidR="00833692" w:rsidRPr="00DE4629">
        <w:t>ed</w:t>
      </w:r>
      <w:r w:rsidRPr="00DE4629">
        <w:t xml:space="preserve"> </w:t>
      </w:r>
      <w:r w:rsidR="00833692" w:rsidRPr="00DE4629">
        <w:t xml:space="preserve">May </w:t>
      </w:r>
      <w:r w:rsidRPr="00DE4629">
        <w:t>22</w:t>
      </w:r>
      <w:r w:rsidR="00833692" w:rsidRPr="00DE4629">
        <w:t>, 19</w:t>
      </w:r>
      <w:r w:rsidRPr="00DE4629">
        <w:t>80</w:t>
      </w:r>
      <w:r w:rsidR="00C27A62" w:rsidRPr="00DE4629">
        <w:t>, p.</w:t>
      </w:r>
      <w:r w:rsidR="00950F8F" w:rsidRPr="00DE4629">
        <w:t xml:space="preserve"> </w:t>
      </w:r>
      <w:r w:rsidR="00C27A62" w:rsidRPr="00DE4629">
        <w:t>1.</w:t>
      </w:r>
      <w:r w:rsidR="009B5999" w:rsidRPr="00DE4629">
        <w:t>)</w:t>
      </w:r>
      <w:r>
        <w:rPr>
          <w:rStyle w:val="FootnoteReference"/>
        </w:rPr>
        <w:footnoteReference w:id="16"/>
      </w:r>
      <w:r w:rsidR="00C27A62" w:rsidRPr="00DE4629">
        <w:t xml:space="preserve">  </w:t>
      </w:r>
    </w:p>
    <w:p w14:paraId="26BDD25A" w14:textId="0372C1FB" w:rsidR="006536AE" w:rsidRPr="00DE4629" w:rsidRDefault="00CA5748" w:rsidP="00B6350D">
      <w:pPr>
        <w:spacing w:line="360" w:lineRule="auto"/>
      </w:pPr>
      <w:r w:rsidRPr="00DE4629">
        <w:tab/>
        <w:t>T</w:t>
      </w:r>
      <w:r w:rsidR="00C27A62" w:rsidRPr="00DE4629">
        <w:t xml:space="preserve">he </w:t>
      </w:r>
      <w:r w:rsidR="00367DE7" w:rsidRPr="00DE4629">
        <w:t xml:space="preserve">Assembly </w:t>
      </w:r>
      <w:r w:rsidR="00C27A62" w:rsidRPr="00DE4629">
        <w:t>Floor Vote Analysis explained</w:t>
      </w:r>
      <w:r w:rsidRPr="00DE4629">
        <w:t>,</w:t>
      </w:r>
      <w:r w:rsidR="00C27A62" w:rsidRPr="00DE4629">
        <w:t xml:space="preserve"> “Prior to the enactment </w:t>
      </w:r>
      <w:r w:rsidR="0067056A" w:rsidRPr="00DE4629">
        <w:t xml:space="preserve">[in 1972] </w:t>
      </w:r>
      <w:r w:rsidR="00C27A62" w:rsidRPr="00DE4629">
        <w:t>of provisions dealing with parcel maps (</w:t>
      </w:r>
      <w:r w:rsidR="00367DE7" w:rsidRPr="00DE4629">
        <w:t>s</w:t>
      </w:r>
      <w:r w:rsidR="00C27A62" w:rsidRPr="00DE4629">
        <w:t xml:space="preserve">ubdivisions of less than five parcels), it was possible to legally divide land without going through the </w:t>
      </w:r>
      <w:r w:rsidR="00B5473F" w:rsidRPr="00DE4629">
        <w:t>S</w:t>
      </w:r>
      <w:r w:rsidR="00C27A62" w:rsidRPr="00DE4629">
        <w:t>ubdivision Map Act</w:t>
      </w:r>
      <w:proofErr w:type="gramStart"/>
      <w:r w:rsidR="00C27A62" w:rsidRPr="00DE4629">
        <w:t>.</w:t>
      </w:r>
      <w:r w:rsidR="0067056A" w:rsidRPr="00DE4629">
        <w:t xml:space="preserve"> . . </w:t>
      </w:r>
      <w:r w:rsidR="00425766" w:rsidRPr="00DE4629">
        <w:t>.</w:t>
      </w:r>
      <w:proofErr w:type="gramEnd"/>
      <w:r w:rsidR="009B5999" w:rsidRPr="00DE4629">
        <w:t xml:space="preserve"> </w:t>
      </w:r>
      <w:r w:rsidR="00425766" w:rsidRPr="00DE4629">
        <w:t xml:space="preserve"> </w:t>
      </w:r>
      <w:r w:rsidR="0067056A" w:rsidRPr="00DE4629">
        <w:t xml:space="preserve">[While] </w:t>
      </w:r>
      <w:r w:rsidR="00367DE7" w:rsidRPr="00DE4629">
        <w:t>parcel maps were not required</w:t>
      </w:r>
      <w:r w:rsidR="00B5473F" w:rsidRPr="00DE4629">
        <w:t xml:space="preserve"> [by the Act]</w:t>
      </w:r>
      <w:r w:rsidR="00367DE7" w:rsidRPr="00DE4629">
        <w:t xml:space="preserve">, </w:t>
      </w:r>
      <w:r w:rsidR="0067056A" w:rsidRPr="00DE4629">
        <w:t xml:space="preserve">. . . </w:t>
      </w:r>
      <w:r w:rsidR="00367DE7" w:rsidRPr="00DE4629">
        <w:t>local ordinance could provide for such a requirement.  Confusion has arisen over the legality of parcels created prior to March 4, 1972, where there was no local ordinance.”  (</w:t>
      </w:r>
      <w:r w:rsidR="004B660A" w:rsidRPr="00DE4629">
        <w:t xml:space="preserve">Positions of </w:t>
      </w:r>
      <w:proofErr w:type="spellStart"/>
      <w:r w:rsidR="00367DE7" w:rsidRPr="00DE4629">
        <w:t>Assem</w:t>
      </w:r>
      <w:proofErr w:type="spellEnd"/>
      <w:r w:rsidR="004B660A" w:rsidRPr="00DE4629">
        <w:t>.</w:t>
      </w:r>
      <w:r w:rsidR="00367DE7" w:rsidRPr="00DE4629">
        <w:t xml:space="preserve"> Fl</w:t>
      </w:r>
      <w:r w:rsidRPr="00DE4629">
        <w:t>oo</w:t>
      </w:r>
      <w:r w:rsidR="00367DE7" w:rsidRPr="00DE4629">
        <w:t xml:space="preserve">r </w:t>
      </w:r>
      <w:r w:rsidR="004B660A" w:rsidRPr="00DE4629">
        <w:t xml:space="preserve">Vote </w:t>
      </w:r>
      <w:r w:rsidR="00367DE7" w:rsidRPr="00DE4629">
        <w:t xml:space="preserve">Analysis, </w:t>
      </w:r>
      <w:proofErr w:type="spellStart"/>
      <w:r w:rsidR="00367DE7" w:rsidRPr="00DE4629">
        <w:t>A</w:t>
      </w:r>
      <w:r w:rsidR="00833692" w:rsidRPr="00DE4629">
        <w:t>ssem</w:t>
      </w:r>
      <w:proofErr w:type="spellEnd"/>
      <w:r w:rsidR="00833692" w:rsidRPr="00DE4629">
        <w:t>. Bill No.</w:t>
      </w:r>
      <w:r w:rsidR="00367DE7" w:rsidRPr="00DE4629">
        <w:t xml:space="preserve"> 978</w:t>
      </w:r>
      <w:r w:rsidR="004D3FFA" w:rsidRPr="00DE4629">
        <w:t xml:space="preserve"> </w:t>
      </w:r>
      <w:r w:rsidR="009B5999" w:rsidRPr="00DE4629">
        <w:t xml:space="preserve">(1979–1980 Reg. Sess.) </w:t>
      </w:r>
      <w:r w:rsidR="00367DE7" w:rsidRPr="00DE4629">
        <w:t xml:space="preserve">as amended </w:t>
      </w:r>
      <w:r w:rsidR="00833692" w:rsidRPr="00DE4629">
        <w:t xml:space="preserve">May </w:t>
      </w:r>
      <w:r w:rsidR="00367DE7" w:rsidRPr="00DE4629">
        <w:t>22</w:t>
      </w:r>
      <w:r w:rsidR="00833692" w:rsidRPr="00DE4629">
        <w:t>, 19</w:t>
      </w:r>
      <w:r w:rsidR="00367DE7" w:rsidRPr="00DE4629">
        <w:t xml:space="preserve">80, p. 2.)  </w:t>
      </w:r>
    </w:p>
    <w:p w14:paraId="73B39891" w14:textId="514B4B00" w:rsidR="00923CA7" w:rsidRPr="00DE4629" w:rsidRDefault="00CA5748" w:rsidP="00B6350D">
      <w:pPr>
        <w:spacing w:line="360" w:lineRule="auto"/>
      </w:pPr>
      <w:r w:rsidRPr="00DE4629">
        <w:lastRenderedPageBreak/>
        <w:tab/>
      </w:r>
      <w:r w:rsidR="00367DE7" w:rsidRPr="00DE4629">
        <w:t xml:space="preserve">The Enrolled Bill Report prepared by the Department of Real Estate similarly </w:t>
      </w:r>
      <w:r w:rsidRPr="00DE4629">
        <w:t>stated</w:t>
      </w:r>
      <w:r w:rsidR="00292E4F" w:rsidRPr="00DE4629">
        <w:t>,</w:t>
      </w:r>
      <w:r w:rsidR="00367DE7" w:rsidRPr="00DE4629">
        <w:t xml:space="preserve"> “Current law requires that local government under certain circumstances deny a development permit for any property illegally subdivided.  This </w:t>
      </w:r>
      <w:r w:rsidR="004B660A" w:rsidRPr="00DE4629">
        <w:t xml:space="preserve">bill </w:t>
      </w:r>
      <w:r w:rsidR="00367DE7" w:rsidRPr="00DE4629">
        <w:t xml:space="preserve">would establish a conclusive presumption that any parcel created prior to March 4, 1972, is legal if: (1) the parcel resulted from a subdivision of fewer than five parcels; and (2) if, at the time of the creation of the parcel, there was no local ordinance regulating divisions of land creating fewer than five parcels.”  (Enrolled Bill Report, Dept. of Real Estate, </w:t>
      </w:r>
      <w:proofErr w:type="spellStart"/>
      <w:r w:rsidR="00367DE7" w:rsidRPr="00DE4629">
        <w:t>A</w:t>
      </w:r>
      <w:r w:rsidR="00833692" w:rsidRPr="00DE4629">
        <w:t>ssem</w:t>
      </w:r>
      <w:proofErr w:type="spellEnd"/>
      <w:r w:rsidR="00833692" w:rsidRPr="00DE4629">
        <w:t>. Bill No.</w:t>
      </w:r>
      <w:r w:rsidR="00367DE7" w:rsidRPr="00DE4629">
        <w:t xml:space="preserve"> 978</w:t>
      </w:r>
      <w:r w:rsidR="004B660A" w:rsidRPr="00DE4629">
        <w:t xml:space="preserve"> </w:t>
      </w:r>
      <w:r w:rsidR="009B5999" w:rsidRPr="00DE4629">
        <w:t xml:space="preserve">(1979–1980 Reg. Sess.) </w:t>
      </w:r>
      <w:r w:rsidR="00367DE7" w:rsidRPr="00DE4629">
        <w:t xml:space="preserve">p. 1.)  </w:t>
      </w:r>
      <w:r w:rsidR="00292E4F" w:rsidRPr="00DE4629">
        <w:t>In short, t</w:t>
      </w:r>
      <w:r w:rsidR="00367DE7" w:rsidRPr="00DE4629">
        <w:t xml:space="preserve">he bill would “limit the power of local government to deny development </w:t>
      </w:r>
      <w:r w:rsidR="00292E4F" w:rsidRPr="00DE4629">
        <w:t>permits</w:t>
      </w:r>
      <w:r w:rsidR="004B660A" w:rsidRPr="00DE4629">
        <w:t xml:space="preserve"> . . .</w:t>
      </w:r>
      <w:r w:rsidR="00292E4F" w:rsidRPr="00DE4629">
        <w:t xml:space="preserve"> </w:t>
      </w:r>
      <w:r w:rsidR="00AA3D94" w:rsidRPr="00DE4629">
        <w:t>for parcels</w:t>
      </w:r>
      <w:r w:rsidR="00292E4F" w:rsidRPr="00DE4629">
        <w:t xml:space="preserve"> created by an illegal subdivision prior to March 4, 1972.”  (</w:t>
      </w:r>
      <w:r w:rsidR="00292E4F" w:rsidRPr="00DE4629">
        <w:rPr>
          <w:i/>
          <w:iCs/>
        </w:rPr>
        <w:t>Id.</w:t>
      </w:r>
      <w:r w:rsidR="00292E4F" w:rsidRPr="00DE4629">
        <w:t xml:space="preserve"> at p. 2.)</w:t>
      </w:r>
    </w:p>
    <w:p w14:paraId="223BF1DD" w14:textId="04CA0187" w:rsidR="006536AE" w:rsidRPr="00DE4629" w:rsidRDefault="00CA5748" w:rsidP="00340EDD">
      <w:pPr>
        <w:spacing w:line="360" w:lineRule="auto"/>
      </w:pPr>
      <w:r w:rsidRPr="00DE4629">
        <w:tab/>
      </w:r>
      <w:r w:rsidR="00960CD3" w:rsidRPr="00DE4629">
        <w:t>In 1988, s</w:t>
      </w:r>
      <w:r w:rsidRPr="00DE4629">
        <w:t>ection 66412.6</w:t>
      </w:r>
      <w:r w:rsidR="00684A5D" w:rsidRPr="00DE4629">
        <w:t xml:space="preserve"> was amended to </w:t>
      </w:r>
      <w:r w:rsidR="00960CD3" w:rsidRPr="00DE4629">
        <w:t xml:space="preserve">address a problem that had arisen in Southern California, where subdivisions of fewer than five parcels had been approved </w:t>
      </w:r>
      <w:r w:rsidR="00DB5E4C" w:rsidRPr="00DE4629">
        <w:t>prior to March 4, 1972</w:t>
      </w:r>
      <w:r w:rsidR="00AF1E93" w:rsidRPr="00DE4629">
        <w:t>,</w:t>
      </w:r>
      <w:r w:rsidR="00DB5E4C" w:rsidRPr="00DE4629">
        <w:t xml:space="preserve"> </w:t>
      </w:r>
      <w:r w:rsidR="00960CD3" w:rsidRPr="00DE4629">
        <w:t>pursuant to local ordinance</w:t>
      </w:r>
      <w:r w:rsidR="003E74E9" w:rsidRPr="00DE4629">
        <w:t>, but were being developed after that date</w:t>
      </w:r>
      <w:r w:rsidR="00987162" w:rsidRPr="00DE4629">
        <w:t>.  (</w:t>
      </w:r>
      <w:r w:rsidR="00340EDD" w:rsidRPr="00DE4629">
        <w:t xml:space="preserve">Sen. Housing </w:t>
      </w:r>
      <w:r w:rsidR="009B5999" w:rsidRPr="00DE4629">
        <w:t>&amp;</w:t>
      </w:r>
      <w:r w:rsidR="00340EDD" w:rsidRPr="00DE4629">
        <w:t xml:space="preserve"> Urban Affairs Com. Report., S</w:t>
      </w:r>
      <w:r w:rsidR="00833692" w:rsidRPr="00DE4629">
        <w:t>en. Bill No.</w:t>
      </w:r>
      <w:r w:rsidR="00340EDD" w:rsidRPr="00DE4629">
        <w:t xml:space="preserve"> 1857</w:t>
      </w:r>
      <w:r w:rsidR="00EF60F0" w:rsidRPr="00DE4629">
        <w:t xml:space="preserve"> (1987</w:t>
      </w:r>
      <w:r w:rsidR="009B5999" w:rsidRPr="00DE4629">
        <w:t>–</w:t>
      </w:r>
      <w:r w:rsidR="00EF60F0" w:rsidRPr="00DE4629">
        <w:t>1988 Reg. Sess.)</w:t>
      </w:r>
      <w:r w:rsidR="00340EDD" w:rsidRPr="00DE4629">
        <w:t xml:space="preserve"> as amend</w:t>
      </w:r>
      <w:r w:rsidR="00833692" w:rsidRPr="00DE4629">
        <w:t>ed</w:t>
      </w:r>
      <w:r w:rsidR="00340EDD" w:rsidRPr="00DE4629">
        <w:t xml:space="preserve"> May 2, 1988, p</w:t>
      </w:r>
      <w:r w:rsidR="00833692" w:rsidRPr="00DE4629">
        <w:t>p</w:t>
      </w:r>
      <w:r w:rsidR="00340EDD" w:rsidRPr="00DE4629">
        <w:t>. 2</w:t>
      </w:r>
      <w:r w:rsidR="009B5999" w:rsidRPr="00DE4629">
        <w:t>–</w:t>
      </w:r>
      <w:r w:rsidR="00340EDD" w:rsidRPr="00DE4629">
        <w:t>3</w:t>
      </w:r>
      <w:r w:rsidR="00987162" w:rsidRPr="00DE4629">
        <w:t>.</w:t>
      </w:r>
      <w:r w:rsidRPr="00DE4629">
        <w:t>)</w:t>
      </w:r>
      <w:r w:rsidR="00340EDD" w:rsidRPr="00DE4629">
        <w:t xml:space="preserve"> </w:t>
      </w:r>
      <w:r w:rsidR="00987162" w:rsidRPr="00DE4629">
        <w:t xml:space="preserve"> B</w:t>
      </w:r>
      <w:r w:rsidR="00DB5E4C" w:rsidRPr="00DE4629">
        <w:t>ecause section 66412.6, at the time, referred only to the situation where “there was no local ordinance</w:t>
      </w:r>
      <w:r w:rsidR="00EF60F0" w:rsidRPr="00DE4629">
        <w:t>”</w:t>
      </w:r>
      <w:r w:rsidR="00DB5E4C" w:rsidRPr="00DE4629">
        <w:t xml:space="preserve"> in effect, some local planning officials were taking the position </w:t>
      </w:r>
      <w:r w:rsidR="00987162" w:rsidRPr="00DE4629">
        <w:t xml:space="preserve">that </w:t>
      </w:r>
      <w:r w:rsidR="00DB5E4C" w:rsidRPr="00DE4629">
        <w:t xml:space="preserve">the statutory presumption of </w:t>
      </w:r>
      <w:r w:rsidR="004C0D8A" w:rsidRPr="00DE4629">
        <w:t>legality</w:t>
      </w:r>
      <w:r w:rsidR="00DB5E4C" w:rsidRPr="00DE4629">
        <w:t xml:space="preserve"> did not </w:t>
      </w:r>
      <w:r w:rsidR="001364ED" w:rsidRPr="00DE4629">
        <w:t xml:space="preserve">apply </w:t>
      </w:r>
      <w:r w:rsidR="00DB5E4C" w:rsidRPr="00DE4629">
        <w:t xml:space="preserve">where there </w:t>
      </w:r>
      <w:r w:rsidR="001364ED" w:rsidRPr="00DE4629">
        <w:t xml:space="preserve">was </w:t>
      </w:r>
      <w:r w:rsidR="00DB5E4C" w:rsidRPr="00DE4629">
        <w:t xml:space="preserve">a local ordinance </w:t>
      </w:r>
      <w:r w:rsidR="00987162" w:rsidRPr="00DE4629">
        <w:t>in effect.</w:t>
      </w:r>
      <w:r w:rsidR="00DB5E4C" w:rsidRPr="00DE4629">
        <w:t xml:space="preserve"> </w:t>
      </w:r>
      <w:r w:rsidR="00987162" w:rsidRPr="00DE4629">
        <w:t xml:space="preserve"> </w:t>
      </w:r>
      <w:r w:rsidR="00DB5E4C" w:rsidRPr="00DE4629">
        <w:t xml:space="preserve">Thus, subdivisions of fewer than five parcels that had previously been approved pursuant to </w:t>
      </w:r>
      <w:r w:rsidR="001364ED" w:rsidRPr="00DE4629">
        <w:t xml:space="preserve">local </w:t>
      </w:r>
      <w:r w:rsidR="00DB5E4C" w:rsidRPr="00DE4629">
        <w:t>ordinance were</w:t>
      </w:r>
      <w:r w:rsidR="001364ED" w:rsidRPr="00DE4629">
        <w:t>, after March 4, 1972,</w:t>
      </w:r>
      <w:r w:rsidR="00DB5E4C" w:rsidRPr="00DE4629">
        <w:t xml:space="preserve"> </w:t>
      </w:r>
      <w:r w:rsidR="00340EDD" w:rsidRPr="00DE4629">
        <w:t>being issued only conditional certificates of compliance that imposed new regulatory requirements.</w:t>
      </w:r>
      <w:r w:rsidR="001364ED" w:rsidRPr="00DE4629">
        <w:t xml:space="preserve">  (</w:t>
      </w:r>
      <w:r w:rsidR="00340EDD" w:rsidRPr="00DE4629">
        <w:t>Sen. Rules Com.,</w:t>
      </w:r>
      <w:r w:rsidR="00EF60F0" w:rsidRPr="00DE4629">
        <w:t xml:space="preserve"> Off. of Sen. Floor Analyses,</w:t>
      </w:r>
      <w:r w:rsidR="00340EDD" w:rsidRPr="00DE4629">
        <w:t xml:space="preserve"> S</w:t>
      </w:r>
      <w:r w:rsidR="00833692" w:rsidRPr="00DE4629">
        <w:t>en. Bill No.</w:t>
      </w:r>
      <w:r w:rsidR="00340EDD" w:rsidRPr="00DE4629">
        <w:t xml:space="preserve"> 1857</w:t>
      </w:r>
      <w:r w:rsidR="00EF60F0" w:rsidRPr="00DE4629">
        <w:t xml:space="preserve"> (1987</w:t>
      </w:r>
      <w:r w:rsidR="004434C9" w:rsidRPr="00DE4629">
        <w:t>–</w:t>
      </w:r>
      <w:r w:rsidR="00EF60F0" w:rsidRPr="00DE4629">
        <w:t>1988 Reg. Sess.)</w:t>
      </w:r>
      <w:r w:rsidR="00340EDD" w:rsidRPr="00DE4629">
        <w:t xml:space="preserve"> as amended May 9, 1988, p. 2.</w:t>
      </w:r>
      <w:r w:rsidR="003E74E9" w:rsidRPr="00DE4629">
        <w:t xml:space="preserve">)  </w:t>
      </w:r>
    </w:p>
    <w:p w14:paraId="0D6FAD8A" w14:textId="5E1902CA" w:rsidR="00EF049D" w:rsidRPr="00DE4629" w:rsidRDefault="00CA5748" w:rsidP="00340EDD">
      <w:pPr>
        <w:spacing w:line="360" w:lineRule="auto"/>
      </w:pPr>
      <w:r w:rsidRPr="00DE4629">
        <w:tab/>
      </w:r>
      <w:r w:rsidR="001364ED" w:rsidRPr="00DE4629">
        <w:t xml:space="preserve">The amendment </w:t>
      </w:r>
      <w:proofErr w:type="gramStart"/>
      <w:r w:rsidR="001364ED" w:rsidRPr="00DE4629">
        <w:t>provided that</w:t>
      </w:r>
      <w:proofErr w:type="gramEnd"/>
      <w:r w:rsidR="001364ED" w:rsidRPr="00DE4629">
        <w:t xml:space="preserve"> parcels created prior to March 4, 1972</w:t>
      </w:r>
      <w:r w:rsidR="00AF1E93" w:rsidRPr="00DE4629">
        <w:t>,</w:t>
      </w:r>
      <w:r w:rsidR="001364ED" w:rsidRPr="00DE4629">
        <w:t xml:space="preserve"> pursuant to local ordinance were also presumed to be lawfully created.  (</w:t>
      </w:r>
      <w:r w:rsidR="003E74E9" w:rsidRPr="00DE4629">
        <w:t xml:space="preserve">Sen. </w:t>
      </w:r>
      <w:r w:rsidR="003E74E9" w:rsidRPr="00DE4629">
        <w:lastRenderedPageBreak/>
        <w:t>Rules Com.</w:t>
      </w:r>
      <w:r w:rsidR="00EF60F0" w:rsidRPr="00DE4629">
        <w:t xml:space="preserve">, Off. </w:t>
      </w:r>
      <w:r w:rsidR="004434C9" w:rsidRPr="00DE4629">
        <w:t>o</w:t>
      </w:r>
      <w:r w:rsidR="00EF60F0" w:rsidRPr="00DE4629">
        <w:t>f Sen. Floor Analyses</w:t>
      </w:r>
      <w:r w:rsidR="003E74E9" w:rsidRPr="00DE4629">
        <w:t>, S</w:t>
      </w:r>
      <w:r w:rsidR="00833692" w:rsidRPr="00DE4629">
        <w:t>en. Bill No.</w:t>
      </w:r>
      <w:r w:rsidR="003E74E9" w:rsidRPr="00DE4629">
        <w:t xml:space="preserve"> 1857</w:t>
      </w:r>
      <w:r w:rsidR="00EF60F0" w:rsidRPr="00DE4629">
        <w:t xml:space="preserve"> (1987</w:t>
      </w:r>
      <w:r w:rsidR="004434C9" w:rsidRPr="00DE4629">
        <w:t>–</w:t>
      </w:r>
      <w:r w:rsidR="00EF60F0" w:rsidRPr="00DE4629">
        <w:t>1988 Reg. Sess.)</w:t>
      </w:r>
      <w:r w:rsidR="003E74E9" w:rsidRPr="00DE4629">
        <w:t xml:space="preserve"> as amended Aug. 10. 1988, p. 1 [“</w:t>
      </w:r>
      <w:r w:rsidR="00EF60F0" w:rsidRPr="00DE4629">
        <w:t>[</w:t>
      </w:r>
      <w:r w:rsidR="003E74E9" w:rsidRPr="00DE4629">
        <w:t>t</w:t>
      </w:r>
      <w:r w:rsidR="00EF60F0" w:rsidRPr="00DE4629">
        <w:t>]</w:t>
      </w:r>
      <w:r w:rsidR="003E74E9" w:rsidRPr="00DE4629">
        <w:t>his bill establishes a presumption that property is legally subdivided if it meets local ordinances existing at th</w:t>
      </w:r>
      <w:r w:rsidR="00EF60F0" w:rsidRPr="00DE4629">
        <w:t>at</w:t>
      </w:r>
      <w:r w:rsidR="003E74E9" w:rsidRPr="00DE4629">
        <w:t xml:space="preserve"> time”].</w:t>
      </w:r>
      <w:r w:rsidR="001364ED" w:rsidRPr="00DE4629">
        <w:t xml:space="preserve">)  Furthermore, this </w:t>
      </w:r>
      <w:r w:rsidR="00425766" w:rsidRPr="00DE4629">
        <w:t xml:space="preserve">new </w:t>
      </w:r>
      <w:r w:rsidR="001364ED" w:rsidRPr="00DE4629">
        <w:t>presumption</w:t>
      </w:r>
      <w:r w:rsidRPr="00DE4629">
        <w:t>—</w:t>
      </w:r>
      <w:r w:rsidR="003E74E9" w:rsidRPr="00DE4629">
        <w:t>based on compliance with a local ordinance</w:t>
      </w:r>
      <w:r w:rsidRPr="00DE4629">
        <w:t>—applied</w:t>
      </w:r>
      <w:r w:rsidR="001364ED" w:rsidRPr="00DE4629">
        <w:t xml:space="preserve"> regardless of the size of the subdivision.</w:t>
      </w:r>
      <w:r w:rsidR="003E74E9" w:rsidRPr="00DE4629">
        <w:t xml:space="preserve">  (</w:t>
      </w:r>
      <w:r w:rsidR="00EF60F0" w:rsidRPr="00DE4629">
        <w:rPr>
          <w:i/>
          <w:iCs/>
        </w:rPr>
        <w:t>Id</w:t>
      </w:r>
      <w:r w:rsidR="00EF60F0" w:rsidRPr="00DE4629">
        <w:t>.</w:t>
      </w:r>
      <w:r w:rsidR="00B0356F">
        <w:t xml:space="preserve"> at</w:t>
      </w:r>
      <w:r w:rsidR="003E74E9" w:rsidRPr="00DE4629">
        <w:t xml:space="preserve"> p. 3 [“This measure expands the existing presumption of a lawful division of land from 4 parcels to any number of parcels created prior to March 4, </w:t>
      </w:r>
      <w:proofErr w:type="gramStart"/>
      <w:r w:rsidR="003E74E9" w:rsidRPr="00DE4629">
        <w:t>1972</w:t>
      </w:r>
      <w:proofErr w:type="gramEnd"/>
      <w:r w:rsidR="003E74E9" w:rsidRPr="00DE4629">
        <w:t xml:space="preserve"> in compliance with a local ordinance.”]</w:t>
      </w:r>
      <w:r w:rsidR="00987162" w:rsidRPr="00DE4629">
        <w:t xml:space="preserve">; Enrolled Bill Report, </w:t>
      </w:r>
      <w:r w:rsidR="0001318F" w:rsidRPr="00DE4629">
        <w:t xml:space="preserve">Off. of Local Government Affairs, </w:t>
      </w:r>
      <w:r w:rsidR="00987162" w:rsidRPr="00DE4629">
        <w:t>S</w:t>
      </w:r>
      <w:r w:rsidR="00833692" w:rsidRPr="00DE4629">
        <w:t>en. Bill No.</w:t>
      </w:r>
      <w:r w:rsidR="00987162" w:rsidRPr="00DE4629">
        <w:t xml:space="preserve"> 1857</w:t>
      </w:r>
      <w:r w:rsidR="0001318F" w:rsidRPr="00DE4629">
        <w:t xml:space="preserve"> (1987</w:t>
      </w:r>
      <w:r w:rsidR="004434C9" w:rsidRPr="00DE4629">
        <w:t>–</w:t>
      </w:r>
      <w:r w:rsidR="0001318F" w:rsidRPr="00DE4629">
        <w:t>1988 Reg. Sess.)</w:t>
      </w:r>
      <w:r w:rsidR="00987162" w:rsidRPr="00DE4629">
        <w:t xml:space="preserve"> as amended Aug. 10, 1985</w:t>
      </w:r>
      <w:r w:rsidR="0001318F" w:rsidRPr="00DE4629">
        <w:t>, p. 3</w:t>
      </w:r>
      <w:r w:rsidR="00987162" w:rsidRPr="00DE4629">
        <w:t xml:space="preserve"> [expansion </w:t>
      </w:r>
      <w:r w:rsidRPr="00DE4629">
        <w:t xml:space="preserve">to any number of parcels </w:t>
      </w:r>
      <w:r w:rsidR="00987162" w:rsidRPr="00DE4629">
        <w:t>accommodated Los Angeles planning officials</w:t>
      </w:r>
      <w:r w:rsidR="00306FB3" w:rsidRPr="00DE4629">
        <w:t>’</w:t>
      </w:r>
      <w:r w:rsidR="00987162" w:rsidRPr="00DE4629">
        <w:t xml:space="preserve"> desire “to avoid [having to make] a determination as to whether lots created by a [local approval] were created from a division of five or fewer parcels”].</w:t>
      </w:r>
      <w:r w:rsidR="003E74E9" w:rsidRPr="00DE4629">
        <w:t>)</w:t>
      </w:r>
      <w:r w:rsidRPr="00DE4629">
        <w:t xml:space="preserve">  </w:t>
      </w:r>
    </w:p>
    <w:p w14:paraId="52C1A94F" w14:textId="35BE5F3E" w:rsidR="00B230AE" w:rsidRPr="00DE4629" w:rsidRDefault="00CA5748" w:rsidP="00340EDD">
      <w:pPr>
        <w:spacing w:line="360" w:lineRule="auto"/>
      </w:pPr>
      <w:r w:rsidRPr="00DE4629">
        <w:tab/>
        <w:t>The 1988 amendment also included a sunset provision</w:t>
      </w:r>
      <w:r w:rsidR="00306FB3" w:rsidRPr="00DE4629">
        <w:t xml:space="preserve">.  Accordingly, </w:t>
      </w:r>
      <w:r w:rsidRPr="00DE4629">
        <w:t>the Legislature revisited section 66412.6 during the 1993 session.  (</w:t>
      </w:r>
      <w:r w:rsidR="001A79FF" w:rsidRPr="00DE4629">
        <w:t>Sen</w:t>
      </w:r>
      <w:r w:rsidR="00833692" w:rsidRPr="00DE4629">
        <w:t>. Bill No.</w:t>
      </w:r>
      <w:r w:rsidRPr="00DE4629">
        <w:t xml:space="preserve"> 121</w:t>
      </w:r>
      <w:r w:rsidR="004434C9" w:rsidRPr="00DE4629">
        <w:t xml:space="preserve"> (1993–1994 Reg. Sess.) </w:t>
      </w:r>
      <w:r w:rsidRPr="00DE4629">
        <w:t>as introduced</w:t>
      </w:r>
      <w:r w:rsidR="00342B0D" w:rsidRPr="00DE4629">
        <w:t xml:space="preserve"> Jan. 25, 1993</w:t>
      </w:r>
      <w:r w:rsidRPr="00DE4629">
        <w:t>, p</w:t>
      </w:r>
      <w:r w:rsidR="00E5061F" w:rsidRPr="00DE4629">
        <w:t>p</w:t>
      </w:r>
      <w:r w:rsidRPr="00DE4629">
        <w:t xml:space="preserve">. </w:t>
      </w:r>
      <w:r w:rsidR="00E5061F" w:rsidRPr="00DE4629">
        <w:t>1</w:t>
      </w:r>
      <w:r w:rsidR="004434C9" w:rsidRPr="00DE4629">
        <w:t>–</w:t>
      </w:r>
      <w:r w:rsidRPr="00DE4629">
        <w:t xml:space="preserve">2.)  </w:t>
      </w:r>
      <w:r w:rsidR="00106C34" w:rsidRPr="00DE4629">
        <w:t xml:space="preserve">The </w:t>
      </w:r>
      <w:r w:rsidR="001B491C" w:rsidRPr="00DE4629">
        <w:t xml:space="preserve">upshot was that the </w:t>
      </w:r>
      <w:r w:rsidRPr="00DE4629">
        <w:t xml:space="preserve">expanded presumption of validity for all pre-1972 parcels created in compliance with local ordinances was allowed to expire and </w:t>
      </w:r>
      <w:r w:rsidR="00425766" w:rsidRPr="00DE4629">
        <w:t xml:space="preserve">the </w:t>
      </w:r>
      <w:r w:rsidRPr="00DE4629">
        <w:t>presumption pertaining to “fewer than five” parcels</w:t>
      </w:r>
      <w:r w:rsidR="00EE203B" w:rsidRPr="00DE4629">
        <w:t xml:space="preserve"> returned</w:t>
      </w:r>
      <w:r w:rsidRPr="00DE4629">
        <w:t xml:space="preserve">, as of 1995, </w:t>
      </w:r>
      <w:r w:rsidR="00EE203B" w:rsidRPr="00DE4629">
        <w:t>t</w:t>
      </w:r>
      <w:r w:rsidR="001B491C" w:rsidRPr="00DE4629">
        <w:t>o its original form</w:t>
      </w:r>
      <w:r w:rsidR="00F6714F" w:rsidRPr="00DE4629">
        <w:t xml:space="preserve"> and as it current</w:t>
      </w:r>
      <w:r w:rsidR="0067056A" w:rsidRPr="00DE4629">
        <w:t>ly</w:t>
      </w:r>
      <w:r w:rsidR="00F6714F" w:rsidRPr="00DE4629">
        <w:t xml:space="preserve"> exists</w:t>
      </w:r>
      <w:r w:rsidRPr="00DE4629">
        <w:t>.</w:t>
      </w:r>
    </w:p>
    <w:p w14:paraId="13BD6F2F" w14:textId="4A4ECF0D" w:rsidR="00A227F2" w:rsidRPr="00DE4629" w:rsidRDefault="00CA5748" w:rsidP="00340EDD">
      <w:pPr>
        <w:spacing w:line="360" w:lineRule="auto"/>
      </w:pPr>
      <w:r w:rsidRPr="00DE4629">
        <w:tab/>
        <w:t>It is undisputed that in 188</w:t>
      </w:r>
      <w:r w:rsidR="00D274A2" w:rsidRPr="00DE4629">
        <w:t>5</w:t>
      </w:r>
      <w:r w:rsidR="00425766" w:rsidRPr="00DE4629">
        <w:t xml:space="preserve"> </w:t>
      </w:r>
      <w:r w:rsidRPr="00DE4629">
        <w:t xml:space="preserve">when </w:t>
      </w:r>
      <w:r w:rsidR="00AF1E93" w:rsidRPr="00DE4629">
        <w:t>l</w:t>
      </w:r>
      <w:r w:rsidRPr="00DE4629">
        <w:t xml:space="preserve">ot 18 was </w:t>
      </w:r>
      <w:r w:rsidR="00D274A2" w:rsidRPr="00DE4629">
        <w:t xml:space="preserve">first </w:t>
      </w:r>
      <w:r w:rsidRPr="00DE4629">
        <w:t xml:space="preserve">conveyed as one of four </w:t>
      </w:r>
      <w:r w:rsidR="00F36C95" w:rsidRPr="00DE4629">
        <w:t xml:space="preserve">separately identified </w:t>
      </w:r>
      <w:r w:rsidRPr="00DE4629">
        <w:t>lots</w:t>
      </w:r>
      <w:r w:rsidR="00425766" w:rsidRPr="00DE4629">
        <w:t xml:space="preserve"> </w:t>
      </w:r>
      <w:r w:rsidRPr="00DE4629">
        <w:t xml:space="preserve">there was no law—state or local—regulating divisions of land creating fewer than five parcels.  It is also undisputed there was no such law in </w:t>
      </w:r>
      <w:r w:rsidR="00D274A2" w:rsidRPr="00DE4629">
        <w:t xml:space="preserve">1887, </w:t>
      </w:r>
      <w:r w:rsidRPr="00DE4629">
        <w:t>1</w:t>
      </w:r>
      <w:r w:rsidR="00425766" w:rsidRPr="00DE4629">
        <w:t xml:space="preserve">913, 1932 </w:t>
      </w:r>
      <w:r w:rsidRPr="00DE4629">
        <w:t>and 19</w:t>
      </w:r>
      <w:r w:rsidR="00425766" w:rsidRPr="00DE4629">
        <w:t>3</w:t>
      </w:r>
      <w:r w:rsidRPr="00DE4629">
        <w:t xml:space="preserve">3, when </w:t>
      </w:r>
      <w:r w:rsidR="00AF1E93" w:rsidRPr="00DE4629">
        <w:t>l</w:t>
      </w:r>
      <w:r w:rsidRPr="00DE4629">
        <w:t xml:space="preserve">ot 18 continued to be conveyed in conjunction with </w:t>
      </w:r>
      <w:r w:rsidR="0091194A" w:rsidRPr="00DE4629">
        <w:t xml:space="preserve">all or some of </w:t>
      </w:r>
      <w:r w:rsidR="00AF1E93" w:rsidRPr="00DE4629">
        <w:t>l</w:t>
      </w:r>
      <w:r w:rsidRPr="00DE4629">
        <w:t>ots 15, 16 and 17</w:t>
      </w:r>
      <w:r w:rsidR="00D274A2" w:rsidRPr="00DE4629">
        <w:t>.</w:t>
      </w:r>
      <w:r w:rsidR="007F4A8E" w:rsidRPr="00DE4629">
        <w:t xml:space="preserve">  Although the earliest version of the Subdivision Map Act was enacted in </w:t>
      </w:r>
      <w:r w:rsidR="00612B68" w:rsidRPr="00DE4629">
        <w:t>1893</w:t>
      </w:r>
      <w:r w:rsidR="007F4A8E" w:rsidRPr="00DE4629">
        <w:t xml:space="preserve">, it did not, during </w:t>
      </w:r>
      <w:r w:rsidR="00612B68" w:rsidRPr="00DE4629">
        <w:t xml:space="preserve">any of </w:t>
      </w:r>
      <w:r w:rsidR="007F4A8E" w:rsidRPr="00DE4629">
        <w:t xml:space="preserve">these time periods, apply to subdivisions resulting in “fewer </w:t>
      </w:r>
      <w:r w:rsidR="007F4A8E" w:rsidRPr="00DE4629">
        <w:lastRenderedPageBreak/>
        <w:t>than five” parcels</w:t>
      </w:r>
      <w:r w:rsidR="00306FB3" w:rsidRPr="00DE4629">
        <w:t>.</w:t>
      </w:r>
      <w:r w:rsidR="007F4A8E" w:rsidRPr="00DE4629">
        <w:t xml:space="preserve">  (</w:t>
      </w:r>
      <w:r w:rsidR="004C0D8A" w:rsidRPr="00DE4629">
        <w:t xml:space="preserve">See generally </w:t>
      </w:r>
      <w:proofErr w:type="spellStart"/>
      <w:r w:rsidR="00612B68" w:rsidRPr="00DE4629">
        <w:rPr>
          <w:i/>
          <w:iCs/>
        </w:rPr>
        <w:t>van’t</w:t>
      </w:r>
      <w:proofErr w:type="spellEnd"/>
      <w:r w:rsidR="00612B68" w:rsidRPr="00DE4629">
        <w:rPr>
          <w:i/>
          <w:iCs/>
        </w:rPr>
        <w:t xml:space="preserve"> Rood v. County of Santa Clara </w:t>
      </w:r>
      <w:r w:rsidR="00612B68" w:rsidRPr="00DE4629">
        <w:t>(2003) 113</w:t>
      </w:r>
      <w:r w:rsidR="00833692" w:rsidRPr="00DE4629">
        <w:t> </w:t>
      </w:r>
      <w:r w:rsidR="00612B68" w:rsidRPr="00DE4629">
        <w:t>Cal.App.4th 549, 563, 565</w:t>
      </w:r>
      <w:r w:rsidR="00133029" w:rsidRPr="00DE4629">
        <w:t>–</w:t>
      </w:r>
      <w:r w:rsidR="00612B68" w:rsidRPr="00DE4629">
        <w:t>566.)</w:t>
      </w:r>
      <w:r w:rsidR="003D5E13" w:rsidRPr="00DE4629">
        <w:t xml:space="preserve">  The earliest local regulation that arguably applied to such subdivisions was adopted in 19</w:t>
      </w:r>
      <w:r w:rsidR="00D274A2" w:rsidRPr="00DE4629">
        <w:t>39</w:t>
      </w:r>
      <w:r w:rsidR="003D5E13" w:rsidRPr="00DE4629">
        <w:t>.</w:t>
      </w:r>
      <w:r>
        <w:rPr>
          <w:rStyle w:val="FootnoteReference"/>
        </w:rPr>
        <w:footnoteReference w:id="17"/>
      </w:r>
      <w:r w:rsidR="003D5E13" w:rsidRPr="00DE4629">
        <w:t xml:space="preserve"> </w:t>
      </w:r>
      <w:r w:rsidR="00C8283B" w:rsidRPr="00DE4629">
        <w:t xml:space="preserve"> </w:t>
      </w:r>
    </w:p>
    <w:p w14:paraId="0F2D91FD" w14:textId="1C93729D" w:rsidR="00A227F2" w:rsidRPr="00DE4629" w:rsidRDefault="00CA5748" w:rsidP="004434C9">
      <w:pPr>
        <w:keepNext/>
        <w:spacing w:line="360" w:lineRule="auto"/>
        <w:rPr>
          <w:i/>
          <w:iCs/>
        </w:rPr>
      </w:pPr>
      <w:r w:rsidRPr="00DE4629">
        <w:rPr>
          <w:b/>
          <w:bCs/>
          <w:i/>
          <w:iCs/>
        </w:rPr>
        <w:t>The Relevant Case Law</w:t>
      </w:r>
    </w:p>
    <w:p w14:paraId="4DD6809C" w14:textId="6EEFC59E" w:rsidR="00A227F2" w:rsidRPr="00DE4629" w:rsidRDefault="00CA5748" w:rsidP="004434C9">
      <w:pPr>
        <w:keepNext/>
        <w:spacing w:line="360" w:lineRule="auto"/>
      </w:pPr>
      <w:r w:rsidRPr="00DE4629">
        <w:tab/>
      </w:r>
      <w:r w:rsidR="00EC45AD" w:rsidRPr="00DE4629">
        <w:t xml:space="preserve">The parties have cited, and we are aware of, only two cases that have </w:t>
      </w:r>
      <w:r w:rsidRPr="00DE4629">
        <w:t xml:space="preserve">discussed the “fewer than five” presumption of </w:t>
      </w:r>
      <w:r w:rsidR="004C0D8A" w:rsidRPr="00DE4629">
        <w:t>legality</w:t>
      </w:r>
      <w:r w:rsidRPr="00DE4629">
        <w:t xml:space="preserve"> set forth in section 66412.6, subdivision (a)</w:t>
      </w:r>
      <w:r w:rsidR="00CA4F93" w:rsidRPr="00DE4629">
        <w:t xml:space="preserve"> </w:t>
      </w:r>
      <w:r w:rsidR="00091FD3" w:rsidRPr="00DE4629">
        <w:t>in any remotely similar context.</w:t>
      </w:r>
      <w:r w:rsidRPr="00DE4629">
        <w:t xml:space="preserve">  </w:t>
      </w:r>
    </w:p>
    <w:p w14:paraId="7AC3A8B1" w14:textId="0930D210" w:rsidR="00426C74" w:rsidRPr="00DE4629" w:rsidRDefault="00CA5748" w:rsidP="00340EDD">
      <w:pPr>
        <w:spacing w:line="360" w:lineRule="auto"/>
      </w:pPr>
      <w:r w:rsidRPr="00DE4629">
        <w:tab/>
        <w:t xml:space="preserve">The </w:t>
      </w:r>
      <w:r w:rsidR="00EC45AD" w:rsidRPr="00DE4629">
        <w:t xml:space="preserve">first </w:t>
      </w:r>
      <w:r w:rsidRPr="00DE4629">
        <w:t xml:space="preserve">is </w:t>
      </w:r>
      <w:r w:rsidRPr="00DE4629">
        <w:rPr>
          <w:i/>
          <w:iCs/>
        </w:rPr>
        <w:t xml:space="preserve">Lakeview Meadows Ranch v. County of Santa Clara </w:t>
      </w:r>
      <w:r w:rsidRPr="00DE4629">
        <w:t>(1994) 27 Cal.App.4th 593 (</w:t>
      </w:r>
      <w:r w:rsidRPr="00DE4629">
        <w:rPr>
          <w:i/>
          <w:iCs/>
        </w:rPr>
        <w:t>Lakeview</w:t>
      </w:r>
      <w:r w:rsidRPr="00DE4629">
        <w:t xml:space="preserve">).  </w:t>
      </w:r>
      <w:r w:rsidR="00A873A7" w:rsidRPr="00DE4629">
        <w:t>The plaintiff in that case acquired title “to thousands of acres of ranchland.”  (</w:t>
      </w:r>
      <w:r w:rsidR="00A873A7" w:rsidRPr="00DE4629">
        <w:rPr>
          <w:i/>
          <w:iCs/>
        </w:rPr>
        <w:t xml:space="preserve">Id. </w:t>
      </w:r>
      <w:r w:rsidR="00A873A7" w:rsidRPr="00DE4629">
        <w:t xml:space="preserve">at p. 596.)  The </w:t>
      </w:r>
      <w:r w:rsidR="00EE203B" w:rsidRPr="00DE4629">
        <w:t xml:space="preserve">case concerned three parcels included </w:t>
      </w:r>
      <w:r w:rsidR="009F5EA2" w:rsidRPr="00DE4629">
        <w:t>with</w:t>
      </w:r>
      <w:r w:rsidR="00EE203B" w:rsidRPr="00DE4629">
        <w:t>in th</w:t>
      </w:r>
      <w:r w:rsidR="00091FD3" w:rsidRPr="00DE4629">
        <w:t>e</w:t>
      </w:r>
      <w:r w:rsidR="00EE203B" w:rsidRPr="00DE4629">
        <w:t xml:space="preserve"> acreage</w:t>
      </w:r>
      <w:r w:rsidR="00AC74E5" w:rsidRPr="00DE4629">
        <w:t xml:space="preserve"> but not </w:t>
      </w:r>
      <w:r w:rsidR="00A873A7" w:rsidRPr="00DE4629">
        <w:t>“separately describe</w:t>
      </w:r>
      <w:r w:rsidR="00133029" w:rsidRPr="00DE4629">
        <w:t>d</w:t>
      </w:r>
      <w:r w:rsidR="00A873A7" w:rsidRPr="00DE4629">
        <w:t>”</w:t>
      </w:r>
      <w:r w:rsidR="00EE203B" w:rsidRPr="00DE4629">
        <w:t xml:space="preserve"> </w:t>
      </w:r>
      <w:r w:rsidR="00AC74E5" w:rsidRPr="00DE4629">
        <w:t>in the deed.</w:t>
      </w:r>
      <w:r w:rsidR="00A873A7" w:rsidRPr="00DE4629">
        <w:t xml:space="preserve"> </w:t>
      </w:r>
      <w:r w:rsidR="00EE203B" w:rsidRPr="00DE4629">
        <w:t xml:space="preserve"> </w:t>
      </w:r>
      <w:r w:rsidR="00A873A7" w:rsidRPr="00DE4629">
        <w:t>(</w:t>
      </w:r>
      <w:r w:rsidR="00A873A7" w:rsidRPr="00DE4629">
        <w:rPr>
          <w:i/>
          <w:iCs/>
        </w:rPr>
        <w:t>Ibid.</w:t>
      </w:r>
      <w:r w:rsidR="00A873A7" w:rsidRPr="00DE4629">
        <w:t xml:space="preserve">)  </w:t>
      </w:r>
      <w:r w:rsidR="00870C90" w:rsidRPr="00DE4629">
        <w:t xml:space="preserve">One of the parcels </w:t>
      </w:r>
      <w:r w:rsidR="00472E08" w:rsidRPr="00DE4629">
        <w:t xml:space="preserve">had been </w:t>
      </w:r>
      <w:r w:rsidR="00870C90" w:rsidRPr="00DE4629">
        <w:t xml:space="preserve">created in 1882 by a deed from one individual to another.  Another was originally part of a patent to Southern Pacific Railroad and created in 1892 </w:t>
      </w:r>
      <w:r w:rsidR="00AC74E5" w:rsidRPr="00DE4629">
        <w:t xml:space="preserve">when </w:t>
      </w:r>
      <w:r w:rsidR="00870C90" w:rsidRPr="00DE4629">
        <w:t xml:space="preserve">Southern Pacific </w:t>
      </w:r>
      <w:r w:rsidR="00AC74E5" w:rsidRPr="00DE4629">
        <w:t xml:space="preserve">deeded it </w:t>
      </w:r>
      <w:r w:rsidR="00870C90" w:rsidRPr="00DE4629">
        <w:t>to an individual.  (</w:t>
      </w:r>
      <w:r w:rsidR="00870C90" w:rsidRPr="00DE4629">
        <w:rPr>
          <w:i/>
          <w:iCs/>
        </w:rPr>
        <w:t>Ibid.</w:t>
      </w:r>
      <w:r w:rsidR="00870C90" w:rsidRPr="00DE4629">
        <w:t>)  The third was created in 1891 by a federal patent to Southern Pacific that described the parcel by reference to a federal survey map.  (</w:t>
      </w:r>
      <w:r w:rsidR="00870C90" w:rsidRPr="00DE4629">
        <w:rPr>
          <w:i/>
          <w:iCs/>
        </w:rPr>
        <w:t>Ibid.</w:t>
      </w:r>
      <w:r w:rsidR="00870C90" w:rsidRPr="00DE4629">
        <w:t>)  The federal patent conveyed not only this third parcel, but numerous other, noncontiguous, parcels.  (</w:t>
      </w:r>
      <w:r w:rsidR="00870C90" w:rsidRPr="00DE4629">
        <w:rPr>
          <w:i/>
          <w:iCs/>
        </w:rPr>
        <w:t xml:space="preserve">Id. </w:t>
      </w:r>
      <w:r w:rsidR="00870C90" w:rsidRPr="00DE4629">
        <w:t>at p. 597.)</w:t>
      </w:r>
      <w:r w:rsidRPr="00DE4629">
        <w:t xml:space="preserve">  The plaintiff applied </w:t>
      </w:r>
      <w:r w:rsidRPr="00DE4629">
        <w:lastRenderedPageBreak/>
        <w:t>for, but was denied, certificates of compliance for the three lots.  (</w:t>
      </w:r>
      <w:r w:rsidRPr="00DE4629">
        <w:rPr>
          <w:i/>
          <w:iCs/>
        </w:rPr>
        <w:t xml:space="preserve">Id. </w:t>
      </w:r>
      <w:r w:rsidRPr="00DE4629">
        <w:t>at p.</w:t>
      </w:r>
      <w:r w:rsidR="00833692" w:rsidRPr="00DE4629">
        <w:t> </w:t>
      </w:r>
      <w:r w:rsidRPr="00DE4629">
        <w:t>596.)</w:t>
      </w:r>
      <w:r w:rsidR="00870C90" w:rsidRPr="00DE4629">
        <w:t xml:space="preserve">  </w:t>
      </w:r>
    </w:p>
    <w:p w14:paraId="0B6B8FF0" w14:textId="61F41838" w:rsidR="00426C74" w:rsidRPr="00DE4629" w:rsidRDefault="00CA5748" w:rsidP="00340EDD">
      <w:pPr>
        <w:spacing w:line="360" w:lineRule="auto"/>
      </w:pPr>
      <w:r w:rsidRPr="00DE4629">
        <w:tab/>
        <w:t xml:space="preserve">The </w:t>
      </w:r>
      <w:r w:rsidR="006A13BB" w:rsidRPr="00DE4629">
        <w:t>county did not dispute that the first two parcels were “created prior to the 1893 enactment of regulations governing the subdivision of land” (i.e., prior to the first iteration of the Subdivision Map Act</w:t>
      </w:r>
      <w:r w:rsidR="00133029" w:rsidRPr="00DE4629">
        <w:t xml:space="preserve">). </w:t>
      </w:r>
      <w:r w:rsidR="006A13BB" w:rsidRPr="00DE4629">
        <w:t xml:space="preserve"> (</w:t>
      </w:r>
      <w:r w:rsidR="00833692" w:rsidRPr="00DE4629">
        <w:rPr>
          <w:i/>
          <w:iCs/>
        </w:rPr>
        <w:t>Lakeview</w:t>
      </w:r>
      <w:r w:rsidR="00833692" w:rsidRPr="00DE4629">
        <w:t xml:space="preserve">, </w:t>
      </w:r>
      <w:r w:rsidR="00833692" w:rsidRPr="00DE4629">
        <w:rPr>
          <w:i/>
          <w:iCs/>
        </w:rPr>
        <w:t>supra</w:t>
      </w:r>
      <w:r w:rsidR="00833692" w:rsidRPr="00DE4629">
        <w:t>, 27 Cal.App.4th</w:t>
      </w:r>
      <w:r w:rsidR="00580EDE" w:rsidRPr="00DE4629">
        <w:rPr>
          <w:i/>
          <w:iCs/>
        </w:rPr>
        <w:t xml:space="preserve"> </w:t>
      </w:r>
      <w:r w:rsidR="00580EDE" w:rsidRPr="00DE4629">
        <w:t xml:space="preserve">at </w:t>
      </w:r>
      <w:r w:rsidR="001048B0" w:rsidRPr="00DE4629">
        <w:t>p</w:t>
      </w:r>
      <w:r w:rsidR="00580EDE" w:rsidRPr="00DE4629">
        <w:t xml:space="preserve">p. </w:t>
      </w:r>
      <w:r w:rsidR="001048B0" w:rsidRPr="00DE4629">
        <w:t xml:space="preserve">596, </w:t>
      </w:r>
      <w:r w:rsidR="00580EDE" w:rsidRPr="00DE4629">
        <w:t>599</w:t>
      </w:r>
      <w:r w:rsidR="001048B0" w:rsidRPr="00DE4629">
        <w:t xml:space="preserve"> &amp;</w:t>
      </w:r>
      <w:r w:rsidR="00833692" w:rsidRPr="00DE4629">
        <w:t xml:space="preserve"> f</w:t>
      </w:r>
      <w:r w:rsidR="00580EDE" w:rsidRPr="00DE4629">
        <w:t>n. 2</w:t>
      </w:r>
      <w:r w:rsidR="00133029" w:rsidRPr="00DE4629">
        <w:t>.)</w:t>
      </w:r>
      <w:r w:rsidR="006A13BB" w:rsidRPr="00DE4629">
        <w:t xml:space="preserve">  But </w:t>
      </w:r>
      <w:r w:rsidR="00BC5AFE" w:rsidRPr="00DE4629">
        <w:t xml:space="preserve">it </w:t>
      </w:r>
      <w:r w:rsidR="001849D7" w:rsidRPr="00DE4629">
        <w:t xml:space="preserve">did </w:t>
      </w:r>
      <w:r w:rsidR="006A13BB" w:rsidRPr="00DE4629">
        <w:t>dispute th</w:t>
      </w:r>
      <w:r w:rsidR="00091FD3" w:rsidRPr="00DE4629">
        <w:t xml:space="preserve">at the </w:t>
      </w:r>
      <w:r w:rsidR="006A13BB" w:rsidRPr="00DE4629">
        <w:t>third parcel</w:t>
      </w:r>
      <w:r w:rsidR="00091FD3" w:rsidRPr="00DE4629">
        <w:t xml:space="preserve"> </w:t>
      </w:r>
      <w:r w:rsidR="0070024C" w:rsidRPr="00DE4629">
        <w:t>was</w:t>
      </w:r>
      <w:r w:rsidR="00091FD3" w:rsidRPr="00DE4629">
        <w:t xml:space="preserve"> “created” prior to that time</w:t>
      </w:r>
      <w:r w:rsidR="006A13BB" w:rsidRPr="00DE4629">
        <w:t>.</w:t>
      </w:r>
      <w:r w:rsidR="00091FD3" w:rsidRPr="00DE4629">
        <w:t xml:space="preserve">  </w:t>
      </w:r>
      <w:r w:rsidR="001849D7" w:rsidRPr="00DE4629">
        <w:t>Accordingly, t</w:t>
      </w:r>
      <w:r w:rsidR="006A13BB" w:rsidRPr="00DE4629">
        <w:t xml:space="preserve">he </w:t>
      </w:r>
      <w:r w:rsidR="00833692" w:rsidRPr="00DE4629">
        <w:t>C</w:t>
      </w:r>
      <w:r w:rsidRPr="00DE4629">
        <w:t xml:space="preserve">ourt </w:t>
      </w:r>
      <w:r w:rsidR="002B5092" w:rsidRPr="00DE4629">
        <w:t xml:space="preserve">of </w:t>
      </w:r>
      <w:r w:rsidR="00833692" w:rsidRPr="00DE4629">
        <w:t>A</w:t>
      </w:r>
      <w:r w:rsidR="002B5092" w:rsidRPr="00DE4629">
        <w:t xml:space="preserve">ppeal </w:t>
      </w:r>
      <w:r w:rsidR="00091FD3" w:rsidRPr="00DE4629">
        <w:t xml:space="preserve">turned first to that issue and </w:t>
      </w:r>
      <w:r w:rsidR="00BC5AFE" w:rsidRPr="00DE4629">
        <w:t xml:space="preserve">held </w:t>
      </w:r>
      <w:r w:rsidRPr="00DE4629">
        <w:t xml:space="preserve">the third parcel </w:t>
      </w:r>
      <w:r w:rsidR="002B5092" w:rsidRPr="00DE4629">
        <w:t xml:space="preserve">had been </w:t>
      </w:r>
      <w:proofErr w:type="gramStart"/>
      <w:r w:rsidRPr="00DE4629">
        <w:t>“ ‘</w:t>
      </w:r>
      <w:proofErr w:type="gramEnd"/>
      <w:r w:rsidRPr="00DE4629">
        <w:t xml:space="preserve">created’ when it was separated from the other units of land with which it </w:t>
      </w:r>
      <w:r w:rsidR="001048B0" w:rsidRPr="00DE4629">
        <w:t>was</w:t>
      </w:r>
      <w:r w:rsidR="002B5092" w:rsidRPr="00DE4629">
        <w:t xml:space="preserve"> </w:t>
      </w:r>
      <w:r w:rsidRPr="00DE4629">
        <w:t xml:space="preserve">contiguous by the 1891 federal </w:t>
      </w:r>
      <w:r w:rsidRPr="00DE4629">
        <w:rPr>
          <w:i/>
          <w:iCs/>
        </w:rPr>
        <w:t>patent</w:t>
      </w:r>
      <w:r w:rsidRPr="00DE4629">
        <w:t xml:space="preserve"> </w:t>
      </w:r>
      <w:r w:rsidR="001048B0" w:rsidRPr="00DE4629">
        <w:t xml:space="preserve">which </w:t>
      </w:r>
      <w:r w:rsidRPr="00DE4629">
        <w:t>convey</w:t>
      </w:r>
      <w:r w:rsidR="001048B0" w:rsidRPr="00DE4629">
        <w:t>ed title to</w:t>
      </w:r>
      <w:r w:rsidRPr="00DE4629">
        <w:t xml:space="preserve"> </w:t>
      </w:r>
      <w:r w:rsidR="001048B0" w:rsidRPr="00DE4629">
        <w:t>[</w:t>
      </w:r>
      <w:r w:rsidRPr="00DE4629">
        <w:t>the</w:t>
      </w:r>
      <w:r w:rsidR="001048B0" w:rsidRPr="00DE4629">
        <w:t>]</w:t>
      </w:r>
      <w:r w:rsidRPr="00DE4629">
        <w:t xml:space="preserve"> parcel</w:t>
      </w:r>
      <w:r w:rsidR="001048B0" w:rsidRPr="00DE4629">
        <w:t>”</w:t>
      </w:r>
      <w:r w:rsidRPr="00DE4629">
        <w:t xml:space="preserve"> to the railroad</w:t>
      </w:r>
      <w:r w:rsidR="009F5EA2" w:rsidRPr="00DE4629">
        <w:t>.  (</w:t>
      </w:r>
      <w:r w:rsidR="009F5EA2" w:rsidRPr="00DE4629">
        <w:rPr>
          <w:i/>
          <w:iCs/>
        </w:rPr>
        <w:t xml:space="preserve">Id. </w:t>
      </w:r>
      <w:r w:rsidR="009F5EA2" w:rsidRPr="00DE4629">
        <w:t>at pp. 59</w:t>
      </w:r>
      <w:r w:rsidR="001048B0" w:rsidRPr="00DE4629">
        <w:t>7</w:t>
      </w:r>
      <w:r w:rsidR="00133029" w:rsidRPr="00DE4629">
        <w:t>–</w:t>
      </w:r>
      <w:r w:rsidR="009F5EA2" w:rsidRPr="00DE4629">
        <w:t xml:space="preserve">598.)  The court </w:t>
      </w:r>
      <w:r w:rsidR="002B5092" w:rsidRPr="00DE4629">
        <w:t xml:space="preserve">expressly </w:t>
      </w:r>
      <w:r w:rsidRPr="00DE4629">
        <w:t>distinguish</w:t>
      </w:r>
      <w:r w:rsidR="009F5EA2" w:rsidRPr="00DE4629">
        <w:t>ed</w:t>
      </w:r>
      <w:r w:rsidR="00091FD3" w:rsidRPr="00DE4629">
        <w:t xml:space="preserve"> between </w:t>
      </w:r>
      <w:r w:rsidRPr="00DE4629">
        <w:t>federal land patent</w:t>
      </w:r>
      <w:r w:rsidR="00091FD3" w:rsidRPr="00DE4629">
        <w:t xml:space="preserve">s, which </w:t>
      </w:r>
      <w:r w:rsidR="00A675CF" w:rsidRPr="00DE4629">
        <w:t>are</w:t>
      </w:r>
      <w:r w:rsidR="00091FD3" w:rsidRPr="00DE4629">
        <w:t xml:space="preserve"> conveyances,</w:t>
      </w:r>
      <w:r w:rsidRPr="00DE4629">
        <w:t xml:space="preserve"> </w:t>
      </w:r>
      <w:r w:rsidR="00091FD3" w:rsidRPr="00DE4629">
        <w:t xml:space="preserve">and </w:t>
      </w:r>
      <w:r w:rsidRPr="00DE4629">
        <w:t>federal “</w:t>
      </w:r>
      <w:r w:rsidR="001048B0" w:rsidRPr="00DE4629">
        <w:t>[</w:t>
      </w:r>
      <w:r w:rsidRPr="00DE4629">
        <w:t>s</w:t>
      </w:r>
      <w:r w:rsidR="001048B0" w:rsidRPr="00DE4629">
        <w:t>]</w:t>
      </w:r>
      <w:proofErr w:type="spellStart"/>
      <w:r w:rsidRPr="00DE4629">
        <w:t>urvey</w:t>
      </w:r>
      <w:proofErr w:type="spellEnd"/>
      <w:r w:rsidRPr="00DE4629">
        <w:t xml:space="preserve"> </w:t>
      </w:r>
      <w:r w:rsidR="001048B0" w:rsidRPr="00DE4629">
        <w:t>[</w:t>
      </w:r>
      <w:r w:rsidRPr="00DE4629">
        <w:t>m</w:t>
      </w:r>
      <w:r w:rsidR="001048B0" w:rsidRPr="00DE4629">
        <w:t>]</w:t>
      </w:r>
      <w:r w:rsidRPr="00DE4629">
        <w:t>aps</w:t>
      </w:r>
      <w:r w:rsidR="00091FD3" w:rsidRPr="00DE4629">
        <w:t>,</w:t>
      </w:r>
      <w:r w:rsidRPr="00DE4629">
        <w:t>”</w:t>
      </w:r>
      <w:r w:rsidR="00091FD3" w:rsidRPr="00DE4629">
        <w:t xml:space="preserve"> which </w:t>
      </w:r>
      <w:r w:rsidR="00A675CF" w:rsidRPr="00DE4629">
        <w:t>are</w:t>
      </w:r>
      <w:r w:rsidR="00091FD3" w:rsidRPr="00DE4629">
        <w:t xml:space="preserve"> not.</w:t>
      </w:r>
      <w:r w:rsidRPr="00DE4629">
        <w:t xml:space="preserve">  (</w:t>
      </w:r>
      <w:r w:rsidRPr="00DE4629">
        <w:rPr>
          <w:i/>
          <w:iCs/>
        </w:rPr>
        <w:t>I</w:t>
      </w:r>
      <w:r w:rsidR="009F5EA2" w:rsidRPr="00DE4629">
        <w:rPr>
          <w:i/>
          <w:iCs/>
        </w:rPr>
        <w:t>bi</w:t>
      </w:r>
      <w:r w:rsidRPr="00DE4629">
        <w:rPr>
          <w:i/>
          <w:iCs/>
        </w:rPr>
        <w:t>d.</w:t>
      </w:r>
      <w:r w:rsidRPr="00DE4629">
        <w:t xml:space="preserve">)  “Because the federal patent which conveyed [the] parcel to </w:t>
      </w:r>
      <w:r w:rsidR="001048B0" w:rsidRPr="00DE4629">
        <w:t>[the railroad]</w:t>
      </w:r>
      <w:r w:rsidRPr="00DE4629">
        <w:t xml:space="preserve"> did not convey the contiguous parcels </w:t>
      </w:r>
      <w:proofErr w:type="gramStart"/>
      <w:r w:rsidR="001048B0" w:rsidRPr="00DE4629">
        <w:t xml:space="preserve">. </w:t>
      </w:r>
      <w:r w:rsidRPr="00DE4629">
        <w:t>. .</w:t>
      </w:r>
      <w:r w:rsidR="00833692" w:rsidRPr="00DE4629">
        <w:t xml:space="preserve"> </w:t>
      </w:r>
      <w:r w:rsidRPr="00DE4629">
        <w:t>,</w:t>
      </w:r>
      <w:proofErr w:type="gramEnd"/>
      <w:r w:rsidRPr="00DE4629">
        <w:t xml:space="preserve"> this conveyance was a ‘subdivision’ of land which ‘created’ [the] parcel </w:t>
      </w:r>
      <w:r w:rsidR="006E10FD" w:rsidRPr="00DE4629">
        <w:t xml:space="preserve">. . . </w:t>
      </w:r>
      <w:r w:rsidRPr="00DE4629">
        <w:t>as a separate lot.”  (</w:t>
      </w:r>
      <w:r w:rsidRPr="00DE4629">
        <w:rPr>
          <w:i/>
          <w:iCs/>
        </w:rPr>
        <w:t xml:space="preserve">Id. </w:t>
      </w:r>
      <w:r w:rsidRPr="00DE4629">
        <w:t xml:space="preserve">at p. 598.)  </w:t>
      </w:r>
    </w:p>
    <w:p w14:paraId="388CEB23" w14:textId="2135A58A" w:rsidR="00AC74E5" w:rsidRPr="00DE4629" w:rsidRDefault="00CA5748" w:rsidP="00340EDD">
      <w:pPr>
        <w:spacing w:line="360" w:lineRule="auto"/>
      </w:pPr>
      <w:r w:rsidRPr="00DE4629">
        <w:tab/>
        <w:t xml:space="preserve">The court next held the plaintiff was </w:t>
      </w:r>
      <w:r w:rsidR="00892F4C" w:rsidRPr="00DE4629">
        <w:t>entitled to certificates of compliance, rejecting the county’s assertion the plaintiff was required to comply with parcel map requirements.  (</w:t>
      </w:r>
      <w:r w:rsidR="00833692" w:rsidRPr="00DE4629">
        <w:rPr>
          <w:i/>
          <w:iCs/>
        </w:rPr>
        <w:t>Lakeview</w:t>
      </w:r>
      <w:r w:rsidR="00833692" w:rsidRPr="00DE4629">
        <w:t xml:space="preserve">, </w:t>
      </w:r>
      <w:r w:rsidR="00833692" w:rsidRPr="00DE4629">
        <w:rPr>
          <w:i/>
          <w:iCs/>
        </w:rPr>
        <w:t>supra</w:t>
      </w:r>
      <w:r w:rsidR="00833692" w:rsidRPr="00DE4629">
        <w:t>, 27 Cal.App.4th</w:t>
      </w:r>
      <w:r w:rsidR="00892F4C" w:rsidRPr="00DE4629">
        <w:t xml:space="preserve"> at </w:t>
      </w:r>
      <w:r w:rsidR="007A6861" w:rsidRPr="00DE4629">
        <w:t>p</w:t>
      </w:r>
      <w:r w:rsidR="00892F4C" w:rsidRPr="00DE4629">
        <w:t>p. 598</w:t>
      </w:r>
      <w:r w:rsidR="00133029" w:rsidRPr="00DE4629">
        <w:t>–</w:t>
      </w:r>
      <w:r w:rsidR="007A6861" w:rsidRPr="00DE4629">
        <w:t>599</w:t>
      </w:r>
      <w:r w:rsidR="00892F4C" w:rsidRPr="00DE4629">
        <w:t xml:space="preserve">.)  </w:t>
      </w:r>
      <w:r w:rsidR="00091FD3" w:rsidRPr="00DE4629">
        <w:t>In this regard, t</w:t>
      </w:r>
      <w:r w:rsidR="00892F4C" w:rsidRPr="00DE4629">
        <w:t xml:space="preserve">he court </w:t>
      </w:r>
      <w:r w:rsidRPr="00DE4629">
        <w:t xml:space="preserve">discussed </w:t>
      </w:r>
      <w:r w:rsidR="00892F4C" w:rsidRPr="00DE4629">
        <w:t xml:space="preserve">two sections of the Act.  </w:t>
      </w:r>
    </w:p>
    <w:p w14:paraId="6594E582" w14:textId="23320FFB" w:rsidR="00580EDE" w:rsidRPr="00DE4629" w:rsidRDefault="00CA5748" w:rsidP="00340EDD">
      <w:pPr>
        <w:spacing w:line="360" w:lineRule="auto"/>
        <w:rPr>
          <w:rFonts w:ascii="Arial" w:hAnsi="Arial" w:cs="Arial"/>
          <w:color w:val="000000"/>
          <w:shd w:val="clear" w:color="auto" w:fill="FFFFFF"/>
        </w:rPr>
      </w:pPr>
      <w:r w:rsidRPr="00DE4629">
        <w:tab/>
      </w:r>
      <w:r w:rsidR="00892F4C" w:rsidRPr="00DE4629">
        <w:t>The first</w:t>
      </w:r>
      <w:r w:rsidR="00091FD3" w:rsidRPr="00DE4629">
        <w:t xml:space="preserve"> was</w:t>
      </w:r>
      <w:r w:rsidRPr="00DE4629">
        <w:t xml:space="preserve"> </w:t>
      </w:r>
      <w:r w:rsidR="00892F4C" w:rsidRPr="00DE4629">
        <w:t>section 66499.30</w:t>
      </w:r>
      <w:r w:rsidR="009F5EA2" w:rsidRPr="00DE4629">
        <w:t xml:space="preserve">, </w:t>
      </w:r>
      <w:r w:rsidR="00892F4C" w:rsidRPr="00DE4629">
        <w:t xml:space="preserve">the </w:t>
      </w:r>
      <w:proofErr w:type="gramStart"/>
      <w:r w:rsidR="000546E7" w:rsidRPr="00DE4629">
        <w:t>“</w:t>
      </w:r>
      <w:r w:rsidR="007A6861" w:rsidRPr="00DE4629">
        <w:t xml:space="preserve"> ‘</w:t>
      </w:r>
      <w:proofErr w:type="gramEnd"/>
      <w:r w:rsidR="000546E7" w:rsidRPr="00DE4629">
        <w:t>compliance</w:t>
      </w:r>
      <w:r w:rsidR="007A6861" w:rsidRPr="00DE4629">
        <w:t xml:space="preserve">’ </w:t>
      </w:r>
      <w:r w:rsidR="000546E7" w:rsidRPr="00DE4629">
        <w:t xml:space="preserve">” </w:t>
      </w:r>
      <w:r w:rsidR="00892F4C" w:rsidRPr="00DE4629">
        <w:t>provision</w:t>
      </w:r>
      <w:r w:rsidR="00091FD3" w:rsidRPr="00DE4629">
        <w:t>, which</w:t>
      </w:r>
      <w:r w:rsidR="00892F4C" w:rsidRPr="00DE4629">
        <w:t xml:space="preserve"> “</w:t>
      </w:r>
      <w:r w:rsidR="007A6861" w:rsidRPr="00DE4629">
        <w:t> ‘</w:t>
      </w:r>
      <w:r w:rsidR="00892F4C" w:rsidRPr="00DE4629">
        <w:rPr>
          <w:rFonts w:cs="Arial"/>
          <w:color w:val="000000"/>
          <w:shd w:val="clear" w:color="auto" w:fill="FFFFFF"/>
        </w:rPr>
        <w:t>prohibits the sale, lease or financing</w:t>
      </w:r>
      <w:r w:rsidR="007A6861" w:rsidRPr="00DE4629">
        <w:rPr>
          <w:rFonts w:cs="Arial"/>
          <w:color w:val="000000"/>
          <w:shd w:val="clear" w:color="auto" w:fill="FFFFFF"/>
        </w:rPr>
        <w:t xml:space="preserve">’ </w:t>
      </w:r>
      <w:r w:rsidR="00892F4C" w:rsidRPr="00DE4629">
        <w:rPr>
          <w:rFonts w:cs="Arial"/>
          <w:color w:val="000000"/>
          <w:shd w:val="clear" w:color="auto" w:fill="FFFFFF"/>
        </w:rPr>
        <w:t>” of parcels unless the requirements of the Act are met for such parcels.</w:t>
      </w:r>
      <w:r w:rsidRPr="00DE4629">
        <w:rPr>
          <w:rFonts w:cs="Arial"/>
          <w:color w:val="000000"/>
          <w:shd w:val="clear" w:color="auto" w:fill="FFFFFF"/>
        </w:rPr>
        <w:t xml:space="preserve">  (</w:t>
      </w:r>
      <w:r w:rsidR="00833692" w:rsidRPr="00DE4629">
        <w:rPr>
          <w:i/>
          <w:iCs/>
        </w:rPr>
        <w:t>Lakeview</w:t>
      </w:r>
      <w:r w:rsidR="00833692" w:rsidRPr="00DE4629">
        <w:t xml:space="preserve">, </w:t>
      </w:r>
      <w:r w:rsidR="00833692" w:rsidRPr="00DE4629">
        <w:rPr>
          <w:i/>
          <w:iCs/>
        </w:rPr>
        <w:t>supra</w:t>
      </w:r>
      <w:r w:rsidR="00833692" w:rsidRPr="00DE4629">
        <w:t>, 27 Cal.App.4th at p. 598</w:t>
      </w:r>
      <w:r w:rsidR="000546E7" w:rsidRPr="00DE4629">
        <w:rPr>
          <w:rFonts w:cs="Arial"/>
          <w:color w:val="000000"/>
          <w:shd w:val="clear" w:color="auto" w:fill="FFFFFF"/>
        </w:rPr>
        <w:t>;</w:t>
      </w:r>
      <w:r w:rsidR="009F5EA2" w:rsidRPr="00DE4629">
        <w:rPr>
          <w:rFonts w:cs="Arial"/>
          <w:color w:val="000000"/>
          <w:shd w:val="clear" w:color="auto" w:fill="FFFFFF"/>
        </w:rPr>
        <w:t xml:space="preserve"> </w:t>
      </w:r>
      <w:r w:rsidR="002B5092" w:rsidRPr="00DE4629">
        <w:rPr>
          <w:rFonts w:cs="Arial"/>
          <w:color w:val="000000"/>
          <w:shd w:val="clear" w:color="auto" w:fill="FFFFFF"/>
        </w:rPr>
        <w:t>§ </w:t>
      </w:r>
      <w:r w:rsidRPr="00DE4629">
        <w:rPr>
          <w:rFonts w:cs="Arial"/>
          <w:color w:val="000000"/>
          <w:shd w:val="clear" w:color="auto" w:fill="FFFFFF"/>
        </w:rPr>
        <w:t xml:space="preserve">66499.30, </w:t>
      </w:r>
      <w:proofErr w:type="spellStart"/>
      <w:r w:rsidRPr="00DE4629">
        <w:rPr>
          <w:rFonts w:cs="Arial"/>
          <w:color w:val="000000"/>
          <w:shd w:val="clear" w:color="auto" w:fill="FFFFFF"/>
        </w:rPr>
        <w:t>subd</w:t>
      </w:r>
      <w:proofErr w:type="spellEnd"/>
      <w:r w:rsidRPr="00DE4629">
        <w:rPr>
          <w:rFonts w:cs="Arial"/>
          <w:color w:val="000000"/>
          <w:shd w:val="clear" w:color="auto" w:fill="FFFFFF"/>
        </w:rPr>
        <w:t>. (</w:t>
      </w:r>
      <w:r w:rsidR="004A78D5" w:rsidRPr="00DE4629">
        <w:rPr>
          <w:rFonts w:cs="Arial"/>
          <w:color w:val="000000"/>
          <w:shd w:val="clear" w:color="auto" w:fill="FFFFFF"/>
        </w:rPr>
        <w:t>a</w:t>
      </w:r>
      <w:r w:rsidRPr="00DE4629">
        <w:rPr>
          <w:rFonts w:cs="Arial"/>
          <w:color w:val="000000"/>
          <w:shd w:val="clear" w:color="auto" w:fill="FFFFFF"/>
        </w:rPr>
        <w:t xml:space="preserve">).)  The statute does not </w:t>
      </w:r>
      <w:r w:rsidR="00892F4C" w:rsidRPr="00DE4629">
        <w:rPr>
          <w:rFonts w:cs="Arial"/>
          <w:color w:val="000000"/>
          <w:shd w:val="clear" w:color="auto" w:fill="FFFFFF"/>
        </w:rPr>
        <w:t>apply</w:t>
      </w:r>
      <w:r w:rsidR="009F5EA2" w:rsidRPr="00DE4629">
        <w:rPr>
          <w:rFonts w:cs="Arial"/>
          <w:color w:val="000000"/>
          <w:shd w:val="clear" w:color="auto" w:fill="FFFFFF"/>
        </w:rPr>
        <w:t xml:space="preserve">, however </w:t>
      </w:r>
      <w:proofErr w:type="gramStart"/>
      <w:r w:rsidR="009F5EA2" w:rsidRPr="00DE4629">
        <w:rPr>
          <w:rFonts w:cs="Arial"/>
          <w:color w:val="000000"/>
          <w:shd w:val="clear" w:color="auto" w:fill="FFFFFF"/>
        </w:rPr>
        <w:t>“</w:t>
      </w:r>
      <w:r w:rsidR="004A78D5" w:rsidRPr="00DE4629">
        <w:rPr>
          <w:rFonts w:cs="Arial"/>
          <w:color w:val="000000"/>
          <w:shd w:val="clear" w:color="auto" w:fill="FFFFFF"/>
        </w:rPr>
        <w:t xml:space="preserve"> ‘</w:t>
      </w:r>
      <w:proofErr w:type="gramEnd"/>
      <w:r w:rsidR="00892F4C" w:rsidRPr="00DE4629">
        <w:rPr>
          <w:rFonts w:cs="Arial"/>
          <w:color w:val="000000"/>
          <w:shd w:val="clear" w:color="auto" w:fill="FFFFFF"/>
        </w:rPr>
        <w:t>to any parcel or parcels of a subdivision .</w:t>
      </w:r>
      <w:r w:rsidR="00833692" w:rsidRPr="00DE4629">
        <w:rPr>
          <w:rFonts w:cs="Arial"/>
          <w:color w:val="000000"/>
          <w:shd w:val="clear" w:color="auto" w:fill="FFFFFF"/>
        </w:rPr>
        <w:t xml:space="preserve"> </w:t>
      </w:r>
      <w:r w:rsidR="00892F4C" w:rsidRPr="00DE4629">
        <w:rPr>
          <w:rFonts w:cs="Arial"/>
          <w:color w:val="000000"/>
          <w:shd w:val="clear" w:color="auto" w:fill="FFFFFF"/>
        </w:rPr>
        <w:t>.</w:t>
      </w:r>
      <w:r w:rsidR="00833692" w:rsidRPr="00DE4629">
        <w:rPr>
          <w:rFonts w:cs="Arial"/>
          <w:color w:val="000000"/>
          <w:shd w:val="clear" w:color="auto" w:fill="FFFFFF"/>
        </w:rPr>
        <w:t xml:space="preserve"> </w:t>
      </w:r>
      <w:r w:rsidR="00892F4C" w:rsidRPr="00DE4629">
        <w:rPr>
          <w:rFonts w:cs="Arial"/>
          <w:color w:val="000000"/>
          <w:shd w:val="clear" w:color="auto" w:fill="FFFFFF"/>
        </w:rPr>
        <w:t>. sold .</w:t>
      </w:r>
      <w:r w:rsidR="00833692" w:rsidRPr="00DE4629">
        <w:rPr>
          <w:rFonts w:cs="Arial"/>
          <w:color w:val="000000"/>
          <w:shd w:val="clear" w:color="auto" w:fill="FFFFFF"/>
        </w:rPr>
        <w:t xml:space="preserve"> </w:t>
      </w:r>
      <w:r w:rsidR="00892F4C" w:rsidRPr="00DE4629">
        <w:rPr>
          <w:rFonts w:cs="Arial"/>
          <w:color w:val="000000"/>
          <w:shd w:val="clear" w:color="auto" w:fill="FFFFFF"/>
        </w:rPr>
        <w:t>.</w:t>
      </w:r>
      <w:r w:rsidR="00833692" w:rsidRPr="00DE4629">
        <w:rPr>
          <w:rFonts w:cs="Arial"/>
          <w:color w:val="000000"/>
          <w:shd w:val="clear" w:color="auto" w:fill="FFFFFF"/>
        </w:rPr>
        <w:t xml:space="preserve"> </w:t>
      </w:r>
      <w:r w:rsidR="00892F4C" w:rsidRPr="00DE4629">
        <w:rPr>
          <w:rFonts w:cs="Arial"/>
          <w:color w:val="000000"/>
          <w:shd w:val="clear" w:color="auto" w:fill="FFFFFF"/>
        </w:rPr>
        <w:t xml:space="preserve">. in compliance with or </w:t>
      </w:r>
      <w:r w:rsidR="00892F4C" w:rsidRPr="00DE4629">
        <w:rPr>
          <w:rFonts w:cs="Arial"/>
          <w:i/>
          <w:iCs/>
          <w:color w:val="000000"/>
          <w:shd w:val="clear" w:color="auto" w:fill="FFFFFF"/>
        </w:rPr>
        <w:t>exempt from any law</w:t>
      </w:r>
      <w:r w:rsidR="00892F4C" w:rsidRPr="00DE4629">
        <w:rPr>
          <w:rFonts w:cs="Arial"/>
          <w:color w:val="000000"/>
          <w:shd w:val="clear" w:color="auto" w:fill="FFFFFF"/>
        </w:rPr>
        <w:t xml:space="preserve"> (including a local ordinance), regulating the design and improvement of subdivisions in effect at the time the subdivision was established.</w:t>
      </w:r>
      <w:r w:rsidR="004A78D5" w:rsidRPr="00DE4629">
        <w:rPr>
          <w:rFonts w:cs="Arial"/>
          <w:color w:val="000000"/>
          <w:shd w:val="clear" w:color="auto" w:fill="FFFFFF"/>
        </w:rPr>
        <w:t xml:space="preserve">’ </w:t>
      </w:r>
      <w:r w:rsidR="00892F4C" w:rsidRPr="00DE4629">
        <w:rPr>
          <w:rFonts w:cs="Arial"/>
          <w:color w:val="000000"/>
          <w:shd w:val="clear" w:color="auto" w:fill="FFFFFF"/>
        </w:rPr>
        <w:t>”</w:t>
      </w:r>
      <w:r w:rsidR="00833692" w:rsidRPr="00DE4629">
        <w:rPr>
          <w:rFonts w:cs="Arial"/>
          <w:color w:val="000000"/>
          <w:shd w:val="clear" w:color="auto" w:fill="FFFFFF"/>
        </w:rPr>
        <w:t xml:space="preserve"> </w:t>
      </w:r>
      <w:r w:rsidR="00892F4C" w:rsidRPr="00DE4629">
        <w:rPr>
          <w:rFonts w:cs="Arial"/>
          <w:color w:val="000000"/>
          <w:shd w:val="clear" w:color="auto" w:fill="FFFFFF"/>
        </w:rPr>
        <w:t xml:space="preserve"> </w:t>
      </w:r>
      <w:r w:rsidR="00892F4C" w:rsidRPr="00DE4629">
        <w:rPr>
          <w:rFonts w:cs="Arial"/>
          <w:color w:val="000000"/>
          <w:shd w:val="clear" w:color="auto" w:fill="FFFFFF"/>
        </w:rPr>
        <w:lastRenderedPageBreak/>
        <w:t>(</w:t>
      </w:r>
      <w:r w:rsidR="00833692" w:rsidRPr="00DE4629">
        <w:rPr>
          <w:i/>
          <w:iCs/>
        </w:rPr>
        <w:t xml:space="preserve">Lakeview, </w:t>
      </w:r>
      <w:r w:rsidR="00833692" w:rsidRPr="00DE4629">
        <w:t xml:space="preserve">at p. 598, </w:t>
      </w:r>
      <w:r w:rsidR="00833692" w:rsidRPr="00DE4629">
        <w:rPr>
          <w:rFonts w:cs="Arial"/>
          <w:color w:val="000000"/>
          <w:shd w:val="clear" w:color="auto" w:fill="FFFFFF"/>
        </w:rPr>
        <w:t>italics added</w:t>
      </w:r>
      <w:r w:rsidR="00833692" w:rsidRPr="00DE4629">
        <w:t>;</w:t>
      </w:r>
      <w:r w:rsidRPr="00DE4629">
        <w:rPr>
          <w:rFonts w:cs="Arial"/>
          <w:i/>
          <w:iCs/>
          <w:color w:val="000000"/>
          <w:shd w:val="clear" w:color="auto" w:fill="FFFFFF"/>
        </w:rPr>
        <w:t xml:space="preserve"> </w:t>
      </w:r>
      <w:r w:rsidR="00892F4C" w:rsidRPr="00DE4629">
        <w:rPr>
          <w:rFonts w:cs="Arial"/>
          <w:color w:val="000000"/>
          <w:shd w:val="clear" w:color="auto" w:fill="FFFFFF"/>
        </w:rPr>
        <w:t>§</w:t>
      </w:r>
      <w:r w:rsidR="00833692" w:rsidRPr="00DE4629">
        <w:rPr>
          <w:rFonts w:cs="Arial"/>
          <w:color w:val="000000"/>
          <w:shd w:val="clear" w:color="auto" w:fill="FFFFFF"/>
        </w:rPr>
        <w:t> </w:t>
      </w:r>
      <w:r w:rsidR="00892F4C" w:rsidRPr="00DE4629">
        <w:rPr>
          <w:rFonts w:cs="Arial"/>
          <w:color w:val="000000"/>
          <w:shd w:val="clear" w:color="auto" w:fill="FFFFFF"/>
        </w:rPr>
        <w:t xml:space="preserve">66499.30, </w:t>
      </w:r>
      <w:proofErr w:type="spellStart"/>
      <w:r w:rsidR="00892F4C" w:rsidRPr="00DE4629">
        <w:rPr>
          <w:rFonts w:cs="Arial"/>
          <w:color w:val="000000"/>
          <w:shd w:val="clear" w:color="auto" w:fill="FFFFFF"/>
        </w:rPr>
        <w:t>subd</w:t>
      </w:r>
      <w:proofErr w:type="spellEnd"/>
      <w:r w:rsidR="00892F4C" w:rsidRPr="00DE4629">
        <w:rPr>
          <w:rFonts w:cs="Arial"/>
          <w:color w:val="000000"/>
          <w:shd w:val="clear" w:color="auto" w:fill="FFFFFF"/>
        </w:rPr>
        <w:t>. (d).</w:t>
      </w:r>
      <w:r w:rsidR="000448F2" w:rsidRPr="00DE4629">
        <w:rPr>
          <w:rFonts w:cs="Arial"/>
          <w:color w:val="000000"/>
          <w:shd w:val="clear" w:color="auto" w:fill="FFFFFF"/>
        </w:rPr>
        <w:t>)</w:t>
      </w:r>
      <w:r>
        <w:rPr>
          <w:rStyle w:val="FootnoteReference"/>
          <w:rFonts w:cs="Arial"/>
          <w:color w:val="000000"/>
          <w:shd w:val="clear" w:color="auto" w:fill="FFFFFF"/>
        </w:rPr>
        <w:footnoteReference w:id="18"/>
      </w:r>
      <w:r w:rsidR="000064A8" w:rsidRPr="00DE4629">
        <w:rPr>
          <w:rFonts w:cs="Arial"/>
          <w:color w:val="000000"/>
          <w:shd w:val="clear" w:color="auto" w:fill="FFFFFF"/>
        </w:rPr>
        <w:t xml:space="preserve">  </w:t>
      </w:r>
      <w:r w:rsidR="00C172A7" w:rsidRPr="00DE4629">
        <w:rPr>
          <w:rFonts w:cs="Arial"/>
          <w:color w:val="000000"/>
          <w:shd w:val="clear" w:color="auto" w:fill="FFFFFF"/>
        </w:rPr>
        <w:t xml:space="preserve">Rejecting </w:t>
      </w:r>
      <w:r w:rsidRPr="00DE4629">
        <w:rPr>
          <w:rFonts w:cs="Arial"/>
          <w:color w:val="000000"/>
          <w:shd w:val="clear" w:color="auto" w:fill="FFFFFF"/>
        </w:rPr>
        <w:t xml:space="preserve">the county’s </w:t>
      </w:r>
      <w:r w:rsidR="002B5092" w:rsidRPr="00DE4629">
        <w:rPr>
          <w:rFonts w:cs="Arial"/>
          <w:color w:val="000000"/>
          <w:shd w:val="clear" w:color="auto" w:fill="FFFFFF"/>
        </w:rPr>
        <w:t>assertion</w:t>
      </w:r>
      <w:r w:rsidRPr="00DE4629">
        <w:rPr>
          <w:rFonts w:cs="Arial"/>
          <w:color w:val="000000"/>
          <w:shd w:val="clear" w:color="auto" w:fill="FFFFFF"/>
        </w:rPr>
        <w:t xml:space="preserve"> th</w:t>
      </w:r>
      <w:r w:rsidR="0032387B" w:rsidRPr="00DE4629">
        <w:rPr>
          <w:rFonts w:cs="Arial"/>
          <w:color w:val="000000"/>
          <w:shd w:val="clear" w:color="auto" w:fill="FFFFFF"/>
        </w:rPr>
        <w:t xml:space="preserve">at subdivision (d) </w:t>
      </w:r>
      <w:r w:rsidRPr="00DE4629">
        <w:rPr>
          <w:rFonts w:cs="Arial"/>
          <w:color w:val="000000"/>
          <w:shd w:val="clear" w:color="auto" w:fill="FFFFFF"/>
        </w:rPr>
        <w:t xml:space="preserve">did not </w:t>
      </w:r>
      <w:r w:rsidR="000064A8" w:rsidRPr="00DE4629">
        <w:rPr>
          <w:rFonts w:cs="Arial"/>
          <w:color w:val="000000"/>
          <w:shd w:val="clear" w:color="auto" w:fill="FFFFFF"/>
        </w:rPr>
        <w:t xml:space="preserve">apply </w:t>
      </w:r>
      <w:r w:rsidR="0032387B" w:rsidRPr="00DE4629">
        <w:rPr>
          <w:rFonts w:cs="Arial"/>
          <w:color w:val="000000"/>
          <w:shd w:val="clear" w:color="auto" w:fill="FFFFFF"/>
        </w:rPr>
        <w:t xml:space="preserve">to the parcels at issue </w:t>
      </w:r>
      <w:r w:rsidRPr="00DE4629">
        <w:rPr>
          <w:rFonts w:cs="Arial"/>
          <w:color w:val="000000"/>
          <w:shd w:val="clear" w:color="auto" w:fill="FFFFFF"/>
        </w:rPr>
        <w:t xml:space="preserve">because prior to 1893 there </w:t>
      </w:r>
      <w:r w:rsidR="00961AFB" w:rsidRPr="00DE4629">
        <w:rPr>
          <w:rFonts w:cs="Arial"/>
          <w:color w:val="000000"/>
          <w:shd w:val="clear" w:color="auto" w:fill="FFFFFF"/>
        </w:rPr>
        <w:t>“</w:t>
      </w:r>
      <w:r w:rsidRPr="00DE4629">
        <w:rPr>
          <w:rFonts w:cs="Arial"/>
          <w:color w:val="000000"/>
          <w:shd w:val="clear" w:color="auto" w:fill="FFFFFF"/>
        </w:rPr>
        <w:t>were no laws regulating the creation of subdivisions</w:t>
      </w:r>
      <w:r w:rsidR="00961AFB" w:rsidRPr="00DE4629">
        <w:rPr>
          <w:rFonts w:cs="Arial"/>
          <w:color w:val="000000"/>
          <w:shd w:val="clear" w:color="auto" w:fill="FFFFFF"/>
        </w:rPr>
        <w:t>”</w:t>
      </w:r>
      <w:r w:rsidR="000064A8" w:rsidRPr="00DE4629">
        <w:rPr>
          <w:rFonts w:cs="Arial"/>
          <w:color w:val="000000"/>
          <w:shd w:val="clear" w:color="auto" w:fill="FFFFFF"/>
        </w:rPr>
        <w:t xml:space="preserve"> </w:t>
      </w:r>
      <w:r w:rsidR="007F302A" w:rsidRPr="00DE4629">
        <w:rPr>
          <w:rFonts w:cs="Arial"/>
          <w:color w:val="000000"/>
          <w:shd w:val="clear" w:color="auto" w:fill="FFFFFF"/>
        </w:rPr>
        <w:t>from which to be exempt</w:t>
      </w:r>
      <w:r w:rsidR="002B5092" w:rsidRPr="00DE4629">
        <w:rPr>
          <w:rFonts w:cs="Arial"/>
          <w:color w:val="000000"/>
          <w:shd w:val="clear" w:color="auto" w:fill="FFFFFF"/>
        </w:rPr>
        <w:t>,</w:t>
      </w:r>
      <w:r w:rsidR="004A78D5" w:rsidRPr="00DE4629">
        <w:rPr>
          <w:rFonts w:cs="Arial"/>
          <w:color w:val="000000"/>
          <w:shd w:val="clear" w:color="auto" w:fill="FFFFFF"/>
        </w:rPr>
        <w:t xml:space="preserve"> </w:t>
      </w:r>
      <w:r w:rsidR="00C172A7" w:rsidRPr="00DE4629">
        <w:rPr>
          <w:rFonts w:cs="Arial"/>
          <w:color w:val="000000"/>
          <w:shd w:val="clear" w:color="auto" w:fill="FFFFFF"/>
        </w:rPr>
        <w:t xml:space="preserve">the court went on </w:t>
      </w:r>
      <w:r w:rsidR="004E336C" w:rsidRPr="00DE4629">
        <w:rPr>
          <w:rFonts w:cs="Arial"/>
          <w:color w:val="000000"/>
          <w:shd w:val="clear" w:color="auto" w:fill="FFFFFF"/>
        </w:rPr>
        <w:t xml:space="preserve">to imply, </w:t>
      </w:r>
      <w:r w:rsidR="000064A8" w:rsidRPr="00DE4629">
        <w:rPr>
          <w:rFonts w:cs="Arial"/>
          <w:color w:val="000000"/>
          <w:shd w:val="clear" w:color="auto" w:fill="FFFFFF"/>
        </w:rPr>
        <w:t>but did not squarely hold, that section 66499.30, subd</w:t>
      </w:r>
      <w:r w:rsidR="00044A13" w:rsidRPr="00DE4629">
        <w:rPr>
          <w:rFonts w:cs="Arial"/>
          <w:color w:val="000000"/>
          <w:shd w:val="clear" w:color="auto" w:fill="FFFFFF"/>
        </w:rPr>
        <w:t>ivision</w:t>
      </w:r>
      <w:r w:rsidR="000064A8" w:rsidRPr="00DE4629">
        <w:rPr>
          <w:rFonts w:cs="Arial"/>
          <w:color w:val="000000"/>
          <w:shd w:val="clear" w:color="auto" w:fill="FFFFFF"/>
        </w:rPr>
        <w:t xml:space="preserve"> (d) ex</w:t>
      </w:r>
      <w:r w:rsidR="007F302A" w:rsidRPr="00DE4629">
        <w:rPr>
          <w:rFonts w:cs="Arial"/>
          <w:color w:val="000000"/>
          <w:shd w:val="clear" w:color="auto" w:fill="FFFFFF"/>
        </w:rPr>
        <w:t xml:space="preserve">cused </w:t>
      </w:r>
      <w:r w:rsidR="000064A8" w:rsidRPr="00DE4629">
        <w:rPr>
          <w:rFonts w:cs="Arial"/>
          <w:color w:val="000000"/>
          <w:shd w:val="clear" w:color="auto" w:fill="FFFFFF"/>
        </w:rPr>
        <w:t>the plaintiff from compl</w:t>
      </w:r>
      <w:r w:rsidR="00A66221" w:rsidRPr="00DE4629">
        <w:rPr>
          <w:rFonts w:cs="Arial"/>
          <w:color w:val="000000"/>
          <w:shd w:val="clear" w:color="auto" w:fill="FFFFFF"/>
        </w:rPr>
        <w:t>ying</w:t>
      </w:r>
      <w:r w:rsidR="000064A8" w:rsidRPr="00DE4629">
        <w:rPr>
          <w:rFonts w:cs="Arial"/>
          <w:color w:val="000000"/>
          <w:shd w:val="clear" w:color="auto" w:fill="FFFFFF"/>
        </w:rPr>
        <w:t xml:space="preserve"> with parcel map requirements.</w:t>
      </w:r>
      <w:r>
        <w:rPr>
          <w:rStyle w:val="FootnoteReference"/>
          <w:rFonts w:eastAsia="Times New Roman" w:cs="Arial"/>
          <w:color w:val="000000"/>
        </w:rPr>
        <w:footnoteReference w:id="19"/>
      </w:r>
      <w:r w:rsidR="000064A8" w:rsidRPr="00DE4629">
        <w:rPr>
          <w:rFonts w:cs="Arial"/>
          <w:color w:val="000000"/>
          <w:shd w:val="clear" w:color="auto" w:fill="FFFFFF"/>
        </w:rPr>
        <w:t xml:space="preserve">  (</w:t>
      </w:r>
      <w:r w:rsidR="00833692" w:rsidRPr="00DE4629">
        <w:rPr>
          <w:rFonts w:cs="Arial"/>
          <w:i/>
          <w:iCs/>
          <w:color w:val="000000"/>
          <w:shd w:val="clear" w:color="auto" w:fill="FFFFFF"/>
        </w:rPr>
        <w:t>Lakeview,</w:t>
      </w:r>
      <w:r w:rsidR="000064A8" w:rsidRPr="00DE4629">
        <w:rPr>
          <w:rFonts w:cs="Arial"/>
          <w:i/>
          <w:iCs/>
          <w:color w:val="000000"/>
          <w:shd w:val="clear" w:color="auto" w:fill="FFFFFF"/>
        </w:rPr>
        <w:t xml:space="preserve"> </w:t>
      </w:r>
      <w:r w:rsidR="000064A8" w:rsidRPr="00DE4629">
        <w:rPr>
          <w:rFonts w:cs="Arial"/>
          <w:color w:val="000000"/>
          <w:shd w:val="clear" w:color="auto" w:fill="FFFFFF"/>
        </w:rPr>
        <w:t>at p</w:t>
      </w:r>
      <w:r w:rsidR="00C172A7" w:rsidRPr="00DE4629">
        <w:rPr>
          <w:rFonts w:cs="Arial"/>
          <w:color w:val="000000"/>
          <w:shd w:val="clear" w:color="auto" w:fill="FFFFFF"/>
        </w:rPr>
        <w:t>p</w:t>
      </w:r>
      <w:r w:rsidR="000064A8" w:rsidRPr="00DE4629">
        <w:rPr>
          <w:rFonts w:cs="Arial"/>
          <w:color w:val="000000"/>
          <w:shd w:val="clear" w:color="auto" w:fill="FFFFFF"/>
        </w:rPr>
        <w:t xml:space="preserve">. </w:t>
      </w:r>
      <w:r w:rsidR="00C172A7" w:rsidRPr="00DE4629">
        <w:rPr>
          <w:rFonts w:cs="Arial"/>
          <w:color w:val="000000"/>
          <w:shd w:val="clear" w:color="auto" w:fill="FFFFFF"/>
        </w:rPr>
        <w:t>598</w:t>
      </w:r>
      <w:r w:rsidR="00133029" w:rsidRPr="00DE4629">
        <w:t>–</w:t>
      </w:r>
      <w:r w:rsidR="000064A8" w:rsidRPr="00DE4629">
        <w:rPr>
          <w:rFonts w:cs="Arial"/>
          <w:color w:val="000000"/>
          <w:shd w:val="clear" w:color="auto" w:fill="FFFFFF"/>
        </w:rPr>
        <w:t>599.)</w:t>
      </w:r>
    </w:p>
    <w:p w14:paraId="7191ED99" w14:textId="776EAFCE" w:rsidR="007F302A" w:rsidRPr="00DE4629" w:rsidRDefault="00CA5748" w:rsidP="007F302A">
      <w:pPr>
        <w:spacing w:line="360" w:lineRule="auto"/>
        <w:rPr>
          <w:rFonts w:cs="Arial"/>
          <w:color w:val="000000"/>
          <w:shd w:val="clear" w:color="auto" w:fill="FFFFFF"/>
        </w:rPr>
      </w:pPr>
      <w:r w:rsidRPr="00DE4629">
        <w:rPr>
          <w:rFonts w:cs="Arial"/>
          <w:color w:val="000000"/>
          <w:shd w:val="clear" w:color="auto" w:fill="FFFFFF"/>
        </w:rPr>
        <w:tab/>
        <w:t xml:space="preserve">The court </w:t>
      </w:r>
      <w:r w:rsidR="0032387B" w:rsidRPr="00DE4629">
        <w:rPr>
          <w:rFonts w:cs="Arial"/>
          <w:color w:val="000000"/>
          <w:shd w:val="clear" w:color="auto" w:fill="FFFFFF"/>
        </w:rPr>
        <w:t xml:space="preserve">next discussed </w:t>
      </w:r>
      <w:r w:rsidR="00EF4D8E" w:rsidRPr="00DE4629">
        <w:rPr>
          <w:rFonts w:cs="Arial"/>
          <w:color w:val="000000"/>
          <w:shd w:val="clear" w:color="auto" w:fill="FFFFFF"/>
        </w:rPr>
        <w:t xml:space="preserve">the </w:t>
      </w:r>
      <w:r w:rsidR="00E5750B" w:rsidRPr="00DE4629">
        <w:rPr>
          <w:rFonts w:cs="Arial"/>
          <w:color w:val="000000"/>
          <w:shd w:val="clear" w:color="auto" w:fill="FFFFFF"/>
        </w:rPr>
        <w:t xml:space="preserve">statute </w:t>
      </w:r>
      <w:r w:rsidR="00A66221" w:rsidRPr="00DE4629">
        <w:rPr>
          <w:rFonts w:cs="Arial"/>
          <w:color w:val="000000"/>
          <w:shd w:val="clear" w:color="auto" w:fill="FFFFFF"/>
        </w:rPr>
        <w:t>that concerns us</w:t>
      </w:r>
      <w:r w:rsidR="00E5750B" w:rsidRPr="00DE4629">
        <w:rPr>
          <w:rFonts w:cs="Arial"/>
          <w:color w:val="000000"/>
          <w:shd w:val="clear" w:color="auto" w:fill="FFFFFF"/>
        </w:rPr>
        <w:t xml:space="preserve">, </w:t>
      </w:r>
      <w:r w:rsidR="006208A1" w:rsidRPr="00DE4629">
        <w:rPr>
          <w:rFonts w:cs="Arial"/>
          <w:color w:val="000000"/>
          <w:shd w:val="clear" w:color="auto" w:fill="FFFFFF"/>
        </w:rPr>
        <w:t>section 66412.6</w:t>
      </w:r>
      <w:r w:rsidR="00A66221" w:rsidRPr="00DE4629">
        <w:rPr>
          <w:rFonts w:cs="Arial"/>
          <w:color w:val="000000"/>
          <w:shd w:val="clear" w:color="auto" w:fill="FFFFFF"/>
        </w:rPr>
        <w:t xml:space="preserve">, which </w:t>
      </w:r>
      <w:r w:rsidR="002D7A16" w:rsidRPr="00DE4629">
        <w:rPr>
          <w:rFonts w:cs="Arial"/>
          <w:color w:val="000000"/>
          <w:shd w:val="clear" w:color="auto" w:fill="FFFFFF"/>
        </w:rPr>
        <w:t xml:space="preserve">at the time </w:t>
      </w:r>
      <w:r w:rsidR="00497F5D" w:rsidRPr="00DE4629">
        <w:rPr>
          <w:rFonts w:cs="Arial"/>
          <w:color w:val="000000"/>
          <w:shd w:val="clear" w:color="auto" w:fill="FFFFFF"/>
        </w:rPr>
        <w:t xml:space="preserve">in question </w:t>
      </w:r>
      <w:r w:rsidR="00A66221" w:rsidRPr="00DE4629">
        <w:rPr>
          <w:rFonts w:cs="Arial"/>
          <w:color w:val="000000"/>
          <w:shd w:val="clear" w:color="auto" w:fill="FFFFFF"/>
        </w:rPr>
        <w:t xml:space="preserve">extended the presumption of </w:t>
      </w:r>
      <w:r w:rsidR="009F5EA2" w:rsidRPr="00DE4629">
        <w:rPr>
          <w:rFonts w:cs="Arial"/>
          <w:color w:val="000000"/>
          <w:shd w:val="clear" w:color="auto" w:fill="FFFFFF"/>
        </w:rPr>
        <w:t>legality</w:t>
      </w:r>
      <w:r w:rsidR="00A66221" w:rsidRPr="00DE4629">
        <w:rPr>
          <w:rFonts w:cs="Arial"/>
          <w:color w:val="000000"/>
          <w:shd w:val="clear" w:color="auto" w:fill="FFFFFF"/>
        </w:rPr>
        <w:t xml:space="preserve"> to any parcel </w:t>
      </w:r>
      <w:proofErr w:type="gramStart"/>
      <w:r w:rsidR="000064A8" w:rsidRPr="00DE4629">
        <w:rPr>
          <w:rFonts w:cs="Arial"/>
          <w:color w:val="000000"/>
          <w:shd w:val="clear" w:color="auto" w:fill="FFFFFF"/>
        </w:rPr>
        <w:t>“</w:t>
      </w:r>
      <w:r w:rsidR="004A78D5" w:rsidRPr="00DE4629">
        <w:rPr>
          <w:rFonts w:cs="Arial"/>
          <w:color w:val="000000"/>
          <w:shd w:val="clear" w:color="auto" w:fill="FFFFFF"/>
        </w:rPr>
        <w:t xml:space="preserve"> ‘</w:t>
      </w:r>
      <w:proofErr w:type="gramEnd"/>
      <w:r w:rsidR="000064A8" w:rsidRPr="00DE4629">
        <w:rPr>
          <w:rFonts w:cs="Arial"/>
          <w:color w:val="000000"/>
          <w:shd w:val="clear" w:color="auto" w:fill="FFFFFF"/>
        </w:rPr>
        <w:t xml:space="preserve">if at the time of the creation of the parcel there was compliance with any local ordinance or there was </w:t>
      </w:r>
      <w:r w:rsidR="000064A8" w:rsidRPr="00DE4629">
        <w:rPr>
          <w:rFonts w:cs="Arial"/>
          <w:i/>
          <w:iCs/>
          <w:color w:val="000000"/>
          <w:shd w:val="clear" w:color="auto" w:fill="FFFFFF"/>
        </w:rPr>
        <w:t>no local ordinance in effect</w:t>
      </w:r>
      <w:r w:rsidR="000064A8" w:rsidRPr="00DE4629">
        <w:rPr>
          <w:rFonts w:cs="Arial"/>
          <w:color w:val="000000"/>
          <w:shd w:val="clear" w:color="auto" w:fill="FFFFFF"/>
        </w:rPr>
        <w:t xml:space="preserve"> which regulated divisions of land creating fewer than five parcels.</w:t>
      </w:r>
      <w:r w:rsidR="004A78D5" w:rsidRPr="00DE4629">
        <w:rPr>
          <w:rFonts w:cs="Arial"/>
          <w:color w:val="000000"/>
          <w:shd w:val="clear" w:color="auto" w:fill="FFFFFF"/>
        </w:rPr>
        <w:t xml:space="preserve">’ </w:t>
      </w:r>
      <w:r w:rsidR="000064A8" w:rsidRPr="00DE4629">
        <w:rPr>
          <w:rFonts w:cs="Arial"/>
          <w:color w:val="000000"/>
          <w:shd w:val="clear" w:color="auto" w:fill="FFFFFF"/>
        </w:rPr>
        <w:t>”  (</w:t>
      </w:r>
      <w:r w:rsidR="00833692" w:rsidRPr="00DE4629">
        <w:rPr>
          <w:i/>
          <w:iCs/>
        </w:rPr>
        <w:t>Lakeview</w:t>
      </w:r>
      <w:r w:rsidR="00833692" w:rsidRPr="00DE4629">
        <w:t xml:space="preserve">, </w:t>
      </w:r>
      <w:r w:rsidR="00833692" w:rsidRPr="00DE4629">
        <w:rPr>
          <w:i/>
          <w:iCs/>
        </w:rPr>
        <w:t>supra</w:t>
      </w:r>
      <w:r w:rsidR="00833692" w:rsidRPr="00DE4629">
        <w:t xml:space="preserve">, 27 Cal.App.4th at </w:t>
      </w:r>
      <w:r w:rsidR="000064A8" w:rsidRPr="00DE4629">
        <w:rPr>
          <w:rFonts w:cs="Arial"/>
          <w:color w:val="000000"/>
          <w:shd w:val="clear" w:color="auto" w:fill="FFFFFF"/>
        </w:rPr>
        <w:t>p. 599</w:t>
      </w:r>
      <w:r w:rsidRPr="00DE4629">
        <w:rPr>
          <w:rFonts w:cs="Arial"/>
          <w:color w:val="000000"/>
          <w:shd w:val="clear" w:color="auto" w:fill="FFFFFF"/>
        </w:rPr>
        <w:t>, italics added</w:t>
      </w:r>
      <w:r w:rsidR="000064A8" w:rsidRPr="00DE4629">
        <w:rPr>
          <w:rFonts w:cs="Arial"/>
          <w:color w:val="000000"/>
          <w:shd w:val="clear" w:color="auto" w:fill="FFFFFF"/>
        </w:rPr>
        <w:t xml:space="preserve">.)  </w:t>
      </w:r>
      <w:r w:rsidR="006208A1" w:rsidRPr="00DE4629">
        <w:rPr>
          <w:rFonts w:cs="Arial"/>
          <w:color w:val="000000"/>
          <w:shd w:val="clear" w:color="auto" w:fill="FFFFFF"/>
        </w:rPr>
        <w:t>The court held the fewer</w:t>
      </w:r>
      <w:r w:rsidR="002D7A16" w:rsidRPr="00DE4629">
        <w:rPr>
          <w:rFonts w:cs="Arial"/>
          <w:color w:val="000000"/>
          <w:shd w:val="clear" w:color="auto" w:fill="FFFFFF"/>
        </w:rPr>
        <w:t>-</w:t>
      </w:r>
      <w:r w:rsidR="006208A1" w:rsidRPr="00DE4629">
        <w:rPr>
          <w:rFonts w:cs="Arial"/>
          <w:color w:val="000000"/>
          <w:shd w:val="clear" w:color="auto" w:fill="FFFFFF"/>
        </w:rPr>
        <w:t>than</w:t>
      </w:r>
      <w:r w:rsidR="002D7A16" w:rsidRPr="00DE4629">
        <w:rPr>
          <w:rFonts w:cs="Arial"/>
          <w:color w:val="000000"/>
          <w:shd w:val="clear" w:color="auto" w:fill="FFFFFF"/>
        </w:rPr>
        <w:t>-</w:t>
      </w:r>
      <w:r w:rsidR="006208A1" w:rsidRPr="00DE4629">
        <w:rPr>
          <w:rFonts w:cs="Arial"/>
          <w:color w:val="000000"/>
          <w:shd w:val="clear" w:color="auto" w:fill="FFFFFF"/>
        </w:rPr>
        <w:t xml:space="preserve">five presumption of </w:t>
      </w:r>
      <w:r w:rsidR="009F5EA2" w:rsidRPr="00DE4629">
        <w:rPr>
          <w:rFonts w:cs="Arial"/>
          <w:color w:val="000000"/>
          <w:shd w:val="clear" w:color="auto" w:fill="FFFFFF"/>
        </w:rPr>
        <w:t>legality</w:t>
      </w:r>
      <w:r w:rsidR="006208A1" w:rsidRPr="00DE4629">
        <w:rPr>
          <w:rFonts w:cs="Arial"/>
          <w:color w:val="000000"/>
          <w:shd w:val="clear" w:color="auto" w:fill="FFFFFF"/>
        </w:rPr>
        <w:t xml:space="preserve"> applied</w:t>
      </w:r>
      <w:r w:rsidR="00A66221" w:rsidRPr="00DE4629">
        <w:rPr>
          <w:rFonts w:cs="Arial"/>
          <w:color w:val="000000"/>
          <w:shd w:val="clear" w:color="auto" w:fill="FFFFFF"/>
        </w:rPr>
        <w:t xml:space="preserve"> to the lots at issue</w:t>
      </w:r>
      <w:r w:rsidR="006208A1" w:rsidRPr="00DE4629">
        <w:rPr>
          <w:rFonts w:cs="Arial"/>
          <w:color w:val="000000"/>
          <w:shd w:val="clear" w:color="auto" w:fill="FFFFFF"/>
        </w:rPr>
        <w:t xml:space="preserve">.  </w:t>
      </w:r>
      <w:r w:rsidR="000064A8" w:rsidRPr="00DE4629">
        <w:rPr>
          <w:rFonts w:cs="Arial"/>
          <w:color w:val="000000"/>
          <w:shd w:val="clear" w:color="auto" w:fill="FFFFFF"/>
        </w:rPr>
        <w:t xml:space="preserve">“As the three parcels herein at issue were created prior to the 1893 enactment of any laws regulating the creation of subdivisions, the conclusive presumption of Government Code section 66412.6, subdivision (a) applies, and we must presume that these three parcels were </w:t>
      </w:r>
      <w:r w:rsidR="006208A1" w:rsidRPr="00DE4629">
        <w:rPr>
          <w:rFonts w:cs="Arial"/>
          <w:color w:val="000000"/>
          <w:shd w:val="clear" w:color="auto" w:fill="FFFFFF"/>
        </w:rPr>
        <w:t>‘</w:t>
      </w:r>
      <w:r w:rsidR="000064A8" w:rsidRPr="00DE4629">
        <w:rPr>
          <w:rFonts w:cs="Arial"/>
          <w:color w:val="000000"/>
          <w:shd w:val="clear" w:color="auto" w:fill="FFFFFF"/>
        </w:rPr>
        <w:t>lawfully created.</w:t>
      </w:r>
      <w:proofErr w:type="gramStart"/>
      <w:r w:rsidR="006208A1" w:rsidRPr="00DE4629">
        <w:rPr>
          <w:rFonts w:cs="Arial"/>
          <w:color w:val="000000"/>
          <w:shd w:val="clear" w:color="auto" w:fill="FFFFFF"/>
        </w:rPr>
        <w:t>’ ”</w:t>
      </w:r>
      <w:proofErr w:type="gramEnd"/>
      <w:r w:rsidR="00FB3E28" w:rsidRPr="00DE4629">
        <w:rPr>
          <w:rFonts w:cs="Arial"/>
          <w:color w:val="000000"/>
          <w:shd w:val="clear" w:color="auto" w:fill="FFFFFF"/>
        </w:rPr>
        <w:t xml:space="preserve">  (</w:t>
      </w:r>
      <w:r w:rsidR="00FB3E28" w:rsidRPr="00DE4629">
        <w:rPr>
          <w:rFonts w:cs="Arial"/>
          <w:i/>
          <w:iCs/>
          <w:color w:val="000000"/>
          <w:shd w:val="clear" w:color="auto" w:fill="FFFFFF"/>
        </w:rPr>
        <w:t>Ibid.</w:t>
      </w:r>
      <w:r w:rsidR="00FB3E28" w:rsidRPr="00DE4629">
        <w:rPr>
          <w:rFonts w:cs="Arial"/>
          <w:color w:val="000000"/>
          <w:shd w:val="clear" w:color="auto" w:fill="FFFFFF"/>
        </w:rPr>
        <w:t>)</w:t>
      </w:r>
      <w:r w:rsidR="00FB3E28" w:rsidRPr="00DE4629">
        <w:rPr>
          <w:rFonts w:cs="Arial"/>
          <w:i/>
          <w:iCs/>
          <w:color w:val="000000"/>
          <w:shd w:val="clear" w:color="auto" w:fill="FFFFFF"/>
        </w:rPr>
        <w:t xml:space="preserve"> </w:t>
      </w:r>
      <w:r w:rsidR="004E336C" w:rsidRPr="00DE4629">
        <w:rPr>
          <w:rFonts w:cs="Arial"/>
          <w:color w:val="000000"/>
          <w:shd w:val="clear" w:color="auto" w:fill="FFFFFF"/>
        </w:rPr>
        <w:t xml:space="preserve">    </w:t>
      </w:r>
    </w:p>
    <w:p w14:paraId="5E1E08D8" w14:textId="1C14A54D" w:rsidR="007F302A" w:rsidRPr="00DE4629" w:rsidRDefault="00CA5748" w:rsidP="002A6B67">
      <w:pPr>
        <w:spacing w:line="360" w:lineRule="auto"/>
        <w:rPr>
          <w:rFonts w:eastAsia="Times New Roman" w:cs="Arial"/>
          <w:color w:val="000000"/>
        </w:rPr>
      </w:pPr>
      <w:r w:rsidRPr="00DE4629">
        <w:rPr>
          <w:rFonts w:cs="Arial"/>
          <w:color w:val="000000"/>
          <w:shd w:val="clear" w:color="auto" w:fill="FFFFFF"/>
        </w:rPr>
        <w:tab/>
        <w:t xml:space="preserve">The court </w:t>
      </w:r>
      <w:r w:rsidR="00E5750B" w:rsidRPr="00DE4629">
        <w:rPr>
          <w:rFonts w:cs="Arial"/>
          <w:color w:val="000000"/>
          <w:shd w:val="clear" w:color="auto" w:fill="FFFFFF"/>
        </w:rPr>
        <w:t xml:space="preserve">went on to address </w:t>
      </w:r>
      <w:r w:rsidRPr="00DE4629">
        <w:rPr>
          <w:rFonts w:cs="Arial"/>
          <w:color w:val="000000"/>
          <w:shd w:val="clear" w:color="auto" w:fill="FFFFFF"/>
        </w:rPr>
        <w:t>the county’s claim that the three parcels had</w:t>
      </w:r>
      <w:r w:rsidR="00E5750B" w:rsidRPr="00DE4629">
        <w:rPr>
          <w:rFonts w:cs="Arial"/>
          <w:color w:val="000000"/>
          <w:shd w:val="clear" w:color="auto" w:fill="FFFFFF"/>
        </w:rPr>
        <w:t>, in any case,</w:t>
      </w:r>
      <w:r w:rsidRPr="00DE4629">
        <w:rPr>
          <w:rFonts w:cs="Arial"/>
          <w:color w:val="000000"/>
          <w:shd w:val="clear" w:color="auto" w:fill="FFFFFF"/>
        </w:rPr>
        <w:t xml:space="preserve"> </w:t>
      </w:r>
      <w:proofErr w:type="gramStart"/>
      <w:r w:rsidRPr="00DE4629">
        <w:rPr>
          <w:rFonts w:cs="Arial"/>
          <w:color w:val="000000"/>
          <w:shd w:val="clear" w:color="auto" w:fill="FFFFFF"/>
        </w:rPr>
        <w:t>“</w:t>
      </w:r>
      <w:r w:rsidR="008E02B4" w:rsidRPr="00DE4629">
        <w:rPr>
          <w:rFonts w:cs="Arial"/>
          <w:color w:val="000000"/>
          <w:shd w:val="clear" w:color="auto" w:fill="FFFFFF"/>
        </w:rPr>
        <w:t xml:space="preserve"> ‘</w:t>
      </w:r>
      <w:proofErr w:type="gramEnd"/>
      <w:r w:rsidRPr="00DE4629">
        <w:rPr>
          <w:rFonts w:cs="Arial"/>
          <w:color w:val="000000"/>
          <w:shd w:val="clear" w:color="auto" w:fill="FFFFFF"/>
        </w:rPr>
        <w:t>merged</w:t>
      </w:r>
      <w:r w:rsidR="008E02B4" w:rsidRPr="00DE4629">
        <w:rPr>
          <w:rFonts w:cs="Arial"/>
          <w:color w:val="000000"/>
          <w:shd w:val="clear" w:color="auto" w:fill="FFFFFF"/>
        </w:rPr>
        <w:t xml:space="preserve">’ </w:t>
      </w:r>
      <w:r w:rsidRPr="00DE4629">
        <w:rPr>
          <w:rFonts w:cs="Arial"/>
          <w:color w:val="000000"/>
          <w:shd w:val="clear" w:color="auto" w:fill="FFFFFF"/>
        </w:rPr>
        <w:t>” with “contiguous land by reason of common ownership sometime prior to [the] plaintiff’s acquisition of title.”  (</w:t>
      </w:r>
      <w:r w:rsidR="00833692" w:rsidRPr="00DE4629">
        <w:rPr>
          <w:i/>
          <w:iCs/>
        </w:rPr>
        <w:t>Lakeview</w:t>
      </w:r>
      <w:r w:rsidR="00833692" w:rsidRPr="00DE4629">
        <w:t xml:space="preserve">, </w:t>
      </w:r>
      <w:r w:rsidR="00833692" w:rsidRPr="00DE4629">
        <w:rPr>
          <w:i/>
          <w:iCs/>
        </w:rPr>
        <w:lastRenderedPageBreak/>
        <w:t>supra</w:t>
      </w:r>
      <w:r w:rsidR="00833692" w:rsidRPr="00DE4629">
        <w:t xml:space="preserve">, 27 Cal.App.4th at </w:t>
      </w:r>
      <w:r w:rsidRPr="00DE4629">
        <w:rPr>
          <w:rFonts w:cs="Arial"/>
          <w:color w:val="000000"/>
          <w:shd w:val="clear" w:color="auto" w:fill="FFFFFF"/>
        </w:rPr>
        <w:t>pp. 599</w:t>
      </w:r>
      <w:r w:rsidR="00133029" w:rsidRPr="00DE4629">
        <w:t>–</w:t>
      </w:r>
      <w:r w:rsidRPr="00DE4629">
        <w:rPr>
          <w:rFonts w:cs="Arial"/>
          <w:color w:val="000000"/>
          <w:shd w:val="clear" w:color="auto" w:fill="FFFFFF"/>
        </w:rPr>
        <w:t xml:space="preserve">600.)  </w:t>
      </w:r>
      <w:r w:rsidR="0032387B" w:rsidRPr="00DE4629">
        <w:rPr>
          <w:rFonts w:cs="Arial"/>
          <w:color w:val="000000"/>
          <w:shd w:val="clear" w:color="auto" w:fill="FFFFFF"/>
        </w:rPr>
        <w:t xml:space="preserve">With respect to this point, the court cited to </w:t>
      </w:r>
      <w:r w:rsidRPr="00DE4629">
        <w:rPr>
          <w:rFonts w:cs="Arial"/>
          <w:color w:val="000000"/>
          <w:shd w:val="clear" w:color="auto" w:fill="FFFFFF"/>
        </w:rPr>
        <w:t xml:space="preserve">section 66451.10 which </w:t>
      </w:r>
      <w:r w:rsidR="00E5750B" w:rsidRPr="00DE4629">
        <w:rPr>
          <w:rFonts w:cs="Arial"/>
          <w:color w:val="000000"/>
          <w:shd w:val="clear" w:color="auto" w:fill="FFFFFF"/>
        </w:rPr>
        <w:t xml:space="preserve">then </w:t>
      </w:r>
      <w:r w:rsidRPr="00DE4629">
        <w:rPr>
          <w:rFonts w:cs="Arial"/>
          <w:color w:val="000000"/>
          <w:shd w:val="clear" w:color="auto" w:fill="FFFFFF"/>
        </w:rPr>
        <w:t xml:space="preserve">provided, </w:t>
      </w:r>
      <w:r w:rsidRPr="00DE4629">
        <w:rPr>
          <w:rFonts w:eastAsia="Times New Roman" w:cs="Arial"/>
          <w:color w:val="000000"/>
        </w:rPr>
        <w:t xml:space="preserve">“ ‘[T]wo or more contiguous parcels or units of land which have been created under the provisions of this division, or any prior law regulating the division of land, or a local ordinance enacted pursuant thereto, or which were </w:t>
      </w:r>
      <w:r w:rsidRPr="00DE4629">
        <w:rPr>
          <w:rFonts w:eastAsia="Times New Roman" w:cs="Arial"/>
          <w:i/>
          <w:iCs/>
          <w:color w:val="000000"/>
        </w:rPr>
        <w:t>not subject to</w:t>
      </w:r>
      <w:r w:rsidRPr="00DE4629">
        <w:rPr>
          <w:rFonts w:eastAsia="Times New Roman" w:cs="Arial"/>
          <w:color w:val="000000"/>
        </w:rPr>
        <w:t xml:space="preserve"> those provisions at</w:t>
      </w:r>
      <w:r w:rsidR="008E02B4" w:rsidRPr="00DE4629">
        <w:rPr>
          <w:rFonts w:eastAsia="Times New Roman" w:cs="Arial"/>
          <w:color w:val="000000"/>
        </w:rPr>
        <w:t xml:space="preserve"> </w:t>
      </w:r>
      <w:r w:rsidRPr="00DE4629">
        <w:rPr>
          <w:rFonts w:eastAsia="Times New Roman" w:cs="Arial"/>
          <w:color w:val="000000"/>
        </w:rPr>
        <w:t>the time of their creation, shall not be deemed merged by virtue of the fact that the contiguous parcels or units are held by the same owner</w:t>
      </w:r>
      <w:r w:rsidR="0032387B" w:rsidRPr="00DE4629">
        <w:rPr>
          <w:rFonts w:eastAsia="Times New Roman" w:cs="Arial"/>
          <w:color w:val="000000"/>
        </w:rPr>
        <w:t>. . . .</w:t>
      </w:r>
      <w:r w:rsidRPr="00DE4629">
        <w:rPr>
          <w:rFonts w:eastAsia="Times New Roman" w:cs="Arial"/>
          <w:color w:val="000000"/>
        </w:rPr>
        <w:t>’</w:t>
      </w:r>
      <w:r w:rsidR="0032387B" w:rsidRPr="00DE4629">
        <w:rPr>
          <w:rFonts w:eastAsia="Times New Roman" w:cs="Arial"/>
          <w:color w:val="000000"/>
        </w:rPr>
        <w:t xml:space="preserve"> ”</w:t>
      </w:r>
      <w:r w:rsidR="00F666E1" w:rsidRPr="00DE4629">
        <w:rPr>
          <w:rFonts w:eastAsia="Times New Roman" w:cs="Arial"/>
          <w:color w:val="000000"/>
        </w:rPr>
        <w:t xml:space="preserve"> </w:t>
      </w:r>
      <w:r w:rsidRPr="00DE4629">
        <w:rPr>
          <w:rFonts w:eastAsia="Times New Roman" w:cs="Arial"/>
          <w:color w:val="000000"/>
        </w:rPr>
        <w:t xml:space="preserve"> (</w:t>
      </w:r>
      <w:r w:rsidR="00833692" w:rsidRPr="00DE4629">
        <w:rPr>
          <w:rFonts w:eastAsia="Times New Roman" w:cs="Arial"/>
          <w:i/>
          <w:iCs/>
          <w:color w:val="000000"/>
        </w:rPr>
        <w:t>Lakeview,</w:t>
      </w:r>
      <w:r w:rsidR="0032387B" w:rsidRPr="00DE4629">
        <w:rPr>
          <w:rFonts w:eastAsia="Times New Roman" w:cs="Arial"/>
          <w:color w:val="000000"/>
        </w:rPr>
        <w:t xml:space="preserve"> at p. 600,</w:t>
      </w:r>
      <w:r w:rsidR="008E02B4" w:rsidRPr="00DE4629">
        <w:rPr>
          <w:rFonts w:eastAsia="Times New Roman" w:cs="Arial"/>
          <w:color w:val="000000"/>
        </w:rPr>
        <w:t xml:space="preserve"> italics added,</w:t>
      </w:r>
      <w:r w:rsidR="0032387B" w:rsidRPr="00DE4629">
        <w:rPr>
          <w:rFonts w:eastAsia="Times New Roman" w:cs="Arial"/>
          <w:color w:val="000000"/>
        </w:rPr>
        <w:t xml:space="preserve"> quoting </w:t>
      </w:r>
      <w:r w:rsidRPr="00DE4629">
        <w:rPr>
          <w:rFonts w:eastAsia="Times New Roman" w:cs="Arial"/>
          <w:color w:val="000000"/>
        </w:rPr>
        <w:t>§ 66451.10.)</w:t>
      </w:r>
      <w:r w:rsidR="008E02B4" w:rsidRPr="00DE4629">
        <w:rPr>
          <w:rFonts w:eastAsia="Times New Roman" w:cs="Arial"/>
          <w:color w:val="000000"/>
        </w:rPr>
        <w:t xml:space="preserve"> </w:t>
      </w:r>
      <w:r w:rsidRPr="00DE4629">
        <w:rPr>
          <w:rFonts w:eastAsia="Times New Roman" w:cs="Arial"/>
          <w:color w:val="000000"/>
        </w:rPr>
        <w:t xml:space="preserve"> </w:t>
      </w:r>
      <w:proofErr w:type="gramStart"/>
      <w:r w:rsidR="0032387B" w:rsidRPr="00DE4629">
        <w:rPr>
          <w:rFonts w:eastAsia="Times New Roman" w:cs="Arial"/>
          <w:color w:val="000000"/>
        </w:rPr>
        <w:t>“ ‘</w:t>
      </w:r>
      <w:proofErr w:type="gramEnd"/>
      <w:r w:rsidRPr="00DE4629">
        <w:rPr>
          <w:rFonts w:eastAsia="Times New Roman" w:cs="Arial"/>
          <w:color w:val="000000"/>
        </w:rPr>
        <w:t xml:space="preserve">If, when the parcels were created, no land-division provisions were in existence, the parcels necessarily </w:t>
      </w:r>
      <w:r w:rsidR="008E02B4" w:rsidRPr="00DE4629">
        <w:rPr>
          <w:rFonts w:eastAsia="Times New Roman" w:cs="Arial"/>
          <w:color w:val="000000"/>
        </w:rPr>
        <w:t>“</w:t>
      </w:r>
      <w:r w:rsidRPr="00DE4629">
        <w:rPr>
          <w:rFonts w:eastAsia="Times New Roman" w:cs="Arial"/>
          <w:color w:val="000000"/>
        </w:rPr>
        <w:t>were not subject to those provisions at the time of their creation.</w:t>
      </w:r>
      <w:r w:rsidR="008E02B4" w:rsidRPr="00DE4629">
        <w:rPr>
          <w:rFonts w:eastAsia="Times New Roman" w:cs="Arial"/>
          <w:color w:val="000000"/>
        </w:rPr>
        <w:t xml:space="preserve">” </w:t>
      </w:r>
      <w:r w:rsidRPr="00DE4629">
        <w:rPr>
          <w:rFonts w:eastAsia="Times New Roman" w:cs="Arial"/>
          <w:color w:val="000000"/>
        </w:rPr>
        <w:t>’</w:t>
      </w:r>
      <w:r w:rsidR="0032387B" w:rsidRPr="00DE4629">
        <w:rPr>
          <w:rFonts w:eastAsia="Times New Roman" w:cs="Arial"/>
          <w:color w:val="000000"/>
        </w:rPr>
        <w:t xml:space="preserve"> ”</w:t>
      </w:r>
      <w:r w:rsidRPr="00DE4629">
        <w:rPr>
          <w:rFonts w:eastAsia="Times New Roman" w:cs="Arial"/>
          <w:color w:val="000000"/>
        </w:rPr>
        <w:t xml:space="preserve"> </w:t>
      </w:r>
      <w:r w:rsidR="00833692" w:rsidRPr="00DE4629">
        <w:rPr>
          <w:rFonts w:eastAsia="Times New Roman" w:cs="Arial"/>
          <w:color w:val="000000"/>
        </w:rPr>
        <w:t xml:space="preserve"> (</w:t>
      </w:r>
      <w:r w:rsidR="00833692" w:rsidRPr="00DE4629">
        <w:rPr>
          <w:rFonts w:eastAsia="Times New Roman" w:cs="Arial"/>
          <w:i/>
          <w:iCs/>
          <w:color w:val="000000"/>
        </w:rPr>
        <w:t>Lakeview</w:t>
      </w:r>
      <w:r w:rsidR="00833692" w:rsidRPr="00DE4629">
        <w:rPr>
          <w:rFonts w:eastAsia="Times New Roman" w:cs="Arial"/>
          <w:color w:val="000000"/>
        </w:rPr>
        <w:t xml:space="preserve">, </w:t>
      </w:r>
      <w:r w:rsidR="0032387B" w:rsidRPr="00DE4629">
        <w:rPr>
          <w:rFonts w:eastAsia="Times New Roman" w:cs="Arial"/>
          <w:color w:val="000000"/>
        </w:rPr>
        <w:t xml:space="preserve">at p. 600, quoting </w:t>
      </w:r>
      <w:proofErr w:type="spellStart"/>
      <w:r w:rsidRPr="00DE4629">
        <w:rPr>
          <w:rFonts w:eastAsia="Times New Roman" w:cs="Arial"/>
          <w:i/>
          <w:iCs/>
          <w:color w:val="000000"/>
          <w:bdr w:val="none" w:sz="0" w:space="0" w:color="auto" w:frame="1"/>
        </w:rPr>
        <w:t>Morehart</w:t>
      </w:r>
      <w:proofErr w:type="spellEnd"/>
      <w:r w:rsidRPr="00DE4629">
        <w:rPr>
          <w:rFonts w:eastAsia="Times New Roman" w:cs="Arial"/>
          <w:i/>
          <w:iCs/>
          <w:color w:val="000000"/>
          <w:bdr w:val="none" w:sz="0" w:space="0" w:color="auto" w:frame="1"/>
        </w:rPr>
        <w:t xml:space="preserve"> v. County of Santa Barbara </w:t>
      </w:r>
      <w:r w:rsidRPr="00DE4629">
        <w:rPr>
          <w:rFonts w:eastAsia="Times New Roman" w:cs="Arial"/>
          <w:color w:val="000000"/>
          <w:bdr w:val="none" w:sz="0" w:space="0" w:color="auto" w:frame="1"/>
        </w:rPr>
        <w:t>(1994)</w:t>
      </w:r>
      <w:r w:rsidR="008E02B4" w:rsidRPr="00DE4629">
        <w:rPr>
          <w:rFonts w:eastAsia="Times New Roman" w:cs="Arial"/>
          <w:color w:val="000000"/>
        </w:rPr>
        <w:t xml:space="preserve"> </w:t>
      </w:r>
      <w:r w:rsidRPr="00DE4629">
        <w:rPr>
          <w:rFonts w:eastAsia="Times New Roman" w:cs="Arial"/>
          <w:color w:val="000000"/>
        </w:rPr>
        <w:t>7</w:t>
      </w:r>
      <w:r w:rsidR="008E02B4" w:rsidRPr="00DE4629">
        <w:rPr>
          <w:rFonts w:eastAsia="Times New Roman" w:cs="Arial"/>
          <w:color w:val="000000"/>
        </w:rPr>
        <w:t> </w:t>
      </w:r>
      <w:r w:rsidRPr="00DE4629">
        <w:rPr>
          <w:rFonts w:eastAsia="Times New Roman" w:cs="Arial"/>
          <w:color w:val="000000"/>
        </w:rPr>
        <w:t>Cal.4th 725, 761</w:t>
      </w:r>
      <w:r w:rsidR="00AD79C6" w:rsidRPr="00DE4629">
        <w:rPr>
          <w:rFonts w:eastAsia="Times New Roman" w:cs="Arial"/>
          <w:color w:val="000000"/>
        </w:rPr>
        <w:t xml:space="preserve"> (</w:t>
      </w:r>
      <w:proofErr w:type="spellStart"/>
      <w:r w:rsidR="00AD79C6" w:rsidRPr="00DE4629">
        <w:rPr>
          <w:rFonts w:eastAsia="Times New Roman" w:cs="Arial"/>
          <w:i/>
          <w:iCs/>
          <w:color w:val="000000"/>
        </w:rPr>
        <w:t>Morehart</w:t>
      </w:r>
      <w:proofErr w:type="spellEnd"/>
      <w:r w:rsidR="00AD79C6" w:rsidRPr="00DE4629">
        <w:rPr>
          <w:rFonts w:eastAsia="Times New Roman" w:cs="Arial"/>
          <w:color w:val="000000"/>
        </w:rPr>
        <w:t>)</w:t>
      </w:r>
      <w:r w:rsidR="00513CCA" w:rsidRPr="00DE4629">
        <w:rPr>
          <w:rFonts w:eastAsia="Times New Roman" w:cs="Arial"/>
          <w:color w:val="000000"/>
        </w:rPr>
        <w:t>.</w:t>
      </w:r>
      <w:r>
        <w:rPr>
          <w:rStyle w:val="FootnoteReference"/>
          <w:rFonts w:eastAsia="Times New Roman" w:cs="Arial"/>
          <w:color w:val="000000"/>
        </w:rPr>
        <w:footnoteReference w:id="20"/>
      </w:r>
      <w:r w:rsidR="0032387B" w:rsidRPr="00DE4629">
        <w:rPr>
          <w:rFonts w:eastAsia="Times New Roman" w:cs="Arial"/>
          <w:color w:val="000000"/>
        </w:rPr>
        <w:t>)</w:t>
      </w:r>
      <w:r w:rsidRPr="00DE4629">
        <w:rPr>
          <w:rFonts w:eastAsia="Times New Roman" w:cs="Arial"/>
          <w:color w:val="000000"/>
        </w:rPr>
        <w:t xml:space="preserve">  Since the “[p]</w:t>
      </w:r>
      <w:proofErr w:type="spellStart"/>
      <w:r w:rsidRPr="00DE4629">
        <w:rPr>
          <w:rFonts w:eastAsia="Times New Roman" w:cs="Arial"/>
          <w:color w:val="000000"/>
        </w:rPr>
        <w:t>laintiff’s</w:t>
      </w:r>
      <w:proofErr w:type="spellEnd"/>
      <w:r w:rsidRPr="00DE4629">
        <w:rPr>
          <w:rFonts w:eastAsia="Times New Roman" w:cs="Arial"/>
          <w:color w:val="000000"/>
        </w:rPr>
        <w:t xml:space="preserve"> three parcels were created prior to the enactment of any land-division regulations</w:t>
      </w:r>
      <w:r w:rsidR="002A6B67" w:rsidRPr="00DE4629">
        <w:rPr>
          <w:rFonts w:eastAsia="Times New Roman" w:cs="Arial"/>
          <w:color w:val="000000"/>
        </w:rPr>
        <w:t xml:space="preserve">,” </w:t>
      </w:r>
      <w:r w:rsidRPr="00DE4629">
        <w:rPr>
          <w:rFonts w:eastAsia="Times New Roman" w:cs="Arial"/>
          <w:color w:val="000000"/>
        </w:rPr>
        <w:t xml:space="preserve">under </w:t>
      </w:r>
      <w:r w:rsidR="002A6B67" w:rsidRPr="00DE4629">
        <w:rPr>
          <w:rFonts w:eastAsia="Times New Roman" w:cs="Arial"/>
          <w:color w:val="000000"/>
        </w:rPr>
        <w:t>“</w:t>
      </w:r>
      <w:r w:rsidRPr="00DE4629">
        <w:rPr>
          <w:rFonts w:eastAsia="Times New Roman" w:cs="Arial"/>
          <w:color w:val="000000"/>
        </w:rPr>
        <w:t xml:space="preserve">section 66451.10, common ownership of these parcels and contiguous land </w:t>
      </w:r>
      <w:r w:rsidRPr="00DE4629">
        <w:rPr>
          <w:rFonts w:eastAsia="Times New Roman" w:cs="Arial"/>
          <w:color w:val="000000"/>
        </w:rPr>
        <w:lastRenderedPageBreak/>
        <w:t>did not result in merger</w:t>
      </w:r>
      <w:r w:rsidR="00E5750B" w:rsidRPr="00DE4629">
        <w:rPr>
          <w:rFonts w:eastAsia="Times New Roman" w:cs="Arial"/>
          <w:color w:val="000000"/>
        </w:rPr>
        <w:t>,</w:t>
      </w:r>
      <w:r w:rsidR="002A6B67" w:rsidRPr="00DE4629">
        <w:rPr>
          <w:rFonts w:eastAsia="Times New Roman" w:cs="Arial"/>
          <w:color w:val="000000"/>
        </w:rPr>
        <w:t xml:space="preserve">” </w:t>
      </w:r>
      <w:r w:rsidR="00E5750B" w:rsidRPr="00DE4629">
        <w:rPr>
          <w:rFonts w:eastAsia="Times New Roman" w:cs="Arial"/>
          <w:color w:val="000000"/>
        </w:rPr>
        <w:t>a</w:t>
      </w:r>
      <w:r w:rsidR="00B06C36" w:rsidRPr="00DE4629">
        <w:rPr>
          <w:rFonts w:eastAsia="Times New Roman" w:cs="Arial"/>
          <w:color w:val="000000"/>
        </w:rPr>
        <w:t>nd there “</w:t>
      </w:r>
      <w:r w:rsidRPr="00DE4629">
        <w:rPr>
          <w:rFonts w:eastAsia="Times New Roman" w:cs="Arial"/>
          <w:color w:val="000000"/>
        </w:rPr>
        <w:t>was no evidence of any such statement in any prior deed in the chain of title to these parcels.</w:t>
      </w:r>
      <w:r w:rsidR="00B06C36" w:rsidRPr="00DE4629">
        <w:rPr>
          <w:rFonts w:eastAsia="Times New Roman" w:cs="Arial"/>
          <w:color w:val="000000"/>
        </w:rPr>
        <w:t>”  (</w:t>
      </w:r>
      <w:r w:rsidR="000B145D" w:rsidRPr="00DE4629">
        <w:rPr>
          <w:rFonts w:eastAsia="Times New Roman" w:cs="Arial"/>
          <w:i/>
          <w:iCs/>
          <w:color w:val="000000"/>
        </w:rPr>
        <w:t>Lakeview</w:t>
      </w:r>
      <w:r w:rsidR="000B145D" w:rsidRPr="00DE4629">
        <w:rPr>
          <w:rFonts w:eastAsia="Times New Roman" w:cs="Arial"/>
          <w:color w:val="000000"/>
        </w:rPr>
        <w:t>, at p. 600</w:t>
      </w:r>
      <w:r w:rsidR="00B06C36" w:rsidRPr="00DE4629">
        <w:rPr>
          <w:rFonts w:eastAsia="Times New Roman" w:cs="Arial"/>
          <w:i/>
          <w:iCs/>
          <w:color w:val="000000"/>
        </w:rPr>
        <w:t>.</w:t>
      </w:r>
      <w:r w:rsidR="00B06C36" w:rsidRPr="00DE4629">
        <w:rPr>
          <w:rFonts w:eastAsia="Times New Roman" w:cs="Arial"/>
          <w:color w:val="000000"/>
        </w:rPr>
        <w:t>)</w:t>
      </w:r>
    </w:p>
    <w:p w14:paraId="6692EE89" w14:textId="11D2D3B1" w:rsidR="00C94C0F" w:rsidRPr="00DE4629" w:rsidRDefault="00CA5748" w:rsidP="006F306F">
      <w:pPr>
        <w:spacing w:line="360" w:lineRule="auto"/>
        <w:rPr>
          <w:rFonts w:cs="Arial"/>
          <w:color w:val="000000"/>
          <w:shd w:val="clear" w:color="auto" w:fill="FFFFFF"/>
        </w:rPr>
      </w:pPr>
      <w:r w:rsidRPr="00DE4629">
        <w:rPr>
          <w:rFonts w:eastAsia="Times New Roman" w:cs="Arial"/>
          <w:color w:val="000000"/>
        </w:rPr>
        <w:tab/>
      </w:r>
      <w:r w:rsidR="00663A05" w:rsidRPr="00DE4629">
        <w:rPr>
          <w:rFonts w:eastAsia="Times New Roman" w:cs="Arial"/>
          <w:color w:val="000000"/>
        </w:rPr>
        <w:t>Thus, a</w:t>
      </w:r>
      <w:r w:rsidR="006F306F" w:rsidRPr="00DE4629">
        <w:rPr>
          <w:rFonts w:eastAsia="Times New Roman" w:cs="Arial"/>
          <w:color w:val="000000"/>
        </w:rPr>
        <w:t xml:space="preserve">s pertinent to this case, </w:t>
      </w:r>
      <w:r w:rsidR="006F306F" w:rsidRPr="00DE4629">
        <w:rPr>
          <w:rFonts w:eastAsia="Times New Roman" w:cs="Arial"/>
          <w:i/>
          <w:iCs/>
          <w:color w:val="000000"/>
        </w:rPr>
        <w:t xml:space="preserve">Lakeview </w:t>
      </w:r>
      <w:r w:rsidR="006F306F" w:rsidRPr="00DE4629">
        <w:rPr>
          <w:rFonts w:eastAsia="Times New Roman" w:cs="Arial"/>
          <w:color w:val="000000"/>
        </w:rPr>
        <w:t xml:space="preserve">construed the </w:t>
      </w:r>
      <w:r w:rsidR="00E5750B" w:rsidRPr="00DE4629">
        <w:rPr>
          <w:rFonts w:eastAsia="Times New Roman" w:cs="Arial"/>
          <w:color w:val="000000"/>
        </w:rPr>
        <w:t xml:space="preserve">pivotal </w:t>
      </w:r>
      <w:r w:rsidR="006F306F" w:rsidRPr="00DE4629">
        <w:rPr>
          <w:rFonts w:eastAsia="Times New Roman" w:cs="Arial"/>
          <w:color w:val="000000"/>
        </w:rPr>
        <w:t xml:space="preserve">language </w:t>
      </w:r>
      <w:r w:rsidR="00E5750B" w:rsidRPr="00DE4629">
        <w:rPr>
          <w:rFonts w:eastAsia="Times New Roman" w:cs="Arial"/>
          <w:color w:val="000000"/>
        </w:rPr>
        <w:t xml:space="preserve">of the fewer-than-five presumption of </w:t>
      </w:r>
      <w:r w:rsidR="000D5FA4" w:rsidRPr="00DE4629">
        <w:rPr>
          <w:rFonts w:eastAsia="Times New Roman" w:cs="Arial"/>
          <w:color w:val="000000"/>
        </w:rPr>
        <w:t>legality</w:t>
      </w:r>
      <w:r w:rsidR="00E5750B" w:rsidRPr="00DE4629">
        <w:rPr>
          <w:rFonts w:eastAsia="Times New Roman" w:cs="Arial"/>
          <w:color w:val="000000"/>
        </w:rPr>
        <w:t xml:space="preserve"> set forth in section 66412.6, subdivision (a)—</w:t>
      </w:r>
      <w:r w:rsidR="006F306F" w:rsidRPr="00DE4629">
        <w:rPr>
          <w:rFonts w:cs="Arial"/>
          <w:color w:val="000000"/>
          <w:shd w:val="clear" w:color="auto" w:fill="FFFFFF"/>
        </w:rPr>
        <w:t>“</w:t>
      </w:r>
      <w:r w:rsidR="006F306F" w:rsidRPr="00DE4629">
        <w:rPr>
          <w:rFonts w:cs="Arial"/>
          <w:i/>
          <w:iCs/>
          <w:color w:val="000000"/>
          <w:shd w:val="clear" w:color="auto" w:fill="FFFFFF"/>
        </w:rPr>
        <w:t>no local ordinance in effect</w:t>
      </w:r>
      <w:r w:rsidR="006F306F" w:rsidRPr="00DE4629">
        <w:rPr>
          <w:rFonts w:cs="Arial"/>
          <w:color w:val="000000"/>
          <w:shd w:val="clear" w:color="auto" w:fill="FFFFFF"/>
        </w:rPr>
        <w:t xml:space="preserve"> which regulated divisions of land creating fewer than five parcels” (</w:t>
      </w:r>
      <w:r w:rsidR="000D5FA4" w:rsidRPr="00DE4629">
        <w:rPr>
          <w:rFonts w:cs="Arial"/>
          <w:color w:val="000000"/>
          <w:shd w:val="clear" w:color="auto" w:fill="FFFFFF"/>
        </w:rPr>
        <w:t>italics added</w:t>
      </w:r>
      <w:r w:rsidR="006F306F" w:rsidRPr="00DE4629">
        <w:rPr>
          <w:rFonts w:cs="Arial"/>
          <w:color w:val="000000"/>
          <w:shd w:val="clear" w:color="auto" w:fill="FFFFFF"/>
        </w:rPr>
        <w:t>)</w:t>
      </w:r>
      <w:r w:rsidR="00E5750B" w:rsidRPr="00DE4629">
        <w:rPr>
          <w:rFonts w:cs="Arial"/>
          <w:color w:val="000000"/>
          <w:shd w:val="clear" w:color="auto" w:fill="FFFFFF"/>
        </w:rPr>
        <w:t xml:space="preserve">—as </w:t>
      </w:r>
      <w:r w:rsidR="00663A05" w:rsidRPr="00DE4629">
        <w:rPr>
          <w:rFonts w:cs="Arial"/>
          <w:color w:val="000000"/>
          <w:shd w:val="clear" w:color="auto" w:fill="FFFFFF"/>
        </w:rPr>
        <w:t xml:space="preserve">embracing </w:t>
      </w:r>
      <w:r w:rsidR="006F306F" w:rsidRPr="00DE4629">
        <w:rPr>
          <w:rFonts w:cs="Arial"/>
          <w:i/>
          <w:iCs/>
          <w:color w:val="000000"/>
          <w:shd w:val="clear" w:color="auto" w:fill="FFFFFF"/>
        </w:rPr>
        <w:t xml:space="preserve">any </w:t>
      </w:r>
      <w:r w:rsidR="006F306F" w:rsidRPr="00DE4629">
        <w:rPr>
          <w:rFonts w:cs="Arial"/>
          <w:color w:val="000000"/>
          <w:shd w:val="clear" w:color="auto" w:fill="FFFFFF"/>
        </w:rPr>
        <w:t xml:space="preserve">time </w:t>
      </w:r>
      <w:r w:rsidR="002D7A16" w:rsidRPr="00DE4629">
        <w:rPr>
          <w:rFonts w:cs="Arial"/>
          <w:color w:val="000000"/>
          <w:shd w:val="clear" w:color="auto" w:fill="FFFFFF"/>
        </w:rPr>
        <w:t xml:space="preserve">period </w:t>
      </w:r>
      <w:r w:rsidR="006F306F" w:rsidRPr="00DE4629">
        <w:rPr>
          <w:rFonts w:cs="Arial"/>
          <w:color w:val="000000"/>
          <w:shd w:val="clear" w:color="auto" w:fill="FFFFFF"/>
        </w:rPr>
        <w:t xml:space="preserve">prior to 1972 when there was “no” local regulatory provision in place, including any </w:t>
      </w:r>
      <w:r w:rsidR="002D7A16" w:rsidRPr="00DE4629">
        <w:rPr>
          <w:rFonts w:cs="Arial"/>
          <w:color w:val="000000"/>
          <w:shd w:val="clear" w:color="auto" w:fill="FFFFFF"/>
        </w:rPr>
        <w:t>period</w:t>
      </w:r>
      <w:r w:rsidR="006F306F" w:rsidRPr="00DE4629">
        <w:rPr>
          <w:rFonts w:cs="Arial"/>
          <w:color w:val="000000"/>
          <w:shd w:val="clear" w:color="auto" w:fill="FFFFFF"/>
        </w:rPr>
        <w:t xml:space="preserve"> prior to the </w:t>
      </w:r>
      <w:r w:rsidR="002D7A16" w:rsidRPr="00DE4629">
        <w:rPr>
          <w:rFonts w:cs="Arial"/>
          <w:color w:val="000000"/>
          <w:shd w:val="clear" w:color="auto" w:fill="FFFFFF"/>
        </w:rPr>
        <w:t xml:space="preserve">initial </w:t>
      </w:r>
      <w:r w:rsidR="006F306F" w:rsidRPr="00DE4629">
        <w:rPr>
          <w:rFonts w:cs="Arial"/>
          <w:color w:val="000000"/>
          <w:shd w:val="clear" w:color="auto" w:fill="FFFFFF"/>
        </w:rPr>
        <w:t>enactment of the Subdivision Map Act</w:t>
      </w:r>
      <w:r w:rsidR="00FB3E28" w:rsidRPr="00DE4629">
        <w:rPr>
          <w:rFonts w:cs="Arial"/>
          <w:color w:val="000000"/>
          <w:shd w:val="clear" w:color="auto" w:fill="FFFFFF"/>
        </w:rPr>
        <w:t xml:space="preserve"> in 1893</w:t>
      </w:r>
      <w:r w:rsidR="006F306F" w:rsidRPr="00DE4629">
        <w:rPr>
          <w:rFonts w:cs="Arial"/>
          <w:color w:val="000000"/>
          <w:shd w:val="clear" w:color="auto" w:fill="FFFFFF"/>
        </w:rPr>
        <w:t xml:space="preserve">. </w:t>
      </w:r>
      <w:r w:rsidR="00FB3E28" w:rsidRPr="00DE4629">
        <w:rPr>
          <w:rFonts w:cs="Arial"/>
          <w:color w:val="000000"/>
          <w:shd w:val="clear" w:color="auto" w:fill="FFFFFF"/>
        </w:rPr>
        <w:t xml:space="preserve"> (</w:t>
      </w:r>
      <w:r w:rsidR="00FB3E28" w:rsidRPr="00DE4629">
        <w:rPr>
          <w:rFonts w:cs="Arial"/>
          <w:i/>
          <w:iCs/>
          <w:color w:val="000000"/>
          <w:shd w:val="clear" w:color="auto" w:fill="FFFFFF"/>
        </w:rPr>
        <w:t xml:space="preserve">Lakeview, supra, </w:t>
      </w:r>
      <w:r w:rsidR="00FB3E28" w:rsidRPr="00DE4629">
        <w:rPr>
          <w:rFonts w:cs="Arial"/>
          <w:color w:val="000000"/>
          <w:shd w:val="clear" w:color="auto" w:fill="FFFFFF"/>
        </w:rPr>
        <w:t>27</w:t>
      </w:r>
      <w:r w:rsidR="005C615D" w:rsidRPr="00DE4629">
        <w:rPr>
          <w:rFonts w:cs="Arial"/>
          <w:color w:val="000000"/>
          <w:shd w:val="clear" w:color="auto" w:fill="FFFFFF"/>
        </w:rPr>
        <w:t> </w:t>
      </w:r>
      <w:r w:rsidR="00FB3E28" w:rsidRPr="00DE4629">
        <w:rPr>
          <w:rFonts w:cs="Arial"/>
          <w:color w:val="000000"/>
          <w:shd w:val="clear" w:color="auto" w:fill="FFFFFF"/>
        </w:rPr>
        <w:t>Cal.App.4th at p. 599.)</w:t>
      </w:r>
      <w:r w:rsidR="003C6C4B" w:rsidRPr="00DE4629">
        <w:rPr>
          <w:rFonts w:cs="Arial"/>
          <w:color w:val="000000"/>
          <w:shd w:val="clear" w:color="auto" w:fill="FFFFFF"/>
        </w:rPr>
        <w:t xml:space="preserve">  As we have noted, this </w:t>
      </w:r>
      <w:r w:rsidR="00513CCA" w:rsidRPr="00DE4629">
        <w:rPr>
          <w:rFonts w:cs="Arial"/>
          <w:color w:val="000000"/>
          <w:shd w:val="clear" w:color="auto" w:fill="FFFFFF"/>
        </w:rPr>
        <w:t xml:space="preserve">construction </w:t>
      </w:r>
      <w:r w:rsidR="003C6C4B" w:rsidRPr="00DE4629">
        <w:rPr>
          <w:rFonts w:cs="Arial"/>
          <w:color w:val="000000"/>
          <w:shd w:val="clear" w:color="auto" w:fill="FFFFFF"/>
        </w:rPr>
        <w:t xml:space="preserve">is consistent with the Supreme Court’s </w:t>
      </w:r>
      <w:r w:rsidR="00513CCA" w:rsidRPr="00DE4629">
        <w:rPr>
          <w:rFonts w:cs="Arial"/>
          <w:color w:val="000000"/>
          <w:shd w:val="clear" w:color="auto" w:fill="FFFFFF"/>
        </w:rPr>
        <w:t xml:space="preserve">decision in </w:t>
      </w:r>
      <w:proofErr w:type="spellStart"/>
      <w:r w:rsidR="003C6C4B" w:rsidRPr="00DE4629">
        <w:rPr>
          <w:rFonts w:cs="Arial"/>
          <w:i/>
          <w:iCs/>
          <w:color w:val="000000"/>
          <w:shd w:val="clear" w:color="auto" w:fill="FFFFFF"/>
        </w:rPr>
        <w:t>Morehart</w:t>
      </w:r>
      <w:proofErr w:type="spellEnd"/>
      <w:r w:rsidR="003C6C4B" w:rsidRPr="00DE4629">
        <w:rPr>
          <w:rFonts w:cs="Arial"/>
          <w:i/>
          <w:iCs/>
          <w:color w:val="000000"/>
          <w:shd w:val="clear" w:color="auto" w:fill="FFFFFF"/>
        </w:rPr>
        <w:t xml:space="preserve"> </w:t>
      </w:r>
      <w:r w:rsidR="003C6C4B" w:rsidRPr="00DE4629">
        <w:rPr>
          <w:rFonts w:cs="Arial"/>
          <w:color w:val="000000"/>
          <w:shd w:val="clear" w:color="auto" w:fill="FFFFFF"/>
        </w:rPr>
        <w:t xml:space="preserve">construing similar language in the Act’s then applicable merger provision. </w:t>
      </w:r>
      <w:r w:rsidR="00FB3E28" w:rsidRPr="00DE4629">
        <w:rPr>
          <w:rFonts w:cs="Arial"/>
          <w:color w:val="000000"/>
          <w:shd w:val="clear" w:color="auto" w:fill="FFFFFF"/>
        </w:rPr>
        <w:t xml:space="preserve"> </w:t>
      </w:r>
      <w:r w:rsidR="00FB3E28" w:rsidRPr="00DE4629">
        <w:rPr>
          <w:rFonts w:cs="Arial"/>
          <w:i/>
          <w:iCs/>
          <w:color w:val="000000"/>
          <w:shd w:val="clear" w:color="auto" w:fill="FFFFFF"/>
        </w:rPr>
        <w:t>Lakeview</w:t>
      </w:r>
      <w:r w:rsidR="00FB3E28" w:rsidRPr="00DE4629">
        <w:rPr>
          <w:rFonts w:cs="Arial"/>
          <w:color w:val="000000"/>
          <w:shd w:val="clear" w:color="auto" w:fill="FFFFFF"/>
        </w:rPr>
        <w:t xml:space="preserve"> also acknowledged</w:t>
      </w:r>
      <w:r w:rsidR="00E5750B" w:rsidRPr="00DE4629">
        <w:rPr>
          <w:rFonts w:cs="Arial"/>
          <w:color w:val="000000"/>
          <w:shd w:val="clear" w:color="auto" w:fill="FFFFFF"/>
        </w:rPr>
        <w:t>, in a rather backhanded way,</w:t>
      </w:r>
      <w:r w:rsidR="00FB3E28" w:rsidRPr="00DE4629">
        <w:rPr>
          <w:rFonts w:cs="Arial"/>
          <w:color w:val="000000"/>
          <w:shd w:val="clear" w:color="auto" w:fill="FFFFFF"/>
        </w:rPr>
        <w:t xml:space="preserve"> that </w:t>
      </w:r>
      <w:r w:rsidR="00E5750B" w:rsidRPr="00DE4629">
        <w:rPr>
          <w:rFonts w:cs="Arial"/>
          <w:color w:val="000000"/>
          <w:shd w:val="clear" w:color="auto" w:fill="FFFFFF"/>
        </w:rPr>
        <w:t>multiple</w:t>
      </w:r>
      <w:r w:rsidR="00497F5D" w:rsidRPr="00DE4629">
        <w:rPr>
          <w:rFonts w:cs="Arial"/>
          <w:color w:val="000000"/>
          <w:shd w:val="clear" w:color="auto" w:fill="FFFFFF"/>
        </w:rPr>
        <w:t>,</w:t>
      </w:r>
      <w:r w:rsidR="00E5750B" w:rsidRPr="00DE4629">
        <w:rPr>
          <w:rFonts w:cs="Arial"/>
          <w:color w:val="000000"/>
          <w:shd w:val="clear" w:color="auto" w:fill="FFFFFF"/>
        </w:rPr>
        <w:t xml:space="preserve"> legally created </w:t>
      </w:r>
      <w:r w:rsidR="00FB3E28" w:rsidRPr="00DE4629">
        <w:rPr>
          <w:rFonts w:cs="Arial"/>
          <w:color w:val="000000"/>
          <w:shd w:val="clear" w:color="auto" w:fill="FFFFFF"/>
        </w:rPr>
        <w:t xml:space="preserve">lots can be conveyed </w:t>
      </w:r>
      <w:r w:rsidR="00E5750B" w:rsidRPr="00DE4629">
        <w:rPr>
          <w:rFonts w:cs="Arial"/>
          <w:color w:val="000000"/>
          <w:shd w:val="clear" w:color="auto" w:fill="FFFFFF"/>
        </w:rPr>
        <w:t xml:space="preserve">in a </w:t>
      </w:r>
      <w:r w:rsidR="00FB3E28" w:rsidRPr="00DE4629">
        <w:rPr>
          <w:rFonts w:cs="Arial"/>
          <w:color w:val="000000"/>
          <w:shd w:val="clear" w:color="auto" w:fill="FFFFFF"/>
        </w:rPr>
        <w:t>single deed.  (</w:t>
      </w:r>
      <w:r w:rsidR="00FB3E28" w:rsidRPr="00DE4629">
        <w:rPr>
          <w:rFonts w:cs="Arial"/>
          <w:i/>
          <w:iCs/>
          <w:color w:val="000000"/>
          <w:shd w:val="clear" w:color="auto" w:fill="FFFFFF"/>
        </w:rPr>
        <w:t xml:space="preserve">Id. </w:t>
      </w:r>
      <w:r w:rsidR="00FB3E28" w:rsidRPr="00DE4629">
        <w:rPr>
          <w:rFonts w:cs="Arial"/>
          <w:color w:val="000000"/>
          <w:shd w:val="clear" w:color="auto" w:fill="FFFFFF"/>
        </w:rPr>
        <w:t>at pp.</w:t>
      </w:r>
      <w:r w:rsidR="00F666E1" w:rsidRPr="00DE4629">
        <w:rPr>
          <w:rFonts w:cs="Arial"/>
          <w:color w:val="000000"/>
          <w:shd w:val="clear" w:color="auto" w:fill="FFFFFF"/>
        </w:rPr>
        <w:t> </w:t>
      </w:r>
      <w:r w:rsidR="00FB3E28" w:rsidRPr="00DE4629">
        <w:rPr>
          <w:rFonts w:cs="Arial"/>
          <w:color w:val="000000"/>
          <w:shd w:val="clear" w:color="auto" w:fill="FFFFFF"/>
        </w:rPr>
        <w:t>596, 600.)</w:t>
      </w:r>
    </w:p>
    <w:p w14:paraId="28F38AAB" w14:textId="3EC4DF70" w:rsidR="00663A05" w:rsidRPr="00DE4629" w:rsidRDefault="00CA5748" w:rsidP="006F306F">
      <w:pPr>
        <w:spacing w:line="360" w:lineRule="auto"/>
        <w:rPr>
          <w:rFonts w:cs="Arial"/>
          <w:color w:val="000000"/>
          <w:shd w:val="clear" w:color="auto" w:fill="FFFFFF"/>
        </w:rPr>
      </w:pPr>
      <w:r w:rsidRPr="00DE4629">
        <w:rPr>
          <w:rFonts w:cs="Arial"/>
          <w:color w:val="000000"/>
          <w:shd w:val="clear" w:color="auto" w:fill="FFFFFF"/>
        </w:rPr>
        <w:tab/>
        <w:t>F</w:t>
      </w:r>
      <w:r w:rsidR="00497F5D" w:rsidRPr="00DE4629">
        <w:rPr>
          <w:rFonts w:cs="Arial"/>
          <w:color w:val="000000"/>
          <w:shd w:val="clear" w:color="auto" w:fill="FFFFFF"/>
        </w:rPr>
        <w:t>actually,</w:t>
      </w:r>
      <w:r w:rsidRPr="00DE4629">
        <w:rPr>
          <w:rFonts w:cs="Arial"/>
          <w:color w:val="000000"/>
          <w:shd w:val="clear" w:color="auto" w:fill="FFFFFF"/>
        </w:rPr>
        <w:t xml:space="preserve"> however,</w:t>
      </w:r>
      <w:r w:rsidR="00497F5D" w:rsidRPr="00DE4629">
        <w:rPr>
          <w:rFonts w:cs="Arial"/>
          <w:color w:val="000000"/>
          <w:shd w:val="clear" w:color="auto" w:fill="FFFFFF"/>
        </w:rPr>
        <w:t xml:space="preserve"> </w:t>
      </w:r>
      <w:r w:rsidR="00497F5D" w:rsidRPr="00DE4629">
        <w:rPr>
          <w:rFonts w:cs="Arial"/>
          <w:i/>
          <w:iCs/>
          <w:color w:val="000000"/>
          <w:shd w:val="clear" w:color="auto" w:fill="FFFFFF"/>
        </w:rPr>
        <w:t xml:space="preserve">Lakeview </w:t>
      </w:r>
      <w:r w:rsidR="00497F5D" w:rsidRPr="00DE4629">
        <w:rPr>
          <w:rFonts w:cs="Arial"/>
          <w:color w:val="000000"/>
          <w:shd w:val="clear" w:color="auto" w:fill="FFFFFF"/>
        </w:rPr>
        <w:t xml:space="preserve">involved the </w:t>
      </w:r>
      <w:r w:rsidRPr="00DE4629">
        <w:rPr>
          <w:rFonts w:cs="Arial"/>
          <w:color w:val="000000"/>
          <w:shd w:val="clear" w:color="auto" w:fill="FFFFFF"/>
        </w:rPr>
        <w:t xml:space="preserve">converse </w:t>
      </w:r>
      <w:r w:rsidR="00497F5D" w:rsidRPr="00DE4629">
        <w:rPr>
          <w:rFonts w:cs="Arial"/>
          <w:color w:val="000000"/>
          <w:shd w:val="clear" w:color="auto" w:fill="FFFFFF"/>
        </w:rPr>
        <w:t xml:space="preserve">of the scenario we are considering.  In </w:t>
      </w:r>
      <w:r w:rsidR="00497F5D" w:rsidRPr="00DE4629">
        <w:rPr>
          <w:rFonts w:cs="Arial"/>
          <w:i/>
          <w:iCs/>
          <w:color w:val="000000"/>
          <w:shd w:val="clear" w:color="auto" w:fill="FFFFFF"/>
        </w:rPr>
        <w:t xml:space="preserve">Lakeview, </w:t>
      </w:r>
      <w:r w:rsidR="00497F5D" w:rsidRPr="00DE4629">
        <w:rPr>
          <w:rFonts w:cs="Arial"/>
          <w:color w:val="000000"/>
          <w:shd w:val="clear" w:color="auto" w:fill="FFFFFF"/>
        </w:rPr>
        <w:t xml:space="preserve">the three parcels </w:t>
      </w:r>
      <w:r w:rsidR="007A7747" w:rsidRPr="00DE4629">
        <w:rPr>
          <w:rFonts w:cs="Arial"/>
          <w:color w:val="000000"/>
          <w:shd w:val="clear" w:color="auto" w:fill="FFFFFF"/>
        </w:rPr>
        <w:t xml:space="preserve">at issue </w:t>
      </w:r>
      <w:r w:rsidR="00497F5D" w:rsidRPr="00DE4629">
        <w:rPr>
          <w:rFonts w:cs="Arial"/>
          <w:color w:val="000000"/>
          <w:shd w:val="clear" w:color="auto" w:fill="FFFFFF"/>
        </w:rPr>
        <w:t>were separately created</w:t>
      </w:r>
      <w:r w:rsidR="003C6C4B" w:rsidRPr="00DE4629">
        <w:rPr>
          <w:rFonts w:cs="Arial"/>
          <w:color w:val="000000"/>
          <w:shd w:val="clear" w:color="auto" w:fill="FFFFFF"/>
        </w:rPr>
        <w:t xml:space="preserve">, </w:t>
      </w:r>
      <w:r w:rsidR="00497F5D" w:rsidRPr="00DE4629">
        <w:rPr>
          <w:rFonts w:cs="Arial"/>
          <w:color w:val="000000"/>
          <w:shd w:val="clear" w:color="auto" w:fill="FFFFFF"/>
        </w:rPr>
        <w:t>the</w:t>
      </w:r>
      <w:r w:rsidR="007A7747" w:rsidRPr="00DE4629">
        <w:rPr>
          <w:rFonts w:cs="Arial"/>
          <w:color w:val="000000"/>
          <w:shd w:val="clear" w:color="auto" w:fill="FFFFFF"/>
        </w:rPr>
        <w:t xml:space="preserve">reafter </w:t>
      </w:r>
      <w:r w:rsidRPr="00DE4629">
        <w:rPr>
          <w:rFonts w:cs="Arial"/>
          <w:color w:val="000000"/>
          <w:shd w:val="clear" w:color="auto" w:fill="FFFFFF"/>
        </w:rPr>
        <w:t>aggregated with other propert</w:t>
      </w:r>
      <w:r w:rsidR="000D5FA4" w:rsidRPr="00DE4629">
        <w:rPr>
          <w:rFonts w:cs="Arial"/>
          <w:color w:val="000000"/>
          <w:shd w:val="clear" w:color="auto" w:fill="FFFFFF"/>
        </w:rPr>
        <w:t>ies</w:t>
      </w:r>
      <w:r w:rsidR="003C6C4B" w:rsidRPr="00DE4629">
        <w:rPr>
          <w:rFonts w:cs="Arial"/>
          <w:color w:val="000000"/>
          <w:shd w:val="clear" w:color="auto" w:fill="FFFFFF"/>
        </w:rPr>
        <w:t>,</w:t>
      </w:r>
      <w:r w:rsidRPr="00DE4629">
        <w:rPr>
          <w:rFonts w:cs="Arial"/>
          <w:color w:val="000000"/>
          <w:shd w:val="clear" w:color="auto" w:fill="FFFFFF"/>
        </w:rPr>
        <w:t xml:space="preserve"> and </w:t>
      </w:r>
      <w:r w:rsidR="003C6C4B" w:rsidRPr="00DE4629">
        <w:rPr>
          <w:rFonts w:cs="Arial"/>
          <w:color w:val="000000"/>
          <w:shd w:val="clear" w:color="auto" w:fill="FFFFFF"/>
        </w:rPr>
        <w:t xml:space="preserve">then </w:t>
      </w:r>
      <w:r w:rsidR="000D5FA4" w:rsidRPr="00DE4629">
        <w:rPr>
          <w:rFonts w:cs="Arial"/>
          <w:color w:val="000000"/>
          <w:shd w:val="clear" w:color="auto" w:fill="FFFFFF"/>
        </w:rPr>
        <w:t xml:space="preserve">subsequently </w:t>
      </w:r>
      <w:r w:rsidR="00497F5D" w:rsidRPr="00DE4629">
        <w:rPr>
          <w:rFonts w:cs="Arial"/>
          <w:color w:val="000000"/>
          <w:shd w:val="clear" w:color="auto" w:fill="FFFFFF"/>
        </w:rPr>
        <w:t xml:space="preserve">conveyed in a single deed.  Here, </w:t>
      </w:r>
      <w:r w:rsidR="004145C3" w:rsidRPr="00DE4629">
        <w:rPr>
          <w:rFonts w:cs="Arial"/>
          <w:color w:val="000000"/>
          <w:shd w:val="clear" w:color="auto" w:fill="FFFFFF"/>
        </w:rPr>
        <w:t>l</w:t>
      </w:r>
      <w:r w:rsidR="00497F5D" w:rsidRPr="00DE4629">
        <w:rPr>
          <w:rFonts w:cs="Arial"/>
          <w:color w:val="000000"/>
          <w:shd w:val="clear" w:color="auto" w:fill="FFFFFF"/>
        </w:rPr>
        <w:t xml:space="preserve">ot 18 was conveyed </w:t>
      </w:r>
      <w:r w:rsidR="003C6C4B" w:rsidRPr="00DE4629">
        <w:rPr>
          <w:rFonts w:cs="Arial"/>
          <w:color w:val="000000"/>
          <w:shd w:val="clear" w:color="auto" w:fill="FFFFFF"/>
        </w:rPr>
        <w:t xml:space="preserve">several </w:t>
      </w:r>
      <w:r w:rsidR="000D5FA4" w:rsidRPr="00DE4629">
        <w:rPr>
          <w:rFonts w:cs="Arial"/>
          <w:color w:val="000000"/>
          <w:shd w:val="clear" w:color="auto" w:fill="FFFFFF"/>
        </w:rPr>
        <w:t xml:space="preserve">times </w:t>
      </w:r>
      <w:r w:rsidR="007A7747" w:rsidRPr="00DE4629">
        <w:rPr>
          <w:rFonts w:cs="Arial"/>
          <w:color w:val="000000"/>
          <w:shd w:val="clear" w:color="auto" w:fill="FFFFFF"/>
        </w:rPr>
        <w:t>with</w:t>
      </w:r>
      <w:r w:rsidR="000D5FA4" w:rsidRPr="00DE4629">
        <w:rPr>
          <w:rFonts w:cs="Arial"/>
          <w:color w:val="000000"/>
          <w:shd w:val="clear" w:color="auto" w:fill="FFFFFF"/>
        </w:rPr>
        <w:t xml:space="preserve"> more than three</w:t>
      </w:r>
      <w:r w:rsidR="007A7747" w:rsidRPr="00DE4629">
        <w:rPr>
          <w:rFonts w:cs="Arial"/>
          <w:color w:val="000000"/>
          <w:shd w:val="clear" w:color="auto" w:fill="FFFFFF"/>
        </w:rPr>
        <w:t xml:space="preserve"> other lots before it was conveyed in conjunction with </w:t>
      </w:r>
      <w:r w:rsidR="006F66F1" w:rsidRPr="00DE4629">
        <w:rPr>
          <w:rFonts w:cs="Arial"/>
          <w:color w:val="000000"/>
          <w:shd w:val="clear" w:color="auto" w:fill="FFFFFF"/>
        </w:rPr>
        <w:t xml:space="preserve">only three </w:t>
      </w:r>
      <w:r w:rsidR="007A7747" w:rsidRPr="00DE4629">
        <w:rPr>
          <w:rFonts w:cs="Arial"/>
          <w:color w:val="000000"/>
          <w:shd w:val="clear" w:color="auto" w:fill="FFFFFF"/>
        </w:rPr>
        <w:t>other lots</w:t>
      </w:r>
      <w:r w:rsidR="00513CCA" w:rsidRPr="00DE4629">
        <w:rPr>
          <w:rFonts w:cs="Arial"/>
          <w:color w:val="000000"/>
          <w:shd w:val="clear" w:color="auto" w:fill="FFFFFF"/>
        </w:rPr>
        <w:t>.</w:t>
      </w:r>
      <w:r w:rsidR="00FB3E28" w:rsidRPr="00DE4629">
        <w:rPr>
          <w:rFonts w:cs="Arial"/>
          <w:color w:val="000000"/>
          <w:shd w:val="clear" w:color="auto" w:fill="FFFFFF"/>
        </w:rPr>
        <w:t xml:space="preserve"> </w:t>
      </w:r>
    </w:p>
    <w:p w14:paraId="12E4B9C7" w14:textId="3E381E5D" w:rsidR="00FB38C8" w:rsidRPr="00DE4629" w:rsidRDefault="00CA5748" w:rsidP="00AF46A9">
      <w:pPr>
        <w:spacing w:line="360" w:lineRule="auto"/>
        <w:rPr>
          <w:rFonts w:cs="Arial"/>
          <w:color w:val="000000"/>
          <w:shd w:val="clear" w:color="auto" w:fill="FFFFFF"/>
        </w:rPr>
      </w:pPr>
      <w:r w:rsidRPr="00DE4629">
        <w:rPr>
          <w:rFonts w:eastAsia="Times New Roman" w:cs="Arial"/>
          <w:color w:val="000000"/>
        </w:rPr>
        <w:tab/>
        <w:t xml:space="preserve">The second case </w:t>
      </w:r>
      <w:r w:rsidR="00FB6623" w:rsidRPr="00DE4629">
        <w:rPr>
          <w:rFonts w:eastAsia="Times New Roman" w:cs="Arial"/>
          <w:color w:val="000000"/>
        </w:rPr>
        <w:t xml:space="preserve">discussing section 66412.6, subdivision (a) in an arguably similar context </w:t>
      </w:r>
      <w:r w:rsidRPr="00DE4629">
        <w:rPr>
          <w:rFonts w:eastAsia="Times New Roman" w:cs="Arial"/>
          <w:color w:val="000000"/>
        </w:rPr>
        <w:t xml:space="preserve">is </w:t>
      </w:r>
      <w:r w:rsidR="00AF46A9" w:rsidRPr="00DE4629">
        <w:rPr>
          <w:rFonts w:cs="Arial"/>
          <w:i/>
          <w:iCs/>
          <w:color w:val="000000"/>
          <w:shd w:val="clear" w:color="auto" w:fill="FFFFFF"/>
        </w:rPr>
        <w:t xml:space="preserve">Fishback v. County of Ventura </w:t>
      </w:r>
      <w:r w:rsidR="00AF46A9" w:rsidRPr="00DE4629">
        <w:rPr>
          <w:rFonts w:cs="Arial"/>
          <w:color w:val="000000"/>
          <w:shd w:val="clear" w:color="auto" w:fill="FFFFFF"/>
        </w:rPr>
        <w:t>(2005) 133</w:t>
      </w:r>
      <w:r w:rsidR="005C615D" w:rsidRPr="00DE4629">
        <w:rPr>
          <w:rFonts w:cs="Arial"/>
          <w:color w:val="000000"/>
          <w:shd w:val="clear" w:color="auto" w:fill="FFFFFF"/>
        </w:rPr>
        <w:t> </w:t>
      </w:r>
      <w:r w:rsidR="00AF46A9" w:rsidRPr="00DE4629">
        <w:rPr>
          <w:rFonts w:cs="Arial"/>
          <w:color w:val="000000"/>
          <w:shd w:val="clear" w:color="auto" w:fill="FFFFFF"/>
        </w:rPr>
        <w:t>Cal.App.4th 896 (</w:t>
      </w:r>
      <w:r w:rsidR="00AF46A9" w:rsidRPr="00DE4629">
        <w:rPr>
          <w:rFonts w:cs="Arial"/>
          <w:i/>
          <w:iCs/>
          <w:color w:val="000000"/>
          <w:shd w:val="clear" w:color="auto" w:fill="FFFFFF"/>
        </w:rPr>
        <w:t>Fishback</w:t>
      </w:r>
      <w:r w:rsidR="00AF46A9" w:rsidRPr="00DE4629">
        <w:rPr>
          <w:rFonts w:cs="Arial"/>
          <w:color w:val="000000"/>
          <w:shd w:val="clear" w:color="auto" w:fill="FFFFFF"/>
        </w:rPr>
        <w:t>)</w:t>
      </w:r>
      <w:r w:rsidRPr="00DE4629">
        <w:rPr>
          <w:rFonts w:cs="Arial"/>
          <w:color w:val="000000"/>
          <w:shd w:val="clear" w:color="auto" w:fill="FFFFFF"/>
        </w:rPr>
        <w:t xml:space="preserve">.  In that case, </w:t>
      </w:r>
      <w:r w:rsidR="00AF46A9" w:rsidRPr="00DE4629">
        <w:rPr>
          <w:rFonts w:cs="Arial"/>
          <w:color w:val="000000"/>
          <w:shd w:val="clear" w:color="auto" w:fill="FFFFFF"/>
        </w:rPr>
        <w:t xml:space="preserve">the </w:t>
      </w:r>
      <w:r w:rsidR="00D91564" w:rsidRPr="00DE4629">
        <w:rPr>
          <w:rFonts w:cs="Arial"/>
          <w:color w:val="000000"/>
          <w:shd w:val="clear" w:color="auto" w:fill="FFFFFF"/>
        </w:rPr>
        <w:t>owner of a 140</w:t>
      </w:r>
      <w:r w:rsidR="00E86C10" w:rsidRPr="00DE4629">
        <w:rPr>
          <w:rFonts w:cs="Arial"/>
          <w:color w:val="000000"/>
          <w:shd w:val="clear" w:color="auto" w:fill="FFFFFF"/>
        </w:rPr>
        <w:t>-</w:t>
      </w:r>
      <w:r w:rsidR="00D91564" w:rsidRPr="00DE4629">
        <w:rPr>
          <w:rFonts w:cs="Arial"/>
          <w:color w:val="000000"/>
          <w:shd w:val="clear" w:color="auto" w:fill="FFFFFF"/>
        </w:rPr>
        <w:t>acre parcel recorded</w:t>
      </w:r>
      <w:r w:rsidR="009415F4" w:rsidRPr="00DE4629">
        <w:rPr>
          <w:rFonts w:cs="Arial"/>
          <w:color w:val="000000"/>
          <w:shd w:val="clear" w:color="auto" w:fill="FFFFFF"/>
        </w:rPr>
        <w:t>,</w:t>
      </w:r>
      <w:r w:rsidRPr="00DE4629">
        <w:rPr>
          <w:rFonts w:cs="Arial"/>
          <w:color w:val="000000"/>
          <w:shd w:val="clear" w:color="auto" w:fill="FFFFFF"/>
        </w:rPr>
        <w:t xml:space="preserve"> in 1940,</w:t>
      </w:r>
      <w:r w:rsidR="00D91564" w:rsidRPr="00DE4629">
        <w:rPr>
          <w:rFonts w:cs="Arial"/>
          <w:color w:val="000000"/>
          <w:shd w:val="clear" w:color="auto" w:fill="FFFFFF"/>
        </w:rPr>
        <w:t xml:space="preserve"> a survey </w:t>
      </w:r>
      <w:r w:rsidRPr="00DE4629">
        <w:rPr>
          <w:rFonts w:cs="Arial"/>
          <w:color w:val="000000"/>
          <w:shd w:val="clear" w:color="auto" w:fill="FFFFFF"/>
        </w:rPr>
        <w:t>d</w:t>
      </w:r>
      <w:r w:rsidR="00D91564" w:rsidRPr="00DE4629">
        <w:rPr>
          <w:rFonts w:cs="Arial"/>
          <w:color w:val="000000"/>
          <w:shd w:val="clear" w:color="auto" w:fill="FFFFFF"/>
        </w:rPr>
        <w:t xml:space="preserve">epicting 15 lots on </w:t>
      </w:r>
      <w:r w:rsidR="00113B63" w:rsidRPr="00DE4629">
        <w:rPr>
          <w:rFonts w:cs="Arial"/>
          <w:color w:val="000000"/>
          <w:shd w:val="clear" w:color="auto" w:fill="FFFFFF"/>
        </w:rPr>
        <w:t xml:space="preserve">the southern </w:t>
      </w:r>
      <w:r w:rsidR="00D91564" w:rsidRPr="00DE4629">
        <w:rPr>
          <w:rFonts w:cs="Arial"/>
          <w:color w:val="000000"/>
          <w:shd w:val="clear" w:color="auto" w:fill="FFFFFF"/>
        </w:rPr>
        <w:t>part of the acreage.  (</w:t>
      </w:r>
      <w:r w:rsidR="00D91564" w:rsidRPr="00DE4629">
        <w:rPr>
          <w:rFonts w:cs="Arial"/>
          <w:i/>
          <w:iCs/>
          <w:color w:val="000000"/>
          <w:shd w:val="clear" w:color="auto" w:fill="FFFFFF"/>
        </w:rPr>
        <w:t xml:space="preserve">Id. </w:t>
      </w:r>
      <w:r w:rsidR="00D91564" w:rsidRPr="00DE4629">
        <w:rPr>
          <w:rFonts w:cs="Arial"/>
          <w:color w:val="000000"/>
          <w:shd w:val="clear" w:color="auto" w:fill="FFFFFF"/>
        </w:rPr>
        <w:t xml:space="preserve">at </w:t>
      </w:r>
      <w:r w:rsidR="00E86C10" w:rsidRPr="00DE4629">
        <w:rPr>
          <w:rFonts w:cs="Arial"/>
          <w:color w:val="000000"/>
          <w:shd w:val="clear" w:color="auto" w:fill="FFFFFF"/>
        </w:rPr>
        <w:t>p</w:t>
      </w:r>
      <w:r w:rsidR="00D91564" w:rsidRPr="00DE4629">
        <w:rPr>
          <w:rFonts w:cs="Arial"/>
          <w:color w:val="000000"/>
          <w:shd w:val="clear" w:color="auto" w:fill="FFFFFF"/>
        </w:rPr>
        <w:t>p. 899</w:t>
      </w:r>
      <w:r w:rsidR="009415F4" w:rsidRPr="00DE4629">
        <w:t>–</w:t>
      </w:r>
      <w:r w:rsidR="00E86C10" w:rsidRPr="00DE4629">
        <w:rPr>
          <w:rFonts w:cs="Arial"/>
          <w:color w:val="000000"/>
          <w:shd w:val="clear" w:color="auto" w:fill="FFFFFF"/>
        </w:rPr>
        <w:t>900</w:t>
      </w:r>
      <w:r w:rsidR="00D91564" w:rsidRPr="00DE4629">
        <w:rPr>
          <w:rFonts w:cs="Arial"/>
          <w:color w:val="000000"/>
          <w:shd w:val="clear" w:color="auto" w:fill="FFFFFF"/>
        </w:rPr>
        <w:t xml:space="preserve">.)  The owner conveyed </w:t>
      </w:r>
      <w:r w:rsidR="009415F4" w:rsidRPr="00DE4629">
        <w:rPr>
          <w:rFonts w:cs="Arial"/>
          <w:color w:val="000000"/>
          <w:shd w:val="clear" w:color="auto" w:fill="FFFFFF"/>
        </w:rPr>
        <w:t>10</w:t>
      </w:r>
      <w:r w:rsidR="00D91564" w:rsidRPr="00DE4629">
        <w:rPr>
          <w:rFonts w:cs="Arial"/>
          <w:color w:val="000000"/>
          <w:shd w:val="clear" w:color="auto" w:fill="FFFFFF"/>
        </w:rPr>
        <w:t xml:space="preserve"> of th</w:t>
      </w:r>
      <w:r w:rsidR="002D7A16" w:rsidRPr="00DE4629">
        <w:rPr>
          <w:rFonts w:cs="Arial"/>
          <w:color w:val="000000"/>
          <w:shd w:val="clear" w:color="auto" w:fill="FFFFFF"/>
        </w:rPr>
        <w:t>os</w:t>
      </w:r>
      <w:r w:rsidR="00D91564" w:rsidRPr="00DE4629">
        <w:rPr>
          <w:rFonts w:cs="Arial"/>
          <w:color w:val="000000"/>
          <w:shd w:val="clear" w:color="auto" w:fill="FFFFFF"/>
        </w:rPr>
        <w:t>e lots</w:t>
      </w:r>
      <w:r w:rsidR="00113B63" w:rsidRPr="00DE4629">
        <w:rPr>
          <w:rFonts w:cs="Arial"/>
          <w:color w:val="000000"/>
          <w:shd w:val="clear" w:color="auto" w:fill="FFFFFF"/>
        </w:rPr>
        <w:t xml:space="preserve">, leaving it with </w:t>
      </w:r>
      <w:r w:rsidR="007A7747" w:rsidRPr="00DE4629">
        <w:rPr>
          <w:rFonts w:cs="Arial"/>
          <w:color w:val="000000"/>
          <w:shd w:val="clear" w:color="auto" w:fill="FFFFFF"/>
        </w:rPr>
        <w:t>“</w:t>
      </w:r>
      <w:r w:rsidR="002D7A16" w:rsidRPr="00DE4629">
        <w:rPr>
          <w:rFonts w:cs="Arial"/>
          <w:color w:val="000000"/>
          <w:shd w:val="clear" w:color="auto" w:fill="FFFFFF"/>
        </w:rPr>
        <w:t>four</w:t>
      </w:r>
      <w:r w:rsidR="007A7747" w:rsidRPr="00DE4629">
        <w:rPr>
          <w:rFonts w:cs="Arial"/>
          <w:color w:val="000000"/>
          <w:shd w:val="clear" w:color="auto" w:fill="FFFFFF"/>
        </w:rPr>
        <w:t>”</w:t>
      </w:r>
      <w:r w:rsidR="00D91564" w:rsidRPr="00DE4629">
        <w:rPr>
          <w:rFonts w:cs="Arial"/>
          <w:color w:val="000000"/>
          <w:shd w:val="clear" w:color="auto" w:fill="FFFFFF"/>
        </w:rPr>
        <w:t xml:space="preserve"> </w:t>
      </w:r>
      <w:r w:rsidR="006F66F1" w:rsidRPr="00DE4629">
        <w:rPr>
          <w:rFonts w:cs="Arial"/>
          <w:color w:val="000000"/>
          <w:shd w:val="clear" w:color="auto" w:fill="FFFFFF"/>
        </w:rPr>
        <w:t xml:space="preserve">remaining </w:t>
      </w:r>
      <w:r w:rsidR="00113B63" w:rsidRPr="00DE4629">
        <w:rPr>
          <w:rFonts w:cs="Arial"/>
          <w:color w:val="000000"/>
          <w:shd w:val="clear" w:color="auto" w:fill="FFFFFF"/>
        </w:rPr>
        <w:t>parcels</w:t>
      </w:r>
      <w:r w:rsidR="00FB6623" w:rsidRPr="00DE4629">
        <w:rPr>
          <w:rFonts w:cs="Arial"/>
          <w:color w:val="000000"/>
          <w:shd w:val="clear" w:color="auto" w:fill="FFFFFF"/>
        </w:rPr>
        <w:t xml:space="preserve"> (what th</w:t>
      </w:r>
      <w:r w:rsidR="002D7A16" w:rsidRPr="00DE4629">
        <w:rPr>
          <w:rFonts w:cs="Arial"/>
          <w:color w:val="000000"/>
          <w:shd w:val="clear" w:color="auto" w:fill="FFFFFF"/>
        </w:rPr>
        <w:t>ose</w:t>
      </w:r>
      <w:r w:rsidR="00FB6623" w:rsidRPr="00DE4629">
        <w:rPr>
          <w:rFonts w:cs="Arial"/>
          <w:color w:val="000000"/>
          <w:shd w:val="clear" w:color="auto" w:fill="FFFFFF"/>
        </w:rPr>
        <w:t xml:space="preserve"> </w:t>
      </w:r>
      <w:r w:rsidR="000D5FA4" w:rsidRPr="00DE4629">
        <w:rPr>
          <w:rFonts w:cs="Arial"/>
          <w:color w:val="000000"/>
          <w:shd w:val="clear" w:color="auto" w:fill="FFFFFF"/>
        </w:rPr>
        <w:t>“</w:t>
      </w:r>
      <w:r w:rsidR="002D7A16" w:rsidRPr="00DE4629">
        <w:rPr>
          <w:rFonts w:cs="Arial"/>
          <w:color w:val="000000"/>
          <w:shd w:val="clear" w:color="auto" w:fill="FFFFFF"/>
        </w:rPr>
        <w:t>four</w:t>
      </w:r>
      <w:r w:rsidR="000D5FA4" w:rsidRPr="00DE4629">
        <w:rPr>
          <w:rFonts w:cs="Arial"/>
          <w:color w:val="000000"/>
          <w:shd w:val="clear" w:color="auto" w:fill="FFFFFF"/>
        </w:rPr>
        <w:t>”</w:t>
      </w:r>
      <w:r w:rsidR="00FB6623" w:rsidRPr="00DE4629">
        <w:rPr>
          <w:rFonts w:cs="Arial"/>
          <w:color w:val="000000"/>
          <w:shd w:val="clear" w:color="auto" w:fill="FFFFFF"/>
        </w:rPr>
        <w:t xml:space="preserve"> parcels </w:t>
      </w:r>
      <w:r w:rsidR="002D7A16" w:rsidRPr="00DE4629">
        <w:rPr>
          <w:rFonts w:cs="Arial"/>
          <w:color w:val="000000"/>
          <w:shd w:val="clear" w:color="auto" w:fill="FFFFFF"/>
        </w:rPr>
        <w:t xml:space="preserve">encompassed </w:t>
      </w:r>
      <w:r w:rsidR="00FB6623" w:rsidRPr="00DE4629">
        <w:rPr>
          <w:rFonts w:cs="Arial"/>
          <w:color w:val="000000"/>
          <w:shd w:val="clear" w:color="auto" w:fill="FFFFFF"/>
        </w:rPr>
        <w:t>is unclear from the opinion).</w:t>
      </w:r>
      <w:r w:rsidR="00D91564" w:rsidRPr="00DE4629">
        <w:rPr>
          <w:rFonts w:cs="Arial"/>
          <w:color w:val="000000"/>
          <w:shd w:val="clear" w:color="auto" w:fill="FFFFFF"/>
        </w:rPr>
        <w:t xml:space="preserve">  (</w:t>
      </w:r>
      <w:r w:rsidR="00D91564" w:rsidRPr="00DE4629">
        <w:rPr>
          <w:rFonts w:cs="Arial"/>
          <w:i/>
          <w:iCs/>
          <w:color w:val="000000"/>
          <w:shd w:val="clear" w:color="auto" w:fill="FFFFFF"/>
        </w:rPr>
        <w:t xml:space="preserve">Id. </w:t>
      </w:r>
      <w:r w:rsidR="00D91564" w:rsidRPr="00DE4629">
        <w:rPr>
          <w:rFonts w:cs="Arial"/>
          <w:color w:val="000000"/>
          <w:shd w:val="clear" w:color="auto" w:fill="FFFFFF"/>
        </w:rPr>
        <w:t xml:space="preserve">at p. 900.)  Several years later, the owner </w:t>
      </w:r>
      <w:r w:rsidR="006F66F1" w:rsidRPr="00DE4629">
        <w:rPr>
          <w:rFonts w:cs="Arial"/>
          <w:color w:val="000000"/>
          <w:shd w:val="clear" w:color="auto" w:fill="FFFFFF"/>
        </w:rPr>
        <w:t xml:space="preserve">of </w:t>
      </w:r>
      <w:r w:rsidR="006F66F1" w:rsidRPr="00DE4629">
        <w:rPr>
          <w:rFonts w:cs="Arial"/>
          <w:color w:val="000000"/>
          <w:shd w:val="clear" w:color="auto" w:fill="FFFFFF"/>
        </w:rPr>
        <w:lastRenderedPageBreak/>
        <w:t xml:space="preserve">the remainder </w:t>
      </w:r>
      <w:r w:rsidR="00AB466B" w:rsidRPr="00DE4629">
        <w:rPr>
          <w:rFonts w:cs="Arial"/>
          <w:color w:val="000000"/>
          <w:shd w:val="clear" w:color="auto" w:fill="FFFFFF"/>
        </w:rPr>
        <w:t xml:space="preserve">of the parent property </w:t>
      </w:r>
      <w:r w:rsidR="00D91564" w:rsidRPr="00DE4629">
        <w:rPr>
          <w:rFonts w:cs="Arial"/>
          <w:color w:val="000000"/>
          <w:shd w:val="clear" w:color="auto" w:fill="FFFFFF"/>
        </w:rPr>
        <w:t xml:space="preserve">conveyed </w:t>
      </w:r>
      <w:r w:rsidR="006F66F1" w:rsidRPr="00DE4629">
        <w:rPr>
          <w:rFonts w:cs="Arial"/>
          <w:color w:val="000000"/>
          <w:shd w:val="clear" w:color="auto" w:fill="FFFFFF"/>
        </w:rPr>
        <w:t xml:space="preserve">some portion thereof </w:t>
      </w:r>
      <w:r w:rsidR="00D91564" w:rsidRPr="00DE4629">
        <w:rPr>
          <w:rFonts w:cs="Arial"/>
          <w:color w:val="000000"/>
          <w:shd w:val="clear" w:color="auto" w:fill="FFFFFF"/>
        </w:rPr>
        <w:t>to a grantee, who</w:t>
      </w:r>
      <w:r w:rsidR="00113B63" w:rsidRPr="00DE4629">
        <w:rPr>
          <w:rFonts w:cs="Arial"/>
          <w:color w:val="000000"/>
          <w:shd w:val="clear" w:color="auto" w:fill="FFFFFF"/>
        </w:rPr>
        <w:t xml:space="preserve"> promptly </w:t>
      </w:r>
      <w:r w:rsidR="00D91564" w:rsidRPr="00DE4629">
        <w:rPr>
          <w:rFonts w:cs="Arial"/>
          <w:color w:val="000000"/>
          <w:shd w:val="clear" w:color="auto" w:fill="FFFFFF"/>
        </w:rPr>
        <w:t>divided th</w:t>
      </w:r>
      <w:r w:rsidRPr="00DE4629">
        <w:rPr>
          <w:rFonts w:cs="Arial"/>
          <w:color w:val="000000"/>
          <w:shd w:val="clear" w:color="auto" w:fill="FFFFFF"/>
        </w:rPr>
        <w:t>e</w:t>
      </w:r>
      <w:r w:rsidR="00D91564" w:rsidRPr="00DE4629">
        <w:rPr>
          <w:rFonts w:cs="Arial"/>
          <w:color w:val="000000"/>
          <w:shd w:val="clear" w:color="auto" w:fill="FFFFFF"/>
        </w:rPr>
        <w:t xml:space="preserve"> property </w:t>
      </w:r>
      <w:r w:rsidRPr="00DE4629">
        <w:rPr>
          <w:rFonts w:cs="Arial"/>
          <w:color w:val="000000"/>
          <w:shd w:val="clear" w:color="auto" w:fill="FFFFFF"/>
        </w:rPr>
        <w:t xml:space="preserve">he acquired </w:t>
      </w:r>
      <w:r w:rsidR="00D91564" w:rsidRPr="00DE4629">
        <w:rPr>
          <w:rFonts w:cs="Arial"/>
          <w:color w:val="000000"/>
          <w:shd w:val="clear" w:color="auto" w:fill="FFFFFF"/>
        </w:rPr>
        <w:t>in</w:t>
      </w:r>
      <w:r w:rsidRPr="00DE4629">
        <w:rPr>
          <w:rFonts w:cs="Arial"/>
          <w:color w:val="000000"/>
          <w:shd w:val="clear" w:color="auto" w:fill="FFFFFF"/>
        </w:rPr>
        <w:t>to</w:t>
      </w:r>
      <w:r w:rsidR="00D91564" w:rsidRPr="00DE4629">
        <w:rPr>
          <w:rFonts w:cs="Arial"/>
          <w:color w:val="000000"/>
          <w:shd w:val="clear" w:color="auto" w:fill="FFFFFF"/>
        </w:rPr>
        <w:t xml:space="preserve"> </w:t>
      </w:r>
      <w:r w:rsidR="0010425A" w:rsidRPr="00DE4629">
        <w:rPr>
          <w:rFonts w:cs="Arial"/>
          <w:color w:val="000000"/>
          <w:shd w:val="clear" w:color="auto" w:fill="FFFFFF"/>
        </w:rPr>
        <w:t>four</w:t>
      </w:r>
      <w:r w:rsidR="00D91564" w:rsidRPr="00DE4629">
        <w:rPr>
          <w:rFonts w:cs="Arial"/>
          <w:color w:val="000000"/>
          <w:shd w:val="clear" w:color="auto" w:fill="FFFFFF"/>
        </w:rPr>
        <w:t xml:space="preserve"> lots.  (</w:t>
      </w:r>
      <w:r w:rsidR="00D91564" w:rsidRPr="00DE4629">
        <w:rPr>
          <w:rFonts w:cs="Arial"/>
          <w:i/>
          <w:iCs/>
          <w:color w:val="000000"/>
          <w:shd w:val="clear" w:color="auto" w:fill="FFFFFF"/>
        </w:rPr>
        <w:t>Ibid.</w:t>
      </w:r>
      <w:r w:rsidR="00D91564" w:rsidRPr="00DE4629">
        <w:rPr>
          <w:rFonts w:cs="Arial"/>
          <w:color w:val="000000"/>
          <w:shd w:val="clear" w:color="auto" w:fill="FFFFFF"/>
        </w:rPr>
        <w:t xml:space="preserve">)  The owner </w:t>
      </w:r>
      <w:r w:rsidR="007665A2" w:rsidRPr="00DE4629">
        <w:rPr>
          <w:rFonts w:cs="Arial"/>
          <w:color w:val="000000"/>
          <w:shd w:val="clear" w:color="auto" w:fill="FFFFFF"/>
        </w:rPr>
        <w:t xml:space="preserve">of the larger acreage </w:t>
      </w:r>
      <w:r w:rsidR="00D91564" w:rsidRPr="00DE4629">
        <w:rPr>
          <w:rFonts w:cs="Arial"/>
          <w:color w:val="000000"/>
          <w:shd w:val="clear" w:color="auto" w:fill="FFFFFF"/>
        </w:rPr>
        <w:t xml:space="preserve">subsequently conveyed two more lots from the </w:t>
      </w:r>
      <w:r w:rsidR="0010425A" w:rsidRPr="00DE4629">
        <w:rPr>
          <w:rFonts w:cs="Arial"/>
          <w:color w:val="000000"/>
          <w:shd w:val="clear" w:color="auto" w:fill="FFFFFF"/>
        </w:rPr>
        <w:t xml:space="preserve">remaining </w:t>
      </w:r>
      <w:r w:rsidR="00113B63" w:rsidRPr="00DE4629">
        <w:rPr>
          <w:rFonts w:cs="Arial"/>
          <w:color w:val="000000"/>
          <w:shd w:val="clear" w:color="auto" w:fill="FFFFFF"/>
        </w:rPr>
        <w:t>property</w:t>
      </w:r>
      <w:r w:rsidR="00D91564" w:rsidRPr="00DE4629">
        <w:rPr>
          <w:rFonts w:cs="Arial"/>
          <w:color w:val="000000"/>
          <w:shd w:val="clear" w:color="auto" w:fill="FFFFFF"/>
        </w:rPr>
        <w:t>.  (</w:t>
      </w:r>
      <w:r w:rsidR="00D91564" w:rsidRPr="00DE4629">
        <w:rPr>
          <w:rFonts w:cs="Arial"/>
          <w:i/>
          <w:iCs/>
          <w:color w:val="000000"/>
          <w:shd w:val="clear" w:color="auto" w:fill="FFFFFF"/>
        </w:rPr>
        <w:t>Ibid.</w:t>
      </w:r>
      <w:r w:rsidR="00D91564" w:rsidRPr="00DE4629">
        <w:rPr>
          <w:rFonts w:cs="Arial"/>
          <w:color w:val="000000"/>
          <w:shd w:val="clear" w:color="auto" w:fill="FFFFFF"/>
        </w:rPr>
        <w:t xml:space="preserve">)  Eventually, </w:t>
      </w:r>
      <w:r w:rsidR="00113B63" w:rsidRPr="00DE4629">
        <w:rPr>
          <w:rFonts w:cs="Arial"/>
          <w:color w:val="000000"/>
          <w:shd w:val="clear" w:color="auto" w:fill="FFFFFF"/>
        </w:rPr>
        <w:t xml:space="preserve">most </w:t>
      </w:r>
      <w:r w:rsidR="00D91564" w:rsidRPr="00DE4629">
        <w:rPr>
          <w:rFonts w:cs="Arial"/>
          <w:color w:val="000000"/>
          <w:shd w:val="clear" w:color="auto" w:fill="FFFFFF"/>
        </w:rPr>
        <w:t xml:space="preserve">of the </w:t>
      </w:r>
      <w:r w:rsidR="007665A2" w:rsidRPr="00DE4629">
        <w:rPr>
          <w:rFonts w:cs="Arial"/>
          <w:color w:val="000000"/>
          <w:shd w:val="clear" w:color="auto" w:fill="FFFFFF"/>
        </w:rPr>
        <w:t xml:space="preserve">initially </w:t>
      </w:r>
      <w:r w:rsidR="00113B63" w:rsidRPr="00DE4629">
        <w:rPr>
          <w:rFonts w:cs="Arial"/>
          <w:color w:val="000000"/>
          <w:shd w:val="clear" w:color="auto" w:fill="FFFFFF"/>
        </w:rPr>
        <w:t xml:space="preserve">conveyed </w:t>
      </w:r>
      <w:r w:rsidR="009415F4" w:rsidRPr="00DE4629">
        <w:rPr>
          <w:rFonts w:cs="Arial"/>
          <w:color w:val="000000"/>
          <w:shd w:val="clear" w:color="auto" w:fill="FFFFFF"/>
        </w:rPr>
        <w:t>10</w:t>
      </w:r>
      <w:r w:rsidR="00967946" w:rsidRPr="00DE4629">
        <w:rPr>
          <w:rFonts w:cs="Arial"/>
          <w:color w:val="000000"/>
          <w:shd w:val="clear" w:color="auto" w:fill="FFFFFF"/>
        </w:rPr>
        <w:t xml:space="preserve"> </w:t>
      </w:r>
      <w:r w:rsidR="00D91564" w:rsidRPr="00DE4629">
        <w:rPr>
          <w:rFonts w:cs="Arial"/>
          <w:color w:val="000000"/>
          <w:shd w:val="clear" w:color="auto" w:fill="FFFFFF"/>
        </w:rPr>
        <w:t>lots</w:t>
      </w:r>
      <w:r w:rsidR="00967946" w:rsidRPr="00DE4629">
        <w:rPr>
          <w:rFonts w:cs="Arial"/>
          <w:color w:val="000000"/>
          <w:shd w:val="clear" w:color="auto" w:fill="FFFFFF"/>
        </w:rPr>
        <w:t>, the four lots created by the grantee,</w:t>
      </w:r>
      <w:r w:rsidR="007665A2" w:rsidRPr="00DE4629">
        <w:rPr>
          <w:rFonts w:cs="Arial"/>
          <w:color w:val="000000"/>
          <w:shd w:val="clear" w:color="auto" w:fill="FFFFFF"/>
        </w:rPr>
        <w:t xml:space="preserve"> and </w:t>
      </w:r>
      <w:r w:rsidR="00113B63" w:rsidRPr="00DE4629">
        <w:rPr>
          <w:rFonts w:cs="Arial"/>
          <w:color w:val="000000"/>
          <w:shd w:val="clear" w:color="auto" w:fill="FFFFFF"/>
        </w:rPr>
        <w:t>the two later c</w:t>
      </w:r>
      <w:r w:rsidR="007665A2" w:rsidRPr="00DE4629">
        <w:rPr>
          <w:rFonts w:cs="Arial"/>
          <w:color w:val="000000"/>
          <w:shd w:val="clear" w:color="auto" w:fill="FFFFFF"/>
        </w:rPr>
        <w:t xml:space="preserve">onveyed </w:t>
      </w:r>
      <w:r w:rsidR="00113B63" w:rsidRPr="00DE4629">
        <w:rPr>
          <w:rFonts w:cs="Arial"/>
          <w:color w:val="000000"/>
          <w:shd w:val="clear" w:color="auto" w:fill="FFFFFF"/>
        </w:rPr>
        <w:t>lots</w:t>
      </w:r>
      <w:r w:rsidR="00967946" w:rsidRPr="00DE4629">
        <w:rPr>
          <w:rFonts w:cs="Arial"/>
          <w:color w:val="000000"/>
          <w:shd w:val="clear" w:color="auto" w:fill="FFFFFF"/>
        </w:rPr>
        <w:t xml:space="preserve"> from the </w:t>
      </w:r>
      <w:r w:rsidR="0010425A" w:rsidRPr="00DE4629">
        <w:rPr>
          <w:rFonts w:cs="Arial"/>
          <w:color w:val="000000"/>
          <w:shd w:val="clear" w:color="auto" w:fill="FFFFFF"/>
        </w:rPr>
        <w:t xml:space="preserve">remainder </w:t>
      </w:r>
      <w:r w:rsidR="00967946" w:rsidRPr="00DE4629">
        <w:rPr>
          <w:rFonts w:cs="Arial"/>
          <w:color w:val="000000"/>
          <w:shd w:val="clear" w:color="auto" w:fill="FFFFFF"/>
        </w:rPr>
        <w:t xml:space="preserve">of the </w:t>
      </w:r>
      <w:r w:rsidR="00AB466B" w:rsidRPr="00DE4629">
        <w:rPr>
          <w:rFonts w:cs="Arial"/>
          <w:color w:val="000000"/>
          <w:shd w:val="clear" w:color="auto" w:fill="FFFFFF"/>
        </w:rPr>
        <w:t>parent</w:t>
      </w:r>
      <w:r w:rsidR="0010425A" w:rsidRPr="00DE4629">
        <w:rPr>
          <w:rFonts w:cs="Arial"/>
          <w:color w:val="000000"/>
          <w:shd w:val="clear" w:color="auto" w:fill="FFFFFF"/>
        </w:rPr>
        <w:t xml:space="preserve"> </w:t>
      </w:r>
      <w:r w:rsidR="00967946" w:rsidRPr="00DE4629">
        <w:rPr>
          <w:rFonts w:cs="Arial"/>
          <w:color w:val="000000"/>
          <w:shd w:val="clear" w:color="auto" w:fill="FFFFFF"/>
        </w:rPr>
        <w:t xml:space="preserve">property, </w:t>
      </w:r>
      <w:r w:rsidR="00113B63" w:rsidRPr="00DE4629">
        <w:rPr>
          <w:rFonts w:cs="Arial"/>
          <w:color w:val="000000"/>
          <w:shd w:val="clear" w:color="auto" w:fill="FFFFFF"/>
        </w:rPr>
        <w:t>ended up in a single ownership</w:t>
      </w:r>
      <w:r w:rsidR="007665A2" w:rsidRPr="00DE4629">
        <w:rPr>
          <w:rFonts w:cs="Arial"/>
          <w:color w:val="000000"/>
          <w:shd w:val="clear" w:color="auto" w:fill="FFFFFF"/>
        </w:rPr>
        <w:t>.  The holder of an option on th</w:t>
      </w:r>
      <w:r w:rsidR="00FB6623" w:rsidRPr="00DE4629">
        <w:rPr>
          <w:rFonts w:cs="Arial"/>
          <w:color w:val="000000"/>
          <w:shd w:val="clear" w:color="auto" w:fill="FFFFFF"/>
        </w:rPr>
        <w:t>at consolidated ownership</w:t>
      </w:r>
      <w:r w:rsidR="00967946" w:rsidRPr="00DE4629">
        <w:rPr>
          <w:rFonts w:cs="Arial"/>
          <w:color w:val="000000"/>
          <w:shd w:val="clear" w:color="auto" w:fill="FFFFFF"/>
        </w:rPr>
        <w:t xml:space="preserve"> </w:t>
      </w:r>
      <w:r w:rsidR="00113B63" w:rsidRPr="00DE4629">
        <w:rPr>
          <w:rFonts w:cs="Arial"/>
          <w:color w:val="000000"/>
          <w:shd w:val="clear" w:color="auto" w:fill="FFFFFF"/>
        </w:rPr>
        <w:t>sought 12 certificates of compliance</w:t>
      </w:r>
      <w:r w:rsidR="00223112" w:rsidRPr="00DE4629">
        <w:rPr>
          <w:rFonts w:cs="Arial"/>
          <w:color w:val="000000"/>
          <w:shd w:val="clear" w:color="auto" w:fill="FFFFFF"/>
        </w:rPr>
        <w:t>, two of which were issued</w:t>
      </w:r>
      <w:r w:rsidR="00113B63" w:rsidRPr="00DE4629">
        <w:rPr>
          <w:rFonts w:cs="Arial"/>
          <w:color w:val="000000"/>
          <w:shd w:val="clear" w:color="auto" w:fill="FFFFFF"/>
        </w:rPr>
        <w:t>.</w:t>
      </w:r>
      <w:r w:rsidRPr="00DE4629">
        <w:rPr>
          <w:rFonts w:cs="Arial"/>
          <w:color w:val="000000"/>
          <w:shd w:val="clear" w:color="auto" w:fill="FFFFFF"/>
        </w:rPr>
        <w:t xml:space="preserve">  (</w:t>
      </w:r>
      <w:r w:rsidRPr="00DE4629">
        <w:rPr>
          <w:rFonts w:cs="Arial"/>
          <w:i/>
          <w:iCs/>
          <w:color w:val="000000"/>
          <w:shd w:val="clear" w:color="auto" w:fill="FFFFFF"/>
        </w:rPr>
        <w:t>I</w:t>
      </w:r>
      <w:r w:rsidR="007517E4" w:rsidRPr="00DE4629">
        <w:rPr>
          <w:rFonts w:cs="Arial"/>
          <w:i/>
          <w:iCs/>
          <w:color w:val="000000"/>
          <w:shd w:val="clear" w:color="auto" w:fill="FFFFFF"/>
        </w:rPr>
        <w:t>bid</w:t>
      </w:r>
      <w:r w:rsidRPr="00DE4629">
        <w:rPr>
          <w:rFonts w:cs="Arial"/>
          <w:color w:val="000000"/>
          <w:shd w:val="clear" w:color="auto" w:fill="FFFFFF"/>
        </w:rPr>
        <w:t>.)</w:t>
      </w:r>
      <w:r w:rsidR="00113B63" w:rsidRPr="00DE4629">
        <w:rPr>
          <w:rFonts w:cs="Arial"/>
          <w:color w:val="000000"/>
          <w:shd w:val="clear" w:color="auto" w:fill="FFFFFF"/>
        </w:rPr>
        <w:t xml:space="preserve">  </w:t>
      </w:r>
      <w:r w:rsidRPr="00DE4629">
        <w:rPr>
          <w:rFonts w:cs="Arial"/>
          <w:color w:val="000000"/>
          <w:shd w:val="clear" w:color="auto" w:fill="FFFFFF"/>
        </w:rPr>
        <w:t xml:space="preserve">At </w:t>
      </w:r>
      <w:r w:rsidR="00513CCA" w:rsidRPr="00DE4629">
        <w:rPr>
          <w:rFonts w:cs="Arial"/>
          <w:color w:val="000000"/>
          <w:shd w:val="clear" w:color="auto" w:fill="FFFFFF"/>
        </w:rPr>
        <w:t xml:space="preserve">all relevant times, </w:t>
      </w:r>
      <w:r w:rsidR="007665A2" w:rsidRPr="00DE4629">
        <w:rPr>
          <w:rFonts w:cs="Arial"/>
          <w:color w:val="000000"/>
          <w:shd w:val="clear" w:color="auto" w:fill="FFFFFF"/>
        </w:rPr>
        <w:t xml:space="preserve">the </w:t>
      </w:r>
      <w:r w:rsidRPr="00DE4629">
        <w:rPr>
          <w:rFonts w:cs="Arial"/>
          <w:color w:val="000000"/>
          <w:shd w:val="clear" w:color="auto" w:fill="FFFFFF"/>
        </w:rPr>
        <w:t>Subdivision Map Act</w:t>
      </w:r>
      <w:r w:rsidR="006F66F1" w:rsidRPr="00DE4629">
        <w:rPr>
          <w:rFonts w:cs="Arial"/>
          <w:color w:val="000000"/>
          <w:shd w:val="clear" w:color="auto" w:fill="FFFFFF"/>
        </w:rPr>
        <w:t>’s</w:t>
      </w:r>
      <w:r w:rsidRPr="00DE4629">
        <w:rPr>
          <w:rFonts w:cs="Arial"/>
          <w:color w:val="000000"/>
          <w:shd w:val="clear" w:color="auto" w:fill="FFFFFF"/>
        </w:rPr>
        <w:t xml:space="preserve"> </w:t>
      </w:r>
      <w:r w:rsidR="006F66F1" w:rsidRPr="00DE4629">
        <w:rPr>
          <w:rFonts w:cs="Arial"/>
          <w:color w:val="000000"/>
          <w:shd w:val="clear" w:color="auto" w:fill="FFFFFF"/>
        </w:rPr>
        <w:t xml:space="preserve">mapping </w:t>
      </w:r>
      <w:r w:rsidR="00967946" w:rsidRPr="00DE4629">
        <w:rPr>
          <w:rFonts w:cs="Arial"/>
          <w:color w:val="000000"/>
          <w:shd w:val="clear" w:color="auto" w:fill="FFFFFF"/>
        </w:rPr>
        <w:t xml:space="preserve">requirements </w:t>
      </w:r>
      <w:r w:rsidRPr="00DE4629">
        <w:rPr>
          <w:rFonts w:cs="Arial"/>
          <w:color w:val="000000"/>
          <w:shd w:val="clear" w:color="auto" w:fill="FFFFFF"/>
        </w:rPr>
        <w:t xml:space="preserve">applied to subdivisions of land into “five or more parcels within </w:t>
      </w:r>
      <w:proofErr w:type="gramStart"/>
      <w:r w:rsidRPr="00DE4629">
        <w:rPr>
          <w:rFonts w:cs="Arial"/>
          <w:color w:val="000000"/>
          <w:shd w:val="clear" w:color="auto" w:fill="FFFFFF"/>
        </w:rPr>
        <w:t>any one</w:t>
      </w:r>
      <w:proofErr w:type="gramEnd"/>
      <w:r w:rsidR="007517E4" w:rsidRPr="00DE4629">
        <w:rPr>
          <w:rFonts w:cs="Arial"/>
          <w:color w:val="000000"/>
          <w:shd w:val="clear" w:color="auto" w:fill="FFFFFF"/>
        </w:rPr>
        <w:t>-</w:t>
      </w:r>
      <w:r w:rsidRPr="00DE4629">
        <w:rPr>
          <w:rFonts w:cs="Arial"/>
          <w:color w:val="000000"/>
          <w:shd w:val="clear" w:color="auto" w:fill="FFFFFF"/>
        </w:rPr>
        <w:t>year period.</w:t>
      </w:r>
      <w:r w:rsidR="007517E4" w:rsidRPr="00DE4629">
        <w:rPr>
          <w:rFonts w:cs="Arial"/>
          <w:color w:val="000000"/>
          <w:shd w:val="clear" w:color="auto" w:fill="FFFFFF"/>
        </w:rPr>
        <w:t>”</w:t>
      </w:r>
      <w:r w:rsidRPr="00DE4629">
        <w:rPr>
          <w:rFonts w:cs="Arial"/>
          <w:color w:val="000000"/>
          <w:shd w:val="clear" w:color="auto" w:fill="FFFFFF"/>
        </w:rPr>
        <w:t xml:space="preserve">  (</w:t>
      </w:r>
      <w:r w:rsidRPr="00DE4629">
        <w:rPr>
          <w:rFonts w:cs="Arial"/>
          <w:i/>
          <w:iCs/>
          <w:color w:val="000000"/>
          <w:shd w:val="clear" w:color="auto" w:fill="FFFFFF"/>
        </w:rPr>
        <w:t xml:space="preserve">Id. </w:t>
      </w:r>
      <w:r w:rsidRPr="00DE4629">
        <w:rPr>
          <w:rFonts w:cs="Arial"/>
          <w:color w:val="000000"/>
          <w:shd w:val="clear" w:color="auto" w:fill="FFFFFF"/>
        </w:rPr>
        <w:t>at p. 902.)</w:t>
      </w:r>
    </w:p>
    <w:p w14:paraId="3A1FB607" w14:textId="5B0A9607" w:rsidR="00220901" w:rsidRPr="00DE4629" w:rsidRDefault="00CA5748" w:rsidP="00AF46A9">
      <w:pPr>
        <w:spacing w:line="360" w:lineRule="auto"/>
        <w:rPr>
          <w:rFonts w:cs="Arial"/>
          <w:color w:val="000000"/>
          <w:shd w:val="clear" w:color="auto" w:fill="FFFFFF"/>
        </w:rPr>
      </w:pPr>
      <w:r w:rsidRPr="00DE4629">
        <w:rPr>
          <w:rFonts w:cs="Arial"/>
          <w:color w:val="000000"/>
          <w:shd w:val="clear" w:color="auto" w:fill="FFFFFF"/>
        </w:rPr>
        <w:tab/>
      </w:r>
      <w:r w:rsidR="006365C0" w:rsidRPr="00DE4629">
        <w:rPr>
          <w:rFonts w:cs="Arial"/>
          <w:color w:val="000000"/>
          <w:shd w:val="clear" w:color="auto" w:fill="FFFFFF"/>
        </w:rPr>
        <w:t>On appeal, t</w:t>
      </w:r>
      <w:r w:rsidR="00113B63" w:rsidRPr="00DE4629">
        <w:rPr>
          <w:rFonts w:cs="Arial"/>
          <w:color w:val="000000"/>
          <w:shd w:val="clear" w:color="auto" w:fill="FFFFFF"/>
        </w:rPr>
        <w:t xml:space="preserve">he </w:t>
      </w:r>
      <w:r w:rsidRPr="00DE4629">
        <w:rPr>
          <w:rFonts w:cs="Arial"/>
          <w:color w:val="000000"/>
          <w:shd w:val="clear" w:color="auto" w:fill="FFFFFF"/>
        </w:rPr>
        <w:t xml:space="preserve">option holder </w:t>
      </w:r>
      <w:r w:rsidR="007665A2" w:rsidRPr="00DE4629">
        <w:rPr>
          <w:rFonts w:cs="Arial"/>
          <w:color w:val="000000"/>
          <w:shd w:val="clear" w:color="auto" w:fill="FFFFFF"/>
        </w:rPr>
        <w:t xml:space="preserve">claimed </w:t>
      </w:r>
      <w:r w:rsidR="00113B63" w:rsidRPr="00DE4629">
        <w:rPr>
          <w:rFonts w:cs="Arial"/>
          <w:color w:val="000000"/>
          <w:shd w:val="clear" w:color="auto" w:fill="FFFFFF"/>
        </w:rPr>
        <w:t xml:space="preserve">the </w:t>
      </w:r>
      <w:r w:rsidR="00943407" w:rsidRPr="00DE4629">
        <w:rPr>
          <w:rFonts w:cs="Arial"/>
          <w:color w:val="000000"/>
          <w:shd w:val="clear" w:color="auto" w:fill="FFFFFF"/>
        </w:rPr>
        <w:t xml:space="preserve">first </w:t>
      </w:r>
      <w:r w:rsidR="0091678D" w:rsidRPr="00DE4629">
        <w:rPr>
          <w:rFonts w:cs="Arial"/>
          <w:color w:val="000000"/>
          <w:shd w:val="clear" w:color="auto" w:fill="FFFFFF"/>
        </w:rPr>
        <w:t xml:space="preserve">four </w:t>
      </w:r>
      <w:r w:rsidR="00113B63" w:rsidRPr="00DE4629">
        <w:rPr>
          <w:rFonts w:cs="Arial"/>
          <w:color w:val="000000"/>
          <w:shd w:val="clear" w:color="auto" w:fill="FFFFFF"/>
        </w:rPr>
        <w:t xml:space="preserve">lots </w:t>
      </w:r>
      <w:r w:rsidRPr="00DE4629">
        <w:rPr>
          <w:rFonts w:cs="Arial"/>
          <w:color w:val="000000"/>
          <w:shd w:val="clear" w:color="auto" w:fill="FFFFFF"/>
        </w:rPr>
        <w:t xml:space="preserve">conveyed </w:t>
      </w:r>
      <w:r w:rsidR="00943407" w:rsidRPr="00DE4629">
        <w:rPr>
          <w:rFonts w:cs="Arial"/>
          <w:color w:val="000000"/>
          <w:shd w:val="clear" w:color="auto" w:fill="FFFFFF"/>
        </w:rPr>
        <w:t xml:space="preserve">following the survey </w:t>
      </w:r>
      <w:r w:rsidRPr="00DE4629">
        <w:rPr>
          <w:rFonts w:cs="Arial"/>
          <w:color w:val="000000"/>
          <w:shd w:val="clear" w:color="auto" w:fill="FFFFFF"/>
        </w:rPr>
        <w:t xml:space="preserve">were legally created </w:t>
      </w:r>
      <w:r w:rsidR="00113B63" w:rsidRPr="00DE4629">
        <w:rPr>
          <w:rFonts w:cs="Arial"/>
          <w:color w:val="000000"/>
          <w:shd w:val="clear" w:color="auto" w:fill="FFFFFF"/>
        </w:rPr>
        <w:t xml:space="preserve">by </w:t>
      </w:r>
      <w:proofErr w:type="gramStart"/>
      <w:r w:rsidR="00113B63" w:rsidRPr="00DE4629">
        <w:rPr>
          <w:rFonts w:cs="Arial"/>
          <w:color w:val="000000"/>
          <w:shd w:val="clear" w:color="auto" w:fill="FFFFFF"/>
        </w:rPr>
        <w:t>“</w:t>
      </w:r>
      <w:r w:rsidR="00FA70BC" w:rsidRPr="00DE4629">
        <w:rPr>
          <w:rFonts w:cs="Arial"/>
          <w:color w:val="000000"/>
          <w:shd w:val="clear" w:color="auto" w:fill="FFFFFF"/>
        </w:rPr>
        <w:t xml:space="preserve"> ‘</w:t>
      </w:r>
      <w:proofErr w:type="gramEnd"/>
      <w:r w:rsidR="00113B63" w:rsidRPr="00DE4629">
        <w:rPr>
          <w:rFonts w:cs="Arial"/>
          <w:color w:val="000000"/>
          <w:shd w:val="clear" w:color="auto" w:fill="FFFFFF"/>
        </w:rPr>
        <w:t>quartering</w:t>
      </w:r>
      <w:r w:rsidR="006365C0" w:rsidRPr="00DE4629">
        <w:rPr>
          <w:rFonts w:cs="Arial"/>
          <w:color w:val="000000"/>
          <w:shd w:val="clear" w:color="auto" w:fill="FFFFFF"/>
        </w:rPr>
        <w:t>.</w:t>
      </w:r>
      <w:r w:rsidR="00FA70BC" w:rsidRPr="00DE4629">
        <w:rPr>
          <w:rFonts w:cs="Arial"/>
          <w:color w:val="000000"/>
          <w:shd w:val="clear" w:color="auto" w:fill="FFFFFF"/>
        </w:rPr>
        <w:t xml:space="preserve">’ </w:t>
      </w:r>
      <w:r w:rsidR="00113B63" w:rsidRPr="00DE4629">
        <w:rPr>
          <w:rFonts w:cs="Arial"/>
          <w:color w:val="000000"/>
          <w:shd w:val="clear" w:color="auto" w:fill="FFFFFF"/>
        </w:rPr>
        <w:t xml:space="preserve">” </w:t>
      </w:r>
      <w:r w:rsidR="0091678D" w:rsidRPr="00DE4629">
        <w:rPr>
          <w:rFonts w:cs="Arial"/>
          <w:color w:val="000000"/>
          <w:shd w:val="clear" w:color="auto" w:fill="FFFFFF"/>
        </w:rPr>
        <w:t xml:space="preserve"> </w:t>
      </w:r>
      <w:r w:rsidR="00113B63" w:rsidRPr="00DE4629">
        <w:rPr>
          <w:rFonts w:cs="Arial"/>
          <w:color w:val="000000"/>
          <w:shd w:val="clear" w:color="auto" w:fill="FFFFFF"/>
        </w:rPr>
        <w:t>(</w:t>
      </w:r>
      <w:r w:rsidR="005C615D" w:rsidRPr="00DE4629">
        <w:rPr>
          <w:rFonts w:cs="Arial"/>
          <w:i/>
          <w:iCs/>
          <w:color w:val="000000"/>
          <w:shd w:val="clear" w:color="auto" w:fill="FFFFFF"/>
        </w:rPr>
        <w:t>Fishback, supra,</w:t>
      </w:r>
      <w:r w:rsidR="005C615D" w:rsidRPr="00DE4629">
        <w:rPr>
          <w:rFonts w:cs="Arial"/>
          <w:color w:val="000000"/>
          <w:shd w:val="clear" w:color="auto" w:fill="FFFFFF"/>
        </w:rPr>
        <w:t xml:space="preserve"> 133 Cal.App.4th </w:t>
      </w:r>
      <w:r w:rsidR="0091678D" w:rsidRPr="00DE4629">
        <w:rPr>
          <w:rFonts w:cs="Arial"/>
          <w:color w:val="000000"/>
          <w:shd w:val="clear" w:color="auto" w:fill="FFFFFF"/>
        </w:rPr>
        <w:t>at pp. 901</w:t>
      </w:r>
      <w:r w:rsidR="009415F4" w:rsidRPr="00DE4629">
        <w:t>–</w:t>
      </w:r>
      <w:r w:rsidR="0091678D" w:rsidRPr="00DE4629">
        <w:rPr>
          <w:rFonts w:cs="Arial"/>
          <w:color w:val="000000"/>
          <w:shd w:val="clear" w:color="auto" w:fill="FFFFFF"/>
        </w:rPr>
        <w:t>902.)</w:t>
      </w:r>
      <w:r w:rsidR="00113B63" w:rsidRPr="00DE4629">
        <w:rPr>
          <w:rFonts w:cs="Arial"/>
          <w:color w:val="000000"/>
          <w:shd w:val="clear" w:color="auto" w:fill="FFFFFF"/>
        </w:rPr>
        <w:t xml:space="preserve">  The </w:t>
      </w:r>
      <w:r w:rsidR="005C615D" w:rsidRPr="00DE4629">
        <w:rPr>
          <w:rFonts w:cs="Arial"/>
          <w:color w:val="000000"/>
          <w:shd w:val="clear" w:color="auto" w:fill="FFFFFF"/>
        </w:rPr>
        <w:t>C</w:t>
      </w:r>
      <w:r w:rsidR="00113B63" w:rsidRPr="00DE4629">
        <w:rPr>
          <w:rFonts w:cs="Arial"/>
          <w:color w:val="000000"/>
          <w:shd w:val="clear" w:color="auto" w:fill="FFFFFF"/>
        </w:rPr>
        <w:t xml:space="preserve">ourt of </w:t>
      </w:r>
      <w:r w:rsidR="005C615D" w:rsidRPr="00DE4629">
        <w:rPr>
          <w:rFonts w:cs="Arial"/>
          <w:color w:val="000000"/>
          <w:shd w:val="clear" w:color="auto" w:fill="FFFFFF"/>
        </w:rPr>
        <w:t>A</w:t>
      </w:r>
      <w:r w:rsidR="00113B63" w:rsidRPr="00DE4629">
        <w:rPr>
          <w:rFonts w:cs="Arial"/>
          <w:color w:val="000000"/>
          <w:shd w:val="clear" w:color="auto" w:fill="FFFFFF"/>
        </w:rPr>
        <w:t xml:space="preserve">ppeal </w:t>
      </w:r>
      <w:r w:rsidR="00223112" w:rsidRPr="00DE4629">
        <w:rPr>
          <w:rFonts w:cs="Arial"/>
          <w:color w:val="000000"/>
          <w:shd w:val="clear" w:color="auto" w:fill="FFFFFF"/>
        </w:rPr>
        <w:t xml:space="preserve">rejected this theory, </w:t>
      </w:r>
      <w:r w:rsidR="0091678D" w:rsidRPr="00DE4629">
        <w:rPr>
          <w:rFonts w:cs="Arial"/>
          <w:color w:val="000000"/>
          <w:shd w:val="clear" w:color="auto" w:fill="FFFFFF"/>
        </w:rPr>
        <w:t>concluding the “10 conveyances broke up the parent parcel so as to create 14 parcels</w:t>
      </w:r>
      <w:r w:rsidR="00223112" w:rsidRPr="00DE4629">
        <w:rPr>
          <w:rFonts w:cs="Arial"/>
          <w:color w:val="000000"/>
          <w:shd w:val="clear" w:color="auto" w:fill="FFFFFF"/>
        </w:rPr>
        <w:t>.”  (</w:t>
      </w:r>
      <w:r w:rsidR="00223112" w:rsidRPr="00DE4629">
        <w:rPr>
          <w:rFonts w:cs="Arial"/>
          <w:i/>
          <w:iCs/>
          <w:color w:val="000000"/>
          <w:shd w:val="clear" w:color="auto" w:fill="FFFFFF"/>
        </w:rPr>
        <w:t xml:space="preserve">Id. </w:t>
      </w:r>
      <w:r w:rsidR="00223112" w:rsidRPr="00DE4629">
        <w:rPr>
          <w:rFonts w:cs="Arial"/>
          <w:color w:val="000000"/>
          <w:shd w:val="clear" w:color="auto" w:fill="FFFFFF"/>
        </w:rPr>
        <w:t>at p. 902.)</w:t>
      </w:r>
      <w:r w:rsidR="007665A2" w:rsidRPr="00DE4629">
        <w:rPr>
          <w:rFonts w:cs="Arial"/>
          <w:color w:val="000000"/>
          <w:shd w:val="clear" w:color="auto" w:fill="FFFFFF"/>
        </w:rPr>
        <w:t xml:space="preserve">  </w:t>
      </w:r>
      <w:r w:rsidR="00345C7D" w:rsidRPr="00DE4629">
        <w:rPr>
          <w:rFonts w:cs="Arial"/>
          <w:color w:val="000000"/>
          <w:shd w:val="clear" w:color="auto" w:fill="FFFFFF"/>
        </w:rPr>
        <w:t xml:space="preserve">The subdivision had therefore resulted in </w:t>
      </w:r>
      <w:proofErr w:type="gramStart"/>
      <w:r w:rsidR="007665A2" w:rsidRPr="00DE4629">
        <w:rPr>
          <w:rFonts w:cs="Arial"/>
          <w:color w:val="000000"/>
          <w:shd w:val="clear" w:color="auto" w:fill="FFFFFF"/>
        </w:rPr>
        <w:t>“</w:t>
      </w:r>
      <w:r w:rsidR="004145C3" w:rsidRPr="00DE4629">
        <w:rPr>
          <w:rFonts w:cs="Arial"/>
          <w:color w:val="000000"/>
          <w:shd w:val="clear" w:color="auto" w:fill="FFFFFF"/>
        </w:rPr>
        <w:t> </w:t>
      </w:r>
      <w:r w:rsidR="00FA70BC" w:rsidRPr="00DE4629">
        <w:rPr>
          <w:rFonts w:cs="Arial"/>
          <w:color w:val="000000"/>
          <w:shd w:val="clear" w:color="auto" w:fill="FFFFFF"/>
        </w:rPr>
        <w:t>‘</w:t>
      </w:r>
      <w:proofErr w:type="gramEnd"/>
      <w:r w:rsidR="007665A2" w:rsidRPr="00DE4629">
        <w:rPr>
          <w:rFonts w:cs="Arial"/>
          <w:color w:val="000000"/>
          <w:shd w:val="clear" w:color="auto" w:fill="FFFFFF"/>
        </w:rPr>
        <w:t>five or more parcels within any one year period</w:t>
      </w:r>
      <w:r w:rsidR="006365C0" w:rsidRPr="00DE4629">
        <w:rPr>
          <w:rFonts w:cs="Arial"/>
          <w:color w:val="000000"/>
          <w:shd w:val="clear" w:color="auto" w:fill="FFFFFF"/>
        </w:rPr>
        <w:t>,</w:t>
      </w:r>
      <w:r w:rsidR="00FA70BC" w:rsidRPr="00DE4629">
        <w:rPr>
          <w:rFonts w:cs="Arial"/>
          <w:color w:val="000000"/>
          <w:shd w:val="clear" w:color="auto" w:fill="FFFFFF"/>
        </w:rPr>
        <w:t xml:space="preserve">’ </w:t>
      </w:r>
      <w:r w:rsidR="007665A2" w:rsidRPr="00DE4629">
        <w:rPr>
          <w:rFonts w:cs="Arial"/>
          <w:color w:val="000000"/>
          <w:shd w:val="clear" w:color="auto" w:fill="FFFFFF"/>
        </w:rPr>
        <w:t>”</w:t>
      </w:r>
      <w:r w:rsidR="006365C0" w:rsidRPr="00DE4629">
        <w:rPr>
          <w:rFonts w:cs="Arial"/>
          <w:color w:val="000000"/>
          <w:shd w:val="clear" w:color="auto" w:fill="FFFFFF"/>
        </w:rPr>
        <w:t xml:space="preserve"> triggering </w:t>
      </w:r>
      <w:r w:rsidR="0010425A" w:rsidRPr="00DE4629">
        <w:rPr>
          <w:rFonts w:cs="Arial"/>
          <w:color w:val="000000"/>
          <w:shd w:val="clear" w:color="auto" w:fill="FFFFFF"/>
        </w:rPr>
        <w:t xml:space="preserve">the </w:t>
      </w:r>
      <w:r w:rsidR="006365C0" w:rsidRPr="00DE4629">
        <w:rPr>
          <w:rFonts w:cs="Arial"/>
          <w:color w:val="000000"/>
          <w:shd w:val="clear" w:color="auto" w:fill="FFFFFF"/>
        </w:rPr>
        <w:t>Act</w:t>
      </w:r>
      <w:r w:rsidR="0010425A" w:rsidRPr="00DE4629">
        <w:rPr>
          <w:rFonts w:cs="Arial"/>
          <w:color w:val="000000"/>
          <w:shd w:val="clear" w:color="auto" w:fill="FFFFFF"/>
        </w:rPr>
        <w:t>’s mapping</w:t>
      </w:r>
      <w:r w:rsidR="006365C0" w:rsidRPr="00DE4629">
        <w:rPr>
          <w:rFonts w:cs="Arial"/>
          <w:color w:val="000000"/>
          <w:shd w:val="clear" w:color="auto" w:fill="FFFFFF"/>
        </w:rPr>
        <w:t xml:space="preserve"> requirements.</w:t>
      </w:r>
      <w:r w:rsidR="007665A2" w:rsidRPr="00DE4629">
        <w:rPr>
          <w:rFonts w:cs="Arial"/>
          <w:color w:val="000000"/>
          <w:shd w:val="clear" w:color="auto" w:fill="FFFFFF"/>
        </w:rPr>
        <w:t xml:space="preserve">  (</w:t>
      </w:r>
      <w:r w:rsidR="007665A2" w:rsidRPr="00DE4629">
        <w:rPr>
          <w:rFonts w:cs="Arial"/>
          <w:i/>
          <w:iCs/>
          <w:color w:val="000000"/>
          <w:shd w:val="clear" w:color="auto" w:fill="FFFFFF"/>
        </w:rPr>
        <w:t>Ibid.</w:t>
      </w:r>
      <w:r w:rsidR="007665A2" w:rsidRPr="00DE4629">
        <w:rPr>
          <w:rFonts w:cs="Arial"/>
          <w:color w:val="000000"/>
          <w:shd w:val="clear" w:color="auto" w:fill="FFFFFF"/>
        </w:rPr>
        <w:t xml:space="preserve">) </w:t>
      </w:r>
      <w:r w:rsidR="00223112" w:rsidRPr="00DE4629">
        <w:rPr>
          <w:rFonts w:cs="Arial"/>
          <w:color w:val="000000"/>
          <w:shd w:val="clear" w:color="auto" w:fill="FFFFFF"/>
        </w:rPr>
        <w:t xml:space="preserve">  </w:t>
      </w:r>
    </w:p>
    <w:p w14:paraId="4ED2F325" w14:textId="28E58A76" w:rsidR="00D4008C" w:rsidRPr="00DE4629" w:rsidRDefault="00CA5748" w:rsidP="00AF46A9">
      <w:pPr>
        <w:spacing w:line="360" w:lineRule="auto"/>
        <w:rPr>
          <w:rFonts w:cs="Arial"/>
          <w:color w:val="000000"/>
          <w:shd w:val="clear" w:color="auto" w:fill="FFFFFF"/>
        </w:rPr>
      </w:pPr>
      <w:r w:rsidRPr="00DE4629">
        <w:rPr>
          <w:rFonts w:cs="Arial"/>
          <w:color w:val="000000"/>
          <w:shd w:val="clear" w:color="auto" w:fill="FFFFFF"/>
        </w:rPr>
        <w:tab/>
      </w:r>
      <w:r w:rsidR="00223112" w:rsidRPr="00DE4629">
        <w:rPr>
          <w:rFonts w:cs="Arial"/>
          <w:color w:val="000000"/>
          <w:shd w:val="clear" w:color="auto" w:fill="FFFFFF"/>
        </w:rPr>
        <w:t xml:space="preserve">The </w:t>
      </w:r>
      <w:r w:rsidRPr="00DE4629">
        <w:rPr>
          <w:rFonts w:cs="Arial"/>
          <w:color w:val="000000"/>
          <w:shd w:val="clear" w:color="auto" w:fill="FFFFFF"/>
        </w:rPr>
        <w:t>holder</w:t>
      </w:r>
      <w:r w:rsidR="00223112" w:rsidRPr="00DE4629">
        <w:rPr>
          <w:rFonts w:cs="Arial"/>
          <w:color w:val="000000"/>
          <w:shd w:val="clear" w:color="auto" w:fill="FFFFFF"/>
        </w:rPr>
        <w:t xml:space="preserve"> alternatively </w:t>
      </w:r>
      <w:r w:rsidR="006365C0" w:rsidRPr="00DE4629">
        <w:rPr>
          <w:rFonts w:cs="Arial"/>
          <w:color w:val="000000"/>
          <w:shd w:val="clear" w:color="auto" w:fill="FFFFFF"/>
        </w:rPr>
        <w:t>argued</w:t>
      </w:r>
      <w:r w:rsidR="00223112" w:rsidRPr="00DE4629">
        <w:rPr>
          <w:rFonts w:cs="Arial"/>
          <w:color w:val="000000"/>
          <w:shd w:val="clear" w:color="auto" w:fill="FFFFFF"/>
        </w:rPr>
        <w:t xml:space="preserve"> that, at the very least, the four parcels </w:t>
      </w:r>
      <w:r w:rsidR="007665A2" w:rsidRPr="00DE4629">
        <w:rPr>
          <w:rFonts w:cs="Arial"/>
          <w:color w:val="000000"/>
          <w:shd w:val="clear" w:color="auto" w:fill="FFFFFF"/>
        </w:rPr>
        <w:t xml:space="preserve">the grantee </w:t>
      </w:r>
      <w:r w:rsidR="006F66F1" w:rsidRPr="00DE4629">
        <w:rPr>
          <w:rFonts w:cs="Arial"/>
          <w:color w:val="000000"/>
          <w:shd w:val="clear" w:color="auto" w:fill="FFFFFF"/>
        </w:rPr>
        <w:t xml:space="preserve">had </w:t>
      </w:r>
      <w:r w:rsidR="007665A2" w:rsidRPr="00DE4629">
        <w:rPr>
          <w:rFonts w:cs="Arial"/>
          <w:color w:val="000000"/>
          <w:shd w:val="clear" w:color="auto" w:fill="FFFFFF"/>
        </w:rPr>
        <w:t xml:space="preserve">created from the </w:t>
      </w:r>
      <w:r w:rsidR="00967946" w:rsidRPr="00DE4629">
        <w:rPr>
          <w:rFonts w:cs="Arial"/>
          <w:color w:val="000000"/>
          <w:shd w:val="clear" w:color="auto" w:fill="FFFFFF"/>
        </w:rPr>
        <w:t xml:space="preserve">parcel </w:t>
      </w:r>
      <w:r w:rsidR="007665A2" w:rsidRPr="00DE4629">
        <w:rPr>
          <w:rFonts w:cs="Arial"/>
          <w:color w:val="000000"/>
          <w:shd w:val="clear" w:color="auto" w:fill="FFFFFF"/>
        </w:rPr>
        <w:t xml:space="preserve">he purchased </w:t>
      </w:r>
      <w:r w:rsidR="00223112" w:rsidRPr="00DE4629">
        <w:rPr>
          <w:rFonts w:cs="Arial"/>
          <w:color w:val="000000"/>
          <w:shd w:val="clear" w:color="auto" w:fill="FFFFFF"/>
        </w:rPr>
        <w:t xml:space="preserve">were </w:t>
      </w:r>
      <w:r w:rsidR="007665A2" w:rsidRPr="00DE4629">
        <w:rPr>
          <w:rFonts w:cs="Arial"/>
          <w:color w:val="000000"/>
          <w:shd w:val="clear" w:color="auto" w:fill="FFFFFF"/>
        </w:rPr>
        <w:t>legal</w:t>
      </w:r>
      <w:r w:rsidR="00223112" w:rsidRPr="00DE4629">
        <w:rPr>
          <w:rFonts w:cs="Arial"/>
          <w:color w:val="000000"/>
          <w:shd w:val="clear" w:color="auto" w:fill="FFFFFF"/>
        </w:rPr>
        <w:t xml:space="preserve"> under the fewer</w:t>
      </w:r>
      <w:r w:rsidR="006365C0" w:rsidRPr="00DE4629">
        <w:rPr>
          <w:rFonts w:cs="Arial"/>
          <w:color w:val="000000"/>
          <w:shd w:val="clear" w:color="auto" w:fill="FFFFFF"/>
        </w:rPr>
        <w:t>-</w:t>
      </w:r>
      <w:r w:rsidR="00223112" w:rsidRPr="00DE4629">
        <w:rPr>
          <w:rFonts w:cs="Arial"/>
          <w:color w:val="000000"/>
          <w:shd w:val="clear" w:color="auto" w:fill="FFFFFF"/>
        </w:rPr>
        <w:t>than</w:t>
      </w:r>
      <w:r w:rsidR="006365C0" w:rsidRPr="00DE4629">
        <w:rPr>
          <w:rFonts w:cs="Arial"/>
          <w:color w:val="000000"/>
          <w:shd w:val="clear" w:color="auto" w:fill="FFFFFF"/>
        </w:rPr>
        <w:t>-</w:t>
      </w:r>
      <w:r w:rsidR="00223112" w:rsidRPr="00DE4629">
        <w:rPr>
          <w:rFonts w:cs="Arial"/>
          <w:color w:val="000000"/>
          <w:shd w:val="clear" w:color="auto" w:fill="FFFFFF"/>
        </w:rPr>
        <w:t xml:space="preserve">five presumption of </w:t>
      </w:r>
      <w:r w:rsidR="000D5FA4" w:rsidRPr="00DE4629">
        <w:rPr>
          <w:rFonts w:cs="Arial"/>
          <w:color w:val="000000"/>
          <w:shd w:val="clear" w:color="auto" w:fill="FFFFFF"/>
        </w:rPr>
        <w:t>legality</w:t>
      </w:r>
      <w:r w:rsidRPr="00DE4629">
        <w:rPr>
          <w:rFonts w:cs="Arial"/>
          <w:color w:val="000000"/>
          <w:shd w:val="clear" w:color="auto" w:fill="FFFFFF"/>
        </w:rPr>
        <w:t xml:space="preserve"> set forth in section 66412.6, subdivision (a).</w:t>
      </w:r>
      <w:r w:rsidR="00223112" w:rsidRPr="00DE4629">
        <w:rPr>
          <w:rFonts w:cs="Arial"/>
          <w:color w:val="000000"/>
          <w:shd w:val="clear" w:color="auto" w:fill="FFFFFF"/>
        </w:rPr>
        <w:t xml:space="preserve">  (</w:t>
      </w:r>
      <w:r w:rsidR="005C615D" w:rsidRPr="00DE4629">
        <w:rPr>
          <w:rFonts w:cs="Arial"/>
          <w:i/>
          <w:iCs/>
          <w:color w:val="000000"/>
          <w:shd w:val="clear" w:color="auto" w:fill="FFFFFF"/>
        </w:rPr>
        <w:t>Fishback, supra,</w:t>
      </w:r>
      <w:r w:rsidR="005C615D" w:rsidRPr="00DE4629">
        <w:rPr>
          <w:rFonts w:cs="Arial"/>
          <w:color w:val="000000"/>
          <w:shd w:val="clear" w:color="auto" w:fill="FFFFFF"/>
        </w:rPr>
        <w:t xml:space="preserve"> 133 Cal.App.4th </w:t>
      </w:r>
      <w:r w:rsidR="00223112" w:rsidRPr="00DE4629">
        <w:rPr>
          <w:rFonts w:cs="Arial"/>
          <w:color w:val="000000"/>
          <w:shd w:val="clear" w:color="auto" w:fill="FFFFFF"/>
        </w:rPr>
        <w:t xml:space="preserve">at p. 904.)  The court also rejected this theory, </w:t>
      </w:r>
      <w:r w:rsidR="007A7747" w:rsidRPr="00DE4629">
        <w:rPr>
          <w:rFonts w:cs="Arial"/>
          <w:color w:val="000000"/>
          <w:shd w:val="clear" w:color="auto" w:fill="FFFFFF"/>
        </w:rPr>
        <w:t xml:space="preserve">stating </w:t>
      </w:r>
      <w:r w:rsidR="00223112" w:rsidRPr="00DE4629">
        <w:rPr>
          <w:rFonts w:cs="Arial"/>
          <w:color w:val="000000"/>
          <w:shd w:val="clear" w:color="auto" w:fill="FFFFFF"/>
        </w:rPr>
        <w:t>th</w:t>
      </w:r>
      <w:r w:rsidR="000D5FA4" w:rsidRPr="00DE4629">
        <w:rPr>
          <w:rFonts w:cs="Arial"/>
          <w:color w:val="000000"/>
          <w:shd w:val="clear" w:color="auto" w:fill="FFFFFF"/>
        </w:rPr>
        <w:t>e</w:t>
      </w:r>
      <w:r w:rsidR="00223112" w:rsidRPr="00DE4629">
        <w:rPr>
          <w:rFonts w:cs="Arial"/>
          <w:color w:val="000000"/>
          <w:shd w:val="clear" w:color="auto" w:fill="FFFFFF"/>
        </w:rPr>
        <w:t xml:space="preserve"> </w:t>
      </w:r>
      <w:r w:rsidRPr="00DE4629">
        <w:rPr>
          <w:rFonts w:cs="Arial"/>
          <w:color w:val="000000"/>
          <w:shd w:val="clear" w:color="auto" w:fill="FFFFFF"/>
        </w:rPr>
        <w:t xml:space="preserve">statute “simply clarifies that parcels </w:t>
      </w:r>
      <w:r w:rsidR="00345C7D" w:rsidRPr="00DE4629">
        <w:rPr>
          <w:rFonts w:cs="Arial"/>
          <w:color w:val="000000"/>
          <w:shd w:val="clear" w:color="auto" w:fill="FFFFFF"/>
        </w:rPr>
        <w:t xml:space="preserve">legally </w:t>
      </w:r>
      <w:r w:rsidRPr="00DE4629">
        <w:rPr>
          <w:rFonts w:cs="Arial"/>
          <w:color w:val="000000"/>
          <w:shd w:val="clear" w:color="auto" w:fill="FFFFFF"/>
        </w:rPr>
        <w:t xml:space="preserve">created without a parcel map are legal even after the parcel map requirement </w:t>
      </w:r>
      <w:r w:rsidR="00943407" w:rsidRPr="00DE4629">
        <w:rPr>
          <w:rFonts w:cs="Arial"/>
          <w:color w:val="000000"/>
          <w:shd w:val="clear" w:color="auto" w:fill="FFFFFF"/>
        </w:rPr>
        <w:t xml:space="preserve">was </w:t>
      </w:r>
      <w:r w:rsidRPr="00DE4629">
        <w:rPr>
          <w:rFonts w:cs="Arial"/>
          <w:color w:val="000000"/>
          <w:shd w:val="clear" w:color="auto" w:fill="FFFFFF"/>
        </w:rPr>
        <w:t>added to the</w:t>
      </w:r>
      <w:r w:rsidR="00602BCF" w:rsidRPr="00DE4629">
        <w:rPr>
          <w:rFonts w:cs="Arial"/>
          <w:color w:val="000000"/>
          <w:shd w:val="clear" w:color="auto" w:fill="FFFFFF"/>
        </w:rPr>
        <w:t xml:space="preserve"> </w:t>
      </w:r>
      <w:r w:rsidRPr="00DE4629">
        <w:rPr>
          <w:rFonts w:cs="Arial"/>
          <w:color w:val="000000"/>
          <w:shd w:val="clear" w:color="auto" w:fill="FFFFFF"/>
        </w:rPr>
        <w:t>[Subdivision Map Act].  The statute does not legalize illegally created parcels.”  (</w:t>
      </w:r>
      <w:r w:rsidRPr="00DE4629">
        <w:rPr>
          <w:rFonts w:cs="Arial"/>
          <w:i/>
          <w:iCs/>
          <w:color w:val="000000"/>
          <w:shd w:val="clear" w:color="auto" w:fill="FFFFFF"/>
        </w:rPr>
        <w:t>Ibid</w:t>
      </w:r>
      <w:r w:rsidR="00996181" w:rsidRPr="00DE4629">
        <w:rPr>
          <w:rFonts w:cs="Arial"/>
          <w:color w:val="000000"/>
          <w:shd w:val="clear" w:color="auto" w:fill="FFFFFF"/>
        </w:rPr>
        <w:t>.</w:t>
      </w:r>
      <w:r w:rsidRPr="00DE4629">
        <w:rPr>
          <w:rFonts w:cs="Arial"/>
          <w:color w:val="000000"/>
          <w:shd w:val="clear" w:color="auto" w:fill="FFFFFF"/>
        </w:rPr>
        <w:t>)  “Here,” said the court,</w:t>
      </w:r>
      <w:r w:rsidR="00996181" w:rsidRPr="00DE4629">
        <w:rPr>
          <w:rFonts w:cs="Arial"/>
          <w:color w:val="000000"/>
          <w:shd w:val="clear" w:color="auto" w:fill="FFFFFF"/>
        </w:rPr>
        <w:t xml:space="preserve"> “</w:t>
      </w:r>
      <w:r w:rsidRPr="00DE4629">
        <w:rPr>
          <w:rFonts w:cs="Arial"/>
          <w:color w:val="000000"/>
          <w:shd w:val="clear" w:color="auto" w:fill="FFFFFF"/>
        </w:rPr>
        <w:t xml:space="preserve">the four </w:t>
      </w:r>
      <w:r w:rsidR="00602BCF" w:rsidRPr="00DE4629">
        <w:rPr>
          <w:rFonts w:cs="Arial"/>
          <w:color w:val="000000"/>
          <w:shd w:val="clear" w:color="auto" w:fill="FFFFFF"/>
        </w:rPr>
        <w:t xml:space="preserve">. . . </w:t>
      </w:r>
      <w:r w:rsidRPr="00DE4629">
        <w:rPr>
          <w:rFonts w:cs="Arial"/>
          <w:color w:val="000000"/>
          <w:shd w:val="clear" w:color="auto" w:fill="FFFFFF"/>
        </w:rPr>
        <w:t xml:space="preserve">parcels </w:t>
      </w:r>
      <w:r w:rsidR="00943407" w:rsidRPr="00DE4629">
        <w:rPr>
          <w:rFonts w:cs="Arial"/>
          <w:color w:val="000000"/>
          <w:shd w:val="clear" w:color="auto" w:fill="FFFFFF"/>
        </w:rPr>
        <w:t xml:space="preserve">[created by the grantee] </w:t>
      </w:r>
      <w:r w:rsidRPr="00DE4629">
        <w:rPr>
          <w:rFonts w:cs="Arial"/>
          <w:color w:val="000000"/>
          <w:shd w:val="clear" w:color="auto" w:fill="FFFFFF"/>
        </w:rPr>
        <w:t xml:space="preserve">resulted from the parent parcel’s division into </w:t>
      </w:r>
      <w:r w:rsidR="00602BCF" w:rsidRPr="00DE4629">
        <w:rPr>
          <w:rFonts w:cs="Arial"/>
          <w:color w:val="000000"/>
          <w:shd w:val="clear" w:color="auto" w:fill="FFFFFF"/>
        </w:rPr>
        <w:t>14</w:t>
      </w:r>
      <w:r w:rsidRPr="00DE4629">
        <w:rPr>
          <w:rFonts w:cs="Arial"/>
          <w:color w:val="000000"/>
          <w:shd w:val="clear" w:color="auto" w:fill="FFFFFF"/>
        </w:rPr>
        <w:t xml:space="preserve"> parcels,” which </w:t>
      </w:r>
      <w:r w:rsidR="00996181" w:rsidRPr="00DE4629">
        <w:rPr>
          <w:rFonts w:cs="Arial"/>
          <w:color w:val="000000"/>
          <w:shd w:val="clear" w:color="auto" w:fill="FFFFFF"/>
        </w:rPr>
        <w:t xml:space="preserve">brought </w:t>
      </w:r>
      <w:r w:rsidR="00943407" w:rsidRPr="00DE4629">
        <w:rPr>
          <w:rFonts w:cs="Arial"/>
          <w:color w:val="000000"/>
          <w:shd w:val="clear" w:color="auto" w:fill="FFFFFF"/>
        </w:rPr>
        <w:t xml:space="preserve">the original subdivision </w:t>
      </w:r>
      <w:r w:rsidR="00996181" w:rsidRPr="00DE4629">
        <w:rPr>
          <w:rFonts w:cs="Arial"/>
          <w:color w:val="000000"/>
          <w:shd w:val="clear" w:color="auto" w:fill="FFFFFF"/>
        </w:rPr>
        <w:t xml:space="preserve">within </w:t>
      </w:r>
      <w:r w:rsidR="00943407" w:rsidRPr="00DE4629">
        <w:rPr>
          <w:rFonts w:cs="Arial"/>
          <w:color w:val="000000"/>
          <w:shd w:val="clear" w:color="auto" w:fill="FFFFFF"/>
        </w:rPr>
        <w:t>the ambit</w:t>
      </w:r>
      <w:r w:rsidR="00996181" w:rsidRPr="00DE4629">
        <w:rPr>
          <w:rFonts w:cs="Arial"/>
          <w:color w:val="000000"/>
          <w:shd w:val="clear" w:color="auto" w:fill="FFFFFF"/>
        </w:rPr>
        <w:t xml:space="preserve"> of the </w:t>
      </w:r>
      <w:r w:rsidR="00957F35" w:rsidRPr="00DE4629">
        <w:rPr>
          <w:rFonts w:cs="Arial"/>
          <w:color w:val="000000"/>
          <w:shd w:val="clear" w:color="auto" w:fill="FFFFFF"/>
        </w:rPr>
        <w:lastRenderedPageBreak/>
        <w:t xml:space="preserve">Subdivision Map </w:t>
      </w:r>
      <w:r w:rsidR="00996181" w:rsidRPr="00DE4629">
        <w:rPr>
          <w:rFonts w:cs="Arial"/>
          <w:color w:val="000000"/>
          <w:shd w:val="clear" w:color="auto" w:fill="FFFFFF"/>
        </w:rPr>
        <w:t xml:space="preserve">Act, but with which there </w:t>
      </w:r>
      <w:r w:rsidR="00957F35" w:rsidRPr="00DE4629">
        <w:rPr>
          <w:rFonts w:cs="Arial"/>
          <w:color w:val="000000"/>
          <w:shd w:val="clear" w:color="auto" w:fill="FFFFFF"/>
        </w:rPr>
        <w:t xml:space="preserve">had been </w:t>
      </w:r>
      <w:r w:rsidR="00996181" w:rsidRPr="00DE4629">
        <w:rPr>
          <w:rFonts w:cs="Arial"/>
          <w:color w:val="000000"/>
          <w:shd w:val="clear" w:color="auto" w:fill="FFFFFF"/>
        </w:rPr>
        <w:t>no compliance.  (</w:t>
      </w:r>
      <w:r w:rsidR="00996181" w:rsidRPr="00DE4629">
        <w:rPr>
          <w:rFonts w:cs="Arial"/>
          <w:i/>
          <w:iCs/>
          <w:color w:val="000000"/>
          <w:shd w:val="clear" w:color="auto" w:fill="FFFFFF"/>
        </w:rPr>
        <w:t xml:space="preserve">Id. </w:t>
      </w:r>
      <w:r w:rsidR="00996181" w:rsidRPr="00DE4629">
        <w:rPr>
          <w:rFonts w:cs="Arial"/>
          <w:color w:val="000000"/>
          <w:shd w:val="clear" w:color="auto" w:fill="FFFFFF"/>
        </w:rPr>
        <w:t>at p</w:t>
      </w:r>
      <w:r w:rsidR="00602BCF" w:rsidRPr="00DE4629">
        <w:rPr>
          <w:rFonts w:cs="Arial"/>
          <w:color w:val="000000"/>
          <w:shd w:val="clear" w:color="auto" w:fill="FFFFFF"/>
        </w:rPr>
        <w:t>p</w:t>
      </w:r>
      <w:r w:rsidR="00996181" w:rsidRPr="00DE4629">
        <w:rPr>
          <w:rFonts w:cs="Arial"/>
          <w:color w:val="000000"/>
          <w:shd w:val="clear" w:color="auto" w:fill="FFFFFF"/>
        </w:rPr>
        <w:t>. 905</w:t>
      </w:r>
      <w:r w:rsidR="009415F4" w:rsidRPr="00DE4629">
        <w:t>–</w:t>
      </w:r>
      <w:r w:rsidR="00602BCF" w:rsidRPr="00DE4629">
        <w:rPr>
          <w:rFonts w:cs="Arial"/>
          <w:color w:val="000000"/>
          <w:shd w:val="clear" w:color="auto" w:fill="FFFFFF"/>
        </w:rPr>
        <w:t>906</w:t>
      </w:r>
      <w:r w:rsidR="00996181" w:rsidRPr="00DE4629">
        <w:rPr>
          <w:rFonts w:cs="Arial"/>
          <w:color w:val="000000"/>
          <w:shd w:val="clear" w:color="auto" w:fill="FFFFFF"/>
        </w:rPr>
        <w:t xml:space="preserve">.)  The court distinguished </w:t>
      </w:r>
      <w:r w:rsidR="00996181" w:rsidRPr="00DE4629">
        <w:rPr>
          <w:rFonts w:cs="Arial"/>
          <w:i/>
          <w:iCs/>
          <w:color w:val="000000"/>
          <w:shd w:val="clear" w:color="auto" w:fill="FFFFFF"/>
        </w:rPr>
        <w:t xml:space="preserve">Lakeview </w:t>
      </w:r>
      <w:r w:rsidR="00996181" w:rsidRPr="00DE4629">
        <w:rPr>
          <w:rFonts w:cs="Arial"/>
          <w:color w:val="000000"/>
          <w:shd w:val="clear" w:color="auto" w:fill="FFFFFF"/>
        </w:rPr>
        <w:t>on the ground the three parcels at issue in that case had been created prior to enactment of the Act and none “resulted from an illegal division of land.”</w:t>
      </w:r>
      <w:r w:rsidRPr="00DE4629">
        <w:rPr>
          <w:rFonts w:cs="Arial"/>
          <w:color w:val="000000"/>
          <w:shd w:val="clear" w:color="auto" w:fill="FFFFFF"/>
        </w:rPr>
        <w:t xml:space="preserve">  (</w:t>
      </w:r>
      <w:r w:rsidRPr="00DE4629">
        <w:rPr>
          <w:rFonts w:cs="Arial"/>
          <w:i/>
          <w:iCs/>
          <w:color w:val="000000"/>
          <w:shd w:val="clear" w:color="auto" w:fill="FFFFFF"/>
        </w:rPr>
        <w:t>Ibid.</w:t>
      </w:r>
      <w:r w:rsidRPr="00DE4629">
        <w:rPr>
          <w:rFonts w:cs="Arial"/>
          <w:color w:val="000000"/>
          <w:shd w:val="clear" w:color="auto" w:fill="FFFFFF"/>
        </w:rPr>
        <w:t xml:space="preserve">)  </w:t>
      </w:r>
    </w:p>
    <w:p w14:paraId="398A450C" w14:textId="682BE74C" w:rsidR="005A21A5" w:rsidRPr="00DE4629" w:rsidRDefault="00CA5748" w:rsidP="004D726E">
      <w:pPr>
        <w:spacing w:line="360" w:lineRule="auto"/>
        <w:rPr>
          <w:rFonts w:cs="Arial"/>
          <w:color w:val="000000"/>
          <w:shd w:val="clear" w:color="auto" w:fill="FFFFFF"/>
        </w:rPr>
      </w:pPr>
      <w:r w:rsidRPr="00DE4629">
        <w:rPr>
          <w:rFonts w:cs="Arial"/>
          <w:color w:val="000000"/>
          <w:shd w:val="clear" w:color="auto" w:fill="FFFFFF"/>
        </w:rPr>
        <w:tab/>
      </w:r>
      <w:r w:rsidR="00996181" w:rsidRPr="00DE4629">
        <w:rPr>
          <w:rFonts w:cs="Arial"/>
          <w:color w:val="000000"/>
          <w:shd w:val="clear" w:color="auto" w:fill="FFFFFF"/>
        </w:rPr>
        <w:t xml:space="preserve">Thus, </w:t>
      </w:r>
      <w:r w:rsidR="00996181" w:rsidRPr="00DE4629">
        <w:rPr>
          <w:rFonts w:cs="Arial"/>
          <w:i/>
          <w:iCs/>
          <w:color w:val="000000"/>
          <w:shd w:val="clear" w:color="auto" w:fill="FFFFFF"/>
        </w:rPr>
        <w:t xml:space="preserve">Fishback </w:t>
      </w:r>
      <w:r w:rsidRPr="00DE4629">
        <w:rPr>
          <w:rFonts w:cs="Arial"/>
          <w:color w:val="000000"/>
          <w:shd w:val="clear" w:color="auto" w:fill="FFFFFF"/>
        </w:rPr>
        <w:t xml:space="preserve">did not question </w:t>
      </w:r>
      <w:r w:rsidRPr="00DE4629">
        <w:rPr>
          <w:rFonts w:cs="Arial"/>
          <w:i/>
          <w:iCs/>
          <w:color w:val="000000"/>
          <w:shd w:val="clear" w:color="auto" w:fill="FFFFFF"/>
        </w:rPr>
        <w:t xml:space="preserve">Lakeview’s </w:t>
      </w:r>
      <w:r w:rsidRPr="00DE4629">
        <w:rPr>
          <w:rFonts w:cs="Arial"/>
          <w:color w:val="000000"/>
          <w:shd w:val="clear" w:color="auto" w:fill="FFFFFF"/>
        </w:rPr>
        <w:t xml:space="preserve">reading of </w:t>
      </w:r>
      <w:r w:rsidR="00996181" w:rsidRPr="00DE4629">
        <w:rPr>
          <w:rFonts w:cs="Arial"/>
          <w:color w:val="000000"/>
          <w:shd w:val="clear" w:color="auto" w:fill="FFFFFF"/>
        </w:rPr>
        <w:t>section 66412.6, subdivision (a)</w:t>
      </w:r>
      <w:r w:rsidR="00967946" w:rsidRPr="00DE4629">
        <w:rPr>
          <w:rFonts w:cs="Arial"/>
          <w:color w:val="000000"/>
          <w:shd w:val="clear" w:color="auto" w:fill="FFFFFF"/>
        </w:rPr>
        <w:t>—</w:t>
      </w:r>
      <w:r w:rsidR="00345C7D" w:rsidRPr="00DE4629">
        <w:rPr>
          <w:rFonts w:cs="Arial"/>
          <w:color w:val="000000"/>
          <w:shd w:val="clear" w:color="auto" w:fill="FFFFFF"/>
        </w:rPr>
        <w:t xml:space="preserve">i.e., </w:t>
      </w:r>
      <w:r w:rsidR="004D726E" w:rsidRPr="00DE4629">
        <w:rPr>
          <w:rFonts w:cs="Arial"/>
          <w:color w:val="000000"/>
          <w:shd w:val="clear" w:color="auto" w:fill="FFFFFF"/>
        </w:rPr>
        <w:t>that it</w:t>
      </w:r>
      <w:r w:rsidR="006365C0" w:rsidRPr="00DE4629">
        <w:rPr>
          <w:rFonts w:cs="Arial"/>
          <w:color w:val="000000"/>
          <w:shd w:val="clear" w:color="auto" w:fill="FFFFFF"/>
        </w:rPr>
        <w:t>s presumption</w:t>
      </w:r>
      <w:r w:rsidR="004D726E" w:rsidRPr="00DE4629">
        <w:rPr>
          <w:rFonts w:cs="Arial"/>
          <w:color w:val="000000"/>
          <w:shd w:val="clear" w:color="auto" w:fill="FFFFFF"/>
        </w:rPr>
        <w:t xml:space="preserve"> </w:t>
      </w:r>
      <w:r w:rsidR="006365C0" w:rsidRPr="00DE4629">
        <w:rPr>
          <w:rFonts w:cs="Arial"/>
          <w:color w:val="000000"/>
          <w:shd w:val="clear" w:color="auto" w:fill="FFFFFF"/>
        </w:rPr>
        <w:t xml:space="preserve">of </w:t>
      </w:r>
      <w:r w:rsidR="00165300" w:rsidRPr="00DE4629">
        <w:rPr>
          <w:rFonts w:cs="Arial"/>
          <w:color w:val="000000"/>
          <w:shd w:val="clear" w:color="auto" w:fill="FFFFFF"/>
        </w:rPr>
        <w:t xml:space="preserve">legality </w:t>
      </w:r>
      <w:r w:rsidR="006365C0" w:rsidRPr="00DE4629">
        <w:rPr>
          <w:rFonts w:cs="Arial"/>
          <w:color w:val="000000"/>
          <w:shd w:val="clear" w:color="auto" w:fill="FFFFFF"/>
        </w:rPr>
        <w:t xml:space="preserve">can apply to </w:t>
      </w:r>
      <w:r w:rsidRPr="00DE4629">
        <w:rPr>
          <w:rFonts w:cs="Arial"/>
          <w:color w:val="000000"/>
          <w:shd w:val="clear" w:color="auto" w:fill="FFFFFF"/>
        </w:rPr>
        <w:t xml:space="preserve">any lot </w:t>
      </w:r>
      <w:r w:rsidR="00996181" w:rsidRPr="00DE4629">
        <w:rPr>
          <w:rFonts w:cs="Arial"/>
          <w:color w:val="000000"/>
          <w:shd w:val="clear" w:color="auto" w:fill="FFFFFF"/>
        </w:rPr>
        <w:t xml:space="preserve">created prior to </w:t>
      </w:r>
      <w:r w:rsidRPr="00DE4629">
        <w:rPr>
          <w:rFonts w:cs="Arial"/>
          <w:color w:val="000000"/>
          <w:shd w:val="clear" w:color="auto" w:fill="FFFFFF"/>
        </w:rPr>
        <w:t xml:space="preserve">1972, including a lot created prior to the </w:t>
      </w:r>
      <w:r w:rsidR="00967946" w:rsidRPr="00DE4629">
        <w:rPr>
          <w:rFonts w:cs="Arial"/>
          <w:color w:val="000000"/>
          <w:shd w:val="clear" w:color="auto" w:fill="FFFFFF"/>
        </w:rPr>
        <w:t xml:space="preserve">original </w:t>
      </w:r>
      <w:r w:rsidRPr="00DE4629">
        <w:rPr>
          <w:rFonts w:cs="Arial"/>
          <w:color w:val="000000"/>
          <w:shd w:val="clear" w:color="auto" w:fill="FFFFFF"/>
        </w:rPr>
        <w:t xml:space="preserve">enactment of the </w:t>
      </w:r>
      <w:r w:rsidR="00957F35" w:rsidRPr="00DE4629">
        <w:rPr>
          <w:rFonts w:cs="Arial"/>
          <w:color w:val="000000"/>
          <w:shd w:val="clear" w:color="auto" w:fill="FFFFFF"/>
        </w:rPr>
        <w:t xml:space="preserve">Subdivision Map </w:t>
      </w:r>
      <w:r w:rsidRPr="00DE4629">
        <w:rPr>
          <w:rFonts w:cs="Arial"/>
          <w:color w:val="000000"/>
          <w:shd w:val="clear" w:color="auto" w:fill="FFFFFF"/>
        </w:rPr>
        <w:t>Act</w:t>
      </w:r>
      <w:r w:rsidR="00165300" w:rsidRPr="00DE4629">
        <w:rPr>
          <w:rFonts w:cs="Arial"/>
          <w:color w:val="000000"/>
          <w:shd w:val="clear" w:color="auto" w:fill="FFFFFF"/>
        </w:rPr>
        <w:t xml:space="preserve"> or any local subdivision ordinance</w:t>
      </w:r>
      <w:r w:rsidR="006365C0" w:rsidRPr="00DE4629">
        <w:rPr>
          <w:rFonts w:cs="Arial"/>
          <w:color w:val="000000"/>
          <w:shd w:val="clear" w:color="auto" w:fill="FFFFFF"/>
        </w:rPr>
        <w:t xml:space="preserve">.  </w:t>
      </w:r>
      <w:r w:rsidR="004D726E" w:rsidRPr="00DE4629">
        <w:rPr>
          <w:rFonts w:cs="Arial"/>
          <w:color w:val="000000"/>
          <w:shd w:val="clear" w:color="auto" w:fill="FFFFFF"/>
        </w:rPr>
        <w:t xml:space="preserve">Rather, </w:t>
      </w:r>
      <w:r w:rsidR="004D726E" w:rsidRPr="00DE4629">
        <w:rPr>
          <w:rFonts w:cs="Arial"/>
          <w:i/>
          <w:iCs/>
          <w:color w:val="000000"/>
          <w:shd w:val="clear" w:color="auto" w:fill="FFFFFF"/>
        </w:rPr>
        <w:t xml:space="preserve">Fishback </w:t>
      </w:r>
      <w:r w:rsidRPr="00DE4629">
        <w:rPr>
          <w:rFonts w:cs="Arial"/>
          <w:color w:val="000000"/>
          <w:shd w:val="clear" w:color="auto" w:fill="FFFFFF"/>
        </w:rPr>
        <w:t>held th</w:t>
      </w:r>
      <w:r w:rsidR="00CA004F" w:rsidRPr="00DE4629">
        <w:rPr>
          <w:rFonts w:cs="Arial"/>
          <w:color w:val="000000"/>
          <w:shd w:val="clear" w:color="auto" w:fill="FFFFFF"/>
        </w:rPr>
        <w:t>e</w:t>
      </w:r>
      <w:r w:rsidRPr="00DE4629">
        <w:rPr>
          <w:rFonts w:cs="Arial"/>
          <w:color w:val="000000"/>
          <w:shd w:val="clear" w:color="auto" w:fill="FFFFFF"/>
        </w:rPr>
        <w:t xml:space="preserve"> presumption </w:t>
      </w:r>
      <w:r w:rsidR="00CA004F" w:rsidRPr="00DE4629">
        <w:rPr>
          <w:rFonts w:cs="Arial"/>
          <w:color w:val="000000"/>
          <w:shd w:val="clear" w:color="auto" w:fill="FFFFFF"/>
        </w:rPr>
        <w:t>w</w:t>
      </w:r>
      <w:r w:rsidR="00EF6DFE" w:rsidRPr="00DE4629">
        <w:rPr>
          <w:rFonts w:cs="Arial"/>
          <w:color w:val="000000"/>
          <w:shd w:val="clear" w:color="auto" w:fill="FFFFFF"/>
        </w:rPr>
        <w:t>ill</w:t>
      </w:r>
      <w:r w:rsidR="00CA004F" w:rsidRPr="00DE4629">
        <w:rPr>
          <w:rFonts w:cs="Arial"/>
          <w:color w:val="000000"/>
          <w:shd w:val="clear" w:color="auto" w:fill="FFFFFF"/>
        </w:rPr>
        <w:t xml:space="preserve"> not apply where the </w:t>
      </w:r>
      <w:r w:rsidR="001542B5" w:rsidRPr="00DE4629">
        <w:rPr>
          <w:rFonts w:cs="Arial"/>
          <w:color w:val="000000"/>
          <w:shd w:val="clear" w:color="auto" w:fill="FFFFFF"/>
        </w:rPr>
        <w:t>parcel</w:t>
      </w:r>
      <w:r w:rsidR="00CA004F" w:rsidRPr="00DE4629">
        <w:rPr>
          <w:rFonts w:cs="Arial"/>
          <w:color w:val="000000"/>
          <w:shd w:val="clear" w:color="auto" w:fill="FFFFFF"/>
        </w:rPr>
        <w:t xml:space="preserve"> from which fewer than five parcels are created </w:t>
      </w:r>
      <w:r w:rsidR="00E141CE" w:rsidRPr="00DE4629">
        <w:rPr>
          <w:rFonts w:cs="Arial"/>
          <w:color w:val="000000"/>
          <w:shd w:val="clear" w:color="auto" w:fill="FFFFFF"/>
        </w:rPr>
        <w:t>was</w:t>
      </w:r>
      <w:r w:rsidR="00CA004F" w:rsidRPr="00DE4629">
        <w:rPr>
          <w:rFonts w:cs="Arial"/>
          <w:color w:val="000000"/>
          <w:shd w:val="clear" w:color="auto" w:fill="FFFFFF"/>
        </w:rPr>
        <w:t xml:space="preserve">, itself, not lawfully created, as was the case in </w:t>
      </w:r>
      <w:r w:rsidR="00CA004F" w:rsidRPr="00DE4629">
        <w:rPr>
          <w:rFonts w:cs="Arial"/>
          <w:i/>
          <w:iCs/>
          <w:color w:val="000000"/>
          <w:shd w:val="clear" w:color="auto" w:fill="FFFFFF"/>
        </w:rPr>
        <w:t xml:space="preserve">Fishback </w:t>
      </w:r>
      <w:r w:rsidR="00EF6DFE" w:rsidRPr="00DE4629">
        <w:rPr>
          <w:rFonts w:cs="Arial"/>
          <w:color w:val="000000"/>
          <w:shd w:val="clear" w:color="auto" w:fill="FFFFFF"/>
        </w:rPr>
        <w:t xml:space="preserve">since </w:t>
      </w:r>
      <w:r w:rsidR="00CA004F" w:rsidRPr="00DE4629">
        <w:rPr>
          <w:rFonts w:cs="Arial"/>
          <w:color w:val="000000"/>
          <w:shd w:val="clear" w:color="auto" w:fill="FFFFFF"/>
        </w:rPr>
        <w:t xml:space="preserve">the </w:t>
      </w:r>
      <w:r w:rsidR="00345C7D" w:rsidRPr="00DE4629">
        <w:rPr>
          <w:rFonts w:cs="Arial"/>
          <w:color w:val="000000"/>
          <w:shd w:val="clear" w:color="auto" w:fill="FFFFFF"/>
        </w:rPr>
        <w:t xml:space="preserve">Subdivision Map Act’s </w:t>
      </w:r>
      <w:r w:rsidR="00CA004F" w:rsidRPr="00DE4629">
        <w:rPr>
          <w:rFonts w:cs="Arial"/>
          <w:color w:val="000000"/>
          <w:shd w:val="clear" w:color="auto" w:fill="FFFFFF"/>
        </w:rPr>
        <w:t>map</w:t>
      </w:r>
      <w:r w:rsidR="00345C7D" w:rsidRPr="00DE4629">
        <w:rPr>
          <w:rFonts w:cs="Arial"/>
          <w:color w:val="000000"/>
          <w:shd w:val="clear" w:color="auto" w:fill="FFFFFF"/>
        </w:rPr>
        <w:t>ping</w:t>
      </w:r>
      <w:r w:rsidR="00CA004F" w:rsidRPr="00DE4629">
        <w:rPr>
          <w:rFonts w:cs="Arial"/>
          <w:color w:val="000000"/>
          <w:shd w:val="clear" w:color="auto" w:fill="FFFFFF"/>
        </w:rPr>
        <w:t xml:space="preserve"> requirements were </w:t>
      </w:r>
      <w:r w:rsidR="00345C7D" w:rsidRPr="00DE4629">
        <w:rPr>
          <w:rFonts w:cs="Arial"/>
          <w:color w:val="000000"/>
          <w:shd w:val="clear" w:color="auto" w:fill="FFFFFF"/>
        </w:rPr>
        <w:t xml:space="preserve">then </w:t>
      </w:r>
      <w:r w:rsidR="00CA004F" w:rsidRPr="00DE4629">
        <w:rPr>
          <w:rFonts w:cs="Arial"/>
          <w:color w:val="000000"/>
          <w:shd w:val="clear" w:color="auto" w:fill="FFFFFF"/>
        </w:rPr>
        <w:t xml:space="preserve">in effect but </w:t>
      </w:r>
      <w:r w:rsidR="00EF6DFE" w:rsidRPr="00DE4629">
        <w:rPr>
          <w:rFonts w:cs="Arial"/>
          <w:color w:val="000000"/>
          <w:shd w:val="clear" w:color="auto" w:fill="FFFFFF"/>
        </w:rPr>
        <w:t xml:space="preserve">there had been no compliance </w:t>
      </w:r>
      <w:r w:rsidR="00E51D48" w:rsidRPr="00DE4629">
        <w:rPr>
          <w:rFonts w:cs="Arial"/>
          <w:color w:val="000000"/>
          <w:shd w:val="clear" w:color="auto" w:fill="FFFFFF"/>
        </w:rPr>
        <w:t>therewith.</w:t>
      </w:r>
      <w:r w:rsidR="001542B5" w:rsidRPr="00DE4629">
        <w:rPr>
          <w:rFonts w:cs="Arial"/>
          <w:color w:val="000000"/>
          <w:shd w:val="clear" w:color="auto" w:fill="FFFFFF"/>
        </w:rPr>
        <w:t xml:space="preserve">  </w:t>
      </w:r>
      <w:r w:rsidR="00EF6DFE" w:rsidRPr="00DE4629">
        <w:rPr>
          <w:rFonts w:cs="Arial"/>
          <w:color w:val="000000"/>
          <w:shd w:val="clear" w:color="auto" w:fill="FFFFFF"/>
        </w:rPr>
        <w:t xml:space="preserve"> </w:t>
      </w:r>
    </w:p>
    <w:p w14:paraId="0D383EFD" w14:textId="444E586D" w:rsidR="007A7747" w:rsidRPr="00DE4629" w:rsidRDefault="00CA5748" w:rsidP="00EC45AD">
      <w:pPr>
        <w:spacing w:line="360" w:lineRule="auto"/>
        <w:rPr>
          <w:rFonts w:eastAsia="Times New Roman" w:cs="Arial"/>
          <w:color w:val="000000"/>
        </w:rPr>
      </w:pPr>
      <w:r w:rsidRPr="00DE4629">
        <w:rPr>
          <w:rFonts w:eastAsia="Times New Roman" w:cs="Arial"/>
          <w:color w:val="000000"/>
        </w:rPr>
        <w:tab/>
      </w:r>
      <w:r w:rsidR="004D726E" w:rsidRPr="00DE4629">
        <w:rPr>
          <w:rFonts w:eastAsia="Times New Roman" w:cs="Arial"/>
          <w:color w:val="000000"/>
        </w:rPr>
        <w:t xml:space="preserve">At this point, we turn to </w:t>
      </w:r>
      <w:r w:rsidR="00EC45AD" w:rsidRPr="00DE4629">
        <w:rPr>
          <w:rFonts w:eastAsia="Times New Roman" w:cs="Arial"/>
          <w:i/>
          <w:iCs/>
          <w:color w:val="000000"/>
        </w:rPr>
        <w:t>Gardner, supra,</w:t>
      </w:r>
      <w:r w:rsidR="00EC45AD" w:rsidRPr="00DE4629">
        <w:rPr>
          <w:rFonts w:eastAsia="Times New Roman" w:cs="Arial"/>
          <w:color w:val="000000"/>
        </w:rPr>
        <w:t xml:space="preserve"> 29 Cal.4th 990, </w:t>
      </w:r>
      <w:r w:rsidR="004D726E" w:rsidRPr="00DE4629">
        <w:rPr>
          <w:rFonts w:eastAsia="Times New Roman" w:cs="Arial"/>
          <w:color w:val="000000"/>
        </w:rPr>
        <w:t>which</w:t>
      </w:r>
      <w:r w:rsidR="000546E7" w:rsidRPr="00DE4629">
        <w:rPr>
          <w:rFonts w:eastAsia="Times New Roman" w:cs="Arial"/>
          <w:color w:val="000000"/>
        </w:rPr>
        <w:t xml:space="preserve"> appellant </w:t>
      </w:r>
      <w:r w:rsidR="00105F16" w:rsidRPr="00DE4629">
        <w:rPr>
          <w:rFonts w:eastAsia="Times New Roman" w:cs="Arial"/>
          <w:color w:val="000000"/>
        </w:rPr>
        <w:t>asserts</w:t>
      </w:r>
      <w:r w:rsidR="006365C0" w:rsidRPr="00DE4629">
        <w:rPr>
          <w:rFonts w:eastAsia="Times New Roman" w:cs="Arial"/>
          <w:color w:val="000000"/>
        </w:rPr>
        <w:t xml:space="preserve"> </w:t>
      </w:r>
      <w:r w:rsidR="000546E7" w:rsidRPr="00DE4629">
        <w:rPr>
          <w:rFonts w:eastAsia="Times New Roman" w:cs="Arial"/>
          <w:color w:val="000000"/>
        </w:rPr>
        <w:t xml:space="preserve">did not consider </w:t>
      </w:r>
      <w:r w:rsidR="006365C0" w:rsidRPr="00DE4629">
        <w:rPr>
          <w:rFonts w:eastAsia="Times New Roman" w:cs="Arial"/>
          <w:color w:val="000000"/>
        </w:rPr>
        <w:t xml:space="preserve">the fewer-than-five presumption of </w:t>
      </w:r>
      <w:r w:rsidR="00165300" w:rsidRPr="00DE4629">
        <w:rPr>
          <w:rFonts w:eastAsia="Times New Roman" w:cs="Arial"/>
          <w:color w:val="000000"/>
        </w:rPr>
        <w:t>legality</w:t>
      </w:r>
      <w:r w:rsidR="006365C0" w:rsidRPr="00DE4629">
        <w:rPr>
          <w:rFonts w:eastAsia="Times New Roman" w:cs="Arial"/>
          <w:color w:val="000000"/>
        </w:rPr>
        <w:t xml:space="preserve"> set forth in </w:t>
      </w:r>
      <w:r w:rsidR="000546E7" w:rsidRPr="00DE4629">
        <w:rPr>
          <w:rFonts w:eastAsia="Times New Roman" w:cs="Arial"/>
          <w:color w:val="000000"/>
        </w:rPr>
        <w:t xml:space="preserve">section 66412.6, </w:t>
      </w:r>
      <w:r w:rsidR="006365C0" w:rsidRPr="00DE4629">
        <w:rPr>
          <w:rFonts w:eastAsia="Times New Roman" w:cs="Arial"/>
          <w:color w:val="000000"/>
        </w:rPr>
        <w:t xml:space="preserve">subdivision (a), </w:t>
      </w:r>
      <w:r w:rsidR="000546E7" w:rsidRPr="00DE4629">
        <w:rPr>
          <w:rFonts w:eastAsia="Times New Roman" w:cs="Arial"/>
          <w:color w:val="000000"/>
        </w:rPr>
        <w:t xml:space="preserve">but </w:t>
      </w:r>
      <w:r w:rsidR="006365C0" w:rsidRPr="00DE4629">
        <w:rPr>
          <w:rFonts w:eastAsia="Times New Roman" w:cs="Arial"/>
          <w:color w:val="000000"/>
        </w:rPr>
        <w:t xml:space="preserve">which </w:t>
      </w:r>
      <w:r w:rsidR="000546E7" w:rsidRPr="00DE4629">
        <w:rPr>
          <w:rFonts w:eastAsia="Times New Roman" w:cs="Arial"/>
          <w:color w:val="000000"/>
        </w:rPr>
        <w:t xml:space="preserve">the city </w:t>
      </w:r>
      <w:r w:rsidR="00E878E1" w:rsidRPr="00DE4629">
        <w:rPr>
          <w:rFonts w:eastAsia="Times New Roman" w:cs="Arial"/>
          <w:color w:val="000000"/>
        </w:rPr>
        <w:t xml:space="preserve">continues to claim </w:t>
      </w:r>
      <w:r w:rsidR="004D726E" w:rsidRPr="00DE4629">
        <w:rPr>
          <w:rFonts w:eastAsia="Times New Roman" w:cs="Arial"/>
          <w:color w:val="000000"/>
        </w:rPr>
        <w:t xml:space="preserve">is dispositive.  </w:t>
      </w:r>
    </w:p>
    <w:p w14:paraId="50FA7707" w14:textId="13584B2F" w:rsidR="00EC45AD" w:rsidRPr="00DE4629" w:rsidRDefault="00CA5748" w:rsidP="00EC45AD">
      <w:pPr>
        <w:spacing w:line="360" w:lineRule="auto"/>
        <w:rPr>
          <w:rFonts w:eastAsia="Times New Roman" w:cs="Arial"/>
          <w:color w:val="000000"/>
        </w:rPr>
      </w:pPr>
      <w:r w:rsidRPr="00DE4629">
        <w:rPr>
          <w:rFonts w:eastAsia="Times New Roman" w:cs="Arial"/>
          <w:color w:val="000000"/>
        </w:rPr>
        <w:tab/>
        <w:t xml:space="preserve">The plaintiffs in </w:t>
      </w:r>
      <w:r w:rsidR="004D726E" w:rsidRPr="00DE4629">
        <w:rPr>
          <w:rFonts w:eastAsia="Times New Roman" w:cs="Arial"/>
          <w:i/>
          <w:iCs/>
          <w:color w:val="000000"/>
        </w:rPr>
        <w:t xml:space="preserve">Gardner </w:t>
      </w:r>
      <w:r w:rsidRPr="00DE4629">
        <w:rPr>
          <w:rFonts w:eastAsia="Times New Roman" w:cs="Arial"/>
          <w:color w:val="000000"/>
        </w:rPr>
        <w:t>owned approximately 158 acres of what had once been a</w:t>
      </w:r>
      <w:r w:rsidR="0029353E" w:rsidRPr="00DE4629">
        <w:rPr>
          <w:rFonts w:eastAsia="Times New Roman" w:cs="Arial"/>
          <w:color w:val="000000"/>
        </w:rPr>
        <w:t xml:space="preserve"> </w:t>
      </w:r>
      <w:r w:rsidRPr="00DE4629">
        <w:rPr>
          <w:rFonts w:eastAsia="Times New Roman" w:cs="Arial"/>
          <w:color w:val="000000"/>
        </w:rPr>
        <w:t>1,000-plus acre</w:t>
      </w:r>
      <w:r w:rsidR="0029353E" w:rsidRPr="00DE4629">
        <w:rPr>
          <w:rFonts w:eastAsia="Times New Roman" w:cs="Arial"/>
          <w:color w:val="000000"/>
        </w:rPr>
        <w:t xml:space="preserve"> holding</w:t>
      </w:r>
      <w:r w:rsidRPr="00DE4629">
        <w:rPr>
          <w:rFonts w:eastAsia="Times New Roman" w:cs="Arial"/>
          <w:color w:val="000000"/>
        </w:rPr>
        <w:t>, for which a</w:t>
      </w:r>
      <w:r w:rsidR="004D726E" w:rsidRPr="00DE4629">
        <w:rPr>
          <w:rFonts w:eastAsia="Times New Roman" w:cs="Arial"/>
          <w:color w:val="000000"/>
        </w:rPr>
        <w:t xml:space="preserve">n ostensible </w:t>
      </w:r>
      <w:r w:rsidRPr="00DE4629">
        <w:rPr>
          <w:rFonts w:eastAsia="Times New Roman" w:cs="Arial"/>
          <w:color w:val="000000"/>
        </w:rPr>
        <w:t>subdivision map depicting nearly 90 lots had been recorded in 1865.  (</w:t>
      </w:r>
      <w:r w:rsidR="005C615D" w:rsidRPr="00DE4629">
        <w:rPr>
          <w:rFonts w:eastAsia="Times New Roman" w:cs="Arial"/>
          <w:i/>
          <w:iCs/>
          <w:color w:val="000000"/>
        </w:rPr>
        <w:t>Gardner, supra,</w:t>
      </w:r>
      <w:r w:rsidR="005C615D" w:rsidRPr="00DE4629">
        <w:rPr>
          <w:rFonts w:eastAsia="Times New Roman" w:cs="Arial"/>
          <w:color w:val="000000"/>
        </w:rPr>
        <w:t xml:space="preserve"> 29 Cal.4th </w:t>
      </w:r>
      <w:r w:rsidRPr="00DE4629">
        <w:rPr>
          <w:rFonts w:eastAsia="Times New Roman" w:cs="Arial"/>
          <w:color w:val="000000"/>
        </w:rPr>
        <w:t xml:space="preserve">at p. 994.)  Over the years, parts of the </w:t>
      </w:r>
      <w:r w:rsidR="00105F16" w:rsidRPr="00DE4629">
        <w:rPr>
          <w:rFonts w:eastAsia="Times New Roman" w:cs="Arial"/>
          <w:color w:val="000000"/>
        </w:rPr>
        <w:t>holding</w:t>
      </w:r>
      <w:r w:rsidRPr="00DE4629">
        <w:rPr>
          <w:rFonts w:eastAsia="Times New Roman" w:cs="Arial"/>
          <w:color w:val="000000"/>
        </w:rPr>
        <w:t xml:space="preserve"> were conveyed to various parties.  In 1903, 352 acres was transferred to a grantee.  </w:t>
      </w:r>
      <w:r w:rsidR="004D726E" w:rsidRPr="00DE4629">
        <w:rPr>
          <w:rFonts w:eastAsia="Times New Roman" w:cs="Arial"/>
          <w:color w:val="000000"/>
        </w:rPr>
        <w:t>In 1990, t</w:t>
      </w:r>
      <w:r w:rsidRPr="00DE4629">
        <w:rPr>
          <w:rFonts w:eastAsia="Times New Roman" w:cs="Arial"/>
          <w:color w:val="000000"/>
        </w:rPr>
        <w:t>he plaintiffs acquired 158 acres of that acreage.  (</w:t>
      </w:r>
      <w:r w:rsidRPr="00DE4629">
        <w:rPr>
          <w:rFonts w:eastAsia="Times New Roman" w:cs="Arial"/>
          <w:i/>
          <w:iCs/>
          <w:color w:val="000000"/>
        </w:rPr>
        <w:t xml:space="preserve">Id. </w:t>
      </w:r>
      <w:r w:rsidRPr="00DE4629">
        <w:rPr>
          <w:rFonts w:eastAsia="Times New Roman" w:cs="Arial"/>
          <w:color w:val="000000"/>
        </w:rPr>
        <w:t xml:space="preserve">at p. 995.)  The 158 acres included two of the lots </w:t>
      </w:r>
      <w:r w:rsidR="004D726E" w:rsidRPr="00DE4629">
        <w:rPr>
          <w:rFonts w:eastAsia="Times New Roman" w:cs="Arial"/>
          <w:color w:val="000000"/>
        </w:rPr>
        <w:t xml:space="preserve">depicted </w:t>
      </w:r>
      <w:r w:rsidRPr="00DE4629">
        <w:rPr>
          <w:rFonts w:eastAsia="Times New Roman" w:cs="Arial"/>
          <w:color w:val="000000"/>
        </w:rPr>
        <w:t xml:space="preserve">on the 1865 map and fragments of </w:t>
      </w:r>
      <w:r w:rsidR="00C63D91" w:rsidRPr="00DE4629">
        <w:rPr>
          <w:rFonts w:eastAsia="Times New Roman" w:cs="Arial"/>
          <w:color w:val="000000"/>
        </w:rPr>
        <w:t xml:space="preserve">10 of the </w:t>
      </w:r>
      <w:r w:rsidRPr="00DE4629">
        <w:rPr>
          <w:rFonts w:eastAsia="Times New Roman" w:cs="Arial"/>
          <w:color w:val="000000"/>
        </w:rPr>
        <w:t>other lots.  The plaintiffs eventually applied for, and were denied, 12 certificates of compliance.  (</w:t>
      </w:r>
      <w:r w:rsidRPr="00DE4629">
        <w:rPr>
          <w:rFonts w:eastAsia="Times New Roman" w:cs="Arial"/>
          <w:i/>
          <w:iCs/>
          <w:color w:val="000000"/>
        </w:rPr>
        <w:t xml:space="preserve">Id. </w:t>
      </w:r>
      <w:r w:rsidRPr="00DE4629">
        <w:rPr>
          <w:rFonts w:eastAsia="Times New Roman" w:cs="Arial"/>
          <w:color w:val="000000"/>
        </w:rPr>
        <w:t>at pp. 995</w:t>
      </w:r>
      <w:r w:rsidR="009415F4" w:rsidRPr="00DE4629">
        <w:t>–</w:t>
      </w:r>
      <w:r w:rsidRPr="00DE4629">
        <w:rPr>
          <w:rFonts w:eastAsia="Times New Roman" w:cs="Arial"/>
          <w:color w:val="000000"/>
        </w:rPr>
        <w:t xml:space="preserve">996.)  The issue before the </w:t>
      </w:r>
      <w:r w:rsidR="0010425A" w:rsidRPr="00DE4629">
        <w:rPr>
          <w:rFonts w:eastAsia="Times New Roman" w:cs="Arial"/>
          <w:color w:val="000000"/>
        </w:rPr>
        <w:t>Supreme Court</w:t>
      </w:r>
      <w:r w:rsidRPr="00DE4629">
        <w:rPr>
          <w:rFonts w:eastAsia="Times New Roman" w:cs="Arial"/>
          <w:color w:val="000000"/>
        </w:rPr>
        <w:t xml:space="preserve"> was whether the antiquated subdivision map (i.e., a subdivision map recorded prior to 1893)</w:t>
      </w:r>
      <w:r w:rsidR="00E878E1" w:rsidRPr="00DE4629">
        <w:rPr>
          <w:rFonts w:eastAsia="Times New Roman" w:cs="Arial"/>
          <w:color w:val="000000"/>
        </w:rPr>
        <w:t xml:space="preserve">, </w:t>
      </w:r>
      <w:r w:rsidR="00345C7D" w:rsidRPr="00DE4629">
        <w:rPr>
          <w:rFonts w:eastAsia="Times New Roman" w:cs="Arial"/>
          <w:color w:val="000000"/>
        </w:rPr>
        <w:t xml:space="preserve">in and of </w:t>
      </w:r>
      <w:r w:rsidR="00E878E1" w:rsidRPr="00DE4629">
        <w:rPr>
          <w:rFonts w:eastAsia="Times New Roman" w:cs="Arial"/>
          <w:color w:val="000000"/>
        </w:rPr>
        <w:t>itself,</w:t>
      </w:r>
      <w:r w:rsidRPr="00DE4629">
        <w:rPr>
          <w:rFonts w:eastAsia="Times New Roman" w:cs="Arial"/>
          <w:color w:val="000000"/>
        </w:rPr>
        <w:t xml:space="preserve"> created “legally </w:t>
      </w:r>
      <w:r w:rsidRPr="00DE4629">
        <w:rPr>
          <w:rFonts w:eastAsia="Times New Roman" w:cs="Arial"/>
          <w:color w:val="000000"/>
        </w:rPr>
        <w:lastRenderedPageBreak/>
        <w:t>cognizable subdivisions” of the land for purposes of the Subdivision Map Act.  (</w:t>
      </w:r>
      <w:r w:rsidRPr="00DE4629">
        <w:rPr>
          <w:rFonts w:eastAsia="Times New Roman" w:cs="Arial"/>
          <w:i/>
          <w:iCs/>
          <w:color w:val="000000"/>
        </w:rPr>
        <w:t>Id.</w:t>
      </w:r>
      <w:r w:rsidRPr="00DE4629">
        <w:rPr>
          <w:rFonts w:eastAsia="Times New Roman" w:cs="Arial"/>
          <w:color w:val="000000"/>
        </w:rPr>
        <w:t xml:space="preserve"> at p.</w:t>
      </w:r>
      <w:r w:rsidR="005C615D" w:rsidRPr="00DE4629">
        <w:rPr>
          <w:rFonts w:eastAsia="Times New Roman" w:cs="Arial"/>
          <w:color w:val="000000"/>
        </w:rPr>
        <w:t> </w:t>
      </w:r>
      <w:r w:rsidRPr="00DE4629">
        <w:rPr>
          <w:rFonts w:eastAsia="Times New Roman" w:cs="Arial"/>
          <w:color w:val="000000"/>
        </w:rPr>
        <w:t>994.)  The court held it did not.  (</w:t>
      </w:r>
      <w:r w:rsidRPr="00DE4629">
        <w:rPr>
          <w:rFonts w:eastAsia="Times New Roman" w:cs="Arial"/>
          <w:i/>
          <w:iCs/>
          <w:color w:val="000000"/>
        </w:rPr>
        <w:t>Ibid.</w:t>
      </w:r>
      <w:r w:rsidRPr="00DE4629">
        <w:rPr>
          <w:rFonts w:eastAsia="Times New Roman" w:cs="Arial"/>
          <w:color w:val="000000"/>
        </w:rPr>
        <w:t xml:space="preserve">)  </w:t>
      </w:r>
    </w:p>
    <w:p w14:paraId="63989C23" w14:textId="73084DCB" w:rsidR="00DF2996" w:rsidRPr="00DE4629" w:rsidRDefault="00CA5748" w:rsidP="00EC45AD">
      <w:pPr>
        <w:spacing w:line="360" w:lineRule="auto"/>
        <w:rPr>
          <w:rFonts w:cs="Arial"/>
          <w:color w:val="000000"/>
          <w:shd w:val="clear" w:color="auto" w:fill="FFFFFF"/>
        </w:rPr>
      </w:pPr>
      <w:r w:rsidRPr="00DE4629">
        <w:rPr>
          <w:rFonts w:eastAsia="Times New Roman" w:cs="Arial"/>
          <w:color w:val="000000"/>
        </w:rPr>
        <w:tab/>
        <w:t>Among other provisions of the Act, the high court considered whether section 66499.30</w:t>
      </w:r>
      <w:r w:rsidR="00165300" w:rsidRPr="00DE4629">
        <w:rPr>
          <w:rFonts w:eastAsia="Times New Roman" w:cs="Arial"/>
          <w:color w:val="000000"/>
        </w:rPr>
        <w:t xml:space="preserve">, </w:t>
      </w:r>
      <w:r w:rsidRPr="00DE4629">
        <w:rPr>
          <w:rFonts w:eastAsia="Times New Roman" w:cs="Arial"/>
          <w:color w:val="000000"/>
        </w:rPr>
        <w:t>the “compliance” provision, and specifically subdivision (d)—which, as we have recited, states the statute’s prohibitions do not apply to any subdivision “</w:t>
      </w:r>
      <w:r w:rsidR="007A5BE7" w:rsidRPr="00DE4629">
        <w:rPr>
          <w:rFonts w:eastAsia="Times New Roman" w:cs="Arial"/>
          <w:color w:val="000000"/>
        </w:rPr>
        <w:t xml:space="preserve"> ‘</w:t>
      </w:r>
      <w:r w:rsidRPr="00DE4629">
        <w:rPr>
          <w:rFonts w:eastAsia="Times New Roman" w:cs="Arial"/>
          <w:color w:val="000000"/>
        </w:rPr>
        <w:t xml:space="preserve">in compliance with or </w:t>
      </w:r>
      <w:r w:rsidRPr="00DE4629">
        <w:rPr>
          <w:rFonts w:eastAsia="Times New Roman" w:cs="Arial"/>
          <w:i/>
          <w:iCs/>
          <w:color w:val="000000"/>
        </w:rPr>
        <w:t xml:space="preserve">exempt </w:t>
      </w:r>
      <w:r w:rsidRPr="00DE4629">
        <w:rPr>
          <w:rFonts w:eastAsia="Times New Roman" w:cs="Arial"/>
          <w:color w:val="000000"/>
        </w:rPr>
        <w:t xml:space="preserve">from any </w:t>
      </w:r>
      <w:r w:rsidRPr="00DE4629">
        <w:rPr>
          <w:rFonts w:cs="Arial"/>
          <w:color w:val="000000"/>
          <w:shd w:val="clear" w:color="auto" w:fill="FFFFFF"/>
        </w:rPr>
        <w:t>law (including a local ordinance), regulating the design and improvement of subdivisions in effect at the time the subdivision was established</w:t>
      </w:r>
      <w:r w:rsidR="007A5BE7" w:rsidRPr="00DE4629">
        <w:rPr>
          <w:rFonts w:cs="Arial"/>
          <w:color w:val="000000"/>
          <w:shd w:val="clear" w:color="auto" w:fill="FFFFFF"/>
        </w:rPr>
        <w:t xml:space="preserve">’ </w:t>
      </w:r>
      <w:r w:rsidRPr="00DE4629">
        <w:rPr>
          <w:rFonts w:cs="Arial"/>
          <w:color w:val="000000"/>
          <w:shd w:val="clear" w:color="auto" w:fill="FFFFFF"/>
        </w:rPr>
        <w:t>”—applied, thereby excusing the plaintiffs from complying with the Act’s map requirements.  (</w:t>
      </w:r>
      <w:r w:rsidR="005C615D" w:rsidRPr="00DE4629">
        <w:rPr>
          <w:rFonts w:eastAsia="Times New Roman" w:cs="Arial"/>
          <w:i/>
          <w:iCs/>
          <w:color w:val="000000"/>
        </w:rPr>
        <w:t>Gardner, supra,</w:t>
      </w:r>
      <w:r w:rsidR="005C615D" w:rsidRPr="00DE4629">
        <w:rPr>
          <w:rFonts w:eastAsia="Times New Roman" w:cs="Arial"/>
          <w:color w:val="000000"/>
        </w:rPr>
        <w:t xml:space="preserve"> 29 Cal.4th</w:t>
      </w:r>
      <w:r w:rsidRPr="00DE4629">
        <w:rPr>
          <w:rFonts w:cs="Arial"/>
          <w:i/>
          <w:iCs/>
          <w:color w:val="000000"/>
          <w:shd w:val="clear" w:color="auto" w:fill="FFFFFF"/>
        </w:rPr>
        <w:t xml:space="preserve"> </w:t>
      </w:r>
      <w:r w:rsidRPr="00DE4629">
        <w:rPr>
          <w:rFonts w:cs="Arial"/>
          <w:color w:val="000000"/>
          <w:shd w:val="clear" w:color="auto" w:fill="FFFFFF"/>
        </w:rPr>
        <w:t xml:space="preserve">at </w:t>
      </w:r>
      <w:r w:rsidR="007A5BE7" w:rsidRPr="00DE4629">
        <w:rPr>
          <w:rFonts w:cs="Arial"/>
          <w:color w:val="000000"/>
          <w:shd w:val="clear" w:color="auto" w:fill="FFFFFF"/>
        </w:rPr>
        <w:t>p</w:t>
      </w:r>
      <w:r w:rsidRPr="00DE4629">
        <w:rPr>
          <w:rFonts w:cs="Arial"/>
          <w:color w:val="000000"/>
          <w:shd w:val="clear" w:color="auto" w:fill="FFFFFF"/>
        </w:rPr>
        <w:t xml:space="preserve">p. </w:t>
      </w:r>
      <w:r w:rsidR="007A5BE7" w:rsidRPr="00DE4629">
        <w:rPr>
          <w:rFonts w:cs="Arial"/>
          <w:color w:val="000000"/>
          <w:shd w:val="clear" w:color="auto" w:fill="FFFFFF"/>
        </w:rPr>
        <w:t>999</w:t>
      </w:r>
      <w:r w:rsidR="009415F4" w:rsidRPr="00DE4629">
        <w:t>–</w:t>
      </w:r>
      <w:r w:rsidRPr="00DE4629">
        <w:rPr>
          <w:rFonts w:cs="Arial"/>
          <w:color w:val="000000"/>
          <w:shd w:val="clear" w:color="auto" w:fill="FFFFFF"/>
        </w:rPr>
        <w:t xml:space="preserve">1000.)  </w:t>
      </w:r>
      <w:r w:rsidR="00105F16" w:rsidRPr="00DE4629">
        <w:rPr>
          <w:rFonts w:cs="Arial"/>
          <w:color w:val="000000"/>
          <w:shd w:val="clear" w:color="auto" w:fill="FFFFFF"/>
        </w:rPr>
        <w:t>T</w:t>
      </w:r>
      <w:r w:rsidRPr="00DE4629">
        <w:rPr>
          <w:rFonts w:cs="Arial"/>
          <w:color w:val="000000"/>
          <w:shd w:val="clear" w:color="auto" w:fill="FFFFFF"/>
        </w:rPr>
        <w:t xml:space="preserve">here were no state or local regulations governing subdivisions in 1865, and </w:t>
      </w:r>
      <w:r w:rsidR="00105F16" w:rsidRPr="00DE4629">
        <w:rPr>
          <w:rFonts w:cs="Arial"/>
          <w:color w:val="000000"/>
          <w:shd w:val="clear" w:color="auto" w:fill="FFFFFF"/>
        </w:rPr>
        <w:t xml:space="preserve">the plaintiffs </w:t>
      </w:r>
      <w:r w:rsidRPr="00DE4629">
        <w:rPr>
          <w:rFonts w:cs="Arial"/>
          <w:color w:val="000000"/>
          <w:shd w:val="clear" w:color="auto" w:fill="FFFFFF"/>
        </w:rPr>
        <w:t xml:space="preserve">cited to </w:t>
      </w:r>
      <w:r w:rsidRPr="00DE4629">
        <w:rPr>
          <w:rFonts w:cs="Arial"/>
          <w:i/>
          <w:iCs/>
          <w:color w:val="000000"/>
          <w:shd w:val="clear" w:color="auto" w:fill="FFFFFF"/>
        </w:rPr>
        <w:t xml:space="preserve">Lakeview </w:t>
      </w:r>
      <w:r w:rsidRPr="00DE4629">
        <w:rPr>
          <w:rFonts w:cs="Arial"/>
          <w:color w:val="000000"/>
          <w:shd w:val="clear" w:color="auto" w:fill="FFFFFF"/>
        </w:rPr>
        <w:t xml:space="preserve">in support of their assertion that </w:t>
      </w:r>
      <w:r w:rsidR="00105F16" w:rsidRPr="00DE4629">
        <w:rPr>
          <w:rFonts w:cs="Arial"/>
          <w:color w:val="000000"/>
          <w:shd w:val="clear" w:color="auto" w:fill="FFFFFF"/>
        </w:rPr>
        <w:t xml:space="preserve">the exception set forth in </w:t>
      </w:r>
      <w:r w:rsidRPr="00DE4629">
        <w:rPr>
          <w:rFonts w:cs="Arial"/>
          <w:color w:val="000000"/>
          <w:shd w:val="clear" w:color="auto" w:fill="FFFFFF"/>
        </w:rPr>
        <w:t xml:space="preserve">section 66499.30, subdivision (d) applied.  Observing that </w:t>
      </w:r>
      <w:r w:rsidRPr="00DE4629">
        <w:rPr>
          <w:rFonts w:cs="Arial"/>
          <w:i/>
          <w:iCs/>
          <w:color w:val="000000"/>
          <w:shd w:val="clear" w:color="auto" w:fill="FFFFFF"/>
        </w:rPr>
        <w:t xml:space="preserve">Lakeview </w:t>
      </w:r>
      <w:r w:rsidRPr="00DE4629">
        <w:rPr>
          <w:rFonts w:cs="Arial"/>
          <w:color w:val="000000"/>
          <w:shd w:val="clear" w:color="auto" w:fill="FFFFFF"/>
        </w:rPr>
        <w:t>had concluded that the “exempt from” language of section 66499.30 (the</w:t>
      </w:r>
      <w:r w:rsidR="00891BB4" w:rsidRPr="00DE4629">
        <w:rPr>
          <w:rFonts w:cs="Arial"/>
          <w:color w:val="000000"/>
          <w:shd w:val="clear" w:color="auto" w:fill="FFFFFF"/>
        </w:rPr>
        <w:t xml:space="preserve"> </w:t>
      </w:r>
      <w:r w:rsidRPr="00DE4629">
        <w:rPr>
          <w:rFonts w:cs="Arial"/>
          <w:color w:val="000000"/>
          <w:shd w:val="clear" w:color="auto" w:fill="FFFFFF"/>
        </w:rPr>
        <w:t xml:space="preserve">compliance provision) and the “not subject to” </w:t>
      </w:r>
      <w:r w:rsidR="0029353E" w:rsidRPr="00DE4629">
        <w:rPr>
          <w:rFonts w:cs="Arial"/>
          <w:color w:val="000000"/>
          <w:shd w:val="clear" w:color="auto" w:fill="FFFFFF"/>
        </w:rPr>
        <w:t xml:space="preserve">language of section </w:t>
      </w:r>
      <w:r w:rsidRPr="00DE4629">
        <w:rPr>
          <w:rFonts w:cs="Arial"/>
          <w:color w:val="000000"/>
          <w:shd w:val="clear" w:color="auto" w:fill="FFFFFF"/>
        </w:rPr>
        <w:t xml:space="preserve">66451.10 </w:t>
      </w:r>
      <w:r w:rsidR="0029353E" w:rsidRPr="00DE4629">
        <w:rPr>
          <w:rFonts w:cs="Arial"/>
          <w:color w:val="000000"/>
          <w:shd w:val="clear" w:color="auto" w:fill="FFFFFF"/>
        </w:rPr>
        <w:t xml:space="preserve">(the anti-merger provision) </w:t>
      </w:r>
      <w:r w:rsidRPr="00DE4629">
        <w:rPr>
          <w:rFonts w:cs="Arial"/>
          <w:color w:val="000000"/>
          <w:shd w:val="clear" w:color="auto" w:fill="FFFFFF"/>
        </w:rPr>
        <w:t>have “essentially the same meaning,” the court did not decide the issue.</w:t>
      </w:r>
      <w:r>
        <w:rPr>
          <w:rStyle w:val="FootnoteReference"/>
          <w:rFonts w:cs="Arial"/>
          <w:color w:val="000000"/>
          <w:shd w:val="clear" w:color="auto" w:fill="FFFFFF"/>
        </w:rPr>
        <w:footnoteReference w:id="21"/>
      </w:r>
      <w:r w:rsidRPr="00DE4629">
        <w:rPr>
          <w:rFonts w:cs="Arial"/>
          <w:color w:val="000000"/>
          <w:shd w:val="clear" w:color="auto" w:fill="FFFFFF"/>
        </w:rPr>
        <w:t xml:space="preserve">  (</w:t>
      </w:r>
      <w:r w:rsidR="005C615D" w:rsidRPr="00DE4629">
        <w:rPr>
          <w:rFonts w:eastAsia="Times New Roman" w:cs="Arial"/>
          <w:i/>
          <w:iCs/>
          <w:color w:val="000000"/>
        </w:rPr>
        <w:t xml:space="preserve">Gardner, </w:t>
      </w:r>
      <w:r w:rsidR="005C615D" w:rsidRPr="00DE4629">
        <w:rPr>
          <w:rFonts w:eastAsia="Times New Roman" w:cs="Arial"/>
          <w:color w:val="000000"/>
        </w:rPr>
        <w:t>at p. 1000</w:t>
      </w:r>
      <w:r w:rsidRPr="00DE4629">
        <w:rPr>
          <w:rFonts w:cs="Arial"/>
          <w:i/>
          <w:iCs/>
          <w:color w:val="000000"/>
          <w:shd w:val="clear" w:color="auto" w:fill="FFFFFF"/>
        </w:rPr>
        <w:t>.</w:t>
      </w:r>
      <w:r w:rsidRPr="00DE4629">
        <w:rPr>
          <w:rFonts w:cs="Arial"/>
          <w:color w:val="000000"/>
          <w:shd w:val="clear" w:color="auto" w:fill="FFFFFF"/>
        </w:rPr>
        <w:t>)</w:t>
      </w:r>
      <w:r w:rsidR="00F22BE7" w:rsidRPr="00DE4629">
        <w:rPr>
          <w:rFonts w:cs="Arial"/>
          <w:color w:val="000000"/>
          <w:shd w:val="clear" w:color="auto" w:fill="FFFFFF"/>
        </w:rPr>
        <w:t xml:space="preserve"> </w:t>
      </w:r>
      <w:r w:rsidR="0010425A" w:rsidRPr="00DE4629">
        <w:rPr>
          <w:rFonts w:cs="Arial"/>
          <w:color w:val="000000"/>
          <w:shd w:val="clear" w:color="auto" w:fill="FFFFFF"/>
        </w:rPr>
        <w:t xml:space="preserve"> </w:t>
      </w:r>
      <w:r w:rsidRPr="00DE4629">
        <w:rPr>
          <w:rFonts w:cs="Arial"/>
          <w:color w:val="000000"/>
          <w:shd w:val="clear" w:color="auto" w:fill="FFFFFF"/>
        </w:rPr>
        <w:t xml:space="preserve">  </w:t>
      </w:r>
    </w:p>
    <w:p w14:paraId="33B52B46" w14:textId="5751593A" w:rsidR="00EC45AD" w:rsidRPr="00DE4629" w:rsidRDefault="00CA5748" w:rsidP="00EC45AD">
      <w:pPr>
        <w:spacing w:line="360" w:lineRule="auto"/>
        <w:rPr>
          <w:rFonts w:cs="Arial"/>
          <w:color w:val="000000"/>
          <w:shd w:val="clear" w:color="auto" w:fill="FFFFFF"/>
        </w:rPr>
      </w:pPr>
      <w:r w:rsidRPr="00DE4629">
        <w:rPr>
          <w:rFonts w:cs="Arial"/>
          <w:color w:val="000000"/>
          <w:shd w:val="clear" w:color="auto" w:fill="FFFFFF"/>
        </w:rPr>
        <w:tab/>
        <w:t>Instead, even assuming th</w:t>
      </w:r>
      <w:r w:rsidR="00891BB4" w:rsidRPr="00DE4629">
        <w:rPr>
          <w:rFonts w:cs="Arial"/>
          <w:color w:val="000000"/>
          <w:shd w:val="clear" w:color="auto" w:fill="FFFFFF"/>
        </w:rPr>
        <w:t xml:space="preserve">e differing language of the </w:t>
      </w:r>
      <w:r w:rsidR="006F66F1" w:rsidRPr="00DE4629">
        <w:rPr>
          <w:rFonts w:cs="Arial"/>
          <w:color w:val="000000"/>
          <w:shd w:val="clear" w:color="auto" w:fill="FFFFFF"/>
        </w:rPr>
        <w:t xml:space="preserve">two </w:t>
      </w:r>
      <w:r w:rsidR="00891BB4" w:rsidRPr="00DE4629">
        <w:rPr>
          <w:rFonts w:cs="Arial"/>
          <w:color w:val="000000"/>
          <w:shd w:val="clear" w:color="auto" w:fill="FFFFFF"/>
        </w:rPr>
        <w:t xml:space="preserve">statutes </w:t>
      </w:r>
      <w:r w:rsidR="00CA49B0" w:rsidRPr="00DE4629">
        <w:rPr>
          <w:rFonts w:cs="Arial"/>
          <w:color w:val="000000"/>
          <w:shd w:val="clear" w:color="auto" w:fill="FFFFFF"/>
        </w:rPr>
        <w:t xml:space="preserve">had the same meaning, </w:t>
      </w:r>
      <w:r w:rsidRPr="00DE4629">
        <w:rPr>
          <w:rFonts w:cs="Arial"/>
          <w:color w:val="000000"/>
          <w:shd w:val="clear" w:color="auto" w:fill="FFFFFF"/>
        </w:rPr>
        <w:t xml:space="preserve">the </w:t>
      </w:r>
      <w:r w:rsidR="004A68EF" w:rsidRPr="00DE4629">
        <w:rPr>
          <w:rFonts w:cs="Arial"/>
          <w:color w:val="000000"/>
          <w:shd w:val="clear" w:color="auto" w:fill="FFFFFF"/>
        </w:rPr>
        <w:t>high court</w:t>
      </w:r>
      <w:r w:rsidRPr="00DE4629">
        <w:rPr>
          <w:rFonts w:cs="Arial"/>
          <w:color w:val="000000"/>
          <w:shd w:val="clear" w:color="auto" w:fill="FFFFFF"/>
        </w:rPr>
        <w:t xml:space="preserve"> held the recording of the 1865 map</w:t>
      </w:r>
      <w:r w:rsidR="000A285A" w:rsidRPr="00DE4629">
        <w:rPr>
          <w:rFonts w:cs="Arial"/>
          <w:color w:val="000000"/>
          <w:shd w:val="clear" w:color="auto" w:fill="FFFFFF"/>
        </w:rPr>
        <w:t>, in and of itself,</w:t>
      </w:r>
      <w:r w:rsidRPr="00DE4629">
        <w:rPr>
          <w:rFonts w:cs="Arial"/>
          <w:color w:val="000000"/>
          <w:shd w:val="clear" w:color="auto" w:fill="FFFFFF"/>
        </w:rPr>
        <w:t xml:space="preserve"> did not “</w:t>
      </w:r>
      <w:r w:rsidRPr="00DE4629">
        <w:rPr>
          <w:rFonts w:cs="Arial"/>
          <w:i/>
          <w:iCs/>
          <w:color w:val="000000"/>
          <w:shd w:val="clear" w:color="auto" w:fill="FFFFFF"/>
        </w:rPr>
        <w:t>lawfully</w:t>
      </w:r>
      <w:r w:rsidRPr="00DE4629">
        <w:rPr>
          <w:rFonts w:cs="Arial"/>
          <w:color w:val="000000"/>
          <w:shd w:val="clear" w:color="auto" w:fill="FFFFFF"/>
        </w:rPr>
        <w:t xml:space="preserve"> </w:t>
      </w:r>
      <w:r w:rsidR="0022226D" w:rsidRPr="00DE4629">
        <w:rPr>
          <w:rFonts w:cs="Arial"/>
          <w:color w:val="000000"/>
          <w:shd w:val="clear" w:color="auto" w:fill="FFFFFF"/>
        </w:rPr>
        <w:t>‘</w:t>
      </w:r>
      <w:proofErr w:type="gramStart"/>
      <w:r w:rsidRPr="00DE4629">
        <w:rPr>
          <w:rFonts w:cs="Arial"/>
          <w:color w:val="000000"/>
          <w:shd w:val="clear" w:color="auto" w:fill="FFFFFF"/>
        </w:rPr>
        <w:t>establish[</w:t>
      </w:r>
      <w:proofErr w:type="gramEnd"/>
      <w:r w:rsidRPr="00DE4629">
        <w:rPr>
          <w:rFonts w:cs="Arial"/>
          <w:color w:val="000000"/>
          <w:shd w:val="clear" w:color="auto" w:fill="FFFFFF"/>
        </w:rPr>
        <w:t>]</w:t>
      </w:r>
      <w:r w:rsidR="0022226D" w:rsidRPr="00DE4629">
        <w:rPr>
          <w:rFonts w:cs="Arial"/>
          <w:color w:val="000000"/>
          <w:shd w:val="clear" w:color="auto" w:fill="FFFFFF"/>
        </w:rPr>
        <w:t xml:space="preserve">’ </w:t>
      </w:r>
      <w:r w:rsidRPr="00DE4629">
        <w:rPr>
          <w:rFonts w:cs="Arial"/>
          <w:color w:val="000000"/>
          <w:shd w:val="clear" w:color="auto" w:fill="FFFFFF"/>
        </w:rPr>
        <w:t>” the subdivision for purposes of section 66499.30, subdivision (d).  (</w:t>
      </w:r>
      <w:r w:rsidR="005C615D" w:rsidRPr="00DE4629">
        <w:rPr>
          <w:rFonts w:eastAsia="Times New Roman" w:cs="Arial"/>
          <w:i/>
          <w:iCs/>
          <w:color w:val="000000"/>
        </w:rPr>
        <w:t>Gardner, supra,</w:t>
      </w:r>
      <w:r w:rsidR="005C615D" w:rsidRPr="00DE4629">
        <w:rPr>
          <w:rFonts w:eastAsia="Times New Roman" w:cs="Arial"/>
          <w:color w:val="000000"/>
        </w:rPr>
        <w:t xml:space="preserve"> 29 Cal.4th</w:t>
      </w:r>
      <w:r w:rsidR="005C615D" w:rsidRPr="00DE4629">
        <w:rPr>
          <w:rFonts w:cs="Arial"/>
          <w:color w:val="000000"/>
          <w:shd w:val="clear" w:color="auto" w:fill="FFFFFF"/>
        </w:rPr>
        <w:t xml:space="preserve"> </w:t>
      </w:r>
      <w:r w:rsidRPr="00DE4629">
        <w:rPr>
          <w:rFonts w:cs="Arial"/>
          <w:color w:val="000000"/>
          <w:shd w:val="clear" w:color="auto" w:fill="FFFFFF"/>
        </w:rPr>
        <w:t xml:space="preserve">at p. 1000, italics added.)  That was because the common law at the time the map was recorded provided that a lot depicted on map not recorded pursuant to any statute, </w:t>
      </w:r>
      <w:r w:rsidRPr="00DE4629">
        <w:rPr>
          <w:rFonts w:cs="Arial"/>
          <w:color w:val="000000"/>
          <w:shd w:val="clear" w:color="auto" w:fill="FFFFFF"/>
        </w:rPr>
        <w:lastRenderedPageBreak/>
        <w:t>ordinance, or regulation</w:t>
      </w:r>
      <w:r w:rsidR="00105F16" w:rsidRPr="00DE4629">
        <w:rPr>
          <w:rFonts w:cs="Arial"/>
          <w:color w:val="000000"/>
          <w:shd w:val="clear" w:color="auto" w:fill="FFFFFF"/>
        </w:rPr>
        <w:t>,</w:t>
      </w:r>
      <w:r w:rsidRPr="00DE4629">
        <w:rPr>
          <w:rFonts w:cs="Arial"/>
          <w:color w:val="000000"/>
          <w:shd w:val="clear" w:color="auto" w:fill="FFFFFF"/>
        </w:rPr>
        <w:t xml:space="preserve"> “generally enjoyed no independent legal status until the owner actually conveyed the lot separately from the surrounding lands through </w:t>
      </w:r>
      <w:r w:rsidR="0022226D" w:rsidRPr="00DE4629">
        <w:rPr>
          <w:rFonts w:cs="Arial"/>
          <w:color w:val="000000"/>
          <w:shd w:val="clear" w:color="auto" w:fill="FFFFFF"/>
        </w:rPr>
        <w:t xml:space="preserve">a </w:t>
      </w:r>
      <w:r w:rsidRPr="00DE4629">
        <w:rPr>
          <w:rFonts w:cs="Arial"/>
          <w:color w:val="000000"/>
          <w:shd w:val="clear" w:color="auto" w:fill="FFFFFF"/>
        </w:rPr>
        <w:t>deed or patent.”  (</w:t>
      </w:r>
      <w:r w:rsidRPr="00DE4629">
        <w:rPr>
          <w:rFonts w:cs="Arial"/>
          <w:i/>
          <w:iCs/>
          <w:color w:val="000000"/>
          <w:shd w:val="clear" w:color="auto" w:fill="FFFFFF"/>
        </w:rPr>
        <w:t xml:space="preserve">Id. </w:t>
      </w:r>
      <w:r w:rsidRPr="00DE4629">
        <w:rPr>
          <w:rFonts w:cs="Arial"/>
          <w:color w:val="000000"/>
          <w:shd w:val="clear" w:color="auto" w:fill="FFFFFF"/>
        </w:rPr>
        <w:t xml:space="preserve">at p. 1001.)  In short, “the recordation of a subdivision map [in the county in question] in 1865, without something more (such as a conveyance), could not and did not work a </w:t>
      </w:r>
      <w:r w:rsidRPr="00DE4629">
        <w:rPr>
          <w:rFonts w:cs="Arial"/>
          <w:i/>
          <w:iCs/>
          <w:color w:val="000000"/>
          <w:shd w:val="clear" w:color="auto" w:fill="FFFFFF"/>
        </w:rPr>
        <w:t>legal</w:t>
      </w:r>
      <w:r w:rsidRPr="00DE4629">
        <w:rPr>
          <w:rFonts w:cs="Arial"/>
          <w:color w:val="000000"/>
          <w:shd w:val="clear" w:color="auto" w:fill="FFFFFF"/>
        </w:rPr>
        <w:t xml:space="preserve"> subdivision of the property.”  (</w:t>
      </w:r>
      <w:r w:rsidRPr="00DE4629">
        <w:rPr>
          <w:rFonts w:cs="Arial"/>
          <w:i/>
          <w:iCs/>
          <w:color w:val="000000"/>
          <w:shd w:val="clear" w:color="auto" w:fill="FFFFFF"/>
        </w:rPr>
        <w:t xml:space="preserve">Id. </w:t>
      </w:r>
      <w:r w:rsidRPr="00DE4629">
        <w:rPr>
          <w:rFonts w:cs="Arial"/>
          <w:color w:val="000000"/>
          <w:shd w:val="clear" w:color="auto" w:fill="FFFFFF"/>
        </w:rPr>
        <w:t xml:space="preserve">at p. 1002, italics added.)  </w:t>
      </w:r>
      <w:r w:rsidR="00F22BE7" w:rsidRPr="00DE4629">
        <w:rPr>
          <w:rFonts w:cs="Arial"/>
          <w:color w:val="000000"/>
          <w:shd w:val="clear" w:color="auto" w:fill="FFFFFF"/>
        </w:rPr>
        <w:t>B</w:t>
      </w:r>
      <w:r w:rsidRPr="00DE4629">
        <w:rPr>
          <w:rFonts w:cs="Arial"/>
          <w:color w:val="000000"/>
          <w:shd w:val="clear" w:color="auto" w:fill="FFFFFF"/>
        </w:rPr>
        <w:t>ecause the property at issue had “remained intact under sequential owners throughout its history,” the plaintiffs could not “fit their case within the decisions recognizing the establishment of subdivisions by conveyance.”  (</w:t>
      </w:r>
      <w:r w:rsidRPr="00DE4629">
        <w:rPr>
          <w:rFonts w:cs="Arial"/>
          <w:i/>
          <w:iCs/>
          <w:color w:val="000000"/>
          <w:shd w:val="clear" w:color="auto" w:fill="FFFFFF"/>
        </w:rPr>
        <w:t xml:space="preserve">Id. </w:t>
      </w:r>
      <w:r w:rsidRPr="00DE4629">
        <w:rPr>
          <w:rFonts w:cs="Arial"/>
          <w:color w:val="000000"/>
          <w:shd w:val="clear" w:color="auto" w:fill="FFFFFF"/>
        </w:rPr>
        <w:t>at p. 1003.)</w:t>
      </w:r>
    </w:p>
    <w:p w14:paraId="0511362F" w14:textId="6AB91A05" w:rsidR="00891BB4" w:rsidRPr="00DE4629" w:rsidRDefault="00CA5748" w:rsidP="00EC45AD">
      <w:pPr>
        <w:spacing w:line="360" w:lineRule="auto"/>
        <w:rPr>
          <w:rFonts w:cs="Arial"/>
          <w:color w:val="000000"/>
          <w:shd w:val="clear" w:color="auto" w:fill="FFFFFF"/>
        </w:rPr>
      </w:pPr>
      <w:r w:rsidRPr="00DE4629">
        <w:rPr>
          <w:rFonts w:cs="Arial"/>
          <w:color w:val="000000"/>
          <w:shd w:val="clear" w:color="auto" w:fill="FFFFFF"/>
        </w:rPr>
        <w:tab/>
        <w:t xml:space="preserve">The one comment the </w:t>
      </w:r>
      <w:r w:rsidR="00916C3D" w:rsidRPr="00DE4629">
        <w:rPr>
          <w:rFonts w:cs="Arial"/>
          <w:color w:val="000000"/>
          <w:shd w:val="clear" w:color="auto" w:fill="FFFFFF"/>
        </w:rPr>
        <w:t xml:space="preserve">high </w:t>
      </w:r>
      <w:r w:rsidRPr="00DE4629">
        <w:rPr>
          <w:rFonts w:cs="Arial"/>
          <w:color w:val="000000"/>
          <w:shd w:val="clear" w:color="auto" w:fill="FFFFFF"/>
        </w:rPr>
        <w:t>court made about section 66412.6 appeared in a footnote observing that the plaintiffs had made a “passing reference” to the statute but failed to offer any analysis or argument supporting its application.  Accordingly, the court refrained from addressing the provision as not being properly raised.  (</w:t>
      </w:r>
      <w:r w:rsidR="005C615D" w:rsidRPr="00DE4629">
        <w:rPr>
          <w:rFonts w:eastAsia="Times New Roman" w:cs="Arial"/>
          <w:i/>
          <w:iCs/>
          <w:color w:val="000000"/>
        </w:rPr>
        <w:t>Gardner, supra,</w:t>
      </w:r>
      <w:r w:rsidR="005C615D" w:rsidRPr="00DE4629">
        <w:rPr>
          <w:rFonts w:eastAsia="Times New Roman" w:cs="Arial"/>
          <w:color w:val="000000"/>
        </w:rPr>
        <w:t xml:space="preserve"> 29 Cal.4th</w:t>
      </w:r>
      <w:r w:rsidRPr="00DE4629">
        <w:rPr>
          <w:rFonts w:cs="Arial"/>
          <w:i/>
          <w:iCs/>
          <w:color w:val="000000"/>
          <w:shd w:val="clear" w:color="auto" w:fill="FFFFFF"/>
        </w:rPr>
        <w:t xml:space="preserve"> </w:t>
      </w:r>
      <w:r w:rsidRPr="00DE4629">
        <w:rPr>
          <w:rFonts w:cs="Arial"/>
          <w:color w:val="000000"/>
          <w:shd w:val="clear" w:color="auto" w:fill="FFFFFF"/>
        </w:rPr>
        <w:t>at p. 999</w:t>
      </w:r>
      <w:r w:rsidR="005C615D" w:rsidRPr="00DE4629">
        <w:rPr>
          <w:rFonts w:cs="Arial"/>
          <w:color w:val="000000"/>
          <w:shd w:val="clear" w:color="auto" w:fill="FFFFFF"/>
        </w:rPr>
        <w:t>,</w:t>
      </w:r>
      <w:r w:rsidRPr="00DE4629">
        <w:rPr>
          <w:rFonts w:cs="Arial"/>
          <w:color w:val="000000"/>
          <w:shd w:val="clear" w:color="auto" w:fill="FFFFFF"/>
        </w:rPr>
        <w:t xml:space="preserve"> </w:t>
      </w:r>
      <w:r w:rsidR="005C615D" w:rsidRPr="00DE4629">
        <w:rPr>
          <w:rFonts w:cs="Arial"/>
          <w:color w:val="000000"/>
          <w:shd w:val="clear" w:color="auto" w:fill="FFFFFF"/>
        </w:rPr>
        <w:t>f</w:t>
      </w:r>
      <w:r w:rsidRPr="00DE4629">
        <w:rPr>
          <w:rFonts w:cs="Arial"/>
          <w:color w:val="000000"/>
          <w:shd w:val="clear" w:color="auto" w:fill="FFFFFF"/>
        </w:rPr>
        <w:t>n.</w:t>
      </w:r>
      <w:r w:rsidR="005C615D" w:rsidRPr="00DE4629">
        <w:rPr>
          <w:rFonts w:cs="Arial"/>
          <w:color w:val="000000"/>
          <w:shd w:val="clear" w:color="auto" w:fill="FFFFFF"/>
        </w:rPr>
        <w:t xml:space="preserve"> </w:t>
      </w:r>
      <w:r w:rsidRPr="00DE4629">
        <w:rPr>
          <w:rFonts w:cs="Arial"/>
          <w:color w:val="000000"/>
          <w:shd w:val="clear" w:color="auto" w:fill="FFFFFF"/>
        </w:rPr>
        <w:t>6.)</w:t>
      </w:r>
    </w:p>
    <w:p w14:paraId="061C1475" w14:textId="160EB189" w:rsidR="004A68EF" w:rsidRPr="00DE4629" w:rsidRDefault="00CA5748" w:rsidP="00EC45AD">
      <w:pPr>
        <w:spacing w:line="360" w:lineRule="auto"/>
        <w:rPr>
          <w:rFonts w:cs="Arial"/>
          <w:color w:val="000000"/>
          <w:shd w:val="clear" w:color="auto" w:fill="FFFFFF"/>
        </w:rPr>
      </w:pPr>
      <w:r w:rsidRPr="00DE4629">
        <w:rPr>
          <w:rFonts w:cs="Arial"/>
          <w:color w:val="000000"/>
          <w:shd w:val="clear" w:color="auto" w:fill="FFFFFF"/>
        </w:rPr>
        <w:tab/>
      </w:r>
      <w:r w:rsidR="00EF6DFE" w:rsidRPr="00DE4629">
        <w:rPr>
          <w:rFonts w:cs="Arial"/>
          <w:color w:val="000000"/>
          <w:shd w:val="clear" w:color="auto" w:fill="FFFFFF"/>
        </w:rPr>
        <w:t>T</w:t>
      </w:r>
      <w:r w:rsidRPr="00DE4629">
        <w:rPr>
          <w:rFonts w:cs="Arial"/>
          <w:color w:val="000000"/>
          <w:shd w:val="clear" w:color="auto" w:fill="FFFFFF"/>
        </w:rPr>
        <w:t xml:space="preserve">he Supreme Court’s holding in </w:t>
      </w:r>
      <w:r w:rsidRPr="00DE4629">
        <w:rPr>
          <w:rFonts w:cs="Arial"/>
          <w:i/>
          <w:iCs/>
          <w:color w:val="000000"/>
          <w:shd w:val="clear" w:color="auto" w:fill="FFFFFF"/>
        </w:rPr>
        <w:t>Gardner</w:t>
      </w:r>
      <w:r w:rsidR="00EF6DFE" w:rsidRPr="00DE4629">
        <w:rPr>
          <w:rFonts w:cs="Arial"/>
          <w:color w:val="000000"/>
          <w:shd w:val="clear" w:color="auto" w:fill="FFFFFF"/>
        </w:rPr>
        <w:t>, thus,</w:t>
      </w:r>
      <w:r w:rsidRPr="00DE4629">
        <w:rPr>
          <w:rFonts w:cs="Arial"/>
          <w:i/>
          <w:iCs/>
          <w:color w:val="000000"/>
          <w:shd w:val="clear" w:color="auto" w:fill="FFFFFF"/>
        </w:rPr>
        <w:t xml:space="preserve"> </w:t>
      </w:r>
      <w:r w:rsidR="00EF6DFE" w:rsidRPr="00DE4629">
        <w:rPr>
          <w:rFonts w:cs="Arial"/>
          <w:color w:val="000000"/>
          <w:shd w:val="clear" w:color="auto" w:fill="FFFFFF"/>
        </w:rPr>
        <w:t xml:space="preserve">has </w:t>
      </w:r>
      <w:r w:rsidR="00F22BE7" w:rsidRPr="00DE4629">
        <w:rPr>
          <w:rFonts w:cs="Arial"/>
          <w:color w:val="000000"/>
          <w:shd w:val="clear" w:color="auto" w:fill="FFFFFF"/>
        </w:rPr>
        <w:t>two prongs</w:t>
      </w:r>
      <w:r w:rsidR="00891BB4" w:rsidRPr="00DE4629">
        <w:rPr>
          <w:rFonts w:cs="Arial"/>
          <w:color w:val="000000"/>
          <w:shd w:val="clear" w:color="auto" w:fill="FFFFFF"/>
        </w:rPr>
        <w:t xml:space="preserve">: (1) </w:t>
      </w:r>
      <w:r w:rsidRPr="00DE4629">
        <w:rPr>
          <w:rFonts w:cs="Arial"/>
          <w:color w:val="000000"/>
          <w:shd w:val="clear" w:color="auto" w:fill="FFFFFF"/>
        </w:rPr>
        <w:t>the exception set forth in the compliance section of the Act (</w:t>
      </w:r>
      <w:r w:rsidR="00891BB4" w:rsidRPr="00DE4629">
        <w:rPr>
          <w:rFonts w:cs="Arial"/>
          <w:color w:val="000000"/>
          <w:shd w:val="clear" w:color="auto" w:fill="FFFFFF"/>
        </w:rPr>
        <w:t>§ </w:t>
      </w:r>
      <w:r w:rsidRPr="00DE4629">
        <w:rPr>
          <w:rFonts w:cs="Arial"/>
          <w:color w:val="000000"/>
          <w:shd w:val="clear" w:color="auto" w:fill="FFFFFF"/>
        </w:rPr>
        <w:t xml:space="preserve">66499.30, </w:t>
      </w:r>
      <w:proofErr w:type="spellStart"/>
      <w:r w:rsidRPr="00DE4629">
        <w:rPr>
          <w:rFonts w:cs="Arial"/>
          <w:color w:val="000000"/>
          <w:shd w:val="clear" w:color="auto" w:fill="FFFFFF"/>
        </w:rPr>
        <w:t>subd</w:t>
      </w:r>
      <w:proofErr w:type="spellEnd"/>
      <w:r w:rsidRPr="00DE4629">
        <w:rPr>
          <w:rFonts w:cs="Arial"/>
          <w:color w:val="000000"/>
          <w:shd w:val="clear" w:color="auto" w:fill="FFFFFF"/>
        </w:rPr>
        <w:t>. (d))</w:t>
      </w:r>
      <w:r w:rsidR="00891BB4" w:rsidRPr="00DE4629">
        <w:rPr>
          <w:rFonts w:cs="Arial"/>
          <w:color w:val="000000"/>
          <w:shd w:val="clear" w:color="auto" w:fill="FFFFFF"/>
        </w:rPr>
        <w:t xml:space="preserve"> </w:t>
      </w:r>
      <w:r w:rsidRPr="00DE4629">
        <w:rPr>
          <w:rFonts w:cs="Arial"/>
          <w:color w:val="000000"/>
          <w:shd w:val="clear" w:color="auto" w:fill="FFFFFF"/>
        </w:rPr>
        <w:t>applies</w:t>
      </w:r>
      <w:r w:rsidR="00891BB4" w:rsidRPr="00DE4629">
        <w:rPr>
          <w:rFonts w:cs="Arial"/>
          <w:color w:val="000000"/>
          <w:shd w:val="clear" w:color="auto" w:fill="FFFFFF"/>
        </w:rPr>
        <w:t xml:space="preserve">, at a minimum, </w:t>
      </w:r>
      <w:r w:rsidRPr="00DE4629">
        <w:rPr>
          <w:rFonts w:cs="Arial"/>
          <w:color w:val="000000"/>
          <w:shd w:val="clear" w:color="auto" w:fill="FFFFFF"/>
        </w:rPr>
        <w:t xml:space="preserve">only to a </w:t>
      </w:r>
      <w:r w:rsidR="00891BB4" w:rsidRPr="00DE4629">
        <w:rPr>
          <w:rFonts w:cs="Arial"/>
          <w:color w:val="000000"/>
          <w:shd w:val="clear" w:color="auto" w:fill="FFFFFF"/>
        </w:rPr>
        <w:t>sub</w:t>
      </w:r>
      <w:r w:rsidRPr="00DE4629">
        <w:rPr>
          <w:rFonts w:cs="Arial"/>
          <w:color w:val="000000"/>
          <w:shd w:val="clear" w:color="auto" w:fill="FFFFFF"/>
        </w:rPr>
        <w:t xml:space="preserve">division that was </w:t>
      </w:r>
      <w:r w:rsidRPr="00DE4629">
        <w:rPr>
          <w:rFonts w:cs="Arial"/>
          <w:i/>
          <w:iCs/>
          <w:color w:val="000000"/>
          <w:shd w:val="clear" w:color="auto" w:fill="FFFFFF"/>
        </w:rPr>
        <w:t xml:space="preserve">legally </w:t>
      </w:r>
      <w:r w:rsidRPr="00DE4629">
        <w:rPr>
          <w:rFonts w:cs="Arial"/>
          <w:color w:val="000000"/>
          <w:shd w:val="clear" w:color="auto" w:fill="FFFFFF"/>
        </w:rPr>
        <w:t>created at the time</w:t>
      </w:r>
      <w:r w:rsidR="00891BB4" w:rsidRPr="00DE4629">
        <w:rPr>
          <w:rFonts w:cs="Arial"/>
          <w:color w:val="000000"/>
          <w:shd w:val="clear" w:color="auto" w:fill="FFFFFF"/>
        </w:rPr>
        <w:t>;</w:t>
      </w:r>
      <w:r w:rsidRPr="00DE4629">
        <w:rPr>
          <w:rFonts w:cs="Arial"/>
          <w:color w:val="000000"/>
          <w:shd w:val="clear" w:color="auto" w:fill="FFFFFF"/>
        </w:rPr>
        <w:t xml:space="preserve"> and </w:t>
      </w:r>
      <w:r w:rsidR="00891BB4" w:rsidRPr="00DE4629">
        <w:rPr>
          <w:rFonts w:cs="Arial"/>
          <w:color w:val="000000"/>
          <w:shd w:val="clear" w:color="auto" w:fill="FFFFFF"/>
        </w:rPr>
        <w:t xml:space="preserve">(2) </w:t>
      </w:r>
      <w:r w:rsidRPr="00DE4629">
        <w:rPr>
          <w:rFonts w:cs="Arial"/>
          <w:color w:val="000000"/>
          <w:shd w:val="clear" w:color="auto" w:fill="FFFFFF"/>
        </w:rPr>
        <w:t>under the common law prior to the enactment of the Subdivision Map Act, the recording of a</w:t>
      </w:r>
      <w:r w:rsidR="00F36C95" w:rsidRPr="00DE4629">
        <w:rPr>
          <w:rFonts w:cs="Arial"/>
          <w:color w:val="000000"/>
          <w:shd w:val="clear" w:color="auto" w:fill="FFFFFF"/>
        </w:rPr>
        <w:t xml:space="preserve"> </w:t>
      </w:r>
      <w:r w:rsidR="00891BB4" w:rsidRPr="00DE4629">
        <w:rPr>
          <w:rFonts w:cs="Arial"/>
          <w:color w:val="000000"/>
          <w:shd w:val="clear" w:color="auto" w:fill="FFFFFF"/>
        </w:rPr>
        <w:t>subdivision</w:t>
      </w:r>
      <w:r w:rsidRPr="00DE4629">
        <w:rPr>
          <w:rFonts w:cs="Arial"/>
          <w:color w:val="000000"/>
          <w:shd w:val="clear" w:color="auto" w:fill="FFFFFF"/>
        </w:rPr>
        <w:t xml:space="preserve"> map did not, in and of itself, legally subdivide property </w:t>
      </w:r>
      <w:r w:rsidR="005902A1" w:rsidRPr="00DE4629">
        <w:rPr>
          <w:rFonts w:cs="Arial"/>
          <w:color w:val="000000"/>
          <w:shd w:val="clear" w:color="auto" w:fill="FFFFFF"/>
        </w:rPr>
        <w:t>“</w:t>
      </w:r>
      <w:r w:rsidRPr="00DE4629">
        <w:rPr>
          <w:rFonts w:cs="Arial"/>
          <w:color w:val="000000"/>
          <w:shd w:val="clear" w:color="auto" w:fill="FFFFFF"/>
        </w:rPr>
        <w:t xml:space="preserve">without </w:t>
      </w:r>
      <w:r w:rsidR="006C7520" w:rsidRPr="00DE4629">
        <w:rPr>
          <w:rFonts w:cs="Arial"/>
          <w:color w:val="000000"/>
          <w:shd w:val="clear" w:color="auto" w:fill="FFFFFF"/>
        </w:rPr>
        <w:t>something more (such as a conveyance).”  (</w:t>
      </w:r>
      <w:r w:rsidR="006C7520" w:rsidRPr="00DE4629">
        <w:rPr>
          <w:rFonts w:eastAsia="Times New Roman" w:cs="Arial"/>
          <w:i/>
          <w:iCs/>
          <w:color w:val="000000"/>
        </w:rPr>
        <w:t>Gardner, supra,</w:t>
      </w:r>
      <w:r w:rsidR="006C7520" w:rsidRPr="00DE4629">
        <w:rPr>
          <w:rFonts w:eastAsia="Times New Roman" w:cs="Arial"/>
          <w:color w:val="000000"/>
        </w:rPr>
        <w:t xml:space="preserve"> 29 Cal.4th</w:t>
      </w:r>
      <w:r w:rsidR="006C7520" w:rsidRPr="00DE4629">
        <w:rPr>
          <w:rFonts w:cs="Arial"/>
          <w:i/>
          <w:iCs/>
          <w:color w:val="000000"/>
          <w:shd w:val="clear" w:color="auto" w:fill="FFFFFF"/>
        </w:rPr>
        <w:t xml:space="preserve"> </w:t>
      </w:r>
      <w:r w:rsidR="006C7520" w:rsidRPr="00DE4629">
        <w:rPr>
          <w:rFonts w:cs="Arial"/>
          <w:color w:val="000000"/>
          <w:shd w:val="clear" w:color="auto" w:fill="FFFFFF"/>
        </w:rPr>
        <w:t>at p. 1002.)</w:t>
      </w:r>
    </w:p>
    <w:p w14:paraId="092A6781" w14:textId="11186F5E" w:rsidR="00EF6DFE" w:rsidRPr="00DE4629" w:rsidRDefault="00CA5748" w:rsidP="00EC45AD">
      <w:pPr>
        <w:spacing w:line="360" w:lineRule="auto"/>
        <w:rPr>
          <w:rFonts w:cs="Arial"/>
          <w:color w:val="000000"/>
          <w:shd w:val="clear" w:color="auto" w:fill="FFFFFF"/>
        </w:rPr>
      </w:pPr>
      <w:r w:rsidRPr="00DE4629">
        <w:rPr>
          <w:rFonts w:cs="Arial"/>
          <w:color w:val="000000"/>
          <w:shd w:val="clear" w:color="auto" w:fill="FFFFFF"/>
        </w:rPr>
        <w:tab/>
      </w:r>
      <w:r w:rsidR="005902A1" w:rsidRPr="00DE4629">
        <w:rPr>
          <w:rFonts w:cs="Arial"/>
          <w:color w:val="000000"/>
          <w:shd w:val="clear" w:color="auto" w:fill="FFFFFF"/>
        </w:rPr>
        <w:t xml:space="preserve">Thus, </w:t>
      </w:r>
      <w:r w:rsidRPr="00DE4629">
        <w:rPr>
          <w:rFonts w:cs="Arial"/>
          <w:i/>
          <w:iCs/>
          <w:color w:val="000000"/>
          <w:shd w:val="clear" w:color="auto" w:fill="FFFFFF"/>
        </w:rPr>
        <w:t xml:space="preserve">Gardner </w:t>
      </w:r>
      <w:r w:rsidRPr="00DE4629">
        <w:rPr>
          <w:rFonts w:cs="Arial"/>
          <w:color w:val="000000"/>
          <w:shd w:val="clear" w:color="auto" w:fill="FFFFFF"/>
        </w:rPr>
        <w:t xml:space="preserve">is not </w:t>
      </w:r>
      <w:r w:rsidR="005902A1" w:rsidRPr="00DE4629">
        <w:rPr>
          <w:rFonts w:cs="Arial"/>
          <w:color w:val="000000"/>
          <w:shd w:val="clear" w:color="auto" w:fill="FFFFFF"/>
        </w:rPr>
        <w:t>on all fours.</w:t>
      </w:r>
      <w:r w:rsidRPr="00DE4629">
        <w:rPr>
          <w:rFonts w:cs="Arial"/>
          <w:color w:val="000000"/>
          <w:shd w:val="clear" w:color="auto" w:fill="FFFFFF"/>
        </w:rPr>
        <w:t xml:space="preserve">  </w:t>
      </w:r>
      <w:r w:rsidR="006C7520" w:rsidRPr="00DE4629">
        <w:rPr>
          <w:rFonts w:cs="Arial"/>
          <w:color w:val="000000"/>
          <w:shd w:val="clear" w:color="auto" w:fill="FFFFFF"/>
        </w:rPr>
        <w:t xml:space="preserve">First, </w:t>
      </w:r>
      <w:r w:rsidR="00CD3CEE" w:rsidRPr="00DE4629">
        <w:rPr>
          <w:rFonts w:cs="Arial"/>
          <w:color w:val="000000"/>
          <w:shd w:val="clear" w:color="auto" w:fill="FFFFFF"/>
        </w:rPr>
        <w:t xml:space="preserve">the </w:t>
      </w:r>
      <w:r w:rsidR="00D453DD" w:rsidRPr="00DE4629">
        <w:rPr>
          <w:rFonts w:cs="Arial"/>
          <w:color w:val="000000"/>
          <w:shd w:val="clear" w:color="auto" w:fill="FFFFFF"/>
        </w:rPr>
        <w:t>fact</w:t>
      </w:r>
      <w:r w:rsidR="00CD3CEE" w:rsidRPr="00DE4629">
        <w:rPr>
          <w:rFonts w:cs="Arial"/>
          <w:color w:val="000000"/>
          <w:shd w:val="clear" w:color="auto" w:fill="FFFFFF"/>
        </w:rPr>
        <w:t>s of</w:t>
      </w:r>
      <w:r w:rsidR="00D453DD" w:rsidRPr="00DE4629">
        <w:rPr>
          <w:rFonts w:cs="Arial"/>
          <w:color w:val="000000"/>
          <w:shd w:val="clear" w:color="auto" w:fill="FFFFFF"/>
        </w:rPr>
        <w:t xml:space="preserve"> </w:t>
      </w:r>
      <w:r w:rsidR="00D453DD" w:rsidRPr="00DE4629">
        <w:rPr>
          <w:rFonts w:cs="Arial"/>
          <w:i/>
          <w:iCs/>
          <w:color w:val="000000"/>
          <w:shd w:val="clear" w:color="auto" w:fill="FFFFFF"/>
        </w:rPr>
        <w:t xml:space="preserve">Gardner </w:t>
      </w:r>
      <w:r w:rsidR="00D453DD" w:rsidRPr="00DE4629">
        <w:rPr>
          <w:rFonts w:cs="Arial"/>
          <w:color w:val="000000"/>
          <w:shd w:val="clear" w:color="auto" w:fill="FFFFFF"/>
        </w:rPr>
        <w:t xml:space="preserve">are significantly different.  </w:t>
      </w:r>
      <w:r w:rsidR="00CD3CEE" w:rsidRPr="00DE4629">
        <w:rPr>
          <w:rFonts w:cs="Arial"/>
          <w:color w:val="000000"/>
          <w:shd w:val="clear" w:color="auto" w:fill="FFFFFF"/>
        </w:rPr>
        <w:t xml:space="preserve">Here, unlike in </w:t>
      </w:r>
      <w:r w:rsidR="00CD3CEE" w:rsidRPr="00DE4629">
        <w:rPr>
          <w:rFonts w:cs="Arial"/>
          <w:i/>
          <w:iCs/>
          <w:color w:val="000000"/>
          <w:shd w:val="clear" w:color="auto" w:fill="FFFFFF"/>
        </w:rPr>
        <w:t xml:space="preserve">Gardner, </w:t>
      </w:r>
      <w:r w:rsidR="00CD3CEE" w:rsidRPr="00DE4629">
        <w:rPr>
          <w:rFonts w:cs="Arial"/>
          <w:color w:val="000000"/>
          <w:shd w:val="clear" w:color="auto" w:fill="FFFFFF"/>
        </w:rPr>
        <w:t>many</w:t>
      </w:r>
      <w:r w:rsidR="00D453DD" w:rsidRPr="00DE4629">
        <w:rPr>
          <w:rFonts w:cs="Arial"/>
          <w:color w:val="000000"/>
          <w:shd w:val="clear" w:color="auto" w:fill="FFFFFF"/>
        </w:rPr>
        <w:t xml:space="preserve"> </w:t>
      </w:r>
      <w:r w:rsidR="006C7520" w:rsidRPr="00DE4629">
        <w:rPr>
          <w:rFonts w:cs="Arial"/>
          <w:color w:val="000000"/>
          <w:shd w:val="clear" w:color="auto" w:fill="FFFFFF"/>
        </w:rPr>
        <w:t xml:space="preserve">of the </w:t>
      </w:r>
      <w:r w:rsidR="00D453DD" w:rsidRPr="00DE4629">
        <w:rPr>
          <w:rFonts w:cs="Arial"/>
          <w:color w:val="000000"/>
          <w:shd w:val="clear" w:color="auto" w:fill="FFFFFF"/>
        </w:rPr>
        <w:t>lots</w:t>
      </w:r>
      <w:r w:rsidR="00CD3CEE" w:rsidRPr="00DE4629">
        <w:rPr>
          <w:rFonts w:cs="Arial"/>
          <w:color w:val="000000"/>
          <w:shd w:val="clear" w:color="auto" w:fill="FFFFFF"/>
        </w:rPr>
        <w:t xml:space="preserve"> depicted on the Map of San Antonio</w:t>
      </w:r>
      <w:r w:rsidR="00D453DD" w:rsidRPr="00DE4629">
        <w:rPr>
          <w:rFonts w:cs="Arial"/>
          <w:color w:val="000000"/>
          <w:shd w:val="clear" w:color="auto" w:fill="FFFFFF"/>
        </w:rPr>
        <w:t xml:space="preserve">, including </w:t>
      </w:r>
      <w:r w:rsidR="00895699" w:rsidRPr="00DE4629">
        <w:rPr>
          <w:rFonts w:cs="Arial"/>
          <w:color w:val="000000"/>
          <w:shd w:val="clear" w:color="auto" w:fill="FFFFFF"/>
        </w:rPr>
        <w:t>l</w:t>
      </w:r>
      <w:r w:rsidR="00D453DD" w:rsidRPr="00DE4629">
        <w:rPr>
          <w:rFonts w:cs="Arial"/>
          <w:color w:val="000000"/>
          <w:shd w:val="clear" w:color="auto" w:fill="FFFFFF"/>
        </w:rPr>
        <w:t>ot 18, were conveyed to grantees</w:t>
      </w:r>
      <w:r w:rsidR="005902A1" w:rsidRPr="00DE4629">
        <w:rPr>
          <w:rFonts w:cs="Arial"/>
          <w:color w:val="000000"/>
          <w:shd w:val="clear" w:color="auto" w:fill="FFFFFF"/>
        </w:rPr>
        <w:t>,</w:t>
      </w:r>
      <w:r w:rsidR="00D453DD" w:rsidRPr="00DE4629">
        <w:rPr>
          <w:rFonts w:cs="Arial"/>
          <w:color w:val="000000"/>
          <w:shd w:val="clear" w:color="auto" w:fill="FFFFFF"/>
        </w:rPr>
        <w:t xml:space="preserve"> and </w:t>
      </w:r>
      <w:r w:rsidR="006C7520" w:rsidRPr="00DE4629">
        <w:rPr>
          <w:rFonts w:cs="Arial"/>
          <w:color w:val="000000"/>
          <w:shd w:val="clear" w:color="auto" w:fill="FFFFFF"/>
        </w:rPr>
        <w:t xml:space="preserve">many of those lots, as well as the </w:t>
      </w:r>
      <w:r w:rsidR="00D453DD" w:rsidRPr="00DE4629">
        <w:rPr>
          <w:rFonts w:cs="Arial"/>
          <w:color w:val="000000"/>
          <w:shd w:val="clear" w:color="auto" w:fill="FFFFFF"/>
        </w:rPr>
        <w:t>infrastructure depicted on the map</w:t>
      </w:r>
      <w:r w:rsidR="006C7520" w:rsidRPr="00DE4629">
        <w:rPr>
          <w:rFonts w:cs="Arial"/>
          <w:color w:val="000000"/>
          <w:shd w:val="clear" w:color="auto" w:fill="FFFFFF"/>
        </w:rPr>
        <w:t>,</w:t>
      </w:r>
      <w:r w:rsidR="00D453DD" w:rsidRPr="00DE4629">
        <w:rPr>
          <w:rFonts w:cs="Arial"/>
          <w:color w:val="000000"/>
          <w:shd w:val="clear" w:color="auto" w:fill="FFFFFF"/>
        </w:rPr>
        <w:t xml:space="preserve"> were developed</w:t>
      </w:r>
      <w:r w:rsidR="00CD3CEE" w:rsidRPr="00DE4629">
        <w:rPr>
          <w:rFonts w:cs="Arial"/>
          <w:color w:val="000000"/>
          <w:shd w:val="clear" w:color="auto" w:fill="FFFFFF"/>
        </w:rPr>
        <w:t xml:space="preserve">.  Indeed, </w:t>
      </w:r>
      <w:r w:rsidR="00D453DD" w:rsidRPr="00DE4629">
        <w:rPr>
          <w:rFonts w:cs="Arial"/>
          <w:color w:val="000000"/>
          <w:shd w:val="clear" w:color="auto" w:fill="FFFFFF"/>
        </w:rPr>
        <w:t>a significant part of the City of Oakland</w:t>
      </w:r>
      <w:r w:rsidR="00CD3CEE" w:rsidRPr="00DE4629">
        <w:rPr>
          <w:rFonts w:cs="Arial"/>
          <w:color w:val="000000"/>
          <w:shd w:val="clear" w:color="auto" w:fill="FFFFFF"/>
        </w:rPr>
        <w:t xml:space="preserve"> </w:t>
      </w:r>
      <w:r w:rsidR="00577D5A" w:rsidRPr="00DE4629">
        <w:rPr>
          <w:rFonts w:cs="Arial"/>
          <w:color w:val="000000"/>
          <w:shd w:val="clear" w:color="auto" w:fill="FFFFFF"/>
        </w:rPr>
        <w:t xml:space="preserve">has been </w:t>
      </w:r>
      <w:r w:rsidR="00CD3CEE" w:rsidRPr="00DE4629">
        <w:rPr>
          <w:rFonts w:cs="Arial"/>
          <w:color w:val="000000"/>
          <w:shd w:val="clear" w:color="auto" w:fill="FFFFFF"/>
        </w:rPr>
        <w:t>developed pursuant to the</w:t>
      </w:r>
      <w:r w:rsidR="006C7520" w:rsidRPr="00DE4629">
        <w:rPr>
          <w:rFonts w:cs="Arial"/>
          <w:color w:val="000000"/>
          <w:shd w:val="clear" w:color="auto" w:fill="FFFFFF"/>
        </w:rPr>
        <w:t xml:space="preserve"> lot designations and </w:t>
      </w:r>
      <w:r w:rsidR="00CD3CEE" w:rsidRPr="00DE4629">
        <w:rPr>
          <w:rFonts w:cs="Arial"/>
          <w:color w:val="000000"/>
          <w:shd w:val="clear" w:color="auto" w:fill="FFFFFF"/>
        </w:rPr>
        <w:t xml:space="preserve">improvements </w:t>
      </w:r>
      <w:r w:rsidR="006C7520" w:rsidRPr="00DE4629">
        <w:rPr>
          <w:rFonts w:cs="Arial"/>
          <w:color w:val="000000"/>
          <w:shd w:val="clear" w:color="auto" w:fill="FFFFFF"/>
        </w:rPr>
        <w:t>s</w:t>
      </w:r>
      <w:r w:rsidR="00CD3CEE" w:rsidRPr="00DE4629">
        <w:rPr>
          <w:rFonts w:cs="Arial"/>
          <w:color w:val="000000"/>
          <w:shd w:val="clear" w:color="auto" w:fill="FFFFFF"/>
        </w:rPr>
        <w:t xml:space="preserve">hown on that </w:t>
      </w:r>
      <w:r w:rsidR="00CD3CEE" w:rsidRPr="00DE4629">
        <w:rPr>
          <w:rFonts w:cs="Arial"/>
          <w:color w:val="000000"/>
          <w:shd w:val="clear" w:color="auto" w:fill="FFFFFF"/>
        </w:rPr>
        <w:lastRenderedPageBreak/>
        <w:t xml:space="preserve">map.  Second, the high court did not </w:t>
      </w:r>
      <w:r w:rsidR="00577D5A" w:rsidRPr="00DE4629">
        <w:rPr>
          <w:rFonts w:cs="Arial"/>
          <w:color w:val="000000"/>
          <w:shd w:val="clear" w:color="auto" w:fill="FFFFFF"/>
        </w:rPr>
        <w:t xml:space="preserve">consider </w:t>
      </w:r>
      <w:r w:rsidR="00CD3CEE" w:rsidRPr="00DE4629">
        <w:rPr>
          <w:rFonts w:cs="Arial"/>
          <w:color w:val="000000"/>
          <w:shd w:val="clear" w:color="auto" w:fill="FFFFFF"/>
        </w:rPr>
        <w:t>section 66412.6.</w:t>
      </w:r>
      <w:r w:rsidR="00577D5A" w:rsidRPr="00DE4629">
        <w:rPr>
          <w:rFonts w:cs="Arial"/>
          <w:color w:val="000000"/>
          <w:shd w:val="clear" w:color="auto" w:fill="FFFFFF"/>
        </w:rPr>
        <w:t xml:space="preserve">  To the contrary it concluded any argument based on that statute had been waived.</w:t>
      </w:r>
    </w:p>
    <w:p w14:paraId="323164F1" w14:textId="3C859D60" w:rsidR="00710690" w:rsidRPr="00DE4629" w:rsidRDefault="00CA5748" w:rsidP="00EC45AD">
      <w:pPr>
        <w:spacing w:line="360" w:lineRule="auto"/>
        <w:rPr>
          <w:rFonts w:cs="Arial"/>
          <w:i/>
          <w:iCs/>
          <w:color w:val="000000"/>
          <w:shd w:val="clear" w:color="auto" w:fill="FFFFFF"/>
        </w:rPr>
      </w:pPr>
      <w:r w:rsidRPr="00DE4629">
        <w:rPr>
          <w:b/>
          <w:bCs/>
          <w:i/>
          <w:iCs/>
        </w:rPr>
        <w:t>A</w:t>
      </w:r>
      <w:r w:rsidR="00EC1E15" w:rsidRPr="00DE4629">
        <w:rPr>
          <w:b/>
          <w:bCs/>
          <w:i/>
          <w:iCs/>
        </w:rPr>
        <w:t>nalysis</w:t>
      </w:r>
      <w:r w:rsidRPr="00DE4629">
        <w:rPr>
          <w:rFonts w:cs="Arial"/>
          <w:i/>
          <w:iCs/>
          <w:color w:val="000000"/>
          <w:shd w:val="clear" w:color="auto" w:fill="FFFFFF"/>
        </w:rPr>
        <w:t xml:space="preserve"> </w:t>
      </w:r>
    </w:p>
    <w:p w14:paraId="09A814D3" w14:textId="7662189C" w:rsidR="00B34B75" w:rsidRPr="00DE4629" w:rsidRDefault="00CA5748" w:rsidP="00B34B75">
      <w:pPr>
        <w:spacing w:line="360" w:lineRule="auto"/>
        <w:rPr>
          <w:rFonts w:cs="Arial"/>
          <w:color w:val="000000"/>
          <w:shd w:val="clear" w:color="auto" w:fill="FFFFFF"/>
        </w:rPr>
      </w:pPr>
      <w:r w:rsidRPr="00DE4629">
        <w:rPr>
          <w:rFonts w:cs="Arial"/>
          <w:color w:val="000000"/>
          <w:shd w:val="clear" w:color="auto" w:fill="FFFFFF"/>
        </w:rPr>
        <w:tab/>
      </w:r>
      <w:r w:rsidR="00943407" w:rsidRPr="00DE4629">
        <w:rPr>
          <w:rFonts w:cs="Arial"/>
          <w:color w:val="000000"/>
          <w:shd w:val="clear" w:color="auto" w:fill="FFFFFF"/>
        </w:rPr>
        <w:t>Appellant acknowledges that</w:t>
      </w:r>
      <w:r w:rsidR="00710690" w:rsidRPr="00DE4629">
        <w:rPr>
          <w:rFonts w:cs="Arial"/>
          <w:color w:val="000000"/>
          <w:shd w:val="clear" w:color="auto" w:fill="FFFFFF"/>
        </w:rPr>
        <w:t>,</w:t>
      </w:r>
      <w:r w:rsidR="00943407" w:rsidRPr="00DE4629">
        <w:rPr>
          <w:rFonts w:cs="Arial"/>
          <w:color w:val="000000"/>
          <w:shd w:val="clear" w:color="auto" w:fill="FFFFFF"/>
        </w:rPr>
        <w:t xml:space="preserve"> under </w:t>
      </w:r>
      <w:r w:rsidR="00943407" w:rsidRPr="00DE4629">
        <w:rPr>
          <w:rFonts w:cs="Arial"/>
          <w:i/>
          <w:iCs/>
          <w:color w:val="000000"/>
          <w:shd w:val="clear" w:color="auto" w:fill="FFFFFF"/>
        </w:rPr>
        <w:t>Gardner</w:t>
      </w:r>
      <w:r w:rsidR="00943407" w:rsidRPr="00DE4629">
        <w:rPr>
          <w:rFonts w:cs="Arial"/>
          <w:color w:val="000000"/>
          <w:shd w:val="clear" w:color="auto" w:fill="FFFFFF"/>
        </w:rPr>
        <w:t xml:space="preserve">, </w:t>
      </w:r>
      <w:r w:rsidR="00895699" w:rsidRPr="00DE4629">
        <w:rPr>
          <w:rFonts w:cs="Arial"/>
          <w:color w:val="000000"/>
          <w:shd w:val="clear" w:color="auto" w:fill="FFFFFF"/>
        </w:rPr>
        <w:t>l</w:t>
      </w:r>
      <w:r w:rsidR="00943407" w:rsidRPr="00DE4629">
        <w:rPr>
          <w:rFonts w:cs="Arial"/>
          <w:color w:val="000000"/>
          <w:shd w:val="clear" w:color="auto" w:fill="FFFFFF"/>
        </w:rPr>
        <w:t xml:space="preserve">ot 18 was not legally created </w:t>
      </w:r>
      <w:r w:rsidR="006C7520" w:rsidRPr="00DE4629">
        <w:rPr>
          <w:rFonts w:cs="Arial"/>
          <w:color w:val="000000"/>
          <w:shd w:val="clear" w:color="auto" w:fill="FFFFFF"/>
        </w:rPr>
        <w:t xml:space="preserve">merely </w:t>
      </w:r>
      <w:r w:rsidR="00943407" w:rsidRPr="00DE4629">
        <w:rPr>
          <w:rFonts w:cs="Arial"/>
          <w:color w:val="000000"/>
          <w:shd w:val="clear" w:color="auto" w:fill="FFFFFF"/>
        </w:rPr>
        <w:t xml:space="preserve">by </w:t>
      </w:r>
      <w:r w:rsidR="004A68EF" w:rsidRPr="00DE4629">
        <w:rPr>
          <w:rFonts w:cs="Arial"/>
          <w:color w:val="000000"/>
          <w:shd w:val="clear" w:color="auto" w:fill="FFFFFF"/>
        </w:rPr>
        <w:t xml:space="preserve">virtue of the 1854 </w:t>
      </w:r>
      <w:r w:rsidR="00F22BE7" w:rsidRPr="00DE4629">
        <w:rPr>
          <w:rFonts w:cs="Arial"/>
          <w:color w:val="000000"/>
          <w:shd w:val="clear" w:color="auto" w:fill="FFFFFF"/>
        </w:rPr>
        <w:t>filing</w:t>
      </w:r>
      <w:r w:rsidR="006C7520" w:rsidRPr="00DE4629">
        <w:rPr>
          <w:rFonts w:cs="Arial"/>
          <w:color w:val="000000"/>
          <w:shd w:val="clear" w:color="auto" w:fill="FFFFFF"/>
        </w:rPr>
        <w:t>,</w:t>
      </w:r>
      <w:r w:rsidR="00F22BE7" w:rsidRPr="00DE4629">
        <w:rPr>
          <w:rFonts w:cs="Arial"/>
          <w:color w:val="000000"/>
          <w:shd w:val="clear" w:color="auto" w:fill="FFFFFF"/>
        </w:rPr>
        <w:t xml:space="preserve"> or </w:t>
      </w:r>
      <w:r w:rsidR="00447210" w:rsidRPr="00DE4629">
        <w:rPr>
          <w:rFonts w:cs="Arial"/>
          <w:color w:val="000000"/>
          <w:shd w:val="clear" w:color="auto" w:fill="FFFFFF"/>
        </w:rPr>
        <w:t xml:space="preserve">the </w:t>
      </w:r>
      <w:r w:rsidR="00F22BE7" w:rsidRPr="00DE4629">
        <w:rPr>
          <w:rFonts w:cs="Arial"/>
          <w:color w:val="000000"/>
          <w:shd w:val="clear" w:color="auto" w:fill="FFFFFF"/>
        </w:rPr>
        <w:t>1869 recording</w:t>
      </w:r>
      <w:r w:rsidR="006C7520" w:rsidRPr="00DE4629">
        <w:rPr>
          <w:rFonts w:cs="Arial"/>
          <w:color w:val="000000"/>
          <w:shd w:val="clear" w:color="auto" w:fill="FFFFFF"/>
        </w:rPr>
        <w:t>,</w:t>
      </w:r>
      <w:r w:rsidR="00F22BE7" w:rsidRPr="00DE4629">
        <w:rPr>
          <w:rFonts w:cs="Arial"/>
          <w:color w:val="000000"/>
          <w:shd w:val="clear" w:color="auto" w:fill="FFFFFF"/>
        </w:rPr>
        <w:t xml:space="preserve"> </w:t>
      </w:r>
      <w:r w:rsidR="004A68EF" w:rsidRPr="00DE4629">
        <w:rPr>
          <w:rFonts w:cs="Arial"/>
          <w:color w:val="000000"/>
          <w:shd w:val="clear" w:color="auto" w:fill="FFFFFF"/>
        </w:rPr>
        <w:t xml:space="preserve">of the </w:t>
      </w:r>
      <w:r w:rsidR="00710690" w:rsidRPr="00DE4629">
        <w:rPr>
          <w:rFonts w:cs="Arial"/>
          <w:color w:val="000000"/>
          <w:shd w:val="clear" w:color="auto" w:fill="FFFFFF"/>
        </w:rPr>
        <w:t>Map of San Antonio</w:t>
      </w:r>
      <w:r w:rsidR="009808D2" w:rsidRPr="00DE4629">
        <w:rPr>
          <w:rFonts w:cs="Arial"/>
          <w:color w:val="000000"/>
          <w:shd w:val="clear" w:color="auto" w:fill="FFFFFF"/>
        </w:rPr>
        <w:t>.</w:t>
      </w:r>
      <w:r w:rsidR="004A68EF" w:rsidRPr="00DE4629">
        <w:rPr>
          <w:rFonts w:cs="Arial"/>
          <w:color w:val="000000"/>
          <w:shd w:val="clear" w:color="auto" w:fill="FFFFFF"/>
        </w:rPr>
        <w:t xml:space="preserve"> </w:t>
      </w:r>
      <w:r w:rsidR="009808D2" w:rsidRPr="00DE4629">
        <w:rPr>
          <w:rFonts w:cs="Arial"/>
          <w:color w:val="000000"/>
          <w:shd w:val="clear" w:color="auto" w:fill="FFFFFF"/>
        </w:rPr>
        <w:t xml:space="preserve"> </w:t>
      </w:r>
      <w:r w:rsidR="000B245E" w:rsidRPr="00DE4629">
        <w:rPr>
          <w:rFonts w:cs="Arial"/>
          <w:color w:val="000000"/>
          <w:shd w:val="clear" w:color="auto" w:fill="FFFFFF"/>
        </w:rPr>
        <w:t>Rather, a</w:t>
      </w:r>
      <w:r w:rsidR="004A68EF" w:rsidRPr="00DE4629">
        <w:rPr>
          <w:rFonts w:cs="Arial"/>
          <w:color w:val="000000"/>
          <w:shd w:val="clear" w:color="auto" w:fill="FFFFFF"/>
        </w:rPr>
        <w:t>ppellant maintains</w:t>
      </w:r>
      <w:r w:rsidR="00EF37E6" w:rsidRPr="00DE4629">
        <w:rPr>
          <w:rFonts w:cs="Arial"/>
          <w:color w:val="000000"/>
          <w:shd w:val="clear" w:color="auto" w:fill="FFFFFF"/>
        </w:rPr>
        <w:t xml:space="preserve"> that</w:t>
      </w:r>
      <w:r w:rsidR="004A68EF" w:rsidRPr="00DE4629">
        <w:rPr>
          <w:rFonts w:cs="Arial"/>
          <w:color w:val="000000"/>
          <w:shd w:val="clear" w:color="auto" w:fill="FFFFFF"/>
        </w:rPr>
        <w:t xml:space="preserve"> </w:t>
      </w:r>
      <w:r w:rsidR="00EF37E6" w:rsidRPr="00DE4629">
        <w:rPr>
          <w:rFonts w:cs="Arial"/>
          <w:color w:val="000000"/>
          <w:shd w:val="clear" w:color="auto" w:fill="FFFFFF"/>
        </w:rPr>
        <w:t xml:space="preserve">because </w:t>
      </w:r>
      <w:r w:rsidR="00895699" w:rsidRPr="00DE4629">
        <w:rPr>
          <w:rFonts w:cs="Arial"/>
          <w:color w:val="000000"/>
          <w:shd w:val="clear" w:color="auto" w:fill="FFFFFF"/>
        </w:rPr>
        <w:t>l</w:t>
      </w:r>
      <w:r w:rsidR="004A68EF" w:rsidRPr="00DE4629">
        <w:rPr>
          <w:rFonts w:cs="Arial"/>
          <w:color w:val="000000"/>
          <w:shd w:val="clear" w:color="auto" w:fill="FFFFFF"/>
        </w:rPr>
        <w:t>ot 18</w:t>
      </w:r>
      <w:r w:rsidR="00EF37E6" w:rsidRPr="00DE4629">
        <w:rPr>
          <w:rFonts w:cs="Arial"/>
          <w:color w:val="000000"/>
          <w:shd w:val="clear" w:color="auto" w:fill="FFFFFF"/>
        </w:rPr>
        <w:t xml:space="preserve"> was </w:t>
      </w:r>
      <w:r w:rsidR="000528E1" w:rsidRPr="00DE4629">
        <w:rPr>
          <w:rFonts w:cs="Arial"/>
          <w:color w:val="000000"/>
          <w:shd w:val="clear" w:color="auto" w:fill="FFFFFF"/>
        </w:rPr>
        <w:t>convey</w:t>
      </w:r>
      <w:r w:rsidR="00EF37E6" w:rsidRPr="00DE4629">
        <w:rPr>
          <w:rFonts w:cs="Arial"/>
          <w:color w:val="000000"/>
          <w:shd w:val="clear" w:color="auto" w:fill="FFFFFF"/>
        </w:rPr>
        <w:t>ed</w:t>
      </w:r>
      <w:r w:rsidR="000528E1" w:rsidRPr="00DE4629">
        <w:rPr>
          <w:rFonts w:cs="Arial"/>
          <w:color w:val="000000"/>
          <w:shd w:val="clear" w:color="auto" w:fill="FFFFFF"/>
        </w:rPr>
        <w:t xml:space="preserve"> </w:t>
      </w:r>
      <w:r w:rsidR="00EC1E15" w:rsidRPr="00DE4629">
        <w:rPr>
          <w:rFonts w:cs="Arial"/>
          <w:color w:val="000000"/>
          <w:shd w:val="clear" w:color="auto" w:fill="FFFFFF"/>
        </w:rPr>
        <w:t xml:space="preserve">from the original holding, and </w:t>
      </w:r>
      <w:r w:rsidR="00EE6FA1" w:rsidRPr="00DE4629">
        <w:rPr>
          <w:rFonts w:cs="Arial"/>
          <w:color w:val="000000"/>
          <w:shd w:val="clear" w:color="auto" w:fill="FFFFFF"/>
        </w:rPr>
        <w:t xml:space="preserve">specifically </w:t>
      </w:r>
      <w:r w:rsidR="00EC1E15" w:rsidRPr="00DE4629">
        <w:rPr>
          <w:rFonts w:cs="Arial"/>
          <w:color w:val="000000"/>
          <w:shd w:val="clear" w:color="auto" w:fill="FFFFFF"/>
        </w:rPr>
        <w:t xml:space="preserve">was conveyed </w:t>
      </w:r>
      <w:r w:rsidR="00EF37E6" w:rsidRPr="00DE4629">
        <w:rPr>
          <w:rFonts w:cs="Arial"/>
          <w:color w:val="000000"/>
          <w:shd w:val="clear" w:color="auto" w:fill="FFFFFF"/>
        </w:rPr>
        <w:t xml:space="preserve">with </w:t>
      </w:r>
      <w:r w:rsidR="00EE6FA1" w:rsidRPr="00DE4629">
        <w:rPr>
          <w:rFonts w:cs="Arial"/>
          <w:color w:val="000000"/>
          <w:shd w:val="clear" w:color="auto" w:fill="FFFFFF"/>
        </w:rPr>
        <w:t xml:space="preserve">only </w:t>
      </w:r>
      <w:r w:rsidR="00895699" w:rsidRPr="00DE4629">
        <w:rPr>
          <w:rFonts w:cs="Arial"/>
          <w:color w:val="000000"/>
          <w:shd w:val="clear" w:color="auto" w:fill="FFFFFF"/>
        </w:rPr>
        <w:t>l</w:t>
      </w:r>
      <w:r w:rsidR="00EF37E6" w:rsidRPr="00DE4629">
        <w:rPr>
          <w:rFonts w:cs="Arial"/>
          <w:color w:val="000000"/>
          <w:shd w:val="clear" w:color="auto" w:fill="FFFFFF"/>
        </w:rPr>
        <w:t>ots 15, 16, and 17</w:t>
      </w:r>
      <w:r w:rsidR="00EE6FA1" w:rsidRPr="00DE4629">
        <w:rPr>
          <w:rFonts w:cs="Arial"/>
          <w:color w:val="000000"/>
          <w:shd w:val="clear" w:color="auto" w:fill="FFFFFF"/>
        </w:rPr>
        <w:t xml:space="preserve"> before any local ordinance applied</w:t>
      </w:r>
      <w:r w:rsidR="00EF37E6" w:rsidRPr="00DE4629">
        <w:rPr>
          <w:rFonts w:cs="Arial"/>
          <w:color w:val="000000"/>
          <w:shd w:val="clear" w:color="auto" w:fill="FFFFFF"/>
        </w:rPr>
        <w:t xml:space="preserve">, the </w:t>
      </w:r>
      <w:r w:rsidR="00C14F02" w:rsidRPr="00DE4629">
        <w:rPr>
          <w:rFonts w:cs="Arial"/>
          <w:color w:val="000000"/>
          <w:shd w:val="clear" w:color="auto" w:fill="FFFFFF"/>
        </w:rPr>
        <w:t xml:space="preserve">fewer-than-five presumption of </w:t>
      </w:r>
      <w:r w:rsidR="00165300" w:rsidRPr="00DE4629">
        <w:rPr>
          <w:rFonts w:cs="Arial"/>
          <w:color w:val="000000"/>
          <w:shd w:val="clear" w:color="auto" w:fill="FFFFFF"/>
        </w:rPr>
        <w:t>legality</w:t>
      </w:r>
      <w:r w:rsidR="00C14F02" w:rsidRPr="00DE4629">
        <w:rPr>
          <w:rFonts w:cs="Arial"/>
          <w:color w:val="000000"/>
          <w:shd w:val="clear" w:color="auto" w:fill="FFFFFF"/>
        </w:rPr>
        <w:t xml:space="preserve"> set forth in section 66412.6, subdivision (a)</w:t>
      </w:r>
      <w:r w:rsidR="00EF37E6" w:rsidRPr="00DE4629">
        <w:rPr>
          <w:rFonts w:cs="Arial"/>
          <w:color w:val="000000"/>
          <w:shd w:val="clear" w:color="auto" w:fill="FFFFFF"/>
        </w:rPr>
        <w:t xml:space="preserve"> applies</w:t>
      </w:r>
      <w:r w:rsidR="00EE6FA1" w:rsidRPr="00DE4629">
        <w:rPr>
          <w:rFonts w:cs="Arial"/>
          <w:color w:val="000000"/>
          <w:shd w:val="clear" w:color="auto" w:fill="FFFFFF"/>
        </w:rPr>
        <w:t xml:space="preserve"> for purposes of compliance with the Subdivision Map Act.</w:t>
      </w:r>
      <w:r w:rsidR="00C14F02" w:rsidRPr="00DE4629">
        <w:rPr>
          <w:rFonts w:cs="Arial"/>
          <w:color w:val="000000"/>
          <w:shd w:val="clear" w:color="auto" w:fill="FFFFFF"/>
        </w:rPr>
        <w:t xml:space="preserve">  </w:t>
      </w:r>
    </w:p>
    <w:p w14:paraId="501C1108" w14:textId="77777777" w:rsidR="00982F76" w:rsidRPr="00DE4629" w:rsidRDefault="00CA5748" w:rsidP="00AF46A9">
      <w:pPr>
        <w:spacing w:line="360" w:lineRule="auto"/>
        <w:rPr>
          <w:rFonts w:cs="Arial"/>
          <w:color w:val="000000"/>
          <w:shd w:val="clear" w:color="auto" w:fill="FFFFFF"/>
        </w:rPr>
      </w:pPr>
      <w:r w:rsidRPr="00DE4629">
        <w:rPr>
          <w:rFonts w:cs="Arial"/>
          <w:color w:val="000000"/>
          <w:shd w:val="clear" w:color="auto" w:fill="FFFFFF"/>
        </w:rPr>
        <w:tab/>
      </w:r>
      <w:r w:rsidR="00C14F02" w:rsidRPr="00DE4629">
        <w:rPr>
          <w:rFonts w:cs="Arial"/>
          <w:color w:val="000000"/>
          <w:shd w:val="clear" w:color="auto" w:fill="FFFFFF"/>
        </w:rPr>
        <w:t>In support</w:t>
      </w:r>
      <w:r w:rsidR="007B31B3" w:rsidRPr="00DE4629">
        <w:rPr>
          <w:rFonts w:cs="Arial"/>
          <w:color w:val="000000"/>
          <w:shd w:val="clear" w:color="auto" w:fill="FFFFFF"/>
        </w:rPr>
        <w:t xml:space="preserve"> of this </w:t>
      </w:r>
      <w:r w:rsidR="00F011DD" w:rsidRPr="00DE4629">
        <w:rPr>
          <w:rFonts w:cs="Arial"/>
          <w:color w:val="000000"/>
          <w:shd w:val="clear" w:color="auto" w:fill="FFFFFF"/>
        </w:rPr>
        <w:t>assertion</w:t>
      </w:r>
      <w:r w:rsidR="00C14F02" w:rsidRPr="00DE4629">
        <w:rPr>
          <w:rFonts w:cs="Arial"/>
          <w:color w:val="000000"/>
          <w:shd w:val="clear" w:color="auto" w:fill="FFFFFF"/>
        </w:rPr>
        <w:t xml:space="preserve">, appellant relies on </w:t>
      </w:r>
      <w:r w:rsidR="00C32156" w:rsidRPr="00DE4629">
        <w:rPr>
          <w:rFonts w:cs="Arial"/>
          <w:color w:val="000000"/>
          <w:shd w:val="clear" w:color="auto" w:fill="FFFFFF"/>
        </w:rPr>
        <w:t xml:space="preserve">two </w:t>
      </w:r>
      <w:r w:rsidR="00C14F02" w:rsidRPr="00DE4629">
        <w:rPr>
          <w:rFonts w:cs="Arial"/>
          <w:color w:val="000000"/>
          <w:shd w:val="clear" w:color="auto" w:fill="FFFFFF"/>
        </w:rPr>
        <w:t>proposition</w:t>
      </w:r>
      <w:r w:rsidR="00C32156" w:rsidRPr="00DE4629">
        <w:rPr>
          <w:rFonts w:cs="Arial"/>
          <w:color w:val="000000"/>
          <w:shd w:val="clear" w:color="auto" w:fill="FFFFFF"/>
        </w:rPr>
        <w:t xml:space="preserve">s. </w:t>
      </w:r>
    </w:p>
    <w:p w14:paraId="0AD57778" w14:textId="2776A7B1" w:rsidR="00982F76" w:rsidRPr="00DE4629" w:rsidRDefault="00CA5748" w:rsidP="00AF46A9">
      <w:pPr>
        <w:spacing w:line="360" w:lineRule="auto"/>
        <w:rPr>
          <w:rFonts w:cs="Arial"/>
          <w:color w:val="000000"/>
          <w:shd w:val="clear" w:color="auto" w:fill="FFFFFF"/>
        </w:rPr>
      </w:pPr>
      <w:r w:rsidRPr="00DE4629">
        <w:rPr>
          <w:rFonts w:cs="Arial"/>
          <w:color w:val="000000"/>
          <w:shd w:val="clear" w:color="auto" w:fill="FFFFFF"/>
        </w:rPr>
        <w:tab/>
      </w:r>
      <w:r w:rsidR="00C32156" w:rsidRPr="00DE4629">
        <w:rPr>
          <w:rFonts w:cs="Arial"/>
          <w:color w:val="000000"/>
          <w:shd w:val="clear" w:color="auto" w:fill="FFFFFF"/>
        </w:rPr>
        <w:t>The first</w:t>
      </w:r>
      <w:r w:rsidR="003D446B" w:rsidRPr="00DE4629">
        <w:rPr>
          <w:rFonts w:cs="Arial"/>
          <w:color w:val="000000"/>
          <w:shd w:val="clear" w:color="auto" w:fill="FFFFFF"/>
        </w:rPr>
        <w:t xml:space="preserve"> is</w:t>
      </w:r>
      <w:r w:rsidR="00C14F02" w:rsidRPr="00DE4629">
        <w:rPr>
          <w:rFonts w:cs="Arial"/>
          <w:color w:val="000000"/>
          <w:shd w:val="clear" w:color="auto" w:fill="FFFFFF"/>
        </w:rPr>
        <w:t xml:space="preserve"> that a single deed can convey multiple parcels</w:t>
      </w:r>
      <w:r w:rsidR="00C32156" w:rsidRPr="00DE4629">
        <w:rPr>
          <w:rFonts w:cs="Arial"/>
          <w:color w:val="000000"/>
          <w:shd w:val="clear" w:color="auto" w:fill="FFFFFF"/>
        </w:rPr>
        <w:t>.</w:t>
      </w:r>
      <w:r w:rsidR="00CA49B0" w:rsidRPr="00DE4629">
        <w:rPr>
          <w:rFonts w:cs="Arial"/>
          <w:color w:val="000000"/>
          <w:shd w:val="clear" w:color="auto" w:fill="FFFFFF"/>
        </w:rPr>
        <w:t xml:space="preserve"> </w:t>
      </w:r>
      <w:r w:rsidR="00C14F02" w:rsidRPr="00DE4629">
        <w:rPr>
          <w:rFonts w:cs="Arial"/>
          <w:color w:val="000000"/>
          <w:shd w:val="clear" w:color="auto" w:fill="FFFFFF"/>
        </w:rPr>
        <w:t xml:space="preserve"> (</w:t>
      </w:r>
      <w:r w:rsidR="00C32156" w:rsidRPr="00DE4629">
        <w:rPr>
          <w:rFonts w:cs="Arial"/>
          <w:color w:val="000000"/>
          <w:shd w:val="clear" w:color="auto" w:fill="FFFFFF"/>
        </w:rPr>
        <w:t>S</w:t>
      </w:r>
      <w:r w:rsidR="002C4E08" w:rsidRPr="00DE4629">
        <w:rPr>
          <w:rFonts w:cs="Arial"/>
          <w:color w:val="000000"/>
          <w:shd w:val="clear" w:color="auto" w:fill="FFFFFF"/>
        </w:rPr>
        <w:t xml:space="preserve">ee </w:t>
      </w:r>
      <w:r w:rsidR="00C14F02" w:rsidRPr="00DE4629">
        <w:rPr>
          <w:rFonts w:cs="Arial"/>
          <w:i/>
          <w:iCs/>
          <w:color w:val="000000"/>
          <w:shd w:val="clear" w:color="auto" w:fill="FFFFFF"/>
        </w:rPr>
        <w:t xml:space="preserve">Lakeview, supra, </w:t>
      </w:r>
      <w:r w:rsidR="002C4E08" w:rsidRPr="00DE4629">
        <w:rPr>
          <w:rFonts w:cs="Arial"/>
          <w:color w:val="000000"/>
          <w:shd w:val="clear" w:color="auto" w:fill="FFFFFF"/>
        </w:rPr>
        <w:t>27 Cal.App.4th at p. 596</w:t>
      </w:r>
      <w:r w:rsidR="00C32156" w:rsidRPr="00DE4629">
        <w:rPr>
          <w:rFonts w:cs="Arial"/>
          <w:color w:val="000000"/>
          <w:shd w:val="clear" w:color="auto" w:fill="FFFFFF"/>
        </w:rPr>
        <w:t xml:space="preserve"> [</w:t>
      </w:r>
      <w:r w:rsidR="000B245E" w:rsidRPr="00DE4629">
        <w:rPr>
          <w:rFonts w:cs="Arial"/>
          <w:color w:val="000000"/>
          <w:shd w:val="clear" w:color="auto" w:fill="FFFFFF"/>
        </w:rPr>
        <w:t xml:space="preserve">three legally created lots </w:t>
      </w:r>
      <w:r w:rsidR="00C32156" w:rsidRPr="00DE4629">
        <w:rPr>
          <w:rFonts w:cs="Arial"/>
          <w:color w:val="000000"/>
          <w:shd w:val="clear" w:color="auto" w:fill="FFFFFF"/>
        </w:rPr>
        <w:t xml:space="preserve">were </w:t>
      </w:r>
      <w:r w:rsidR="00EC1E15" w:rsidRPr="00DE4629">
        <w:rPr>
          <w:rFonts w:cs="Arial"/>
          <w:color w:val="000000"/>
          <w:shd w:val="clear" w:color="auto" w:fill="FFFFFF"/>
        </w:rPr>
        <w:t xml:space="preserve">not merged </w:t>
      </w:r>
      <w:r w:rsidR="00023F0D" w:rsidRPr="00DE4629">
        <w:rPr>
          <w:rFonts w:cs="Arial"/>
          <w:color w:val="000000"/>
          <w:shd w:val="clear" w:color="auto" w:fill="FFFFFF"/>
        </w:rPr>
        <w:t xml:space="preserve">when acquired by a single landowner and were </w:t>
      </w:r>
      <w:r w:rsidR="00C32156" w:rsidRPr="00DE4629">
        <w:rPr>
          <w:rFonts w:cs="Arial"/>
          <w:color w:val="000000"/>
          <w:shd w:val="clear" w:color="auto" w:fill="FFFFFF"/>
        </w:rPr>
        <w:t xml:space="preserve">“part of” the property </w:t>
      </w:r>
      <w:r w:rsidR="00023F0D" w:rsidRPr="00DE4629">
        <w:rPr>
          <w:rFonts w:cs="Arial"/>
          <w:color w:val="000000"/>
          <w:shd w:val="clear" w:color="auto" w:fill="FFFFFF"/>
        </w:rPr>
        <w:t xml:space="preserve">as it was subsequently </w:t>
      </w:r>
      <w:r w:rsidR="00C32156" w:rsidRPr="00DE4629">
        <w:rPr>
          <w:rFonts w:cs="Arial"/>
          <w:color w:val="000000"/>
          <w:shd w:val="clear" w:color="auto" w:fill="FFFFFF"/>
        </w:rPr>
        <w:t xml:space="preserve">conveyed]; </w:t>
      </w:r>
      <w:r w:rsidR="002C4E08" w:rsidRPr="00DE4629">
        <w:rPr>
          <w:rFonts w:cs="Arial"/>
          <w:color w:val="000000"/>
          <w:shd w:val="clear" w:color="auto" w:fill="FFFFFF"/>
        </w:rPr>
        <w:t xml:space="preserve">see generally </w:t>
      </w:r>
      <w:r w:rsidR="00B34B75" w:rsidRPr="00DE4629">
        <w:rPr>
          <w:rFonts w:eastAsia="Times New Roman" w:cs="Arial"/>
          <w:color w:val="000000"/>
        </w:rPr>
        <w:t xml:space="preserve">3 </w:t>
      </w:r>
      <w:r w:rsidR="00617558" w:rsidRPr="00DE4629">
        <w:rPr>
          <w:rFonts w:eastAsia="Times New Roman" w:cs="Arial"/>
          <w:color w:val="000000"/>
        </w:rPr>
        <w:t>Miller &amp; Starr, Cal.</w:t>
      </w:r>
      <w:r w:rsidR="00B34B75" w:rsidRPr="00DE4629">
        <w:rPr>
          <w:rFonts w:eastAsia="Times New Roman" w:cs="Arial"/>
          <w:color w:val="000000"/>
        </w:rPr>
        <w:t xml:space="preserve"> Real Est</w:t>
      </w:r>
      <w:r w:rsidR="00617558" w:rsidRPr="00DE4629">
        <w:rPr>
          <w:rFonts w:eastAsia="Times New Roman" w:cs="Arial"/>
          <w:color w:val="000000"/>
        </w:rPr>
        <w:t>ate (4th ed.)</w:t>
      </w:r>
      <w:r w:rsidR="00B34B75" w:rsidRPr="00DE4629">
        <w:rPr>
          <w:rFonts w:eastAsia="Times New Roman" w:cs="Arial"/>
          <w:color w:val="000000"/>
        </w:rPr>
        <w:t xml:space="preserve"> §</w:t>
      </w:r>
      <w:r w:rsidR="005C615D" w:rsidRPr="00DE4629">
        <w:rPr>
          <w:rFonts w:eastAsia="Times New Roman" w:cs="Arial"/>
          <w:color w:val="000000"/>
        </w:rPr>
        <w:t> </w:t>
      </w:r>
      <w:r w:rsidR="00B34B75" w:rsidRPr="00DE4629">
        <w:rPr>
          <w:rFonts w:eastAsia="Times New Roman" w:cs="Arial"/>
          <w:color w:val="000000"/>
        </w:rPr>
        <w:t>8:76 [“</w:t>
      </w:r>
      <w:r w:rsidR="00B34B75" w:rsidRPr="00DE4629">
        <w:rPr>
          <w:rFonts w:eastAsia="Times New Roman" w:cs="Arial"/>
          <w:color w:val="000000"/>
          <w:shd w:val="clear" w:color="auto" w:fill="FFFFFF"/>
        </w:rPr>
        <w:t>It is common for a</w:t>
      </w:r>
      <w:r w:rsidR="00617558" w:rsidRPr="00DE4629">
        <w:rPr>
          <w:rFonts w:eastAsia="Times New Roman" w:cs="Arial"/>
          <w:color w:val="000000"/>
          <w:shd w:val="clear" w:color="auto" w:fill="FFFFFF"/>
        </w:rPr>
        <w:t xml:space="preserve"> </w:t>
      </w:r>
      <w:r w:rsidR="00B34B75" w:rsidRPr="00DE4629">
        <w:rPr>
          <w:rFonts w:eastAsia="Times New Roman" w:cs="Arial"/>
          <w:color w:val="000000"/>
          <w:bdr w:val="none" w:sz="0" w:space="0" w:color="auto" w:frame="1"/>
          <w:shd w:val="clear" w:color="auto" w:fill="FFFFFF"/>
        </w:rPr>
        <w:t>parcel</w:t>
      </w:r>
      <w:r w:rsidR="00617558" w:rsidRPr="00DE4629">
        <w:rPr>
          <w:rFonts w:eastAsia="Times New Roman" w:cs="Arial"/>
          <w:color w:val="000000"/>
          <w:shd w:val="clear" w:color="auto" w:fill="FFFFFF"/>
        </w:rPr>
        <w:t xml:space="preserve"> </w:t>
      </w:r>
      <w:r w:rsidR="00B34B75" w:rsidRPr="00DE4629">
        <w:rPr>
          <w:rFonts w:eastAsia="Times New Roman" w:cs="Arial"/>
          <w:color w:val="000000"/>
          <w:shd w:val="clear" w:color="auto" w:fill="FFFFFF"/>
        </w:rPr>
        <w:t>or</w:t>
      </w:r>
      <w:r w:rsidR="00617558" w:rsidRPr="00DE4629">
        <w:rPr>
          <w:rFonts w:eastAsia="Times New Roman" w:cs="Arial"/>
          <w:color w:val="000000"/>
          <w:shd w:val="clear" w:color="auto" w:fill="FFFFFF"/>
        </w:rPr>
        <w:t xml:space="preserve"> </w:t>
      </w:r>
      <w:r w:rsidR="00B34B75" w:rsidRPr="00DE4629">
        <w:rPr>
          <w:rFonts w:eastAsia="Times New Roman" w:cs="Arial"/>
          <w:color w:val="000000"/>
          <w:bdr w:val="none" w:sz="0" w:space="0" w:color="auto" w:frame="1"/>
          <w:shd w:val="clear" w:color="auto" w:fill="FFFFFF"/>
        </w:rPr>
        <w:t>parcels</w:t>
      </w:r>
      <w:r w:rsidR="00617558" w:rsidRPr="00DE4629">
        <w:rPr>
          <w:rFonts w:eastAsia="Times New Roman" w:cs="Arial"/>
          <w:color w:val="000000"/>
          <w:shd w:val="clear" w:color="auto" w:fill="FFFFFF"/>
        </w:rPr>
        <w:t xml:space="preserve"> </w:t>
      </w:r>
      <w:r w:rsidR="00B34B75" w:rsidRPr="00DE4629">
        <w:rPr>
          <w:rFonts w:eastAsia="Times New Roman" w:cs="Arial"/>
          <w:color w:val="000000"/>
          <w:shd w:val="clear" w:color="auto" w:fill="FFFFFF"/>
        </w:rPr>
        <w:t>of land to be</w:t>
      </w:r>
      <w:r w:rsidR="00D2099B" w:rsidRPr="00DE4629">
        <w:rPr>
          <w:rFonts w:eastAsia="Times New Roman" w:cs="Arial"/>
          <w:color w:val="000000"/>
          <w:shd w:val="clear" w:color="auto" w:fill="FFFFFF"/>
        </w:rPr>
        <w:t xml:space="preserve"> </w:t>
      </w:r>
      <w:r w:rsidR="00B34B75" w:rsidRPr="00DE4629">
        <w:rPr>
          <w:rFonts w:eastAsia="Times New Roman" w:cs="Arial"/>
          <w:color w:val="000000"/>
          <w:bdr w:val="none" w:sz="0" w:space="0" w:color="auto" w:frame="1"/>
          <w:shd w:val="clear" w:color="auto" w:fill="FFFFFF"/>
        </w:rPr>
        <w:t>conveyed</w:t>
      </w:r>
      <w:r w:rsidR="00D2099B" w:rsidRPr="00DE4629">
        <w:rPr>
          <w:rFonts w:eastAsia="Times New Roman" w:cs="Arial"/>
          <w:color w:val="000000"/>
          <w:shd w:val="clear" w:color="auto" w:fill="FFFFFF"/>
        </w:rPr>
        <w:t xml:space="preserve"> </w:t>
      </w:r>
      <w:r w:rsidR="00B34B75" w:rsidRPr="00DE4629">
        <w:rPr>
          <w:rFonts w:eastAsia="Times New Roman" w:cs="Arial"/>
          <w:color w:val="000000"/>
          <w:shd w:val="clear" w:color="auto" w:fill="FFFFFF"/>
        </w:rPr>
        <w:t>by a single instrument, and for the legal description of the property</w:t>
      </w:r>
      <w:r w:rsidR="00D2099B" w:rsidRPr="00DE4629">
        <w:rPr>
          <w:rFonts w:eastAsia="Times New Roman" w:cs="Arial"/>
          <w:color w:val="000000"/>
          <w:shd w:val="clear" w:color="auto" w:fill="FFFFFF"/>
        </w:rPr>
        <w:t xml:space="preserve"> </w:t>
      </w:r>
      <w:r w:rsidR="00B34B75" w:rsidRPr="00DE4629">
        <w:rPr>
          <w:rFonts w:eastAsia="Times New Roman" w:cs="Arial"/>
          <w:color w:val="000000"/>
          <w:bdr w:val="none" w:sz="0" w:space="0" w:color="auto" w:frame="1"/>
          <w:shd w:val="clear" w:color="auto" w:fill="FFFFFF"/>
        </w:rPr>
        <w:t>conveyed</w:t>
      </w:r>
      <w:r w:rsidR="00D2099B" w:rsidRPr="00DE4629">
        <w:rPr>
          <w:rFonts w:eastAsia="Times New Roman" w:cs="Arial"/>
          <w:color w:val="000000"/>
          <w:shd w:val="clear" w:color="auto" w:fill="FFFFFF"/>
        </w:rPr>
        <w:t xml:space="preserve"> </w:t>
      </w:r>
      <w:r w:rsidR="00B34B75" w:rsidRPr="00DE4629">
        <w:rPr>
          <w:rFonts w:eastAsia="Times New Roman" w:cs="Arial"/>
          <w:color w:val="000000"/>
          <w:shd w:val="clear" w:color="auto" w:fill="FFFFFF"/>
        </w:rPr>
        <w:t>to be made up of a series of separate descriptions.”].)</w:t>
      </w:r>
      <w:r w:rsidRPr="00DE4629">
        <w:rPr>
          <w:rFonts w:eastAsia="Times New Roman" w:cs="Arial"/>
          <w:color w:val="000000"/>
          <w:shd w:val="clear" w:color="auto" w:fill="FFFFFF"/>
        </w:rPr>
        <w:t xml:space="preserve">  </w:t>
      </w:r>
      <w:r w:rsidR="00EE6FA1" w:rsidRPr="00DE4629">
        <w:rPr>
          <w:rFonts w:eastAsia="Times New Roman" w:cs="Arial"/>
          <w:color w:val="000000"/>
          <w:shd w:val="clear" w:color="auto" w:fill="FFFFFF"/>
        </w:rPr>
        <w:t>And, i</w:t>
      </w:r>
      <w:r w:rsidR="00B22913" w:rsidRPr="00DE4629">
        <w:rPr>
          <w:rFonts w:eastAsia="Times New Roman" w:cs="Arial"/>
          <w:color w:val="000000"/>
          <w:shd w:val="clear" w:color="auto" w:fill="FFFFFF"/>
        </w:rPr>
        <w:t xml:space="preserve">ndeed, </w:t>
      </w:r>
      <w:r w:rsidRPr="00DE4629">
        <w:rPr>
          <w:rFonts w:eastAsia="Times New Roman" w:cs="Arial"/>
          <w:color w:val="000000"/>
          <w:shd w:val="clear" w:color="auto" w:fill="FFFFFF"/>
        </w:rPr>
        <w:t xml:space="preserve">very early cases </w:t>
      </w:r>
      <w:r w:rsidRPr="00DE4629">
        <w:rPr>
          <w:rFonts w:cs="Arial"/>
          <w:color w:val="000000"/>
          <w:shd w:val="clear" w:color="auto" w:fill="FFFFFF"/>
        </w:rPr>
        <w:t xml:space="preserve">reflect </w:t>
      </w:r>
      <w:r w:rsidR="00F36C95" w:rsidRPr="00DE4629">
        <w:rPr>
          <w:rFonts w:cs="Arial"/>
          <w:color w:val="000000"/>
          <w:shd w:val="clear" w:color="auto" w:fill="FFFFFF"/>
        </w:rPr>
        <w:t xml:space="preserve">that </w:t>
      </w:r>
      <w:r w:rsidRPr="00DE4629">
        <w:rPr>
          <w:rFonts w:cs="Arial"/>
          <w:color w:val="000000"/>
          <w:shd w:val="clear" w:color="auto" w:fill="FFFFFF"/>
        </w:rPr>
        <w:t xml:space="preserve">this </w:t>
      </w:r>
      <w:r w:rsidR="00EE6FA1" w:rsidRPr="00DE4629">
        <w:rPr>
          <w:rFonts w:cs="Arial"/>
          <w:color w:val="000000"/>
          <w:shd w:val="clear" w:color="auto" w:fill="FFFFFF"/>
        </w:rPr>
        <w:t xml:space="preserve">was a recognized practice at the time </w:t>
      </w:r>
      <w:r w:rsidR="00F36C95" w:rsidRPr="00DE4629">
        <w:rPr>
          <w:rFonts w:cs="Arial"/>
          <w:color w:val="000000"/>
          <w:shd w:val="clear" w:color="auto" w:fill="FFFFFF"/>
        </w:rPr>
        <w:t>in question.</w:t>
      </w:r>
      <w:r w:rsidRPr="00DE4629">
        <w:rPr>
          <w:rFonts w:cs="Arial"/>
          <w:color w:val="000000"/>
          <w:shd w:val="clear" w:color="auto" w:fill="FFFFFF"/>
        </w:rPr>
        <w:t xml:space="preserve">  (See, e.g.,</w:t>
      </w:r>
      <w:r w:rsidR="00B22913" w:rsidRPr="00DE4629">
        <w:rPr>
          <w:rFonts w:cs="Arial"/>
          <w:color w:val="000000"/>
          <w:shd w:val="clear" w:color="auto" w:fill="FFFFFF"/>
        </w:rPr>
        <w:t xml:space="preserve"> </w:t>
      </w:r>
      <w:r w:rsidR="00A53400" w:rsidRPr="00DE4629">
        <w:rPr>
          <w:rFonts w:cs="Arial"/>
          <w:i/>
          <w:iCs/>
          <w:color w:val="000000"/>
          <w:shd w:val="clear" w:color="auto" w:fill="FFFFFF"/>
        </w:rPr>
        <w:t>City of Y</w:t>
      </w:r>
      <w:r w:rsidR="00B22913" w:rsidRPr="00DE4629">
        <w:rPr>
          <w:rFonts w:cs="Arial"/>
          <w:i/>
          <w:iCs/>
          <w:color w:val="000000"/>
          <w:shd w:val="clear" w:color="auto" w:fill="FFFFFF"/>
        </w:rPr>
        <w:t xml:space="preserve">uba </w:t>
      </w:r>
      <w:r w:rsidR="0022294A" w:rsidRPr="00DE4629">
        <w:rPr>
          <w:rFonts w:cs="Arial"/>
          <w:i/>
          <w:iCs/>
          <w:color w:val="000000"/>
          <w:shd w:val="clear" w:color="auto" w:fill="FFFFFF"/>
        </w:rPr>
        <w:t>C</w:t>
      </w:r>
      <w:r w:rsidR="00B22913" w:rsidRPr="00DE4629">
        <w:rPr>
          <w:rFonts w:cs="Arial"/>
          <w:i/>
          <w:iCs/>
          <w:color w:val="000000"/>
          <w:shd w:val="clear" w:color="auto" w:fill="FFFFFF"/>
        </w:rPr>
        <w:t xml:space="preserve">ity v. Consolidated Mausoleum Syndicate </w:t>
      </w:r>
      <w:r w:rsidR="00B22913" w:rsidRPr="00DE4629">
        <w:rPr>
          <w:rFonts w:cs="Arial"/>
          <w:color w:val="000000"/>
          <w:shd w:val="clear" w:color="auto" w:fill="FFFFFF"/>
        </w:rPr>
        <w:t>(1929) 207 Cal. 587, 588</w:t>
      </w:r>
      <w:r w:rsidR="00A53400" w:rsidRPr="00DE4629">
        <w:rPr>
          <w:rFonts w:cs="Arial"/>
          <w:color w:val="000000"/>
          <w:shd w:val="clear" w:color="auto" w:fill="FFFFFF"/>
        </w:rPr>
        <w:t>–589</w:t>
      </w:r>
      <w:r w:rsidR="0022294A" w:rsidRPr="00DE4629">
        <w:rPr>
          <w:rFonts w:cs="Arial"/>
          <w:color w:val="000000"/>
          <w:shd w:val="clear" w:color="auto" w:fill="FFFFFF"/>
        </w:rPr>
        <w:t xml:space="preserve"> (</w:t>
      </w:r>
      <w:r w:rsidR="0022294A" w:rsidRPr="00DE4629">
        <w:rPr>
          <w:rFonts w:cs="Arial"/>
          <w:i/>
          <w:iCs/>
          <w:color w:val="000000"/>
          <w:shd w:val="clear" w:color="auto" w:fill="FFFFFF"/>
        </w:rPr>
        <w:t>Yuba City</w:t>
      </w:r>
      <w:r w:rsidR="0022294A" w:rsidRPr="00DE4629">
        <w:rPr>
          <w:rFonts w:cs="Arial"/>
          <w:color w:val="000000"/>
          <w:shd w:val="clear" w:color="auto" w:fill="FFFFFF"/>
        </w:rPr>
        <w:t>)</w:t>
      </w:r>
      <w:r w:rsidR="00B22913" w:rsidRPr="00DE4629">
        <w:rPr>
          <w:rFonts w:cs="Arial"/>
          <w:color w:val="000000"/>
          <w:shd w:val="clear" w:color="auto" w:fill="FFFFFF"/>
        </w:rPr>
        <w:t xml:space="preserve"> [1893 deed conveyed “ ‘</w:t>
      </w:r>
      <w:r w:rsidR="00A53400" w:rsidRPr="00DE4629">
        <w:rPr>
          <w:rFonts w:cs="Arial"/>
          <w:color w:val="000000"/>
          <w:shd w:val="clear" w:color="auto" w:fill="FFFFFF"/>
        </w:rPr>
        <w:t>L</w:t>
      </w:r>
      <w:r w:rsidR="00B22913" w:rsidRPr="00DE4629">
        <w:rPr>
          <w:rFonts w:cs="Arial"/>
          <w:color w:val="000000"/>
          <w:shd w:val="clear" w:color="auto" w:fill="FFFFFF"/>
        </w:rPr>
        <w:t xml:space="preserve">ots 4, 5, 6, 7, and 8, according to a Map entitled </w:t>
      </w:r>
      <w:r w:rsidR="00A53400" w:rsidRPr="00DE4629">
        <w:rPr>
          <w:rFonts w:cs="Arial"/>
          <w:color w:val="000000"/>
          <w:shd w:val="clear" w:color="auto" w:fill="FFFFFF"/>
        </w:rPr>
        <w:t>“</w:t>
      </w:r>
      <w:r w:rsidR="00B22913" w:rsidRPr="00DE4629">
        <w:rPr>
          <w:rFonts w:cs="Arial"/>
          <w:color w:val="000000"/>
          <w:shd w:val="clear" w:color="auto" w:fill="FFFFFF"/>
        </w:rPr>
        <w:t xml:space="preserve">Plot of the South half of Lot Eight in the </w:t>
      </w:r>
      <w:proofErr w:type="spellStart"/>
      <w:r w:rsidR="00B22913" w:rsidRPr="00DE4629">
        <w:rPr>
          <w:rFonts w:cs="Arial"/>
          <w:color w:val="000000"/>
          <w:shd w:val="clear" w:color="auto" w:fill="FFFFFF"/>
        </w:rPr>
        <w:t>Teegarden</w:t>
      </w:r>
      <w:proofErr w:type="spellEnd"/>
      <w:r w:rsidR="00B22913" w:rsidRPr="00DE4629">
        <w:rPr>
          <w:rFonts w:cs="Arial"/>
          <w:color w:val="000000"/>
          <w:shd w:val="clear" w:color="auto" w:fill="FFFFFF"/>
        </w:rPr>
        <w:t xml:space="preserve"> Addition to Yuba City</w:t>
      </w:r>
      <w:r w:rsidR="00A53400" w:rsidRPr="00DE4629">
        <w:rPr>
          <w:rFonts w:cs="Arial"/>
          <w:color w:val="000000"/>
          <w:shd w:val="clear" w:color="auto" w:fill="FFFFFF"/>
        </w:rPr>
        <w:t>”</w:t>
      </w:r>
      <w:r w:rsidR="00B22913" w:rsidRPr="00DE4629">
        <w:rPr>
          <w:rFonts w:cs="Arial"/>
          <w:color w:val="000000"/>
          <w:shd w:val="clear" w:color="auto" w:fill="FFFFFF"/>
        </w:rPr>
        <w:t xml:space="preserve"> filed for record November 23rd, 1892, in the office of the recorder of said Sutter County, in Book One of Maps, page 7</w:t>
      </w:r>
      <w:r w:rsidR="00F666E1" w:rsidRPr="00DE4629">
        <w:rPr>
          <w:rFonts w:cs="Arial"/>
          <w:color w:val="000000"/>
          <w:shd w:val="clear" w:color="auto" w:fill="FFFFFF"/>
        </w:rPr>
        <w:t>’ </w:t>
      </w:r>
      <w:r w:rsidR="00B22913" w:rsidRPr="00DE4629">
        <w:rPr>
          <w:rFonts w:cs="Arial"/>
          <w:color w:val="000000"/>
          <w:shd w:val="clear" w:color="auto" w:fill="FFFFFF"/>
        </w:rPr>
        <w:t>”];</w:t>
      </w:r>
      <w:r w:rsidR="0022294A" w:rsidRPr="00DE4629">
        <w:rPr>
          <w:rFonts w:cs="Arial"/>
          <w:color w:val="000000"/>
          <w:shd w:val="clear" w:color="auto" w:fill="FFFFFF"/>
        </w:rPr>
        <w:t xml:space="preserve"> </w:t>
      </w:r>
      <w:r w:rsidR="0022294A" w:rsidRPr="00DE4629">
        <w:rPr>
          <w:rFonts w:cs="Arial"/>
          <w:i/>
          <w:iCs/>
          <w:color w:val="000000"/>
          <w:shd w:val="clear" w:color="auto" w:fill="FFFFFF"/>
        </w:rPr>
        <w:t xml:space="preserve">Martin v. Holm </w:t>
      </w:r>
      <w:r w:rsidR="0022294A" w:rsidRPr="00DE4629">
        <w:rPr>
          <w:rFonts w:cs="Arial"/>
          <w:color w:val="000000"/>
          <w:shd w:val="clear" w:color="auto" w:fill="FFFFFF"/>
        </w:rPr>
        <w:t>(1925) 197 Cal. 733, 738</w:t>
      </w:r>
      <w:r w:rsidR="00756E70" w:rsidRPr="00DE4629">
        <w:rPr>
          <w:rFonts w:cs="Arial"/>
          <w:color w:val="000000"/>
          <w:shd w:val="clear" w:color="auto" w:fill="FFFFFF"/>
        </w:rPr>
        <w:t>, 740</w:t>
      </w:r>
      <w:r w:rsidR="00F666E1" w:rsidRPr="00DE4629">
        <w:rPr>
          <w:rFonts w:cs="Arial"/>
          <w:color w:val="000000"/>
          <w:shd w:val="clear" w:color="auto" w:fill="FFFFFF"/>
        </w:rPr>
        <w:t>–</w:t>
      </w:r>
      <w:r w:rsidR="00756E70" w:rsidRPr="00DE4629">
        <w:rPr>
          <w:rFonts w:cs="Arial"/>
          <w:color w:val="000000"/>
          <w:shd w:val="clear" w:color="auto" w:fill="FFFFFF"/>
        </w:rPr>
        <w:t>741</w:t>
      </w:r>
      <w:r w:rsidR="00373DA9" w:rsidRPr="00DE4629">
        <w:rPr>
          <w:rFonts w:cs="Arial"/>
          <w:color w:val="000000"/>
          <w:shd w:val="clear" w:color="auto" w:fill="FFFFFF"/>
        </w:rPr>
        <w:t>, 748 (</w:t>
      </w:r>
      <w:r w:rsidR="005D1F12" w:rsidRPr="00DE4629">
        <w:rPr>
          <w:rFonts w:cs="Arial"/>
          <w:i/>
          <w:iCs/>
          <w:color w:val="000000"/>
          <w:shd w:val="clear" w:color="auto" w:fill="FFFFFF"/>
        </w:rPr>
        <w:t>Martin</w:t>
      </w:r>
      <w:r w:rsidR="00373DA9" w:rsidRPr="00DE4629">
        <w:rPr>
          <w:rFonts w:cs="Arial"/>
          <w:color w:val="000000"/>
          <w:shd w:val="clear" w:color="auto" w:fill="FFFFFF"/>
        </w:rPr>
        <w:t>)</w:t>
      </w:r>
      <w:r>
        <w:rPr>
          <w:rStyle w:val="FootnoteReference"/>
          <w:rFonts w:cs="Arial"/>
          <w:color w:val="000000"/>
          <w:shd w:val="clear" w:color="auto" w:fill="FFFFFF"/>
        </w:rPr>
        <w:footnoteReference w:id="22"/>
      </w:r>
      <w:r w:rsidR="0022294A" w:rsidRPr="00DE4629">
        <w:rPr>
          <w:rFonts w:cs="Arial"/>
          <w:color w:val="000000"/>
          <w:shd w:val="clear" w:color="auto" w:fill="FFFFFF"/>
        </w:rPr>
        <w:t xml:space="preserve"> [1904 </w:t>
      </w:r>
      <w:r w:rsidR="0022294A" w:rsidRPr="00DE4629">
        <w:rPr>
          <w:rFonts w:cs="Arial"/>
          <w:color w:val="000000"/>
          <w:shd w:val="clear" w:color="auto" w:fill="FFFFFF"/>
        </w:rPr>
        <w:lastRenderedPageBreak/>
        <w:t>deed conveyed “lots 16 and 17 of the tract” that had been subdivided</w:t>
      </w:r>
      <w:r w:rsidR="00756E70" w:rsidRPr="00DE4629">
        <w:rPr>
          <w:rFonts w:cs="Arial"/>
          <w:color w:val="000000"/>
          <w:shd w:val="clear" w:color="auto" w:fill="FFFFFF"/>
        </w:rPr>
        <w:t xml:space="preserve"> into </w:t>
      </w:r>
      <w:r w:rsidR="00373DA9" w:rsidRPr="00DE4629">
        <w:rPr>
          <w:rFonts w:cs="Arial"/>
          <w:color w:val="000000"/>
          <w:shd w:val="clear" w:color="auto" w:fill="FFFFFF"/>
        </w:rPr>
        <w:t>53</w:t>
      </w:r>
      <w:r w:rsidR="00756E70" w:rsidRPr="00DE4629">
        <w:rPr>
          <w:rFonts w:cs="Arial"/>
          <w:color w:val="000000"/>
          <w:shd w:val="clear" w:color="auto" w:fill="FFFFFF"/>
        </w:rPr>
        <w:t xml:space="preserve"> lots;</w:t>
      </w:r>
      <w:r w:rsidR="005902A1" w:rsidRPr="00DE4629">
        <w:rPr>
          <w:rFonts w:cs="Arial"/>
          <w:color w:val="000000"/>
          <w:shd w:val="clear" w:color="auto" w:fill="FFFFFF"/>
        </w:rPr>
        <w:t xml:space="preserve"> </w:t>
      </w:r>
      <w:r w:rsidR="00756E70" w:rsidRPr="00DE4629">
        <w:rPr>
          <w:rFonts w:cs="Arial"/>
          <w:color w:val="000000"/>
          <w:shd w:val="clear" w:color="auto" w:fill="FFFFFF"/>
        </w:rPr>
        <w:t xml:space="preserve">after many </w:t>
      </w:r>
      <w:r w:rsidR="00373DA9" w:rsidRPr="00DE4629">
        <w:rPr>
          <w:rFonts w:cs="Arial"/>
          <w:color w:val="000000"/>
          <w:shd w:val="clear" w:color="auto" w:fill="FFFFFF"/>
        </w:rPr>
        <w:t xml:space="preserve">of the </w:t>
      </w:r>
      <w:r w:rsidR="00F36C95" w:rsidRPr="00DE4629">
        <w:rPr>
          <w:rFonts w:cs="Arial"/>
          <w:color w:val="000000"/>
          <w:shd w:val="clear" w:color="auto" w:fill="FFFFFF"/>
        </w:rPr>
        <w:t xml:space="preserve">tract </w:t>
      </w:r>
      <w:r w:rsidR="00756E70" w:rsidRPr="00DE4629">
        <w:rPr>
          <w:rFonts w:cs="Arial"/>
          <w:color w:val="000000"/>
          <w:shd w:val="clear" w:color="auto" w:fill="FFFFFF"/>
        </w:rPr>
        <w:t xml:space="preserve">lots were conveyed to various grantees, </w:t>
      </w:r>
      <w:r w:rsidR="00373DA9" w:rsidRPr="00DE4629">
        <w:rPr>
          <w:rFonts w:cs="Arial"/>
          <w:color w:val="000000"/>
          <w:shd w:val="clear" w:color="auto" w:fill="FFFFFF"/>
        </w:rPr>
        <w:t xml:space="preserve">a </w:t>
      </w:r>
      <w:r w:rsidR="00756E70" w:rsidRPr="00DE4629">
        <w:rPr>
          <w:rFonts w:cs="Arial"/>
          <w:color w:val="000000"/>
          <w:shd w:val="clear" w:color="auto" w:fill="FFFFFF"/>
        </w:rPr>
        <w:t xml:space="preserve">1910 deed </w:t>
      </w:r>
      <w:r w:rsidR="00373DA9" w:rsidRPr="00DE4629">
        <w:rPr>
          <w:rFonts w:cs="Arial"/>
          <w:color w:val="000000"/>
          <w:shd w:val="clear" w:color="auto" w:fill="FFFFFF"/>
        </w:rPr>
        <w:t xml:space="preserve">from </w:t>
      </w:r>
      <w:r w:rsidR="00F36C95" w:rsidRPr="00DE4629">
        <w:rPr>
          <w:rFonts w:cs="Arial"/>
          <w:color w:val="000000"/>
          <w:shd w:val="clear" w:color="auto" w:fill="FFFFFF"/>
        </w:rPr>
        <w:t xml:space="preserve">the </w:t>
      </w:r>
      <w:r w:rsidR="00373DA9" w:rsidRPr="00DE4629">
        <w:rPr>
          <w:rFonts w:cs="Arial"/>
          <w:color w:val="000000"/>
          <w:shd w:val="clear" w:color="auto" w:fill="FFFFFF"/>
        </w:rPr>
        <w:t xml:space="preserve">original subdivider to his wife </w:t>
      </w:r>
      <w:r w:rsidR="00756E70" w:rsidRPr="00DE4629">
        <w:rPr>
          <w:rFonts w:cs="Arial"/>
          <w:color w:val="000000"/>
          <w:shd w:val="clear" w:color="auto" w:fill="FFFFFF"/>
        </w:rPr>
        <w:t>conveyed “lots 9, 10, and 11 of the Western Heights tract”];</w:t>
      </w:r>
      <w:r w:rsidR="0022294A" w:rsidRPr="00DE4629">
        <w:rPr>
          <w:rFonts w:cs="Arial"/>
          <w:color w:val="000000"/>
          <w:shd w:val="clear" w:color="auto" w:fill="FFFFFF"/>
        </w:rPr>
        <w:t xml:space="preserve"> </w:t>
      </w:r>
      <w:r w:rsidR="00EA7C7B" w:rsidRPr="00DE4629">
        <w:rPr>
          <w:rFonts w:cs="Arial"/>
          <w:i/>
          <w:iCs/>
          <w:color w:val="000000"/>
          <w:shd w:val="clear" w:color="auto" w:fill="FFFFFF"/>
        </w:rPr>
        <w:t xml:space="preserve">McCullough v. </w:t>
      </w:r>
      <w:proofErr w:type="spellStart"/>
      <w:r w:rsidR="00EA7C7B" w:rsidRPr="00DE4629">
        <w:rPr>
          <w:rFonts w:cs="Arial"/>
          <w:i/>
          <w:iCs/>
          <w:color w:val="000000"/>
          <w:shd w:val="clear" w:color="auto" w:fill="FFFFFF"/>
        </w:rPr>
        <w:t>Olds</w:t>
      </w:r>
      <w:proofErr w:type="spellEnd"/>
      <w:r w:rsidR="00EA7C7B" w:rsidRPr="00DE4629">
        <w:rPr>
          <w:rFonts w:cs="Arial"/>
          <w:i/>
          <w:iCs/>
          <w:color w:val="000000"/>
          <w:shd w:val="clear" w:color="auto" w:fill="FFFFFF"/>
        </w:rPr>
        <w:t xml:space="preserve"> </w:t>
      </w:r>
      <w:r w:rsidR="00EA7C7B" w:rsidRPr="00DE4629">
        <w:rPr>
          <w:rFonts w:cs="Arial"/>
          <w:color w:val="000000"/>
          <w:shd w:val="clear" w:color="auto" w:fill="FFFFFF"/>
        </w:rPr>
        <w:t>(1895) 108 Cal. 529, 530</w:t>
      </w:r>
      <w:r w:rsidR="00F666E1" w:rsidRPr="00DE4629">
        <w:rPr>
          <w:rFonts w:cs="Arial"/>
          <w:color w:val="000000"/>
          <w:shd w:val="clear" w:color="auto" w:fill="FFFFFF"/>
        </w:rPr>
        <w:t>–</w:t>
      </w:r>
      <w:r w:rsidR="00EA7C7B" w:rsidRPr="00DE4629">
        <w:rPr>
          <w:rFonts w:cs="Arial"/>
          <w:color w:val="000000"/>
          <w:shd w:val="clear" w:color="auto" w:fill="FFFFFF"/>
        </w:rPr>
        <w:t>532</w:t>
      </w:r>
      <w:r w:rsidR="00B22913" w:rsidRPr="00DE4629">
        <w:rPr>
          <w:rFonts w:cs="Arial"/>
          <w:color w:val="000000"/>
          <w:shd w:val="clear" w:color="auto" w:fill="FFFFFF"/>
        </w:rPr>
        <w:t xml:space="preserve"> (</w:t>
      </w:r>
      <w:r w:rsidR="00B22913" w:rsidRPr="00DE4629">
        <w:rPr>
          <w:rFonts w:cs="Arial"/>
          <w:i/>
          <w:iCs/>
          <w:color w:val="000000"/>
          <w:shd w:val="clear" w:color="auto" w:fill="FFFFFF"/>
        </w:rPr>
        <w:t>McCullough</w:t>
      </w:r>
      <w:r w:rsidR="00B22913" w:rsidRPr="00DE4629">
        <w:rPr>
          <w:rFonts w:cs="Arial"/>
          <w:color w:val="000000"/>
          <w:shd w:val="clear" w:color="auto" w:fill="FFFFFF"/>
        </w:rPr>
        <w:t>)</w:t>
      </w:r>
      <w:r w:rsidR="00EA7C7B" w:rsidRPr="00DE4629">
        <w:rPr>
          <w:rFonts w:cs="Arial"/>
          <w:color w:val="000000"/>
          <w:shd w:val="clear" w:color="auto" w:fill="FFFFFF"/>
        </w:rPr>
        <w:t xml:space="preserve"> [</w:t>
      </w:r>
      <w:r w:rsidR="00B22913" w:rsidRPr="00DE4629">
        <w:rPr>
          <w:rFonts w:cs="Arial"/>
          <w:color w:val="000000"/>
          <w:shd w:val="clear" w:color="auto" w:fill="FFFFFF"/>
        </w:rPr>
        <w:t xml:space="preserve">1858 </w:t>
      </w:r>
      <w:r w:rsidR="00EA7C7B" w:rsidRPr="00DE4629">
        <w:rPr>
          <w:rFonts w:cs="Arial"/>
          <w:color w:val="000000"/>
          <w:shd w:val="clear" w:color="auto" w:fill="FFFFFF"/>
        </w:rPr>
        <w:t>deed granted “ ‘lots number three (3) and four (4)’ ” depicted by “lines divid</w:t>
      </w:r>
      <w:r w:rsidR="00756E70" w:rsidRPr="00DE4629">
        <w:rPr>
          <w:rFonts w:cs="Arial"/>
          <w:color w:val="000000"/>
          <w:shd w:val="clear" w:color="auto" w:fill="FFFFFF"/>
        </w:rPr>
        <w:t>ing</w:t>
      </w:r>
      <w:r w:rsidR="00EA7C7B" w:rsidRPr="00DE4629">
        <w:rPr>
          <w:rFonts w:cs="Arial"/>
          <w:color w:val="000000"/>
          <w:shd w:val="clear" w:color="auto" w:fill="FFFFFF"/>
        </w:rPr>
        <w:t>”</w:t>
      </w:r>
      <w:r w:rsidR="00B22913" w:rsidRPr="00DE4629">
        <w:rPr>
          <w:rFonts w:cs="Arial"/>
          <w:color w:val="000000"/>
          <w:shd w:val="clear" w:color="auto" w:fill="FFFFFF"/>
        </w:rPr>
        <w:t xml:space="preserve"> </w:t>
      </w:r>
      <w:r w:rsidR="00756E70" w:rsidRPr="00DE4629">
        <w:rPr>
          <w:rFonts w:cs="Arial"/>
          <w:color w:val="000000"/>
          <w:shd w:val="clear" w:color="auto" w:fill="FFFFFF"/>
        </w:rPr>
        <w:t xml:space="preserve">survey </w:t>
      </w:r>
      <w:r w:rsidR="00B22913" w:rsidRPr="00DE4629">
        <w:rPr>
          <w:rFonts w:cs="Arial"/>
          <w:color w:val="000000"/>
          <w:shd w:val="clear" w:color="auto" w:fill="FFFFFF"/>
        </w:rPr>
        <w:t xml:space="preserve">made by a surveyor </w:t>
      </w:r>
      <w:r w:rsidR="00756E70" w:rsidRPr="00DE4629">
        <w:rPr>
          <w:rFonts w:cs="Arial"/>
          <w:color w:val="000000"/>
          <w:shd w:val="clear" w:color="auto" w:fill="FFFFFF"/>
        </w:rPr>
        <w:t xml:space="preserve">based </w:t>
      </w:r>
      <w:r w:rsidR="00B22913" w:rsidRPr="00DE4629">
        <w:rPr>
          <w:rFonts w:cs="Arial"/>
          <w:color w:val="000000"/>
          <w:shd w:val="clear" w:color="auto" w:fill="FFFFFF"/>
        </w:rPr>
        <w:t>on the “official map of San Diego”].)</w:t>
      </w:r>
      <w:r w:rsidR="00B22913" w:rsidRPr="00DE4629">
        <w:rPr>
          <w:rFonts w:cs="Arial"/>
          <w:i/>
          <w:iCs/>
          <w:color w:val="000000"/>
          <w:shd w:val="clear" w:color="auto" w:fill="FFFFFF"/>
        </w:rPr>
        <w:t xml:space="preserve"> </w:t>
      </w:r>
      <w:r w:rsidR="00B22913" w:rsidRPr="00DE4629">
        <w:rPr>
          <w:rFonts w:cs="Arial"/>
          <w:color w:val="000000"/>
          <w:shd w:val="clear" w:color="auto" w:fill="FFFFFF"/>
        </w:rPr>
        <w:t xml:space="preserve">   </w:t>
      </w:r>
      <w:r w:rsidR="00EA7C7B" w:rsidRPr="00DE4629">
        <w:rPr>
          <w:rFonts w:cs="Arial"/>
          <w:color w:val="000000"/>
          <w:shd w:val="clear" w:color="auto" w:fill="FFFFFF"/>
        </w:rPr>
        <w:t xml:space="preserve"> </w:t>
      </w:r>
      <w:r w:rsidRPr="00DE4629">
        <w:rPr>
          <w:rFonts w:cs="Arial"/>
          <w:color w:val="000000"/>
          <w:shd w:val="clear" w:color="auto" w:fill="FFFFFF"/>
        </w:rPr>
        <w:t xml:space="preserve">  </w:t>
      </w:r>
    </w:p>
    <w:p w14:paraId="59788A27" w14:textId="405C006D" w:rsidR="000B245E" w:rsidRPr="00DE4629" w:rsidRDefault="00CA5748" w:rsidP="00AF46A9">
      <w:pPr>
        <w:spacing w:line="360" w:lineRule="auto"/>
        <w:rPr>
          <w:rFonts w:cs="Arial"/>
          <w:color w:val="000000"/>
          <w:shd w:val="clear" w:color="auto" w:fill="FFFFFF"/>
        </w:rPr>
      </w:pPr>
      <w:r w:rsidRPr="00DE4629">
        <w:rPr>
          <w:rFonts w:cs="Arial"/>
          <w:color w:val="000000"/>
          <w:shd w:val="clear" w:color="auto" w:fill="FFFFFF"/>
        </w:rPr>
        <w:tab/>
      </w:r>
      <w:r w:rsidR="00C32156" w:rsidRPr="00DE4629">
        <w:rPr>
          <w:rFonts w:cs="Arial"/>
          <w:color w:val="000000"/>
          <w:shd w:val="clear" w:color="auto" w:fill="FFFFFF"/>
        </w:rPr>
        <w:t>The second</w:t>
      </w:r>
      <w:r w:rsidR="003D446B" w:rsidRPr="00DE4629">
        <w:rPr>
          <w:rFonts w:cs="Arial"/>
          <w:color w:val="000000"/>
          <w:shd w:val="clear" w:color="auto" w:fill="FFFFFF"/>
        </w:rPr>
        <w:t xml:space="preserve"> is</w:t>
      </w:r>
      <w:r w:rsidR="00C32156" w:rsidRPr="00DE4629">
        <w:rPr>
          <w:rFonts w:cs="Arial"/>
          <w:color w:val="000000"/>
          <w:shd w:val="clear" w:color="auto" w:fill="FFFFFF"/>
        </w:rPr>
        <w:t xml:space="preserve"> that </w:t>
      </w:r>
      <w:r w:rsidR="002C4E08" w:rsidRPr="00DE4629">
        <w:rPr>
          <w:rFonts w:cs="Arial"/>
          <w:color w:val="000000"/>
          <w:shd w:val="clear" w:color="auto" w:fill="FFFFFF"/>
        </w:rPr>
        <w:t xml:space="preserve">a deed can </w:t>
      </w:r>
      <w:r w:rsidR="00C32156" w:rsidRPr="00DE4629">
        <w:rPr>
          <w:rFonts w:cs="Arial"/>
          <w:color w:val="000000"/>
          <w:shd w:val="clear" w:color="auto" w:fill="FFFFFF"/>
        </w:rPr>
        <w:t xml:space="preserve">sufficiently </w:t>
      </w:r>
      <w:r w:rsidR="002C4E08" w:rsidRPr="00DE4629">
        <w:rPr>
          <w:rFonts w:cs="Arial"/>
          <w:color w:val="000000"/>
          <w:shd w:val="clear" w:color="auto" w:fill="FFFFFF"/>
        </w:rPr>
        <w:t xml:space="preserve">describe the property conveyed by referencing the map </w:t>
      </w:r>
      <w:r w:rsidRPr="00DE4629">
        <w:rPr>
          <w:rFonts w:cs="Arial"/>
          <w:color w:val="000000"/>
          <w:shd w:val="clear" w:color="auto" w:fill="FFFFFF"/>
        </w:rPr>
        <w:t xml:space="preserve">(including an antiquated map) </w:t>
      </w:r>
      <w:r w:rsidR="002C4E08" w:rsidRPr="00DE4629">
        <w:rPr>
          <w:rFonts w:cs="Arial"/>
          <w:color w:val="000000"/>
          <w:shd w:val="clear" w:color="auto" w:fill="FFFFFF"/>
        </w:rPr>
        <w:t>that depicts it and that a metes and bounds description is not required</w:t>
      </w:r>
      <w:r w:rsidR="00C32156" w:rsidRPr="00DE4629">
        <w:rPr>
          <w:rFonts w:cs="Arial"/>
          <w:color w:val="000000"/>
          <w:shd w:val="clear" w:color="auto" w:fill="FFFFFF"/>
        </w:rPr>
        <w:t>.</w:t>
      </w:r>
      <w:r w:rsidR="008C5E55" w:rsidRPr="00DE4629">
        <w:rPr>
          <w:rFonts w:cs="Arial"/>
          <w:color w:val="000000"/>
          <w:shd w:val="clear" w:color="auto" w:fill="FFFFFF"/>
        </w:rPr>
        <w:t xml:space="preserve">  </w:t>
      </w:r>
      <w:r w:rsidR="002C4E08" w:rsidRPr="00DE4629">
        <w:rPr>
          <w:rFonts w:cs="Arial"/>
          <w:color w:val="000000"/>
          <w:shd w:val="clear" w:color="auto" w:fill="FFFFFF"/>
        </w:rPr>
        <w:t>(</w:t>
      </w:r>
      <w:r w:rsidR="00C32156" w:rsidRPr="00DE4629">
        <w:rPr>
          <w:rFonts w:cs="Arial"/>
          <w:i/>
          <w:iCs/>
          <w:color w:val="000000"/>
          <w:shd w:val="clear" w:color="auto" w:fill="FFFFFF"/>
        </w:rPr>
        <w:t>McCullough</w:t>
      </w:r>
      <w:r w:rsidR="00B22913" w:rsidRPr="00DE4629">
        <w:rPr>
          <w:rFonts w:cs="Arial"/>
          <w:i/>
          <w:iCs/>
          <w:color w:val="000000"/>
          <w:shd w:val="clear" w:color="auto" w:fill="FFFFFF"/>
        </w:rPr>
        <w:t xml:space="preserve">, supra, </w:t>
      </w:r>
      <w:r w:rsidR="00C32156" w:rsidRPr="00DE4629">
        <w:rPr>
          <w:rFonts w:cs="Arial"/>
          <w:color w:val="000000"/>
          <w:shd w:val="clear" w:color="auto" w:fill="FFFFFF"/>
        </w:rPr>
        <w:t xml:space="preserve">108 Cal. </w:t>
      </w:r>
      <w:r w:rsidR="00B22913" w:rsidRPr="00DE4629">
        <w:rPr>
          <w:rFonts w:cs="Arial"/>
          <w:color w:val="000000"/>
          <w:shd w:val="clear" w:color="auto" w:fill="FFFFFF"/>
        </w:rPr>
        <w:t xml:space="preserve">at p. </w:t>
      </w:r>
      <w:r w:rsidR="00C32156" w:rsidRPr="00DE4629">
        <w:rPr>
          <w:rFonts w:cs="Arial"/>
          <w:color w:val="000000"/>
          <w:shd w:val="clear" w:color="auto" w:fill="FFFFFF"/>
        </w:rPr>
        <w:t>532 [“it is a familiar rule that when a tract of land has been subdivided into blocks or lots, and a map thereo</w:t>
      </w:r>
      <w:r w:rsidR="00617558" w:rsidRPr="00DE4629">
        <w:rPr>
          <w:rFonts w:cs="Arial"/>
          <w:color w:val="000000"/>
          <w:shd w:val="clear" w:color="auto" w:fill="FFFFFF"/>
        </w:rPr>
        <w:t>f made</w:t>
      </w:r>
      <w:r w:rsidR="00C32156" w:rsidRPr="00DE4629">
        <w:rPr>
          <w:rFonts w:cs="Arial"/>
          <w:color w:val="000000"/>
          <w:shd w:val="clear" w:color="auto" w:fill="FFFFFF"/>
        </w:rPr>
        <w:t xml:space="preserve"> on which the blocks or lot</w:t>
      </w:r>
      <w:r w:rsidR="00617558" w:rsidRPr="00DE4629">
        <w:rPr>
          <w:rFonts w:cs="Arial"/>
          <w:color w:val="000000"/>
          <w:shd w:val="clear" w:color="auto" w:fill="FFFFFF"/>
        </w:rPr>
        <w:t>s</w:t>
      </w:r>
      <w:r w:rsidR="00C32156" w:rsidRPr="00DE4629">
        <w:rPr>
          <w:rFonts w:cs="Arial"/>
          <w:color w:val="000000"/>
          <w:shd w:val="clear" w:color="auto" w:fill="FFFFFF"/>
        </w:rPr>
        <w:t xml:space="preserve"> are designa</w:t>
      </w:r>
      <w:r w:rsidRPr="00DE4629">
        <w:rPr>
          <w:rFonts w:cs="Arial"/>
          <w:color w:val="000000"/>
          <w:shd w:val="clear" w:color="auto" w:fill="FFFFFF"/>
        </w:rPr>
        <w:t>t</w:t>
      </w:r>
      <w:r w:rsidR="00C32156" w:rsidRPr="00DE4629">
        <w:rPr>
          <w:rFonts w:cs="Arial"/>
          <w:color w:val="000000"/>
          <w:shd w:val="clear" w:color="auto" w:fill="FFFFFF"/>
        </w:rPr>
        <w:t>ed by number</w:t>
      </w:r>
      <w:r w:rsidRPr="00DE4629">
        <w:rPr>
          <w:rFonts w:cs="Arial"/>
          <w:color w:val="000000"/>
          <w:shd w:val="clear" w:color="auto" w:fill="FFFFFF"/>
        </w:rPr>
        <w:t xml:space="preserve">s, a description of the blocks or lots in a deed by the numbers so designated is sufficient, provided the map can be produced and identified”]; </w:t>
      </w:r>
      <w:r w:rsidR="0022294A" w:rsidRPr="00DE4629">
        <w:rPr>
          <w:rFonts w:cs="Arial"/>
          <w:color w:val="000000"/>
          <w:shd w:val="clear" w:color="auto" w:fill="FFFFFF"/>
        </w:rPr>
        <w:t xml:space="preserve">see </w:t>
      </w:r>
      <w:r w:rsidRPr="00DE4629">
        <w:rPr>
          <w:rFonts w:cs="Arial"/>
          <w:color w:val="000000"/>
          <w:shd w:val="clear" w:color="auto" w:fill="FFFFFF"/>
        </w:rPr>
        <w:t>generally</w:t>
      </w:r>
      <w:r w:rsidR="00B34B75" w:rsidRPr="00DE4629">
        <w:rPr>
          <w:rFonts w:cs="Arial"/>
          <w:color w:val="000000"/>
          <w:shd w:val="clear" w:color="auto" w:fill="FFFFFF"/>
        </w:rPr>
        <w:t xml:space="preserve"> </w:t>
      </w:r>
      <w:r w:rsidR="00617558" w:rsidRPr="00DE4629">
        <w:rPr>
          <w:rFonts w:eastAsia="Times New Roman" w:cs="Arial"/>
          <w:color w:val="000000"/>
        </w:rPr>
        <w:t>3 Miller &amp; Starr, Cal. Real Estate (4th ed.)</w:t>
      </w:r>
      <w:r w:rsidR="00B34B75" w:rsidRPr="00DE4629">
        <w:rPr>
          <w:rFonts w:eastAsia="Times New Roman" w:cs="Arial"/>
          <w:color w:val="000000"/>
        </w:rPr>
        <w:t xml:space="preserve"> § 8:64 [“</w:t>
      </w:r>
      <w:r w:rsidR="00B34B75" w:rsidRPr="00DE4629">
        <w:rPr>
          <w:rFonts w:eastAsia="Times New Roman" w:cs="Arial"/>
          <w:color w:val="000000"/>
          <w:shd w:val="clear" w:color="auto" w:fill="FFFFFF"/>
        </w:rPr>
        <w:t>if the deed references the map and is sufficiently precise in describing the portion of the property in the map or survey that is conveyed, the description is adequate and the deed is valid, whether or not the map is recorded”].)</w:t>
      </w:r>
      <w:r w:rsidR="00373DA9" w:rsidRPr="00DE4629">
        <w:rPr>
          <w:rFonts w:eastAsia="Times New Roman" w:cs="Arial"/>
          <w:color w:val="000000"/>
          <w:shd w:val="clear" w:color="auto" w:fill="FFFFFF"/>
        </w:rPr>
        <w:t xml:space="preserve">  Again, this practice is reflected in very early cases.  (E</w:t>
      </w:r>
      <w:r w:rsidR="00373DA9" w:rsidRPr="00DE4629">
        <w:rPr>
          <w:rFonts w:cs="Arial"/>
          <w:color w:val="000000"/>
          <w:shd w:val="clear" w:color="auto" w:fill="FFFFFF"/>
        </w:rPr>
        <w:t xml:space="preserve">.g., </w:t>
      </w:r>
      <w:r w:rsidR="00373DA9" w:rsidRPr="00DE4629">
        <w:rPr>
          <w:rFonts w:cs="Arial"/>
          <w:i/>
          <w:iCs/>
          <w:color w:val="000000"/>
          <w:shd w:val="clear" w:color="auto" w:fill="FFFFFF"/>
        </w:rPr>
        <w:t xml:space="preserve">Yuba City, supra, </w:t>
      </w:r>
      <w:r w:rsidR="00373DA9" w:rsidRPr="00DE4629">
        <w:rPr>
          <w:rFonts w:cs="Arial"/>
          <w:color w:val="000000"/>
          <w:shd w:val="clear" w:color="auto" w:fill="FFFFFF"/>
        </w:rPr>
        <w:t>207 Cal. at p</w:t>
      </w:r>
      <w:r w:rsidR="009C1CB9" w:rsidRPr="00DE4629">
        <w:rPr>
          <w:rFonts w:cs="Arial"/>
          <w:color w:val="000000"/>
          <w:shd w:val="clear" w:color="auto" w:fill="FFFFFF"/>
        </w:rPr>
        <w:t>p</w:t>
      </w:r>
      <w:r w:rsidR="00373DA9" w:rsidRPr="00DE4629">
        <w:rPr>
          <w:rFonts w:cs="Arial"/>
          <w:color w:val="000000"/>
          <w:shd w:val="clear" w:color="auto" w:fill="FFFFFF"/>
        </w:rPr>
        <w:t>. 588</w:t>
      </w:r>
      <w:r w:rsidR="009C1CB9" w:rsidRPr="00DE4629">
        <w:rPr>
          <w:rFonts w:cs="Arial"/>
          <w:color w:val="000000"/>
          <w:shd w:val="clear" w:color="auto" w:fill="FFFFFF"/>
        </w:rPr>
        <w:t>–589</w:t>
      </w:r>
      <w:r w:rsidR="00373DA9" w:rsidRPr="00DE4629">
        <w:rPr>
          <w:rFonts w:cs="Arial"/>
          <w:color w:val="000000"/>
          <w:shd w:val="clear" w:color="auto" w:fill="FFFFFF"/>
        </w:rPr>
        <w:t xml:space="preserve">; </w:t>
      </w:r>
      <w:r w:rsidR="005D1F12" w:rsidRPr="00DE4629">
        <w:rPr>
          <w:rFonts w:cs="Arial"/>
          <w:i/>
          <w:iCs/>
          <w:color w:val="000000"/>
          <w:shd w:val="clear" w:color="auto" w:fill="FFFFFF"/>
        </w:rPr>
        <w:t>Martin</w:t>
      </w:r>
      <w:r w:rsidR="00373DA9" w:rsidRPr="00DE4629">
        <w:rPr>
          <w:rFonts w:cs="Arial"/>
          <w:color w:val="000000"/>
          <w:shd w:val="clear" w:color="auto" w:fill="FFFFFF"/>
        </w:rPr>
        <w:t xml:space="preserve">, </w:t>
      </w:r>
      <w:r w:rsidR="00373DA9" w:rsidRPr="00DE4629">
        <w:rPr>
          <w:rFonts w:cs="Arial"/>
          <w:i/>
          <w:iCs/>
          <w:color w:val="000000"/>
          <w:shd w:val="clear" w:color="auto" w:fill="FFFFFF"/>
        </w:rPr>
        <w:t>supra</w:t>
      </w:r>
      <w:r w:rsidR="00373DA9" w:rsidRPr="00DE4629">
        <w:rPr>
          <w:rFonts w:cs="Arial"/>
          <w:color w:val="000000"/>
          <w:shd w:val="clear" w:color="auto" w:fill="FFFFFF"/>
        </w:rPr>
        <w:t>, 197 Cal. at p</w:t>
      </w:r>
      <w:r w:rsidR="00D367E0" w:rsidRPr="00DE4629">
        <w:rPr>
          <w:rFonts w:cs="Arial"/>
          <w:color w:val="000000"/>
          <w:shd w:val="clear" w:color="auto" w:fill="FFFFFF"/>
        </w:rPr>
        <w:t>p</w:t>
      </w:r>
      <w:r w:rsidR="00373DA9" w:rsidRPr="00DE4629">
        <w:rPr>
          <w:rFonts w:cs="Arial"/>
          <w:color w:val="000000"/>
          <w:shd w:val="clear" w:color="auto" w:fill="FFFFFF"/>
        </w:rPr>
        <w:t>. 741</w:t>
      </w:r>
      <w:r w:rsidR="009C1CB9" w:rsidRPr="00DE4629">
        <w:rPr>
          <w:rFonts w:cs="Arial"/>
          <w:color w:val="000000"/>
          <w:shd w:val="clear" w:color="auto" w:fill="FFFFFF"/>
        </w:rPr>
        <w:t>–742</w:t>
      </w:r>
      <w:r w:rsidR="00373DA9" w:rsidRPr="00DE4629">
        <w:rPr>
          <w:rFonts w:cs="Arial"/>
          <w:color w:val="000000"/>
          <w:shd w:val="clear" w:color="auto" w:fill="FFFFFF"/>
        </w:rPr>
        <w:t xml:space="preserve">; </w:t>
      </w:r>
      <w:r w:rsidR="00373DA9" w:rsidRPr="00DE4629">
        <w:rPr>
          <w:rFonts w:cs="Arial"/>
          <w:i/>
          <w:iCs/>
          <w:color w:val="000000"/>
          <w:shd w:val="clear" w:color="auto" w:fill="FFFFFF"/>
        </w:rPr>
        <w:t xml:space="preserve">McCullough, supra, </w:t>
      </w:r>
      <w:r w:rsidR="00373DA9" w:rsidRPr="00DE4629">
        <w:rPr>
          <w:rFonts w:cs="Arial"/>
          <w:color w:val="000000"/>
          <w:shd w:val="clear" w:color="auto" w:fill="FFFFFF"/>
        </w:rPr>
        <w:t>108 Cal. at p</w:t>
      </w:r>
      <w:r w:rsidR="005F4D88" w:rsidRPr="00DE4629">
        <w:rPr>
          <w:rFonts w:cs="Arial"/>
          <w:color w:val="000000"/>
          <w:shd w:val="clear" w:color="auto" w:fill="FFFFFF"/>
        </w:rPr>
        <w:t>p</w:t>
      </w:r>
      <w:r w:rsidR="00373DA9" w:rsidRPr="00DE4629">
        <w:rPr>
          <w:rFonts w:cs="Arial"/>
          <w:color w:val="000000"/>
          <w:shd w:val="clear" w:color="auto" w:fill="FFFFFF"/>
        </w:rPr>
        <w:t>. 530</w:t>
      </w:r>
      <w:r w:rsidR="00D367E0" w:rsidRPr="00DE4629">
        <w:rPr>
          <w:rFonts w:cs="Arial"/>
          <w:color w:val="000000"/>
          <w:shd w:val="clear" w:color="auto" w:fill="FFFFFF"/>
        </w:rPr>
        <w:t>–</w:t>
      </w:r>
      <w:r w:rsidR="00373DA9" w:rsidRPr="00DE4629">
        <w:rPr>
          <w:rFonts w:cs="Arial"/>
          <w:color w:val="000000"/>
          <w:shd w:val="clear" w:color="auto" w:fill="FFFFFF"/>
        </w:rPr>
        <w:t>53</w:t>
      </w:r>
      <w:r w:rsidR="00F666E1" w:rsidRPr="00DE4629">
        <w:rPr>
          <w:rFonts w:cs="Arial"/>
          <w:color w:val="000000"/>
          <w:shd w:val="clear" w:color="auto" w:fill="FFFFFF"/>
        </w:rPr>
        <w:t>1</w:t>
      </w:r>
      <w:r w:rsidR="00373DA9" w:rsidRPr="00DE4629">
        <w:rPr>
          <w:rFonts w:cs="Arial"/>
          <w:color w:val="000000"/>
          <w:shd w:val="clear" w:color="auto" w:fill="FFFFFF"/>
        </w:rPr>
        <w:t xml:space="preserve">.) </w:t>
      </w:r>
    </w:p>
    <w:p w14:paraId="4A6089EF" w14:textId="76C886D1" w:rsidR="006E2144" w:rsidRPr="00DE4629" w:rsidRDefault="00CA5748" w:rsidP="002D7A16">
      <w:pPr>
        <w:spacing w:line="360" w:lineRule="auto"/>
        <w:rPr>
          <w:rFonts w:cs="Arial"/>
          <w:color w:val="000000"/>
          <w:shd w:val="clear" w:color="auto" w:fill="FFFFFF"/>
        </w:rPr>
      </w:pPr>
      <w:r w:rsidRPr="00DE4629">
        <w:rPr>
          <w:rFonts w:cs="Arial"/>
          <w:color w:val="000000"/>
          <w:shd w:val="clear" w:color="auto" w:fill="FFFFFF"/>
        </w:rPr>
        <w:tab/>
      </w:r>
      <w:r w:rsidR="009808D2" w:rsidRPr="00DE4629">
        <w:rPr>
          <w:rFonts w:cs="Arial"/>
          <w:color w:val="000000"/>
          <w:shd w:val="clear" w:color="auto" w:fill="FFFFFF"/>
        </w:rPr>
        <w:t xml:space="preserve">Given </w:t>
      </w:r>
      <w:r w:rsidR="00916C3D" w:rsidRPr="00DE4629">
        <w:rPr>
          <w:rFonts w:cs="Arial"/>
          <w:color w:val="000000"/>
          <w:shd w:val="clear" w:color="auto" w:fill="FFFFFF"/>
        </w:rPr>
        <w:t>the propositions o</w:t>
      </w:r>
      <w:r w:rsidR="00930C0D" w:rsidRPr="00DE4629">
        <w:rPr>
          <w:rFonts w:cs="Arial"/>
          <w:color w:val="000000"/>
          <w:shd w:val="clear" w:color="auto" w:fill="FFFFFF"/>
        </w:rPr>
        <w:t>n</w:t>
      </w:r>
      <w:r w:rsidR="00916C3D" w:rsidRPr="00DE4629">
        <w:rPr>
          <w:rFonts w:cs="Arial"/>
          <w:color w:val="000000"/>
          <w:shd w:val="clear" w:color="auto" w:fill="FFFFFF"/>
        </w:rPr>
        <w:t xml:space="preserve"> which appellant relies</w:t>
      </w:r>
      <w:r w:rsidR="00930C0D" w:rsidRPr="00DE4629">
        <w:rPr>
          <w:rFonts w:cs="Arial"/>
          <w:color w:val="000000"/>
          <w:shd w:val="clear" w:color="auto" w:fill="FFFFFF"/>
        </w:rPr>
        <w:t xml:space="preserve">, </w:t>
      </w:r>
      <w:r w:rsidR="009808D2" w:rsidRPr="00DE4629">
        <w:rPr>
          <w:rFonts w:cs="Arial"/>
          <w:color w:val="000000"/>
          <w:shd w:val="clear" w:color="auto" w:fill="FFFFFF"/>
        </w:rPr>
        <w:t xml:space="preserve">we asked the parties to submit supplemental briefing </w:t>
      </w:r>
      <w:r w:rsidR="00F86D09" w:rsidRPr="00DE4629">
        <w:rPr>
          <w:rFonts w:cs="Arial"/>
          <w:color w:val="000000"/>
          <w:shd w:val="clear" w:color="auto" w:fill="FFFFFF"/>
        </w:rPr>
        <w:t xml:space="preserve">on </w:t>
      </w:r>
      <w:r w:rsidR="009808D2" w:rsidRPr="00DE4629">
        <w:rPr>
          <w:rFonts w:cs="Arial"/>
          <w:color w:val="000000"/>
          <w:shd w:val="clear" w:color="auto" w:fill="FFFFFF"/>
        </w:rPr>
        <w:t>whether it c</w:t>
      </w:r>
      <w:r w:rsidR="00023F0D" w:rsidRPr="00DE4629">
        <w:rPr>
          <w:rFonts w:cs="Arial"/>
          <w:color w:val="000000"/>
          <w:shd w:val="clear" w:color="auto" w:fill="FFFFFF"/>
        </w:rPr>
        <w:t>ould</w:t>
      </w:r>
      <w:r w:rsidR="009808D2" w:rsidRPr="00DE4629">
        <w:rPr>
          <w:rFonts w:cs="Arial"/>
          <w:color w:val="000000"/>
          <w:shd w:val="clear" w:color="auto" w:fill="FFFFFF"/>
        </w:rPr>
        <w:t xml:space="preserve"> be said that</w:t>
      </w:r>
      <w:r w:rsidR="00916C3D" w:rsidRPr="00DE4629">
        <w:rPr>
          <w:rFonts w:cs="Arial"/>
          <w:color w:val="000000"/>
          <w:shd w:val="clear" w:color="auto" w:fill="FFFFFF"/>
        </w:rPr>
        <w:t xml:space="preserve"> </w:t>
      </w:r>
      <w:r w:rsidR="00895699" w:rsidRPr="00DE4629">
        <w:rPr>
          <w:rFonts w:cs="Arial"/>
          <w:color w:val="000000"/>
          <w:shd w:val="clear" w:color="auto" w:fill="FFFFFF"/>
        </w:rPr>
        <w:t>l</w:t>
      </w:r>
      <w:r w:rsidR="00916C3D" w:rsidRPr="00DE4629">
        <w:rPr>
          <w:rFonts w:cs="Arial"/>
          <w:color w:val="000000"/>
          <w:shd w:val="clear" w:color="auto" w:fill="FFFFFF"/>
        </w:rPr>
        <w:t xml:space="preserve">ot 18 was created </w:t>
      </w:r>
      <w:r w:rsidR="00961A22" w:rsidRPr="00DE4629">
        <w:rPr>
          <w:rFonts w:cs="Arial"/>
          <w:color w:val="000000"/>
          <w:shd w:val="clear" w:color="auto" w:fill="FFFFFF"/>
        </w:rPr>
        <w:t>prior to 188</w:t>
      </w:r>
      <w:r w:rsidR="00F86D09" w:rsidRPr="00DE4629">
        <w:rPr>
          <w:rFonts w:cs="Arial"/>
          <w:color w:val="000000"/>
          <w:shd w:val="clear" w:color="auto" w:fill="FFFFFF"/>
        </w:rPr>
        <w:t>5</w:t>
      </w:r>
      <w:r w:rsidR="00917E3A" w:rsidRPr="00DE4629">
        <w:rPr>
          <w:rFonts w:cs="Arial"/>
          <w:color w:val="000000"/>
          <w:shd w:val="clear" w:color="auto" w:fill="FFFFFF"/>
        </w:rPr>
        <w:t>,</w:t>
      </w:r>
      <w:r w:rsidR="00961A22" w:rsidRPr="00DE4629">
        <w:rPr>
          <w:rFonts w:cs="Arial"/>
          <w:color w:val="000000"/>
          <w:shd w:val="clear" w:color="auto" w:fill="FFFFFF"/>
        </w:rPr>
        <w:t xml:space="preserve"> </w:t>
      </w:r>
      <w:r w:rsidR="00917E3A" w:rsidRPr="00DE4629">
        <w:rPr>
          <w:rFonts w:cs="Arial"/>
          <w:color w:val="000000"/>
          <w:shd w:val="clear" w:color="auto" w:fill="FFFFFF"/>
        </w:rPr>
        <w:t xml:space="preserve">i.e., </w:t>
      </w:r>
      <w:r w:rsidR="00916C3D" w:rsidRPr="00DE4629">
        <w:rPr>
          <w:rFonts w:cs="Arial"/>
          <w:color w:val="000000"/>
          <w:shd w:val="clear" w:color="auto" w:fill="FFFFFF"/>
        </w:rPr>
        <w:t>when</w:t>
      </w:r>
      <w:r w:rsidR="00930C0D" w:rsidRPr="00DE4629">
        <w:rPr>
          <w:rFonts w:cs="Arial"/>
          <w:color w:val="000000"/>
          <w:shd w:val="clear" w:color="auto" w:fill="FFFFFF"/>
        </w:rPr>
        <w:t xml:space="preserve"> it was </w:t>
      </w:r>
      <w:r w:rsidR="00EE6FA1" w:rsidRPr="00DE4629">
        <w:rPr>
          <w:rFonts w:cs="Arial"/>
          <w:color w:val="000000"/>
          <w:shd w:val="clear" w:color="auto" w:fill="FFFFFF"/>
        </w:rPr>
        <w:t xml:space="preserve">conveyed </w:t>
      </w:r>
      <w:r w:rsidR="00165300" w:rsidRPr="00DE4629">
        <w:rPr>
          <w:rFonts w:cs="Arial"/>
          <w:color w:val="000000"/>
          <w:shd w:val="clear" w:color="auto" w:fill="FFFFFF"/>
        </w:rPr>
        <w:t xml:space="preserve">several times </w:t>
      </w:r>
      <w:r w:rsidR="00930C0D" w:rsidRPr="00DE4629">
        <w:rPr>
          <w:rFonts w:cs="Arial"/>
          <w:color w:val="000000"/>
          <w:shd w:val="clear" w:color="auto" w:fill="FFFFFF"/>
        </w:rPr>
        <w:t xml:space="preserve">in conjunction with </w:t>
      </w:r>
      <w:r w:rsidR="00895699" w:rsidRPr="00DE4629">
        <w:rPr>
          <w:rFonts w:cs="Arial"/>
          <w:color w:val="000000"/>
          <w:shd w:val="clear" w:color="auto" w:fill="FFFFFF"/>
        </w:rPr>
        <w:t>l</w:t>
      </w:r>
      <w:r w:rsidR="00930C0D" w:rsidRPr="00DE4629">
        <w:rPr>
          <w:rFonts w:cs="Arial"/>
          <w:color w:val="000000"/>
          <w:shd w:val="clear" w:color="auto" w:fill="FFFFFF"/>
        </w:rPr>
        <w:t>ots 10 through 17</w:t>
      </w:r>
      <w:r w:rsidR="00917E3A" w:rsidRPr="00DE4629">
        <w:rPr>
          <w:rFonts w:cs="Arial"/>
          <w:color w:val="000000"/>
          <w:shd w:val="clear" w:color="auto" w:fill="FFFFFF"/>
        </w:rPr>
        <w:t>.</w:t>
      </w:r>
      <w:r>
        <w:rPr>
          <w:rStyle w:val="FootnoteReference"/>
          <w:rFonts w:cs="Arial"/>
          <w:color w:val="000000"/>
          <w:shd w:val="clear" w:color="auto" w:fill="FFFFFF"/>
        </w:rPr>
        <w:footnoteReference w:id="23"/>
      </w:r>
      <w:r w:rsidR="00930C0D" w:rsidRPr="00DE4629">
        <w:rPr>
          <w:rFonts w:cs="Arial"/>
          <w:color w:val="000000"/>
          <w:shd w:val="clear" w:color="auto" w:fill="FFFFFF"/>
        </w:rPr>
        <w:t xml:space="preserve">  Appellant candidly acknowledge</w:t>
      </w:r>
      <w:r w:rsidR="003D446B" w:rsidRPr="00DE4629">
        <w:rPr>
          <w:rFonts w:cs="Arial"/>
          <w:color w:val="000000"/>
          <w:shd w:val="clear" w:color="auto" w:fill="FFFFFF"/>
        </w:rPr>
        <w:t>d</w:t>
      </w:r>
      <w:r w:rsidR="00930C0D" w:rsidRPr="00DE4629">
        <w:rPr>
          <w:rFonts w:cs="Arial"/>
          <w:color w:val="000000"/>
          <w:shd w:val="clear" w:color="auto" w:fill="FFFFFF"/>
        </w:rPr>
        <w:t xml:space="preserve"> th</w:t>
      </w:r>
      <w:r w:rsidR="00165300" w:rsidRPr="00DE4629">
        <w:rPr>
          <w:rFonts w:cs="Arial"/>
          <w:color w:val="000000"/>
          <w:shd w:val="clear" w:color="auto" w:fill="FFFFFF"/>
        </w:rPr>
        <w:t>is</w:t>
      </w:r>
      <w:r w:rsidR="00930C0D" w:rsidRPr="00DE4629">
        <w:rPr>
          <w:rFonts w:cs="Arial"/>
          <w:color w:val="000000"/>
          <w:shd w:val="clear" w:color="auto" w:fill="FFFFFF"/>
        </w:rPr>
        <w:t xml:space="preserve"> would be so</w:t>
      </w:r>
      <w:r w:rsidR="003D446B" w:rsidRPr="00DE4629">
        <w:rPr>
          <w:rFonts w:cs="Arial"/>
          <w:color w:val="000000"/>
          <w:shd w:val="clear" w:color="auto" w:fill="FFFFFF"/>
        </w:rPr>
        <w:t xml:space="preserve">.  </w:t>
      </w:r>
      <w:r w:rsidR="003D446B" w:rsidRPr="00DE4629">
        <w:rPr>
          <w:rFonts w:cs="Arial"/>
          <w:color w:val="000000"/>
          <w:shd w:val="clear" w:color="auto" w:fill="FFFFFF"/>
        </w:rPr>
        <w:lastRenderedPageBreak/>
        <w:t xml:space="preserve">But it </w:t>
      </w:r>
      <w:r w:rsidR="00961A22" w:rsidRPr="00DE4629">
        <w:rPr>
          <w:rFonts w:cs="Arial"/>
          <w:color w:val="000000"/>
          <w:shd w:val="clear" w:color="auto" w:fill="FFFFFF"/>
        </w:rPr>
        <w:t>point</w:t>
      </w:r>
      <w:r w:rsidR="00851E69" w:rsidRPr="00DE4629">
        <w:rPr>
          <w:rFonts w:cs="Arial"/>
          <w:color w:val="000000"/>
          <w:shd w:val="clear" w:color="auto" w:fill="FFFFFF"/>
        </w:rPr>
        <w:t>ed</w:t>
      </w:r>
      <w:r w:rsidR="00961A22" w:rsidRPr="00DE4629">
        <w:rPr>
          <w:rFonts w:cs="Arial"/>
          <w:color w:val="000000"/>
          <w:shd w:val="clear" w:color="auto" w:fill="FFFFFF"/>
        </w:rPr>
        <w:t xml:space="preserve"> out it </w:t>
      </w:r>
      <w:r w:rsidR="00D43711" w:rsidRPr="00DE4629">
        <w:rPr>
          <w:rFonts w:cs="Arial"/>
          <w:color w:val="000000"/>
          <w:shd w:val="clear" w:color="auto" w:fill="FFFFFF"/>
        </w:rPr>
        <w:t>is</w:t>
      </w:r>
      <w:r w:rsidR="00961A22" w:rsidRPr="00DE4629">
        <w:rPr>
          <w:rFonts w:cs="Arial"/>
          <w:color w:val="000000"/>
          <w:shd w:val="clear" w:color="auto" w:fill="FFFFFF"/>
        </w:rPr>
        <w:t xml:space="preserve"> not relying on those </w:t>
      </w:r>
      <w:r w:rsidR="00851E69" w:rsidRPr="00DE4629">
        <w:rPr>
          <w:rFonts w:cs="Arial"/>
          <w:color w:val="000000"/>
          <w:shd w:val="clear" w:color="auto" w:fill="FFFFFF"/>
        </w:rPr>
        <w:t>earl</w:t>
      </w:r>
      <w:r w:rsidR="00F86D09" w:rsidRPr="00DE4629">
        <w:rPr>
          <w:rFonts w:cs="Arial"/>
          <w:color w:val="000000"/>
          <w:shd w:val="clear" w:color="auto" w:fill="FFFFFF"/>
        </w:rPr>
        <w:t>y</w:t>
      </w:r>
      <w:r w:rsidR="00851E69" w:rsidRPr="00DE4629">
        <w:rPr>
          <w:rFonts w:cs="Arial"/>
          <w:color w:val="000000"/>
          <w:shd w:val="clear" w:color="auto" w:fill="FFFFFF"/>
        </w:rPr>
        <w:t xml:space="preserve"> </w:t>
      </w:r>
      <w:r w:rsidR="00961A22" w:rsidRPr="00DE4629">
        <w:rPr>
          <w:rFonts w:cs="Arial"/>
          <w:color w:val="000000"/>
          <w:shd w:val="clear" w:color="auto" w:fill="FFFFFF"/>
        </w:rPr>
        <w:t>conveyances because</w:t>
      </w:r>
      <w:r w:rsidR="003D446B" w:rsidRPr="00DE4629">
        <w:rPr>
          <w:rFonts w:cs="Arial"/>
          <w:color w:val="000000"/>
          <w:shd w:val="clear" w:color="auto" w:fill="FFFFFF"/>
        </w:rPr>
        <w:t>, as it also candidly acknowledged,</w:t>
      </w:r>
      <w:r w:rsidR="00961A22" w:rsidRPr="00DE4629">
        <w:rPr>
          <w:rFonts w:cs="Arial"/>
          <w:color w:val="000000"/>
          <w:shd w:val="clear" w:color="auto" w:fill="FFFFFF"/>
        </w:rPr>
        <w:t xml:space="preserve"> th</w:t>
      </w:r>
      <w:r w:rsidR="003D446B" w:rsidRPr="00DE4629">
        <w:rPr>
          <w:rFonts w:cs="Arial"/>
          <w:color w:val="000000"/>
          <w:shd w:val="clear" w:color="auto" w:fill="FFFFFF"/>
        </w:rPr>
        <w:t xml:space="preserve">ose conveyances </w:t>
      </w:r>
      <w:r w:rsidR="00961A22" w:rsidRPr="00DE4629">
        <w:rPr>
          <w:rFonts w:cs="Arial"/>
          <w:color w:val="000000"/>
          <w:shd w:val="clear" w:color="auto" w:fill="FFFFFF"/>
        </w:rPr>
        <w:t xml:space="preserve">were not of fewer-than-five lots and thus </w:t>
      </w:r>
      <w:r w:rsidR="00F458D9" w:rsidRPr="00DE4629">
        <w:rPr>
          <w:rFonts w:cs="Arial"/>
          <w:color w:val="000000"/>
          <w:shd w:val="clear" w:color="auto" w:fill="FFFFFF"/>
        </w:rPr>
        <w:t xml:space="preserve">section 66412.6, subdivision (a)’s presumption </w:t>
      </w:r>
      <w:r w:rsidR="00851E69" w:rsidRPr="00DE4629">
        <w:rPr>
          <w:rFonts w:cs="Arial"/>
          <w:color w:val="000000"/>
          <w:shd w:val="clear" w:color="auto" w:fill="FFFFFF"/>
        </w:rPr>
        <w:t xml:space="preserve">of </w:t>
      </w:r>
      <w:r w:rsidR="00165300" w:rsidRPr="00DE4629">
        <w:rPr>
          <w:rFonts w:cs="Arial"/>
          <w:color w:val="000000"/>
          <w:shd w:val="clear" w:color="auto" w:fill="FFFFFF"/>
        </w:rPr>
        <w:t>legality</w:t>
      </w:r>
      <w:r w:rsidR="00851E69" w:rsidRPr="00DE4629">
        <w:rPr>
          <w:rFonts w:cs="Arial"/>
          <w:color w:val="000000"/>
          <w:shd w:val="clear" w:color="auto" w:fill="FFFFFF"/>
        </w:rPr>
        <w:t xml:space="preserve"> </w:t>
      </w:r>
      <w:r w:rsidR="00EF37E6" w:rsidRPr="00DE4629">
        <w:rPr>
          <w:rFonts w:cs="Arial"/>
          <w:color w:val="000000"/>
          <w:shd w:val="clear" w:color="auto" w:fill="FFFFFF"/>
        </w:rPr>
        <w:t xml:space="preserve">for </w:t>
      </w:r>
      <w:r w:rsidR="00C4521F" w:rsidRPr="00DE4629">
        <w:rPr>
          <w:rFonts w:cs="Arial"/>
          <w:color w:val="000000"/>
          <w:shd w:val="clear" w:color="auto" w:fill="FFFFFF"/>
        </w:rPr>
        <w:t xml:space="preserve">Subdivision </w:t>
      </w:r>
      <w:r w:rsidR="00EF37E6" w:rsidRPr="00DE4629">
        <w:rPr>
          <w:rFonts w:cs="Arial"/>
          <w:color w:val="000000"/>
          <w:shd w:val="clear" w:color="auto" w:fill="FFFFFF"/>
        </w:rPr>
        <w:t xml:space="preserve">Map Act purposes </w:t>
      </w:r>
      <w:r w:rsidR="00F458D9" w:rsidRPr="00DE4629">
        <w:rPr>
          <w:rFonts w:cs="Arial"/>
          <w:color w:val="000000"/>
          <w:shd w:val="clear" w:color="auto" w:fill="FFFFFF"/>
        </w:rPr>
        <w:t>would not apply.</w:t>
      </w:r>
      <w:r w:rsidR="00F011DD" w:rsidRPr="00DE4629">
        <w:rPr>
          <w:rFonts w:cs="Arial"/>
          <w:color w:val="000000"/>
          <w:shd w:val="clear" w:color="auto" w:fill="FFFFFF"/>
        </w:rPr>
        <w:t xml:space="preserve">  </w:t>
      </w:r>
      <w:r w:rsidR="006143C2" w:rsidRPr="00DE4629">
        <w:rPr>
          <w:rFonts w:cs="Arial"/>
          <w:color w:val="000000"/>
          <w:shd w:val="clear" w:color="auto" w:fill="FFFFFF"/>
        </w:rPr>
        <w:t>A</w:t>
      </w:r>
      <w:r w:rsidR="00F458D9" w:rsidRPr="00DE4629">
        <w:rPr>
          <w:rFonts w:cs="Arial"/>
          <w:color w:val="000000"/>
          <w:shd w:val="clear" w:color="auto" w:fill="FFFFFF"/>
        </w:rPr>
        <w:t xml:space="preserve">ppellant </w:t>
      </w:r>
      <w:r w:rsidR="00F011DD" w:rsidRPr="00DE4629">
        <w:rPr>
          <w:rFonts w:cs="Arial"/>
          <w:color w:val="000000"/>
          <w:shd w:val="clear" w:color="auto" w:fill="FFFFFF"/>
        </w:rPr>
        <w:t>maintain</w:t>
      </w:r>
      <w:r w:rsidR="00F86D09" w:rsidRPr="00DE4629">
        <w:rPr>
          <w:rFonts w:cs="Arial"/>
          <w:color w:val="000000"/>
          <w:shd w:val="clear" w:color="auto" w:fill="FFFFFF"/>
        </w:rPr>
        <w:t>ed</w:t>
      </w:r>
      <w:r w:rsidR="006143C2" w:rsidRPr="00DE4629">
        <w:rPr>
          <w:rFonts w:cs="Arial"/>
          <w:color w:val="000000"/>
          <w:shd w:val="clear" w:color="auto" w:fill="FFFFFF"/>
        </w:rPr>
        <w:t>, however, that</w:t>
      </w:r>
      <w:r w:rsidR="00023F0D" w:rsidRPr="00DE4629">
        <w:rPr>
          <w:rFonts w:cs="Arial"/>
          <w:color w:val="000000"/>
          <w:shd w:val="clear" w:color="auto" w:fill="FFFFFF"/>
        </w:rPr>
        <w:t xml:space="preserve"> </w:t>
      </w:r>
      <w:r w:rsidR="003D446B" w:rsidRPr="00DE4629">
        <w:rPr>
          <w:rFonts w:cs="Arial"/>
          <w:color w:val="000000"/>
          <w:shd w:val="clear" w:color="auto" w:fill="FFFFFF"/>
        </w:rPr>
        <w:t>the fact the earl</w:t>
      </w:r>
      <w:r w:rsidR="00F86D09" w:rsidRPr="00DE4629">
        <w:rPr>
          <w:rFonts w:cs="Arial"/>
          <w:color w:val="000000"/>
          <w:shd w:val="clear" w:color="auto" w:fill="FFFFFF"/>
        </w:rPr>
        <w:t>iest</w:t>
      </w:r>
      <w:r w:rsidR="003D446B" w:rsidRPr="00DE4629">
        <w:rPr>
          <w:rFonts w:cs="Arial"/>
          <w:color w:val="000000"/>
          <w:shd w:val="clear" w:color="auto" w:fill="FFFFFF"/>
        </w:rPr>
        <w:t xml:space="preserve"> conveyances do not come within the </w:t>
      </w:r>
      <w:r w:rsidR="00023F0D" w:rsidRPr="00DE4629">
        <w:rPr>
          <w:rFonts w:cs="Arial"/>
          <w:color w:val="000000"/>
          <w:shd w:val="clear" w:color="auto" w:fill="FFFFFF"/>
        </w:rPr>
        <w:t xml:space="preserve">Map Act </w:t>
      </w:r>
      <w:r w:rsidR="003D446B" w:rsidRPr="00DE4629">
        <w:rPr>
          <w:rFonts w:cs="Arial"/>
          <w:color w:val="000000"/>
          <w:shd w:val="clear" w:color="auto" w:fill="FFFFFF"/>
        </w:rPr>
        <w:t xml:space="preserve">presumption </w:t>
      </w:r>
      <w:r w:rsidR="00B56746" w:rsidRPr="00DE4629">
        <w:rPr>
          <w:rFonts w:cs="Arial"/>
          <w:color w:val="000000"/>
          <w:shd w:val="clear" w:color="auto" w:fill="FFFFFF"/>
        </w:rPr>
        <w:t>is</w:t>
      </w:r>
      <w:r w:rsidR="00F458D9" w:rsidRPr="00DE4629">
        <w:rPr>
          <w:rFonts w:cs="Arial"/>
          <w:color w:val="000000"/>
          <w:shd w:val="clear" w:color="auto" w:fill="FFFFFF"/>
        </w:rPr>
        <w:t xml:space="preserve"> immaterial</w:t>
      </w:r>
      <w:r w:rsidR="00F011DD" w:rsidRPr="00DE4629">
        <w:rPr>
          <w:rFonts w:cs="Arial"/>
          <w:color w:val="000000"/>
          <w:shd w:val="clear" w:color="auto" w:fill="FFFFFF"/>
        </w:rPr>
        <w:t xml:space="preserve"> since e</w:t>
      </w:r>
      <w:r w:rsidR="00F36C95" w:rsidRPr="00DE4629">
        <w:rPr>
          <w:rFonts w:cs="Arial"/>
          <w:color w:val="000000"/>
          <w:shd w:val="clear" w:color="auto" w:fill="FFFFFF"/>
        </w:rPr>
        <w:t>ach</w:t>
      </w:r>
      <w:r w:rsidR="00F011DD" w:rsidRPr="00DE4629">
        <w:rPr>
          <w:rFonts w:cs="Arial"/>
          <w:color w:val="000000"/>
          <w:shd w:val="clear" w:color="auto" w:fill="FFFFFF"/>
        </w:rPr>
        <w:t xml:space="preserve"> conveyance was lawful at the time and the </w:t>
      </w:r>
      <w:r w:rsidR="00C4521F" w:rsidRPr="00DE4629">
        <w:rPr>
          <w:rFonts w:cs="Arial"/>
          <w:color w:val="000000"/>
          <w:shd w:val="clear" w:color="auto" w:fill="FFFFFF"/>
        </w:rPr>
        <w:t xml:space="preserve">subsequent conveyances of only </w:t>
      </w:r>
      <w:r w:rsidR="00895699" w:rsidRPr="00DE4629">
        <w:rPr>
          <w:rFonts w:cs="Arial"/>
          <w:color w:val="000000"/>
          <w:shd w:val="clear" w:color="auto" w:fill="FFFFFF"/>
        </w:rPr>
        <w:t>l</w:t>
      </w:r>
      <w:r w:rsidR="00C4521F" w:rsidRPr="00DE4629">
        <w:rPr>
          <w:rFonts w:cs="Arial"/>
          <w:color w:val="000000"/>
          <w:shd w:val="clear" w:color="auto" w:fill="FFFFFF"/>
        </w:rPr>
        <w:t xml:space="preserve">ots 15, 16, 17 and 18 </w:t>
      </w:r>
      <w:r w:rsidRPr="00DE4629">
        <w:rPr>
          <w:rFonts w:cs="Arial"/>
          <w:color w:val="000000"/>
          <w:shd w:val="clear" w:color="auto" w:fill="FFFFFF"/>
        </w:rPr>
        <w:t xml:space="preserve">squarely come within the presumption.  </w:t>
      </w:r>
    </w:p>
    <w:p w14:paraId="46B6EBFD" w14:textId="4EC7C501" w:rsidR="00D300CC" w:rsidRPr="00DE4629" w:rsidRDefault="00CA5748" w:rsidP="002D7A16">
      <w:pPr>
        <w:spacing w:line="360" w:lineRule="auto"/>
        <w:rPr>
          <w:rFonts w:cs="Arial"/>
          <w:i/>
          <w:iCs/>
          <w:color w:val="000000"/>
          <w:shd w:val="clear" w:color="auto" w:fill="FFFFFF"/>
        </w:rPr>
      </w:pPr>
      <w:r w:rsidRPr="00DE4629">
        <w:rPr>
          <w:rFonts w:cs="Arial"/>
          <w:color w:val="000000"/>
          <w:shd w:val="clear" w:color="auto" w:fill="FFFFFF"/>
        </w:rPr>
        <w:tab/>
        <w:t>The city</w:t>
      </w:r>
      <w:r w:rsidR="00023F0D" w:rsidRPr="00DE4629">
        <w:rPr>
          <w:rFonts w:cs="Arial"/>
          <w:color w:val="000000"/>
          <w:shd w:val="clear" w:color="auto" w:fill="FFFFFF"/>
        </w:rPr>
        <w:t xml:space="preserve"> reiterated its view</w:t>
      </w:r>
      <w:r w:rsidRPr="00DE4629">
        <w:rPr>
          <w:rFonts w:cs="Arial"/>
          <w:color w:val="000000"/>
          <w:shd w:val="clear" w:color="auto" w:fill="FFFFFF"/>
        </w:rPr>
        <w:t xml:space="preserve"> that </w:t>
      </w:r>
      <w:r w:rsidRPr="00DE4629">
        <w:rPr>
          <w:rFonts w:cs="Arial"/>
          <w:i/>
          <w:iCs/>
          <w:color w:val="000000"/>
          <w:shd w:val="clear" w:color="auto" w:fill="FFFFFF"/>
        </w:rPr>
        <w:t xml:space="preserve">Gardner </w:t>
      </w:r>
      <w:r w:rsidRPr="00DE4629">
        <w:rPr>
          <w:rFonts w:cs="Arial"/>
          <w:color w:val="000000"/>
          <w:shd w:val="clear" w:color="auto" w:fill="FFFFFF"/>
        </w:rPr>
        <w:t xml:space="preserve">controls and because </w:t>
      </w:r>
      <w:r w:rsidR="00895699" w:rsidRPr="00DE4629">
        <w:rPr>
          <w:rFonts w:cs="Arial"/>
          <w:color w:val="000000"/>
          <w:shd w:val="clear" w:color="auto" w:fill="FFFFFF"/>
        </w:rPr>
        <w:t>l</w:t>
      </w:r>
      <w:r w:rsidRPr="00DE4629">
        <w:rPr>
          <w:rFonts w:cs="Arial"/>
          <w:color w:val="000000"/>
          <w:shd w:val="clear" w:color="auto" w:fill="FFFFFF"/>
        </w:rPr>
        <w:t>ot 18 was n</w:t>
      </w:r>
      <w:r w:rsidR="00EF37E6" w:rsidRPr="00DE4629">
        <w:rPr>
          <w:rFonts w:cs="Arial"/>
          <w:color w:val="000000"/>
          <w:shd w:val="clear" w:color="auto" w:fill="FFFFFF"/>
        </w:rPr>
        <w:t>ever</w:t>
      </w:r>
      <w:r w:rsidRPr="00DE4629">
        <w:rPr>
          <w:rFonts w:cs="Arial"/>
          <w:color w:val="000000"/>
          <w:shd w:val="clear" w:color="auto" w:fill="FFFFFF"/>
        </w:rPr>
        <w:t xml:space="preserve"> separately conveyed</w:t>
      </w:r>
      <w:r w:rsidR="00EF37E6" w:rsidRPr="00DE4629">
        <w:rPr>
          <w:rFonts w:cs="Arial"/>
          <w:color w:val="000000"/>
          <w:shd w:val="clear" w:color="auto" w:fill="FFFFFF"/>
        </w:rPr>
        <w:t xml:space="preserve"> as a single lot</w:t>
      </w:r>
      <w:r w:rsidRPr="00DE4629">
        <w:rPr>
          <w:rFonts w:cs="Arial"/>
          <w:color w:val="000000"/>
          <w:shd w:val="clear" w:color="auto" w:fill="FFFFFF"/>
        </w:rPr>
        <w:t>, it was never “lawfully ‘establish</w:t>
      </w:r>
      <w:r w:rsidR="00023F0D" w:rsidRPr="00DE4629">
        <w:rPr>
          <w:rFonts w:cs="Arial"/>
          <w:color w:val="000000"/>
          <w:shd w:val="clear" w:color="auto" w:fill="FFFFFF"/>
        </w:rPr>
        <w:t>ed</w:t>
      </w:r>
      <w:proofErr w:type="gramStart"/>
      <w:r w:rsidRPr="00DE4629">
        <w:rPr>
          <w:rFonts w:cs="Arial"/>
          <w:color w:val="000000"/>
          <w:shd w:val="clear" w:color="auto" w:fill="FFFFFF"/>
        </w:rPr>
        <w:t>’ ”</w:t>
      </w:r>
      <w:proofErr w:type="gramEnd"/>
      <w:r w:rsidRPr="00DE4629">
        <w:rPr>
          <w:rFonts w:cs="Arial"/>
          <w:color w:val="000000"/>
          <w:shd w:val="clear" w:color="auto" w:fill="FFFFFF"/>
        </w:rPr>
        <w:t xml:space="preserve"> as </w:t>
      </w:r>
      <w:r w:rsidR="00F86D09" w:rsidRPr="00DE4629">
        <w:rPr>
          <w:rFonts w:cs="Arial"/>
          <w:color w:val="000000"/>
          <w:shd w:val="clear" w:color="auto" w:fill="FFFFFF"/>
        </w:rPr>
        <w:t>a subdivided lot</w:t>
      </w:r>
      <w:r w:rsidRPr="00DE4629">
        <w:rPr>
          <w:rFonts w:cs="Arial"/>
          <w:color w:val="000000"/>
          <w:shd w:val="clear" w:color="auto" w:fill="FFFFFF"/>
        </w:rPr>
        <w:t xml:space="preserve"> </w:t>
      </w:r>
      <w:r w:rsidR="00023F0D" w:rsidRPr="00DE4629">
        <w:rPr>
          <w:rFonts w:cs="Arial"/>
          <w:color w:val="000000"/>
          <w:shd w:val="clear" w:color="auto" w:fill="FFFFFF"/>
        </w:rPr>
        <w:t>(</w:t>
      </w:r>
      <w:r w:rsidR="00023F0D" w:rsidRPr="00DE4629">
        <w:rPr>
          <w:rFonts w:cs="Arial"/>
          <w:i/>
          <w:iCs/>
          <w:color w:val="000000"/>
          <w:shd w:val="clear" w:color="auto" w:fill="FFFFFF"/>
        </w:rPr>
        <w:t xml:space="preserve">Gardner, supra, </w:t>
      </w:r>
      <w:r w:rsidR="00023F0D" w:rsidRPr="00DE4629">
        <w:rPr>
          <w:rFonts w:eastAsia="Times New Roman" w:cs="Arial"/>
          <w:color w:val="000000"/>
        </w:rPr>
        <w:t>29 Cal.4th</w:t>
      </w:r>
      <w:r w:rsidR="00023F0D" w:rsidRPr="00DE4629">
        <w:rPr>
          <w:rFonts w:cs="Arial"/>
          <w:color w:val="000000"/>
          <w:shd w:val="clear" w:color="auto" w:fill="FFFFFF"/>
        </w:rPr>
        <w:t xml:space="preserve"> at p. 1000)</w:t>
      </w:r>
      <w:r w:rsidR="00023F0D" w:rsidRPr="00DE4629">
        <w:rPr>
          <w:rFonts w:cs="Arial"/>
          <w:i/>
          <w:iCs/>
          <w:color w:val="000000"/>
          <w:shd w:val="clear" w:color="auto" w:fill="FFFFFF"/>
        </w:rPr>
        <w:t xml:space="preserve"> </w:t>
      </w:r>
      <w:r w:rsidRPr="00DE4629">
        <w:rPr>
          <w:rFonts w:cs="Arial"/>
          <w:color w:val="000000"/>
          <w:shd w:val="clear" w:color="auto" w:fill="FFFFFF"/>
        </w:rPr>
        <w:t>and therefore the fewer</w:t>
      </w:r>
      <w:r w:rsidR="00C4521F" w:rsidRPr="00DE4629">
        <w:rPr>
          <w:rFonts w:cs="Arial"/>
          <w:color w:val="000000"/>
          <w:shd w:val="clear" w:color="auto" w:fill="FFFFFF"/>
        </w:rPr>
        <w:t>-</w:t>
      </w:r>
      <w:r w:rsidRPr="00DE4629">
        <w:rPr>
          <w:rFonts w:cs="Arial"/>
          <w:color w:val="000000"/>
          <w:shd w:val="clear" w:color="auto" w:fill="FFFFFF"/>
        </w:rPr>
        <w:t>than</w:t>
      </w:r>
      <w:r w:rsidR="00C4521F" w:rsidRPr="00DE4629">
        <w:rPr>
          <w:rFonts w:cs="Arial"/>
          <w:color w:val="000000"/>
          <w:shd w:val="clear" w:color="auto" w:fill="FFFFFF"/>
        </w:rPr>
        <w:t>-</w:t>
      </w:r>
      <w:r w:rsidRPr="00DE4629">
        <w:rPr>
          <w:rFonts w:cs="Arial"/>
          <w:color w:val="000000"/>
          <w:shd w:val="clear" w:color="auto" w:fill="FFFFFF"/>
        </w:rPr>
        <w:t xml:space="preserve">five presumption set forth in section 66412.6, subdivision (a) </w:t>
      </w:r>
      <w:r w:rsidR="00C4521F" w:rsidRPr="00DE4629">
        <w:rPr>
          <w:rFonts w:cs="Arial"/>
          <w:color w:val="000000"/>
          <w:shd w:val="clear" w:color="auto" w:fill="FFFFFF"/>
        </w:rPr>
        <w:t xml:space="preserve">cannot </w:t>
      </w:r>
      <w:r w:rsidRPr="00DE4629">
        <w:rPr>
          <w:rFonts w:cs="Arial"/>
          <w:color w:val="000000"/>
          <w:shd w:val="clear" w:color="auto" w:fill="FFFFFF"/>
        </w:rPr>
        <w:t xml:space="preserve">apply.  </w:t>
      </w:r>
      <w:r w:rsidR="00023F0D" w:rsidRPr="00DE4629">
        <w:rPr>
          <w:rFonts w:cs="Arial"/>
          <w:color w:val="000000"/>
          <w:shd w:val="clear" w:color="auto" w:fill="FFFFFF"/>
        </w:rPr>
        <w:t xml:space="preserve">Given the city’s argument, </w:t>
      </w:r>
      <w:r w:rsidR="00E51D48" w:rsidRPr="00DE4629">
        <w:rPr>
          <w:rFonts w:cs="Arial"/>
          <w:color w:val="000000"/>
          <w:shd w:val="clear" w:color="auto" w:fill="FFFFFF"/>
        </w:rPr>
        <w:t xml:space="preserve">we asked counsel </w:t>
      </w:r>
      <w:r w:rsidR="00023F0D" w:rsidRPr="00DE4629">
        <w:rPr>
          <w:rFonts w:cs="Arial"/>
          <w:color w:val="000000"/>
          <w:shd w:val="clear" w:color="auto" w:fill="FFFFFF"/>
        </w:rPr>
        <w:t>a</w:t>
      </w:r>
      <w:r w:rsidR="00BB58FE" w:rsidRPr="00DE4629">
        <w:rPr>
          <w:rFonts w:cs="Arial"/>
          <w:color w:val="000000"/>
          <w:shd w:val="clear" w:color="auto" w:fill="FFFFFF"/>
        </w:rPr>
        <w:t>t oral argument</w:t>
      </w:r>
      <w:r w:rsidR="00E51D48" w:rsidRPr="00DE4629">
        <w:rPr>
          <w:rFonts w:cs="Arial"/>
          <w:color w:val="000000"/>
          <w:shd w:val="clear" w:color="auto" w:fill="FFFFFF"/>
        </w:rPr>
        <w:t xml:space="preserve"> </w:t>
      </w:r>
      <w:r w:rsidR="00023F0D" w:rsidRPr="00DE4629">
        <w:rPr>
          <w:rFonts w:cs="Arial"/>
          <w:color w:val="000000"/>
          <w:shd w:val="clear" w:color="auto" w:fill="FFFFFF"/>
        </w:rPr>
        <w:t xml:space="preserve">whether </w:t>
      </w:r>
      <w:r w:rsidR="00F0000E" w:rsidRPr="00DE4629">
        <w:rPr>
          <w:rFonts w:cs="Arial"/>
          <w:color w:val="000000"/>
          <w:shd w:val="clear" w:color="auto" w:fill="FFFFFF"/>
        </w:rPr>
        <w:t xml:space="preserve">it is the city’s </w:t>
      </w:r>
      <w:r w:rsidR="00E51D48" w:rsidRPr="00DE4629">
        <w:rPr>
          <w:rFonts w:cs="Arial"/>
          <w:color w:val="000000"/>
          <w:shd w:val="clear" w:color="auto" w:fill="FFFFFF"/>
        </w:rPr>
        <w:t xml:space="preserve">position </w:t>
      </w:r>
      <w:r w:rsidR="00BB58FE" w:rsidRPr="00DE4629">
        <w:rPr>
          <w:rFonts w:cs="Arial"/>
          <w:color w:val="000000"/>
          <w:shd w:val="clear" w:color="auto" w:fill="FFFFFF"/>
        </w:rPr>
        <w:t xml:space="preserve">the </w:t>
      </w:r>
      <w:r w:rsidR="00BB58FE" w:rsidRPr="00DE4629">
        <w:rPr>
          <w:rFonts w:cs="Arial"/>
          <w:i/>
          <w:iCs/>
          <w:color w:val="000000"/>
          <w:shd w:val="clear" w:color="auto" w:fill="FFFFFF"/>
        </w:rPr>
        <w:t xml:space="preserve">only </w:t>
      </w:r>
      <w:r w:rsidR="00BB58FE" w:rsidRPr="00DE4629">
        <w:rPr>
          <w:rFonts w:cs="Arial"/>
          <w:color w:val="000000"/>
          <w:shd w:val="clear" w:color="auto" w:fill="FFFFFF"/>
        </w:rPr>
        <w:t xml:space="preserve">conveyance that can </w:t>
      </w:r>
      <w:r w:rsidR="00BB58FE" w:rsidRPr="00DE4629">
        <w:rPr>
          <w:rFonts w:cs="Arial"/>
          <w:i/>
          <w:iCs/>
          <w:color w:val="000000"/>
          <w:shd w:val="clear" w:color="auto" w:fill="FFFFFF"/>
        </w:rPr>
        <w:t>ever</w:t>
      </w:r>
      <w:r w:rsidR="00BB58FE" w:rsidRPr="00DE4629">
        <w:rPr>
          <w:rFonts w:cs="Arial"/>
          <w:color w:val="000000"/>
          <w:shd w:val="clear" w:color="auto" w:fill="FFFFFF"/>
        </w:rPr>
        <w:t xml:space="preserve"> effectuate a </w:t>
      </w:r>
      <w:r w:rsidR="00023F0D" w:rsidRPr="00DE4629">
        <w:rPr>
          <w:rFonts w:cs="Arial"/>
          <w:color w:val="000000"/>
          <w:shd w:val="clear" w:color="auto" w:fill="FFFFFF"/>
        </w:rPr>
        <w:t xml:space="preserve">lawful </w:t>
      </w:r>
      <w:r w:rsidR="00BB58FE" w:rsidRPr="00DE4629">
        <w:rPr>
          <w:rFonts w:cs="Arial"/>
          <w:color w:val="000000"/>
          <w:shd w:val="clear" w:color="auto" w:fill="FFFFFF"/>
        </w:rPr>
        <w:t xml:space="preserve">subdivision under </w:t>
      </w:r>
      <w:r w:rsidR="00BB58FE" w:rsidRPr="00DE4629">
        <w:rPr>
          <w:rFonts w:cs="Arial"/>
          <w:i/>
          <w:iCs/>
          <w:color w:val="000000"/>
          <w:shd w:val="clear" w:color="auto" w:fill="FFFFFF"/>
        </w:rPr>
        <w:t xml:space="preserve">Gardner </w:t>
      </w:r>
      <w:r w:rsidR="00BB58FE" w:rsidRPr="00DE4629">
        <w:rPr>
          <w:rFonts w:cs="Arial"/>
          <w:color w:val="000000"/>
          <w:shd w:val="clear" w:color="auto" w:fill="FFFFFF"/>
        </w:rPr>
        <w:t xml:space="preserve">is a </w:t>
      </w:r>
      <w:r w:rsidR="00F0000E" w:rsidRPr="00DE4629">
        <w:rPr>
          <w:rFonts w:cs="Arial"/>
          <w:color w:val="000000"/>
          <w:shd w:val="clear" w:color="auto" w:fill="FFFFFF"/>
        </w:rPr>
        <w:t xml:space="preserve">conveyance of </w:t>
      </w:r>
      <w:r w:rsidR="00023F0D" w:rsidRPr="00DE4629">
        <w:rPr>
          <w:rFonts w:cs="Arial"/>
          <w:color w:val="000000"/>
          <w:shd w:val="clear" w:color="auto" w:fill="FFFFFF"/>
        </w:rPr>
        <w:t xml:space="preserve">only </w:t>
      </w:r>
      <w:r w:rsidR="00F0000E" w:rsidRPr="00DE4629">
        <w:rPr>
          <w:rFonts w:cs="Arial"/>
          <w:color w:val="000000"/>
          <w:shd w:val="clear" w:color="auto" w:fill="FFFFFF"/>
        </w:rPr>
        <w:t xml:space="preserve">a </w:t>
      </w:r>
      <w:r w:rsidR="00BB58FE" w:rsidRPr="00DE4629">
        <w:rPr>
          <w:rFonts w:cs="Arial"/>
          <w:color w:val="000000"/>
          <w:shd w:val="clear" w:color="auto" w:fill="FFFFFF"/>
        </w:rPr>
        <w:t>single lot</w:t>
      </w:r>
      <w:r w:rsidR="00023F0D" w:rsidRPr="00DE4629">
        <w:rPr>
          <w:rFonts w:cs="Arial"/>
          <w:color w:val="000000"/>
          <w:shd w:val="clear" w:color="auto" w:fill="FFFFFF"/>
        </w:rPr>
        <w:t xml:space="preserve">.  Counsel declined to </w:t>
      </w:r>
      <w:r w:rsidR="002932A6" w:rsidRPr="00DE4629">
        <w:rPr>
          <w:rFonts w:cs="Arial"/>
          <w:color w:val="000000"/>
          <w:shd w:val="clear" w:color="auto" w:fill="FFFFFF"/>
        </w:rPr>
        <w:t xml:space="preserve">concede the point, stating there </w:t>
      </w:r>
      <w:r w:rsidR="00BB58FE" w:rsidRPr="00DE4629">
        <w:rPr>
          <w:rFonts w:cs="Arial"/>
          <w:color w:val="000000"/>
          <w:shd w:val="clear" w:color="auto" w:fill="FFFFFF"/>
        </w:rPr>
        <w:t>might be some set of extraordinary circumstances where a single conveyance could</w:t>
      </w:r>
      <w:r w:rsidR="002932A6" w:rsidRPr="00DE4629">
        <w:rPr>
          <w:rFonts w:cs="Arial"/>
          <w:color w:val="000000"/>
          <w:shd w:val="clear" w:color="auto" w:fill="FFFFFF"/>
        </w:rPr>
        <w:t xml:space="preserve">, under </w:t>
      </w:r>
      <w:r w:rsidR="002932A6" w:rsidRPr="00DE4629">
        <w:rPr>
          <w:rFonts w:cs="Arial"/>
          <w:i/>
          <w:iCs/>
          <w:color w:val="000000"/>
          <w:shd w:val="clear" w:color="auto" w:fill="FFFFFF"/>
        </w:rPr>
        <w:t>Gardner</w:t>
      </w:r>
      <w:r w:rsidR="002932A6" w:rsidRPr="00DE4629">
        <w:rPr>
          <w:rFonts w:cs="Arial"/>
          <w:color w:val="000000"/>
          <w:shd w:val="clear" w:color="auto" w:fill="FFFFFF"/>
        </w:rPr>
        <w:t>, lawfully create more than one lot</w:t>
      </w:r>
      <w:r w:rsidR="007E24B1" w:rsidRPr="00DE4629">
        <w:rPr>
          <w:rFonts w:cs="Arial"/>
          <w:color w:val="000000"/>
          <w:shd w:val="clear" w:color="auto" w:fill="FFFFFF"/>
        </w:rPr>
        <w:t xml:space="preserve">.  However, counsel </w:t>
      </w:r>
      <w:r w:rsidR="002932A6" w:rsidRPr="00DE4629">
        <w:rPr>
          <w:rFonts w:cs="Arial"/>
          <w:color w:val="000000"/>
          <w:shd w:val="clear" w:color="auto" w:fill="FFFFFF"/>
        </w:rPr>
        <w:t>acknowledge</w:t>
      </w:r>
      <w:r w:rsidR="007E24B1" w:rsidRPr="00DE4629">
        <w:rPr>
          <w:rFonts w:cs="Arial"/>
          <w:color w:val="000000"/>
          <w:shd w:val="clear" w:color="auto" w:fill="FFFFFF"/>
        </w:rPr>
        <w:t>d</w:t>
      </w:r>
      <w:r w:rsidR="002932A6" w:rsidRPr="00DE4629">
        <w:rPr>
          <w:rFonts w:cs="Arial"/>
          <w:color w:val="000000"/>
          <w:shd w:val="clear" w:color="auto" w:fill="FFFFFF"/>
        </w:rPr>
        <w:t xml:space="preserve"> that </w:t>
      </w:r>
      <w:r w:rsidR="007E24B1" w:rsidRPr="00DE4629">
        <w:rPr>
          <w:rFonts w:cs="Arial"/>
          <w:color w:val="000000"/>
          <w:shd w:val="clear" w:color="auto" w:fill="FFFFFF"/>
        </w:rPr>
        <w:t xml:space="preserve">in the case at hand </w:t>
      </w:r>
      <w:r w:rsidR="00C4521F" w:rsidRPr="00DE4629">
        <w:rPr>
          <w:rFonts w:cs="Arial"/>
          <w:color w:val="000000"/>
          <w:shd w:val="clear" w:color="auto" w:fill="FFFFFF"/>
        </w:rPr>
        <w:t xml:space="preserve">it is </w:t>
      </w:r>
      <w:r w:rsidR="007E24B1" w:rsidRPr="00DE4629">
        <w:rPr>
          <w:rFonts w:cs="Arial"/>
          <w:color w:val="000000"/>
          <w:shd w:val="clear" w:color="auto" w:fill="FFFFFF"/>
        </w:rPr>
        <w:t xml:space="preserve">the </w:t>
      </w:r>
      <w:r w:rsidR="002932A6" w:rsidRPr="00DE4629">
        <w:rPr>
          <w:rFonts w:cs="Arial"/>
          <w:color w:val="000000"/>
          <w:shd w:val="clear" w:color="auto" w:fill="FFFFFF"/>
        </w:rPr>
        <w:t>city’s view</w:t>
      </w:r>
      <w:r w:rsidR="00C4521F" w:rsidRPr="00DE4629">
        <w:rPr>
          <w:rFonts w:cs="Arial"/>
          <w:color w:val="000000"/>
          <w:shd w:val="clear" w:color="auto" w:fill="FFFFFF"/>
        </w:rPr>
        <w:t xml:space="preserve"> that </w:t>
      </w:r>
      <w:r w:rsidR="006C36E1" w:rsidRPr="00DE4629">
        <w:rPr>
          <w:rFonts w:cs="Arial"/>
          <w:color w:val="000000"/>
          <w:shd w:val="clear" w:color="auto" w:fill="FFFFFF"/>
        </w:rPr>
        <w:t>l</w:t>
      </w:r>
      <w:r w:rsidR="00C4521F" w:rsidRPr="00DE4629">
        <w:rPr>
          <w:rFonts w:cs="Arial"/>
          <w:color w:val="000000"/>
          <w:shd w:val="clear" w:color="auto" w:fill="FFFFFF"/>
        </w:rPr>
        <w:t xml:space="preserve">ot 18 had to be “separately” and </w:t>
      </w:r>
      <w:r w:rsidR="00F86D09" w:rsidRPr="00DE4629">
        <w:rPr>
          <w:rFonts w:cs="Arial"/>
          <w:color w:val="000000"/>
          <w:shd w:val="clear" w:color="auto" w:fill="FFFFFF"/>
        </w:rPr>
        <w:t xml:space="preserve">individually </w:t>
      </w:r>
      <w:r w:rsidR="00C4521F" w:rsidRPr="00DE4629">
        <w:rPr>
          <w:rFonts w:cs="Arial"/>
          <w:color w:val="000000"/>
          <w:shd w:val="clear" w:color="auto" w:fill="FFFFFF"/>
        </w:rPr>
        <w:t xml:space="preserve">conveyed to “work a </w:t>
      </w:r>
      <w:r w:rsidR="00C4521F" w:rsidRPr="00DE4629">
        <w:rPr>
          <w:rFonts w:cs="Arial"/>
          <w:i/>
          <w:iCs/>
          <w:color w:val="000000"/>
          <w:shd w:val="clear" w:color="auto" w:fill="FFFFFF"/>
        </w:rPr>
        <w:t>legal</w:t>
      </w:r>
      <w:r w:rsidR="00C4521F" w:rsidRPr="00DE4629">
        <w:rPr>
          <w:rFonts w:cs="Arial"/>
          <w:color w:val="000000"/>
          <w:shd w:val="clear" w:color="auto" w:fill="FFFFFF"/>
        </w:rPr>
        <w:t xml:space="preserve"> subdivision of the property.”  (</w:t>
      </w:r>
      <w:r w:rsidR="00C4521F" w:rsidRPr="00DE4629">
        <w:rPr>
          <w:rFonts w:cs="Arial"/>
          <w:i/>
          <w:iCs/>
          <w:color w:val="000000"/>
          <w:shd w:val="clear" w:color="auto" w:fill="FFFFFF"/>
        </w:rPr>
        <w:t xml:space="preserve">Id. </w:t>
      </w:r>
      <w:r w:rsidR="00C4521F" w:rsidRPr="00DE4629">
        <w:rPr>
          <w:rFonts w:cs="Arial"/>
          <w:color w:val="000000"/>
          <w:shd w:val="clear" w:color="auto" w:fill="FFFFFF"/>
        </w:rPr>
        <w:t xml:space="preserve">at p. 1002, italics added.)  </w:t>
      </w:r>
      <w:r w:rsidR="007E24B1" w:rsidRPr="00DE4629">
        <w:rPr>
          <w:rFonts w:cs="Arial"/>
          <w:color w:val="000000"/>
          <w:shd w:val="clear" w:color="auto" w:fill="FFFFFF"/>
        </w:rPr>
        <w:t xml:space="preserve">Indeed, </w:t>
      </w:r>
      <w:r w:rsidR="00F86D09" w:rsidRPr="00DE4629">
        <w:rPr>
          <w:rFonts w:cs="Arial"/>
          <w:color w:val="000000"/>
          <w:shd w:val="clear" w:color="auto" w:fill="FFFFFF"/>
        </w:rPr>
        <w:t>the city’s</w:t>
      </w:r>
      <w:r w:rsidR="007E24B1" w:rsidRPr="00DE4629">
        <w:rPr>
          <w:rFonts w:cs="Arial"/>
          <w:color w:val="000000"/>
          <w:shd w:val="clear" w:color="auto" w:fill="FFFFFF"/>
        </w:rPr>
        <w:t xml:space="preserve"> </w:t>
      </w:r>
      <w:r w:rsidR="00C77524" w:rsidRPr="00DE4629">
        <w:rPr>
          <w:rFonts w:cs="Arial"/>
          <w:color w:val="000000"/>
          <w:shd w:val="clear" w:color="auto" w:fill="FFFFFF"/>
        </w:rPr>
        <w:t xml:space="preserve">respondent’s brief is </w:t>
      </w:r>
      <w:r w:rsidR="007E24B1" w:rsidRPr="00DE4629">
        <w:rPr>
          <w:rFonts w:cs="Arial"/>
          <w:color w:val="000000"/>
          <w:shd w:val="clear" w:color="auto" w:fill="FFFFFF"/>
        </w:rPr>
        <w:t>replete with assertions that “</w:t>
      </w:r>
      <w:r w:rsidR="007E24B1" w:rsidRPr="00DE4629">
        <w:rPr>
          <w:rFonts w:cs="Arial"/>
          <w:i/>
          <w:iCs/>
          <w:color w:val="000000"/>
          <w:shd w:val="clear" w:color="auto" w:fill="FFFFFF"/>
        </w:rPr>
        <w:t xml:space="preserve">Gardner </w:t>
      </w:r>
      <w:r w:rsidR="007E24B1" w:rsidRPr="00DE4629">
        <w:rPr>
          <w:rFonts w:cs="Arial"/>
          <w:color w:val="000000"/>
          <w:shd w:val="clear" w:color="auto" w:fill="FFFFFF"/>
        </w:rPr>
        <w:t xml:space="preserve">requires lots shown on a pre-1893 map to be separately conveyed.”  </w:t>
      </w:r>
      <w:r w:rsidR="00AD30B6" w:rsidRPr="00DE4629">
        <w:rPr>
          <w:rFonts w:cs="Arial"/>
          <w:color w:val="000000"/>
          <w:shd w:val="clear" w:color="auto" w:fill="FFFFFF"/>
        </w:rPr>
        <w:t xml:space="preserve">It likewise asserted in its supplemental letter brief that the “holding in </w:t>
      </w:r>
      <w:r w:rsidR="00AD30B6" w:rsidRPr="00DE4629">
        <w:rPr>
          <w:rFonts w:cs="Arial"/>
          <w:i/>
          <w:iCs/>
          <w:color w:val="000000"/>
          <w:shd w:val="clear" w:color="auto" w:fill="FFFFFF"/>
        </w:rPr>
        <w:t xml:space="preserve">Gardner </w:t>
      </w:r>
      <w:r w:rsidR="00AD30B6" w:rsidRPr="00DE4629">
        <w:rPr>
          <w:rFonts w:cs="Arial"/>
          <w:color w:val="000000"/>
          <w:shd w:val="clear" w:color="auto" w:fill="FFFFFF"/>
        </w:rPr>
        <w:t xml:space="preserve">is directly on point” and no lot depicted on an antiquated map can be “formally ‘created’ unless it is conveyed </w:t>
      </w:r>
      <w:r w:rsidR="00AD30B6" w:rsidRPr="00DE4629">
        <w:rPr>
          <w:rFonts w:cs="Arial"/>
          <w:i/>
          <w:iCs/>
          <w:color w:val="000000"/>
          <w:shd w:val="clear" w:color="auto" w:fill="FFFFFF"/>
        </w:rPr>
        <w:t>separately from</w:t>
      </w:r>
      <w:r w:rsidR="00AD30B6" w:rsidRPr="00DE4629">
        <w:rPr>
          <w:rFonts w:cs="Arial"/>
          <w:color w:val="000000"/>
          <w:shd w:val="clear" w:color="auto" w:fill="FFFFFF"/>
        </w:rPr>
        <w:t xml:space="preserve"> the surrounding lands.”  </w:t>
      </w:r>
      <w:r w:rsidR="007E24B1" w:rsidRPr="00DE4629">
        <w:rPr>
          <w:rFonts w:cs="Arial"/>
          <w:color w:val="000000"/>
          <w:shd w:val="clear" w:color="auto" w:fill="FFFFFF"/>
        </w:rPr>
        <w:t xml:space="preserve"> </w:t>
      </w:r>
    </w:p>
    <w:p w14:paraId="4750A45D" w14:textId="19B0D103" w:rsidR="008A60A7" w:rsidRPr="00DE4629" w:rsidRDefault="00CA5748" w:rsidP="000448F2">
      <w:pPr>
        <w:spacing w:line="360" w:lineRule="auto"/>
      </w:pPr>
      <w:r w:rsidRPr="00DE4629">
        <w:rPr>
          <w:rFonts w:cs="Arial"/>
          <w:color w:val="000000"/>
          <w:shd w:val="clear" w:color="auto" w:fill="FFFFFF"/>
        </w:rPr>
        <w:lastRenderedPageBreak/>
        <w:tab/>
        <w:t xml:space="preserve">On close examination of </w:t>
      </w:r>
      <w:r w:rsidRPr="00DE4629">
        <w:rPr>
          <w:rFonts w:cs="Arial"/>
          <w:i/>
          <w:iCs/>
          <w:color w:val="000000"/>
          <w:shd w:val="clear" w:color="auto" w:fill="FFFFFF"/>
        </w:rPr>
        <w:t>Gardner</w:t>
      </w:r>
      <w:r w:rsidRPr="00DE4629">
        <w:rPr>
          <w:rFonts w:cs="Arial"/>
          <w:color w:val="000000"/>
          <w:shd w:val="clear" w:color="auto" w:fill="FFFFFF"/>
        </w:rPr>
        <w:t xml:space="preserve">, we conclude the city has read the case to impose a </w:t>
      </w:r>
      <w:r w:rsidR="00997A3B" w:rsidRPr="00DE4629">
        <w:rPr>
          <w:rFonts w:cs="Arial"/>
          <w:color w:val="000000"/>
          <w:shd w:val="clear" w:color="auto" w:fill="FFFFFF"/>
        </w:rPr>
        <w:t>single</w:t>
      </w:r>
      <w:r w:rsidR="002932A6" w:rsidRPr="00DE4629">
        <w:rPr>
          <w:rFonts w:cs="Arial"/>
          <w:color w:val="000000"/>
          <w:shd w:val="clear" w:color="auto" w:fill="FFFFFF"/>
        </w:rPr>
        <w:t>-</w:t>
      </w:r>
      <w:r w:rsidR="00997A3B" w:rsidRPr="00DE4629">
        <w:rPr>
          <w:rFonts w:cs="Arial"/>
          <w:color w:val="000000"/>
          <w:shd w:val="clear" w:color="auto" w:fill="FFFFFF"/>
        </w:rPr>
        <w:t>lot</w:t>
      </w:r>
      <w:r w:rsidR="002932A6" w:rsidRPr="00DE4629">
        <w:rPr>
          <w:rFonts w:cs="Arial"/>
          <w:color w:val="000000"/>
          <w:shd w:val="clear" w:color="auto" w:fill="FFFFFF"/>
        </w:rPr>
        <w:t>-</w:t>
      </w:r>
      <w:r w:rsidR="00997A3B" w:rsidRPr="00DE4629">
        <w:rPr>
          <w:rFonts w:cs="Arial"/>
          <w:color w:val="000000"/>
          <w:shd w:val="clear" w:color="auto" w:fill="FFFFFF"/>
        </w:rPr>
        <w:t xml:space="preserve">only </w:t>
      </w:r>
      <w:r w:rsidRPr="00DE4629">
        <w:rPr>
          <w:rFonts w:cs="Arial"/>
          <w:color w:val="000000"/>
          <w:shd w:val="clear" w:color="auto" w:fill="FFFFFF"/>
        </w:rPr>
        <w:t>constraint on convey</w:t>
      </w:r>
      <w:r w:rsidR="00C77524" w:rsidRPr="00DE4629">
        <w:rPr>
          <w:rFonts w:cs="Arial"/>
          <w:color w:val="000000"/>
          <w:shd w:val="clear" w:color="auto" w:fill="FFFFFF"/>
        </w:rPr>
        <w:t xml:space="preserve">ances </w:t>
      </w:r>
      <w:r w:rsidR="00997A3B" w:rsidRPr="00DE4629">
        <w:rPr>
          <w:rFonts w:cs="Arial"/>
          <w:color w:val="000000"/>
          <w:shd w:val="clear" w:color="auto" w:fill="FFFFFF"/>
        </w:rPr>
        <w:t xml:space="preserve">that the high court did not, in fact, impose.  </w:t>
      </w:r>
      <w:r w:rsidR="002932A6" w:rsidRPr="00DE4629">
        <w:rPr>
          <w:rFonts w:cs="Arial"/>
          <w:color w:val="000000"/>
          <w:shd w:val="clear" w:color="auto" w:fill="FFFFFF"/>
        </w:rPr>
        <w:t xml:space="preserve">As we have recited, the facts of </w:t>
      </w:r>
      <w:r w:rsidRPr="00DE4629">
        <w:rPr>
          <w:rFonts w:cs="Arial"/>
          <w:i/>
          <w:iCs/>
          <w:color w:val="000000"/>
          <w:shd w:val="clear" w:color="auto" w:fill="FFFFFF"/>
        </w:rPr>
        <w:t xml:space="preserve">Gardner </w:t>
      </w:r>
      <w:r w:rsidR="002932A6" w:rsidRPr="00DE4629">
        <w:rPr>
          <w:rFonts w:cs="Arial"/>
          <w:color w:val="000000"/>
          <w:shd w:val="clear" w:color="auto" w:fill="FFFFFF"/>
        </w:rPr>
        <w:t>are markedly different from th</w:t>
      </w:r>
      <w:r w:rsidRPr="00DE4629">
        <w:rPr>
          <w:rFonts w:cs="Arial"/>
          <w:color w:val="000000"/>
          <w:shd w:val="clear" w:color="auto" w:fill="FFFFFF"/>
        </w:rPr>
        <w:t xml:space="preserve">ose </w:t>
      </w:r>
      <w:r w:rsidR="002932A6" w:rsidRPr="00DE4629">
        <w:rPr>
          <w:rFonts w:cs="Arial"/>
          <w:color w:val="000000"/>
          <w:shd w:val="clear" w:color="auto" w:fill="FFFFFF"/>
        </w:rPr>
        <w:t>here</w:t>
      </w:r>
      <w:r w:rsidRPr="00DE4629">
        <w:rPr>
          <w:rFonts w:cs="Arial"/>
          <w:color w:val="000000"/>
          <w:shd w:val="clear" w:color="auto" w:fill="FFFFFF"/>
        </w:rPr>
        <w:t>, and t</w:t>
      </w:r>
      <w:r w:rsidR="002932A6" w:rsidRPr="00DE4629">
        <w:rPr>
          <w:rFonts w:cs="Arial"/>
          <w:color w:val="000000"/>
          <w:shd w:val="clear" w:color="auto" w:fill="FFFFFF"/>
        </w:rPr>
        <w:t xml:space="preserve">he court </w:t>
      </w:r>
      <w:r w:rsidR="00D576E0" w:rsidRPr="00DE4629">
        <w:rPr>
          <w:rFonts w:cs="Arial"/>
          <w:color w:val="000000"/>
          <w:shd w:val="clear" w:color="auto" w:fill="FFFFFF"/>
        </w:rPr>
        <w:t xml:space="preserve">was not called on to consider, nor did it consider, </w:t>
      </w:r>
      <w:r w:rsidR="002932A6" w:rsidRPr="00DE4629">
        <w:rPr>
          <w:rFonts w:cs="Arial"/>
          <w:color w:val="000000"/>
          <w:shd w:val="clear" w:color="auto" w:fill="FFFFFF"/>
        </w:rPr>
        <w:t>the question</w:t>
      </w:r>
      <w:r w:rsidR="007E24B1" w:rsidRPr="00DE4629">
        <w:rPr>
          <w:rFonts w:cs="Arial"/>
          <w:color w:val="000000"/>
          <w:shd w:val="clear" w:color="auto" w:fill="FFFFFF"/>
        </w:rPr>
        <w:t xml:space="preserve"> of conveyances of </w:t>
      </w:r>
      <w:r w:rsidR="00D576E0" w:rsidRPr="00DE4629">
        <w:rPr>
          <w:rFonts w:cs="Arial"/>
          <w:color w:val="000000"/>
          <w:shd w:val="clear" w:color="auto" w:fill="FFFFFF"/>
        </w:rPr>
        <w:t xml:space="preserve">multiple, separately </w:t>
      </w:r>
      <w:r w:rsidR="00EF05FA" w:rsidRPr="00DE4629">
        <w:rPr>
          <w:rFonts w:cs="Arial"/>
          <w:color w:val="000000"/>
          <w:shd w:val="clear" w:color="auto" w:fill="FFFFFF"/>
        </w:rPr>
        <w:t xml:space="preserve">identified </w:t>
      </w:r>
      <w:r w:rsidR="00D576E0" w:rsidRPr="00DE4629">
        <w:rPr>
          <w:rFonts w:cs="Arial"/>
          <w:color w:val="000000"/>
          <w:shd w:val="clear" w:color="auto" w:fill="FFFFFF"/>
        </w:rPr>
        <w:t>lots</w:t>
      </w:r>
      <w:r w:rsidR="00EF05FA" w:rsidRPr="00DE4629">
        <w:rPr>
          <w:rFonts w:cs="Arial"/>
          <w:color w:val="000000"/>
          <w:shd w:val="clear" w:color="auto" w:fill="FFFFFF"/>
        </w:rPr>
        <w:t>, let alone in a context where many of the lots and the infrastructure depicted on the subdivision map were developed</w:t>
      </w:r>
      <w:r w:rsidR="00D576E0" w:rsidRPr="00DE4629">
        <w:rPr>
          <w:rFonts w:cs="Arial"/>
          <w:color w:val="000000"/>
          <w:shd w:val="clear" w:color="auto" w:fill="FFFFFF"/>
        </w:rPr>
        <w:t xml:space="preserve">.  </w:t>
      </w:r>
      <w:r w:rsidR="00EF05FA" w:rsidRPr="00DE4629">
        <w:rPr>
          <w:rFonts w:cs="Arial"/>
          <w:color w:val="000000"/>
          <w:shd w:val="clear" w:color="auto" w:fill="FFFFFF"/>
        </w:rPr>
        <w:t>T</w:t>
      </w:r>
      <w:r w:rsidR="00997A3B" w:rsidRPr="00DE4629">
        <w:rPr>
          <w:rFonts w:cs="Arial"/>
          <w:color w:val="000000"/>
          <w:shd w:val="clear" w:color="auto" w:fill="FFFFFF"/>
        </w:rPr>
        <w:t xml:space="preserve">he city </w:t>
      </w:r>
      <w:r w:rsidR="005F4D88" w:rsidRPr="00DE4629">
        <w:rPr>
          <w:rFonts w:cs="Arial"/>
          <w:color w:val="000000"/>
          <w:shd w:val="clear" w:color="auto" w:fill="FFFFFF"/>
        </w:rPr>
        <w:t xml:space="preserve">has </w:t>
      </w:r>
      <w:r w:rsidR="00EF05FA" w:rsidRPr="00DE4629">
        <w:rPr>
          <w:rFonts w:cs="Arial"/>
          <w:color w:val="000000"/>
          <w:shd w:val="clear" w:color="auto" w:fill="FFFFFF"/>
        </w:rPr>
        <w:t xml:space="preserve">also </w:t>
      </w:r>
      <w:r w:rsidR="00997A3B" w:rsidRPr="00DE4629">
        <w:rPr>
          <w:rFonts w:cs="Arial"/>
          <w:color w:val="000000"/>
          <w:shd w:val="clear" w:color="auto" w:fill="FFFFFF"/>
        </w:rPr>
        <w:t>overlooked the high court’s recitation of the findings by the local board of supervisors that provided the factual predicate for the court’s decision</w:t>
      </w:r>
      <w:r w:rsidR="00D576E0" w:rsidRPr="00DE4629">
        <w:rPr>
          <w:rFonts w:cs="Arial"/>
          <w:color w:val="000000"/>
          <w:shd w:val="clear" w:color="auto" w:fill="FFFFFF"/>
        </w:rPr>
        <w:t xml:space="preserve">.  </w:t>
      </w:r>
      <w:r w:rsidR="00997A3B" w:rsidRPr="00DE4629">
        <w:rPr>
          <w:rFonts w:cs="Arial"/>
          <w:color w:val="000000"/>
          <w:shd w:val="clear" w:color="auto" w:fill="FFFFFF"/>
        </w:rPr>
        <w:t>T</w:t>
      </w:r>
      <w:r w:rsidR="00997A3B" w:rsidRPr="00DE4629">
        <w:t xml:space="preserve">he local board of supervisors found: “(1) plaintiffs’ property had been ‘repeatedly and consistently conveyed as a single unit of land’ since 1865 and ‘generally described in metes and bounds since 1903’; and (2) none of plaintiffs’ 12 purported lots had ever been separately conveyed </w:t>
      </w:r>
      <w:r w:rsidR="00997A3B" w:rsidRPr="00DE4629">
        <w:rPr>
          <w:i/>
          <w:iCs/>
        </w:rPr>
        <w:t>or separately described in a grant deed</w:t>
      </w:r>
      <w:r w:rsidR="00997A3B" w:rsidRPr="00DE4629">
        <w:t>.”  (</w:t>
      </w:r>
      <w:r w:rsidR="00997A3B" w:rsidRPr="00DE4629">
        <w:rPr>
          <w:rFonts w:eastAsia="Times New Roman" w:cs="Arial"/>
          <w:i/>
          <w:iCs/>
          <w:color w:val="000000"/>
        </w:rPr>
        <w:t>Gardner, supra,</w:t>
      </w:r>
      <w:r w:rsidR="00997A3B" w:rsidRPr="00DE4629">
        <w:rPr>
          <w:rFonts w:eastAsia="Times New Roman" w:cs="Arial"/>
          <w:color w:val="000000"/>
        </w:rPr>
        <w:t xml:space="preserve"> 29 Cal.4th</w:t>
      </w:r>
      <w:r w:rsidR="00997A3B" w:rsidRPr="00DE4629">
        <w:t xml:space="preserve"> at p. 996, italics added.)</w:t>
      </w:r>
      <w:r w:rsidRPr="00DE4629">
        <w:t xml:space="preserve">  </w:t>
      </w:r>
    </w:p>
    <w:p w14:paraId="29E7C831" w14:textId="3FA3E79D" w:rsidR="00CE093B" w:rsidRPr="00DE4629" w:rsidRDefault="00CA5748" w:rsidP="000448F2">
      <w:pPr>
        <w:spacing w:line="360" w:lineRule="auto"/>
      </w:pPr>
      <w:r w:rsidRPr="00DE4629">
        <w:tab/>
        <w:t xml:space="preserve">Here, appellant’s lots </w:t>
      </w:r>
      <w:r w:rsidRPr="00DE4629">
        <w:rPr>
          <w:i/>
          <w:iCs/>
        </w:rPr>
        <w:t>were</w:t>
      </w:r>
      <w:r w:rsidRPr="00DE4629">
        <w:t xml:space="preserve"> </w:t>
      </w:r>
      <w:r w:rsidR="00E112EF" w:rsidRPr="00DE4629">
        <w:t xml:space="preserve">“separately </w:t>
      </w:r>
      <w:r w:rsidRPr="00DE4629">
        <w:t>described”</w:t>
      </w:r>
      <w:r w:rsidRPr="00DE4629">
        <w:rPr>
          <w:i/>
          <w:iCs/>
        </w:rPr>
        <w:t xml:space="preserve"> </w:t>
      </w:r>
      <w:r w:rsidRPr="00DE4629">
        <w:t xml:space="preserve">in </w:t>
      </w:r>
      <w:r w:rsidRPr="00DE4629">
        <w:rPr>
          <w:i/>
          <w:iCs/>
        </w:rPr>
        <w:t xml:space="preserve">every </w:t>
      </w:r>
      <w:r w:rsidRPr="00DE4629">
        <w:t xml:space="preserve">conveyance of </w:t>
      </w:r>
      <w:r w:rsidR="00F36C95" w:rsidRPr="00DE4629">
        <w:t xml:space="preserve">fewer than five lots.  </w:t>
      </w:r>
      <w:r w:rsidRPr="00DE4629">
        <w:t xml:space="preserve">And, as </w:t>
      </w:r>
      <w:r w:rsidR="005F4D88" w:rsidRPr="00DE4629">
        <w:t xml:space="preserve">we have discussed, </w:t>
      </w:r>
      <w:r w:rsidR="00D85CC7" w:rsidRPr="00DE4629">
        <w:t xml:space="preserve">this was wholly consistent with </w:t>
      </w:r>
      <w:r w:rsidRPr="00DE4629">
        <w:t>the law</w:t>
      </w:r>
      <w:r w:rsidR="00D85CC7" w:rsidRPr="00DE4629">
        <w:t xml:space="preserve"> the</w:t>
      </w:r>
      <w:r w:rsidR="00E112EF" w:rsidRPr="00DE4629">
        <w:t>n</w:t>
      </w:r>
      <w:r w:rsidR="00D85CC7" w:rsidRPr="00DE4629">
        <w:t xml:space="preserve">, and now, </w:t>
      </w:r>
      <w:r w:rsidRPr="00DE4629">
        <w:t>that multiple, separately described lots can be transferred by wa</w:t>
      </w:r>
      <w:r w:rsidR="00830B18" w:rsidRPr="00DE4629">
        <w:t>y</w:t>
      </w:r>
      <w:r w:rsidRPr="00DE4629">
        <w:t xml:space="preserve"> of a single conveyance, such as a grant deed.</w:t>
      </w:r>
      <w:r w:rsidR="007E24B1" w:rsidRPr="00DE4629">
        <w:t xml:space="preserve">  </w:t>
      </w:r>
      <w:r w:rsidR="005D1F12" w:rsidRPr="00DE4629">
        <w:t xml:space="preserve">(E.g., </w:t>
      </w:r>
      <w:r w:rsidR="005D1F12" w:rsidRPr="00DE4629">
        <w:rPr>
          <w:rFonts w:cs="Arial"/>
          <w:i/>
          <w:iCs/>
          <w:color w:val="000000"/>
          <w:shd w:val="clear" w:color="auto" w:fill="FFFFFF"/>
        </w:rPr>
        <w:t xml:space="preserve">Yuba City, supra, </w:t>
      </w:r>
      <w:r w:rsidR="005D1F12" w:rsidRPr="00DE4629">
        <w:rPr>
          <w:rFonts w:cs="Arial"/>
          <w:color w:val="000000"/>
          <w:shd w:val="clear" w:color="auto" w:fill="FFFFFF"/>
        </w:rPr>
        <w:t xml:space="preserve">207 Cal. at p. 588 [1893 deed conveyed multiple, separately identified lots]; </w:t>
      </w:r>
      <w:r w:rsidR="005D1F12" w:rsidRPr="00DE4629">
        <w:rPr>
          <w:rFonts w:cs="Arial"/>
          <w:i/>
          <w:iCs/>
          <w:color w:val="000000"/>
          <w:shd w:val="clear" w:color="auto" w:fill="FFFFFF"/>
        </w:rPr>
        <w:t xml:space="preserve">Martin, supra, </w:t>
      </w:r>
      <w:r w:rsidR="005D1F12" w:rsidRPr="00DE4629">
        <w:rPr>
          <w:rFonts w:cs="Arial"/>
          <w:color w:val="000000"/>
          <w:shd w:val="clear" w:color="auto" w:fill="FFFFFF"/>
        </w:rPr>
        <w:t xml:space="preserve">197 Cal. </w:t>
      </w:r>
      <w:r w:rsidR="00AE4DA2" w:rsidRPr="00DE4629">
        <w:rPr>
          <w:rFonts w:cs="Arial"/>
          <w:color w:val="000000"/>
          <w:shd w:val="clear" w:color="auto" w:fill="FFFFFF"/>
        </w:rPr>
        <w:t xml:space="preserve">at pp. </w:t>
      </w:r>
      <w:r w:rsidR="005D1F12" w:rsidRPr="00DE4629">
        <w:rPr>
          <w:rFonts w:cs="Arial"/>
          <w:color w:val="000000"/>
          <w:shd w:val="clear" w:color="auto" w:fill="FFFFFF"/>
        </w:rPr>
        <w:t>738, 740</w:t>
      </w:r>
      <w:r w:rsidR="00F666E1" w:rsidRPr="00DE4629">
        <w:rPr>
          <w:rFonts w:cs="Arial"/>
          <w:color w:val="000000"/>
          <w:shd w:val="clear" w:color="auto" w:fill="FFFFFF"/>
        </w:rPr>
        <w:t>–</w:t>
      </w:r>
      <w:r w:rsidR="005D1F12" w:rsidRPr="00DE4629">
        <w:rPr>
          <w:rFonts w:cs="Arial"/>
          <w:color w:val="000000"/>
          <w:shd w:val="clear" w:color="auto" w:fill="FFFFFF"/>
        </w:rPr>
        <w:t>741, 748 [1904 and 1910 deeds conveyed multiple, separately identified lots]</w:t>
      </w:r>
      <w:r w:rsidR="00D85CC7" w:rsidRPr="00DE4629">
        <w:rPr>
          <w:rFonts w:cs="Arial"/>
          <w:color w:val="000000"/>
          <w:shd w:val="clear" w:color="auto" w:fill="FFFFFF"/>
        </w:rPr>
        <w:t>;</w:t>
      </w:r>
      <w:r w:rsidR="005D1F12" w:rsidRPr="00DE4629">
        <w:rPr>
          <w:rFonts w:cs="Arial"/>
          <w:color w:val="000000"/>
          <w:shd w:val="clear" w:color="auto" w:fill="FFFFFF"/>
        </w:rPr>
        <w:t xml:space="preserve"> </w:t>
      </w:r>
      <w:r w:rsidR="005D1F12" w:rsidRPr="00DE4629">
        <w:rPr>
          <w:rFonts w:cs="Arial"/>
          <w:i/>
          <w:iCs/>
          <w:color w:val="000000"/>
          <w:shd w:val="clear" w:color="auto" w:fill="FFFFFF"/>
        </w:rPr>
        <w:t xml:space="preserve">McCullough, supra, </w:t>
      </w:r>
      <w:r w:rsidR="005D1F12" w:rsidRPr="00DE4629">
        <w:rPr>
          <w:rFonts w:cs="Arial"/>
          <w:color w:val="000000"/>
          <w:shd w:val="clear" w:color="auto" w:fill="FFFFFF"/>
        </w:rPr>
        <w:t>108</w:t>
      </w:r>
      <w:r w:rsidR="00F666E1" w:rsidRPr="00DE4629">
        <w:rPr>
          <w:rFonts w:cs="Arial"/>
          <w:color w:val="000000"/>
          <w:shd w:val="clear" w:color="auto" w:fill="FFFFFF"/>
        </w:rPr>
        <w:t> </w:t>
      </w:r>
      <w:r w:rsidR="005D1F12" w:rsidRPr="00DE4629">
        <w:rPr>
          <w:rFonts w:cs="Arial"/>
          <w:color w:val="000000"/>
          <w:shd w:val="clear" w:color="auto" w:fill="FFFFFF"/>
        </w:rPr>
        <w:t>Cal. at p</w:t>
      </w:r>
      <w:r w:rsidR="00895699" w:rsidRPr="00DE4629">
        <w:rPr>
          <w:rFonts w:cs="Arial"/>
          <w:color w:val="000000"/>
          <w:shd w:val="clear" w:color="auto" w:fill="FFFFFF"/>
        </w:rPr>
        <w:t>p</w:t>
      </w:r>
      <w:r w:rsidR="005D1F12" w:rsidRPr="00DE4629">
        <w:rPr>
          <w:rFonts w:cs="Arial"/>
          <w:color w:val="000000"/>
          <w:shd w:val="clear" w:color="auto" w:fill="FFFFFF"/>
        </w:rPr>
        <w:t>. 530</w:t>
      </w:r>
      <w:r w:rsidR="00F666E1" w:rsidRPr="00DE4629">
        <w:rPr>
          <w:rFonts w:cs="Arial"/>
          <w:color w:val="000000"/>
          <w:shd w:val="clear" w:color="auto" w:fill="FFFFFF"/>
        </w:rPr>
        <w:t>–</w:t>
      </w:r>
      <w:r w:rsidR="005D1F12" w:rsidRPr="00DE4629">
        <w:rPr>
          <w:rFonts w:cs="Arial"/>
          <w:color w:val="000000"/>
          <w:shd w:val="clear" w:color="auto" w:fill="FFFFFF"/>
        </w:rPr>
        <w:t>532 [1858 deed conveyed multiple, separately identified lots].)</w:t>
      </w:r>
      <w:r w:rsidR="00E112EF" w:rsidRPr="00DE4629">
        <w:rPr>
          <w:rFonts w:cs="Arial"/>
          <w:color w:val="000000"/>
          <w:shd w:val="clear" w:color="auto" w:fill="FFFFFF"/>
        </w:rPr>
        <w:t xml:space="preserve">  Indeed, in not one of these early cases did the Supreme Court remotely suggest the properties </w:t>
      </w:r>
      <w:r w:rsidR="00225AEB" w:rsidRPr="00DE4629">
        <w:rPr>
          <w:rFonts w:cs="Arial"/>
          <w:color w:val="000000"/>
          <w:shd w:val="clear" w:color="auto" w:fill="FFFFFF"/>
        </w:rPr>
        <w:t xml:space="preserve">in question </w:t>
      </w:r>
      <w:r w:rsidR="00E112EF" w:rsidRPr="00DE4629">
        <w:rPr>
          <w:rFonts w:cs="Arial"/>
          <w:color w:val="000000"/>
          <w:shd w:val="clear" w:color="auto" w:fill="FFFFFF"/>
        </w:rPr>
        <w:t xml:space="preserve">had not been legally subdivided because </w:t>
      </w:r>
      <w:r w:rsidR="00E112EF" w:rsidRPr="00DE4629">
        <w:rPr>
          <w:rFonts w:cs="Arial"/>
          <w:color w:val="000000"/>
          <w:shd w:val="clear" w:color="auto" w:fill="FFFFFF"/>
        </w:rPr>
        <w:lastRenderedPageBreak/>
        <w:t>the separately identified lots</w:t>
      </w:r>
      <w:r w:rsidR="00225AEB" w:rsidRPr="00DE4629">
        <w:rPr>
          <w:rFonts w:cs="Arial"/>
          <w:color w:val="000000"/>
          <w:shd w:val="clear" w:color="auto" w:fill="FFFFFF"/>
        </w:rPr>
        <w:t>, as</w:t>
      </w:r>
      <w:r w:rsidR="00E112EF" w:rsidRPr="00DE4629">
        <w:rPr>
          <w:rFonts w:cs="Arial"/>
          <w:color w:val="000000"/>
          <w:shd w:val="clear" w:color="auto" w:fill="FFFFFF"/>
        </w:rPr>
        <w:t xml:space="preserve"> </w:t>
      </w:r>
      <w:r w:rsidR="00225AEB" w:rsidRPr="00DE4629">
        <w:rPr>
          <w:rFonts w:cs="Arial"/>
          <w:color w:val="000000"/>
          <w:shd w:val="clear" w:color="auto" w:fill="FFFFFF"/>
        </w:rPr>
        <w:t>depicted on a subdivision map</w:t>
      </w:r>
      <w:r w:rsidR="00D9448F">
        <w:rPr>
          <w:rFonts w:cs="Arial"/>
          <w:color w:val="000000"/>
          <w:shd w:val="clear" w:color="auto" w:fill="FFFFFF"/>
        </w:rPr>
        <w:t>,</w:t>
      </w:r>
      <w:r w:rsidR="00225AEB" w:rsidRPr="00DE4629">
        <w:rPr>
          <w:rFonts w:cs="Arial"/>
          <w:color w:val="000000"/>
          <w:shd w:val="clear" w:color="auto" w:fill="FFFFFF"/>
        </w:rPr>
        <w:t xml:space="preserve"> had been </w:t>
      </w:r>
      <w:r w:rsidR="00E112EF" w:rsidRPr="00DE4629">
        <w:rPr>
          <w:rFonts w:cs="Arial"/>
          <w:color w:val="000000"/>
          <w:shd w:val="clear" w:color="auto" w:fill="FFFFFF"/>
        </w:rPr>
        <w:t>conveyed in a single deed.</w:t>
      </w:r>
      <w:r>
        <w:rPr>
          <w:rStyle w:val="FootnoteReference"/>
          <w:rFonts w:cs="Arial"/>
          <w:color w:val="000000"/>
          <w:shd w:val="clear" w:color="auto" w:fill="FFFFFF"/>
        </w:rPr>
        <w:footnoteReference w:id="24"/>
      </w:r>
      <w:r w:rsidR="00E112EF" w:rsidRPr="00DE4629">
        <w:rPr>
          <w:rFonts w:cs="Arial"/>
          <w:color w:val="000000"/>
          <w:shd w:val="clear" w:color="auto" w:fill="FFFFFF"/>
        </w:rPr>
        <w:t xml:space="preserve">  </w:t>
      </w:r>
    </w:p>
    <w:p w14:paraId="74C6F7A2" w14:textId="7D4A87B1" w:rsidR="00CE093B" w:rsidRPr="00DE4629" w:rsidRDefault="00CA5748" w:rsidP="000448F2">
      <w:pPr>
        <w:spacing w:line="360" w:lineRule="auto"/>
      </w:pPr>
      <w:r w:rsidRPr="00DE4629">
        <w:tab/>
        <w:t xml:space="preserve">Accordingly, the city’s insistence that </w:t>
      </w:r>
      <w:r w:rsidRPr="00DE4629">
        <w:rPr>
          <w:i/>
          <w:iCs/>
        </w:rPr>
        <w:t xml:space="preserve">Gardner </w:t>
      </w:r>
      <w:r w:rsidRPr="00DE4629">
        <w:t xml:space="preserve">is dispositive does not hold sway. </w:t>
      </w:r>
    </w:p>
    <w:p w14:paraId="64D44222" w14:textId="0E8D0FB8" w:rsidR="00F36C95" w:rsidRPr="00DE4629" w:rsidRDefault="00CA5748" w:rsidP="000448F2">
      <w:pPr>
        <w:spacing w:line="360" w:lineRule="auto"/>
      </w:pPr>
      <w:r w:rsidRPr="00DE4629">
        <w:tab/>
        <w:t>We also</w:t>
      </w:r>
      <w:r w:rsidR="00D314D2" w:rsidRPr="00DE4629">
        <w:t xml:space="preserve"> </w:t>
      </w:r>
      <w:r w:rsidRPr="00DE4629">
        <w:t xml:space="preserve">conclude the fact </w:t>
      </w:r>
      <w:r w:rsidR="000448F2" w:rsidRPr="00DE4629">
        <w:t>l</w:t>
      </w:r>
      <w:r w:rsidRPr="00DE4629">
        <w:t xml:space="preserve">ot 18 was </w:t>
      </w:r>
      <w:r w:rsidR="00A76313" w:rsidRPr="00DE4629">
        <w:t xml:space="preserve">initially </w:t>
      </w:r>
      <w:r w:rsidRPr="00DE4629">
        <w:t>conveyed with eight other lots</w:t>
      </w:r>
      <w:r w:rsidR="00A76313" w:rsidRPr="00DE4629">
        <w:t xml:space="preserve"> </w:t>
      </w:r>
      <w:r w:rsidRPr="00DE4629">
        <w:t xml:space="preserve">does </w:t>
      </w:r>
      <w:r w:rsidR="00AD30B6" w:rsidRPr="00DE4629">
        <w:t>not</w:t>
      </w:r>
      <w:r w:rsidRPr="00DE4629">
        <w:t xml:space="preserve"> </w:t>
      </w:r>
      <w:r w:rsidR="00A76313" w:rsidRPr="00DE4629">
        <w:t xml:space="preserve">preclude the fewer-than-five presumption from applying </w:t>
      </w:r>
      <w:r w:rsidR="00723097" w:rsidRPr="00DE4629">
        <w:t xml:space="preserve">upon </w:t>
      </w:r>
      <w:r w:rsidR="00A76313" w:rsidRPr="00DE4629">
        <w:t xml:space="preserve">its being conveyed with only </w:t>
      </w:r>
      <w:r w:rsidR="000448F2" w:rsidRPr="00DE4629">
        <w:t>l</w:t>
      </w:r>
      <w:r w:rsidR="00A76313" w:rsidRPr="00DE4629">
        <w:t xml:space="preserve">ots 15, 16, and 17.  </w:t>
      </w:r>
      <w:r w:rsidR="00F9490A" w:rsidRPr="00DE4629">
        <w:t>The parties agree that prior to 193</w:t>
      </w:r>
      <w:r w:rsidR="00225AEB" w:rsidRPr="00DE4629">
        <w:t>9</w:t>
      </w:r>
      <w:r w:rsidR="00F9490A" w:rsidRPr="00DE4629">
        <w:t xml:space="preserve"> there were no state or local regulatory controls applicable to subdivisions resulting in fewer than five lots.  </w:t>
      </w:r>
      <w:r w:rsidRPr="00DE4629">
        <w:t>Thus, i</w:t>
      </w:r>
      <w:r w:rsidR="00F9490A" w:rsidRPr="00DE4629">
        <w:t xml:space="preserve">n this regard, to </w:t>
      </w:r>
      <w:r w:rsidR="00FB0520" w:rsidRPr="00DE4629">
        <w:t>quote</w:t>
      </w:r>
      <w:r w:rsidR="00F9490A" w:rsidRPr="00DE4629">
        <w:t xml:space="preserve"> </w:t>
      </w:r>
      <w:r w:rsidR="00F9490A" w:rsidRPr="00DE4629">
        <w:rPr>
          <w:i/>
          <w:iCs/>
        </w:rPr>
        <w:t xml:space="preserve">Witt, </w:t>
      </w:r>
      <w:r w:rsidR="00904FA4" w:rsidRPr="00DE4629">
        <w:t>“[l]</w:t>
      </w:r>
      <w:proofErr w:type="spellStart"/>
      <w:r w:rsidR="00904FA4" w:rsidRPr="00DE4629">
        <w:t>andowners</w:t>
      </w:r>
      <w:proofErr w:type="spellEnd"/>
      <w:r w:rsidR="00904FA4" w:rsidRPr="00DE4629">
        <w:t xml:space="preserve"> were free to subdivide and sell their real property as they saw fit</w:t>
      </w:r>
      <w:r w:rsidR="00F9490A" w:rsidRPr="00DE4629">
        <w:t>.</w:t>
      </w:r>
      <w:r w:rsidR="00904FA4" w:rsidRPr="00DE4629">
        <w:t>”</w:t>
      </w:r>
      <w:r w:rsidR="00F9490A" w:rsidRPr="00DE4629">
        <w:t xml:space="preserve"> </w:t>
      </w:r>
      <w:r w:rsidR="00904FA4" w:rsidRPr="00DE4629">
        <w:t xml:space="preserve"> (</w:t>
      </w:r>
      <w:r w:rsidR="00904FA4" w:rsidRPr="00DE4629">
        <w:rPr>
          <w:i/>
          <w:iCs/>
        </w:rPr>
        <w:t xml:space="preserve">Witt, supra, </w:t>
      </w:r>
      <w:r w:rsidR="00904FA4" w:rsidRPr="00DE4629">
        <w:t xml:space="preserve">165 Cal.App.4th at p. 552.)  </w:t>
      </w:r>
    </w:p>
    <w:p w14:paraId="2909A9CD" w14:textId="25169AFA" w:rsidR="00F36C95" w:rsidRPr="00DE4629" w:rsidRDefault="00CA5748" w:rsidP="000448F2">
      <w:pPr>
        <w:spacing w:line="360" w:lineRule="auto"/>
      </w:pPr>
      <w:r w:rsidRPr="00DE4629">
        <w:tab/>
      </w:r>
      <w:r w:rsidR="00723097" w:rsidRPr="00DE4629">
        <w:t>T</w:t>
      </w:r>
      <w:r w:rsidR="00904FA4" w:rsidRPr="00DE4629">
        <w:t>h</w:t>
      </w:r>
      <w:r w:rsidR="0042525C" w:rsidRPr="00DE4629">
        <w:t xml:space="preserve">e ability of owners to </w:t>
      </w:r>
      <w:r w:rsidR="005C6AE6" w:rsidRPr="00DE4629">
        <w:t>use their property as they wanted, including dividing their property into small</w:t>
      </w:r>
      <w:r w:rsidRPr="00DE4629">
        <w:t xml:space="preserve">er </w:t>
      </w:r>
      <w:r w:rsidR="005C6AE6" w:rsidRPr="00DE4629">
        <w:t xml:space="preserve">lots, </w:t>
      </w:r>
      <w:r w:rsidR="00904FA4" w:rsidRPr="00DE4629">
        <w:t>is</w:t>
      </w:r>
      <w:r w:rsidR="00F9490A" w:rsidRPr="00DE4629">
        <w:t xml:space="preserve"> </w:t>
      </w:r>
      <w:r w:rsidR="002D7EF3" w:rsidRPr="00DE4629">
        <w:t xml:space="preserve">also </w:t>
      </w:r>
      <w:r w:rsidR="00904FA4" w:rsidRPr="00DE4629">
        <w:t>reflected by cases decided during th</w:t>
      </w:r>
      <w:r w:rsidR="002D7EF3" w:rsidRPr="00DE4629">
        <w:t xml:space="preserve">at early </w:t>
      </w:r>
      <w:proofErr w:type="gramStart"/>
      <w:r w:rsidR="002D7EF3" w:rsidRPr="00DE4629">
        <w:t>time period</w:t>
      </w:r>
      <w:proofErr w:type="gramEnd"/>
      <w:r w:rsidR="005C6AE6" w:rsidRPr="00DE4629">
        <w:t xml:space="preserve">.  As a general matter these cases established that </w:t>
      </w:r>
      <w:r w:rsidR="00F9490A" w:rsidRPr="00DE4629">
        <w:t>th</w:t>
      </w:r>
      <w:r w:rsidR="006C1CE9" w:rsidRPr="00DE4629">
        <w:t xml:space="preserve">e grantees of lots depicted on </w:t>
      </w:r>
      <w:r w:rsidR="005C6AE6" w:rsidRPr="00DE4629">
        <w:t xml:space="preserve">a </w:t>
      </w:r>
      <w:r w:rsidR="006C1CE9" w:rsidRPr="00DE4629">
        <w:t xml:space="preserve">subdivision map </w:t>
      </w:r>
      <w:r w:rsidR="00723097" w:rsidRPr="00DE4629">
        <w:t xml:space="preserve">could be </w:t>
      </w:r>
      <w:r w:rsidR="006C1CE9" w:rsidRPr="00DE4629">
        <w:t xml:space="preserve">restricted </w:t>
      </w:r>
      <w:r w:rsidR="00723097" w:rsidRPr="00DE4629">
        <w:t xml:space="preserve">in </w:t>
      </w:r>
      <w:r w:rsidR="006C1CE9" w:rsidRPr="00DE4629">
        <w:t xml:space="preserve">their use and transfer of the property only </w:t>
      </w:r>
      <w:r w:rsidR="003F52CE" w:rsidRPr="00DE4629">
        <w:t xml:space="preserve">in </w:t>
      </w:r>
      <w:r w:rsidR="006C1CE9" w:rsidRPr="00DE4629">
        <w:t xml:space="preserve">limited circumstances, e.g., where the deeds transferring all, or nearly all, </w:t>
      </w:r>
      <w:r w:rsidR="003F52CE" w:rsidRPr="00DE4629">
        <w:t xml:space="preserve">of </w:t>
      </w:r>
      <w:r w:rsidR="006C1CE9" w:rsidRPr="00DE4629">
        <w:t xml:space="preserve">the lots shown on </w:t>
      </w:r>
      <w:r w:rsidR="005C6AE6" w:rsidRPr="00DE4629">
        <w:t>the</w:t>
      </w:r>
      <w:r w:rsidR="003F52CE" w:rsidRPr="00DE4629">
        <w:t xml:space="preserve"> </w:t>
      </w:r>
      <w:r w:rsidR="006C1CE9" w:rsidRPr="00DE4629">
        <w:t>map contained restrictions</w:t>
      </w:r>
      <w:r w:rsidR="00BD2CC7" w:rsidRPr="00DE4629">
        <w:t xml:space="preserve"> for the benefit of the other grantees</w:t>
      </w:r>
      <w:r w:rsidR="006C1CE9" w:rsidRPr="00DE4629">
        <w:t>.  (See, e.g.,</w:t>
      </w:r>
      <w:r w:rsidR="003F52CE" w:rsidRPr="00DE4629">
        <w:t xml:space="preserve"> </w:t>
      </w:r>
      <w:r w:rsidR="003F52CE" w:rsidRPr="00DE4629">
        <w:rPr>
          <w:i/>
          <w:iCs/>
        </w:rPr>
        <w:t xml:space="preserve">McBride v. Freeman </w:t>
      </w:r>
      <w:r w:rsidR="003F52CE" w:rsidRPr="00DE4629">
        <w:t>(1923) 191 Cal. 152, 15</w:t>
      </w:r>
      <w:r w:rsidR="00FB0520" w:rsidRPr="00DE4629">
        <w:t>3</w:t>
      </w:r>
      <w:r w:rsidR="00CE4DA6" w:rsidRPr="00DE4629">
        <w:t>–154</w:t>
      </w:r>
      <w:r w:rsidR="003F52CE" w:rsidRPr="00DE4629">
        <w:t xml:space="preserve">, </w:t>
      </w:r>
      <w:r w:rsidR="00FB0520" w:rsidRPr="00DE4629">
        <w:t>158–</w:t>
      </w:r>
      <w:r w:rsidR="00751BBC" w:rsidRPr="00DE4629">
        <w:t xml:space="preserve">160 [although deeds conveying “a large number of lots” </w:t>
      </w:r>
      <w:r w:rsidR="00F9490A" w:rsidRPr="00DE4629">
        <w:t xml:space="preserve">depicted on </w:t>
      </w:r>
      <w:r w:rsidR="00723097" w:rsidRPr="00DE4629">
        <w:t xml:space="preserve">subdivision </w:t>
      </w:r>
      <w:r w:rsidR="00F9490A" w:rsidRPr="00DE4629">
        <w:t xml:space="preserve">map </w:t>
      </w:r>
      <w:r w:rsidR="00751BBC" w:rsidRPr="00DE4629">
        <w:t>contained use restrictions, the</w:t>
      </w:r>
      <w:r w:rsidR="00F9490A" w:rsidRPr="00DE4629">
        <w:t xml:space="preserve">se restrictions </w:t>
      </w:r>
      <w:r w:rsidR="00751BBC" w:rsidRPr="00DE4629">
        <w:t>could not</w:t>
      </w:r>
      <w:r w:rsidR="00723097" w:rsidRPr="00DE4629">
        <w:t>,</w:t>
      </w:r>
      <w:r w:rsidR="00751BBC" w:rsidRPr="00DE4629">
        <w:t xml:space="preserve"> under the rule of </w:t>
      </w:r>
      <w:r w:rsidR="00751BBC" w:rsidRPr="00DE4629">
        <w:rPr>
          <w:i/>
          <w:iCs/>
        </w:rPr>
        <w:t>W</w:t>
      </w:r>
      <w:r w:rsidR="00CE4DA6" w:rsidRPr="00DE4629">
        <w:rPr>
          <w:i/>
          <w:iCs/>
        </w:rPr>
        <w:t>e</w:t>
      </w:r>
      <w:r w:rsidR="00751BBC" w:rsidRPr="00DE4629">
        <w:rPr>
          <w:i/>
          <w:iCs/>
        </w:rPr>
        <w:t>rner v. Graham</w:t>
      </w:r>
      <w:r w:rsidR="00723097" w:rsidRPr="00DE4629">
        <w:rPr>
          <w:i/>
          <w:iCs/>
        </w:rPr>
        <w:t>,</w:t>
      </w:r>
      <w:r w:rsidR="00751BBC" w:rsidRPr="00DE4629">
        <w:t xml:space="preserve"> be enforced by and against subsequent grantees]; </w:t>
      </w:r>
      <w:r w:rsidR="00946616" w:rsidRPr="00DE4629">
        <w:rPr>
          <w:i/>
          <w:iCs/>
        </w:rPr>
        <w:t>W</w:t>
      </w:r>
      <w:r w:rsidR="00CE4DA6" w:rsidRPr="00DE4629">
        <w:rPr>
          <w:i/>
          <w:iCs/>
        </w:rPr>
        <w:t>e</w:t>
      </w:r>
      <w:r w:rsidR="00946616" w:rsidRPr="00DE4629">
        <w:rPr>
          <w:i/>
          <w:iCs/>
        </w:rPr>
        <w:t xml:space="preserve">rner v. Graham </w:t>
      </w:r>
      <w:r w:rsidR="00946616" w:rsidRPr="00DE4629">
        <w:t>(1919) 181 Cal. 174, 177,</w:t>
      </w:r>
      <w:r w:rsidR="003F52CE" w:rsidRPr="00DE4629">
        <w:t xml:space="preserve"> 181, 184</w:t>
      </w:r>
      <w:r w:rsidR="00F666E1" w:rsidRPr="00DE4629">
        <w:t>–</w:t>
      </w:r>
      <w:r w:rsidR="003F52CE" w:rsidRPr="00DE4629">
        <w:t>185</w:t>
      </w:r>
      <w:r w:rsidR="00946616" w:rsidRPr="00DE4629">
        <w:t xml:space="preserve"> [</w:t>
      </w:r>
      <w:r w:rsidR="003F52CE" w:rsidRPr="00DE4629">
        <w:t xml:space="preserve">although 1905 </w:t>
      </w:r>
      <w:r w:rsidR="00946616" w:rsidRPr="00DE4629">
        <w:t>deeds conveying 116 of 132 lots shown on tract map restrict</w:t>
      </w:r>
      <w:r w:rsidR="003F52CE" w:rsidRPr="00DE4629">
        <w:t xml:space="preserve">ed uses, deed </w:t>
      </w:r>
      <w:r w:rsidR="005C6AE6" w:rsidRPr="00DE4629">
        <w:t xml:space="preserve">conveying </w:t>
      </w:r>
      <w:r w:rsidR="003F52CE" w:rsidRPr="00DE4629">
        <w:t xml:space="preserve">another one of the </w:t>
      </w:r>
      <w:r w:rsidR="003F52CE" w:rsidRPr="00DE4629">
        <w:lastRenderedPageBreak/>
        <w:t>lots did not and grantee’s use of that property was not restricted];</w:t>
      </w:r>
      <w:r w:rsidR="00751BBC" w:rsidRPr="00DE4629">
        <w:t xml:space="preserve"> </w:t>
      </w:r>
      <w:r w:rsidR="00751BBC" w:rsidRPr="00DE4629">
        <w:rPr>
          <w:i/>
          <w:iCs/>
        </w:rPr>
        <w:t xml:space="preserve">Farquharson v. </w:t>
      </w:r>
      <w:proofErr w:type="spellStart"/>
      <w:r w:rsidR="00751BBC" w:rsidRPr="00DE4629">
        <w:rPr>
          <w:i/>
          <w:iCs/>
        </w:rPr>
        <w:t>Scoble</w:t>
      </w:r>
      <w:proofErr w:type="spellEnd"/>
      <w:r w:rsidR="00751BBC" w:rsidRPr="00DE4629">
        <w:rPr>
          <w:i/>
          <w:iCs/>
        </w:rPr>
        <w:t xml:space="preserve"> </w:t>
      </w:r>
      <w:r w:rsidR="00751BBC" w:rsidRPr="00DE4629">
        <w:t xml:space="preserve">(1918) 38 </w:t>
      </w:r>
      <w:proofErr w:type="spellStart"/>
      <w:r w:rsidR="00751BBC" w:rsidRPr="00DE4629">
        <w:t>Cal.App</w:t>
      </w:r>
      <w:proofErr w:type="spellEnd"/>
      <w:r w:rsidR="00751BBC" w:rsidRPr="00DE4629">
        <w:t xml:space="preserve">. 680, 682 [rejecting </w:t>
      </w:r>
      <w:r w:rsidR="00BD2CC7" w:rsidRPr="00DE4629">
        <w:t>claim that where “the owner of a tract of land has laid it out and offered it for sale under general plan, he has no right to change or modify such plan, either by subdivision of the tract into smaller lots than originally laid out, or by releasing the unsold portion from restrictive covenants imposed on the sold portion”].)</w:t>
      </w:r>
      <w:r w:rsidR="000D6D3B" w:rsidRPr="00DE4629">
        <w:t xml:space="preserve">  </w:t>
      </w:r>
    </w:p>
    <w:p w14:paraId="2C8F5959" w14:textId="29791E37" w:rsidR="00AB466B" w:rsidRPr="00DE4629" w:rsidRDefault="00CA5748" w:rsidP="00EC073F">
      <w:pPr>
        <w:spacing w:line="360" w:lineRule="auto"/>
      </w:pPr>
      <w:r w:rsidRPr="00DE4629">
        <w:tab/>
      </w:r>
      <w:r w:rsidR="00BD2CC7" w:rsidRPr="00DE4629">
        <w:t xml:space="preserve">Accordingly, </w:t>
      </w:r>
      <w:r w:rsidR="00723097" w:rsidRPr="00DE4629">
        <w:t xml:space="preserve">that </w:t>
      </w:r>
      <w:r w:rsidRPr="00DE4629">
        <w:t>commencing in 1885</w:t>
      </w:r>
      <w:r w:rsidR="00BD2CC7" w:rsidRPr="00DE4629">
        <w:t xml:space="preserve"> grantor</w:t>
      </w:r>
      <w:r w:rsidRPr="00DE4629">
        <w:t>s</w:t>
      </w:r>
      <w:r w:rsidR="00BD2CC7" w:rsidRPr="00DE4629">
        <w:t xml:space="preserve"> </w:t>
      </w:r>
      <w:r w:rsidR="00BD2CC7" w:rsidRPr="00DE4629">
        <w:rPr>
          <w:i/>
          <w:iCs/>
        </w:rPr>
        <w:t>chose</w:t>
      </w:r>
      <w:r w:rsidR="00BD2CC7" w:rsidRPr="00DE4629">
        <w:t xml:space="preserve"> to convey </w:t>
      </w:r>
      <w:r w:rsidRPr="00DE4629">
        <w:t>the property a</w:t>
      </w:r>
      <w:r w:rsidR="00723097" w:rsidRPr="00DE4629">
        <w:t>s four separately identified lots</w:t>
      </w:r>
      <w:r w:rsidR="000D6D3B" w:rsidRPr="00DE4629">
        <w:t>, rather than</w:t>
      </w:r>
      <w:r w:rsidRPr="00DE4629">
        <w:t>, for example,</w:t>
      </w:r>
      <w:r w:rsidR="000D6D3B" w:rsidRPr="00DE4629">
        <w:t xml:space="preserve"> a single lot described by a </w:t>
      </w:r>
      <w:proofErr w:type="gramStart"/>
      <w:r w:rsidR="000D6D3B" w:rsidRPr="00DE4629">
        <w:t>general metes</w:t>
      </w:r>
      <w:proofErr w:type="gramEnd"/>
      <w:r w:rsidR="000D6D3B" w:rsidRPr="00DE4629">
        <w:t xml:space="preserve"> and bounds description, </w:t>
      </w:r>
      <w:r w:rsidR="00723097" w:rsidRPr="00DE4629">
        <w:t>ha</w:t>
      </w:r>
      <w:r w:rsidR="000D6D3B" w:rsidRPr="00DE4629">
        <w:t>d</w:t>
      </w:r>
      <w:r w:rsidR="002D7EF3" w:rsidRPr="00DE4629">
        <w:t xml:space="preserve">, </w:t>
      </w:r>
      <w:r w:rsidR="002D7EF3" w:rsidRPr="00DE4629">
        <w:rPr>
          <w:i/>
          <w:iCs/>
        </w:rPr>
        <w:t>at the time</w:t>
      </w:r>
      <w:r w:rsidR="002D7EF3" w:rsidRPr="00DE4629">
        <w:t>,</w:t>
      </w:r>
      <w:r w:rsidR="00723097" w:rsidRPr="00DE4629">
        <w:t xml:space="preserve"> </w:t>
      </w:r>
      <w:r w:rsidR="000D6D3B" w:rsidRPr="00DE4629">
        <w:t xml:space="preserve">legal </w:t>
      </w:r>
      <w:r w:rsidRPr="00DE4629">
        <w:t>significance.</w:t>
      </w:r>
      <w:r w:rsidR="000D6D3B" w:rsidRPr="00DE4629">
        <w:t xml:space="preserve">  </w:t>
      </w:r>
    </w:p>
    <w:p w14:paraId="2F58713B" w14:textId="0D00E1CC" w:rsidR="00070794" w:rsidRPr="00DE4629" w:rsidRDefault="00CA5748" w:rsidP="00830B18">
      <w:pPr>
        <w:spacing w:line="360" w:lineRule="auto"/>
      </w:pPr>
      <w:r w:rsidRPr="00DE4629">
        <w:tab/>
      </w:r>
      <w:r w:rsidR="00474542" w:rsidRPr="00DE4629">
        <w:t>Moreover, n</w:t>
      </w:r>
      <w:r w:rsidR="002D7EF3" w:rsidRPr="00DE4629">
        <w:t xml:space="preserve">o </w:t>
      </w:r>
      <w:r w:rsidRPr="00DE4629">
        <w:t>case</w:t>
      </w:r>
      <w:r w:rsidR="002D7EF3" w:rsidRPr="00DE4629">
        <w:t>, early or recent,</w:t>
      </w:r>
      <w:r w:rsidRPr="00DE4629">
        <w:t xml:space="preserve"> holds the fewer-than-five presumption of legality </w:t>
      </w:r>
      <w:r w:rsidR="008E6700" w:rsidRPr="00DE4629">
        <w:t>set forth in section 66412.6</w:t>
      </w:r>
      <w:r w:rsidR="002D7EF3" w:rsidRPr="00DE4629">
        <w:t>, subdivision (a)</w:t>
      </w:r>
      <w:r w:rsidR="008E6700" w:rsidRPr="00DE4629">
        <w:t xml:space="preserve"> </w:t>
      </w:r>
      <w:r w:rsidR="002D7EF3" w:rsidRPr="00DE4629">
        <w:t>cannot</w:t>
      </w:r>
      <w:r w:rsidRPr="00DE4629">
        <w:t xml:space="preserve"> apply in the </w:t>
      </w:r>
      <w:proofErr w:type="gramStart"/>
      <w:r w:rsidR="00723097" w:rsidRPr="00DE4629">
        <w:t xml:space="preserve">particular </w:t>
      </w:r>
      <w:r w:rsidRPr="00DE4629">
        <w:t>circumstances</w:t>
      </w:r>
      <w:proofErr w:type="gramEnd"/>
      <w:r w:rsidRPr="00DE4629">
        <w:t xml:space="preserve"> presented </w:t>
      </w:r>
      <w:r w:rsidR="002D7EF3" w:rsidRPr="00DE4629">
        <w:t>by this case.</w:t>
      </w:r>
      <w:r w:rsidRPr="00DE4629">
        <w:t xml:space="preserve">  </w:t>
      </w:r>
      <w:r w:rsidR="00946139" w:rsidRPr="00DE4629">
        <w:t xml:space="preserve">While </w:t>
      </w:r>
      <w:r w:rsidR="00946139" w:rsidRPr="00DE4629">
        <w:rPr>
          <w:i/>
          <w:iCs/>
        </w:rPr>
        <w:t>Fish</w:t>
      </w:r>
      <w:r w:rsidR="00580B67" w:rsidRPr="00DE4629">
        <w:rPr>
          <w:i/>
          <w:iCs/>
        </w:rPr>
        <w:t>back</w:t>
      </w:r>
      <w:r w:rsidR="002D7EF3" w:rsidRPr="00DE4629">
        <w:rPr>
          <w:i/>
          <w:iCs/>
        </w:rPr>
        <w:t xml:space="preserve">, </w:t>
      </w:r>
      <w:r w:rsidRPr="00DE4629">
        <w:t xml:space="preserve">on first reading, </w:t>
      </w:r>
      <w:r w:rsidR="002D7EF3" w:rsidRPr="00DE4629">
        <w:t xml:space="preserve">may appear to </w:t>
      </w:r>
      <w:r w:rsidR="00946139" w:rsidRPr="00DE4629">
        <w:t xml:space="preserve">bear </w:t>
      </w:r>
      <w:r w:rsidR="00474542" w:rsidRPr="00DE4629">
        <w:t xml:space="preserve">some </w:t>
      </w:r>
      <w:r w:rsidR="00946139" w:rsidRPr="00DE4629">
        <w:t>similarity</w:t>
      </w:r>
      <w:r w:rsidR="008E6700" w:rsidRPr="00DE4629">
        <w:t xml:space="preserve"> to the </w:t>
      </w:r>
      <w:r w:rsidR="002D7EF3" w:rsidRPr="00DE4629">
        <w:t xml:space="preserve">case at hand, </w:t>
      </w:r>
      <w:r w:rsidR="00946139" w:rsidRPr="00DE4629">
        <w:t xml:space="preserve">in fact, its differences are significant.  </w:t>
      </w:r>
      <w:r w:rsidRPr="00DE4629">
        <w:t xml:space="preserve">As we have discussed, </w:t>
      </w:r>
      <w:r w:rsidR="008E6700" w:rsidRPr="00DE4629">
        <w:t xml:space="preserve">in </w:t>
      </w:r>
      <w:r w:rsidRPr="00DE4629">
        <w:t>t</w:t>
      </w:r>
      <w:r w:rsidR="0076591A" w:rsidRPr="00DE4629">
        <w:t xml:space="preserve">hat case </w:t>
      </w:r>
      <w:r w:rsidR="00580B67" w:rsidRPr="00DE4629">
        <w:t xml:space="preserve">a </w:t>
      </w:r>
      <w:r w:rsidR="0076591A" w:rsidRPr="00DE4629">
        <w:t xml:space="preserve">1940 </w:t>
      </w:r>
      <w:r w:rsidR="00580B67" w:rsidRPr="00DE4629">
        <w:t xml:space="preserve">survey </w:t>
      </w:r>
      <w:r w:rsidR="0076591A" w:rsidRPr="00DE4629">
        <w:t xml:space="preserve">purportedly subdivided the </w:t>
      </w:r>
      <w:r w:rsidR="00AD7C2E" w:rsidRPr="00DE4629">
        <w:t xml:space="preserve">parent </w:t>
      </w:r>
      <w:r w:rsidR="0076591A" w:rsidRPr="00DE4629">
        <w:t xml:space="preserve">property into </w:t>
      </w:r>
      <w:proofErr w:type="gramStart"/>
      <w:r w:rsidR="008E6700" w:rsidRPr="00DE4629">
        <w:t xml:space="preserve">a number </w:t>
      </w:r>
      <w:r w:rsidR="00D9448F">
        <w:t>of</w:t>
      </w:r>
      <w:proofErr w:type="gramEnd"/>
      <w:r w:rsidR="00D9448F">
        <w:t xml:space="preserve"> </w:t>
      </w:r>
      <w:r w:rsidR="00580B67" w:rsidRPr="00DE4629">
        <w:t>parcels</w:t>
      </w:r>
      <w:r w:rsidR="0076591A" w:rsidRPr="00DE4629">
        <w:t xml:space="preserve">, </w:t>
      </w:r>
      <w:r w:rsidR="00D678BD">
        <w:t>10</w:t>
      </w:r>
      <w:r w:rsidR="0076591A" w:rsidRPr="00DE4629">
        <w:t xml:space="preserve"> of which were conveyed, breaking </w:t>
      </w:r>
      <w:r w:rsidR="00CE4DA6" w:rsidRPr="00DE4629">
        <w:t>“</w:t>
      </w:r>
      <w:r w:rsidR="0076591A" w:rsidRPr="00DE4629">
        <w:t xml:space="preserve">up the parent parcel so as to create 14 parcels, including </w:t>
      </w:r>
      <w:r w:rsidR="00CE4DA6" w:rsidRPr="00DE4629">
        <w:t>four</w:t>
      </w:r>
      <w:r w:rsidR="0076591A" w:rsidRPr="00DE4629">
        <w:t xml:space="preserve"> parcels left in possession of</w:t>
      </w:r>
      <w:r w:rsidR="00CE4DA6" w:rsidRPr="00DE4629">
        <w:t>”</w:t>
      </w:r>
      <w:r w:rsidR="0076591A" w:rsidRPr="00DE4629">
        <w:t xml:space="preserve"> the original owner.  (</w:t>
      </w:r>
      <w:r w:rsidR="0076591A" w:rsidRPr="00DE4629">
        <w:rPr>
          <w:i/>
          <w:iCs/>
        </w:rPr>
        <w:t xml:space="preserve">Fishback, supra, </w:t>
      </w:r>
      <w:r w:rsidR="0007451F" w:rsidRPr="00DE4629">
        <w:t xml:space="preserve">133 Cal.App.4th </w:t>
      </w:r>
      <w:r w:rsidR="0076591A" w:rsidRPr="00DE4629">
        <w:t xml:space="preserve">at p. 902.)  </w:t>
      </w:r>
      <w:r w:rsidR="00C830B1" w:rsidRPr="00DE4629">
        <w:t>Thus, the court stated the question before it as follows:</w:t>
      </w:r>
      <w:r w:rsidRPr="00DE4629">
        <w:t xml:space="preserve"> </w:t>
      </w:r>
      <w:r w:rsidR="003402A4" w:rsidRPr="00DE4629">
        <w:t>“</w:t>
      </w:r>
      <w:r w:rsidR="0007451F" w:rsidRPr="00DE4629">
        <w:t>W</w:t>
      </w:r>
      <w:r w:rsidR="003402A4" w:rsidRPr="00DE4629">
        <w:t xml:space="preserve">hat is a legal subdivision according to the </w:t>
      </w:r>
      <w:r w:rsidR="00B5423D" w:rsidRPr="00DE4629">
        <w:t>S</w:t>
      </w:r>
      <w:r w:rsidR="003402A4" w:rsidRPr="00DE4629">
        <w:t>ubdivision Map Act (</w:t>
      </w:r>
      <w:proofErr w:type="spellStart"/>
      <w:r w:rsidR="003402A4" w:rsidRPr="00DE4629">
        <w:t>SMA</w:t>
      </w:r>
      <w:proofErr w:type="spellEnd"/>
      <w:r w:rsidR="003402A4" w:rsidRPr="00DE4629">
        <w:t>) as it existed in the 1930’s and 1940’s</w:t>
      </w:r>
      <w:r w:rsidR="00C830B1" w:rsidRPr="00DE4629">
        <w:t>.</w:t>
      </w:r>
      <w:r w:rsidR="003402A4" w:rsidRPr="00DE4629">
        <w:t>”</w:t>
      </w:r>
      <w:r w:rsidR="0007451F" w:rsidRPr="00DE4629">
        <w:t xml:space="preserve">  (</w:t>
      </w:r>
      <w:r w:rsidR="0007451F" w:rsidRPr="00DE4629">
        <w:rPr>
          <w:i/>
          <w:iCs/>
        </w:rPr>
        <w:t xml:space="preserve">Id. </w:t>
      </w:r>
      <w:r w:rsidR="0007451F" w:rsidRPr="00DE4629">
        <w:t>at p.</w:t>
      </w:r>
      <w:r w:rsidR="00F666E1" w:rsidRPr="00DE4629">
        <w:t> </w:t>
      </w:r>
      <w:r w:rsidR="0007451F" w:rsidRPr="00DE4629">
        <w:t xml:space="preserve">899.)  That, of course, is not remotely the question before us.  As the court went on to explain, </w:t>
      </w:r>
      <w:r w:rsidRPr="00DE4629">
        <w:t xml:space="preserve">in 1940 </w:t>
      </w:r>
      <w:r w:rsidR="0076591A" w:rsidRPr="00DE4629">
        <w:t>the Subdivision Map Act</w:t>
      </w:r>
      <w:r w:rsidRPr="00DE4629">
        <w:t>’s map</w:t>
      </w:r>
      <w:r w:rsidR="008E6700" w:rsidRPr="00DE4629">
        <w:t>ping</w:t>
      </w:r>
      <w:r w:rsidRPr="00DE4629">
        <w:t xml:space="preserve"> requirements</w:t>
      </w:r>
      <w:r w:rsidR="0076591A" w:rsidRPr="00DE4629">
        <w:t xml:space="preserve"> </w:t>
      </w:r>
      <w:r w:rsidR="0007451F" w:rsidRPr="00DE4629">
        <w:t xml:space="preserve">applied to </w:t>
      </w:r>
      <w:r w:rsidR="003402A4" w:rsidRPr="00DE4629">
        <w:t>subdivision</w:t>
      </w:r>
      <w:r w:rsidR="008E6700" w:rsidRPr="00DE4629">
        <w:t xml:space="preserve">s of </w:t>
      </w:r>
      <w:r w:rsidR="003402A4" w:rsidRPr="00DE4629">
        <w:t>five or more parcels</w:t>
      </w:r>
      <w:r w:rsidR="00AD7C2E" w:rsidRPr="00DE4629">
        <w:t xml:space="preserve"> and th</w:t>
      </w:r>
      <w:r w:rsidR="00C830B1" w:rsidRPr="00DE4629">
        <w:t xml:space="preserve">erefore </w:t>
      </w:r>
      <w:r w:rsidR="00AD7C2E" w:rsidRPr="00DE4629">
        <w:t>applied to the subdivision of the parent parcel</w:t>
      </w:r>
      <w:r w:rsidRPr="00DE4629">
        <w:t xml:space="preserve"> into 14 parcels.</w:t>
      </w:r>
      <w:r w:rsidR="003402A4" w:rsidRPr="00DE4629">
        <w:t xml:space="preserve">  (</w:t>
      </w:r>
      <w:r w:rsidR="003402A4" w:rsidRPr="00DE4629">
        <w:rPr>
          <w:i/>
          <w:iCs/>
        </w:rPr>
        <w:t xml:space="preserve">Id. </w:t>
      </w:r>
      <w:r w:rsidR="003402A4" w:rsidRPr="00DE4629">
        <w:t>at p. 902</w:t>
      </w:r>
      <w:r w:rsidR="00AD7C2E" w:rsidRPr="00DE4629">
        <w:t xml:space="preserve">.)  Since the owner had not complied with the Act, the </w:t>
      </w:r>
      <w:r w:rsidR="008E6700" w:rsidRPr="00DE4629">
        <w:t xml:space="preserve">parcels were </w:t>
      </w:r>
      <w:r w:rsidR="00AD7C2E" w:rsidRPr="00DE4629">
        <w:t>illegal.</w:t>
      </w:r>
      <w:r w:rsidR="00ED3521" w:rsidRPr="00DE4629">
        <w:t xml:space="preserve">  </w:t>
      </w:r>
      <w:r w:rsidRPr="00DE4629">
        <w:t>(</w:t>
      </w:r>
      <w:r w:rsidRPr="00DE4629">
        <w:rPr>
          <w:i/>
          <w:iCs/>
        </w:rPr>
        <w:t>Ibid.</w:t>
      </w:r>
      <w:r w:rsidRPr="00DE4629">
        <w:t xml:space="preserve">)  </w:t>
      </w:r>
      <w:r w:rsidR="00AD7C2E" w:rsidRPr="00DE4629">
        <w:t xml:space="preserve">The </w:t>
      </w:r>
      <w:r w:rsidR="00AD7C2E" w:rsidRPr="00DE4629">
        <w:lastRenderedPageBreak/>
        <w:t xml:space="preserve">court went on to hold that these illegal </w:t>
      </w:r>
      <w:r w:rsidR="00B21161" w:rsidRPr="00DE4629">
        <w:t>parcels</w:t>
      </w:r>
      <w:r w:rsidR="00AD7C2E" w:rsidRPr="00DE4629">
        <w:t xml:space="preserve"> could not</w:t>
      </w:r>
      <w:r w:rsidR="00B21161" w:rsidRPr="00DE4629">
        <w:t xml:space="preserve">, in turn, </w:t>
      </w:r>
      <w:r w:rsidR="00AD7C2E" w:rsidRPr="00DE4629">
        <w:t xml:space="preserve">be subdivided into fewer than five parcels and thereby </w:t>
      </w:r>
      <w:r w:rsidRPr="00DE4629">
        <w:t xml:space="preserve">yield </w:t>
      </w:r>
      <w:r w:rsidR="00AD7C2E" w:rsidRPr="00DE4629">
        <w:t>presumptively legal parcels under section 66412.6.  (</w:t>
      </w:r>
      <w:r w:rsidR="00F666E1" w:rsidRPr="00DE4629">
        <w:rPr>
          <w:i/>
          <w:iCs/>
        </w:rPr>
        <w:t>Fishback,</w:t>
      </w:r>
      <w:r w:rsidR="00AD7C2E" w:rsidRPr="00DE4629">
        <w:rPr>
          <w:i/>
          <w:iCs/>
        </w:rPr>
        <w:t xml:space="preserve"> </w:t>
      </w:r>
      <w:r w:rsidR="00AD7C2E" w:rsidRPr="00DE4629">
        <w:t xml:space="preserve">at pp. </w:t>
      </w:r>
      <w:r w:rsidR="00ED3521" w:rsidRPr="00DE4629">
        <w:t>904</w:t>
      </w:r>
      <w:r w:rsidR="00F666E1" w:rsidRPr="00DE4629">
        <w:t>–</w:t>
      </w:r>
      <w:r w:rsidR="00ED3521" w:rsidRPr="00DE4629">
        <w:t xml:space="preserve">905.) </w:t>
      </w:r>
    </w:p>
    <w:p w14:paraId="63648793" w14:textId="1CC2C3D5" w:rsidR="006C7CB1" w:rsidRPr="00DE4629" w:rsidRDefault="00CA5748" w:rsidP="00830B18">
      <w:pPr>
        <w:spacing w:line="360" w:lineRule="auto"/>
      </w:pPr>
      <w:r w:rsidRPr="00DE4629">
        <w:tab/>
      </w:r>
      <w:r w:rsidR="00ED3521" w:rsidRPr="00DE4629">
        <w:t xml:space="preserve">Here, in contrast, </w:t>
      </w:r>
      <w:r w:rsidR="00B5423D" w:rsidRPr="00DE4629">
        <w:t>l</w:t>
      </w:r>
      <w:r w:rsidR="00ED3521" w:rsidRPr="00DE4629">
        <w:t>ot 18 does not have its genesis in an illegal subdivision.</w:t>
      </w:r>
      <w:r w:rsidRPr="00DE4629">
        <w:t xml:space="preserve">  </w:t>
      </w:r>
      <w:r w:rsidR="00C830B1" w:rsidRPr="00DE4629">
        <w:t>T</w:t>
      </w:r>
      <w:r w:rsidRPr="00DE4629">
        <w:t>he city insists to the contrary</w:t>
      </w:r>
      <w:r w:rsidR="00B01EAE" w:rsidRPr="00DE4629">
        <w:t>,</w:t>
      </w:r>
      <w:r w:rsidR="00B21161" w:rsidRPr="00DE4629">
        <w:t xml:space="preserve"> </w:t>
      </w:r>
      <w:r w:rsidRPr="00DE4629">
        <w:t>citing</w:t>
      </w:r>
      <w:r w:rsidR="00C830B1" w:rsidRPr="00DE4629">
        <w:t xml:space="preserve"> to</w:t>
      </w:r>
      <w:r w:rsidR="00B21161" w:rsidRPr="00DE4629">
        <w:t xml:space="preserve"> </w:t>
      </w:r>
      <w:r w:rsidRPr="00DE4629">
        <w:rPr>
          <w:i/>
          <w:iCs/>
        </w:rPr>
        <w:t>Gardner</w:t>
      </w:r>
      <w:r w:rsidR="00C830B1" w:rsidRPr="00DE4629">
        <w:rPr>
          <w:i/>
          <w:iCs/>
        </w:rPr>
        <w:t xml:space="preserve">.  </w:t>
      </w:r>
      <w:r w:rsidR="00C830B1" w:rsidRPr="00DE4629">
        <w:t>But, as we have discussed,</w:t>
      </w:r>
      <w:r w:rsidR="00B21161" w:rsidRPr="00DE4629">
        <w:rPr>
          <w:i/>
          <w:iCs/>
        </w:rPr>
        <w:t xml:space="preserve"> </w:t>
      </w:r>
      <w:r w:rsidR="00611D22" w:rsidRPr="00DE4629">
        <w:rPr>
          <w:i/>
          <w:iCs/>
        </w:rPr>
        <w:t>Gardner</w:t>
      </w:r>
      <w:r w:rsidR="00B01EAE" w:rsidRPr="00DE4629">
        <w:rPr>
          <w:i/>
          <w:iCs/>
        </w:rPr>
        <w:t xml:space="preserve"> </w:t>
      </w:r>
      <w:r w:rsidR="00B21161" w:rsidRPr="00DE4629">
        <w:t xml:space="preserve">does not </w:t>
      </w:r>
      <w:r w:rsidR="00611D22" w:rsidRPr="00DE4629">
        <w:t xml:space="preserve">impose the </w:t>
      </w:r>
      <w:r w:rsidR="00B01EAE" w:rsidRPr="00DE4629">
        <w:t>one</w:t>
      </w:r>
      <w:r w:rsidR="00611D22" w:rsidRPr="00DE4629">
        <w:rPr>
          <w:rFonts w:cs="Arial"/>
          <w:color w:val="000000"/>
          <w:shd w:val="clear" w:color="auto" w:fill="FFFFFF"/>
        </w:rPr>
        <w:t>-lot-only constraint on convey</w:t>
      </w:r>
      <w:r w:rsidR="00C830B1" w:rsidRPr="00DE4629">
        <w:rPr>
          <w:rFonts w:cs="Arial"/>
          <w:color w:val="000000"/>
          <w:shd w:val="clear" w:color="auto" w:fill="FFFFFF"/>
        </w:rPr>
        <w:t>ing</w:t>
      </w:r>
      <w:r w:rsidR="00B01EAE" w:rsidRPr="00DE4629">
        <w:rPr>
          <w:rFonts w:cs="Arial"/>
          <w:color w:val="000000"/>
          <w:shd w:val="clear" w:color="auto" w:fill="FFFFFF"/>
        </w:rPr>
        <w:t xml:space="preserve"> </w:t>
      </w:r>
      <w:r w:rsidR="00B01EAE" w:rsidRPr="00DE4629">
        <w:t xml:space="preserve">subdivided property </w:t>
      </w:r>
      <w:r w:rsidR="00611D22" w:rsidRPr="00DE4629">
        <w:t>the city claims it does.</w:t>
      </w:r>
      <w:r w:rsidR="002A0729" w:rsidRPr="00DE4629">
        <w:t xml:space="preserve">  </w:t>
      </w:r>
      <w:r w:rsidR="00A92985" w:rsidRPr="00DE4629">
        <w:t xml:space="preserve">Not only did the high court address a different set of facts, but </w:t>
      </w:r>
      <w:r w:rsidR="002A0729" w:rsidRPr="00DE4629">
        <w:t xml:space="preserve">such a reading of </w:t>
      </w:r>
      <w:r w:rsidR="002A0729" w:rsidRPr="00DE4629">
        <w:rPr>
          <w:i/>
          <w:iCs/>
        </w:rPr>
        <w:t xml:space="preserve">Gardner </w:t>
      </w:r>
      <w:r w:rsidR="002A0729" w:rsidRPr="00DE4629">
        <w:t xml:space="preserve">is at odds with the </w:t>
      </w:r>
      <w:r w:rsidR="00C830B1" w:rsidRPr="00DE4629">
        <w:t xml:space="preserve">board </w:t>
      </w:r>
      <w:r w:rsidR="002A0729" w:rsidRPr="00DE4629">
        <w:t>finding</w:t>
      </w:r>
      <w:r w:rsidR="00C830B1" w:rsidRPr="00DE4629">
        <w:t>s</w:t>
      </w:r>
      <w:r w:rsidR="002A0729" w:rsidRPr="00DE4629">
        <w:t xml:space="preserve"> </w:t>
      </w:r>
      <w:r w:rsidR="00474542" w:rsidRPr="00DE4629">
        <w:t xml:space="preserve">underpinning </w:t>
      </w:r>
      <w:r w:rsidR="002A0729" w:rsidRPr="00DE4629">
        <w:t xml:space="preserve">the court’s </w:t>
      </w:r>
      <w:r w:rsidR="00474542" w:rsidRPr="00DE4629">
        <w:t xml:space="preserve">analysis.  </w:t>
      </w:r>
      <w:r w:rsidR="00C830B1" w:rsidRPr="00DE4629">
        <w:t xml:space="preserve">It also cannot be squared </w:t>
      </w:r>
      <w:r w:rsidR="002A0729" w:rsidRPr="00DE4629">
        <w:t xml:space="preserve">with decisions </w:t>
      </w:r>
      <w:r w:rsidR="00A90771" w:rsidRPr="00DE4629">
        <w:t xml:space="preserve">of </w:t>
      </w:r>
      <w:r w:rsidR="002A0729" w:rsidRPr="00DE4629">
        <w:t xml:space="preserve">the </w:t>
      </w:r>
      <w:r w:rsidR="00474542" w:rsidRPr="00DE4629">
        <w:t xml:space="preserve">high </w:t>
      </w:r>
      <w:r w:rsidR="002A0729" w:rsidRPr="00DE4629">
        <w:t xml:space="preserve">court during the </w:t>
      </w:r>
      <w:proofErr w:type="gramStart"/>
      <w:r w:rsidR="002A0729" w:rsidRPr="00DE4629">
        <w:t>time period</w:t>
      </w:r>
      <w:proofErr w:type="gramEnd"/>
      <w:r w:rsidR="002A0729" w:rsidRPr="00DE4629">
        <w:t xml:space="preserve"> </w:t>
      </w:r>
      <w:r w:rsidR="00C830B1" w:rsidRPr="00DE4629">
        <w:t>relevant here</w:t>
      </w:r>
      <w:r w:rsidR="00387283" w:rsidRPr="00DE4629">
        <w:t xml:space="preserve"> </w:t>
      </w:r>
      <w:r w:rsidR="00A92985" w:rsidRPr="00DE4629">
        <w:t>that</w:t>
      </w:r>
      <w:r w:rsidR="00387283" w:rsidRPr="00DE4629">
        <w:t xml:space="preserve">, </w:t>
      </w:r>
      <w:r w:rsidR="002A0729" w:rsidRPr="00DE4629">
        <w:t xml:space="preserve">unlike </w:t>
      </w:r>
      <w:r w:rsidR="002A0729" w:rsidRPr="00DE4629">
        <w:rPr>
          <w:i/>
          <w:iCs/>
        </w:rPr>
        <w:t>Gardner</w:t>
      </w:r>
      <w:r w:rsidR="00A90771" w:rsidRPr="00DE4629">
        <w:rPr>
          <w:i/>
          <w:iCs/>
        </w:rPr>
        <w:t>,</w:t>
      </w:r>
      <w:r w:rsidR="002A0729" w:rsidRPr="00DE4629">
        <w:t xml:space="preserve"> </w:t>
      </w:r>
      <w:r w:rsidR="00387283" w:rsidRPr="00DE4629">
        <w:t xml:space="preserve">did </w:t>
      </w:r>
      <w:r w:rsidR="002A0729" w:rsidRPr="00DE4629">
        <w:t>involve deeds conveying multiple</w:t>
      </w:r>
      <w:r w:rsidR="00A90771" w:rsidRPr="00DE4629">
        <w:t>,</w:t>
      </w:r>
      <w:r w:rsidR="002A0729" w:rsidRPr="00DE4629">
        <w:t xml:space="preserve"> separately </w:t>
      </w:r>
      <w:r w:rsidR="00A90771" w:rsidRPr="00DE4629">
        <w:t>identified</w:t>
      </w:r>
      <w:r w:rsidR="002A0729" w:rsidRPr="00DE4629">
        <w:t xml:space="preserve"> lots </w:t>
      </w:r>
      <w:r w:rsidR="00387283" w:rsidRPr="00DE4629">
        <w:t xml:space="preserve">depicted on a subdivision map </w:t>
      </w:r>
      <w:r w:rsidR="002A0729" w:rsidRPr="00DE4629">
        <w:t>and d</w:t>
      </w:r>
      <w:r w:rsidR="00A92985" w:rsidRPr="00DE4629">
        <w:t>o</w:t>
      </w:r>
      <w:r w:rsidR="002A0729" w:rsidRPr="00DE4629">
        <w:t xml:space="preserve"> not remotely suggest th</w:t>
      </w:r>
      <w:r w:rsidR="00474542" w:rsidRPr="00DE4629">
        <w:t>e</w:t>
      </w:r>
      <w:r w:rsidR="002A0729" w:rsidRPr="00DE4629">
        <w:t xml:space="preserve"> lots </w:t>
      </w:r>
      <w:r w:rsidR="00A92985" w:rsidRPr="00DE4629">
        <w:t xml:space="preserve">were not </w:t>
      </w:r>
      <w:r w:rsidR="00387283" w:rsidRPr="00DE4629">
        <w:t>“</w:t>
      </w:r>
      <w:r w:rsidR="002A0729" w:rsidRPr="00DE4629">
        <w:t>legally</w:t>
      </w:r>
      <w:r w:rsidR="00387283" w:rsidRPr="00DE4629">
        <w:t>”</w:t>
      </w:r>
      <w:r w:rsidR="002A0729" w:rsidRPr="00DE4629">
        <w:t xml:space="preserve"> created.</w:t>
      </w:r>
      <w:r w:rsidR="003925D2" w:rsidRPr="00DE4629">
        <w:t xml:space="preserve"> </w:t>
      </w:r>
    </w:p>
    <w:p w14:paraId="06197B91" w14:textId="7C91D018" w:rsidR="00C14F02" w:rsidRPr="00DE4629" w:rsidRDefault="00CA5748" w:rsidP="00830B18">
      <w:pPr>
        <w:spacing w:line="360" w:lineRule="auto"/>
        <w:rPr>
          <w:rFonts w:cs="Arial"/>
          <w:color w:val="000000"/>
          <w:shd w:val="clear" w:color="auto" w:fill="FFFFFF"/>
        </w:rPr>
      </w:pPr>
      <w:r w:rsidRPr="00DE4629">
        <w:tab/>
        <w:t>T</w:t>
      </w:r>
      <w:r w:rsidR="003925D2" w:rsidRPr="00DE4629">
        <w:t xml:space="preserve">he city </w:t>
      </w:r>
      <w:r w:rsidR="00387283" w:rsidRPr="00DE4629">
        <w:t xml:space="preserve">also </w:t>
      </w:r>
      <w:r w:rsidR="003925D2" w:rsidRPr="00DE4629">
        <w:t xml:space="preserve">maintains that </w:t>
      </w:r>
      <w:r w:rsidRPr="00DE4629">
        <w:t>applying the fewer-than-five presumption of legality set forth in section 66412.6</w:t>
      </w:r>
      <w:r w:rsidR="00A90771" w:rsidRPr="00DE4629">
        <w:t>, subdivision (a)</w:t>
      </w:r>
      <w:r w:rsidRPr="00DE4629">
        <w:t xml:space="preserve"> to the circumstances here would “render this provision in direct conflict with” the </w:t>
      </w:r>
      <w:r w:rsidR="00474542" w:rsidRPr="00DE4629">
        <w:t xml:space="preserve">exception to the </w:t>
      </w:r>
      <w:r w:rsidR="00A90771" w:rsidRPr="00DE4629">
        <w:t xml:space="preserve">compliance provision </w:t>
      </w:r>
      <w:r w:rsidRPr="00DE4629">
        <w:t xml:space="preserve">set forth in section 66499.30, subdivision (d).  This assertion is answered by </w:t>
      </w:r>
      <w:r w:rsidRPr="00DE4629">
        <w:rPr>
          <w:i/>
          <w:iCs/>
        </w:rPr>
        <w:t xml:space="preserve">Fishback </w:t>
      </w:r>
      <w:r w:rsidRPr="00DE4629">
        <w:t xml:space="preserve">and </w:t>
      </w:r>
      <w:r w:rsidRPr="00DE4629">
        <w:rPr>
          <w:i/>
          <w:iCs/>
        </w:rPr>
        <w:t>Lakeview</w:t>
      </w:r>
      <w:r w:rsidRPr="00DE4629">
        <w:t xml:space="preserve">—both of which </w:t>
      </w:r>
      <w:r w:rsidRPr="00DE4629">
        <w:rPr>
          <w:rFonts w:cs="Arial"/>
          <w:color w:val="000000"/>
          <w:shd w:val="clear" w:color="auto" w:fill="FFFFFF"/>
        </w:rPr>
        <w:t xml:space="preserve">separately </w:t>
      </w:r>
      <w:r w:rsidR="00792EA5" w:rsidRPr="00DE4629">
        <w:rPr>
          <w:rFonts w:cs="Arial"/>
          <w:color w:val="000000"/>
          <w:shd w:val="clear" w:color="auto" w:fill="FFFFFF"/>
        </w:rPr>
        <w:t xml:space="preserve">discussed </w:t>
      </w:r>
      <w:r w:rsidRPr="00DE4629">
        <w:rPr>
          <w:rFonts w:cs="Arial"/>
          <w:color w:val="000000"/>
          <w:shd w:val="clear" w:color="auto" w:fill="FFFFFF"/>
        </w:rPr>
        <w:t xml:space="preserve">the two sections without any intimation </w:t>
      </w:r>
      <w:r w:rsidR="00F66CDE" w:rsidRPr="00DE4629">
        <w:rPr>
          <w:rFonts w:cs="Arial"/>
          <w:color w:val="000000"/>
          <w:shd w:val="clear" w:color="auto" w:fill="FFFFFF"/>
        </w:rPr>
        <w:t>that, despite their differing language, the</w:t>
      </w:r>
      <w:r w:rsidR="00387283" w:rsidRPr="00DE4629">
        <w:rPr>
          <w:rFonts w:cs="Arial"/>
          <w:color w:val="000000"/>
          <w:shd w:val="clear" w:color="auto" w:fill="FFFFFF"/>
        </w:rPr>
        <w:t xml:space="preserve"> two provisions </w:t>
      </w:r>
      <w:r w:rsidR="00F66CDE" w:rsidRPr="00DE4629">
        <w:rPr>
          <w:rFonts w:cs="Arial"/>
          <w:color w:val="000000"/>
          <w:shd w:val="clear" w:color="auto" w:fill="FFFFFF"/>
        </w:rPr>
        <w:t xml:space="preserve">must be read </w:t>
      </w:r>
      <w:r w:rsidR="00387283" w:rsidRPr="00DE4629">
        <w:rPr>
          <w:rFonts w:cs="Arial"/>
          <w:color w:val="000000"/>
          <w:shd w:val="clear" w:color="auto" w:fill="FFFFFF"/>
        </w:rPr>
        <w:t xml:space="preserve">in lockstep, i.e., </w:t>
      </w:r>
      <w:r w:rsidR="00627C76" w:rsidRPr="00DE4629">
        <w:rPr>
          <w:rFonts w:cs="Arial"/>
          <w:color w:val="000000"/>
          <w:shd w:val="clear" w:color="auto" w:fill="FFFFFF"/>
        </w:rPr>
        <w:t>as essentially redundant</w:t>
      </w:r>
      <w:r w:rsidR="00387283" w:rsidRPr="00DE4629">
        <w:rPr>
          <w:rFonts w:cs="Arial"/>
          <w:color w:val="000000"/>
          <w:shd w:val="clear" w:color="auto" w:fill="FFFFFF"/>
        </w:rPr>
        <w:t xml:space="preserve">, </w:t>
      </w:r>
      <w:r w:rsidR="00F66CDE" w:rsidRPr="00DE4629">
        <w:rPr>
          <w:rFonts w:cs="Arial"/>
          <w:color w:val="000000"/>
          <w:shd w:val="clear" w:color="auto" w:fill="FFFFFF"/>
        </w:rPr>
        <w:t xml:space="preserve">to avoid </w:t>
      </w:r>
      <w:r w:rsidR="00387283" w:rsidRPr="00DE4629">
        <w:rPr>
          <w:rFonts w:cs="Arial"/>
          <w:color w:val="000000"/>
          <w:shd w:val="clear" w:color="auto" w:fill="FFFFFF"/>
        </w:rPr>
        <w:t xml:space="preserve">a </w:t>
      </w:r>
      <w:r w:rsidR="00F66CDE" w:rsidRPr="00DE4629">
        <w:rPr>
          <w:rFonts w:cs="Arial"/>
          <w:color w:val="000000"/>
          <w:shd w:val="clear" w:color="auto" w:fill="FFFFFF"/>
        </w:rPr>
        <w:t>purported conflict.</w:t>
      </w:r>
      <w:r>
        <w:rPr>
          <w:rStyle w:val="FootnoteReference"/>
          <w:rFonts w:cs="Arial"/>
          <w:color w:val="000000"/>
          <w:shd w:val="clear" w:color="auto" w:fill="FFFFFF"/>
        </w:rPr>
        <w:footnoteReference w:id="25"/>
      </w:r>
      <w:r w:rsidR="00F66CDE" w:rsidRPr="00DE4629">
        <w:rPr>
          <w:rFonts w:cs="Arial"/>
          <w:color w:val="000000"/>
          <w:shd w:val="clear" w:color="auto" w:fill="FFFFFF"/>
        </w:rPr>
        <w:t xml:space="preserve">  </w:t>
      </w:r>
      <w:r w:rsidR="00A90771" w:rsidRPr="00DE4629">
        <w:rPr>
          <w:rFonts w:cs="Arial"/>
          <w:color w:val="000000"/>
          <w:shd w:val="clear" w:color="auto" w:fill="FFFFFF"/>
        </w:rPr>
        <w:t>(</w:t>
      </w:r>
      <w:r w:rsidR="00387283" w:rsidRPr="00DE4629">
        <w:rPr>
          <w:rFonts w:cs="Arial"/>
          <w:i/>
          <w:iCs/>
          <w:color w:val="000000"/>
          <w:shd w:val="clear" w:color="auto" w:fill="FFFFFF"/>
        </w:rPr>
        <w:t xml:space="preserve">Fishback, supra, </w:t>
      </w:r>
      <w:r w:rsidR="00387283" w:rsidRPr="00DE4629">
        <w:rPr>
          <w:rFonts w:cs="Arial"/>
          <w:color w:val="000000"/>
          <w:shd w:val="clear" w:color="auto" w:fill="FFFFFF"/>
        </w:rPr>
        <w:t>133</w:t>
      </w:r>
      <w:r w:rsidR="00F666E1" w:rsidRPr="00DE4629">
        <w:rPr>
          <w:rFonts w:cs="Arial"/>
          <w:color w:val="000000"/>
          <w:shd w:val="clear" w:color="auto" w:fill="FFFFFF"/>
        </w:rPr>
        <w:t> </w:t>
      </w:r>
      <w:r w:rsidR="00387283" w:rsidRPr="00DE4629">
        <w:rPr>
          <w:rFonts w:cs="Arial"/>
          <w:color w:val="000000"/>
          <w:shd w:val="clear" w:color="auto" w:fill="FFFFFF"/>
        </w:rPr>
        <w:t xml:space="preserve">Cal.App.4th </w:t>
      </w:r>
      <w:r w:rsidR="00387283" w:rsidRPr="00DE4629">
        <w:rPr>
          <w:rFonts w:cs="Arial"/>
          <w:color w:val="000000"/>
          <w:shd w:val="clear" w:color="auto" w:fill="FFFFFF"/>
        </w:rPr>
        <w:lastRenderedPageBreak/>
        <w:t>at pp. 901</w:t>
      </w:r>
      <w:r w:rsidR="00F666E1" w:rsidRPr="00DE4629">
        <w:rPr>
          <w:rFonts w:cs="Arial"/>
          <w:color w:val="000000"/>
          <w:shd w:val="clear" w:color="auto" w:fill="FFFFFF"/>
        </w:rPr>
        <w:t>–</w:t>
      </w:r>
      <w:r w:rsidR="00DE4629" w:rsidRPr="00DE4629">
        <w:rPr>
          <w:rFonts w:cs="Arial"/>
          <w:color w:val="000000"/>
          <w:shd w:val="clear" w:color="auto" w:fill="FFFFFF"/>
        </w:rPr>
        <w:t>902</w:t>
      </w:r>
      <w:r w:rsidR="00387283" w:rsidRPr="00DE4629">
        <w:rPr>
          <w:rFonts w:cs="Arial"/>
          <w:color w:val="000000"/>
          <w:shd w:val="clear" w:color="auto" w:fill="FFFFFF"/>
        </w:rPr>
        <w:t xml:space="preserve"> [discussing </w:t>
      </w:r>
      <w:r w:rsidR="00387283" w:rsidRPr="00DE4629">
        <w:t>section 66499.30, subdivision (d)</w:t>
      </w:r>
      <w:r w:rsidR="00792EA5" w:rsidRPr="00DE4629">
        <w:t xml:space="preserve">], </w:t>
      </w:r>
      <w:r w:rsidR="00F666E1" w:rsidRPr="00DE4629">
        <w:rPr>
          <w:i/>
          <w:iCs/>
        </w:rPr>
        <w:t>id</w:t>
      </w:r>
      <w:r w:rsidR="00F666E1" w:rsidRPr="00DE4629">
        <w:t xml:space="preserve">. at pp. </w:t>
      </w:r>
      <w:r w:rsidR="00792EA5" w:rsidRPr="00DE4629">
        <w:t>904</w:t>
      </w:r>
      <w:r w:rsidR="00F666E1" w:rsidRPr="00DE4629">
        <w:t>–</w:t>
      </w:r>
      <w:r w:rsidR="00792EA5" w:rsidRPr="00DE4629">
        <w:t xml:space="preserve">905 [discussing section 66412.6, subdivision (a)]; </w:t>
      </w:r>
      <w:r w:rsidR="00792EA5" w:rsidRPr="00DE4629">
        <w:rPr>
          <w:i/>
          <w:iCs/>
        </w:rPr>
        <w:t>Lakeview, supra</w:t>
      </w:r>
      <w:r w:rsidR="00792EA5" w:rsidRPr="00DE4629">
        <w:t>, 27</w:t>
      </w:r>
      <w:r w:rsidR="00D678BD">
        <w:t> </w:t>
      </w:r>
      <w:r w:rsidR="00792EA5" w:rsidRPr="00DE4629">
        <w:t>Cal.App.4</w:t>
      </w:r>
      <w:r w:rsidR="00E27231" w:rsidRPr="00DE4629">
        <w:t>th</w:t>
      </w:r>
      <w:r w:rsidR="00792EA5" w:rsidRPr="00DE4629">
        <w:t xml:space="preserve"> at p. 598 [</w:t>
      </w:r>
      <w:r w:rsidR="00792EA5" w:rsidRPr="00DE4629">
        <w:rPr>
          <w:rFonts w:cs="Arial"/>
          <w:color w:val="000000"/>
          <w:shd w:val="clear" w:color="auto" w:fill="FFFFFF"/>
        </w:rPr>
        <w:t xml:space="preserve">discussing </w:t>
      </w:r>
      <w:r w:rsidR="00792EA5" w:rsidRPr="00DE4629">
        <w:t xml:space="preserve">section 66499.30, subdivision (d)], </w:t>
      </w:r>
      <w:r w:rsidR="00F666E1" w:rsidRPr="00DE4629">
        <w:rPr>
          <w:i/>
          <w:iCs/>
        </w:rPr>
        <w:t>id</w:t>
      </w:r>
      <w:r w:rsidR="00F666E1" w:rsidRPr="00DE4629">
        <w:t xml:space="preserve">. at p. </w:t>
      </w:r>
      <w:r w:rsidR="00792EA5" w:rsidRPr="00DE4629">
        <w:t>599 [discussing section 66412.6, subdivision (a)</w:t>
      </w:r>
      <w:r w:rsidR="00E27231" w:rsidRPr="00DE4629">
        <w:t xml:space="preserve">].)  </w:t>
      </w:r>
      <w:r w:rsidR="00F66CDE" w:rsidRPr="00DE4629">
        <w:rPr>
          <w:rFonts w:cs="Arial"/>
          <w:color w:val="000000"/>
          <w:shd w:val="clear" w:color="auto" w:fill="FFFFFF"/>
        </w:rPr>
        <w:t>In</w:t>
      </w:r>
      <w:r w:rsidR="00627C76" w:rsidRPr="00DE4629">
        <w:rPr>
          <w:rFonts w:cs="Arial"/>
          <w:color w:val="000000"/>
          <w:shd w:val="clear" w:color="auto" w:fill="FFFFFF"/>
        </w:rPr>
        <w:t xml:space="preserve"> short, </w:t>
      </w:r>
      <w:r w:rsidR="00F66CDE" w:rsidRPr="00DE4629">
        <w:rPr>
          <w:rFonts w:cs="Arial"/>
          <w:color w:val="000000"/>
          <w:shd w:val="clear" w:color="auto" w:fill="FFFFFF"/>
        </w:rPr>
        <w:t xml:space="preserve">we discern no “conflict” in our conclusion that </w:t>
      </w:r>
      <w:r w:rsidR="000448F2" w:rsidRPr="00DE4629">
        <w:rPr>
          <w:rFonts w:cs="Arial"/>
          <w:color w:val="000000"/>
          <w:shd w:val="clear" w:color="auto" w:fill="FFFFFF"/>
        </w:rPr>
        <w:t>l</w:t>
      </w:r>
      <w:r w:rsidR="00F66CDE" w:rsidRPr="00DE4629">
        <w:rPr>
          <w:rFonts w:cs="Arial"/>
          <w:color w:val="000000"/>
          <w:shd w:val="clear" w:color="auto" w:fill="FFFFFF"/>
        </w:rPr>
        <w:t>ot 18 is presumptively</w:t>
      </w:r>
      <w:r w:rsidR="00F66CDE" w:rsidRPr="00DE4629">
        <w:rPr>
          <w:rFonts w:cs="Arial"/>
          <w:i/>
          <w:iCs/>
          <w:color w:val="000000"/>
          <w:shd w:val="clear" w:color="auto" w:fill="FFFFFF"/>
        </w:rPr>
        <w:t xml:space="preserve"> </w:t>
      </w:r>
      <w:r w:rsidR="00F66CDE" w:rsidRPr="00DE4629">
        <w:rPr>
          <w:rFonts w:cs="Arial"/>
          <w:color w:val="000000"/>
          <w:shd w:val="clear" w:color="auto" w:fill="FFFFFF"/>
        </w:rPr>
        <w:t>lawful under section 66412.6, subdivision (a) and the</w:t>
      </w:r>
      <w:r w:rsidR="00627C76" w:rsidRPr="00DE4629">
        <w:rPr>
          <w:rFonts w:cs="Arial"/>
          <w:color w:val="000000"/>
          <w:shd w:val="clear" w:color="auto" w:fill="FFFFFF"/>
        </w:rPr>
        <w:t xml:space="preserve"> </w:t>
      </w:r>
      <w:r w:rsidR="00474542" w:rsidRPr="00DE4629">
        <w:rPr>
          <w:rFonts w:cs="Arial"/>
          <w:color w:val="000000"/>
          <w:shd w:val="clear" w:color="auto" w:fill="FFFFFF"/>
        </w:rPr>
        <w:t xml:space="preserve">exception to the </w:t>
      </w:r>
      <w:r w:rsidR="00627C76" w:rsidRPr="00DE4629">
        <w:rPr>
          <w:rFonts w:cs="Arial"/>
          <w:color w:val="000000"/>
          <w:shd w:val="clear" w:color="auto" w:fill="FFFFFF"/>
        </w:rPr>
        <w:t>compliance provision</w:t>
      </w:r>
      <w:r w:rsidR="00474542" w:rsidRPr="00DE4629">
        <w:rPr>
          <w:rFonts w:cs="Arial"/>
          <w:color w:val="000000"/>
          <w:shd w:val="clear" w:color="auto" w:fill="FFFFFF"/>
        </w:rPr>
        <w:t xml:space="preserve"> set forth in </w:t>
      </w:r>
      <w:r w:rsidR="00F66CDE" w:rsidRPr="00DE4629">
        <w:rPr>
          <w:rFonts w:cs="Arial"/>
          <w:color w:val="000000"/>
          <w:shd w:val="clear" w:color="auto" w:fill="FFFFFF"/>
        </w:rPr>
        <w:t>section 66499.30, subdivision (d).</w:t>
      </w:r>
      <w:r w:rsidR="00D03FB6" w:rsidRPr="00DE4629">
        <w:rPr>
          <w:rFonts w:cs="Arial"/>
          <w:color w:val="000000"/>
          <w:shd w:val="clear" w:color="auto" w:fill="FFFFFF"/>
        </w:rPr>
        <w:t xml:space="preserve"> </w:t>
      </w:r>
    </w:p>
    <w:p w14:paraId="72740A6E" w14:textId="1108721B" w:rsidR="00C14F02" w:rsidRPr="00DE4629" w:rsidRDefault="00CA5748" w:rsidP="002B27D7">
      <w:pPr>
        <w:spacing w:line="360" w:lineRule="auto"/>
        <w:jc w:val="center"/>
        <w:rPr>
          <w:rFonts w:cs="Arial"/>
          <w:color w:val="000000"/>
          <w:shd w:val="clear" w:color="auto" w:fill="FFFFFF"/>
        </w:rPr>
      </w:pPr>
      <w:r w:rsidRPr="00DE4629">
        <w:rPr>
          <w:rFonts w:cs="Arial"/>
          <w:b/>
          <w:bCs/>
          <w:color w:val="000000"/>
          <w:shd w:val="clear" w:color="auto" w:fill="FFFFFF"/>
        </w:rPr>
        <w:t>DISPOSITION</w:t>
      </w:r>
    </w:p>
    <w:p w14:paraId="06590984" w14:textId="13011DCD" w:rsidR="00D678BD" w:rsidRDefault="00CA5748" w:rsidP="002B27D7">
      <w:pPr>
        <w:spacing w:line="360" w:lineRule="auto"/>
        <w:rPr>
          <w:rFonts w:cs="Arial"/>
          <w:color w:val="000000"/>
          <w:shd w:val="clear" w:color="auto" w:fill="FFFFFF"/>
        </w:rPr>
      </w:pPr>
      <w:r w:rsidRPr="00DE4629">
        <w:rPr>
          <w:rFonts w:cs="Arial"/>
          <w:color w:val="000000"/>
          <w:shd w:val="clear" w:color="auto" w:fill="FFFFFF"/>
        </w:rPr>
        <w:tab/>
        <w:t xml:space="preserve">The judgment is </w:t>
      </w:r>
      <w:r w:rsidR="00627C76" w:rsidRPr="00DE4629">
        <w:rPr>
          <w:rFonts w:cs="Arial"/>
          <w:color w:val="000000"/>
          <w:shd w:val="clear" w:color="auto" w:fill="FFFFFF"/>
        </w:rPr>
        <w:t xml:space="preserve">REVERSED with directions to grant the petition for writ of mandate and issue an appropriate writ requiring the city to issue a certificate of compliance for </w:t>
      </w:r>
      <w:r w:rsidR="000448F2" w:rsidRPr="00DE4629">
        <w:rPr>
          <w:rFonts w:cs="Arial"/>
          <w:color w:val="000000"/>
          <w:shd w:val="clear" w:color="auto" w:fill="FFFFFF"/>
        </w:rPr>
        <w:t>l</w:t>
      </w:r>
      <w:r w:rsidR="00627C76" w:rsidRPr="00DE4629">
        <w:rPr>
          <w:rFonts w:cs="Arial"/>
          <w:color w:val="000000"/>
          <w:shd w:val="clear" w:color="auto" w:fill="FFFFFF"/>
        </w:rPr>
        <w:t xml:space="preserve">ot 18.  Appellant to </w:t>
      </w:r>
      <w:r w:rsidR="00DC00BE" w:rsidRPr="00DE4629">
        <w:rPr>
          <w:rFonts w:cs="Arial"/>
          <w:color w:val="000000"/>
          <w:shd w:val="clear" w:color="auto" w:fill="FFFFFF"/>
        </w:rPr>
        <w:t xml:space="preserve">recover </w:t>
      </w:r>
      <w:r w:rsidRPr="00DE4629">
        <w:rPr>
          <w:rFonts w:cs="Arial"/>
          <w:color w:val="000000"/>
          <w:shd w:val="clear" w:color="auto" w:fill="FFFFFF"/>
        </w:rPr>
        <w:t>costs on appeal.</w:t>
      </w:r>
    </w:p>
    <w:p w14:paraId="2CE0F450" w14:textId="77777777" w:rsidR="00D678BD" w:rsidRDefault="00CA5748">
      <w:pPr>
        <w:tabs>
          <w:tab w:val="clear" w:pos="720"/>
        </w:tabs>
        <w:spacing w:line="360" w:lineRule="auto"/>
        <w:rPr>
          <w:rFonts w:cs="Arial"/>
          <w:color w:val="000000"/>
          <w:shd w:val="clear" w:color="auto" w:fill="FFFFFF"/>
        </w:rPr>
      </w:pPr>
      <w:r>
        <w:rPr>
          <w:rFonts w:cs="Arial"/>
          <w:color w:val="000000"/>
          <w:shd w:val="clear" w:color="auto" w:fill="FFFFFF"/>
        </w:rPr>
        <w:br w:type="page"/>
      </w:r>
    </w:p>
    <w:p w14:paraId="521D650E" w14:textId="77777777" w:rsidR="00D678BD" w:rsidRDefault="00D678BD" w:rsidP="00D678BD">
      <w:pPr>
        <w:pStyle w:val="Normal2"/>
        <w:rPr>
          <w:rFonts w:ascii="Century Schoolbook" w:hAnsi="Century Schoolbook"/>
        </w:rPr>
      </w:pPr>
    </w:p>
    <w:p w14:paraId="4CBA9F94" w14:textId="77777777" w:rsidR="00D678BD" w:rsidRDefault="00D678BD" w:rsidP="00D678BD">
      <w:pPr>
        <w:pStyle w:val="Normal2"/>
        <w:rPr>
          <w:rFonts w:ascii="Century Schoolbook" w:hAnsi="Century Schoolbook"/>
        </w:rPr>
      </w:pPr>
    </w:p>
    <w:p w14:paraId="2E88D446" w14:textId="77777777" w:rsidR="00D678BD" w:rsidRDefault="00CA5748" w:rsidP="00D678BD">
      <w:pPr>
        <w:pStyle w:val="Normal2"/>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_________________________</w:t>
      </w:r>
    </w:p>
    <w:p w14:paraId="52443D4C" w14:textId="77777777" w:rsidR="00D678BD" w:rsidRDefault="00CA5748" w:rsidP="00D678BD">
      <w:pPr>
        <w:pStyle w:val="Normal2"/>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proofErr w:type="spellStart"/>
      <w:r>
        <w:rPr>
          <w:rFonts w:ascii="Century Schoolbook" w:hAnsi="Century Schoolbook"/>
        </w:rPr>
        <w:t>Banke</w:t>
      </w:r>
      <w:proofErr w:type="spellEnd"/>
      <w:r>
        <w:rPr>
          <w:rFonts w:ascii="Century Schoolbook" w:hAnsi="Century Schoolbook"/>
        </w:rPr>
        <w:t>, J.</w:t>
      </w:r>
    </w:p>
    <w:p w14:paraId="1EF06B79" w14:textId="77777777" w:rsidR="00D678BD" w:rsidRDefault="00D678BD" w:rsidP="00D678BD">
      <w:pPr>
        <w:pStyle w:val="Normal2"/>
        <w:rPr>
          <w:rFonts w:ascii="Century Schoolbook" w:hAnsi="Century Schoolbook"/>
        </w:rPr>
      </w:pPr>
    </w:p>
    <w:p w14:paraId="0857B2CA" w14:textId="77777777" w:rsidR="00D678BD" w:rsidRDefault="00D678BD" w:rsidP="00D678BD">
      <w:pPr>
        <w:pStyle w:val="Normal2"/>
        <w:rPr>
          <w:rFonts w:ascii="Century Schoolbook" w:hAnsi="Century Schoolbook"/>
        </w:rPr>
      </w:pPr>
    </w:p>
    <w:p w14:paraId="27729AD8" w14:textId="77777777" w:rsidR="00D678BD" w:rsidRDefault="00CA5748" w:rsidP="00D678BD">
      <w:pPr>
        <w:pStyle w:val="Normal2"/>
        <w:rPr>
          <w:rFonts w:ascii="Century Schoolbook" w:hAnsi="Century Schoolbook"/>
        </w:rPr>
      </w:pPr>
      <w:r>
        <w:rPr>
          <w:rFonts w:ascii="Century Schoolbook" w:hAnsi="Century Schoolbook"/>
        </w:rPr>
        <w:t>We concur:</w:t>
      </w:r>
    </w:p>
    <w:p w14:paraId="72AB116E" w14:textId="77777777" w:rsidR="00D678BD" w:rsidRDefault="00D678BD" w:rsidP="00D678BD">
      <w:pPr>
        <w:pStyle w:val="Normal2"/>
        <w:rPr>
          <w:rFonts w:ascii="Century Schoolbook" w:hAnsi="Century Schoolbook"/>
        </w:rPr>
      </w:pPr>
    </w:p>
    <w:p w14:paraId="27C8954F" w14:textId="77777777" w:rsidR="00D678BD" w:rsidRDefault="00D678BD" w:rsidP="00D678BD">
      <w:pPr>
        <w:pStyle w:val="Normal2"/>
        <w:rPr>
          <w:rFonts w:ascii="Century Schoolbook" w:hAnsi="Century Schoolbook"/>
        </w:rPr>
      </w:pPr>
    </w:p>
    <w:p w14:paraId="5514C45A" w14:textId="77777777" w:rsidR="00D678BD" w:rsidRDefault="00CA5748" w:rsidP="00D678BD">
      <w:pPr>
        <w:pStyle w:val="Normal2"/>
        <w:rPr>
          <w:rFonts w:ascii="Century Schoolbook" w:hAnsi="Century Schoolbook"/>
        </w:rPr>
      </w:pPr>
      <w:r>
        <w:rPr>
          <w:rFonts w:ascii="Century Schoolbook" w:hAnsi="Century Schoolbook"/>
        </w:rPr>
        <w:t>_________________________</w:t>
      </w:r>
    </w:p>
    <w:p w14:paraId="18BD8392" w14:textId="3E44CB8D" w:rsidR="00D678BD" w:rsidRDefault="00CA5748" w:rsidP="00D678BD">
      <w:pPr>
        <w:pStyle w:val="Normal2"/>
        <w:rPr>
          <w:rFonts w:ascii="Century Schoolbook" w:hAnsi="Century Schoolbook"/>
        </w:rPr>
      </w:pPr>
      <w:r>
        <w:rPr>
          <w:rFonts w:ascii="Century Schoolbook" w:hAnsi="Century Schoolbook"/>
        </w:rPr>
        <w:t>Margulies, Acting P.J.</w:t>
      </w:r>
    </w:p>
    <w:p w14:paraId="396D2778" w14:textId="77777777" w:rsidR="00D678BD" w:rsidRDefault="00D678BD" w:rsidP="00D678BD">
      <w:pPr>
        <w:pStyle w:val="Normal2"/>
        <w:rPr>
          <w:rFonts w:ascii="Century Schoolbook" w:hAnsi="Century Schoolbook"/>
        </w:rPr>
      </w:pPr>
    </w:p>
    <w:p w14:paraId="2B8FFF9C" w14:textId="77777777" w:rsidR="00D678BD" w:rsidRDefault="00D678BD" w:rsidP="00D678BD">
      <w:pPr>
        <w:pStyle w:val="Normal2"/>
        <w:rPr>
          <w:rFonts w:ascii="Century Schoolbook" w:hAnsi="Century Schoolbook"/>
        </w:rPr>
      </w:pPr>
    </w:p>
    <w:p w14:paraId="4E4DD56B" w14:textId="77777777" w:rsidR="00D678BD" w:rsidRDefault="00CA5748" w:rsidP="00D678BD">
      <w:pPr>
        <w:pStyle w:val="Normal2"/>
        <w:rPr>
          <w:rFonts w:ascii="Century Schoolbook" w:hAnsi="Century Schoolbook"/>
        </w:rPr>
      </w:pPr>
      <w:r>
        <w:rPr>
          <w:rFonts w:ascii="Century Schoolbook" w:hAnsi="Century Schoolbook"/>
        </w:rPr>
        <w:t>_________________________</w:t>
      </w:r>
    </w:p>
    <w:p w14:paraId="1B014A3B" w14:textId="77777777" w:rsidR="00D678BD" w:rsidRDefault="00CA5748" w:rsidP="00D678BD">
      <w:pPr>
        <w:pStyle w:val="Normal2"/>
        <w:rPr>
          <w:rFonts w:ascii="Century Schoolbook" w:hAnsi="Century Schoolbook"/>
        </w:rPr>
      </w:pPr>
      <w:r>
        <w:rPr>
          <w:rFonts w:ascii="Century Schoolbook" w:hAnsi="Century Schoolbook"/>
        </w:rPr>
        <w:t>Swope, J.*</w:t>
      </w:r>
    </w:p>
    <w:p w14:paraId="1B89838A" w14:textId="77777777" w:rsidR="00D678BD" w:rsidRDefault="00D678BD" w:rsidP="00D678BD">
      <w:pPr>
        <w:pStyle w:val="Normal2"/>
        <w:rPr>
          <w:rFonts w:ascii="Century Schoolbook" w:hAnsi="Century Schoolbook"/>
        </w:rPr>
      </w:pPr>
    </w:p>
    <w:p w14:paraId="05881144" w14:textId="77777777" w:rsidR="00D678BD" w:rsidRDefault="00D678BD" w:rsidP="00D678BD">
      <w:pPr>
        <w:pStyle w:val="Normal2"/>
        <w:rPr>
          <w:rFonts w:ascii="Century Schoolbook" w:hAnsi="Century Schoolbook"/>
        </w:rPr>
      </w:pPr>
    </w:p>
    <w:p w14:paraId="500AFFCB" w14:textId="77777777" w:rsidR="00D678BD" w:rsidRDefault="00D678BD" w:rsidP="00D678BD">
      <w:pPr>
        <w:pStyle w:val="Normal2"/>
        <w:rPr>
          <w:rFonts w:ascii="Century Schoolbook" w:hAnsi="Century Schoolbook"/>
        </w:rPr>
      </w:pPr>
    </w:p>
    <w:p w14:paraId="51040163" w14:textId="77777777" w:rsidR="00D678BD" w:rsidRDefault="00D678BD" w:rsidP="00D678BD">
      <w:pPr>
        <w:pStyle w:val="Normal2"/>
        <w:rPr>
          <w:rFonts w:ascii="Century Schoolbook" w:hAnsi="Century Schoolbook"/>
        </w:rPr>
      </w:pPr>
    </w:p>
    <w:p w14:paraId="21B6095C" w14:textId="77777777" w:rsidR="00D678BD" w:rsidRDefault="00D678BD" w:rsidP="00D678BD">
      <w:pPr>
        <w:pStyle w:val="Normal2"/>
        <w:rPr>
          <w:rFonts w:ascii="Century Schoolbook" w:hAnsi="Century Schoolbook"/>
        </w:rPr>
      </w:pPr>
    </w:p>
    <w:p w14:paraId="5F91D275" w14:textId="77777777" w:rsidR="00D678BD" w:rsidRDefault="00D678BD" w:rsidP="00D678BD">
      <w:pPr>
        <w:pStyle w:val="Normal2"/>
        <w:rPr>
          <w:rFonts w:ascii="Century Schoolbook" w:hAnsi="Century Schoolbook"/>
        </w:rPr>
      </w:pPr>
    </w:p>
    <w:p w14:paraId="7843A9A4" w14:textId="77777777" w:rsidR="00D678BD" w:rsidRDefault="00D678BD" w:rsidP="00D678BD">
      <w:pPr>
        <w:pStyle w:val="Normal2"/>
        <w:rPr>
          <w:rFonts w:ascii="Century Schoolbook" w:hAnsi="Century Schoolbook"/>
        </w:rPr>
      </w:pPr>
    </w:p>
    <w:p w14:paraId="56D0024C" w14:textId="77777777" w:rsidR="00D678BD" w:rsidRDefault="00D678BD" w:rsidP="00D678BD">
      <w:pPr>
        <w:pStyle w:val="Normal2"/>
        <w:rPr>
          <w:rFonts w:ascii="Century Schoolbook" w:hAnsi="Century Schoolbook"/>
        </w:rPr>
      </w:pPr>
    </w:p>
    <w:p w14:paraId="04F4F20F" w14:textId="77777777" w:rsidR="00D678BD" w:rsidRDefault="00D678BD" w:rsidP="00D678BD">
      <w:pPr>
        <w:pStyle w:val="Normal2"/>
        <w:rPr>
          <w:rFonts w:ascii="Century Schoolbook" w:hAnsi="Century Schoolbook"/>
        </w:rPr>
      </w:pPr>
    </w:p>
    <w:p w14:paraId="43F6D1C3" w14:textId="77777777" w:rsidR="00D678BD" w:rsidRDefault="00D678BD" w:rsidP="00D678BD">
      <w:pPr>
        <w:pStyle w:val="Normal2"/>
        <w:rPr>
          <w:rFonts w:ascii="Century Schoolbook" w:hAnsi="Century Schoolbook"/>
        </w:rPr>
      </w:pPr>
    </w:p>
    <w:p w14:paraId="6ED9F509" w14:textId="77777777" w:rsidR="00D678BD" w:rsidRDefault="00D678BD" w:rsidP="00D678BD">
      <w:pPr>
        <w:pStyle w:val="Normal2"/>
        <w:rPr>
          <w:rFonts w:ascii="Century Schoolbook" w:hAnsi="Century Schoolbook"/>
        </w:rPr>
      </w:pPr>
    </w:p>
    <w:p w14:paraId="3A9A5A3F" w14:textId="77777777" w:rsidR="00D678BD" w:rsidRDefault="00D678BD" w:rsidP="00D678BD">
      <w:pPr>
        <w:pStyle w:val="Normal2"/>
        <w:rPr>
          <w:rFonts w:ascii="Century Schoolbook" w:hAnsi="Century Schoolbook"/>
        </w:rPr>
      </w:pPr>
    </w:p>
    <w:p w14:paraId="4E850604" w14:textId="77777777" w:rsidR="00D678BD" w:rsidRDefault="00D678BD" w:rsidP="00D678BD">
      <w:pPr>
        <w:pStyle w:val="Normal2"/>
        <w:rPr>
          <w:rFonts w:ascii="Century Schoolbook" w:hAnsi="Century Schoolbook"/>
        </w:rPr>
      </w:pPr>
    </w:p>
    <w:p w14:paraId="6044AD34" w14:textId="77777777" w:rsidR="00D678BD" w:rsidRDefault="00D678BD" w:rsidP="00D678BD">
      <w:pPr>
        <w:pStyle w:val="Normal2"/>
        <w:rPr>
          <w:rFonts w:ascii="Century Schoolbook" w:hAnsi="Century Schoolbook"/>
        </w:rPr>
      </w:pPr>
    </w:p>
    <w:p w14:paraId="45B5975B" w14:textId="77777777" w:rsidR="00D678BD" w:rsidRDefault="00D678BD" w:rsidP="00D678BD">
      <w:pPr>
        <w:pStyle w:val="Normal2"/>
        <w:rPr>
          <w:rFonts w:ascii="Century Schoolbook" w:hAnsi="Century Schoolbook"/>
        </w:rPr>
      </w:pPr>
    </w:p>
    <w:p w14:paraId="627C5460" w14:textId="77777777" w:rsidR="00D678BD" w:rsidRDefault="00D678BD" w:rsidP="00D678BD">
      <w:pPr>
        <w:pStyle w:val="Normal2"/>
        <w:rPr>
          <w:rFonts w:ascii="Century Schoolbook" w:hAnsi="Century Schoolbook"/>
        </w:rPr>
      </w:pPr>
    </w:p>
    <w:p w14:paraId="56BDCA4E" w14:textId="77777777" w:rsidR="00D678BD" w:rsidRDefault="00CA5748" w:rsidP="00D678BD">
      <w:pPr>
        <w:spacing w:line="240" w:lineRule="auto"/>
      </w:pPr>
      <w:r>
        <w:t xml:space="preserve">**Judge of the San Mateo County Superior Court, assigned by the Chief Justice pursuant to article VI, section 6 of the California Constitution.  </w:t>
      </w:r>
    </w:p>
    <w:p w14:paraId="4A06ED99" w14:textId="77777777" w:rsidR="00D678BD" w:rsidRDefault="00D678BD" w:rsidP="00D678BD">
      <w:pPr>
        <w:spacing w:line="240" w:lineRule="auto"/>
      </w:pPr>
    </w:p>
    <w:p w14:paraId="06D5E991" w14:textId="77777777" w:rsidR="00D678BD" w:rsidRDefault="00D678BD" w:rsidP="00D678BD">
      <w:pPr>
        <w:pStyle w:val="Normal2"/>
        <w:rPr>
          <w:rFonts w:ascii="Century Schoolbook" w:hAnsi="Century Schoolbook"/>
        </w:rPr>
      </w:pPr>
    </w:p>
    <w:p w14:paraId="576E1121" w14:textId="77777777" w:rsidR="00D678BD" w:rsidRDefault="00D678BD" w:rsidP="00D678BD">
      <w:pPr>
        <w:pStyle w:val="Normal2"/>
        <w:rPr>
          <w:rFonts w:ascii="Century Schoolbook" w:hAnsi="Century Schoolbook"/>
        </w:rPr>
      </w:pPr>
    </w:p>
    <w:p w14:paraId="3493F455" w14:textId="77777777" w:rsidR="00D678BD" w:rsidRDefault="00D678BD" w:rsidP="00D678BD">
      <w:pPr>
        <w:pStyle w:val="Normal2"/>
        <w:rPr>
          <w:rFonts w:ascii="Century Schoolbook" w:hAnsi="Century Schoolbook"/>
        </w:rPr>
      </w:pPr>
    </w:p>
    <w:p w14:paraId="66DC68FA" w14:textId="77777777" w:rsidR="00FA30F8" w:rsidRDefault="00CA5748" w:rsidP="00D678BD">
      <w:pPr>
        <w:sectPr w:rsidR="00FA30F8" w:rsidSect="003D3ADB">
          <w:headerReference w:type="default" r:id="rId11"/>
          <w:footerReference w:type="even" r:id="rId12"/>
          <w:footerReference w:type="default" r:id="rId13"/>
          <w:pgSz w:w="12240" w:h="15840"/>
          <w:pgMar w:top="1440" w:right="1440" w:bottom="1440" w:left="1440" w:header="720" w:footer="720" w:gutter="0"/>
          <w:cols w:space="720"/>
          <w:docGrid w:linePitch="360"/>
        </w:sectPr>
      </w:pPr>
      <w:r>
        <w:t>A162465, Crescent Trust v. City of Oakland</w:t>
      </w:r>
    </w:p>
    <w:p w14:paraId="30B41D28" w14:textId="77777777" w:rsidR="00FA30F8" w:rsidRPr="00BF35FB" w:rsidRDefault="00FA30F8" w:rsidP="00FA30F8">
      <w:pPr>
        <w:rPr>
          <w:sz w:val="20"/>
          <w:szCs w:val="20"/>
        </w:rPr>
      </w:pPr>
      <w:r w:rsidRPr="00BF35FB">
        <w:rPr>
          <w:sz w:val="20"/>
          <w:szCs w:val="20"/>
        </w:rPr>
        <w:lastRenderedPageBreak/>
        <w:t xml:space="preserve">Filed </w:t>
      </w:r>
      <w:r>
        <w:rPr>
          <w:sz w:val="20"/>
          <w:szCs w:val="20"/>
        </w:rPr>
        <w:t>4/20/23</w:t>
      </w:r>
    </w:p>
    <w:p w14:paraId="08CF554F" w14:textId="77777777" w:rsidR="00FA30F8" w:rsidRPr="007B07BE" w:rsidRDefault="00FA30F8" w:rsidP="00FA30F8">
      <w:pPr>
        <w:spacing w:line="240" w:lineRule="auto"/>
        <w:jc w:val="center"/>
        <w:rPr>
          <w:b/>
        </w:rPr>
      </w:pPr>
      <w:r w:rsidRPr="007B07BE">
        <w:rPr>
          <w:b/>
        </w:rPr>
        <w:t>CERTIFIED FOR PUBLICATION</w:t>
      </w:r>
    </w:p>
    <w:p w14:paraId="15088002" w14:textId="77777777" w:rsidR="00FA30F8" w:rsidRPr="007B07BE" w:rsidRDefault="00FA30F8" w:rsidP="00FA30F8">
      <w:pPr>
        <w:spacing w:line="240" w:lineRule="auto"/>
        <w:jc w:val="center"/>
        <w:rPr>
          <w:b/>
        </w:rPr>
      </w:pPr>
    </w:p>
    <w:p w14:paraId="02238B12" w14:textId="77777777" w:rsidR="00FA30F8" w:rsidRPr="001B6077" w:rsidRDefault="00FA30F8" w:rsidP="00FA30F8">
      <w:pPr>
        <w:spacing w:line="240" w:lineRule="auto"/>
        <w:jc w:val="center"/>
      </w:pPr>
      <w:r w:rsidRPr="001B6077">
        <w:t>IN THE COURT OF APPEAL OF THE STATE OF CALIFORNIA</w:t>
      </w:r>
    </w:p>
    <w:p w14:paraId="289AE9D0" w14:textId="77777777" w:rsidR="00FA30F8" w:rsidRPr="001B6077" w:rsidRDefault="00FA30F8" w:rsidP="00FA30F8">
      <w:pPr>
        <w:spacing w:line="240" w:lineRule="auto"/>
        <w:jc w:val="center"/>
      </w:pPr>
    </w:p>
    <w:p w14:paraId="5A0893D9" w14:textId="77777777" w:rsidR="00FA30F8" w:rsidRPr="001B6077" w:rsidRDefault="00FA30F8" w:rsidP="00FA30F8">
      <w:pPr>
        <w:spacing w:line="240" w:lineRule="auto"/>
        <w:jc w:val="center"/>
      </w:pPr>
      <w:r w:rsidRPr="001B6077">
        <w:t>FIRST APPELLATE DISTRICT</w:t>
      </w:r>
    </w:p>
    <w:p w14:paraId="161CE106" w14:textId="77777777" w:rsidR="00FA30F8" w:rsidRPr="001B6077" w:rsidRDefault="00FA30F8" w:rsidP="00FA30F8">
      <w:pPr>
        <w:spacing w:line="240" w:lineRule="auto"/>
        <w:jc w:val="center"/>
      </w:pPr>
    </w:p>
    <w:p w14:paraId="6CF159F3" w14:textId="77777777" w:rsidR="00FA30F8" w:rsidRPr="001B6077" w:rsidRDefault="00FA30F8" w:rsidP="00FA30F8">
      <w:pPr>
        <w:spacing w:line="240" w:lineRule="auto"/>
        <w:jc w:val="center"/>
      </w:pPr>
      <w:r w:rsidRPr="001B6077">
        <w:t>DIVISION ONE</w:t>
      </w:r>
    </w:p>
    <w:p w14:paraId="0214B704" w14:textId="77777777" w:rsidR="00FA30F8" w:rsidRPr="001B6077" w:rsidRDefault="00FA30F8" w:rsidP="00FA30F8">
      <w:pPr>
        <w:jc w:val="center"/>
      </w:pPr>
    </w:p>
    <w:p w14:paraId="6FBDD21E" w14:textId="77777777" w:rsidR="00FA30F8" w:rsidRPr="001B6077" w:rsidRDefault="00FA30F8" w:rsidP="00FA30F8">
      <w:pPr>
        <w:jc w:val="center"/>
      </w:pPr>
    </w:p>
    <w:tbl>
      <w:tblPr>
        <w:tblW w:w="0" w:type="auto"/>
        <w:tblLayout w:type="fixed"/>
        <w:tblLook w:val="0000" w:firstRow="0" w:lastRow="0" w:firstColumn="0" w:lastColumn="0" w:noHBand="0" w:noVBand="0"/>
      </w:tblPr>
      <w:tblGrid>
        <w:gridCol w:w="4680"/>
        <w:gridCol w:w="3240"/>
      </w:tblGrid>
      <w:tr w:rsidR="00FA30F8" w14:paraId="0EF13A7B" w14:textId="77777777" w:rsidTr="00753E5F">
        <w:tc>
          <w:tcPr>
            <w:tcW w:w="4680" w:type="dxa"/>
            <w:tcBorders>
              <w:bottom w:val="single" w:sz="4" w:space="0" w:color="auto"/>
              <w:right w:val="single" w:sz="4" w:space="0" w:color="auto"/>
            </w:tcBorders>
            <w:shd w:val="clear" w:color="auto" w:fill="auto"/>
          </w:tcPr>
          <w:p w14:paraId="6032B58C" w14:textId="77777777" w:rsidR="00FA30F8" w:rsidRPr="001B6077" w:rsidRDefault="00FA30F8" w:rsidP="00FA30F8">
            <w:pPr>
              <w:spacing w:after="120" w:line="240" w:lineRule="auto"/>
            </w:pPr>
            <w:r w:rsidRPr="001B6077">
              <w:rPr>
                <w:rFonts w:ascii="Times New Roman" w:eastAsia="Times New Roman" w:hAnsi="Times New Roman" w:cs="Times New Roman"/>
                <w:lang w:eastAsia="zh-CN"/>
              </w:rPr>
              <w:t xml:space="preserve">CRESCENT TRUST, </w:t>
            </w:r>
          </w:p>
          <w:p w14:paraId="146B94F4" w14:textId="77777777" w:rsidR="00FA30F8" w:rsidRPr="001B6077" w:rsidRDefault="00FA30F8" w:rsidP="00FA30F8">
            <w:pPr>
              <w:spacing w:after="120" w:line="240" w:lineRule="auto"/>
            </w:pPr>
            <w:r w:rsidRPr="001B6077">
              <w:rPr>
                <w:rFonts w:ascii="Times New Roman" w:eastAsia="Times New Roman" w:hAnsi="Times New Roman" w:cs="Times New Roman"/>
                <w:lang w:eastAsia="zh-CN"/>
              </w:rPr>
              <w:tab/>
              <w:t>Plaintiff and Appellant,</w:t>
            </w:r>
          </w:p>
          <w:p w14:paraId="7E3E06FD" w14:textId="77777777" w:rsidR="00FA30F8" w:rsidRPr="001B6077" w:rsidRDefault="00FA30F8" w:rsidP="00FA30F8">
            <w:pPr>
              <w:spacing w:after="120" w:line="240" w:lineRule="auto"/>
            </w:pPr>
            <w:r w:rsidRPr="001B6077">
              <w:rPr>
                <w:rFonts w:ascii="Times New Roman" w:eastAsia="Times New Roman" w:hAnsi="Times New Roman" w:cs="Times New Roman"/>
                <w:lang w:eastAsia="zh-CN"/>
              </w:rPr>
              <w:t>v.</w:t>
            </w:r>
          </w:p>
          <w:p w14:paraId="2C9F1A83" w14:textId="77777777" w:rsidR="00FA30F8" w:rsidRPr="001B6077" w:rsidRDefault="00FA30F8" w:rsidP="00FA30F8">
            <w:pPr>
              <w:spacing w:after="120" w:line="240" w:lineRule="auto"/>
            </w:pPr>
            <w:r w:rsidRPr="001B6077">
              <w:rPr>
                <w:rFonts w:ascii="Times New Roman" w:eastAsia="Times New Roman" w:hAnsi="Times New Roman" w:cs="Times New Roman"/>
                <w:lang w:eastAsia="zh-CN"/>
              </w:rPr>
              <w:t>CITY OF OAKLAND,</w:t>
            </w:r>
          </w:p>
          <w:p w14:paraId="6EC8DE24" w14:textId="77777777" w:rsidR="00FA30F8" w:rsidRPr="001B6077" w:rsidRDefault="00FA30F8" w:rsidP="00FA30F8">
            <w:pPr>
              <w:spacing w:after="120" w:line="240" w:lineRule="auto"/>
              <w:ind w:right="-377"/>
            </w:pPr>
            <w:r w:rsidRPr="001B6077">
              <w:rPr>
                <w:rFonts w:ascii="Times New Roman" w:eastAsia="Times New Roman" w:hAnsi="Times New Roman" w:cs="Times New Roman"/>
                <w:lang w:eastAsia="zh-CN"/>
              </w:rPr>
              <w:tab/>
              <w:t>Defendant and Respondent.</w:t>
            </w:r>
          </w:p>
        </w:tc>
        <w:tc>
          <w:tcPr>
            <w:tcW w:w="3240" w:type="dxa"/>
            <w:tcBorders>
              <w:left w:val="single" w:sz="4" w:space="0" w:color="auto"/>
            </w:tcBorders>
            <w:shd w:val="clear" w:color="auto" w:fill="auto"/>
          </w:tcPr>
          <w:p w14:paraId="2AFF0104" w14:textId="77777777" w:rsidR="00FA30F8" w:rsidRPr="001B6077" w:rsidRDefault="00FA30F8" w:rsidP="00FA30F8">
            <w:pPr>
              <w:spacing w:line="240" w:lineRule="auto"/>
            </w:pPr>
            <w:r w:rsidRPr="001B6077">
              <w:rPr>
                <w:rFonts w:ascii="Times New Roman" w:eastAsia="Times New Roman" w:hAnsi="Times New Roman" w:cs="Times New Roman"/>
                <w:lang w:eastAsia="zh-CN"/>
              </w:rPr>
              <w:t xml:space="preserve">      A162465</w:t>
            </w:r>
          </w:p>
          <w:p w14:paraId="13D6CCB3" w14:textId="77777777" w:rsidR="00FA30F8" w:rsidRPr="001B6077" w:rsidRDefault="00FA30F8" w:rsidP="00FA30F8">
            <w:pPr>
              <w:spacing w:line="240" w:lineRule="auto"/>
            </w:pPr>
          </w:p>
          <w:p w14:paraId="3277A520" w14:textId="77777777" w:rsidR="00FA30F8" w:rsidRPr="001B6077" w:rsidRDefault="00FA30F8" w:rsidP="00FA30F8">
            <w:pPr>
              <w:spacing w:line="240" w:lineRule="auto"/>
            </w:pPr>
            <w:r w:rsidRPr="001B6077">
              <w:rPr>
                <w:rFonts w:ascii="Times New Roman" w:eastAsia="Times New Roman" w:hAnsi="Times New Roman" w:cs="Times New Roman"/>
                <w:lang w:eastAsia="zh-CN"/>
              </w:rPr>
              <w:t xml:space="preserve">      (Alameda County</w:t>
            </w:r>
          </w:p>
          <w:p w14:paraId="33069C03" w14:textId="77777777" w:rsidR="00FA30F8" w:rsidRDefault="00FA30F8" w:rsidP="00FA30F8">
            <w:pPr>
              <w:spacing w:line="240" w:lineRule="auto"/>
            </w:pPr>
            <w:r w:rsidRPr="001B6077">
              <w:rPr>
                <w:rFonts w:ascii="Times New Roman" w:eastAsia="Times New Roman" w:hAnsi="Times New Roman" w:cs="Times New Roman"/>
                <w:lang w:eastAsia="zh-CN"/>
              </w:rPr>
              <w:t xml:space="preserve">      Super. Ct. No.      RG20068131)</w:t>
            </w:r>
          </w:p>
          <w:p w14:paraId="1F9BDB56" w14:textId="77777777" w:rsidR="00FA30F8" w:rsidRDefault="00FA30F8" w:rsidP="00FA30F8">
            <w:pPr>
              <w:spacing w:line="240" w:lineRule="auto"/>
              <w:ind w:left="342"/>
            </w:pPr>
          </w:p>
          <w:p w14:paraId="393A2738" w14:textId="77777777" w:rsidR="00FA30F8" w:rsidRPr="00BF35FB" w:rsidRDefault="00FA30F8" w:rsidP="00FA30F8">
            <w:pPr>
              <w:spacing w:line="240" w:lineRule="auto"/>
              <w:ind w:left="342"/>
            </w:pPr>
            <w:r w:rsidRPr="00BF35FB">
              <w:rPr>
                <w:rFonts w:eastAsia="Times New Roman" w:cs="Times New Roman"/>
                <w:lang w:eastAsia="zh-CN"/>
              </w:rPr>
              <w:t>ORDER CERTIFYING OPINION FOR PUBLICATION</w:t>
            </w:r>
          </w:p>
          <w:p w14:paraId="06FF52EF" w14:textId="77777777" w:rsidR="00FA30F8" w:rsidRPr="00BF35FB" w:rsidRDefault="00FA30F8" w:rsidP="00FA30F8">
            <w:pPr>
              <w:spacing w:line="240" w:lineRule="auto"/>
              <w:ind w:left="342"/>
            </w:pPr>
          </w:p>
          <w:p w14:paraId="0C1D4829" w14:textId="77777777" w:rsidR="00FA30F8" w:rsidRPr="00BF35FB" w:rsidRDefault="00FA30F8" w:rsidP="00FA30F8">
            <w:pPr>
              <w:spacing w:line="240" w:lineRule="auto"/>
              <w:ind w:left="342"/>
            </w:pPr>
            <w:r w:rsidRPr="00BF35FB">
              <w:rPr>
                <w:rFonts w:eastAsia="Times New Roman" w:cs="Times New Roman"/>
                <w:lang w:eastAsia="zh-CN"/>
              </w:rPr>
              <w:t>[NO CHANGE IN JUDGMENT]</w:t>
            </w:r>
          </w:p>
          <w:p w14:paraId="5A65FC3F" w14:textId="77777777" w:rsidR="00FA30F8" w:rsidRPr="00E2075E" w:rsidRDefault="00FA30F8" w:rsidP="00FA30F8">
            <w:pPr>
              <w:spacing w:line="240" w:lineRule="auto"/>
              <w:rPr>
                <w:b/>
                <w:bCs/>
              </w:rPr>
            </w:pPr>
          </w:p>
          <w:p w14:paraId="158AF54D" w14:textId="77777777" w:rsidR="00FA30F8" w:rsidRPr="001B6077" w:rsidRDefault="00FA30F8" w:rsidP="00FA30F8">
            <w:pPr>
              <w:spacing w:line="240" w:lineRule="auto"/>
            </w:pPr>
          </w:p>
        </w:tc>
      </w:tr>
    </w:tbl>
    <w:p w14:paraId="575D3A4D" w14:textId="77777777" w:rsidR="00FA30F8" w:rsidRPr="007B07BE" w:rsidRDefault="00FA30F8" w:rsidP="00FA30F8"/>
    <w:p w14:paraId="2E928FF7" w14:textId="77777777" w:rsidR="00FA30F8" w:rsidRPr="007B07BE" w:rsidRDefault="00FA30F8" w:rsidP="00FA30F8">
      <w:pPr>
        <w:spacing w:line="360" w:lineRule="auto"/>
      </w:pPr>
      <w:r w:rsidRPr="007B07BE">
        <w:t>THE COURT:</w:t>
      </w:r>
    </w:p>
    <w:p w14:paraId="47A9B119" w14:textId="77777777" w:rsidR="00FA30F8" w:rsidRPr="007B07BE" w:rsidRDefault="00FA30F8" w:rsidP="00FA30F8">
      <w:pPr>
        <w:spacing w:line="360" w:lineRule="auto"/>
      </w:pPr>
      <w:r w:rsidRPr="007B07BE">
        <w:tab/>
        <w:t xml:space="preserve">The opinion in the above-entitled matter, filed on </w:t>
      </w:r>
      <w:r>
        <w:t>March</w:t>
      </w:r>
      <w:r w:rsidRPr="007B07BE">
        <w:t xml:space="preserve"> </w:t>
      </w:r>
      <w:r>
        <w:t>23</w:t>
      </w:r>
      <w:r w:rsidRPr="007B07BE">
        <w:t>, 202</w:t>
      </w:r>
      <w:r>
        <w:t>3</w:t>
      </w:r>
      <w:r w:rsidRPr="007B07BE">
        <w:t xml:space="preserve">, was not certified for publication in the Official Reports.  After the court’s review of a request under California Rules of Court, rule 8.1120, and good cause established under rule 8.1105, it is hereby ordered that the opinion should be published in the Official Reports. </w:t>
      </w:r>
    </w:p>
    <w:p w14:paraId="53FBF907" w14:textId="77777777" w:rsidR="00FA30F8" w:rsidRPr="007B07BE" w:rsidRDefault="00FA30F8" w:rsidP="00FA30F8">
      <w:pPr>
        <w:spacing w:line="360" w:lineRule="auto"/>
      </w:pPr>
    </w:p>
    <w:p w14:paraId="048D5F6F" w14:textId="77777777" w:rsidR="00FA30F8" w:rsidRPr="007B07BE" w:rsidRDefault="00FA30F8" w:rsidP="00FA30F8">
      <w:pPr>
        <w:spacing w:line="360" w:lineRule="auto"/>
      </w:pPr>
      <w:r w:rsidRPr="007B07BE">
        <w:t>Dated:</w:t>
      </w:r>
      <w:r w:rsidRPr="007B07BE">
        <w:tab/>
      </w:r>
      <w:r w:rsidRPr="007B07BE">
        <w:tab/>
      </w:r>
      <w:r w:rsidRPr="007B07BE">
        <w:tab/>
      </w:r>
      <w:r w:rsidRPr="007B07BE">
        <w:tab/>
      </w:r>
      <w:r>
        <w:tab/>
      </w:r>
      <w:r w:rsidRPr="007B07BE">
        <w:tab/>
        <w:t>_______________________________</w:t>
      </w:r>
    </w:p>
    <w:p w14:paraId="2040FCEB" w14:textId="205F508E" w:rsidR="00FA30F8" w:rsidRPr="007B07BE" w:rsidRDefault="00FA30F8" w:rsidP="00FA30F8">
      <w:pPr>
        <w:spacing w:line="360" w:lineRule="auto"/>
      </w:pPr>
      <w:r w:rsidRPr="007B07BE">
        <w:tab/>
      </w:r>
      <w:r w:rsidRPr="007B07BE">
        <w:tab/>
      </w:r>
      <w:r w:rsidRPr="007B07BE">
        <w:tab/>
      </w:r>
      <w:r w:rsidRPr="007B07BE">
        <w:tab/>
      </w:r>
      <w:r w:rsidRPr="007B07BE">
        <w:tab/>
      </w:r>
      <w:r w:rsidRPr="007B07BE">
        <w:tab/>
      </w:r>
      <w:r>
        <w:tab/>
        <w:t xml:space="preserve">Acting </w:t>
      </w:r>
      <w:r w:rsidRPr="007B07BE">
        <w:t>P. J.</w:t>
      </w:r>
      <w:r w:rsidRPr="007B07BE">
        <w:br w:type="page"/>
      </w:r>
    </w:p>
    <w:p w14:paraId="78337F76" w14:textId="77777777" w:rsidR="00FA30F8" w:rsidRPr="00E2075E" w:rsidRDefault="00FA30F8" w:rsidP="00FA30F8">
      <w:pPr>
        <w:spacing w:line="240" w:lineRule="auto"/>
      </w:pPr>
      <w:r w:rsidRPr="00E2075E">
        <w:lastRenderedPageBreak/>
        <w:t>Trial Court:</w:t>
      </w:r>
      <w:r w:rsidRPr="00E2075E">
        <w:tab/>
        <w:t xml:space="preserve"> Alameda County Superior Court</w:t>
      </w:r>
    </w:p>
    <w:p w14:paraId="6AADC5A1" w14:textId="77777777" w:rsidR="00FA30F8" w:rsidRPr="00E2075E" w:rsidRDefault="00FA30F8" w:rsidP="00FA30F8">
      <w:pPr>
        <w:spacing w:line="240" w:lineRule="auto"/>
      </w:pPr>
    </w:p>
    <w:p w14:paraId="2783A3C1" w14:textId="77777777" w:rsidR="00FA30F8" w:rsidRPr="00E2075E" w:rsidRDefault="00FA30F8" w:rsidP="00FA30F8">
      <w:pPr>
        <w:spacing w:line="240" w:lineRule="auto"/>
      </w:pPr>
      <w:r w:rsidRPr="00E2075E">
        <w:t>Trial Judge:</w:t>
      </w:r>
      <w:r w:rsidRPr="00E2075E">
        <w:tab/>
        <w:t>Hon. Paul Herbert</w:t>
      </w:r>
    </w:p>
    <w:p w14:paraId="002DFD08" w14:textId="77777777" w:rsidR="00FA30F8" w:rsidRPr="00E2075E" w:rsidRDefault="00FA30F8" w:rsidP="00FA30F8">
      <w:pPr>
        <w:spacing w:line="240" w:lineRule="auto"/>
      </w:pPr>
    </w:p>
    <w:p w14:paraId="7F50CE2E" w14:textId="77777777" w:rsidR="00FA30F8" w:rsidRPr="00E2075E" w:rsidRDefault="00FA30F8" w:rsidP="00FA30F8">
      <w:pPr>
        <w:spacing w:line="240" w:lineRule="auto"/>
      </w:pPr>
      <w:r w:rsidRPr="00E2075E">
        <w:t xml:space="preserve">Counsel:  </w:t>
      </w:r>
    </w:p>
    <w:p w14:paraId="5A02B658" w14:textId="77777777" w:rsidR="00FA30F8" w:rsidRPr="00E2075E" w:rsidRDefault="00FA30F8" w:rsidP="00FA30F8">
      <w:pPr>
        <w:spacing w:line="240" w:lineRule="auto"/>
      </w:pPr>
    </w:p>
    <w:p w14:paraId="351A2AF5" w14:textId="77777777" w:rsidR="00FA30F8" w:rsidRPr="00E2075E" w:rsidRDefault="00FA30F8" w:rsidP="00FA30F8">
      <w:pPr>
        <w:spacing w:line="240" w:lineRule="auto"/>
      </w:pPr>
      <w:r w:rsidRPr="00E2075E">
        <w:t xml:space="preserve">Chandler &amp; </w:t>
      </w:r>
      <w:proofErr w:type="spellStart"/>
      <w:r w:rsidRPr="00E2075E">
        <w:t>Shechet</w:t>
      </w:r>
      <w:proofErr w:type="spellEnd"/>
      <w:r w:rsidRPr="00E2075E">
        <w:t xml:space="preserve">, LLP, Nathan Aaron </w:t>
      </w:r>
      <w:proofErr w:type="spellStart"/>
      <w:r w:rsidRPr="00E2075E">
        <w:t>Shechet</w:t>
      </w:r>
      <w:proofErr w:type="spellEnd"/>
      <w:r w:rsidRPr="00E2075E">
        <w:t xml:space="preserve"> and Anne Leigh Chandler for Plaintiff and Appellant.</w:t>
      </w:r>
    </w:p>
    <w:p w14:paraId="47EEBC70" w14:textId="77777777" w:rsidR="00FA30F8" w:rsidRPr="00E2075E" w:rsidRDefault="00FA30F8" w:rsidP="00FA30F8">
      <w:pPr>
        <w:spacing w:line="240" w:lineRule="auto"/>
      </w:pPr>
    </w:p>
    <w:p w14:paraId="2CC000CF" w14:textId="77777777" w:rsidR="00FA30F8" w:rsidRPr="00E2075E" w:rsidRDefault="00FA30F8" w:rsidP="00FA30F8">
      <w:pPr>
        <w:spacing w:line="240" w:lineRule="auto"/>
      </w:pPr>
    </w:p>
    <w:p w14:paraId="5CEBE328" w14:textId="77777777" w:rsidR="00FA30F8" w:rsidRPr="00E2075E" w:rsidRDefault="00FA30F8" w:rsidP="00FA30F8">
      <w:pPr>
        <w:spacing w:line="240" w:lineRule="auto"/>
      </w:pPr>
      <w:r w:rsidRPr="00E2075E">
        <w:t xml:space="preserve">Jarvis, Fay &amp; Gibson, LLP, Christine </w:t>
      </w:r>
      <w:proofErr w:type="spellStart"/>
      <w:r w:rsidRPr="00E2075E">
        <w:t>Crowl</w:t>
      </w:r>
      <w:proofErr w:type="spellEnd"/>
      <w:r w:rsidRPr="00E2075E">
        <w:t xml:space="preserve"> and Rick </w:t>
      </w:r>
      <w:proofErr w:type="spellStart"/>
      <w:r w:rsidRPr="00E2075E">
        <w:t>Jarvisl</w:t>
      </w:r>
      <w:proofErr w:type="spellEnd"/>
      <w:r w:rsidRPr="00E2075E">
        <w:t xml:space="preserve">; Oakland City Attorney’s Office, Patrick Brian </w:t>
      </w:r>
      <w:proofErr w:type="spellStart"/>
      <w:r w:rsidRPr="00E2075E">
        <w:t>Mulry</w:t>
      </w:r>
      <w:proofErr w:type="spellEnd"/>
      <w:r w:rsidRPr="00E2075E">
        <w:t>, Barbara Parker and Maria Bee for Defendant and Respondent.</w:t>
      </w:r>
    </w:p>
    <w:p w14:paraId="2B113673" w14:textId="6B9377EF" w:rsidR="00D678BD" w:rsidRDefault="00D678BD" w:rsidP="00FA30F8">
      <w:pPr>
        <w:spacing w:line="240" w:lineRule="auto"/>
      </w:pPr>
    </w:p>
    <w:p w14:paraId="0D15A900" w14:textId="77777777" w:rsidR="00073623" w:rsidRPr="00C03B15" w:rsidRDefault="00073623" w:rsidP="00FA30F8">
      <w:pPr>
        <w:spacing w:line="240" w:lineRule="auto"/>
      </w:pPr>
    </w:p>
    <w:sectPr w:rsidR="00073623" w:rsidRPr="00C03B15" w:rsidSect="00FA30F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03CFF" w14:textId="77777777" w:rsidR="005C414F" w:rsidRDefault="00CA5748">
      <w:pPr>
        <w:spacing w:line="240" w:lineRule="auto"/>
      </w:pPr>
      <w:r>
        <w:separator/>
      </w:r>
    </w:p>
  </w:endnote>
  <w:endnote w:type="continuationSeparator" w:id="0">
    <w:p w14:paraId="6951BCC8" w14:textId="77777777" w:rsidR="005C414F" w:rsidRDefault="00CA57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C461" w14:textId="77777777" w:rsidR="007D0BA2" w:rsidRDefault="00CA5748" w:rsidP="0077402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E3198F">
      <w:rPr>
        <w:rStyle w:val="PageNumber"/>
      </w:rPr>
      <w:fldChar w:fldCharType="separate"/>
    </w:r>
    <w:r>
      <w:rPr>
        <w:rStyle w:val="PageNumber"/>
      </w:rPr>
      <w:fldChar w:fldCharType="end"/>
    </w:r>
  </w:p>
  <w:p w14:paraId="25A06894" w14:textId="77777777" w:rsidR="007D0BA2" w:rsidRDefault="00CA5748" w:rsidP="0077402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E3198F">
      <w:rPr>
        <w:rStyle w:val="PageNumber"/>
      </w:rPr>
      <w:fldChar w:fldCharType="separate"/>
    </w:r>
    <w:r>
      <w:rPr>
        <w:rStyle w:val="PageNumber"/>
      </w:rPr>
      <w:fldChar w:fldCharType="end"/>
    </w:r>
  </w:p>
  <w:p w14:paraId="272F0957" w14:textId="77777777" w:rsidR="007D0BA2" w:rsidRDefault="007D0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11E5" w14:textId="72B79D47" w:rsidR="007D0BA2" w:rsidRDefault="00CA5748" w:rsidP="007D0BA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CF393F9" w14:textId="77777777" w:rsidR="0047304D" w:rsidRDefault="00473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190D" w14:textId="77777777" w:rsidR="007860D3" w:rsidRDefault="00CA5748" w:rsidP="00193503">
      <w:pPr>
        <w:spacing w:line="240" w:lineRule="auto"/>
      </w:pPr>
      <w:r>
        <w:separator/>
      </w:r>
    </w:p>
  </w:footnote>
  <w:footnote w:type="continuationSeparator" w:id="0">
    <w:p w14:paraId="019CB527" w14:textId="77777777" w:rsidR="007860D3" w:rsidRDefault="00CA5748" w:rsidP="00193503">
      <w:pPr>
        <w:spacing w:line="240" w:lineRule="auto"/>
      </w:pPr>
      <w:r>
        <w:continuationSeparator/>
      </w:r>
    </w:p>
  </w:footnote>
  <w:footnote w:id="1">
    <w:p w14:paraId="23B05B90" w14:textId="3F8AABAC" w:rsidR="00F074CF" w:rsidRPr="00DE4629" w:rsidRDefault="00CA5748" w:rsidP="00F666E1">
      <w:pPr>
        <w:pStyle w:val="FootnoteText"/>
        <w:spacing w:after="120"/>
        <w:ind w:firstLine="720"/>
      </w:pPr>
      <w:r w:rsidRPr="00DE4629">
        <w:rPr>
          <w:rStyle w:val="FootnoteReference"/>
        </w:rPr>
        <w:footnoteRef/>
      </w:r>
      <w:r w:rsidRPr="00DE4629">
        <w:t xml:space="preserve">  Government Code section 66410 et seq. </w:t>
      </w:r>
    </w:p>
  </w:footnote>
  <w:footnote w:id="2">
    <w:p w14:paraId="4152BBFC" w14:textId="5F320EFD" w:rsidR="00B4541D" w:rsidRPr="00DE4629" w:rsidRDefault="00CA5748" w:rsidP="00F666E1">
      <w:pPr>
        <w:pStyle w:val="FootnoteText"/>
        <w:spacing w:after="120"/>
        <w:ind w:firstLine="720"/>
      </w:pPr>
      <w:r w:rsidRPr="00DE4629">
        <w:rPr>
          <w:rStyle w:val="FootnoteReference"/>
        </w:rPr>
        <w:footnoteRef/>
      </w:r>
      <w:r w:rsidRPr="00DE4629">
        <w:t xml:space="preserve">  The land holding was originally part of the San Antonio Rancho acquired by the Peralta family.   </w:t>
      </w:r>
    </w:p>
  </w:footnote>
  <w:footnote w:id="3">
    <w:p w14:paraId="619A247A" w14:textId="4D38B16E" w:rsidR="001B2B70" w:rsidRPr="00DE4629" w:rsidRDefault="00CA5748" w:rsidP="00F666E1">
      <w:pPr>
        <w:pStyle w:val="FootnoteText"/>
        <w:spacing w:after="120"/>
        <w:ind w:firstLine="720"/>
      </w:pPr>
      <w:r w:rsidRPr="00DE4629">
        <w:rPr>
          <w:rStyle w:val="FootnoteReference"/>
        </w:rPr>
        <w:footnoteRef/>
      </w:r>
      <w:r w:rsidRPr="00DE4629">
        <w:t xml:space="preserve">  The </w:t>
      </w:r>
      <w:r w:rsidR="00A20ED2" w:rsidRPr="00DE4629">
        <w:t xml:space="preserve">nine lots </w:t>
      </w:r>
      <w:r w:rsidR="009B7B48" w:rsidRPr="00DE4629">
        <w:t xml:space="preserve">were </w:t>
      </w:r>
      <w:r w:rsidRPr="00DE4629">
        <w:t>listed</w:t>
      </w:r>
      <w:r w:rsidR="00E32A86" w:rsidRPr="00DE4629">
        <w:t xml:space="preserve"> in the probate document</w:t>
      </w:r>
      <w:r w:rsidRPr="00DE4629">
        <w:t xml:space="preserve"> and described as follows: “42</w:t>
      </w:r>
      <w:r w:rsidRPr="00DE4629">
        <w:rPr>
          <w:vertAlign w:val="superscript"/>
        </w:rPr>
        <w:t>nd</w:t>
      </w:r>
      <w:r w:rsidRPr="00DE4629">
        <w:t xml:space="preserve">.  Lots 10 to 18 inclusive in Block 66.”    </w:t>
      </w:r>
    </w:p>
  </w:footnote>
  <w:footnote w:id="4">
    <w:p w14:paraId="3A3BB7B9" w14:textId="219B225F" w:rsidR="001B2B70" w:rsidRPr="00DE4629" w:rsidRDefault="00CA5748" w:rsidP="00F666E1">
      <w:pPr>
        <w:pStyle w:val="FootnoteText"/>
        <w:spacing w:after="120"/>
        <w:ind w:firstLine="720"/>
      </w:pPr>
      <w:r w:rsidRPr="00DE4629">
        <w:rPr>
          <w:rStyle w:val="FootnoteReference"/>
        </w:rPr>
        <w:footnoteRef/>
      </w:r>
      <w:r w:rsidRPr="00DE4629">
        <w:t xml:space="preserve">  The </w:t>
      </w:r>
      <w:r w:rsidR="00A20ED2" w:rsidRPr="00DE4629">
        <w:t xml:space="preserve">lots </w:t>
      </w:r>
      <w:r w:rsidRPr="00DE4629">
        <w:t>w</w:t>
      </w:r>
      <w:r w:rsidR="00A20ED2" w:rsidRPr="00DE4629">
        <w:t>ere</w:t>
      </w:r>
      <w:r w:rsidRPr="00DE4629">
        <w:t xml:space="preserve"> listed</w:t>
      </w:r>
      <w:r w:rsidR="00E32A86" w:rsidRPr="00DE4629">
        <w:t xml:space="preserve"> in the financing document</w:t>
      </w:r>
      <w:r w:rsidRPr="00DE4629">
        <w:t xml:space="preserve"> and described as follows: “Lots nos. &lt;10 to 18&gt; ten to eighteen, inclusive, in Block sixty-six &lt;66&gt;.”    </w:t>
      </w:r>
    </w:p>
  </w:footnote>
  <w:footnote w:id="5">
    <w:p w14:paraId="061DC1C6" w14:textId="1D54D472" w:rsidR="00C20357" w:rsidRPr="00DE4629" w:rsidRDefault="00CA5748" w:rsidP="00F666E1">
      <w:pPr>
        <w:pStyle w:val="FootnoteText"/>
        <w:spacing w:after="120"/>
        <w:ind w:firstLine="720"/>
      </w:pPr>
      <w:r w:rsidRPr="00DE4629">
        <w:rPr>
          <w:rStyle w:val="FootnoteReference"/>
        </w:rPr>
        <w:footnoteRef/>
      </w:r>
      <w:r w:rsidRPr="00DE4629">
        <w:t xml:space="preserve">  The </w:t>
      </w:r>
      <w:r w:rsidR="00A20ED2" w:rsidRPr="00DE4629">
        <w:t>lots were</w:t>
      </w:r>
      <w:r w:rsidRPr="00DE4629">
        <w:t xml:space="preserve"> described, as best as can be discerned from the copy of the handwritten deed in the record, as follows: </w:t>
      </w:r>
      <w:r w:rsidR="00E04CF9" w:rsidRPr="00DE4629">
        <w:t xml:space="preserve"> </w:t>
      </w:r>
      <w:r w:rsidRPr="00DE4629">
        <w:t>“. . . in the City of Oakland, County of Alameda, State of California . . . Lots No</w:t>
      </w:r>
      <w:r w:rsidR="001B2B70" w:rsidRPr="00DE4629">
        <w:t>s</w:t>
      </w:r>
      <w:r w:rsidRPr="00DE4629">
        <w:t>. Fifteen, Sixteen, Seventee</w:t>
      </w:r>
      <w:r w:rsidR="001B2B70" w:rsidRPr="00DE4629">
        <w:t>n</w:t>
      </w:r>
      <w:r w:rsidRPr="00DE4629">
        <w:t xml:space="preserve">, and Eighteen &lt;15, 16, 17, and 18&gt; in Block No. Sixty-Six &lt;66&gt; of what was formerly the . . . San Antonio . . . recorded in the Recorder’s Office of said County of Alameda in . . . of maps at pages 2 and 3.”       </w:t>
      </w:r>
    </w:p>
  </w:footnote>
  <w:footnote w:id="6">
    <w:p w14:paraId="77A031C0" w14:textId="03282E74" w:rsidR="00E93843" w:rsidRPr="00DE4629" w:rsidRDefault="00CA5748" w:rsidP="00F666E1">
      <w:pPr>
        <w:pStyle w:val="FootnoteText"/>
        <w:spacing w:after="120"/>
        <w:ind w:firstLine="720"/>
      </w:pPr>
      <w:r w:rsidRPr="00DE4629">
        <w:rPr>
          <w:rStyle w:val="FootnoteReference"/>
        </w:rPr>
        <w:footnoteRef/>
      </w:r>
      <w:r w:rsidRPr="00DE4629">
        <w:t xml:space="preserve">  The </w:t>
      </w:r>
      <w:r w:rsidR="00A20ED2" w:rsidRPr="00DE4629">
        <w:t xml:space="preserve">lots were </w:t>
      </w:r>
      <w:r w:rsidRPr="00DE4629">
        <w:t>described as follows</w:t>
      </w:r>
      <w:proofErr w:type="gramStart"/>
      <w:r w:rsidRPr="00DE4629">
        <w:t>:  “</w:t>
      </w:r>
      <w:proofErr w:type="gramEnd"/>
      <w:r w:rsidRPr="00DE4629">
        <w:t xml:space="preserve">Lots Fifteen, Sixteen, Seventeen, and Eighteen (15, 16, 17, and 18) in Block No. Sixty Six (66) of what was formerly the Town of San Antonio as per Map thereof,” followed by a </w:t>
      </w:r>
      <w:proofErr w:type="spellStart"/>
      <w:r w:rsidRPr="00DE4629">
        <w:t>mete</w:t>
      </w:r>
      <w:proofErr w:type="spellEnd"/>
      <w:r w:rsidRPr="00DE4629">
        <w:t xml:space="preserve"> and bounds description that encompassed all four lots.  </w:t>
      </w:r>
    </w:p>
  </w:footnote>
  <w:footnote w:id="7">
    <w:p w14:paraId="6A9E22D5" w14:textId="5B8759CC" w:rsidR="00E93843" w:rsidRPr="00DE4629" w:rsidRDefault="00CA5748" w:rsidP="00F666E1">
      <w:pPr>
        <w:pStyle w:val="FootnoteText"/>
        <w:spacing w:after="120"/>
        <w:ind w:firstLine="720"/>
      </w:pPr>
      <w:r w:rsidRPr="00DE4629">
        <w:rPr>
          <w:rStyle w:val="FootnoteReference"/>
        </w:rPr>
        <w:footnoteRef/>
      </w:r>
      <w:r w:rsidRPr="00DE4629">
        <w:t xml:space="preserve">  The </w:t>
      </w:r>
      <w:r w:rsidR="008650DF" w:rsidRPr="00DE4629">
        <w:t>description o</w:t>
      </w:r>
      <w:r w:rsidR="009B7B48" w:rsidRPr="00DE4629">
        <w:t>f</w:t>
      </w:r>
      <w:r w:rsidR="008650DF" w:rsidRPr="00DE4629">
        <w:t xml:space="preserve"> the </w:t>
      </w:r>
      <w:r w:rsidR="00A20ED2" w:rsidRPr="00DE4629">
        <w:t xml:space="preserve">lots on the </w:t>
      </w:r>
      <w:r w:rsidR="008650DF" w:rsidRPr="00DE4629">
        <w:t xml:space="preserve">copy of the deed in the record is illegible.  </w:t>
      </w:r>
      <w:r w:rsidRPr="00DE4629">
        <w:t xml:space="preserve">  </w:t>
      </w:r>
    </w:p>
  </w:footnote>
  <w:footnote w:id="8">
    <w:p w14:paraId="33B58075" w14:textId="496038DC" w:rsidR="003632F1" w:rsidRPr="00DE4629" w:rsidRDefault="00CA5748" w:rsidP="00F666E1">
      <w:pPr>
        <w:pStyle w:val="FootnoteText"/>
        <w:spacing w:after="120"/>
        <w:ind w:firstLine="720"/>
        <w:rPr>
          <w:sz w:val="20"/>
        </w:rPr>
      </w:pPr>
      <w:r w:rsidRPr="00DE4629">
        <w:rPr>
          <w:rStyle w:val="FootnoteReference"/>
        </w:rPr>
        <w:footnoteRef/>
      </w:r>
      <w:r w:rsidRPr="00DE4629">
        <w:t xml:space="preserve">  The property was described as follows:</w:t>
      </w:r>
    </w:p>
    <w:p w14:paraId="38BAE91F" w14:textId="66B06B44" w:rsidR="00BF7846" w:rsidRPr="00DE4629" w:rsidRDefault="00CA5748" w:rsidP="00F666E1">
      <w:pPr>
        <w:pStyle w:val="FootnoteText"/>
        <w:spacing w:after="120"/>
        <w:ind w:left="720"/>
        <w:rPr>
          <w:szCs w:val="26"/>
        </w:rPr>
      </w:pPr>
      <w:r w:rsidRPr="00DE4629">
        <w:rPr>
          <w:szCs w:val="26"/>
        </w:rPr>
        <w:t xml:space="preserve">“BEGINNING at the point of intersection of the </w:t>
      </w:r>
      <w:proofErr w:type="gramStart"/>
      <w:r w:rsidRPr="00DE4629">
        <w:rPr>
          <w:szCs w:val="26"/>
        </w:rPr>
        <w:t>south eastern</w:t>
      </w:r>
      <w:proofErr w:type="gramEnd"/>
      <w:r w:rsidRPr="00DE4629">
        <w:rPr>
          <w:szCs w:val="26"/>
        </w:rPr>
        <w:t xml:space="preserve"> line of 22</w:t>
      </w:r>
      <w:r w:rsidRPr="00DE4629">
        <w:rPr>
          <w:szCs w:val="26"/>
          <w:vertAlign w:val="superscript"/>
        </w:rPr>
        <w:t>nd</w:t>
      </w:r>
      <w:r w:rsidRPr="00DE4629">
        <w:rPr>
          <w:szCs w:val="26"/>
        </w:rPr>
        <w:t xml:space="preserve"> Avenue, formerly Peralta Street, as said Peralta Street is shown on the map hereinafter referred to, with the Southwestern line</w:t>
      </w:r>
      <w:r w:rsidR="00453A09" w:rsidRPr="00DE4629">
        <w:rPr>
          <w:szCs w:val="26"/>
        </w:rPr>
        <w:t xml:space="preserve"> of</w:t>
      </w:r>
      <w:r w:rsidRPr="00DE4629">
        <w:rPr>
          <w:szCs w:val="26"/>
        </w:rPr>
        <w:t xml:space="preserve"> East 21</w:t>
      </w:r>
      <w:r w:rsidRPr="00DE4629">
        <w:rPr>
          <w:szCs w:val="26"/>
          <w:vertAlign w:val="superscript"/>
        </w:rPr>
        <w:t>st</w:t>
      </w:r>
      <w:r w:rsidRPr="00DE4629">
        <w:rPr>
          <w:szCs w:val="26"/>
        </w:rPr>
        <w:t xml:space="preserve"> Street; </w:t>
      </w:r>
      <w:r w:rsidR="00FB4E1D" w:rsidRPr="00DE4629">
        <w:rPr>
          <w:szCs w:val="26"/>
        </w:rPr>
        <w:t>r</w:t>
      </w:r>
      <w:r w:rsidRPr="00DE4629">
        <w:rPr>
          <w:szCs w:val="26"/>
        </w:rPr>
        <w:t xml:space="preserve">unning thence </w:t>
      </w:r>
      <w:proofErr w:type="spellStart"/>
      <w:r w:rsidRPr="00DE4629">
        <w:rPr>
          <w:szCs w:val="26"/>
        </w:rPr>
        <w:t>Southeastern</w:t>
      </w:r>
      <w:r w:rsidR="00453A09" w:rsidRPr="00DE4629">
        <w:rPr>
          <w:szCs w:val="26"/>
        </w:rPr>
        <w:t>ly</w:t>
      </w:r>
      <w:proofErr w:type="spellEnd"/>
      <w:r w:rsidRPr="00DE4629">
        <w:rPr>
          <w:szCs w:val="26"/>
        </w:rPr>
        <w:t xml:space="preserve"> along said line of East 21</w:t>
      </w:r>
      <w:r w:rsidRPr="00DE4629">
        <w:rPr>
          <w:szCs w:val="26"/>
          <w:vertAlign w:val="superscript"/>
        </w:rPr>
        <w:t>st</w:t>
      </w:r>
      <w:r w:rsidRPr="00DE4629">
        <w:rPr>
          <w:szCs w:val="26"/>
        </w:rPr>
        <w:t xml:space="preserve"> </w:t>
      </w:r>
      <w:r w:rsidR="00453A09" w:rsidRPr="00DE4629">
        <w:rPr>
          <w:szCs w:val="26"/>
        </w:rPr>
        <w:t xml:space="preserve">street </w:t>
      </w:r>
      <w:r w:rsidRPr="00DE4629">
        <w:rPr>
          <w:szCs w:val="26"/>
        </w:rPr>
        <w:t>62 feet</w:t>
      </w:r>
      <w:r w:rsidR="00453A09" w:rsidRPr="00DE4629">
        <w:rPr>
          <w:szCs w:val="26"/>
        </w:rPr>
        <w:t>;</w:t>
      </w:r>
      <w:r w:rsidRPr="00DE4629">
        <w:rPr>
          <w:szCs w:val="26"/>
        </w:rPr>
        <w:t xml:space="preserve"> thence at right angles Southwesterly 140 feet</w:t>
      </w:r>
      <w:r w:rsidR="00453A09" w:rsidRPr="00DE4629">
        <w:rPr>
          <w:szCs w:val="26"/>
        </w:rPr>
        <w:t>;</w:t>
      </w:r>
      <w:r w:rsidRPr="00DE4629">
        <w:rPr>
          <w:szCs w:val="26"/>
        </w:rPr>
        <w:t xml:space="preserve"> thence at right angles Northwesterly 62 feet to said Southwesterly line of 22</w:t>
      </w:r>
      <w:r w:rsidRPr="00DE4629">
        <w:rPr>
          <w:szCs w:val="26"/>
          <w:vertAlign w:val="superscript"/>
        </w:rPr>
        <w:t>nd</w:t>
      </w:r>
      <w:r w:rsidRPr="00DE4629">
        <w:rPr>
          <w:szCs w:val="26"/>
        </w:rPr>
        <w:t xml:space="preserve"> Avenue</w:t>
      </w:r>
      <w:r w:rsidR="00453A09" w:rsidRPr="00DE4629">
        <w:rPr>
          <w:szCs w:val="26"/>
        </w:rPr>
        <w:t>;</w:t>
      </w:r>
      <w:r w:rsidRPr="00DE4629">
        <w:rPr>
          <w:szCs w:val="26"/>
        </w:rPr>
        <w:t xml:space="preserve"> thence Northwesterly thereon 140 feet to the point of beginning.</w:t>
      </w:r>
    </w:p>
    <w:p w14:paraId="442F7564" w14:textId="79AAF199" w:rsidR="00E93843" w:rsidRPr="00DE4629" w:rsidRDefault="00CA5748" w:rsidP="00F666E1">
      <w:pPr>
        <w:pStyle w:val="FootnoteText"/>
        <w:spacing w:after="120"/>
        <w:ind w:left="720"/>
      </w:pPr>
      <w:r w:rsidRPr="00DE4629">
        <w:rPr>
          <w:szCs w:val="26"/>
        </w:rPr>
        <w:t>“</w:t>
      </w:r>
      <w:r w:rsidR="003632F1" w:rsidRPr="00DE4629">
        <w:rPr>
          <w:szCs w:val="26"/>
        </w:rPr>
        <w:t>BEING</w:t>
      </w:r>
      <w:r w:rsidR="00BF7846" w:rsidRPr="00DE4629">
        <w:rPr>
          <w:szCs w:val="26"/>
        </w:rPr>
        <w:t xml:space="preserve"> a portion of </w:t>
      </w:r>
      <w:r w:rsidR="003632F1" w:rsidRPr="00DE4629">
        <w:rPr>
          <w:szCs w:val="26"/>
        </w:rPr>
        <w:t>L</w:t>
      </w:r>
      <w:r w:rsidR="00BF7846" w:rsidRPr="00DE4629">
        <w:rPr>
          <w:szCs w:val="26"/>
        </w:rPr>
        <w:t xml:space="preserve">ot </w:t>
      </w:r>
      <w:r w:rsidR="003632F1" w:rsidRPr="00DE4629">
        <w:rPr>
          <w:szCs w:val="26"/>
        </w:rPr>
        <w:t>N</w:t>
      </w:r>
      <w:r w:rsidR="00BF7846" w:rsidRPr="00DE4629">
        <w:rPr>
          <w:szCs w:val="26"/>
        </w:rPr>
        <w:t xml:space="preserve">umbered 16, and all of </w:t>
      </w:r>
      <w:r w:rsidR="003632F1" w:rsidRPr="00DE4629">
        <w:rPr>
          <w:szCs w:val="26"/>
        </w:rPr>
        <w:t>L</w:t>
      </w:r>
      <w:r w:rsidR="00BF7846" w:rsidRPr="00DE4629">
        <w:rPr>
          <w:szCs w:val="26"/>
        </w:rPr>
        <w:t xml:space="preserve">ots </w:t>
      </w:r>
      <w:r w:rsidR="003632F1" w:rsidRPr="00DE4629">
        <w:rPr>
          <w:szCs w:val="26"/>
        </w:rPr>
        <w:t xml:space="preserve">Numbered </w:t>
      </w:r>
      <w:r w:rsidR="00BF7846" w:rsidRPr="00DE4629">
        <w:rPr>
          <w:szCs w:val="26"/>
        </w:rPr>
        <w:t xml:space="preserve">17 and 18 in </w:t>
      </w:r>
      <w:r w:rsidR="003632F1" w:rsidRPr="00DE4629">
        <w:rPr>
          <w:szCs w:val="26"/>
        </w:rPr>
        <w:t>B</w:t>
      </w:r>
      <w:r w:rsidR="00BF7846" w:rsidRPr="00DE4629">
        <w:rPr>
          <w:szCs w:val="26"/>
        </w:rPr>
        <w:t xml:space="preserve">lock </w:t>
      </w:r>
      <w:r w:rsidR="003632F1" w:rsidRPr="00DE4629">
        <w:rPr>
          <w:szCs w:val="26"/>
        </w:rPr>
        <w:t>N</w:t>
      </w:r>
      <w:r w:rsidR="00BF7846" w:rsidRPr="00DE4629">
        <w:rPr>
          <w:szCs w:val="26"/>
        </w:rPr>
        <w:t xml:space="preserve">umbered 66, as said lots and block are delineated and so designated upon that certain map entitled </w:t>
      </w:r>
      <w:r w:rsidR="00453A09" w:rsidRPr="00DE4629">
        <w:rPr>
          <w:szCs w:val="26"/>
        </w:rPr>
        <w:t>‘</w:t>
      </w:r>
      <w:r w:rsidR="003632F1" w:rsidRPr="00DE4629">
        <w:rPr>
          <w:szCs w:val="26"/>
        </w:rPr>
        <w:t>M</w:t>
      </w:r>
      <w:r w:rsidR="00BF7846" w:rsidRPr="00DE4629">
        <w:rPr>
          <w:szCs w:val="26"/>
        </w:rPr>
        <w:t xml:space="preserve">ap of </w:t>
      </w:r>
      <w:r w:rsidR="003632F1" w:rsidRPr="00DE4629">
        <w:rPr>
          <w:szCs w:val="26"/>
        </w:rPr>
        <w:t>S</w:t>
      </w:r>
      <w:r w:rsidR="00BF7846" w:rsidRPr="00DE4629">
        <w:rPr>
          <w:szCs w:val="26"/>
        </w:rPr>
        <w:t xml:space="preserve">an </w:t>
      </w:r>
      <w:r w:rsidR="003632F1" w:rsidRPr="00DE4629">
        <w:rPr>
          <w:szCs w:val="26"/>
        </w:rPr>
        <w:t>A</w:t>
      </w:r>
      <w:r w:rsidR="00BF7846" w:rsidRPr="00DE4629">
        <w:rPr>
          <w:szCs w:val="26"/>
        </w:rPr>
        <w:t>ntonio</w:t>
      </w:r>
      <w:r w:rsidR="00453A09" w:rsidRPr="00DE4629">
        <w:rPr>
          <w:szCs w:val="26"/>
        </w:rPr>
        <w:t>,’</w:t>
      </w:r>
      <w:r w:rsidR="00BF7846" w:rsidRPr="00DE4629">
        <w:rPr>
          <w:szCs w:val="26"/>
        </w:rPr>
        <w:t xml:space="preserve"> filed </w:t>
      </w:r>
      <w:r w:rsidR="003632F1" w:rsidRPr="00DE4629">
        <w:rPr>
          <w:szCs w:val="26"/>
        </w:rPr>
        <w:t>S</w:t>
      </w:r>
      <w:r w:rsidR="00BF7846" w:rsidRPr="00DE4629">
        <w:rPr>
          <w:szCs w:val="26"/>
        </w:rPr>
        <w:t xml:space="preserve">eptember 12, </w:t>
      </w:r>
      <w:proofErr w:type="gramStart"/>
      <w:r w:rsidR="00BF7846" w:rsidRPr="00DE4629">
        <w:rPr>
          <w:szCs w:val="26"/>
        </w:rPr>
        <w:t>1854</w:t>
      </w:r>
      <w:proofErr w:type="gramEnd"/>
      <w:r w:rsidR="00BF7846" w:rsidRPr="00DE4629">
        <w:rPr>
          <w:szCs w:val="26"/>
        </w:rPr>
        <w:t xml:space="preserve"> and recorded </w:t>
      </w:r>
      <w:r w:rsidR="003632F1" w:rsidRPr="00DE4629">
        <w:rPr>
          <w:szCs w:val="26"/>
        </w:rPr>
        <w:t>A</w:t>
      </w:r>
      <w:r w:rsidR="00BF7846" w:rsidRPr="00DE4629">
        <w:rPr>
          <w:szCs w:val="26"/>
        </w:rPr>
        <w:t>pril 27</w:t>
      </w:r>
      <w:r w:rsidR="00453A09" w:rsidRPr="00DE4629">
        <w:rPr>
          <w:szCs w:val="26"/>
        </w:rPr>
        <w:t>[</w:t>
      </w:r>
      <w:r w:rsidR="00BF7846" w:rsidRPr="00DE4629">
        <w:rPr>
          <w:szCs w:val="26"/>
        </w:rPr>
        <w:t>,</w:t>
      </w:r>
      <w:r w:rsidR="00453A09" w:rsidRPr="00DE4629">
        <w:rPr>
          <w:szCs w:val="26"/>
        </w:rPr>
        <w:t>]</w:t>
      </w:r>
      <w:r w:rsidR="00BF7846" w:rsidRPr="00DE4629">
        <w:rPr>
          <w:szCs w:val="26"/>
        </w:rPr>
        <w:t xml:space="preserve"> 1869 in </w:t>
      </w:r>
      <w:r w:rsidR="00453A09" w:rsidRPr="00DE4629">
        <w:rPr>
          <w:szCs w:val="26"/>
        </w:rPr>
        <w:t>b</w:t>
      </w:r>
      <w:r w:rsidR="00BF7846" w:rsidRPr="00DE4629">
        <w:rPr>
          <w:szCs w:val="26"/>
        </w:rPr>
        <w:t xml:space="preserve">ook 1 of maps at pages 2 and 3 in the office of the </w:t>
      </w:r>
      <w:r w:rsidR="003632F1" w:rsidRPr="00DE4629">
        <w:rPr>
          <w:szCs w:val="26"/>
        </w:rPr>
        <w:t>C</w:t>
      </w:r>
      <w:r w:rsidR="00BF7846" w:rsidRPr="00DE4629">
        <w:rPr>
          <w:szCs w:val="26"/>
        </w:rPr>
        <w:t xml:space="preserve">ounty </w:t>
      </w:r>
      <w:r w:rsidR="003632F1" w:rsidRPr="00DE4629">
        <w:rPr>
          <w:szCs w:val="26"/>
        </w:rPr>
        <w:t>R</w:t>
      </w:r>
      <w:r w:rsidR="00BF7846" w:rsidRPr="00DE4629">
        <w:rPr>
          <w:szCs w:val="26"/>
        </w:rPr>
        <w:t xml:space="preserve">ecorder of </w:t>
      </w:r>
      <w:r w:rsidR="003632F1" w:rsidRPr="00DE4629">
        <w:rPr>
          <w:szCs w:val="26"/>
        </w:rPr>
        <w:t>A</w:t>
      </w:r>
      <w:r w:rsidR="00BF7846" w:rsidRPr="00DE4629">
        <w:rPr>
          <w:szCs w:val="26"/>
        </w:rPr>
        <w:t xml:space="preserve">lameda </w:t>
      </w:r>
      <w:r w:rsidR="003632F1" w:rsidRPr="00DE4629">
        <w:rPr>
          <w:szCs w:val="26"/>
        </w:rPr>
        <w:t>C</w:t>
      </w:r>
      <w:r w:rsidR="00BF7846" w:rsidRPr="00DE4629">
        <w:rPr>
          <w:szCs w:val="26"/>
        </w:rPr>
        <w:t>ounty.</w:t>
      </w:r>
      <w:r w:rsidRPr="00DE4629">
        <w:rPr>
          <w:szCs w:val="26"/>
        </w:rPr>
        <w:t>”</w:t>
      </w:r>
      <w:r w:rsidR="00BF7846" w:rsidRPr="00DE4629">
        <w:rPr>
          <w:szCs w:val="26"/>
        </w:rPr>
        <w:t xml:space="preserve">  </w:t>
      </w:r>
    </w:p>
  </w:footnote>
  <w:footnote w:id="9">
    <w:p w14:paraId="63AF7DA5" w14:textId="5E276F73" w:rsidR="00E93843" w:rsidRPr="00DE4629" w:rsidRDefault="00CA5748" w:rsidP="00F666E1">
      <w:pPr>
        <w:pStyle w:val="FootnoteText"/>
        <w:spacing w:after="120"/>
        <w:ind w:firstLine="720"/>
      </w:pPr>
      <w:r w:rsidRPr="00DE4629">
        <w:rPr>
          <w:rStyle w:val="FootnoteReference"/>
        </w:rPr>
        <w:footnoteRef/>
      </w:r>
      <w:r w:rsidRPr="00DE4629">
        <w:t xml:space="preserve">  A </w:t>
      </w:r>
      <w:r w:rsidR="00465362" w:rsidRPr="00DE4629">
        <w:t>t</w:t>
      </w:r>
      <w:r w:rsidRPr="00DE4629">
        <w:t xml:space="preserve">itle </w:t>
      </w:r>
      <w:r w:rsidR="00465362" w:rsidRPr="00DE4629">
        <w:t>i</w:t>
      </w:r>
      <w:r w:rsidRPr="00DE4629">
        <w:t xml:space="preserve">nsurance </w:t>
      </w:r>
      <w:r w:rsidR="00465362" w:rsidRPr="00DE4629">
        <w:t>p</w:t>
      </w:r>
      <w:r w:rsidRPr="00DE4629">
        <w:t xml:space="preserve">olicy issued </w:t>
      </w:r>
      <w:r w:rsidR="003632F1" w:rsidRPr="00DE4629">
        <w:t xml:space="preserve">for the property in </w:t>
      </w:r>
      <w:r w:rsidRPr="00DE4629">
        <w:t xml:space="preserve">2019 set forth the “legal description” </w:t>
      </w:r>
      <w:r w:rsidR="00465362" w:rsidRPr="00DE4629">
        <w:t xml:space="preserve">(capitalization omitted) </w:t>
      </w:r>
      <w:r w:rsidRPr="00DE4629">
        <w:t>as follows:</w:t>
      </w:r>
    </w:p>
    <w:p w14:paraId="22CF352B" w14:textId="16A55603" w:rsidR="00E93843" w:rsidRPr="00DE4629" w:rsidRDefault="00CA5748" w:rsidP="00F666E1">
      <w:pPr>
        <w:pStyle w:val="FootnoteText"/>
        <w:spacing w:after="120"/>
        <w:ind w:left="720"/>
        <w:rPr>
          <w:szCs w:val="26"/>
        </w:rPr>
      </w:pPr>
      <w:r w:rsidRPr="00DE4629">
        <w:rPr>
          <w:szCs w:val="26"/>
        </w:rPr>
        <w:t xml:space="preserve">“BEGINNING AT THE POINT OF INTERSECTION OF THE </w:t>
      </w:r>
      <w:proofErr w:type="gramStart"/>
      <w:r w:rsidRPr="00DE4629">
        <w:rPr>
          <w:szCs w:val="26"/>
        </w:rPr>
        <w:t>SOUTH EASTERN</w:t>
      </w:r>
      <w:proofErr w:type="gramEnd"/>
      <w:r w:rsidRPr="00DE4629">
        <w:rPr>
          <w:szCs w:val="26"/>
        </w:rPr>
        <w:t xml:space="preserve"> LINE OF 22</w:t>
      </w:r>
      <w:r w:rsidRPr="00DE4629">
        <w:rPr>
          <w:szCs w:val="26"/>
          <w:vertAlign w:val="superscript"/>
        </w:rPr>
        <w:t>ND</w:t>
      </w:r>
      <w:r w:rsidRPr="00DE4629">
        <w:rPr>
          <w:szCs w:val="26"/>
        </w:rPr>
        <w:t xml:space="preserve"> AVENUE, FORMERLY PERALTA STREET, AS SAID PERALTA STREET IS SHOWN ON THE MAP HEREINAFTER REFERRED TO, WITH THE SOUTHWESTERN LINE EAST 21</w:t>
      </w:r>
      <w:r w:rsidRPr="00DE4629">
        <w:rPr>
          <w:szCs w:val="26"/>
          <w:vertAlign w:val="superscript"/>
        </w:rPr>
        <w:t>ST</w:t>
      </w:r>
      <w:r w:rsidRPr="00DE4629">
        <w:rPr>
          <w:szCs w:val="26"/>
        </w:rPr>
        <w:t xml:space="preserve"> STREET; </w:t>
      </w:r>
      <w:r w:rsidR="00FB4E1D" w:rsidRPr="00DE4629">
        <w:rPr>
          <w:szCs w:val="26"/>
        </w:rPr>
        <w:t>R</w:t>
      </w:r>
      <w:r w:rsidRPr="00DE4629">
        <w:rPr>
          <w:szCs w:val="26"/>
        </w:rPr>
        <w:t>UNNING THENCE SOUTHEASTERN ALONG SAID LINE OF EAST 21</w:t>
      </w:r>
      <w:r w:rsidRPr="00DE4629">
        <w:rPr>
          <w:szCs w:val="26"/>
          <w:vertAlign w:val="superscript"/>
        </w:rPr>
        <w:t>ST</w:t>
      </w:r>
      <w:r w:rsidRPr="00DE4629">
        <w:rPr>
          <w:szCs w:val="26"/>
        </w:rPr>
        <w:t xml:space="preserve"> 62 FEET THENCE AT RIGHT ANGLES SOUTHWESTERLY 140 FEET THENCE AT RIGHT ANGLES NORTHWESTERLY 62 FEET TO SAID SOUTHWESTERLY LINE OF 22</w:t>
      </w:r>
      <w:r w:rsidRPr="00DE4629">
        <w:rPr>
          <w:szCs w:val="26"/>
          <w:vertAlign w:val="superscript"/>
        </w:rPr>
        <w:t>ND</w:t>
      </w:r>
      <w:r w:rsidRPr="00DE4629">
        <w:rPr>
          <w:szCs w:val="26"/>
        </w:rPr>
        <w:t xml:space="preserve"> AVENUE, THENCE NORTHE</w:t>
      </w:r>
      <w:r w:rsidR="00FB4E1D" w:rsidRPr="00DE4629">
        <w:rPr>
          <w:szCs w:val="26"/>
        </w:rPr>
        <w:t>A</w:t>
      </w:r>
      <w:r w:rsidRPr="00DE4629">
        <w:rPr>
          <w:szCs w:val="26"/>
        </w:rPr>
        <w:t>STERLY THEREON 140 FEET TO THE POINT OF BEGINNING.</w:t>
      </w:r>
    </w:p>
    <w:p w14:paraId="22743D55" w14:textId="50685EA9" w:rsidR="00E93843" w:rsidRPr="00DE4629" w:rsidRDefault="00CA5748" w:rsidP="00F666E1">
      <w:pPr>
        <w:pStyle w:val="FootnoteText"/>
        <w:spacing w:after="120"/>
        <w:ind w:left="720"/>
        <w:rPr>
          <w:szCs w:val="26"/>
        </w:rPr>
      </w:pPr>
      <w:r w:rsidRPr="00DE4629">
        <w:rPr>
          <w:szCs w:val="26"/>
        </w:rPr>
        <w:t xml:space="preserve">“BEING A PORTION OF LOT NUMBERED 16, AND ALL OF LOTS 17 AND 18 IN BLOCK NUMBERED 66, AS SAID LOTS AND BLOCK ARE DELINEATED AND SO DESIGNATED UPON THAT CERTAIN MAP ENTITLED </w:t>
      </w:r>
      <w:r w:rsidR="00FB4E1D" w:rsidRPr="00DE4629">
        <w:rPr>
          <w:szCs w:val="26"/>
        </w:rPr>
        <w:t>‘</w:t>
      </w:r>
      <w:r w:rsidRPr="00DE4629">
        <w:rPr>
          <w:szCs w:val="26"/>
        </w:rPr>
        <w:t>MAP OF SAN ANTONIO</w:t>
      </w:r>
      <w:r w:rsidR="00FB4E1D" w:rsidRPr="00DE4629">
        <w:rPr>
          <w:szCs w:val="26"/>
        </w:rPr>
        <w:t>’</w:t>
      </w:r>
      <w:r w:rsidRPr="00DE4629">
        <w:rPr>
          <w:szCs w:val="26"/>
        </w:rPr>
        <w:t xml:space="preserve"> FILED SEPTEMBER 12, </w:t>
      </w:r>
      <w:proofErr w:type="gramStart"/>
      <w:r w:rsidRPr="00DE4629">
        <w:rPr>
          <w:szCs w:val="26"/>
        </w:rPr>
        <w:t>1854</w:t>
      </w:r>
      <w:proofErr w:type="gramEnd"/>
      <w:r w:rsidRPr="00DE4629">
        <w:rPr>
          <w:szCs w:val="26"/>
        </w:rPr>
        <w:t xml:space="preserve"> AND RECORDED APRIL 27, 1869 IN </w:t>
      </w:r>
      <w:r w:rsidRPr="00DE4629">
        <w:rPr>
          <w:szCs w:val="26"/>
          <w:u w:val="single"/>
        </w:rPr>
        <w:t>BOOK 1 OF MAPS AT PAGES 2 AND 3</w:t>
      </w:r>
      <w:r w:rsidRPr="00DE4629">
        <w:rPr>
          <w:szCs w:val="26"/>
        </w:rPr>
        <w:t xml:space="preserve"> IN THE OFFICE OF THE COUNTY RECORDER OF ALAMEDA COUNTY.</w:t>
      </w:r>
    </w:p>
    <w:p w14:paraId="2D9E7177" w14:textId="2E0361C2" w:rsidR="00E93843" w:rsidRPr="00DE4629" w:rsidRDefault="00CA5748" w:rsidP="00F666E1">
      <w:pPr>
        <w:pStyle w:val="FootnoteText"/>
        <w:spacing w:after="120"/>
        <w:ind w:left="720"/>
        <w:rPr>
          <w:szCs w:val="26"/>
        </w:rPr>
      </w:pPr>
      <w:r w:rsidRPr="00DE4629">
        <w:rPr>
          <w:szCs w:val="26"/>
        </w:rPr>
        <w:t xml:space="preserve">“APN: 021-0252-022.”   </w:t>
      </w:r>
    </w:p>
  </w:footnote>
  <w:footnote w:id="10">
    <w:p w14:paraId="6925832E" w14:textId="2E951085" w:rsidR="00446E22" w:rsidRPr="00DE4629" w:rsidRDefault="00CA5748" w:rsidP="00F666E1">
      <w:pPr>
        <w:pStyle w:val="FootnoteText"/>
        <w:spacing w:after="120"/>
        <w:ind w:firstLine="720"/>
      </w:pPr>
      <w:r w:rsidRPr="00DE4629">
        <w:rPr>
          <w:rStyle w:val="FootnoteReference"/>
        </w:rPr>
        <w:footnoteRef/>
      </w:r>
      <w:r w:rsidRPr="00DE4629">
        <w:t xml:space="preserve">  All further statutory references are to the Government Code unless otherwise indicated. </w:t>
      </w:r>
    </w:p>
  </w:footnote>
  <w:footnote w:id="11">
    <w:p w14:paraId="6417E062" w14:textId="67F4B6DA" w:rsidR="00AF695F" w:rsidRPr="00DE4629" w:rsidRDefault="00CA5748" w:rsidP="00F666E1">
      <w:pPr>
        <w:pStyle w:val="FootnoteText"/>
        <w:spacing w:after="120"/>
        <w:ind w:firstLine="720"/>
      </w:pPr>
      <w:r w:rsidRPr="00DE4629">
        <w:rPr>
          <w:rStyle w:val="FootnoteReference"/>
        </w:rPr>
        <w:footnoteRef/>
      </w:r>
      <w:r w:rsidRPr="00DE4629">
        <w:t xml:space="preserve">  As we shall discuss, this statement implicitly acknowledged our Supreme Court’s </w:t>
      </w:r>
      <w:r w:rsidR="001F7038" w:rsidRPr="00DE4629">
        <w:t xml:space="preserve">decision in </w:t>
      </w:r>
      <w:r w:rsidRPr="00DE4629">
        <w:rPr>
          <w:i/>
          <w:iCs/>
        </w:rPr>
        <w:t xml:space="preserve">Gardner v. County of Sonoma </w:t>
      </w:r>
      <w:r w:rsidRPr="00DE4629">
        <w:t>(2003) 29 Cal.4th 990 (</w:t>
      </w:r>
      <w:r w:rsidRPr="00DE4629">
        <w:rPr>
          <w:i/>
          <w:iCs/>
        </w:rPr>
        <w:t>Gardner</w:t>
      </w:r>
      <w:r w:rsidRPr="00DE4629">
        <w:t>)</w:t>
      </w:r>
      <w:r w:rsidR="001F7038" w:rsidRPr="00DE4629">
        <w:t xml:space="preserve"> and this court’s decision in </w:t>
      </w:r>
      <w:r w:rsidR="001F7038" w:rsidRPr="00DE4629">
        <w:rPr>
          <w:rFonts w:eastAsia="Times New Roman" w:cs="Arial"/>
          <w:i/>
          <w:iCs/>
          <w:color w:val="000000"/>
          <w:szCs w:val="26"/>
        </w:rPr>
        <w:t xml:space="preserve">Witt Home Ranch, Inc. v. County of Sonoma </w:t>
      </w:r>
      <w:r w:rsidR="001F7038" w:rsidRPr="00DE4629">
        <w:rPr>
          <w:rFonts w:eastAsia="Times New Roman" w:cs="Arial"/>
          <w:color w:val="000000"/>
          <w:szCs w:val="26"/>
        </w:rPr>
        <w:t>(2008) 165 Cal.App.4th 543 (</w:t>
      </w:r>
      <w:r w:rsidR="001F7038" w:rsidRPr="00DE4629">
        <w:rPr>
          <w:rFonts w:eastAsia="Times New Roman" w:cs="Arial"/>
          <w:i/>
          <w:iCs/>
          <w:color w:val="000000"/>
          <w:szCs w:val="26"/>
        </w:rPr>
        <w:t>Witt</w:t>
      </w:r>
      <w:r w:rsidR="001F7038" w:rsidRPr="00DE4629">
        <w:rPr>
          <w:rFonts w:eastAsia="Times New Roman" w:cs="Arial"/>
          <w:color w:val="000000"/>
          <w:szCs w:val="26"/>
        </w:rPr>
        <w:t xml:space="preserve">). </w:t>
      </w:r>
      <w:r w:rsidRPr="00DE4629">
        <w:t xml:space="preserve">  </w:t>
      </w:r>
    </w:p>
  </w:footnote>
  <w:footnote w:id="12">
    <w:p w14:paraId="6A8F859C" w14:textId="7A9EF4D0" w:rsidR="001C440A" w:rsidRPr="00DE4629" w:rsidRDefault="00CA5748" w:rsidP="00F666E1">
      <w:pPr>
        <w:pStyle w:val="FootnoteText"/>
        <w:spacing w:after="120"/>
        <w:ind w:firstLine="720"/>
      </w:pPr>
      <w:r w:rsidRPr="00DE4629">
        <w:rPr>
          <w:rStyle w:val="FootnoteReference"/>
        </w:rPr>
        <w:footnoteRef/>
      </w:r>
      <w:r w:rsidRPr="00DE4629">
        <w:t xml:space="preserve">  As we have recited, </w:t>
      </w:r>
      <w:r w:rsidR="00C660AD" w:rsidRPr="00DE4629">
        <w:t>l</w:t>
      </w:r>
      <w:r w:rsidRPr="00DE4629">
        <w:t xml:space="preserve">ot 18 was first conveyed with only </w:t>
      </w:r>
      <w:r w:rsidR="00C660AD" w:rsidRPr="00DE4629">
        <w:t>l</w:t>
      </w:r>
      <w:r w:rsidRPr="00DE4629">
        <w:t xml:space="preserve">ots 15, 16, and 17 in 1885 by a bank to an individual grantee. </w:t>
      </w:r>
    </w:p>
  </w:footnote>
  <w:footnote w:id="13">
    <w:p w14:paraId="1DC8D1C3" w14:textId="52CA2DF6" w:rsidR="00CC50C0" w:rsidRPr="00DE4629" w:rsidRDefault="00CA5748" w:rsidP="00F666E1">
      <w:pPr>
        <w:pStyle w:val="FootnoteText"/>
        <w:spacing w:after="120"/>
        <w:ind w:firstLine="720"/>
      </w:pPr>
      <w:r w:rsidRPr="00DE4629">
        <w:rPr>
          <w:rStyle w:val="FootnoteReference"/>
        </w:rPr>
        <w:footnoteRef/>
      </w:r>
      <w:r w:rsidRPr="00DE4629">
        <w:t xml:space="preserve">  The parties agree this is a legal question and our standard of review is de novo.   </w:t>
      </w:r>
    </w:p>
  </w:footnote>
  <w:footnote w:id="14">
    <w:p w14:paraId="23D6C948" w14:textId="1772A3AC" w:rsidR="002D2028" w:rsidRPr="00DE4629" w:rsidRDefault="00CA5748" w:rsidP="00F666E1">
      <w:pPr>
        <w:pStyle w:val="FootnoteText"/>
        <w:spacing w:after="120"/>
        <w:ind w:firstLine="720"/>
      </w:pPr>
      <w:r w:rsidRPr="00DE4629">
        <w:rPr>
          <w:rStyle w:val="FootnoteReference"/>
        </w:rPr>
        <w:footnoteRef/>
      </w:r>
      <w:r w:rsidRPr="00DE4629">
        <w:t xml:space="preserve">  The city has thus doubly forfeited any such contention.  (See </w:t>
      </w:r>
      <w:r w:rsidRPr="00DE4629">
        <w:rPr>
          <w:i/>
          <w:iCs/>
        </w:rPr>
        <w:t>Schmidt v. Bank of America, N.A.</w:t>
      </w:r>
      <w:r w:rsidRPr="00DE4629">
        <w:t xml:space="preserve"> (2014) 223 Cal.App.4th 1489, 1509 [by failing to provide analysis or authority in support of alternative ground to affirm, respondent “waived” the point]; </w:t>
      </w:r>
      <w:r w:rsidRPr="00DE4629">
        <w:rPr>
          <w:i/>
          <w:iCs/>
        </w:rPr>
        <w:t>Jones v. Superior Court</w:t>
      </w:r>
      <w:r w:rsidRPr="00DE4629">
        <w:t xml:space="preserve"> (1994) 26</w:t>
      </w:r>
      <w:r w:rsidR="000448F2" w:rsidRPr="00DE4629">
        <w:t> </w:t>
      </w:r>
      <w:r w:rsidRPr="00DE4629">
        <w:t xml:space="preserve">Cal.App.4th 92, 99 [“Issues do not have a life of their own: if they are not raised or supported by [substantive] argument or citation to authority, we consider the issues waived [or forfeited].”].) </w:t>
      </w:r>
    </w:p>
  </w:footnote>
  <w:footnote w:id="15">
    <w:p w14:paraId="3CA93EDE" w14:textId="5746869D" w:rsidR="00287C43" w:rsidRPr="00DE4629" w:rsidRDefault="00CA5748" w:rsidP="00F666E1">
      <w:pPr>
        <w:pStyle w:val="FootnoteText"/>
        <w:spacing w:after="120"/>
        <w:ind w:firstLine="720"/>
      </w:pPr>
      <w:r w:rsidRPr="00DE4629">
        <w:rPr>
          <w:rStyle w:val="FootnoteReference"/>
        </w:rPr>
        <w:footnoteRef/>
      </w:r>
      <w:r w:rsidRPr="00DE4629">
        <w:t xml:space="preserve">  Subdivision (b) provides a similar presumption for bona fide purchases</w:t>
      </w:r>
      <w:r w:rsidR="00F2783D" w:rsidRPr="00DE4629">
        <w:t>,</w:t>
      </w:r>
      <w:r w:rsidRPr="00DE4629">
        <w:t xml:space="preserve"> stating in pertinent part: “For purposes of this division or of a local ordinance enacted pursuant thereto, any parcel created prior to March 4, 1972, shall be conclusively presumed to have been lawfully created if any subsequent purchaser acquired that parcel for valuable consideration without actual or constructive knowledge of a violation of this division or the local ordinance.”</w:t>
      </w:r>
      <w:r w:rsidR="00F2783D" w:rsidRPr="00DE4629">
        <w:t xml:space="preserve">  (</w:t>
      </w:r>
      <w:r w:rsidR="00306FB3" w:rsidRPr="00DE4629">
        <w:t>§</w:t>
      </w:r>
      <w:r w:rsidR="00F2783D" w:rsidRPr="00DE4629">
        <w:t xml:space="preserve"> 66412.6, </w:t>
      </w:r>
      <w:proofErr w:type="spellStart"/>
      <w:r w:rsidR="00F2783D" w:rsidRPr="00DE4629">
        <w:t>subd</w:t>
      </w:r>
      <w:proofErr w:type="spellEnd"/>
      <w:r w:rsidR="00F2783D" w:rsidRPr="00DE4629">
        <w:t>. (b).)</w:t>
      </w:r>
      <w:r w:rsidRPr="00DE4629">
        <w:t xml:space="preserve"> </w:t>
      </w:r>
    </w:p>
  </w:footnote>
  <w:footnote w:id="16">
    <w:p w14:paraId="6D426933" w14:textId="3C3B9719" w:rsidR="006536AE" w:rsidRPr="00DE4629" w:rsidRDefault="00CA5748" w:rsidP="00F666E1">
      <w:pPr>
        <w:pStyle w:val="FootnoteText"/>
        <w:spacing w:after="120"/>
        <w:ind w:firstLine="720"/>
      </w:pPr>
      <w:r w:rsidRPr="00DE4629">
        <w:rPr>
          <w:rStyle w:val="FootnoteReference"/>
        </w:rPr>
        <w:footnoteRef/>
      </w:r>
      <w:r w:rsidRPr="00DE4629">
        <w:t xml:space="preserve">  We take judicial notice of the legislative history on our own motion.  (Evid. Code</w:t>
      </w:r>
      <w:r w:rsidR="00833692" w:rsidRPr="00DE4629">
        <w:t>,</w:t>
      </w:r>
      <w:r w:rsidRPr="00DE4629">
        <w:t xml:space="preserve"> §§ </w:t>
      </w:r>
      <w:r w:rsidR="00306FB3" w:rsidRPr="00DE4629">
        <w:t xml:space="preserve">452, </w:t>
      </w:r>
      <w:proofErr w:type="spellStart"/>
      <w:r w:rsidR="00306FB3" w:rsidRPr="00DE4629">
        <w:t>subd</w:t>
      </w:r>
      <w:r w:rsidR="00833692" w:rsidRPr="00DE4629">
        <w:t>s</w:t>
      </w:r>
      <w:proofErr w:type="spellEnd"/>
      <w:r w:rsidR="00306FB3" w:rsidRPr="00DE4629">
        <w:t>. (a), (c), 459</w:t>
      </w:r>
      <w:r w:rsidRPr="00DE4629">
        <w:t>.)</w:t>
      </w:r>
    </w:p>
  </w:footnote>
  <w:footnote w:id="17">
    <w:p w14:paraId="69712DE4" w14:textId="762F42C2" w:rsidR="003D5E13" w:rsidRPr="00DE4629" w:rsidRDefault="00CA5748" w:rsidP="00F666E1">
      <w:pPr>
        <w:pStyle w:val="FootnoteText"/>
        <w:spacing w:after="120"/>
        <w:ind w:firstLine="720"/>
      </w:pPr>
      <w:r w:rsidRPr="00DE4629">
        <w:rPr>
          <w:rStyle w:val="FootnoteReference"/>
        </w:rPr>
        <w:footnoteRef/>
      </w:r>
      <w:r w:rsidRPr="00DE4629">
        <w:t xml:space="preserve">  Because the pre-1972 versions of the Map Act defined “subdivision” to exclude subdivisions of “fewer than five” parcels within a given assessment period, this gave rise to a practice referred to as “quartering.”  A parcel would be subdivided into four parcels, and these four parcels would, in turn, each be divided into four more parcels prior to the preparation of the next assessor’s map.  Even after the Act was expanded to require parcel maps for subdivisions of “fewer than five” parcels, some subdividers attempted to evade the Act’s more rigorous tentative and final mapping requirements by “quartering.”  The courts quickly prohibited such efforts to avoid the Act’s mapping requirements.  (See, e.g., </w:t>
      </w:r>
      <w:r w:rsidRPr="00DE4629">
        <w:rPr>
          <w:i/>
          <w:iCs/>
        </w:rPr>
        <w:t xml:space="preserve">People v. Byers </w:t>
      </w:r>
      <w:r w:rsidRPr="00DE4629">
        <w:t>(1979) 90 Cal.App.3d 140, 146, fn. 1.)  This practice</w:t>
      </w:r>
      <w:proofErr w:type="gramStart"/>
      <w:r w:rsidRPr="00DE4629">
        <w:t>—“</w:t>
      </w:r>
      <w:proofErr w:type="gramEnd"/>
      <w:r w:rsidRPr="00DE4629">
        <w:t xml:space="preserve">quartering” within a single assessment cycle—is not at issue here.     </w:t>
      </w:r>
    </w:p>
  </w:footnote>
  <w:footnote w:id="18">
    <w:p w14:paraId="64B722AB" w14:textId="3C324435" w:rsidR="00513CCA" w:rsidRPr="00DE4629" w:rsidRDefault="00CA5748" w:rsidP="00F666E1">
      <w:pPr>
        <w:pStyle w:val="FootnoteText"/>
        <w:spacing w:after="120"/>
        <w:ind w:firstLine="720"/>
      </w:pPr>
      <w:r w:rsidRPr="00DE4629">
        <w:rPr>
          <w:rStyle w:val="FootnoteReference"/>
        </w:rPr>
        <w:footnoteRef/>
      </w:r>
      <w:r w:rsidRPr="00DE4629">
        <w:t xml:space="preserve">  Subdivision (d) of section 66499.30 is sometimes referred to </w:t>
      </w:r>
      <w:r w:rsidR="00F36C95" w:rsidRPr="00DE4629">
        <w:t xml:space="preserve">as </w:t>
      </w:r>
      <w:r w:rsidRPr="00DE4629">
        <w:t xml:space="preserve">the “grandfather” provision of the Act.  (See, e.g., </w:t>
      </w:r>
      <w:r w:rsidRPr="00DE4629">
        <w:rPr>
          <w:i/>
          <w:iCs/>
        </w:rPr>
        <w:t xml:space="preserve">Witt, supra, </w:t>
      </w:r>
      <w:r w:rsidRPr="00DE4629">
        <w:t>165 Cal.App.</w:t>
      </w:r>
      <w:r w:rsidR="000448F2" w:rsidRPr="00DE4629">
        <w:t>4</w:t>
      </w:r>
      <w:r w:rsidRPr="00DE4629">
        <w:t>th at p. 54</w:t>
      </w:r>
      <w:r w:rsidR="000448F2" w:rsidRPr="00DE4629">
        <w:t>8</w:t>
      </w:r>
      <w:r w:rsidRPr="00DE4629">
        <w:t xml:space="preserve">.)  However, to avoid any confusion between this section and section 66412.6, we refer to section 66499.30, as did </w:t>
      </w:r>
      <w:r w:rsidRPr="00DE4629">
        <w:rPr>
          <w:i/>
          <w:iCs/>
        </w:rPr>
        <w:t xml:space="preserve">Lakeview, </w:t>
      </w:r>
      <w:r w:rsidRPr="00DE4629">
        <w:t xml:space="preserve">as the compliance provision.  </w:t>
      </w:r>
    </w:p>
  </w:footnote>
  <w:footnote w:id="19">
    <w:p w14:paraId="0C3852CA" w14:textId="1E840471" w:rsidR="00C172A7" w:rsidRPr="00DE4629" w:rsidRDefault="00CA5748" w:rsidP="00F666E1">
      <w:pPr>
        <w:pStyle w:val="FootnoteText"/>
        <w:spacing w:after="120"/>
        <w:ind w:firstLine="720"/>
      </w:pPr>
      <w:r w:rsidRPr="00DE4629">
        <w:rPr>
          <w:rStyle w:val="FootnoteReference"/>
        </w:rPr>
        <w:footnoteRef/>
      </w:r>
      <w:r w:rsidRPr="00DE4629">
        <w:t xml:space="preserve">  </w:t>
      </w:r>
      <w:r w:rsidR="00DF2996" w:rsidRPr="00DE4629">
        <w:t xml:space="preserve">As we </w:t>
      </w:r>
      <w:r w:rsidR="00091FD3" w:rsidRPr="00DE4629">
        <w:t>discuss</w:t>
      </w:r>
      <w:r w:rsidR="00DF2996" w:rsidRPr="00DE4629">
        <w:t xml:space="preserve">, </w:t>
      </w:r>
      <w:r w:rsidR="00DF2996" w:rsidRPr="00DE4629">
        <w:rPr>
          <w:i/>
          <w:iCs/>
        </w:rPr>
        <w:t xml:space="preserve">infra, </w:t>
      </w:r>
      <w:r w:rsidRPr="00DE4629">
        <w:rPr>
          <w:rFonts w:cs="Arial"/>
          <w:i/>
          <w:iCs/>
          <w:color w:val="000000"/>
          <w:szCs w:val="26"/>
          <w:shd w:val="clear" w:color="auto" w:fill="FFFFFF"/>
        </w:rPr>
        <w:t>Lakeview</w:t>
      </w:r>
      <w:r w:rsidR="00513CCA" w:rsidRPr="00DE4629">
        <w:rPr>
          <w:rFonts w:cs="Arial"/>
          <w:i/>
          <w:iCs/>
          <w:color w:val="000000"/>
          <w:szCs w:val="26"/>
          <w:shd w:val="clear" w:color="auto" w:fill="FFFFFF"/>
        </w:rPr>
        <w:t xml:space="preserve">’s </w:t>
      </w:r>
      <w:r w:rsidRPr="00DE4629">
        <w:rPr>
          <w:rFonts w:cs="Arial"/>
          <w:color w:val="000000"/>
          <w:szCs w:val="26"/>
          <w:shd w:val="clear" w:color="auto" w:fill="FFFFFF"/>
        </w:rPr>
        <w:t xml:space="preserve">interpretation of section 66499.30, subdivision (d) was subsequently called into question in </w:t>
      </w:r>
      <w:r w:rsidRPr="00DE4629">
        <w:rPr>
          <w:rFonts w:eastAsia="Times New Roman" w:cs="Arial"/>
          <w:i/>
          <w:iCs/>
          <w:color w:val="000000"/>
          <w:szCs w:val="26"/>
        </w:rPr>
        <w:t xml:space="preserve">Gardner, supra, </w:t>
      </w:r>
      <w:r w:rsidRPr="00DE4629">
        <w:rPr>
          <w:rFonts w:eastAsia="Times New Roman" w:cs="Arial"/>
          <w:color w:val="000000"/>
          <w:szCs w:val="26"/>
        </w:rPr>
        <w:t>29</w:t>
      </w:r>
      <w:r w:rsidR="00F666E1" w:rsidRPr="00DE4629">
        <w:rPr>
          <w:rFonts w:eastAsia="Times New Roman" w:cs="Arial"/>
          <w:color w:val="000000"/>
          <w:szCs w:val="26"/>
        </w:rPr>
        <w:t> </w:t>
      </w:r>
      <w:r w:rsidRPr="00DE4629">
        <w:rPr>
          <w:rFonts w:eastAsia="Times New Roman" w:cs="Arial"/>
          <w:color w:val="000000"/>
          <w:szCs w:val="26"/>
        </w:rPr>
        <w:t>Cal.4th at pp. 1000</w:t>
      </w:r>
      <w:r w:rsidR="00133029" w:rsidRPr="00DE4629">
        <w:t>–</w:t>
      </w:r>
      <w:r w:rsidRPr="00DE4629">
        <w:rPr>
          <w:rFonts w:eastAsia="Times New Roman" w:cs="Arial"/>
          <w:color w:val="000000"/>
          <w:szCs w:val="26"/>
        </w:rPr>
        <w:t>1001</w:t>
      </w:r>
      <w:r w:rsidR="00DF2996" w:rsidRPr="00DE4629">
        <w:rPr>
          <w:rFonts w:eastAsia="Times New Roman" w:cs="Arial"/>
          <w:color w:val="000000"/>
          <w:szCs w:val="26"/>
        </w:rPr>
        <w:t xml:space="preserve">, and </w:t>
      </w:r>
      <w:proofErr w:type="gramStart"/>
      <w:r w:rsidR="00DF2996" w:rsidRPr="00DE4629">
        <w:rPr>
          <w:rFonts w:eastAsia="Times New Roman" w:cs="Arial"/>
          <w:color w:val="000000"/>
          <w:szCs w:val="26"/>
        </w:rPr>
        <w:t>in</w:t>
      </w:r>
      <w:r w:rsidRPr="00DE4629">
        <w:rPr>
          <w:rFonts w:eastAsia="Times New Roman" w:cs="Arial"/>
          <w:color w:val="000000"/>
          <w:szCs w:val="26"/>
        </w:rPr>
        <w:t xml:space="preserve"> light of</w:t>
      </w:r>
      <w:proofErr w:type="gramEnd"/>
      <w:r w:rsidRPr="00DE4629">
        <w:rPr>
          <w:rFonts w:eastAsia="Times New Roman" w:cs="Arial"/>
          <w:color w:val="000000"/>
          <w:szCs w:val="26"/>
        </w:rPr>
        <w:t xml:space="preserve"> </w:t>
      </w:r>
      <w:r w:rsidRPr="00DE4629">
        <w:rPr>
          <w:rFonts w:eastAsia="Times New Roman" w:cs="Arial"/>
          <w:i/>
          <w:iCs/>
          <w:color w:val="000000"/>
          <w:szCs w:val="26"/>
        </w:rPr>
        <w:t>Gardner</w:t>
      </w:r>
      <w:r w:rsidRPr="00DE4629">
        <w:rPr>
          <w:rFonts w:eastAsia="Times New Roman" w:cs="Arial"/>
          <w:color w:val="000000"/>
          <w:szCs w:val="26"/>
        </w:rPr>
        <w:t>,</w:t>
      </w:r>
      <w:r w:rsidRPr="00DE4629">
        <w:rPr>
          <w:rFonts w:eastAsia="Times New Roman" w:cs="Arial"/>
          <w:i/>
          <w:iCs/>
          <w:color w:val="000000"/>
          <w:szCs w:val="26"/>
        </w:rPr>
        <w:t xml:space="preserve"> </w:t>
      </w:r>
      <w:r w:rsidR="00DF2996" w:rsidRPr="00DE4629">
        <w:rPr>
          <w:rFonts w:eastAsia="Times New Roman" w:cs="Arial"/>
          <w:color w:val="000000"/>
          <w:szCs w:val="26"/>
        </w:rPr>
        <w:t xml:space="preserve">rejected in </w:t>
      </w:r>
      <w:r w:rsidRPr="00DE4629">
        <w:rPr>
          <w:rFonts w:eastAsia="Times New Roman" w:cs="Arial"/>
          <w:i/>
          <w:iCs/>
          <w:color w:val="000000"/>
          <w:szCs w:val="26"/>
        </w:rPr>
        <w:t>Witt</w:t>
      </w:r>
      <w:r w:rsidR="00D274A2" w:rsidRPr="00DE4629">
        <w:rPr>
          <w:rFonts w:eastAsia="Times New Roman" w:cs="Arial"/>
          <w:i/>
          <w:iCs/>
          <w:color w:val="000000"/>
          <w:szCs w:val="26"/>
        </w:rPr>
        <w:t xml:space="preserve">, supra, </w:t>
      </w:r>
      <w:r w:rsidRPr="00DE4629">
        <w:rPr>
          <w:rFonts w:eastAsia="Times New Roman" w:cs="Arial"/>
          <w:color w:val="000000"/>
          <w:szCs w:val="26"/>
        </w:rPr>
        <w:t xml:space="preserve">165 Cal.App.4th </w:t>
      </w:r>
      <w:r w:rsidR="00D274A2" w:rsidRPr="00DE4629">
        <w:rPr>
          <w:rFonts w:eastAsia="Times New Roman" w:cs="Arial"/>
          <w:color w:val="000000"/>
          <w:szCs w:val="26"/>
        </w:rPr>
        <w:t>at p</w:t>
      </w:r>
      <w:r w:rsidR="001B033D">
        <w:rPr>
          <w:rFonts w:eastAsia="Times New Roman" w:cs="Arial"/>
          <w:color w:val="000000"/>
          <w:szCs w:val="26"/>
        </w:rPr>
        <w:t>age</w:t>
      </w:r>
      <w:r w:rsidR="00D274A2" w:rsidRPr="00DE4629">
        <w:rPr>
          <w:rFonts w:eastAsia="Times New Roman" w:cs="Arial"/>
          <w:color w:val="000000"/>
          <w:szCs w:val="26"/>
        </w:rPr>
        <w:t xml:space="preserve"> </w:t>
      </w:r>
      <w:r w:rsidRPr="00DE4629">
        <w:rPr>
          <w:rFonts w:eastAsia="Times New Roman" w:cs="Arial"/>
          <w:color w:val="000000"/>
          <w:szCs w:val="26"/>
        </w:rPr>
        <w:t>543</w:t>
      </w:r>
      <w:r w:rsidR="00D274A2" w:rsidRPr="00DE4629">
        <w:rPr>
          <w:rFonts w:eastAsia="Times New Roman" w:cs="Arial"/>
          <w:color w:val="000000"/>
          <w:szCs w:val="26"/>
        </w:rPr>
        <w:t>.</w:t>
      </w:r>
      <w:r w:rsidRPr="00DE4629">
        <w:t xml:space="preserve">   </w:t>
      </w:r>
    </w:p>
  </w:footnote>
  <w:footnote w:id="20">
    <w:p w14:paraId="3F39DD5F" w14:textId="1BD5F32A" w:rsidR="00AD79C6" w:rsidRPr="00DE4629" w:rsidRDefault="00CA5748" w:rsidP="00F666E1">
      <w:pPr>
        <w:pStyle w:val="FootnoteText"/>
        <w:spacing w:after="120"/>
        <w:ind w:firstLine="720"/>
      </w:pPr>
      <w:r w:rsidRPr="00DE4629">
        <w:rPr>
          <w:rStyle w:val="FootnoteReference"/>
        </w:rPr>
        <w:footnoteRef/>
      </w:r>
      <w:r w:rsidRPr="00DE4629">
        <w:t xml:space="preserve">  In </w:t>
      </w:r>
      <w:proofErr w:type="spellStart"/>
      <w:r w:rsidRPr="00DE4629">
        <w:rPr>
          <w:i/>
          <w:iCs/>
        </w:rPr>
        <w:t>Morehart</w:t>
      </w:r>
      <w:proofErr w:type="spellEnd"/>
      <w:r w:rsidRPr="00DE4629">
        <w:rPr>
          <w:i/>
          <w:iCs/>
        </w:rPr>
        <w:t xml:space="preserve">, </w:t>
      </w:r>
      <w:r w:rsidR="00513CCA" w:rsidRPr="00DE4629">
        <w:t xml:space="preserve">our </w:t>
      </w:r>
      <w:r w:rsidRPr="00DE4629">
        <w:t xml:space="preserve">Supreme Court held, among other things, that certain merger provisions did not apply </w:t>
      </w:r>
      <w:r w:rsidR="00A675CF" w:rsidRPr="00DE4629">
        <w:t xml:space="preserve">to </w:t>
      </w:r>
      <w:r w:rsidRPr="00DE4629">
        <w:t xml:space="preserve">parcels which the county conceded were created </w:t>
      </w:r>
      <w:r w:rsidR="00513CCA" w:rsidRPr="00DE4629">
        <w:t>pursuant to a</w:t>
      </w:r>
      <w:r w:rsidRPr="00DE4629">
        <w:t>n antiquated subdivision map.  (</w:t>
      </w:r>
      <w:proofErr w:type="spellStart"/>
      <w:r w:rsidR="000B145D" w:rsidRPr="00DE4629">
        <w:rPr>
          <w:rFonts w:eastAsia="Times New Roman" w:cs="Arial"/>
          <w:i/>
          <w:iCs/>
          <w:color w:val="000000"/>
          <w:bdr w:val="none" w:sz="0" w:space="0" w:color="auto" w:frame="1"/>
        </w:rPr>
        <w:t>Morehart</w:t>
      </w:r>
      <w:proofErr w:type="spellEnd"/>
      <w:r w:rsidR="000B145D" w:rsidRPr="00DE4629">
        <w:rPr>
          <w:rFonts w:eastAsia="Times New Roman" w:cs="Arial"/>
          <w:i/>
          <w:iCs/>
          <w:color w:val="000000"/>
          <w:bdr w:val="none" w:sz="0" w:space="0" w:color="auto" w:frame="1"/>
        </w:rPr>
        <w:t xml:space="preserve">, supra, </w:t>
      </w:r>
      <w:r w:rsidR="000B145D" w:rsidRPr="00DE4629">
        <w:rPr>
          <w:rFonts w:eastAsia="Times New Roman" w:cs="Arial"/>
          <w:color w:val="000000"/>
        </w:rPr>
        <w:t>7 Cal.4th</w:t>
      </w:r>
      <w:r w:rsidRPr="00DE4629">
        <w:rPr>
          <w:i/>
          <w:iCs/>
        </w:rPr>
        <w:t xml:space="preserve"> </w:t>
      </w:r>
      <w:r w:rsidRPr="00DE4629">
        <w:t>at pp. 760</w:t>
      </w:r>
      <w:r w:rsidR="00133029" w:rsidRPr="00DE4629">
        <w:t>–</w:t>
      </w:r>
      <w:r w:rsidRPr="00DE4629">
        <w:t xml:space="preserve">761.)  Specifically, these provisions specified, in pertinent part, that common ownership of parcels did not automatically result in a merger thereof if the parcels were </w:t>
      </w:r>
      <w:proofErr w:type="gramStart"/>
      <w:r w:rsidRPr="00DE4629">
        <w:t>“ ‘</w:t>
      </w:r>
      <w:proofErr w:type="gramEnd"/>
      <w:r w:rsidRPr="00DE4629">
        <w:t xml:space="preserve">created under the provisions of [the Act], or any prior law regulating the division of land, or a local </w:t>
      </w:r>
      <w:r w:rsidR="005168D4" w:rsidRPr="00DE4629">
        <w:t>or</w:t>
      </w:r>
      <w:r w:rsidRPr="00DE4629">
        <w:t>di</w:t>
      </w:r>
      <w:r w:rsidR="005168D4" w:rsidRPr="00DE4629">
        <w:t>n</w:t>
      </w:r>
      <w:r w:rsidRPr="00DE4629">
        <w:t xml:space="preserve">ance enacted pursuant thereto, or . . . </w:t>
      </w:r>
      <w:proofErr w:type="spellStart"/>
      <w:r w:rsidRPr="00DE4629">
        <w:rPr>
          <w:i/>
          <w:iCs/>
        </w:rPr>
        <w:t>were</w:t>
      </w:r>
      <w:proofErr w:type="spellEnd"/>
      <w:r w:rsidRPr="00DE4629">
        <w:rPr>
          <w:i/>
          <w:iCs/>
        </w:rPr>
        <w:t xml:space="preserve"> no</w:t>
      </w:r>
      <w:r w:rsidR="00FC2E89" w:rsidRPr="00DE4629">
        <w:rPr>
          <w:i/>
          <w:iCs/>
        </w:rPr>
        <w:t>t</w:t>
      </w:r>
      <w:r w:rsidRPr="00DE4629">
        <w:rPr>
          <w:i/>
          <w:iCs/>
        </w:rPr>
        <w:t xml:space="preserve"> subject to those provisions at the time of their creation.</w:t>
      </w:r>
      <w:r w:rsidRPr="00DE4629">
        <w:t xml:space="preserve"> . . .</w:t>
      </w:r>
      <w:r w:rsidR="00FC2E89" w:rsidRPr="00DE4629">
        <w:t>’ ”  (</w:t>
      </w:r>
      <w:r w:rsidR="00FC2E89" w:rsidRPr="00DE4629">
        <w:rPr>
          <w:i/>
          <w:iCs/>
        </w:rPr>
        <w:t>Id.</w:t>
      </w:r>
      <w:r w:rsidR="00FC2E89" w:rsidRPr="00DE4629">
        <w:t xml:space="preserve"> at p. 761.)  The county read the phrase </w:t>
      </w:r>
      <w:proofErr w:type="gramStart"/>
      <w:r w:rsidR="00FC2E89" w:rsidRPr="00DE4629">
        <w:t>“ ‘</w:t>
      </w:r>
      <w:proofErr w:type="gramEnd"/>
      <w:r w:rsidR="00FC2E89" w:rsidRPr="00DE4629">
        <w:t>not subject to those provisions at the time of their creation,’ to mean ‘exempted from land-division provisions that were in existence at the time of the parcels’ creation.’ ”  (</w:t>
      </w:r>
      <w:r w:rsidR="00FC2E89" w:rsidRPr="00DE4629">
        <w:rPr>
          <w:i/>
          <w:iCs/>
        </w:rPr>
        <w:t>Ibid.</w:t>
      </w:r>
      <w:r w:rsidR="00FC2E89" w:rsidRPr="00DE4629">
        <w:t>)  The high court “disagreed with that strained interpretation” and held that “[</w:t>
      </w:r>
      <w:proofErr w:type="spellStart"/>
      <w:r w:rsidR="00FC2E89" w:rsidRPr="00DE4629">
        <w:t>i</w:t>
      </w:r>
      <w:proofErr w:type="spellEnd"/>
      <w:r w:rsidR="00FC2E89" w:rsidRPr="00DE4629">
        <w:t>]f, when the parcels were created, no land-division provisions were in existence, the parcels necessarily ‘were not subject to those provisions at the time of their creation.</w:t>
      </w:r>
      <w:proofErr w:type="gramStart"/>
      <w:r w:rsidR="00FC2E89" w:rsidRPr="00DE4629">
        <w:t>’ ”</w:t>
      </w:r>
      <w:proofErr w:type="gramEnd"/>
      <w:r w:rsidR="00FC2E89" w:rsidRPr="00DE4629">
        <w:t xml:space="preserve">  (</w:t>
      </w:r>
      <w:r w:rsidR="00FC2E89" w:rsidRPr="00DE4629">
        <w:rPr>
          <w:i/>
          <w:iCs/>
        </w:rPr>
        <w:t>Ibid.</w:t>
      </w:r>
      <w:r w:rsidR="00FC2E89" w:rsidRPr="00DE4629">
        <w:t xml:space="preserve">)  Thus, the anti-merger provisions applied “to parcels created before the effective date of any applicable law regulating the division of land,” including parcels created by an antiquated subdivision map or </w:t>
      </w:r>
      <w:r w:rsidR="000D5FA4" w:rsidRPr="00DE4629">
        <w:t xml:space="preserve">by </w:t>
      </w:r>
      <w:r w:rsidR="00FC2E89" w:rsidRPr="00DE4629">
        <w:t xml:space="preserve">conveyance of a lot depicted </w:t>
      </w:r>
      <w:r w:rsidR="000D5FA4" w:rsidRPr="00DE4629">
        <w:t>thereon.  (</w:t>
      </w:r>
      <w:r w:rsidR="000D5FA4" w:rsidRPr="00DE4629">
        <w:rPr>
          <w:i/>
          <w:iCs/>
        </w:rPr>
        <w:t xml:space="preserve">Id. </w:t>
      </w:r>
      <w:r w:rsidR="000D5FA4" w:rsidRPr="00DE4629">
        <w:t>at p. 762.)</w:t>
      </w:r>
      <w:r w:rsidRPr="00DE4629">
        <w:t xml:space="preserve"> </w:t>
      </w:r>
    </w:p>
  </w:footnote>
  <w:footnote w:id="21">
    <w:p w14:paraId="611C4E9F" w14:textId="44F9F37D" w:rsidR="00F22BE7" w:rsidRPr="00DE4629" w:rsidRDefault="00CA5748" w:rsidP="00F666E1">
      <w:pPr>
        <w:pStyle w:val="FootnoteText"/>
        <w:spacing w:after="120"/>
        <w:ind w:firstLine="720"/>
      </w:pPr>
      <w:r w:rsidRPr="00DE4629">
        <w:rPr>
          <w:rStyle w:val="FootnoteReference"/>
        </w:rPr>
        <w:footnoteRef/>
      </w:r>
      <w:r w:rsidRPr="00DE4629">
        <w:t xml:space="preserve">  </w:t>
      </w:r>
      <w:r w:rsidRPr="00DE4629">
        <w:rPr>
          <w:rFonts w:cs="Arial"/>
          <w:color w:val="000000"/>
          <w:shd w:val="clear" w:color="auto" w:fill="FFFFFF"/>
        </w:rPr>
        <w:t>As we have discussed,</w:t>
      </w:r>
      <w:r w:rsidR="00CA49B0" w:rsidRPr="00DE4629">
        <w:rPr>
          <w:rFonts w:cs="Arial"/>
          <w:color w:val="000000"/>
          <w:shd w:val="clear" w:color="auto" w:fill="FFFFFF"/>
        </w:rPr>
        <w:t xml:space="preserve"> the</w:t>
      </w:r>
      <w:r w:rsidRPr="00DE4629">
        <w:rPr>
          <w:rFonts w:cs="Arial"/>
          <w:color w:val="000000"/>
          <w:shd w:val="clear" w:color="auto" w:fill="FFFFFF"/>
        </w:rPr>
        <w:t xml:space="preserve"> </w:t>
      </w:r>
      <w:r w:rsidRPr="00DE4629">
        <w:rPr>
          <w:rFonts w:cs="Arial"/>
          <w:i/>
          <w:iCs/>
          <w:color w:val="000000"/>
          <w:shd w:val="clear" w:color="auto" w:fill="FFFFFF"/>
        </w:rPr>
        <w:t xml:space="preserve">Lakeview </w:t>
      </w:r>
      <w:r w:rsidR="00CA49B0" w:rsidRPr="00DE4629">
        <w:rPr>
          <w:rFonts w:cs="Arial"/>
          <w:color w:val="000000"/>
          <w:shd w:val="clear" w:color="auto" w:fill="FFFFFF"/>
        </w:rPr>
        <w:t xml:space="preserve">court </w:t>
      </w:r>
      <w:r w:rsidRPr="00DE4629">
        <w:rPr>
          <w:rFonts w:cs="Arial"/>
          <w:color w:val="000000"/>
          <w:shd w:val="clear" w:color="auto" w:fill="FFFFFF"/>
        </w:rPr>
        <w:t xml:space="preserve">also viewed the “no local ordinance in effect” language of section 66412.6, subdivision (a) (the fewer-than-five presumption of </w:t>
      </w:r>
      <w:r w:rsidR="00165300" w:rsidRPr="00DE4629">
        <w:rPr>
          <w:rFonts w:cs="Arial"/>
          <w:color w:val="000000"/>
          <w:shd w:val="clear" w:color="auto" w:fill="FFFFFF"/>
        </w:rPr>
        <w:t>legality</w:t>
      </w:r>
      <w:r w:rsidRPr="00DE4629">
        <w:rPr>
          <w:rFonts w:cs="Arial"/>
          <w:color w:val="000000"/>
          <w:shd w:val="clear" w:color="auto" w:fill="FFFFFF"/>
        </w:rPr>
        <w:t>) as akin to the “not subject to” language of section 66451.10 (the anti-merger provision)</w:t>
      </w:r>
      <w:r w:rsidR="00E878E1" w:rsidRPr="00DE4629">
        <w:rPr>
          <w:rFonts w:cs="Arial"/>
          <w:color w:val="000000"/>
          <w:shd w:val="clear" w:color="auto" w:fill="FFFFFF"/>
        </w:rPr>
        <w:t xml:space="preserve"> the high court had construed in </w:t>
      </w:r>
      <w:proofErr w:type="spellStart"/>
      <w:r w:rsidR="00E878E1" w:rsidRPr="00DE4629">
        <w:rPr>
          <w:rFonts w:cs="Arial"/>
          <w:i/>
          <w:iCs/>
          <w:color w:val="000000"/>
          <w:shd w:val="clear" w:color="auto" w:fill="FFFFFF"/>
        </w:rPr>
        <w:t>Morehart</w:t>
      </w:r>
      <w:proofErr w:type="spellEnd"/>
      <w:r w:rsidRPr="00DE4629">
        <w:rPr>
          <w:rFonts w:cs="Arial"/>
          <w:color w:val="000000"/>
          <w:shd w:val="clear" w:color="auto" w:fill="FFFFFF"/>
        </w:rPr>
        <w:t xml:space="preserve">. </w:t>
      </w:r>
      <w:r w:rsidR="0022226D" w:rsidRPr="00DE4629">
        <w:rPr>
          <w:rFonts w:cs="Arial"/>
          <w:color w:val="000000"/>
          <w:shd w:val="clear" w:color="auto" w:fill="FFFFFF"/>
        </w:rPr>
        <w:t xml:space="preserve"> (</w:t>
      </w:r>
      <w:r w:rsidR="0022226D" w:rsidRPr="00DE4629">
        <w:rPr>
          <w:rFonts w:cs="Arial"/>
          <w:i/>
          <w:iCs/>
          <w:color w:val="000000"/>
          <w:shd w:val="clear" w:color="auto" w:fill="FFFFFF"/>
        </w:rPr>
        <w:t>Lakeview, supra</w:t>
      </w:r>
      <w:r w:rsidR="0022226D" w:rsidRPr="00DE4629">
        <w:rPr>
          <w:rFonts w:cs="Arial"/>
          <w:color w:val="000000"/>
          <w:shd w:val="clear" w:color="auto" w:fill="FFFFFF"/>
        </w:rPr>
        <w:t>, 27 Cal.App.4th at p.</w:t>
      </w:r>
      <w:r w:rsidRPr="00DE4629">
        <w:t xml:space="preserve"> </w:t>
      </w:r>
      <w:r w:rsidR="0022226D" w:rsidRPr="00DE4629">
        <w:t>599.)</w:t>
      </w:r>
    </w:p>
  </w:footnote>
  <w:footnote w:id="22">
    <w:p w14:paraId="0E0BF27E" w14:textId="4C2EE73A" w:rsidR="0096261A" w:rsidRDefault="00CA5748" w:rsidP="0096261A">
      <w:pPr>
        <w:pStyle w:val="FootnoteText"/>
        <w:ind w:firstLine="720"/>
      </w:pPr>
      <w:r>
        <w:rPr>
          <w:rStyle w:val="FootnoteReference"/>
        </w:rPr>
        <w:footnoteRef/>
      </w:r>
      <w:r>
        <w:t xml:space="preserve">  Disapproved on another ground in </w:t>
      </w:r>
      <w:r>
        <w:rPr>
          <w:i/>
          <w:iCs/>
        </w:rPr>
        <w:t>Citizens for Covenant Compliance v. Anderson</w:t>
      </w:r>
      <w:r>
        <w:t xml:space="preserve"> (1995) 12 Cal.4th 345, 360, 366.</w:t>
      </w:r>
    </w:p>
  </w:footnote>
  <w:footnote w:id="23">
    <w:p w14:paraId="4110CB6E" w14:textId="4EDC55A9" w:rsidR="00917E3A" w:rsidRPr="00DE4629" w:rsidRDefault="00CA5748" w:rsidP="00F666E1">
      <w:pPr>
        <w:pStyle w:val="FootnoteText"/>
        <w:spacing w:after="120"/>
        <w:ind w:firstLine="720"/>
      </w:pPr>
      <w:r w:rsidRPr="00DE4629">
        <w:rPr>
          <w:rStyle w:val="FootnoteReference"/>
        </w:rPr>
        <w:footnoteRef/>
      </w:r>
      <w:r w:rsidRPr="00DE4629">
        <w:t xml:space="preserve">  As we have </w:t>
      </w:r>
      <w:r w:rsidR="00EE6FA1" w:rsidRPr="00DE4629">
        <w:t xml:space="preserve">recited, </w:t>
      </w:r>
      <w:r w:rsidRPr="00DE4629">
        <w:t xml:space="preserve">many other </w:t>
      </w:r>
      <w:r w:rsidR="00EE6FA1" w:rsidRPr="00DE4629">
        <w:t xml:space="preserve">separately identified </w:t>
      </w:r>
      <w:r w:rsidRPr="00DE4629">
        <w:t xml:space="preserve">lots depicted on the San Antonio Map were </w:t>
      </w:r>
      <w:r w:rsidR="00EE6FA1" w:rsidRPr="00DE4629">
        <w:t xml:space="preserve">also </w:t>
      </w:r>
      <w:r w:rsidRPr="00DE4629">
        <w:t xml:space="preserve">conveyed by way of these early conveyances.  </w:t>
      </w:r>
    </w:p>
  </w:footnote>
  <w:footnote w:id="24">
    <w:p w14:paraId="3BA45072" w14:textId="670671D9" w:rsidR="00E112EF" w:rsidRPr="00DE4629" w:rsidRDefault="00CA5748" w:rsidP="00F666E1">
      <w:pPr>
        <w:pStyle w:val="FootnoteText"/>
        <w:spacing w:after="120"/>
        <w:ind w:firstLine="720"/>
      </w:pPr>
      <w:r w:rsidRPr="00DE4629">
        <w:rPr>
          <w:rStyle w:val="FootnoteReference"/>
        </w:rPr>
        <w:footnoteRef/>
      </w:r>
      <w:r w:rsidRPr="00DE4629">
        <w:t xml:space="preserve">  These cases also refute the city’s assertion in its </w:t>
      </w:r>
      <w:r w:rsidR="0042525C" w:rsidRPr="00DE4629">
        <w:t xml:space="preserve">supplemental </w:t>
      </w:r>
      <w:r w:rsidRPr="00DE4629">
        <w:t xml:space="preserve">brief that </w:t>
      </w:r>
      <w:r w:rsidR="000448F2" w:rsidRPr="00DE4629">
        <w:t>l</w:t>
      </w:r>
      <w:r w:rsidRPr="00DE4629">
        <w:t xml:space="preserve">ot 18 was never </w:t>
      </w:r>
      <w:proofErr w:type="gramStart"/>
      <w:r w:rsidRPr="00DE4629">
        <w:t>“</w:t>
      </w:r>
      <w:r w:rsidR="00FB0520" w:rsidRPr="00DE4629">
        <w:t xml:space="preserve"> ‘</w:t>
      </w:r>
      <w:proofErr w:type="gramEnd"/>
      <w:r w:rsidRPr="00DE4629">
        <w:t>separately describe</w:t>
      </w:r>
      <w:r w:rsidR="00FB0520" w:rsidRPr="00DE4629">
        <w:t>[</w:t>
      </w:r>
      <w:r w:rsidRPr="00DE4629">
        <w:t>d</w:t>
      </w:r>
      <w:r w:rsidR="00FB0520" w:rsidRPr="00DE4629">
        <w:t>]</w:t>
      </w:r>
      <w:r w:rsidRPr="00DE4629">
        <w:t>,</w:t>
      </w:r>
      <w:r w:rsidR="00FB0520" w:rsidRPr="00DE4629">
        <w:t xml:space="preserve">’ </w:t>
      </w:r>
      <w:r w:rsidRPr="00DE4629">
        <w:t xml:space="preserve">” </w:t>
      </w:r>
      <w:r w:rsidR="00D9448F">
        <w:t>because</w:t>
      </w:r>
      <w:r w:rsidRPr="00DE4629">
        <w:t xml:space="preserve"> it “always appears as part of a reference to a group of lots on the 1854 Map.”   </w:t>
      </w:r>
    </w:p>
  </w:footnote>
  <w:footnote w:id="25">
    <w:p w14:paraId="4CD5A090" w14:textId="61E88DDE" w:rsidR="00E27231" w:rsidRDefault="00CA5748" w:rsidP="00F666E1">
      <w:pPr>
        <w:pStyle w:val="FootnoteText"/>
        <w:spacing w:after="120"/>
        <w:ind w:firstLine="720"/>
      </w:pPr>
      <w:r w:rsidRPr="00DE4629">
        <w:rPr>
          <w:rStyle w:val="FootnoteReference"/>
        </w:rPr>
        <w:footnoteRef/>
      </w:r>
      <w:r w:rsidRPr="00DE4629">
        <w:t xml:space="preserve">  We note, for example, that the compliance provisions of section 66499.30 </w:t>
      </w:r>
      <w:r w:rsidR="00BD47FF" w:rsidRPr="00DE4629">
        <w:t>“</w:t>
      </w:r>
      <w:r w:rsidRPr="00DE4629">
        <w:t>do not</w:t>
      </w:r>
      <w:r w:rsidR="00BD47FF" w:rsidRPr="00DE4629">
        <w:t xml:space="preserve"> apply to </w:t>
      </w:r>
      <w:r w:rsidR="00BD47FF" w:rsidRPr="00DE4629">
        <w:rPr>
          <w:i/>
          <w:iCs/>
        </w:rPr>
        <w:t xml:space="preserve">any </w:t>
      </w:r>
      <w:r w:rsidR="00BD47FF" w:rsidRPr="00DE4629">
        <w:t xml:space="preserve">parcel or parcels of a subdivision offered for sale or lease, contracted for sale or lease, or sold or leased </w:t>
      </w:r>
      <w:r w:rsidR="00BD47FF" w:rsidRPr="00DE4629">
        <w:rPr>
          <w:i/>
          <w:iCs/>
        </w:rPr>
        <w:t>in compliance with</w:t>
      </w:r>
      <w:r w:rsidR="00BD47FF" w:rsidRPr="00DE4629">
        <w:t xml:space="preserve"> or </w:t>
      </w:r>
      <w:r w:rsidR="00BD47FF" w:rsidRPr="00DE4629">
        <w:rPr>
          <w:i/>
          <w:iCs/>
        </w:rPr>
        <w:t>exempt from</w:t>
      </w:r>
      <w:r w:rsidR="00BD47FF" w:rsidRPr="00DE4629">
        <w:t xml:space="preserve"> </w:t>
      </w:r>
      <w:r w:rsidR="00BD47FF" w:rsidRPr="00DE4629">
        <w:rPr>
          <w:i/>
          <w:iCs/>
        </w:rPr>
        <w:t>any</w:t>
      </w:r>
      <w:r w:rsidR="00BD47FF" w:rsidRPr="00DE4629">
        <w:t xml:space="preserve"> law (including a local ordinance), regulating the design and improvement of subdivisions in effect at the time the subdivision was established.”  (§ 66499.30, subdivision (d)</w:t>
      </w:r>
      <w:r w:rsidR="00A92985" w:rsidRPr="00DE4629">
        <w:t>, italics added</w:t>
      </w:r>
      <w:r w:rsidR="00BD47FF" w:rsidRPr="00DE4629">
        <w:t xml:space="preserve">.)  The fewer-than-five-presumption is much more limited in scope and </w:t>
      </w:r>
      <w:r w:rsidR="0095054D" w:rsidRPr="00DE4629">
        <w:t xml:space="preserve">states, </w:t>
      </w:r>
      <w:r w:rsidR="00BD47FF" w:rsidRPr="00DE4629">
        <w:t xml:space="preserve">“any parcel </w:t>
      </w:r>
      <w:r w:rsidR="00BD47FF" w:rsidRPr="00DE4629">
        <w:rPr>
          <w:i/>
          <w:iCs/>
        </w:rPr>
        <w:t>created prior to March 4, 1972</w:t>
      </w:r>
      <w:r w:rsidR="00BD47FF" w:rsidRPr="00DE4629">
        <w:t xml:space="preserve">, shall be conclusively presumed to have been lawfully created if the parcel resulted in a division of land in which </w:t>
      </w:r>
      <w:r w:rsidR="00BD47FF" w:rsidRPr="00DE4629">
        <w:rPr>
          <w:i/>
          <w:iCs/>
        </w:rPr>
        <w:t>fewer tha</w:t>
      </w:r>
      <w:r w:rsidR="0095054D" w:rsidRPr="00DE4629">
        <w:rPr>
          <w:i/>
          <w:iCs/>
        </w:rPr>
        <w:t>n five parcels</w:t>
      </w:r>
      <w:r w:rsidR="0095054D" w:rsidRPr="00DE4629">
        <w:t xml:space="preserve"> were created and</w:t>
      </w:r>
      <w:r w:rsidR="00DE4629" w:rsidRPr="00DE4629">
        <w:t>[</w:t>
      </w:r>
      <w:r w:rsidR="0095054D" w:rsidRPr="00DE4629">
        <w:t>,</w:t>
      </w:r>
      <w:r w:rsidR="00DE4629" w:rsidRPr="00DE4629">
        <w:t>]</w:t>
      </w:r>
      <w:r w:rsidR="0095054D" w:rsidRPr="00DE4629">
        <w:t xml:space="preserve"> if at the time of the creation of the parcel, there was </w:t>
      </w:r>
      <w:r w:rsidR="0095054D" w:rsidRPr="00DE4629">
        <w:rPr>
          <w:i/>
          <w:iCs/>
        </w:rPr>
        <w:t>no local ordinance</w:t>
      </w:r>
      <w:r w:rsidR="0095054D" w:rsidRPr="00DE4629">
        <w:t xml:space="preserve"> in effect which regulated divisions of land creating fewer than five parcels.”  (§ 66412.6, subdivision (a)</w:t>
      </w:r>
      <w:r w:rsidR="00A92985" w:rsidRPr="00DE4629">
        <w:t>, italics added</w:t>
      </w:r>
      <w:r w:rsidR="0095054D" w:rsidRPr="00DE4629">
        <w:t>.)</w:t>
      </w:r>
      <w:r w:rsidR="0095054D">
        <w:t xml:space="preserve">  </w:t>
      </w:r>
      <w:r w:rsidR="00BD47FF">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1C9A" w14:textId="7E70917F" w:rsidR="00063E07" w:rsidRDefault="00063E07" w:rsidP="00063E0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7E38"/>
    <w:multiLevelType w:val="hybridMultilevel"/>
    <w:tmpl w:val="5CA6BFF6"/>
    <w:lvl w:ilvl="0" w:tplc="A28677FE">
      <w:start w:val="5"/>
      <w:numFmt w:val="bullet"/>
      <w:lvlText w:val="-"/>
      <w:lvlJc w:val="left"/>
      <w:pPr>
        <w:ind w:left="1080" w:hanging="360"/>
      </w:pPr>
      <w:rPr>
        <w:rFonts w:ascii="Century Schoolbook" w:eastAsiaTheme="minorHAnsi" w:hAnsi="Century Schoolbook" w:cstheme="minorHAnsi" w:hint="default"/>
      </w:rPr>
    </w:lvl>
    <w:lvl w:ilvl="1" w:tplc="D762686A" w:tentative="1">
      <w:start w:val="1"/>
      <w:numFmt w:val="bullet"/>
      <w:lvlText w:val="o"/>
      <w:lvlJc w:val="left"/>
      <w:pPr>
        <w:ind w:left="1800" w:hanging="360"/>
      </w:pPr>
      <w:rPr>
        <w:rFonts w:ascii="Courier New" w:hAnsi="Courier New" w:cs="Courier New" w:hint="default"/>
      </w:rPr>
    </w:lvl>
    <w:lvl w:ilvl="2" w:tplc="1430EDE4" w:tentative="1">
      <w:start w:val="1"/>
      <w:numFmt w:val="bullet"/>
      <w:lvlText w:val=""/>
      <w:lvlJc w:val="left"/>
      <w:pPr>
        <w:ind w:left="2520" w:hanging="360"/>
      </w:pPr>
      <w:rPr>
        <w:rFonts w:ascii="Wingdings" w:hAnsi="Wingdings" w:hint="default"/>
      </w:rPr>
    </w:lvl>
    <w:lvl w:ilvl="3" w:tplc="F49A4270" w:tentative="1">
      <w:start w:val="1"/>
      <w:numFmt w:val="bullet"/>
      <w:lvlText w:val=""/>
      <w:lvlJc w:val="left"/>
      <w:pPr>
        <w:ind w:left="3240" w:hanging="360"/>
      </w:pPr>
      <w:rPr>
        <w:rFonts w:ascii="Symbol" w:hAnsi="Symbol" w:hint="default"/>
      </w:rPr>
    </w:lvl>
    <w:lvl w:ilvl="4" w:tplc="166C8950" w:tentative="1">
      <w:start w:val="1"/>
      <w:numFmt w:val="bullet"/>
      <w:lvlText w:val="o"/>
      <w:lvlJc w:val="left"/>
      <w:pPr>
        <w:ind w:left="3960" w:hanging="360"/>
      </w:pPr>
      <w:rPr>
        <w:rFonts w:ascii="Courier New" w:hAnsi="Courier New" w:cs="Courier New" w:hint="default"/>
      </w:rPr>
    </w:lvl>
    <w:lvl w:ilvl="5" w:tplc="5C86104E" w:tentative="1">
      <w:start w:val="1"/>
      <w:numFmt w:val="bullet"/>
      <w:lvlText w:val=""/>
      <w:lvlJc w:val="left"/>
      <w:pPr>
        <w:ind w:left="4680" w:hanging="360"/>
      </w:pPr>
      <w:rPr>
        <w:rFonts w:ascii="Wingdings" w:hAnsi="Wingdings" w:hint="default"/>
      </w:rPr>
    </w:lvl>
    <w:lvl w:ilvl="6" w:tplc="D9F64900" w:tentative="1">
      <w:start w:val="1"/>
      <w:numFmt w:val="bullet"/>
      <w:lvlText w:val=""/>
      <w:lvlJc w:val="left"/>
      <w:pPr>
        <w:ind w:left="5400" w:hanging="360"/>
      </w:pPr>
      <w:rPr>
        <w:rFonts w:ascii="Symbol" w:hAnsi="Symbol" w:hint="default"/>
      </w:rPr>
    </w:lvl>
    <w:lvl w:ilvl="7" w:tplc="0EC4E196" w:tentative="1">
      <w:start w:val="1"/>
      <w:numFmt w:val="bullet"/>
      <w:lvlText w:val="o"/>
      <w:lvlJc w:val="left"/>
      <w:pPr>
        <w:ind w:left="6120" w:hanging="360"/>
      </w:pPr>
      <w:rPr>
        <w:rFonts w:ascii="Courier New" w:hAnsi="Courier New" w:cs="Courier New" w:hint="default"/>
      </w:rPr>
    </w:lvl>
    <w:lvl w:ilvl="8" w:tplc="CA409DAA" w:tentative="1">
      <w:start w:val="1"/>
      <w:numFmt w:val="bullet"/>
      <w:lvlText w:val=""/>
      <w:lvlJc w:val="left"/>
      <w:pPr>
        <w:ind w:left="6840" w:hanging="360"/>
      </w:pPr>
      <w:rPr>
        <w:rFonts w:ascii="Wingdings" w:hAnsi="Wingdings" w:hint="default"/>
      </w:rPr>
    </w:lvl>
  </w:abstractNum>
  <w:abstractNum w:abstractNumId="1" w15:restartNumberingAfterBreak="0">
    <w:nsid w:val="11CB3939"/>
    <w:multiLevelType w:val="hybridMultilevel"/>
    <w:tmpl w:val="C730F9B8"/>
    <w:lvl w:ilvl="0" w:tplc="D028221C">
      <w:start w:val="1"/>
      <w:numFmt w:val="bullet"/>
      <w:lvlText w:val=""/>
      <w:lvlJc w:val="left"/>
      <w:pPr>
        <w:ind w:left="1440" w:hanging="360"/>
      </w:pPr>
      <w:rPr>
        <w:rFonts w:ascii="Symbol" w:hAnsi="Symbol" w:hint="default"/>
      </w:rPr>
    </w:lvl>
    <w:lvl w:ilvl="1" w:tplc="0D165978" w:tentative="1">
      <w:start w:val="1"/>
      <w:numFmt w:val="bullet"/>
      <w:lvlText w:val="o"/>
      <w:lvlJc w:val="left"/>
      <w:pPr>
        <w:ind w:left="2160" w:hanging="360"/>
      </w:pPr>
      <w:rPr>
        <w:rFonts w:ascii="Courier New" w:hAnsi="Courier New" w:cs="Courier New" w:hint="default"/>
      </w:rPr>
    </w:lvl>
    <w:lvl w:ilvl="2" w:tplc="A72CC2EA" w:tentative="1">
      <w:start w:val="1"/>
      <w:numFmt w:val="bullet"/>
      <w:lvlText w:val=""/>
      <w:lvlJc w:val="left"/>
      <w:pPr>
        <w:ind w:left="2880" w:hanging="360"/>
      </w:pPr>
      <w:rPr>
        <w:rFonts w:ascii="Wingdings" w:hAnsi="Wingdings" w:hint="default"/>
      </w:rPr>
    </w:lvl>
    <w:lvl w:ilvl="3" w:tplc="29C86854" w:tentative="1">
      <w:start w:val="1"/>
      <w:numFmt w:val="bullet"/>
      <w:lvlText w:val=""/>
      <w:lvlJc w:val="left"/>
      <w:pPr>
        <w:ind w:left="3600" w:hanging="360"/>
      </w:pPr>
      <w:rPr>
        <w:rFonts w:ascii="Symbol" w:hAnsi="Symbol" w:hint="default"/>
      </w:rPr>
    </w:lvl>
    <w:lvl w:ilvl="4" w:tplc="DD80132C" w:tentative="1">
      <w:start w:val="1"/>
      <w:numFmt w:val="bullet"/>
      <w:lvlText w:val="o"/>
      <w:lvlJc w:val="left"/>
      <w:pPr>
        <w:ind w:left="4320" w:hanging="360"/>
      </w:pPr>
      <w:rPr>
        <w:rFonts w:ascii="Courier New" w:hAnsi="Courier New" w:cs="Courier New" w:hint="default"/>
      </w:rPr>
    </w:lvl>
    <w:lvl w:ilvl="5" w:tplc="D3340976" w:tentative="1">
      <w:start w:val="1"/>
      <w:numFmt w:val="bullet"/>
      <w:lvlText w:val=""/>
      <w:lvlJc w:val="left"/>
      <w:pPr>
        <w:ind w:left="5040" w:hanging="360"/>
      </w:pPr>
      <w:rPr>
        <w:rFonts w:ascii="Wingdings" w:hAnsi="Wingdings" w:hint="default"/>
      </w:rPr>
    </w:lvl>
    <w:lvl w:ilvl="6" w:tplc="39F2710E" w:tentative="1">
      <w:start w:val="1"/>
      <w:numFmt w:val="bullet"/>
      <w:lvlText w:val=""/>
      <w:lvlJc w:val="left"/>
      <w:pPr>
        <w:ind w:left="5760" w:hanging="360"/>
      </w:pPr>
      <w:rPr>
        <w:rFonts w:ascii="Symbol" w:hAnsi="Symbol" w:hint="default"/>
      </w:rPr>
    </w:lvl>
    <w:lvl w:ilvl="7" w:tplc="932CA170" w:tentative="1">
      <w:start w:val="1"/>
      <w:numFmt w:val="bullet"/>
      <w:lvlText w:val="o"/>
      <w:lvlJc w:val="left"/>
      <w:pPr>
        <w:ind w:left="6480" w:hanging="360"/>
      </w:pPr>
      <w:rPr>
        <w:rFonts w:ascii="Courier New" w:hAnsi="Courier New" w:cs="Courier New" w:hint="default"/>
      </w:rPr>
    </w:lvl>
    <w:lvl w:ilvl="8" w:tplc="F81615CE" w:tentative="1">
      <w:start w:val="1"/>
      <w:numFmt w:val="bullet"/>
      <w:lvlText w:val=""/>
      <w:lvlJc w:val="left"/>
      <w:pPr>
        <w:ind w:left="7200" w:hanging="360"/>
      </w:pPr>
      <w:rPr>
        <w:rFonts w:ascii="Wingdings" w:hAnsi="Wingdings" w:hint="default"/>
      </w:rPr>
    </w:lvl>
  </w:abstractNum>
  <w:abstractNum w:abstractNumId="2" w15:restartNumberingAfterBreak="0">
    <w:nsid w:val="38752FED"/>
    <w:multiLevelType w:val="hybridMultilevel"/>
    <w:tmpl w:val="218AFEC0"/>
    <w:lvl w:ilvl="0" w:tplc="088EA198">
      <w:start w:val="5"/>
      <w:numFmt w:val="bullet"/>
      <w:lvlText w:val="-"/>
      <w:lvlJc w:val="left"/>
      <w:pPr>
        <w:ind w:left="720" w:hanging="360"/>
      </w:pPr>
      <w:rPr>
        <w:rFonts w:ascii="Century Schoolbook" w:eastAsiaTheme="minorHAnsi" w:hAnsi="Century Schoolbook" w:cstheme="minorBidi" w:hint="default"/>
      </w:rPr>
    </w:lvl>
    <w:lvl w:ilvl="1" w:tplc="AB6E239C" w:tentative="1">
      <w:start w:val="1"/>
      <w:numFmt w:val="bullet"/>
      <w:lvlText w:val="o"/>
      <w:lvlJc w:val="left"/>
      <w:pPr>
        <w:ind w:left="1440" w:hanging="360"/>
      </w:pPr>
      <w:rPr>
        <w:rFonts w:ascii="Courier New" w:hAnsi="Courier New" w:cs="Courier New" w:hint="default"/>
      </w:rPr>
    </w:lvl>
    <w:lvl w:ilvl="2" w:tplc="62D27080" w:tentative="1">
      <w:start w:val="1"/>
      <w:numFmt w:val="bullet"/>
      <w:lvlText w:val=""/>
      <w:lvlJc w:val="left"/>
      <w:pPr>
        <w:ind w:left="2160" w:hanging="360"/>
      </w:pPr>
      <w:rPr>
        <w:rFonts w:ascii="Wingdings" w:hAnsi="Wingdings" w:hint="default"/>
      </w:rPr>
    </w:lvl>
    <w:lvl w:ilvl="3" w:tplc="4E743EE8" w:tentative="1">
      <w:start w:val="1"/>
      <w:numFmt w:val="bullet"/>
      <w:lvlText w:val=""/>
      <w:lvlJc w:val="left"/>
      <w:pPr>
        <w:ind w:left="2880" w:hanging="360"/>
      </w:pPr>
      <w:rPr>
        <w:rFonts w:ascii="Symbol" w:hAnsi="Symbol" w:hint="default"/>
      </w:rPr>
    </w:lvl>
    <w:lvl w:ilvl="4" w:tplc="A136022A" w:tentative="1">
      <w:start w:val="1"/>
      <w:numFmt w:val="bullet"/>
      <w:lvlText w:val="o"/>
      <w:lvlJc w:val="left"/>
      <w:pPr>
        <w:ind w:left="3600" w:hanging="360"/>
      </w:pPr>
      <w:rPr>
        <w:rFonts w:ascii="Courier New" w:hAnsi="Courier New" w:cs="Courier New" w:hint="default"/>
      </w:rPr>
    </w:lvl>
    <w:lvl w:ilvl="5" w:tplc="43AA3012" w:tentative="1">
      <w:start w:val="1"/>
      <w:numFmt w:val="bullet"/>
      <w:lvlText w:val=""/>
      <w:lvlJc w:val="left"/>
      <w:pPr>
        <w:ind w:left="4320" w:hanging="360"/>
      </w:pPr>
      <w:rPr>
        <w:rFonts w:ascii="Wingdings" w:hAnsi="Wingdings" w:hint="default"/>
      </w:rPr>
    </w:lvl>
    <w:lvl w:ilvl="6" w:tplc="AB50BF4E" w:tentative="1">
      <w:start w:val="1"/>
      <w:numFmt w:val="bullet"/>
      <w:lvlText w:val=""/>
      <w:lvlJc w:val="left"/>
      <w:pPr>
        <w:ind w:left="5040" w:hanging="360"/>
      </w:pPr>
      <w:rPr>
        <w:rFonts w:ascii="Symbol" w:hAnsi="Symbol" w:hint="default"/>
      </w:rPr>
    </w:lvl>
    <w:lvl w:ilvl="7" w:tplc="8B9EB1AE" w:tentative="1">
      <w:start w:val="1"/>
      <w:numFmt w:val="bullet"/>
      <w:lvlText w:val="o"/>
      <w:lvlJc w:val="left"/>
      <w:pPr>
        <w:ind w:left="5760" w:hanging="360"/>
      </w:pPr>
      <w:rPr>
        <w:rFonts w:ascii="Courier New" w:hAnsi="Courier New" w:cs="Courier New" w:hint="default"/>
      </w:rPr>
    </w:lvl>
    <w:lvl w:ilvl="8" w:tplc="D3B437DC" w:tentative="1">
      <w:start w:val="1"/>
      <w:numFmt w:val="bullet"/>
      <w:lvlText w:val=""/>
      <w:lvlJc w:val="left"/>
      <w:pPr>
        <w:ind w:left="6480" w:hanging="360"/>
      </w:pPr>
      <w:rPr>
        <w:rFonts w:ascii="Wingdings" w:hAnsi="Wingdings" w:hint="default"/>
      </w:rPr>
    </w:lvl>
  </w:abstractNum>
  <w:abstractNum w:abstractNumId="3" w15:restartNumberingAfterBreak="0">
    <w:nsid w:val="39A24976"/>
    <w:multiLevelType w:val="hybridMultilevel"/>
    <w:tmpl w:val="95FC89AE"/>
    <w:lvl w:ilvl="0" w:tplc="E9EA69F6">
      <w:start w:val="1"/>
      <w:numFmt w:val="lowerLetter"/>
      <w:lvlText w:val="(%1)"/>
      <w:lvlJc w:val="left"/>
      <w:pPr>
        <w:ind w:left="1110" w:hanging="390"/>
      </w:pPr>
      <w:rPr>
        <w:rFonts w:hint="default"/>
      </w:rPr>
    </w:lvl>
    <w:lvl w:ilvl="1" w:tplc="5A526EBA" w:tentative="1">
      <w:start w:val="1"/>
      <w:numFmt w:val="lowerLetter"/>
      <w:lvlText w:val="%2."/>
      <w:lvlJc w:val="left"/>
      <w:pPr>
        <w:ind w:left="1800" w:hanging="360"/>
      </w:pPr>
    </w:lvl>
    <w:lvl w:ilvl="2" w:tplc="58E48CBA" w:tentative="1">
      <w:start w:val="1"/>
      <w:numFmt w:val="lowerRoman"/>
      <w:lvlText w:val="%3."/>
      <w:lvlJc w:val="right"/>
      <w:pPr>
        <w:ind w:left="2520" w:hanging="180"/>
      </w:pPr>
    </w:lvl>
    <w:lvl w:ilvl="3" w:tplc="3B50C728" w:tentative="1">
      <w:start w:val="1"/>
      <w:numFmt w:val="decimal"/>
      <w:lvlText w:val="%4."/>
      <w:lvlJc w:val="left"/>
      <w:pPr>
        <w:ind w:left="3240" w:hanging="360"/>
      </w:pPr>
    </w:lvl>
    <w:lvl w:ilvl="4" w:tplc="F672F47A" w:tentative="1">
      <w:start w:val="1"/>
      <w:numFmt w:val="lowerLetter"/>
      <w:lvlText w:val="%5."/>
      <w:lvlJc w:val="left"/>
      <w:pPr>
        <w:ind w:left="3960" w:hanging="360"/>
      </w:pPr>
    </w:lvl>
    <w:lvl w:ilvl="5" w:tplc="A7E21090" w:tentative="1">
      <w:start w:val="1"/>
      <w:numFmt w:val="lowerRoman"/>
      <w:lvlText w:val="%6."/>
      <w:lvlJc w:val="right"/>
      <w:pPr>
        <w:ind w:left="4680" w:hanging="180"/>
      </w:pPr>
    </w:lvl>
    <w:lvl w:ilvl="6" w:tplc="A2760548" w:tentative="1">
      <w:start w:val="1"/>
      <w:numFmt w:val="decimal"/>
      <w:lvlText w:val="%7."/>
      <w:lvlJc w:val="left"/>
      <w:pPr>
        <w:ind w:left="5400" w:hanging="360"/>
      </w:pPr>
    </w:lvl>
    <w:lvl w:ilvl="7" w:tplc="14D6CFB6" w:tentative="1">
      <w:start w:val="1"/>
      <w:numFmt w:val="lowerLetter"/>
      <w:lvlText w:val="%8."/>
      <w:lvlJc w:val="left"/>
      <w:pPr>
        <w:ind w:left="6120" w:hanging="360"/>
      </w:pPr>
    </w:lvl>
    <w:lvl w:ilvl="8" w:tplc="2A16FB20" w:tentative="1">
      <w:start w:val="1"/>
      <w:numFmt w:val="lowerRoman"/>
      <w:lvlText w:val="%9."/>
      <w:lvlJc w:val="right"/>
      <w:pPr>
        <w:ind w:left="6840" w:hanging="180"/>
      </w:pPr>
    </w:lvl>
  </w:abstractNum>
  <w:abstractNum w:abstractNumId="4" w15:restartNumberingAfterBreak="0">
    <w:nsid w:val="3E3B1395"/>
    <w:multiLevelType w:val="hybridMultilevel"/>
    <w:tmpl w:val="8F60E9EA"/>
    <w:lvl w:ilvl="0" w:tplc="CCC0798E">
      <w:start w:val="1980"/>
      <w:numFmt w:val="bullet"/>
      <w:lvlText w:val="-"/>
      <w:lvlJc w:val="left"/>
      <w:pPr>
        <w:ind w:left="720" w:hanging="360"/>
      </w:pPr>
      <w:rPr>
        <w:rFonts w:ascii="Century Schoolbook" w:eastAsiaTheme="minorHAnsi" w:hAnsi="Century Schoolbook" w:cstheme="minorBidi" w:hint="default"/>
      </w:rPr>
    </w:lvl>
    <w:lvl w:ilvl="1" w:tplc="9AE4BF2C" w:tentative="1">
      <w:start w:val="1"/>
      <w:numFmt w:val="bullet"/>
      <w:lvlText w:val="o"/>
      <w:lvlJc w:val="left"/>
      <w:pPr>
        <w:ind w:left="1440" w:hanging="360"/>
      </w:pPr>
      <w:rPr>
        <w:rFonts w:ascii="Courier New" w:hAnsi="Courier New" w:cs="Courier New" w:hint="default"/>
      </w:rPr>
    </w:lvl>
    <w:lvl w:ilvl="2" w:tplc="70D40C12" w:tentative="1">
      <w:start w:val="1"/>
      <w:numFmt w:val="bullet"/>
      <w:lvlText w:val=""/>
      <w:lvlJc w:val="left"/>
      <w:pPr>
        <w:ind w:left="2160" w:hanging="360"/>
      </w:pPr>
      <w:rPr>
        <w:rFonts w:ascii="Wingdings" w:hAnsi="Wingdings" w:hint="default"/>
      </w:rPr>
    </w:lvl>
    <w:lvl w:ilvl="3" w:tplc="642C5F94" w:tentative="1">
      <w:start w:val="1"/>
      <w:numFmt w:val="bullet"/>
      <w:lvlText w:val=""/>
      <w:lvlJc w:val="left"/>
      <w:pPr>
        <w:ind w:left="2880" w:hanging="360"/>
      </w:pPr>
      <w:rPr>
        <w:rFonts w:ascii="Symbol" w:hAnsi="Symbol" w:hint="default"/>
      </w:rPr>
    </w:lvl>
    <w:lvl w:ilvl="4" w:tplc="45CCF94A" w:tentative="1">
      <w:start w:val="1"/>
      <w:numFmt w:val="bullet"/>
      <w:lvlText w:val="o"/>
      <w:lvlJc w:val="left"/>
      <w:pPr>
        <w:ind w:left="3600" w:hanging="360"/>
      </w:pPr>
      <w:rPr>
        <w:rFonts w:ascii="Courier New" w:hAnsi="Courier New" w:cs="Courier New" w:hint="default"/>
      </w:rPr>
    </w:lvl>
    <w:lvl w:ilvl="5" w:tplc="1DD26632" w:tentative="1">
      <w:start w:val="1"/>
      <w:numFmt w:val="bullet"/>
      <w:lvlText w:val=""/>
      <w:lvlJc w:val="left"/>
      <w:pPr>
        <w:ind w:left="4320" w:hanging="360"/>
      </w:pPr>
      <w:rPr>
        <w:rFonts w:ascii="Wingdings" w:hAnsi="Wingdings" w:hint="default"/>
      </w:rPr>
    </w:lvl>
    <w:lvl w:ilvl="6" w:tplc="17767A24" w:tentative="1">
      <w:start w:val="1"/>
      <w:numFmt w:val="bullet"/>
      <w:lvlText w:val=""/>
      <w:lvlJc w:val="left"/>
      <w:pPr>
        <w:ind w:left="5040" w:hanging="360"/>
      </w:pPr>
      <w:rPr>
        <w:rFonts w:ascii="Symbol" w:hAnsi="Symbol" w:hint="default"/>
      </w:rPr>
    </w:lvl>
    <w:lvl w:ilvl="7" w:tplc="5C7098BA" w:tentative="1">
      <w:start w:val="1"/>
      <w:numFmt w:val="bullet"/>
      <w:lvlText w:val="o"/>
      <w:lvlJc w:val="left"/>
      <w:pPr>
        <w:ind w:left="5760" w:hanging="360"/>
      </w:pPr>
      <w:rPr>
        <w:rFonts w:ascii="Courier New" w:hAnsi="Courier New" w:cs="Courier New" w:hint="default"/>
      </w:rPr>
    </w:lvl>
    <w:lvl w:ilvl="8" w:tplc="C4F8E6CA" w:tentative="1">
      <w:start w:val="1"/>
      <w:numFmt w:val="bullet"/>
      <w:lvlText w:val=""/>
      <w:lvlJc w:val="left"/>
      <w:pPr>
        <w:ind w:left="6480" w:hanging="360"/>
      </w:pPr>
      <w:rPr>
        <w:rFonts w:ascii="Wingdings" w:hAnsi="Wingdings" w:hint="default"/>
      </w:rPr>
    </w:lvl>
  </w:abstractNum>
  <w:abstractNum w:abstractNumId="5" w15:restartNumberingAfterBreak="0">
    <w:nsid w:val="4075059F"/>
    <w:multiLevelType w:val="hybridMultilevel"/>
    <w:tmpl w:val="8C668E94"/>
    <w:lvl w:ilvl="0" w:tplc="CECC047E">
      <w:start w:val="1"/>
      <w:numFmt w:val="bullet"/>
      <w:lvlText w:val=""/>
      <w:lvlJc w:val="left"/>
      <w:pPr>
        <w:ind w:left="1440" w:hanging="360"/>
      </w:pPr>
      <w:rPr>
        <w:rFonts w:ascii="Symbol" w:hAnsi="Symbol" w:hint="default"/>
      </w:rPr>
    </w:lvl>
    <w:lvl w:ilvl="1" w:tplc="CDF4AACE" w:tentative="1">
      <w:start w:val="1"/>
      <w:numFmt w:val="bullet"/>
      <w:lvlText w:val="o"/>
      <w:lvlJc w:val="left"/>
      <w:pPr>
        <w:ind w:left="2160" w:hanging="360"/>
      </w:pPr>
      <w:rPr>
        <w:rFonts w:ascii="Courier New" w:hAnsi="Courier New" w:cs="Courier New" w:hint="default"/>
      </w:rPr>
    </w:lvl>
    <w:lvl w:ilvl="2" w:tplc="3F589AB4" w:tentative="1">
      <w:start w:val="1"/>
      <w:numFmt w:val="bullet"/>
      <w:lvlText w:val=""/>
      <w:lvlJc w:val="left"/>
      <w:pPr>
        <w:ind w:left="2880" w:hanging="360"/>
      </w:pPr>
      <w:rPr>
        <w:rFonts w:ascii="Wingdings" w:hAnsi="Wingdings" w:hint="default"/>
      </w:rPr>
    </w:lvl>
    <w:lvl w:ilvl="3" w:tplc="9A509F82" w:tentative="1">
      <w:start w:val="1"/>
      <w:numFmt w:val="bullet"/>
      <w:lvlText w:val=""/>
      <w:lvlJc w:val="left"/>
      <w:pPr>
        <w:ind w:left="3600" w:hanging="360"/>
      </w:pPr>
      <w:rPr>
        <w:rFonts w:ascii="Symbol" w:hAnsi="Symbol" w:hint="default"/>
      </w:rPr>
    </w:lvl>
    <w:lvl w:ilvl="4" w:tplc="C82E10AC" w:tentative="1">
      <w:start w:val="1"/>
      <w:numFmt w:val="bullet"/>
      <w:lvlText w:val="o"/>
      <w:lvlJc w:val="left"/>
      <w:pPr>
        <w:ind w:left="4320" w:hanging="360"/>
      </w:pPr>
      <w:rPr>
        <w:rFonts w:ascii="Courier New" w:hAnsi="Courier New" w:cs="Courier New" w:hint="default"/>
      </w:rPr>
    </w:lvl>
    <w:lvl w:ilvl="5" w:tplc="E00A64D0" w:tentative="1">
      <w:start w:val="1"/>
      <w:numFmt w:val="bullet"/>
      <w:lvlText w:val=""/>
      <w:lvlJc w:val="left"/>
      <w:pPr>
        <w:ind w:left="5040" w:hanging="360"/>
      </w:pPr>
      <w:rPr>
        <w:rFonts w:ascii="Wingdings" w:hAnsi="Wingdings" w:hint="default"/>
      </w:rPr>
    </w:lvl>
    <w:lvl w:ilvl="6" w:tplc="1DA81BFE" w:tentative="1">
      <w:start w:val="1"/>
      <w:numFmt w:val="bullet"/>
      <w:lvlText w:val=""/>
      <w:lvlJc w:val="left"/>
      <w:pPr>
        <w:ind w:left="5760" w:hanging="360"/>
      </w:pPr>
      <w:rPr>
        <w:rFonts w:ascii="Symbol" w:hAnsi="Symbol" w:hint="default"/>
      </w:rPr>
    </w:lvl>
    <w:lvl w:ilvl="7" w:tplc="53B6C100" w:tentative="1">
      <w:start w:val="1"/>
      <w:numFmt w:val="bullet"/>
      <w:lvlText w:val="o"/>
      <w:lvlJc w:val="left"/>
      <w:pPr>
        <w:ind w:left="6480" w:hanging="360"/>
      </w:pPr>
      <w:rPr>
        <w:rFonts w:ascii="Courier New" w:hAnsi="Courier New" w:cs="Courier New" w:hint="default"/>
      </w:rPr>
    </w:lvl>
    <w:lvl w:ilvl="8" w:tplc="9DFE8D6E" w:tentative="1">
      <w:start w:val="1"/>
      <w:numFmt w:val="bullet"/>
      <w:lvlText w:val=""/>
      <w:lvlJc w:val="left"/>
      <w:pPr>
        <w:ind w:left="7200" w:hanging="360"/>
      </w:pPr>
      <w:rPr>
        <w:rFonts w:ascii="Wingdings" w:hAnsi="Wingdings" w:hint="default"/>
      </w:rPr>
    </w:lvl>
  </w:abstractNum>
  <w:abstractNum w:abstractNumId="6" w15:restartNumberingAfterBreak="0">
    <w:nsid w:val="5DFF49D5"/>
    <w:multiLevelType w:val="hybridMultilevel"/>
    <w:tmpl w:val="024EABAC"/>
    <w:lvl w:ilvl="0" w:tplc="0FC42810">
      <w:start w:val="1887"/>
      <w:numFmt w:val="bullet"/>
      <w:lvlText w:val="-"/>
      <w:lvlJc w:val="left"/>
      <w:pPr>
        <w:ind w:left="720" w:hanging="360"/>
      </w:pPr>
      <w:rPr>
        <w:rFonts w:ascii="Century Schoolbook" w:eastAsiaTheme="minorHAnsi" w:hAnsi="Century Schoolbook" w:cstheme="minorBidi" w:hint="default"/>
      </w:rPr>
    </w:lvl>
    <w:lvl w:ilvl="1" w:tplc="38266ED4" w:tentative="1">
      <w:start w:val="1"/>
      <w:numFmt w:val="bullet"/>
      <w:lvlText w:val="o"/>
      <w:lvlJc w:val="left"/>
      <w:pPr>
        <w:ind w:left="1440" w:hanging="360"/>
      </w:pPr>
      <w:rPr>
        <w:rFonts w:ascii="Courier New" w:hAnsi="Courier New" w:cs="Courier New" w:hint="default"/>
      </w:rPr>
    </w:lvl>
    <w:lvl w:ilvl="2" w:tplc="3C40E3BE" w:tentative="1">
      <w:start w:val="1"/>
      <w:numFmt w:val="bullet"/>
      <w:lvlText w:val=""/>
      <w:lvlJc w:val="left"/>
      <w:pPr>
        <w:ind w:left="2160" w:hanging="360"/>
      </w:pPr>
      <w:rPr>
        <w:rFonts w:ascii="Wingdings" w:hAnsi="Wingdings" w:hint="default"/>
      </w:rPr>
    </w:lvl>
    <w:lvl w:ilvl="3" w:tplc="9C724FA4" w:tentative="1">
      <w:start w:val="1"/>
      <w:numFmt w:val="bullet"/>
      <w:lvlText w:val=""/>
      <w:lvlJc w:val="left"/>
      <w:pPr>
        <w:ind w:left="2880" w:hanging="360"/>
      </w:pPr>
      <w:rPr>
        <w:rFonts w:ascii="Symbol" w:hAnsi="Symbol" w:hint="default"/>
      </w:rPr>
    </w:lvl>
    <w:lvl w:ilvl="4" w:tplc="B0F899CA" w:tentative="1">
      <w:start w:val="1"/>
      <w:numFmt w:val="bullet"/>
      <w:lvlText w:val="o"/>
      <w:lvlJc w:val="left"/>
      <w:pPr>
        <w:ind w:left="3600" w:hanging="360"/>
      </w:pPr>
      <w:rPr>
        <w:rFonts w:ascii="Courier New" w:hAnsi="Courier New" w:cs="Courier New" w:hint="default"/>
      </w:rPr>
    </w:lvl>
    <w:lvl w:ilvl="5" w:tplc="700AB926" w:tentative="1">
      <w:start w:val="1"/>
      <w:numFmt w:val="bullet"/>
      <w:lvlText w:val=""/>
      <w:lvlJc w:val="left"/>
      <w:pPr>
        <w:ind w:left="4320" w:hanging="360"/>
      </w:pPr>
      <w:rPr>
        <w:rFonts w:ascii="Wingdings" w:hAnsi="Wingdings" w:hint="default"/>
      </w:rPr>
    </w:lvl>
    <w:lvl w:ilvl="6" w:tplc="79EE3AB0" w:tentative="1">
      <w:start w:val="1"/>
      <w:numFmt w:val="bullet"/>
      <w:lvlText w:val=""/>
      <w:lvlJc w:val="left"/>
      <w:pPr>
        <w:ind w:left="5040" w:hanging="360"/>
      </w:pPr>
      <w:rPr>
        <w:rFonts w:ascii="Symbol" w:hAnsi="Symbol" w:hint="default"/>
      </w:rPr>
    </w:lvl>
    <w:lvl w:ilvl="7" w:tplc="E46450FA" w:tentative="1">
      <w:start w:val="1"/>
      <w:numFmt w:val="bullet"/>
      <w:lvlText w:val="o"/>
      <w:lvlJc w:val="left"/>
      <w:pPr>
        <w:ind w:left="5760" w:hanging="360"/>
      </w:pPr>
      <w:rPr>
        <w:rFonts w:ascii="Courier New" w:hAnsi="Courier New" w:cs="Courier New" w:hint="default"/>
      </w:rPr>
    </w:lvl>
    <w:lvl w:ilvl="8" w:tplc="1C961730" w:tentative="1">
      <w:start w:val="1"/>
      <w:numFmt w:val="bullet"/>
      <w:lvlText w:val=""/>
      <w:lvlJc w:val="left"/>
      <w:pPr>
        <w:ind w:left="6480" w:hanging="360"/>
      </w:pPr>
      <w:rPr>
        <w:rFonts w:ascii="Wingdings" w:hAnsi="Wingdings" w:hint="default"/>
      </w:rPr>
    </w:lvl>
  </w:abstractNum>
  <w:abstractNum w:abstractNumId="7" w15:restartNumberingAfterBreak="0">
    <w:nsid w:val="69A658F4"/>
    <w:multiLevelType w:val="hybridMultilevel"/>
    <w:tmpl w:val="842C08FC"/>
    <w:lvl w:ilvl="0" w:tplc="FDBA4DF4">
      <w:start w:val="1"/>
      <w:numFmt w:val="bullet"/>
      <w:lvlText w:val=""/>
      <w:lvlJc w:val="left"/>
      <w:pPr>
        <w:ind w:left="720" w:hanging="360"/>
      </w:pPr>
      <w:rPr>
        <w:rFonts w:ascii="Symbol" w:hAnsi="Symbol" w:hint="default"/>
      </w:rPr>
    </w:lvl>
    <w:lvl w:ilvl="1" w:tplc="F3D61838" w:tentative="1">
      <w:start w:val="1"/>
      <w:numFmt w:val="bullet"/>
      <w:lvlText w:val="o"/>
      <w:lvlJc w:val="left"/>
      <w:pPr>
        <w:ind w:left="1440" w:hanging="360"/>
      </w:pPr>
      <w:rPr>
        <w:rFonts w:ascii="Courier New" w:hAnsi="Courier New" w:cs="Courier New" w:hint="default"/>
      </w:rPr>
    </w:lvl>
    <w:lvl w:ilvl="2" w:tplc="928EDF72" w:tentative="1">
      <w:start w:val="1"/>
      <w:numFmt w:val="bullet"/>
      <w:lvlText w:val=""/>
      <w:lvlJc w:val="left"/>
      <w:pPr>
        <w:ind w:left="2160" w:hanging="360"/>
      </w:pPr>
      <w:rPr>
        <w:rFonts w:ascii="Wingdings" w:hAnsi="Wingdings" w:hint="default"/>
      </w:rPr>
    </w:lvl>
    <w:lvl w:ilvl="3" w:tplc="A484EDF0" w:tentative="1">
      <w:start w:val="1"/>
      <w:numFmt w:val="bullet"/>
      <w:lvlText w:val=""/>
      <w:lvlJc w:val="left"/>
      <w:pPr>
        <w:ind w:left="2880" w:hanging="360"/>
      </w:pPr>
      <w:rPr>
        <w:rFonts w:ascii="Symbol" w:hAnsi="Symbol" w:hint="default"/>
      </w:rPr>
    </w:lvl>
    <w:lvl w:ilvl="4" w:tplc="BC685352" w:tentative="1">
      <w:start w:val="1"/>
      <w:numFmt w:val="bullet"/>
      <w:lvlText w:val="o"/>
      <w:lvlJc w:val="left"/>
      <w:pPr>
        <w:ind w:left="3600" w:hanging="360"/>
      </w:pPr>
      <w:rPr>
        <w:rFonts w:ascii="Courier New" w:hAnsi="Courier New" w:cs="Courier New" w:hint="default"/>
      </w:rPr>
    </w:lvl>
    <w:lvl w:ilvl="5" w:tplc="E65E654C" w:tentative="1">
      <w:start w:val="1"/>
      <w:numFmt w:val="bullet"/>
      <w:lvlText w:val=""/>
      <w:lvlJc w:val="left"/>
      <w:pPr>
        <w:ind w:left="4320" w:hanging="360"/>
      </w:pPr>
      <w:rPr>
        <w:rFonts w:ascii="Wingdings" w:hAnsi="Wingdings" w:hint="default"/>
      </w:rPr>
    </w:lvl>
    <w:lvl w:ilvl="6" w:tplc="693EC534" w:tentative="1">
      <w:start w:val="1"/>
      <w:numFmt w:val="bullet"/>
      <w:lvlText w:val=""/>
      <w:lvlJc w:val="left"/>
      <w:pPr>
        <w:ind w:left="5040" w:hanging="360"/>
      </w:pPr>
      <w:rPr>
        <w:rFonts w:ascii="Symbol" w:hAnsi="Symbol" w:hint="default"/>
      </w:rPr>
    </w:lvl>
    <w:lvl w:ilvl="7" w:tplc="DBD88B64" w:tentative="1">
      <w:start w:val="1"/>
      <w:numFmt w:val="bullet"/>
      <w:lvlText w:val="o"/>
      <w:lvlJc w:val="left"/>
      <w:pPr>
        <w:ind w:left="5760" w:hanging="360"/>
      </w:pPr>
      <w:rPr>
        <w:rFonts w:ascii="Courier New" w:hAnsi="Courier New" w:cs="Courier New" w:hint="default"/>
      </w:rPr>
    </w:lvl>
    <w:lvl w:ilvl="8" w:tplc="202CBA72" w:tentative="1">
      <w:start w:val="1"/>
      <w:numFmt w:val="bullet"/>
      <w:lvlText w:val=""/>
      <w:lvlJc w:val="left"/>
      <w:pPr>
        <w:ind w:left="6480" w:hanging="360"/>
      </w:pPr>
      <w:rPr>
        <w:rFonts w:ascii="Wingdings" w:hAnsi="Wingdings" w:hint="default"/>
      </w:rPr>
    </w:lvl>
  </w:abstractNum>
  <w:num w:numId="1" w16cid:durableId="1359892049">
    <w:abstractNumId w:val="4"/>
  </w:num>
  <w:num w:numId="2" w16cid:durableId="753625067">
    <w:abstractNumId w:val="6"/>
  </w:num>
  <w:num w:numId="3" w16cid:durableId="1555851741">
    <w:abstractNumId w:val="0"/>
  </w:num>
  <w:num w:numId="4" w16cid:durableId="609163189">
    <w:abstractNumId w:val="2"/>
  </w:num>
  <w:num w:numId="5" w16cid:durableId="291636432">
    <w:abstractNumId w:val="1"/>
  </w:num>
  <w:num w:numId="6" w16cid:durableId="867063751">
    <w:abstractNumId w:val="7"/>
  </w:num>
  <w:num w:numId="7" w16cid:durableId="206569597">
    <w:abstractNumId w:val="5"/>
  </w:num>
  <w:num w:numId="8" w16cid:durableId="5655274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D5"/>
    <w:rsid w:val="00000A88"/>
    <w:rsid w:val="00001C26"/>
    <w:rsid w:val="000032C8"/>
    <w:rsid w:val="00004807"/>
    <w:rsid w:val="00005B4B"/>
    <w:rsid w:val="00005DA5"/>
    <w:rsid w:val="000064A8"/>
    <w:rsid w:val="00011A26"/>
    <w:rsid w:val="0001318F"/>
    <w:rsid w:val="000143C1"/>
    <w:rsid w:val="00014483"/>
    <w:rsid w:val="00014EAF"/>
    <w:rsid w:val="000153F7"/>
    <w:rsid w:val="00015726"/>
    <w:rsid w:val="00017BA8"/>
    <w:rsid w:val="0002021D"/>
    <w:rsid w:val="00020943"/>
    <w:rsid w:val="00021538"/>
    <w:rsid w:val="00022BB5"/>
    <w:rsid w:val="00023BCB"/>
    <w:rsid w:val="00023F0D"/>
    <w:rsid w:val="00023F7B"/>
    <w:rsid w:val="00025589"/>
    <w:rsid w:val="000278D8"/>
    <w:rsid w:val="00027B81"/>
    <w:rsid w:val="000301C0"/>
    <w:rsid w:val="000303FE"/>
    <w:rsid w:val="00031746"/>
    <w:rsid w:val="000329AC"/>
    <w:rsid w:val="00032F70"/>
    <w:rsid w:val="00033FCC"/>
    <w:rsid w:val="00034A27"/>
    <w:rsid w:val="000351BF"/>
    <w:rsid w:val="00037BD2"/>
    <w:rsid w:val="0004043D"/>
    <w:rsid w:val="000415A1"/>
    <w:rsid w:val="0004245F"/>
    <w:rsid w:val="000429FF"/>
    <w:rsid w:val="00042F5A"/>
    <w:rsid w:val="000439A1"/>
    <w:rsid w:val="00043BDF"/>
    <w:rsid w:val="000448F2"/>
    <w:rsid w:val="00044A13"/>
    <w:rsid w:val="00044F69"/>
    <w:rsid w:val="00045A9C"/>
    <w:rsid w:val="00045D4C"/>
    <w:rsid w:val="00045E94"/>
    <w:rsid w:val="00045EC3"/>
    <w:rsid w:val="00045F1C"/>
    <w:rsid w:val="00046098"/>
    <w:rsid w:val="00046F1B"/>
    <w:rsid w:val="00047458"/>
    <w:rsid w:val="0005080F"/>
    <w:rsid w:val="00051156"/>
    <w:rsid w:val="0005140A"/>
    <w:rsid w:val="000528E1"/>
    <w:rsid w:val="00053CB9"/>
    <w:rsid w:val="00054391"/>
    <w:rsid w:val="0005461A"/>
    <w:rsid w:val="000546E7"/>
    <w:rsid w:val="00054CD0"/>
    <w:rsid w:val="00054D19"/>
    <w:rsid w:val="00055B37"/>
    <w:rsid w:val="00057804"/>
    <w:rsid w:val="000613A1"/>
    <w:rsid w:val="00061E34"/>
    <w:rsid w:val="00062095"/>
    <w:rsid w:val="00063E07"/>
    <w:rsid w:val="00064556"/>
    <w:rsid w:val="0006732D"/>
    <w:rsid w:val="00070794"/>
    <w:rsid w:val="000707CE"/>
    <w:rsid w:val="00070EC1"/>
    <w:rsid w:val="000713F8"/>
    <w:rsid w:val="000733CF"/>
    <w:rsid w:val="00073623"/>
    <w:rsid w:val="000738F4"/>
    <w:rsid w:val="0007451F"/>
    <w:rsid w:val="0007485A"/>
    <w:rsid w:val="0007652B"/>
    <w:rsid w:val="00077A14"/>
    <w:rsid w:val="000802D3"/>
    <w:rsid w:val="00080696"/>
    <w:rsid w:val="00080E52"/>
    <w:rsid w:val="0008152E"/>
    <w:rsid w:val="00081764"/>
    <w:rsid w:val="000834A2"/>
    <w:rsid w:val="00084B0F"/>
    <w:rsid w:val="00085830"/>
    <w:rsid w:val="00086AE2"/>
    <w:rsid w:val="00086FCF"/>
    <w:rsid w:val="00090119"/>
    <w:rsid w:val="00091503"/>
    <w:rsid w:val="00091FA6"/>
    <w:rsid w:val="00091FD3"/>
    <w:rsid w:val="00093923"/>
    <w:rsid w:val="00096F50"/>
    <w:rsid w:val="000A0517"/>
    <w:rsid w:val="000A285A"/>
    <w:rsid w:val="000A2AE6"/>
    <w:rsid w:val="000A48E8"/>
    <w:rsid w:val="000A5A76"/>
    <w:rsid w:val="000A5B33"/>
    <w:rsid w:val="000A5CD5"/>
    <w:rsid w:val="000A6FB0"/>
    <w:rsid w:val="000A7587"/>
    <w:rsid w:val="000A7D37"/>
    <w:rsid w:val="000B0663"/>
    <w:rsid w:val="000B0C48"/>
    <w:rsid w:val="000B1078"/>
    <w:rsid w:val="000B145D"/>
    <w:rsid w:val="000B245E"/>
    <w:rsid w:val="000B2664"/>
    <w:rsid w:val="000B3DCC"/>
    <w:rsid w:val="000B4D74"/>
    <w:rsid w:val="000B659D"/>
    <w:rsid w:val="000B6D25"/>
    <w:rsid w:val="000B7E7D"/>
    <w:rsid w:val="000C13D5"/>
    <w:rsid w:val="000C1721"/>
    <w:rsid w:val="000C37F9"/>
    <w:rsid w:val="000C45FF"/>
    <w:rsid w:val="000C7244"/>
    <w:rsid w:val="000C76ED"/>
    <w:rsid w:val="000C7813"/>
    <w:rsid w:val="000D068A"/>
    <w:rsid w:val="000D22B5"/>
    <w:rsid w:val="000D33F0"/>
    <w:rsid w:val="000D3A68"/>
    <w:rsid w:val="000D5FA4"/>
    <w:rsid w:val="000D6775"/>
    <w:rsid w:val="000D6D3B"/>
    <w:rsid w:val="000D7999"/>
    <w:rsid w:val="000D7B7C"/>
    <w:rsid w:val="000D7E3B"/>
    <w:rsid w:val="000E02CA"/>
    <w:rsid w:val="000E09FB"/>
    <w:rsid w:val="000E28E3"/>
    <w:rsid w:val="000E2A61"/>
    <w:rsid w:val="000E4145"/>
    <w:rsid w:val="000E4460"/>
    <w:rsid w:val="000E4A47"/>
    <w:rsid w:val="000E565F"/>
    <w:rsid w:val="000E5BB4"/>
    <w:rsid w:val="000E67C4"/>
    <w:rsid w:val="000E70F1"/>
    <w:rsid w:val="000F1659"/>
    <w:rsid w:val="000F3F55"/>
    <w:rsid w:val="000F40B6"/>
    <w:rsid w:val="0010052C"/>
    <w:rsid w:val="00102F48"/>
    <w:rsid w:val="001030EB"/>
    <w:rsid w:val="0010425A"/>
    <w:rsid w:val="001042E8"/>
    <w:rsid w:val="00104436"/>
    <w:rsid w:val="00104598"/>
    <w:rsid w:val="001048B0"/>
    <w:rsid w:val="00105465"/>
    <w:rsid w:val="00105DD8"/>
    <w:rsid w:val="00105F16"/>
    <w:rsid w:val="00106139"/>
    <w:rsid w:val="00106C34"/>
    <w:rsid w:val="00106C9E"/>
    <w:rsid w:val="00110A0A"/>
    <w:rsid w:val="00111560"/>
    <w:rsid w:val="001122F8"/>
    <w:rsid w:val="0011296A"/>
    <w:rsid w:val="00112E15"/>
    <w:rsid w:val="00113AF8"/>
    <w:rsid w:val="00113B63"/>
    <w:rsid w:val="0011451C"/>
    <w:rsid w:val="00115366"/>
    <w:rsid w:val="0011583A"/>
    <w:rsid w:val="00116FAC"/>
    <w:rsid w:val="001178D5"/>
    <w:rsid w:val="00121A41"/>
    <w:rsid w:val="00122DC1"/>
    <w:rsid w:val="00125039"/>
    <w:rsid w:val="00130DC8"/>
    <w:rsid w:val="001314C3"/>
    <w:rsid w:val="00133029"/>
    <w:rsid w:val="00133DEB"/>
    <w:rsid w:val="00134032"/>
    <w:rsid w:val="001340FB"/>
    <w:rsid w:val="00135063"/>
    <w:rsid w:val="00135260"/>
    <w:rsid w:val="00135929"/>
    <w:rsid w:val="001364ED"/>
    <w:rsid w:val="00137511"/>
    <w:rsid w:val="00141814"/>
    <w:rsid w:val="001419DF"/>
    <w:rsid w:val="001425C2"/>
    <w:rsid w:val="00142C8F"/>
    <w:rsid w:val="00143246"/>
    <w:rsid w:val="0014328D"/>
    <w:rsid w:val="0014348A"/>
    <w:rsid w:val="00143E26"/>
    <w:rsid w:val="00144269"/>
    <w:rsid w:val="00144445"/>
    <w:rsid w:val="001449BA"/>
    <w:rsid w:val="00145240"/>
    <w:rsid w:val="00145429"/>
    <w:rsid w:val="00146B5E"/>
    <w:rsid w:val="00147774"/>
    <w:rsid w:val="00147B87"/>
    <w:rsid w:val="00151023"/>
    <w:rsid w:val="0015370E"/>
    <w:rsid w:val="001542B5"/>
    <w:rsid w:val="0015562E"/>
    <w:rsid w:val="001556C6"/>
    <w:rsid w:val="00155FFF"/>
    <w:rsid w:val="00156CFE"/>
    <w:rsid w:val="001607A4"/>
    <w:rsid w:val="00163799"/>
    <w:rsid w:val="00164702"/>
    <w:rsid w:val="00165300"/>
    <w:rsid w:val="00166522"/>
    <w:rsid w:val="0016652C"/>
    <w:rsid w:val="001679FD"/>
    <w:rsid w:val="00167E3F"/>
    <w:rsid w:val="00170F11"/>
    <w:rsid w:val="00174A52"/>
    <w:rsid w:val="00177598"/>
    <w:rsid w:val="00177FED"/>
    <w:rsid w:val="001802B8"/>
    <w:rsid w:val="00181822"/>
    <w:rsid w:val="00181965"/>
    <w:rsid w:val="00182083"/>
    <w:rsid w:val="00184984"/>
    <w:rsid w:val="001849D7"/>
    <w:rsid w:val="00185259"/>
    <w:rsid w:val="00185AF1"/>
    <w:rsid w:val="00185B79"/>
    <w:rsid w:val="00187CFE"/>
    <w:rsid w:val="00191416"/>
    <w:rsid w:val="001914F5"/>
    <w:rsid w:val="00191CB9"/>
    <w:rsid w:val="00193503"/>
    <w:rsid w:val="00194724"/>
    <w:rsid w:val="00194900"/>
    <w:rsid w:val="00194A9A"/>
    <w:rsid w:val="001969BE"/>
    <w:rsid w:val="0019754F"/>
    <w:rsid w:val="0019763D"/>
    <w:rsid w:val="001A11E7"/>
    <w:rsid w:val="001A1F9A"/>
    <w:rsid w:val="001A2ABD"/>
    <w:rsid w:val="001A30C6"/>
    <w:rsid w:val="001A6C2A"/>
    <w:rsid w:val="001A79FF"/>
    <w:rsid w:val="001A7C63"/>
    <w:rsid w:val="001A7EDF"/>
    <w:rsid w:val="001B033D"/>
    <w:rsid w:val="001B1F76"/>
    <w:rsid w:val="001B2603"/>
    <w:rsid w:val="001B29BE"/>
    <w:rsid w:val="001B2B70"/>
    <w:rsid w:val="001B4240"/>
    <w:rsid w:val="001B491C"/>
    <w:rsid w:val="001B70C9"/>
    <w:rsid w:val="001B7304"/>
    <w:rsid w:val="001C1239"/>
    <w:rsid w:val="001C4061"/>
    <w:rsid w:val="001C413C"/>
    <w:rsid w:val="001C440A"/>
    <w:rsid w:val="001C615E"/>
    <w:rsid w:val="001C654F"/>
    <w:rsid w:val="001C7482"/>
    <w:rsid w:val="001D1E43"/>
    <w:rsid w:val="001D2392"/>
    <w:rsid w:val="001D2C3E"/>
    <w:rsid w:val="001D2CE8"/>
    <w:rsid w:val="001D63BE"/>
    <w:rsid w:val="001D658C"/>
    <w:rsid w:val="001D708B"/>
    <w:rsid w:val="001D7564"/>
    <w:rsid w:val="001D7EC8"/>
    <w:rsid w:val="001E1D03"/>
    <w:rsid w:val="001E357F"/>
    <w:rsid w:val="001E47F0"/>
    <w:rsid w:val="001E5251"/>
    <w:rsid w:val="001E537A"/>
    <w:rsid w:val="001E7582"/>
    <w:rsid w:val="001F005C"/>
    <w:rsid w:val="001F0250"/>
    <w:rsid w:val="001F0687"/>
    <w:rsid w:val="001F32CA"/>
    <w:rsid w:val="001F3814"/>
    <w:rsid w:val="001F4073"/>
    <w:rsid w:val="001F4335"/>
    <w:rsid w:val="001F7038"/>
    <w:rsid w:val="002002D4"/>
    <w:rsid w:val="002008DB"/>
    <w:rsid w:val="00201000"/>
    <w:rsid w:val="002069D0"/>
    <w:rsid w:val="0020773C"/>
    <w:rsid w:val="00207EC9"/>
    <w:rsid w:val="00210B43"/>
    <w:rsid w:val="002118C0"/>
    <w:rsid w:val="00213E01"/>
    <w:rsid w:val="0021413F"/>
    <w:rsid w:val="002141CD"/>
    <w:rsid w:val="002150B6"/>
    <w:rsid w:val="00216391"/>
    <w:rsid w:val="00216981"/>
    <w:rsid w:val="00220901"/>
    <w:rsid w:val="0022156F"/>
    <w:rsid w:val="0022226D"/>
    <w:rsid w:val="0022294A"/>
    <w:rsid w:val="00223112"/>
    <w:rsid w:val="0022467E"/>
    <w:rsid w:val="00225AEB"/>
    <w:rsid w:val="00227C33"/>
    <w:rsid w:val="00231E6C"/>
    <w:rsid w:val="002326CD"/>
    <w:rsid w:val="002331F3"/>
    <w:rsid w:val="00234B64"/>
    <w:rsid w:val="002360B0"/>
    <w:rsid w:val="0023611F"/>
    <w:rsid w:val="00236C88"/>
    <w:rsid w:val="00236F94"/>
    <w:rsid w:val="0024036B"/>
    <w:rsid w:val="00240EE2"/>
    <w:rsid w:val="00242780"/>
    <w:rsid w:val="002432D2"/>
    <w:rsid w:val="00243676"/>
    <w:rsid w:val="00244112"/>
    <w:rsid w:val="00246023"/>
    <w:rsid w:val="0024663C"/>
    <w:rsid w:val="002468FF"/>
    <w:rsid w:val="00250485"/>
    <w:rsid w:val="0025050E"/>
    <w:rsid w:val="0025160F"/>
    <w:rsid w:val="002519DE"/>
    <w:rsid w:val="0025234F"/>
    <w:rsid w:val="00252A76"/>
    <w:rsid w:val="00262D36"/>
    <w:rsid w:val="00262F7C"/>
    <w:rsid w:val="0026363F"/>
    <w:rsid w:val="002641F4"/>
    <w:rsid w:val="0026460C"/>
    <w:rsid w:val="002651C8"/>
    <w:rsid w:val="00266756"/>
    <w:rsid w:val="00266916"/>
    <w:rsid w:val="00267EBB"/>
    <w:rsid w:val="00270033"/>
    <w:rsid w:val="0027095A"/>
    <w:rsid w:val="002709C2"/>
    <w:rsid w:val="00270B6A"/>
    <w:rsid w:val="00270E48"/>
    <w:rsid w:val="00271669"/>
    <w:rsid w:val="00272EA9"/>
    <w:rsid w:val="00273121"/>
    <w:rsid w:val="002741D5"/>
    <w:rsid w:val="00275BF1"/>
    <w:rsid w:val="00276653"/>
    <w:rsid w:val="00277283"/>
    <w:rsid w:val="002807BC"/>
    <w:rsid w:val="00280E65"/>
    <w:rsid w:val="002825AB"/>
    <w:rsid w:val="00282C8A"/>
    <w:rsid w:val="00282D0F"/>
    <w:rsid w:val="00284A7B"/>
    <w:rsid w:val="0028521D"/>
    <w:rsid w:val="002855DA"/>
    <w:rsid w:val="00285681"/>
    <w:rsid w:val="00287C43"/>
    <w:rsid w:val="002900FC"/>
    <w:rsid w:val="00290139"/>
    <w:rsid w:val="00291A6D"/>
    <w:rsid w:val="00292539"/>
    <w:rsid w:val="00292AB1"/>
    <w:rsid w:val="00292CEA"/>
    <w:rsid w:val="00292E4F"/>
    <w:rsid w:val="00293149"/>
    <w:rsid w:val="002932A6"/>
    <w:rsid w:val="0029353E"/>
    <w:rsid w:val="002952E7"/>
    <w:rsid w:val="00296F8F"/>
    <w:rsid w:val="002A06A4"/>
    <w:rsid w:val="002A0729"/>
    <w:rsid w:val="002A2DAD"/>
    <w:rsid w:val="002A603E"/>
    <w:rsid w:val="002A6B67"/>
    <w:rsid w:val="002A7324"/>
    <w:rsid w:val="002B027F"/>
    <w:rsid w:val="002B13BD"/>
    <w:rsid w:val="002B1CD9"/>
    <w:rsid w:val="002B27D7"/>
    <w:rsid w:val="002B3349"/>
    <w:rsid w:val="002B48C2"/>
    <w:rsid w:val="002B5092"/>
    <w:rsid w:val="002B522A"/>
    <w:rsid w:val="002B551E"/>
    <w:rsid w:val="002B5D50"/>
    <w:rsid w:val="002B6583"/>
    <w:rsid w:val="002B6CBD"/>
    <w:rsid w:val="002B6E9D"/>
    <w:rsid w:val="002B70E6"/>
    <w:rsid w:val="002C07F0"/>
    <w:rsid w:val="002C0D48"/>
    <w:rsid w:val="002C275D"/>
    <w:rsid w:val="002C3775"/>
    <w:rsid w:val="002C3A92"/>
    <w:rsid w:val="002C4941"/>
    <w:rsid w:val="002C4E08"/>
    <w:rsid w:val="002C50C5"/>
    <w:rsid w:val="002C5443"/>
    <w:rsid w:val="002D0153"/>
    <w:rsid w:val="002D07B3"/>
    <w:rsid w:val="002D1DBA"/>
    <w:rsid w:val="002D2028"/>
    <w:rsid w:val="002D2134"/>
    <w:rsid w:val="002D243C"/>
    <w:rsid w:val="002D3140"/>
    <w:rsid w:val="002D546E"/>
    <w:rsid w:val="002D5866"/>
    <w:rsid w:val="002D626C"/>
    <w:rsid w:val="002D7A16"/>
    <w:rsid w:val="002D7EF3"/>
    <w:rsid w:val="002E05AE"/>
    <w:rsid w:val="002E2995"/>
    <w:rsid w:val="002E5BB0"/>
    <w:rsid w:val="002E7CB8"/>
    <w:rsid w:val="002F05CD"/>
    <w:rsid w:val="002F074B"/>
    <w:rsid w:val="002F0E3C"/>
    <w:rsid w:val="002F2D00"/>
    <w:rsid w:val="002F2E25"/>
    <w:rsid w:val="003010F4"/>
    <w:rsid w:val="00303868"/>
    <w:rsid w:val="00304F00"/>
    <w:rsid w:val="00305D91"/>
    <w:rsid w:val="00306FB3"/>
    <w:rsid w:val="003070AA"/>
    <w:rsid w:val="00310EC7"/>
    <w:rsid w:val="00314138"/>
    <w:rsid w:val="00314253"/>
    <w:rsid w:val="0031543C"/>
    <w:rsid w:val="003165B6"/>
    <w:rsid w:val="00316AFB"/>
    <w:rsid w:val="003215CE"/>
    <w:rsid w:val="003219E2"/>
    <w:rsid w:val="0032203D"/>
    <w:rsid w:val="0032387B"/>
    <w:rsid w:val="0032636C"/>
    <w:rsid w:val="00331F43"/>
    <w:rsid w:val="00332D87"/>
    <w:rsid w:val="00332EBE"/>
    <w:rsid w:val="003330AA"/>
    <w:rsid w:val="00333B4B"/>
    <w:rsid w:val="00333FDC"/>
    <w:rsid w:val="0033407F"/>
    <w:rsid w:val="00334645"/>
    <w:rsid w:val="00334F4A"/>
    <w:rsid w:val="00335F2F"/>
    <w:rsid w:val="003369DD"/>
    <w:rsid w:val="003374C9"/>
    <w:rsid w:val="0033757A"/>
    <w:rsid w:val="003402A4"/>
    <w:rsid w:val="00340EDD"/>
    <w:rsid w:val="00342B0D"/>
    <w:rsid w:val="0034316B"/>
    <w:rsid w:val="0034397F"/>
    <w:rsid w:val="003449FF"/>
    <w:rsid w:val="00344FD2"/>
    <w:rsid w:val="0034541B"/>
    <w:rsid w:val="003455E2"/>
    <w:rsid w:val="00345C7D"/>
    <w:rsid w:val="00346601"/>
    <w:rsid w:val="00347FB4"/>
    <w:rsid w:val="003516AE"/>
    <w:rsid w:val="003521AD"/>
    <w:rsid w:val="00352773"/>
    <w:rsid w:val="00352D60"/>
    <w:rsid w:val="003543F0"/>
    <w:rsid w:val="00354958"/>
    <w:rsid w:val="00354CFA"/>
    <w:rsid w:val="0035585D"/>
    <w:rsid w:val="00357180"/>
    <w:rsid w:val="003574EA"/>
    <w:rsid w:val="00360D2D"/>
    <w:rsid w:val="003622D8"/>
    <w:rsid w:val="00362F14"/>
    <w:rsid w:val="003631BF"/>
    <w:rsid w:val="003632F1"/>
    <w:rsid w:val="00363879"/>
    <w:rsid w:val="00363CB5"/>
    <w:rsid w:val="00363EC8"/>
    <w:rsid w:val="003643F0"/>
    <w:rsid w:val="00364C2A"/>
    <w:rsid w:val="00365D49"/>
    <w:rsid w:val="003662DC"/>
    <w:rsid w:val="0036638F"/>
    <w:rsid w:val="00367DE7"/>
    <w:rsid w:val="00370154"/>
    <w:rsid w:val="003711AB"/>
    <w:rsid w:val="00373DA9"/>
    <w:rsid w:val="003746EA"/>
    <w:rsid w:val="00374A70"/>
    <w:rsid w:val="003759EF"/>
    <w:rsid w:val="00375C2E"/>
    <w:rsid w:val="003767E1"/>
    <w:rsid w:val="00376A96"/>
    <w:rsid w:val="00376AF1"/>
    <w:rsid w:val="003775D6"/>
    <w:rsid w:val="00381055"/>
    <w:rsid w:val="00382CCC"/>
    <w:rsid w:val="0038371E"/>
    <w:rsid w:val="00383AC2"/>
    <w:rsid w:val="00387283"/>
    <w:rsid w:val="00387E13"/>
    <w:rsid w:val="00387EEC"/>
    <w:rsid w:val="003909BC"/>
    <w:rsid w:val="003925D2"/>
    <w:rsid w:val="003943BE"/>
    <w:rsid w:val="00394D51"/>
    <w:rsid w:val="003950A2"/>
    <w:rsid w:val="003952E0"/>
    <w:rsid w:val="00396EAC"/>
    <w:rsid w:val="003A05AB"/>
    <w:rsid w:val="003A1CB6"/>
    <w:rsid w:val="003A25F5"/>
    <w:rsid w:val="003A50D3"/>
    <w:rsid w:val="003A5D9F"/>
    <w:rsid w:val="003B009D"/>
    <w:rsid w:val="003B1AE4"/>
    <w:rsid w:val="003B2969"/>
    <w:rsid w:val="003B46B1"/>
    <w:rsid w:val="003B46B8"/>
    <w:rsid w:val="003B534E"/>
    <w:rsid w:val="003B57EF"/>
    <w:rsid w:val="003B6081"/>
    <w:rsid w:val="003B67A3"/>
    <w:rsid w:val="003B69DC"/>
    <w:rsid w:val="003C10A1"/>
    <w:rsid w:val="003C1889"/>
    <w:rsid w:val="003C42F5"/>
    <w:rsid w:val="003C6787"/>
    <w:rsid w:val="003C6C4B"/>
    <w:rsid w:val="003C7578"/>
    <w:rsid w:val="003C7C6A"/>
    <w:rsid w:val="003D0296"/>
    <w:rsid w:val="003D1E96"/>
    <w:rsid w:val="003D2B4F"/>
    <w:rsid w:val="003D2ED2"/>
    <w:rsid w:val="003D3ADB"/>
    <w:rsid w:val="003D446B"/>
    <w:rsid w:val="003D4B84"/>
    <w:rsid w:val="003D4C7D"/>
    <w:rsid w:val="003D5E13"/>
    <w:rsid w:val="003D5FF2"/>
    <w:rsid w:val="003D7228"/>
    <w:rsid w:val="003E00CB"/>
    <w:rsid w:val="003E015D"/>
    <w:rsid w:val="003E5222"/>
    <w:rsid w:val="003E6ADE"/>
    <w:rsid w:val="003E74E9"/>
    <w:rsid w:val="003F0C9B"/>
    <w:rsid w:val="003F19E5"/>
    <w:rsid w:val="003F2518"/>
    <w:rsid w:val="003F26C8"/>
    <w:rsid w:val="003F4411"/>
    <w:rsid w:val="003F52CE"/>
    <w:rsid w:val="003F5745"/>
    <w:rsid w:val="00400A0A"/>
    <w:rsid w:val="004019DC"/>
    <w:rsid w:val="00404A70"/>
    <w:rsid w:val="00405621"/>
    <w:rsid w:val="00406EF6"/>
    <w:rsid w:val="00407306"/>
    <w:rsid w:val="00411114"/>
    <w:rsid w:val="004145C3"/>
    <w:rsid w:val="00420361"/>
    <w:rsid w:val="00423B3D"/>
    <w:rsid w:val="0042501A"/>
    <w:rsid w:val="0042525C"/>
    <w:rsid w:val="004254D2"/>
    <w:rsid w:val="00425766"/>
    <w:rsid w:val="00425949"/>
    <w:rsid w:val="00425FBE"/>
    <w:rsid w:val="004263BA"/>
    <w:rsid w:val="00426C74"/>
    <w:rsid w:val="00426C87"/>
    <w:rsid w:val="00426FFA"/>
    <w:rsid w:val="00432CB5"/>
    <w:rsid w:val="004330D0"/>
    <w:rsid w:val="0043676A"/>
    <w:rsid w:val="00437384"/>
    <w:rsid w:val="004375B1"/>
    <w:rsid w:val="004378C1"/>
    <w:rsid w:val="00441921"/>
    <w:rsid w:val="004434C9"/>
    <w:rsid w:val="0044365F"/>
    <w:rsid w:val="004457AF"/>
    <w:rsid w:val="004460C8"/>
    <w:rsid w:val="00446541"/>
    <w:rsid w:val="004466F6"/>
    <w:rsid w:val="00446E22"/>
    <w:rsid w:val="00447210"/>
    <w:rsid w:val="004510C4"/>
    <w:rsid w:val="00453084"/>
    <w:rsid w:val="00453A09"/>
    <w:rsid w:val="00453BC5"/>
    <w:rsid w:val="00455583"/>
    <w:rsid w:val="004568E8"/>
    <w:rsid w:val="00456C83"/>
    <w:rsid w:val="004573EE"/>
    <w:rsid w:val="00462B95"/>
    <w:rsid w:val="0046456F"/>
    <w:rsid w:val="00464905"/>
    <w:rsid w:val="00464A6D"/>
    <w:rsid w:val="004651CE"/>
    <w:rsid w:val="00465362"/>
    <w:rsid w:val="00465474"/>
    <w:rsid w:val="00466DB8"/>
    <w:rsid w:val="004702FB"/>
    <w:rsid w:val="00470542"/>
    <w:rsid w:val="00472E08"/>
    <w:rsid w:val="0047304D"/>
    <w:rsid w:val="0047332C"/>
    <w:rsid w:val="00474542"/>
    <w:rsid w:val="004763F8"/>
    <w:rsid w:val="00476532"/>
    <w:rsid w:val="0047670C"/>
    <w:rsid w:val="004770C0"/>
    <w:rsid w:val="0048231A"/>
    <w:rsid w:val="00485440"/>
    <w:rsid w:val="004901BC"/>
    <w:rsid w:val="00491F46"/>
    <w:rsid w:val="00492576"/>
    <w:rsid w:val="00493DCC"/>
    <w:rsid w:val="00495A20"/>
    <w:rsid w:val="004962BA"/>
    <w:rsid w:val="00496CF0"/>
    <w:rsid w:val="00497630"/>
    <w:rsid w:val="00497F5D"/>
    <w:rsid w:val="004A2188"/>
    <w:rsid w:val="004A2E8D"/>
    <w:rsid w:val="004A3A23"/>
    <w:rsid w:val="004A3EF0"/>
    <w:rsid w:val="004A6718"/>
    <w:rsid w:val="004A68EF"/>
    <w:rsid w:val="004A78D5"/>
    <w:rsid w:val="004A7BC4"/>
    <w:rsid w:val="004A7E13"/>
    <w:rsid w:val="004B0387"/>
    <w:rsid w:val="004B5436"/>
    <w:rsid w:val="004B5A26"/>
    <w:rsid w:val="004B5A7A"/>
    <w:rsid w:val="004B5FE5"/>
    <w:rsid w:val="004B660A"/>
    <w:rsid w:val="004B6C8D"/>
    <w:rsid w:val="004B7878"/>
    <w:rsid w:val="004C0913"/>
    <w:rsid w:val="004C0D8A"/>
    <w:rsid w:val="004C3094"/>
    <w:rsid w:val="004C6E6D"/>
    <w:rsid w:val="004C7293"/>
    <w:rsid w:val="004C7F0F"/>
    <w:rsid w:val="004D0925"/>
    <w:rsid w:val="004D313F"/>
    <w:rsid w:val="004D329E"/>
    <w:rsid w:val="004D3FFA"/>
    <w:rsid w:val="004D46E0"/>
    <w:rsid w:val="004D4CA7"/>
    <w:rsid w:val="004D598A"/>
    <w:rsid w:val="004D5DFE"/>
    <w:rsid w:val="004D6278"/>
    <w:rsid w:val="004D726E"/>
    <w:rsid w:val="004D7EAC"/>
    <w:rsid w:val="004E3047"/>
    <w:rsid w:val="004E336C"/>
    <w:rsid w:val="004E510D"/>
    <w:rsid w:val="004E5AEB"/>
    <w:rsid w:val="004E65A0"/>
    <w:rsid w:val="004E6BDF"/>
    <w:rsid w:val="004E77F2"/>
    <w:rsid w:val="004E78B6"/>
    <w:rsid w:val="004E7A3A"/>
    <w:rsid w:val="004F0C06"/>
    <w:rsid w:val="004F1F72"/>
    <w:rsid w:val="004F207F"/>
    <w:rsid w:val="004F2E5C"/>
    <w:rsid w:val="004F4647"/>
    <w:rsid w:val="004F4868"/>
    <w:rsid w:val="004F4886"/>
    <w:rsid w:val="004F493C"/>
    <w:rsid w:val="004F4AC8"/>
    <w:rsid w:val="004F5625"/>
    <w:rsid w:val="004F67D3"/>
    <w:rsid w:val="004F73F1"/>
    <w:rsid w:val="004F7A5B"/>
    <w:rsid w:val="0050095F"/>
    <w:rsid w:val="00500CCA"/>
    <w:rsid w:val="005013FB"/>
    <w:rsid w:val="00501CD3"/>
    <w:rsid w:val="00502AA2"/>
    <w:rsid w:val="00503080"/>
    <w:rsid w:val="0050443E"/>
    <w:rsid w:val="00506B8F"/>
    <w:rsid w:val="00507904"/>
    <w:rsid w:val="00510E59"/>
    <w:rsid w:val="0051179B"/>
    <w:rsid w:val="00512E00"/>
    <w:rsid w:val="00513CCA"/>
    <w:rsid w:val="00514EA8"/>
    <w:rsid w:val="00515B42"/>
    <w:rsid w:val="00515B97"/>
    <w:rsid w:val="00515E3B"/>
    <w:rsid w:val="005168D4"/>
    <w:rsid w:val="00520D7C"/>
    <w:rsid w:val="00523535"/>
    <w:rsid w:val="00524101"/>
    <w:rsid w:val="005254D9"/>
    <w:rsid w:val="005259D3"/>
    <w:rsid w:val="00527ED3"/>
    <w:rsid w:val="005314A2"/>
    <w:rsid w:val="005316BC"/>
    <w:rsid w:val="0053260E"/>
    <w:rsid w:val="00532741"/>
    <w:rsid w:val="00533F02"/>
    <w:rsid w:val="005340DE"/>
    <w:rsid w:val="0053470E"/>
    <w:rsid w:val="00536A9F"/>
    <w:rsid w:val="005370D9"/>
    <w:rsid w:val="00537C02"/>
    <w:rsid w:val="00542B21"/>
    <w:rsid w:val="00543144"/>
    <w:rsid w:val="00544841"/>
    <w:rsid w:val="005451FF"/>
    <w:rsid w:val="00545D21"/>
    <w:rsid w:val="00545FB0"/>
    <w:rsid w:val="00551A94"/>
    <w:rsid w:val="00551CAA"/>
    <w:rsid w:val="005525AD"/>
    <w:rsid w:val="005538D4"/>
    <w:rsid w:val="005564C0"/>
    <w:rsid w:val="005569A7"/>
    <w:rsid w:val="00557C5B"/>
    <w:rsid w:val="00561AE5"/>
    <w:rsid w:val="00561DB8"/>
    <w:rsid w:val="005632AC"/>
    <w:rsid w:val="00563886"/>
    <w:rsid w:val="00565137"/>
    <w:rsid w:val="00565EFE"/>
    <w:rsid w:val="00566DE0"/>
    <w:rsid w:val="005676CB"/>
    <w:rsid w:val="0057145E"/>
    <w:rsid w:val="00571FC5"/>
    <w:rsid w:val="00573F60"/>
    <w:rsid w:val="00574DF0"/>
    <w:rsid w:val="005750DB"/>
    <w:rsid w:val="005767DD"/>
    <w:rsid w:val="00577D39"/>
    <w:rsid w:val="00577D5A"/>
    <w:rsid w:val="00580574"/>
    <w:rsid w:val="00580B67"/>
    <w:rsid w:val="00580EDE"/>
    <w:rsid w:val="00582CA9"/>
    <w:rsid w:val="00584D9B"/>
    <w:rsid w:val="00585990"/>
    <w:rsid w:val="00586B81"/>
    <w:rsid w:val="005902A1"/>
    <w:rsid w:val="005910CC"/>
    <w:rsid w:val="00591A38"/>
    <w:rsid w:val="0059319D"/>
    <w:rsid w:val="005932D6"/>
    <w:rsid w:val="005941D9"/>
    <w:rsid w:val="00596939"/>
    <w:rsid w:val="00596B68"/>
    <w:rsid w:val="005A0312"/>
    <w:rsid w:val="005A0446"/>
    <w:rsid w:val="005A0FD3"/>
    <w:rsid w:val="005A15C6"/>
    <w:rsid w:val="005A21A5"/>
    <w:rsid w:val="005A24AC"/>
    <w:rsid w:val="005A282E"/>
    <w:rsid w:val="005A32F2"/>
    <w:rsid w:val="005A5CB4"/>
    <w:rsid w:val="005A7C59"/>
    <w:rsid w:val="005B0CA5"/>
    <w:rsid w:val="005B0F6D"/>
    <w:rsid w:val="005B11A8"/>
    <w:rsid w:val="005B1EA8"/>
    <w:rsid w:val="005B2AF2"/>
    <w:rsid w:val="005C20AD"/>
    <w:rsid w:val="005C2257"/>
    <w:rsid w:val="005C26F2"/>
    <w:rsid w:val="005C414F"/>
    <w:rsid w:val="005C423B"/>
    <w:rsid w:val="005C5468"/>
    <w:rsid w:val="005C615D"/>
    <w:rsid w:val="005C6AE6"/>
    <w:rsid w:val="005D084A"/>
    <w:rsid w:val="005D14AD"/>
    <w:rsid w:val="005D1F12"/>
    <w:rsid w:val="005D230A"/>
    <w:rsid w:val="005D37A0"/>
    <w:rsid w:val="005D3A0F"/>
    <w:rsid w:val="005D5975"/>
    <w:rsid w:val="005D5F4E"/>
    <w:rsid w:val="005D62FA"/>
    <w:rsid w:val="005D6B88"/>
    <w:rsid w:val="005E1B3B"/>
    <w:rsid w:val="005E4208"/>
    <w:rsid w:val="005E45AB"/>
    <w:rsid w:val="005E6C41"/>
    <w:rsid w:val="005F17ED"/>
    <w:rsid w:val="005F4D88"/>
    <w:rsid w:val="005F4E4C"/>
    <w:rsid w:val="005F5246"/>
    <w:rsid w:val="005F56A1"/>
    <w:rsid w:val="005F6CD6"/>
    <w:rsid w:val="00602330"/>
    <w:rsid w:val="00602BCF"/>
    <w:rsid w:val="00603EE3"/>
    <w:rsid w:val="00605DEF"/>
    <w:rsid w:val="006072E5"/>
    <w:rsid w:val="00610F5D"/>
    <w:rsid w:val="00611B62"/>
    <w:rsid w:val="00611D22"/>
    <w:rsid w:val="00612B68"/>
    <w:rsid w:val="006143C2"/>
    <w:rsid w:val="006146D3"/>
    <w:rsid w:val="00614AB7"/>
    <w:rsid w:val="00615706"/>
    <w:rsid w:val="006172E1"/>
    <w:rsid w:val="00617558"/>
    <w:rsid w:val="00617604"/>
    <w:rsid w:val="006208A1"/>
    <w:rsid w:val="0062425F"/>
    <w:rsid w:val="006243F1"/>
    <w:rsid w:val="006260AA"/>
    <w:rsid w:val="006279D4"/>
    <w:rsid w:val="00627C76"/>
    <w:rsid w:val="00631B8F"/>
    <w:rsid w:val="006330B4"/>
    <w:rsid w:val="0063364B"/>
    <w:rsid w:val="00634E85"/>
    <w:rsid w:val="00635CEE"/>
    <w:rsid w:val="006365C0"/>
    <w:rsid w:val="00637BF5"/>
    <w:rsid w:val="0064073C"/>
    <w:rsid w:val="0064344D"/>
    <w:rsid w:val="006442F5"/>
    <w:rsid w:val="0064743D"/>
    <w:rsid w:val="00647534"/>
    <w:rsid w:val="00652193"/>
    <w:rsid w:val="006536AE"/>
    <w:rsid w:val="00653C44"/>
    <w:rsid w:val="0065442D"/>
    <w:rsid w:val="0065560A"/>
    <w:rsid w:val="006558F5"/>
    <w:rsid w:val="00655F0A"/>
    <w:rsid w:val="00661308"/>
    <w:rsid w:val="00662EE5"/>
    <w:rsid w:val="006631F3"/>
    <w:rsid w:val="00663A05"/>
    <w:rsid w:val="00664106"/>
    <w:rsid w:val="00666641"/>
    <w:rsid w:val="00666E04"/>
    <w:rsid w:val="006674EE"/>
    <w:rsid w:val="00667AE8"/>
    <w:rsid w:val="0067056A"/>
    <w:rsid w:val="0067135A"/>
    <w:rsid w:val="00675315"/>
    <w:rsid w:val="00676874"/>
    <w:rsid w:val="00676BD8"/>
    <w:rsid w:val="00676CB4"/>
    <w:rsid w:val="00677528"/>
    <w:rsid w:val="006776CE"/>
    <w:rsid w:val="006802A3"/>
    <w:rsid w:val="00680CBA"/>
    <w:rsid w:val="0068123C"/>
    <w:rsid w:val="0068195E"/>
    <w:rsid w:val="00682885"/>
    <w:rsid w:val="00682E92"/>
    <w:rsid w:val="00683E26"/>
    <w:rsid w:val="00684A5D"/>
    <w:rsid w:val="00693C64"/>
    <w:rsid w:val="00694289"/>
    <w:rsid w:val="006968C2"/>
    <w:rsid w:val="006A0588"/>
    <w:rsid w:val="006A0605"/>
    <w:rsid w:val="006A13BB"/>
    <w:rsid w:val="006A22DF"/>
    <w:rsid w:val="006A2898"/>
    <w:rsid w:val="006A413B"/>
    <w:rsid w:val="006A4F4A"/>
    <w:rsid w:val="006A5FD9"/>
    <w:rsid w:val="006A66F1"/>
    <w:rsid w:val="006A6B24"/>
    <w:rsid w:val="006B09BC"/>
    <w:rsid w:val="006B1090"/>
    <w:rsid w:val="006B3AE0"/>
    <w:rsid w:val="006B5303"/>
    <w:rsid w:val="006B66FE"/>
    <w:rsid w:val="006C0341"/>
    <w:rsid w:val="006C1CE9"/>
    <w:rsid w:val="006C1DFB"/>
    <w:rsid w:val="006C1E47"/>
    <w:rsid w:val="006C2DC7"/>
    <w:rsid w:val="006C36E1"/>
    <w:rsid w:val="006C3DC3"/>
    <w:rsid w:val="006C41E2"/>
    <w:rsid w:val="006C618B"/>
    <w:rsid w:val="006C62B0"/>
    <w:rsid w:val="006C6C35"/>
    <w:rsid w:val="006C7520"/>
    <w:rsid w:val="006C77A9"/>
    <w:rsid w:val="006C7B42"/>
    <w:rsid w:val="006C7CB1"/>
    <w:rsid w:val="006D090A"/>
    <w:rsid w:val="006D1DC0"/>
    <w:rsid w:val="006D59D3"/>
    <w:rsid w:val="006D7B94"/>
    <w:rsid w:val="006E0BB0"/>
    <w:rsid w:val="006E0CBE"/>
    <w:rsid w:val="006E0D4F"/>
    <w:rsid w:val="006E10FD"/>
    <w:rsid w:val="006E11AA"/>
    <w:rsid w:val="006E1781"/>
    <w:rsid w:val="006E1B02"/>
    <w:rsid w:val="006E2131"/>
    <w:rsid w:val="006E2144"/>
    <w:rsid w:val="006E3258"/>
    <w:rsid w:val="006E618B"/>
    <w:rsid w:val="006E730D"/>
    <w:rsid w:val="006F1FCD"/>
    <w:rsid w:val="006F306F"/>
    <w:rsid w:val="006F30FE"/>
    <w:rsid w:val="006F367F"/>
    <w:rsid w:val="006F4905"/>
    <w:rsid w:val="006F577B"/>
    <w:rsid w:val="006F5CF2"/>
    <w:rsid w:val="006F5FF4"/>
    <w:rsid w:val="006F66F1"/>
    <w:rsid w:val="0070024C"/>
    <w:rsid w:val="00701A2E"/>
    <w:rsid w:val="007037DD"/>
    <w:rsid w:val="00704DBD"/>
    <w:rsid w:val="00705478"/>
    <w:rsid w:val="00705E96"/>
    <w:rsid w:val="007101BC"/>
    <w:rsid w:val="00710337"/>
    <w:rsid w:val="00710690"/>
    <w:rsid w:val="00710E75"/>
    <w:rsid w:val="007119E8"/>
    <w:rsid w:val="0071222D"/>
    <w:rsid w:val="007145F5"/>
    <w:rsid w:val="007161C2"/>
    <w:rsid w:val="00717CD0"/>
    <w:rsid w:val="007200ED"/>
    <w:rsid w:val="007205CF"/>
    <w:rsid w:val="00720788"/>
    <w:rsid w:val="007211CE"/>
    <w:rsid w:val="007212BA"/>
    <w:rsid w:val="00721660"/>
    <w:rsid w:val="00723097"/>
    <w:rsid w:val="007235FF"/>
    <w:rsid w:val="007245D2"/>
    <w:rsid w:val="00724F13"/>
    <w:rsid w:val="00727897"/>
    <w:rsid w:val="00730E53"/>
    <w:rsid w:val="00730F95"/>
    <w:rsid w:val="007314A9"/>
    <w:rsid w:val="00735F85"/>
    <w:rsid w:val="0074035E"/>
    <w:rsid w:val="00744C1F"/>
    <w:rsid w:val="00745606"/>
    <w:rsid w:val="00745AB2"/>
    <w:rsid w:val="0074661A"/>
    <w:rsid w:val="007517E4"/>
    <w:rsid w:val="00751BBC"/>
    <w:rsid w:val="00751C7F"/>
    <w:rsid w:val="00751E62"/>
    <w:rsid w:val="00755252"/>
    <w:rsid w:val="00756E70"/>
    <w:rsid w:val="00757143"/>
    <w:rsid w:val="007603A0"/>
    <w:rsid w:val="007609EC"/>
    <w:rsid w:val="00761FDC"/>
    <w:rsid w:val="00764481"/>
    <w:rsid w:val="007644BB"/>
    <w:rsid w:val="00764C66"/>
    <w:rsid w:val="0076591A"/>
    <w:rsid w:val="007665A2"/>
    <w:rsid w:val="00770865"/>
    <w:rsid w:val="00770F2F"/>
    <w:rsid w:val="007731EE"/>
    <w:rsid w:val="00773A7B"/>
    <w:rsid w:val="00774025"/>
    <w:rsid w:val="007752E4"/>
    <w:rsid w:val="00775C18"/>
    <w:rsid w:val="00775C6D"/>
    <w:rsid w:val="00775EAE"/>
    <w:rsid w:val="007760C6"/>
    <w:rsid w:val="00780996"/>
    <w:rsid w:val="00780CAA"/>
    <w:rsid w:val="007818BF"/>
    <w:rsid w:val="00782C41"/>
    <w:rsid w:val="00783C87"/>
    <w:rsid w:val="00785F66"/>
    <w:rsid w:val="007860D3"/>
    <w:rsid w:val="007860F9"/>
    <w:rsid w:val="00786778"/>
    <w:rsid w:val="00792EA5"/>
    <w:rsid w:val="00793B9F"/>
    <w:rsid w:val="00793FA5"/>
    <w:rsid w:val="00794A28"/>
    <w:rsid w:val="007A263B"/>
    <w:rsid w:val="007A40DE"/>
    <w:rsid w:val="007A45B3"/>
    <w:rsid w:val="007A5BE7"/>
    <w:rsid w:val="007A636D"/>
    <w:rsid w:val="007A6386"/>
    <w:rsid w:val="007A6861"/>
    <w:rsid w:val="007A7747"/>
    <w:rsid w:val="007B0AC2"/>
    <w:rsid w:val="007B1BF9"/>
    <w:rsid w:val="007B31B3"/>
    <w:rsid w:val="007B6A73"/>
    <w:rsid w:val="007B6BFB"/>
    <w:rsid w:val="007B74F1"/>
    <w:rsid w:val="007C1338"/>
    <w:rsid w:val="007C23BF"/>
    <w:rsid w:val="007C4096"/>
    <w:rsid w:val="007C487F"/>
    <w:rsid w:val="007C5488"/>
    <w:rsid w:val="007C5AA1"/>
    <w:rsid w:val="007C6121"/>
    <w:rsid w:val="007C70FD"/>
    <w:rsid w:val="007C7DD5"/>
    <w:rsid w:val="007D0675"/>
    <w:rsid w:val="007D0BA2"/>
    <w:rsid w:val="007D3C12"/>
    <w:rsid w:val="007D475B"/>
    <w:rsid w:val="007D65FC"/>
    <w:rsid w:val="007D68F7"/>
    <w:rsid w:val="007D69E7"/>
    <w:rsid w:val="007E1978"/>
    <w:rsid w:val="007E1CD4"/>
    <w:rsid w:val="007E1F1E"/>
    <w:rsid w:val="007E24B1"/>
    <w:rsid w:val="007E2CE9"/>
    <w:rsid w:val="007E6218"/>
    <w:rsid w:val="007E6D15"/>
    <w:rsid w:val="007E7375"/>
    <w:rsid w:val="007E7837"/>
    <w:rsid w:val="007F05BD"/>
    <w:rsid w:val="007F06CE"/>
    <w:rsid w:val="007F302A"/>
    <w:rsid w:val="007F404C"/>
    <w:rsid w:val="007F4A8E"/>
    <w:rsid w:val="007F4C1F"/>
    <w:rsid w:val="007F5BD6"/>
    <w:rsid w:val="007F7C07"/>
    <w:rsid w:val="00800116"/>
    <w:rsid w:val="00805883"/>
    <w:rsid w:val="00805C76"/>
    <w:rsid w:val="008060AA"/>
    <w:rsid w:val="008107F9"/>
    <w:rsid w:val="0081157F"/>
    <w:rsid w:val="0081241D"/>
    <w:rsid w:val="008124F5"/>
    <w:rsid w:val="008127B6"/>
    <w:rsid w:val="00817F4A"/>
    <w:rsid w:val="008204D7"/>
    <w:rsid w:val="00820612"/>
    <w:rsid w:val="00822BB6"/>
    <w:rsid w:val="00824C6E"/>
    <w:rsid w:val="00825960"/>
    <w:rsid w:val="00825F67"/>
    <w:rsid w:val="008309A9"/>
    <w:rsid w:val="00830B18"/>
    <w:rsid w:val="00832610"/>
    <w:rsid w:val="00832E15"/>
    <w:rsid w:val="00833692"/>
    <w:rsid w:val="00833BBD"/>
    <w:rsid w:val="00833CB9"/>
    <w:rsid w:val="008340A1"/>
    <w:rsid w:val="008363D8"/>
    <w:rsid w:val="0083748B"/>
    <w:rsid w:val="00840012"/>
    <w:rsid w:val="00842FA5"/>
    <w:rsid w:val="008432E1"/>
    <w:rsid w:val="008453D2"/>
    <w:rsid w:val="0084644E"/>
    <w:rsid w:val="00846662"/>
    <w:rsid w:val="00846CAE"/>
    <w:rsid w:val="00850F7D"/>
    <w:rsid w:val="00851706"/>
    <w:rsid w:val="00851E69"/>
    <w:rsid w:val="00854C58"/>
    <w:rsid w:val="008550AA"/>
    <w:rsid w:val="008552AB"/>
    <w:rsid w:val="0085754A"/>
    <w:rsid w:val="00857AF3"/>
    <w:rsid w:val="00857F7A"/>
    <w:rsid w:val="00862C37"/>
    <w:rsid w:val="00863FB1"/>
    <w:rsid w:val="0086423E"/>
    <w:rsid w:val="008650DF"/>
    <w:rsid w:val="00865368"/>
    <w:rsid w:val="008657BC"/>
    <w:rsid w:val="00867862"/>
    <w:rsid w:val="00870C90"/>
    <w:rsid w:val="00871035"/>
    <w:rsid w:val="0087120B"/>
    <w:rsid w:val="0087138D"/>
    <w:rsid w:val="00871CFF"/>
    <w:rsid w:val="00872BD9"/>
    <w:rsid w:val="0087357F"/>
    <w:rsid w:val="00876C96"/>
    <w:rsid w:val="00880380"/>
    <w:rsid w:val="00882939"/>
    <w:rsid w:val="008829C8"/>
    <w:rsid w:val="008851E6"/>
    <w:rsid w:val="008854AB"/>
    <w:rsid w:val="0088656C"/>
    <w:rsid w:val="00886974"/>
    <w:rsid w:val="008871CF"/>
    <w:rsid w:val="0089120C"/>
    <w:rsid w:val="008915F8"/>
    <w:rsid w:val="00891B05"/>
    <w:rsid w:val="00891BB4"/>
    <w:rsid w:val="00892F4C"/>
    <w:rsid w:val="008930CA"/>
    <w:rsid w:val="00893642"/>
    <w:rsid w:val="00894030"/>
    <w:rsid w:val="00895699"/>
    <w:rsid w:val="00895716"/>
    <w:rsid w:val="008A1072"/>
    <w:rsid w:val="008A3AC9"/>
    <w:rsid w:val="008A4A0C"/>
    <w:rsid w:val="008A547A"/>
    <w:rsid w:val="008A60A7"/>
    <w:rsid w:val="008B0846"/>
    <w:rsid w:val="008B1628"/>
    <w:rsid w:val="008B45AE"/>
    <w:rsid w:val="008B5E80"/>
    <w:rsid w:val="008B6933"/>
    <w:rsid w:val="008B6BD8"/>
    <w:rsid w:val="008B7DE7"/>
    <w:rsid w:val="008B7F58"/>
    <w:rsid w:val="008C0007"/>
    <w:rsid w:val="008C1928"/>
    <w:rsid w:val="008C2F37"/>
    <w:rsid w:val="008C5BC5"/>
    <w:rsid w:val="008C5E55"/>
    <w:rsid w:val="008C66D9"/>
    <w:rsid w:val="008C69C3"/>
    <w:rsid w:val="008C7047"/>
    <w:rsid w:val="008C7937"/>
    <w:rsid w:val="008D2145"/>
    <w:rsid w:val="008D2687"/>
    <w:rsid w:val="008D3D6B"/>
    <w:rsid w:val="008D5934"/>
    <w:rsid w:val="008D6BBC"/>
    <w:rsid w:val="008E02B4"/>
    <w:rsid w:val="008E08C7"/>
    <w:rsid w:val="008E1B5C"/>
    <w:rsid w:val="008E2F69"/>
    <w:rsid w:val="008E3188"/>
    <w:rsid w:val="008E3209"/>
    <w:rsid w:val="008E34C3"/>
    <w:rsid w:val="008E6368"/>
    <w:rsid w:val="008E6700"/>
    <w:rsid w:val="008E7050"/>
    <w:rsid w:val="008E71C6"/>
    <w:rsid w:val="008F61EB"/>
    <w:rsid w:val="009014EB"/>
    <w:rsid w:val="009016AB"/>
    <w:rsid w:val="00904FA4"/>
    <w:rsid w:val="00905A41"/>
    <w:rsid w:val="00907072"/>
    <w:rsid w:val="009070BB"/>
    <w:rsid w:val="00907A01"/>
    <w:rsid w:val="00907E4F"/>
    <w:rsid w:val="00910F17"/>
    <w:rsid w:val="0091194A"/>
    <w:rsid w:val="00911B31"/>
    <w:rsid w:val="0091279F"/>
    <w:rsid w:val="00912A1B"/>
    <w:rsid w:val="00914DA2"/>
    <w:rsid w:val="0091678D"/>
    <w:rsid w:val="009169D9"/>
    <w:rsid w:val="00916C3D"/>
    <w:rsid w:val="00917E3A"/>
    <w:rsid w:val="009201E7"/>
    <w:rsid w:val="00920C40"/>
    <w:rsid w:val="009212A8"/>
    <w:rsid w:val="00922331"/>
    <w:rsid w:val="0092273F"/>
    <w:rsid w:val="00923CA7"/>
    <w:rsid w:val="009244B9"/>
    <w:rsid w:val="009253DA"/>
    <w:rsid w:val="0092722D"/>
    <w:rsid w:val="00930C0D"/>
    <w:rsid w:val="009314AA"/>
    <w:rsid w:val="00931E4E"/>
    <w:rsid w:val="00932696"/>
    <w:rsid w:val="009328F6"/>
    <w:rsid w:val="00933C9F"/>
    <w:rsid w:val="00934AFE"/>
    <w:rsid w:val="00935755"/>
    <w:rsid w:val="00936166"/>
    <w:rsid w:val="009371C7"/>
    <w:rsid w:val="009374A2"/>
    <w:rsid w:val="009415F4"/>
    <w:rsid w:val="00942C34"/>
    <w:rsid w:val="00943407"/>
    <w:rsid w:val="009450F9"/>
    <w:rsid w:val="00946139"/>
    <w:rsid w:val="009463DC"/>
    <w:rsid w:val="00946616"/>
    <w:rsid w:val="00946E63"/>
    <w:rsid w:val="00947F07"/>
    <w:rsid w:val="0095054D"/>
    <w:rsid w:val="00950981"/>
    <w:rsid w:val="00950F8F"/>
    <w:rsid w:val="00950F94"/>
    <w:rsid w:val="00954CFD"/>
    <w:rsid w:val="00955D12"/>
    <w:rsid w:val="00957F35"/>
    <w:rsid w:val="00960CD3"/>
    <w:rsid w:val="00961215"/>
    <w:rsid w:val="00961A22"/>
    <w:rsid w:val="00961AFB"/>
    <w:rsid w:val="00962374"/>
    <w:rsid w:val="0096261A"/>
    <w:rsid w:val="009640DF"/>
    <w:rsid w:val="009659A7"/>
    <w:rsid w:val="0096665D"/>
    <w:rsid w:val="00966D2D"/>
    <w:rsid w:val="00967946"/>
    <w:rsid w:val="0097055F"/>
    <w:rsid w:val="00971228"/>
    <w:rsid w:val="009717E1"/>
    <w:rsid w:val="00976E66"/>
    <w:rsid w:val="00977715"/>
    <w:rsid w:val="009808D2"/>
    <w:rsid w:val="00980A30"/>
    <w:rsid w:val="00980E8E"/>
    <w:rsid w:val="00981D4D"/>
    <w:rsid w:val="00982F76"/>
    <w:rsid w:val="009840A3"/>
    <w:rsid w:val="00987162"/>
    <w:rsid w:val="00987211"/>
    <w:rsid w:val="0098746A"/>
    <w:rsid w:val="00990944"/>
    <w:rsid w:val="00992105"/>
    <w:rsid w:val="009929D4"/>
    <w:rsid w:val="009930D9"/>
    <w:rsid w:val="00993969"/>
    <w:rsid w:val="0099480C"/>
    <w:rsid w:val="00994ED5"/>
    <w:rsid w:val="00995A69"/>
    <w:rsid w:val="00996181"/>
    <w:rsid w:val="00997A3B"/>
    <w:rsid w:val="009A0180"/>
    <w:rsid w:val="009A0D8D"/>
    <w:rsid w:val="009A362F"/>
    <w:rsid w:val="009A3788"/>
    <w:rsid w:val="009A47F1"/>
    <w:rsid w:val="009A49B1"/>
    <w:rsid w:val="009A526E"/>
    <w:rsid w:val="009A5BBC"/>
    <w:rsid w:val="009A6466"/>
    <w:rsid w:val="009B015B"/>
    <w:rsid w:val="009B032A"/>
    <w:rsid w:val="009B1BD6"/>
    <w:rsid w:val="009B2843"/>
    <w:rsid w:val="009B34A6"/>
    <w:rsid w:val="009B5999"/>
    <w:rsid w:val="009B5A58"/>
    <w:rsid w:val="009B5F39"/>
    <w:rsid w:val="009B680A"/>
    <w:rsid w:val="009B6ACE"/>
    <w:rsid w:val="009B74DB"/>
    <w:rsid w:val="009B7AE8"/>
    <w:rsid w:val="009B7B48"/>
    <w:rsid w:val="009C01C4"/>
    <w:rsid w:val="009C063D"/>
    <w:rsid w:val="009C1CB9"/>
    <w:rsid w:val="009C22B9"/>
    <w:rsid w:val="009C2407"/>
    <w:rsid w:val="009C24A8"/>
    <w:rsid w:val="009C40DC"/>
    <w:rsid w:val="009C49D5"/>
    <w:rsid w:val="009C4DC6"/>
    <w:rsid w:val="009C6466"/>
    <w:rsid w:val="009C6F1D"/>
    <w:rsid w:val="009D02B9"/>
    <w:rsid w:val="009D0346"/>
    <w:rsid w:val="009D19A9"/>
    <w:rsid w:val="009D3527"/>
    <w:rsid w:val="009D3AEC"/>
    <w:rsid w:val="009D4172"/>
    <w:rsid w:val="009D4753"/>
    <w:rsid w:val="009D4A48"/>
    <w:rsid w:val="009E0875"/>
    <w:rsid w:val="009E3C44"/>
    <w:rsid w:val="009E407A"/>
    <w:rsid w:val="009E4E47"/>
    <w:rsid w:val="009E4FBC"/>
    <w:rsid w:val="009E6099"/>
    <w:rsid w:val="009F1C2F"/>
    <w:rsid w:val="009F2FE9"/>
    <w:rsid w:val="009F3F4A"/>
    <w:rsid w:val="009F3FA0"/>
    <w:rsid w:val="009F4A9D"/>
    <w:rsid w:val="009F560C"/>
    <w:rsid w:val="009F5EA2"/>
    <w:rsid w:val="009F6BBF"/>
    <w:rsid w:val="009F7444"/>
    <w:rsid w:val="00A01952"/>
    <w:rsid w:val="00A021D3"/>
    <w:rsid w:val="00A0275D"/>
    <w:rsid w:val="00A06188"/>
    <w:rsid w:val="00A079CF"/>
    <w:rsid w:val="00A12158"/>
    <w:rsid w:val="00A1215C"/>
    <w:rsid w:val="00A12588"/>
    <w:rsid w:val="00A12607"/>
    <w:rsid w:val="00A16336"/>
    <w:rsid w:val="00A16845"/>
    <w:rsid w:val="00A1743B"/>
    <w:rsid w:val="00A20216"/>
    <w:rsid w:val="00A20815"/>
    <w:rsid w:val="00A20ED2"/>
    <w:rsid w:val="00A215BC"/>
    <w:rsid w:val="00A22387"/>
    <w:rsid w:val="00A227F2"/>
    <w:rsid w:val="00A22E27"/>
    <w:rsid w:val="00A247AD"/>
    <w:rsid w:val="00A25C37"/>
    <w:rsid w:val="00A26EB4"/>
    <w:rsid w:val="00A271B6"/>
    <w:rsid w:val="00A30295"/>
    <w:rsid w:val="00A30A7A"/>
    <w:rsid w:val="00A31E97"/>
    <w:rsid w:val="00A3340F"/>
    <w:rsid w:val="00A34005"/>
    <w:rsid w:val="00A346FE"/>
    <w:rsid w:val="00A3483D"/>
    <w:rsid w:val="00A35780"/>
    <w:rsid w:val="00A35D99"/>
    <w:rsid w:val="00A40388"/>
    <w:rsid w:val="00A42DA5"/>
    <w:rsid w:val="00A434A4"/>
    <w:rsid w:val="00A4551B"/>
    <w:rsid w:val="00A46B99"/>
    <w:rsid w:val="00A500A0"/>
    <w:rsid w:val="00A52E4C"/>
    <w:rsid w:val="00A53400"/>
    <w:rsid w:val="00A545DE"/>
    <w:rsid w:val="00A5604C"/>
    <w:rsid w:val="00A560C4"/>
    <w:rsid w:val="00A61C5E"/>
    <w:rsid w:val="00A65E75"/>
    <w:rsid w:val="00A66221"/>
    <w:rsid w:val="00A6742D"/>
    <w:rsid w:val="00A675CF"/>
    <w:rsid w:val="00A7000B"/>
    <w:rsid w:val="00A7156D"/>
    <w:rsid w:val="00A719AE"/>
    <w:rsid w:val="00A71B02"/>
    <w:rsid w:val="00A71FD5"/>
    <w:rsid w:val="00A76313"/>
    <w:rsid w:val="00A81AE5"/>
    <w:rsid w:val="00A873A7"/>
    <w:rsid w:val="00A90771"/>
    <w:rsid w:val="00A920EA"/>
    <w:rsid w:val="00A92985"/>
    <w:rsid w:val="00A92997"/>
    <w:rsid w:val="00A9364F"/>
    <w:rsid w:val="00A93F7E"/>
    <w:rsid w:val="00A9645F"/>
    <w:rsid w:val="00AA130E"/>
    <w:rsid w:val="00AA3D94"/>
    <w:rsid w:val="00AA4C23"/>
    <w:rsid w:val="00AA500C"/>
    <w:rsid w:val="00AA6B51"/>
    <w:rsid w:val="00AA7D35"/>
    <w:rsid w:val="00AB2119"/>
    <w:rsid w:val="00AB35B0"/>
    <w:rsid w:val="00AB41BF"/>
    <w:rsid w:val="00AB466B"/>
    <w:rsid w:val="00AB5001"/>
    <w:rsid w:val="00AB5559"/>
    <w:rsid w:val="00AC16C4"/>
    <w:rsid w:val="00AC3EDD"/>
    <w:rsid w:val="00AC40A8"/>
    <w:rsid w:val="00AC4912"/>
    <w:rsid w:val="00AC6710"/>
    <w:rsid w:val="00AC74E5"/>
    <w:rsid w:val="00AD011F"/>
    <w:rsid w:val="00AD0139"/>
    <w:rsid w:val="00AD0883"/>
    <w:rsid w:val="00AD0CF8"/>
    <w:rsid w:val="00AD16BF"/>
    <w:rsid w:val="00AD1874"/>
    <w:rsid w:val="00AD2154"/>
    <w:rsid w:val="00AD2822"/>
    <w:rsid w:val="00AD30B6"/>
    <w:rsid w:val="00AD3B1F"/>
    <w:rsid w:val="00AD47EE"/>
    <w:rsid w:val="00AD5275"/>
    <w:rsid w:val="00AD5B1E"/>
    <w:rsid w:val="00AD651E"/>
    <w:rsid w:val="00AD79C6"/>
    <w:rsid w:val="00AD7C2E"/>
    <w:rsid w:val="00AE0516"/>
    <w:rsid w:val="00AE1232"/>
    <w:rsid w:val="00AE19BB"/>
    <w:rsid w:val="00AE4DA2"/>
    <w:rsid w:val="00AE4F37"/>
    <w:rsid w:val="00AE6B72"/>
    <w:rsid w:val="00AE6E99"/>
    <w:rsid w:val="00AF0791"/>
    <w:rsid w:val="00AF0A7E"/>
    <w:rsid w:val="00AF1E93"/>
    <w:rsid w:val="00AF2D1E"/>
    <w:rsid w:val="00AF46A9"/>
    <w:rsid w:val="00AF54A6"/>
    <w:rsid w:val="00AF55E4"/>
    <w:rsid w:val="00AF57B2"/>
    <w:rsid w:val="00AF5E4C"/>
    <w:rsid w:val="00AF695F"/>
    <w:rsid w:val="00AF7A18"/>
    <w:rsid w:val="00AF7D75"/>
    <w:rsid w:val="00B0156A"/>
    <w:rsid w:val="00B01673"/>
    <w:rsid w:val="00B01EAE"/>
    <w:rsid w:val="00B029EE"/>
    <w:rsid w:val="00B0356F"/>
    <w:rsid w:val="00B03A07"/>
    <w:rsid w:val="00B0596D"/>
    <w:rsid w:val="00B06C36"/>
    <w:rsid w:val="00B101E9"/>
    <w:rsid w:val="00B10B8C"/>
    <w:rsid w:val="00B11699"/>
    <w:rsid w:val="00B1226A"/>
    <w:rsid w:val="00B12280"/>
    <w:rsid w:val="00B1662D"/>
    <w:rsid w:val="00B20C23"/>
    <w:rsid w:val="00B21161"/>
    <w:rsid w:val="00B22913"/>
    <w:rsid w:val="00B230AE"/>
    <w:rsid w:val="00B231F2"/>
    <w:rsid w:val="00B237B0"/>
    <w:rsid w:val="00B259B1"/>
    <w:rsid w:val="00B25AF4"/>
    <w:rsid w:val="00B25D75"/>
    <w:rsid w:val="00B27B5C"/>
    <w:rsid w:val="00B27EAC"/>
    <w:rsid w:val="00B3033B"/>
    <w:rsid w:val="00B32C96"/>
    <w:rsid w:val="00B32F16"/>
    <w:rsid w:val="00B3492F"/>
    <w:rsid w:val="00B34B75"/>
    <w:rsid w:val="00B35244"/>
    <w:rsid w:val="00B35809"/>
    <w:rsid w:val="00B3596D"/>
    <w:rsid w:val="00B377F0"/>
    <w:rsid w:val="00B40B89"/>
    <w:rsid w:val="00B41553"/>
    <w:rsid w:val="00B42A40"/>
    <w:rsid w:val="00B4541D"/>
    <w:rsid w:val="00B4649D"/>
    <w:rsid w:val="00B50766"/>
    <w:rsid w:val="00B53E93"/>
    <w:rsid w:val="00B5423D"/>
    <w:rsid w:val="00B5465D"/>
    <w:rsid w:val="00B5473F"/>
    <w:rsid w:val="00B54BB5"/>
    <w:rsid w:val="00B55C44"/>
    <w:rsid w:val="00B56746"/>
    <w:rsid w:val="00B5677F"/>
    <w:rsid w:val="00B56D2B"/>
    <w:rsid w:val="00B57422"/>
    <w:rsid w:val="00B575EB"/>
    <w:rsid w:val="00B57678"/>
    <w:rsid w:val="00B57939"/>
    <w:rsid w:val="00B615A5"/>
    <w:rsid w:val="00B61675"/>
    <w:rsid w:val="00B62465"/>
    <w:rsid w:val="00B62863"/>
    <w:rsid w:val="00B629C9"/>
    <w:rsid w:val="00B6350D"/>
    <w:rsid w:val="00B63763"/>
    <w:rsid w:val="00B659C7"/>
    <w:rsid w:val="00B6621B"/>
    <w:rsid w:val="00B66739"/>
    <w:rsid w:val="00B66D45"/>
    <w:rsid w:val="00B67CD0"/>
    <w:rsid w:val="00B70B92"/>
    <w:rsid w:val="00B70BDA"/>
    <w:rsid w:val="00B710FD"/>
    <w:rsid w:val="00B71C84"/>
    <w:rsid w:val="00B73317"/>
    <w:rsid w:val="00B738BE"/>
    <w:rsid w:val="00B74CF4"/>
    <w:rsid w:val="00B775F4"/>
    <w:rsid w:val="00B77A3C"/>
    <w:rsid w:val="00B77FE9"/>
    <w:rsid w:val="00B8041E"/>
    <w:rsid w:val="00B806F6"/>
    <w:rsid w:val="00B81D8A"/>
    <w:rsid w:val="00B82D28"/>
    <w:rsid w:val="00B86959"/>
    <w:rsid w:val="00B86D2D"/>
    <w:rsid w:val="00B879B0"/>
    <w:rsid w:val="00B905F0"/>
    <w:rsid w:val="00B9071F"/>
    <w:rsid w:val="00B92091"/>
    <w:rsid w:val="00B92FAE"/>
    <w:rsid w:val="00B9328D"/>
    <w:rsid w:val="00B93359"/>
    <w:rsid w:val="00B939BD"/>
    <w:rsid w:val="00B94901"/>
    <w:rsid w:val="00B96E93"/>
    <w:rsid w:val="00BA02F7"/>
    <w:rsid w:val="00BA10F6"/>
    <w:rsid w:val="00BA2679"/>
    <w:rsid w:val="00BA6470"/>
    <w:rsid w:val="00BA6D69"/>
    <w:rsid w:val="00BA7B43"/>
    <w:rsid w:val="00BB0DC2"/>
    <w:rsid w:val="00BB0F66"/>
    <w:rsid w:val="00BB1598"/>
    <w:rsid w:val="00BB3835"/>
    <w:rsid w:val="00BB3F2A"/>
    <w:rsid w:val="00BB4E94"/>
    <w:rsid w:val="00BB56B6"/>
    <w:rsid w:val="00BB58FE"/>
    <w:rsid w:val="00BB6187"/>
    <w:rsid w:val="00BB6E14"/>
    <w:rsid w:val="00BC0636"/>
    <w:rsid w:val="00BC2811"/>
    <w:rsid w:val="00BC2AEE"/>
    <w:rsid w:val="00BC2B25"/>
    <w:rsid w:val="00BC3348"/>
    <w:rsid w:val="00BC3386"/>
    <w:rsid w:val="00BC4776"/>
    <w:rsid w:val="00BC4975"/>
    <w:rsid w:val="00BC4EE7"/>
    <w:rsid w:val="00BC5AFE"/>
    <w:rsid w:val="00BC62D1"/>
    <w:rsid w:val="00BC7A14"/>
    <w:rsid w:val="00BD0C8F"/>
    <w:rsid w:val="00BD1621"/>
    <w:rsid w:val="00BD1D01"/>
    <w:rsid w:val="00BD2CC7"/>
    <w:rsid w:val="00BD35EC"/>
    <w:rsid w:val="00BD37DD"/>
    <w:rsid w:val="00BD3F59"/>
    <w:rsid w:val="00BD47FF"/>
    <w:rsid w:val="00BD58E9"/>
    <w:rsid w:val="00BD7048"/>
    <w:rsid w:val="00BD72CE"/>
    <w:rsid w:val="00BD7DF5"/>
    <w:rsid w:val="00BD7E52"/>
    <w:rsid w:val="00BE0474"/>
    <w:rsid w:val="00BE19E5"/>
    <w:rsid w:val="00BE1AAA"/>
    <w:rsid w:val="00BE25E5"/>
    <w:rsid w:val="00BE2E14"/>
    <w:rsid w:val="00BE3D3A"/>
    <w:rsid w:val="00BE4A1A"/>
    <w:rsid w:val="00BE5861"/>
    <w:rsid w:val="00BE6A48"/>
    <w:rsid w:val="00BF17A3"/>
    <w:rsid w:val="00BF1EF4"/>
    <w:rsid w:val="00BF1FF1"/>
    <w:rsid w:val="00BF207E"/>
    <w:rsid w:val="00BF38F0"/>
    <w:rsid w:val="00BF4896"/>
    <w:rsid w:val="00BF4D8F"/>
    <w:rsid w:val="00BF50BB"/>
    <w:rsid w:val="00BF58D8"/>
    <w:rsid w:val="00BF7846"/>
    <w:rsid w:val="00C001AB"/>
    <w:rsid w:val="00C009F7"/>
    <w:rsid w:val="00C02BA0"/>
    <w:rsid w:val="00C03B15"/>
    <w:rsid w:val="00C04D70"/>
    <w:rsid w:val="00C04EB3"/>
    <w:rsid w:val="00C0586A"/>
    <w:rsid w:val="00C064EA"/>
    <w:rsid w:val="00C075D5"/>
    <w:rsid w:val="00C0762B"/>
    <w:rsid w:val="00C07691"/>
    <w:rsid w:val="00C07BBE"/>
    <w:rsid w:val="00C104A3"/>
    <w:rsid w:val="00C10F83"/>
    <w:rsid w:val="00C123AF"/>
    <w:rsid w:val="00C13055"/>
    <w:rsid w:val="00C13325"/>
    <w:rsid w:val="00C14F02"/>
    <w:rsid w:val="00C15F08"/>
    <w:rsid w:val="00C16FB3"/>
    <w:rsid w:val="00C1701D"/>
    <w:rsid w:val="00C172A7"/>
    <w:rsid w:val="00C20357"/>
    <w:rsid w:val="00C21106"/>
    <w:rsid w:val="00C21107"/>
    <w:rsid w:val="00C22158"/>
    <w:rsid w:val="00C2461C"/>
    <w:rsid w:val="00C24AA7"/>
    <w:rsid w:val="00C252B0"/>
    <w:rsid w:val="00C25A72"/>
    <w:rsid w:val="00C26092"/>
    <w:rsid w:val="00C262E7"/>
    <w:rsid w:val="00C265CC"/>
    <w:rsid w:val="00C2743A"/>
    <w:rsid w:val="00C27A62"/>
    <w:rsid w:val="00C30747"/>
    <w:rsid w:val="00C32156"/>
    <w:rsid w:val="00C325B6"/>
    <w:rsid w:val="00C327AE"/>
    <w:rsid w:val="00C332F1"/>
    <w:rsid w:val="00C35FFF"/>
    <w:rsid w:val="00C36FF5"/>
    <w:rsid w:val="00C3789F"/>
    <w:rsid w:val="00C37FFD"/>
    <w:rsid w:val="00C4039A"/>
    <w:rsid w:val="00C41992"/>
    <w:rsid w:val="00C419B3"/>
    <w:rsid w:val="00C41B38"/>
    <w:rsid w:val="00C42F4A"/>
    <w:rsid w:val="00C4521F"/>
    <w:rsid w:val="00C46E23"/>
    <w:rsid w:val="00C47B72"/>
    <w:rsid w:val="00C52C4A"/>
    <w:rsid w:val="00C53648"/>
    <w:rsid w:val="00C537A1"/>
    <w:rsid w:val="00C543E4"/>
    <w:rsid w:val="00C545E6"/>
    <w:rsid w:val="00C56201"/>
    <w:rsid w:val="00C56EED"/>
    <w:rsid w:val="00C56FDB"/>
    <w:rsid w:val="00C57A06"/>
    <w:rsid w:val="00C60A94"/>
    <w:rsid w:val="00C61A28"/>
    <w:rsid w:val="00C623D8"/>
    <w:rsid w:val="00C6280A"/>
    <w:rsid w:val="00C62855"/>
    <w:rsid w:val="00C63685"/>
    <w:rsid w:val="00C63D91"/>
    <w:rsid w:val="00C6503F"/>
    <w:rsid w:val="00C65A90"/>
    <w:rsid w:val="00C65CF7"/>
    <w:rsid w:val="00C660AD"/>
    <w:rsid w:val="00C66AF6"/>
    <w:rsid w:val="00C66ECD"/>
    <w:rsid w:val="00C66FC9"/>
    <w:rsid w:val="00C70543"/>
    <w:rsid w:val="00C718E2"/>
    <w:rsid w:val="00C74868"/>
    <w:rsid w:val="00C7568B"/>
    <w:rsid w:val="00C75ECE"/>
    <w:rsid w:val="00C7661C"/>
    <w:rsid w:val="00C77524"/>
    <w:rsid w:val="00C77EAA"/>
    <w:rsid w:val="00C804F5"/>
    <w:rsid w:val="00C821CB"/>
    <w:rsid w:val="00C827C2"/>
    <w:rsid w:val="00C8283B"/>
    <w:rsid w:val="00C830B1"/>
    <w:rsid w:val="00C83578"/>
    <w:rsid w:val="00C84848"/>
    <w:rsid w:val="00C848E2"/>
    <w:rsid w:val="00C85677"/>
    <w:rsid w:val="00C85E62"/>
    <w:rsid w:val="00C87C2F"/>
    <w:rsid w:val="00C87E02"/>
    <w:rsid w:val="00C914BA"/>
    <w:rsid w:val="00C91C09"/>
    <w:rsid w:val="00C92CFF"/>
    <w:rsid w:val="00C93694"/>
    <w:rsid w:val="00C93D6F"/>
    <w:rsid w:val="00C943E4"/>
    <w:rsid w:val="00C94C0F"/>
    <w:rsid w:val="00C94EC6"/>
    <w:rsid w:val="00C97E53"/>
    <w:rsid w:val="00C97F89"/>
    <w:rsid w:val="00CA004F"/>
    <w:rsid w:val="00CA3320"/>
    <w:rsid w:val="00CA419E"/>
    <w:rsid w:val="00CA49B0"/>
    <w:rsid w:val="00CA4F93"/>
    <w:rsid w:val="00CA5748"/>
    <w:rsid w:val="00CA5B2C"/>
    <w:rsid w:val="00CA7769"/>
    <w:rsid w:val="00CB1E84"/>
    <w:rsid w:val="00CB2958"/>
    <w:rsid w:val="00CB2AFE"/>
    <w:rsid w:val="00CB2E3A"/>
    <w:rsid w:val="00CB31D2"/>
    <w:rsid w:val="00CB6301"/>
    <w:rsid w:val="00CB6BC9"/>
    <w:rsid w:val="00CB70DF"/>
    <w:rsid w:val="00CB7E30"/>
    <w:rsid w:val="00CC0064"/>
    <w:rsid w:val="00CC0C14"/>
    <w:rsid w:val="00CC29C9"/>
    <w:rsid w:val="00CC2C92"/>
    <w:rsid w:val="00CC4689"/>
    <w:rsid w:val="00CC50C0"/>
    <w:rsid w:val="00CC5198"/>
    <w:rsid w:val="00CC5CB1"/>
    <w:rsid w:val="00CC63A1"/>
    <w:rsid w:val="00CC7295"/>
    <w:rsid w:val="00CD27F4"/>
    <w:rsid w:val="00CD27F6"/>
    <w:rsid w:val="00CD3CEE"/>
    <w:rsid w:val="00CD6FAA"/>
    <w:rsid w:val="00CD79FC"/>
    <w:rsid w:val="00CE093B"/>
    <w:rsid w:val="00CE2DEB"/>
    <w:rsid w:val="00CE3B84"/>
    <w:rsid w:val="00CE4DA6"/>
    <w:rsid w:val="00CE75CD"/>
    <w:rsid w:val="00CE7855"/>
    <w:rsid w:val="00CE7EF0"/>
    <w:rsid w:val="00CF01AA"/>
    <w:rsid w:val="00CF0483"/>
    <w:rsid w:val="00CF0925"/>
    <w:rsid w:val="00CF1659"/>
    <w:rsid w:val="00CF23A2"/>
    <w:rsid w:val="00CF3FF4"/>
    <w:rsid w:val="00CF5810"/>
    <w:rsid w:val="00CF6B34"/>
    <w:rsid w:val="00CF714D"/>
    <w:rsid w:val="00D00724"/>
    <w:rsid w:val="00D02AC4"/>
    <w:rsid w:val="00D03FB6"/>
    <w:rsid w:val="00D03FCD"/>
    <w:rsid w:val="00D05AF0"/>
    <w:rsid w:val="00D0705F"/>
    <w:rsid w:val="00D074F4"/>
    <w:rsid w:val="00D07CCE"/>
    <w:rsid w:val="00D11610"/>
    <w:rsid w:val="00D11DF0"/>
    <w:rsid w:val="00D1396A"/>
    <w:rsid w:val="00D143DB"/>
    <w:rsid w:val="00D175D5"/>
    <w:rsid w:val="00D2099B"/>
    <w:rsid w:val="00D20D83"/>
    <w:rsid w:val="00D21AB3"/>
    <w:rsid w:val="00D22159"/>
    <w:rsid w:val="00D23283"/>
    <w:rsid w:val="00D25632"/>
    <w:rsid w:val="00D269A1"/>
    <w:rsid w:val="00D26EEC"/>
    <w:rsid w:val="00D274A2"/>
    <w:rsid w:val="00D2762C"/>
    <w:rsid w:val="00D300CC"/>
    <w:rsid w:val="00D305DF"/>
    <w:rsid w:val="00D30997"/>
    <w:rsid w:val="00D314D2"/>
    <w:rsid w:val="00D325D3"/>
    <w:rsid w:val="00D328CB"/>
    <w:rsid w:val="00D34F89"/>
    <w:rsid w:val="00D3523A"/>
    <w:rsid w:val="00D35718"/>
    <w:rsid w:val="00D3656C"/>
    <w:rsid w:val="00D367E0"/>
    <w:rsid w:val="00D369E2"/>
    <w:rsid w:val="00D36CC4"/>
    <w:rsid w:val="00D4008C"/>
    <w:rsid w:val="00D40DC5"/>
    <w:rsid w:val="00D41373"/>
    <w:rsid w:val="00D42A0A"/>
    <w:rsid w:val="00D42BEB"/>
    <w:rsid w:val="00D42F88"/>
    <w:rsid w:val="00D43711"/>
    <w:rsid w:val="00D44847"/>
    <w:rsid w:val="00D453DD"/>
    <w:rsid w:val="00D5006A"/>
    <w:rsid w:val="00D51A27"/>
    <w:rsid w:val="00D51BCA"/>
    <w:rsid w:val="00D51C2B"/>
    <w:rsid w:val="00D536EC"/>
    <w:rsid w:val="00D547D7"/>
    <w:rsid w:val="00D55B7F"/>
    <w:rsid w:val="00D55F21"/>
    <w:rsid w:val="00D5614D"/>
    <w:rsid w:val="00D573EE"/>
    <w:rsid w:val="00D57441"/>
    <w:rsid w:val="00D576E0"/>
    <w:rsid w:val="00D576EA"/>
    <w:rsid w:val="00D57DA4"/>
    <w:rsid w:val="00D60128"/>
    <w:rsid w:val="00D62E1B"/>
    <w:rsid w:val="00D63630"/>
    <w:rsid w:val="00D63B59"/>
    <w:rsid w:val="00D64787"/>
    <w:rsid w:val="00D64B5E"/>
    <w:rsid w:val="00D66EF7"/>
    <w:rsid w:val="00D67578"/>
    <w:rsid w:val="00D67781"/>
    <w:rsid w:val="00D678BD"/>
    <w:rsid w:val="00D7078A"/>
    <w:rsid w:val="00D71054"/>
    <w:rsid w:val="00D71178"/>
    <w:rsid w:val="00D71C9D"/>
    <w:rsid w:val="00D74176"/>
    <w:rsid w:val="00D74D20"/>
    <w:rsid w:val="00D7586B"/>
    <w:rsid w:val="00D81748"/>
    <w:rsid w:val="00D8222A"/>
    <w:rsid w:val="00D85CC7"/>
    <w:rsid w:val="00D91564"/>
    <w:rsid w:val="00D91E81"/>
    <w:rsid w:val="00D920A8"/>
    <w:rsid w:val="00D93937"/>
    <w:rsid w:val="00D9448F"/>
    <w:rsid w:val="00D97365"/>
    <w:rsid w:val="00DA034C"/>
    <w:rsid w:val="00DA161C"/>
    <w:rsid w:val="00DA28E0"/>
    <w:rsid w:val="00DA3CF9"/>
    <w:rsid w:val="00DA3FA8"/>
    <w:rsid w:val="00DA4603"/>
    <w:rsid w:val="00DA75F3"/>
    <w:rsid w:val="00DA7EDE"/>
    <w:rsid w:val="00DB0930"/>
    <w:rsid w:val="00DB14D0"/>
    <w:rsid w:val="00DB1AE4"/>
    <w:rsid w:val="00DB1CFE"/>
    <w:rsid w:val="00DB59AE"/>
    <w:rsid w:val="00DB5E4C"/>
    <w:rsid w:val="00DB6CFB"/>
    <w:rsid w:val="00DC00BE"/>
    <w:rsid w:val="00DC2143"/>
    <w:rsid w:val="00DC2AD1"/>
    <w:rsid w:val="00DC300D"/>
    <w:rsid w:val="00DC668D"/>
    <w:rsid w:val="00DD3317"/>
    <w:rsid w:val="00DD3DE1"/>
    <w:rsid w:val="00DD52D8"/>
    <w:rsid w:val="00DD5C83"/>
    <w:rsid w:val="00DE02BB"/>
    <w:rsid w:val="00DE0F29"/>
    <w:rsid w:val="00DE4629"/>
    <w:rsid w:val="00DE746C"/>
    <w:rsid w:val="00DE74C4"/>
    <w:rsid w:val="00DE7976"/>
    <w:rsid w:val="00DF0CB5"/>
    <w:rsid w:val="00DF1FB6"/>
    <w:rsid w:val="00DF2996"/>
    <w:rsid w:val="00DF437A"/>
    <w:rsid w:val="00DF4A07"/>
    <w:rsid w:val="00DF6DCD"/>
    <w:rsid w:val="00E02445"/>
    <w:rsid w:val="00E03F92"/>
    <w:rsid w:val="00E04511"/>
    <w:rsid w:val="00E04CF9"/>
    <w:rsid w:val="00E05590"/>
    <w:rsid w:val="00E056E6"/>
    <w:rsid w:val="00E05F75"/>
    <w:rsid w:val="00E06E34"/>
    <w:rsid w:val="00E0705B"/>
    <w:rsid w:val="00E07569"/>
    <w:rsid w:val="00E10A92"/>
    <w:rsid w:val="00E1121D"/>
    <w:rsid w:val="00E112EF"/>
    <w:rsid w:val="00E12886"/>
    <w:rsid w:val="00E141CE"/>
    <w:rsid w:val="00E14921"/>
    <w:rsid w:val="00E15F0C"/>
    <w:rsid w:val="00E178B6"/>
    <w:rsid w:val="00E208D4"/>
    <w:rsid w:val="00E20943"/>
    <w:rsid w:val="00E2271A"/>
    <w:rsid w:val="00E2308B"/>
    <w:rsid w:val="00E23EFB"/>
    <w:rsid w:val="00E2404B"/>
    <w:rsid w:val="00E2457A"/>
    <w:rsid w:val="00E24B3A"/>
    <w:rsid w:val="00E25F19"/>
    <w:rsid w:val="00E2659B"/>
    <w:rsid w:val="00E26D1E"/>
    <w:rsid w:val="00E27231"/>
    <w:rsid w:val="00E27719"/>
    <w:rsid w:val="00E30A6C"/>
    <w:rsid w:val="00E30D5D"/>
    <w:rsid w:val="00E3198F"/>
    <w:rsid w:val="00E324F1"/>
    <w:rsid w:val="00E32530"/>
    <w:rsid w:val="00E32A86"/>
    <w:rsid w:val="00E32EF2"/>
    <w:rsid w:val="00E334E6"/>
    <w:rsid w:val="00E33F30"/>
    <w:rsid w:val="00E344F7"/>
    <w:rsid w:val="00E34CBB"/>
    <w:rsid w:val="00E35C6D"/>
    <w:rsid w:val="00E3795F"/>
    <w:rsid w:val="00E4054B"/>
    <w:rsid w:val="00E42761"/>
    <w:rsid w:val="00E43DB9"/>
    <w:rsid w:val="00E444F0"/>
    <w:rsid w:val="00E44F5B"/>
    <w:rsid w:val="00E45C14"/>
    <w:rsid w:val="00E46293"/>
    <w:rsid w:val="00E50204"/>
    <w:rsid w:val="00E5061F"/>
    <w:rsid w:val="00E50B14"/>
    <w:rsid w:val="00E50FBA"/>
    <w:rsid w:val="00E51D48"/>
    <w:rsid w:val="00E51E6A"/>
    <w:rsid w:val="00E527E3"/>
    <w:rsid w:val="00E53FA3"/>
    <w:rsid w:val="00E55E48"/>
    <w:rsid w:val="00E568B6"/>
    <w:rsid w:val="00E56CFC"/>
    <w:rsid w:val="00E5750B"/>
    <w:rsid w:val="00E60BF6"/>
    <w:rsid w:val="00E627CC"/>
    <w:rsid w:val="00E65063"/>
    <w:rsid w:val="00E66521"/>
    <w:rsid w:val="00E67D54"/>
    <w:rsid w:val="00E67E03"/>
    <w:rsid w:val="00E70D68"/>
    <w:rsid w:val="00E70D73"/>
    <w:rsid w:val="00E71516"/>
    <w:rsid w:val="00E71DE1"/>
    <w:rsid w:val="00E74181"/>
    <w:rsid w:val="00E742CF"/>
    <w:rsid w:val="00E743B1"/>
    <w:rsid w:val="00E749A7"/>
    <w:rsid w:val="00E823C0"/>
    <w:rsid w:val="00E824DD"/>
    <w:rsid w:val="00E82DDC"/>
    <w:rsid w:val="00E8651E"/>
    <w:rsid w:val="00E86C10"/>
    <w:rsid w:val="00E878E1"/>
    <w:rsid w:val="00E87D59"/>
    <w:rsid w:val="00E87DC2"/>
    <w:rsid w:val="00E92655"/>
    <w:rsid w:val="00E92AC0"/>
    <w:rsid w:val="00E92FE5"/>
    <w:rsid w:val="00E93843"/>
    <w:rsid w:val="00E9442E"/>
    <w:rsid w:val="00E94F38"/>
    <w:rsid w:val="00E9519F"/>
    <w:rsid w:val="00E9528F"/>
    <w:rsid w:val="00E970D6"/>
    <w:rsid w:val="00E9732C"/>
    <w:rsid w:val="00E97A12"/>
    <w:rsid w:val="00EA0687"/>
    <w:rsid w:val="00EA4833"/>
    <w:rsid w:val="00EA5D31"/>
    <w:rsid w:val="00EA6B34"/>
    <w:rsid w:val="00EA7AF0"/>
    <w:rsid w:val="00EA7AF4"/>
    <w:rsid w:val="00EA7C7B"/>
    <w:rsid w:val="00EB19F9"/>
    <w:rsid w:val="00EB1E6B"/>
    <w:rsid w:val="00EB2296"/>
    <w:rsid w:val="00EB3DA8"/>
    <w:rsid w:val="00EB3DFE"/>
    <w:rsid w:val="00EB55E1"/>
    <w:rsid w:val="00EB6DB3"/>
    <w:rsid w:val="00EB7203"/>
    <w:rsid w:val="00EC073F"/>
    <w:rsid w:val="00EC0DCA"/>
    <w:rsid w:val="00EC1E15"/>
    <w:rsid w:val="00EC3E41"/>
    <w:rsid w:val="00EC43BC"/>
    <w:rsid w:val="00EC45AD"/>
    <w:rsid w:val="00ED0916"/>
    <w:rsid w:val="00ED2EF4"/>
    <w:rsid w:val="00ED3521"/>
    <w:rsid w:val="00ED41B9"/>
    <w:rsid w:val="00ED4B59"/>
    <w:rsid w:val="00ED4EEC"/>
    <w:rsid w:val="00ED60A4"/>
    <w:rsid w:val="00ED66E3"/>
    <w:rsid w:val="00ED6B6E"/>
    <w:rsid w:val="00ED70BB"/>
    <w:rsid w:val="00ED7BD8"/>
    <w:rsid w:val="00EE0DFD"/>
    <w:rsid w:val="00EE1615"/>
    <w:rsid w:val="00EE1941"/>
    <w:rsid w:val="00EE203B"/>
    <w:rsid w:val="00EE27CE"/>
    <w:rsid w:val="00EE304E"/>
    <w:rsid w:val="00EE3495"/>
    <w:rsid w:val="00EE69F9"/>
    <w:rsid w:val="00EE6FA1"/>
    <w:rsid w:val="00EE746B"/>
    <w:rsid w:val="00EF049D"/>
    <w:rsid w:val="00EF05FA"/>
    <w:rsid w:val="00EF0C25"/>
    <w:rsid w:val="00EF119D"/>
    <w:rsid w:val="00EF22A1"/>
    <w:rsid w:val="00EF37E6"/>
    <w:rsid w:val="00EF3CDD"/>
    <w:rsid w:val="00EF4D8E"/>
    <w:rsid w:val="00EF4FCD"/>
    <w:rsid w:val="00EF59A6"/>
    <w:rsid w:val="00EF60F0"/>
    <w:rsid w:val="00EF6DFE"/>
    <w:rsid w:val="00EF6ED8"/>
    <w:rsid w:val="00EF7701"/>
    <w:rsid w:val="00EF7BEC"/>
    <w:rsid w:val="00F0000E"/>
    <w:rsid w:val="00F001ED"/>
    <w:rsid w:val="00F00EE1"/>
    <w:rsid w:val="00F011DD"/>
    <w:rsid w:val="00F0286D"/>
    <w:rsid w:val="00F04001"/>
    <w:rsid w:val="00F050A3"/>
    <w:rsid w:val="00F074CF"/>
    <w:rsid w:val="00F10700"/>
    <w:rsid w:val="00F11DDF"/>
    <w:rsid w:val="00F13588"/>
    <w:rsid w:val="00F15D34"/>
    <w:rsid w:val="00F16581"/>
    <w:rsid w:val="00F16824"/>
    <w:rsid w:val="00F175D1"/>
    <w:rsid w:val="00F17817"/>
    <w:rsid w:val="00F210D0"/>
    <w:rsid w:val="00F2288F"/>
    <w:rsid w:val="00F22BE7"/>
    <w:rsid w:val="00F234DF"/>
    <w:rsid w:val="00F24141"/>
    <w:rsid w:val="00F2512A"/>
    <w:rsid w:val="00F25307"/>
    <w:rsid w:val="00F259AF"/>
    <w:rsid w:val="00F2783D"/>
    <w:rsid w:val="00F30E6C"/>
    <w:rsid w:val="00F30FD5"/>
    <w:rsid w:val="00F318A9"/>
    <w:rsid w:val="00F33FBB"/>
    <w:rsid w:val="00F34DEA"/>
    <w:rsid w:val="00F368CA"/>
    <w:rsid w:val="00F36C95"/>
    <w:rsid w:val="00F44690"/>
    <w:rsid w:val="00F458D9"/>
    <w:rsid w:val="00F46602"/>
    <w:rsid w:val="00F46700"/>
    <w:rsid w:val="00F470ED"/>
    <w:rsid w:val="00F51553"/>
    <w:rsid w:val="00F53DE1"/>
    <w:rsid w:val="00F545EE"/>
    <w:rsid w:val="00F55CC9"/>
    <w:rsid w:val="00F57151"/>
    <w:rsid w:val="00F57420"/>
    <w:rsid w:val="00F57AB0"/>
    <w:rsid w:val="00F57F30"/>
    <w:rsid w:val="00F61A78"/>
    <w:rsid w:val="00F63748"/>
    <w:rsid w:val="00F6621A"/>
    <w:rsid w:val="00F666E1"/>
    <w:rsid w:val="00F66CDE"/>
    <w:rsid w:val="00F6714F"/>
    <w:rsid w:val="00F70C0A"/>
    <w:rsid w:val="00F734A6"/>
    <w:rsid w:val="00F7567F"/>
    <w:rsid w:val="00F75DAF"/>
    <w:rsid w:val="00F77DA2"/>
    <w:rsid w:val="00F80076"/>
    <w:rsid w:val="00F8077A"/>
    <w:rsid w:val="00F85801"/>
    <w:rsid w:val="00F86D09"/>
    <w:rsid w:val="00F87149"/>
    <w:rsid w:val="00F906D8"/>
    <w:rsid w:val="00F91005"/>
    <w:rsid w:val="00F9148E"/>
    <w:rsid w:val="00F914A8"/>
    <w:rsid w:val="00F91593"/>
    <w:rsid w:val="00F92A44"/>
    <w:rsid w:val="00F948D9"/>
    <w:rsid w:val="00F9490A"/>
    <w:rsid w:val="00F9509A"/>
    <w:rsid w:val="00F95918"/>
    <w:rsid w:val="00F9593A"/>
    <w:rsid w:val="00F96C89"/>
    <w:rsid w:val="00F96F50"/>
    <w:rsid w:val="00FA0F92"/>
    <w:rsid w:val="00FA1B98"/>
    <w:rsid w:val="00FA30F8"/>
    <w:rsid w:val="00FA3A24"/>
    <w:rsid w:val="00FA4596"/>
    <w:rsid w:val="00FA70BC"/>
    <w:rsid w:val="00FA77ED"/>
    <w:rsid w:val="00FB029E"/>
    <w:rsid w:val="00FB03D7"/>
    <w:rsid w:val="00FB0457"/>
    <w:rsid w:val="00FB0520"/>
    <w:rsid w:val="00FB0C72"/>
    <w:rsid w:val="00FB0DDE"/>
    <w:rsid w:val="00FB2BCA"/>
    <w:rsid w:val="00FB2D86"/>
    <w:rsid w:val="00FB38C8"/>
    <w:rsid w:val="00FB38ED"/>
    <w:rsid w:val="00FB3E28"/>
    <w:rsid w:val="00FB4E1D"/>
    <w:rsid w:val="00FB5935"/>
    <w:rsid w:val="00FB5967"/>
    <w:rsid w:val="00FB60C3"/>
    <w:rsid w:val="00FB6623"/>
    <w:rsid w:val="00FC2E89"/>
    <w:rsid w:val="00FC3644"/>
    <w:rsid w:val="00FC5556"/>
    <w:rsid w:val="00FC64A7"/>
    <w:rsid w:val="00FC7A81"/>
    <w:rsid w:val="00FD0431"/>
    <w:rsid w:val="00FD080F"/>
    <w:rsid w:val="00FD0849"/>
    <w:rsid w:val="00FD0E6D"/>
    <w:rsid w:val="00FD2449"/>
    <w:rsid w:val="00FD2E6A"/>
    <w:rsid w:val="00FD5E90"/>
    <w:rsid w:val="00FD70B3"/>
    <w:rsid w:val="00FD725E"/>
    <w:rsid w:val="00FD72F3"/>
    <w:rsid w:val="00FD7ABC"/>
    <w:rsid w:val="00FE0427"/>
    <w:rsid w:val="00FE56A5"/>
    <w:rsid w:val="00FE5DA9"/>
    <w:rsid w:val="00FE5E5D"/>
    <w:rsid w:val="00FE6FE8"/>
    <w:rsid w:val="00FF08D7"/>
    <w:rsid w:val="00FF1673"/>
    <w:rsid w:val="00FF17EA"/>
    <w:rsid w:val="00FF1DC1"/>
    <w:rsid w:val="00FF5756"/>
    <w:rsid w:val="00FF5F57"/>
    <w:rsid w:val="00FF635B"/>
    <w:rsid w:val="00FF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3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4ED5"/>
    <w:rPr>
      <w:sz w:val="16"/>
      <w:szCs w:val="16"/>
    </w:rPr>
  </w:style>
  <w:style w:type="paragraph" w:styleId="CommentText">
    <w:name w:val="annotation text"/>
    <w:basedOn w:val="Normal"/>
    <w:link w:val="CommentTextChar"/>
    <w:uiPriority w:val="99"/>
    <w:semiHidden/>
    <w:unhideWhenUsed/>
    <w:rsid w:val="00994ED5"/>
    <w:pPr>
      <w:spacing w:line="240" w:lineRule="auto"/>
    </w:pPr>
    <w:rPr>
      <w:sz w:val="20"/>
      <w:szCs w:val="20"/>
    </w:rPr>
  </w:style>
  <w:style w:type="character" w:customStyle="1" w:styleId="CommentTextChar">
    <w:name w:val="Comment Text Char"/>
    <w:basedOn w:val="DefaultParagraphFont"/>
    <w:link w:val="CommentText"/>
    <w:uiPriority w:val="99"/>
    <w:semiHidden/>
    <w:rsid w:val="00994ED5"/>
    <w:rPr>
      <w:sz w:val="20"/>
      <w:szCs w:val="20"/>
    </w:rPr>
  </w:style>
  <w:style w:type="paragraph" w:styleId="CommentSubject">
    <w:name w:val="annotation subject"/>
    <w:basedOn w:val="CommentText"/>
    <w:next w:val="CommentText"/>
    <w:link w:val="CommentSubjectChar"/>
    <w:uiPriority w:val="99"/>
    <w:semiHidden/>
    <w:unhideWhenUsed/>
    <w:rsid w:val="00994ED5"/>
    <w:rPr>
      <w:b/>
      <w:bCs/>
    </w:rPr>
  </w:style>
  <w:style w:type="character" w:customStyle="1" w:styleId="CommentSubjectChar">
    <w:name w:val="Comment Subject Char"/>
    <w:basedOn w:val="CommentTextChar"/>
    <w:link w:val="CommentSubject"/>
    <w:uiPriority w:val="99"/>
    <w:semiHidden/>
    <w:rsid w:val="00994ED5"/>
    <w:rPr>
      <w:b/>
      <w:bCs/>
      <w:sz w:val="20"/>
      <w:szCs w:val="20"/>
    </w:rPr>
  </w:style>
  <w:style w:type="character" w:customStyle="1" w:styleId="cohl">
    <w:name w:val="co_hl"/>
    <w:basedOn w:val="DefaultParagraphFont"/>
    <w:rsid w:val="00683E26"/>
  </w:style>
  <w:style w:type="character" w:customStyle="1" w:styleId="costarpage">
    <w:name w:val="co_starpage"/>
    <w:basedOn w:val="DefaultParagraphFont"/>
    <w:rsid w:val="00911B31"/>
  </w:style>
  <w:style w:type="character" w:styleId="Hyperlink">
    <w:name w:val="Hyperlink"/>
    <w:basedOn w:val="DefaultParagraphFont"/>
    <w:uiPriority w:val="99"/>
    <w:unhideWhenUsed/>
    <w:rsid w:val="00911B31"/>
    <w:rPr>
      <w:color w:val="0000FF"/>
      <w:u w:val="single"/>
    </w:rPr>
  </w:style>
  <w:style w:type="character" w:styleId="Emphasis">
    <w:name w:val="Emphasis"/>
    <w:basedOn w:val="DefaultParagraphFont"/>
    <w:uiPriority w:val="20"/>
    <w:qFormat/>
    <w:rsid w:val="00911B31"/>
    <w:rPr>
      <w:i/>
      <w:iCs/>
    </w:rPr>
  </w:style>
  <w:style w:type="paragraph" w:styleId="FootnoteText">
    <w:name w:val="footnote text"/>
    <w:link w:val="FootnoteTextChar"/>
    <w:uiPriority w:val="99"/>
    <w:unhideWhenUsed/>
    <w:rsid w:val="00193503"/>
    <w:pPr>
      <w:spacing w:line="240" w:lineRule="auto"/>
    </w:pPr>
    <w:rPr>
      <w:szCs w:val="20"/>
    </w:rPr>
  </w:style>
  <w:style w:type="character" w:customStyle="1" w:styleId="FootnoteTextChar">
    <w:name w:val="Footnote Text Char"/>
    <w:basedOn w:val="DefaultParagraphFont"/>
    <w:link w:val="FootnoteText"/>
    <w:uiPriority w:val="99"/>
    <w:rsid w:val="00193503"/>
    <w:rPr>
      <w:szCs w:val="20"/>
    </w:rPr>
  </w:style>
  <w:style w:type="character" w:styleId="FootnoteReference">
    <w:name w:val="footnote reference"/>
    <w:basedOn w:val="DefaultParagraphFont"/>
    <w:uiPriority w:val="99"/>
    <w:semiHidden/>
    <w:unhideWhenUsed/>
    <w:rsid w:val="00193503"/>
    <w:rPr>
      <w:vertAlign w:val="superscript"/>
    </w:rPr>
  </w:style>
  <w:style w:type="paragraph" w:styleId="ListParagraph">
    <w:name w:val="List Paragraph"/>
    <w:basedOn w:val="Normal"/>
    <w:uiPriority w:val="34"/>
    <w:qFormat/>
    <w:rsid w:val="00DB6CFB"/>
    <w:pPr>
      <w:ind w:left="720"/>
      <w:contextualSpacing/>
    </w:pPr>
  </w:style>
  <w:style w:type="paragraph" w:styleId="Header">
    <w:name w:val="header"/>
    <w:basedOn w:val="Normal"/>
    <w:link w:val="HeaderChar"/>
    <w:uiPriority w:val="99"/>
    <w:unhideWhenUsed/>
    <w:rsid w:val="00800116"/>
    <w:pPr>
      <w:tabs>
        <w:tab w:val="center" w:pos="4680"/>
        <w:tab w:val="right" w:pos="9360"/>
      </w:tabs>
      <w:spacing w:line="240" w:lineRule="auto"/>
    </w:pPr>
  </w:style>
  <w:style w:type="character" w:customStyle="1" w:styleId="HeaderChar">
    <w:name w:val="Header Char"/>
    <w:basedOn w:val="DefaultParagraphFont"/>
    <w:link w:val="Header"/>
    <w:uiPriority w:val="99"/>
    <w:rsid w:val="00800116"/>
  </w:style>
  <w:style w:type="paragraph" w:styleId="Footer">
    <w:name w:val="footer"/>
    <w:basedOn w:val="Normal"/>
    <w:link w:val="FooterChar"/>
    <w:uiPriority w:val="99"/>
    <w:unhideWhenUsed/>
    <w:rsid w:val="00800116"/>
    <w:pPr>
      <w:tabs>
        <w:tab w:val="center" w:pos="4680"/>
        <w:tab w:val="right" w:pos="9360"/>
      </w:tabs>
      <w:spacing w:line="240" w:lineRule="auto"/>
    </w:pPr>
  </w:style>
  <w:style w:type="character" w:customStyle="1" w:styleId="FooterChar">
    <w:name w:val="Footer Char"/>
    <w:basedOn w:val="DefaultParagraphFont"/>
    <w:link w:val="Footer"/>
    <w:uiPriority w:val="99"/>
    <w:rsid w:val="00800116"/>
  </w:style>
  <w:style w:type="character" w:styleId="PlaceholderText">
    <w:name w:val="Placeholder Text"/>
    <w:basedOn w:val="DefaultParagraphFont"/>
    <w:uiPriority w:val="99"/>
    <w:semiHidden/>
    <w:rsid w:val="00D143DB"/>
    <w:rPr>
      <w:color w:val="808080"/>
    </w:rPr>
  </w:style>
  <w:style w:type="character" w:styleId="Strong">
    <w:name w:val="Strong"/>
    <w:basedOn w:val="DefaultParagraphFont"/>
    <w:uiPriority w:val="22"/>
    <w:qFormat/>
    <w:rsid w:val="005B2AF2"/>
    <w:rPr>
      <w:b/>
      <w:bCs/>
    </w:rPr>
  </w:style>
  <w:style w:type="character" w:styleId="PageNumber">
    <w:name w:val="page number"/>
    <w:basedOn w:val="DefaultParagraphFont"/>
    <w:uiPriority w:val="99"/>
    <w:semiHidden/>
    <w:unhideWhenUsed/>
    <w:rsid w:val="007D0BA2"/>
  </w:style>
  <w:style w:type="character" w:customStyle="1" w:styleId="coconcept3136">
    <w:name w:val="co_concept_31_36"/>
    <w:basedOn w:val="DefaultParagraphFont"/>
    <w:rsid w:val="00B34B75"/>
  </w:style>
  <w:style w:type="character" w:customStyle="1" w:styleId="coconcept1015">
    <w:name w:val="co_concept_10_15"/>
    <w:basedOn w:val="DefaultParagraphFont"/>
    <w:rsid w:val="00B34B75"/>
  </w:style>
  <w:style w:type="paragraph" w:customStyle="1" w:styleId="Normal2">
    <w:name w:val="Normal2"/>
    <w:basedOn w:val="Normal"/>
    <w:rsid w:val="00D678BD"/>
    <w:pPr>
      <w:tabs>
        <w:tab w:val="clear" w:pos="720"/>
      </w:tabs>
      <w:suppressAutoHyphens/>
      <w:autoSpaceDN w:val="0"/>
      <w:spacing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BF28DA9CEC6B4C9054DCD2C01EE233" ma:contentTypeVersion="4" ma:contentTypeDescription="Create a new document." ma:contentTypeScope="" ma:versionID="3f6d2e7c6861a8ce7672b6cf8c25a38e">
  <xsd:schema xmlns:xsd="http://www.w3.org/2001/XMLSchema" xmlns:xs="http://www.w3.org/2001/XMLSchema" xmlns:p="http://schemas.microsoft.com/office/2006/metadata/properties" xmlns:ns2="f0b701d1-cf6b-42a4-961f-e69a1c259583" xmlns:ns3="11ccfcba-b486-48ba-af29-7956d36235d0" targetNamespace="http://schemas.microsoft.com/office/2006/metadata/properties" ma:root="true" ma:fieldsID="3057049cd975b882861005f6b2f5fc88" ns2:_="" ns3:_="">
    <xsd:import namespace="f0b701d1-cf6b-42a4-961f-e69a1c259583"/>
    <xsd:import namespace="11ccfcba-b486-48ba-af29-7956d36235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701d1-cf6b-42a4-961f-e69a1c259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ccfcba-b486-48ba-af29-7956d36235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0D6984-1FC3-44D9-B364-1B221681B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701d1-cf6b-42a4-961f-e69a1c259583"/>
    <ds:schemaRef ds:uri="11ccfcba-b486-48ba-af29-7956d3623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1D1BD-BD7A-4095-9A36-96E206D21561}">
  <ds:schemaRefs>
    <ds:schemaRef ds:uri="http://schemas.openxmlformats.org/officeDocument/2006/bibliography"/>
  </ds:schemaRefs>
</ds:datastoreItem>
</file>

<file path=customXml/itemProps3.xml><?xml version="1.0" encoding="utf-8"?>
<ds:datastoreItem xmlns:ds="http://schemas.openxmlformats.org/officeDocument/2006/customXml" ds:itemID="{30C202A9-36A5-4A46-89C2-6AEB66D97E6F}">
  <ds:schemaRefs>
    <ds:schemaRef ds:uri="http://schemas.microsoft.com/sharepoint/v3/contenttype/forms"/>
  </ds:schemaRefs>
</ds:datastoreItem>
</file>

<file path=customXml/itemProps4.xml><?xml version="1.0" encoding="utf-8"?>
<ds:datastoreItem xmlns:ds="http://schemas.openxmlformats.org/officeDocument/2006/customXml" ds:itemID="{35E557A0-FE15-4DAA-B13E-1EF3852303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7063</Words>
  <Characters>38777</Characters>
  <Application>Microsoft Office Word</Application>
  <DocSecurity>0</DocSecurity>
  <Lines>791</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2023-07-20T18:12:00Z</dcterms:created>
  <dcterms:modified xsi:type="dcterms:W3CDTF">2023-07-20T18:12:00Z</dcterms:modified>
  <cp:category/>
</cp:coreProperties>
</file>