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0F10" w14:textId="4FEE1B54" w:rsidR="00796F79" w:rsidRDefault="00FC510F" w:rsidP="00EA035E">
      <w:pPr>
        <w:jc w:val="center"/>
        <w:rPr>
          <w:sz w:val="20"/>
        </w:rPr>
      </w:pPr>
      <w:r>
        <w:rPr>
          <w:sz w:val="20"/>
        </w:rPr>
        <w:t xml:space="preserve">Filed </w:t>
      </w:r>
      <w:r w:rsidR="00A03353">
        <w:rPr>
          <w:sz w:val="20"/>
        </w:rPr>
        <w:t>11/29/21</w:t>
      </w:r>
      <w:bookmarkStart w:id="0" w:name="_Hlk92454540"/>
      <w:r w:rsidR="00EA035E" w:rsidRPr="00E87B73">
        <w:rPr>
          <w:sz w:val="20"/>
        </w:rPr>
        <w:t>; REVIEW GRANTED.  See Cal. Rules of Court, rules 8.1105 and 8.1115 (and corresponding Comment, par. 2, concerning rule 8.1115(e)(3)).</w:t>
      </w:r>
      <w:bookmarkEnd w:id="0"/>
    </w:p>
    <w:p w14:paraId="5F2BBD88" w14:textId="75015FD2" w:rsidR="00796F79" w:rsidRDefault="00FC510F" w:rsidP="00796F79">
      <w:pPr>
        <w:jc w:val="center"/>
        <w:rPr>
          <w:b/>
        </w:rPr>
      </w:pPr>
      <w:r>
        <w:rPr>
          <w:b/>
        </w:rPr>
        <w:t>CERTIFIED FOR PUBLICATION</w:t>
      </w:r>
    </w:p>
    <w:p w14:paraId="50C5E4F0" w14:textId="77777777" w:rsidR="009D2EC9" w:rsidRDefault="009D2EC9" w:rsidP="00796F79">
      <w:pPr>
        <w:jc w:val="center"/>
        <w:rPr>
          <w:b/>
        </w:rPr>
      </w:pPr>
    </w:p>
    <w:p w14:paraId="15F44EA8" w14:textId="78152B51" w:rsidR="00DC0D2D" w:rsidRDefault="00FC510F" w:rsidP="00796F79">
      <w:pPr>
        <w:jc w:val="center"/>
      </w:pPr>
      <w:r>
        <w:t>IN THE COURT OF APPEAL OF THE STATE OF CALIFORNIA</w:t>
      </w:r>
    </w:p>
    <w:p w14:paraId="587A3C46" w14:textId="77777777" w:rsidR="00DC0D2D" w:rsidRDefault="00DC0D2D" w:rsidP="00DC0D2D">
      <w:pPr>
        <w:jc w:val="center"/>
      </w:pPr>
    </w:p>
    <w:p w14:paraId="646740F0" w14:textId="77777777" w:rsidR="00DC0D2D" w:rsidRDefault="00FC510F" w:rsidP="00DC0D2D">
      <w:pPr>
        <w:jc w:val="center"/>
      </w:pPr>
      <w:r>
        <w:t>FIRST APPELLATE DISTRICT</w:t>
      </w:r>
    </w:p>
    <w:p w14:paraId="68332C86" w14:textId="77777777" w:rsidR="00DC0D2D" w:rsidRDefault="00DC0D2D" w:rsidP="00DC0D2D">
      <w:pPr>
        <w:jc w:val="center"/>
      </w:pPr>
    </w:p>
    <w:p w14:paraId="0E3FFBC1" w14:textId="1C971E63" w:rsidR="00DC0D2D" w:rsidRDefault="00FC510F" w:rsidP="00DC0D2D">
      <w:pPr>
        <w:jc w:val="center"/>
      </w:pPr>
      <w:r>
        <w:t xml:space="preserve">DIVISION </w:t>
      </w:r>
      <w:r w:rsidR="00C2687C">
        <w:t>THREE</w:t>
      </w:r>
    </w:p>
    <w:p w14:paraId="47A9E43E" w14:textId="77777777" w:rsidR="00DC0D2D" w:rsidRDefault="00DC0D2D" w:rsidP="00DC0D2D">
      <w:pPr>
        <w:jc w:val="center"/>
      </w:pPr>
    </w:p>
    <w:p w14:paraId="5BA60327" w14:textId="77777777" w:rsidR="00DC0D2D" w:rsidRDefault="00DC0D2D" w:rsidP="00DC0D2D">
      <w:pPr>
        <w:jc w:val="center"/>
      </w:pPr>
    </w:p>
    <w:tbl>
      <w:tblPr>
        <w:tblW w:w="9180" w:type="dxa"/>
        <w:tblLayout w:type="fixed"/>
        <w:tblLook w:val="0000" w:firstRow="0" w:lastRow="0" w:firstColumn="0" w:lastColumn="0" w:noHBand="0" w:noVBand="0"/>
      </w:tblPr>
      <w:tblGrid>
        <w:gridCol w:w="4860"/>
        <w:gridCol w:w="4320"/>
      </w:tblGrid>
      <w:tr w:rsidR="00BC2406" w14:paraId="6A90B1CC" w14:textId="77777777" w:rsidTr="00712F01">
        <w:tc>
          <w:tcPr>
            <w:tcW w:w="4860" w:type="dxa"/>
            <w:tcBorders>
              <w:bottom w:val="single" w:sz="4" w:space="0" w:color="auto"/>
              <w:right w:val="single" w:sz="4" w:space="0" w:color="auto"/>
            </w:tcBorders>
            <w:shd w:val="clear" w:color="auto" w:fill="auto"/>
          </w:tcPr>
          <w:p w14:paraId="0AD3C6D6" w14:textId="310FA9D8" w:rsidR="00DC0D2D" w:rsidRDefault="00FC510F" w:rsidP="00DC0D2D">
            <w:pPr>
              <w:spacing w:after="120"/>
            </w:pPr>
            <w:r>
              <w:t xml:space="preserve">In re JOHN </w:t>
            </w:r>
            <w:r w:rsidR="00E41E92">
              <w:t>HARRIS JR.</w:t>
            </w:r>
            <w:r>
              <w:t>,</w:t>
            </w:r>
          </w:p>
          <w:p w14:paraId="797FC725" w14:textId="77777777" w:rsidR="00DC0D2D" w:rsidRDefault="00FC510F" w:rsidP="00DC0D2D">
            <w:pPr>
              <w:spacing w:after="120"/>
            </w:pPr>
            <w:r>
              <w:tab/>
              <w:t>on Habeas Corpus.</w:t>
            </w:r>
          </w:p>
        </w:tc>
        <w:tc>
          <w:tcPr>
            <w:tcW w:w="4320" w:type="dxa"/>
            <w:tcBorders>
              <w:left w:val="single" w:sz="4" w:space="0" w:color="auto"/>
            </w:tcBorders>
            <w:shd w:val="clear" w:color="auto" w:fill="auto"/>
          </w:tcPr>
          <w:p w14:paraId="3607DA9E" w14:textId="3D2F6D59" w:rsidR="00DC0D2D" w:rsidRDefault="00FC510F" w:rsidP="00DC0D2D">
            <w:r>
              <w:t xml:space="preserve">  </w:t>
            </w:r>
            <w:r w:rsidR="002A5E88">
              <w:t xml:space="preserve"> </w:t>
            </w:r>
            <w:r>
              <w:t>A</w:t>
            </w:r>
            <w:r w:rsidR="00E41E92">
              <w:t>162891</w:t>
            </w:r>
          </w:p>
          <w:p w14:paraId="665AA2C2" w14:textId="77777777" w:rsidR="00DC0D2D" w:rsidRDefault="00DC0D2D" w:rsidP="00DC0D2D"/>
          <w:p w14:paraId="3E22D1A1" w14:textId="02114730" w:rsidR="00DC0D2D" w:rsidRDefault="00FC510F" w:rsidP="00DC0D2D">
            <w:r>
              <w:t xml:space="preserve">  (San Mateo County</w:t>
            </w:r>
          </w:p>
          <w:p w14:paraId="58D0EF91" w14:textId="61D9F823" w:rsidR="00DC0D2D" w:rsidRDefault="00FC510F" w:rsidP="00DC0D2D">
            <w:r>
              <w:t xml:space="preserve">  Super. Ct. No. </w:t>
            </w:r>
            <w:r w:rsidR="00E41E92">
              <w:t>21</w:t>
            </w:r>
            <w:r w:rsidR="002A5E88">
              <w:t>-</w:t>
            </w:r>
            <w:r w:rsidR="00E41E92">
              <w:t>NF</w:t>
            </w:r>
            <w:r w:rsidR="002A5E88">
              <w:t>-</w:t>
            </w:r>
            <w:r w:rsidR="00E41E92">
              <w:t>002568</w:t>
            </w:r>
            <w:r w:rsidR="002A5E88">
              <w:t>-</w:t>
            </w:r>
            <w:r w:rsidR="00E41E92">
              <w:t>A</w:t>
            </w:r>
            <w:r>
              <w:t>)</w:t>
            </w:r>
          </w:p>
          <w:p w14:paraId="628384F6" w14:textId="77777777" w:rsidR="00DC0D2D" w:rsidRDefault="00DC0D2D" w:rsidP="00DC0D2D"/>
        </w:tc>
      </w:tr>
    </w:tbl>
    <w:p w14:paraId="4C01D68B" w14:textId="77777777" w:rsidR="00DC0D2D" w:rsidRDefault="00DC0D2D" w:rsidP="00DC0D2D">
      <w:pPr>
        <w:spacing w:line="360" w:lineRule="auto"/>
      </w:pPr>
    </w:p>
    <w:p w14:paraId="08EAA098" w14:textId="4FA9C342" w:rsidR="0088495E" w:rsidRDefault="00FC510F" w:rsidP="00C906A9">
      <w:pPr>
        <w:spacing w:line="360" w:lineRule="auto"/>
      </w:pPr>
      <w:r>
        <w:tab/>
      </w:r>
      <w:bookmarkStart w:id="1" w:name="_Hlk81217373"/>
      <w:r w:rsidR="00E810EF">
        <w:t xml:space="preserve">Petitioner John </w:t>
      </w:r>
      <w:r w:rsidR="00E810EF" w:rsidRPr="00CC7CEB">
        <w:t xml:space="preserve">Harris Jr. </w:t>
      </w:r>
      <w:r w:rsidRPr="00CC7CEB">
        <w:t xml:space="preserve">filed this petition for writ of habeas corpus challenging </w:t>
      </w:r>
      <w:r w:rsidR="007E7067" w:rsidRPr="00CC7CEB">
        <w:t xml:space="preserve">the trial court’s decision </w:t>
      </w:r>
      <w:r w:rsidR="007E7067" w:rsidRPr="00C01F26">
        <w:t>deny</w:t>
      </w:r>
      <w:r w:rsidR="004D1C8F" w:rsidRPr="00C01F26">
        <w:t>ing</w:t>
      </w:r>
      <w:r w:rsidR="007E7067" w:rsidRPr="00C01F26">
        <w:t xml:space="preserve"> him bail</w:t>
      </w:r>
      <w:r w:rsidRPr="00C01F26">
        <w:t xml:space="preserve">. </w:t>
      </w:r>
      <w:r w:rsidR="007E7067" w:rsidRPr="00C01F26">
        <w:t xml:space="preserve"> He argues </w:t>
      </w:r>
      <w:r w:rsidR="00461874">
        <w:t xml:space="preserve">that </w:t>
      </w:r>
      <w:r w:rsidR="004458B0">
        <w:t>(1) </w:t>
      </w:r>
      <w:r w:rsidR="007E7067" w:rsidRPr="00C01F26">
        <w:t>the</w:t>
      </w:r>
      <w:r w:rsidR="00445BCD" w:rsidRPr="00C01F26">
        <w:t xml:space="preserve"> court </w:t>
      </w:r>
      <w:r w:rsidR="004458B0">
        <w:t>failed to</w:t>
      </w:r>
      <w:r w:rsidR="00445BCD" w:rsidRPr="00C01F26">
        <w:t xml:space="preserve"> comply with </w:t>
      </w:r>
      <w:r w:rsidR="00B65CFE" w:rsidRPr="00C01F26">
        <w:t>various</w:t>
      </w:r>
      <w:r w:rsidR="00C906A9" w:rsidRPr="00C01F26">
        <w:t xml:space="preserve"> standards articulated in </w:t>
      </w:r>
      <w:r w:rsidR="00C906A9" w:rsidRPr="00C01F26">
        <w:rPr>
          <w:i/>
          <w:iCs/>
        </w:rPr>
        <w:t xml:space="preserve">In re Humphrey </w:t>
      </w:r>
      <w:r w:rsidR="00C906A9" w:rsidRPr="00C01F26">
        <w:t>(2021) 11 Cal.5th 135 (</w:t>
      </w:r>
      <w:r w:rsidR="00C906A9" w:rsidRPr="00C01F26">
        <w:rPr>
          <w:i/>
          <w:iCs/>
        </w:rPr>
        <w:t>Humphrey</w:t>
      </w:r>
      <w:r w:rsidR="00C906A9" w:rsidRPr="00C01F26">
        <w:t>)</w:t>
      </w:r>
      <w:r w:rsidR="004458B0">
        <w:t>;</w:t>
      </w:r>
      <w:r w:rsidR="00C906A9" w:rsidRPr="00C01F26">
        <w:t xml:space="preserve"> </w:t>
      </w:r>
      <w:r w:rsidR="004458B0">
        <w:t>(2) </w:t>
      </w:r>
      <w:r w:rsidR="00E22374" w:rsidRPr="00C01F26">
        <w:t xml:space="preserve">insufficient evidence </w:t>
      </w:r>
      <w:r w:rsidR="0044384D" w:rsidRPr="00C01F26">
        <w:t>support</w:t>
      </w:r>
      <w:r w:rsidR="00461874">
        <w:t>ed</w:t>
      </w:r>
      <w:r w:rsidR="0044384D" w:rsidRPr="00C01F26">
        <w:t xml:space="preserve"> the denial </w:t>
      </w:r>
      <w:r w:rsidR="00C906A9" w:rsidRPr="00C01F26">
        <w:t xml:space="preserve">of bail </w:t>
      </w:r>
      <w:r w:rsidR="0044384D" w:rsidRPr="00C01F26">
        <w:t>under</w:t>
      </w:r>
      <w:r w:rsidR="00E22374" w:rsidRPr="00C01F26">
        <w:t xml:space="preserve"> the</w:t>
      </w:r>
      <w:r w:rsidR="0044384D" w:rsidRPr="00C01F26">
        <w:t xml:space="preserve"> standards articulated in </w:t>
      </w:r>
      <w:r w:rsidR="0044384D" w:rsidRPr="00C01F26">
        <w:rPr>
          <w:i/>
          <w:iCs/>
        </w:rPr>
        <w:t>Humphrey</w:t>
      </w:r>
      <w:r w:rsidR="0044384D" w:rsidRPr="00C01F26">
        <w:t xml:space="preserve"> and article</w:t>
      </w:r>
      <w:r w:rsidR="006D2487" w:rsidRPr="00C01F26">
        <w:t> </w:t>
      </w:r>
      <w:r w:rsidR="0044384D" w:rsidRPr="00C01F26">
        <w:t>I, section 12, subdivision</w:t>
      </w:r>
      <w:r w:rsidR="006D2487" w:rsidRPr="00C01F26">
        <w:t> </w:t>
      </w:r>
      <w:r w:rsidR="0044384D" w:rsidRPr="00C01F26">
        <w:t xml:space="preserve">(b) of the California </w:t>
      </w:r>
      <w:r w:rsidR="00440D45" w:rsidRPr="00C01F26">
        <w:t>Constitution</w:t>
      </w:r>
      <w:bookmarkStart w:id="2" w:name="_Hlk85538617"/>
      <w:r w:rsidR="004458B0">
        <w:t>;</w:t>
      </w:r>
      <w:r w:rsidR="00C906A9" w:rsidRPr="00C01F26">
        <w:t xml:space="preserve"> and </w:t>
      </w:r>
      <w:r w:rsidR="004458B0">
        <w:t>(3) </w:t>
      </w:r>
      <w:r w:rsidR="00C906A9" w:rsidRPr="00C01F26">
        <w:t xml:space="preserve">the court abused its discretion </w:t>
      </w:r>
      <w:r w:rsidR="004458B0">
        <w:t>in</w:t>
      </w:r>
      <w:r w:rsidR="00C906A9" w:rsidRPr="00C01F26">
        <w:t xml:space="preserve"> denying bail</w:t>
      </w:r>
      <w:r w:rsidR="007E7067" w:rsidRPr="00C01F26">
        <w:t xml:space="preserve">. </w:t>
      </w:r>
      <w:r w:rsidR="001A7B97" w:rsidRPr="00C01F26">
        <w:t xml:space="preserve"> </w:t>
      </w:r>
      <w:bookmarkEnd w:id="2"/>
      <w:r w:rsidR="001A7B97" w:rsidRPr="00C01F26">
        <w:t xml:space="preserve">He also requests attorney fees </w:t>
      </w:r>
      <w:r w:rsidR="00DF3C40" w:rsidRPr="00C01F26">
        <w:t xml:space="preserve">and costs </w:t>
      </w:r>
      <w:r w:rsidR="001A7B97" w:rsidRPr="00C01F26">
        <w:t>pursuant to Code of Civil Procedure section</w:t>
      </w:r>
      <w:r w:rsidR="00FC1028">
        <w:t> </w:t>
      </w:r>
      <w:r w:rsidR="001A7B97" w:rsidRPr="00C01F26">
        <w:t xml:space="preserve">1021.5. </w:t>
      </w:r>
      <w:bookmarkEnd w:id="1"/>
      <w:r w:rsidR="009A34F9" w:rsidRPr="00C01F26">
        <w:t xml:space="preserve"> </w:t>
      </w:r>
      <w:r w:rsidR="00170319" w:rsidRPr="00C01F26">
        <w:t>W</w:t>
      </w:r>
      <w:r w:rsidR="009A34F9" w:rsidRPr="00C01F26">
        <w:t xml:space="preserve">e conclude </w:t>
      </w:r>
      <w:r w:rsidR="004458B0">
        <w:t xml:space="preserve">a remand is necessary because </w:t>
      </w:r>
      <w:r w:rsidR="009A34F9" w:rsidRPr="00C01F26">
        <w:t>the court</w:t>
      </w:r>
      <w:r w:rsidR="009A34F9" w:rsidRPr="005201FA">
        <w:t xml:space="preserve"> </w:t>
      </w:r>
      <w:r w:rsidR="00461874">
        <w:t xml:space="preserve">erred in </w:t>
      </w:r>
      <w:r w:rsidR="009A34F9" w:rsidRPr="005201FA">
        <w:t>fail</w:t>
      </w:r>
      <w:r w:rsidR="00461874">
        <w:t>ing</w:t>
      </w:r>
      <w:r w:rsidR="009A34F9" w:rsidRPr="005201FA">
        <w:t xml:space="preserve"> to </w:t>
      </w:r>
      <w:r w:rsidR="000603A0" w:rsidRPr="005201FA">
        <w:t>set out reasons</w:t>
      </w:r>
      <w:r w:rsidR="009F0AFF" w:rsidRPr="005201FA">
        <w:t xml:space="preserve"> on the record</w:t>
      </w:r>
      <w:r w:rsidR="000603A0" w:rsidRPr="005201FA">
        <w:t xml:space="preserve"> why </w:t>
      </w:r>
      <w:r w:rsidR="0027590F">
        <w:t xml:space="preserve">less restrictive </w:t>
      </w:r>
      <w:r w:rsidR="00563F9F">
        <w:t>alternatives to detention</w:t>
      </w:r>
      <w:r w:rsidR="00AF4396">
        <w:t xml:space="preserve"> </w:t>
      </w:r>
      <w:r w:rsidR="000603A0" w:rsidRPr="005201FA">
        <w:t>could not reasonably protect the</w:t>
      </w:r>
      <w:r w:rsidR="00050804" w:rsidRPr="005201FA">
        <w:t xml:space="preserve"> </w:t>
      </w:r>
      <w:r w:rsidR="00F419D9">
        <w:t>government</w:t>
      </w:r>
      <w:r w:rsidR="00050804" w:rsidRPr="005201FA">
        <w:t>’s</w:t>
      </w:r>
      <w:r w:rsidR="000603A0" w:rsidRPr="005201FA">
        <w:t xml:space="preserve"> interests in public or victim safety</w:t>
      </w:r>
      <w:r w:rsidR="007C2B08" w:rsidRPr="005201FA">
        <w:t>,</w:t>
      </w:r>
      <w:r w:rsidR="000603A0" w:rsidRPr="005201FA">
        <w:t xml:space="preserve"> and </w:t>
      </w:r>
      <w:r w:rsidR="004458B0">
        <w:t xml:space="preserve">in failing </w:t>
      </w:r>
      <w:r w:rsidR="000603A0" w:rsidRPr="005201FA">
        <w:t>to include th</w:t>
      </w:r>
      <w:r w:rsidR="00AF4396">
        <w:t>ose reasons</w:t>
      </w:r>
      <w:r w:rsidR="000603A0" w:rsidRPr="005201FA">
        <w:t xml:space="preserve"> in the minutes.</w:t>
      </w:r>
    </w:p>
    <w:p w14:paraId="545606A3" w14:textId="67CC55E1" w:rsidR="0088495E" w:rsidRPr="00CC7CEB" w:rsidRDefault="00FC510F" w:rsidP="003D3F75">
      <w:pPr>
        <w:keepNext/>
        <w:spacing w:line="360" w:lineRule="auto"/>
        <w:jc w:val="center"/>
        <w:rPr>
          <w:b/>
          <w:bCs/>
          <w:smallCaps/>
        </w:rPr>
      </w:pPr>
      <w:r w:rsidRPr="00CC7CEB">
        <w:rPr>
          <w:b/>
          <w:bCs/>
          <w:smallCaps/>
        </w:rPr>
        <w:t>Factual and Procedural Background</w:t>
      </w:r>
    </w:p>
    <w:p w14:paraId="0D746D5C" w14:textId="53D94FB4" w:rsidR="002A5E88" w:rsidRDefault="00FC510F" w:rsidP="00DC0D2D">
      <w:pPr>
        <w:spacing w:line="360" w:lineRule="auto"/>
      </w:pPr>
      <w:r w:rsidRPr="00CC7CEB">
        <w:tab/>
      </w:r>
      <w:r w:rsidR="003F1F60" w:rsidRPr="00CC7CEB">
        <w:t>Petitioner</w:t>
      </w:r>
      <w:r w:rsidR="00DA435C" w:rsidRPr="00CC7CEB">
        <w:t xml:space="preserve">, now in his </w:t>
      </w:r>
      <w:r w:rsidR="00DA435C" w:rsidRPr="00C01F26">
        <w:t>mid-fifties,</w:t>
      </w:r>
      <w:r w:rsidR="003F1F60" w:rsidRPr="00C01F26">
        <w:t xml:space="preserve"> </w:t>
      </w:r>
      <w:r w:rsidR="00461874">
        <w:t>i</w:t>
      </w:r>
      <w:r w:rsidR="00E810EF" w:rsidRPr="00C01F26">
        <w:t xml:space="preserve">s </w:t>
      </w:r>
      <w:r w:rsidR="00B40EED" w:rsidRPr="00C01F26">
        <w:t>implicated</w:t>
      </w:r>
      <w:r w:rsidR="00E810EF" w:rsidRPr="00C01F26">
        <w:t xml:space="preserve"> as the perpetrator of a violent rape</w:t>
      </w:r>
      <w:r w:rsidR="00B40EED" w:rsidRPr="00C01F26">
        <w:t xml:space="preserve"> that occurred in </w:t>
      </w:r>
      <w:r w:rsidR="00CA1C82" w:rsidRPr="00C01F26">
        <w:t xml:space="preserve">March </w:t>
      </w:r>
      <w:r w:rsidR="00B40EED" w:rsidRPr="00C01F26">
        <w:t>1989</w:t>
      </w:r>
      <w:r w:rsidR="00E810EF" w:rsidRPr="00C01F26">
        <w:t>.</w:t>
      </w:r>
      <w:r w:rsidR="00B40EED" w:rsidRPr="00C01F26">
        <w:t xml:space="preserve">  </w:t>
      </w:r>
      <w:r w:rsidR="003139C1" w:rsidRPr="00C01F26">
        <w:t xml:space="preserve">The </w:t>
      </w:r>
      <w:r w:rsidR="009F0AFF" w:rsidRPr="00C01F26">
        <w:t>underlying facts</w:t>
      </w:r>
      <w:r w:rsidR="003139C1" w:rsidRPr="00C01F26">
        <w:t xml:space="preserve"> are </w:t>
      </w:r>
      <w:r w:rsidR="00E75A35">
        <w:t xml:space="preserve">detailed </w:t>
      </w:r>
      <w:r>
        <w:t>below.</w:t>
      </w:r>
    </w:p>
    <w:p w14:paraId="7D9080DD" w14:textId="53017989" w:rsidR="00DC0D2D" w:rsidRDefault="00FC510F" w:rsidP="003A2066">
      <w:pPr>
        <w:spacing w:line="360" w:lineRule="auto"/>
        <w:ind w:firstLine="720"/>
      </w:pPr>
      <w:r>
        <w:lastRenderedPageBreak/>
        <w:t>T</w:t>
      </w:r>
      <w:r w:rsidR="00B40EED" w:rsidRPr="00C01F26">
        <w:t>he victim wok</w:t>
      </w:r>
      <w:r w:rsidR="003139C1" w:rsidRPr="00C01F26">
        <w:t>e</w:t>
      </w:r>
      <w:r w:rsidR="00B40EED" w:rsidRPr="00C01F26">
        <w:t xml:space="preserve"> up in her apartment</w:t>
      </w:r>
      <w:r w:rsidR="00D803DA" w:rsidRPr="00C01F26">
        <w:t xml:space="preserve"> </w:t>
      </w:r>
      <w:r w:rsidR="00B52500" w:rsidRPr="00C01F26">
        <w:t>with</w:t>
      </w:r>
      <w:r w:rsidR="00D803DA" w:rsidRPr="00C01F26">
        <w:t xml:space="preserve"> scarves</w:t>
      </w:r>
      <w:r w:rsidR="00B52500" w:rsidRPr="00C01F26">
        <w:t xml:space="preserve"> tied around her ankles</w:t>
      </w:r>
      <w:r w:rsidR="00D803DA" w:rsidRPr="00C01F26">
        <w:t>.  The perpetrator</w:t>
      </w:r>
      <w:r w:rsidR="00EC38F6" w:rsidRPr="00C01F26">
        <w:t xml:space="preserve"> </w:t>
      </w:r>
      <w:r w:rsidR="00D803DA" w:rsidRPr="00C01F26">
        <w:t xml:space="preserve">had scarves tied around his </w:t>
      </w:r>
      <w:r w:rsidR="00076DB2" w:rsidRPr="00C01F26">
        <w:t xml:space="preserve">own </w:t>
      </w:r>
      <w:r w:rsidR="00D803DA" w:rsidRPr="00C01F26">
        <w:t>forehead and mouth</w:t>
      </w:r>
      <w:r w:rsidR="00A016E2" w:rsidRPr="00C01F26">
        <w:t>, and he</w:t>
      </w:r>
      <w:r w:rsidR="00E63305" w:rsidRPr="00C01F26">
        <w:t xml:space="preserve"> tied bandana</w:t>
      </w:r>
      <w:r w:rsidR="00B52500" w:rsidRPr="00C01F26">
        <w:t>s</w:t>
      </w:r>
      <w:r w:rsidR="00E63305" w:rsidRPr="00C01F26">
        <w:t xml:space="preserve"> </w:t>
      </w:r>
      <w:r w:rsidR="00461874">
        <w:t xml:space="preserve">tightly </w:t>
      </w:r>
      <w:r w:rsidR="00E63305" w:rsidRPr="00C01F26">
        <w:t xml:space="preserve">around </w:t>
      </w:r>
      <w:r w:rsidR="00076DB2" w:rsidRPr="00C01F26">
        <w:t xml:space="preserve">the </w:t>
      </w:r>
      <w:r w:rsidR="006275D1" w:rsidRPr="00C01F26">
        <w:t>victim’s</w:t>
      </w:r>
      <w:r w:rsidR="00E63305" w:rsidRPr="00C01F26">
        <w:t xml:space="preserve"> eyes</w:t>
      </w:r>
      <w:r w:rsidR="00B52500" w:rsidRPr="00C01F26">
        <w:t xml:space="preserve"> and neck</w:t>
      </w:r>
      <w:r w:rsidR="005C6D8F" w:rsidRPr="00C01F26">
        <w:t>.</w:t>
      </w:r>
      <w:r w:rsidR="00D803DA" w:rsidRPr="00C01F26">
        <w:t xml:space="preserve">  </w:t>
      </w:r>
      <w:r w:rsidR="00930BCC">
        <w:t>The perpetrator</w:t>
      </w:r>
      <w:r w:rsidR="00B52500" w:rsidRPr="00C01F26">
        <w:t xml:space="preserve"> raped the victim, </w:t>
      </w:r>
      <w:r w:rsidR="00930BCC">
        <w:t>after which</w:t>
      </w:r>
      <w:r w:rsidR="00664374" w:rsidRPr="00C01F26">
        <w:t xml:space="preserve"> </w:t>
      </w:r>
      <w:r w:rsidR="00930BCC">
        <w:t xml:space="preserve">he </w:t>
      </w:r>
      <w:r w:rsidR="00664374" w:rsidRPr="00C01F26">
        <w:t xml:space="preserve">strangled </w:t>
      </w:r>
      <w:r w:rsidR="00DC7417" w:rsidRPr="00C01F26">
        <w:t>her</w:t>
      </w:r>
      <w:r w:rsidR="00930BCC">
        <w:t xml:space="preserve"> and</w:t>
      </w:r>
      <w:r w:rsidR="00BC2417" w:rsidRPr="00C01F26">
        <w:t xml:space="preserve"> </w:t>
      </w:r>
      <w:r w:rsidR="00704952" w:rsidRPr="00C01F26">
        <w:t xml:space="preserve">sawed </w:t>
      </w:r>
      <w:r w:rsidR="00664374" w:rsidRPr="00C01F26">
        <w:t>and slashed at her</w:t>
      </w:r>
      <w:r w:rsidR="00BC2417" w:rsidRPr="00C01F26">
        <w:t xml:space="preserve"> neck</w:t>
      </w:r>
      <w:r w:rsidR="001D43DF" w:rsidRPr="00C01F26">
        <w:t xml:space="preserve"> with a serrated knife</w:t>
      </w:r>
      <w:r w:rsidR="00461874">
        <w:t xml:space="preserve">.  </w:t>
      </w:r>
      <w:r w:rsidR="00930BCC">
        <w:t xml:space="preserve">As </w:t>
      </w:r>
      <w:r w:rsidR="001D5B03">
        <w:t>the perpetrator</w:t>
      </w:r>
      <w:r w:rsidR="00930BCC">
        <w:t xml:space="preserve"> struggled with the </w:t>
      </w:r>
      <w:r w:rsidR="001D5B03">
        <w:t>victim</w:t>
      </w:r>
      <w:r w:rsidR="00BC2417" w:rsidRPr="00C01F26">
        <w:t xml:space="preserve"> </w:t>
      </w:r>
      <w:r w:rsidR="00930BCC">
        <w:t xml:space="preserve">he </w:t>
      </w:r>
      <w:r w:rsidR="00664374" w:rsidRPr="00C01F26">
        <w:t xml:space="preserve">threatened to cut out her eye and </w:t>
      </w:r>
      <w:r w:rsidR="00BC2417" w:rsidRPr="00C01F26">
        <w:t>tried to stab her</w:t>
      </w:r>
      <w:r w:rsidR="00E84171" w:rsidRPr="00C01F26">
        <w:t xml:space="preserve"> repeatedly</w:t>
      </w:r>
      <w:r w:rsidR="00A7709E" w:rsidRPr="00C01F26">
        <w:t xml:space="preserve"> </w:t>
      </w:r>
      <w:r w:rsidR="00280B45" w:rsidRPr="00C01F26">
        <w:t xml:space="preserve">in the back </w:t>
      </w:r>
      <w:r w:rsidR="00A7709E" w:rsidRPr="00C01F26">
        <w:t xml:space="preserve">but was </w:t>
      </w:r>
      <w:r w:rsidR="00A7709E" w:rsidRPr="009D2EC9">
        <w:t>unsuccessful due to the bluntness of the knife</w:t>
      </w:r>
      <w:r w:rsidR="00BC2417" w:rsidRPr="009D2EC9">
        <w:t xml:space="preserve">.  </w:t>
      </w:r>
      <w:bookmarkStart w:id="3" w:name="_Hlk81218305"/>
      <w:r w:rsidR="0030680F" w:rsidRPr="009D2EC9">
        <w:t xml:space="preserve">The victim pleaded with the perpetrator to leave, saying </w:t>
      </w:r>
      <w:r w:rsidR="00930BCC" w:rsidRPr="009D2EC9">
        <w:t xml:space="preserve">that </w:t>
      </w:r>
      <w:r w:rsidR="0030680F" w:rsidRPr="009D2EC9">
        <w:t>she would count to 100 before calling the police</w:t>
      </w:r>
      <w:r w:rsidR="000160C0" w:rsidRPr="009D2EC9">
        <w:t xml:space="preserve">, but defendant </w:t>
      </w:r>
      <w:r w:rsidR="007D3B60" w:rsidRPr="009D2EC9">
        <w:t>responded</w:t>
      </w:r>
      <w:r w:rsidR="000160C0" w:rsidRPr="009D2EC9">
        <w:t xml:space="preserve"> that he could not trust her not to call police. </w:t>
      </w:r>
      <w:r w:rsidR="001373B0" w:rsidRPr="009D2EC9">
        <w:t xml:space="preserve"> </w:t>
      </w:r>
      <w:r w:rsidR="000160C0" w:rsidRPr="009D2EC9">
        <w:t xml:space="preserve">She </w:t>
      </w:r>
      <w:r w:rsidR="001720DD" w:rsidRPr="009D2EC9">
        <w:t>the</w:t>
      </w:r>
      <w:r w:rsidR="00730B86" w:rsidRPr="009D2EC9">
        <w:t>n</w:t>
      </w:r>
      <w:r w:rsidR="001720DD" w:rsidRPr="009D2EC9">
        <w:t xml:space="preserve"> </w:t>
      </w:r>
      <w:r w:rsidR="000160C0" w:rsidRPr="009D2EC9">
        <w:t>told him</w:t>
      </w:r>
      <w:r w:rsidR="0030680F" w:rsidRPr="009D2EC9">
        <w:t xml:space="preserve"> he could unplug the phone to slow her down.  </w:t>
      </w:r>
      <w:r w:rsidR="00704952" w:rsidRPr="009D2EC9">
        <w:t>Ultimately, t</w:t>
      </w:r>
      <w:r w:rsidR="00E84171" w:rsidRPr="009D2EC9">
        <w:t xml:space="preserve">he victim </w:t>
      </w:r>
      <w:r w:rsidR="00EC38F6" w:rsidRPr="009D2EC9">
        <w:t>managed to</w:t>
      </w:r>
      <w:r w:rsidR="00E84171" w:rsidRPr="009D2EC9">
        <w:t xml:space="preserve"> convince </w:t>
      </w:r>
      <w:r w:rsidR="00930BCC" w:rsidRPr="009D2EC9">
        <w:t>him</w:t>
      </w:r>
      <w:r w:rsidR="00E84171" w:rsidRPr="009D2EC9">
        <w:t xml:space="preserve"> to leave.  </w:t>
      </w:r>
      <w:bookmarkEnd w:id="3"/>
      <w:r w:rsidR="00076DB2" w:rsidRPr="009D2EC9">
        <w:t>The perpetrator</w:t>
      </w:r>
      <w:r w:rsidR="00E84171" w:rsidRPr="009D2EC9">
        <w:t xml:space="preserve"> left several scarves </w:t>
      </w:r>
      <w:r w:rsidRPr="009D2EC9">
        <w:t xml:space="preserve">behind </w:t>
      </w:r>
      <w:r w:rsidR="00E84171" w:rsidRPr="009D2EC9">
        <w:t>at the</w:t>
      </w:r>
      <w:r w:rsidR="00E84171" w:rsidRPr="00C01F26">
        <w:t xml:space="preserve"> crime scene, including one with a floral design and border.  </w:t>
      </w:r>
      <w:r w:rsidR="00DD3E98" w:rsidRPr="00C01F26">
        <w:t>T</w:t>
      </w:r>
      <w:r w:rsidR="00E84171" w:rsidRPr="00C01F26">
        <w:t xml:space="preserve">he perpetrator’s </w:t>
      </w:r>
      <w:r w:rsidR="00607AC9">
        <w:t>deoxyribonucleic</w:t>
      </w:r>
      <w:r>
        <w:t xml:space="preserve"> acid (</w:t>
      </w:r>
      <w:r w:rsidR="00E84171" w:rsidRPr="00C01F26">
        <w:t>DNA</w:t>
      </w:r>
      <w:r>
        <w:t>)</w:t>
      </w:r>
      <w:r w:rsidR="00CA1C82" w:rsidRPr="00C01F26">
        <w:t>—</w:t>
      </w:r>
      <w:r w:rsidR="00EC38F6" w:rsidRPr="00C01F26">
        <w:t>obtained from one of the scarves</w:t>
      </w:r>
      <w:r w:rsidR="00CA1C82" w:rsidRPr="00C01F26">
        <w:t xml:space="preserve"> at the crime scene and a vaginal swab from the victim—</w:t>
      </w:r>
      <w:r w:rsidR="00930BCC">
        <w:t xml:space="preserve">was found to </w:t>
      </w:r>
      <w:r w:rsidR="00CA1C82" w:rsidRPr="00C01F26">
        <w:t>match petitioner’s</w:t>
      </w:r>
      <w:r w:rsidR="00EC38F6" w:rsidRPr="00C01F26">
        <w:t xml:space="preserve">. </w:t>
      </w:r>
    </w:p>
    <w:p w14:paraId="7373C423" w14:textId="7AA05A80" w:rsidR="009F0AFF" w:rsidRPr="00C01F26" w:rsidRDefault="00FC510F" w:rsidP="009F0AFF">
      <w:pPr>
        <w:spacing w:line="360" w:lineRule="auto"/>
      </w:pPr>
      <w:r>
        <w:tab/>
      </w:r>
      <w:r w:rsidR="004837DA">
        <w:t>In February 2021, the</w:t>
      </w:r>
      <w:r w:rsidRPr="00CC7CEB">
        <w:t xml:space="preserve"> People filed a complaint charging petit</w:t>
      </w:r>
      <w:r w:rsidRPr="00CC7CEB">
        <w:t>ioner with attempted willful, deliberate, and premeditated murder (Pen</w:t>
      </w:r>
      <w:r w:rsidR="002A5E88">
        <w:t>.</w:t>
      </w:r>
      <w:r w:rsidRPr="00CC7CEB">
        <w:t xml:space="preserve"> Code, </w:t>
      </w:r>
      <w:r w:rsidRPr="003A2066">
        <w:t>§§ 664</w:t>
      </w:r>
      <w:r w:rsidR="002A5E88" w:rsidRPr="003A2066">
        <w:t xml:space="preserve">, subd. (a), </w:t>
      </w:r>
      <w:r w:rsidRPr="003A2066">
        <w:t>187, subd. (a)</w:t>
      </w:r>
      <w:r w:rsidR="004837DA" w:rsidRPr="003A2066">
        <w:t>, 189</w:t>
      </w:r>
      <w:r w:rsidRPr="00CC7CEB">
        <w:t>)</w:t>
      </w:r>
      <w:r>
        <w:rPr>
          <w:rStyle w:val="FootnoteReference"/>
        </w:rPr>
        <w:footnoteReference w:id="1"/>
      </w:r>
      <w:r w:rsidRPr="00CC7CEB">
        <w:t>, and aggravated mayhem (§ 205).  As to both counts, the People alleged petitioner used a</w:t>
      </w:r>
      <w:r w:rsidR="000A425F" w:rsidRPr="000A425F">
        <w:t xml:space="preserve"> deadly or dangerous weapon</w:t>
      </w:r>
      <w:r w:rsidR="000A425F">
        <w:t>, a</w:t>
      </w:r>
      <w:r w:rsidRPr="00CC7CEB">
        <w:t xml:space="preserve"> knife</w:t>
      </w:r>
      <w:r>
        <w:t xml:space="preserve">. </w:t>
      </w:r>
      <w:r w:rsidRPr="00CC7CEB">
        <w:t xml:space="preserve"> </w:t>
      </w:r>
      <w:r>
        <w:t>A</w:t>
      </w:r>
      <w:r w:rsidRPr="00CC7CEB">
        <w:t>s to the attempted murder count alone, the</w:t>
      </w:r>
      <w:r>
        <w:t xml:space="preserve"> People</w:t>
      </w:r>
      <w:r w:rsidRPr="00CC7CEB">
        <w:t xml:space="preserve"> alleged petitioner</w:t>
      </w:r>
      <w:r>
        <w:t xml:space="preserve"> </w:t>
      </w:r>
      <w:r w:rsidRPr="00CC7CEB">
        <w:t xml:space="preserve">inflicted great bodily </w:t>
      </w:r>
      <w:r w:rsidRPr="00C01F26">
        <w:t xml:space="preserve">injury. </w:t>
      </w:r>
    </w:p>
    <w:p w14:paraId="7000535D" w14:textId="74BCE99E" w:rsidR="004C6BA4" w:rsidRPr="00C01F26" w:rsidRDefault="00FC510F" w:rsidP="00DC0D2D">
      <w:pPr>
        <w:spacing w:line="360" w:lineRule="auto"/>
      </w:pPr>
      <w:bookmarkStart w:id="4" w:name="_Hlk82089135"/>
      <w:r w:rsidRPr="00C01F26">
        <w:tab/>
      </w:r>
      <w:r w:rsidR="00AF4549" w:rsidRPr="00C01F26">
        <w:t>The same day the complaint</w:t>
      </w:r>
      <w:r w:rsidR="00DD3E98" w:rsidRPr="00C01F26">
        <w:t xml:space="preserve"> </w:t>
      </w:r>
      <w:r w:rsidR="00AF4549" w:rsidRPr="00C01F26">
        <w:t>was filed, t</w:t>
      </w:r>
      <w:r w:rsidR="005D5054" w:rsidRPr="00C01F26">
        <w:t>he</w:t>
      </w:r>
      <w:r w:rsidR="00006BCD" w:rsidRPr="00C01F26">
        <w:t xml:space="preserve"> trial</w:t>
      </w:r>
      <w:r w:rsidR="005D5054" w:rsidRPr="00C01F26">
        <w:t xml:space="preserve"> </w:t>
      </w:r>
      <w:r w:rsidR="005114C0" w:rsidRPr="00C01F26">
        <w:t>court</w:t>
      </w:r>
      <w:r w:rsidR="005D5054" w:rsidRPr="00C01F26">
        <w:t xml:space="preserve"> </w:t>
      </w:r>
      <w:r w:rsidR="00B650BA" w:rsidRPr="00C01F26">
        <w:t xml:space="preserve">appointed counsel </w:t>
      </w:r>
      <w:r w:rsidR="00C0436A" w:rsidRPr="00C01F26">
        <w:t xml:space="preserve">and </w:t>
      </w:r>
      <w:r w:rsidR="005D5054" w:rsidRPr="00C01F26">
        <w:t>set bail at $</w:t>
      </w:r>
      <w:r w:rsidR="00C0436A" w:rsidRPr="00C01F26">
        <w:t>5</w:t>
      </w:r>
      <w:r w:rsidR="002F54AC" w:rsidRPr="00C01F26">
        <w:t xml:space="preserve"> million</w:t>
      </w:r>
      <w:r w:rsidR="005D5054" w:rsidRPr="00C01F26">
        <w:t>.</w:t>
      </w:r>
      <w:r w:rsidR="00CF6B69" w:rsidRPr="00C01F26">
        <w:t xml:space="preserve"> </w:t>
      </w:r>
      <w:r w:rsidR="00C21EA4" w:rsidRPr="00C01F26">
        <w:t xml:space="preserve"> </w:t>
      </w:r>
      <w:bookmarkStart w:id="5" w:name="_Hlk86142729"/>
      <w:r w:rsidR="00EA2A8B" w:rsidRPr="00C01F26">
        <w:t>Bail was set despite the fact th</w:t>
      </w:r>
      <w:r w:rsidR="00435687" w:rsidRPr="00C01F26">
        <w:t xml:space="preserve">e probation department </w:t>
      </w:r>
      <w:r w:rsidR="005E148B" w:rsidRPr="00C01F26">
        <w:t>submitted</w:t>
      </w:r>
      <w:r w:rsidR="00435687" w:rsidRPr="00C01F26">
        <w:t xml:space="preserve"> </w:t>
      </w:r>
      <w:r w:rsidR="00EA2A8B" w:rsidRPr="00C01F26">
        <w:t>a “pretrial services court report”</w:t>
      </w:r>
      <w:r w:rsidR="00AF4549" w:rsidRPr="00C01F26">
        <w:t xml:space="preserve"> </w:t>
      </w:r>
      <w:r w:rsidR="009531C3">
        <w:t>indicating</w:t>
      </w:r>
      <w:r w:rsidR="00435687" w:rsidRPr="00C01F26">
        <w:t xml:space="preserve"> </w:t>
      </w:r>
      <w:r w:rsidR="009531C3">
        <w:t>that</w:t>
      </w:r>
      <w:r w:rsidR="00A4667D">
        <w:t xml:space="preserve"> </w:t>
      </w:r>
      <w:r w:rsidR="00A4667D">
        <w:lastRenderedPageBreak/>
        <w:t>petitioner</w:t>
      </w:r>
      <w:r w:rsidR="00435687" w:rsidRPr="00C01F26">
        <w:t xml:space="preserve"> </w:t>
      </w:r>
      <w:r w:rsidR="00A4667D">
        <w:t>appeared to be</w:t>
      </w:r>
      <w:r w:rsidR="00435687" w:rsidRPr="00C01F26">
        <w:t xml:space="preserve"> an appropriate candidate for release on his own recognizance with enhanced monitoring</w:t>
      </w:r>
      <w:r w:rsidR="00A4667D">
        <w:t>.</w:t>
      </w:r>
      <w:r>
        <w:rPr>
          <w:rStyle w:val="FootnoteReference"/>
        </w:rPr>
        <w:footnoteReference w:id="2"/>
      </w:r>
      <w:r w:rsidR="00A4667D" w:rsidRPr="00C01F26">
        <w:t xml:space="preserve"> </w:t>
      </w:r>
      <w:bookmarkEnd w:id="5"/>
    </w:p>
    <w:bookmarkEnd w:id="4"/>
    <w:p w14:paraId="35A13369" w14:textId="020AF71C" w:rsidR="00964A27" w:rsidRPr="00C01F26" w:rsidRDefault="00FC510F" w:rsidP="00DC0D2D">
      <w:pPr>
        <w:spacing w:line="360" w:lineRule="auto"/>
      </w:pPr>
      <w:r w:rsidRPr="00C01F26">
        <w:tab/>
        <w:t>On April 16, 2021,</w:t>
      </w:r>
      <w:r w:rsidR="00F65857" w:rsidRPr="00C01F26">
        <w:t xml:space="preserve"> </w:t>
      </w:r>
      <w:r w:rsidRPr="00C01F26">
        <w:t>petitioner filed a</w:t>
      </w:r>
      <w:r w:rsidR="005A5339" w:rsidRPr="00C01F26">
        <w:t xml:space="preserve"> bail</w:t>
      </w:r>
      <w:r w:rsidRPr="00C01F26">
        <w:t xml:space="preserve"> motion</w:t>
      </w:r>
      <w:r w:rsidR="00F65857" w:rsidRPr="00C01F26">
        <w:t xml:space="preserve">. </w:t>
      </w:r>
      <w:r w:rsidR="00D81F47" w:rsidRPr="00C01F26">
        <w:t xml:space="preserve"> </w:t>
      </w:r>
      <w:r w:rsidR="009512B1" w:rsidRPr="00C01F26">
        <w:t xml:space="preserve">Relying on </w:t>
      </w:r>
      <w:r w:rsidR="009512B1" w:rsidRPr="00C01F26">
        <w:rPr>
          <w:i/>
          <w:iCs/>
        </w:rPr>
        <w:t>Humphrey</w:t>
      </w:r>
      <w:r w:rsidR="009512B1" w:rsidRPr="00C01F26">
        <w:t xml:space="preserve">, </w:t>
      </w:r>
      <w:r w:rsidR="0027590F" w:rsidRPr="00906753">
        <w:rPr>
          <w:i/>
          <w:iCs/>
        </w:rPr>
        <w:t>supra</w:t>
      </w:r>
      <w:r w:rsidR="0027590F">
        <w:t xml:space="preserve">, </w:t>
      </w:r>
      <w:r w:rsidR="0027590F" w:rsidRPr="00C01F26">
        <w:t>11 Cal.5th 135</w:t>
      </w:r>
      <w:r w:rsidR="0027590F">
        <w:t>,</w:t>
      </w:r>
      <w:r w:rsidR="0027590F" w:rsidRPr="00C01F26">
        <w:t xml:space="preserve"> </w:t>
      </w:r>
      <w:r w:rsidR="009512B1" w:rsidRPr="00C01F26">
        <w:t>p</w:t>
      </w:r>
      <w:r w:rsidR="00A73EB2" w:rsidRPr="00C01F26">
        <w:t>etitioner argued</w:t>
      </w:r>
      <w:r w:rsidR="00C253DB" w:rsidRPr="00C01F26">
        <w:t xml:space="preserve"> </w:t>
      </w:r>
      <w:r w:rsidR="00793473" w:rsidRPr="00C01F26">
        <w:t xml:space="preserve">he should be released </w:t>
      </w:r>
      <w:r w:rsidR="006E4936" w:rsidRPr="00C01F26">
        <w:t>on his own recognizance</w:t>
      </w:r>
      <w:r w:rsidR="00793473" w:rsidRPr="00C01F26">
        <w:t xml:space="preserve"> because</w:t>
      </w:r>
      <w:r w:rsidR="00565541" w:rsidRPr="00C01F26">
        <w:t xml:space="preserve"> he is indigent, and there is no indication he is a flight or safety risk.  </w:t>
      </w:r>
      <w:r w:rsidR="005E75EA">
        <w:t>Petitioner also contended he was not</w:t>
      </w:r>
      <w:r w:rsidR="00895E42" w:rsidRPr="00C01F26">
        <w:t xml:space="preserve"> a risk</w:t>
      </w:r>
      <w:r w:rsidR="00565541" w:rsidRPr="00C01F26">
        <w:t xml:space="preserve"> </w:t>
      </w:r>
      <w:r w:rsidR="00EB7A85" w:rsidRPr="00C01F26">
        <w:t>to</w:t>
      </w:r>
      <w:r w:rsidR="00565541" w:rsidRPr="00C01F26">
        <w:t xml:space="preserve"> public safety</w:t>
      </w:r>
      <w:r w:rsidR="005E75EA">
        <w:t xml:space="preserve"> because</w:t>
      </w:r>
      <w:r w:rsidR="00793473" w:rsidRPr="00C01F26">
        <w:t xml:space="preserve"> </w:t>
      </w:r>
      <w:r w:rsidR="00A73EB2" w:rsidRPr="00C01F26">
        <w:t>the alleged crime</w:t>
      </w:r>
      <w:r w:rsidR="00367E37" w:rsidRPr="00C01F26">
        <w:t>s</w:t>
      </w:r>
      <w:r w:rsidR="00A73EB2" w:rsidRPr="00C01F26">
        <w:t xml:space="preserve"> occurred over 3</w:t>
      </w:r>
      <w:r w:rsidR="00EB7A85" w:rsidRPr="00C01F26">
        <w:t>2</w:t>
      </w:r>
      <w:r w:rsidR="00A73EB2" w:rsidRPr="00C01F26">
        <w:t xml:space="preserve"> years ago</w:t>
      </w:r>
      <w:r w:rsidR="005E75EA">
        <w:t>;</w:t>
      </w:r>
      <w:r w:rsidR="00A73EB2" w:rsidRPr="00C01F26">
        <w:t xml:space="preserve"> </w:t>
      </w:r>
      <w:r w:rsidR="005E75EA" w:rsidRPr="00C01F26">
        <w:t xml:space="preserve">he had not threatened </w:t>
      </w:r>
      <w:r w:rsidR="005E75EA">
        <w:t xml:space="preserve">or tried to contact </w:t>
      </w:r>
      <w:r w:rsidR="005E75EA" w:rsidRPr="00C01F26">
        <w:t xml:space="preserve">the victim </w:t>
      </w:r>
      <w:r w:rsidR="005E75EA">
        <w:t>since the alleged crime; and</w:t>
      </w:r>
      <w:r w:rsidR="005E75EA" w:rsidRPr="00C01F26">
        <w:t xml:space="preserve"> </w:t>
      </w:r>
      <w:r w:rsidR="00793473" w:rsidRPr="00C01F26">
        <w:t xml:space="preserve">he had a limited criminal history in the </w:t>
      </w:r>
      <w:r w:rsidR="00803DE6" w:rsidRPr="00C01F26">
        <w:t>interim years</w:t>
      </w:r>
      <w:r w:rsidR="00EC5EF5">
        <w:t>.  Moreover</w:t>
      </w:r>
      <w:r w:rsidR="00803DE6" w:rsidRPr="00C01F26">
        <w:t xml:space="preserve">, </w:t>
      </w:r>
      <w:r w:rsidR="00EC5EF5">
        <w:t xml:space="preserve">he noted, </w:t>
      </w:r>
      <w:r w:rsidR="00803DE6" w:rsidRPr="00C01F26">
        <w:t xml:space="preserve">he had community ties and the </w:t>
      </w:r>
      <w:r w:rsidR="00A04066" w:rsidRPr="00C01F26">
        <w:t xml:space="preserve">pretrial services </w:t>
      </w:r>
      <w:r w:rsidR="005075CC">
        <w:t xml:space="preserve">court </w:t>
      </w:r>
      <w:r w:rsidR="00A04066" w:rsidRPr="00C01F26">
        <w:t>report indicated he should be released with nonfinancial conditions</w:t>
      </w:r>
      <w:r w:rsidR="00803DE6" w:rsidRPr="00C01F26">
        <w:t>.</w:t>
      </w:r>
      <w:r w:rsidR="00A73EB2" w:rsidRPr="00C01F26">
        <w:t xml:space="preserve"> </w:t>
      </w:r>
      <w:r w:rsidR="00C253DB" w:rsidRPr="00C01F26">
        <w:t xml:space="preserve"> </w:t>
      </w:r>
      <w:r w:rsidR="00607989" w:rsidRPr="00C01F26">
        <w:t xml:space="preserve">Petitioner’s attorney filed a declaration </w:t>
      </w:r>
      <w:r w:rsidR="00A73EB2" w:rsidRPr="00C01F26">
        <w:t>in support of</w:t>
      </w:r>
      <w:r w:rsidR="00607989" w:rsidRPr="00C01F26">
        <w:t xml:space="preserve"> the motion stating, on information and belief, that petitioner </w:t>
      </w:r>
      <w:r w:rsidR="00B54DD5" w:rsidRPr="00C01F26">
        <w:t>is indigent and unable</w:t>
      </w:r>
      <w:r w:rsidR="00607989" w:rsidRPr="00C01F26">
        <w:t xml:space="preserve"> to </w:t>
      </w:r>
      <w:r w:rsidR="00A04066" w:rsidRPr="00C01F26">
        <w:t>afford</w:t>
      </w:r>
      <w:r w:rsidR="00607989" w:rsidRPr="00C01F26">
        <w:t xml:space="preserve"> bail, as set. </w:t>
      </w:r>
    </w:p>
    <w:p w14:paraId="4345D04F" w14:textId="7DE9587C" w:rsidR="00CA290D" w:rsidRPr="00C01F26" w:rsidRDefault="00FC510F" w:rsidP="00DC0D2D">
      <w:pPr>
        <w:spacing w:line="360" w:lineRule="auto"/>
      </w:pPr>
      <w:r w:rsidRPr="00C01F26">
        <w:tab/>
        <w:t>The People opposed the motion</w:t>
      </w:r>
      <w:r w:rsidR="0029150C">
        <w:t xml:space="preserve"> and made the following proffers of evidence</w:t>
      </w:r>
      <w:r w:rsidR="005F2A26" w:rsidRPr="00C01F26">
        <w:t xml:space="preserve">. </w:t>
      </w:r>
      <w:r w:rsidR="00C253DB" w:rsidRPr="00C01F26">
        <w:t xml:space="preserve"> </w:t>
      </w:r>
      <w:r w:rsidR="00155186">
        <w:t xml:space="preserve">In addition to the aforementioned </w:t>
      </w:r>
      <w:r w:rsidR="00274ACF">
        <w:t>circumstances</w:t>
      </w:r>
      <w:r w:rsidR="00155186">
        <w:t xml:space="preserve"> underlying the offenses, which were recounted by the victim, t</w:t>
      </w:r>
      <w:r w:rsidR="005F2A26" w:rsidRPr="00C01F26">
        <w:t>he doctor who treated the victim after the incident</w:t>
      </w:r>
      <w:r w:rsidR="004B76E5">
        <w:t xml:space="preserve"> observed that</w:t>
      </w:r>
      <w:r w:rsidR="005F2A26" w:rsidRPr="00C01F26">
        <w:t xml:space="preserve"> the laceration to her throat was four to five inches long and four to six millimeters deep</w:t>
      </w:r>
      <w:r w:rsidR="0027590F">
        <w:t>.</w:t>
      </w:r>
      <w:r w:rsidR="00DE4F60" w:rsidRPr="00C01F26">
        <w:t xml:space="preserve"> </w:t>
      </w:r>
      <w:r w:rsidR="00906753">
        <w:t xml:space="preserve"> </w:t>
      </w:r>
      <w:r w:rsidR="0027590F">
        <w:t>H</w:t>
      </w:r>
      <w:r w:rsidR="005F2A26" w:rsidRPr="00C01F26">
        <w:t>ad the cut been “ ‘a hair more’ ” it would have severed the victim’s jugular</w:t>
      </w:r>
      <w:r w:rsidR="0027590F">
        <w:t xml:space="preserve"> and</w:t>
      </w:r>
      <w:r w:rsidR="005F2A26" w:rsidRPr="00C01F26">
        <w:t xml:space="preserve"> likely caus</w:t>
      </w:r>
      <w:r w:rsidR="0027590F">
        <w:t>ed her</w:t>
      </w:r>
      <w:r w:rsidR="005F2A26" w:rsidRPr="00C01F26">
        <w:t xml:space="preserve"> death. </w:t>
      </w:r>
    </w:p>
    <w:p w14:paraId="6E733763" w14:textId="1B1D1857" w:rsidR="00E05A50" w:rsidRPr="00C01F26" w:rsidRDefault="00FC510F" w:rsidP="00DC0D2D">
      <w:pPr>
        <w:spacing w:line="360" w:lineRule="auto"/>
      </w:pPr>
      <w:r w:rsidRPr="00C01F26">
        <w:lastRenderedPageBreak/>
        <w:tab/>
      </w:r>
      <w:r w:rsidR="00367E37" w:rsidRPr="00C01F26">
        <w:t>Furthermore, o</w:t>
      </w:r>
      <w:r w:rsidR="00B241AE" w:rsidRPr="00C01F26">
        <w:t>ne of petitioner’s</w:t>
      </w:r>
      <w:r w:rsidR="005F2A26" w:rsidRPr="00C01F26">
        <w:t xml:space="preserve"> ex-wi</w:t>
      </w:r>
      <w:r w:rsidR="00B241AE" w:rsidRPr="00C01F26">
        <w:t>ves</w:t>
      </w:r>
      <w:r w:rsidR="005F2A26" w:rsidRPr="00C01F26">
        <w:t xml:space="preserve"> told a</w:t>
      </w:r>
      <w:r w:rsidR="001D5B03">
        <w:t xml:space="preserve"> prosecution</w:t>
      </w:r>
      <w:r w:rsidR="005F2A26" w:rsidRPr="00C01F26">
        <w:t xml:space="preserve"> investigator</w:t>
      </w:r>
      <w:r w:rsidR="00F679EF" w:rsidRPr="00C01F26">
        <w:t xml:space="preserve"> </w:t>
      </w:r>
      <w:r w:rsidR="005F2A26" w:rsidRPr="00C01F26">
        <w:t xml:space="preserve">that </w:t>
      </w:r>
      <w:r w:rsidR="004B76E5">
        <w:t>petitioner kept</w:t>
      </w:r>
      <w:r w:rsidR="005F2A26" w:rsidRPr="00C01F26">
        <w:t xml:space="preserve"> a collection of scarves in their garage, and </w:t>
      </w:r>
      <w:r w:rsidR="001F58A9">
        <w:t>that</w:t>
      </w:r>
      <w:r w:rsidR="004B76E5">
        <w:t xml:space="preserve"> he</w:t>
      </w:r>
      <w:r w:rsidR="005F2A26" w:rsidRPr="00C01F26">
        <w:t xml:space="preserve"> told her he used them </w:t>
      </w:r>
      <w:r w:rsidR="00F679EF" w:rsidRPr="00C01F26">
        <w:t xml:space="preserve">“for tying arms and legs on the posts.” </w:t>
      </w:r>
      <w:r w:rsidR="00C9077E" w:rsidRPr="00C01F26">
        <w:t xml:space="preserve"> </w:t>
      </w:r>
      <w:r w:rsidR="009512F8" w:rsidRPr="00C01F26">
        <w:t>One</w:t>
      </w:r>
      <w:r w:rsidR="005F2A26" w:rsidRPr="00C01F26">
        <w:t xml:space="preserve"> ex-girlfriend told an investigator that </w:t>
      </w:r>
      <w:r w:rsidR="006D2487" w:rsidRPr="00C01F26">
        <w:t xml:space="preserve">petitioner </w:t>
      </w:r>
      <w:r w:rsidR="005F2A26" w:rsidRPr="00C01F26">
        <w:t>like</w:t>
      </w:r>
      <w:r w:rsidR="00F679EF" w:rsidRPr="00C01F26">
        <w:t>d</w:t>
      </w:r>
      <w:r w:rsidR="005F2A26" w:rsidRPr="00C01F26">
        <w:t xml:space="preserve"> to tie her up with scarves and </w:t>
      </w:r>
      <w:r w:rsidR="00B241AE" w:rsidRPr="00C01F26">
        <w:t>blindfold her</w:t>
      </w:r>
      <w:r w:rsidR="005F2A26" w:rsidRPr="00C01F26">
        <w:t>,</w:t>
      </w:r>
      <w:r w:rsidR="00B241AE" w:rsidRPr="00C01F26">
        <w:t xml:space="preserve"> and</w:t>
      </w:r>
      <w:r w:rsidR="005F2A26" w:rsidRPr="00C01F26">
        <w:t xml:space="preserve"> th</w:t>
      </w:r>
      <w:r w:rsidR="004B76E5">
        <w:t>at their</w:t>
      </w:r>
      <w:r w:rsidR="005F2A26" w:rsidRPr="00C01F26">
        <w:t xml:space="preserve"> role</w:t>
      </w:r>
      <w:r w:rsidR="004B76E5">
        <w:t>-</w:t>
      </w:r>
      <w:r w:rsidR="005F2A26" w:rsidRPr="00C01F26">
        <w:t>play</w:t>
      </w:r>
      <w:r w:rsidR="004B76E5">
        <w:t>ing</w:t>
      </w:r>
      <w:r w:rsidR="005F2A26" w:rsidRPr="00C01F26">
        <w:t xml:space="preserve"> during sex</w:t>
      </w:r>
      <w:r w:rsidR="004B76E5">
        <w:t xml:space="preserve"> included his</w:t>
      </w:r>
      <w:r w:rsidR="005F2A26" w:rsidRPr="00C01F26">
        <w:t xml:space="preserve"> </w:t>
      </w:r>
      <w:r w:rsidR="00C42FE3">
        <w:t xml:space="preserve">pretending to be </w:t>
      </w:r>
      <w:r w:rsidR="005F2A26" w:rsidRPr="00C01F26">
        <w:t xml:space="preserve">a rapist breaking into her home.  </w:t>
      </w:r>
      <w:r w:rsidR="00D927A4" w:rsidRPr="00C01F26">
        <w:t>She said this type of</w:t>
      </w:r>
      <w:r w:rsidR="009512F8" w:rsidRPr="00C01F26">
        <w:t xml:space="preserve"> behavior occurred two to three times a month over the course of their 10</w:t>
      </w:r>
      <w:r w:rsidR="002F54AC" w:rsidRPr="00C01F26">
        <w:t>-</w:t>
      </w:r>
      <w:r w:rsidR="009512F8" w:rsidRPr="00C01F26">
        <w:t xml:space="preserve">year relationship. </w:t>
      </w:r>
    </w:p>
    <w:p w14:paraId="37A2A170" w14:textId="334C3D01" w:rsidR="00C71627" w:rsidRPr="00C01F26" w:rsidRDefault="00FC510F" w:rsidP="00DC0D2D">
      <w:pPr>
        <w:spacing w:line="360" w:lineRule="auto"/>
      </w:pPr>
      <w:r w:rsidRPr="00C01F26">
        <w:tab/>
        <w:t>Another</w:t>
      </w:r>
      <w:r w:rsidR="00800BD3" w:rsidRPr="00C01F26">
        <w:t xml:space="preserve"> ex-girlfriend</w:t>
      </w:r>
      <w:r w:rsidR="00827A69">
        <w:t>—who met petitioner in September 2019—</w:t>
      </w:r>
      <w:r w:rsidR="00800BD3" w:rsidRPr="00C01F26">
        <w:t xml:space="preserve">reported </w:t>
      </w:r>
      <w:r w:rsidR="00C42FE3">
        <w:t xml:space="preserve">that </w:t>
      </w:r>
      <w:r w:rsidR="00827A69">
        <w:t xml:space="preserve">when they started dating </w:t>
      </w:r>
      <w:r w:rsidR="0029150C">
        <w:t>he</w:t>
      </w:r>
      <w:r w:rsidR="00800BD3" w:rsidRPr="00C01F26">
        <w:t xml:space="preserve"> </w:t>
      </w:r>
      <w:r w:rsidR="00C42FE3">
        <w:t>told her of his</w:t>
      </w:r>
      <w:r w:rsidR="00D927A4" w:rsidRPr="00C01F26">
        <w:t xml:space="preserve"> sexual fetish associated with scarves and </w:t>
      </w:r>
      <w:r w:rsidR="00800BD3" w:rsidRPr="00C01F26">
        <w:t>asked her to buy scarves with a border and floral pattern in the middle</w:t>
      </w:r>
      <w:r w:rsidR="00D927A4" w:rsidRPr="00C01F26">
        <w:t xml:space="preserve">.  </w:t>
      </w:r>
      <w:r w:rsidR="0027590F">
        <w:t>Once w</w:t>
      </w:r>
      <w:r w:rsidR="00D927A4" w:rsidRPr="00C01F26">
        <w:t xml:space="preserve">hen she purchased a scarf, he </w:t>
      </w:r>
      <w:r w:rsidR="001A31BA" w:rsidRPr="00C01F26">
        <w:t>said</w:t>
      </w:r>
      <w:r w:rsidR="00D927A4" w:rsidRPr="00C01F26">
        <w:t xml:space="preserve"> it was the wrong kind and told her to </w:t>
      </w:r>
      <w:r w:rsidR="002F54AC" w:rsidRPr="00C01F26">
        <w:t>buy</w:t>
      </w:r>
      <w:r w:rsidR="00D927A4" w:rsidRPr="00C01F26">
        <w:t xml:space="preserve"> the </w:t>
      </w:r>
      <w:r w:rsidR="00EE64B5" w:rsidRPr="00C01F26">
        <w:t>“</w:t>
      </w:r>
      <w:r w:rsidR="00D927A4" w:rsidRPr="00C01F26">
        <w:t>correct one</w:t>
      </w:r>
      <w:r w:rsidR="00EE64B5" w:rsidRPr="00C01F26">
        <w:t xml:space="preserve">.”  Petitioner then used </w:t>
      </w:r>
      <w:r w:rsidR="00B361DE" w:rsidRPr="00C01F26">
        <w:t xml:space="preserve">the </w:t>
      </w:r>
      <w:r w:rsidR="00EE64B5" w:rsidRPr="00C01F26">
        <w:t>scarves to</w:t>
      </w:r>
      <w:r w:rsidR="00800BD3" w:rsidRPr="00C01F26">
        <w:t xml:space="preserve"> tie her to the bed and gag her</w:t>
      </w:r>
      <w:r w:rsidR="00B361DE" w:rsidRPr="00C01F26">
        <w:t xml:space="preserve">, and he requested </w:t>
      </w:r>
      <w:r w:rsidR="00C42FE3">
        <w:t xml:space="preserve">that </w:t>
      </w:r>
      <w:r w:rsidR="00B361DE" w:rsidRPr="00C01F26">
        <w:t>she send him photos of herself bound to the bed with scarves</w:t>
      </w:r>
      <w:r w:rsidR="00800BD3" w:rsidRPr="00C01F26">
        <w:t xml:space="preserve">. </w:t>
      </w:r>
    </w:p>
    <w:p w14:paraId="103423ED" w14:textId="6F235302" w:rsidR="00800BD3" w:rsidRPr="00C01F26" w:rsidRDefault="00FC510F" w:rsidP="00DC0D2D">
      <w:pPr>
        <w:spacing w:line="360" w:lineRule="auto"/>
      </w:pPr>
      <w:r w:rsidRPr="00C01F26">
        <w:tab/>
      </w:r>
      <w:r w:rsidR="00B361DE" w:rsidRPr="00C01F26">
        <w:t>Another</w:t>
      </w:r>
      <w:r w:rsidRPr="00C01F26">
        <w:t xml:space="preserve"> woman who married petitioner in</w:t>
      </w:r>
      <w:r w:rsidRPr="00C01F26">
        <w:t xml:space="preserve"> mid-2020 </w:t>
      </w:r>
      <w:r w:rsidR="008875BB" w:rsidRPr="00C01F26">
        <w:t>reported</w:t>
      </w:r>
      <w:r w:rsidR="008A45FA">
        <w:t xml:space="preserve"> that</w:t>
      </w:r>
      <w:r w:rsidR="008875BB" w:rsidRPr="00C01F26">
        <w:t xml:space="preserve"> </w:t>
      </w:r>
      <w:r w:rsidR="00A626AD" w:rsidRPr="00C01F26">
        <w:t xml:space="preserve">within their first year of marriage, </w:t>
      </w:r>
      <w:r w:rsidR="00C81A2D" w:rsidRPr="00C01F26">
        <w:t>petitioner</w:t>
      </w:r>
      <w:r w:rsidR="00A626AD" w:rsidRPr="00C01F26">
        <w:t xml:space="preserve"> was drunk and </w:t>
      </w:r>
      <w:r w:rsidR="00C42FE3">
        <w:t>told</w:t>
      </w:r>
      <w:r w:rsidR="00A626AD" w:rsidRPr="00C01F26">
        <w:t xml:space="preserve"> her that a “</w:t>
      </w:r>
      <w:r w:rsidR="0007449D">
        <w:t> ‘</w:t>
      </w:r>
      <w:r w:rsidR="00A626AD" w:rsidRPr="00C01F26">
        <w:t>girl crawled into my bed naked and you’re not going to lay in my bed naked and not give me any.  So she tried to say I raped her.</w:t>
      </w:r>
      <w:r w:rsidR="0007449D">
        <w:t>’ </w:t>
      </w:r>
      <w:r w:rsidR="00A626AD" w:rsidRPr="00C01F26">
        <w:t xml:space="preserve">”  She also reported that </w:t>
      </w:r>
      <w:r w:rsidR="008875BB" w:rsidRPr="00C01F26">
        <w:t xml:space="preserve">petitioner placed a scarf over her mouth and eyes on several occasions.  </w:t>
      </w:r>
      <w:r w:rsidR="00CA290D" w:rsidRPr="00C01F26">
        <w:t>Yet</w:t>
      </w:r>
      <w:r w:rsidR="00CA290D" w:rsidRPr="00CC7CEB">
        <w:t xml:space="preserve"> another woman who</w:t>
      </w:r>
      <w:r w:rsidR="002F54AC">
        <w:t xml:space="preserve"> met</w:t>
      </w:r>
      <w:r w:rsidR="00CA290D" w:rsidRPr="00CC7CEB">
        <w:t xml:space="preserve"> petitioner on an online dating website in late 2020 received several scarves from him in the mail</w:t>
      </w:r>
      <w:r w:rsidR="00CE69B1" w:rsidRPr="00CC7CEB">
        <w:t xml:space="preserve">; </w:t>
      </w:r>
      <w:r w:rsidR="00B12D1B">
        <w:t>a</w:t>
      </w:r>
      <w:r w:rsidR="00C42FE3">
        <w:t xml:space="preserve">lthough </w:t>
      </w:r>
      <w:r w:rsidR="00CE69B1" w:rsidRPr="00CC7CEB">
        <w:t xml:space="preserve">she </w:t>
      </w:r>
      <w:r w:rsidR="00C42FE3">
        <w:t>was un</w:t>
      </w:r>
      <w:r w:rsidR="00C42FE3" w:rsidRPr="00CC7CEB">
        <w:t xml:space="preserve">interested in </w:t>
      </w:r>
      <w:r w:rsidR="00C42FE3">
        <w:t>him, she</w:t>
      </w:r>
      <w:r w:rsidR="00C42FE3" w:rsidRPr="00CC7CEB">
        <w:t xml:space="preserve"> </w:t>
      </w:r>
      <w:r w:rsidR="00CE69B1" w:rsidRPr="00CC7CEB">
        <w:t xml:space="preserve">kept one </w:t>
      </w:r>
      <w:r w:rsidR="00C42FE3">
        <w:t>scarf that</w:t>
      </w:r>
      <w:r w:rsidR="00CE69B1" w:rsidRPr="00CC7CEB">
        <w:t xml:space="preserve"> had a floral design with a </w:t>
      </w:r>
      <w:r w:rsidR="00CE69B1" w:rsidRPr="00C01F26">
        <w:t>border</w:t>
      </w:r>
      <w:r w:rsidR="00CA290D" w:rsidRPr="00C01F26">
        <w:t xml:space="preserve">. </w:t>
      </w:r>
    </w:p>
    <w:p w14:paraId="3D3B46EE" w14:textId="142A5CF6" w:rsidR="00521864" w:rsidRPr="00C01F26" w:rsidRDefault="00FC510F" w:rsidP="00521864">
      <w:pPr>
        <w:spacing w:line="360" w:lineRule="auto"/>
      </w:pPr>
      <w:r w:rsidRPr="00C01F26">
        <w:tab/>
      </w:r>
      <w:r w:rsidRPr="00C01F26">
        <w:t xml:space="preserve">The People noted that although petitioner’s criminal history consisted of relatively minor convictions—one </w:t>
      </w:r>
      <w:r w:rsidR="00C42FE3">
        <w:t>in 19</w:t>
      </w:r>
      <w:r w:rsidR="0007449D">
        <w:t>9</w:t>
      </w:r>
      <w:r w:rsidR="00C42FE3">
        <w:t xml:space="preserve">8 </w:t>
      </w:r>
      <w:r w:rsidRPr="00C01F26">
        <w:t xml:space="preserve">for misdemeanor driving without a license (Veh. Code, § 12500, subd. (a)), and </w:t>
      </w:r>
      <w:r w:rsidR="002F54AC" w:rsidRPr="00C01F26">
        <w:t>an</w:t>
      </w:r>
      <w:r w:rsidRPr="00C01F26">
        <w:t xml:space="preserve">other </w:t>
      </w:r>
      <w:r w:rsidR="00C42FE3">
        <w:t xml:space="preserve">in 1991 </w:t>
      </w:r>
      <w:r w:rsidRPr="00C01F26">
        <w:t>for misdemeanor theft (§ 484)</w:t>
      </w:r>
      <w:r w:rsidR="00F239BF" w:rsidRPr="00C01F26">
        <w:t>—t</w:t>
      </w:r>
      <w:r w:rsidRPr="00C01F26">
        <w:t>he theft convic</w:t>
      </w:r>
      <w:r w:rsidRPr="00C01F26">
        <w:t xml:space="preserve">tion involved petitioner snatching </w:t>
      </w:r>
      <w:r w:rsidRPr="00C01F26">
        <w:lastRenderedPageBreak/>
        <w:t xml:space="preserve">a scarf from the neck of a female stranger </w:t>
      </w:r>
      <w:r w:rsidR="000F79B5" w:rsidRPr="00C01F26">
        <w:t>and then running away</w:t>
      </w:r>
      <w:r w:rsidR="00F239BF" w:rsidRPr="00C01F26">
        <w:t>.  P</w:t>
      </w:r>
      <w:r w:rsidR="001D43DF" w:rsidRPr="00C01F26">
        <w:t>etitioner claimed he grabbed the scarf to satisfy his anger and frustration</w:t>
      </w:r>
      <w:r w:rsidR="00F849CC" w:rsidRPr="00C01F26">
        <w:t xml:space="preserve"> because he was having emotional and personal problems</w:t>
      </w:r>
      <w:r w:rsidR="001D43DF" w:rsidRPr="00C01F26">
        <w:t xml:space="preserve">. </w:t>
      </w:r>
    </w:p>
    <w:p w14:paraId="10E19DA1" w14:textId="3FF3E24C" w:rsidR="0099572A" w:rsidRPr="00CC7CEB" w:rsidRDefault="00FC510F" w:rsidP="00DC0D2D">
      <w:pPr>
        <w:spacing w:line="360" w:lineRule="auto"/>
      </w:pPr>
      <w:r w:rsidRPr="00C01F26">
        <w:tab/>
      </w:r>
      <w:r w:rsidR="00C42FE3">
        <w:t xml:space="preserve">Based on the above </w:t>
      </w:r>
      <w:r w:rsidR="0029150C">
        <w:t>proffers</w:t>
      </w:r>
      <w:r w:rsidR="00C42FE3">
        <w:t>, t</w:t>
      </w:r>
      <w:r w:rsidRPr="00C01F26">
        <w:t>he People argued</w:t>
      </w:r>
      <w:r w:rsidR="00C253DB" w:rsidRPr="00C01F26">
        <w:t xml:space="preserve"> petitioner posed a danger to </w:t>
      </w:r>
      <w:r w:rsidR="002F54AC" w:rsidRPr="00C01F26">
        <w:t xml:space="preserve">the alleged crime </w:t>
      </w:r>
      <w:r w:rsidR="003E0FA3" w:rsidRPr="00C01F26">
        <w:t>victim</w:t>
      </w:r>
      <w:r w:rsidR="002F54AC" w:rsidRPr="00C01F26">
        <w:t xml:space="preserve"> </w:t>
      </w:r>
      <w:r w:rsidR="006B4BD8" w:rsidRPr="00C01F26">
        <w:t xml:space="preserve">and public safety </w:t>
      </w:r>
      <w:r w:rsidR="003E0FA3" w:rsidRPr="00C01F26">
        <w:t>if released</w:t>
      </w:r>
      <w:r w:rsidR="00C65ABC" w:rsidRPr="00C01F26">
        <w:t xml:space="preserve">, </w:t>
      </w:r>
      <w:r w:rsidR="00C42FE3">
        <w:t>as well as</w:t>
      </w:r>
      <w:r w:rsidR="00C65ABC" w:rsidRPr="00C01F26">
        <w:t xml:space="preserve"> a flight risk </w:t>
      </w:r>
      <w:r w:rsidR="00C42FE3">
        <w:t>since</w:t>
      </w:r>
      <w:r w:rsidR="00F549FE" w:rsidRPr="00C01F26">
        <w:t xml:space="preserve"> he is facing</w:t>
      </w:r>
      <w:r w:rsidR="00C65ABC" w:rsidRPr="00C01F26">
        <w:t xml:space="preserve"> life terms</w:t>
      </w:r>
      <w:r w:rsidR="002C6099" w:rsidRPr="00C01F26">
        <w:t xml:space="preserve">. </w:t>
      </w:r>
      <w:r w:rsidR="00C65ABC" w:rsidRPr="00C01F26">
        <w:t xml:space="preserve"> </w:t>
      </w:r>
      <w:r w:rsidR="004F3798">
        <w:t xml:space="preserve">Emphasizing </w:t>
      </w:r>
      <w:r w:rsidR="003E0FA3" w:rsidRPr="00C01F26">
        <w:t xml:space="preserve">the </w:t>
      </w:r>
      <w:r w:rsidR="002C6099" w:rsidRPr="00C01F26">
        <w:t>gravity</w:t>
      </w:r>
      <w:r w:rsidR="003E0FA3" w:rsidRPr="00C01F26">
        <w:t xml:space="preserve"> of the charged offense</w:t>
      </w:r>
      <w:r w:rsidR="00680613">
        <w:t>s</w:t>
      </w:r>
      <w:r w:rsidR="003E0FA3" w:rsidRPr="00C01F26">
        <w:t xml:space="preserve"> and petitioner’s ongoing scarf fetish</w:t>
      </w:r>
      <w:r w:rsidR="003C213C" w:rsidRPr="00C01F26">
        <w:t>,</w:t>
      </w:r>
      <w:r w:rsidRPr="00C01F26">
        <w:t xml:space="preserve"> </w:t>
      </w:r>
      <w:r w:rsidR="004F3798">
        <w:t>the People</w:t>
      </w:r>
      <w:r w:rsidR="00340C50" w:rsidRPr="00C01F26">
        <w:t xml:space="preserve"> </w:t>
      </w:r>
      <w:r w:rsidRPr="00C01F26">
        <w:t>argued</w:t>
      </w:r>
      <w:r w:rsidR="00273FA8" w:rsidRPr="00C01F26">
        <w:t xml:space="preserve"> there were</w:t>
      </w:r>
      <w:r w:rsidRPr="00C01F26">
        <w:t xml:space="preserve"> no nonfinancial conditions of release </w:t>
      </w:r>
      <w:r w:rsidR="00273FA8" w:rsidRPr="00C01F26">
        <w:t xml:space="preserve">that </w:t>
      </w:r>
      <w:r w:rsidRPr="00C01F26">
        <w:t xml:space="preserve">could protect the victim or ensure </w:t>
      </w:r>
      <w:r w:rsidR="002C5ED3" w:rsidRPr="00C01F26">
        <w:t>petitioner</w:t>
      </w:r>
      <w:r w:rsidRPr="00C01F26">
        <w:t>’s presence at trial</w:t>
      </w:r>
      <w:r w:rsidR="003C213C" w:rsidRPr="00C01F26">
        <w:t xml:space="preserve">.  </w:t>
      </w:r>
      <w:r w:rsidR="004F3798">
        <w:t>Consequently, t</w:t>
      </w:r>
      <w:r w:rsidR="003C213C" w:rsidRPr="00C01F26">
        <w:t>he People</w:t>
      </w:r>
      <w:r w:rsidR="00F86788" w:rsidRPr="00C01F26">
        <w:t xml:space="preserve"> urged the </w:t>
      </w:r>
      <w:r w:rsidR="003C213C" w:rsidRPr="00C01F26">
        <w:t xml:space="preserve">trial </w:t>
      </w:r>
      <w:r w:rsidR="00F86788" w:rsidRPr="00C01F26">
        <w:t xml:space="preserve">court to </w:t>
      </w:r>
      <w:r w:rsidR="0007449D">
        <w:t>retain</w:t>
      </w:r>
      <w:r w:rsidR="0007449D" w:rsidRPr="00C01F26">
        <w:t xml:space="preserve"> </w:t>
      </w:r>
      <w:r w:rsidR="00F86788" w:rsidRPr="00C01F26">
        <w:t xml:space="preserve">bail in the </w:t>
      </w:r>
      <w:r w:rsidR="002F54AC" w:rsidRPr="00C01F26">
        <w:t xml:space="preserve">$5 million </w:t>
      </w:r>
      <w:r w:rsidR="00F86788" w:rsidRPr="00C01F26">
        <w:t>amount set</w:t>
      </w:r>
      <w:r w:rsidRPr="00C01F26">
        <w:t xml:space="preserve"> </w:t>
      </w:r>
      <w:r w:rsidR="003C213C" w:rsidRPr="00C01F26">
        <w:t>or,</w:t>
      </w:r>
      <w:r w:rsidR="00273FA8" w:rsidRPr="00C01F26">
        <w:t xml:space="preserve"> </w:t>
      </w:r>
      <w:r w:rsidR="00F86788" w:rsidRPr="00C01F26">
        <w:t>in the alternative,</w:t>
      </w:r>
      <w:r w:rsidR="002F54AC" w:rsidRPr="00C01F26">
        <w:t xml:space="preserve"> </w:t>
      </w:r>
      <w:r w:rsidR="003C213C" w:rsidRPr="00C01F26">
        <w:t xml:space="preserve">deny </w:t>
      </w:r>
      <w:r w:rsidR="002F54AC" w:rsidRPr="00C01F26">
        <w:t>bail</w:t>
      </w:r>
      <w:r w:rsidR="00F86788" w:rsidRPr="00C01F26">
        <w:t xml:space="preserve"> pursuant to</w:t>
      </w:r>
      <w:r w:rsidR="00273FA8" w:rsidRPr="00C01F26">
        <w:t xml:space="preserve"> article</w:t>
      </w:r>
      <w:r w:rsidR="002C5ED3" w:rsidRPr="00C01F26">
        <w:t> </w:t>
      </w:r>
      <w:r w:rsidR="00273FA8" w:rsidRPr="00C01F26">
        <w:t>I, section 12</w:t>
      </w:r>
      <w:r w:rsidR="002F54AC" w:rsidRPr="00C01F26">
        <w:t>,</w:t>
      </w:r>
      <w:r w:rsidR="00273FA8" w:rsidRPr="00C01F26">
        <w:t xml:space="preserve"> of the California Constitution</w:t>
      </w:r>
      <w:r w:rsidR="00680613">
        <w:t xml:space="preserve"> (</w:t>
      </w:r>
      <w:r w:rsidR="006E26EE">
        <w:t xml:space="preserve">hereafter </w:t>
      </w:r>
      <w:r w:rsidR="00456C27">
        <w:t>section </w:t>
      </w:r>
      <w:r w:rsidR="00680613">
        <w:t>12)</w:t>
      </w:r>
      <w:r w:rsidR="00F86788" w:rsidRPr="00C01F26">
        <w:t xml:space="preserve">. </w:t>
      </w:r>
    </w:p>
    <w:p w14:paraId="7C259F06" w14:textId="14C4E9D5" w:rsidR="009F28B3" w:rsidRPr="00C01F26" w:rsidRDefault="00FC510F" w:rsidP="00DC0D2D">
      <w:pPr>
        <w:spacing w:line="360" w:lineRule="auto"/>
      </w:pPr>
      <w:r w:rsidRPr="00CC7CEB">
        <w:tab/>
      </w:r>
      <w:r w:rsidR="00F549FE" w:rsidRPr="00CC7CEB">
        <w:t xml:space="preserve">On </w:t>
      </w:r>
      <w:r w:rsidR="00F549FE" w:rsidRPr="00C01F26">
        <w:t xml:space="preserve">April 20, 2021, the </w:t>
      </w:r>
      <w:r w:rsidR="00006BCD" w:rsidRPr="00C01F26">
        <w:t xml:space="preserve">trial </w:t>
      </w:r>
      <w:r w:rsidR="00F549FE" w:rsidRPr="00C01F26">
        <w:t>court</w:t>
      </w:r>
      <w:r w:rsidR="003A7745" w:rsidRPr="00C01F26">
        <w:t xml:space="preserve"> he</w:t>
      </w:r>
      <w:r w:rsidR="00A40CFF">
        <w:t>ld a hearing on</w:t>
      </w:r>
      <w:r w:rsidR="003A7745" w:rsidRPr="00C01F26">
        <w:t xml:space="preserve"> the </w:t>
      </w:r>
      <w:r w:rsidR="00521864" w:rsidRPr="00C01F26">
        <w:t xml:space="preserve">bail </w:t>
      </w:r>
      <w:r w:rsidR="00047B66" w:rsidRPr="00C01F26">
        <w:t>motion</w:t>
      </w:r>
      <w:r w:rsidR="003A7745" w:rsidRPr="00C01F26">
        <w:t xml:space="preserve">.  </w:t>
      </w:r>
      <w:r w:rsidR="003C213C" w:rsidRPr="00C01F26">
        <w:t>Through counsel, p</w:t>
      </w:r>
      <w:r w:rsidR="00047B66" w:rsidRPr="00C01F26">
        <w:t xml:space="preserve">etitioner argued </w:t>
      </w:r>
      <w:r w:rsidR="003C213C" w:rsidRPr="00C01F26">
        <w:t>he</w:t>
      </w:r>
      <w:r w:rsidR="00047B66" w:rsidRPr="00C01F26">
        <w:t xml:space="preserve"> could not afford bail as set</w:t>
      </w:r>
      <w:r w:rsidR="00B12443" w:rsidRPr="00C01F26">
        <w:t xml:space="preserve"> and asked </w:t>
      </w:r>
      <w:r w:rsidR="003C213C" w:rsidRPr="00C01F26">
        <w:t>for release</w:t>
      </w:r>
      <w:r w:rsidR="006924CA" w:rsidRPr="00C01F26">
        <w:t xml:space="preserve"> on </w:t>
      </w:r>
      <w:r w:rsidR="00873E5C" w:rsidRPr="00C01F26">
        <w:t>his</w:t>
      </w:r>
      <w:r w:rsidR="00B12443" w:rsidRPr="00C01F26">
        <w:t xml:space="preserve"> </w:t>
      </w:r>
      <w:r w:rsidR="006E4936" w:rsidRPr="00C01F26">
        <w:t>own recognizance</w:t>
      </w:r>
      <w:r w:rsidR="00B12443" w:rsidRPr="00C01F26">
        <w:t xml:space="preserve"> with </w:t>
      </w:r>
      <w:r w:rsidR="00363D57" w:rsidRPr="00C01F26">
        <w:t xml:space="preserve">various </w:t>
      </w:r>
      <w:r w:rsidR="00B12443" w:rsidRPr="00C01F26">
        <w:t>nonfinancial conditions</w:t>
      </w:r>
      <w:r w:rsidR="00363D57" w:rsidRPr="00C01F26">
        <w:t xml:space="preserve">, </w:t>
      </w:r>
      <w:r w:rsidR="00A40CFF">
        <w:t>e.g.,</w:t>
      </w:r>
      <w:r w:rsidR="00363D57" w:rsidRPr="00C01F26">
        <w:t xml:space="preserve"> a no contact order with the victim</w:t>
      </w:r>
      <w:r w:rsidR="00083814" w:rsidRPr="00C01F26">
        <w:t>, limit</w:t>
      </w:r>
      <w:r w:rsidR="00A40CFF">
        <w:t>ation of</w:t>
      </w:r>
      <w:r w:rsidR="00083814" w:rsidRPr="00C01F26">
        <w:t xml:space="preserve"> his use of dating websites,</w:t>
      </w:r>
      <w:r w:rsidR="00476A82" w:rsidRPr="00C01F26">
        <w:t xml:space="preserve"> and </w:t>
      </w:r>
      <w:r w:rsidR="0007449D">
        <w:t>Global Position</w:t>
      </w:r>
      <w:r w:rsidR="001F58A9">
        <w:t>ing</w:t>
      </w:r>
      <w:r w:rsidR="0007449D">
        <w:t xml:space="preserve"> System (</w:t>
      </w:r>
      <w:r w:rsidR="00476A82" w:rsidRPr="00C01F26">
        <w:t>GPS</w:t>
      </w:r>
      <w:r w:rsidR="0007449D">
        <w:t>)</w:t>
      </w:r>
      <w:r w:rsidR="00476A82" w:rsidRPr="00C01F26">
        <w:t xml:space="preserve"> </w:t>
      </w:r>
      <w:r w:rsidR="00083814" w:rsidRPr="00C01F26">
        <w:t>tracking</w:t>
      </w:r>
      <w:r w:rsidR="00B12443" w:rsidRPr="00C01F26">
        <w:t xml:space="preserve">.  </w:t>
      </w:r>
      <w:r w:rsidR="003C213C" w:rsidRPr="00C01F26">
        <w:t>Petitioner also argued that bail could not be denied because</w:t>
      </w:r>
      <w:r w:rsidR="00B12443" w:rsidRPr="00C01F26">
        <w:t xml:space="preserve"> </w:t>
      </w:r>
      <w:r w:rsidR="00A40CFF" w:rsidRPr="00C01F26">
        <w:t xml:space="preserve">the People’s </w:t>
      </w:r>
      <w:r w:rsidR="00A40CFF">
        <w:t xml:space="preserve">mere </w:t>
      </w:r>
      <w:r w:rsidR="00A40CFF" w:rsidRPr="00C01F26">
        <w:t xml:space="preserve">“proffers” of evidence were insufficient to meet </w:t>
      </w:r>
      <w:r w:rsidR="005841A6">
        <w:t xml:space="preserve">the </w:t>
      </w:r>
      <w:r w:rsidR="00B12443" w:rsidRPr="00C01F26">
        <w:t>“clear and convincing</w:t>
      </w:r>
      <w:r w:rsidR="00693E6E" w:rsidRPr="00C01F26">
        <w:t xml:space="preserve"> </w:t>
      </w:r>
      <w:r w:rsidR="00B12443" w:rsidRPr="00C01F26">
        <w:t>evidence</w:t>
      </w:r>
      <w:r w:rsidR="00693E6E" w:rsidRPr="00C01F26">
        <w:t>”</w:t>
      </w:r>
      <w:r w:rsidR="00B12443" w:rsidRPr="00C01F26">
        <w:t xml:space="preserve"> standard. </w:t>
      </w:r>
      <w:r w:rsidR="00615EF7" w:rsidRPr="00C01F26">
        <w:t xml:space="preserve"> </w:t>
      </w:r>
      <w:r w:rsidR="007427B8" w:rsidRPr="00C01F26">
        <w:t xml:space="preserve">The People </w:t>
      </w:r>
      <w:r w:rsidR="00A40CFF">
        <w:t xml:space="preserve">disagreed, </w:t>
      </w:r>
      <w:r w:rsidR="00615EF7" w:rsidRPr="00C01F26">
        <w:t>counter</w:t>
      </w:r>
      <w:r w:rsidR="00A40CFF">
        <w:t>ing</w:t>
      </w:r>
      <w:r w:rsidR="00615EF7" w:rsidRPr="00C01F26">
        <w:t xml:space="preserve"> </w:t>
      </w:r>
      <w:r w:rsidR="003A473E" w:rsidRPr="00C01F26">
        <w:t>th</w:t>
      </w:r>
      <w:r w:rsidR="0029150C">
        <w:t>at</w:t>
      </w:r>
      <w:r w:rsidR="003A473E" w:rsidRPr="00C01F26">
        <w:t xml:space="preserve"> </w:t>
      </w:r>
      <w:r w:rsidR="00631EAE" w:rsidRPr="00C01F26">
        <w:t>proffer</w:t>
      </w:r>
      <w:r w:rsidR="0029150C">
        <w:t>s of</w:t>
      </w:r>
      <w:r w:rsidR="00631EAE" w:rsidRPr="00C01F26">
        <w:t xml:space="preserve"> evidence</w:t>
      </w:r>
      <w:r w:rsidR="0029150C">
        <w:t xml:space="preserve"> are sufficient to support a bail determination</w:t>
      </w:r>
      <w:r w:rsidR="00631EAE" w:rsidRPr="00C01F26">
        <w:t xml:space="preserve"> and</w:t>
      </w:r>
      <w:r w:rsidR="003C213C" w:rsidRPr="00C01F26">
        <w:t xml:space="preserve"> that</w:t>
      </w:r>
      <w:r w:rsidR="00615EF7" w:rsidRPr="00C01F26">
        <w:t>,</w:t>
      </w:r>
      <w:r w:rsidR="00631EAE" w:rsidRPr="00C01F26">
        <w:t xml:space="preserve"> </w:t>
      </w:r>
      <w:r w:rsidR="007A2BCA" w:rsidRPr="00C01F26">
        <w:t>per</w:t>
      </w:r>
      <w:r w:rsidR="002871A4" w:rsidRPr="00C01F26">
        <w:t xml:space="preserve"> </w:t>
      </w:r>
      <w:r w:rsidR="002871A4" w:rsidRPr="00C01F26">
        <w:rPr>
          <w:i/>
          <w:iCs/>
        </w:rPr>
        <w:t>Humphrey</w:t>
      </w:r>
      <w:r w:rsidR="002871A4" w:rsidRPr="00C01F26">
        <w:t>, the court had to assume the</w:t>
      </w:r>
      <w:r w:rsidR="007A2BCA" w:rsidRPr="00C01F26">
        <w:t xml:space="preserve"> truth of the</w:t>
      </w:r>
      <w:r w:rsidR="002871A4" w:rsidRPr="00C01F26">
        <w:t xml:space="preserve"> charges</w:t>
      </w:r>
      <w:r w:rsidR="003A473E" w:rsidRPr="00C01F26">
        <w:t xml:space="preserve">. </w:t>
      </w:r>
      <w:r w:rsidR="002871A4" w:rsidRPr="00C01F26">
        <w:t xml:space="preserve"> </w:t>
      </w:r>
      <w:r w:rsidR="00EB1257" w:rsidRPr="00C01F26">
        <w:t>T</w:t>
      </w:r>
      <w:r w:rsidR="003A7745" w:rsidRPr="00C01F26">
        <w:t xml:space="preserve">he victim </w:t>
      </w:r>
      <w:r w:rsidR="0029150C">
        <w:t>appeared</w:t>
      </w:r>
      <w:r w:rsidR="00EB1257" w:rsidRPr="00C01F26">
        <w:t xml:space="preserve"> during the hearing</w:t>
      </w:r>
      <w:r w:rsidR="003A7745" w:rsidRPr="00C01F26">
        <w:t xml:space="preserve"> and expressed</w:t>
      </w:r>
      <w:r w:rsidR="001536B3" w:rsidRPr="00C01F26">
        <w:t xml:space="preserve"> great</w:t>
      </w:r>
      <w:r w:rsidR="003A7745" w:rsidRPr="00C01F26">
        <w:t xml:space="preserve"> fear for her safety</w:t>
      </w:r>
      <w:r w:rsidR="0041686F" w:rsidRPr="00C01F26">
        <w:t xml:space="preserve"> and the safety of those close to her</w:t>
      </w:r>
      <w:r w:rsidR="001536B3" w:rsidRPr="00C01F26">
        <w:t xml:space="preserve"> should petitioner be released</w:t>
      </w:r>
      <w:r w:rsidR="003A7745" w:rsidRPr="00C01F26">
        <w:t xml:space="preserve">. </w:t>
      </w:r>
    </w:p>
    <w:p w14:paraId="63547D5D" w14:textId="356BAC0E" w:rsidR="008D5BB1" w:rsidRPr="00C01F26" w:rsidRDefault="00FC510F" w:rsidP="00DC0D2D">
      <w:pPr>
        <w:spacing w:line="360" w:lineRule="auto"/>
      </w:pPr>
      <w:r w:rsidRPr="00C01F26">
        <w:tab/>
        <w:t xml:space="preserve">Ultimately, the trial court denied </w:t>
      </w:r>
      <w:r w:rsidR="002C5ED3" w:rsidRPr="00C01F26">
        <w:t>petitioner</w:t>
      </w:r>
      <w:r w:rsidRPr="00C01F26">
        <w:t xml:space="preserve"> </w:t>
      </w:r>
      <w:r w:rsidRPr="00C01F26">
        <w:t xml:space="preserve">bail </w:t>
      </w:r>
      <w:r w:rsidR="00085FE6" w:rsidRPr="00C01F26">
        <w:t>under</w:t>
      </w:r>
      <w:r w:rsidRPr="00C01F26">
        <w:t xml:space="preserve"> </w:t>
      </w:r>
      <w:r w:rsidR="00680613">
        <w:t>section 12</w:t>
      </w:r>
      <w:r w:rsidR="00881706" w:rsidRPr="00C01F26">
        <w:t xml:space="preserve">. </w:t>
      </w:r>
      <w:r w:rsidRPr="00C01F26">
        <w:t xml:space="preserve"> </w:t>
      </w:r>
      <w:bookmarkStart w:id="6" w:name="_Hlk85636886"/>
      <w:r w:rsidRPr="00C01F26">
        <w:t xml:space="preserve">The court </w:t>
      </w:r>
      <w:r w:rsidR="005D2288" w:rsidRPr="00C01F26">
        <w:t>found</w:t>
      </w:r>
      <w:r w:rsidRPr="00C01F26">
        <w:t xml:space="preserve"> that </w:t>
      </w:r>
      <w:r w:rsidRPr="00C01F26">
        <w:rPr>
          <w:i/>
          <w:iCs/>
        </w:rPr>
        <w:t>Humphrey</w:t>
      </w:r>
      <w:r w:rsidRPr="00C01F26">
        <w:t xml:space="preserve"> did not require live testimony and </w:t>
      </w:r>
      <w:r w:rsidR="00F052FB" w:rsidRPr="00C01F26">
        <w:t>concluded</w:t>
      </w:r>
      <w:r w:rsidR="005D2288" w:rsidRPr="00C01F26">
        <w:t xml:space="preserve">: </w:t>
      </w:r>
      <w:r w:rsidR="0029150C">
        <w:t xml:space="preserve"> </w:t>
      </w:r>
      <w:r w:rsidR="005D2288" w:rsidRPr="00C01F26">
        <w:t>(1)</w:t>
      </w:r>
      <w:r w:rsidR="0029150C">
        <w:t> </w:t>
      </w:r>
      <w:r w:rsidR="00FE0182" w:rsidRPr="00C01F26">
        <w:t>the charged felony offenses involved acts of violence on another person</w:t>
      </w:r>
      <w:r w:rsidR="005D2288" w:rsidRPr="00C01F26">
        <w:t xml:space="preserve">; </w:t>
      </w:r>
      <w:r w:rsidR="005D2288" w:rsidRPr="00C01F26">
        <w:lastRenderedPageBreak/>
        <w:t>and (2)</w:t>
      </w:r>
      <w:r w:rsidR="0029150C">
        <w:t> </w:t>
      </w:r>
      <w:r w:rsidR="00C22DD4" w:rsidRPr="00C01F26">
        <w:t xml:space="preserve">based on the </w:t>
      </w:r>
      <w:r w:rsidR="00680613">
        <w:t xml:space="preserve">People’s </w:t>
      </w:r>
      <w:r w:rsidRPr="00C01F26">
        <w:t>proffer</w:t>
      </w:r>
      <w:r w:rsidR="00C22DD4" w:rsidRPr="00C01F26">
        <w:t xml:space="preserve">, there is clear and convincing evidence </w:t>
      </w:r>
      <w:r w:rsidR="0029150C">
        <w:t>of</w:t>
      </w:r>
      <w:r w:rsidR="00C22DD4">
        <w:t xml:space="preserve"> a substantial likelihood that </w:t>
      </w:r>
      <w:r w:rsidR="00C81A2D" w:rsidRPr="00C01F26">
        <w:t>petitioner</w:t>
      </w:r>
      <w:r w:rsidR="00C22DD4" w:rsidRPr="00C01F26">
        <w:t>’s release would result in great bodily harm to others</w:t>
      </w:r>
      <w:r w:rsidRPr="00C01F26">
        <w:t>.</w:t>
      </w:r>
      <w:r w:rsidR="00251739" w:rsidRPr="00C01F26">
        <w:t xml:space="preserve"> </w:t>
      </w:r>
    </w:p>
    <w:bookmarkEnd w:id="6"/>
    <w:p w14:paraId="3AD58082" w14:textId="2D071ABD" w:rsidR="0099572A" w:rsidRPr="00C01F26" w:rsidRDefault="00FC510F" w:rsidP="007259FB">
      <w:pPr>
        <w:keepNext/>
        <w:spacing w:line="360" w:lineRule="auto"/>
        <w:jc w:val="center"/>
        <w:rPr>
          <w:b/>
          <w:bCs/>
          <w:smallCaps/>
        </w:rPr>
      </w:pPr>
      <w:r w:rsidRPr="00C01F26">
        <w:rPr>
          <w:b/>
          <w:bCs/>
          <w:smallCaps/>
        </w:rPr>
        <w:t>Discussion</w:t>
      </w:r>
    </w:p>
    <w:p w14:paraId="24C5185D" w14:textId="561DF2E4" w:rsidR="00750741" w:rsidRPr="00C01F26" w:rsidRDefault="00FC510F" w:rsidP="00103DE5">
      <w:pPr>
        <w:spacing w:line="360" w:lineRule="auto"/>
      </w:pPr>
      <w:bookmarkStart w:id="7" w:name="_Hlk81218286"/>
      <w:r w:rsidRPr="00C01F26">
        <w:tab/>
      </w:r>
      <w:r w:rsidR="000636C0" w:rsidRPr="00C01F26">
        <w:t>“Habeas corpus is an appropriate vehicle by which to raise questions concerning the legality of bail grants or deprivations.  [Citations.]  In evaluating petitioner’s contentions, this court may grant relief without an evidentiary hearing if the return admits allegations in the petition that, if true, justify relief.  [Citations.]  On the other hand, we may deny the petition, without an evidentiary hearing, if we are persuaded the contentions in the petition are without merit.”  (</w:t>
      </w:r>
      <w:r w:rsidR="000636C0" w:rsidRPr="00C01F26">
        <w:rPr>
          <w:i/>
          <w:iCs/>
        </w:rPr>
        <w:t>In re McSherry</w:t>
      </w:r>
      <w:r w:rsidR="000636C0" w:rsidRPr="00C01F26">
        <w:t xml:space="preserve"> (2003) 112 Cal.App.4th 856, 859–860.)</w:t>
      </w:r>
    </w:p>
    <w:p w14:paraId="7E50E184" w14:textId="33440BA7" w:rsidR="003836DA" w:rsidRPr="00C01F26" w:rsidRDefault="00FC510F" w:rsidP="00103DE5">
      <w:pPr>
        <w:spacing w:line="360" w:lineRule="auto"/>
      </w:pPr>
      <w:r w:rsidRPr="00C01F26">
        <w:tab/>
      </w:r>
      <w:r w:rsidR="00983AC3">
        <w:t>We proceed by</w:t>
      </w:r>
      <w:r w:rsidRPr="00C01F26">
        <w:t xml:space="preserve"> </w:t>
      </w:r>
      <w:r w:rsidR="00983AC3">
        <w:t>“</w:t>
      </w:r>
      <w:r w:rsidRPr="00C01F26">
        <w:t xml:space="preserve">applying the substantial evidence test to pure questions of fact and de novo review </w:t>
      </w:r>
      <w:r w:rsidRPr="00C01F26">
        <w:t xml:space="preserve">to questions of law. </w:t>
      </w:r>
      <w:r w:rsidR="00772AB1" w:rsidRPr="00C01F26">
        <w:t xml:space="preserve"> [Citation.] </w:t>
      </w:r>
      <w:r w:rsidRPr="00C01F26">
        <w:t xml:space="preserve"> </w:t>
      </w:r>
      <w:r w:rsidR="00772AB1" w:rsidRPr="00C01F26">
        <w:t>‘</w:t>
      </w:r>
      <w:r w:rsidRPr="00C01F26">
        <w:t>[W]hen the application of law to fact is predominantly legal, such as when it implicates constitutional rights and the exercise of judgment about the values underlying legal principles, [the appellate] court</w:t>
      </w:r>
      <w:r w:rsidR="00772AB1" w:rsidRPr="00C01F26">
        <w:t>’</w:t>
      </w:r>
      <w:r w:rsidRPr="00C01F26">
        <w:t xml:space="preserve">s review is </w:t>
      </w:r>
      <w:r w:rsidRPr="00C01F26">
        <w:t>de novo.</w:t>
      </w:r>
      <w:r w:rsidR="00772AB1" w:rsidRPr="00C01F26">
        <w:t>’ </w:t>
      </w:r>
      <w:r w:rsidRPr="00C01F26">
        <w:t>”</w:t>
      </w:r>
      <w:r w:rsidR="00750741" w:rsidRPr="00C01F26">
        <w:t xml:space="preserve"> </w:t>
      </w:r>
      <w:r w:rsidR="00082730" w:rsidRPr="00C01F26">
        <w:t xml:space="preserve"> </w:t>
      </w:r>
      <w:r w:rsidR="00750741" w:rsidRPr="00C01F26">
        <w:t>(</w:t>
      </w:r>
      <w:r w:rsidR="00082730" w:rsidRPr="00C01F26">
        <w:rPr>
          <w:i/>
          <w:iCs/>
        </w:rPr>
        <w:t>In re Taylor</w:t>
      </w:r>
      <w:r w:rsidR="008A61D0" w:rsidRPr="00C01F26">
        <w:t xml:space="preserve"> (2015)</w:t>
      </w:r>
      <w:r w:rsidR="00082730" w:rsidRPr="00C01F26">
        <w:t xml:space="preserve"> 60 Cal.4th 1019, 1035</w:t>
      </w:r>
      <w:r w:rsidR="008B4A97">
        <w:t>;</w:t>
      </w:r>
      <w:r w:rsidR="008B4A97" w:rsidRPr="008B4A97">
        <w:t xml:space="preserve"> </w:t>
      </w:r>
      <w:r w:rsidR="00D84353" w:rsidRPr="00D84353">
        <w:rPr>
          <w:i/>
          <w:iCs/>
        </w:rPr>
        <w:t>In re Collins</w:t>
      </w:r>
      <w:r w:rsidR="00D84353">
        <w:t xml:space="preserve"> (</w:t>
      </w:r>
      <w:r w:rsidR="00D84353" w:rsidRPr="00491351">
        <w:t>2001</w:t>
      </w:r>
      <w:r w:rsidR="00D84353">
        <w:t>)</w:t>
      </w:r>
      <w:r w:rsidR="00D84353" w:rsidRPr="00D84353">
        <w:t xml:space="preserve"> 86 Cal.App.4th 1176</w:t>
      </w:r>
      <w:r w:rsidR="00D84353">
        <w:t>, 1181</w:t>
      </w:r>
      <w:r w:rsidR="00082730" w:rsidRPr="00C01F26">
        <w:t>.</w:t>
      </w:r>
      <w:r w:rsidR="00750741" w:rsidRPr="00C01F26">
        <w:t>)</w:t>
      </w:r>
      <w:bookmarkStart w:id="8" w:name="_Hlk85535690"/>
    </w:p>
    <w:p w14:paraId="4FD70205" w14:textId="364B3584" w:rsidR="000636C0" w:rsidRPr="00C01F26" w:rsidRDefault="00FC510F" w:rsidP="00D62834">
      <w:pPr>
        <w:keepNext/>
        <w:spacing w:line="360" w:lineRule="auto"/>
        <w:rPr>
          <w:b/>
          <w:bCs/>
        </w:rPr>
      </w:pPr>
      <w:r w:rsidRPr="00C01F26">
        <w:rPr>
          <w:b/>
          <w:bCs/>
        </w:rPr>
        <w:tab/>
        <w:t>A.  General Legal Standards</w:t>
      </w:r>
    </w:p>
    <w:p w14:paraId="776021E6" w14:textId="3AD25F18" w:rsidR="00F45949" w:rsidRPr="00C01F26" w:rsidRDefault="00FC510F" w:rsidP="00103DE5">
      <w:pPr>
        <w:spacing w:line="360" w:lineRule="auto"/>
      </w:pPr>
      <w:bookmarkStart w:id="9" w:name="_Hlk81493198"/>
      <w:bookmarkEnd w:id="8"/>
      <w:r w:rsidRPr="00C01F26">
        <w:tab/>
      </w:r>
      <w:r w:rsidR="00796410" w:rsidRPr="00C01F26">
        <w:t>T</w:t>
      </w:r>
      <w:r w:rsidR="002E530C" w:rsidRPr="00C01F26">
        <w:t xml:space="preserve">he court </w:t>
      </w:r>
      <w:r w:rsidR="009E34AA" w:rsidRPr="00C01F26">
        <w:t xml:space="preserve">in this case </w:t>
      </w:r>
      <w:r w:rsidR="002E530C" w:rsidRPr="00C01F26">
        <w:t xml:space="preserve">denied bail under </w:t>
      </w:r>
      <w:r w:rsidR="009766B1">
        <w:t>section 12(b</w:t>
      </w:r>
      <w:r w:rsidR="0000709A">
        <w:t>)</w:t>
      </w:r>
      <w:r w:rsidR="00B976CD" w:rsidRPr="00C01F26">
        <w:t>, which</w:t>
      </w:r>
      <w:r w:rsidR="00DF41E4" w:rsidRPr="00C01F26">
        <w:t xml:space="preserve"> </w:t>
      </w:r>
      <w:r w:rsidR="009766B1">
        <w:t>provides</w:t>
      </w:r>
      <w:r w:rsidR="0002092B" w:rsidRPr="00C01F26">
        <w:t xml:space="preserve"> a</w:t>
      </w:r>
      <w:r w:rsidR="00680613">
        <w:t xml:space="preserve"> constitutionally based</w:t>
      </w:r>
      <w:r w:rsidR="0002092B" w:rsidRPr="00C01F26">
        <w:t xml:space="preserve"> exception to the general rule that a defendant charged with a noncapital offense is entitled to bail.</w:t>
      </w:r>
      <w:r w:rsidR="009B5A08" w:rsidRPr="00C01F26">
        <w:t xml:space="preserve">  (</w:t>
      </w:r>
      <w:r w:rsidR="009B5A08" w:rsidRPr="00C01F26">
        <w:rPr>
          <w:i/>
          <w:iCs/>
        </w:rPr>
        <w:t>In re White</w:t>
      </w:r>
      <w:r w:rsidR="009B5A08" w:rsidRPr="00C01F26">
        <w:t xml:space="preserve"> (2020) 9 Cal.5th 455, </w:t>
      </w:r>
      <w:r w:rsidR="00E9547A" w:rsidRPr="00C01F26">
        <w:t>462</w:t>
      </w:r>
      <w:r w:rsidR="00C455DC" w:rsidRPr="00C01F26">
        <w:t xml:space="preserve"> (</w:t>
      </w:r>
      <w:r w:rsidR="00C455DC" w:rsidRPr="00C01F26">
        <w:rPr>
          <w:i/>
          <w:iCs/>
        </w:rPr>
        <w:t>White</w:t>
      </w:r>
      <w:r w:rsidR="00C455DC" w:rsidRPr="00C01F26">
        <w:t>)</w:t>
      </w:r>
      <w:r w:rsidR="009B5A08" w:rsidRPr="00C01F26">
        <w:t>.)</w:t>
      </w:r>
      <w:r w:rsidR="0002092B" w:rsidRPr="00C01F26">
        <w:t xml:space="preserve">  </w:t>
      </w:r>
      <w:r w:rsidR="0000709A">
        <w:t>S</w:t>
      </w:r>
      <w:r w:rsidR="009766B1">
        <w:t>ection 12(b)</w:t>
      </w:r>
      <w:r w:rsidR="0002092B" w:rsidRPr="00C01F26">
        <w:t xml:space="preserve"> provides</w:t>
      </w:r>
      <w:r w:rsidR="00DF41E4" w:rsidRPr="00C01F26">
        <w:t>:  “</w:t>
      </w:r>
      <w:r w:rsidR="00103DE5" w:rsidRPr="00C01F26">
        <w:t>A person shall be released on bail by sufficient sureties, except for:</w:t>
      </w:r>
      <w:r w:rsidR="00362726" w:rsidRPr="00C01F26">
        <w:t xml:space="preserve"> </w:t>
      </w:r>
      <w:r w:rsidR="00D62DB7" w:rsidRPr="00C01F26">
        <w:t xml:space="preserve"> </w:t>
      </w:r>
      <w:r w:rsidR="00362726" w:rsidRPr="00C01F26">
        <w:t>[¶] . . . [¶]</w:t>
      </w:r>
      <w:r w:rsidR="00F052FB" w:rsidRPr="00C01F26">
        <w:t> </w:t>
      </w:r>
      <w:r w:rsidR="00103DE5" w:rsidRPr="00C01F26">
        <w:t>(b)</w:t>
      </w:r>
      <w:r w:rsidR="00D62DB7" w:rsidRPr="00C01F26">
        <w:t> </w:t>
      </w:r>
      <w:r w:rsidR="00103DE5" w:rsidRPr="00C01F26">
        <w:t xml:space="preserve">Felony offenses involving acts of violence on another person, or felony sexual assault offenses on another person, when the facts are evident or the presumption great and the court </w:t>
      </w:r>
      <w:r w:rsidR="00103DE5" w:rsidRPr="00C01F26">
        <w:lastRenderedPageBreak/>
        <w:t>finds based upon clear and convincing evidence that there is a substantial likelihood the person’s release would result in great bodily harm to others.</w:t>
      </w:r>
      <w:r w:rsidR="007470B7" w:rsidRPr="00C01F26">
        <w:t>”</w:t>
      </w:r>
    </w:p>
    <w:p w14:paraId="74AF1C5D" w14:textId="5C1B0C72" w:rsidR="001E5166" w:rsidRPr="00C01F26" w:rsidRDefault="00FC510F" w:rsidP="00103DE5">
      <w:pPr>
        <w:spacing w:line="360" w:lineRule="auto"/>
      </w:pPr>
      <w:r w:rsidRPr="00C01F26">
        <w:tab/>
      </w:r>
      <w:bookmarkStart w:id="10" w:name="_Hlk81493085"/>
      <w:r w:rsidR="0000709A">
        <w:t>I</w:t>
      </w:r>
      <w:r w:rsidR="00D62DB7" w:rsidRPr="00C01F26">
        <w:t>n</w:t>
      </w:r>
      <w:r w:rsidR="006A0791" w:rsidRPr="00C01F26">
        <w:t xml:space="preserve"> </w:t>
      </w:r>
      <w:bookmarkStart w:id="11" w:name="_Hlk85536034"/>
      <w:r w:rsidR="006A0791" w:rsidRPr="00C01F26">
        <w:rPr>
          <w:i/>
          <w:iCs/>
        </w:rPr>
        <w:t>Humphrey</w:t>
      </w:r>
      <w:r w:rsidR="006A0791" w:rsidRPr="00C01F26">
        <w:t xml:space="preserve">, </w:t>
      </w:r>
      <w:r w:rsidR="00DC0E8A" w:rsidRPr="00AD316B">
        <w:rPr>
          <w:i/>
          <w:iCs/>
        </w:rPr>
        <w:t>supra</w:t>
      </w:r>
      <w:r w:rsidR="00DC0E8A">
        <w:t xml:space="preserve">, </w:t>
      </w:r>
      <w:r w:rsidR="00DC0E8A" w:rsidRPr="00C01F26">
        <w:t>11 Cal.5th 135</w:t>
      </w:r>
      <w:r w:rsidR="00DC0E8A">
        <w:t xml:space="preserve">, </w:t>
      </w:r>
      <w:r w:rsidR="006A0791" w:rsidRPr="00C01F26">
        <w:t xml:space="preserve">the </w:t>
      </w:r>
      <w:r w:rsidR="003207FD" w:rsidRPr="00C01F26">
        <w:t>California Supreme C</w:t>
      </w:r>
      <w:r w:rsidR="006A0791" w:rsidRPr="00C01F26">
        <w:t>ourt</w:t>
      </w:r>
      <w:r w:rsidRPr="00C01F26">
        <w:t xml:space="preserve"> </w:t>
      </w:r>
      <w:r w:rsidR="00C15D36" w:rsidRPr="00C01F26">
        <w:t>“sketch[ed] the general framework governing bail determinations</w:t>
      </w:r>
      <w:r w:rsidR="00475F56">
        <w:t>.</w:t>
      </w:r>
      <w:r w:rsidR="00C15D36" w:rsidRPr="00C01F26">
        <w:t xml:space="preserve">” </w:t>
      </w:r>
      <w:r w:rsidR="00475F56">
        <w:t xml:space="preserve"> </w:t>
      </w:r>
      <w:r w:rsidR="0000709A">
        <w:t>(</w:t>
      </w:r>
      <w:r w:rsidR="0000709A" w:rsidRPr="00AD316B">
        <w:rPr>
          <w:i/>
          <w:iCs/>
        </w:rPr>
        <w:t>Id</w:t>
      </w:r>
      <w:r w:rsidR="0000709A">
        <w:t>. at p. </w:t>
      </w:r>
      <w:r w:rsidR="00680613">
        <w:t>152</w:t>
      </w:r>
      <w:r w:rsidR="0000709A">
        <w:t>.)  There</w:t>
      </w:r>
      <w:r w:rsidR="00475F56">
        <w:t xml:space="preserve">, the petitioner had been charged with first degree residential </w:t>
      </w:r>
      <w:r w:rsidR="003009D3">
        <w:t xml:space="preserve">robbery and </w:t>
      </w:r>
      <w:r w:rsidR="00475F56">
        <w:t>burglary, infliction of injury on an elder adult, and misdemeanor theft from an elder adult.  (</w:t>
      </w:r>
      <w:r w:rsidR="00EF63E5" w:rsidRPr="00AD316B">
        <w:rPr>
          <w:i/>
          <w:iCs/>
        </w:rPr>
        <w:t>Id</w:t>
      </w:r>
      <w:r w:rsidR="00EF63E5">
        <w:t>. at</w:t>
      </w:r>
      <w:r w:rsidR="00475F56">
        <w:t xml:space="preserve"> pp. 143</w:t>
      </w:r>
      <w:r w:rsidR="00AD316B">
        <w:t>–</w:t>
      </w:r>
      <w:r w:rsidR="007F264D">
        <w:t>144.</w:t>
      </w:r>
      <w:r w:rsidR="00475F56">
        <w:t xml:space="preserve">)  At his arraignment, the petitioner requested release on his own recognizance, citing his advanced age, </w:t>
      </w:r>
      <w:r w:rsidR="007F264D">
        <w:t xml:space="preserve">his </w:t>
      </w:r>
      <w:r w:rsidR="00475F56">
        <w:t>community ties, and his unemployment and financial condition.  (</w:t>
      </w:r>
      <w:r w:rsidR="00EF63E5" w:rsidRPr="00AD316B">
        <w:rPr>
          <w:i/>
          <w:iCs/>
        </w:rPr>
        <w:t>Id</w:t>
      </w:r>
      <w:r w:rsidR="00EF63E5">
        <w:t xml:space="preserve">. at </w:t>
      </w:r>
      <w:r w:rsidR="00475F56">
        <w:t>p. 144</w:t>
      </w:r>
      <w:r w:rsidR="001A6C16">
        <w:t>.</w:t>
      </w:r>
      <w:r w:rsidR="00475F56">
        <w:t xml:space="preserve">)  </w:t>
      </w:r>
      <w:r w:rsidR="007F264D">
        <w:t xml:space="preserve">Without inquiring </w:t>
      </w:r>
      <w:r w:rsidR="0000709A">
        <w:t>into</w:t>
      </w:r>
      <w:r w:rsidR="007F264D">
        <w:t xml:space="preserve"> the petitioner’s ability to pay, t</w:t>
      </w:r>
      <w:r w:rsidR="00475F56">
        <w:t>he</w:t>
      </w:r>
      <w:r w:rsidR="007F264D">
        <w:t xml:space="preserve"> trial court ultimately set bail at sums the petitioner could not afford.  (</w:t>
      </w:r>
      <w:r w:rsidR="00EF63E5" w:rsidRPr="001A6C16">
        <w:rPr>
          <w:i/>
          <w:iCs/>
        </w:rPr>
        <w:t>Id</w:t>
      </w:r>
      <w:r w:rsidR="00EF63E5">
        <w:t xml:space="preserve">. at </w:t>
      </w:r>
      <w:r w:rsidR="007F264D">
        <w:t>p.</w:t>
      </w:r>
      <w:r w:rsidR="00EF63E5">
        <w:t> </w:t>
      </w:r>
      <w:r w:rsidR="007F264D">
        <w:t>148.)  The Court of Appeal reversed</w:t>
      </w:r>
      <w:r w:rsidR="00EF63E5">
        <w:t xml:space="preserve"> the trial court’s bail order and remanded for a new hearing </w:t>
      </w:r>
      <w:r w:rsidR="00893C09">
        <w:t>with</w:t>
      </w:r>
      <w:r w:rsidR="00EF63E5">
        <w:t xml:space="preserve"> consideration of the petitioner’s ability to post bail and consideration of less restrictive alternatives in the event he could not</w:t>
      </w:r>
      <w:r w:rsidR="0007449D">
        <w:t xml:space="preserve"> afford bail</w:t>
      </w:r>
      <w:r w:rsidR="00EF63E5">
        <w:t xml:space="preserve">.  </w:t>
      </w:r>
      <w:r w:rsidR="00873BFF">
        <w:t>(</w:t>
      </w:r>
      <w:r w:rsidR="00873BFF">
        <w:rPr>
          <w:i/>
          <w:iCs/>
        </w:rPr>
        <w:t xml:space="preserve">Id. </w:t>
      </w:r>
      <w:r w:rsidR="00873BFF">
        <w:t xml:space="preserve">at p. 156.)  </w:t>
      </w:r>
      <w:r w:rsidR="00893C09">
        <w:t>The Supreme Court affirmed.  As relevant</w:t>
      </w:r>
      <w:r w:rsidR="008B697F">
        <w:t xml:space="preserve"> here, </w:t>
      </w:r>
      <w:r w:rsidR="00893C09" w:rsidRPr="00873BFF">
        <w:rPr>
          <w:i/>
          <w:iCs/>
        </w:rPr>
        <w:t>Humphrey</w:t>
      </w:r>
      <w:r w:rsidR="007F264D" w:rsidRPr="004A5D88">
        <w:t xml:space="preserve"> held</w:t>
      </w:r>
      <w:r w:rsidR="008B697F">
        <w:t xml:space="preserve">: </w:t>
      </w:r>
      <w:r w:rsidR="00C15D36" w:rsidRPr="004A5D88">
        <w:t xml:space="preserve"> </w:t>
      </w:r>
      <w:r w:rsidRPr="004A5D88">
        <w:t>“</w:t>
      </w:r>
      <w:r w:rsidR="008B697F" w:rsidRPr="00873BFF">
        <w:rPr>
          <w:color w:val="3D3D3D"/>
          <w:shd w:val="clear" w:color="auto" w:fill="FFFFFF"/>
        </w:rPr>
        <w:t xml:space="preserve">An arrestee may not be held in custody pending trial unless the court has made an individualized determination </w:t>
      </w:r>
      <w:r w:rsidR="008B697F">
        <w:rPr>
          <w:color w:val="3D3D3D"/>
          <w:shd w:val="clear" w:color="auto" w:fill="FFFFFF"/>
        </w:rPr>
        <w:t xml:space="preserve">that . . . </w:t>
      </w:r>
      <w:r w:rsidR="008B697F" w:rsidRPr="00873BFF">
        <w:rPr>
          <w:color w:val="3D3D3D"/>
          <w:shd w:val="clear" w:color="auto" w:fill="FFFFFF"/>
        </w:rPr>
        <w:t>detention is necessary to protect victim or public safety, or ensure the defendant</w:t>
      </w:r>
      <w:r w:rsidR="00893C09">
        <w:rPr>
          <w:color w:val="3D3D3D"/>
          <w:shd w:val="clear" w:color="auto" w:fill="FFFFFF"/>
        </w:rPr>
        <w:t>’</w:t>
      </w:r>
      <w:r w:rsidR="008B697F" w:rsidRPr="00873BFF">
        <w:rPr>
          <w:color w:val="3D3D3D"/>
          <w:shd w:val="clear" w:color="auto" w:fill="FFFFFF"/>
        </w:rPr>
        <w:t>s appearance, and there is clear and convincing evidence that no less restrictive alternative will reasonably vindicate those interests.</w:t>
      </w:r>
      <w:r w:rsidRPr="00C01F26">
        <w:t>”</w:t>
      </w:r>
      <w:r w:rsidR="003D271F" w:rsidRPr="00C01F26">
        <w:t xml:space="preserve">  (</w:t>
      </w:r>
      <w:r w:rsidR="00EF63E5">
        <w:rPr>
          <w:i/>
          <w:iCs/>
        </w:rPr>
        <w:t>Id</w:t>
      </w:r>
      <w:r w:rsidR="00EF63E5" w:rsidRPr="00873BFF">
        <w:t>.</w:t>
      </w:r>
      <w:r w:rsidR="0007449D">
        <w:t xml:space="preserve"> at pp. 139–140.</w:t>
      </w:r>
      <w:r w:rsidR="003D271F" w:rsidRPr="00C01F26">
        <w:t>)</w:t>
      </w:r>
      <w:r w:rsidR="009C758B">
        <w:t xml:space="preserve">  Put another way, “detention is impermissible unless no less restrictive conditions of release can adequately vindicate the state’s compelling interests.”  (</w:t>
      </w:r>
      <w:r w:rsidR="009C758B" w:rsidRPr="00873BFF">
        <w:rPr>
          <w:i/>
          <w:iCs/>
        </w:rPr>
        <w:t>Id</w:t>
      </w:r>
      <w:r w:rsidR="009C758B">
        <w:t>. at p</w:t>
      </w:r>
      <w:r w:rsidR="001638F6">
        <w:t>p</w:t>
      </w:r>
      <w:r w:rsidR="009C758B">
        <w:t>. </w:t>
      </w:r>
      <w:r w:rsidR="001638F6">
        <w:t>151–</w:t>
      </w:r>
      <w:r w:rsidR="009C758B">
        <w:t>152.)</w:t>
      </w:r>
    </w:p>
    <w:bookmarkEnd w:id="10"/>
    <w:bookmarkEnd w:id="11"/>
    <w:p w14:paraId="02CD040D" w14:textId="41C8D9DF" w:rsidR="00C758BB" w:rsidRPr="00C01F26" w:rsidRDefault="00FC510F" w:rsidP="00EE6524">
      <w:pPr>
        <w:spacing w:line="360" w:lineRule="auto"/>
      </w:pPr>
      <w:r w:rsidRPr="00C01F26">
        <w:tab/>
        <w:t xml:space="preserve">Petitioner argues </w:t>
      </w:r>
      <w:r w:rsidR="006628A6">
        <w:t xml:space="preserve">that </w:t>
      </w:r>
      <w:r w:rsidR="003C7EA8">
        <w:t>before denying bail</w:t>
      </w:r>
      <w:r w:rsidR="00457D5C">
        <w:t>,</w:t>
      </w:r>
      <w:r w:rsidR="003C7EA8">
        <w:t xml:space="preserve"> </w:t>
      </w:r>
      <w:r w:rsidRPr="00C01F26">
        <w:t>the</w:t>
      </w:r>
      <w:r w:rsidR="00F627A3" w:rsidRPr="00C01F26">
        <w:t xml:space="preserve"> trial court was required </w:t>
      </w:r>
      <w:r w:rsidR="006628A6">
        <w:t xml:space="preserve">under </w:t>
      </w:r>
      <w:r w:rsidR="006628A6" w:rsidRPr="00457D5C">
        <w:rPr>
          <w:i/>
          <w:iCs/>
        </w:rPr>
        <w:t>Humphrey</w:t>
      </w:r>
      <w:r w:rsidR="006628A6">
        <w:t xml:space="preserve"> </w:t>
      </w:r>
      <w:r w:rsidR="00893C09">
        <w:t xml:space="preserve">to find </w:t>
      </w:r>
      <w:r w:rsidR="009C758B" w:rsidRPr="0094162E">
        <w:rPr>
          <w:color w:val="3D3D3D"/>
          <w:shd w:val="clear" w:color="auto" w:fill="FFFFFF"/>
        </w:rPr>
        <w:t xml:space="preserve">clear and convincing evidence that </w:t>
      </w:r>
      <w:r w:rsidR="007C7AB2">
        <w:t>no nonfinancial condition</w:t>
      </w:r>
      <w:r w:rsidR="005A47F4">
        <w:t xml:space="preserve">—i.e., </w:t>
      </w:r>
      <w:r w:rsidR="000704C0">
        <w:t>no</w:t>
      </w:r>
      <w:r w:rsidR="005A47F4">
        <w:t xml:space="preserve"> </w:t>
      </w:r>
      <w:r w:rsidR="00893C09">
        <w:t>less restrictive alternativ</w:t>
      </w:r>
      <w:r w:rsidR="007C7AB2">
        <w:t>e</w:t>
      </w:r>
      <w:r w:rsidR="00893C09">
        <w:t xml:space="preserve"> than </w:t>
      </w:r>
      <w:r w:rsidR="005A47F4">
        <w:t>detention—</w:t>
      </w:r>
      <w:r w:rsidR="006628A6">
        <w:t xml:space="preserve">would protect </w:t>
      </w:r>
      <w:r w:rsidR="009C758B">
        <w:t xml:space="preserve">the state’s interests in </w:t>
      </w:r>
      <w:r w:rsidR="006628A6">
        <w:t>victim or public safety</w:t>
      </w:r>
      <w:r w:rsidR="009C758B">
        <w:t xml:space="preserve"> or ensuring </w:t>
      </w:r>
      <w:r w:rsidR="00381418">
        <w:t xml:space="preserve">his </w:t>
      </w:r>
      <w:r w:rsidR="009C758B">
        <w:t>appearance</w:t>
      </w:r>
      <w:r w:rsidR="003C7EA8">
        <w:t>,</w:t>
      </w:r>
      <w:r w:rsidR="008B697F">
        <w:t xml:space="preserve"> </w:t>
      </w:r>
      <w:r w:rsidR="00684FBE">
        <w:t>and</w:t>
      </w:r>
      <w:r w:rsidR="008B697F">
        <w:t xml:space="preserve"> </w:t>
      </w:r>
      <w:r w:rsidR="006628A6">
        <w:lastRenderedPageBreak/>
        <w:t xml:space="preserve">that </w:t>
      </w:r>
      <w:r w:rsidR="003C7EA8">
        <w:t>the court</w:t>
      </w:r>
      <w:r w:rsidR="006628A6">
        <w:t xml:space="preserve"> </w:t>
      </w:r>
      <w:r w:rsidR="008B697F">
        <w:t>erroneously failed to do so</w:t>
      </w:r>
      <w:r w:rsidR="00D036EE" w:rsidRPr="00C01F26">
        <w:t xml:space="preserve">.  </w:t>
      </w:r>
      <w:r w:rsidR="006962EE" w:rsidRPr="00C01F26">
        <w:t xml:space="preserve">Neither </w:t>
      </w:r>
      <w:r w:rsidR="00B167E8" w:rsidRPr="00C01F26">
        <w:t xml:space="preserve">the San Mateo County District Attorney, </w:t>
      </w:r>
      <w:r w:rsidR="004703C2" w:rsidRPr="00C01F26">
        <w:t xml:space="preserve">appearing as respondent, </w:t>
      </w:r>
      <w:r w:rsidR="006962EE" w:rsidRPr="00C01F26">
        <w:t>nor the Attorney General, appearing as amicus curiae</w:t>
      </w:r>
      <w:r w:rsidR="00EA7B72" w:rsidRPr="00C01F26">
        <w:t>,</w:t>
      </w:r>
      <w:r w:rsidR="006962EE" w:rsidRPr="00C01F26">
        <w:t xml:space="preserve"> </w:t>
      </w:r>
      <w:r w:rsidR="00EA7B72" w:rsidRPr="00C01F26">
        <w:t>disputes this</w:t>
      </w:r>
      <w:r w:rsidR="00651F52" w:rsidRPr="00C01F26">
        <w:t xml:space="preserve">. </w:t>
      </w:r>
      <w:r w:rsidR="00943445" w:rsidRPr="00C01F26">
        <w:t xml:space="preserve"> </w:t>
      </w:r>
      <w:r w:rsidR="00651F52" w:rsidRPr="00C01F26">
        <w:t>T</w:t>
      </w:r>
      <w:r w:rsidR="00943445" w:rsidRPr="00C01F26">
        <w:t xml:space="preserve">o the contrary, both </w:t>
      </w:r>
      <w:r w:rsidR="00DC0E8A">
        <w:t xml:space="preserve">acknowledge </w:t>
      </w:r>
      <w:r w:rsidR="009B34ED" w:rsidRPr="00C01F26">
        <w:t>the</w:t>
      </w:r>
      <w:r w:rsidR="00DC7360" w:rsidRPr="00C01F26">
        <w:t xml:space="preserve"> </w:t>
      </w:r>
      <w:r w:rsidR="009B34ED" w:rsidRPr="00C01F26">
        <w:t>court was required to make a finding on this point</w:t>
      </w:r>
      <w:r w:rsidR="00EA7B72" w:rsidRPr="00C01F26">
        <w:t xml:space="preserve">. </w:t>
      </w:r>
    </w:p>
    <w:p w14:paraId="1C1CC0BC" w14:textId="5F6A4806" w:rsidR="00BA4FBE" w:rsidRPr="00C01F26" w:rsidRDefault="00FC510F" w:rsidP="00A921EB">
      <w:pPr>
        <w:spacing w:line="360" w:lineRule="auto"/>
      </w:pPr>
      <w:r w:rsidRPr="00C01F26">
        <w:tab/>
      </w:r>
      <w:r w:rsidR="00F627A3" w:rsidRPr="00C01F26">
        <w:t xml:space="preserve">We </w:t>
      </w:r>
      <w:r w:rsidR="00DC0E8A">
        <w:t xml:space="preserve">likewise </w:t>
      </w:r>
      <w:r w:rsidR="00F627A3" w:rsidRPr="00C01F26">
        <w:t>agree</w:t>
      </w:r>
      <w:r w:rsidR="006628A6">
        <w:t xml:space="preserve">.  </w:t>
      </w:r>
      <w:r w:rsidR="009C2A36">
        <w:t xml:space="preserve">Although </w:t>
      </w:r>
      <w:r w:rsidR="009C2A36" w:rsidRPr="009C2A36">
        <w:rPr>
          <w:i/>
          <w:iCs/>
        </w:rPr>
        <w:t>Humphrey</w:t>
      </w:r>
      <w:r w:rsidR="009C2A36">
        <w:t xml:space="preserve"> </w:t>
      </w:r>
      <w:r w:rsidR="00684FBE">
        <w:t xml:space="preserve">involved a claim of excessive bail and not a </w:t>
      </w:r>
      <w:r w:rsidR="009C2A36" w:rsidRPr="00D83128">
        <w:t>denial</w:t>
      </w:r>
      <w:r w:rsidR="009C2A36">
        <w:t xml:space="preserve"> of bail under </w:t>
      </w:r>
      <w:r w:rsidR="009C2A36" w:rsidRPr="00CC7CEB">
        <w:t>section 12(b)</w:t>
      </w:r>
      <w:r w:rsidR="009C758B">
        <w:t xml:space="preserve"> as here</w:t>
      </w:r>
      <w:r w:rsidR="009C2A36" w:rsidRPr="00C01F26">
        <w:t xml:space="preserve">, </w:t>
      </w:r>
      <w:r w:rsidR="00A5564C" w:rsidRPr="00C01F26">
        <w:t xml:space="preserve">the generality with which </w:t>
      </w:r>
      <w:r w:rsidR="002921C9" w:rsidRPr="00C01F26">
        <w:rPr>
          <w:i/>
          <w:iCs/>
        </w:rPr>
        <w:t>Humphrey</w:t>
      </w:r>
      <w:r w:rsidR="008B62ED" w:rsidRPr="00C01F26">
        <w:t xml:space="preserve"> </w:t>
      </w:r>
      <w:r w:rsidR="00A5564C" w:rsidRPr="00C01F26">
        <w:t xml:space="preserve">laid out </w:t>
      </w:r>
      <w:r w:rsidR="00123107" w:rsidRPr="00C01F26">
        <w:t>the</w:t>
      </w:r>
      <w:r w:rsidR="00A5564C" w:rsidRPr="00C01F26">
        <w:t xml:space="preserve"> </w:t>
      </w:r>
      <w:r w:rsidR="00162C94" w:rsidRPr="00C01F26">
        <w:t xml:space="preserve">foregoing </w:t>
      </w:r>
      <w:r w:rsidR="00A5564C" w:rsidRPr="00C01F26">
        <w:t>requirement</w:t>
      </w:r>
      <w:r w:rsidR="00651897" w:rsidRPr="00B177C7">
        <w:t>—</w:t>
      </w:r>
      <w:r w:rsidR="00651897">
        <w:t xml:space="preserve">without resolving whether section 12 and </w:t>
      </w:r>
      <w:r w:rsidR="008160E8">
        <w:t xml:space="preserve">section </w:t>
      </w:r>
      <w:r w:rsidR="00651897">
        <w:t>28</w:t>
      </w:r>
      <w:r w:rsidR="008160E8">
        <w:t>, subdivision (f)(3)</w:t>
      </w:r>
      <w:r w:rsidR="00651897">
        <w:t xml:space="preserve"> of </w:t>
      </w:r>
      <w:r w:rsidR="00684FBE">
        <w:t xml:space="preserve">article I </w:t>
      </w:r>
      <w:r w:rsidR="008160E8">
        <w:t xml:space="preserve">of </w:t>
      </w:r>
      <w:r w:rsidR="00651897">
        <w:t>the California Constitution</w:t>
      </w:r>
      <w:r w:rsidR="001C527E">
        <w:t xml:space="preserve"> “can or should be reconciled”</w:t>
      </w:r>
      <w:r>
        <w:rPr>
          <w:rStyle w:val="FootnoteReference"/>
        </w:rPr>
        <w:footnoteReference w:id="3"/>
      </w:r>
      <w:r w:rsidR="003B7D6C">
        <w:t xml:space="preserve"> </w:t>
      </w:r>
      <w:r w:rsidR="00651897">
        <w:t>(</w:t>
      </w:r>
      <w:r w:rsidR="00651897" w:rsidRPr="00457D5C">
        <w:rPr>
          <w:i/>
          <w:iCs/>
        </w:rPr>
        <w:t>Humphrey</w:t>
      </w:r>
      <w:r w:rsidR="00651897">
        <w:t xml:space="preserve">, at p. 155, </w:t>
      </w:r>
      <w:r w:rsidR="00651897">
        <w:lastRenderedPageBreak/>
        <w:t>fn. 7)</w:t>
      </w:r>
      <w:r w:rsidR="00651897" w:rsidRPr="00B177C7">
        <w:t>—</w:t>
      </w:r>
      <w:r w:rsidR="00DC0E8A">
        <w:t xml:space="preserve">reasonably indicates the </w:t>
      </w:r>
      <w:r w:rsidR="008A45FA">
        <w:t>Supreme C</w:t>
      </w:r>
      <w:r w:rsidR="00DC0E8A">
        <w:t>ourt’s contemplation that its holding</w:t>
      </w:r>
      <w:r w:rsidR="00A5564C" w:rsidRPr="00C01F26">
        <w:t xml:space="preserve"> applies to </w:t>
      </w:r>
      <w:r w:rsidR="00684FBE">
        <w:t xml:space="preserve">all </w:t>
      </w:r>
      <w:r w:rsidR="0084603F" w:rsidRPr="00C01F26">
        <w:t>orders for pretrial detention</w:t>
      </w:r>
      <w:r w:rsidR="004D067C" w:rsidRPr="00C01F26">
        <w:t xml:space="preserve"> under section 12(b)</w:t>
      </w:r>
      <w:r w:rsidR="00A5564C" w:rsidRPr="00C01F26">
        <w:t>.</w:t>
      </w:r>
      <w:r w:rsidR="005C7221" w:rsidRPr="00C01F26">
        <w:t xml:space="preserve"> </w:t>
      </w:r>
      <w:r w:rsidR="00CB3D6F" w:rsidRPr="00C01F26">
        <w:t xml:space="preserve"> (</w:t>
      </w:r>
      <w:r w:rsidR="00684FBE">
        <w:t xml:space="preserve">See </w:t>
      </w:r>
      <w:r w:rsidR="00C431B4" w:rsidRPr="00C01F26">
        <w:rPr>
          <w:i/>
          <w:iCs/>
        </w:rPr>
        <w:t>Humphrey</w:t>
      </w:r>
      <w:r w:rsidR="00C431B4" w:rsidRPr="00C01F26">
        <w:t xml:space="preserve">, at </w:t>
      </w:r>
      <w:r w:rsidR="00CB3D6F" w:rsidRPr="00C01F26">
        <w:t>p</w:t>
      </w:r>
      <w:r w:rsidR="00C431B4" w:rsidRPr="00C01F26">
        <w:t>p.</w:t>
      </w:r>
      <w:r w:rsidR="00892705">
        <w:t> </w:t>
      </w:r>
      <w:r w:rsidR="00CB3D6F" w:rsidRPr="00C01F26">
        <w:t>15</w:t>
      </w:r>
      <w:r w:rsidR="00684FBE">
        <w:t>2, 15</w:t>
      </w:r>
      <w:r w:rsidR="00CB3D6F" w:rsidRPr="00C01F26">
        <w:t>4</w:t>
      </w:r>
      <w:r w:rsidR="003C7EA8">
        <w:t>,</w:t>
      </w:r>
      <w:r w:rsidR="00CB3D6F" w:rsidRPr="00C01F26">
        <w:t xml:space="preserve"> </w:t>
      </w:r>
      <w:r w:rsidR="00C431B4" w:rsidRPr="00C01F26">
        <w:t>156</w:t>
      </w:r>
      <w:r w:rsidR="00CB3D6F" w:rsidRPr="00C01F26">
        <w:t>.)</w:t>
      </w:r>
    </w:p>
    <w:p w14:paraId="3CDC55F1" w14:textId="672481F0" w:rsidR="00486189" w:rsidRPr="00C01F26" w:rsidRDefault="00FC510F" w:rsidP="00457D5C">
      <w:pPr>
        <w:keepNext/>
        <w:spacing w:line="360" w:lineRule="auto"/>
        <w:rPr>
          <w:b/>
          <w:bCs/>
        </w:rPr>
      </w:pPr>
      <w:bookmarkStart w:id="12" w:name="_Hlk85535697"/>
      <w:r w:rsidRPr="00C01F26">
        <w:tab/>
      </w:r>
      <w:bookmarkEnd w:id="7"/>
      <w:bookmarkEnd w:id="9"/>
      <w:r w:rsidRPr="00C01F26">
        <w:rPr>
          <w:b/>
          <w:bCs/>
        </w:rPr>
        <w:t xml:space="preserve">B.  </w:t>
      </w:r>
      <w:r w:rsidR="00B167E8" w:rsidRPr="00C01F26">
        <w:rPr>
          <w:b/>
          <w:bCs/>
        </w:rPr>
        <w:t>Application of</w:t>
      </w:r>
      <w:r w:rsidRPr="00C01F26">
        <w:rPr>
          <w:b/>
          <w:bCs/>
        </w:rPr>
        <w:t xml:space="preserve"> the Standards</w:t>
      </w:r>
    </w:p>
    <w:bookmarkEnd w:id="12"/>
    <w:p w14:paraId="57CE0BAD" w14:textId="39606A11" w:rsidR="004D067C" w:rsidRPr="00C01F26" w:rsidRDefault="00FC510F" w:rsidP="007470B7">
      <w:pPr>
        <w:spacing w:line="360" w:lineRule="auto"/>
      </w:pPr>
      <w:r w:rsidRPr="00C01F26">
        <w:tab/>
      </w:r>
      <w:r w:rsidR="00B86FC0" w:rsidRPr="00C01F26">
        <w:t>Having</w:t>
      </w:r>
      <w:r w:rsidRPr="00C01F26">
        <w:t xml:space="preserve"> </w:t>
      </w:r>
      <w:r w:rsidR="00BD4035" w:rsidRPr="00C01F26">
        <w:t>identified</w:t>
      </w:r>
      <w:r w:rsidR="00B167E8" w:rsidRPr="00C01F26">
        <w:t xml:space="preserve"> </w:t>
      </w:r>
      <w:r w:rsidRPr="00C01F26">
        <w:t xml:space="preserve">the </w:t>
      </w:r>
      <w:r w:rsidR="00BB189A" w:rsidRPr="00C01F26">
        <w:t>legal standards applicable to the trial court’s decision to deny bail</w:t>
      </w:r>
      <w:r w:rsidRPr="00C01F26">
        <w:t xml:space="preserve">, we </w:t>
      </w:r>
      <w:r w:rsidR="00B86FC0" w:rsidRPr="00C01F26">
        <w:t xml:space="preserve">proceed to </w:t>
      </w:r>
      <w:r w:rsidR="008511C8" w:rsidRPr="00C01F26">
        <w:t>examine</w:t>
      </w:r>
      <w:r w:rsidRPr="00C01F26">
        <w:t xml:space="preserve"> </w:t>
      </w:r>
      <w:r w:rsidR="006E472D" w:rsidRPr="00C01F26">
        <w:t xml:space="preserve">petitioner’s arguments about </w:t>
      </w:r>
      <w:r w:rsidR="00BD4035" w:rsidRPr="00C01F26">
        <w:t>how</w:t>
      </w:r>
      <w:r w:rsidRPr="00C01F26">
        <w:t xml:space="preserve"> </w:t>
      </w:r>
      <w:r w:rsidR="0009157B">
        <w:t>such standards</w:t>
      </w:r>
      <w:r w:rsidRPr="00C01F26">
        <w:t xml:space="preserve"> </w:t>
      </w:r>
      <w:r w:rsidR="00387404" w:rsidRPr="00C01F26">
        <w:t>may be</w:t>
      </w:r>
      <w:r w:rsidRPr="00C01F26">
        <w:t xml:space="preserve"> satisfied</w:t>
      </w:r>
      <w:r w:rsidR="00387404" w:rsidRPr="00C01F26">
        <w:t xml:space="preserve">, </w:t>
      </w:r>
      <w:r w:rsidR="00B8314B" w:rsidRPr="00C01F26">
        <w:t>and</w:t>
      </w:r>
      <w:r w:rsidR="00387404" w:rsidRPr="00C01F26">
        <w:t xml:space="preserve"> whether they were satisfied</w:t>
      </w:r>
      <w:r w:rsidR="0009157B">
        <w:t xml:space="preserve"> here</w:t>
      </w:r>
      <w:r w:rsidRPr="00C01F26">
        <w:t>.</w:t>
      </w:r>
    </w:p>
    <w:p w14:paraId="4E98440A" w14:textId="35FE7E9F" w:rsidR="00387404" w:rsidRPr="00C01F26" w:rsidRDefault="00FC510F" w:rsidP="000704C0">
      <w:pPr>
        <w:keepNext/>
        <w:spacing w:line="360" w:lineRule="auto"/>
        <w:rPr>
          <w:i/>
          <w:iCs/>
        </w:rPr>
      </w:pPr>
      <w:bookmarkStart w:id="13" w:name="_Hlk85535704"/>
      <w:r w:rsidRPr="00C01F26">
        <w:rPr>
          <w:i/>
          <w:iCs/>
        </w:rPr>
        <w:tab/>
      </w:r>
      <w:r w:rsidRPr="00C01F26">
        <w:rPr>
          <w:i/>
          <w:iCs/>
        </w:rPr>
        <w:tab/>
      </w:r>
      <w:r w:rsidR="005F7322" w:rsidRPr="00C01F26">
        <w:rPr>
          <w:i/>
          <w:iCs/>
        </w:rPr>
        <w:t>1</w:t>
      </w:r>
      <w:r w:rsidRPr="00C01F26">
        <w:rPr>
          <w:i/>
          <w:iCs/>
        </w:rPr>
        <w:t>.  Proffered Evidence</w:t>
      </w:r>
    </w:p>
    <w:bookmarkEnd w:id="13"/>
    <w:p w14:paraId="427D5DB4" w14:textId="22604951" w:rsidR="00B53175" w:rsidRPr="00B177C7" w:rsidRDefault="00FC510F" w:rsidP="007470B7">
      <w:pPr>
        <w:spacing w:line="360" w:lineRule="auto"/>
      </w:pPr>
      <w:r w:rsidRPr="00C01F26">
        <w:tab/>
      </w:r>
      <w:r w:rsidR="00B46967">
        <w:t>Petitioner first claims</w:t>
      </w:r>
      <w:r w:rsidR="00834FB6" w:rsidRPr="00C01F26">
        <w:t xml:space="preserve"> </w:t>
      </w:r>
      <w:r w:rsidR="00A01DA8" w:rsidRPr="00C01F26">
        <w:t>the</w:t>
      </w:r>
      <w:r w:rsidR="00387404" w:rsidRPr="00C01F26">
        <w:t xml:space="preserve"> </w:t>
      </w:r>
      <w:r w:rsidR="00E9547A" w:rsidRPr="00C01F26">
        <w:t>applicable</w:t>
      </w:r>
      <w:r w:rsidR="00A01DA8" w:rsidRPr="00C01F26">
        <w:t xml:space="preserve"> clear and convincing evidence</w:t>
      </w:r>
      <w:r w:rsidR="00324F9E" w:rsidRPr="00C01F26">
        <w:t xml:space="preserve"> </w:t>
      </w:r>
      <w:r w:rsidR="009F4CA2" w:rsidRPr="00C01F26">
        <w:t xml:space="preserve">standard </w:t>
      </w:r>
      <w:r w:rsidR="0009157B">
        <w:t>cannot be met based on proffers of</w:t>
      </w:r>
      <w:r w:rsidR="00834FB6" w:rsidRPr="00C01F26">
        <w:t xml:space="preserve"> evidence</w:t>
      </w:r>
      <w:r w:rsidR="00BC072C" w:rsidRPr="00C01F26">
        <w:t>.</w:t>
      </w:r>
      <w:r w:rsidR="00DC3066" w:rsidRPr="00C01F26">
        <w:t xml:space="preserve"> </w:t>
      </w:r>
      <w:r w:rsidR="003C162E" w:rsidRPr="00C01F26">
        <w:t xml:space="preserve"> </w:t>
      </w:r>
      <w:r w:rsidR="00F052FB" w:rsidRPr="00C01F26">
        <w:t>C</w:t>
      </w:r>
      <w:r w:rsidR="00D860F4" w:rsidRPr="00C01F26">
        <w:t>iting</w:t>
      </w:r>
      <w:r w:rsidR="00BC072C" w:rsidRPr="00C01F26">
        <w:t xml:space="preserve"> </w:t>
      </w:r>
      <w:r w:rsidR="00DC3066" w:rsidRPr="00C01F26">
        <w:t xml:space="preserve">the </w:t>
      </w:r>
      <w:r w:rsidR="0009157B">
        <w:t xml:space="preserve">statutory </w:t>
      </w:r>
      <w:r w:rsidR="00DC3066" w:rsidRPr="00C01F26">
        <w:t>definition</w:t>
      </w:r>
      <w:r w:rsidR="00C24C52" w:rsidRPr="00C01F26">
        <w:t>s</w:t>
      </w:r>
      <w:r w:rsidR="00DC3066" w:rsidRPr="00C01F26">
        <w:t xml:space="preserve"> of “</w:t>
      </w:r>
      <w:r w:rsidR="003C162E" w:rsidRPr="00C01F26">
        <w:t>evidence</w:t>
      </w:r>
      <w:r w:rsidR="00C24C52" w:rsidRPr="00C01F26">
        <w:t>,</w:t>
      </w:r>
      <w:r w:rsidR="003C162E" w:rsidRPr="00C01F26">
        <w:t xml:space="preserve">” </w:t>
      </w:r>
      <w:r w:rsidR="0007449D" w:rsidRPr="00C01F26">
        <w:t>“preliminary fact</w:t>
      </w:r>
      <w:r w:rsidR="0007449D">
        <w:t>,</w:t>
      </w:r>
      <w:r w:rsidR="0007449D" w:rsidRPr="00C01F26">
        <w:t>”</w:t>
      </w:r>
      <w:r w:rsidR="0007449D">
        <w:t xml:space="preserve"> and </w:t>
      </w:r>
      <w:r w:rsidR="000D1DD2" w:rsidRPr="00C01F26">
        <w:t>“proffered evidence</w:t>
      </w:r>
      <w:r w:rsidR="00C24C52" w:rsidRPr="00C01F26">
        <w:t>,</w:t>
      </w:r>
      <w:r w:rsidR="000D1DD2" w:rsidRPr="00C01F26">
        <w:t xml:space="preserve">” </w:t>
      </w:r>
      <w:r w:rsidR="0009157B">
        <w:t>(Evid. Code, §§</w:t>
      </w:r>
      <w:r w:rsidR="006D2487" w:rsidRPr="00C01F26">
        <w:t> </w:t>
      </w:r>
      <w:r w:rsidR="00C24C52" w:rsidRPr="00C01F26">
        <w:t>140,</w:t>
      </w:r>
      <w:r w:rsidR="000D1DD2" w:rsidRPr="00C01F26">
        <w:t xml:space="preserve"> 400</w:t>
      </w:r>
      <w:r w:rsidR="00F052FB" w:rsidRPr="00C01F26">
        <w:t>,</w:t>
      </w:r>
      <w:r w:rsidR="000D1DD2" w:rsidRPr="00C01F26">
        <w:t xml:space="preserve"> 401</w:t>
      </w:r>
      <w:r w:rsidR="0009157B">
        <w:t>, respectively)</w:t>
      </w:r>
      <w:r w:rsidR="00D860F4" w:rsidRPr="00C01F26">
        <w:t>,</w:t>
      </w:r>
      <w:r w:rsidR="00F052FB" w:rsidRPr="00C01F26">
        <w:t xml:space="preserve"> </w:t>
      </w:r>
      <w:r w:rsidR="00D860F4" w:rsidRPr="00C01F26">
        <w:t>p</w:t>
      </w:r>
      <w:r w:rsidR="00F052FB" w:rsidRPr="00C01F26">
        <w:t xml:space="preserve">etitioner contends </w:t>
      </w:r>
      <w:r w:rsidR="00480E31">
        <w:t xml:space="preserve">section 12 </w:t>
      </w:r>
      <w:r w:rsidR="00364F31">
        <w:t xml:space="preserve">and </w:t>
      </w:r>
      <w:r w:rsidR="00364F31" w:rsidRPr="00364F31">
        <w:rPr>
          <w:i/>
          <w:iCs/>
        </w:rPr>
        <w:t>Humphrey</w:t>
      </w:r>
      <w:r w:rsidR="00364F31">
        <w:t xml:space="preserve"> </w:t>
      </w:r>
      <w:r w:rsidR="00480E31">
        <w:t xml:space="preserve">require that </w:t>
      </w:r>
      <w:r w:rsidR="00F052FB" w:rsidRPr="00C01F26">
        <w:t>the People present “actual evidence”</w:t>
      </w:r>
      <w:r w:rsidR="00BC072C" w:rsidRPr="00C01F26">
        <w:t xml:space="preserve"> </w:t>
      </w:r>
      <w:r w:rsidR="009E474A">
        <w:t xml:space="preserve">to support a bail denial.  In other words, </w:t>
      </w:r>
      <w:r w:rsidR="00C24C52" w:rsidRPr="00C01F26">
        <w:t>only</w:t>
      </w:r>
      <w:r w:rsidR="00B4364B" w:rsidRPr="00C01F26">
        <w:t xml:space="preserve"> evidence</w:t>
      </w:r>
      <w:r w:rsidR="009E39C2" w:rsidRPr="00C01F26">
        <w:t xml:space="preserve"> </w:t>
      </w:r>
      <w:r w:rsidR="009E474A">
        <w:t xml:space="preserve">that would be </w:t>
      </w:r>
      <w:r w:rsidR="009E39C2" w:rsidRPr="00C01F26">
        <w:t>admissible at a formal trial</w:t>
      </w:r>
      <w:r w:rsidR="00C24C52" w:rsidRPr="00C01F26">
        <w:t xml:space="preserve"> </w:t>
      </w:r>
      <w:r w:rsidR="00D860F4" w:rsidRPr="00C01F26">
        <w:t xml:space="preserve">can </w:t>
      </w:r>
      <w:r w:rsidR="00BC072C" w:rsidRPr="00C01F26">
        <w:t>support</w:t>
      </w:r>
      <w:r w:rsidR="004312CE" w:rsidRPr="00C01F26">
        <w:t xml:space="preserve"> </w:t>
      </w:r>
      <w:r w:rsidR="00BC072C" w:rsidRPr="00C01F26">
        <w:t>pretrial detention</w:t>
      </w:r>
      <w:r w:rsidR="00975762" w:rsidRPr="00C01F26">
        <w:t xml:space="preserve">. </w:t>
      </w:r>
      <w:r w:rsidR="0009157B">
        <w:t xml:space="preserve"> </w:t>
      </w:r>
      <w:r w:rsidR="00390A59">
        <w:t xml:space="preserve">Petitioner </w:t>
      </w:r>
      <w:r w:rsidR="00A36851">
        <w:t xml:space="preserve">also </w:t>
      </w:r>
      <w:r w:rsidR="00390A59">
        <w:t xml:space="preserve">suggests that </w:t>
      </w:r>
      <w:r w:rsidR="00071F2C">
        <w:t>pretrial detention based on proffer</w:t>
      </w:r>
      <w:r w:rsidR="009C5E36">
        <w:t>ed evidence</w:t>
      </w:r>
      <w:r w:rsidR="00071F2C">
        <w:t xml:space="preserve"> violates </w:t>
      </w:r>
      <w:r w:rsidR="00390A59">
        <w:t xml:space="preserve">due process.  </w:t>
      </w:r>
      <w:r w:rsidR="0009157B">
        <w:t>We are not persuaded.</w:t>
      </w:r>
    </w:p>
    <w:p w14:paraId="3F362DCF" w14:textId="30508F16" w:rsidR="007315B5" w:rsidRDefault="00FC510F" w:rsidP="007315B5">
      <w:pPr>
        <w:spacing w:line="360" w:lineRule="auto"/>
      </w:pPr>
      <w:r w:rsidRPr="00B177C7">
        <w:tab/>
      </w:r>
      <w:r w:rsidR="00BE4A71" w:rsidRPr="00B177C7">
        <w:t>Evidence Code section</w:t>
      </w:r>
      <w:r w:rsidR="006D2487" w:rsidRPr="00B177C7">
        <w:t> </w:t>
      </w:r>
      <w:r w:rsidR="00BE4A71" w:rsidRPr="00B177C7">
        <w:t>140 generally defines t</w:t>
      </w:r>
      <w:r w:rsidRPr="00B177C7">
        <w:t>he term “</w:t>
      </w:r>
      <w:r w:rsidR="004674F0">
        <w:t> ‘[</w:t>
      </w:r>
      <w:r w:rsidRPr="00B177C7">
        <w:t>e</w:t>
      </w:r>
      <w:r w:rsidR="004674F0">
        <w:t>]</w:t>
      </w:r>
      <w:r w:rsidRPr="00B177C7">
        <w:t>vidence</w:t>
      </w:r>
      <w:r w:rsidR="004674F0">
        <w:t>’ </w:t>
      </w:r>
      <w:r w:rsidRPr="00B177C7">
        <w:t>” as “testimony, writings, material objects, or other things presented to the senses that are o</w:t>
      </w:r>
      <w:r w:rsidRPr="00B177C7">
        <w:t>ffered to prove the existence or nonexistence of a fact.”</w:t>
      </w:r>
      <w:r w:rsidR="00543595" w:rsidRPr="00B177C7">
        <w:t xml:space="preserve"> </w:t>
      </w:r>
      <w:r w:rsidR="00F905FF" w:rsidRPr="00B177C7">
        <w:t xml:space="preserve"> Evidence Code section</w:t>
      </w:r>
      <w:r w:rsidR="006D2487" w:rsidRPr="00B177C7">
        <w:t> </w:t>
      </w:r>
      <w:r w:rsidR="00F905FF" w:rsidRPr="00B177C7">
        <w:t>400 defines “</w:t>
      </w:r>
      <w:r w:rsidR="004674F0">
        <w:t> ‘</w:t>
      </w:r>
      <w:r w:rsidR="00F905FF" w:rsidRPr="00B177C7">
        <w:t>preliminary fact</w:t>
      </w:r>
      <w:r w:rsidR="004674F0">
        <w:t>’ </w:t>
      </w:r>
      <w:r w:rsidR="00F905FF" w:rsidRPr="00B177C7">
        <w:t>” as “a fact upon the existence or nonexistence of which depends the admissibility or inadmissibility of evidence.”  Evidence Code section</w:t>
      </w:r>
      <w:r w:rsidR="006D2487" w:rsidRPr="00B177C7">
        <w:t> </w:t>
      </w:r>
      <w:r w:rsidR="00F905FF" w:rsidRPr="00B177C7">
        <w:t>401 defines “</w:t>
      </w:r>
      <w:r w:rsidR="004674F0">
        <w:t> ‘</w:t>
      </w:r>
      <w:r w:rsidR="00F905FF" w:rsidRPr="00B177C7">
        <w:t>proffered evidence</w:t>
      </w:r>
      <w:r w:rsidR="004674F0">
        <w:t>’ </w:t>
      </w:r>
      <w:r w:rsidR="00F905FF" w:rsidRPr="00B177C7">
        <w:t>” as “</w:t>
      </w:r>
      <w:r w:rsidR="00F905FF" w:rsidRPr="00B177C7">
        <w:rPr>
          <w:i/>
          <w:iCs/>
        </w:rPr>
        <w:t>evidence</w:t>
      </w:r>
      <w:r w:rsidR="00F905FF" w:rsidRPr="00B177C7">
        <w:t>, the admissibility or inadmissibility of which is dependent upon the existence or nonexistence of a preliminary fact.”</w:t>
      </w:r>
      <w:r w:rsidRPr="00B177C7">
        <w:t xml:space="preserve">  </w:t>
      </w:r>
      <w:r w:rsidR="00EF328A" w:rsidRPr="00B177C7">
        <w:t xml:space="preserve">(Italics added.)  </w:t>
      </w:r>
      <w:r w:rsidR="00F905FF" w:rsidRPr="00B177C7">
        <w:t>Nothing in these</w:t>
      </w:r>
      <w:r w:rsidR="00B4364B" w:rsidRPr="00B177C7">
        <w:t xml:space="preserve"> statute</w:t>
      </w:r>
      <w:r w:rsidR="00F905FF" w:rsidRPr="00B177C7">
        <w:t>s</w:t>
      </w:r>
      <w:r w:rsidR="00B4364B" w:rsidRPr="00B177C7">
        <w:t xml:space="preserve"> </w:t>
      </w:r>
      <w:r w:rsidR="009327EC" w:rsidRPr="00B177C7">
        <w:t>indicate</w:t>
      </w:r>
      <w:r w:rsidR="00D860F4" w:rsidRPr="00B177C7">
        <w:t>s</w:t>
      </w:r>
      <w:r w:rsidR="009327EC" w:rsidRPr="00B177C7">
        <w:t xml:space="preserve"> </w:t>
      </w:r>
      <w:r w:rsidR="00D860F4" w:rsidRPr="00B177C7">
        <w:t xml:space="preserve">that </w:t>
      </w:r>
      <w:r w:rsidR="00D4098A" w:rsidRPr="00B177C7">
        <w:t>the word</w:t>
      </w:r>
      <w:r w:rsidR="009327EC" w:rsidRPr="00B177C7">
        <w:t xml:space="preserve"> “evidence”</w:t>
      </w:r>
      <w:r w:rsidR="00D4098A" w:rsidRPr="00B177C7">
        <w:t>—</w:t>
      </w:r>
      <w:r w:rsidR="00D860F4" w:rsidRPr="00B177C7">
        <w:t>as</w:t>
      </w:r>
      <w:r w:rsidR="00D4098A" w:rsidRPr="00B177C7">
        <w:t xml:space="preserve"> used </w:t>
      </w:r>
      <w:r w:rsidR="00637C7D" w:rsidRPr="00B177C7">
        <w:t xml:space="preserve">in </w:t>
      </w:r>
      <w:r w:rsidR="00D4098A" w:rsidRPr="00B177C7">
        <w:t>section 12—</w:t>
      </w:r>
      <w:r w:rsidR="009327EC" w:rsidRPr="00B177C7">
        <w:t xml:space="preserve">denotes only </w:t>
      </w:r>
      <w:r w:rsidR="00DD6C2F" w:rsidRPr="00B177C7">
        <w:t>evidence</w:t>
      </w:r>
      <w:r w:rsidR="002852A7" w:rsidRPr="00B177C7">
        <w:t xml:space="preserve"> that</w:t>
      </w:r>
      <w:r w:rsidR="009327EC" w:rsidRPr="00B177C7">
        <w:t xml:space="preserve"> is admissible at a</w:t>
      </w:r>
      <w:r w:rsidR="00BE4A71" w:rsidRPr="00B177C7">
        <w:t xml:space="preserve"> formal</w:t>
      </w:r>
      <w:r w:rsidR="009327EC" w:rsidRPr="00B177C7">
        <w:t xml:space="preserve"> trial</w:t>
      </w:r>
      <w:r w:rsidR="00620726" w:rsidRPr="00B177C7">
        <w:t xml:space="preserve">.  </w:t>
      </w:r>
      <w:r w:rsidR="00D80A54">
        <w:t>Notably,</w:t>
      </w:r>
      <w:r w:rsidR="00004E87" w:rsidRPr="00B177C7">
        <w:t xml:space="preserve"> </w:t>
      </w:r>
      <w:r w:rsidR="00E40B36">
        <w:t>section 12</w:t>
      </w:r>
      <w:r w:rsidR="00004E87" w:rsidRPr="00B177C7">
        <w:t xml:space="preserve"> </w:t>
      </w:r>
      <w:r w:rsidR="00004E87" w:rsidRPr="00B177C7">
        <w:lastRenderedPageBreak/>
        <w:t>itself make</w:t>
      </w:r>
      <w:r w:rsidR="00E40B36">
        <w:t>s</w:t>
      </w:r>
      <w:r w:rsidR="00004E87" w:rsidRPr="00B177C7">
        <w:t xml:space="preserve"> no mention of a requirement that</w:t>
      </w:r>
      <w:r w:rsidR="00940CB2" w:rsidRPr="00B177C7">
        <w:t xml:space="preserve"> </w:t>
      </w:r>
      <w:r w:rsidR="00681DF1" w:rsidRPr="00B177C7">
        <w:t>evidence</w:t>
      </w:r>
      <w:r w:rsidR="00772685" w:rsidRPr="00B177C7">
        <w:t xml:space="preserve"> </w:t>
      </w:r>
      <w:r w:rsidR="00940CB2" w:rsidRPr="00B177C7">
        <w:t>be</w:t>
      </w:r>
      <w:r w:rsidR="00681DF1" w:rsidRPr="00B177C7">
        <w:t xml:space="preserve"> presented </w:t>
      </w:r>
      <w:r w:rsidR="00772685" w:rsidRPr="00B177C7">
        <w:t>in accord with</w:t>
      </w:r>
      <w:r w:rsidR="00DA5325" w:rsidRPr="00B177C7">
        <w:t xml:space="preserve"> all</w:t>
      </w:r>
      <w:r w:rsidR="00772685" w:rsidRPr="00B177C7">
        <w:t xml:space="preserve"> </w:t>
      </w:r>
      <w:r w:rsidR="002D1DA0" w:rsidRPr="00B177C7">
        <w:t>the</w:t>
      </w:r>
      <w:r w:rsidR="00772685" w:rsidRPr="00B177C7">
        <w:t xml:space="preserve"> formal rules of evidence </w:t>
      </w:r>
      <w:r w:rsidR="00004E87" w:rsidRPr="00B177C7">
        <w:t>for admissibility</w:t>
      </w:r>
      <w:r w:rsidR="00681DF1" w:rsidRPr="00B177C7">
        <w:t xml:space="preserve"> at a trial</w:t>
      </w:r>
      <w:r w:rsidR="00DA5325" w:rsidRPr="00B177C7">
        <w:t>.</w:t>
      </w:r>
      <w:r>
        <w:rPr>
          <w:rStyle w:val="FootnoteReference"/>
        </w:rPr>
        <w:footnoteReference w:id="4"/>
      </w:r>
    </w:p>
    <w:p w14:paraId="1C874E8E" w14:textId="6E00D446" w:rsidR="00B46967" w:rsidRDefault="00FC510F" w:rsidP="00430ECE">
      <w:pPr>
        <w:spacing w:line="360" w:lineRule="auto"/>
      </w:pPr>
      <w:r>
        <w:tab/>
      </w:r>
      <w:r w:rsidR="00F439CF">
        <w:t>S</w:t>
      </w:r>
      <w:r w:rsidR="00027613">
        <w:t>ignificantly</w:t>
      </w:r>
      <w:r w:rsidR="00977702" w:rsidRPr="00C01F26">
        <w:t xml:space="preserve">, </w:t>
      </w:r>
      <w:r w:rsidR="003C7EA8">
        <w:t>in the analogous context of</w:t>
      </w:r>
      <w:r w:rsidR="00977702" w:rsidRPr="00C01F26">
        <w:t xml:space="preserve"> the federal Bail Reform Act </w:t>
      </w:r>
      <w:r w:rsidR="0072607B" w:rsidRPr="00C01F26">
        <w:t>(18 U.S.C. § </w:t>
      </w:r>
      <w:r w:rsidR="0072607B">
        <w:t>3141 et seq</w:t>
      </w:r>
      <w:r w:rsidR="0072607B" w:rsidRPr="009D2EC9">
        <w:t>.)</w:t>
      </w:r>
      <w:r w:rsidR="003C7EA8" w:rsidRPr="009D2EC9">
        <w:t xml:space="preserve">, </w:t>
      </w:r>
      <w:r w:rsidR="00C83B26" w:rsidRPr="009D2EC9">
        <w:t xml:space="preserve">a </w:t>
      </w:r>
      <w:r w:rsidR="009C5E36" w:rsidRPr="009D2EC9">
        <w:t>proffer</w:t>
      </w:r>
      <w:r w:rsidR="00730B86" w:rsidRPr="009D2EC9">
        <w:t xml:space="preserve"> of</w:t>
      </w:r>
      <w:r w:rsidR="009C5E36" w:rsidRPr="009D2EC9">
        <w:t xml:space="preserve"> evidence </w:t>
      </w:r>
      <w:r w:rsidR="00C83B26" w:rsidRPr="009D2EC9">
        <w:t xml:space="preserve">that does not meet the </w:t>
      </w:r>
      <w:r w:rsidR="007E216A" w:rsidRPr="009D2EC9">
        <w:t xml:space="preserve">rules </w:t>
      </w:r>
      <w:r w:rsidR="00C83B26" w:rsidRPr="009D2EC9">
        <w:t xml:space="preserve">for admissibility at trial </w:t>
      </w:r>
      <w:r w:rsidR="009C5E36" w:rsidRPr="009D2EC9">
        <w:t xml:space="preserve">can satisfy the clear and convincing evidence standard, and </w:t>
      </w:r>
      <w:r w:rsidR="003C7EA8" w:rsidRPr="009D2EC9">
        <w:t>federal decisions</w:t>
      </w:r>
      <w:r w:rsidR="0072607B">
        <w:t xml:space="preserve"> </w:t>
      </w:r>
      <w:r w:rsidR="00AA4109">
        <w:t>hold or otherwise recognize</w:t>
      </w:r>
      <w:r w:rsidR="0072607B" w:rsidRPr="0094162E">
        <w:t xml:space="preserve"> that proceeding by proffer does not violate due process</w:t>
      </w:r>
      <w:r w:rsidR="0072607B">
        <w:t xml:space="preserve">.  </w:t>
      </w:r>
      <w:r w:rsidR="00430ECE">
        <w:t>As relevant here, the federal act provides:  “</w:t>
      </w:r>
      <w:r w:rsidRPr="007315B5">
        <w:t>The rules concerning admissibility of evidence</w:t>
      </w:r>
      <w:r w:rsidRPr="007315B5">
        <w:t xml:space="preserve"> in criminal trials do not apply to the presentation and consideration of information at the </w:t>
      </w:r>
      <w:r w:rsidR="00430ECE">
        <w:t xml:space="preserve">[pretrial detention] </w:t>
      </w:r>
      <w:r w:rsidRPr="007315B5">
        <w:t xml:space="preserve">hearing. </w:t>
      </w:r>
      <w:r w:rsidR="00430ECE">
        <w:t xml:space="preserve"> </w:t>
      </w:r>
      <w:r w:rsidRPr="007315B5">
        <w:t xml:space="preserve">The facts the judicial officer uses to support a finding </w:t>
      </w:r>
      <w:r w:rsidR="00575C75">
        <w:t xml:space="preserve">. . . </w:t>
      </w:r>
      <w:r w:rsidRPr="007315B5">
        <w:t>that no condition or combination of conditions will reasonably assure</w:t>
      </w:r>
      <w:r w:rsidRPr="007315B5">
        <w:t xml:space="preserve"> the safety of any other person and the community shall be supported by clear and convincing evidence.</w:t>
      </w:r>
      <w:r w:rsidR="00430ECE">
        <w:t xml:space="preserve">”  (18 U.S.C. § 3142(f).)  </w:t>
      </w:r>
      <w:r w:rsidR="008E4CE7">
        <w:t xml:space="preserve">The United States Supreme Court has </w:t>
      </w:r>
      <w:r w:rsidR="00430ECE">
        <w:t>upheld the facial validity of the act’s detention procedures</w:t>
      </w:r>
      <w:r w:rsidR="00977702" w:rsidRPr="00977702">
        <w:t xml:space="preserve"> </w:t>
      </w:r>
      <w:r w:rsidR="00977702" w:rsidRPr="00C01F26">
        <w:t>(</w:t>
      </w:r>
      <w:r w:rsidR="00977702" w:rsidRPr="00C01F26">
        <w:rPr>
          <w:i/>
          <w:iCs/>
        </w:rPr>
        <w:t>United States v. Salerno</w:t>
      </w:r>
      <w:r w:rsidR="00977702" w:rsidRPr="00C01F26">
        <w:t xml:space="preserve"> (1987) 481 U.S. 739, 746–747, 751–752</w:t>
      </w:r>
      <w:r w:rsidR="004674F0">
        <w:t xml:space="preserve"> (</w:t>
      </w:r>
      <w:r w:rsidR="004674F0" w:rsidRPr="001F58A9">
        <w:rPr>
          <w:i/>
          <w:iCs/>
        </w:rPr>
        <w:t>Salerno</w:t>
      </w:r>
      <w:r w:rsidR="004674F0">
        <w:t>)</w:t>
      </w:r>
      <w:r w:rsidR="008E4CE7">
        <w:t>)</w:t>
      </w:r>
      <w:r w:rsidR="003C7EA8">
        <w:t>,</w:t>
      </w:r>
      <w:r w:rsidR="008E4CE7">
        <w:t xml:space="preserve"> and other federal decisions have specifically upheld the propriety and validity of permitting the government to proceed by proffer (e.g.</w:t>
      </w:r>
      <w:r w:rsidR="00977702" w:rsidRPr="00C01F26">
        <w:t xml:space="preserve">, </w:t>
      </w:r>
      <w:r w:rsidR="00977702" w:rsidRPr="00C01F26">
        <w:rPr>
          <w:i/>
          <w:iCs/>
        </w:rPr>
        <w:t>United States v. Smith</w:t>
      </w:r>
      <w:r w:rsidR="00977702" w:rsidRPr="00C01F26">
        <w:t xml:space="preserve"> (D.C. Cir. 1996) 79 F.3d 1208, 1210; </w:t>
      </w:r>
      <w:r w:rsidR="00977702" w:rsidRPr="00C01F26">
        <w:rPr>
          <w:i/>
          <w:iCs/>
        </w:rPr>
        <w:t>United States v. Gaviria</w:t>
      </w:r>
      <w:r w:rsidR="00977702" w:rsidRPr="00C01F26">
        <w:t xml:space="preserve"> (11th Cir. 1987) 828 F.2d 667, 669; </w:t>
      </w:r>
      <w:r w:rsidR="00977702" w:rsidRPr="00C01F26">
        <w:rPr>
          <w:i/>
          <w:iCs/>
        </w:rPr>
        <w:t>United States v. Cardenas</w:t>
      </w:r>
      <w:r w:rsidR="00977702" w:rsidRPr="00C01F26">
        <w:t xml:space="preserve"> (9th Cir. 1986) 784 F.2d 937, 938; </w:t>
      </w:r>
      <w:r w:rsidR="00977702" w:rsidRPr="00C01F26">
        <w:rPr>
          <w:i/>
          <w:iCs/>
        </w:rPr>
        <w:t xml:space="preserve">United States v. Delker </w:t>
      </w:r>
      <w:r w:rsidR="00977702" w:rsidRPr="00C01F26">
        <w:t>(3d. Cir. 1985) 757 F.2d 1390, 1395–139</w:t>
      </w:r>
      <w:r w:rsidR="002B6BA0">
        <w:t>6</w:t>
      </w:r>
      <w:r w:rsidR="00977702" w:rsidRPr="00C01F26">
        <w:t xml:space="preserve">; </w:t>
      </w:r>
      <w:r w:rsidR="00977702" w:rsidRPr="00C01F26">
        <w:rPr>
          <w:i/>
          <w:iCs/>
        </w:rPr>
        <w:t>United States v. Acevedo-Ramos</w:t>
      </w:r>
      <w:r w:rsidR="00977702" w:rsidRPr="00C01F26">
        <w:t xml:space="preserve"> (1st Cir. 1985) 755 F.2d 203, 207–208.)</w:t>
      </w:r>
    </w:p>
    <w:p w14:paraId="55D18C86" w14:textId="55816459" w:rsidR="007C58CD" w:rsidRDefault="00FC510F" w:rsidP="00430ECE">
      <w:pPr>
        <w:spacing w:line="360" w:lineRule="auto"/>
      </w:pPr>
      <w:r>
        <w:tab/>
        <w:t xml:space="preserve">In </w:t>
      </w:r>
      <w:r w:rsidR="00A3195E">
        <w:t xml:space="preserve">rejecting the contention that </w:t>
      </w:r>
      <w:r>
        <w:t xml:space="preserve">the </w:t>
      </w:r>
      <w:r w:rsidR="00A3195E">
        <w:t>procedures of the Bail Reform Act violate due process</w:t>
      </w:r>
      <w:r>
        <w:t xml:space="preserve">, </w:t>
      </w:r>
      <w:r w:rsidRPr="00F0173D">
        <w:rPr>
          <w:i/>
          <w:iCs/>
        </w:rPr>
        <w:t>Salerno</w:t>
      </w:r>
      <w:r>
        <w:t xml:space="preserve"> explained</w:t>
      </w:r>
      <w:r w:rsidR="00A3195E">
        <w:t xml:space="preserve">:  </w:t>
      </w:r>
      <w:r w:rsidRPr="00F0173D">
        <w:t>“</w:t>
      </w:r>
      <w:r>
        <w:t>D</w:t>
      </w:r>
      <w:r w:rsidRPr="00F0173D">
        <w:t xml:space="preserve">etainees have a right to counsel at the detention hearing.  [Citation.]  They may testify in their own behalf, </w:t>
      </w:r>
      <w:r w:rsidRPr="00F0173D">
        <w:lastRenderedPageBreak/>
        <w:t xml:space="preserve">present information by proffer or </w:t>
      </w:r>
      <w:r w:rsidRPr="00F0173D">
        <w:t>otherwise, and cross-examine witnesses who appear at the hearing.  [Citation.]  The judicial officer charged with the responsibility of determining the appropriateness of detention is guided by statutorily enumerated factors, which include the nature and t</w:t>
      </w:r>
      <w:r w:rsidRPr="00F0173D">
        <w:t>he circumstances of the charges, the weight of the evidence, the history and characteristics of the putative offender, and the danger to the community.  [Citation.]  The Government must prove its case by clear and convincing evidence.  [Citation.]  Finally</w:t>
      </w:r>
      <w:r w:rsidRPr="00F0173D">
        <w:t>, the judicial officer must include written findings of fact and a written statement of reasons for a</w:t>
      </w:r>
      <w:r w:rsidRPr="002B1487">
        <w:t xml:space="preserve"> </w:t>
      </w:r>
      <w:r w:rsidRPr="00566859">
        <w:t>decision to detain.  [Citation.]  The Act</w:t>
      </w:r>
      <w:r>
        <w:t>’</w:t>
      </w:r>
      <w:r w:rsidRPr="00566859">
        <w:t>s review provisions</w:t>
      </w:r>
      <w:r w:rsidR="00F77B9A">
        <w:t xml:space="preserve"> . . .</w:t>
      </w:r>
      <w:r w:rsidRPr="00566859">
        <w:t xml:space="preserve"> provide for immediate appellate review of the detention decision. [¶] We </w:t>
      </w:r>
      <w:r w:rsidRPr="009D2EC9">
        <w:t xml:space="preserve">think these </w:t>
      </w:r>
      <w:r w:rsidRPr="009D2EC9">
        <w:rPr>
          <w:i/>
          <w:iCs/>
        </w:rPr>
        <w:t>e</w:t>
      </w:r>
      <w:r w:rsidRPr="009D2EC9">
        <w:rPr>
          <w:i/>
          <w:iCs/>
        </w:rPr>
        <w:t>xtensive</w:t>
      </w:r>
      <w:r w:rsidRPr="009D2EC9">
        <w:t xml:space="preserve"> safeguards suffice to repel a facial challenge.”  (</w:t>
      </w:r>
      <w:r w:rsidRPr="009D2EC9">
        <w:rPr>
          <w:i/>
          <w:iCs/>
        </w:rPr>
        <w:t>Salerno</w:t>
      </w:r>
      <w:r w:rsidRPr="009D2EC9">
        <w:t xml:space="preserve">, </w:t>
      </w:r>
      <w:r w:rsidRPr="009D2EC9">
        <w:rPr>
          <w:i/>
          <w:iCs/>
        </w:rPr>
        <w:t>supra</w:t>
      </w:r>
      <w:r w:rsidRPr="009D2EC9">
        <w:t>, 481 U.S. at pp. 751–752</w:t>
      </w:r>
      <w:r w:rsidR="008A44D4" w:rsidRPr="009D2EC9">
        <w:t>, italics added</w:t>
      </w:r>
      <w:r w:rsidRPr="009D2EC9">
        <w:t>.)</w:t>
      </w:r>
      <w:r w:rsidR="00977702">
        <w:t xml:space="preserve"> </w:t>
      </w:r>
    </w:p>
    <w:p w14:paraId="0614BB63" w14:textId="24593B74" w:rsidR="00AE490B" w:rsidRDefault="00FC510F" w:rsidP="00D62834">
      <w:pPr>
        <w:spacing w:line="360" w:lineRule="auto"/>
        <w:ind w:firstLine="720"/>
      </w:pPr>
      <w:r w:rsidRPr="00C01F26">
        <w:rPr>
          <w:i/>
          <w:iCs/>
        </w:rPr>
        <w:t>Salerno</w:t>
      </w:r>
      <w:r w:rsidRPr="00C01F26">
        <w:t xml:space="preserve"> and the </w:t>
      </w:r>
      <w:r>
        <w:t>foregoing</w:t>
      </w:r>
      <w:r w:rsidRPr="00C01F26">
        <w:t xml:space="preserve"> federal cases would seem to </w:t>
      </w:r>
      <w:r>
        <w:t>foreclose</w:t>
      </w:r>
      <w:r w:rsidRPr="00F07A1A">
        <w:t xml:space="preserve"> a</w:t>
      </w:r>
      <w:r>
        <w:t xml:space="preserve"> federal constitutional </w:t>
      </w:r>
      <w:r w:rsidRPr="00F07A1A">
        <w:t xml:space="preserve">due process </w:t>
      </w:r>
      <w:r>
        <w:t>challenge to the sufficiency of proff</w:t>
      </w:r>
      <w:r>
        <w:t>ers</w:t>
      </w:r>
      <w:r w:rsidRPr="00F07A1A">
        <w:t xml:space="preserve"> </w:t>
      </w:r>
      <w:r>
        <w:t>in bail hearings, at least where, as here, procedural safeguards are provided similar to those provided in the federal context.</w:t>
      </w:r>
      <w:r w:rsidR="006832A0">
        <w:rPr>
          <w:rStyle w:val="FootnoteReference"/>
        </w:rPr>
        <w:t xml:space="preserve"> </w:t>
      </w:r>
      <w:r>
        <w:t xml:space="preserve">  In line with the procedural safeguards discussed</w:t>
      </w:r>
      <w:r w:rsidRPr="00566859">
        <w:t xml:space="preserve"> in </w:t>
      </w:r>
      <w:r w:rsidRPr="00566859">
        <w:rPr>
          <w:i/>
          <w:iCs/>
        </w:rPr>
        <w:t>Salerno</w:t>
      </w:r>
      <w:r w:rsidRPr="00566859">
        <w:t xml:space="preserve">, </w:t>
      </w:r>
      <w:r>
        <w:t xml:space="preserve">here </w:t>
      </w:r>
      <w:r w:rsidRPr="00566859">
        <w:t>petitioner had counsel at his bail hearing</w:t>
      </w:r>
      <w:r>
        <w:t xml:space="preserve">.  </w:t>
      </w:r>
      <w:r w:rsidR="00480E31">
        <w:t>Additionally</w:t>
      </w:r>
      <w:r w:rsidRPr="00566859">
        <w:t>,</w:t>
      </w:r>
      <w:r>
        <w:t xml:space="preserve"> </w:t>
      </w:r>
      <w:r w:rsidRPr="00566859">
        <w:t xml:space="preserve">there is no indication in the record that the </w:t>
      </w:r>
      <w:r>
        <w:t xml:space="preserve">trial </w:t>
      </w:r>
      <w:r w:rsidRPr="00260513">
        <w:t>court disallowed defendant from testifying or presenting evidence (by proffer or otherwise)</w:t>
      </w:r>
      <w:r w:rsidR="00E30940">
        <w:t xml:space="preserve">; to the contrary, </w:t>
      </w:r>
      <w:r w:rsidR="00756658">
        <w:t xml:space="preserve">the court allowed </w:t>
      </w:r>
      <w:r w:rsidR="003C51A3">
        <w:t xml:space="preserve">defense counsel </w:t>
      </w:r>
      <w:r w:rsidR="00756658">
        <w:t xml:space="preserve">to </w:t>
      </w:r>
      <w:r w:rsidR="00B15840">
        <w:t>present</w:t>
      </w:r>
      <w:r w:rsidR="00756658">
        <w:t xml:space="preserve"> information</w:t>
      </w:r>
      <w:r w:rsidR="003C51A3">
        <w:t xml:space="preserve"> by way of her own statements and representations, such as about </w:t>
      </w:r>
      <w:r w:rsidR="00756658">
        <w:t>petitioner’s</w:t>
      </w:r>
      <w:r w:rsidR="003C51A3">
        <w:t xml:space="preserve"> indigency</w:t>
      </w:r>
      <w:r w:rsidR="00756658">
        <w:t xml:space="preserve">, </w:t>
      </w:r>
      <w:r w:rsidR="003C51A3">
        <w:t>employment</w:t>
      </w:r>
      <w:r w:rsidR="00756658">
        <w:t>, appearance histor</w:t>
      </w:r>
      <w:r w:rsidR="001F58A9">
        <w:t>y,</w:t>
      </w:r>
      <w:r w:rsidR="00756658">
        <w:t xml:space="preserve"> and performance on probation</w:t>
      </w:r>
      <w:r w:rsidRPr="00260513">
        <w:t xml:space="preserve">.  The </w:t>
      </w:r>
      <w:r>
        <w:t>trial court</w:t>
      </w:r>
      <w:r w:rsidRPr="00260513">
        <w:t xml:space="preserve"> was guided by similarly enumerated factors, and the burden of proof was </w:t>
      </w:r>
      <w:r w:rsidR="00D64AA0">
        <w:t>by clear and convincing evidence</w:t>
      </w:r>
      <w:r w:rsidRPr="00260513">
        <w:t xml:space="preserve">.  (See Cal. Const., art. I, § 12; </w:t>
      </w:r>
      <w:r w:rsidR="006E26EE">
        <w:t xml:space="preserve">Pen. Code, </w:t>
      </w:r>
      <w:r w:rsidRPr="00260513">
        <w:t>§ 1275</w:t>
      </w:r>
      <w:r>
        <w:t>, subd. (a)</w:t>
      </w:r>
      <w:r w:rsidRPr="00260513">
        <w:t xml:space="preserve">; </w:t>
      </w:r>
      <w:r w:rsidRPr="00260513">
        <w:rPr>
          <w:i/>
          <w:iCs/>
        </w:rPr>
        <w:t>Humphrey</w:t>
      </w:r>
      <w:r w:rsidRPr="00260513">
        <w:t xml:space="preserve">, </w:t>
      </w:r>
      <w:r w:rsidRPr="00260513">
        <w:rPr>
          <w:i/>
          <w:iCs/>
        </w:rPr>
        <w:t>supra</w:t>
      </w:r>
      <w:r w:rsidRPr="00260513">
        <w:t xml:space="preserve">, 11 Cal.5th at p. 152.)  The </w:t>
      </w:r>
      <w:r>
        <w:t>court</w:t>
      </w:r>
      <w:r w:rsidRPr="00260513">
        <w:t xml:space="preserve"> was oblig</w:t>
      </w:r>
      <w:r>
        <w:t>at</w:t>
      </w:r>
      <w:r w:rsidRPr="00260513">
        <w:t xml:space="preserve">ed to provide a statement of reasons for the </w:t>
      </w:r>
      <w:r w:rsidRPr="00260513">
        <w:lastRenderedPageBreak/>
        <w:t>detention, included in writing in the court’s minutes (</w:t>
      </w:r>
      <w:r w:rsidRPr="00260513">
        <w:rPr>
          <w:i/>
          <w:iCs/>
        </w:rPr>
        <w:t>Humphrey</w:t>
      </w:r>
      <w:r w:rsidRPr="00260513">
        <w:t>, at p</w:t>
      </w:r>
      <w:r>
        <w:t>p</w:t>
      </w:r>
      <w:r w:rsidRPr="00260513">
        <w:t>. 155–156</w:t>
      </w:r>
      <w:r>
        <w:t>; see</w:t>
      </w:r>
      <w:r>
        <w:t xml:space="preserve"> </w:t>
      </w:r>
      <w:r w:rsidR="005E6D8A">
        <w:t xml:space="preserve">part B.3(b), </w:t>
      </w:r>
      <w:r w:rsidRPr="001F58A9">
        <w:rPr>
          <w:i/>
          <w:iCs/>
        </w:rPr>
        <w:t>post</w:t>
      </w:r>
      <w:r w:rsidRPr="00260513">
        <w:t>), and the decision was subject to immediate review</w:t>
      </w:r>
      <w:r>
        <w:t xml:space="preserve"> </w:t>
      </w:r>
      <w:r w:rsidRPr="00260513">
        <w:t>(§§ 1270.2, 1490)</w:t>
      </w:r>
      <w:r>
        <w:t xml:space="preserve">.  </w:t>
      </w:r>
      <w:r w:rsidR="00C359AD">
        <w:t>Accordingly, we cannot agree with petitioner</w:t>
      </w:r>
      <w:r w:rsidR="009A32C7">
        <w:t>’s suggestion</w:t>
      </w:r>
      <w:r w:rsidR="00C359AD">
        <w:t xml:space="preserve"> that reliance o</w:t>
      </w:r>
      <w:r w:rsidR="00A3195E">
        <w:t>n</w:t>
      </w:r>
      <w:r w:rsidR="00C359AD">
        <w:t xml:space="preserve"> proffers of evidence </w:t>
      </w:r>
      <w:r w:rsidR="00A3195E">
        <w:t xml:space="preserve">categorically </w:t>
      </w:r>
      <w:r w:rsidR="00C359AD">
        <w:t>renders a bail decision invalid under federal due process principles.</w:t>
      </w:r>
      <w:r>
        <w:rPr>
          <w:rStyle w:val="FootnoteReference"/>
        </w:rPr>
        <w:footnoteReference w:id="5"/>
      </w:r>
    </w:p>
    <w:p w14:paraId="2C43C476" w14:textId="23F7EB0C" w:rsidR="00977702" w:rsidRDefault="00FC510F" w:rsidP="00D62834">
      <w:pPr>
        <w:spacing w:line="360" w:lineRule="auto"/>
        <w:ind w:firstLine="720"/>
      </w:pPr>
      <w:r>
        <w:t>Moreover</w:t>
      </w:r>
      <w:r w:rsidR="00B46967">
        <w:t>, p</w:t>
      </w:r>
      <w:r w:rsidR="00F439CF">
        <w:t xml:space="preserve">etitioner provides no legal authority or argument </w:t>
      </w:r>
      <w:r w:rsidR="000B1EF7">
        <w:t xml:space="preserve">supporting </w:t>
      </w:r>
      <w:r w:rsidR="00DE7F05">
        <w:t xml:space="preserve">the notion </w:t>
      </w:r>
      <w:r w:rsidR="00F439CF">
        <w:t>that</w:t>
      </w:r>
      <w:r w:rsidRPr="00CC1078">
        <w:t xml:space="preserve"> a state due process analysis </w:t>
      </w:r>
      <w:r w:rsidR="00F439CF">
        <w:t>w</w:t>
      </w:r>
      <w:r w:rsidRPr="00CC1078">
        <w:t>ould yield a different result</w:t>
      </w:r>
      <w:r>
        <w:t>.</w:t>
      </w:r>
      <w:r>
        <w:rPr>
          <w:rStyle w:val="FootnoteReference"/>
        </w:rPr>
        <w:footnoteReference w:id="6"/>
      </w:r>
      <w:r w:rsidR="00496C46">
        <w:t xml:space="preserve">  </w:t>
      </w:r>
      <w:r w:rsidR="00AE490B">
        <w:t xml:space="preserve">The </w:t>
      </w:r>
      <w:r w:rsidR="00AE490B" w:rsidRPr="00263609">
        <w:t>language of the federal and state</w:t>
      </w:r>
      <w:r w:rsidR="00837EE7">
        <w:t xml:space="preserve"> due process</w:t>
      </w:r>
      <w:r w:rsidR="00AE490B" w:rsidRPr="00263609">
        <w:t xml:space="preserve"> guarantees</w:t>
      </w:r>
      <w:r w:rsidR="00AE490B">
        <w:t xml:space="preserve"> </w:t>
      </w:r>
      <w:r w:rsidR="00837EE7">
        <w:t>are</w:t>
      </w:r>
      <w:r w:rsidR="00AE490B">
        <w:t xml:space="preserve"> “virtually identical</w:t>
      </w:r>
      <w:r w:rsidR="00AE490B" w:rsidRPr="00263609">
        <w:t>,</w:t>
      </w:r>
      <w:r w:rsidR="00AE490B">
        <w:t>” and so</w:t>
      </w:r>
      <w:r w:rsidR="00837EE7">
        <w:t xml:space="preserve"> California courts</w:t>
      </w:r>
      <w:r w:rsidR="00AE490B" w:rsidRPr="00263609">
        <w:t xml:space="preserve"> </w:t>
      </w:r>
      <w:r w:rsidR="00837EE7">
        <w:t xml:space="preserve">look </w:t>
      </w:r>
      <w:r w:rsidR="00AE490B">
        <w:t>“</w:t>
      </w:r>
      <w:r w:rsidR="00AE490B" w:rsidRPr="00263609">
        <w:t>to the United States Supreme Court</w:t>
      </w:r>
      <w:r w:rsidR="00AE490B">
        <w:t>’</w:t>
      </w:r>
      <w:r w:rsidR="00AE490B" w:rsidRPr="00263609">
        <w:t>s precedents for guidance in interpreting the contours of our own due process clause and have treated the state clause</w:t>
      </w:r>
      <w:r w:rsidR="00AE490B">
        <w:t>’</w:t>
      </w:r>
      <w:r w:rsidR="00AE490B" w:rsidRPr="00263609">
        <w:t>s prescriptions as substantially overlapping those of the federal Constitution</w:t>
      </w:r>
      <w:r w:rsidR="00AE490B">
        <w:t xml:space="preserve">.” </w:t>
      </w:r>
      <w:r w:rsidR="00837EE7">
        <w:t xml:space="preserve"> </w:t>
      </w:r>
      <w:r w:rsidR="00496C46">
        <w:t>(</w:t>
      </w:r>
      <w:r w:rsidR="00496C46" w:rsidRPr="00263609">
        <w:rPr>
          <w:i/>
          <w:iCs/>
        </w:rPr>
        <w:t>Today</w:t>
      </w:r>
      <w:r w:rsidR="00AE490B">
        <w:rPr>
          <w:i/>
          <w:iCs/>
        </w:rPr>
        <w:t>’</w:t>
      </w:r>
      <w:r w:rsidR="00496C46" w:rsidRPr="00263609">
        <w:rPr>
          <w:i/>
          <w:iCs/>
        </w:rPr>
        <w:t>s Fresh Start, Inc. v. Los Angeles County Office</w:t>
      </w:r>
      <w:r w:rsidR="00013813">
        <w:rPr>
          <w:i/>
          <w:iCs/>
        </w:rPr>
        <w:t xml:space="preserve"> of Education</w:t>
      </w:r>
      <w:r w:rsidR="00496C46" w:rsidRPr="00496C46">
        <w:t xml:space="preserve"> (2013) 57 Cal.4th 197, 212</w:t>
      </w:r>
      <w:r w:rsidR="00AE490B">
        <w:t>.)</w:t>
      </w:r>
      <w:r w:rsidR="00263609">
        <w:t xml:space="preserve"> </w:t>
      </w:r>
      <w:r w:rsidR="00AE490B">
        <w:t xml:space="preserve"> </w:t>
      </w:r>
      <w:r w:rsidR="00263609">
        <w:t>“</w:t>
      </w:r>
      <w:r w:rsidR="00735AA3" w:rsidRPr="00735AA3">
        <w:t xml:space="preserve">With a minor modification, we have adopted the </w:t>
      </w:r>
      <w:r w:rsidR="00735AA3" w:rsidRPr="004D395F">
        <w:rPr>
          <w:i/>
          <w:iCs/>
        </w:rPr>
        <w:t>Mathews</w:t>
      </w:r>
      <w:r w:rsidR="00735AA3" w:rsidRPr="00735AA3">
        <w:t xml:space="preserve"> </w:t>
      </w:r>
      <w:r w:rsidR="00837EE7">
        <w:t>[</w:t>
      </w:r>
      <w:r w:rsidR="00837EE7" w:rsidRPr="00837EE7">
        <w:rPr>
          <w:i/>
          <w:iCs/>
        </w:rPr>
        <w:t>v. Eldridge</w:t>
      </w:r>
      <w:r w:rsidR="00837EE7" w:rsidRPr="00837EE7">
        <w:t xml:space="preserve"> (1976) 424 U.S. 319</w:t>
      </w:r>
      <w:r w:rsidR="00837EE7">
        <w:t xml:space="preserve">] </w:t>
      </w:r>
      <w:r w:rsidR="00735AA3" w:rsidRPr="00735AA3">
        <w:t xml:space="preserve">balancing test as the default framework for analyzing challenges to the sufficiency of proceedings under our own due process clause. </w:t>
      </w:r>
      <w:r w:rsidR="004D395F">
        <w:t xml:space="preserve"> </w:t>
      </w:r>
      <w:r w:rsidR="00735AA3" w:rsidRPr="00735AA3">
        <w:t xml:space="preserve">The first three factors—the private interest affected, the risk of erroneous deprivation, and the government's interest—are the same. </w:t>
      </w:r>
      <w:r w:rsidR="004D395F">
        <w:t xml:space="preserve"> </w:t>
      </w:r>
      <w:r w:rsidR="004D395F">
        <w:lastRenderedPageBreak/>
        <w:t>[Citations.]</w:t>
      </w:r>
      <w:r w:rsidR="00735AA3" w:rsidRPr="00735AA3">
        <w:t xml:space="preserve"> </w:t>
      </w:r>
      <w:r w:rsidR="004D395F">
        <w:t xml:space="preserve"> </w:t>
      </w:r>
      <w:r w:rsidR="00735AA3" w:rsidRPr="00735AA3">
        <w:t>In addition, we may also consider a fourth factor, ‘</w:t>
      </w:r>
      <w:r w:rsidR="004D395F">
        <w:t> “</w:t>
      </w:r>
      <w:r w:rsidR="00735AA3" w:rsidRPr="00735AA3">
        <w:t>the dignitary interest in informing individuals of the nature, grounds, and consequences of the action and in enabling them to present their side of the story before a responsible government official.</w:t>
      </w:r>
      <w:r w:rsidR="004D395F">
        <w:t>” </w:t>
      </w:r>
      <w:r w:rsidR="00735AA3" w:rsidRPr="00735AA3">
        <w:t>’</w:t>
      </w:r>
      <w:r w:rsidR="004D395F">
        <w:t> </w:t>
      </w:r>
      <w:r w:rsidR="00263609">
        <w:t>”</w:t>
      </w:r>
      <w:r w:rsidR="00AE490B">
        <w:t xml:space="preserve">  (</w:t>
      </w:r>
      <w:r w:rsidR="00AE490B" w:rsidRPr="00735AA3">
        <w:rPr>
          <w:i/>
          <w:iCs/>
        </w:rPr>
        <w:t>Ibid.</w:t>
      </w:r>
      <w:r w:rsidR="00AE490B">
        <w:t>)</w:t>
      </w:r>
      <w:r w:rsidR="00735AA3">
        <w:t xml:space="preserve">  “[C]</w:t>
      </w:r>
      <w:r w:rsidR="00735AA3" w:rsidRPr="00735AA3">
        <w:t>ogent reasons must exist before a state court in construing a provision of the state Constitution will depart from the construction placed by the Supreme Court of the United States on a similar provision in the federal Constitution.”</w:t>
      </w:r>
      <w:r w:rsidR="00735AA3">
        <w:t xml:space="preserve">  (</w:t>
      </w:r>
      <w:r w:rsidR="00C37863" w:rsidRPr="00735AA3">
        <w:rPr>
          <w:i/>
          <w:iCs/>
        </w:rPr>
        <w:t>Gabrielli v. Knickerbocker</w:t>
      </w:r>
      <w:r w:rsidR="00C37863" w:rsidRPr="00C37863">
        <w:t xml:space="preserve"> (1938) 12 Cal.2d 85, 89</w:t>
      </w:r>
      <w:r w:rsidR="00324D2D">
        <w:t xml:space="preserve">; see, e.g., </w:t>
      </w:r>
      <w:r w:rsidR="00324D2D" w:rsidRPr="00324D2D">
        <w:rPr>
          <w:i/>
          <w:iCs/>
        </w:rPr>
        <w:t>Mohilef v. Janovici</w:t>
      </w:r>
      <w:r w:rsidR="00324D2D" w:rsidRPr="00324D2D">
        <w:t xml:space="preserve"> (1996) 51 Cal.App.4th 267, 285, fn.</w:t>
      </w:r>
      <w:r w:rsidR="00324D2D">
        <w:t> </w:t>
      </w:r>
      <w:r w:rsidR="00324D2D" w:rsidRPr="00324D2D">
        <w:t>16</w:t>
      </w:r>
      <w:r w:rsidR="00496C46">
        <w:t>.)</w:t>
      </w:r>
      <w:r w:rsidR="007A6156">
        <w:t xml:space="preserve">  </w:t>
      </w:r>
      <w:r>
        <w:t>P</w:t>
      </w:r>
      <w:r w:rsidR="00C27CCF">
        <w:t xml:space="preserve">etitioner offers </w:t>
      </w:r>
      <w:r w:rsidR="007A6156">
        <w:t xml:space="preserve">no </w:t>
      </w:r>
      <w:r w:rsidR="009C722F">
        <w:t xml:space="preserve">such </w:t>
      </w:r>
      <w:r w:rsidR="007A6156">
        <w:t>cogent reasons here</w:t>
      </w:r>
      <w:r>
        <w:t xml:space="preserve">, and we perceive no legal or logical reason why state due </w:t>
      </w:r>
      <w:r>
        <w:t>process principles require such a departure in this context</w:t>
      </w:r>
      <w:r w:rsidR="007A6156">
        <w:t>.</w:t>
      </w:r>
    </w:p>
    <w:p w14:paraId="155DB807" w14:textId="6FF0DFDE" w:rsidR="000D2C93" w:rsidRDefault="00FC510F" w:rsidP="003A7731">
      <w:pPr>
        <w:spacing w:line="360" w:lineRule="auto"/>
      </w:pPr>
      <w:r w:rsidRPr="00C01F26">
        <w:tab/>
      </w:r>
      <w:r w:rsidR="007C7C67">
        <w:t>Contrary to p</w:t>
      </w:r>
      <w:r w:rsidRPr="00C01F26">
        <w:t xml:space="preserve">etitioner’s </w:t>
      </w:r>
      <w:r w:rsidR="007C7C67">
        <w:t>contention,</w:t>
      </w:r>
      <w:r w:rsidRPr="00C01F26">
        <w:t xml:space="preserve"> </w:t>
      </w:r>
      <w:r w:rsidRPr="00C01F26">
        <w:rPr>
          <w:i/>
          <w:iCs/>
        </w:rPr>
        <w:t>Naidu</w:t>
      </w:r>
      <w:r w:rsidRPr="00C01F26">
        <w:t xml:space="preserve"> </w:t>
      </w:r>
      <w:r w:rsidR="004674F0" w:rsidRPr="001F58A9">
        <w:rPr>
          <w:i/>
          <w:iCs/>
        </w:rPr>
        <w:t>v. Superior Court</w:t>
      </w:r>
      <w:r w:rsidR="004674F0">
        <w:t xml:space="preserve"> </w:t>
      </w:r>
      <w:r w:rsidRPr="00C01F26">
        <w:t>(2018) 20 Cal.App.5th 300</w:t>
      </w:r>
      <w:r w:rsidR="002E2D21">
        <w:t xml:space="preserve"> </w:t>
      </w:r>
      <w:r w:rsidR="004674F0">
        <w:t>(</w:t>
      </w:r>
      <w:r w:rsidR="004674F0" w:rsidRPr="001F58A9">
        <w:rPr>
          <w:i/>
          <w:iCs/>
        </w:rPr>
        <w:t>Naidu</w:t>
      </w:r>
      <w:r w:rsidR="004674F0">
        <w:t xml:space="preserve">) </w:t>
      </w:r>
      <w:r w:rsidR="007C7C67">
        <w:t>does not compel a different result</w:t>
      </w:r>
      <w:r w:rsidR="00D02B40">
        <w:t>.</w:t>
      </w:r>
      <w:r w:rsidRPr="00C01F26">
        <w:t xml:space="preserve">  </w:t>
      </w:r>
      <w:r w:rsidR="00D02B40">
        <w:t>There, the petitioners were criminally charged with fraudulent use of a contractor’s license and</w:t>
      </w:r>
      <w:r w:rsidR="00235E97">
        <w:t xml:space="preserve"> released on their own recognizance (O.R.), but</w:t>
      </w:r>
      <w:r w:rsidR="00D02B40">
        <w:t xml:space="preserve"> the trial court ordered a suspension of their licenses from the </w:t>
      </w:r>
      <w:r w:rsidR="004674F0">
        <w:t xml:space="preserve">California </w:t>
      </w:r>
      <w:r w:rsidR="00D02B40">
        <w:t>Contractors State License Board (Board) as a condition of</w:t>
      </w:r>
      <w:r w:rsidR="009352B6">
        <w:t xml:space="preserve"> O.R</w:t>
      </w:r>
      <w:r w:rsidR="00D02B40" w:rsidRPr="00C01F26">
        <w:t>.</w:t>
      </w:r>
      <w:r w:rsidR="00B46A2B">
        <w:t xml:space="preserve"> release.</w:t>
      </w:r>
      <w:r w:rsidR="00D02B40" w:rsidRPr="00C01F26">
        <w:t xml:space="preserve">  (</w:t>
      </w:r>
      <w:r w:rsidR="00D02B40" w:rsidRPr="00C01F26">
        <w:rPr>
          <w:i/>
          <w:iCs/>
        </w:rPr>
        <w:t>Naidu</w:t>
      </w:r>
      <w:r w:rsidR="00D02B40" w:rsidRPr="00C01F26">
        <w:t>, at p.</w:t>
      </w:r>
      <w:r w:rsidR="00D02B40">
        <w:t> </w:t>
      </w:r>
      <w:r w:rsidR="00D02B40" w:rsidRPr="00C01F26">
        <w:t>30</w:t>
      </w:r>
      <w:r w:rsidR="00D02B40">
        <w:t>5</w:t>
      </w:r>
      <w:r w:rsidR="00D02B40" w:rsidRPr="00C01F26">
        <w:t>.)</w:t>
      </w:r>
      <w:r w:rsidR="00D02B40">
        <w:t xml:space="preserve"> </w:t>
      </w:r>
      <w:r w:rsidR="007C7C67">
        <w:t xml:space="preserve"> </w:t>
      </w:r>
      <w:r w:rsidR="009E6169" w:rsidRPr="00C01F26">
        <w:t xml:space="preserve">Analyzing the </w:t>
      </w:r>
      <w:r w:rsidR="009352B6">
        <w:t>petitioners’ challenge to th</w:t>
      </w:r>
      <w:r w:rsidR="00E84F56">
        <w:t>at</w:t>
      </w:r>
      <w:r w:rsidR="009352B6">
        <w:t xml:space="preserve"> condition</w:t>
      </w:r>
      <w:r w:rsidR="009352B6" w:rsidRPr="00C01F26">
        <w:t xml:space="preserve"> </w:t>
      </w:r>
      <w:r w:rsidRPr="00C01F26">
        <w:t xml:space="preserve">using </w:t>
      </w:r>
      <w:r w:rsidR="00FB2C8A">
        <w:t xml:space="preserve">due </w:t>
      </w:r>
      <w:r w:rsidRPr="00C01F26">
        <w:t xml:space="preserve">process balancing inquiries, </w:t>
      </w:r>
      <w:r w:rsidR="00622AAD" w:rsidRPr="000527D2">
        <w:rPr>
          <w:i/>
          <w:iCs/>
        </w:rPr>
        <w:t>Naidu</w:t>
      </w:r>
      <w:r w:rsidRPr="00C01F26">
        <w:t xml:space="preserve"> concluded both federal and state due process clauses required</w:t>
      </w:r>
      <w:r w:rsidR="007D2E7A" w:rsidRPr="00C01F26">
        <w:t xml:space="preserve"> that</w:t>
      </w:r>
      <w:r w:rsidRPr="00C01F26">
        <w:t xml:space="preserve"> “</w:t>
      </w:r>
      <w:r w:rsidRPr="000527D2">
        <w:rPr>
          <w:i/>
          <w:iCs/>
        </w:rPr>
        <w:t>at least some evidence</w:t>
      </w:r>
      <w:r w:rsidRPr="00C01F26">
        <w:t xml:space="preserve"> of danger to the public support an order suspending a business license as part of a bail order</w:t>
      </w:r>
      <w:r w:rsidR="0040557B">
        <w:t>.</w:t>
      </w:r>
      <w:r w:rsidRPr="00C01F26">
        <w:t xml:space="preserve">” </w:t>
      </w:r>
      <w:r w:rsidR="0040557B">
        <w:t xml:space="preserve"> </w:t>
      </w:r>
      <w:r w:rsidRPr="00C01F26">
        <w:t>(</w:t>
      </w:r>
      <w:r w:rsidR="0040557B">
        <w:rPr>
          <w:i/>
          <w:iCs/>
        </w:rPr>
        <w:t>I</w:t>
      </w:r>
      <w:r w:rsidRPr="00C01F26">
        <w:rPr>
          <w:i/>
          <w:iCs/>
        </w:rPr>
        <w:t>d.</w:t>
      </w:r>
      <w:r w:rsidRPr="00C01F26">
        <w:t xml:space="preserve"> at </w:t>
      </w:r>
      <w:r w:rsidR="0040557B">
        <w:t>p</w:t>
      </w:r>
      <w:r w:rsidRPr="00C01F26">
        <w:t>p.</w:t>
      </w:r>
      <w:r w:rsidR="00892705">
        <w:t> </w:t>
      </w:r>
      <w:r w:rsidR="0040557B">
        <w:t>305, 311–</w:t>
      </w:r>
      <w:r w:rsidRPr="00C01F26">
        <w:t>313</w:t>
      </w:r>
      <w:r w:rsidR="00A47EEA">
        <w:t>, italics added</w:t>
      </w:r>
      <w:r w:rsidR="002A1D39">
        <w:t>.</w:t>
      </w:r>
      <w:r w:rsidRPr="00C01F26">
        <w:t>)</w:t>
      </w:r>
      <w:r w:rsidR="00877486" w:rsidRPr="00C01F26">
        <w:t xml:space="preserve"> </w:t>
      </w:r>
      <w:r w:rsidR="00FF65BD">
        <w:t xml:space="preserve"> </w:t>
      </w:r>
      <w:r w:rsidR="00A47EEA" w:rsidRPr="000527D2">
        <w:rPr>
          <w:i/>
          <w:iCs/>
        </w:rPr>
        <w:t>Naidu</w:t>
      </w:r>
      <w:r w:rsidR="00316D36">
        <w:rPr>
          <w:i/>
          <w:iCs/>
        </w:rPr>
        <w:t xml:space="preserve"> </w:t>
      </w:r>
      <w:r w:rsidR="00C721E0">
        <w:t xml:space="preserve">then concluded no such evidence was presented, </w:t>
      </w:r>
      <w:r w:rsidR="00564650">
        <w:t xml:space="preserve">indicating </w:t>
      </w:r>
      <w:r w:rsidR="00053ABD">
        <w:t>t</w:t>
      </w:r>
      <w:r w:rsidR="00C721E0">
        <w:t xml:space="preserve">he </w:t>
      </w:r>
      <w:r w:rsidR="00506607">
        <w:t>Board “submitted very little that might even be construed as evidence that the public would be in danger if petitioners retained use of their business license.”  (</w:t>
      </w:r>
      <w:r w:rsidR="00506607" w:rsidRPr="000527D2">
        <w:rPr>
          <w:i/>
          <w:iCs/>
        </w:rPr>
        <w:t>Ibid</w:t>
      </w:r>
      <w:r w:rsidR="00506607">
        <w:t xml:space="preserve">.)  </w:t>
      </w:r>
      <w:r w:rsidR="002E2D21">
        <w:t xml:space="preserve">As </w:t>
      </w:r>
      <w:r w:rsidR="002E2D21" w:rsidRPr="000527D2">
        <w:rPr>
          <w:i/>
          <w:iCs/>
        </w:rPr>
        <w:t>Naidu</w:t>
      </w:r>
      <w:r w:rsidR="002E2D21">
        <w:t xml:space="preserve"> recounted</w:t>
      </w:r>
      <w:r w:rsidR="00506607">
        <w:t xml:space="preserve">, </w:t>
      </w:r>
      <w:r w:rsidR="00DA1155">
        <w:t xml:space="preserve">the Board’s </w:t>
      </w:r>
      <w:r w:rsidR="00B46A2B">
        <w:t xml:space="preserve">legal </w:t>
      </w:r>
      <w:r w:rsidR="00DA1155">
        <w:t xml:space="preserve">brief </w:t>
      </w:r>
      <w:r w:rsidR="004E18E0">
        <w:t xml:space="preserve">asserted </w:t>
      </w:r>
      <w:r w:rsidR="00772D24">
        <w:t xml:space="preserve">that </w:t>
      </w:r>
      <w:r w:rsidR="00FB2C8A">
        <w:t xml:space="preserve">the </w:t>
      </w:r>
      <w:r w:rsidR="00772D24">
        <w:t xml:space="preserve">petitioners exhibited a profound lack of judgment, a flagrant disrespect for the health and safety of others, and a </w:t>
      </w:r>
      <w:r w:rsidR="00772D24">
        <w:lastRenderedPageBreak/>
        <w:t xml:space="preserve">violation of trust accorded to contractors, but </w:t>
      </w:r>
      <w:r w:rsidR="00E84F56">
        <w:t>the court concluded such</w:t>
      </w:r>
      <w:r w:rsidR="00772D24">
        <w:t xml:space="preserve"> statements </w:t>
      </w:r>
      <w:r w:rsidR="00C721E0">
        <w:t>by counsel wer</w:t>
      </w:r>
      <w:r w:rsidR="00772D24">
        <w:t>e not evidence</w:t>
      </w:r>
      <w:r w:rsidR="00FB2C8A">
        <w:t xml:space="preserve"> sufficient to support license suspension</w:t>
      </w:r>
      <w:r w:rsidR="00772D24">
        <w:t>.  (</w:t>
      </w:r>
      <w:r w:rsidR="00497483">
        <w:rPr>
          <w:i/>
          <w:iCs/>
        </w:rPr>
        <w:t>Ibid.</w:t>
      </w:r>
      <w:r w:rsidR="00772D24">
        <w:t>)  T</w:t>
      </w:r>
      <w:r w:rsidR="00506607">
        <w:t xml:space="preserve">he </w:t>
      </w:r>
      <w:r w:rsidR="0040557B">
        <w:t xml:space="preserve">court observed the </w:t>
      </w:r>
      <w:r w:rsidR="00D02B40">
        <w:t xml:space="preserve">only </w:t>
      </w:r>
      <w:r w:rsidR="00772D24">
        <w:t xml:space="preserve">“admissible” </w:t>
      </w:r>
      <w:r w:rsidR="00D02B40">
        <w:t xml:space="preserve">evidence presented </w:t>
      </w:r>
      <w:r w:rsidR="00914A21">
        <w:t>in</w:t>
      </w:r>
      <w:r w:rsidR="00D02B40">
        <w:t xml:space="preserve"> </w:t>
      </w:r>
      <w:r w:rsidR="0040557B">
        <w:t>support</w:t>
      </w:r>
      <w:r w:rsidR="00914A21">
        <w:t xml:space="preserve"> of th</w:t>
      </w:r>
      <w:r w:rsidR="00FB2C8A">
        <w:t>e Board’s</w:t>
      </w:r>
      <w:r w:rsidR="0040557B">
        <w:t xml:space="preserve"> assertion</w:t>
      </w:r>
      <w:r w:rsidR="00BC58C0">
        <w:t xml:space="preserve"> </w:t>
      </w:r>
      <w:r w:rsidR="00D02B40">
        <w:t xml:space="preserve">was a declaration of counsel that amounted to “no more” than a restatement of the Board’s </w:t>
      </w:r>
      <w:r w:rsidR="002E2D21">
        <w:t xml:space="preserve">litigation position and </w:t>
      </w:r>
      <w:r w:rsidR="00D02B40">
        <w:t>“its belief that it would be beneficial if the trial court suspended petitioners’ license</w:t>
      </w:r>
      <w:r w:rsidR="00506607">
        <w:t>.”  (</w:t>
      </w:r>
      <w:r w:rsidR="00506607" w:rsidRPr="00297CFC">
        <w:rPr>
          <w:i/>
          <w:iCs/>
        </w:rPr>
        <w:t>Ibid</w:t>
      </w:r>
      <w:r w:rsidR="00506607">
        <w:t xml:space="preserve">.)  </w:t>
      </w:r>
      <w:r w:rsidR="00E616A3">
        <w:t>But</w:t>
      </w:r>
      <w:r w:rsidR="002E2D21">
        <w:t xml:space="preserve"> </w:t>
      </w:r>
      <w:r w:rsidR="00C52196">
        <w:t>this</w:t>
      </w:r>
      <w:r w:rsidR="002E2D21">
        <w:t xml:space="preserve"> </w:t>
      </w:r>
      <w:r w:rsidR="009E77AF">
        <w:t>“[did]</w:t>
      </w:r>
      <w:r w:rsidR="00506607">
        <w:t xml:space="preserve"> not constitute evidence that petitioners pose</w:t>
      </w:r>
      <w:r w:rsidR="00DB43FA">
        <w:t>[</w:t>
      </w:r>
      <w:r w:rsidR="00506607">
        <w:t>d</w:t>
      </w:r>
      <w:r w:rsidR="00DB43FA">
        <w:t>]</w:t>
      </w:r>
      <w:r w:rsidR="00506607">
        <w:t xml:space="preserve"> such a danger to the public that suspending their business licenses was necessary.”  </w:t>
      </w:r>
      <w:r w:rsidR="00D02B40">
        <w:t>(</w:t>
      </w:r>
      <w:r w:rsidR="00D02B40" w:rsidRPr="00297CFC">
        <w:rPr>
          <w:i/>
          <w:iCs/>
        </w:rPr>
        <w:t>Ibid</w:t>
      </w:r>
      <w:r w:rsidR="00D02B40">
        <w:t xml:space="preserve">.)  </w:t>
      </w:r>
    </w:p>
    <w:p w14:paraId="33E35C45" w14:textId="45497749" w:rsidR="00026FA6" w:rsidRDefault="00FC510F" w:rsidP="008307C3">
      <w:pPr>
        <w:spacing w:line="360" w:lineRule="auto"/>
        <w:ind w:firstLine="720"/>
      </w:pPr>
      <w:r>
        <w:t>True,</w:t>
      </w:r>
      <w:r w:rsidR="002E2D21">
        <w:t xml:space="preserve"> </w:t>
      </w:r>
      <w:r w:rsidR="002E2D21" w:rsidRPr="00297CFC">
        <w:rPr>
          <w:i/>
          <w:iCs/>
        </w:rPr>
        <w:t>Naidu</w:t>
      </w:r>
      <w:r w:rsidR="002E2D21">
        <w:t xml:space="preserve"> </w:t>
      </w:r>
      <w:r w:rsidR="00E616A3">
        <w:t>express</w:t>
      </w:r>
      <w:r w:rsidR="00FF65BD">
        <w:t>ly spoke of</w:t>
      </w:r>
      <w:r w:rsidR="002E2D21">
        <w:t xml:space="preserve"> the need for “actual evidence regarding the danger petitioners allegedly pose to the public</w:t>
      </w:r>
      <w:r w:rsidR="00C24E32">
        <w:t>”</w:t>
      </w:r>
      <w:r w:rsidR="00D22C62">
        <w:t xml:space="preserve"> before a court ca</w:t>
      </w:r>
      <w:r w:rsidR="00D22C62" w:rsidRPr="00D22C62">
        <w:t>n order suspen</w:t>
      </w:r>
      <w:r w:rsidR="00D22C62">
        <w:t>sion of</w:t>
      </w:r>
      <w:r w:rsidR="00D22C62" w:rsidRPr="00D22C62">
        <w:t xml:space="preserve"> a business license as part of a bail order</w:t>
      </w:r>
      <w:r w:rsidR="002E2D21">
        <w:t xml:space="preserve"> (</w:t>
      </w:r>
      <w:r w:rsidR="00FB2C8A">
        <w:rPr>
          <w:i/>
          <w:iCs/>
        </w:rPr>
        <w:t>Naidu</w:t>
      </w:r>
      <w:r w:rsidR="00FB2C8A">
        <w:t xml:space="preserve">, </w:t>
      </w:r>
      <w:r w:rsidR="00FB2C8A" w:rsidRPr="003A7731">
        <w:rPr>
          <w:i/>
          <w:iCs/>
        </w:rPr>
        <w:t>supra</w:t>
      </w:r>
      <w:r w:rsidR="00FB2C8A">
        <w:t xml:space="preserve">, </w:t>
      </w:r>
      <w:r w:rsidR="00FB2C8A" w:rsidRPr="00C01F26">
        <w:t>20 Cal.App.5th</w:t>
      </w:r>
      <w:r w:rsidR="002E2D21">
        <w:t xml:space="preserve"> at p. </w:t>
      </w:r>
      <w:r w:rsidR="00DB43FA">
        <w:t>312</w:t>
      </w:r>
      <w:r>
        <w:t>.</w:t>
      </w:r>
      <w:r w:rsidR="002E2D21">
        <w:t>)</w:t>
      </w:r>
      <w:r w:rsidR="00506607">
        <w:t xml:space="preserve"> </w:t>
      </w:r>
      <w:r>
        <w:t xml:space="preserve"> But </w:t>
      </w:r>
      <w:r w:rsidR="00A95C90" w:rsidRPr="00363BA1">
        <w:rPr>
          <w:i/>
          <w:iCs/>
        </w:rPr>
        <w:t>Naidu</w:t>
      </w:r>
      <w:r w:rsidR="00A95C90">
        <w:t xml:space="preserve"> did not involve a section 12(b) offense</w:t>
      </w:r>
      <w:r>
        <w:t>,</w:t>
      </w:r>
      <w:r w:rsidR="00A95C90">
        <w:t xml:space="preserve"> and there is no </w:t>
      </w:r>
      <w:r w:rsidR="00A95C90" w:rsidRPr="00155721">
        <w:t xml:space="preserve">indication </w:t>
      </w:r>
      <w:r w:rsidR="00A95C90">
        <w:t xml:space="preserve">the trial court there was prepared to </w:t>
      </w:r>
      <w:r w:rsidR="008B7CEB">
        <w:t>require</w:t>
      </w:r>
      <w:r w:rsidR="00A95C90">
        <w:t xml:space="preserve"> </w:t>
      </w:r>
      <w:r w:rsidR="00A95C90" w:rsidRPr="00155721">
        <w:t xml:space="preserve">pretrial detention </w:t>
      </w:r>
      <w:r w:rsidR="00A95C90">
        <w:t xml:space="preserve">in the absence of a license suspension condition.  Moreover, </w:t>
      </w:r>
      <w:r w:rsidR="002E2D21" w:rsidRPr="0094162E">
        <w:rPr>
          <w:i/>
          <w:iCs/>
        </w:rPr>
        <w:t>Naidu</w:t>
      </w:r>
      <w:r w:rsidR="002E2D21">
        <w:t xml:space="preserve"> </w:t>
      </w:r>
      <w:r w:rsidR="00D65EE2">
        <w:t>did not</w:t>
      </w:r>
      <w:r w:rsidR="00BD4DEA">
        <w:t xml:space="preserve"> </w:t>
      </w:r>
      <w:r w:rsidR="00D44A33">
        <w:t xml:space="preserve">address the federal case law upholding the federal constitutional validity of </w:t>
      </w:r>
      <w:r w:rsidR="00AA33F7">
        <w:t>relying on</w:t>
      </w:r>
      <w:r w:rsidR="00D44A33">
        <w:t xml:space="preserve"> proffers in the pretrial detention context</w:t>
      </w:r>
      <w:r w:rsidR="00A95C90">
        <w:t xml:space="preserve">; nor did it </w:t>
      </w:r>
      <w:r w:rsidR="008B7CEB">
        <w:t>consider</w:t>
      </w:r>
      <w:r w:rsidR="00D65EE2">
        <w:t xml:space="preserve"> whether</w:t>
      </w:r>
      <w:r w:rsidR="0072098D">
        <w:t xml:space="preserve"> due process </w:t>
      </w:r>
      <w:r w:rsidR="00A95C90">
        <w:t xml:space="preserve">principles </w:t>
      </w:r>
      <w:r w:rsidR="0072098D">
        <w:t xml:space="preserve">would </w:t>
      </w:r>
      <w:r w:rsidR="00914A21">
        <w:t>preclude</w:t>
      </w:r>
      <w:r w:rsidR="00D65EE2">
        <w:t xml:space="preserve"> </w:t>
      </w:r>
      <w:r w:rsidR="00A95C90">
        <w:t xml:space="preserve">pretrial detention based on </w:t>
      </w:r>
      <w:r w:rsidR="00D65EE2">
        <w:t>a reliable proffer of evidence.</w:t>
      </w:r>
    </w:p>
    <w:p w14:paraId="6DA56632" w14:textId="3CED067D" w:rsidR="00A83607" w:rsidRPr="009D2EC9" w:rsidRDefault="00FC510F" w:rsidP="00E953BB">
      <w:pPr>
        <w:spacing w:line="360" w:lineRule="auto"/>
        <w:ind w:firstLine="720"/>
      </w:pPr>
      <w:r>
        <w:t xml:space="preserve">In discussing </w:t>
      </w:r>
      <w:r w:rsidRPr="006C2172">
        <w:rPr>
          <w:i/>
          <w:iCs/>
        </w:rPr>
        <w:t>Naidu</w:t>
      </w:r>
      <w:r>
        <w:t>, petitioner does not a</w:t>
      </w:r>
      <w:r w:rsidR="00B82194">
        <w:t>nalyze</w:t>
      </w:r>
      <w:r>
        <w:t xml:space="preserve"> whether the competing interests in a due process analysis regarding a decision to suspend a business license as a condition of release on bail (or O.R. release) are comparable to the interests involved in a pretrial detention decision under section 12</w:t>
      </w:r>
      <w:r>
        <w:t>(b)</w:t>
      </w:r>
      <w:r w:rsidR="00DB43FA">
        <w:t>—</w:t>
      </w:r>
      <w:r w:rsidR="00FB0BC3">
        <w:t xml:space="preserve">particularly </w:t>
      </w:r>
      <w:r w:rsidR="00EC0DD3" w:rsidRPr="00C01F26">
        <w:t xml:space="preserve">the </w:t>
      </w:r>
      <w:r w:rsidR="00EC0DD3">
        <w:t>state</w:t>
      </w:r>
      <w:r w:rsidR="00EC0DD3" w:rsidRPr="00C01F26">
        <w:t>’s interests</w:t>
      </w:r>
      <w:r w:rsidR="00DB43FA">
        <w:t>—</w:t>
      </w:r>
      <w:r w:rsidR="00EC0DD3" w:rsidRPr="00C01F26">
        <w:t>including administrative and fiscal burdens.</w:t>
      </w:r>
      <w:r>
        <w:t xml:space="preserve">  </w:t>
      </w:r>
      <w:r w:rsidR="00B82194">
        <w:t>For example, h</w:t>
      </w:r>
      <w:r>
        <w:t>e does not address whether cases involving the po</w:t>
      </w:r>
      <w:r w:rsidR="00DB43FA">
        <w:t>tential</w:t>
      </w:r>
      <w:r>
        <w:t xml:space="preserve"> suspension of</w:t>
      </w:r>
      <w:r w:rsidRPr="00E25E6B">
        <w:t xml:space="preserve"> a business license as a</w:t>
      </w:r>
      <w:r>
        <w:t xml:space="preserve"> condition of pretrial release are </w:t>
      </w:r>
      <w:r w:rsidR="00B82194">
        <w:t xml:space="preserve">as </w:t>
      </w:r>
      <w:r>
        <w:t xml:space="preserve">common </w:t>
      </w:r>
      <w:r w:rsidR="00B82194">
        <w:t>as those</w:t>
      </w:r>
      <w:r>
        <w:t xml:space="preserve"> </w:t>
      </w:r>
      <w:r w:rsidR="00544CDF">
        <w:t>where</w:t>
      </w:r>
      <w:r w:rsidR="00DB43FA">
        <w:t>in</w:t>
      </w:r>
      <w:r w:rsidR="00544CDF">
        <w:t xml:space="preserve"> </w:t>
      </w:r>
      <w:r>
        <w:t>pretrial detention</w:t>
      </w:r>
      <w:r w:rsidR="00544CDF">
        <w:t xml:space="preserve"> decisions</w:t>
      </w:r>
      <w:r w:rsidR="00C10584">
        <w:t xml:space="preserve"> </w:t>
      </w:r>
      <w:r w:rsidR="00544CDF">
        <w:lastRenderedPageBreak/>
        <w:t>implicate</w:t>
      </w:r>
      <w:r>
        <w:t xml:space="preserve"> </w:t>
      </w:r>
      <w:r w:rsidR="00544CDF">
        <w:t xml:space="preserve">substantial harm to </w:t>
      </w:r>
      <w:r>
        <w:t>public or victim safety</w:t>
      </w:r>
      <w:r w:rsidR="00B82194">
        <w:t xml:space="preserve">, or whether </w:t>
      </w:r>
      <w:r w:rsidR="0007153D">
        <w:t xml:space="preserve">the burdens of </w:t>
      </w:r>
      <w:r w:rsidR="00C10584">
        <w:t xml:space="preserve">categorically </w:t>
      </w:r>
      <w:r w:rsidR="0007153D">
        <w:t xml:space="preserve">requiring admissible evidence </w:t>
      </w:r>
      <w:r w:rsidR="00C10584">
        <w:t>would be</w:t>
      </w:r>
      <w:r w:rsidR="0007153D">
        <w:t xml:space="preserve"> the same or similar</w:t>
      </w:r>
      <w:r w:rsidR="00544CDF">
        <w:t xml:space="preserve"> when</w:t>
      </w:r>
      <w:r w:rsidR="0007153D">
        <w:t xml:space="preserve"> license</w:t>
      </w:r>
      <w:r w:rsidR="00C10584">
        <w:t xml:space="preserve"> </w:t>
      </w:r>
      <w:r w:rsidR="0007153D">
        <w:t>suspension</w:t>
      </w:r>
      <w:r w:rsidR="00C10584">
        <w:t>s</w:t>
      </w:r>
      <w:r w:rsidR="00544CDF">
        <w:t xml:space="preserve"> are not at issue</w:t>
      </w:r>
      <w:r w:rsidRPr="009D2EC9">
        <w:t xml:space="preserve">.  </w:t>
      </w:r>
      <w:r w:rsidR="00C920C5" w:rsidRPr="009D2EC9">
        <w:t xml:space="preserve">Indeed, we note such burdens would fall not just on the People, but also on criminal defendants and defense attorneys when presenting information at a bail hearing.  </w:t>
      </w:r>
      <w:r w:rsidRPr="009D2EC9">
        <w:t>Moreover</w:t>
      </w:r>
      <w:r>
        <w:t>,</w:t>
      </w:r>
      <w:r w:rsidRPr="00260397">
        <w:t xml:space="preserve"> detention orders—which are interim rulings—can </w:t>
      </w:r>
      <w:r w:rsidRPr="00260397">
        <w:t xml:space="preserve">be undone </w:t>
      </w:r>
      <w:r>
        <w:t xml:space="preserve">relatively quickly </w:t>
      </w:r>
      <w:r w:rsidRPr="00260397">
        <w:t>upon a showing of changed circumstances.  (</w:t>
      </w:r>
      <w:r w:rsidRPr="00260397">
        <w:rPr>
          <w:i/>
          <w:iCs/>
        </w:rPr>
        <w:t>In re Alberto</w:t>
      </w:r>
      <w:r w:rsidRPr="00260397">
        <w:t xml:space="preserve"> (2002) 102 Cal.App.4th 421, 426–427, 430–431; cf. §§ 1273, 1289.)  </w:t>
      </w:r>
      <w:r>
        <w:t xml:space="preserve">It is </w:t>
      </w:r>
      <w:r w:rsidRPr="00260397">
        <w:t>not clear</w:t>
      </w:r>
      <w:r>
        <w:t>, however, whether</w:t>
      </w:r>
      <w:r w:rsidRPr="00260397">
        <w:t xml:space="preserve"> a professional license suspension </w:t>
      </w:r>
      <w:r>
        <w:t>is easily reversed and whether reve</w:t>
      </w:r>
      <w:r>
        <w:t>rsal of a suspension can cure other</w:t>
      </w:r>
      <w:r w:rsidRPr="00260397">
        <w:t xml:space="preserve"> reputational </w:t>
      </w:r>
      <w:r>
        <w:t xml:space="preserve">business </w:t>
      </w:r>
      <w:r w:rsidRPr="00260397">
        <w:t>interests at play.</w:t>
      </w:r>
      <w:r w:rsidR="00AB2D7D">
        <w:t xml:space="preserve">  </w:t>
      </w:r>
      <w:r>
        <w:t xml:space="preserve">As </w:t>
      </w:r>
      <w:r w:rsidR="00DF2A9D">
        <w:t xml:space="preserve">it is not our role to make </w:t>
      </w:r>
      <w:r w:rsidR="00DF2A9D" w:rsidRPr="00CC7CEB">
        <w:t xml:space="preserve">arguments for </w:t>
      </w:r>
      <w:r w:rsidR="00DF2A9D">
        <w:t>petitioner or</w:t>
      </w:r>
      <w:r w:rsidR="00DF2A9D" w:rsidRPr="00CC7CEB">
        <w:t xml:space="preserve"> to consider arguments not raised </w:t>
      </w:r>
      <w:r w:rsidR="00407F44">
        <w:t xml:space="preserve">or meaningfully addressed </w:t>
      </w:r>
      <w:r w:rsidR="00DF2A9D" w:rsidRPr="00C01F26">
        <w:t xml:space="preserve">below or in the habeas </w:t>
      </w:r>
      <w:r w:rsidR="006E26EE">
        <w:t xml:space="preserve">corpus </w:t>
      </w:r>
      <w:r w:rsidR="00DF2A9D" w:rsidRPr="00C01F26">
        <w:t>petition, we decline to do so.</w:t>
      </w:r>
      <w:r>
        <w:rPr>
          <w:rStyle w:val="FootnoteReference"/>
        </w:rPr>
        <w:footnoteReference w:id="7"/>
      </w:r>
      <w:r w:rsidR="00DF2A9D" w:rsidRPr="00C01F26">
        <w:t xml:space="preserve">  (</w:t>
      </w:r>
      <w:bookmarkStart w:id="14" w:name="_Hlk85630091"/>
      <w:r w:rsidR="00DF2A9D" w:rsidRPr="00C01F26">
        <w:rPr>
          <w:i/>
          <w:iCs/>
        </w:rPr>
        <w:t>In re Seaton</w:t>
      </w:r>
      <w:r w:rsidR="00DF2A9D" w:rsidRPr="00C01F26">
        <w:t xml:space="preserve"> (2004) 34 Cal.4th 193, 200</w:t>
      </w:r>
      <w:bookmarkEnd w:id="14"/>
      <w:r w:rsidR="00DF2A9D" w:rsidRPr="00C01F26">
        <w:t xml:space="preserve">; </w:t>
      </w:r>
      <w:r w:rsidR="00DF2A9D" w:rsidRPr="009D2EC9">
        <w:t xml:space="preserve">see </w:t>
      </w:r>
      <w:bookmarkStart w:id="15" w:name="_Hlk85630102"/>
      <w:r w:rsidR="00DF2A9D" w:rsidRPr="009D2EC9">
        <w:rPr>
          <w:i/>
          <w:iCs/>
        </w:rPr>
        <w:t>People v. Duvall</w:t>
      </w:r>
      <w:r w:rsidR="00DF2A9D" w:rsidRPr="009D2EC9">
        <w:t xml:space="preserve"> (1995) 9 Cal.4th 464, 475</w:t>
      </w:r>
      <w:bookmarkEnd w:id="15"/>
      <w:r w:rsidR="00DF2A9D" w:rsidRPr="009D2EC9">
        <w:t>.)</w:t>
      </w:r>
      <w:r w:rsidR="00E303CA" w:rsidRPr="009D2EC9">
        <w:t xml:space="preserve">  </w:t>
      </w:r>
    </w:p>
    <w:p w14:paraId="19A36E1B" w14:textId="303D51B3" w:rsidR="003B1ED4" w:rsidRPr="009D2EC9" w:rsidRDefault="00FC510F" w:rsidP="00214936">
      <w:pPr>
        <w:spacing w:line="360" w:lineRule="auto"/>
        <w:ind w:firstLine="720"/>
      </w:pPr>
      <w:r w:rsidRPr="009D2EC9">
        <w:t>Finally, petitioner contended at oral argument that pursuant to Evidence Code section 300, evidence presented at a</w:t>
      </w:r>
      <w:r w:rsidR="009C0F20" w:rsidRPr="009D2EC9">
        <w:t>ny</w:t>
      </w:r>
      <w:r w:rsidRPr="009D2EC9">
        <w:t xml:space="preserve"> bail</w:t>
      </w:r>
      <w:r w:rsidR="009C0F20" w:rsidRPr="009D2EC9">
        <w:t xml:space="preserve"> or pretrial detention</w:t>
      </w:r>
      <w:r w:rsidRPr="009D2EC9">
        <w:t xml:space="preserve"> hearing must comply with all the formal rules </w:t>
      </w:r>
      <w:r w:rsidR="007E5592" w:rsidRPr="009D2EC9">
        <w:t xml:space="preserve">for admissibility </w:t>
      </w:r>
      <w:r w:rsidRPr="009D2EC9">
        <w:t xml:space="preserve">of evidence at a trial.  </w:t>
      </w:r>
      <w:r w:rsidR="00041300" w:rsidRPr="009D2EC9">
        <w:t>Petitioner, however, neither</w:t>
      </w:r>
      <w:r w:rsidRPr="009D2EC9">
        <w:t xml:space="preserve"> previously raised nor properly briefed</w:t>
      </w:r>
      <w:r w:rsidR="00041300" w:rsidRPr="009D2EC9">
        <w:t xml:space="preserve"> this</w:t>
      </w:r>
      <w:r w:rsidR="00B06507" w:rsidRPr="009D2EC9">
        <w:t xml:space="preserve"> statute-based</w:t>
      </w:r>
      <w:r w:rsidR="00041300" w:rsidRPr="009D2EC9">
        <w:t xml:space="preserve"> issue</w:t>
      </w:r>
      <w:r w:rsidRPr="009D2EC9">
        <w:t>.  Petitioner does not, for example, address the pro</w:t>
      </w:r>
      <w:r w:rsidRPr="009D2EC9">
        <w:t xml:space="preserve">per interpretation of </w:t>
      </w:r>
      <w:r w:rsidR="00214936" w:rsidRPr="009D2EC9">
        <w:t>Evidence Code section 300 or any bail-related statutes (e.g., Pen. Code, § 1319</w:t>
      </w:r>
      <w:r>
        <w:rPr>
          <w:rStyle w:val="FootnoteReference"/>
        </w:rPr>
        <w:footnoteReference w:id="8"/>
      </w:r>
      <w:r w:rsidR="00214936" w:rsidRPr="009D2EC9">
        <w:t>).  Nor does petitioner address</w:t>
      </w:r>
      <w:r w:rsidRPr="009D2EC9">
        <w:t xml:space="preserve"> case </w:t>
      </w:r>
      <w:r w:rsidRPr="009D2EC9">
        <w:lastRenderedPageBreak/>
        <w:t>law that allows use of technically inadmissible evidence at hearings that implicate</w:t>
      </w:r>
      <w:r w:rsidR="0012679B" w:rsidRPr="009D2EC9">
        <w:t xml:space="preserve"> other</w:t>
      </w:r>
      <w:r w:rsidRPr="009D2EC9">
        <w:t xml:space="preserve"> liberty interests, such as</w:t>
      </w:r>
      <w:r w:rsidRPr="009D2EC9">
        <w:t xml:space="preserve"> sentencing and probation violation hearings.  (See, e.g., </w:t>
      </w:r>
      <w:r w:rsidRPr="009D2EC9">
        <w:rPr>
          <w:i/>
          <w:iCs/>
        </w:rPr>
        <w:t>People v. O’Connell</w:t>
      </w:r>
      <w:r w:rsidRPr="009D2EC9">
        <w:t xml:space="preserve"> (2003) 107 Cal.App.4th 1062, 1066 [“ ‘As long as hearsay testimony bears a substantial degree of trustworthiness it may legitimately be used at a probation revocation proceeding</w:t>
      </w:r>
      <w:r w:rsidRPr="009D2EC9">
        <w:t xml:space="preserve">.’ ”]; </w:t>
      </w:r>
      <w:r w:rsidRPr="009D2EC9">
        <w:rPr>
          <w:i/>
          <w:iCs/>
        </w:rPr>
        <w:t>People v. Lamb</w:t>
      </w:r>
      <w:r w:rsidRPr="009D2EC9">
        <w:t xml:space="preserve"> (1999) 76 Cal.App.4th 664, 683 [“A sentencing judge may consider responsible unsworn or out-of-court statements concerning the convicted person’s life and characteristics.”].)  Ultimately, given the untimeliness of </w:t>
      </w:r>
      <w:r w:rsidR="001720DD" w:rsidRPr="009D2EC9">
        <w:t>petitioner’s</w:t>
      </w:r>
      <w:r w:rsidRPr="009D2EC9">
        <w:t xml:space="preserve"> argume</w:t>
      </w:r>
      <w:r w:rsidRPr="009D2EC9">
        <w:t>nt and lack of briefing (Cal. Rules of Court, rules 8.204(a)(1)(B) &amp; 8.384(a)(1)–(2)), we decline to address the argument.  (</w:t>
      </w:r>
      <w:r w:rsidRPr="009D2EC9">
        <w:rPr>
          <w:i/>
          <w:iCs/>
        </w:rPr>
        <w:t>People v. Crow</w:t>
      </w:r>
      <w:r w:rsidRPr="009D2EC9">
        <w:t xml:space="preserve"> (1993) 6 Cal.4th 952, 960, fn. 7.)</w:t>
      </w:r>
    </w:p>
    <w:p w14:paraId="2FD15BD0" w14:textId="018B47AD" w:rsidR="00902BD0" w:rsidRDefault="00FC510F" w:rsidP="00A83607">
      <w:pPr>
        <w:spacing w:line="360" w:lineRule="auto"/>
      </w:pPr>
      <w:r w:rsidRPr="009D2EC9">
        <w:tab/>
        <w:t xml:space="preserve">In sum, </w:t>
      </w:r>
      <w:r w:rsidR="00CE0B18" w:rsidRPr="009D2EC9">
        <w:t>we conclude</w:t>
      </w:r>
      <w:r w:rsidR="00E35DEA" w:rsidRPr="009D2EC9">
        <w:t>, as a general matter,</w:t>
      </w:r>
      <w:r w:rsidR="00395445" w:rsidRPr="009D2EC9">
        <w:t xml:space="preserve"> that</w:t>
      </w:r>
      <w:r w:rsidR="00CE0B18" w:rsidRPr="009D2EC9">
        <w:t xml:space="preserve"> proffers of evidence may satisfy section 12(b)’s clear and convincing evidence standard</w:t>
      </w:r>
      <w:r w:rsidR="00E35DEA" w:rsidRPr="009D2EC9">
        <w:t xml:space="preserve"> without offending federal or state due process principles</w:t>
      </w:r>
      <w:r w:rsidR="002E0F2C" w:rsidRPr="009D2EC9">
        <w:t xml:space="preserve">.  In </w:t>
      </w:r>
      <w:r w:rsidRPr="009D2EC9">
        <w:t xml:space="preserve">so </w:t>
      </w:r>
      <w:r w:rsidR="00CE0B18" w:rsidRPr="009D2EC9">
        <w:t>concluding</w:t>
      </w:r>
      <w:r w:rsidR="002E0F2C" w:rsidRPr="009D2EC9">
        <w:t>, we</w:t>
      </w:r>
      <w:r w:rsidR="00DF08B7" w:rsidRPr="009D2EC9">
        <w:t xml:space="preserve"> emphasize</w:t>
      </w:r>
      <w:r w:rsidR="00563F9F" w:rsidRPr="009D2EC9">
        <w:t xml:space="preserve"> that </w:t>
      </w:r>
      <w:r w:rsidR="002E0F2C" w:rsidRPr="009D2EC9">
        <w:t xml:space="preserve">it </w:t>
      </w:r>
      <w:r w:rsidR="00F70B62" w:rsidRPr="009D2EC9">
        <w:t>remains</w:t>
      </w:r>
      <w:r w:rsidR="002E0F2C" w:rsidRPr="009D2EC9">
        <w:t xml:space="preserve"> within the discretion of the </w:t>
      </w:r>
      <w:r w:rsidRPr="009D2EC9">
        <w:t xml:space="preserve">trial </w:t>
      </w:r>
      <w:r w:rsidR="002E0F2C" w:rsidRPr="009D2EC9">
        <w:t>court to decide</w:t>
      </w:r>
      <w:r w:rsidR="002E0F2C" w:rsidRPr="00C01F26">
        <w:t xml:space="preserve"> whether </w:t>
      </w:r>
      <w:r w:rsidR="00E6057E">
        <w:t xml:space="preserve">particular instances of </w:t>
      </w:r>
      <w:r w:rsidR="002E0F2C" w:rsidRPr="00C01F26">
        <w:t xml:space="preserve">proffered evidence </w:t>
      </w:r>
      <w:r w:rsidR="00A67522">
        <w:t>may be in</w:t>
      </w:r>
      <w:r w:rsidR="002E0F2C" w:rsidRPr="00C01F26">
        <w:t xml:space="preserve">sufficient, </w:t>
      </w:r>
      <w:r w:rsidR="00E6057E">
        <w:t>and</w:t>
      </w:r>
      <w:r w:rsidR="002E0F2C" w:rsidRPr="00C01F26">
        <w:t xml:space="preserve"> whether to insist on the production</w:t>
      </w:r>
      <w:r w:rsidR="002E0F2C">
        <w:t xml:space="preserve"> of live testimony or other evidence in compliance with more stringent procedural requirements.</w:t>
      </w:r>
      <w:r w:rsidR="002E0F2C" w:rsidRPr="003167A1">
        <w:t xml:space="preserve"> </w:t>
      </w:r>
      <w:r w:rsidR="002E0F2C">
        <w:t xml:space="preserve"> </w:t>
      </w:r>
      <w:r w:rsidR="002E0F2C" w:rsidRPr="003167A1">
        <w:t>(</w:t>
      </w:r>
      <w:r w:rsidR="002E0F2C">
        <w:t xml:space="preserve">Cf. </w:t>
      </w:r>
      <w:r w:rsidR="002E0F2C" w:rsidRPr="00377497">
        <w:rPr>
          <w:i/>
          <w:iCs/>
        </w:rPr>
        <w:t>United States v. Delker</w:t>
      </w:r>
      <w:r w:rsidR="002E0F2C">
        <w:t xml:space="preserve">, </w:t>
      </w:r>
      <w:r w:rsidR="002E0F2C" w:rsidRPr="00377497">
        <w:rPr>
          <w:i/>
          <w:iCs/>
        </w:rPr>
        <w:t>supra</w:t>
      </w:r>
      <w:r w:rsidR="002E0F2C">
        <w:t>,</w:t>
      </w:r>
      <w:r w:rsidR="002E0F2C" w:rsidRPr="003167A1">
        <w:t xml:space="preserve"> 757 F.2d </w:t>
      </w:r>
      <w:r w:rsidR="002E0F2C">
        <w:t>at p. </w:t>
      </w:r>
      <w:r w:rsidR="002E0F2C" w:rsidRPr="003167A1">
        <w:t>1395</w:t>
      </w:r>
      <w:r w:rsidR="002E0F2C">
        <w:t xml:space="preserve">; </w:t>
      </w:r>
      <w:r w:rsidR="002E0F2C" w:rsidRPr="00D83128">
        <w:rPr>
          <w:i/>
          <w:iCs/>
        </w:rPr>
        <w:t>United States v. Acevedo-Ramos</w:t>
      </w:r>
      <w:r w:rsidR="002E0F2C">
        <w:t xml:space="preserve">, </w:t>
      </w:r>
      <w:r w:rsidR="002E0F2C" w:rsidRPr="00D83128">
        <w:rPr>
          <w:i/>
          <w:iCs/>
        </w:rPr>
        <w:t>supra</w:t>
      </w:r>
      <w:r w:rsidR="002E0F2C">
        <w:t>, 755 F.2d at pp. 206–208</w:t>
      </w:r>
      <w:r w:rsidR="002E0F2C" w:rsidRPr="003167A1">
        <w:t>.)</w:t>
      </w:r>
    </w:p>
    <w:p w14:paraId="768644F8" w14:textId="4549EAB1" w:rsidR="003E405D" w:rsidRPr="005F7322" w:rsidRDefault="00FC510F" w:rsidP="00297CFC">
      <w:pPr>
        <w:keepNext/>
        <w:spacing w:line="360" w:lineRule="auto"/>
        <w:rPr>
          <w:i/>
          <w:iCs/>
        </w:rPr>
      </w:pPr>
      <w:r w:rsidRPr="005F7322">
        <w:rPr>
          <w:i/>
          <w:iCs/>
        </w:rPr>
        <w:tab/>
      </w:r>
      <w:r w:rsidRPr="005F7322">
        <w:rPr>
          <w:i/>
          <w:iCs/>
        </w:rPr>
        <w:tab/>
      </w:r>
      <w:r w:rsidR="005F7322" w:rsidRPr="004E4997">
        <w:rPr>
          <w:i/>
          <w:iCs/>
        </w:rPr>
        <w:t>2</w:t>
      </w:r>
      <w:r w:rsidRPr="004E4997">
        <w:rPr>
          <w:i/>
          <w:iCs/>
        </w:rPr>
        <w:t xml:space="preserve">.  </w:t>
      </w:r>
      <w:bookmarkStart w:id="16" w:name="_Hlk85539461"/>
      <w:r w:rsidR="005C4664" w:rsidRPr="004E4997">
        <w:rPr>
          <w:i/>
          <w:iCs/>
        </w:rPr>
        <w:t>Application of Section 12(b)</w:t>
      </w:r>
      <w:bookmarkEnd w:id="16"/>
    </w:p>
    <w:p w14:paraId="546EEB3C" w14:textId="68AEEC52" w:rsidR="001C6E07" w:rsidRDefault="00FC510F" w:rsidP="00941660">
      <w:pPr>
        <w:spacing w:line="360" w:lineRule="auto"/>
      </w:pPr>
      <w:r w:rsidRPr="00CC7CEB">
        <w:tab/>
      </w:r>
      <w:bookmarkStart w:id="17" w:name="_Hlk81490333"/>
      <w:r w:rsidR="00A83607">
        <w:t>In</w:t>
      </w:r>
      <w:r w:rsidR="003C3061" w:rsidRPr="001F36B6">
        <w:t xml:space="preserve"> </w:t>
      </w:r>
      <w:r w:rsidR="00E66126" w:rsidRPr="001F36B6">
        <w:t>reviewing the trial court’s decision to deny bail under section</w:t>
      </w:r>
      <w:r w:rsidR="00ED67B4" w:rsidRPr="001F36B6">
        <w:t> </w:t>
      </w:r>
      <w:r w:rsidR="00E66126" w:rsidRPr="001F36B6">
        <w:t>12(b)</w:t>
      </w:r>
      <w:r w:rsidR="00A83607">
        <w:t>, we assess</w:t>
      </w:r>
      <w:r w:rsidR="00D85BB1">
        <w:t xml:space="preserve"> two elements:  (1) “</w:t>
      </w:r>
      <w:r w:rsidR="009C2106" w:rsidRPr="001F36B6">
        <w:t xml:space="preserve">whether </w:t>
      </w:r>
      <w:r w:rsidR="00D85BB1">
        <w:t>the record contains</w:t>
      </w:r>
      <w:r w:rsidR="00C320E8" w:rsidRPr="001F36B6">
        <w:t xml:space="preserve"> substantial </w:t>
      </w:r>
      <w:r w:rsidR="00C320E8" w:rsidRPr="001F36B6">
        <w:lastRenderedPageBreak/>
        <w:t>evidence of a qualifying offense</w:t>
      </w:r>
      <w:r w:rsidR="00D85BB1">
        <w:t>” and if so, then (2) “</w:t>
      </w:r>
      <w:r w:rsidR="00C320E8" w:rsidRPr="001F36B6">
        <w:t>whether any reasonable fact finder could have found, by clear and convincing evidence, a substantial likelihood that the defendant’s release would result in great bodily harm to one or more members of the public.</w:t>
      </w:r>
      <w:r w:rsidR="00A83607">
        <w:t>”</w:t>
      </w:r>
      <w:r w:rsidR="00C320E8" w:rsidRPr="001F36B6">
        <w:t xml:space="preserve">  </w:t>
      </w:r>
      <w:r w:rsidR="00A83607" w:rsidRPr="00C01F26">
        <w:t>(</w:t>
      </w:r>
      <w:r w:rsidR="00A83607" w:rsidRPr="00C01F26">
        <w:rPr>
          <w:i/>
          <w:iCs/>
        </w:rPr>
        <w:t>White</w:t>
      </w:r>
      <w:r w:rsidR="00A83607" w:rsidRPr="00C01F26">
        <w:t xml:space="preserve">, </w:t>
      </w:r>
      <w:r w:rsidR="00A83607" w:rsidRPr="00C01F26">
        <w:rPr>
          <w:i/>
          <w:iCs/>
        </w:rPr>
        <w:t>supra</w:t>
      </w:r>
      <w:r w:rsidR="00A83607" w:rsidRPr="00C01F26">
        <w:t>, 9 Cal.5th at p. 471.)</w:t>
      </w:r>
      <w:r w:rsidR="00A83607">
        <w:t xml:space="preserve">  If</w:t>
      </w:r>
      <w:r w:rsidR="00C320E8" w:rsidRPr="001F36B6">
        <w:t xml:space="preserve"> both elements are satisfied, </w:t>
      </w:r>
      <w:r w:rsidR="00A83607">
        <w:t>we</w:t>
      </w:r>
      <w:r w:rsidR="00C320E8" w:rsidRPr="001F36B6">
        <w:t xml:space="preserve"> </w:t>
      </w:r>
      <w:r w:rsidR="00A83607">
        <w:t xml:space="preserve">evaluate </w:t>
      </w:r>
      <w:r w:rsidR="00C320E8" w:rsidRPr="001F36B6">
        <w:t>whether th</w:t>
      </w:r>
      <w:r w:rsidR="00D85BB1">
        <w:t>e trial court’s</w:t>
      </w:r>
      <w:r w:rsidR="00C320E8" w:rsidRPr="001F36B6">
        <w:t xml:space="preserve"> denial was an </w:t>
      </w:r>
      <w:r w:rsidR="00C320E8" w:rsidRPr="00C01F26">
        <w:t>abuse of discretion.</w:t>
      </w:r>
      <w:r w:rsidR="00A83607">
        <w:t xml:space="preserve"> </w:t>
      </w:r>
      <w:r w:rsidR="00FE2592" w:rsidRPr="00C01F26">
        <w:t xml:space="preserve"> (</w:t>
      </w:r>
      <w:r w:rsidR="00D85BB1" w:rsidRPr="009F307A">
        <w:rPr>
          <w:i/>
          <w:iCs/>
        </w:rPr>
        <w:t>Ibid</w:t>
      </w:r>
      <w:r w:rsidR="006C6CC9" w:rsidRPr="00C01F26">
        <w:t>.)</w:t>
      </w:r>
      <w:r w:rsidR="009C758B" w:rsidRPr="009C758B">
        <w:t xml:space="preserve"> </w:t>
      </w:r>
      <w:r w:rsidR="00941660">
        <w:t xml:space="preserve"> “</w:t>
      </w:r>
      <w:r w:rsidR="009C758B">
        <w:t>An abuse of discretion occurs when the trial court, for example, is unaware of its discretion, fails to consider a relevant factor that deserves significant weight, gives significant weight to an irrelevant or impermissible factor, or makes a decision so arbitrary or irrational that no reasonable person could agree with it.</w:t>
      </w:r>
      <w:r w:rsidR="00DB43FA">
        <w:t>”</w:t>
      </w:r>
      <w:r w:rsidR="00941660">
        <w:t xml:space="preserve">  (</w:t>
      </w:r>
      <w:r w:rsidR="00941660" w:rsidRPr="009F307A">
        <w:rPr>
          <w:i/>
          <w:iCs/>
        </w:rPr>
        <w:t>Id</w:t>
      </w:r>
      <w:r w:rsidR="00941660">
        <w:t>. at p. 470.)</w:t>
      </w:r>
    </w:p>
    <w:p w14:paraId="2580200D" w14:textId="576A88DC" w:rsidR="00D85BB1" w:rsidRPr="0091374D" w:rsidRDefault="00FC510F" w:rsidP="00D85BB1">
      <w:pPr>
        <w:spacing w:line="360" w:lineRule="auto"/>
      </w:pPr>
      <w:r>
        <w:tab/>
      </w:r>
      <w:r w:rsidR="00891DD6">
        <w:t xml:space="preserve">First, does the record contain </w:t>
      </w:r>
      <w:r w:rsidR="00891DD6" w:rsidRPr="001F36B6">
        <w:t>substantial evidence of a qualifying offense</w:t>
      </w:r>
      <w:r w:rsidR="00891DD6">
        <w:t xml:space="preserve">?  The answer is yes. </w:t>
      </w:r>
      <w:r w:rsidRPr="0091374D">
        <w:t xml:space="preserve"> </w:t>
      </w:r>
      <w:r w:rsidR="00891DD6">
        <w:t>P</w:t>
      </w:r>
      <w:r w:rsidRPr="0091374D">
        <w:t xml:space="preserve">etitioner does not dispute that he was charged with one or more qualifying felonies involving acts of violence </w:t>
      </w:r>
      <w:r>
        <w:t>and</w:t>
      </w:r>
      <w:r w:rsidRPr="0091374D">
        <w:t xml:space="preserve"> sexual assault or that “the</w:t>
      </w:r>
      <w:r w:rsidRPr="0091374D">
        <w:t xml:space="preserve"> facts are evident or the presumption great” as required by section 12(b).  </w:t>
      </w:r>
      <w:r>
        <w:t>Indeed, h</w:t>
      </w:r>
      <w:r w:rsidRPr="0091374D">
        <w:t xml:space="preserve">ad petitioner challenged the trial court’s finding on this point, we would </w:t>
      </w:r>
      <w:r>
        <w:t xml:space="preserve">easily </w:t>
      </w:r>
      <w:r w:rsidRPr="0091374D">
        <w:t>reject it based on the qualifying nature of the charges and the substantial evidence tend</w:t>
      </w:r>
      <w:r w:rsidRPr="0091374D">
        <w:t>ing to show his guilt as the perpetrator, including the DNA evidence and the evidence of petitioner’s idiosyncratic scarf fetish, as well as the specific design of the scarves he used, i.e., floral with a border.</w:t>
      </w:r>
    </w:p>
    <w:p w14:paraId="76B75A5D" w14:textId="08C322FA" w:rsidR="00D85BB1" w:rsidRPr="00C01F26" w:rsidRDefault="00FC510F" w:rsidP="007320BF">
      <w:pPr>
        <w:spacing w:line="360" w:lineRule="auto"/>
      </w:pPr>
      <w:r>
        <w:tab/>
        <w:t>Second, could</w:t>
      </w:r>
      <w:r w:rsidRPr="001F36B6">
        <w:t xml:space="preserve"> any reasonable fact finder have found, by clear and convincing evidence, a substantial likelihood that the defendant’s release would result in great bodily harm to one or more members of the public</w:t>
      </w:r>
      <w:r>
        <w:t>?  Again</w:t>
      </w:r>
      <w:r w:rsidR="00920F2B">
        <w:t>,</w:t>
      </w:r>
      <w:r>
        <w:t xml:space="preserve"> the answer is yes.</w:t>
      </w:r>
    </w:p>
    <w:bookmarkEnd w:id="17"/>
    <w:p w14:paraId="12452887" w14:textId="34D855A6" w:rsidR="00A83FB4" w:rsidRPr="00C01F26" w:rsidRDefault="00FC510F" w:rsidP="007320BF">
      <w:pPr>
        <w:spacing w:line="360" w:lineRule="auto"/>
      </w:pPr>
      <w:r w:rsidRPr="0091374D">
        <w:tab/>
      </w:r>
      <w:r w:rsidR="00891DD6">
        <w:t>P</w:t>
      </w:r>
      <w:r w:rsidR="009C4DEB" w:rsidRPr="00C01F26">
        <w:t xml:space="preserve">etitioner was charged with attempted </w:t>
      </w:r>
      <w:r w:rsidR="00F16665" w:rsidRPr="00C01F26">
        <w:t xml:space="preserve">willful, deliberate, and premeditated </w:t>
      </w:r>
      <w:r w:rsidR="009C4DEB" w:rsidRPr="00C01F26">
        <w:t>murder and aggravated mayhem</w:t>
      </w:r>
      <w:r w:rsidR="005B6A80" w:rsidRPr="00C01F26">
        <w:t>,</w:t>
      </w:r>
      <w:r w:rsidR="009C4DEB" w:rsidRPr="00C01F26">
        <w:t xml:space="preserve"> and it was alleged that he</w:t>
      </w:r>
      <w:r w:rsidR="006D132E" w:rsidRPr="00C01F26">
        <w:t xml:space="preserve"> personally</w:t>
      </w:r>
      <w:r w:rsidR="009C4DEB" w:rsidRPr="00C01F26">
        <w:t xml:space="preserve"> used a</w:t>
      </w:r>
      <w:r w:rsidR="006D132E" w:rsidRPr="00C01F26">
        <w:t xml:space="preserve"> deadly weapon</w:t>
      </w:r>
      <w:r w:rsidR="00713CE0" w:rsidRPr="00C01F26">
        <w:t>—</w:t>
      </w:r>
      <w:r w:rsidR="006D132E" w:rsidRPr="00C01F26">
        <w:t>a</w:t>
      </w:r>
      <w:r w:rsidR="009C4DEB" w:rsidRPr="00C01F26">
        <w:t xml:space="preserve"> knife</w:t>
      </w:r>
      <w:r w:rsidR="00713CE0" w:rsidRPr="00C01F26">
        <w:t>—</w:t>
      </w:r>
      <w:r w:rsidR="007F73AE">
        <w:t xml:space="preserve">to </w:t>
      </w:r>
      <w:r w:rsidR="009C4DEB" w:rsidRPr="00C01F26">
        <w:t xml:space="preserve">inflict great bodily injury on </w:t>
      </w:r>
      <w:r w:rsidR="009C4DEB" w:rsidRPr="00C01F26">
        <w:lastRenderedPageBreak/>
        <w:t xml:space="preserve">the victim.  </w:t>
      </w:r>
      <w:r w:rsidR="00F16665" w:rsidRPr="00C01F26">
        <w:t>Both of the charged crimes are “serious” and “violent” felonies (§</w:t>
      </w:r>
      <w:r w:rsidR="002C5ED3" w:rsidRPr="00C01F26">
        <w:t> </w:t>
      </w:r>
      <w:r w:rsidR="00F16665" w:rsidRPr="00C01F26">
        <w:t>1192.7, subd. (c)(2), (7), (9)</w:t>
      </w:r>
      <w:r w:rsidR="00863FD3" w:rsidRPr="00C01F26">
        <w:t>, (23)</w:t>
      </w:r>
      <w:r w:rsidR="00F16665" w:rsidRPr="00C01F26">
        <w:t>; § 667.5, subd. (c)(2), (7),</w:t>
      </w:r>
      <w:r w:rsidR="00863FD3" w:rsidRPr="00C01F26">
        <w:t xml:space="preserve"> (8),</w:t>
      </w:r>
      <w:r w:rsidR="00F16665" w:rsidRPr="00C01F26">
        <w:t xml:space="preserve"> (12)) that </w:t>
      </w:r>
      <w:r w:rsidRPr="00C01F26">
        <w:t>carry</w:t>
      </w:r>
      <w:r w:rsidR="00C721F3" w:rsidRPr="00C01F26">
        <w:t xml:space="preserve"> the</w:t>
      </w:r>
      <w:r w:rsidR="00B528D6" w:rsidRPr="00C01F26">
        <w:t xml:space="preserve"> severe</w:t>
      </w:r>
      <w:r w:rsidRPr="00C01F26">
        <w:t xml:space="preserve"> sentence of</w:t>
      </w:r>
      <w:r w:rsidR="00F16665" w:rsidRPr="00C01F26">
        <w:t xml:space="preserve"> life in prison</w:t>
      </w:r>
      <w:r w:rsidRPr="00C01F26">
        <w:t>, albeit</w:t>
      </w:r>
      <w:r w:rsidR="00F16665" w:rsidRPr="00C01F26">
        <w:t xml:space="preserve"> with the possibility of parole (§</w:t>
      </w:r>
      <w:r w:rsidRPr="00C01F26">
        <w:t>§ </w:t>
      </w:r>
      <w:r w:rsidR="00F16665" w:rsidRPr="00C01F26">
        <w:t>205</w:t>
      </w:r>
      <w:r w:rsidRPr="00C01F26">
        <w:t>, 664,</w:t>
      </w:r>
      <w:r w:rsidR="00F16665" w:rsidRPr="00C01F26">
        <w:t xml:space="preserve"> subd. (a))</w:t>
      </w:r>
      <w:r w:rsidR="00F92F53">
        <w:t>, and t</w:t>
      </w:r>
      <w:r w:rsidR="009C4DEB" w:rsidRPr="00C01F26">
        <w:t>he court was required to assume the truth of the</w:t>
      </w:r>
      <w:r w:rsidRPr="00C01F26">
        <w:t>se</w:t>
      </w:r>
      <w:r w:rsidR="009C4DEB" w:rsidRPr="00C01F26">
        <w:t xml:space="preserve"> charges (</w:t>
      </w:r>
      <w:r w:rsidR="009C4DEB" w:rsidRPr="00C01F26">
        <w:rPr>
          <w:i/>
          <w:iCs/>
        </w:rPr>
        <w:t>Humphrey</w:t>
      </w:r>
      <w:r w:rsidR="009C4DEB" w:rsidRPr="00C01F26">
        <w:t xml:space="preserve">, </w:t>
      </w:r>
      <w:r w:rsidR="009C4DEB" w:rsidRPr="00C01F26">
        <w:rPr>
          <w:i/>
          <w:iCs/>
        </w:rPr>
        <w:t>supra</w:t>
      </w:r>
      <w:r w:rsidR="009C4DEB" w:rsidRPr="00C01F26">
        <w:t>, 11 Cal.5th at p. 153)</w:t>
      </w:r>
      <w:r w:rsidR="00F92F53">
        <w:t>.</w:t>
      </w:r>
    </w:p>
    <w:p w14:paraId="4F526B01" w14:textId="0A5AB7E6" w:rsidR="00A77F16" w:rsidRPr="00C01F26" w:rsidRDefault="00FC510F" w:rsidP="00B308FB">
      <w:pPr>
        <w:spacing w:line="360" w:lineRule="auto"/>
      </w:pPr>
      <w:r w:rsidRPr="00C01F26">
        <w:tab/>
      </w:r>
      <w:r w:rsidR="002B467D">
        <w:t>Significantly</w:t>
      </w:r>
      <w:r w:rsidR="0033747A" w:rsidRPr="00C01F26">
        <w:t>, t</w:t>
      </w:r>
      <w:r w:rsidR="00E92B81" w:rsidRPr="00C01F26">
        <w:t>he</w:t>
      </w:r>
      <w:r w:rsidR="008520FF" w:rsidRPr="00C01F26">
        <w:t xml:space="preserve"> </w:t>
      </w:r>
      <w:r w:rsidR="0033747A" w:rsidRPr="00C01F26">
        <w:t>People</w:t>
      </w:r>
      <w:r w:rsidR="005B6A80" w:rsidRPr="00C01F26">
        <w:t>’s</w:t>
      </w:r>
      <w:r w:rsidR="0033747A" w:rsidRPr="00C01F26">
        <w:t xml:space="preserve"> proffer</w:t>
      </w:r>
      <w:r w:rsidR="005B6A80" w:rsidRPr="00C01F26">
        <w:t xml:space="preserve"> of</w:t>
      </w:r>
      <w:r w:rsidR="008520FF" w:rsidRPr="00C01F26">
        <w:t xml:space="preserve"> evidence</w:t>
      </w:r>
      <w:r w:rsidR="009C4DEB" w:rsidRPr="00C01F26">
        <w:t xml:space="preserve"> concerning the circumstances of the underlying offense</w:t>
      </w:r>
      <w:r w:rsidR="00EB0A46" w:rsidRPr="00C01F26">
        <w:t>s</w:t>
      </w:r>
      <w:r w:rsidR="005B6A80" w:rsidRPr="00C01F26">
        <w:t xml:space="preserve"> was extensive</w:t>
      </w:r>
      <w:r w:rsidR="00A416DA">
        <w:t xml:space="preserve"> and detailed</w:t>
      </w:r>
      <w:r w:rsidR="005B6A80" w:rsidRPr="00C01F26">
        <w:t xml:space="preserve"> and included the following.  P</w:t>
      </w:r>
      <w:r w:rsidR="008520FF" w:rsidRPr="00C01F26">
        <w:t xml:space="preserve">etitioner </w:t>
      </w:r>
      <w:r w:rsidRPr="00C01F26">
        <w:t xml:space="preserve">bound and </w:t>
      </w:r>
      <w:r w:rsidR="00D84FEC" w:rsidRPr="00C01F26">
        <w:t>rap</w:t>
      </w:r>
      <w:r w:rsidR="009E4293" w:rsidRPr="00C01F26">
        <w:t>ed</w:t>
      </w:r>
      <w:r w:rsidR="00D84FEC" w:rsidRPr="00C01F26">
        <w:t xml:space="preserve"> the victim</w:t>
      </w:r>
      <w:r w:rsidR="00A20F12" w:rsidRPr="00C01F26">
        <w:t>,</w:t>
      </w:r>
      <w:r w:rsidR="00D84FEC" w:rsidRPr="00C01F26">
        <w:t xml:space="preserve"> then </w:t>
      </w:r>
      <w:r w:rsidR="00CC6AF7" w:rsidRPr="00C01F26">
        <w:t>tried to kill</w:t>
      </w:r>
      <w:r w:rsidR="009E4293" w:rsidRPr="00C01F26">
        <w:t xml:space="preserve"> her</w:t>
      </w:r>
      <w:r w:rsidR="005B6A80" w:rsidRPr="00C01F26">
        <w:t>.</w:t>
      </w:r>
      <w:r w:rsidR="00E92B81" w:rsidRPr="00C01F26">
        <w:t xml:space="preserve"> </w:t>
      </w:r>
      <w:r w:rsidR="005B6A80" w:rsidRPr="00C01F26">
        <w:t xml:space="preserve"> H</w:t>
      </w:r>
      <w:r w:rsidR="00E92B81" w:rsidRPr="00C01F26">
        <w:t>e tried to stab her in the back several times but was unsuccessful only because the knife was dull</w:t>
      </w:r>
      <w:r w:rsidR="005B6A80" w:rsidRPr="00C01F26">
        <w:t>.  H</w:t>
      </w:r>
      <w:r w:rsidR="00E92B81" w:rsidRPr="00C01F26">
        <w:t xml:space="preserve">e strangled her, and he </w:t>
      </w:r>
      <w:r w:rsidR="00290511" w:rsidRPr="00C01F26">
        <w:t xml:space="preserve">sawed at </w:t>
      </w:r>
      <w:r w:rsidR="00E92B81" w:rsidRPr="00C01F26">
        <w:t xml:space="preserve">her </w:t>
      </w:r>
      <w:r w:rsidR="00BE2E19" w:rsidRPr="00C01F26">
        <w:t xml:space="preserve">neck </w:t>
      </w:r>
      <w:r w:rsidR="00D84FEC" w:rsidRPr="00C01F26">
        <w:t xml:space="preserve">to within a </w:t>
      </w:r>
      <w:r w:rsidR="00426BBA" w:rsidRPr="00C01F26">
        <w:t xml:space="preserve">hair’s breadth </w:t>
      </w:r>
      <w:r w:rsidR="009474AE" w:rsidRPr="00C01F26">
        <w:t>of</w:t>
      </w:r>
      <w:r w:rsidR="00426BBA" w:rsidRPr="00C01F26">
        <w:t xml:space="preserve"> </w:t>
      </w:r>
      <w:r w:rsidR="00D84FEC" w:rsidRPr="00C01F26">
        <w:t>her</w:t>
      </w:r>
      <w:r w:rsidR="00D750FB" w:rsidRPr="00C01F26">
        <w:t xml:space="preserve"> </w:t>
      </w:r>
      <w:r w:rsidR="00D84FEC" w:rsidRPr="00C01F26">
        <w:t xml:space="preserve">jugular. </w:t>
      </w:r>
      <w:r w:rsidR="0033747A" w:rsidRPr="00C01F26">
        <w:t xml:space="preserve"> Within about </w:t>
      </w:r>
      <w:r w:rsidR="006029BC" w:rsidRPr="00C01F26">
        <w:t>two</w:t>
      </w:r>
      <w:r w:rsidR="0033747A" w:rsidRPr="00C01F26">
        <w:t xml:space="preserve"> year</w:t>
      </w:r>
      <w:r w:rsidR="006029BC" w:rsidRPr="00C01F26">
        <w:t>s</w:t>
      </w:r>
      <w:r w:rsidR="0033747A" w:rsidRPr="00C01F26">
        <w:t xml:space="preserve"> </w:t>
      </w:r>
      <w:r w:rsidR="006029BC" w:rsidRPr="00C01F26">
        <w:t>of</w:t>
      </w:r>
      <w:r w:rsidR="0033747A" w:rsidRPr="00C01F26">
        <w:t xml:space="preserve"> the </w:t>
      </w:r>
      <w:r w:rsidR="00D91859" w:rsidRPr="00C01F26">
        <w:t xml:space="preserve">1989 </w:t>
      </w:r>
      <w:r w:rsidR="0033747A" w:rsidRPr="00C01F26">
        <w:t>offense</w:t>
      </w:r>
      <w:r w:rsidR="00EB0A46" w:rsidRPr="00C01F26">
        <w:t>s</w:t>
      </w:r>
      <w:r w:rsidR="00A97AA0" w:rsidRPr="00C01F26">
        <w:t xml:space="preserve">, </w:t>
      </w:r>
      <w:r w:rsidR="0033747A" w:rsidRPr="00C01F26">
        <w:t xml:space="preserve">petitioner </w:t>
      </w:r>
      <w:r w:rsidR="00713CE0" w:rsidRPr="00C01F26">
        <w:t>was convicted of theft</w:t>
      </w:r>
      <w:r w:rsidR="0033747A" w:rsidRPr="00C01F26">
        <w:t xml:space="preserve"> </w:t>
      </w:r>
      <w:r w:rsidR="0066512C" w:rsidRPr="00C01F26">
        <w:t>after</w:t>
      </w:r>
      <w:r w:rsidR="005B6A80" w:rsidRPr="00C01F26">
        <w:t xml:space="preserve"> </w:t>
      </w:r>
      <w:r w:rsidR="0066512C" w:rsidRPr="00C01F26">
        <w:t xml:space="preserve">he targeted a female stranger and </w:t>
      </w:r>
      <w:r w:rsidR="00A20F12" w:rsidRPr="00C01F26">
        <w:t>grabb</w:t>
      </w:r>
      <w:r w:rsidR="0066512C" w:rsidRPr="00C01F26">
        <w:t>ed</w:t>
      </w:r>
      <w:r w:rsidR="00BD5083" w:rsidRPr="00C01F26">
        <w:t xml:space="preserve"> a scarf </w:t>
      </w:r>
      <w:r w:rsidRPr="00C01F26">
        <w:t>tied around</w:t>
      </w:r>
      <w:r w:rsidR="00BD5083" w:rsidRPr="00C01F26">
        <w:t xml:space="preserve"> </w:t>
      </w:r>
      <w:r w:rsidR="0066512C" w:rsidRPr="00C01F26">
        <w:t>her</w:t>
      </w:r>
      <w:r w:rsidR="00F5211C" w:rsidRPr="00C01F26">
        <w:t xml:space="preserve"> neck</w:t>
      </w:r>
      <w:r w:rsidR="006029BC" w:rsidRPr="00C01F26">
        <w:t xml:space="preserve"> </w:t>
      </w:r>
      <w:r w:rsidR="002968E0" w:rsidRPr="00C01F26">
        <w:t>“to satisfy his anger and frustration”</w:t>
      </w:r>
      <w:r w:rsidR="002968E0">
        <w:t xml:space="preserve"> </w:t>
      </w:r>
      <w:r w:rsidR="0066512C" w:rsidRPr="00C01F26">
        <w:t>because he</w:t>
      </w:r>
      <w:r w:rsidR="00B308FB" w:rsidRPr="00C01F26">
        <w:t xml:space="preserve"> “had been having</w:t>
      </w:r>
      <w:r w:rsidR="00713CE0" w:rsidRPr="00C01F26">
        <w:t xml:space="preserve"> </w:t>
      </w:r>
      <w:r w:rsidR="00B308FB" w:rsidRPr="00C01F26">
        <w:t>emotional and personal problems</w:t>
      </w:r>
      <w:r w:rsidR="002968E0">
        <w:t>.</w:t>
      </w:r>
      <w:r w:rsidR="00B308FB" w:rsidRPr="00C01F26">
        <w:t>”</w:t>
      </w:r>
      <w:r w:rsidR="0066512C" w:rsidRPr="00C01F26">
        <w:t xml:space="preserve"> </w:t>
      </w:r>
      <w:r w:rsidR="00177074" w:rsidRPr="00C01F26">
        <w:t xml:space="preserve"> </w:t>
      </w:r>
      <w:r w:rsidR="002968E0">
        <w:t xml:space="preserve">And as </w:t>
      </w:r>
      <w:r w:rsidR="002968E0" w:rsidRPr="009D2EC9">
        <w:t xml:space="preserve">recounted </w:t>
      </w:r>
      <w:r w:rsidR="00C920C5" w:rsidRPr="009D2EC9">
        <w:t>earlier</w:t>
      </w:r>
      <w:r w:rsidR="002968E0" w:rsidRPr="009D2EC9">
        <w:t>, m</w:t>
      </w:r>
      <w:r w:rsidR="00536486" w:rsidRPr="009D2EC9">
        <w:t>ultiple women romantically</w:t>
      </w:r>
      <w:r w:rsidR="005B6A80" w:rsidRPr="009D2EC9">
        <w:t xml:space="preserve"> or otherwise</w:t>
      </w:r>
      <w:r w:rsidR="00536486" w:rsidRPr="009D2EC9">
        <w:t xml:space="preserve"> </w:t>
      </w:r>
      <w:r w:rsidRPr="009D2EC9">
        <w:t>involved</w:t>
      </w:r>
      <w:r w:rsidR="00536486" w:rsidRPr="009D2EC9">
        <w:t xml:space="preserve"> with petitioner</w:t>
      </w:r>
      <w:r w:rsidR="00816439" w:rsidRPr="009D2EC9">
        <w:t xml:space="preserve"> between 1997 </w:t>
      </w:r>
      <w:r w:rsidR="00D55E2E" w:rsidRPr="009D2EC9">
        <w:t xml:space="preserve">and </w:t>
      </w:r>
      <w:r w:rsidR="00816439" w:rsidRPr="009D2EC9">
        <w:t xml:space="preserve">late 2020 provided statements to </w:t>
      </w:r>
      <w:r w:rsidR="00896A7A" w:rsidRPr="009D2EC9">
        <w:t xml:space="preserve">prosecution </w:t>
      </w:r>
      <w:r w:rsidR="00816439" w:rsidRPr="009D2EC9">
        <w:t>investigator</w:t>
      </w:r>
      <w:r w:rsidR="00DF4028" w:rsidRPr="009D2EC9">
        <w:t>s</w:t>
      </w:r>
      <w:r w:rsidR="004605F0" w:rsidRPr="009D2EC9">
        <w:t xml:space="preserve"> </w:t>
      </w:r>
      <w:r w:rsidR="00A67016" w:rsidRPr="009D2EC9">
        <w:t xml:space="preserve">showing </w:t>
      </w:r>
      <w:r w:rsidR="0066512C" w:rsidRPr="009D2EC9">
        <w:t xml:space="preserve">that </w:t>
      </w:r>
      <w:r w:rsidR="00B308FB" w:rsidRPr="009D2EC9">
        <w:t xml:space="preserve">petitioner </w:t>
      </w:r>
      <w:r w:rsidR="0066512C" w:rsidRPr="009D2EC9">
        <w:t>c</w:t>
      </w:r>
      <w:r w:rsidR="00A20F12" w:rsidRPr="009D2EC9">
        <w:t xml:space="preserve">ontinues to </w:t>
      </w:r>
      <w:r w:rsidR="0066512C" w:rsidRPr="009D2EC9">
        <w:t>act on</w:t>
      </w:r>
      <w:r w:rsidRPr="009D2EC9">
        <w:t xml:space="preserve"> </w:t>
      </w:r>
      <w:r w:rsidR="00D45B73" w:rsidRPr="009D2EC9">
        <w:t>a</w:t>
      </w:r>
      <w:r w:rsidR="008520FF" w:rsidRPr="009D2EC9">
        <w:t xml:space="preserve"> sexual fetish</w:t>
      </w:r>
      <w:r w:rsidR="00475352" w:rsidRPr="009D2EC9">
        <w:t xml:space="preserve"> involving scarves</w:t>
      </w:r>
      <w:r w:rsidR="00DB43FA" w:rsidRPr="009D2EC9">
        <w:t xml:space="preserve"> and </w:t>
      </w:r>
      <w:r w:rsidR="00475352" w:rsidRPr="009D2EC9">
        <w:t>binding</w:t>
      </w:r>
      <w:r w:rsidR="00810F1B" w:rsidRPr="009D2EC9">
        <w:t>.  While the proffered evidence indicated these women were willing partners, it also show</w:t>
      </w:r>
      <w:r w:rsidR="00A67016" w:rsidRPr="009D2EC9">
        <w:t>ed</w:t>
      </w:r>
      <w:r w:rsidR="00810F1B" w:rsidRPr="009D2EC9">
        <w:t xml:space="preserve"> that petitioner c</w:t>
      </w:r>
      <w:r w:rsidR="00B647AA" w:rsidRPr="009D2EC9">
        <w:t>onsiste</w:t>
      </w:r>
      <w:r w:rsidR="00810F1B" w:rsidRPr="009D2EC9">
        <w:t xml:space="preserve">ntly sought to exert </w:t>
      </w:r>
      <w:r w:rsidR="006C162B" w:rsidRPr="009D2EC9">
        <w:t xml:space="preserve">sexual control over women </w:t>
      </w:r>
      <w:r w:rsidR="002461B9" w:rsidRPr="009D2EC9">
        <w:t xml:space="preserve">involving </w:t>
      </w:r>
      <w:r w:rsidR="006C162B" w:rsidRPr="009D2EC9">
        <w:t xml:space="preserve">fantasized </w:t>
      </w:r>
      <w:r w:rsidRPr="009D2EC9">
        <w:t>violence and non-</w:t>
      </w:r>
      <w:r w:rsidR="00DF4028" w:rsidRPr="009D2EC9">
        <w:t>consent</w:t>
      </w:r>
      <w:r w:rsidR="008520FF" w:rsidRPr="009D2EC9">
        <w:t>.</w:t>
      </w:r>
      <w:r w:rsidR="002968E0">
        <w:t xml:space="preserve"> </w:t>
      </w:r>
      <w:r w:rsidR="005A5BEA" w:rsidRPr="00C01F26">
        <w:t xml:space="preserve"> </w:t>
      </w:r>
    </w:p>
    <w:p w14:paraId="704FF18E" w14:textId="0E5B3BD3" w:rsidR="00084A46" w:rsidRDefault="00FC510F" w:rsidP="00293F90">
      <w:pPr>
        <w:spacing w:line="360" w:lineRule="auto"/>
      </w:pPr>
      <w:r w:rsidRPr="00C01F26">
        <w:tab/>
      </w:r>
      <w:r w:rsidR="00FE7C99" w:rsidRPr="00C01F26">
        <w:t xml:space="preserve">Based on the </w:t>
      </w:r>
      <w:r w:rsidR="002B467D">
        <w:t>record</w:t>
      </w:r>
      <w:r w:rsidR="00FE7C99" w:rsidRPr="00C01F26">
        <w:t>, w</w:t>
      </w:r>
      <w:r w:rsidR="00293F90" w:rsidRPr="00C01F26">
        <w:t xml:space="preserve">e </w:t>
      </w:r>
      <w:r w:rsidR="00293F90" w:rsidRPr="009D2EC9">
        <w:t>conclude</w:t>
      </w:r>
      <w:r w:rsidR="00FE7C99" w:rsidRPr="009D2EC9">
        <w:t xml:space="preserve"> </w:t>
      </w:r>
      <w:r w:rsidR="00D55E2E" w:rsidRPr="009D2EC9">
        <w:t xml:space="preserve">a </w:t>
      </w:r>
      <w:r w:rsidR="008774BA" w:rsidRPr="009D2EC9">
        <w:t>reasonable</w:t>
      </w:r>
      <w:r w:rsidR="008774BA" w:rsidRPr="00C01F26">
        <w:t xml:space="preserve"> fact finder</w:t>
      </w:r>
      <w:r w:rsidR="00570AFD" w:rsidRPr="00C01F26">
        <w:t xml:space="preserve"> could </w:t>
      </w:r>
      <w:r w:rsidR="00896A7A" w:rsidRPr="00C01F26">
        <w:t>have found</w:t>
      </w:r>
      <w:r w:rsidR="00570AFD" w:rsidRPr="00C01F26">
        <w:t xml:space="preserve"> clear and convincing evidence that</w:t>
      </w:r>
      <w:r w:rsidR="00327AE5" w:rsidRPr="00C01F26">
        <w:t xml:space="preserve"> </w:t>
      </w:r>
      <w:r w:rsidR="00293F90" w:rsidRPr="00C01F26">
        <w:t xml:space="preserve">petitioner’s release </w:t>
      </w:r>
      <w:r w:rsidR="00570AFD" w:rsidRPr="00C01F26">
        <w:t xml:space="preserve">on bail </w:t>
      </w:r>
      <w:r w:rsidR="00327AE5" w:rsidRPr="00C01F26">
        <w:t>w</w:t>
      </w:r>
      <w:r w:rsidR="00293F90" w:rsidRPr="00C01F26">
        <w:t xml:space="preserve">ould </w:t>
      </w:r>
      <w:r w:rsidR="00570AFD" w:rsidRPr="00C01F26">
        <w:t xml:space="preserve">pose a substantial likelihood of great bodily </w:t>
      </w:r>
      <w:r w:rsidR="00293F90" w:rsidRPr="00C01F26">
        <w:t xml:space="preserve">harm to others.  </w:t>
      </w:r>
      <w:r w:rsidR="00FE7C99" w:rsidRPr="00C01F26">
        <w:t xml:space="preserve">The </w:t>
      </w:r>
      <w:r w:rsidR="00896A7A" w:rsidRPr="00C01F26">
        <w:t xml:space="preserve">proffered </w:t>
      </w:r>
      <w:r w:rsidR="00FE7C99" w:rsidRPr="00C01F26">
        <w:t xml:space="preserve">evidence </w:t>
      </w:r>
      <w:r w:rsidR="00896A7A" w:rsidRPr="00C01F26">
        <w:t xml:space="preserve">amply </w:t>
      </w:r>
      <w:r w:rsidR="00FE7C99" w:rsidRPr="00C01F26">
        <w:t>supports</w:t>
      </w:r>
      <w:r w:rsidR="00896A7A" w:rsidRPr="00C01F26">
        <w:t xml:space="preserve"> the conclusion that</w:t>
      </w:r>
      <w:r w:rsidR="00761E00" w:rsidRPr="00C01F26">
        <w:t xml:space="preserve"> petitioner is an extremely dangerous person</w:t>
      </w:r>
      <w:r w:rsidR="00896A7A" w:rsidRPr="00C01F26">
        <w:t xml:space="preserve">.  </w:t>
      </w:r>
      <w:r w:rsidR="007513F0" w:rsidRPr="00C01F26">
        <w:t>Petitioner</w:t>
      </w:r>
      <w:r w:rsidR="00285D41" w:rsidRPr="00C01F26">
        <w:t xml:space="preserve"> is charged with grave offenses</w:t>
      </w:r>
      <w:r w:rsidR="007513F0" w:rsidRPr="00C01F26">
        <w:t>,</w:t>
      </w:r>
      <w:r w:rsidR="00285D41" w:rsidRPr="00C01F26">
        <w:t xml:space="preserve"> the circumstances </w:t>
      </w:r>
      <w:r w:rsidR="00132832" w:rsidRPr="00C01F26">
        <w:t xml:space="preserve">of </w:t>
      </w:r>
      <w:r w:rsidR="007513F0" w:rsidRPr="00C01F26">
        <w:t>which</w:t>
      </w:r>
      <w:r w:rsidR="00132832" w:rsidRPr="00C01F26">
        <w:t xml:space="preserve"> </w:t>
      </w:r>
      <w:r w:rsidR="00896A7A" w:rsidRPr="00C01F26">
        <w:t>show</w:t>
      </w:r>
      <w:r w:rsidR="00285D41" w:rsidRPr="00C01F26">
        <w:t xml:space="preserve"> </w:t>
      </w:r>
      <w:r w:rsidR="00761E00" w:rsidRPr="00C01F26">
        <w:t>he</w:t>
      </w:r>
      <w:r w:rsidR="00FE7C99" w:rsidRPr="00C01F26">
        <w:t xml:space="preserve"> is </w:t>
      </w:r>
      <w:r w:rsidR="00293C8F" w:rsidRPr="00C01F26">
        <w:t xml:space="preserve">capable of </w:t>
      </w:r>
      <w:r w:rsidR="00387CEB" w:rsidRPr="00C01F26">
        <w:t>tremendous violence</w:t>
      </w:r>
      <w:r w:rsidR="00743736" w:rsidRPr="00C01F26">
        <w:t xml:space="preserve">. </w:t>
      </w:r>
      <w:r w:rsidR="007513F0" w:rsidRPr="00C01F26">
        <w:t xml:space="preserve"> </w:t>
      </w:r>
      <w:r w:rsidR="00743736" w:rsidRPr="00C01F26">
        <w:t xml:space="preserve">His </w:t>
      </w:r>
      <w:r w:rsidR="00743736" w:rsidRPr="00C01F26">
        <w:lastRenderedPageBreak/>
        <w:t xml:space="preserve">relationships with women </w:t>
      </w:r>
      <w:r w:rsidR="00EB0A46" w:rsidRPr="00C01F26">
        <w:t xml:space="preserve">after 1989 and through at least 2019 </w:t>
      </w:r>
      <w:r w:rsidR="00743736" w:rsidRPr="00C01F26">
        <w:t>indicate h</w:t>
      </w:r>
      <w:r w:rsidR="007513F0" w:rsidRPr="00C01F26">
        <w:t>e</w:t>
      </w:r>
      <w:r w:rsidR="00761E00" w:rsidRPr="00C01F26">
        <w:t xml:space="preserve"> </w:t>
      </w:r>
      <w:r w:rsidR="00743736" w:rsidRPr="00C01F26">
        <w:t>continues to be</w:t>
      </w:r>
      <w:r w:rsidR="00FE7C99" w:rsidRPr="00C01F26">
        <w:t xml:space="preserve"> </w:t>
      </w:r>
      <w:r w:rsidR="00387CEB" w:rsidRPr="00C01F26">
        <w:t xml:space="preserve">compelled by </w:t>
      </w:r>
      <w:r w:rsidR="00EB0A46" w:rsidRPr="00C01F26">
        <w:t>sexually aggressive</w:t>
      </w:r>
      <w:r w:rsidR="00387CEB" w:rsidRPr="00C01F26">
        <w:t xml:space="preserve"> impulse</w:t>
      </w:r>
      <w:r w:rsidR="006603AF" w:rsidRPr="00C01F26">
        <w:t>s</w:t>
      </w:r>
      <w:r w:rsidR="00743736" w:rsidRPr="00C01F26">
        <w:t xml:space="preserve">.  </w:t>
      </w:r>
      <w:r w:rsidR="00DE5092" w:rsidRPr="00C01F26">
        <w:t xml:space="preserve">And for </w:t>
      </w:r>
      <w:r w:rsidR="00DB43FA" w:rsidRPr="00C01F26">
        <w:t>m</w:t>
      </w:r>
      <w:r w:rsidR="00DB43FA">
        <w:t>ost</w:t>
      </w:r>
      <w:r w:rsidR="00DB43FA" w:rsidRPr="00C01F26">
        <w:t xml:space="preserve"> </w:t>
      </w:r>
      <w:r w:rsidR="00DE5092" w:rsidRPr="00C01F26">
        <w:t xml:space="preserve">of his life, petitioner has escaped detection and accountability </w:t>
      </w:r>
      <w:r w:rsidR="009F598F" w:rsidRPr="00C01F26">
        <w:t>for</w:t>
      </w:r>
      <w:r w:rsidR="00743736" w:rsidRPr="00C01F26">
        <w:t xml:space="preserve"> </w:t>
      </w:r>
      <w:r w:rsidR="00DE5092" w:rsidRPr="00C01F26">
        <w:t>the vicious crimes he committed</w:t>
      </w:r>
      <w:r w:rsidR="00743736" w:rsidRPr="00C01F26">
        <w:t xml:space="preserve"> in </w:t>
      </w:r>
      <w:r w:rsidR="00743736" w:rsidRPr="009D2EC9">
        <w:t>1989</w:t>
      </w:r>
      <w:r w:rsidR="002968E0" w:rsidRPr="009D2EC9">
        <w:t>.</w:t>
      </w:r>
      <w:r w:rsidR="00B05619" w:rsidRPr="009D2EC9">
        <w:t xml:space="preserve">  </w:t>
      </w:r>
      <w:r w:rsidR="00333AF8" w:rsidRPr="009D2EC9">
        <w:t>Indeed, d</w:t>
      </w:r>
      <w:r w:rsidR="00B05619" w:rsidRPr="009D2EC9">
        <w:t xml:space="preserve">uring the offense, defendant </w:t>
      </w:r>
      <w:r w:rsidR="00430169" w:rsidRPr="009D2EC9">
        <w:t>indicated he was trying</w:t>
      </w:r>
      <w:r w:rsidR="00B05619" w:rsidRPr="009D2EC9">
        <w:t xml:space="preserve"> to kill the victim to ensure he would escape</w:t>
      </w:r>
      <w:r w:rsidR="00333AF8" w:rsidRPr="009D2EC9">
        <w:t xml:space="preserve"> undetected</w:t>
      </w:r>
      <w:r w:rsidR="00B05619" w:rsidRPr="009D2EC9">
        <w:t xml:space="preserve">. </w:t>
      </w:r>
      <w:r w:rsidR="002968E0" w:rsidRPr="009D2EC9">
        <w:t xml:space="preserve"> N</w:t>
      </w:r>
      <w:r w:rsidR="00157843" w:rsidRPr="009D2EC9">
        <w:t>ow,</w:t>
      </w:r>
      <w:r w:rsidR="00293F90" w:rsidRPr="009D2EC9">
        <w:t xml:space="preserve"> </w:t>
      </w:r>
      <w:r w:rsidR="006603AF" w:rsidRPr="009D2EC9">
        <w:t>in his mid-fifties</w:t>
      </w:r>
      <w:r w:rsidR="00157843" w:rsidRPr="009D2EC9">
        <w:t>,</w:t>
      </w:r>
      <w:r w:rsidR="006603AF" w:rsidRPr="009D2EC9">
        <w:t xml:space="preserve"> </w:t>
      </w:r>
      <w:r w:rsidR="00761E00" w:rsidRPr="009D2EC9">
        <w:t xml:space="preserve">he </w:t>
      </w:r>
      <w:r w:rsidR="006603AF" w:rsidRPr="009D2EC9">
        <w:t xml:space="preserve">is facing what will </w:t>
      </w:r>
      <w:r w:rsidR="009F598F" w:rsidRPr="009D2EC9">
        <w:t>potentially</w:t>
      </w:r>
      <w:r w:rsidR="006603AF" w:rsidRPr="009D2EC9">
        <w:t xml:space="preserve"> be </w:t>
      </w:r>
      <w:r w:rsidR="009F598F" w:rsidRPr="009D2EC9">
        <w:t>confinement in prison</w:t>
      </w:r>
      <w:r w:rsidR="006603AF" w:rsidRPr="009D2EC9">
        <w:t xml:space="preserve"> </w:t>
      </w:r>
      <w:r w:rsidR="000B7D90" w:rsidRPr="009D2EC9">
        <w:t>until the end</w:t>
      </w:r>
      <w:r w:rsidR="006603AF" w:rsidRPr="00C01F26">
        <w:t xml:space="preserve"> of his life.</w:t>
      </w:r>
      <w:r w:rsidR="009D339D" w:rsidRPr="00C01F26">
        <w:t xml:space="preserve"> </w:t>
      </w:r>
      <w:r w:rsidR="00F0173D">
        <w:t xml:space="preserve"> </w:t>
      </w:r>
      <w:r w:rsidR="0036057B">
        <w:t>While</w:t>
      </w:r>
      <w:r w:rsidR="00194DDD">
        <w:t xml:space="preserve"> the probation department’s pretrial risk assessment</w:t>
      </w:r>
      <w:r w:rsidR="00C572F2">
        <w:t xml:space="preserve"> </w:t>
      </w:r>
      <w:r w:rsidR="00C572F2" w:rsidRPr="00C572F2">
        <w:t>suggest</w:t>
      </w:r>
      <w:r w:rsidR="0036057B">
        <w:t>ed</w:t>
      </w:r>
      <w:r w:rsidR="00C572F2" w:rsidRPr="00C572F2">
        <w:t xml:space="preserve"> </w:t>
      </w:r>
      <w:r w:rsidR="004B6782">
        <w:t>petitioner</w:t>
      </w:r>
      <w:r w:rsidR="00C572F2" w:rsidRPr="00C572F2">
        <w:t xml:space="preserve"> was an appropriate candidate for release on his own recognizance with enhanced monitoring</w:t>
      </w:r>
      <w:r w:rsidR="001F527E">
        <w:t>, the trial court was n</w:t>
      </w:r>
      <w:r w:rsidR="00A416DA">
        <w:t>either</w:t>
      </w:r>
      <w:r w:rsidR="001F527E">
        <w:t xml:space="preserve"> bound to follow th</w:t>
      </w:r>
      <w:r w:rsidR="00937876">
        <w:t>at</w:t>
      </w:r>
      <w:r w:rsidR="001F527E">
        <w:t xml:space="preserve"> recommendation</w:t>
      </w:r>
      <w:r w:rsidR="0036057B">
        <w:t xml:space="preserve"> nor </w:t>
      </w:r>
      <w:r w:rsidR="00A416DA">
        <w:t>constrained to</w:t>
      </w:r>
      <w:r w:rsidR="0036057B">
        <w:t xml:space="preserve"> forgo </w:t>
      </w:r>
      <w:r w:rsidR="00DD379D">
        <w:t>its own</w:t>
      </w:r>
      <w:r w:rsidR="0036057B">
        <w:t xml:space="preserve"> individualized consideration of factors </w:t>
      </w:r>
      <w:r w:rsidR="00904981">
        <w:t>for making</w:t>
      </w:r>
      <w:r w:rsidR="00904981" w:rsidRPr="00904981">
        <w:t xml:space="preserve"> a bail determination</w:t>
      </w:r>
      <w:r w:rsidR="005F1992">
        <w:t>.</w:t>
      </w:r>
      <w:r>
        <w:rPr>
          <w:rStyle w:val="FootnoteReference"/>
        </w:rPr>
        <w:footnoteReference w:id="9"/>
      </w:r>
      <w:r w:rsidR="0036057B">
        <w:t xml:space="preserve">  (</w:t>
      </w:r>
      <w:r w:rsidR="0036057B" w:rsidRPr="0036057B">
        <w:rPr>
          <w:i/>
          <w:iCs/>
        </w:rPr>
        <w:t>Humphrey</w:t>
      </w:r>
      <w:r w:rsidR="0036057B">
        <w:t xml:space="preserve">, </w:t>
      </w:r>
      <w:r w:rsidR="0036057B" w:rsidRPr="0036057B">
        <w:rPr>
          <w:i/>
          <w:iCs/>
        </w:rPr>
        <w:t>supra</w:t>
      </w:r>
      <w:r w:rsidR="0036057B">
        <w:t xml:space="preserve">, </w:t>
      </w:r>
      <w:r w:rsidR="0036057B" w:rsidRPr="0036057B">
        <w:t xml:space="preserve">11 Cal.5th </w:t>
      </w:r>
      <w:r w:rsidR="0036057B">
        <w:t>at p. 152.)</w:t>
      </w:r>
    </w:p>
    <w:p w14:paraId="330CF6B7" w14:textId="16B2F181" w:rsidR="002B467D" w:rsidRDefault="00FC510F" w:rsidP="00F36658">
      <w:pPr>
        <w:spacing w:line="360" w:lineRule="auto"/>
      </w:pPr>
      <w:r>
        <w:tab/>
      </w:r>
      <w:r w:rsidR="00A273C6">
        <w:t>P</w:t>
      </w:r>
      <w:r w:rsidR="00F36658">
        <w:t>etitioner</w:t>
      </w:r>
      <w:r w:rsidR="00A273C6">
        <w:t xml:space="preserve"> contends</w:t>
      </w:r>
      <w:r w:rsidR="00F36658">
        <w:t xml:space="preserve"> the trial court’s </w:t>
      </w:r>
      <w:r w:rsidR="00A67522">
        <w:t>risk-of-harm finding</w:t>
      </w:r>
      <w:r w:rsidR="00F36658">
        <w:t xml:space="preserve"> is unsupported </w:t>
      </w:r>
      <w:r w:rsidR="00841EE6">
        <w:t xml:space="preserve">or unreasonable </w:t>
      </w:r>
      <w:r w:rsidR="00F36658">
        <w:t xml:space="preserve">given the number of years that elapsed between the alleged </w:t>
      </w:r>
      <w:r w:rsidR="007513F0">
        <w:t xml:space="preserve">1989 </w:t>
      </w:r>
      <w:r w:rsidR="00F36658" w:rsidRPr="009D2EC9">
        <w:t>offense</w:t>
      </w:r>
      <w:r w:rsidR="007513F0" w:rsidRPr="009D2EC9">
        <w:t>s</w:t>
      </w:r>
      <w:r w:rsidR="00F36658" w:rsidRPr="009D2EC9">
        <w:t xml:space="preserve"> </w:t>
      </w:r>
      <w:r w:rsidR="00D55E2E" w:rsidRPr="009D2EC9">
        <w:t xml:space="preserve">and </w:t>
      </w:r>
      <w:r w:rsidR="00F36658" w:rsidRPr="009D2EC9">
        <w:t>the present</w:t>
      </w:r>
      <w:r w:rsidR="003C01C7">
        <w:t xml:space="preserve"> and </w:t>
      </w:r>
      <w:r w:rsidR="00E46CC1" w:rsidRPr="00E46CC1">
        <w:t xml:space="preserve">the </w:t>
      </w:r>
      <w:r w:rsidR="00D06C83">
        <w:t>absence of any</w:t>
      </w:r>
      <w:r w:rsidR="00E46CC1" w:rsidRPr="00E46CC1">
        <w:t xml:space="preserve"> allegation that </w:t>
      </w:r>
      <w:r w:rsidR="00990DC5">
        <w:t>he</w:t>
      </w:r>
      <w:r w:rsidR="00E46CC1" w:rsidRPr="00E46CC1">
        <w:t xml:space="preserve"> committed any</w:t>
      </w:r>
      <w:r w:rsidR="00E46CC1">
        <w:t xml:space="preserve"> criminally</w:t>
      </w:r>
      <w:r w:rsidR="00E46CC1" w:rsidRPr="00E46CC1">
        <w:t xml:space="preserve"> violent act </w:t>
      </w:r>
      <w:r w:rsidR="003C01C7">
        <w:t>in the interim</w:t>
      </w:r>
      <w:r w:rsidR="00E02272">
        <w:t xml:space="preserve">.  </w:t>
      </w:r>
      <w:r>
        <w:t>We cannot agree.  T</w:t>
      </w:r>
      <w:r w:rsidRPr="00C01F26">
        <w:t xml:space="preserve">he trial court was not compelled to find </w:t>
      </w:r>
      <w:r>
        <w:t xml:space="preserve">that </w:t>
      </w:r>
      <w:r w:rsidRPr="00C01F26">
        <w:t>petitioner’s past violent behavior was a</w:t>
      </w:r>
      <w:r>
        <w:t>n unusual</w:t>
      </w:r>
      <w:r w:rsidRPr="00C01F26">
        <w:t xml:space="preserve"> one-off situation unlikely</w:t>
      </w:r>
      <w:r>
        <w:t xml:space="preserve"> to recur, or to accept his benign </w:t>
      </w:r>
      <w:r w:rsidR="00BC31E4">
        <w:t>self-</w:t>
      </w:r>
      <w:r>
        <w:t xml:space="preserve">presentation.  (See </w:t>
      </w:r>
      <w:r w:rsidRPr="000B7E68">
        <w:rPr>
          <w:i/>
          <w:iCs/>
        </w:rPr>
        <w:t>White</w:t>
      </w:r>
      <w:r w:rsidRPr="000B7E68">
        <w:t xml:space="preserve">, </w:t>
      </w:r>
      <w:r w:rsidRPr="000B7E68">
        <w:rPr>
          <w:i/>
          <w:iCs/>
        </w:rPr>
        <w:t>supra</w:t>
      </w:r>
      <w:r w:rsidRPr="000B7E68">
        <w:t xml:space="preserve">, 9 Cal.5th at </w:t>
      </w:r>
      <w:r>
        <w:t>p</w:t>
      </w:r>
      <w:r w:rsidRPr="000B7E68">
        <w:t>p.</w:t>
      </w:r>
      <w:r>
        <w:t> </w:t>
      </w:r>
      <w:r w:rsidRPr="000B7E68">
        <w:t>468</w:t>
      </w:r>
      <w:r>
        <w:t>–469</w:t>
      </w:r>
      <w:r w:rsidR="0007153D">
        <w:t xml:space="preserve"> [upholding pretrial detention under section 12(b) where charged crimes were more recent but involved factual allegations far less egregious than those here]</w:t>
      </w:r>
      <w:r>
        <w:t>.)  Here</w:t>
      </w:r>
      <w:r w:rsidRPr="002F202F">
        <w:t xml:space="preserve">, the court’s </w:t>
      </w:r>
      <w:r w:rsidR="00A67522">
        <w:t xml:space="preserve">decision </w:t>
      </w:r>
      <w:r>
        <w:t>find</w:t>
      </w:r>
      <w:r w:rsidR="00A67522">
        <w:t>s substantial support in the record and</w:t>
      </w:r>
      <w:r w:rsidRPr="002F202F">
        <w:t xml:space="preserve"> was plainly within the b</w:t>
      </w:r>
      <w:r w:rsidRPr="002F202F">
        <w:t>ounds of reason</w:t>
      </w:r>
      <w:r w:rsidR="00A67522">
        <w:t>.  N</w:t>
      </w:r>
      <w:r w:rsidRPr="002F202F">
        <w:t>o abuse of discretion appears.</w:t>
      </w:r>
    </w:p>
    <w:p w14:paraId="56D14FD8" w14:textId="5D12D701" w:rsidR="00F36658" w:rsidRPr="00C01F26" w:rsidRDefault="00FC510F" w:rsidP="00F36658">
      <w:pPr>
        <w:spacing w:line="360" w:lineRule="auto"/>
      </w:pPr>
      <w:r>
        <w:lastRenderedPageBreak/>
        <w:tab/>
        <w:t>R</w:t>
      </w:r>
      <w:r w:rsidR="00E02272">
        <w:t>elying on r</w:t>
      </w:r>
      <w:r w:rsidR="001E0A35">
        <w:t xml:space="preserve">eports reflecting pretrial release data in other </w:t>
      </w:r>
      <w:r w:rsidR="00231A8C">
        <w:t>jurisdictions</w:t>
      </w:r>
      <w:r w:rsidR="00E02272">
        <w:t xml:space="preserve">, petitioner </w:t>
      </w:r>
      <w:r>
        <w:t xml:space="preserve">next </w:t>
      </w:r>
      <w:r w:rsidR="000B2F6D">
        <w:t xml:space="preserve">appears to </w:t>
      </w:r>
      <w:r w:rsidR="00E02272">
        <w:t>contend</w:t>
      </w:r>
      <w:r w:rsidR="001E0A35">
        <w:t xml:space="preserve"> that as a statistical </w:t>
      </w:r>
      <w:r w:rsidR="001E0A35" w:rsidRPr="00C01F26">
        <w:t xml:space="preserve">matter, </w:t>
      </w:r>
      <w:r w:rsidR="00E46CC1" w:rsidRPr="00C01F26">
        <w:t>it is unlikely he will reoffend if released</w:t>
      </w:r>
      <w:r w:rsidR="007513F0" w:rsidRPr="00C01F26">
        <w:t>.</w:t>
      </w:r>
      <w:r w:rsidR="00A273C6" w:rsidRPr="00C01F26">
        <w:t xml:space="preserve">  We are not persuaded.</w:t>
      </w:r>
      <w:r w:rsidR="007513F0" w:rsidRPr="00C01F26">
        <w:t xml:space="preserve"> </w:t>
      </w:r>
      <w:r w:rsidRPr="00C01F26">
        <w:t xml:space="preserve"> </w:t>
      </w:r>
      <w:r w:rsidR="00223753">
        <w:t>Setting aside the questionable relevance of such data to our review on appeal</w:t>
      </w:r>
      <w:r>
        <w:t xml:space="preserve">, </w:t>
      </w:r>
      <w:r w:rsidR="009372A9">
        <w:t>giving weight to petitioner’s statistical reports</w:t>
      </w:r>
      <w:r w:rsidR="009B4B81">
        <w:t xml:space="preserve"> seems at odds with </w:t>
      </w:r>
      <w:r w:rsidR="009B4B81" w:rsidRPr="005F5D95">
        <w:rPr>
          <w:i/>
          <w:iCs/>
        </w:rPr>
        <w:t>Humphrey</w:t>
      </w:r>
      <w:r w:rsidR="009B4B81">
        <w:t xml:space="preserve">’s </w:t>
      </w:r>
      <w:r w:rsidR="007A2AC2">
        <w:t xml:space="preserve">holding that bail decisions </w:t>
      </w:r>
      <w:r w:rsidR="00223753">
        <w:t xml:space="preserve">require </w:t>
      </w:r>
      <w:r w:rsidR="007A2AC2">
        <w:t xml:space="preserve">“an individualized consideration of the relevant factors” (11 Cal.5th at p. 152) and </w:t>
      </w:r>
      <w:r w:rsidR="007A2AC2" w:rsidRPr="007A2AC2">
        <w:t>“</w:t>
      </w:r>
      <w:r w:rsidR="009B4B81" w:rsidRPr="007A2AC2">
        <w:t>careful consideration of the individual arrestee’s circumstances</w:t>
      </w:r>
      <w:r w:rsidR="004E2C36">
        <w:t>.</w:t>
      </w:r>
      <w:r w:rsidR="009B4B81" w:rsidRPr="00223753">
        <w:t>”</w:t>
      </w:r>
      <w:r w:rsidR="004E2C36">
        <w:t xml:space="preserve"> </w:t>
      </w:r>
      <w:r w:rsidR="009B4B81">
        <w:t xml:space="preserve"> (</w:t>
      </w:r>
      <w:r w:rsidR="00BC31E4">
        <w:rPr>
          <w:i/>
          <w:iCs/>
        </w:rPr>
        <w:t>I</w:t>
      </w:r>
      <w:r w:rsidR="007A2AC2">
        <w:rPr>
          <w:i/>
          <w:iCs/>
        </w:rPr>
        <w:t>d</w:t>
      </w:r>
      <w:r w:rsidR="007A2AC2">
        <w:t>.</w:t>
      </w:r>
      <w:r w:rsidR="009B4B81">
        <w:t xml:space="preserve"> at p. 156</w:t>
      </w:r>
      <w:r w:rsidR="007109F5">
        <w:t>.</w:t>
      </w:r>
      <w:r w:rsidR="009B4B81">
        <w:t>)</w:t>
      </w:r>
    </w:p>
    <w:p w14:paraId="42E75177" w14:textId="201B5BCA" w:rsidR="00FD0CEB" w:rsidRPr="00C01F26" w:rsidRDefault="00FC510F" w:rsidP="007320BF">
      <w:pPr>
        <w:spacing w:line="360" w:lineRule="auto"/>
      </w:pPr>
      <w:r w:rsidRPr="00C01F26">
        <w:tab/>
      </w:r>
      <w:r w:rsidR="00A273C6" w:rsidRPr="00C01F26">
        <w:t>Petitioner further argues</w:t>
      </w:r>
      <w:r w:rsidR="00005059" w:rsidRPr="00C01F26">
        <w:t xml:space="preserve"> that </w:t>
      </w:r>
      <w:r w:rsidR="0015397A" w:rsidRPr="00C01F26">
        <w:t xml:space="preserve">the trial court detained him </w:t>
      </w:r>
      <w:r w:rsidR="00407F44">
        <w:t xml:space="preserve">based </w:t>
      </w:r>
      <w:r w:rsidR="0015397A" w:rsidRPr="00C01F26">
        <w:t>solely on the charges in the complaint</w:t>
      </w:r>
      <w:r w:rsidR="007513F0" w:rsidRPr="00C01F26">
        <w:t xml:space="preserve"> and</w:t>
      </w:r>
      <w:r w:rsidR="0015397A" w:rsidRPr="00C01F26">
        <w:t xml:space="preserve"> that the court created </w:t>
      </w:r>
      <w:r w:rsidR="00A273C6" w:rsidRPr="00C01F26">
        <w:t xml:space="preserve">an </w:t>
      </w:r>
      <w:r w:rsidR="00B67753" w:rsidRPr="00C01F26">
        <w:t xml:space="preserve">additional </w:t>
      </w:r>
      <w:r w:rsidR="00A273C6" w:rsidRPr="00C01F26">
        <w:t>non-constitutionally based “</w:t>
      </w:r>
      <w:r w:rsidR="00B67753" w:rsidRPr="00C01F26">
        <w:t>categor</w:t>
      </w:r>
      <w:r w:rsidR="00A273C6" w:rsidRPr="00C01F26">
        <w:t>y</w:t>
      </w:r>
      <w:r w:rsidR="00B67753" w:rsidRPr="00C01F26">
        <w:t xml:space="preserve"> of offenses ineligible for </w:t>
      </w:r>
      <w:r w:rsidR="00A273C6" w:rsidRPr="00C01F26">
        <w:t xml:space="preserve">pretrial </w:t>
      </w:r>
      <w:r w:rsidR="00B67753" w:rsidRPr="00C01F26">
        <w:t>release</w:t>
      </w:r>
      <w:r w:rsidR="00A273C6" w:rsidRPr="00C01F26">
        <w:t xml:space="preserve"> . . . </w:t>
      </w:r>
      <w:r w:rsidR="00B67753" w:rsidRPr="00C01F26">
        <w:t>by judicial fiat</w:t>
      </w:r>
      <w:r w:rsidR="0015397A" w:rsidRPr="00C01F26">
        <w:t>.</w:t>
      </w:r>
      <w:r w:rsidR="00B67753" w:rsidRPr="00C01F26">
        <w:t>”</w:t>
      </w:r>
      <w:r w:rsidR="0015397A" w:rsidRPr="00C01F26">
        <w:t xml:space="preserve"> </w:t>
      </w:r>
      <w:r w:rsidR="00B67753" w:rsidRPr="00C01F26">
        <w:t xml:space="preserve"> </w:t>
      </w:r>
      <w:r w:rsidR="00B7287C" w:rsidRPr="00C01F26">
        <w:t>We cannot agree</w:t>
      </w:r>
      <w:r w:rsidR="00F4219B">
        <w:t>.  T</w:t>
      </w:r>
      <w:r w:rsidR="00B7287C" w:rsidRPr="00C01F26">
        <w:t>he record plainly demonstrates t</w:t>
      </w:r>
      <w:r w:rsidR="00B67753" w:rsidRPr="00C01F26">
        <w:t xml:space="preserve">he court based its decision on </w:t>
      </w:r>
      <w:r w:rsidR="007D1000" w:rsidRPr="00C01F26">
        <w:t xml:space="preserve">the </w:t>
      </w:r>
      <w:r w:rsidRPr="00C01F26">
        <w:t>proffered evidence</w:t>
      </w:r>
      <w:r w:rsidR="00B67753" w:rsidRPr="00C01F26">
        <w:t xml:space="preserve">, </w:t>
      </w:r>
      <w:r w:rsidR="00407F44">
        <w:t>as well as</w:t>
      </w:r>
      <w:r w:rsidR="00B67753" w:rsidRPr="00C01F26">
        <w:t xml:space="preserve"> the charges enumerated in the complaint.</w:t>
      </w:r>
    </w:p>
    <w:p w14:paraId="7B985B7B" w14:textId="6E34302F" w:rsidR="007C62BF" w:rsidRPr="00C01F26" w:rsidRDefault="00FC510F" w:rsidP="00692E64">
      <w:pPr>
        <w:keepNext/>
        <w:spacing w:line="360" w:lineRule="auto"/>
        <w:rPr>
          <w:i/>
          <w:iCs/>
        </w:rPr>
      </w:pPr>
      <w:r w:rsidRPr="00C01F26">
        <w:tab/>
      </w:r>
      <w:r w:rsidRPr="00C01F26">
        <w:tab/>
      </w:r>
      <w:r w:rsidR="005F7322" w:rsidRPr="00C01F26">
        <w:rPr>
          <w:i/>
          <w:iCs/>
        </w:rPr>
        <w:t>3</w:t>
      </w:r>
      <w:r w:rsidRPr="00C01F26">
        <w:rPr>
          <w:i/>
          <w:iCs/>
        </w:rPr>
        <w:t xml:space="preserve">.  </w:t>
      </w:r>
      <w:bookmarkStart w:id="18" w:name="_Hlk85539485"/>
      <w:r w:rsidR="000616D2" w:rsidRPr="00C01F26">
        <w:rPr>
          <w:i/>
          <w:iCs/>
        </w:rPr>
        <w:t>Application of the Humphrey</w:t>
      </w:r>
      <w:bookmarkEnd w:id="18"/>
      <w:r w:rsidR="00676782">
        <w:rPr>
          <w:i/>
          <w:iCs/>
        </w:rPr>
        <w:t xml:space="preserve"> Requirements</w:t>
      </w:r>
    </w:p>
    <w:p w14:paraId="06A0D749" w14:textId="549D0E00" w:rsidR="002A42F7" w:rsidRPr="00C01F26" w:rsidRDefault="00FC510F" w:rsidP="002A42F7">
      <w:pPr>
        <w:spacing w:line="360" w:lineRule="auto"/>
      </w:pPr>
      <w:r w:rsidRPr="00C01F26">
        <w:rPr>
          <w:i/>
          <w:iCs/>
        </w:rPr>
        <w:tab/>
      </w:r>
      <w:r w:rsidR="00FD757D" w:rsidRPr="00C01F26">
        <w:t>As discussed</w:t>
      </w:r>
      <w:r w:rsidRPr="00C01F26">
        <w:t xml:space="preserve">, </w:t>
      </w:r>
      <w:r w:rsidRPr="00C01F26">
        <w:rPr>
          <w:i/>
          <w:iCs/>
        </w:rPr>
        <w:t>Humphrey</w:t>
      </w:r>
      <w:r w:rsidRPr="00C01F26">
        <w:t xml:space="preserve"> </w:t>
      </w:r>
      <w:r w:rsidR="00B930D9">
        <w:t xml:space="preserve">determined that principles of due process </w:t>
      </w:r>
      <w:r w:rsidRPr="00C01F26">
        <w:t xml:space="preserve">require the </w:t>
      </w:r>
      <w:r w:rsidR="00F4219B">
        <w:t xml:space="preserve">trial </w:t>
      </w:r>
      <w:r w:rsidRPr="00C01F26">
        <w:t xml:space="preserve">court to </w:t>
      </w:r>
      <w:bookmarkStart w:id="19" w:name="_Hlk85622406"/>
      <w:r w:rsidRPr="00C01F26">
        <w:t xml:space="preserve">find, by clear and convincing evidence, that no </w:t>
      </w:r>
      <w:r w:rsidR="009B4B81">
        <w:t>less restrictive condition than detention</w:t>
      </w:r>
      <w:r w:rsidRPr="00C01F26">
        <w:t xml:space="preserve"> can reasonably protect the interests in public or victim safety, and the arrestee’s appearance in court</w:t>
      </w:r>
      <w:bookmarkEnd w:id="19"/>
      <w:r w:rsidRPr="00C01F26">
        <w:t>.  (</w:t>
      </w:r>
      <w:bookmarkStart w:id="20" w:name="_Hlk81985097"/>
      <w:r w:rsidRPr="00C01F26">
        <w:rPr>
          <w:i/>
          <w:iCs/>
        </w:rPr>
        <w:t>Humphrey</w:t>
      </w:r>
      <w:r w:rsidRPr="00C01F26">
        <w:t xml:space="preserve">, </w:t>
      </w:r>
      <w:r w:rsidRPr="00C01F26">
        <w:rPr>
          <w:i/>
          <w:iCs/>
        </w:rPr>
        <w:t>supra</w:t>
      </w:r>
      <w:r w:rsidRPr="00C01F26">
        <w:t>, 11 Cal.5</w:t>
      </w:r>
      <w:r w:rsidR="00382C67" w:rsidRPr="00C01F26">
        <w:t>th</w:t>
      </w:r>
      <w:r w:rsidRPr="00C01F26">
        <w:t xml:space="preserve"> at p.</w:t>
      </w:r>
      <w:bookmarkEnd w:id="20"/>
      <w:r w:rsidR="00766068">
        <w:t> </w:t>
      </w:r>
      <w:r w:rsidRPr="00C01F26">
        <w:t>154.)</w:t>
      </w:r>
      <w:r w:rsidR="00642C27" w:rsidRPr="00C01F26">
        <w:t xml:space="preserve">  </w:t>
      </w:r>
      <w:r w:rsidR="00CC2B25" w:rsidRPr="00C01F26">
        <w:t>Petitioner argues the court</w:t>
      </w:r>
      <w:r w:rsidR="00936B9F" w:rsidRPr="00C01F26">
        <w:t xml:space="preserve"> “failed to address this prong of </w:t>
      </w:r>
      <w:r w:rsidR="00936B9F" w:rsidRPr="00C01F26">
        <w:rPr>
          <w:i/>
          <w:iCs/>
        </w:rPr>
        <w:t>Humphrey’s</w:t>
      </w:r>
      <w:r w:rsidR="00936B9F" w:rsidRPr="00C01F26">
        <w:t xml:space="preserve"> analysis</w:t>
      </w:r>
      <w:r w:rsidR="00264396" w:rsidRPr="00C01F26">
        <w:t xml:space="preserve"> entirely</w:t>
      </w:r>
      <w:r w:rsidR="00936B9F" w:rsidRPr="00C01F26">
        <w:t>.”</w:t>
      </w:r>
      <w:r w:rsidR="00CC2B25" w:rsidRPr="00C01F26">
        <w:t xml:space="preserve">  </w:t>
      </w:r>
    </w:p>
    <w:p w14:paraId="149432C9" w14:textId="75441A25" w:rsidR="00CC2B25" w:rsidRPr="00C01F26" w:rsidRDefault="00FC510F" w:rsidP="00936B9F">
      <w:pPr>
        <w:spacing w:line="360" w:lineRule="auto"/>
      </w:pPr>
      <w:r w:rsidRPr="00C01F26">
        <w:tab/>
      </w:r>
      <w:r w:rsidR="00F4219B">
        <w:t>Although</w:t>
      </w:r>
      <w:r w:rsidR="00F4219B" w:rsidRPr="00C01F26">
        <w:t xml:space="preserve"> the record does not reflect </w:t>
      </w:r>
      <w:r w:rsidR="00563F9F">
        <w:t>an express</w:t>
      </w:r>
      <w:r w:rsidR="00F4219B" w:rsidRPr="00C01F26">
        <w:t xml:space="preserve"> </w:t>
      </w:r>
      <w:r w:rsidR="00F4219B">
        <w:t xml:space="preserve">trial </w:t>
      </w:r>
      <w:r w:rsidR="00F4219B" w:rsidRPr="00C01F26">
        <w:t>court finding on this point</w:t>
      </w:r>
      <w:r w:rsidR="00F4219B">
        <w:t>, r</w:t>
      </w:r>
      <w:r w:rsidRPr="00C01F26">
        <w:t>espondent</w:t>
      </w:r>
      <w:r w:rsidR="00700B2E" w:rsidRPr="00C01F26">
        <w:t xml:space="preserve"> </w:t>
      </w:r>
      <w:r w:rsidR="00F32DA3">
        <w:t>cites</w:t>
      </w:r>
      <w:r w:rsidR="00D22C79" w:rsidRPr="00C01F26">
        <w:t xml:space="preserve"> portions of the record where the court acknowledged </w:t>
      </w:r>
      <w:r w:rsidR="00B930D9">
        <w:t xml:space="preserve">that </w:t>
      </w:r>
      <w:r w:rsidR="00D22C79" w:rsidRPr="00C01F26">
        <w:t>petitioner lacked financial resources to make bail and where the parties discussed nonmonetary alternatives</w:t>
      </w:r>
      <w:r w:rsidR="00B23895" w:rsidRPr="00C01F26">
        <w:t xml:space="preserve">. </w:t>
      </w:r>
      <w:r w:rsidR="00D22C79" w:rsidRPr="00C01F26">
        <w:t xml:space="preserve"> </w:t>
      </w:r>
      <w:r w:rsidR="00F4219B">
        <w:t>Accordingly, r</w:t>
      </w:r>
      <w:r w:rsidR="00B23895" w:rsidRPr="00C01F26">
        <w:t xml:space="preserve">espondent </w:t>
      </w:r>
      <w:r w:rsidR="00D22C79" w:rsidRPr="00C01F26">
        <w:t xml:space="preserve">contends </w:t>
      </w:r>
      <w:r w:rsidRPr="00C01F26">
        <w:t>the court</w:t>
      </w:r>
      <w:r w:rsidR="00F4219B">
        <w:t xml:space="preserve"> did</w:t>
      </w:r>
      <w:r w:rsidR="00BC31E4">
        <w:t>,</w:t>
      </w:r>
      <w:r w:rsidR="00F4219B">
        <w:t xml:space="preserve"> in fact</w:t>
      </w:r>
      <w:r w:rsidR="00BC31E4">
        <w:t>,</w:t>
      </w:r>
      <w:r w:rsidRPr="00C01F26">
        <w:t xml:space="preserve"> consider less restrictive </w:t>
      </w:r>
      <w:r w:rsidRPr="00C01F26">
        <w:lastRenderedPageBreak/>
        <w:t>nonmonetary alternatives to detention</w:t>
      </w:r>
      <w:r w:rsidR="00B23895" w:rsidRPr="00C01F26">
        <w:t xml:space="preserve"> </w:t>
      </w:r>
      <w:r w:rsidR="00473001" w:rsidRPr="00C01F26">
        <w:t xml:space="preserve">and </w:t>
      </w:r>
      <w:r w:rsidR="00D62790" w:rsidRPr="00C01F26">
        <w:t>implicitly made the requi</w:t>
      </w:r>
      <w:r w:rsidR="00B930D9">
        <w:t>red</w:t>
      </w:r>
      <w:r w:rsidR="00D62790" w:rsidRPr="00C01F26">
        <w:t xml:space="preserve"> finding</w:t>
      </w:r>
      <w:r w:rsidRPr="00C01F26">
        <w:t xml:space="preserve">. </w:t>
      </w:r>
    </w:p>
    <w:p w14:paraId="48022B3C" w14:textId="1C96BA73" w:rsidR="003F396B" w:rsidRPr="00C01F26" w:rsidRDefault="00FC510F" w:rsidP="004E743B">
      <w:pPr>
        <w:spacing w:line="360" w:lineRule="auto"/>
      </w:pPr>
      <w:r w:rsidRPr="00C01F26">
        <w:tab/>
        <w:t>We</w:t>
      </w:r>
      <w:r w:rsidR="001411A9" w:rsidRPr="00C01F26">
        <w:t xml:space="preserve"> </w:t>
      </w:r>
      <w:r w:rsidR="00941660">
        <w:t xml:space="preserve">are in limited </w:t>
      </w:r>
      <w:r w:rsidR="002E5A47" w:rsidRPr="00C01F26">
        <w:t>agree</w:t>
      </w:r>
      <w:r w:rsidR="00941660">
        <w:t>ment</w:t>
      </w:r>
      <w:r w:rsidR="00711D46" w:rsidRPr="00C01F26">
        <w:t xml:space="preserve"> </w:t>
      </w:r>
      <w:r w:rsidR="00F247BD" w:rsidRPr="00C01F26">
        <w:t>with respondent</w:t>
      </w:r>
      <w:r w:rsidR="00DC224B">
        <w:t xml:space="preserve"> </w:t>
      </w:r>
      <w:r w:rsidR="00941660">
        <w:t xml:space="preserve">that, as a </w:t>
      </w:r>
      <w:r w:rsidR="00DC224B">
        <w:t>jurisprudential</w:t>
      </w:r>
      <w:r w:rsidR="00941660">
        <w:t xml:space="preserve"> matter, such </w:t>
      </w:r>
      <w:r w:rsidR="00845D1E" w:rsidRPr="00C01F26">
        <w:t>a finding</w:t>
      </w:r>
      <w:r w:rsidR="00FC1738" w:rsidRPr="00C01F26">
        <w:t xml:space="preserve"> </w:t>
      </w:r>
      <w:r w:rsidR="00845D1E" w:rsidRPr="00C01F26">
        <w:t>c</w:t>
      </w:r>
      <w:r w:rsidR="00DC224B">
        <w:t>ould</w:t>
      </w:r>
      <w:r w:rsidR="00845D1E" w:rsidRPr="00C01F26">
        <w:t xml:space="preserve"> be </w:t>
      </w:r>
      <w:r w:rsidR="00EA2D30" w:rsidRPr="00C01F26">
        <w:t>implicit</w:t>
      </w:r>
      <w:r w:rsidR="00F4219B">
        <w:t xml:space="preserve"> and inferred from the record</w:t>
      </w:r>
      <w:r w:rsidR="00FC1738" w:rsidRPr="00C01F26">
        <w:t>.</w:t>
      </w:r>
      <w:r w:rsidR="00CF69CC" w:rsidRPr="00C01F26">
        <w:t xml:space="preserve"> </w:t>
      </w:r>
      <w:r w:rsidR="00FC1738" w:rsidRPr="00C01F26">
        <w:t xml:space="preserve"> </w:t>
      </w:r>
      <w:r w:rsidR="003770C2" w:rsidRPr="00C01F26">
        <w:t>Ordinarily</w:t>
      </w:r>
      <w:r w:rsidR="005A282C" w:rsidRPr="00C01F26">
        <w:t>,</w:t>
      </w:r>
      <w:r w:rsidR="003770C2" w:rsidRPr="00C01F26">
        <w:t xml:space="preserve"> trial court judgments and orders are presumed correct.  (</w:t>
      </w:r>
      <w:bookmarkStart w:id="21" w:name="_Hlk85630709"/>
      <w:r w:rsidR="003770C2" w:rsidRPr="00C01F26">
        <w:rPr>
          <w:i/>
          <w:iCs/>
        </w:rPr>
        <w:t>Jameson v. Desta</w:t>
      </w:r>
      <w:r w:rsidR="003770C2" w:rsidRPr="00C01F26">
        <w:t xml:space="preserve"> (2018) 5 Cal.5th 594, 608–609; </w:t>
      </w:r>
      <w:r w:rsidR="003770C2" w:rsidRPr="00C01F26">
        <w:rPr>
          <w:i/>
          <w:iCs/>
        </w:rPr>
        <w:t>Denham v. Superior Court</w:t>
      </w:r>
      <w:r w:rsidR="003770C2" w:rsidRPr="00C01F26">
        <w:t xml:space="preserve"> (1970) 2 Cal.3d 557, 564</w:t>
      </w:r>
      <w:bookmarkEnd w:id="21"/>
      <w:r w:rsidR="003770C2" w:rsidRPr="00C01F26">
        <w:t xml:space="preserve">.)  </w:t>
      </w:r>
      <w:r w:rsidR="00F05858" w:rsidRPr="00C01F26">
        <w:t>A</w:t>
      </w:r>
      <w:r w:rsidR="003770C2" w:rsidRPr="00C01F26">
        <w:t>mbiguities in the record are resolved in favor of affirmance (</w:t>
      </w:r>
      <w:bookmarkStart w:id="22" w:name="_Hlk85630718"/>
      <w:r w:rsidR="003770C2" w:rsidRPr="00C01F26">
        <w:rPr>
          <w:i/>
          <w:iCs/>
        </w:rPr>
        <w:t>Winograd v. American Broadcasting Co.</w:t>
      </w:r>
      <w:r w:rsidR="003770C2" w:rsidRPr="00C01F26">
        <w:t xml:space="preserve"> (1998) 68 Cal.App.4th 624, 631</w:t>
      </w:r>
      <w:bookmarkEnd w:id="22"/>
      <w:r w:rsidR="003770C2" w:rsidRPr="00C01F26">
        <w:t>), and an</w:t>
      </w:r>
      <w:r w:rsidR="003770C2" w:rsidRPr="0029784E">
        <w:t xml:space="preserve"> appellate court</w:t>
      </w:r>
      <w:r w:rsidR="00B930D9">
        <w:t xml:space="preserve"> ordinarily presumes “</w:t>
      </w:r>
      <w:r w:rsidR="003770C2" w:rsidRPr="0029784E">
        <w:t xml:space="preserve">the [trial] court knows and applies the correct statutory and case </w:t>
      </w:r>
      <w:r w:rsidR="003770C2" w:rsidRPr="00C01F26">
        <w:t>law.”  (</w:t>
      </w:r>
      <w:bookmarkStart w:id="23" w:name="_Hlk85630724"/>
      <w:r w:rsidR="003770C2" w:rsidRPr="00C01F26">
        <w:rPr>
          <w:i/>
          <w:iCs/>
        </w:rPr>
        <w:t>People v. Coddington</w:t>
      </w:r>
      <w:r w:rsidR="003770C2" w:rsidRPr="00C01F26">
        <w:t xml:space="preserve"> (2000) 23 Cal.4th 529, 644, overruled on other grounds by </w:t>
      </w:r>
      <w:r w:rsidR="003770C2" w:rsidRPr="00C01F26">
        <w:rPr>
          <w:i/>
          <w:iCs/>
        </w:rPr>
        <w:t>Price v. Superior Court</w:t>
      </w:r>
      <w:r w:rsidR="003770C2" w:rsidRPr="00C01F26">
        <w:t xml:space="preserve"> (2001) 25 Cal.4th 1046, 1069, fn. 13</w:t>
      </w:r>
      <w:bookmarkEnd w:id="23"/>
      <w:r w:rsidR="003770C2" w:rsidRPr="00C01F26">
        <w:t>.)</w:t>
      </w:r>
      <w:r w:rsidR="009B4B81" w:rsidRPr="00C01F26">
        <w:t xml:space="preserve">  </w:t>
      </w:r>
      <w:r w:rsidR="009B4B81">
        <w:t>Where, as here,</w:t>
      </w:r>
      <w:r w:rsidR="009B4B81" w:rsidRPr="00C01F26">
        <w:t xml:space="preserve"> nonfinancial conditions of release were discussed directly before the court’s denial of the bail motion, one would have to assume the worst to conclude the court ignored </w:t>
      </w:r>
      <w:r w:rsidR="00B930D9">
        <w:t xml:space="preserve">both </w:t>
      </w:r>
      <w:r w:rsidR="009B4B81" w:rsidRPr="00C01F26">
        <w:t>the</w:t>
      </w:r>
      <w:r w:rsidR="00B930D9">
        <w:t xml:space="preserve"> </w:t>
      </w:r>
      <w:r w:rsidR="00F32DA3">
        <w:t xml:space="preserve">issue and the </w:t>
      </w:r>
      <w:r w:rsidR="00B930D9">
        <w:t xml:space="preserve">law </w:t>
      </w:r>
      <w:r w:rsidR="009B4B81">
        <w:t>in making its decision</w:t>
      </w:r>
      <w:r w:rsidR="009B4B81" w:rsidRPr="00C01F26">
        <w:t>.</w:t>
      </w:r>
    </w:p>
    <w:p w14:paraId="2B2A24B1" w14:textId="19BD4AE3" w:rsidR="00F419D9" w:rsidRDefault="00FC510F" w:rsidP="00F94741">
      <w:pPr>
        <w:spacing w:line="360" w:lineRule="auto"/>
      </w:pPr>
      <w:r w:rsidRPr="00C01F26">
        <w:tab/>
      </w:r>
      <w:bookmarkStart w:id="24" w:name="_Hlk85533779"/>
      <w:r w:rsidR="00104411">
        <w:t>Nonetheless</w:t>
      </w:r>
      <w:r w:rsidR="00411AE3" w:rsidRPr="00C01F26">
        <w:t xml:space="preserve">, </w:t>
      </w:r>
      <w:r w:rsidR="00870E09" w:rsidRPr="00C01F26">
        <w:t xml:space="preserve">even </w:t>
      </w:r>
      <w:r w:rsidR="004B1BE8" w:rsidRPr="00C01F26">
        <w:t xml:space="preserve">though </w:t>
      </w:r>
      <w:r w:rsidR="00104411">
        <w:t xml:space="preserve">the general presumptions in favor of a judgment </w:t>
      </w:r>
      <w:r w:rsidR="002B6C8B">
        <w:t xml:space="preserve">or order </w:t>
      </w:r>
      <w:r w:rsidR="00104411">
        <w:t xml:space="preserve">might otherwise support a </w:t>
      </w:r>
      <w:r w:rsidR="00870E09" w:rsidRPr="00C01F26">
        <w:t xml:space="preserve">finding </w:t>
      </w:r>
      <w:r w:rsidR="00104411">
        <w:t xml:space="preserve">made </w:t>
      </w:r>
      <w:r w:rsidR="00870E09" w:rsidRPr="00C01F26">
        <w:t xml:space="preserve">sub silentio, </w:t>
      </w:r>
      <w:bookmarkStart w:id="25" w:name="_Hlk82092805"/>
      <w:bookmarkStart w:id="26" w:name="_Hlk85545189"/>
      <w:r w:rsidR="00F507C2" w:rsidRPr="00C01F26">
        <w:rPr>
          <w:i/>
          <w:iCs/>
        </w:rPr>
        <w:t>Humphrey</w:t>
      </w:r>
      <w:r w:rsidR="00F507C2" w:rsidRPr="00C01F26">
        <w:t xml:space="preserve"> </w:t>
      </w:r>
      <w:r w:rsidR="00104411">
        <w:t>specifically</w:t>
      </w:r>
      <w:r w:rsidR="00DD794E" w:rsidRPr="00C01F26">
        <w:t xml:space="preserve"> </w:t>
      </w:r>
      <w:r w:rsidR="00F507C2" w:rsidRPr="00C01F26">
        <w:t xml:space="preserve">requires, as a matter of procedural due process, that </w:t>
      </w:r>
      <w:r w:rsidR="00482C9B">
        <w:t xml:space="preserve">a </w:t>
      </w:r>
      <w:r w:rsidR="00F507C2" w:rsidRPr="00C01F26">
        <w:t>court entering a</w:t>
      </w:r>
      <w:r w:rsidR="00DC224B">
        <w:t xml:space="preserve"> </w:t>
      </w:r>
      <w:r w:rsidR="00F507C2" w:rsidRPr="00C01F26">
        <w:t>pretrial detention</w:t>
      </w:r>
      <w:r w:rsidR="00DC224B">
        <w:t xml:space="preserve"> order</w:t>
      </w:r>
      <w:r w:rsidR="00F507C2" w:rsidRPr="00C01F26">
        <w:t xml:space="preserve"> set</w:t>
      </w:r>
      <w:r w:rsidR="00482C9B">
        <w:t xml:space="preserve"> forth</w:t>
      </w:r>
      <w:r w:rsidR="00F507C2" w:rsidRPr="00C01F26">
        <w:t xml:space="preserve"> “the </w:t>
      </w:r>
      <w:bookmarkStart w:id="27" w:name="_Hlk85622433"/>
      <w:r w:rsidR="00F507C2" w:rsidRPr="00C01F26">
        <w:t>reasons for its decision on the record and to include them in the court’s minutes</w:t>
      </w:r>
      <w:bookmarkEnd w:id="27"/>
      <w:r w:rsidR="00F507C2" w:rsidRPr="00C01F26">
        <w:t>.”  (</w:t>
      </w:r>
      <w:r w:rsidR="00F507C2" w:rsidRPr="00C01F26">
        <w:rPr>
          <w:i/>
          <w:iCs/>
        </w:rPr>
        <w:t>Humphrey</w:t>
      </w:r>
      <w:r w:rsidR="00F507C2" w:rsidRPr="00C01F26">
        <w:t xml:space="preserve">, </w:t>
      </w:r>
      <w:r w:rsidR="00F507C2" w:rsidRPr="00C01F26">
        <w:rPr>
          <w:i/>
          <w:iCs/>
        </w:rPr>
        <w:t>supra</w:t>
      </w:r>
      <w:r w:rsidR="00F507C2" w:rsidRPr="00C01F26">
        <w:t>, 11 Cal.5th at p.</w:t>
      </w:r>
      <w:r w:rsidR="00766068">
        <w:t> </w:t>
      </w:r>
      <w:r w:rsidR="00F507C2" w:rsidRPr="00C01F26">
        <w:t xml:space="preserve">155.)  </w:t>
      </w:r>
      <w:bookmarkEnd w:id="25"/>
      <w:r w:rsidR="004B1BE8" w:rsidRPr="00C01F26">
        <w:t>Th</w:t>
      </w:r>
      <w:r w:rsidR="00104411">
        <w:t>us, the</w:t>
      </w:r>
      <w:r w:rsidR="004B1BE8" w:rsidRPr="00C01F26">
        <w:t xml:space="preserve"> reasons </w:t>
      </w:r>
      <w:r w:rsidR="00104411">
        <w:t xml:space="preserve">supporting a denial of bail </w:t>
      </w:r>
      <w:r w:rsidR="004B1BE8" w:rsidRPr="00C01F26">
        <w:t>cannot be implied</w:t>
      </w:r>
      <w:r w:rsidR="00104411">
        <w:t>.</w:t>
      </w:r>
    </w:p>
    <w:p w14:paraId="398CE2F7" w14:textId="64FCE658" w:rsidR="00D505BE" w:rsidRDefault="00FC510F" w:rsidP="00F94741">
      <w:pPr>
        <w:spacing w:line="360" w:lineRule="auto"/>
      </w:pPr>
      <w:r>
        <w:tab/>
        <w:t>In this regard,</w:t>
      </w:r>
      <w:r w:rsidR="00104411">
        <w:t xml:space="preserve"> </w:t>
      </w:r>
      <w:r w:rsidR="00104411" w:rsidRPr="00E778EC">
        <w:rPr>
          <w:i/>
          <w:iCs/>
        </w:rPr>
        <w:t>Humphrey</w:t>
      </w:r>
      <w:r w:rsidR="00104411">
        <w:t xml:space="preserve"> explains</w:t>
      </w:r>
      <w:r>
        <w:t xml:space="preserve"> that</w:t>
      </w:r>
      <w:r w:rsidR="00104411">
        <w:t xml:space="preserve"> the requirement of </w:t>
      </w:r>
      <w:r w:rsidR="004B1BE8" w:rsidRPr="00C01F26">
        <w:t xml:space="preserve">explicit articulation </w:t>
      </w:r>
      <w:r w:rsidR="00104411">
        <w:t>will</w:t>
      </w:r>
      <w:r w:rsidR="00F507C2" w:rsidRPr="00C01F26">
        <w:t xml:space="preserve"> “facilitate review of the detention order, guard against careless or rote decisionmaking, and promote public confidence in the judicial process.”  (</w:t>
      </w:r>
      <w:r w:rsidR="00E778EC" w:rsidRPr="00C01F26">
        <w:rPr>
          <w:i/>
          <w:iCs/>
        </w:rPr>
        <w:t>Humphrey</w:t>
      </w:r>
      <w:r w:rsidR="00E778EC" w:rsidRPr="00C01F26">
        <w:t xml:space="preserve">, </w:t>
      </w:r>
      <w:r w:rsidR="00E778EC" w:rsidRPr="00C01F26">
        <w:rPr>
          <w:i/>
          <w:iCs/>
        </w:rPr>
        <w:t>supra</w:t>
      </w:r>
      <w:r w:rsidR="00E778EC" w:rsidRPr="00C01F26">
        <w:t xml:space="preserve">, 11 Cal.5th </w:t>
      </w:r>
      <w:r w:rsidR="00F507C2" w:rsidRPr="00C01F26">
        <w:t>at pp.</w:t>
      </w:r>
      <w:r w:rsidR="00766068">
        <w:t> </w:t>
      </w:r>
      <w:r w:rsidR="00F507C2" w:rsidRPr="00C01F26">
        <w:t>155–156.)</w:t>
      </w:r>
      <w:r w:rsidR="00BD051C" w:rsidRPr="00C01F26">
        <w:t xml:space="preserve">  </w:t>
      </w:r>
      <w:bookmarkStart w:id="28" w:name="_Hlk82091276"/>
      <w:r w:rsidR="00A740CD">
        <w:t xml:space="preserve">And generally, </w:t>
      </w:r>
      <w:r w:rsidR="00C65789" w:rsidRPr="00C01F26">
        <w:t>an adequate statement of reasons is one that furthers these purposes</w:t>
      </w:r>
      <w:r w:rsidR="008E39C8" w:rsidRPr="00C01F26">
        <w:t xml:space="preserve"> and </w:t>
      </w:r>
      <w:r w:rsidR="008E39C8" w:rsidRPr="00C01F26">
        <w:lastRenderedPageBreak/>
        <w:t>“apprise</w:t>
      </w:r>
      <w:r w:rsidR="00BC31E4">
        <w:t>[s]</w:t>
      </w:r>
      <w:r w:rsidR="008E39C8" w:rsidRPr="00C01F26">
        <w:t xml:space="preserve"> [the reviewing court] of the analytical process by which the trial court arrived at its conclusions</w:t>
      </w:r>
      <w:r w:rsidR="00C65789" w:rsidRPr="00C01F26">
        <w:t>.</w:t>
      </w:r>
      <w:r w:rsidR="008E39C8" w:rsidRPr="00C01F26">
        <w:t>”</w:t>
      </w:r>
      <w:r w:rsidR="00C65789" w:rsidRPr="00C01F26">
        <w:t xml:space="preserve">  (</w:t>
      </w:r>
      <w:bookmarkStart w:id="29" w:name="_Hlk85631081"/>
      <w:r w:rsidR="00264556" w:rsidRPr="00C01F26">
        <w:rPr>
          <w:i/>
          <w:iCs/>
        </w:rPr>
        <w:t xml:space="preserve">In re Pipinos </w:t>
      </w:r>
      <w:r w:rsidR="00264556" w:rsidRPr="00C01F26">
        <w:t>(1982)</w:t>
      </w:r>
      <w:r w:rsidR="00C65789" w:rsidRPr="00C01F26">
        <w:t xml:space="preserve"> 33 Cal.3d </w:t>
      </w:r>
      <w:r w:rsidR="00264556" w:rsidRPr="00C01F26">
        <w:t>189,</w:t>
      </w:r>
      <w:r w:rsidR="00065627" w:rsidRPr="00C01F26">
        <w:t> </w:t>
      </w:r>
      <w:r w:rsidR="00C65789" w:rsidRPr="00C01F26">
        <w:t>198</w:t>
      </w:r>
      <w:r w:rsidR="008E39C8" w:rsidRPr="00C01F26">
        <w:t>, 202</w:t>
      </w:r>
      <w:bookmarkEnd w:id="29"/>
      <w:r w:rsidR="002E6406" w:rsidRPr="00C01F26">
        <w:t xml:space="preserve"> (</w:t>
      </w:r>
      <w:r w:rsidR="002E6406" w:rsidRPr="00C01F26">
        <w:rPr>
          <w:i/>
          <w:iCs/>
        </w:rPr>
        <w:t>Pipinos</w:t>
      </w:r>
      <w:r w:rsidR="002E6406" w:rsidRPr="00C01F26">
        <w:t>)</w:t>
      </w:r>
      <w:r w:rsidR="004E743B" w:rsidRPr="00C01F26">
        <w:t xml:space="preserve">; see </w:t>
      </w:r>
      <w:bookmarkStart w:id="30" w:name="_Hlk85631025"/>
      <w:r w:rsidR="00BD051C" w:rsidRPr="00C01F26">
        <w:rPr>
          <w:i/>
          <w:iCs/>
        </w:rPr>
        <w:t>Kent v. United States</w:t>
      </w:r>
      <w:r w:rsidR="00BD051C" w:rsidRPr="00C01F26">
        <w:t xml:space="preserve"> (1966) 383 U.S. 541, 561 (</w:t>
      </w:r>
      <w:r w:rsidR="00BD051C" w:rsidRPr="00C01F26">
        <w:rPr>
          <w:i/>
          <w:iCs/>
        </w:rPr>
        <w:t>Kent</w:t>
      </w:r>
      <w:r w:rsidR="00BD051C" w:rsidRPr="00C01F26">
        <w:t>)</w:t>
      </w:r>
      <w:r w:rsidR="004E743B" w:rsidRPr="00C01F26">
        <w:t xml:space="preserve"> </w:t>
      </w:r>
      <w:bookmarkEnd w:id="30"/>
      <w:r w:rsidR="004E743B" w:rsidRPr="00C01F26">
        <w:t>[“Meaningful review requires that the reviewing court should review.  It should not be remitted to assumptions.”]</w:t>
      </w:r>
      <w:r w:rsidR="0098125E" w:rsidRPr="00C01F26">
        <w:t xml:space="preserve">.)  </w:t>
      </w:r>
      <w:r w:rsidR="00B930D9">
        <w:t xml:space="preserve">Thus, </w:t>
      </w:r>
      <w:r w:rsidR="00A740CD">
        <w:t>trial courts choos</w:t>
      </w:r>
      <w:r w:rsidR="00E254D8">
        <w:t>ing</w:t>
      </w:r>
      <w:r w:rsidR="00A740CD">
        <w:t xml:space="preserve"> to deny bail</w:t>
      </w:r>
      <w:r w:rsidR="0098125E" w:rsidRPr="00C01F26">
        <w:t xml:space="preserve"> </w:t>
      </w:r>
      <w:r w:rsidR="0068156C">
        <w:t>must</w:t>
      </w:r>
      <w:r w:rsidR="0098125E" w:rsidRPr="00C01F26">
        <w:t xml:space="preserve"> </w:t>
      </w:r>
      <w:r w:rsidR="00065627" w:rsidRPr="00C01F26">
        <w:t xml:space="preserve">separately state and </w:t>
      </w:r>
      <w:r w:rsidR="00A740CD">
        <w:t>identify their</w:t>
      </w:r>
      <w:r w:rsidR="00065627" w:rsidRPr="00C01F26">
        <w:t xml:space="preserve"> reasons </w:t>
      </w:r>
      <w:r w:rsidR="00A740CD">
        <w:t xml:space="preserve">for finding that </w:t>
      </w:r>
      <w:r w:rsidR="00B930D9">
        <w:t>less restrictive alternatives to detention</w:t>
      </w:r>
      <w:r w:rsidR="00A740CD" w:rsidRPr="00F94741">
        <w:t xml:space="preserve"> could not reasonably protect the interests in public or victim safety</w:t>
      </w:r>
      <w:r w:rsidR="00B930D9">
        <w:t xml:space="preserve"> or ensur</w:t>
      </w:r>
      <w:r w:rsidR="0068156C">
        <w:t>ing</w:t>
      </w:r>
      <w:r w:rsidR="00B930D9">
        <w:t xml:space="preserve"> the defendant’s appearance</w:t>
      </w:r>
      <w:r w:rsidR="00A740CD">
        <w:t>.</w:t>
      </w:r>
      <w:bookmarkEnd w:id="28"/>
    </w:p>
    <w:p w14:paraId="7859E627" w14:textId="70682BAD" w:rsidR="00137989" w:rsidRDefault="00FC510F" w:rsidP="00F94741">
      <w:pPr>
        <w:spacing w:line="360" w:lineRule="auto"/>
      </w:pPr>
      <w:r>
        <w:tab/>
        <w:t>Here</w:t>
      </w:r>
      <w:r w:rsidR="00F507C2">
        <w:t>,</w:t>
      </w:r>
      <w:r w:rsidR="00F507C2" w:rsidRPr="00F507C2">
        <w:t xml:space="preserve"> </w:t>
      </w:r>
      <w:bookmarkStart w:id="31" w:name="_Hlk82091286"/>
      <w:r w:rsidR="002B3CF5">
        <w:t xml:space="preserve">the trial court </w:t>
      </w:r>
      <w:r w:rsidR="00E254D8">
        <w:t xml:space="preserve">found, by clear and convincing evidence, a substantial likelihood </w:t>
      </w:r>
      <w:r w:rsidR="00F32DA3">
        <w:t xml:space="preserve">that </w:t>
      </w:r>
      <w:r w:rsidR="00E254D8">
        <w:t xml:space="preserve">petitioner’s release would result in great bodily harm to others, and it </w:t>
      </w:r>
      <w:r w:rsidR="00F419D9">
        <w:t>identified its</w:t>
      </w:r>
      <w:r w:rsidR="00E254D8">
        <w:t xml:space="preserve"> reasons supporting that </w:t>
      </w:r>
      <w:r w:rsidR="00E254D8" w:rsidRPr="00C01F26">
        <w:t>finding</w:t>
      </w:r>
      <w:r w:rsidR="00E254D8">
        <w:t xml:space="preserve">.  But the court </w:t>
      </w:r>
      <w:r w:rsidR="002B3CF5">
        <w:t xml:space="preserve">did not </w:t>
      </w:r>
      <w:r w:rsidR="00952693">
        <w:t xml:space="preserve">actually </w:t>
      </w:r>
      <w:r w:rsidR="00F32DA3">
        <w:t>address any</w:t>
      </w:r>
      <w:r w:rsidR="00E254D8" w:rsidRPr="00C01F26">
        <w:t xml:space="preserve"> </w:t>
      </w:r>
      <w:r w:rsidR="002F44C1">
        <w:t xml:space="preserve">less restrictive </w:t>
      </w:r>
      <w:r w:rsidR="00E254D8" w:rsidRPr="00C01F26">
        <w:t>alternatives to pretrial detention</w:t>
      </w:r>
      <w:r w:rsidR="00E254D8">
        <w:t xml:space="preserve"> and did not </w:t>
      </w:r>
      <w:r w:rsidR="00065627">
        <w:t xml:space="preserve">articulate </w:t>
      </w:r>
      <w:r w:rsidR="00E11F46">
        <w:t xml:space="preserve">its </w:t>
      </w:r>
      <w:bookmarkEnd w:id="24"/>
      <w:r w:rsidR="00E11F46" w:rsidRPr="008E39C8">
        <w:t xml:space="preserve">analytical </w:t>
      </w:r>
      <w:r w:rsidR="00E11F46">
        <w:t>process</w:t>
      </w:r>
      <w:r w:rsidR="00E2562C">
        <w:t xml:space="preserve"> </w:t>
      </w:r>
      <w:r w:rsidR="00E254D8">
        <w:t>as</w:t>
      </w:r>
      <w:r w:rsidR="00E2562C">
        <w:t xml:space="preserve"> to</w:t>
      </w:r>
      <w:r w:rsidR="002B3CF5">
        <w:t xml:space="preserve"> </w:t>
      </w:r>
      <w:bookmarkStart w:id="32" w:name="_Hlk85529200"/>
      <w:r w:rsidR="002B3CF5">
        <w:t xml:space="preserve">why </w:t>
      </w:r>
      <w:r w:rsidR="002F44C1">
        <w:t>such</w:t>
      </w:r>
      <w:r w:rsidR="00F94741" w:rsidRPr="00F94741">
        <w:t xml:space="preserve"> </w:t>
      </w:r>
      <w:r w:rsidR="00952693">
        <w:t>alternatives</w:t>
      </w:r>
      <w:r w:rsidR="00F94741" w:rsidRPr="00F94741">
        <w:t xml:space="preserve"> could not reasonably protect the </w:t>
      </w:r>
      <w:r w:rsidR="00983EAA">
        <w:t xml:space="preserve">government’s </w:t>
      </w:r>
      <w:r w:rsidR="00F94741" w:rsidRPr="00F94741">
        <w:t>interests</w:t>
      </w:r>
      <w:bookmarkEnd w:id="32"/>
      <w:r w:rsidR="002B3CF5" w:rsidRPr="003D1A1F">
        <w:t>.</w:t>
      </w:r>
      <w:r w:rsidR="00BD051C">
        <w:t xml:space="preserve"> </w:t>
      </w:r>
      <w:bookmarkEnd w:id="31"/>
      <w:r w:rsidR="00103CB7" w:rsidRPr="00C01F26">
        <w:t xml:space="preserve"> </w:t>
      </w:r>
      <w:r w:rsidR="003D11B2" w:rsidRPr="00C01F26">
        <w:t>And w</w:t>
      </w:r>
      <w:r w:rsidR="003D046E" w:rsidRPr="00C01F26">
        <w:t>hile overlapping reasons</w:t>
      </w:r>
      <w:r w:rsidR="00D01F8F" w:rsidRPr="00C01F26">
        <w:t xml:space="preserve"> may exist</w:t>
      </w:r>
      <w:r w:rsidR="00517A78" w:rsidRPr="00C01F26">
        <w:t xml:space="preserve"> for </w:t>
      </w:r>
      <w:r w:rsidR="00E2562C" w:rsidRPr="00C01F26">
        <w:t xml:space="preserve">making </w:t>
      </w:r>
      <w:r w:rsidR="00517A78" w:rsidRPr="00C01F26">
        <w:t>the applicable findings under section</w:t>
      </w:r>
      <w:r w:rsidR="00FC1028">
        <w:t> </w:t>
      </w:r>
      <w:r w:rsidR="00517A78" w:rsidRPr="00C01F26">
        <w:t xml:space="preserve">12(b) and </w:t>
      </w:r>
      <w:r w:rsidR="00517A78" w:rsidRPr="00C01F26">
        <w:rPr>
          <w:i/>
          <w:iCs/>
        </w:rPr>
        <w:t>Humphrey</w:t>
      </w:r>
      <w:r w:rsidR="003D046E" w:rsidRPr="00C01F26">
        <w:t xml:space="preserve">, </w:t>
      </w:r>
      <w:r w:rsidR="00E34400" w:rsidRPr="00C01F26">
        <w:t>the court</w:t>
      </w:r>
      <w:r w:rsidR="009B448F" w:rsidRPr="00C01F26">
        <w:t>’s</w:t>
      </w:r>
      <w:r w:rsidR="00E34400" w:rsidRPr="00C01F26">
        <w:t xml:space="preserve"> fail</w:t>
      </w:r>
      <w:r w:rsidR="009B448F" w:rsidRPr="00C01F26">
        <w:t>ure to</w:t>
      </w:r>
      <w:r w:rsidR="00103CB7" w:rsidRPr="00C01F26">
        <w:t xml:space="preserve"> </w:t>
      </w:r>
      <w:r w:rsidR="00E2562C" w:rsidRPr="00C01F26">
        <w:t>articulate</w:t>
      </w:r>
      <w:r w:rsidR="00103CB7" w:rsidRPr="00C01F26">
        <w:t xml:space="preserve"> </w:t>
      </w:r>
      <w:r w:rsidR="00E2562C" w:rsidRPr="00C01F26">
        <w:t>its evaluative process</w:t>
      </w:r>
      <w:r w:rsidR="00103CB7" w:rsidRPr="00C01F26">
        <w:t xml:space="preserve"> </w:t>
      </w:r>
      <w:r w:rsidR="002F44C1">
        <w:t>requires that we</w:t>
      </w:r>
      <w:r w:rsidR="00CE67EA" w:rsidRPr="00C01F26">
        <w:t xml:space="preserve"> speculat</w:t>
      </w:r>
      <w:r w:rsidR="002F44C1">
        <w:t>e</w:t>
      </w:r>
      <w:r w:rsidR="009E4630" w:rsidRPr="00C01F26">
        <w:t xml:space="preserve"> </w:t>
      </w:r>
      <w:r w:rsidR="00BC31E4">
        <w:t xml:space="preserve">as to </w:t>
      </w:r>
      <w:r w:rsidR="009E4630" w:rsidRPr="00C01F26">
        <w:t>why the court believed</w:t>
      </w:r>
      <w:r w:rsidR="003D11B2" w:rsidRPr="00C01F26">
        <w:t xml:space="preserve"> </w:t>
      </w:r>
      <w:r w:rsidR="00A643D4" w:rsidRPr="00C01F26">
        <w:t xml:space="preserve">that no </w:t>
      </w:r>
      <w:r w:rsidR="003D11B2" w:rsidRPr="00C01F26">
        <w:t>nonfinancial conditions could reasonably protect the interests in public or victim safety</w:t>
      </w:r>
      <w:r w:rsidR="00CE67EA" w:rsidRPr="00C01F26">
        <w:t xml:space="preserve">.  </w:t>
      </w:r>
      <w:r w:rsidR="003F2085" w:rsidRPr="00C01F26">
        <w:t xml:space="preserve">As such, </w:t>
      </w:r>
      <w:r w:rsidR="00A34968" w:rsidRPr="00C01F26">
        <w:t xml:space="preserve">the </w:t>
      </w:r>
      <w:r w:rsidR="003E75CA" w:rsidRPr="00C01F26">
        <w:t>record here</w:t>
      </w:r>
      <w:r w:rsidR="000B370E" w:rsidRPr="00C01F26">
        <w:t xml:space="preserve"> does not permit meaningful appellate review</w:t>
      </w:r>
      <w:r w:rsidR="003F2085" w:rsidRPr="00C01F26">
        <w:t>.</w:t>
      </w:r>
      <w:r>
        <w:rPr>
          <w:rStyle w:val="FootnoteReference"/>
        </w:rPr>
        <w:footnoteReference w:id="10"/>
      </w:r>
      <w:r w:rsidR="003D046E" w:rsidRPr="00C01F26">
        <w:t xml:space="preserve">  (</w:t>
      </w:r>
      <w:bookmarkStart w:id="34" w:name="_Hlk85631178"/>
      <w:r w:rsidR="00C73270" w:rsidRPr="00C01F26">
        <w:rPr>
          <w:i/>
          <w:iCs/>
        </w:rPr>
        <w:t>In re Podesto</w:t>
      </w:r>
      <w:r w:rsidR="00C73270" w:rsidRPr="00C01F26">
        <w:t xml:space="preserve"> (1976)</w:t>
      </w:r>
      <w:r w:rsidR="00DD794E" w:rsidRPr="00C01F26">
        <w:t xml:space="preserve"> </w:t>
      </w:r>
      <w:r w:rsidR="00C73270" w:rsidRPr="00C01F26">
        <w:t>15 Cal.3d 921,</w:t>
      </w:r>
      <w:r w:rsidR="00C73270">
        <w:t> 937</w:t>
      </w:r>
      <w:bookmarkEnd w:id="34"/>
      <w:r w:rsidR="00C73270">
        <w:t xml:space="preserve"> [“meaningful judicial </w:t>
      </w:r>
      <w:r w:rsidR="00C73270">
        <w:lastRenderedPageBreak/>
        <w:t>review is often impossible unless the reviewing court is apprised of the reasons behind a given decision”]</w:t>
      </w:r>
      <w:r w:rsidR="003D046E">
        <w:t>.)</w:t>
      </w:r>
    </w:p>
    <w:bookmarkEnd w:id="26"/>
    <w:p w14:paraId="2050C65A" w14:textId="01005D39" w:rsidR="00B846FA" w:rsidRDefault="00FC510F" w:rsidP="001E3A36">
      <w:pPr>
        <w:spacing w:line="360" w:lineRule="auto"/>
      </w:pPr>
      <w:r>
        <w:tab/>
      </w:r>
      <w:r w:rsidR="00BE4EA7">
        <w:t xml:space="preserve">We </w:t>
      </w:r>
      <w:r w:rsidR="00B51A96">
        <w:t>now address</w:t>
      </w:r>
      <w:r w:rsidR="00BE4EA7">
        <w:t xml:space="preserve"> the consequence of this </w:t>
      </w:r>
      <w:r w:rsidR="00B44B03">
        <w:t>shortcoming</w:t>
      </w:r>
      <w:r w:rsidR="00BE4EA7">
        <w:t xml:space="preserve">.  </w:t>
      </w:r>
      <w:r w:rsidR="001E3A36">
        <w:t xml:space="preserve">In </w:t>
      </w:r>
      <w:bookmarkStart w:id="35" w:name="_Hlk85631207"/>
      <w:r w:rsidR="001E3A36" w:rsidRPr="00226D1B">
        <w:rPr>
          <w:i/>
          <w:iCs/>
        </w:rPr>
        <w:t>Pipinos</w:t>
      </w:r>
      <w:bookmarkEnd w:id="35"/>
      <w:r w:rsidR="001E3A36">
        <w:t xml:space="preserve">, </w:t>
      </w:r>
      <w:r w:rsidR="001E3A36" w:rsidRPr="00226D1B">
        <w:rPr>
          <w:i/>
          <w:iCs/>
        </w:rPr>
        <w:t>supra</w:t>
      </w:r>
      <w:r w:rsidR="001E3A36">
        <w:t xml:space="preserve">, 33 Cal.3d 189, the trial court’s failure to adequately articulate its reasons for denying bail on appeal </w:t>
      </w:r>
      <w:r w:rsidR="00AA3C23" w:rsidRPr="00C01F26">
        <w:t>ultimately</w:t>
      </w:r>
      <w:r w:rsidR="006A5CD0">
        <w:t xml:space="preserve"> resulted in</w:t>
      </w:r>
      <w:r w:rsidR="001E3A36" w:rsidRPr="00C01F26">
        <w:t xml:space="preserve"> </w:t>
      </w:r>
      <w:r w:rsidR="00AA3C23" w:rsidRPr="00C01F26">
        <w:t>revers</w:t>
      </w:r>
      <w:r w:rsidR="006A5CD0">
        <w:t>al</w:t>
      </w:r>
      <w:r w:rsidR="001E3A36" w:rsidRPr="00C01F26">
        <w:t xml:space="preserve"> because the trial court’s </w:t>
      </w:r>
      <w:r w:rsidR="00DB02A6">
        <w:t xml:space="preserve">conclusory </w:t>
      </w:r>
      <w:r w:rsidR="001E3A36" w:rsidRPr="00C01F26">
        <w:t>comments were insufficient to enable meaningful review of the defendant’s abuse of discretion contention.  (</w:t>
      </w:r>
      <w:r w:rsidR="001E3A36" w:rsidRPr="00C01F26">
        <w:rPr>
          <w:i/>
          <w:iCs/>
        </w:rPr>
        <w:t xml:space="preserve">Id. </w:t>
      </w:r>
      <w:r w:rsidR="001E3A36" w:rsidRPr="00C01F26">
        <w:t xml:space="preserve">at </w:t>
      </w:r>
      <w:r w:rsidR="00BF486A" w:rsidRPr="00C01F26">
        <w:t>p</w:t>
      </w:r>
      <w:r w:rsidR="001E3A36" w:rsidRPr="00C01F26">
        <w:t>p. </w:t>
      </w:r>
      <w:r w:rsidR="00BF486A" w:rsidRPr="00C01F26">
        <w:t>203–</w:t>
      </w:r>
      <w:r w:rsidR="001E3A36" w:rsidRPr="00C01F26">
        <w:t>205.)</w:t>
      </w:r>
      <w:r w:rsidR="005878BA">
        <w:t xml:space="preserve">  </w:t>
      </w:r>
      <w:r w:rsidR="00BB3C99">
        <w:t>Yet</w:t>
      </w:r>
      <w:r w:rsidR="00A06448">
        <w:t>,</w:t>
      </w:r>
      <w:r w:rsidR="006D763D" w:rsidRPr="00C01F26">
        <w:t xml:space="preserve"> </w:t>
      </w:r>
      <w:r w:rsidR="00CF72E1" w:rsidRPr="00C01F26">
        <w:t xml:space="preserve">there </w:t>
      </w:r>
      <w:r w:rsidR="00352BA5" w:rsidRPr="00C01F26">
        <w:t>are</w:t>
      </w:r>
      <w:r w:rsidR="00CF72E1" w:rsidRPr="00C01F26">
        <w:t xml:space="preserve"> other</w:t>
      </w:r>
      <w:r w:rsidR="00941ED9" w:rsidRPr="00C01F26">
        <w:t xml:space="preserve"> </w:t>
      </w:r>
      <w:r w:rsidR="00CF72E1" w:rsidRPr="00C01F26">
        <w:t>case</w:t>
      </w:r>
      <w:r w:rsidR="00001C97" w:rsidRPr="00C01F26">
        <w:t>s</w:t>
      </w:r>
      <w:r w:rsidR="00CF72E1" w:rsidRPr="00C01F26">
        <w:t xml:space="preserve"> indicat</w:t>
      </w:r>
      <w:r w:rsidR="00A06448">
        <w:t>ing</w:t>
      </w:r>
      <w:r w:rsidR="00CF72E1" w:rsidRPr="00C01F26">
        <w:t xml:space="preserve"> </w:t>
      </w:r>
      <w:r w:rsidR="00941ED9" w:rsidRPr="00C01F26">
        <w:t>t</w:t>
      </w:r>
      <w:r w:rsidR="00613F79" w:rsidRPr="00C01F26">
        <w:t xml:space="preserve">he failure to provide an adequate statement of reasons </w:t>
      </w:r>
      <w:r w:rsidR="00223493">
        <w:t xml:space="preserve">does not necessarily </w:t>
      </w:r>
      <w:r w:rsidR="00613F79" w:rsidRPr="00C01F26">
        <w:t>require reversal</w:t>
      </w:r>
      <w:r w:rsidR="00223493">
        <w:t xml:space="preserve"> but is subject to a harmless error analysis.</w:t>
      </w:r>
      <w:r w:rsidR="00613F79" w:rsidRPr="00C01F26">
        <w:t xml:space="preserve">  </w:t>
      </w:r>
      <w:r w:rsidR="007A7AF0" w:rsidRPr="00C01F26">
        <w:t>(</w:t>
      </w:r>
      <w:bookmarkStart w:id="36" w:name="_Hlk85631238"/>
      <w:r w:rsidR="007A7AF0" w:rsidRPr="00C01F26">
        <w:rPr>
          <w:i/>
          <w:iCs/>
        </w:rPr>
        <w:t>C.S. v. Superior Court</w:t>
      </w:r>
      <w:r w:rsidR="007A7AF0" w:rsidRPr="00C01F26">
        <w:t xml:space="preserve"> (2018) 29 Cal.App.5</w:t>
      </w:r>
      <w:r w:rsidR="00824F18" w:rsidRPr="00C01F26">
        <w:t>th</w:t>
      </w:r>
      <w:r w:rsidR="007A7AF0" w:rsidRPr="00C01F26">
        <w:t xml:space="preserve"> 1009, 1036</w:t>
      </w:r>
      <w:r w:rsidR="00DF27A7" w:rsidRPr="00C01F26">
        <w:t xml:space="preserve">; </w:t>
      </w:r>
      <w:r w:rsidR="00A06448">
        <w:t xml:space="preserve">see </w:t>
      </w:r>
      <w:r w:rsidR="00DF27A7" w:rsidRPr="00C01F26">
        <w:rPr>
          <w:i/>
          <w:iCs/>
        </w:rPr>
        <w:t>People v. Scott</w:t>
      </w:r>
      <w:r w:rsidR="00DF27A7" w:rsidRPr="00C01F26">
        <w:t xml:space="preserve"> (1994) 9 Cal.4th 331, 355</w:t>
      </w:r>
      <w:bookmarkEnd w:id="36"/>
      <w:r w:rsidR="00AA2B26" w:rsidRPr="00C01F26">
        <w:t xml:space="preserve"> (</w:t>
      </w:r>
      <w:r w:rsidR="00AA2B26" w:rsidRPr="00C01F26">
        <w:rPr>
          <w:i/>
          <w:iCs/>
        </w:rPr>
        <w:t>Scott</w:t>
      </w:r>
      <w:r w:rsidR="00AA2B26" w:rsidRPr="00C01F26">
        <w:t>)</w:t>
      </w:r>
      <w:r w:rsidR="001B0DC6" w:rsidRPr="00C01F26">
        <w:t xml:space="preserve">.)  </w:t>
      </w:r>
      <w:r w:rsidR="001E3A36" w:rsidRPr="00C01F26">
        <w:t>E</w:t>
      </w:r>
      <w:r w:rsidRPr="00C01F26">
        <w:t>rror of this type may be harmless in cases where there is “</w:t>
      </w:r>
      <w:r w:rsidR="00BC31E4">
        <w:t> ‘</w:t>
      </w:r>
      <w:r w:rsidRPr="00C01F26">
        <w:t>overwhelming evidence</w:t>
      </w:r>
      <w:r w:rsidR="00BC31E4">
        <w:t>’ </w:t>
      </w:r>
      <w:r w:rsidRPr="00C01F26">
        <w:t>” supporting the court’s decision.  (</w:t>
      </w:r>
      <w:r w:rsidRPr="00C01F26">
        <w:rPr>
          <w:i/>
          <w:iCs/>
        </w:rPr>
        <w:t>C.S.</w:t>
      </w:r>
      <w:r w:rsidRPr="00C01F26">
        <w:t>, at p.</w:t>
      </w:r>
      <w:r w:rsidR="009162FF" w:rsidRPr="00C01F26">
        <w:t> </w:t>
      </w:r>
      <w:r w:rsidRPr="00C01F26">
        <w:t>1036</w:t>
      </w:r>
      <w:r w:rsidR="00983EAA">
        <w:t xml:space="preserve">.)  This may </w:t>
      </w:r>
      <w:r w:rsidR="00C8716E">
        <w:t>be so</w:t>
      </w:r>
      <w:r w:rsidR="00983EAA">
        <w:t xml:space="preserve"> even if the failure to make a statement of reasons amounts to an error of constitutional dimen</w:t>
      </w:r>
      <w:r w:rsidR="00C8716E">
        <w:t>s</w:t>
      </w:r>
      <w:r w:rsidR="00983EAA">
        <w:t>ions.  (E</w:t>
      </w:r>
      <w:r w:rsidR="00827B6C" w:rsidRPr="00C01F26">
        <w:t xml:space="preserve">.g., </w:t>
      </w:r>
      <w:bookmarkStart w:id="37" w:name="_Hlk85631259"/>
      <w:r w:rsidR="00827B6C" w:rsidRPr="00C01F26">
        <w:rPr>
          <w:i/>
          <w:iCs/>
        </w:rPr>
        <w:t>People v. Chi Ko Wong</w:t>
      </w:r>
      <w:r w:rsidR="00827B6C" w:rsidRPr="00C01F26">
        <w:t xml:space="preserve"> (1976) 18 Cal.3d 698, 722–723 </w:t>
      </w:r>
      <w:bookmarkEnd w:id="37"/>
      <w:r w:rsidR="00827B6C" w:rsidRPr="00C01F26">
        <w:t>[</w:t>
      </w:r>
      <w:r w:rsidR="00983EAA">
        <w:t xml:space="preserve">applying harmless error analysis </w:t>
      </w:r>
      <w:r w:rsidR="00C8716E">
        <w:t xml:space="preserve">to </w:t>
      </w:r>
      <w:r w:rsidR="00563F9F">
        <w:t xml:space="preserve">affirm </w:t>
      </w:r>
      <w:r w:rsidR="00C8716E">
        <w:t xml:space="preserve">order denying juvenile court retention </w:t>
      </w:r>
      <w:r w:rsidR="00563F9F">
        <w:t>that</w:t>
      </w:r>
      <w:r w:rsidR="00C8716E">
        <w:t xml:space="preserve"> was supported by overwhelming evidence]</w:t>
      </w:r>
      <w:r w:rsidR="00B450DD">
        <w:t xml:space="preserve">; </w:t>
      </w:r>
      <w:r w:rsidR="00C66685">
        <w:t xml:space="preserve">see generally </w:t>
      </w:r>
      <w:r w:rsidR="00B450DD" w:rsidRPr="00B450DD">
        <w:t>Cal. Const., art.</w:t>
      </w:r>
      <w:r w:rsidR="00B450DD">
        <w:t> </w:t>
      </w:r>
      <w:r w:rsidR="00B450DD" w:rsidRPr="00B450DD">
        <w:t>VI, §</w:t>
      </w:r>
      <w:r w:rsidR="00B450DD">
        <w:t> </w:t>
      </w:r>
      <w:r w:rsidR="00B450DD" w:rsidRPr="00B450DD">
        <w:t>13; Pen. Code, §</w:t>
      </w:r>
      <w:r w:rsidR="00B450DD">
        <w:t> </w:t>
      </w:r>
      <w:r w:rsidR="00B450DD" w:rsidRPr="00B450DD">
        <w:t>1404</w:t>
      </w:r>
      <w:r>
        <w:t>.)</w:t>
      </w:r>
    </w:p>
    <w:p w14:paraId="3EF77100" w14:textId="32CDD920" w:rsidR="00DB02A6" w:rsidRDefault="00FC510F" w:rsidP="00853E40">
      <w:pPr>
        <w:spacing w:line="360" w:lineRule="auto"/>
      </w:pPr>
      <w:r>
        <w:tab/>
        <w:t>Given the record before us, w</w:t>
      </w:r>
      <w:r w:rsidR="00D90179">
        <w:t xml:space="preserve">e need not resolve this </w:t>
      </w:r>
      <w:r w:rsidR="00A06448">
        <w:t xml:space="preserve">apparent </w:t>
      </w:r>
      <w:r w:rsidR="00D90179">
        <w:t xml:space="preserve">tension </w:t>
      </w:r>
      <w:r w:rsidR="00A06448">
        <w:t>in the case law.  Here</w:t>
      </w:r>
      <w:r w:rsidR="00B5030A">
        <w:t>,</w:t>
      </w:r>
      <w:r w:rsidRPr="00DB02A6">
        <w:t xml:space="preserve"> </w:t>
      </w:r>
      <w:r w:rsidRPr="00AA3C23">
        <w:t>the parties discussed nonfinancial conditions, but the di</w:t>
      </w:r>
      <w:r w:rsidRPr="00AA3C23">
        <w:t xml:space="preserve">scussion </w:t>
      </w:r>
      <w:r>
        <w:t>was not extensive</w:t>
      </w:r>
      <w:r w:rsidRPr="00AA3C23">
        <w:t xml:space="preserve">. </w:t>
      </w:r>
      <w:r w:rsidRPr="00E47111">
        <w:t xml:space="preserve"> In </w:t>
      </w:r>
      <w:r w:rsidR="005A0E52">
        <w:t>short</w:t>
      </w:r>
      <w:r w:rsidRPr="00E47111">
        <w:t xml:space="preserve">, defense counsel argued that </w:t>
      </w:r>
      <w:r>
        <w:t xml:space="preserve">any concern </w:t>
      </w:r>
      <w:r w:rsidRPr="00E47111">
        <w:t>about flight</w:t>
      </w:r>
      <w:r>
        <w:t xml:space="preserve"> could be addressed if</w:t>
      </w:r>
      <w:r w:rsidRPr="00E47111">
        <w:t xml:space="preserve"> the court </w:t>
      </w:r>
      <w:r>
        <w:t>were to</w:t>
      </w:r>
      <w:r w:rsidRPr="00E47111">
        <w:t xml:space="preserve"> order GPS tracking or other conditions for release as set out in the pretrial release report.  The prosecutor </w:t>
      </w:r>
      <w:r>
        <w:t>responded that</w:t>
      </w:r>
      <w:r w:rsidRPr="00E47111">
        <w:t xml:space="preserve"> no less restrictive conditions could protect the community, and </w:t>
      </w:r>
      <w:r>
        <w:t xml:space="preserve">that </w:t>
      </w:r>
      <w:r w:rsidRPr="00E47111">
        <w:t xml:space="preserve">electronic home monitoring would not protect women </w:t>
      </w:r>
      <w:r>
        <w:t>whom</w:t>
      </w:r>
      <w:r w:rsidRPr="00E47111">
        <w:t xml:space="preserve"> petitioner might meet online or out and about.  Defense counsel </w:t>
      </w:r>
      <w:r>
        <w:t xml:space="preserve">then </w:t>
      </w:r>
      <w:r w:rsidRPr="00E47111">
        <w:t xml:space="preserve">countered that </w:t>
      </w:r>
      <w:r>
        <w:t>any</w:t>
      </w:r>
      <w:r w:rsidRPr="00E47111">
        <w:t xml:space="preserve"> concern about petitioner dating or being o</w:t>
      </w:r>
      <w:r w:rsidRPr="00E47111">
        <w:t xml:space="preserve">n </w:t>
      </w:r>
      <w:r w:rsidRPr="00E47111">
        <w:lastRenderedPageBreak/>
        <w:t>dating websites</w:t>
      </w:r>
      <w:r>
        <w:t xml:space="preserve"> could be addressed if</w:t>
      </w:r>
      <w:r w:rsidRPr="00E47111">
        <w:t xml:space="preserve"> the court </w:t>
      </w:r>
      <w:r>
        <w:t>were to</w:t>
      </w:r>
      <w:r w:rsidRPr="00E47111">
        <w:t xml:space="preserve"> limit or monitor his internet usage</w:t>
      </w:r>
      <w:r>
        <w:t>;</w:t>
      </w:r>
      <w:r w:rsidRPr="00E47111">
        <w:t xml:space="preserve"> order GPS</w:t>
      </w:r>
      <w:r>
        <w:t xml:space="preserve"> monitoring;</w:t>
      </w:r>
      <w:r w:rsidRPr="00E47111">
        <w:t xml:space="preserve"> issue no contact orders </w:t>
      </w:r>
      <w:r>
        <w:t>as to</w:t>
      </w:r>
      <w:r w:rsidRPr="00E47111">
        <w:t xml:space="preserve"> the victim</w:t>
      </w:r>
      <w:r w:rsidR="00BF3C68">
        <w:t>;</w:t>
      </w:r>
      <w:r w:rsidRPr="00E47111">
        <w:t xml:space="preserve"> or impose other conditions suggested by pretrial services.  The parties made similar arguments in</w:t>
      </w:r>
      <w:r w:rsidRPr="00E47111">
        <w:t xml:space="preserve"> their motion and opposition papers</w:t>
      </w:r>
      <w:r w:rsidR="00BF3C68">
        <w:t>,</w:t>
      </w:r>
      <w:r w:rsidRPr="00AA3C23">
        <w:t xml:space="preserve"> </w:t>
      </w:r>
      <w:r w:rsidR="00BF3C68">
        <w:t>but b</w:t>
      </w:r>
      <w:r w:rsidRPr="00AA3C23">
        <w:t>eyond this, the</w:t>
      </w:r>
      <w:r w:rsidR="00BF3C68">
        <w:t xml:space="preserve"> record reflects</w:t>
      </w:r>
      <w:r w:rsidRPr="00AA3C23">
        <w:t xml:space="preserve"> no other discussion </w:t>
      </w:r>
      <w:r w:rsidR="00BF3C68">
        <w:t xml:space="preserve">and no evaluation by the court </w:t>
      </w:r>
      <w:r w:rsidRPr="00AA3C23">
        <w:t xml:space="preserve">about nonmonetary </w:t>
      </w:r>
      <w:r>
        <w:t xml:space="preserve">or other </w:t>
      </w:r>
      <w:r w:rsidRPr="00AA3C23">
        <w:t>conditions.</w:t>
      </w:r>
      <w:r w:rsidR="00B5030A">
        <w:t xml:space="preserve"> </w:t>
      </w:r>
    </w:p>
    <w:p w14:paraId="1E92E9DB" w14:textId="1A6754FE" w:rsidR="00853E40" w:rsidRDefault="00FC510F">
      <w:pPr>
        <w:spacing w:line="360" w:lineRule="auto"/>
      </w:pPr>
      <w:r>
        <w:tab/>
      </w:r>
      <w:r w:rsidR="00DB02A6">
        <w:t xml:space="preserve">In sum, </w:t>
      </w:r>
      <w:r w:rsidR="00917027">
        <w:t>the record does not permit meaningful appellate review</w:t>
      </w:r>
      <w:r w:rsidR="00B5030A">
        <w:t>, and</w:t>
      </w:r>
      <w:r w:rsidR="00423607">
        <w:t xml:space="preserve"> we cannot say the</w:t>
      </w:r>
      <w:r w:rsidR="00A06448">
        <w:t>re was overwhelming</w:t>
      </w:r>
      <w:r w:rsidR="00423607">
        <w:t xml:space="preserve"> evidence supporting </w:t>
      </w:r>
      <w:r w:rsidR="00A06448">
        <w:t xml:space="preserve">a conclusion </w:t>
      </w:r>
      <w:r w:rsidR="00423607">
        <w:t xml:space="preserve">that </w:t>
      </w:r>
      <w:r w:rsidR="00952693">
        <w:t>less restrictive alternatives to detention</w:t>
      </w:r>
      <w:r w:rsidR="00423607" w:rsidRPr="00F94741">
        <w:t xml:space="preserve"> could not reasonably protect the interests in public or victim safety</w:t>
      </w:r>
      <w:r w:rsidR="00A06448">
        <w:t>.</w:t>
      </w:r>
      <w:r w:rsidR="00423607">
        <w:t xml:space="preserve">  </w:t>
      </w:r>
      <w:r>
        <w:t xml:space="preserve">(See </w:t>
      </w:r>
      <w:r w:rsidRPr="00C01F26">
        <w:rPr>
          <w:i/>
          <w:iCs/>
        </w:rPr>
        <w:t>C.S.</w:t>
      </w:r>
      <w:r>
        <w:t xml:space="preserve">, </w:t>
      </w:r>
      <w:r w:rsidRPr="00A41F85">
        <w:rPr>
          <w:i/>
          <w:iCs/>
        </w:rPr>
        <w:t>supra</w:t>
      </w:r>
      <w:r>
        <w:t xml:space="preserve">, </w:t>
      </w:r>
      <w:r w:rsidRPr="00C01F26">
        <w:t xml:space="preserve">29 Cal.App.5th </w:t>
      </w:r>
      <w:r>
        <w:t>at p. 1</w:t>
      </w:r>
      <w:r w:rsidRPr="00C01F26">
        <w:t>036</w:t>
      </w:r>
      <w:r>
        <w:t xml:space="preserve">.)  </w:t>
      </w:r>
      <w:r w:rsidR="00AA3C23">
        <w:t>As such</w:t>
      </w:r>
      <w:r w:rsidR="00BD6363">
        <w:t>, we will remand this matter to the trial court for further findings.  We express no opinion as to the result the court should reach on remand</w:t>
      </w:r>
      <w:r>
        <w:t>.</w:t>
      </w:r>
    </w:p>
    <w:p w14:paraId="0D23B614" w14:textId="61889846" w:rsidR="00092D3E" w:rsidRPr="00092D3E" w:rsidRDefault="00FC510F" w:rsidP="00AA72EE">
      <w:pPr>
        <w:keepNext/>
        <w:spacing w:line="360" w:lineRule="auto"/>
        <w:rPr>
          <w:i/>
          <w:iCs/>
        </w:rPr>
      </w:pPr>
      <w:r>
        <w:tab/>
      </w:r>
      <w:bookmarkStart w:id="38" w:name="_Hlk85705345"/>
      <w:r>
        <w:tab/>
      </w:r>
      <w:r>
        <w:tab/>
      </w:r>
      <w:r w:rsidR="007B761D" w:rsidRPr="004E4997">
        <w:rPr>
          <w:i/>
          <w:iCs/>
        </w:rPr>
        <w:t>(a)</w:t>
      </w:r>
      <w:r w:rsidR="007B761D" w:rsidRPr="004E4997">
        <w:t xml:space="preserve"> </w:t>
      </w:r>
      <w:r w:rsidR="007B761D" w:rsidRPr="004E4997">
        <w:rPr>
          <w:i/>
          <w:iCs/>
        </w:rPr>
        <w:t xml:space="preserve"> </w:t>
      </w:r>
      <w:r w:rsidRPr="004E4997">
        <w:rPr>
          <w:i/>
          <w:iCs/>
        </w:rPr>
        <w:t>Forfeiture</w:t>
      </w:r>
    </w:p>
    <w:p w14:paraId="1A3B382F" w14:textId="6BBB6316" w:rsidR="002915AA" w:rsidRPr="00C01F26" w:rsidRDefault="00FC510F" w:rsidP="002915AA">
      <w:pPr>
        <w:spacing w:line="360" w:lineRule="auto"/>
      </w:pPr>
      <w:r>
        <w:tab/>
        <w:t>Before concluding, we address</w:t>
      </w:r>
      <w:r w:rsidR="00840C2E">
        <w:t xml:space="preserve"> two </w:t>
      </w:r>
      <w:r w:rsidR="00FD3FAC">
        <w:t>further</w:t>
      </w:r>
      <w:r w:rsidR="00840C2E">
        <w:t xml:space="preserve"> issues</w:t>
      </w:r>
      <w:r w:rsidR="00BC31E4">
        <w:t>—</w:t>
      </w:r>
      <w:r w:rsidR="00840C2E">
        <w:t>the first being</w:t>
      </w:r>
      <w:r>
        <w:t xml:space="preserve"> whether</w:t>
      </w:r>
      <w:r w:rsidR="00C96F25">
        <w:t xml:space="preserve"> claimed</w:t>
      </w:r>
      <w:r>
        <w:t xml:space="preserve"> </w:t>
      </w:r>
      <w:r w:rsidR="00116DA3">
        <w:t>error concerning the inadequacy of a statement of reasons</w:t>
      </w:r>
      <w:r>
        <w:t xml:space="preserve"> can be </w:t>
      </w:r>
      <w:r w:rsidR="00092D3E">
        <w:t>forfeited</w:t>
      </w:r>
      <w:r>
        <w:t>.</w:t>
      </w:r>
      <w:r w:rsidR="00B66657">
        <w:t xml:space="preserve">  </w:t>
      </w:r>
      <w:r>
        <w:t>We examine this issue because</w:t>
      </w:r>
      <w:r w:rsidR="004C50F8">
        <w:t xml:space="preserve"> t</w:t>
      </w:r>
      <w:r w:rsidR="00B66657">
        <w:t xml:space="preserve">he record does not show </w:t>
      </w:r>
      <w:r w:rsidR="00FD3FAC">
        <w:t xml:space="preserve">that </w:t>
      </w:r>
      <w:r w:rsidR="00B66657">
        <w:t xml:space="preserve">petitioner </w:t>
      </w:r>
      <w:r w:rsidR="00FD3FAC">
        <w:t>objected</w:t>
      </w:r>
      <w:r w:rsidR="00B66657">
        <w:t xml:space="preserve"> to the adequacy of the </w:t>
      </w:r>
      <w:r w:rsidR="00FF726A">
        <w:t xml:space="preserve">trial </w:t>
      </w:r>
      <w:r w:rsidR="00B66657">
        <w:t>court’s statement of reasons</w:t>
      </w:r>
      <w:r>
        <w:t xml:space="preserve"> at the bail </w:t>
      </w:r>
      <w:r w:rsidRPr="00C01F26">
        <w:t>hearing</w:t>
      </w:r>
      <w:r w:rsidR="00B66657" w:rsidRPr="00C01F26">
        <w:t>.</w:t>
      </w:r>
      <w:r w:rsidR="00FD3FAC" w:rsidRPr="00C01F26">
        <w:t xml:space="preserve"> </w:t>
      </w:r>
    </w:p>
    <w:p w14:paraId="6B329C2C" w14:textId="0ED53855" w:rsidR="009107CC" w:rsidRPr="00C01F26" w:rsidRDefault="00FC510F" w:rsidP="002915AA">
      <w:pPr>
        <w:spacing w:line="360" w:lineRule="auto"/>
      </w:pPr>
      <w:r w:rsidRPr="00C01F26">
        <w:tab/>
      </w:r>
      <w:r w:rsidR="008D0B67" w:rsidRPr="00C01F26">
        <w:t>T</w:t>
      </w:r>
      <w:r w:rsidR="00D81ED2" w:rsidRPr="00C01F26">
        <w:t>he Attorney General, as amicus curiae, take</w:t>
      </w:r>
      <w:r w:rsidR="008D0B67" w:rsidRPr="00C01F26">
        <w:t>s</w:t>
      </w:r>
      <w:r w:rsidR="00D81ED2" w:rsidRPr="00C01F26">
        <w:t xml:space="preserve"> the position that </w:t>
      </w:r>
      <w:bookmarkStart w:id="39" w:name="_Hlk85704008"/>
      <w:r w:rsidR="00D81ED2" w:rsidRPr="00C01F26">
        <w:t xml:space="preserve">error concerning the </w:t>
      </w:r>
      <w:r w:rsidR="00601F9D">
        <w:t xml:space="preserve">omission or </w:t>
      </w:r>
      <w:r w:rsidR="00D81ED2" w:rsidRPr="00C01F26">
        <w:t xml:space="preserve">inadequacy of a statement of reasons </w:t>
      </w:r>
      <w:r w:rsidR="008D0B67" w:rsidRPr="00C01F26">
        <w:t xml:space="preserve">regarding less restrictive alternatives to detention is “exhausted” </w:t>
      </w:r>
      <w:r w:rsidR="006F65E1" w:rsidRPr="00C01F26">
        <w:t xml:space="preserve">because petitioner </w:t>
      </w:r>
      <w:r w:rsidR="00BC45FC" w:rsidRPr="00C01F26">
        <w:t xml:space="preserve">argued below that </w:t>
      </w:r>
      <w:r w:rsidR="0060620B">
        <w:t>such alternatives</w:t>
      </w:r>
      <w:r w:rsidRPr="00C01F26">
        <w:t xml:space="preserve"> could protect the government’s </w:t>
      </w:r>
      <w:r w:rsidRPr="00C01F26">
        <w:t>interests</w:t>
      </w:r>
      <w:bookmarkEnd w:id="39"/>
      <w:r w:rsidR="001A222E">
        <w:t>, and failure to lodge a timely objection does not result in forfeiture</w:t>
      </w:r>
      <w:r w:rsidR="00D81ED2" w:rsidRPr="00C01F26">
        <w:t xml:space="preserve">. </w:t>
      </w:r>
    </w:p>
    <w:p w14:paraId="515C9D63" w14:textId="45EA6B10" w:rsidR="00645FCF" w:rsidRDefault="00FC510F" w:rsidP="002915AA">
      <w:pPr>
        <w:spacing w:line="360" w:lineRule="auto"/>
      </w:pPr>
      <w:r w:rsidRPr="00C01F26">
        <w:tab/>
      </w:r>
      <w:r w:rsidR="00EC2B67" w:rsidRPr="00C01F26">
        <w:t>We tend to agree</w:t>
      </w:r>
      <w:r w:rsidR="00E31853">
        <w:t xml:space="preserve"> that a</w:t>
      </w:r>
      <w:r w:rsidR="00EC2B67" w:rsidRPr="00C01F26">
        <w:t xml:space="preserve"> petitioner who </w:t>
      </w:r>
      <w:r w:rsidR="00952693">
        <w:t>urges the availability of</w:t>
      </w:r>
      <w:r w:rsidR="00EC2B67" w:rsidRPr="00C01F26">
        <w:t xml:space="preserve"> less restrictive alternatives to detention exhausts his or her superior court remedies as to that issue, and generally will be entitled to review of that </w:t>
      </w:r>
      <w:r w:rsidR="00EC2B67" w:rsidRPr="00C01F26">
        <w:lastRenderedPageBreak/>
        <w:t xml:space="preserve">issue.  </w:t>
      </w:r>
      <w:r w:rsidR="00C8716E">
        <w:t>And i</w:t>
      </w:r>
      <w:r w:rsidR="00EC2B67" w:rsidRPr="00C01F26">
        <w:t>mplicitly</w:t>
      </w:r>
      <w:r w:rsidR="00EC2B67" w:rsidRPr="00A10F16">
        <w:t xml:space="preserve">, </w:t>
      </w:r>
      <w:r w:rsidR="00952693">
        <w:t xml:space="preserve">such </w:t>
      </w:r>
      <w:r w:rsidR="00EC2B67" w:rsidRPr="00A10F16">
        <w:t>a petitioner</w:t>
      </w:r>
      <w:r w:rsidR="006D7C18" w:rsidRPr="00A10F16">
        <w:t xml:space="preserve"> </w:t>
      </w:r>
      <w:r w:rsidR="00EC2B67" w:rsidRPr="00A10F16">
        <w:t xml:space="preserve">also requests </w:t>
      </w:r>
      <w:r w:rsidR="001A2977">
        <w:t xml:space="preserve">that </w:t>
      </w:r>
      <w:r w:rsidR="00EC2B67" w:rsidRPr="00A10F16">
        <w:t>the court provide an adequate statement of reasons to allow for meaningful judicial review.  (</w:t>
      </w:r>
      <w:r w:rsidR="00EC2B67" w:rsidRPr="00EC2B67">
        <w:rPr>
          <w:i/>
          <w:iCs/>
        </w:rPr>
        <w:t>In re Podesto</w:t>
      </w:r>
      <w:r w:rsidR="00EC2B67" w:rsidRPr="00A10F16">
        <w:t xml:space="preserve">, </w:t>
      </w:r>
      <w:r w:rsidR="00EC2B67" w:rsidRPr="00EC2B67">
        <w:rPr>
          <w:i/>
          <w:iCs/>
        </w:rPr>
        <w:t>supra</w:t>
      </w:r>
      <w:r w:rsidR="00EC2B67" w:rsidRPr="00A10F16">
        <w:t>, 15 Cal.3d at p.</w:t>
      </w:r>
      <w:r w:rsidR="00EC2B67">
        <w:t> </w:t>
      </w:r>
      <w:r w:rsidR="00EC2B67" w:rsidRPr="00A10F16">
        <w:t>937.)</w:t>
      </w:r>
    </w:p>
    <w:p w14:paraId="0845A6D2" w14:textId="55FA2CF1" w:rsidR="000F75FA" w:rsidRPr="00C01F26" w:rsidRDefault="00FC510F" w:rsidP="00853E40">
      <w:pPr>
        <w:spacing w:line="360" w:lineRule="auto"/>
      </w:pPr>
      <w:r>
        <w:tab/>
      </w:r>
      <w:r w:rsidR="002130E8">
        <w:t>But w</w:t>
      </w:r>
      <w:r>
        <w:t xml:space="preserve">e </w:t>
      </w:r>
      <w:r w:rsidR="00B74A04">
        <w:t>do</w:t>
      </w:r>
      <w:r>
        <w:t xml:space="preserve"> not foreclose the possibility </w:t>
      </w:r>
      <w:r w:rsidR="001A2977">
        <w:t>of</w:t>
      </w:r>
      <w:r w:rsidR="000163AD">
        <w:t xml:space="preserve"> a situation </w:t>
      </w:r>
      <w:r w:rsidR="00DB6BC2" w:rsidRPr="00DB6BC2">
        <w:t>where a claim concerning inadequacy of a statement of reasons can be forfeited</w:t>
      </w:r>
      <w:r>
        <w:t xml:space="preserve">.  </w:t>
      </w:r>
      <w:r w:rsidR="00444B6E" w:rsidRPr="008A53B2">
        <w:t>“</w:t>
      </w:r>
      <w:r w:rsidR="004C50F8" w:rsidRPr="008A53B2">
        <w:t> </w:t>
      </w:r>
      <w:r w:rsidR="00444B6E" w:rsidRPr="008A53B2">
        <w:t>‘ “No procedural principle is more familiar to this Court than that a constitutional right,” or a right of any other sort, “may be forfeited in criminal as well as civil cases by the failure to make timely assertion of the right before a tribunal having jurisdiction to determine it.” ’ ”  (</w:t>
      </w:r>
      <w:bookmarkStart w:id="40" w:name="_Hlk85631328"/>
      <w:r w:rsidR="00444B6E" w:rsidRPr="008A53B2">
        <w:rPr>
          <w:i/>
          <w:iCs/>
        </w:rPr>
        <w:t>People v. Saunders</w:t>
      </w:r>
      <w:r w:rsidR="00444B6E" w:rsidRPr="008A53B2">
        <w:t xml:space="preserve"> (1993) 5 Cal.4th 580, 590</w:t>
      </w:r>
      <w:bookmarkEnd w:id="40"/>
      <w:r w:rsidR="00444B6E" w:rsidRPr="00C01F26">
        <w:t>.)</w:t>
      </w:r>
      <w:r w:rsidR="004C50F8" w:rsidRPr="00C01F26">
        <w:t xml:space="preserve">  </w:t>
      </w:r>
      <w:r w:rsidR="00853E40" w:rsidRPr="00C01F26">
        <w:t xml:space="preserve">In </w:t>
      </w:r>
      <w:bookmarkStart w:id="41" w:name="_Hlk85631384"/>
      <w:r w:rsidR="00853E40" w:rsidRPr="00C01F26">
        <w:rPr>
          <w:i/>
          <w:iCs/>
        </w:rPr>
        <w:t>Scott</w:t>
      </w:r>
      <w:bookmarkEnd w:id="41"/>
      <w:r w:rsidR="009162FF" w:rsidRPr="00C01F26">
        <w:t xml:space="preserve">, </w:t>
      </w:r>
      <w:r w:rsidR="009162FF" w:rsidRPr="00C01F26">
        <w:rPr>
          <w:i/>
          <w:iCs/>
        </w:rPr>
        <w:t>supra</w:t>
      </w:r>
      <w:r w:rsidR="009162FF" w:rsidRPr="00C01F26">
        <w:t>,</w:t>
      </w:r>
      <w:r w:rsidR="00853E40" w:rsidRPr="00C01F26">
        <w:t xml:space="preserve"> 9 Cal.4th 331, </w:t>
      </w:r>
      <w:r w:rsidR="006D7C18" w:rsidRPr="00C01F26">
        <w:t xml:space="preserve">for example, </w:t>
      </w:r>
      <w:r w:rsidR="00853E40" w:rsidRPr="00C01F26">
        <w:t xml:space="preserve">the court </w:t>
      </w:r>
      <w:r w:rsidR="00846FBC" w:rsidRPr="00C01F26">
        <w:t>explained that the doctrine of waiver (or forfeiture</w:t>
      </w:r>
      <w:r w:rsidR="00492F0E" w:rsidRPr="00C01F26">
        <w:t xml:space="preserve">, as it is now </w:t>
      </w:r>
      <w:r w:rsidR="0079687F" w:rsidRPr="00C01F26">
        <w:t>commonly referred</w:t>
      </w:r>
      <w:r w:rsidRPr="00C01F26">
        <w:t xml:space="preserve"> to</w:t>
      </w:r>
      <w:r w:rsidR="00846FBC" w:rsidRPr="00C01F26">
        <w:t>) applied “to claims involving the trial court’s failure to properly make or articulate its discretionary sentencing choices.”  (</w:t>
      </w:r>
      <w:r w:rsidR="00846FBC" w:rsidRPr="00C01F26">
        <w:rPr>
          <w:i/>
          <w:iCs/>
        </w:rPr>
        <w:t>Scott</w:t>
      </w:r>
      <w:r w:rsidR="00846FBC" w:rsidRPr="00C01F26">
        <w:t xml:space="preserve">, at p. 353.)  This was </w:t>
      </w:r>
      <w:r w:rsidR="00CF0CCA" w:rsidRPr="00C01F26">
        <w:t>“</w:t>
      </w:r>
      <w:r w:rsidR="00FA06A0" w:rsidRPr="00C01F26">
        <w:t xml:space="preserve">fair and reasonable given </w:t>
      </w:r>
      <w:r w:rsidR="00853E40" w:rsidRPr="00C01F26">
        <w:t>the nature of the sentencing decisions at issue and the procedural backdrop against which they are made</w:t>
      </w:r>
      <w:r w:rsidR="003C29A9" w:rsidRPr="00C01F26">
        <w:t>,</w:t>
      </w:r>
      <w:r w:rsidR="00853E40" w:rsidRPr="00C01F26">
        <w:t>”</w:t>
      </w:r>
      <w:r w:rsidR="003C29A9" w:rsidRPr="00C01F26">
        <w:t xml:space="preserve"> </w:t>
      </w:r>
      <w:r w:rsidR="00AC0A74" w:rsidRPr="00C01F26">
        <w:t>such as</w:t>
      </w:r>
      <w:r w:rsidR="003C29A9" w:rsidRPr="00C01F26">
        <w:t xml:space="preserve"> that</w:t>
      </w:r>
      <w:r w:rsidR="00853E40" w:rsidRPr="00C01F26">
        <w:t xml:space="preserve"> “</w:t>
      </w:r>
      <w:r w:rsidR="003C29A9" w:rsidRPr="00C01F26">
        <w:t>[t]</w:t>
      </w:r>
      <w:r w:rsidR="00853E40" w:rsidRPr="00C01F26">
        <w:t>he parties have ample opportunity to influence the court’s sentencing choices</w:t>
      </w:r>
      <w:r w:rsidR="00AC0A74" w:rsidRPr="00C01F26">
        <w:t>”</w:t>
      </w:r>
      <w:r w:rsidR="00853E40" w:rsidRPr="00C01F26">
        <w:t xml:space="preserve"> </w:t>
      </w:r>
      <w:r w:rsidR="00AC0A74" w:rsidRPr="00C01F26">
        <w:t>insofar as</w:t>
      </w:r>
      <w:r w:rsidR="00853E40" w:rsidRPr="00C01F26">
        <w:t xml:space="preserve"> </w:t>
      </w:r>
      <w:r w:rsidR="00AC0A74" w:rsidRPr="00C01F26">
        <w:t>“</w:t>
      </w:r>
      <w:r w:rsidR="003C0075" w:rsidRPr="00C01F26">
        <w:t>[</w:t>
      </w:r>
      <w:r w:rsidR="00AC0A74" w:rsidRPr="00C01F26">
        <w:t>b</w:t>
      </w:r>
      <w:r w:rsidR="003C0075" w:rsidRPr="00C01F26">
        <w:t>]</w:t>
      </w:r>
      <w:r w:rsidR="00853E40" w:rsidRPr="00C01F26">
        <w:t>oth sides often know before the hearing what sentence is likely to be imposed and the reasons therefor.  Such information is contained in the probation report, which is required in every felony case and generally provided to the court and parties before sentencing.”  (</w:t>
      </w:r>
      <w:r w:rsidR="00622CB1" w:rsidRPr="00C01F26">
        <w:rPr>
          <w:i/>
          <w:iCs/>
        </w:rPr>
        <w:t>Id.</w:t>
      </w:r>
      <w:r w:rsidR="00853E40" w:rsidRPr="00C01F26">
        <w:t xml:space="preserve"> at pp. 3</w:t>
      </w:r>
      <w:r w:rsidR="003C29A9" w:rsidRPr="00C01F26">
        <w:t>48</w:t>
      </w:r>
      <w:r w:rsidR="00853E40" w:rsidRPr="00C01F26">
        <w:t>–351.)</w:t>
      </w:r>
    </w:p>
    <w:p w14:paraId="7F2D7EAB" w14:textId="2AF92E09" w:rsidR="008756C3" w:rsidRPr="00C01F26" w:rsidRDefault="00FC510F" w:rsidP="00853E40">
      <w:pPr>
        <w:spacing w:line="360" w:lineRule="auto"/>
      </w:pPr>
      <w:r w:rsidRPr="00C01F26">
        <w:tab/>
      </w:r>
      <w:r w:rsidR="00144824" w:rsidRPr="00C01F26">
        <w:t xml:space="preserve">If the doctrine of forfeiture can apply </w:t>
      </w:r>
      <w:r w:rsidR="007B761D" w:rsidRPr="00C01F26">
        <w:t xml:space="preserve">to a court’s failure to properly articulate its discretionary sentencing decisions, </w:t>
      </w:r>
      <w:r w:rsidR="00144824" w:rsidRPr="00C01F26">
        <w:t xml:space="preserve">a fortiori it </w:t>
      </w:r>
      <w:r w:rsidR="000548C8" w:rsidRPr="00C01F26">
        <w:t>can</w:t>
      </w:r>
      <w:r w:rsidR="00144824" w:rsidRPr="00C01F26">
        <w:t xml:space="preserve"> apply to decisions to deny bail.  </w:t>
      </w:r>
      <w:r w:rsidR="00B74A04" w:rsidRPr="00C01F26">
        <w:t>Of course</w:t>
      </w:r>
      <w:r w:rsidRPr="00C01F26">
        <w:t xml:space="preserve">, </w:t>
      </w:r>
      <w:r w:rsidR="00B62216" w:rsidRPr="00C01F26">
        <w:t>d</w:t>
      </w:r>
      <w:r w:rsidR="0082501B" w:rsidRPr="00C01F26">
        <w:t>epending on the timing of the</w:t>
      </w:r>
      <w:r w:rsidR="00FD1BC4" w:rsidRPr="00C01F26">
        <w:t xml:space="preserve"> bail</w:t>
      </w:r>
      <w:r w:rsidR="0082501B" w:rsidRPr="00C01F26">
        <w:t xml:space="preserve"> hearing, a</w:t>
      </w:r>
      <w:r w:rsidR="00853E40" w:rsidRPr="00C01F26">
        <w:t xml:space="preserve"> </w:t>
      </w:r>
      <w:r w:rsidR="003B6D7A" w:rsidRPr="00C01F26">
        <w:t>defendant</w:t>
      </w:r>
      <w:r w:rsidR="00853E40" w:rsidRPr="00C01F26">
        <w:t xml:space="preserve"> </w:t>
      </w:r>
      <w:r w:rsidR="002D5196" w:rsidRPr="00C01F26">
        <w:t>may</w:t>
      </w:r>
      <w:r w:rsidR="00A21005" w:rsidRPr="00C01F26">
        <w:t xml:space="preserve"> not have any</w:t>
      </w:r>
      <w:r w:rsidR="00487E1A" w:rsidRPr="00C01F26">
        <w:t xml:space="preserve"> </w:t>
      </w:r>
      <w:r w:rsidR="00A21005" w:rsidRPr="00C01F26">
        <w:t>idea what</w:t>
      </w:r>
      <w:r w:rsidR="00487E1A" w:rsidRPr="00C01F26">
        <w:t xml:space="preserve"> to expect in terms of</w:t>
      </w:r>
      <w:r w:rsidR="00A21005" w:rsidRPr="00C01F26">
        <w:t xml:space="preserve"> the court’s decision </w:t>
      </w:r>
      <w:r w:rsidR="00487E1A" w:rsidRPr="00C01F26">
        <w:t>and what might</w:t>
      </w:r>
      <w:r w:rsidR="00FD1BC4" w:rsidRPr="00C01F26">
        <w:t xml:space="preserve"> support</w:t>
      </w:r>
      <w:r w:rsidR="00A21005" w:rsidRPr="00C01F26">
        <w:t xml:space="preserve"> it.</w:t>
      </w:r>
      <w:r w:rsidR="00D04FAF" w:rsidRPr="00C01F26">
        <w:t xml:space="preserve">  </w:t>
      </w:r>
      <w:r w:rsidR="00A21005" w:rsidRPr="00C01F26">
        <w:t xml:space="preserve">Thus, in </w:t>
      </w:r>
      <w:r w:rsidR="00BC20E0" w:rsidRPr="00C01F26">
        <w:t>many</w:t>
      </w:r>
      <w:r w:rsidR="00A21005" w:rsidRPr="00C01F26">
        <w:t xml:space="preserve"> cases, </w:t>
      </w:r>
      <w:r w:rsidR="00487E1A" w:rsidRPr="00C01F26">
        <w:t xml:space="preserve">it </w:t>
      </w:r>
      <w:r w:rsidR="000163AD" w:rsidRPr="00C01F26">
        <w:t>may</w:t>
      </w:r>
      <w:r w:rsidR="00487E1A" w:rsidRPr="00C01F26">
        <w:t xml:space="preserve"> not be </w:t>
      </w:r>
      <w:r w:rsidR="009107CC" w:rsidRPr="00C01F26">
        <w:t>“</w:t>
      </w:r>
      <w:r w:rsidR="00487E1A" w:rsidRPr="00C01F26">
        <w:t>fair or reasonable</w:t>
      </w:r>
      <w:r w:rsidR="009107CC" w:rsidRPr="00C01F26">
        <w:t>”</w:t>
      </w:r>
      <w:r w:rsidR="00487E1A" w:rsidRPr="00C01F26">
        <w:t xml:space="preserve"> to apply </w:t>
      </w:r>
      <w:r w:rsidR="00FD1BC4" w:rsidRPr="00C01F26">
        <w:t>the doctrine of forfeiture</w:t>
      </w:r>
      <w:r w:rsidRPr="00C01F26">
        <w:t>.</w:t>
      </w:r>
    </w:p>
    <w:p w14:paraId="7FE5D950" w14:textId="6E768CD6" w:rsidR="00D04FAF" w:rsidRPr="00C01F26" w:rsidRDefault="00FC510F" w:rsidP="00853E40">
      <w:pPr>
        <w:spacing w:line="360" w:lineRule="auto"/>
      </w:pPr>
      <w:r w:rsidRPr="00C01F26">
        <w:lastRenderedPageBreak/>
        <w:tab/>
      </w:r>
      <w:r w:rsidR="00E50BDB" w:rsidRPr="00C01F26">
        <w:t>In this case</w:t>
      </w:r>
      <w:r w:rsidR="0083769B" w:rsidRPr="00C01F26">
        <w:t xml:space="preserve">, </w:t>
      </w:r>
      <w:r w:rsidR="00476AF3" w:rsidRPr="00C01F26">
        <w:t xml:space="preserve">the bail hearing </w:t>
      </w:r>
      <w:r w:rsidR="00E50BDB" w:rsidRPr="00C01F26">
        <w:t xml:space="preserve">took place </w:t>
      </w:r>
      <w:r w:rsidR="00476AF3" w:rsidRPr="00C01F26">
        <w:t xml:space="preserve">before the preliminary examination, and </w:t>
      </w:r>
      <w:r w:rsidR="0083769B" w:rsidRPr="00C01F26">
        <w:t>nothing in the record indicates the parties were “clearly apprised</w:t>
      </w:r>
      <w:r w:rsidR="00182E9C" w:rsidRPr="00C01F26">
        <w:t>”</w:t>
      </w:r>
      <w:r w:rsidR="0083769B" w:rsidRPr="00C01F26">
        <w:t xml:space="preserve"> of </w:t>
      </w:r>
      <w:r w:rsidR="000218B8" w:rsidRPr="00C01F26">
        <w:t>what the</w:t>
      </w:r>
      <w:r w:rsidR="00182E9C" w:rsidRPr="00C01F26">
        <w:t xml:space="preserve"> bail decision </w:t>
      </w:r>
      <w:r w:rsidR="00D52531" w:rsidRPr="00C01F26">
        <w:t xml:space="preserve">would be </w:t>
      </w:r>
      <w:r w:rsidR="00182E9C" w:rsidRPr="00C01F26">
        <w:t xml:space="preserve">and the reasons for </w:t>
      </w:r>
      <w:r w:rsidR="00D52531" w:rsidRPr="00C01F26">
        <w:t>it</w:t>
      </w:r>
      <w:r w:rsidR="00182E9C" w:rsidRPr="00C01F26">
        <w:t xml:space="preserve"> in advance of the hearing.  Indeed, </w:t>
      </w:r>
      <w:r w:rsidR="000218B8" w:rsidRPr="00C01F26">
        <w:t xml:space="preserve">the pretrial services </w:t>
      </w:r>
      <w:r w:rsidR="00BC31E4">
        <w:t xml:space="preserve">court </w:t>
      </w:r>
      <w:r w:rsidR="000218B8" w:rsidRPr="00C01F26">
        <w:t xml:space="preserve">report recommended release on various conditions, and </w:t>
      </w:r>
      <w:r w:rsidR="00182E9C" w:rsidRPr="00C01F26">
        <w:t xml:space="preserve">even the prosecutor asked for no-bail </w:t>
      </w:r>
      <w:r w:rsidR="00182E9C" w:rsidRPr="00C01F26">
        <w:rPr>
          <w:i/>
          <w:iCs/>
        </w:rPr>
        <w:t>as an alternative</w:t>
      </w:r>
      <w:r w:rsidR="00182E9C" w:rsidRPr="00C01F26">
        <w:t xml:space="preserve"> to the imposition of a $5 million bail condition. </w:t>
      </w:r>
      <w:r w:rsidR="00476AF3" w:rsidRPr="00C01F26">
        <w:t xml:space="preserve"> Under these circumstances, we </w:t>
      </w:r>
      <w:r w:rsidR="00A6635D" w:rsidRPr="00C01F26">
        <w:t xml:space="preserve">decline to deem </w:t>
      </w:r>
      <w:r w:rsidR="008C6411" w:rsidRPr="00C01F26">
        <w:t>petitioner’s</w:t>
      </w:r>
      <w:r w:rsidR="002D5196" w:rsidRPr="00C01F26">
        <w:t xml:space="preserve"> claim about the </w:t>
      </w:r>
      <w:r w:rsidR="008C6411" w:rsidRPr="00C01F26">
        <w:t>inadequacy</w:t>
      </w:r>
      <w:r w:rsidR="002D5196" w:rsidRPr="00C01F26">
        <w:t xml:space="preserve"> of the statement of reasons </w:t>
      </w:r>
      <w:r w:rsidR="00A6635D" w:rsidRPr="00C01F26">
        <w:t>forfeited</w:t>
      </w:r>
      <w:r w:rsidR="002D5196" w:rsidRPr="00C01F26">
        <w:t>.</w:t>
      </w:r>
    </w:p>
    <w:bookmarkEnd w:id="38"/>
    <w:p w14:paraId="3434D42F" w14:textId="4C1A563F" w:rsidR="000548C8" w:rsidRPr="00C01F26" w:rsidRDefault="00FC510F" w:rsidP="00920930">
      <w:pPr>
        <w:keepNext/>
        <w:spacing w:line="360" w:lineRule="auto"/>
        <w:rPr>
          <w:i/>
          <w:iCs/>
        </w:rPr>
      </w:pPr>
      <w:r w:rsidRPr="00C01F26">
        <w:tab/>
      </w:r>
      <w:r w:rsidRPr="00C01F26">
        <w:rPr>
          <w:i/>
          <w:iCs/>
        </w:rPr>
        <w:tab/>
      </w:r>
      <w:r w:rsidRPr="00C01F26">
        <w:rPr>
          <w:i/>
          <w:iCs/>
        </w:rPr>
        <w:tab/>
        <w:t>(b)  Reasons in the Minutes</w:t>
      </w:r>
    </w:p>
    <w:p w14:paraId="13FC90D8" w14:textId="0044E7A0" w:rsidR="006A6D59" w:rsidRPr="00C01F26" w:rsidRDefault="00FC510F" w:rsidP="002039DD">
      <w:pPr>
        <w:spacing w:line="360" w:lineRule="auto"/>
      </w:pPr>
      <w:r w:rsidRPr="00C01F26">
        <w:tab/>
      </w:r>
      <w:r w:rsidR="000548C8" w:rsidRPr="00C01F26">
        <w:t>The s</w:t>
      </w:r>
      <w:r w:rsidR="00840C2E" w:rsidRPr="00C01F26">
        <w:t>econd</w:t>
      </w:r>
      <w:r w:rsidR="000548C8" w:rsidRPr="00C01F26">
        <w:t xml:space="preserve"> subsidiary issue we address </w:t>
      </w:r>
      <w:r w:rsidR="002039DD" w:rsidRPr="00C01F26">
        <w:t>is</w:t>
      </w:r>
      <w:r w:rsidR="003D7BB2" w:rsidRPr="00C01F26">
        <w:t xml:space="preserve"> petitioner’s argument that the trial court failed to comply with </w:t>
      </w:r>
      <w:r w:rsidR="003D7BB2" w:rsidRPr="00C01F26">
        <w:rPr>
          <w:i/>
          <w:iCs/>
        </w:rPr>
        <w:t>Humphrey’s</w:t>
      </w:r>
      <w:r w:rsidR="003D7BB2" w:rsidRPr="00C01F26">
        <w:t xml:space="preserve"> mandate that courts include the reasons for denying bail in the minutes. </w:t>
      </w:r>
      <w:r w:rsidR="000E06DB" w:rsidRPr="00C01F26">
        <w:t xml:space="preserve"> As </w:t>
      </w:r>
      <w:r w:rsidR="00800E1E" w:rsidRPr="00C01F26">
        <w:t xml:space="preserve">stated, </w:t>
      </w:r>
      <w:r w:rsidR="00800E1E" w:rsidRPr="00C01F26">
        <w:rPr>
          <w:i/>
          <w:iCs/>
        </w:rPr>
        <w:t>Humphrey</w:t>
      </w:r>
      <w:r w:rsidR="00800E1E" w:rsidRPr="00C01F26">
        <w:t xml:space="preserve"> requires, as a matter of procedural due process, that courts entering an order resulting in pretrial detention </w:t>
      </w:r>
      <w:r w:rsidR="00E50BDB" w:rsidRPr="00C01F26">
        <w:t xml:space="preserve">“set forth the reasons for its decision on the record and </w:t>
      </w:r>
      <w:r w:rsidR="003C7AC4">
        <w:t>. . .</w:t>
      </w:r>
      <w:r w:rsidR="003C7AC4" w:rsidRPr="00C01F26">
        <w:t xml:space="preserve"> </w:t>
      </w:r>
      <w:r w:rsidR="00E50BDB" w:rsidRPr="00C01F26">
        <w:rPr>
          <w:i/>
          <w:iCs/>
        </w:rPr>
        <w:t>include them in the court</w:t>
      </w:r>
      <w:r w:rsidR="00766068">
        <w:rPr>
          <w:i/>
          <w:iCs/>
        </w:rPr>
        <w:t>’</w:t>
      </w:r>
      <w:r w:rsidR="00E50BDB" w:rsidRPr="00C01F26">
        <w:rPr>
          <w:i/>
          <w:iCs/>
        </w:rPr>
        <w:t>s minutes</w:t>
      </w:r>
      <w:r w:rsidR="00E50BDB" w:rsidRPr="00C01F26">
        <w:t xml:space="preserve">.”  </w:t>
      </w:r>
      <w:r w:rsidR="00800E1E" w:rsidRPr="00C01F26">
        <w:t>(</w:t>
      </w:r>
      <w:r w:rsidR="00800E1E" w:rsidRPr="00C01F26">
        <w:rPr>
          <w:i/>
          <w:iCs/>
        </w:rPr>
        <w:t>Humphrey</w:t>
      </w:r>
      <w:r w:rsidR="00800E1E" w:rsidRPr="00C01F26">
        <w:t xml:space="preserve">, </w:t>
      </w:r>
      <w:r w:rsidR="00800E1E" w:rsidRPr="00C01F26">
        <w:rPr>
          <w:i/>
          <w:iCs/>
        </w:rPr>
        <w:t>supra</w:t>
      </w:r>
      <w:r w:rsidR="00800E1E" w:rsidRPr="00C01F26">
        <w:t>, 11 Cal.5th at p.</w:t>
      </w:r>
      <w:r w:rsidR="00CD36DF" w:rsidRPr="00C01F26">
        <w:t> </w:t>
      </w:r>
      <w:r w:rsidR="00800E1E" w:rsidRPr="00C01F26">
        <w:t>155</w:t>
      </w:r>
      <w:r w:rsidR="0064676D">
        <w:t>, italics added</w:t>
      </w:r>
      <w:r w:rsidR="00800E1E" w:rsidRPr="00C01F26">
        <w:t>.)</w:t>
      </w:r>
    </w:p>
    <w:p w14:paraId="28D368DA" w14:textId="551DB64D" w:rsidR="00B450DD" w:rsidRDefault="00FC510F" w:rsidP="009B5B6C">
      <w:pPr>
        <w:spacing w:line="360" w:lineRule="auto"/>
      </w:pPr>
      <w:r w:rsidRPr="00C01F26">
        <w:tab/>
      </w:r>
      <w:r w:rsidR="0086474A" w:rsidRPr="00C01F26">
        <w:t>N</w:t>
      </w:r>
      <w:r w:rsidR="00E6313C" w:rsidRPr="00C01F26">
        <w:t>othing in the record indicates this issue was ever brought to the trial court’s attention</w:t>
      </w:r>
      <w:r w:rsidR="00CB1838" w:rsidRPr="00C01F26">
        <w:t xml:space="preserve">, though as the Attorney General </w:t>
      </w:r>
      <w:r w:rsidR="003C7AC4">
        <w:t>notes</w:t>
      </w:r>
      <w:r w:rsidR="003C7AC4" w:rsidRPr="00C01F26">
        <w:t xml:space="preserve"> </w:t>
      </w:r>
      <w:r w:rsidR="00CB1838" w:rsidRPr="00C01F26">
        <w:t xml:space="preserve">in his amicus brief, </w:t>
      </w:r>
      <w:r w:rsidR="00DB4A61">
        <w:rPr>
          <w:i/>
          <w:iCs/>
        </w:rPr>
        <w:t xml:space="preserve">People v. </w:t>
      </w:r>
      <w:r w:rsidR="00CB1838" w:rsidRPr="00C01F26">
        <w:rPr>
          <w:i/>
          <w:iCs/>
        </w:rPr>
        <w:t>Bonnetta</w:t>
      </w:r>
      <w:r w:rsidR="00DB4A61">
        <w:t xml:space="preserve"> (2009)</w:t>
      </w:r>
      <w:r w:rsidR="00CB1838" w:rsidRPr="00C01F26">
        <w:t xml:space="preserve"> 46 Cal.4th 143 </w:t>
      </w:r>
      <w:r w:rsidR="0064676D">
        <w:t>suggests</w:t>
      </w:r>
      <w:r w:rsidR="001A2977">
        <w:t xml:space="preserve"> </w:t>
      </w:r>
      <w:r w:rsidR="002B0DFC" w:rsidRPr="00C01F26">
        <w:t xml:space="preserve">the </w:t>
      </w:r>
      <w:r w:rsidR="00A27FE0">
        <w:t xml:space="preserve">failure to object should not result in </w:t>
      </w:r>
      <w:r w:rsidR="001A2977">
        <w:t xml:space="preserve">forfeiture </w:t>
      </w:r>
      <w:r w:rsidR="0064676D">
        <w:t xml:space="preserve">in this context </w:t>
      </w:r>
      <w:r w:rsidR="002B0DFC" w:rsidRPr="00C01F26">
        <w:t>because a minute order is entered only after the hearing and error</w:t>
      </w:r>
      <w:r w:rsidR="0064676D">
        <w:t>s</w:t>
      </w:r>
      <w:r w:rsidR="002B0DFC" w:rsidRPr="00C01F26">
        <w:t xml:space="preserve"> in the minutes </w:t>
      </w:r>
      <w:r w:rsidR="0064676D">
        <w:t>are not ones</w:t>
      </w:r>
      <w:r w:rsidR="00CC5948" w:rsidRPr="00C01F26">
        <w:t xml:space="preserve"> the parties can easily detect or ensure</w:t>
      </w:r>
      <w:r w:rsidR="002B0DFC" w:rsidRPr="00C01F26">
        <w:t xml:space="preserve"> </w:t>
      </w:r>
      <w:r w:rsidR="002B6C8B">
        <w:t xml:space="preserve">are </w:t>
      </w:r>
      <w:r w:rsidR="00CC5948" w:rsidRPr="00C01F26">
        <w:t>avoided</w:t>
      </w:r>
      <w:r w:rsidR="00E6313C" w:rsidRPr="00C01F26">
        <w:t>.</w:t>
      </w:r>
      <w:r w:rsidR="00CC5948" w:rsidRPr="00C01F26">
        <w:t xml:space="preserve">  (</w:t>
      </w:r>
      <w:r w:rsidR="00CC5948" w:rsidRPr="00C01F26">
        <w:rPr>
          <w:i/>
          <w:iCs/>
        </w:rPr>
        <w:t>Bonnetta</w:t>
      </w:r>
      <w:r w:rsidR="00CC5948" w:rsidRPr="00C01F26">
        <w:t>, at p. 152</w:t>
      </w:r>
      <w:r w:rsidR="00AA410F">
        <w:t xml:space="preserve"> [addressing </w:t>
      </w:r>
      <w:r w:rsidR="00113C62">
        <w:t xml:space="preserve">failure to comply with statutory </w:t>
      </w:r>
      <w:r w:rsidR="00113C62" w:rsidRPr="00C01F26">
        <w:t xml:space="preserve">requirement </w:t>
      </w:r>
      <w:r w:rsidR="00113C62">
        <w:t>for inclusion of a</w:t>
      </w:r>
      <w:r w:rsidR="00113C62" w:rsidRPr="00C01F26">
        <w:t xml:space="preserve"> statement of reasons </w:t>
      </w:r>
      <w:r w:rsidR="00113C62">
        <w:t>in court minutes in context of discretionary dismissals under section 1385</w:t>
      </w:r>
      <w:r w:rsidR="00AA410F">
        <w:t>]</w:t>
      </w:r>
      <w:r w:rsidR="00113C62">
        <w:t>.</w:t>
      </w:r>
      <w:r w:rsidR="00CC5948" w:rsidRPr="00C01F26">
        <w:t>)</w:t>
      </w:r>
      <w:r w:rsidR="00B83387" w:rsidRPr="00C01F26">
        <w:t xml:space="preserve">  </w:t>
      </w:r>
      <w:r w:rsidR="0064676D">
        <w:t>In any case, w</w:t>
      </w:r>
      <w:r w:rsidR="00D967C6" w:rsidRPr="00C01F26">
        <w:t xml:space="preserve">e </w:t>
      </w:r>
      <w:r w:rsidR="001A7061">
        <w:t xml:space="preserve">need </w:t>
      </w:r>
      <w:r w:rsidR="00D967C6" w:rsidRPr="00C01F26">
        <w:t xml:space="preserve">not decide </w:t>
      </w:r>
      <w:r w:rsidR="0064676D">
        <w:t>applicability of</w:t>
      </w:r>
      <w:r w:rsidR="00D967C6" w:rsidRPr="00C01F26">
        <w:t xml:space="preserve"> </w:t>
      </w:r>
      <w:r w:rsidR="00F03208" w:rsidRPr="00C01F26">
        <w:t xml:space="preserve">the </w:t>
      </w:r>
      <w:r w:rsidR="0064676D">
        <w:t xml:space="preserve">forfeiture </w:t>
      </w:r>
      <w:r w:rsidR="00F03208" w:rsidRPr="00C01F26">
        <w:t xml:space="preserve">doctrine </w:t>
      </w:r>
      <w:r w:rsidR="0064676D">
        <w:t>here</w:t>
      </w:r>
      <w:r w:rsidR="009B5B6C" w:rsidRPr="00C01F26">
        <w:t xml:space="preserve"> </w:t>
      </w:r>
      <w:r w:rsidR="0050194C">
        <w:t xml:space="preserve">or whether the issue should be considered “exhausted” </w:t>
      </w:r>
      <w:r w:rsidR="00B83387" w:rsidRPr="00C01F26">
        <w:t>b</w:t>
      </w:r>
      <w:r w:rsidRPr="00C01F26">
        <w:t xml:space="preserve">ecause </w:t>
      </w:r>
      <w:r w:rsidR="0064676D">
        <w:t xml:space="preserve">a </w:t>
      </w:r>
      <w:r w:rsidR="00666571" w:rsidRPr="00C01F26">
        <w:t xml:space="preserve">remand is necessary to allow the trial court to </w:t>
      </w:r>
      <w:r w:rsidR="009B5B6C" w:rsidRPr="00C01F26">
        <w:t>s</w:t>
      </w:r>
      <w:r w:rsidR="00F00F58">
        <w:t>tate the</w:t>
      </w:r>
      <w:r w:rsidR="009B5B6C" w:rsidRPr="00C01F26">
        <w:t xml:space="preserve"> reasons why nonfinancial </w:t>
      </w:r>
      <w:r w:rsidR="00F00F58">
        <w:t xml:space="preserve">or </w:t>
      </w:r>
      <w:r w:rsidR="00563F9F">
        <w:lastRenderedPageBreak/>
        <w:t xml:space="preserve">other </w:t>
      </w:r>
      <w:r w:rsidR="00F00F58">
        <w:t>less restrictive alternatives to detention</w:t>
      </w:r>
      <w:r w:rsidR="009B5B6C" w:rsidRPr="00C01F26">
        <w:t xml:space="preserve"> could not reasonably</w:t>
      </w:r>
      <w:r w:rsidR="009B5B6C" w:rsidRPr="009B5B6C">
        <w:t xml:space="preserve"> protect the interests in public or victim safety</w:t>
      </w:r>
      <w:r w:rsidR="009B5B6C">
        <w:t>.  W</w:t>
      </w:r>
      <w:r w:rsidR="00235C7E">
        <w:t xml:space="preserve">e will </w:t>
      </w:r>
      <w:r w:rsidR="00B83387">
        <w:t xml:space="preserve">simply </w:t>
      </w:r>
      <w:r w:rsidR="001A7061">
        <w:t>direct trial court</w:t>
      </w:r>
      <w:r w:rsidR="00235C7E">
        <w:t xml:space="preserve"> correction of this error as well.</w:t>
      </w:r>
    </w:p>
    <w:p w14:paraId="669B43A7" w14:textId="60E43B1C" w:rsidR="00EC24C6" w:rsidRPr="00D83128" w:rsidRDefault="00FC510F" w:rsidP="00920930">
      <w:pPr>
        <w:keepNext/>
        <w:spacing w:line="360" w:lineRule="auto"/>
        <w:rPr>
          <w:i/>
          <w:iCs/>
        </w:rPr>
      </w:pPr>
      <w:r w:rsidRPr="00D83128">
        <w:rPr>
          <w:i/>
          <w:iCs/>
        </w:rPr>
        <w:tab/>
      </w:r>
      <w:r w:rsidRPr="00D83128">
        <w:rPr>
          <w:i/>
          <w:iCs/>
        </w:rPr>
        <w:tab/>
      </w:r>
      <w:r w:rsidR="009A34F9">
        <w:rPr>
          <w:i/>
          <w:iCs/>
        </w:rPr>
        <w:t>4</w:t>
      </w:r>
      <w:r w:rsidRPr="00D83128">
        <w:rPr>
          <w:i/>
          <w:iCs/>
        </w:rPr>
        <w:t xml:space="preserve">.  </w:t>
      </w:r>
      <w:r w:rsidR="008218C4" w:rsidRPr="00D83128">
        <w:rPr>
          <w:i/>
          <w:iCs/>
        </w:rPr>
        <w:t>Attorney Fees and Costs</w:t>
      </w:r>
    </w:p>
    <w:p w14:paraId="7C232CEB" w14:textId="6DC53F63" w:rsidR="00B803B2" w:rsidRDefault="00FC510F" w:rsidP="00C27B80">
      <w:pPr>
        <w:spacing w:line="360" w:lineRule="auto"/>
      </w:pPr>
      <w:r>
        <w:tab/>
      </w:r>
      <w:r w:rsidR="0026509E">
        <w:t>Finally, w</w:t>
      </w:r>
      <w:r w:rsidRPr="00BB4395">
        <w:t xml:space="preserve">e decline </w:t>
      </w:r>
      <w:r>
        <w:t>petitioner’s</w:t>
      </w:r>
      <w:r w:rsidRPr="00BB4395">
        <w:t xml:space="preserve"> request</w:t>
      </w:r>
      <w:r>
        <w:t xml:space="preserve"> for </w:t>
      </w:r>
      <w:r w:rsidRPr="00BB4395">
        <w:t>at</w:t>
      </w:r>
      <w:r w:rsidRPr="00BB4395">
        <w:t>torney fees</w:t>
      </w:r>
      <w:r w:rsidR="00DF3C40">
        <w:t xml:space="preserve"> and costs</w:t>
      </w:r>
      <w:r>
        <w:t xml:space="preserve"> pursuant to </w:t>
      </w:r>
      <w:r w:rsidRPr="00BB4395">
        <w:t>Code of Civil Procedure section</w:t>
      </w:r>
      <w:r w:rsidR="00FC1028">
        <w:t> </w:t>
      </w:r>
      <w:r w:rsidRPr="00BB4395">
        <w:t>1021.5</w:t>
      </w:r>
      <w:r>
        <w:t>.  (</w:t>
      </w:r>
      <w:bookmarkStart w:id="42" w:name="_Hlk85631414"/>
      <w:r w:rsidRPr="0026509E">
        <w:rPr>
          <w:i/>
          <w:iCs/>
        </w:rPr>
        <w:t>In re Head</w:t>
      </w:r>
      <w:r w:rsidRPr="00BB4395">
        <w:t xml:space="preserve"> (1986) 42 Cal.3d 223, 228</w:t>
      </w:r>
      <w:r w:rsidR="00AD4C2D">
        <w:t xml:space="preserve"> </w:t>
      </w:r>
      <w:bookmarkEnd w:id="42"/>
      <w:r w:rsidR="00AD4C2D">
        <w:t>[“</w:t>
      </w:r>
      <w:r w:rsidR="00AD4C2D" w:rsidRPr="00AD4C2D">
        <w:t>A decision which has as its primary effect the vindication of the litigant</w:t>
      </w:r>
      <w:r w:rsidR="00AD4C2D">
        <w:t>’</w:t>
      </w:r>
      <w:r w:rsidR="00AD4C2D" w:rsidRPr="00AD4C2D">
        <w:t>s personal rights is not one which brings into play the attorney fees provisions of section</w:t>
      </w:r>
      <w:r w:rsidR="00FC1028">
        <w:t> </w:t>
      </w:r>
      <w:r w:rsidR="00AD4C2D" w:rsidRPr="00AD4C2D">
        <w:t>1021.5.</w:t>
      </w:r>
      <w:r w:rsidR="00AD4C2D">
        <w:t>”]</w:t>
      </w:r>
      <w:r w:rsidRPr="00BB4395">
        <w:t>.</w:t>
      </w:r>
      <w:r>
        <w:t>)</w:t>
      </w:r>
    </w:p>
    <w:p w14:paraId="3D99E636" w14:textId="6E8CAE40" w:rsidR="00D75785" w:rsidRPr="008A4126" w:rsidRDefault="00FC510F" w:rsidP="008D5EF5">
      <w:pPr>
        <w:keepNext/>
        <w:spacing w:line="360" w:lineRule="auto"/>
        <w:jc w:val="center"/>
        <w:rPr>
          <w:b/>
          <w:bCs/>
          <w:smallCaps/>
        </w:rPr>
      </w:pPr>
      <w:r w:rsidRPr="008A4126">
        <w:rPr>
          <w:b/>
          <w:bCs/>
          <w:smallCaps/>
        </w:rPr>
        <w:t>Disposition</w:t>
      </w:r>
    </w:p>
    <w:p w14:paraId="619428D8" w14:textId="339604D6" w:rsidR="009F73A4" w:rsidRDefault="00FC510F" w:rsidP="008C2014">
      <w:pPr>
        <w:spacing w:line="360" w:lineRule="auto"/>
      </w:pPr>
      <w:r>
        <w:tab/>
      </w:r>
      <w:r w:rsidR="00CC2801">
        <w:t xml:space="preserve">The order denying bail is </w:t>
      </w:r>
      <w:r w:rsidR="00763D6D">
        <w:t xml:space="preserve">conditionally </w:t>
      </w:r>
      <w:r w:rsidR="00031B41">
        <w:t>vacated</w:t>
      </w:r>
      <w:r w:rsidR="00E43CFE">
        <w:t xml:space="preserve">.  </w:t>
      </w:r>
      <w:r w:rsidR="00FF5939">
        <w:t>W</w:t>
      </w:r>
      <w:r w:rsidR="00CC2801">
        <w:t xml:space="preserve">e remand the matter </w:t>
      </w:r>
      <w:r w:rsidR="006A158E">
        <w:t>for further</w:t>
      </w:r>
      <w:r w:rsidR="00CE6FB4">
        <w:t xml:space="preserve"> </w:t>
      </w:r>
      <w:r w:rsidR="00763D6D">
        <w:t xml:space="preserve">findings </w:t>
      </w:r>
      <w:r w:rsidR="00D010F0">
        <w:t xml:space="preserve">as to </w:t>
      </w:r>
      <w:r w:rsidR="00A01F10" w:rsidRPr="00D83128">
        <w:t>whether</w:t>
      </w:r>
      <w:r w:rsidR="00A01F10">
        <w:rPr>
          <w:i/>
          <w:iCs/>
        </w:rPr>
        <w:t xml:space="preserve"> </w:t>
      </w:r>
      <w:r w:rsidR="00A01F10" w:rsidRPr="00226D1B">
        <w:t>clear and convincing evidence</w:t>
      </w:r>
      <w:r w:rsidR="00A01F10">
        <w:t xml:space="preserve"> </w:t>
      </w:r>
      <w:r w:rsidR="00D010F0">
        <w:t xml:space="preserve">would </w:t>
      </w:r>
      <w:r w:rsidR="00A01F10">
        <w:t>support</w:t>
      </w:r>
      <w:r w:rsidR="00D010F0">
        <w:t xml:space="preserve"> a conclusion</w:t>
      </w:r>
      <w:r w:rsidR="00A01F10" w:rsidRPr="00226D1B">
        <w:t xml:space="preserve"> that no </w:t>
      </w:r>
      <w:r w:rsidR="00E75834">
        <w:t xml:space="preserve">less restrictive </w:t>
      </w:r>
      <w:r w:rsidR="00563F9F">
        <w:t>alternatives to detention</w:t>
      </w:r>
      <w:r w:rsidR="00A01F10" w:rsidRPr="00226D1B">
        <w:t xml:space="preserve"> </w:t>
      </w:r>
      <w:r w:rsidR="00A01F10">
        <w:t>could</w:t>
      </w:r>
      <w:r w:rsidR="00A01F10" w:rsidRPr="00226D1B">
        <w:t xml:space="preserve"> reasonably protect the</w:t>
      </w:r>
      <w:r w:rsidR="00581DB5">
        <w:t xml:space="preserve"> government’s</w:t>
      </w:r>
      <w:r w:rsidR="00A01F10" w:rsidRPr="00226D1B">
        <w:t xml:space="preserve"> interests in </w:t>
      </w:r>
      <w:r w:rsidR="00581DB5">
        <w:t>pretrial detention</w:t>
      </w:r>
      <w:r w:rsidR="00A01F10" w:rsidRPr="00226D1B">
        <w:t>.</w:t>
      </w:r>
      <w:r w:rsidR="00A01F10">
        <w:t xml:space="preserve">  (</w:t>
      </w:r>
      <w:r w:rsidR="00A01F10" w:rsidRPr="00226D1B">
        <w:rPr>
          <w:i/>
          <w:iCs/>
        </w:rPr>
        <w:t>Humphrey</w:t>
      </w:r>
      <w:r w:rsidR="00A01F10" w:rsidRPr="007C62BF">
        <w:t xml:space="preserve">, </w:t>
      </w:r>
      <w:r w:rsidR="00A01F10" w:rsidRPr="00226D1B">
        <w:rPr>
          <w:i/>
          <w:iCs/>
        </w:rPr>
        <w:t>supra</w:t>
      </w:r>
      <w:r w:rsidR="00A01F10" w:rsidRPr="007C62BF">
        <w:t>, 11 Cal.5</w:t>
      </w:r>
      <w:r w:rsidR="00A01F10">
        <w:t>th</w:t>
      </w:r>
      <w:r w:rsidR="00A01F10" w:rsidRPr="007C62BF">
        <w:t xml:space="preserve"> at p</w:t>
      </w:r>
      <w:r w:rsidR="00FE1B1D">
        <w:t>p</w:t>
      </w:r>
      <w:r w:rsidR="00A01F10" w:rsidRPr="007C62BF">
        <w:t>.</w:t>
      </w:r>
      <w:r w:rsidR="00766068">
        <w:t> </w:t>
      </w:r>
      <w:r w:rsidR="00A01F10" w:rsidRPr="007C62BF">
        <w:t>154</w:t>
      </w:r>
      <w:r w:rsidR="00FE1B1D">
        <w:t>–155</w:t>
      </w:r>
      <w:r w:rsidR="00A01F10" w:rsidRPr="007C62BF">
        <w:t>.</w:t>
      </w:r>
      <w:r w:rsidR="00A01F10">
        <w:t xml:space="preserve">)  The </w:t>
      </w:r>
      <w:r w:rsidR="003B2E4B">
        <w:t xml:space="preserve">trial </w:t>
      </w:r>
      <w:r w:rsidR="00A01F10">
        <w:t xml:space="preserve">court shall provide </w:t>
      </w:r>
      <w:r w:rsidR="00AB190A">
        <w:t xml:space="preserve">an </w:t>
      </w:r>
      <w:r w:rsidR="00AB190A" w:rsidRPr="00AB190A">
        <w:t xml:space="preserve">adequate statement of reasons </w:t>
      </w:r>
      <w:r w:rsidR="009D63D5">
        <w:t>and a corrected minute order</w:t>
      </w:r>
      <w:r w:rsidR="00650C04">
        <w:t>,</w:t>
      </w:r>
      <w:r w:rsidR="00650C04" w:rsidRPr="00650C04">
        <w:t xml:space="preserve"> </w:t>
      </w:r>
      <w:r w:rsidR="00650C04">
        <w:t>in accord</w:t>
      </w:r>
      <w:r w:rsidR="00F00F58">
        <w:t>ance</w:t>
      </w:r>
      <w:r w:rsidR="00650C04">
        <w:t xml:space="preserve"> with the views expressed herein</w:t>
      </w:r>
      <w:r w:rsidR="008C74D3">
        <w:t xml:space="preserve">.  </w:t>
      </w:r>
      <w:r w:rsidR="009D63D5">
        <w:t xml:space="preserve">For the sake of efficiency, the court </w:t>
      </w:r>
      <w:r w:rsidR="009D63D5" w:rsidRPr="009D2EC9">
        <w:t>may</w:t>
      </w:r>
      <w:r w:rsidR="004316E2" w:rsidRPr="009D2EC9">
        <w:t>, but need not,</w:t>
      </w:r>
      <w:r w:rsidR="009D63D5" w:rsidRPr="009D2EC9">
        <w:t xml:space="preserve"> vacate</w:t>
      </w:r>
      <w:r w:rsidR="009D63D5">
        <w:t xml:space="preserve"> its </w:t>
      </w:r>
      <w:r>
        <w:t xml:space="preserve">prior </w:t>
      </w:r>
      <w:r w:rsidR="009D63D5">
        <w:t>order</w:t>
      </w:r>
      <w:r>
        <w:t xml:space="preserve"> denying bail and</w:t>
      </w:r>
      <w:r w:rsidR="009D63D5">
        <w:t xml:space="preserve"> hold a new bail hearing</w:t>
      </w:r>
      <w:r w:rsidR="004E4997">
        <w:t xml:space="preserve"> </w:t>
      </w:r>
      <w:r w:rsidR="00E75834">
        <w:t>in order to</w:t>
      </w:r>
      <w:r w:rsidR="009D63D5">
        <w:t xml:space="preserve"> take new evidence</w:t>
      </w:r>
      <w:r w:rsidR="000E06DB">
        <w:t xml:space="preserve"> or any other action </w:t>
      </w:r>
      <w:r w:rsidR="009D63D5">
        <w:t>it deems necessary.</w:t>
      </w:r>
    </w:p>
    <w:p w14:paraId="4D1BB842" w14:textId="77777777" w:rsidR="007712FB" w:rsidRDefault="00FC510F" w:rsidP="008C2014">
      <w:pPr>
        <w:spacing w:line="360" w:lineRule="auto"/>
        <w:sectPr w:rsidR="007712FB" w:rsidSect="007712FB">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r>
        <w:tab/>
      </w:r>
      <w:r w:rsidR="00853EEA">
        <w:t>We decline p</w:t>
      </w:r>
      <w:r w:rsidR="00C63115" w:rsidRPr="00C63115">
        <w:t>etitioner</w:t>
      </w:r>
      <w:r w:rsidR="00853EEA">
        <w:t xml:space="preserve">’s </w:t>
      </w:r>
      <w:r w:rsidR="00B96751">
        <w:t xml:space="preserve">other requests for relief, </w:t>
      </w:r>
      <w:r w:rsidR="00ED1CBD">
        <w:t>including</w:t>
      </w:r>
      <w:r w:rsidR="00B96751">
        <w:t xml:space="preserve"> his </w:t>
      </w:r>
      <w:r w:rsidR="00853EEA">
        <w:t xml:space="preserve">request </w:t>
      </w:r>
      <w:r w:rsidR="00ED1CBD">
        <w:t>for</w:t>
      </w:r>
      <w:r w:rsidR="00473B4D">
        <w:t xml:space="preserve"> </w:t>
      </w:r>
      <w:r w:rsidR="00853EEA">
        <w:t xml:space="preserve">release </w:t>
      </w:r>
      <w:r w:rsidR="00A64356">
        <w:t>on his own recognizance</w:t>
      </w:r>
      <w:r w:rsidR="00853EEA">
        <w:t xml:space="preserve"> with appropriate conditions or with an affordable amount of bail</w:t>
      </w:r>
      <w:r w:rsidR="00232733">
        <w:t>,</w:t>
      </w:r>
      <w:r w:rsidR="00687FC9">
        <w:t xml:space="preserve"> and his request for attorney fees</w:t>
      </w:r>
      <w:r w:rsidR="00853EEA">
        <w:t xml:space="preserve">. </w:t>
      </w:r>
    </w:p>
    <w:p w14:paraId="0DA0AC19" w14:textId="3B47D0A2" w:rsidR="00750029" w:rsidRDefault="00750029" w:rsidP="008C2014">
      <w:pPr>
        <w:spacing w:line="360" w:lineRule="auto"/>
      </w:pPr>
    </w:p>
    <w:p w14:paraId="37A97822" w14:textId="3B789AE9" w:rsidR="00891DD6" w:rsidRDefault="00891DD6" w:rsidP="007712FB"/>
    <w:p w14:paraId="1CDBBBCE" w14:textId="5C1BBE78" w:rsidR="007712FB" w:rsidRDefault="00FC510F" w:rsidP="007712FB">
      <w:r>
        <w:tab/>
      </w:r>
      <w:r>
        <w:tab/>
      </w:r>
      <w:r>
        <w:tab/>
      </w:r>
      <w:r>
        <w:tab/>
      </w:r>
      <w:r>
        <w:tab/>
      </w:r>
      <w:r>
        <w:tab/>
      </w:r>
      <w:r>
        <w:tab/>
        <w:t>_________________________</w:t>
      </w:r>
    </w:p>
    <w:p w14:paraId="2F66EA6B" w14:textId="709F5F1E" w:rsidR="007712FB" w:rsidRDefault="00FC510F" w:rsidP="007712FB">
      <w:r>
        <w:tab/>
      </w:r>
      <w:r>
        <w:tab/>
      </w:r>
      <w:r>
        <w:tab/>
      </w:r>
      <w:r>
        <w:tab/>
      </w:r>
      <w:r>
        <w:tab/>
      </w:r>
      <w:r>
        <w:tab/>
      </w:r>
      <w:r>
        <w:tab/>
        <w:t>Fujisaki, J.</w:t>
      </w:r>
    </w:p>
    <w:p w14:paraId="2D10E40E" w14:textId="7C09C520" w:rsidR="007712FB" w:rsidRDefault="007712FB" w:rsidP="007712FB"/>
    <w:p w14:paraId="1DDC46E0" w14:textId="2697C8BB" w:rsidR="007712FB" w:rsidRDefault="007712FB" w:rsidP="007712FB"/>
    <w:p w14:paraId="27FC811B" w14:textId="7F978510" w:rsidR="007712FB" w:rsidRDefault="00FC510F" w:rsidP="007712FB">
      <w:r>
        <w:t>WE CONCUR:</w:t>
      </w:r>
    </w:p>
    <w:p w14:paraId="72D8B06B" w14:textId="7DF4F194" w:rsidR="007712FB" w:rsidRDefault="007712FB" w:rsidP="007712FB"/>
    <w:p w14:paraId="38E4AC95" w14:textId="37BDA6AC" w:rsidR="007712FB" w:rsidRDefault="007712FB" w:rsidP="007712FB"/>
    <w:p w14:paraId="01AFE676" w14:textId="3FF58486" w:rsidR="007712FB" w:rsidRDefault="00FC510F" w:rsidP="007712FB">
      <w:r>
        <w:t>_________________________</w:t>
      </w:r>
    </w:p>
    <w:p w14:paraId="48E9ECEF" w14:textId="65DEB091" w:rsidR="007712FB" w:rsidRDefault="00FC510F" w:rsidP="007712FB">
      <w:r>
        <w:t>Tucher, P. J.</w:t>
      </w:r>
    </w:p>
    <w:p w14:paraId="2B28AA21" w14:textId="52138CB4" w:rsidR="007712FB" w:rsidRDefault="007712FB" w:rsidP="007712FB"/>
    <w:p w14:paraId="5309B1A0" w14:textId="35F037F8" w:rsidR="007712FB" w:rsidRDefault="007712FB" w:rsidP="007712FB"/>
    <w:p w14:paraId="5B9FEDB3" w14:textId="31B806AD" w:rsidR="007712FB" w:rsidRDefault="00FC510F" w:rsidP="007712FB">
      <w:r>
        <w:t>_________________________</w:t>
      </w:r>
    </w:p>
    <w:p w14:paraId="7BE4DFA1" w14:textId="7A6CE596" w:rsidR="007712FB" w:rsidRDefault="00FC510F" w:rsidP="007712FB">
      <w:r>
        <w:t>Rodriguez, J.</w:t>
      </w:r>
    </w:p>
    <w:p w14:paraId="3EB09B83" w14:textId="184AB959" w:rsidR="007712FB" w:rsidRDefault="007712FB" w:rsidP="007712FB"/>
    <w:p w14:paraId="05B54D1F" w14:textId="175C642C" w:rsidR="007712FB" w:rsidRDefault="007712FB" w:rsidP="007712FB"/>
    <w:p w14:paraId="4E7BB184" w14:textId="7A56045E" w:rsidR="007712FB" w:rsidRDefault="007712FB" w:rsidP="007712FB"/>
    <w:p w14:paraId="50F28E2C" w14:textId="044509ED" w:rsidR="007712FB" w:rsidRDefault="007712FB" w:rsidP="007712FB"/>
    <w:p w14:paraId="679A77B3" w14:textId="2BEF0D7B" w:rsidR="007712FB" w:rsidRDefault="007712FB" w:rsidP="007712FB"/>
    <w:p w14:paraId="0CE50067" w14:textId="484D254B" w:rsidR="007712FB" w:rsidRDefault="007712FB" w:rsidP="007712FB"/>
    <w:p w14:paraId="529C78B9" w14:textId="57D0402D" w:rsidR="007712FB" w:rsidRDefault="007712FB" w:rsidP="007712FB"/>
    <w:p w14:paraId="6B3AD88F" w14:textId="4B92DA76" w:rsidR="007712FB" w:rsidRDefault="007712FB" w:rsidP="007712FB"/>
    <w:p w14:paraId="5BD3CC17" w14:textId="6749656C" w:rsidR="007712FB" w:rsidRDefault="007712FB" w:rsidP="007712FB"/>
    <w:p w14:paraId="05C4BCA0" w14:textId="6784F82D" w:rsidR="007712FB" w:rsidRDefault="007712FB" w:rsidP="007712FB"/>
    <w:p w14:paraId="7331BD12" w14:textId="562F5CDD" w:rsidR="007712FB" w:rsidRDefault="007712FB" w:rsidP="007712FB"/>
    <w:p w14:paraId="720A77E7" w14:textId="16A6CF28" w:rsidR="007712FB" w:rsidRDefault="007712FB" w:rsidP="007712FB"/>
    <w:p w14:paraId="1865FD49" w14:textId="1BB2A580" w:rsidR="007712FB" w:rsidRDefault="007712FB" w:rsidP="007712FB"/>
    <w:p w14:paraId="2F83DA05" w14:textId="704FC655" w:rsidR="007712FB" w:rsidRDefault="007712FB" w:rsidP="007712FB"/>
    <w:p w14:paraId="3F78A6E3" w14:textId="12A71D9F" w:rsidR="007712FB" w:rsidRDefault="007712FB" w:rsidP="007712FB"/>
    <w:p w14:paraId="3028175B" w14:textId="0D14D98D" w:rsidR="007712FB" w:rsidRDefault="007712FB" w:rsidP="007712FB"/>
    <w:p w14:paraId="73EAA161" w14:textId="0B3DF80F" w:rsidR="007712FB" w:rsidRDefault="007712FB" w:rsidP="007712FB"/>
    <w:p w14:paraId="636207A0" w14:textId="42CB7D76" w:rsidR="007712FB" w:rsidRDefault="007712FB" w:rsidP="007712FB"/>
    <w:p w14:paraId="1398E6C5" w14:textId="6BD9D14E" w:rsidR="007712FB" w:rsidRDefault="007712FB" w:rsidP="007712FB"/>
    <w:p w14:paraId="66F8F3E6" w14:textId="1CBB7F0A" w:rsidR="00F26189" w:rsidRDefault="00FC510F" w:rsidP="007712FB">
      <w:pPr>
        <w:rPr>
          <w:i/>
          <w:iCs/>
          <w:sz w:val="20"/>
          <w:szCs w:val="20"/>
        </w:rPr>
      </w:pPr>
      <w:r w:rsidRPr="007712FB">
        <w:rPr>
          <w:sz w:val="20"/>
          <w:szCs w:val="20"/>
        </w:rPr>
        <w:t>A162891/</w:t>
      </w:r>
      <w:r w:rsidRPr="007712FB">
        <w:rPr>
          <w:i/>
          <w:iCs/>
          <w:sz w:val="20"/>
          <w:szCs w:val="20"/>
        </w:rPr>
        <w:t>In re John Harri</w:t>
      </w:r>
      <w:r>
        <w:rPr>
          <w:i/>
          <w:iCs/>
          <w:sz w:val="20"/>
          <w:szCs w:val="20"/>
        </w:rPr>
        <w:t>s Jr.</w:t>
      </w:r>
      <w:r>
        <w:rPr>
          <w:i/>
          <w:iCs/>
          <w:sz w:val="20"/>
          <w:szCs w:val="20"/>
        </w:rPr>
        <w:br w:type="page"/>
      </w:r>
    </w:p>
    <w:p w14:paraId="7B130FE5" w14:textId="4629EA27" w:rsidR="00F26189" w:rsidRPr="00F26189" w:rsidRDefault="00FC510F" w:rsidP="00F26189">
      <w:pPr>
        <w:rPr>
          <w:rFonts w:eastAsiaTheme="minorHAnsi" w:cstheme="minorBidi"/>
          <w:u w:val="single"/>
        </w:rPr>
      </w:pPr>
      <w:r>
        <w:rPr>
          <w:rFonts w:eastAsiaTheme="minorHAnsi" w:cstheme="minorBidi"/>
          <w:u w:val="single"/>
        </w:rPr>
        <w:lastRenderedPageBreak/>
        <w:t>In re John Harris Jr.</w:t>
      </w:r>
      <w:r w:rsidRPr="00F26189">
        <w:rPr>
          <w:rFonts w:eastAsiaTheme="minorHAnsi" w:cstheme="minorBidi"/>
          <w:u w:val="single"/>
        </w:rPr>
        <w:t xml:space="preserve"> </w:t>
      </w:r>
      <w:r w:rsidRPr="00F26189">
        <w:rPr>
          <w:rFonts w:eastAsiaTheme="minorHAnsi" w:cstheme="minorBidi"/>
          <w:u w:val="single"/>
        </w:rPr>
        <w:br/>
      </w:r>
      <w:r w:rsidRPr="00F26189">
        <w:rPr>
          <w:rFonts w:eastAsiaTheme="minorHAnsi" w:cstheme="minorBidi"/>
        </w:rPr>
        <w:t>(A1</w:t>
      </w:r>
      <w:r>
        <w:rPr>
          <w:rFonts w:eastAsiaTheme="minorHAnsi" w:cstheme="minorBidi"/>
        </w:rPr>
        <w:t>62891</w:t>
      </w:r>
      <w:r w:rsidRPr="00F26189">
        <w:rPr>
          <w:rFonts w:eastAsiaTheme="minorHAnsi" w:cstheme="minorBidi"/>
        </w:rPr>
        <w:t>)</w:t>
      </w:r>
    </w:p>
    <w:p w14:paraId="2555CD03" w14:textId="77777777" w:rsidR="00F26189" w:rsidRPr="00F26189" w:rsidRDefault="00F26189" w:rsidP="00F26189">
      <w:pPr>
        <w:rPr>
          <w:rFonts w:eastAsiaTheme="minorHAnsi" w:cstheme="minorBidi"/>
          <w:b/>
          <w:bCs/>
          <w:u w:val="single"/>
        </w:rPr>
      </w:pPr>
    </w:p>
    <w:p w14:paraId="67A6B9A3" w14:textId="77777777" w:rsidR="00F26189" w:rsidRPr="00F26189" w:rsidRDefault="00F26189" w:rsidP="00F26189">
      <w:pPr>
        <w:rPr>
          <w:rFonts w:eastAsiaTheme="minorHAnsi" w:cstheme="minorBidi"/>
          <w:b/>
          <w:bCs/>
          <w:u w:val="single"/>
        </w:rPr>
      </w:pPr>
    </w:p>
    <w:p w14:paraId="022CA259" w14:textId="1428BFBD" w:rsidR="00F26189" w:rsidRPr="00F26189" w:rsidRDefault="00FC510F" w:rsidP="00F26189">
      <w:pPr>
        <w:rPr>
          <w:rFonts w:eastAsiaTheme="minorHAnsi" w:cstheme="minorBidi"/>
        </w:rPr>
      </w:pPr>
      <w:r w:rsidRPr="00F26189">
        <w:rPr>
          <w:rFonts w:eastAsiaTheme="minorHAnsi" w:cstheme="minorBidi"/>
        </w:rPr>
        <w:t>Trial Court:</w:t>
      </w:r>
      <w:r w:rsidRPr="00F26189">
        <w:rPr>
          <w:rFonts w:eastAsiaTheme="minorHAnsi" w:cstheme="minorBidi"/>
        </w:rPr>
        <w:tab/>
      </w:r>
      <w:r w:rsidRPr="00F26189">
        <w:rPr>
          <w:rFonts w:eastAsiaTheme="minorHAnsi" w:cstheme="minorBidi"/>
        </w:rPr>
        <w:tab/>
      </w:r>
      <w:r>
        <w:rPr>
          <w:rFonts w:eastAsiaTheme="minorHAnsi" w:cstheme="minorBidi"/>
        </w:rPr>
        <w:t>San Mateo</w:t>
      </w:r>
      <w:r w:rsidRPr="00F26189">
        <w:rPr>
          <w:rFonts w:eastAsiaTheme="minorHAnsi" w:cstheme="minorBidi"/>
        </w:rPr>
        <w:t xml:space="preserve"> County</w:t>
      </w:r>
    </w:p>
    <w:p w14:paraId="055CD4AD" w14:textId="77777777" w:rsidR="00F26189" w:rsidRPr="00F26189" w:rsidRDefault="00F26189" w:rsidP="00F26189">
      <w:pPr>
        <w:rPr>
          <w:rFonts w:eastAsiaTheme="minorHAnsi" w:cstheme="minorBidi"/>
        </w:rPr>
      </w:pPr>
    </w:p>
    <w:p w14:paraId="5557A7FF" w14:textId="77777777" w:rsidR="00F26189" w:rsidRPr="00F26189" w:rsidRDefault="00F26189" w:rsidP="00F26189">
      <w:pPr>
        <w:rPr>
          <w:rFonts w:eastAsiaTheme="minorHAnsi" w:cstheme="minorBidi"/>
        </w:rPr>
      </w:pPr>
    </w:p>
    <w:p w14:paraId="1ED4C67C" w14:textId="48187EDD" w:rsidR="00F26189" w:rsidRPr="00F26189" w:rsidRDefault="00FC510F" w:rsidP="00F26189">
      <w:pPr>
        <w:rPr>
          <w:rFonts w:eastAsiaTheme="minorHAnsi" w:cstheme="minorBidi"/>
        </w:rPr>
      </w:pPr>
      <w:r w:rsidRPr="00F26189">
        <w:rPr>
          <w:rFonts w:eastAsiaTheme="minorHAnsi" w:cstheme="minorBidi"/>
        </w:rPr>
        <w:t>Trial Judge:</w:t>
      </w:r>
      <w:r w:rsidRPr="00F26189">
        <w:rPr>
          <w:rFonts w:eastAsiaTheme="minorHAnsi" w:cstheme="minorBidi"/>
        </w:rPr>
        <w:tab/>
        <w:t xml:space="preserve">Hon. </w:t>
      </w:r>
      <w:r>
        <w:rPr>
          <w:rFonts w:eastAsiaTheme="minorHAnsi" w:cstheme="minorBidi"/>
        </w:rPr>
        <w:t>Amarra A. Lee</w:t>
      </w:r>
    </w:p>
    <w:p w14:paraId="63CF39F8" w14:textId="77777777" w:rsidR="00F26189" w:rsidRPr="00F26189" w:rsidRDefault="00F26189" w:rsidP="00F26189">
      <w:pPr>
        <w:rPr>
          <w:rFonts w:eastAsiaTheme="minorHAnsi" w:cstheme="minorBidi"/>
        </w:rPr>
      </w:pPr>
    </w:p>
    <w:p w14:paraId="1FEFBE68" w14:textId="77777777" w:rsidR="00F26189" w:rsidRPr="00F26189" w:rsidRDefault="00F26189" w:rsidP="00F26189">
      <w:pPr>
        <w:rPr>
          <w:rFonts w:eastAsiaTheme="minorHAnsi" w:cstheme="minorBidi"/>
        </w:rPr>
      </w:pPr>
    </w:p>
    <w:p w14:paraId="6129889D" w14:textId="70FA2C6C" w:rsidR="00F07136" w:rsidRDefault="00FC510F" w:rsidP="00F26189">
      <w:pPr>
        <w:spacing w:line="360" w:lineRule="auto"/>
      </w:pPr>
      <w:r w:rsidRPr="00F26189">
        <w:rPr>
          <w:rFonts w:eastAsiaTheme="minorHAnsi" w:cstheme="minorBidi"/>
        </w:rPr>
        <w:t>Attorneys:</w:t>
      </w:r>
      <w:r>
        <w:rPr>
          <w:rFonts w:eastAsiaTheme="minorHAnsi" w:cstheme="minorBidi"/>
        </w:rPr>
        <w:tab/>
      </w:r>
      <w:r>
        <w:rPr>
          <w:rFonts w:eastAsiaTheme="minorHAnsi" w:cstheme="minorBidi"/>
        </w:rPr>
        <w:tab/>
      </w:r>
      <w:r w:rsidR="00F21F7A">
        <w:rPr>
          <w:rFonts w:eastAsiaTheme="minorHAnsi" w:cstheme="minorBidi"/>
        </w:rPr>
        <w:t xml:space="preserve">Law Offices of </w:t>
      </w:r>
      <w:r>
        <w:rPr>
          <w:rFonts w:eastAsiaTheme="minorHAnsi" w:cstheme="minorBidi"/>
        </w:rPr>
        <w:t xml:space="preserve">Marsanne Weese, </w:t>
      </w:r>
      <w:r w:rsidR="00F21F7A">
        <w:rPr>
          <w:rFonts w:eastAsiaTheme="minorHAnsi" w:cstheme="minorBidi"/>
        </w:rPr>
        <w:t>Marsanne Weese and Rose Mishaan</w:t>
      </w:r>
      <w:r>
        <w:rPr>
          <w:rFonts w:eastAsiaTheme="minorHAnsi" w:cstheme="minorBidi"/>
        </w:rPr>
        <w:t xml:space="preserve">, </w:t>
      </w:r>
      <w:r>
        <w:t>under appointment by the First District Court of Appeal</w:t>
      </w:r>
      <w:r w:rsidR="006431FD">
        <w:t>,</w:t>
      </w:r>
      <w:r>
        <w:t xml:space="preserve"> for </w:t>
      </w:r>
      <w:r w:rsidR="00CA3C12">
        <w:t>Petitioner</w:t>
      </w:r>
      <w:r>
        <w:t>.</w:t>
      </w:r>
    </w:p>
    <w:p w14:paraId="259BE35F" w14:textId="116AD192" w:rsidR="00F07136" w:rsidRDefault="00FC510F" w:rsidP="00F26189">
      <w:pPr>
        <w:spacing w:line="360" w:lineRule="auto"/>
      </w:pPr>
      <w:r>
        <w:tab/>
      </w:r>
      <w:r>
        <w:tab/>
      </w:r>
      <w:r>
        <w:tab/>
      </w:r>
      <w:r w:rsidR="00CA3C12">
        <w:t>Stephen M. Wagstaffe</w:t>
      </w:r>
      <w:r>
        <w:t xml:space="preserve">, </w:t>
      </w:r>
      <w:r w:rsidR="00CA3C12">
        <w:t>District Attorney</w:t>
      </w:r>
      <w:r>
        <w:t xml:space="preserve">, </w:t>
      </w:r>
      <w:r w:rsidR="00CA3C12">
        <w:t>Alpana Samant, Deputy District Attorney, for Respondent.</w:t>
      </w:r>
    </w:p>
    <w:p w14:paraId="49F67C0B" w14:textId="77777777" w:rsidR="00F07136" w:rsidRDefault="00F07136" w:rsidP="00F26189">
      <w:pPr>
        <w:spacing w:line="360" w:lineRule="auto"/>
      </w:pPr>
    </w:p>
    <w:p w14:paraId="5B83DA22" w14:textId="6DDCDB11" w:rsidR="00CA3C12" w:rsidRDefault="00FC510F" w:rsidP="00F26189">
      <w:pPr>
        <w:spacing w:line="360" w:lineRule="auto"/>
      </w:pPr>
      <w:r>
        <w:tab/>
      </w:r>
      <w:r>
        <w:tab/>
      </w:r>
      <w:r>
        <w:tab/>
        <w:t>Rob Bonta, Attorney General, Lance E. Winters, Chief Assistant A</w:t>
      </w:r>
      <w:r>
        <w:t>ttorney General, Jeffrey M. Laurence, Senior Assistant Attorney General, Katie L. Stowe, Deputy Attorney General, for Attorney General Rob Bonta as Amicus Curiae</w:t>
      </w:r>
      <w:r w:rsidR="006431FD">
        <w:t xml:space="preserve"> upon the request of the Court of Appeal</w:t>
      </w:r>
      <w:r>
        <w:t>.</w:t>
      </w:r>
    </w:p>
    <w:p w14:paraId="4D095515" w14:textId="07DA265A" w:rsidR="007712FB" w:rsidRPr="00F26189" w:rsidRDefault="007712FB" w:rsidP="00F21F7A">
      <w:pPr>
        <w:spacing w:line="360" w:lineRule="auto"/>
        <w:ind w:left="1440" w:firstLine="720"/>
      </w:pPr>
    </w:p>
    <w:sectPr w:rsidR="007712FB" w:rsidRPr="00F26189" w:rsidSect="00250CB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A4AA" w14:textId="77777777" w:rsidR="00000000" w:rsidRDefault="00FC510F">
      <w:r>
        <w:separator/>
      </w:r>
    </w:p>
  </w:endnote>
  <w:endnote w:type="continuationSeparator" w:id="0">
    <w:p w14:paraId="1D2BC8A6" w14:textId="77777777" w:rsidR="00000000" w:rsidRDefault="00FC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F52B" w14:textId="77777777" w:rsidR="00A27167" w:rsidRDefault="00FC510F" w:rsidP="00DC0D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595A5321" w14:textId="77777777" w:rsidR="00A27167" w:rsidRDefault="00FC510F" w:rsidP="00DC0D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7933F107" w14:textId="77777777" w:rsidR="00A27167" w:rsidRDefault="00A2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CC1A" w14:textId="77777777" w:rsidR="00A27167" w:rsidRDefault="00FC510F" w:rsidP="00DC0D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p w14:paraId="0F80D49E" w14:textId="77777777" w:rsidR="00A27167" w:rsidRDefault="00A2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9B2" w14:textId="77777777" w:rsidR="007712FB" w:rsidRDefault="007712FB">
    <w:pPr>
      <w:pStyle w:val="Footer"/>
      <w:jc w:val="center"/>
    </w:pPr>
  </w:p>
  <w:sdt>
    <w:sdtPr>
      <w:id w:val="-1638098386"/>
      <w:docPartObj>
        <w:docPartGallery w:val="Page Numbers (Bottom of Page)"/>
        <w:docPartUnique/>
      </w:docPartObj>
    </w:sdtPr>
    <w:sdtEndPr>
      <w:rPr>
        <w:noProof/>
      </w:rPr>
    </w:sdtEndPr>
    <w:sdtContent>
      <w:p w14:paraId="58313519" w14:textId="2C42101D" w:rsidR="007712FB" w:rsidRDefault="00FC510F" w:rsidP="00F26189">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20C" w14:textId="77777777" w:rsidR="00960FEC" w:rsidRDefault="00FC510F" w:rsidP="00DC0D2D">
      <w:r>
        <w:separator/>
      </w:r>
    </w:p>
  </w:footnote>
  <w:footnote w:type="continuationSeparator" w:id="0">
    <w:p w14:paraId="0939E7F5" w14:textId="77777777" w:rsidR="00960FEC" w:rsidRDefault="00FC510F" w:rsidP="00DC0D2D">
      <w:r>
        <w:continuationSeparator/>
      </w:r>
    </w:p>
  </w:footnote>
  <w:footnote w:id="1">
    <w:p w14:paraId="53DD3B4C" w14:textId="77777777" w:rsidR="002A5E88" w:rsidRDefault="00FC510F" w:rsidP="002A5E88">
      <w:pPr>
        <w:pStyle w:val="FootnoteText"/>
        <w:spacing w:after="120"/>
      </w:pPr>
      <w:r>
        <w:rPr>
          <w:rStyle w:val="FootnoteReference"/>
        </w:rPr>
        <w:footnoteRef/>
      </w:r>
      <w:r>
        <w:t xml:space="preserve"> </w:t>
      </w:r>
      <w:r>
        <w:tab/>
        <w:t>All further statutory references are to the P</w:t>
      </w:r>
      <w:r>
        <w:t>enal Code unless otherwise indicated.</w:t>
      </w:r>
    </w:p>
  </w:footnote>
  <w:footnote w:id="2">
    <w:p w14:paraId="3D5A77EF" w14:textId="04F6DFE2" w:rsidR="00A27167" w:rsidRDefault="00FC510F" w:rsidP="00F85597">
      <w:pPr>
        <w:pStyle w:val="FootnoteText"/>
        <w:spacing w:after="120"/>
      </w:pPr>
      <w:r>
        <w:rPr>
          <w:rStyle w:val="FootnoteReference"/>
        </w:rPr>
        <w:footnoteRef/>
      </w:r>
      <w:r>
        <w:t xml:space="preserve"> </w:t>
      </w:r>
      <w:r>
        <w:tab/>
        <w:t xml:space="preserve">According to the report, petitioner could not be interviewed </w:t>
      </w:r>
      <w:r w:rsidRPr="00C01F26">
        <w:t>due to Covid-19 restrictions</w:t>
      </w:r>
      <w:r>
        <w:t xml:space="preserve"> but petitioner received a favorable pretrial assessment score based on a calculation of eight factors, i.e., whether he:  (1)</w:t>
      </w:r>
      <w:r>
        <w:t> was on active community criminal justice supervision; (2) </w:t>
      </w:r>
      <w:r w:rsidR="00827A69">
        <w:t xml:space="preserve">had been </w:t>
      </w:r>
      <w:r>
        <w:t>charged with “felony drug, theft or fraud”; (3) had pending charges; (4) had a criminal history; (5) had two or more failures to appear; (6) </w:t>
      </w:r>
      <w:r w:rsidRPr="00C01F26">
        <w:t>had two or more violent convictions; (7) was un</w:t>
      </w:r>
      <w:r w:rsidRPr="00C01F26">
        <w:t>employed at the time of arrest; and (8) had a history of drug abuse.  Of these factors, petitioner responded affirmatively only to having a criminal history</w:t>
      </w:r>
      <w:r>
        <w:t>,</w:t>
      </w:r>
      <w:r w:rsidRPr="00C01F26">
        <w:t xml:space="preserve"> and so </w:t>
      </w:r>
      <w:r>
        <w:t xml:space="preserve">he </w:t>
      </w:r>
      <w:r w:rsidRPr="00C01F26">
        <w:t xml:space="preserve">scored 2 out of a potential 14 points. </w:t>
      </w:r>
    </w:p>
  </w:footnote>
  <w:footnote w:id="3">
    <w:p w14:paraId="5B5ED04F" w14:textId="36CF3AE6" w:rsidR="00A27167" w:rsidRDefault="00FC510F" w:rsidP="00D80A54">
      <w:pPr>
        <w:pStyle w:val="FootnoteText"/>
      </w:pPr>
      <w:r>
        <w:rPr>
          <w:rStyle w:val="FootnoteReference"/>
        </w:rPr>
        <w:footnoteRef/>
      </w:r>
      <w:r>
        <w:t xml:space="preserve"> </w:t>
      </w:r>
      <w:r>
        <w:tab/>
        <w:t xml:space="preserve">In brief, the facts underlying this </w:t>
      </w:r>
      <w:r>
        <w:t>unresolved issue are as follows.  In 1982, the voters enacted Proposition 4, which amended section 12 regarding bail.  (</w:t>
      </w:r>
      <w:r w:rsidRPr="00C63512">
        <w:rPr>
          <w:i/>
          <w:iCs/>
        </w:rPr>
        <w:t>People v. Barrow</w:t>
      </w:r>
      <w:r>
        <w:t xml:space="preserve"> (1991)</w:t>
      </w:r>
      <w:r w:rsidRPr="00C45431">
        <w:t xml:space="preserve"> 233 Cal.App.3d 721</w:t>
      </w:r>
      <w:r>
        <w:t>, 722.)  The same year, the voters also passed Proposition 8, which contained competing provis</w:t>
      </w:r>
      <w:r>
        <w:t>ions regarding bail.  (</w:t>
      </w:r>
      <w:r w:rsidRPr="00C63512">
        <w:rPr>
          <w:i/>
          <w:iCs/>
        </w:rPr>
        <w:t>People v. Standish</w:t>
      </w:r>
      <w:r>
        <w:t xml:space="preserve"> (2006) 38 Cal.4th 858, 877.)  Specifically, “</w:t>
      </w:r>
      <w:r w:rsidRPr="00C63512">
        <w:t>Proposition</w:t>
      </w:r>
      <w:r>
        <w:t> </w:t>
      </w:r>
      <w:r w:rsidRPr="00C63512">
        <w:t xml:space="preserve">8 proposed to repeal </w:t>
      </w:r>
      <w:r>
        <w:t>. . .</w:t>
      </w:r>
      <w:r w:rsidRPr="00C63512">
        <w:t xml:space="preserve"> section</w:t>
      </w:r>
      <w:r>
        <w:t> </w:t>
      </w:r>
      <w:r w:rsidRPr="00C63512">
        <w:t xml:space="preserve">12 and substitute </w:t>
      </w:r>
      <w:r>
        <w:t xml:space="preserve">article I, </w:t>
      </w:r>
      <w:r w:rsidRPr="00C63512">
        <w:t>section</w:t>
      </w:r>
      <w:r>
        <w:t> </w:t>
      </w:r>
      <w:r w:rsidRPr="00C63512">
        <w:t>28, subdivision</w:t>
      </w:r>
      <w:r>
        <w:t> </w:t>
      </w:r>
      <w:r w:rsidRPr="00C63512">
        <w:t xml:space="preserve">(e). </w:t>
      </w:r>
      <w:r>
        <w:t xml:space="preserve"> </w:t>
      </w:r>
      <w:r w:rsidRPr="00C63512">
        <w:t xml:space="preserve">The proposed subdivision was entitled </w:t>
      </w:r>
      <w:r>
        <w:t>‘</w:t>
      </w:r>
      <w:r w:rsidRPr="00C63512">
        <w:t>Public Safety Bail</w:t>
      </w:r>
      <w:r>
        <w:t>.’ ”  (</w:t>
      </w:r>
      <w:r w:rsidRPr="00C63512">
        <w:rPr>
          <w:i/>
          <w:iCs/>
        </w:rPr>
        <w:t>Standish</w:t>
      </w:r>
      <w:r>
        <w:t xml:space="preserve">, at p. 874; </w:t>
      </w:r>
      <w:r w:rsidRPr="00B82DCB">
        <w:t>Ballot Pamp., Primary Elec. (June</w:t>
      </w:r>
      <w:r>
        <w:t> </w:t>
      </w:r>
      <w:r w:rsidRPr="00B82DCB">
        <w:t>8, 1982) text of Prop.</w:t>
      </w:r>
      <w:r>
        <w:t> </w:t>
      </w:r>
      <w:r w:rsidRPr="00B82DCB">
        <w:t>8, §</w:t>
      </w:r>
      <w:r>
        <w:t>§ 2–3</w:t>
      </w:r>
      <w:r w:rsidRPr="00B82DCB">
        <w:t>, p.</w:t>
      </w:r>
      <w:r>
        <w:t> </w:t>
      </w:r>
      <w:r w:rsidRPr="00B82DCB">
        <w:t>33</w:t>
      </w:r>
      <w:r>
        <w:t xml:space="preserve">.)  The California Supreme Court subsequently held that “the amendments to . . . </w:t>
      </w:r>
      <w:r w:rsidRPr="00A4666F">
        <w:t>section</w:t>
      </w:r>
      <w:r>
        <w:t> </w:t>
      </w:r>
      <w:r w:rsidRPr="00A4666F">
        <w:t>12 propos</w:t>
      </w:r>
      <w:r w:rsidRPr="00A4666F">
        <w:t>ed by Proposition</w:t>
      </w:r>
      <w:r>
        <w:t> </w:t>
      </w:r>
      <w:r w:rsidRPr="00A4666F">
        <w:t>4 took effect, and that the provisions of article I, section 28, subdivision (e) proposed by Proposition 8 did not take effect</w:t>
      </w:r>
      <w:r>
        <w:t>” because Proposition 4 garnered more votes than Proposition 8.  (</w:t>
      </w:r>
      <w:r>
        <w:rPr>
          <w:i/>
          <w:iCs/>
        </w:rPr>
        <w:t>Standish</w:t>
      </w:r>
      <w:r w:rsidRPr="003627BD">
        <w:t>,</w:t>
      </w:r>
      <w:r>
        <w:t xml:space="preserve"> at p. 875, 877–878; </w:t>
      </w:r>
      <w:r w:rsidRPr="007C45A9">
        <w:rPr>
          <w:i/>
          <w:iCs/>
        </w:rPr>
        <w:t>In re York</w:t>
      </w:r>
      <w:r>
        <w:t xml:space="preserve"> (</w:t>
      </w:r>
      <w:r w:rsidR="009B4445">
        <w:t>1995</w:t>
      </w:r>
      <w:r>
        <w:t>)</w:t>
      </w:r>
      <w:r w:rsidRPr="007C45A9">
        <w:t xml:space="preserve"> 9 Cal.4th </w:t>
      </w:r>
      <w:r>
        <w:t>1133,</w:t>
      </w:r>
      <w:r w:rsidRPr="007C45A9">
        <w:t xml:space="preserve"> 1140, fn. 4</w:t>
      </w:r>
      <w:r>
        <w:t>, citing Cal. Const., art. II, § 10, subd. (b).)  Then, in 2008, voters passed Proposition 9, which enacted as article I, section 28, subdivision (f)(3), provisions nearly identical to Proposition 8’s Public Safety Bail provisi</w:t>
      </w:r>
      <w:r>
        <w:t xml:space="preserve">ons.  (Compare </w:t>
      </w:r>
      <w:r w:rsidRPr="00B82DCB">
        <w:t>Voter Information Guide, Gen. Elec. (Nov. 4, 2008) text of Prop.</w:t>
      </w:r>
      <w:r>
        <w:t> </w:t>
      </w:r>
      <w:r w:rsidRPr="00B82DCB">
        <w:t>9, §</w:t>
      </w:r>
      <w:r>
        <w:t> </w:t>
      </w:r>
      <w:r w:rsidRPr="00B82DCB">
        <w:t>4.1, p.</w:t>
      </w:r>
      <w:r>
        <w:t> </w:t>
      </w:r>
      <w:r w:rsidRPr="00B82DCB">
        <w:t>130</w:t>
      </w:r>
      <w:r>
        <w:t>, with</w:t>
      </w:r>
      <w:r w:rsidRPr="00B82DCB">
        <w:t xml:space="preserve"> Ballot Pamp., Primary Elec. (June 8, 1982) text of Prop.</w:t>
      </w:r>
      <w:r>
        <w:t> </w:t>
      </w:r>
      <w:r w:rsidRPr="00B82DCB">
        <w:t>8, §</w:t>
      </w:r>
      <w:r>
        <w:t> </w:t>
      </w:r>
      <w:r w:rsidRPr="00B82DCB">
        <w:t>3, p.</w:t>
      </w:r>
      <w:r>
        <w:t> </w:t>
      </w:r>
      <w:r w:rsidRPr="00B82DCB">
        <w:t>33.)</w:t>
      </w:r>
      <w:r>
        <w:t xml:space="preserve">  Proposition 9, however, did not propose to repeal section 12.  (</w:t>
      </w:r>
      <w:r w:rsidRPr="00B82DCB">
        <w:t>Voter Informati</w:t>
      </w:r>
      <w:r w:rsidRPr="00B82DCB">
        <w:t>on Guide, Gen. Elec. (Nov. 4, 2008) text of Prop.</w:t>
      </w:r>
      <w:r>
        <w:t> </w:t>
      </w:r>
      <w:r w:rsidRPr="00B82DCB">
        <w:t>9</w:t>
      </w:r>
      <w:r>
        <w:t xml:space="preserve">.) </w:t>
      </w:r>
    </w:p>
    <w:p w14:paraId="5F6A5538" w14:textId="62E96BB6" w:rsidR="00A27167" w:rsidRDefault="00FC510F" w:rsidP="007C053A">
      <w:pPr>
        <w:pStyle w:val="FootnoteText"/>
        <w:spacing w:after="120"/>
        <w:ind w:firstLine="720"/>
      </w:pPr>
      <w:r>
        <w:t>Here “</w:t>
      </w:r>
      <w:r w:rsidRPr="006765B9">
        <w:t xml:space="preserve">we need not decide what role, if any, </w:t>
      </w:r>
      <w:r>
        <w:t xml:space="preserve">[article I, </w:t>
      </w:r>
      <w:r w:rsidRPr="006B0EC1">
        <w:t>section</w:t>
      </w:r>
      <w:r>
        <w:t> </w:t>
      </w:r>
      <w:r w:rsidRPr="006B0EC1">
        <w:t>28</w:t>
      </w:r>
      <w:r>
        <w:t>, subdivision </w:t>
      </w:r>
      <w:r w:rsidRPr="006B0EC1">
        <w:t>(f)(3)</w:t>
      </w:r>
      <w:r>
        <w:t>]</w:t>
      </w:r>
      <w:r w:rsidRPr="006765B9">
        <w:t xml:space="preserve"> has in the decision to deny bail under article I, section</w:t>
      </w:r>
      <w:r>
        <w:t> </w:t>
      </w:r>
      <w:r w:rsidRPr="006765B9">
        <w:t>12(b)</w:t>
      </w:r>
      <w:r>
        <w:t>”</w:t>
      </w:r>
      <w:r w:rsidRPr="0089668E">
        <w:t xml:space="preserve"> </w:t>
      </w:r>
      <w:r>
        <w:t xml:space="preserve">because, as in the </w:t>
      </w:r>
      <w:r w:rsidRPr="00C14727">
        <w:rPr>
          <w:i/>
          <w:iCs/>
        </w:rPr>
        <w:t>White</w:t>
      </w:r>
      <w:r>
        <w:t xml:space="preserve"> decision, the trial court below relied on section 12 and any “</w:t>
      </w:r>
      <w:r w:rsidRPr="006765B9">
        <w:t>concerns about victim safety would only reinforce the trial court</w:t>
      </w:r>
      <w:r>
        <w:t>’</w:t>
      </w:r>
      <w:r w:rsidRPr="006765B9">
        <w:t>s decision to deny bail</w:t>
      </w:r>
      <w:r>
        <w:t>.”  (</w:t>
      </w:r>
      <w:r w:rsidRPr="006765B9">
        <w:rPr>
          <w:i/>
          <w:iCs/>
        </w:rPr>
        <w:t>White</w:t>
      </w:r>
      <w:r>
        <w:t xml:space="preserve">, </w:t>
      </w:r>
      <w:r w:rsidRPr="006765B9">
        <w:rPr>
          <w:i/>
          <w:iCs/>
        </w:rPr>
        <w:t>supra</w:t>
      </w:r>
      <w:r>
        <w:t xml:space="preserve">, 9 Cal.5th at p. 470.) </w:t>
      </w:r>
    </w:p>
  </w:footnote>
  <w:footnote w:id="4">
    <w:p w14:paraId="5CCBCCAF" w14:textId="2FD6034E" w:rsidR="00EE11FD" w:rsidRDefault="00FC510F" w:rsidP="003D40DD">
      <w:pPr>
        <w:spacing w:after="120"/>
      </w:pPr>
      <w:r>
        <w:rPr>
          <w:rStyle w:val="FootnoteReference"/>
        </w:rPr>
        <w:footnoteRef/>
      </w:r>
      <w:r>
        <w:t xml:space="preserve"> </w:t>
      </w:r>
      <w:r>
        <w:tab/>
        <w:t>Petitioner’s seeming reliance</w:t>
      </w:r>
      <w:r w:rsidRPr="00C01F26">
        <w:t xml:space="preserve"> on </w:t>
      </w:r>
      <w:r w:rsidRPr="00C01F26">
        <w:rPr>
          <w:i/>
          <w:iCs/>
        </w:rPr>
        <w:t>Humphrey</w:t>
      </w:r>
      <w:r>
        <w:t xml:space="preserve"> is also unavailin</w:t>
      </w:r>
      <w:r>
        <w:t>g</w:t>
      </w:r>
      <w:r w:rsidRPr="00C01F26">
        <w:t xml:space="preserve">.  </w:t>
      </w:r>
      <w:r>
        <w:t>T</w:t>
      </w:r>
      <w:r w:rsidRPr="00C01F26">
        <w:t xml:space="preserve">he question of whether proffered evidence can support a denial of bail was neither presented nor discussed in </w:t>
      </w:r>
      <w:r w:rsidRPr="00C01F26">
        <w:rPr>
          <w:i/>
          <w:iCs/>
        </w:rPr>
        <w:t>Humphrey</w:t>
      </w:r>
      <w:r w:rsidRPr="00C01F26">
        <w:t>.</w:t>
      </w:r>
    </w:p>
  </w:footnote>
  <w:footnote w:id="5">
    <w:p w14:paraId="111BE61F" w14:textId="59125B05" w:rsidR="006832A0" w:rsidRPr="009D2EC9" w:rsidRDefault="00FC510F" w:rsidP="00A30BE8">
      <w:pPr>
        <w:pStyle w:val="FootnoteText"/>
        <w:spacing w:after="120"/>
      </w:pPr>
      <w:r w:rsidRPr="009D2EC9">
        <w:rPr>
          <w:rStyle w:val="FootnoteReference"/>
        </w:rPr>
        <w:footnoteRef/>
      </w:r>
      <w:r w:rsidRPr="009D2EC9">
        <w:t xml:space="preserve"> </w:t>
      </w:r>
      <w:r w:rsidRPr="009D2EC9">
        <w:tab/>
        <w:t xml:space="preserve">As indicated, </w:t>
      </w:r>
      <w:r w:rsidRPr="009D2EC9">
        <w:rPr>
          <w:i/>
          <w:iCs/>
        </w:rPr>
        <w:t>Salerno</w:t>
      </w:r>
      <w:r w:rsidRPr="009D2EC9">
        <w:t xml:space="preserve"> referred to the procedural safeguards in the </w:t>
      </w:r>
      <w:r w:rsidR="00AA0150" w:rsidRPr="009D2EC9">
        <w:t>Bail Reform A</w:t>
      </w:r>
      <w:r w:rsidRPr="009D2EC9">
        <w:t>ct as “extensive.”  (</w:t>
      </w:r>
      <w:r w:rsidRPr="009D2EC9">
        <w:rPr>
          <w:i/>
          <w:iCs/>
        </w:rPr>
        <w:t>Salerno</w:t>
      </w:r>
      <w:r w:rsidRPr="009D2EC9">
        <w:t xml:space="preserve">, </w:t>
      </w:r>
      <w:r w:rsidRPr="009D2EC9">
        <w:rPr>
          <w:i/>
          <w:iCs/>
        </w:rPr>
        <w:t>supra</w:t>
      </w:r>
      <w:r w:rsidRPr="009D2EC9">
        <w:t>, 481 U.S. at</w:t>
      </w:r>
      <w:r w:rsidRPr="009D2EC9">
        <w:t xml:space="preserve"> p. 752.)  </w:t>
      </w:r>
      <w:r w:rsidR="00AA0150" w:rsidRPr="009D2EC9">
        <w:t xml:space="preserve">Given the lack of adequate briefing </w:t>
      </w:r>
      <w:r w:rsidR="00974A4A" w:rsidRPr="009D2EC9">
        <w:t>on this issue</w:t>
      </w:r>
      <w:r w:rsidR="00AA0150" w:rsidRPr="009D2EC9">
        <w:t>, w</w:t>
      </w:r>
      <w:r w:rsidRPr="009D2EC9">
        <w:t>e do not consider or decide whether and which of th</w:t>
      </w:r>
      <w:r w:rsidR="00AA0150" w:rsidRPr="009D2EC9">
        <w:t>ose</w:t>
      </w:r>
      <w:r w:rsidRPr="009D2EC9">
        <w:t xml:space="preserve"> </w:t>
      </w:r>
      <w:r w:rsidR="00AA0150" w:rsidRPr="009D2EC9">
        <w:t xml:space="preserve">federal </w:t>
      </w:r>
      <w:r w:rsidRPr="009D2EC9">
        <w:t xml:space="preserve">safeguards </w:t>
      </w:r>
      <w:r w:rsidR="00AA0150" w:rsidRPr="009D2EC9">
        <w:t>may be</w:t>
      </w:r>
      <w:r w:rsidRPr="009D2EC9">
        <w:t xml:space="preserve"> necessary to </w:t>
      </w:r>
      <w:r w:rsidR="00A67016" w:rsidRPr="009D2EC9">
        <w:t>defeat</w:t>
      </w:r>
      <w:r w:rsidRPr="009D2EC9">
        <w:t xml:space="preserve"> a due process challenge</w:t>
      </w:r>
      <w:r w:rsidR="00AA0150" w:rsidRPr="009D2EC9">
        <w:t>.  N</w:t>
      </w:r>
      <w:r w:rsidRPr="009D2EC9">
        <w:t xml:space="preserve">or do we suggest </w:t>
      </w:r>
      <w:r w:rsidR="00AA0150" w:rsidRPr="009D2EC9">
        <w:t xml:space="preserve">that </w:t>
      </w:r>
      <w:r w:rsidRPr="009D2EC9">
        <w:t xml:space="preserve">all </w:t>
      </w:r>
      <w:r w:rsidR="00AA0150" w:rsidRPr="009D2EC9">
        <w:t>such</w:t>
      </w:r>
      <w:r w:rsidRPr="009D2EC9">
        <w:t xml:space="preserve"> safeguards </w:t>
      </w:r>
      <w:r w:rsidR="00A67016" w:rsidRPr="009D2EC9">
        <w:t>are required</w:t>
      </w:r>
      <w:r w:rsidRPr="009D2EC9">
        <w:t xml:space="preserve"> to repel a</w:t>
      </w:r>
      <w:r w:rsidRPr="009D2EC9">
        <w:t xml:space="preserve"> due process challenge.</w:t>
      </w:r>
    </w:p>
  </w:footnote>
  <w:footnote w:id="6">
    <w:p w14:paraId="78BEC15E" w14:textId="4BAB4474" w:rsidR="00A27167" w:rsidRDefault="00FC510F" w:rsidP="009D2EC9">
      <w:pPr>
        <w:pStyle w:val="FootnoteText"/>
        <w:spacing w:after="120"/>
      </w:pPr>
      <w:r w:rsidRPr="009D2EC9">
        <w:rPr>
          <w:rStyle w:val="FootnoteReference"/>
        </w:rPr>
        <w:footnoteRef/>
      </w:r>
      <w:r w:rsidRPr="009D2EC9">
        <w:t xml:space="preserve"> </w:t>
      </w:r>
      <w:r w:rsidRPr="009D2EC9">
        <w:tab/>
        <w:t xml:space="preserve">Petitioner attempts to distinguish </w:t>
      </w:r>
      <w:r w:rsidRPr="009D2EC9">
        <w:rPr>
          <w:i/>
          <w:iCs/>
        </w:rPr>
        <w:t>Salerno</w:t>
      </w:r>
      <w:r w:rsidRPr="009D2EC9">
        <w:t xml:space="preserve"> on the ground that the federal Bail Reform Act specifically</w:t>
      </w:r>
      <w:r w:rsidRPr="00FA7FA5">
        <w:t xml:space="preserve"> allows for the use of proffers at bail proceedings, but fails to explain why the source of the practice of using proffers is r</w:t>
      </w:r>
      <w:r w:rsidRPr="00FA7FA5">
        <w:t>elevant.  Petitioner also points out that section 12 requires clear and convincing evidence, but</w:t>
      </w:r>
      <w:r>
        <w:t xml:space="preserve"> the same is true in</w:t>
      </w:r>
      <w:r w:rsidRPr="00FA7FA5">
        <w:t xml:space="preserve"> the federal </w:t>
      </w:r>
      <w:r>
        <w:t xml:space="preserve">act. </w:t>
      </w:r>
      <w:r w:rsidRPr="00FA7FA5">
        <w:t xml:space="preserve"> (18 U.S.C. § 3142(f); </w:t>
      </w:r>
      <w:r w:rsidRPr="00FA7FA5">
        <w:rPr>
          <w:i/>
          <w:iCs/>
        </w:rPr>
        <w:t>Salerno</w:t>
      </w:r>
      <w:r w:rsidRPr="00FA7FA5">
        <w:t xml:space="preserve">, </w:t>
      </w:r>
      <w:r w:rsidRPr="00FA7FA5">
        <w:rPr>
          <w:i/>
          <w:iCs/>
        </w:rPr>
        <w:t>supra</w:t>
      </w:r>
      <w:r w:rsidRPr="00FA7FA5">
        <w:t>, 481 U.S. at p. 750</w:t>
      </w:r>
      <w:r>
        <w:t>.</w:t>
      </w:r>
      <w:r w:rsidRPr="00FA7FA5">
        <w:t>)</w:t>
      </w:r>
    </w:p>
  </w:footnote>
  <w:footnote w:id="7">
    <w:p w14:paraId="1336B15E" w14:textId="0C1849ED" w:rsidR="00A27167" w:rsidRPr="009D2EC9" w:rsidRDefault="00FC510F" w:rsidP="007C053A">
      <w:pPr>
        <w:pStyle w:val="FootnoteText"/>
        <w:spacing w:after="120"/>
      </w:pPr>
      <w:r>
        <w:rPr>
          <w:rStyle w:val="FootnoteReference"/>
        </w:rPr>
        <w:footnoteRef/>
      </w:r>
      <w:r>
        <w:t xml:space="preserve"> </w:t>
      </w:r>
      <w:r>
        <w:tab/>
      </w:r>
      <w:r w:rsidRPr="009419C7">
        <w:rPr>
          <w:szCs w:val="26"/>
        </w:rPr>
        <w:t xml:space="preserve">Petitioner—who is represented by counsel—is </w:t>
      </w:r>
      <w:r w:rsidRPr="009419C7">
        <w:rPr>
          <w:szCs w:val="26"/>
        </w:rPr>
        <w:t>required to present</w:t>
      </w:r>
      <w:r w:rsidRPr="00CC7CEB">
        <w:t xml:space="preserve"> arguments under specific headings and to support arguments with authority </w:t>
      </w:r>
      <w:r w:rsidRPr="009D2EC9">
        <w:t>when possible.  (Cal. Rules of Court, rules 8.204(a)(1)(B) &amp; 8.384(a)(1)–(2).)</w:t>
      </w:r>
    </w:p>
  </w:footnote>
  <w:footnote w:id="8">
    <w:p w14:paraId="11F5F81D" w14:textId="40EBF747" w:rsidR="00214936" w:rsidRPr="00755204" w:rsidRDefault="00FC510F" w:rsidP="009C0F20">
      <w:pPr>
        <w:pStyle w:val="NormalWeb"/>
        <w:shd w:val="clear" w:color="auto" w:fill="FFFFFF"/>
        <w:spacing w:before="0" w:beforeAutospacing="0" w:after="120" w:afterAutospacing="0"/>
      </w:pPr>
      <w:r w:rsidRPr="009D2EC9">
        <w:rPr>
          <w:rStyle w:val="FootnoteReference"/>
          <w:rFonts w:ascii="Century Schoolbook" w:hAnsi="Century Schoolbook"/>
          <w:sz w:val="26"/>
          <w:szCs w:val="26"/>
        </w:rPr>
        <w:footnoteRef/>
      </w:r>
      <w:r w:rsidRPr="009D2EC9">
        <w:rPr>
          <w:rFonts w:ascii="Century Schoolbook" w:hAnsi="Century Schoolbook"/>
          <w:sz w:val="26"/>
          <w:szCs w:val="26"/>
        </w:rPr>
        <w:t xml:space="preserve"> </w:t>
      </w:r>
      <w:r w:rsidRPr="009D2EC9">
        <w:rPr>
          <w:rFonts w:ascii="Century Schoolbook" w:hAnsi="Century Schoolbook"/>
          <w:sz w:val="26"/>
          <w:szCs w:val="26"/>
        </w:rPr>
        <w:tab/>
        <w:t>Section</w:t>
      </w:r>
      <w:r w:rsidR="00D12760" w:rsidRPr="009D2EC9">
        <w:rPr>
          <w:rFonts w:ascii="Century Schoolbook" w:hAnsi="Century Schoolbook"/>
          <w:sz w:val="26"/>
          <w:szCs w:val="26"/>
        </w:rPr>
        <w:t> </w:t>
      </w:r>
      <w:r w:rsidRPr="009D2EC9">
        <w:rPr>
          <w:rFonts w:ascii="Century Schoolbook" w:hAnsi="Century Schoolbook"/>
          <w:sz w:val="26"/>
          <w:szCs w:val="26"/>
        </w:rPr>
        <w:t>1319 provides in relevant part that in cases where a defendant is charge</w:t>
      </w:r>
      <w:r w:rsidRPr="009D2EC9">
        <w:rPr>
          <w:rFonts w:ascii="Century Schoolbook" w:hAnsi="Century Schoolbook"/>
          <w:sz w:val="26"/>
          <w:szCs w:val="26"/>
        </w:rPr>
        <w:t>d with a violent felony as described in section</w:t>
      </w:r>
      <w:r w:rsidR="00D12760" w:rsidRPr="009D2EC9">
        <w:rPr>
          <w:rFonts w:ascii="Century Schoolbook" w:hAnsi="Century Schoolbook"/>
          <w:sz w:val="26"/>
          <w:szCs w:val="26"/>
        </w:rPr>
        <w:t> </w:t>
      </w:r>
      <w:r w:rsidRPr="009D2EC9">
        <w:rPr>
          <w:rFonts w:ascii="Century Schoolbook" w:hAnsi="Century Schoolbook"/>
          <w:sz w:val="26"/>
          <w:szCs w:val="26"/>
        </w:rPr>
        <w:t>667.5, subdivision (c), the trial court</w:t>
      </w:r>
      <w:r w:rsidR="00755204" w:rsidRPr="009D2EC9">
        <w:rPr>
          <w:rFonts w:ascii="Century Schoolbook" w:hAnsi="Century Schoolbook"/>
          <w:sz w:val="26"/>
          <w:szCs w:val="26"/>
        </w:rPr>
        <w:t xml:space="preserve"> “shall consider” the following in determining whether or not to grant release of the defendant:  “</w:t>
      </w:r>
      <w:r w:rsidR="00755204" w:rsidRPr="009D2EC9">
        <w:rPr>
          <w:rStyle w:val="added-material"/>
          <w:rFonts w:ascii="Century Schoolbook" w:hAnsi="Century Schoolbook"/>
          <w:sz w:val="26"/>
          <w:szCs w:val="26"/>
        </w:rPr>
        <w:t>(1)</w:t>
      </w:r>
      <w:r w:rsidR="00755204" w:rsidRPr="009D2EC9">
        <w:rPr>
          <w:rStyle w:val="added-material"/>
          <w:rFonts w:ascii="Century Schoolbook" w:hAnsi="Century Schoolbook"/>
          <w:sz w:val="26"/>
          <w:szCs w:val="26"/>
        </w:rPr>
        <w:t> </w:t>
      </w:r>
      <w:r w:rsidR="00755204" w:rsidRPr="009D2EC9">
        <w:rPr>
          <w:rStyle w:val="added-material"/>
          <w:rFonts w:ascii="Century Schoolbook" w:hAnsi="Century Schoolbook"/>
          <w:sz w:val="26"/>
          <w:szCs w:val="26"/>
        </w:rPr>
        <w:t xml:space="preserve">The existence of any outstanding felony warrants on the defendant.  </w:t>
      </w:r>
      <w:r w:rsidR="00D12760" w:rsidRPr="009D2EC9">
        <w:rPr>
          <w:rStyle w:val="added-material"/>
          <w:rFonts w:ascii="Century Schoolbook" w:hAnsi="Century Schoolbook"/>
          <w:sz w:val="26"/>
          <w:szCs w:val="26"/>
        </w:rPr>
        <w:t>[¶</w:t>
      </w:r>
      <w:r w:rsidR="00755204" w:rsidRPr="009D2EC9">
        <w:rPr>
          <w:rStyle w:val="added-material"/>
          <w:rFonts w:ascii="Century Schoolbook" w:hAnsi="Century Schoolbook"/>
          <w:sz w:val="26"/>
          <w:szCs w:val="26"/>
        </w:rPr>
        <w:t>] (2)</w:t>
      </w:r>
      <w:r w:rsidR="00755204" w:rsidRPr="009D2EC9">
        <w:rPr>
          <w:rStyle w:val="added-material"/>
          <w:rFonts w:ascii="Century Schoolbook" w:hAnsi="Century Schoolbook"/>
          <w:sz w:val="26"/>
          <w:szCs w:val="26"/>
        </w:rPr>
        <w:t> </w:t>
      </w:r>
      <w:r w:rsidR="00755204" w:rsidRPr="009D2EC9">
        <w:rPr>
          <w:rStyle w:val="added-material"/>
          <w:rFonts w:ascii="Century Schoolbook" w:hAnsi="Century Schoolbook"/>
          <w:sz w:val="26"/>
          <w:szCs w:val="26"/>
        </w:rPr>
        <w:t xml:space="preserve">Any other information presented in the report prepared pursuant to </w:t>
      </w:r>
      <w:r w:rsidR="00755204" w:rsidRPr="009D2EC9">
        <w:rPr>
          <w:rFonts w:ascii="Century Schoolbook" w:hAnsi="Century Schoolbook"/>
          <w:sz w:val="26"/>
          <w:szCs w:val="26"/>
        </w:rPr>
        <w:t>Section</w:t>
      </w:r>
      <w:r w:rsidR="00D12760" w:rsidRPr="009D2EC9">
        <w:rPr>
          <w:rFonts w:ascii="Century Schoolbook" w:hAnsi="Century Schoolbook"/>
          <w:sz w:val="26"/>
          <w:szCs w:val="26"/>
        </w:rPr>
        <w:t> </w:t>
      </w:r>
      <w:r w:rsidR="00755204" w:rsidRPr="009D2EC9">
        <w:rPr>
          <w:rFonts w:ascii="Century Schoolbook" w:hAnsi="Century Schoolbook"/>
          <w:sz w:val="26"/>
          <w:szCs w:val="26"/>
        </w:rPr>
        <w:t>1318.1</w:t>
      </w:r>
      <w:r w:rsidR="00755204" w:rsidRPr="009D2EC9">
        <w:rPr>
          <w:rStyle w:val="cite"/>
          <w:rFonts w:ascii="Century Schoolbook" w:hAnsi="Century Schoolbook"/>
          <w:sz w:val="26"/>
          <w:szCs w:val="26"/>
        </w:rPr>
        <w:t xml:space="preserve">.  </w:t>
      </w:r>
      <w:r w:rsidR="00755204" w:rsidRPr="009D2EC9">
        <w:rPr>
          <w:rStyle w:val="added-material"/>
          <w:rFonts w:ascii="Century Schoolbook" w:hAnsi="Century Schoolbook"/>
          <w:sz w:val="26"/>
          <w:szCs w:val="26"/>
        </w:rPr>
        <w:t xml:space="preserve">The fact that the court has not received the report required by </w:t>
      </w:r>
      <w:r w:rsidR="00755204" w:rsidRPr="009D2EC9">
        <w:rPr>
          <w:rFonts w:ascii="Century Schoolbook" w:hAnsi="Century Schoolbook"/>
          <w:sz w:val="26"/>
          <w:szCs w:val="26"/>
        </w:rPr>
        <w:t>Section</w:t>
      </w:r>
      <w:r w:rsidR="00D12760" w:rsidRPr="009D2EC9">
        <w:rPr>
          <w:rFonts w:ascii="Century Schoolbook" w:hAnsi="Century Schoolbook"/>
          <w:sz w:val="26"/>
          <w:szCs w:val="26"/>
        </w:rPr>
        <w:t> </w:t>
      </w:r>
      <w:r w:rsidR="00755204" w:rsidRPr="009D2EC9">
        <w:rPr>
          <w:rFonts w:ascii="Century Schoolbook" w:hAnsi="Century Schoolbook"/>
          <w:sz w:val="26"/>
          <w:szCs w:val="26"/>
        </w:rPr>
        <w:t>1318.1</w:t>
      </w:r>
      <w:r w:rsidR="00755204" w:rsidRPr="009D2EC9">
        <w:rPr>
          <w:rStyle w:val="added-material"/>
          <w:rFonts w:ascii="Century Schoolbook" w:hAnsi="Century Schoolbook"/>
          <w:sz w:val="26"/>
          <w:szCs w:val="26"/>
        </w:rPr>
        <w:t>, at the time of the hearing to decide whether to release the defendant on his or her own recognizance, shall not preclude that release.</w:t>
      </w:r>
      <w:r w:rsidR="00655840" w:rsidRPr="009D2EC9">
        <w:rPr>
          <w:rStyle w:val="added-material"/>
          <w:rFonts w:ascii="Century Schoolbook" w:hAnsi="Century Schoolbook"/>
          <w:sz w:val="26"/>
          <w:szCs w:val="26"/>
        </w:rPr>
        <w:t xml:space="preserve"> </w:t>
      </w:r>
      <w:r w:rsidR="00755204" w:rsidRPr="009D2EC9">
        <w:rPr>
          <w:rStyle w:val="added-material"/>
          <w:rFonts w:ascii="Century Schoolbook" w:hAnsi="Century Schoolbook"/>
          <w:sz w:val="26"/>
          <w:szCs w:val="26"/>
        </w:rPr>
        <w:t xml:space="preserve"> </w:t>
      </w:r>
      <w:r w:rsidR="00D12760" w:rsidRPr="009D2EC9">
        <w:rPr>
          <w:rStyle w:val="added-material"/>
          <w:rFonts w:ascii="Century Schoolbook" w:hAnsi="Century Schoolbook"/>
          <w:sz w:val="26"/>
          <w:szCs w:val="26"/>
        </w:rPr>
        <w:t>[¶</w:t>
      </w:r>
      <w:r w:rsidR="00755204" w:rsidRPr="009D2EC9">
        <w:rPr>
          <w:rStyle w:val="added-material"/>
          <w:rFonts w:ascii="Century Schoolbook" w:hAnsi="Century Schoolbook"/>
          <w:sz w:val="26"/>
          <w:szCs w:val="26"/>
        </w:rPr>
        <w:t>] (3)</w:t>
      </w:r>
      <w:r w:rsidR="00755204" w:rsidRPr="009D2EC9">
        <w:rPr>
          <w:rStyle w:val="added-material"/>
          <w:rFonts w:ascii="Century Schoolbook" w:hAnsi="Century Schoolbook"/>
          <w:sz w:val="26"/>
          <w:szCs w:val="26"/>
        </w:rPr>
        <w:t> </w:t>
      </w:r>
      <w:r w:rsidR="00755204" w:rsidRPr="009D2EC9">
        <w:rPr>
          <w:rStyle w:val="added-material"/>
          <w:rFonts w:ascii="Century Schoolbook" w:hAnsi="Century Schoolbook"/>
          <w:i/>
          <w:iCs/>
          <w:sz w:val="26"/>
          <w:szCs w:val="26"/>
        </w:rPr>
        <w:t>Any other information presented by the prosecuting attorney</w:t>
      </w:r>
      <w:r w:rsidR="00755204" w:rsidRPr="009D2EC9">
        <w:rPr>
          <w:rStyle w:val="added-material"/>
          <w:rFonts w:ascii="Century Schoolbook" w:hAnsi="Century Schoolbook"/>
          <w:sz w:val="26"/>
          <w:szCs w:val="26"/>
        </w:rPr>
        <w:t>.”  (Italics added.)</w:t>
      </w:r>
      <w:r w:rsidR="00755204">
        <w:rPr>
          <w:rStyle w:val="added-material"/>
          <w:rFonts w:ascii="Century Schoolbook" w:hAnsi="Century Schoolbook"/>
          <w:sz w:val="26"/>
          <w:szCs w:val="26"/>
        </w:rPr>
        <w:t xml:space="preserve"> </w:t>
      </w:r>
    </w:p>
  </w:footnote>
  <w:footnote w:id="9">
    <w:p w14:paraId="6FAD5EB3" w14:textId="190A8E97" w:rsidR="00A27167" w:rsidRDefault="00FC510F" w:rsidP="007C053A">
      <w:pPr>
        <w:pStyle w:val="FootnoteText"/>
        <w:spacing w:after="120"/>
      </w:pPr>
      <w:r>
        <w:rPr>
          <w:rStyle w:val="FootnoteReference"/>
        </w:rPr>
        <w:footnoteRef/>
      </w:r>
      <w:r>
        <w:t xml:space="preserve"> </w:t>
      </w:r>
      <w:r>
        <w:tab/>
        <w:t>Again</w:t>
      </w:r>
      <w:r w:rsidRPr="00DD379D">
        <w:t xml:space="preserve">, that risk assessment was </w:t>
      </w:r>
      <w:r w:rsidR="00DB43FA">
        <w:t>completed</w:t>
      </w:r>
      <w:r w:rsidR="00DB43FA" w:rsidRPr="00DD379D">
        <w:t xml:space="preserve"> </w:t>
      </w:r>
      <w:r w:rsidRPr="00DD379D">
        <w:t>simply by considering the eight factors noted</w:t>
      </w:r>
      <w:r>
        <w:t xml:space="preserve"> in</w:t>
      </w:r>
      <w:r w:rsidRPr="00DD379D">
        <w:t xml:space="preserve"> footnote 2, </w:t>
      </w:r>
      <w:r w:rsidRPr="00692E64">
        <w:rPr>
          <w:i/>
          <w:iCs/>
        </w:rPr>
        <w:t>ante</w:t>
      </w:r>
      <w:r w:rsidRPr="00DD379D">
        <w:t>,</w:t>
      </w:r>
      <w:r w:rsidRPr="00DD379D">
        <w:t xml:space="preserve"> without interviewing petitioner, or mention</w:t>
      </w:r>
      <w:r>
        <w:t>ing</w:t>
      </w:r>
      <w:r w:rsidRPr="00DD379D">
        <w:t xml:space="preserve"> the circumstances underlying his offense. </w:t>
      </w:r>
    </w:p>
  </w:footnote>
  <w:footnote w:id="10">
    <w:p w14:paraId="5A99492A" w14:textId="2510FF86" w:rsidR="00A27167" w:rsidRDefault="00FC510F" w:rsidP="008307C3">
      <w:pPr>
        <w:spacing w:after="120"/>
      </w:pPr>
      <w:r>
        <w:rPr>
          <w:rStyle w:val="FootnoteReference"/>
        </w:rPr>
        <w:footnoteRef/>
      </w:r>
      <w:r>
        <w:t xml:space="preserve"> </w:t>
      </w:r>
      <w:r>
        <w:tab/>
        <w:t>W</w:t>
      </w:r>
      <w:r w:rsidRPr="00E16F00">
        <w:t xml:space="preserve">e do not </w:t>
      </w:r>
      <w:r>
        <w:t>suggest</w:t>
      </w:r>
      <w:r w:rsidRPr="00E16F00">
        <w:t xml:space="preserve"> that </w:t>
      </w:r>
      <w:r>
        <w:t>a trial court’s</w:t>
      </w:r>
      <w:r w:rsidRPr="00E16F00">
        <w:t xml:space="preserve"> statement must be formal or that there are “magic words” that</w:t>
      </w:r>
      <w:r>
        <w:t xml:space="preserve"> a court must</w:t>
      </w:r>
      <w:r w:rsidRPr="00E16F00">
        <w:t xml:space="preserve"> </w:t>
      </w:r>
      <w:r>
        <w:t>recite</w:t>
      </w:r>
      <w:r w:rsidRPr="00E16F00">
        <w:t xml:space="preserve">. </w:t>
      </w:r>
      <w:r>
        <w:t xml:space="preserve"> (</w:t>
      </w:r>
      <w:r w:rsidRPr="00D83128">
        <w:rPr>
          <w:i/>
          <w:iCs/>
        </w:rPr>
        <w:t>Kent</w:t>
      </w:r>
      <w:r>
        <w:t xml:space="preserve">, </w:t>
      </w:r>
      <w:r w:rsidRPr="00D83128">
        <w:rPr>
          <w:i/>
          <w:iCs/>
        </w:rPr>
        <w:t>supra</w:t>
      </w:r>
      <w:r>
        <w:t xml:space="preserve">, 383 U.S. at p. 561 [statement of reasons need not be formal nor necessarily include “conventional findings of fact”]; </w:t>
      </w:r>
      <w:r w:rsidRPr="00AA2B26">
        <w:rPr>
          <w:i/>
          <w:iCs/>
        </w:rPr>
        <w:t>In re Podesto</w:t>
      </w:r>
      <w:r>
        <w:t xml:space="preserve">, </w:t>
      </w:r>
      <w:r w:rsidRPr="00D83128">
        <w:rPr>
          <w:i/>
          <w:iCs/>
        </w:rPr>
        <w:t>supra</w:t>
      </w:r>
      <w:r>
        <w:t>, 15 Cal.3d at p. 938 [statement of reasons in support of an order denying a motion for bail on appeal “</w:t>
      </w:r>
      <w:r w:rsidRPr="002F044E">
        <w:t>need not inc</w:t>
      </w:r>
      <w:r w:rsidRPr="002F044E">
        <w:t>lude conventional findings of fact</w:t>
      </w:r>
      <w:r>
        <w:t xml:space="preserve">”].) </w:t>
      </w:r>
      <w:r w:rsidRPr="00E16F00">
        <w:t xml:space="preserve"> But </w:t>
      </w:r>
      <w:bookmarkStart w:id="33" w:name="_Hlk82091302"/>
      <w:r w:rsidRPr="00E16F00">
        <w:t xml:space="preserve">the statement should </w:t>
      </w:r>
      <w:r>
        <w:t>“clearly articulate the court’s evaluative process” and “</w:t>
      </w:r>
      <w:r w:rsidRPr="00E16F00">
        <w:t>set forth the basis for the order with sufficient specificity to permit meaningful review.”  (</w:t>
      </w:r>
      <w:r w:rsidRPr="00226D1B">
        <w:rPr>
          <w:i/>
          <w:iCs/>
        </w:rPr>
        <w:t>Pipinos</w:t>
      </w:r>
      <w:r>
        <w:t xml:space="preserve">, </w:t>
      </w:r>
      <w:r w:rsidRPr="00226D1B">
        <w:rPr>
          <w:i/>
          <w:iCs/>
        </w:rPr>
        <w:t>supra</w:t>
      </w:r>
      <w:r>
        <w:t xml:space="preserve">, 33 Cal.3d at p. 205; </w:t>
      </w:r>
      <w:r w:rsidRPr="00D83128">
        <w:rPr>
          <w:i/>
          <w:iCs/>
        </w:rPr>
        <w:t>Ken</w:t>
      </w:r>
      <w:r w:rsidRPr="00D83128">
        <w:rPr>
          <w:i/>
          <w:iCs/>
        </w:rPr>
        <w:t>t</w:t>
      </w:r>
      <w:r w:rsidRPr="00E16F00">
        <w:t xml:space="preserve">, </w:t>
      </w:r>
      <w:r w:rsidRPr="00D83128">
        <w:rPr>
          <w:i/>
          <w:iCs/>
        </w:rPr>
        <w:t>supra</w:t>
      </w:r>
      <w:r w:rsidRPr="00E16F00">
        <w:t>, at p.</w:t>
      </w:r>
      <w:r>
        <w:t> </w:t>
      </w:r>
      <w:r w:rsidRPr="00E16F00">
        <w:t>561.)</w:t>
      </w:r>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8DDA" w14:textId="1D279A51" w:rsidR="00250CBD" w:rsidRPr="00250CBD" w:rsidRDefault="00250CBD" w:rsidP="00250CBD">
    <w:pPr>
      <w:pStyle w:val="Header"/>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2D"/>
    <w:rsid w:val="00000870"/>
    <w:rsid w:val="00001265"/>
    <w:rsid w:val="00001C97"/>
    <w:rsid w:val="00002D4A"/>
    <w:rsid w:val="00002E76"/>
    <w:rsid w:val="00003C20"/>
    <w:rsid w:val="000041D3"/>
    <w:rsid w:val="00004E87"/>
    <w:rsid w:val="00005059"/>
    <w:rsid w:val="00005F08"/>
    <w:rsid w:val="00006BCD"/>
    <w:rsid w:val="00006C59"/>
    <w:rsid w:val="0000709A"/>
    <w:rsid w:val="0001105D"/>
    <w:rsid w:val="00011061"/>
    <w:rsid w:val="00011272"/>
    <w:rsid w:val="000114FF"/>
    <w:rsid w:val="00011CBE"/>
    <w:rsid w:val="000121F7"/>
    <w:rsid w:val="00012AD3"/>
    <w:rsid w:val="00013813"/>
    <w:rsid w:val="00015820"/>
    <w:rsid w:val="00015BE5"/>
    <w:rsid w:val="00015BFB"/>
    <w:rsid w:val="000160C0"/>
    <w:rsid w:val="00016268"/>
    <w:rsid w:val="000163AD"/>
    <w:rsid w:val="000163F0"/>
    <w:rsid w:val="00016643"/>
    <w:rsid w:val="0001773E"/>
    <w:rsid w:val="0002092B"/>
    <w:rsid w:val="0002157F"/>
    <w:rsid w:val="000218B8"/>
    <w:rsid w:val="00022978"/>
    <w:rsid w:val="00023853"/>
    <w:rsid w:val="0002449C"/>
    <w:rsid w:val="000254BB"/>
    <w:rsid w:val="00025EEB"/>
    <w:rsid w:val="00026919"/>
    <w:rsid w:val="000269C1"/>
    <w:rsid w:val="00026FA6"/>
    <w:rsid w:val="0002738C"/>
    <w:rsid w:val="00027572"/>
    <w:rsid w:val="00027613"/>
    <w:rsid w:val="0003069A"/>
    <w:rsid w:val="000312DD"/>
    <w:rsid w:val="00031B41"/>
    <w:rsid w:val="000321BF"/>
    <w:rsid w:val="0003233E"/>
    <w:rsid w:val="000333C3"/>
    <w:rsid w:val="00033654"/>
    <w:rsid w:val="00033D01"/>
    <w:rsid w:val="00034D94"/>
    <w:rsid w:val="000360B2"/>
    <w:rsid w:val="00037496"/>
    <w:rsid w:val="00041300"/>
    <w:rsid w:val="000414D3"/>
    <w:rsid w:val="00042979"/>
    <w:rsid w:val="00047936"/>
    <w:rsid w:val="00047B66"/>
    <w:rsid w:val="00050804"/>
    <w:rsid w:val="00050AA3"/>
    <w:rsid w:val="00050F8B"/>
    <w:rsid w:val="000512E2"/>
    <w:rsid w:val="00051FEE"/>
    <w:rsid w:val="000527D2"/>
    <w:rsid w:val="00052D3F"/>
    <w:rsid w:val="00053ABD"/>
    <w:rsid w:val="000548C8"/>
    <w:rsid w:val="000552A9"/>
    <w:rsid w:val="000603A0"/>
    <w:rsid w:val="00060550"/>
    <w:rsid w:val="000605E8"/>
    <w:rsid w:val="00060DA6"/>
    <w:rsid w:val="00060E50"/>
    <w:rsid w:val="000616D2"/>
    <w:rsid w:val="00061B3F"/>
    <w:rsid w:val="000636C0"/>
    <w:rsid w:val="00065627"/>
    <w:rsid w:val="00066383"/>
    <w:rsid w:val="000704C0"/>
    <w:rsid w:val="00070CF5"/>
    <w:rsid w:val="0007153D"/>
    <w:rsid w:val="00071F2C"/>
    <w:rsid w:val="000727F6"/>
    <w:rsid w:val="00072E31"/>
    <w:rsid w:val="0007321E"/>
    <w:rsid w:val="000735D5"/>
    <w:rsid w:val="0007449D"/>
    <w:rsid w:val="0007662E"/>
    <w:rsid w:val="00076DB2"/>
    <w:rsid w:val="00076E44"/>
    <w:rsid w:val="00082730"/>
    <w:rsid w:val="0008337A"/>
    <w:rsid w:val="0008354E"/>
    <w:rsid w:val="00083814"/>
    <w:rsid w:val="00083B4D"/>
    <w:rsid w:val="00083CD5"/>
    <w:rsid w:val="0008409F"/>
    <w:rsid w:val="00084464"/>
    <w:rsid w:val="00084A46"/>
    <w:rsid w:val="00085FE6"/>
    <w:rsid w:val="000866FD"/>
    <w:rsid w:val="00086731"/>
    <w:rsid w:val="00086919"/>
    <w:rsid w:val="00087B07"/>
    <w:rsid w:val="00087C51"/>
    <w:rsid w:val="0009157B"/>
    <w:rsid w:val="00091AD7"/>
    <w:rsid w:val="00091BD7"/>
    <w:rsid w:val="00091D81"/>
    <w:rsid w:val="00092D3E"/>
    <w:rsid w:val="00095AFE"/>
    <w:rsid w:val="00096399"/>
    <w:rsid w:val="000A1917"/>
    <w:rsid w:val="000A2D8C"/>
    <w:rsid w:val="000A3FAF"/>
    <w:rsid w:val="000A425F"/>
    <w:rsid w:val="000A4943"/>
    <w:rsid w:val="000A5C93"/>
    <w:rsid w:val="000B046F"/>
    <w:rsid w:val="000B0AB8"/>
    <w:rsid w:val="000B1449"/>
    <w:rsid w:val="000B1CE9"/>
    <w:rsid w:val="000B1DCE"/>
    <w:rsid w:val="000B1EF7"/>
    <w:rsid w:val="000B26B6"/>
    <w:rsid w:val="000B2F6D"/>
    <w:rsid w:val="000B3216"/>
    <w:rsid w:val="000B370E"/>
    <w:rsid w:val="000B3D64"/>
    <w:rsid w:val="000B5B36"/>
    <w:rsid w:val="000B7D90"/>
    <w:rsid w:val="000B7E68"/>
    <w:rsid w:val="000C034E"/>
    <w:rsid w:val="000C11BA"/>
    <w:rsid w:val="000C26C4"/>
    <w:rsid w:val="000C2B85"/>
    <w:rsid w:val="000C346B"/>
    <w:rsid w:val="000C38C5"/>
    <w:rsid w:val="000C4D7E"/>
    <w:rsid w:val="000D01EE"/>
    <w:rsid w:val="000D1DD2"/>
    <w:rsid w:val="000D1F45"/>
    <w:rsid w:val="000D2C93"/>
    <w:rsid w:val="000D2D22"/>
    <w:rsid w:val="000D2EB5"/>
    <w:rsid w:val="000D3E5B"/>
    <w:rsid w:val="000D4943"/>
    <w:rsid w:val="000D5D15"/>
    <w:rsid w:val="000D615A"/>
    <w:rsid w:val="000D62C3"/>
    <w:rsid w:val="000D6612"/>
    <w:rsid w:val="000D6BC4"/>
    <w:rsid w:val="000D738C"/>
    <w:rsid w:val="000D7B0D"/>
    <w:rsid w:val="000D7CAB"/>
    <w:rsid w:val="000E06DB"/>
    <w:rsid w:val="000E1121"/>
    <w:rsid w:val="000E1918"/>
    <w:rsid w:val="000E1E5F"/>
    <w:rsid w:val="000E315B"/>
    <w:rsid w:val="000E353A"/>
    <w:rsid w:val="000E3878"/>
    <w:rsid w:val="000E468C"/>
    <w:rsid w:val="000E5148"/>
    <w:rsid w:val="000E532A"/>
    <w:rsid w:val="000E6850"/>
    <w:rsid w:val="000E6BCA"/>
    <w:rsid w:val="000E6F81"/>
    <w:rsid w:val="000E76AF"/>
    <w:rsid w:val="000F027D"/>
    <w:rsid w:val="000F3E15"/>
    <w:rsid w:val="000F4C21"/>
    <w:rsid w:val="000F701C"/>
    <w:rsid w:val="000F75FA"/>
    <w:rsid w:val="000F79B5"/>
    <w:rsid w:val="0010102F"/>
    <w:rsid w:val="001026EF"/>
    <w:rsid w:val="00103CB7"/>
    <w:rsid w:val="00103DE5"/>
    <w:rsid w:val="00104411"/>
    <w:rsid w:val="00104536"/>
    <w:rsid w:val="00104B3B"/>
    <w:rsid w:val="00106D37"/>
    <w:rsid w:val="00107778"/>
    <w:rsid w:val="001100B7"/>
    <w:rsid w:val="001103B8"/>
    <w:rsid w:val="001122E2"/>
    <w:rsid w:val="00113C62"/>
    <w:rsid w:val="00114794"/>
    <w:rsid w:val="00114934"/>
    <w:rsid w:val="00115154"/>
    <w:rsid w:val="001160C2"/>
    <w:rsid w:val="00116DA3"/>
    <w:rsid w:val="001176D5"/>
    <w:rsid w:val="0012004B"/>
    <w:rsid w:val="00123107"/>
    <w:rsid w:val="00124013"/>
    <w:rsid w:val="0012455C"/>
    <w:rsid w:val="00125721"/>
    <w:rsid w:val="00125929"/>
    <w:rsid w:val="0012679B"/>
    <w:rsid w:val="00127447"/>
    <w:rsid w:val="0012769D"/>
    <w:rsid w:val="001313F7"/>
    <w:rsid w:val="00131E37"/>
    <w:rsid w:val="00132832"/>
    <w:rsid w:val="001329BD"/>
    <w:rsid w:val="00132B47"/>
    <w:rsid w:val="001330F9"/>
    <w:rsid w:val="00133BC1"/>
    <w:rsid w:val="001344AA"/>
    <w:rsid w:val="001370D9"/>
    <w:rsid w:val="001373B0"/>
    <w:rsid w:val="00137989"/>
    <w:rsid w:val="00140893"/>
    <w:rsid w:val="001411A9"/>
    <w:rsid w:val="001418FB"/>
    <w:rsid w:val="00142E50"/>
    <w:rsid w:val="001434AA"/>
    <w:rsid w:val="001436EA"/>
    <w:rsid w:val="00144824"/>
    <w:rsid w:val="00144D39"/>
    <w:rsid w:val="00146E5E"/>
    <w:rsid w:val="00147131"/>
    <w:rsid w:val="00150A57"/>
    <w:rsid w:val="00150ECF"/>
    <w:rsid w:val="00150FFA"/>
    <w:rsid w:val="00151933"/>
    <w:rsid w:val="00152729"/>
    <w:rsid w:val="001536B3"/>
    <w:rsid w:val="0015397A"/>
    <w:rsid w:val="0015459D"/>
    <w:rsid w:val="00155186"/>
    <w:rsid w:val="00155721"/>
    <w:rsid w:val="00156A34"/>
    <w:rsid w:val="00157843"/>
    <w:rsid w:val="00160988"/>
    <w:rsid w:val="00160C8D"/>
    <w:rsid w:val="00162AC1"/>
    <w:rsid w:val="00162C94"/>
    <w:rsid w:val="001638F6"/>
    <w:rsid w:val="00164E4E"/>
    <w:rsid w:val="00165CB4"/>
    <w:rsid w:val="00165FFA"/>
    <w:rsid w:val="001668CB"/>
    <w:rsid w:val="00170319"/>
    <w:rsid w:val="001720DD"/>
    <w:rsid w:val="001748B2"/>
    <w:rsid w:val="00177074"/>
    <w:rsid w:val="00177DA9"/>
    <w:rsid w:val="0018027B"/>
    <w:rsid w:val="001818F6"/>
    <w:rsid w:val="00181B6B"/>
    <w:rsid w:val="0018260E"/>
    <w:rsid w:val="00182B2D"/>
    <w:rsid w:val="00182E9C"/>
    <w:rsid w:val="00184AE9"/>
    <w:rsid w:val="00185179"/>
    <w:rsid w:val="0018550B"/>
    <w:rsid w:val="001869ED"/>
    <w:rsid w:val="00186B72"/>
    <w:rsid w:val="00187800"/>
    <w:rsid w:val="001913F3"/>
    <w:rsid w:val="00191E2F"/>
    <w:rsid w:val="001921F1"/>
    <w:rsid w:val="00194DB4"/>
    <w:rsid w:val="00194DDD"/>
    <w:rsid w:val="001963E8"/>
    <w:rsid w:val="0019691C"/>
    <w:rsid w:val="00196F4D"/>
    <w:rsid w:val="001A0E8D"/>
    <w:rsid w:val="001A222E"/>
    <w:rsid w:val="001A2977"/>
    <w:rsid w:val="001A31BA"/>
    <w:rsid w:val="001A3DE6"/>
    <w:rsid w:val="001A4A2F"/>
    <w:rsid w:val="001A5543"/>
    <w:rsid w:val="001A5F04"/>
    <w:rsid w:val="001A6012"/>
    <w:rsid w:val="001A6C16"/>
    <w:rsid w:val="001A7061"/>
    <w:rsid w:val="001A7B41"/>
    <w:rsid w:val="001A7B97"/>
    <w:rsid w:val="001A7DCB"/>
    <w:rsid w:val="001B0DC6"/>
    <w:rsid w:val="001B1BAA"/>
    <w:rsid w:val="001B27E7"/>
    <w:rsid w:val="001B42F4"/>
    <w:rsid w:val="001B44E2"/>
    <w:rsid w:val="001B46B8"/>
    <w:rsid w:val="001B4A07"/>
    <w:rsid w:val="001B4A9A"/>
    <w:rsid w:val="001B4B47"/>
    <w:rsid w:val="001B56BB"/>
    <w:rsid w:val="001B603C"/>
    <w:rsid w:val="001B65D1"/>
    <w:rsid w:val="001B6909"/>
    <w:rsid w:val="001B7622"/>
    <w:rsid w:val="001B7BEF"/>
    <w:rsid w:val="001C0528"/>
    <w:rsid w:val="001C1653"/>
    <w:rsid w:val="001C33BD"/>
    <w:rsid w:val="001C379C"/>
    <w:rsid w:val="001C43CA"/>
    <w:rsid w:val="001C4623"/>
    <w:rsid w:val="001C4A5B"/>
    <w:rsid w:val="001C527E"/>
    <w:rsid w:val="001C6E07"/>
    <w:rsid w:val="001D0A67"/>
    <w:rsid w:val="001D3415"/>
    <w:rsid w:val="001D416A"/>
    <w:rsid w:val="001D43DF"/>
    <w:rsid w:val="001D579A"/>
    <w:rsid w:val="001D5B03"/>
    <w:rsid w:val="001D66E4"/>
    <w:rsid w:val="001D683D"/>
    <w:rsid w:val="001D717B"/>
    <w:rsid w:val="001D761A"/>
    <w:rsid w:val="001E04EB"/>
    <w:rsid w:val="001E08A2"/>
    <w:rsid w:val="001E0A35"/>
    <w:rsid w:val="001E1816"/>
    <w:rsid w:val="001E19A8"/>
    <w:rsid w:val="001E1AC7"/>
    <w:rsid w:val="001E27C3"/>
    <w:rsid w:val="001E3A36"/>
    <w:rsid w:val="001E3D5F"/>
    <w:rsid w:val="001E4E10"/>
    <w:rsid w:val="001E5166"/>
    <w:rsid w:val="001E52A6"/>
    <w:rsid w:val="001E5B53"/>
    <w:rsid w:val="001E6148"/>
    <w:rsid w:val="001E644A"/>
    <w:rsid w:val="001E6617"/>
    <w:rsid w:val="001F144F"/>
    <w:rsid w:val="001F14BB"/>
    <w:rsid w:val="001F1BC4"/>
    <w:rsid w:val="001F36B6"/>
    <w:rsid w:val="001F403C"/>
    <w:rsid w:val="001F430B"/>
    <w:rsid w:val="001F43C7"/>
    <w:rsid w:val="001F4482"/>
    <w:rsid w:val="001F4804"/>
    <w:rsid w:val="001F50AC"/>
    <w:rsid w:val="001F527E"/>
    <w:rsid w:val="001F58A9"/>
    <w:rsid w:val="00201A61"/>
    <w:rsid w:val="002039DD"/>
    <w:rsid w:val="00210401"/>
    <w:rsid w:val="002130E8"/>
    <w:rsid w:val="0021412C"/>
    <w:rsid w:val="002146EA"/>
    <w:rsid w:val="00214936"/>
    <w:rsid w:val="00216797"/>
    <w:rsid w:val="002210D0"/>
    <w:rsid w:val="0022141D"/>
    <w:rsid w:val="00221FD6"/>
    <w:rsid w:val="00222055"/>
    <w:rsid w:val="0022282A"/>
    <w:rsid w:val="00223493"/>
    <w:rsid w:val="00223753"/>
    <w:rsid w:val="00223790"/>
    <w:rsid w:val="002241F0"/>
    <w:rsid w:val="00225C64"/>
    <w:rsid w:val="00226745"/>
    <w:rsid w:val="00226D1B"/>
    <w:rsid w:val="002271B6"/>
    <w:rsid w:val="00227219"/>
    <w:rsid w:val="00230E9C"/>
    <w:rsid w:val="00231A8C"/>
    <w:rsid w:val="0023226E"/>
    <w:rsid w:val="00232733"/>
    <w:rsid w:val="00233893"/>
    <w:rsid w:val="00233DDD"/>
    <w:rsid w:val="00235733"/>
    <w:rsid w:val="00235C7E"/>
    <w:rsid w:val="00235E97"/>
    <w:rsid w:val="00242702"/>
    <w:rsid w:val="00242D7C"/>
    <w:rsid w:val="00244007"/>
    <w:rsid w:val="00245060"/>
    <w:rsid w:val="002461B9"/>
    <w:rsid w:val="00247F14"/>
    <w:rsid w:val="00250414"/>
    <w:rsid w:val="00250CBD"/>
    <w:rsid w:val="00251739"/>
    <w:rsid w:val="00251AFA"/>
    <w:rsid w:val="002526BF"/>
    <w:rsid w:val="00252733"/>
    <w:rsid w:val="00253AC1"/>
    <w:rsid w:val="0025462E"/>
    <w:rsid w:val="00254842"/>
    <w:rsid w:val="00260397"/>
    <w:rsid w:val="00260442"/>
    <w:rsid w:val="00260513"/>
    <w:rsid w:val="0026077F"/>
    <w:rsid w:val="00261CF6"/>
    <w:rsid w:val="00262252"/>
    <w:rsid w:val="002625A3"/>
    <w:rsid w:val="00263609"/>
    <w:rsid w:val="00264396"/>
    <w:rsid w:val="00264556"/>
    <w:rsid w:val="0026509E"/>
    <w:rsid w:val="002656B6"/>
    <w:rsid w:val="0026614A"/>
    <w:rsid w:val="00267280"/>
    <w:rsid w:val="00270B5A"/>
    <w:rsid w:val="00270E3D"/>
    <w:rsid w:val="00271F46"/>
    <w:rsid w:val="00272535"/>
    <w:rsid w:val="00273E90"/>
    <w:rsid w:val="00273FA8"/>
    <w:rsid w:val="00274729"/>
    <w:rsid w:val="002749AF"/>
    <w:rsid w:val="00274A9A"/>
    <w:rsid w:val="00274ACF"/>
    <w:rsid w:val="002751D4"/>
    <w:rsid w:val="0027586D"/>
    <w:rsid w:val="0027590F"/>
    <w:rsid w:val="00275F35"/>
    <w:rsid w:val="002762EE"/>
    <w:rsid w:val="002802FA"/>
    <w:rsid w:val="00280B45"/>
    <w:rsid w:val="00280EE7"/>
    <w:rsid w:val="00281CCB"/>
    <w:rsid w:val="002836A7"/>
    <w:rsid w:val="002838A9"/>
    <w:rsid w:val="00284013"/>
    <w:rsid w:val="002852A7"/>
    <w:rsid w:val="002854A6"/>
    <w:rsid w:val="00285D41"/>
    <w:rsid w:val="002871A4"/>
    <w:rsid w:val="0029020C"/>
    <w:rsid w:val="00290511"/>
    <w:rsid w:val="00290BDD"/>
    <w:rsid w:val="0029150C"/>
    <w:rsid w:val="002915AA"/>
    <w:rsid w:val="002921C9"/>
    <w:rsid w:val="00293C8F"/>
    <w:rsid w:val="00293F90"/>
    <w:rsid w:val="00295619"/>
    <w:rsid w:val="002963A4"/>
    <w:rsid w:val="002968E0"/>
    <w:rsid w:val="00296E3C"/>
    <w:rsid w:val="002970EF"/>
    <w:rsid w:val="0029770E"/>
    <w:rsid w:val="0029784E"/>
    <w:rsid w:val="00297CFC"/>
    <w:rsid w:val="002A0B7F"/>
    <w:rsid w:val="002A1D39"/>
    <w:rsid w:val="002A42F7"/>
    <w:rsid w:val="002A4AAA"/>
    <w:rsid w:val="002A5E88"/>
    <w:rsid w:val="002B0DFC"/>
    <w:rsid w:val="002B134D"/>
    <w:rsid w:val="002B1487"/>
    <w:rsid w:val="002B2A15"/>
    <w:rsid w:val="002B2B82"/>
    <w:rsid w:val="002B3246"/>
    <w:rsid w:val="002B3CF5"/>
    <w:rsid w:val="002B467D"/>
    <w:rsid w:val="002B607D"/>
    <w:rsid w:val="002B6BA0"/>
    <w:rsid w:val="002B6C8B"/>
    <w:rsid w:val="002B7B64"/>
    <w:rsid w:val="002C026A"/>
    <w:rsid w:val="002C1099"/>
    <w:rsid w:val="002C10C0"/>
    <w:rsid w:val="002C151C"/>
    <w:rsid w:val="002C2342"/>
    <w:rsid w:val="002C26A2"/>
    <w:rsid w:val="002C2F1E"/>
    <w:rsid w:val="002C3265"/>
    <w:rsid w:val="002C5ED3"/>
    <w:rsid w:val="002C6099"/>
    <w:rsid w:val="002C6823"/>
    <w:rsid w:val="002C7344"/>
    <w:rsid w:val="002D1DA0"/>
    <w:rsid w:val="002D3B20"/>
    <w:rsid w:val="002D4022"/>
    <w:rsid w:val="002D5196"/>
    <w:rsid w:val="002D6342"/>
    <w:rsid w:val="002D652E"/>
    <w:rsid w:val="002E0CD5"/>
    <w:rsid w:val="002E0F2C"/>
    <w:rsid w:val="002E19D6"/>
    <w:rsid w:val="002E1B01"/>
    <w:rsid w:val="002E22DA"/>
    <w:rsid w:val="002E2373"/>
    <w:rsid w:val="002E2D21"/>
    <w:rsid w:val="002E2E0D"/>
    <w:rsid w:val="002E4A16"/>
    <w:rsid w:val="002E530C"/>
    <w:rsid w:val="002E597F"/>
    <w:rsid w:val="002E59D1"/>
    <w:rsid w:val="002E5A47"/>
    <w:rsid w:val="002E6406"/>
    <w:rsid w:val="002E7893"/>
    <w:rsid w:val="002E7C09"/>
    <w:rsid w:val="002F0169"/>
    <w:rsid w:val="002F044E"/>
    <w:rsid w:val="002F202F"/>
    <w:rsid w:val="002F3A2F"/>
    <w:rsid w:val="002F3A61"/>
    <w:rsid w:val="002F44C1"/>
    <w:rsid w:val="002F477E"/>
    <w:rsid w:val="002F4AC3"/>
    <w:rsid w:val="002F54AC"/>
    <w:rsid w:val="002F5F28"/>
    <w:rsid w:val="002F67BC"/>
    <w:rsid w:val="002F6CC9"/>
    <w:rsid w:val="002F7336"/>
    <w:rsid w:val="002F7766"/>
    <w:rsid w:val="002F7D1D"/>
    <w:rsid w:val="003009D3"/>
    <w:rsid w:val="00302670"/>
    <w:rsid w:val="0030510B"/>
    <w:rsid w:val="003062D7"/>
    <w:rsid w:val="003063C6"/>
    <w:rsid w:val="003064F2"/>
    <w:rsid w:val="0030680F"/>
    <w:rsid w:val="00306FA3"/>
    <w:rsid w:val="00307841"/>
    <w:rsid w:val="00311FFD"/>
    <w:rsid w:val="00313926"/>
    <w:rsid w:val="003139C1"/>
    <w:rsid w:val="00313D0A"/>
    <w:rsid w:val="00315515"/>
    <w:rsid w:val="00315C55"/>
    <w:rsid w:val="003167A1"/>
    <w:rsid w:val="00316D36"/>
    <w:rsid w:val="003206F0"/>
    <w:rsid w:val="003207FD"/>
    <w:rsid w:val="003222B1"/>
    <w:rsid w:val="00324D2D"/>
    <w:rsid w:val="00324F9E"/>
    <w:rsid w:val="00325825"/>
    <w:rsid w:val="00325842"/>
    <w:rsid w:val="00326DA2"/>
    <w:rsid w:val="003272E3"/>
    <w:rsid w:val="00327AE5"/>
    <w:rsid w:val="00327B1F"/>
    <w:rsid w:val="00330531"/>
    <w:rsid w:val="00330B50"/>
    <w:rsid w:val="00331126"/>
    <w:rsid w:val="0033364D"/>
    <w:rsid w:val="00333AF8"/>
    <w:rsid w:val="00334C1E"/>
    <w:rsid w:val="0033747A"/>
    <w:rsid w:val="00340C50"/>
    <w:rsid w:val="00342BFA"/>
    <w:rsid w:val="0034416E"/>
    <w:rsid w:val="00345ACB"/>
    <w:rsid w:val="00346F14"/>
    <w:rsid w:val="00347AB9"/>
    <w:rsid w:val="00350914"/>
    <w:rsid w:val="00351914"/>
    <w:rsid w:val="00351F60"/>
    <w:rsid w:val="00352BA5"/>
    <w:rsid w:val="00353B3D"/>
    <w:rsid w:val="00354BAD"/>
    <w:rsid w:val="00356A4F"/>
    <w:rsid w:val="00357FF5"/>
    <w:rsid w:val="0036057B"/>
    <w:rsid w:val="00362202"/>
    <w:rsid w:val="00362726"/>
    <w:rsid w:val="003627BD"/>
    <w:rsid w:val="00362A41"/>
    <w:rsid w:val="003630BE"/>
    <w:rsid w:val="0036364B"/>
    <w:rsid w:val="00363BA1"/>
    <w:rsid w:val="00363D57"/>
    <w:rsid w:val="00364DCE"/>
    <w:rsid w:val="00364F31"/>
    <w:rsid w:val="0036573D"/>
    <w:rsid w:val="003658F0"/>
    <w:rsid w:val="00366058"/>
    <w:rsid w:val="003665D3"/>
    <w:rsid w:val="00367E37"/>
    <w:rsid w:val="003703E9"/>
    <w:rsid w:val="00370F06"/>
    <w:rsid w:val="00371F86"/>
    <w:rsid w:val="0037296D"/>
    <w:rsid w:val="00372BB1"/>
    <w:rsid w:val="003733CB"/>
    <w:rsid w:val="00375038"/>
    <w:rsid w:val="003752A3"/>
    <w:rsid w:val="00375D3E"/>
    <w:rsid w:val="00376822"/>
    <w:rsid w:val="003770C2"/>
    <w:rsid w:val="00377497"/>
    <w:rsid w:val="00381418"/>
    <w:rsid w:val="003825F8"/>
    <w:rsid w:val="00382C67"/>
    <w:rsid w:val="00383345"/>
    <w:rsid w:val="003836DA"/>
    <w:rsid w:val="00383846"/>
    <w:rsid w:val="00383EF7"/>
    <w:rsid w:val="00384790"/>
    <w:rsid w:val="003872A0"/>
    <w:rsid w:val="00387404"/>
    <w:rsid w:val="00387CEB"/>
    <w:rsid w:val="00390A59"/>
    <w:rsid w:val="00391DCF"/>
    <w:rsid w:val="003947C8"/>
    <w:rsid w:val="00395445"/>
    <w:rsid w:val="003A2066"/>
    <w:rsid w:val="003A473E"/>
    <w:rsid w:val="003A47BD"/>
    <w:rsid w:val="003A497B"/>
    <w:rsid w:val="003A4E58"/>
    <w:rsid w:val="003A4F8E"/>
    <w:rsid w:val="003A4FF4"/>
    <w:rsid w:val="003A506B"/>
    <w:rsid w:val="003A5275"/>
    <w:rsid w:val="003A5DD9"/>
    <w:rsid w:val="003A6095"/>
    <w:rsid w:val="003A7731"/>
    <w:rsid w:val="003A7745"/>
    <w:rsid w:val="003B1A0A"/>
    <w:rsid w:val="003B1ED4"/>
    <w:rsid w:val="003B2E4B"/>
    <w:rsid w:val="003B4C56"/>
    <w:rsid w:val="003B67DF"/>
    <w:rsid w:val="003B6B01"/>
    <w:rsid w:val="003B6D7A"/>
    <w:rsid w:val="003B7D6C"/>
    <w:rsid w:val="003C0075"/>
    <w:rsid w:val="003C01C7"/>
    <w:rsid w:val="003C0A53"/>
    <w:rsid w:val="003C162E"/>
    <w:rsid w:val="003C1CEA"/>
    <w:rsid w:val="003C213C"/>
    <w:rsid w:val="003C24DE"/>
    <w:rsid w:val="003C29A9"/>
    <w:rsid w:val="003C3061"/>
    <w:rsid w:val="003C3BFF"/>
    <w:rsid w:val="003C4F11"/>
    <w:rsid w:val="003C51A3"/>
    <w:rsid w:val="003C5389"/>
    <w:rsid w:val="003C55F3"/>
    <w:rsid w:val="003C5D9D"/>
    <w:rsid w:val="003C70A3"/>
    <w:rsid w:val="003C71AD"/>
    <w:rsid w:val="003C7AC4"/>
    <w:rsid w:val="003C7EA8"/>
    <w:rsid w:val="003D0077"/>
    <w:rsid w:val="003D046E"/>
    <w:rsid w:val="003D11B2"/>
    <w:rsid w:val="003D14FA"/>
    <w:rsid w:val="003D1A1F"/>
    <w:rsid w:val="003D24D0"/>
    <w:rsid w:val="003D271F"/>
    <w:rsid w:val="003D3F75"/>
    <w:rsid w:val="003D40DD"/>
    <w:rsid w:val="003D4567"/>
    <w:rsid w:val="003D7BB2"/>
    <w:rsid w:val="003E035A"/>
    <w:rsid w:val="003E0FA3"/>
    <w:rsid w:val="003E113B"/>
    <w:rsid w:val="003E1995"/>
    <w:rsid w:val="003E286E"/>
    <w:rsid w:val="003E2C42"/>
    <w:rsid w:val="003E36F6"/>
    <w:rsid w:val="003E405D"/>
    <w:rsid w:val="003E4ECE"/>
    <w:rsid w:val="003E528A"/>
    <w:rsid w:val="003E59C7"/>
    <w:rsid w:val="003E5D89"/>
    <w:rsid w:val="003E6173"/>
    <w:rsid w:val="003E6A66"/>
    <w:rsid w:val="003E6D21"/>
    <w:rsid w:val="003E75CA"/>
    <w:rsid w:val="003F0AA5"/>
    <w:rsid w:val="003F128E"/>
    <w:rsid w:val="003F15F6"/>
    <w:rsid w:val="003F19C5"/>
    <w:rsid w:val="003F1F60"/>
    <w:rsid w:val="003F2085"/>
    <w:rsid w:val="003F2A00"/>
    <w:rsid w:val="003F396B"/>
    <w:rsid w:val="003F3AAE"/>
    <w:rsid w:val="003F464A"/>
    <w:rsid w:val="003F5248"/>
    <w:rsid w:val="003F55AC"/>
    <w:rsid w:val="003F6C9F"/>
    <w:rsid w:val="003F7281"/>
    <w:rsid w:val="003F7413"/>
    <w:rsid w:val="003F7BB8"/>
    <w:rsid w:val="00402A39"/>
    <w:rsid w:val="00404B4B"/>
    <w:rsid w:val="0040557B"/>
    <w:rsid w:val="00405DA3"/>
    <w:rsid w:val="00405F65"/>
    <w:rsid w:val="004060CA"/>
    <w:rsid w:val="004060F3"/>
    <w:rsid w:val="00406FC2"/>
    <w:rsid w:val="00407B0A"/>
    <w:rsid w:val="00407F44"/>
    <w:rsid w:val="00411AE3"/>
    <w:rsid w:val="0041222F"/>
    <w:rsid w:val="00412C7C"/>
    <w:rsid w:val="004132E1"/>
    <w:rsid w:val="00413F7D"/>
    <w:rsid w:val="00415B18"/>
    <w:rsid w:val="00416129"/>
    <w:rsid w:val="00416712"/>
    <w:rsid w:val="0041686F"/>
    <w:rsid w:val="004170A3"/>
    <w:rsid w:val="00420D61"/>
    <w:rsid w:val="004211C4"/>
    <w:rsid w:val="00421411"/>
    <w:rsid w:val="00423607"/>
    <w:rsid w:val="00424237"/>
    <w:rsid w:val="00425015"/>
    <w:rsid w:val="00425377"/>
    <w:rsid w:val="004261AE"/>
    <w:rsid w:val="00426AA6"/>
    <w:rsid w:val="00426BBA"/>
    <w:rsid w:val="00426E19"/>
    <w:rsid w:val="00430169"/>
    <w:rsid w:val="00430ECE"/>
    <w:rsid w:val="004312CE"/>
    <w:rsid w:val="0043140D"/>
    <w:rsid w:val="00431608"/>
    <w:rsid w:val="004316E2"/>
    <w:rsid w:val="00431974"/>
    <w:rsid w:val="00432B6C"/>
    <w:rsid w:val="00433DB5"/>
    <w:rsid w:val="00434D67"/>
    <w:rsid w:val="004350DE"/>
    <w:rsid w:val="00435687"/>
    <w:rsid w:val="00437CD1"/>
    <w:rsid w:val="004404D8"/>
    <w:rsid w:val="004406A9"/>
    <w:rsid w:val="00440A17"/>
    <w:rsid w:val="00440D45"/>
    <w:rsid w:val="00443004"/>
    <w:rsid w:val="0044384D"/>
    <w:rsid w:val="00443B78"/>
    <w:rsid w:val="004448F8"/>
    <w:rsid w:val="00444B6E"/>
    <w:rsid w:val="00444CF3"/>
    <w:rsid w:val="0044543A"/>
    <w:rsid w:val="004455F2"/>
    <w:rsid w:val="004458B0"/>
    <w:rsid w:val="00445BCD"/>
    <w:rsid w:val="00445FAA"/>
    <w:rsid w:val="00450B4E"/>
    <w:rsid w:val="00454282"/>
    <w:rsid w:val="0045482E"/>
    <w:rsid w:val="00456C27"/>
    <w:rsid w:val="00457443"/>
    <w:rsid w:val="00457D5C"/>
    <w:rsid w:val="004602CF"/>
    <w:rsid w:val="004602E5"/>
    <w:rsid w:val="004605F0"/>
    <w:rsid w:val="004607A8"/>
    <w:rsid w:val="004607DD"/>
    <w:rsid w:val="00460987"/>
    <w:rsid w:val="00461874"/>
    <w:rsid w:val="00463A69"/>
    <w:rsid w:val="00466920"/>
    <w:rsid w:val="00466BBE"/>
    <w:rsid w:val="004671DF"/>
    <w:rsid w:val="004674F0"/>
    <w:rsid w:val="0046759D"/>
    <w:rsid w:val="00467F7A"/>
    <w:rsid w:val="004703C2"/>
    <w:rsid w:val="004714A7"/>
    <w:rsid w:val="00472639"/>
    <w:rsid w:val="004729CA"/>
    <w:rsid w:val="00473001"/>
    <w:rsid w:val="00473B4D"/>
    <w:rsid w:val="00475352"/>
    <w:rsid w:val="00475F56"/>
    <w:rsid w:val="00476A82"/>
    <w:rsid w:val="00476AF3"/>
    <w:rsid w:val="00476DF1"/>
    <w:rsid w:val="00477FAE"/>
    <w:rsid w:val="00480E31"/>
    <w:rsid w:val="00481140"/>
    <w:rsid w:val="00482C9B"/>
    <w:rsid w:val="00482D0C"/>
    <w:rsid w:val="004837DA"/>
    <w:rsid w:val="0048557C"/>
    <w:rsid w:val="00486189"/>
    <w:rsid w:val="00486B0B"/>
    <w:rsid w:val="00487E1A"/>
    <w:rsid w:val="004903D8"/>
    <w:rsid w:val="00491351"/>
    <w:rsid w:val="004916A7"/>
    <w:rsid w:val="00491900"/>
    <w:rsid w:val="004921DB"/>
    <w:rsid w:val="004921E2"/>
    <w:rsid w:val="004925F3"/>
    <w:rsid w:val="00492F0E"/>
    <w:rsid w:val="00493763"/>
    <w:rsid w:val="00494A3D"/>
    <w:rsid w:val="00496A37"/>
    <w:rsid w:val="00496C46"/>
    <w:rsid w:val="00497483"/>
    <w:rsid w:val="004978CD"/>
    <w:rsid w:val="004979A4"/>
    <w:rsid w:val="004979E7"/>
    <w:rsid w:val="004A0CCC"/>
    <w:rsid w:val="004A1E6B"/>
    <w:rsid w:val="004A3E0C"/>
    <w:rsid w:val="004A4386"/>
    <w:rsid w:val="004A5331"/>
    <w:rsid w:val="004A5D88"/>
    <w:rsid w:val="004A76F6"/>
    <w:rsid w:val="004A7806"/>
    <w:rsid w:val="004A7C34"/>
    <w:rsid w:val="004B18F2"/>
    <w:rsid w:val="004B1B78"/>
    <w:rsid w:val="004B1BE8"/>
    <w:rsid w:val="004B1CF3"/>
    <w:rsid w:val="004B3DEB"/>
    <w:rsid w:val="004B4441"/>
    <w:rsid w:val="004B4A7F"/>
    <w:rsid w:val="004B6782"/>
    <w:rsid w:val="004B68E9"/>
    <w:rsid w:val="004B76E5"/>
    <w:rsid w:val="004C1628"/>
    <w:rsid w:val="004C253D"/>
    <w:rsid w:val="004C3B30"/>
    <w:rsid w:val="004C4B4F"/>
    <w:rsid w:val="004C50F8"/>
    <w:rsid w:val="004C5218"/>
    <w:rsid w:val="004C6BA4"/>
    <w:rsid w:val="004D067C"/>
    <w:rsid w:val="004D1C8F"/>
    <w:rsid w:val="004D2E84"/>
    <w:rsid w:val="004D38BC"/>
    <w:rsid w:val="004D395F"/>
    <w:rsid w:val="004D3BF1"/>
    <w:rsid w:val="004D64D8"/>
    <w:rsid w:val="004D6BCB"/>
    <w:rsid w:val="004E1449"/>
    <w:rsid w:val="004E18E0"/>
    <w:rsid w:val="004E1C85"/>
    <w:rsid w:val="004E2C36"/>
    <w:rsid w:val="004E340B"/>
    <w:rsid w:val="004E3A2A"/>
    <w:rsid w:val="004E4997"/>
    <w:rsid w:val="004E4B2E"/>
    <w:rsid w:val="004E4D38"/>
    <w:rsid w:val="004E54AC"/>
    <w:rsid w:val="004E5708"/>
    <w:rsid w:val="004E5D6D"/>
    <w:rsid w:val="004E703E"/>
    <w:rsid w:val="004E743B"/>
    <w:rsid w:val="004F069D"/>
    <w:rsid w:val="004F3798"/>
    <w:rsid w:val="004F77FA"/>
    <w:rsid w:val="004F7D33"/>
    <w:rsid w:val="004F7DF5"/>
    <w:rsid w:val="00500D69"/>
    <w:rsid w:val="0050194C"/>
    <w:rsid w:val="00502D8A"/>
    <w:rsid w:val="0050326C"/>
    <w:rsid w:val="00506607"/>
    <w:rsid w:val="00507313"/>
    <w:rsid w:val="005075CC"/>
    <w:rsid w:val="00507994"/>
    <w:rsid w:val="00510D27"/>
    <w:rsid w:val="005114C0"/>
    <w:rsid w:val="00511B10"/>
    <w:rsid w:val="00511EF9"/>
    <w:rsid w:val="00512905"/>
    <w:rsid w:val="0051533B"/>
    <w:rsid w:val="00515A79"/>
    <w:rsid w:val="00515CC6"/>
    <w:rsid w:val="0051691F"/>
    <w:rsid w:val="00517440"/>
    <w:rsid w:val="005179E0"/>
    <w:rsid w:val="00517A78"/>
    <w:rsid w:val="005201FA"/>
    <w:rsid w:val="00520F12"/>
    <w:rsid w:val="0052141F"/>
    <w:rsid w:val="005216CB"/>
    <w:rsid w:val="00521810"/>
    <w:rsid w:val="00521864"/>
    <w:rsid w:val="0052331E"/>
    <w:rsid w:val="00523479"/>
    <w:rsid w:val="00523C01"/>
    <w:rsid w:val="00523DD2"/>
    <w:rsid w:val="00525479"/>
    <w:rsid w:val="0052583B"/>
    <w:rsid w:val="00526CEA"/>
    <w:rsid w:val="005301C2"/>
    <w:rsid w:val="00531EE0"/>
    <w:rsid w:val="00533ECC"/>
    <w:rsid w:val="005341A1"/>
    <w:rsid w:val="005360A0"/>
    <w:rsid w:val="00536486"/>
    <w:rsid w:val="00536A0B"/>
    <w:rsid w:val="00537046"/>
    <w:rsid w:val="00537461"/>
    <w:rsid w:val="005400A5"/>
    <w:rsid w:val="00540272"/>
    <w:rsid w:val="00540541"/>
    <w:rsid w:val="00540EDB"/>
    <w:rsid w:val="005418A9"/>
    <w:rsid w:val="005421EF"/>
    <w:rsid w:val="00543595"/>
    <w:rsid w:val="00544CDF"/>
    <w:rsid w:val="005455FC"/>
    <w:rsid w:val="00545E96"/>
    <w:rsid w:val="00545E97"/>
    <w:rsid w:val="00547C61"/>
    <w:rsid w:val="00547E5E"/>
    <w:rsid w:val="00550C43"/>
    <w:rsid w:val="0055177E"/>
    <w:rsid w:val="005520FB"/>
    <w:rsid w:val="00552153"/>
    <w:rsid w:val="005528F9"/>
    <w:rsid w:val="00553178"/>
    <w:rsid w:val="00555848"/>
    <w:rsid w:val="00557167"/>
    <w:rsid w:val="005577C0"/>
    <w:rsid w:val="00557A40"/>
    <w:rsid w:val="00560D8E"/>
    <w:rsid w:val="005621DA"/>
    <w:rsid w:val="005630F8"/>
    <w:rsid w:val="00563F9F"/>
    <w:rsid w:val="005645F7"/>
    <w:rsid w:val="00564650"/>
    <w:rsid w:val="00565541"/>
    <w:rsid w:val="00566859"/>
    <w:rsid w:val="005669AC"/>
    <w:rsid w:val="0056706D"/>
    <w:rsid w:val="00570AFD"/>
    <w:rsid w:val="00570CA3"/>
    <w:rsid w:val="00575C75"/>
    <w:rsid w:val="0057645B"/>
    <w:rsid w:val="00577A4A"/>
    <w:rsid w:val="00580228"/>
    <w:rsid w:val="0058101D"/>
    <w:rsid w:val="00581DB5"/>
    <w:rsid w:val="0058296A"/>
    <w:rsid w:val="00583F03"/>
    <w:rsid w:val="005841A6"/>
    <w:rsid w:val="00585F9B"/>
    <w:rsid w:val="005878BA"/>
    <w:rsid w:val="00592208"/>
    <w:rsid w:val="00592EAD"/>
    <w:rsid w:val="00593A64"/>
    <w:rsid w:val="00594677"/>
    <w:rsid w:val="005976EB"/>
    <w:rsid w:val="0059780E"/>
    <w:rsid w:val="005A0E52"/>
    <w:rsid w:val="005A1068"/>
    <w:rsid w:val="005A282C"/>
    <w:rsid w:val="005A47F4"/>
    <w:rsid w:val="005A5306"/>
    <w:rsid w:val="005A5339"/>
    <w:rsid w:val="005A5BEA"/>
    <w:rsid w:val="005B06CB"/>
    <w:rsid w:val="005B0EAA"/>
    <w:rsid w:val="005B16D0"/>
    <w:rsid w:val="005B1B69"/>
    <w:rsid w:val="005B1E12"/>
    <w:rsid w:val="005B520A"/>
    <w:rsid w:val="005B54A9"/>
    <w:rsid w:val="005B5930"/>
    <w:rsid w:val="005B5D95"/>
    <w:rsid w:val="005B5DDF"/>
    <w:rsid w:val="005B6A80"/>
    <w:rsid w:val="005B7986"/>
    <w:rsid w:val="005B7BFB"/>
    <w:rsid w:val="005C043F"/>
    <w:rsid w:val="005C0D2F"/>
    <w:rsid w:val="005C1091"/>
    <w:rsid w:val="005C1C55"/>
    <w:rsid w:val="005C274F"/>
    <w:rsid w:val="005C2EC8"/>
    <w:rsid w:val="005C2EE1"/>
    <w:rsid w:val="005C2FFA"/>
    <w:rsid w:val="005C35FC"/>
    <w:rsid w:val="005C3A02"/>
    <w:rsid w:val="005C3C92"/>
    <w:rsid w:val="005C4664"/>
    <w:rsid w:val="005C67BA"/>
    <w:rsid w:val="005C6D8F"/>
    <w:rsid w:val="005C7221"/>
    <w:rsid w:val="005C78AF"/>
    <w:rsid w:val="005C78C5"/>
    <w:rsid w:val="005C7EE6"/>
    <w:rsid w:val="005D1B77"/>
    <w:rsid w:val="005D2288"/>
    <w:rsid w:val="005D3775"/>
    <w:rsid w:val="005D5054"/>
    <w:rsid w:val="005D5F27"/>
    <w:rsid w:val="005D619E"/>
    <w:rsid w:val="005D688F"/>
    <w:rsid w:val="005E148B"/>
    <w:rsid w:val="005E15DB"/>
    <w:rsid w:val="005E2BA8"/>
    <w:rsid w:val="005E4993"/>
    <w:rsid w:val="005E4A15"/>
    <w:rsid w:val="005E6D8A"/>
    <w:rsid w:val="005E723F"/>
    <w:rsid w:val="005E75EA"/>
    <w:rsid w:val="005F0A2C"/>
    <w:rsid w:val="005F0B50"/>
    <w:rsid w:val="005F1992"/>
    <w:rsid w:val="005F2512"/>
    <w:rsid w:val="005F2A26"/>
    <w:rsid w:val="005F4696"/>
    <w:rsid w:val="005F4E05"/>
    <w:rsid w:val="005F5D95"/>
    <w:rsid w:val="005F622D"/>
    <w:rsid w:val="005F6445"/>
    <w:rsid w:val="005F6771"/>
    <w:rsid w:val="005F7322"/>
    <w:rsid w:val="005F7953"/>
    <w:rsid w:val="005F7D5C"/>
    <w:rsid w:val="00600A56"/>
    <w:rsid w:val="00600A78"/>
    <w:rsid w:val="00600AD7"/>
    <w:rsid w:val="00600BA1"/>
    <w:rsid w:val="00601F9D"/>
    <w:rsid w:val="00602661"/>
    <w:rsid w:val="00602730"/>
    <w:rsid w:val="006029BC"/>
    <w:rsid w:val="00602D18"/>
    <w:rsid w:val="00603476"/>
    <w:rsid w:val="0060509E"/>
    <w:rsid w:val="00605398"/>
    <w:rsid w:val="0060620B"/>
    <w:rsid w:val="00607989"/>
    <w:rsid w:val="00607AC9"/>
    <w:rsid w:val="00612A7B"/>
    <w:rsid w:val="006132E7"/>
    <w:rsid w:val="00613856"/>
    <w:rsid w:val="00613E5C"/>
    <w:rsid w:val="00613E7D"/>
    <w:rsid w:val="00613F79"/>
    <w:rsid w:val="00613FA4"/>
    <w:rsid w:val="006157D3"/>
    <w:rsid w:val="00615EF7"/>
    <w:rsid w:val="00616B98"/>
    <w:rsid w:val="00620726"/>
    <w:rsid w:val="006212B6"/>
    <w:rsid w:val="00622153"/>
    <w:rsid w:val="006222D6"/>
    <w:rsid w:val="00622AAD"/>
    <w:rsid w:val="00622CB1"/>
    <w:rsid w:val="006230C9"/>
    <w:rsid w:val="00624D2D"/>
    <w:rsid w:val="00625FC3"/>
    <w:rsid w:val="006275D1"/>
    <w:rsid w:val="00631EAE"/>
    <w:rsid w:val="00632644"/>
    <w:rsid w:val="00632A61"/>
    <w:rsid w:val="00632BE1"/>
    <w:rsid w:val="00635043"/>
    <w:rsid w:val="00637C7D"/>
    <w:rsid w:val="00641FE6"/>
    <w:rsid w:val="00642463"/>
    <w:rsid w:val="00642C27"/>
    <w:rsid w:val="006431FD"/>
    <w:rsid w:val="006441BA"/>
    <w:rsid w:val="0064456F"/>
    <w:rsid w:val="00645FCF"/>
    <w:rsid w:val="0064676D"/>
    <w:rsid w:val="00646785"/>
    <w:rsid w:val="006500EF"/>
    <w:rsid w:val="00650C04"/>
    <w:rsid w:val="00651897"/>
    <w:rsid w:val="0065189E"/>
    <w:rsid w:val="00651C62"/>
    <w:rsid w:val="00651F52"/>
    <w:rsid w:val="006528B2"/>
    <w:rsid w:val="0065374D"/>
    <w:rsid w:val="00653AD7"/>
    <w:rsid w:val="00655840"/>
    <w:rsid w:val="00655E75"/>
    <w:rsid w:val="00656A3A"/>
    <w:rsid w:val="006574FE"/>
    <w:rsid w:val="00657662"/>
    <w:rsid w:val="00657B21"/>
    <w:rsid w:val="006603AF"/>
    <w:rsid w:val="00661E4F"/>
    <w:rsid w:val="006628A6"/>
    <w:rsid w:val="0066409F"/>
    <w:rsid w:val="00664374"/>
    <w:rsid w:val="00664DD6"/>
    <w:rsid w:val="0066512C"/>
    <w:rsid w:val="006659AA"/>
    <w:rsid w:val="0066631A"/>
    <w:rsid w:val="00666571"/>
    <w:rsid w:val="0066709D"/>
    <w:rsid w:val="00667124"/>
    <w:rsid w:val="006719C1"/>
    <w:rsid w:val="0067441E"/>
    <w:rsid w:val="0067458A"/>
    <w:rsid w:val="006757F3"/>
    <w:rsid w:val="00676439"/>
    <w:rsid w:val="00676486"/>
    <w:rsid w:val="006765B9"/>
    <w:rsid w:val="00676782"/>
    <w:rsid w:val="00677237"/>
    <w:rsid w:val="00677F29"/>
    <w:rsid w:val="00680613"/>
    <w:rsid w:val="0068099F"/>
    <w:rsid w:val="006810D7"/>
    <w:rsid w:val="0068156C"/>
    <w:rsid w:val="006818E6"/>
    <w:rsid w:val="00681D7C"/>
    <w:rsid w:val="00681DF1"/>
    <w:rsid w:val="0068273F"/>
    <w:rsid w:val="00682D52"/>
    <w:rsid w:val="006832A0"/>
    <w:rsid w:val="006847FB"/>
    <w:rsid w:val="00684ABD"/>
    <w:rsid w:val="00684FBE"/>
    <w:rsid w:val="006868B0"/>
    <w:rsid w:val="006874F1"/>
    <w:rsid w:val="00687FC9"/>
    <w:rsid w:val="006924CA"/>
    <w:rsid w:val="00692E64"/>
    <w:rsid w:val="00693E6E"/>
    <w:rsid w:val="0069402F"/>
    <w:rsid w:val="00694E16"/>
    <w:rsid w:val="00695C2A"/>
    <w:rsid w:val="006962EE"/>
    <w:rsid w:val="00696D31"/>
    <w:rsid w:val="00697C9D"/>
    <w:rsid w:val="00697FE9"/>
    <w:rsid w:val="006A037F"/>
    <w:rsid w:val="006A0651"/>
    <w:rsid w:val="006A0791"/>
    <w:rsid w:val="006A0CC3"/>
    <w:rsid w:val="006A158E"/>
    <w:rsid w:val="006A1D18"/>
    <w:rsid w:val="006A1FC8"/>
    <w:rsid w:val="006A221F"/>
    <w:rsid w:val="006A3A16"/>
    <w:rsid w:val="006A4868"/>
    <w:rsid w:val="006A4B75"/>
    <w:rsid w:val="006A5CD0"/>
    <w:rsid w:val="006A6228"/>
    <w:rsid w:val="006A6725"/>
    <w:rsid w:val="006A6D59"/>
    <w:rsid w:val="006A6F9F"/>
    <w:rsid w:val="006B00F2"/>
    <w:rsid w:val="006B0996"/>
    <w:rsid w:val="006B0EC1"/>
    <w:rsid w:val="006B129F"/>
    <w:rsid w:val="006B1BD6"/>
    <w:rsid w:val="006B222C"/>
    <w:rsid w:val="006B2925"/>
    <w:rsid w:val="006B30BE"/>
    <w:rsid w:val="006B34E6"/>
    <w:rsid w:val="006B360B"/>
    <w:rsid w:val="006B36EE"/>
    <w:rsid w:val="006B39EB"/>
    <w:rsid w:val="006B4BD8"/>
    <w:rsid w:val="006B505F"/>
    <w:rsid w:val="006B60C6"/>
    <w:rsid w:val="006B6161"/>
    <w:rsid w:val="006C0CCF"/>
    <w:rsid w:val="006C162B"/>
    <w:rsid w:val="006C1AF8"/>
    <w:rsid w:val="006C2172"/>
    <w:rsid w:val="006C511D"/>
    <w:rsid w:val="006C5D90"/>
    <w:rsid w:val="006C6C63"/>
    <w:rsid w:val="006C6CC9"/>
    <w:rsid w:val="006C758D"/>
    <w:rsid w:val="006D0A59"/>
    <w:rsid w:val="006D132E"/>
    <w:rsid w:val="006D2487"/>
    <w:rsid w:val="006D292D"/>
    <w:rsid w:val="006D4F7F"/>
    <w:rsid w:val="006D52C1"/>
    <w:rsid w:val="006D5B45"/>
    <w:rsid w:val="006D5DED"/>
    <w:rsid w:val="006D73C9"/>
    <w:rsid w:val="006D74E7"/>
    <w:rsid w:val="006D763D"/>
    <w:rsid w:val="006D7C18"/>
    <w:rsid w:val="006E0EFE"/>
    <w:rsid w:val="006E1CA3"/>
    <w:rsid w:val="006E26EE"/>
    <w:rsid w:val="006E2B20"/>
    <w:rsid w:val="006E366F"/>
    <w:rsid w:val="006E3A2E"/>
    <w:rsid w:val="006E472D"/>
    <w:rsid w:val="006E4936"/>
    <w:rsid w:val="006F052E"/>
    <w:rsid w:val="006F0D4A"/>
    <w:rsid w:val="006F2B6C"/>
    <w:rsid w:val="006F3C6B"/>
    <w:rsid w:val="006F4C34"/>
    <w:rsid w:val="006F5986"/>
    <w:rsid w:val="006F5D37"/>
    <w:rsid w:val="006F65E1"/>
    <w:rsid w:val="006F783A"/>
    <w:rsid w:val="00700739"/>
    <w:rsid w:val="00700B2E"/>
    <w:rsid w:val="007018F5"/>
    <w:rsid w:val="00701A70"/>
    <w:rsid w:val="00701D5A"/>
    <w:rsid w:val="00702987"/>
    <w:rsid w:val="00703D04"/>
    <w:rsid w:val="00704952"/>
    <w:rsid w:val="00705212"/>
    <w:rsid w:val="00706A84"/>
    <w:rsid w:val="007102D1"/>
    <w:rsid w:val="007109F5"/>
    <w:rsid w:val="00711D46"/>
    <w:rsid w:val="007128C6"/>
    <w:rsid w:val="00712F01"/>
    <w:rsid w:val="00713CE0"/>
    <w:rsid w:val="00713E98"/>
    <w:rsid w:val="007145A1"/>
    <w:rsid w:val="007167DF"/>
    <w:rsid w:val="00716EB0"/>
    <w:rsid w:val="0072098D"/>
    <w:rsid w:val="00722201"/>
    <w:rsid w:val="00722E7B"/>
    <w:rsid w:val="00723391"/>
    <w:rsid w:val="0072361A"/>
    <w:rsid w:val="00723E29"/>
    <w:rsid w:val="007244E7"/>
    <w:rsid w:val="0072459F"/>
    <w:rsid w:val="00725634"/>
    <w:rsid w:val="007259FB"/>
    <w:rsid w:val="0072607B"/>
    <w:rsid w:val="00730B86"/>
    <w:rsid w:val="00731037"/>
    <w:rsid w:val="0073156A"/>
    <w:rsid w:val="007315B5"/>
    <w:rsid w:val="007320BF"/>
    <w:rsid w:val="00732348"/>
    <w:rsid w:val="00732DF2"/>
    <w:rsid w:val="007338FB"/>
    <w:rsid w:val="00735149"/>
    <w:rsid w:val="0073516E"/>
    <w:rsid w:val="00735AA3"/>
    <w:rsid w:val="00737148"/>
    <w:rsid w:val="007427B8"/>
    <w:rsid w:val="00743736"/>
    <w:rsid w:val="0074466D"/>
    <w:rsid w:val="00746618"/>
    <w:rsid w:val="00746C52"/>
    <w:rsid w:val="007470B7"/>
    <w:rsid w:val="007476DC"/>
    <w:rsid w:val="00750029"/>
    <w:rsid w:val="00750741"/>
    <w:rsid w:val="007513F0"/>
    <w:rsid w:val="00751865"/>
    <w:rsid w:val="00753197"/>
    <w:rsid w:val="007534B8"/>
    <w:rsid w:val="00753FB6"/>
    <w:rsid w:val="00754BC8"/>
    <w:rsid w:val="00754E59"/>
    <w:rsid w:val="00754FD6"/>
    <w:rsid w:val="00755204"/>
    <w:rsid w:val="007553F0"/>
    <w:rsid w:val="0075651A"/>
    <w:rsid w:val="00756658"/>
    <w:rsid w:val="00757625"/>
    <w:rsid w:val="0075782B"/>
    <w:rsid w:val="00760C58"/>
    <w:rsid w:val="00761885"/>
    <w:rsid w:val="00761E00"/>
    <w:rsid w:val="00762F9F"/>
    <w:rsid w:val="00763D6D"/>
    <w:rsid w:val="00765DD6"/>
    <w:rsid w:val="00766068"/>
    <w:rsid w:val="007665C0"/>
    <w:rsid w:val="0077013A"/>
    <w:rsid w:val="007707D9"/>
    <w:rsid w:val="00770AAB"/>
    <w:rsid w:val="00770BE0"/>
    <w:rsid w:val="007712FB"/>
    <w:rsid w:val="00771B1B"/>
    <w:rsid w:val="0077208C"/>
    <w:rsid w:val="00772685"/>
    <w:rsid w:val="00772AB1"/>
    <w:rsid w:val="00772D24"/>
    <w:rsid w:val="00772E3A"/>
    <w:rsid w:val="0077301C"/>
    <w:rsid w:val="0077304A"/>
    <w:rsid w:val="007738C0"/>
    <w:rsid w:val="00774768"/>
    <w:rsid w:val="0077665F"/>
    <w:rsid w:val="00777E0E"/>
    <w:rsid w:val="00781D2D"/>
    <w:rsid w:val="00782390"/>
    <w:rsid w:val="0078280B"/>
    <w:rsid w:val="0078350E"/>
    <w:rsid w:val="00786A93"/>
    <w:rsid w:val="007909BF"/>
    <w:rsid w:val="00790A51"/>
    <w:rsid w:val="00793473"/>
    <w:rsid w:val="00795415"/>
    <w:rsid w:val="00796410"/>
    <w:rsid w:val="0079687F"/>
    <w:rsid w:val="00796CCC"/>
    <w:rsid w:val="00796F79"/>
    <w:rsid w:val="007974B3"/>
    <w:rsid w:val="00797686"/>
    <w:rsid w:val="007A0021"/>
    <w:rsid w:val="007A0739"/>
    <w:rsid w:val="007A15FD"/>
    <w:rsid w:val="007A1C1E"/>
    <w:rsid w:val="007A20FC"/>
    <w:rsid w:val="007A228A"/>
    <w:rsid w:val="007A2AC2"/>
    <w:rsid w:val="007A2BCA"/>
    <w:rsid w:val="007A4D4D"/>
    <w:rsid w:val="007A5E1E"/>
    <w:rsid w:val="007A6156"/>
    <w:rsid w:val="007A7AF0"/>
    <w:rsid w:val="007B075F"/>
    <w:rsid w:val="007B098F"/>
    <w:rsid w:val="007B1717"/>
    <w:rsid w:val="007B27EF"/>
    <w:rsid w:val="007B2964"/>
    <w:rsid w:val="007B380E"/>
    <w:rsid w:val="007B566F"/>
    <w:rsid w:val="007B5B0F"/>
    <w:rsid w:val="007B761D"/>
    <w:rsid w:val="007C053A"/>
    <w:rsid w:val="007C0682"/>
    <w:rsid w:val="007C06AB"/>
    <w:rsid w:val="007C13DE"/>
    <w:rsid w:val="007C2B08"/>
    <w:rsid w:val="007C2CFC"/>
    <w:rsid w:val="007C318B"/>
    <w:rsid w:val="007C45A9"/>
    <w:rsid w:val="007C53AB"/>
    <w:rsid w:val="007C576F"/>
    <w:rsid w:val="007C58CD"/>
    <w:rsid w:val="007C5E3E"/>
    <w:rsid w:val="007C62BF"/>
    <w:rsid w:val="007C6507"/>
    <w:rsid w:val="007C6A11"/>
    <w:rsid w:val="007C7AB2"/>
    <w:rsid w:val="007C7C67"/>
    <w:rsid w:val="007D0809"/>
    <w:rsid w:val="007D1000"/>
    <w:rsid w:val="007D1543"/>
    <w:rsid w:val="007D1783"/>
    <w:rsid w:val="007D274B"/>
    <w:rsid w:val="007D2E7A"/>
    <w:rsid w:val="007D35D9"/>
    <w:rsid w:val="007D36A0"/>
    <w:rsid w:val="007D3872"/>
    <w:rsid w:val="007D3B60"/>
    <w:rsid w:val="007D3C2B"/>
    <w:rsid w:val="007D5801"/>
    <w:rsid w:val="007D5EE2"/>
    <w:rsid w:val="007D6B58"/>
    <w:rsid w:val="007E0903"/>
    <w:rsid w:val="007E0C8D"/>
    <w:rsid w:val="007E0E1C"/>
    <w:rsid w:val="007E0F8C"/>
    <w:rsid w:val="007E154F"/>
    <w:rsid w:val="007E216A"/>
    <w:rsid w:val="007E4340"/>
    <w:rsid w:val="007E4B30"/>
    <w:rsid w:val="007E4CAC"/>
    <w:rsid w:val="007E5592"/>
    <w:rsid w:val="007E5D36"/>
    <w:rsid w:val="007E7067"/>
    <w:rsid w:val="007E7853"/>
    <w:rsid w:val="007E7E85"/>
    <w:rsid w:val="007F0CE7"/>
    <w:rsid w:val="007F145D"/>
    <w:rsid w:val="007F1E2B"/>
    <w:rsid w:val="007F2308"/>
    <w:rsid w:val="007F264D"/>
    <w:rsid w:val="007F2768"/>
    <w:rsid w:val="007F4D5F"/>
    <w:rsid w:val="007F5953"/>
    <w:rsid w:val="007F6EEC"/>
    <w:rsid w:val="007F73AE"/>
    <w:rsid w:val="007F7B94"/>
    <w:rsid w:val="00800BD3"/>
    <w:rsid w:val="00800E1E"/>
    <w:rsid w:val="0080127E"/>
    <w:rsid w:val="00801306"/>
    <w:rsid w:val="00801A60"/>
    <w:rsid w:val="008030F5"/>
    <w:rsid w:val="00803DE6"/>
    <w:rsid w:val="0080788F"/>
    <w:rsid w:val="008079DE"/>
    <w:rsid w:val="00807F43"/>
    <w:rsid w:val="00810F1B"/>
    <w:rsid w:val="00810FE8"/>
    <w:rsid w:val="00811F1D"/>
    <w:rsid w:val="00813577"/>
    <w:rsid w:val="0081437F"/>
    <w:rsid w:val="00815B09"/>
    <w:rsid w:val="008160E8"/>
    <w:rsid w:val="00816439"/>
    <w:rsid w:val="008218C4"/>
    <w:rsid w:val="00821B86"/>
    <w:rsid w:val="00822003"/>
    <w:rsid w:val="00824904"/>
    <w:rsid w:val="00824F18"/>
    <w:rsid w:val="0082501B"/>
    <w:rsid w:val="00825BF0"/>
    <w:rsid w:val="008271EB"/>
    <w:rsid w:val="00827A69"/>
    <w:rsid w:val="00827B6C"/>
    <w:rsid w:val="008307C3"/>
    <w:rsid w:val="00831288"/>
    <w:rsid w:val="00833F2F"/>
    <w:rsid w:val="008343E5"/>
    <w:rsid w:val="00834CE7"/>
    <w:rsid w:val="00834F37"/>
    <w:rsid w:val="00834FB6"/>
    <w:rsid w:val="008370E7"/>
    <w:rsid w:val="0083769B"/>
    <w:rsid w:val="00837EE7"/>
    <w:rsid w:val="00840AAC"/>
    <w:rsid w:val="00840C2E"/>
    <w:rsid w:val="00841146"/>
    <w:rsid w:val="00841560"/>
    <w:rsid w:val="00841731"/>
    <w:rsid w:val="00841EE6"/>
    <w:rsid w:val="00844213"/>
    <w:rsid w:val="00845D1E"/>
    <w:rsid w:val="0084603F"/>
    <w:rsid w:val="00846FBC"/>
    <w:rsid w:val="00847591"/>
    <w:rsid w:val="00847E9D"/>
    <w:rsid w:val="00850913"/>
    <w:rsid w:val="008511C8"/>
    <w:rsid w:val="00851657"/>
    <w:rsid w:val="00851E13"/>
    <w:rsid w:val="00851F06"/>
    <w:rsid w:val="008520FF"/>
    <w:rsid w:val="00853E40"/>
    <w:rsid w:val="00853EEA"/>
    <w:rsid w:val="0085708A"/>
    <w:rsid w:val="0086074C"/>
    <w:rsid w:val="00861D2B"/>
    <w:rsid w:val="00862173"/>
    <w:rsid w:val="0086220E"/>
    <w:rsid w:val="00863FD3"/>
    <w:rsid w:val="00864064"/>
    <w:rsid w:val="00864741"/>
    <w:rsid w:val="0086474A"/>
    <w:rsid w:val="008651FD"/>
    <w:rsid w:val="00866992"/>
    <w:rsid w:val="00870042"/>
    <w:rsid w:val="0087021A"/>
    <w:rsid w:val="00870E09"/>
    <w:rsid w:val="008713FD"/>
    <w:rsid w:val="008727F3"/>
    <w:rsid w:val="00872B79"/>
    <w:rsid w:val="00873BFF"/>
    <w:rsid w:val="00873E5C"/>
    <w:rsid w:val="008742EB"/>
    <w:rsid w:val="00874AC7"/>
    <w:rsid w:val="008756C3"/>
    <w:rsid w:val="008760E5"/>
    <w:rsid w:val="00876FA5"/>
    <w:rsid w:val="00877486"/>
    <w:rsid w:val="008774BA"/>
    <w:rsid w:val="00877743"/>
    <w:rsid w:val="0088022D"/>
    <w:rsid w:val="008808B3"/>
    <w:rsid w:val="00880919"/>
    <w:rsid w:val="00880B98"/>
    <w:rsid w:val="00880C31"/>
    <w:rsid w:val="00881706"/>
    <w:rsid w:val="008830C7"/>
    <w:rsid w:val="0088342F"/>
    <w:rsid w:val="00884842"/>
    <w:rsid w:val="0088495E"/>
    <w:rsid w:val="00884BA5"/>
    <w:rsid w:val="008863A5"/>
    <w:rsid w:val="008875BB"/>
    <w:rsid w:val="00890168"/>
    <w:rsid w:val="00891DD6"/>
    <w:rsid w:val="0089201A"/>
    <w:rsid w:val="00892705"/>
    <w:rsid w:val="00893C09"/>
    <w:rsid w:val="00895E42"/>
    <w:rsid w:val="0089656F"/>
    <w:rsid w:val="0089668E"/>
    <w:rsid w:val="0089691F"/>
    <w:rsid w:val="00896A7A"/>
    <w:rsid w:val="0089725A"/>
    <w:rsid w:val="008A1A36"/>
    <w:rsid w:val="008A1A3A"/>
    <w:rsid w:val="008A2414"/>
    <w:rsid w:val="008A2C38"/>
    <w:rsid w:val="008A4058"/>
    <w:rsid w:val="008A4126"/>
    <w:rsid w:val="008A44D4"/>
    <w:rsid w:val="008A45FA"/>
    <w:rsid w:val="008A53B2"/>
    <w:rsid w:val="008A61D0"/>
    <w:rsid w:val="008A6203"/>
    <w:rsid w:val="008A67EB"/>
    <w:rsid w:val="008B00BE"/>
    <w:rsid w:val="008B296B"/>
    <w:rsid w:val="008B391B"/>
    <w:rsid w:val="008B3C04"/>
    <w:rsid w:val="008B45BB"/>
    <w:rsid w:val="008B4A97"/>
    <w:rsid w:val="008B52EF"/>
    <w:rsid w:val="008B5ED8"/>
    <w:rsid w:val="008B6095"/>
    <w:rsid w:val="008B62ED"/>
    <w:rsid w:val="008B697F"/>
    <w:rsid w:val="008B7CEB"/>
    <w:rsid w:val="008C1C35"/>
    <w:rsid w:val="008C2014"/>
    <w:rsid w:val="008C2DA3"/>
    <w:rsid w:val="008C3165"/>
    <w:rsid w:val="008C3924"/>
    <w:rsid w:val="008C3F6B"/>
    <w:rsid w:val="008C4646"/>
    <w:rsid w:val="008C5D37"/>
    <w:rsid w:val="008C5DF3"/>
    <w:rsid w:val="008C6411"/>
    <w:rsid w:val="008C683F"/>
    <w:rsid w:val="008C6C7C"/>
    <w:rsid w:val="008C74D3"/>
    <w:rsid w:val="008C7896"/>
    <w:rsid w:val="008D0A45"/>
    <w:rsid w:val="008D0B67"/>
    <w:rsid w:val="008D170B"/>
    <w:rsid w:val="008D2AA9"/>
    <w:rsid w:val="008D4746"/>
    <w:rsid w:val="008D58DF"/>
    <w:rsid w:val="008D5BB1"/>
    <w:rsid w:val="008D5EF5"/>
    <w:rsid w:val="008E01CE"/>
    <w:rsid w:val="008E0643"/>
    <w:rsid w:val="008E07E7"/>
    <w:rsid w:val="008E0E44"/>
    <w:rsid w:val="008E1D1F"/>
    <w:rsid w:val="008E39C8"/>
    <w:rsid w:val="008E4CE7"/>
    <w:rsid w:val="008E726E"/>
    <w:rsid w:val="008F0023"/>
    <w:rsid w:val="008F1BB9"/>
    <w:rsid w:val="008F2302"/>
    <w:rsid w:val="008F375F"/>
    <w:rsid w:val="008F456B"/>
    <w:rsid w:val="008F4D3D"/>
    <w:rsid w:val="008F6219"/>
    <w:rsid w:val="008F6C91"/>
    <w:rsid w:val="008F726D"/>
    <w:rsid w:val="00902BD0"/>
    <w:rsid w:val="00903518"/>
    <w:rsid w:val="00904981"/>
    <w:rsid w:val="00906333"/>
    <w:rsid w:val="00906364"/>
    <w:rsid w:val="00906753"/>
    <w:rsid w:val="00906DE5"/>
    <w:rsid w:val="009073BD"/>
    <w:rsid w:val="00907B6B"/>
    <w:rsid w:val="00907EBA"/>
    <w:rsid w:val="009107CC"/>
    <w:rsid w:val="009109DC"/>
    <w:rsid w:val="0091117F"/>
    <w:rsid w:val="00912E5C"/>
    <w:rsid w:val="0091304E"/>
    <w:rsid w:val="0091374D"/>
    <w:rsid w:val="0091395A"/>
    <w:rsid w:val="00913D60"/>
    <w:rsid w:val="009148C6"/>
    <w:rsid w:val="00914A21"/>
    <w:rsid w:val="009162FF"/>
    <w:rsid w:val="0091632E"/>
    <w:rsid w:val="00917027"/>
    <w:rsid w:val="0091763B"/>
    <w:rsid w:val="00920930"/>
    <w:rsid w:val="00920F2B"/>
    <w:rsid w:val="009221A4"/>
    <w:rsid w:val="00923325"/>
    <w:rsid w:val="009237B5"/>
    <w:rsid w:val="00923DA3"/>
    <w:rsid w:val="00924FC6"/>
    <w:rsid w:val="00927827"/>
    <w:rsid w:val="00927FBC"/>
    <w:rsid w:val="009301A6"/>
    <w:rsid w:val="00930BCC"/>
    <w:rsid w:val="00931BF9"/>
    <w:rsid w:val="00931C21"/>
    <w:rsid w:val="009327EC"/>
    <w:rsid w:val="0093381D"/>
    <w:rsid w:val="00934913"/>
    <w:rsid w:val="009352B6"/>
    <w:rsid w:val="0093586C"/>
    <w:rsid w:val="0093687E"/>
    <w:rsid w:val="00936B9F"/>
    <w:rsid w:val="009372A9"/>
    <w:rsid w:val="00937876"/>
    <w:rsid w:val="00940BD4"/>
    <w:rsid w:val="00940CB2"/>
    <w:rsid w:val="009412E0"/>
    <w:rsid w:val="0094162E"/>
    <w:rsid w:val="00941660"/>
    <w:rsid w:val="009419C7"/>
    <w:rsid w:val="00941E97"/>
    <w:rsid w:val="00941ED9"/>
    <w:rsid w:val="00943445"/>
    <w:rsid w:val="00944DAF"/>
    <w:rsid w:val="009459DC"/>
    <w:rsid w:val="00946BE4"/>
    <w:rsid w:val="00946C92"/>
    <w:rsid w:val="009474AE"/>
    <w:rsid w:val="00950267"/>
    <w:rsid w:val="009505E2"/>
    <w:rsid w:val="00951219"/>
    <w:rsid w:val="009512B1"/>
    <w:rsid w:val="009512F8"/>
    <w:rsid w:val="00951726"/>
    <w:rsid w:val="0095247C"/>
    <w:rsid w:val="00952693"/>
    <w:rsid w:val="009531C3"/>
    <w:rsid w:val="00954EDE"/>
    <w:rsid w:val="009556B7"/>
    <w:rsid w:val="00955911"/>
    <w:rsid w:val="00955965"/>
    <w:rsid w:val="009571F0"/>
    <w:rsid w:val="00957689"/>
    <w:rsid w:val="00957F74"/>
    <w:rsid w:val="00960D94"/>
    <w:rsid w:val="00960FEC"/>
    <w:rsid w:val="00961216"/>
    <w:rsid w:val="009619D6"/>
    <w:rsid w:val="009643F8"/>
    <w:rsid w:val="00964A27"/>
    <w:rsid w:val="0096577B"/>
    <w:rsid w:val="0096590E"/>
    <w:rsid w:val="00965BDB"/>
    <w:rsid w:val="0096601C"/>
    <w:rsid w:val="009661C0"/>
    <w:rsid w:val="009665EE"/>
    <w:rsid w:val="0096667A"/>
    <w:rsid w:val="00970197"/>
    <w:rsid w:val="00970D12"/>
    <w:rsid w:val="00970E25"/>
    <w:rsid w:val="00971082"/>
    <w:rsid w:val="009714DF"/>
    <w:rsid w:val="00971962"/>
    <w:rsid w:val="00974A4A"/>
    <w:rsid w:val="00975762"/>
    <w:rsid w:val="00976393"/>
    <w:rsid w:val="009766B1"/>
    <w:rsid w:val="00976745"/>
    <w:rsid w:val="00977702"/>
    <w:rsid w:val="0098125E"/>
    <w:rsid w:val="00981ABA"/>
    <w:rsid w:val="00981B41"/>
    <w:rsid w:val="00982D9F"/>
    <w:rsid w:val="00983AC3"/>
    <w:rsid w:val="00983EAA"/>
    <w:rsid w:val="00984086"/>
    <w:rsid w:val="00985272"/>
    <w:rsid w:val="00986086"/>
    <w:rsid w:val="009862D6"/>
    <w:rsid w:val="00986AF8"/>
    <w:rsid w:val="00990DC5"/>
    <w:rsid w:val="0099572A"/>
    <w:rsid w:val="00996102"/>
    <w:rsid w:val="009A1558"/>
    <w:rsid w:val="009A166D"/>
    <w:rsid w:val="009A1F3E"/>
    <w:rsid w:val="009A307A"/>
    <w:rsid w:val="009A32C7"/>
    <w:rsid w:val="009A34F9"/>
    <w:rsid w:val="009A3CDD"/>
    <w:rsid w:val="009A6592"/>
    <w:rsid w:val="009A66C1"/>
    <w:rsid w:val="009A68B5"/>
    <w:rsid w:val="009B197F"/>
    <w:rsid w:val="009B1E5F"/>
    <w:rsid w:val="009B2558"/>
    <w:rsid w:val="009B2BFD"/>
    <w:rsid w:val="009B34ED"/>
    <w:rsid w:val="009B3655"/>
    <w:rsid w:val="009B3F5D"/>
    <w:rsid w:val="009B4445"/>
    <w:rsid w:val="009B446E"/>
    <w:rsid w:val="009B448F"/>
    <w:rsid w:val="009B4B81"/>
    <w:rsid w:val="009B4F34"/>
    <w:rsid w:val="009B5281"/>
    <w:rsid w:val="009B5403"/>
    <w:rsid w:val="009B5A08"/>
    <w:rsid w:val="009B5B6C"/>
    <w:rsid w:val="009B5CA8"/>
    <w:rsid w:val="009B5EAA"/>
    <w:rsid w:val="009B5FD0"/>
    <w:rsid w:val="009B6DCF"/>
    <w:rsid w:val="009C0F20"/>
    <w:rsid w:val="009C1430"/>
    <w:rsid w:val="009C1829"/>
    <w:rsid w:val="009C19E5"/>
    <w:rsid w:val="009C2106"/>
    <w:rsid w:val="009C2213"/>
    <w:rsid w:val="009C2A36"/>
    <w:rsid w:val="009C2C4E"/>
    <w:rsid w:val="009C38EA"/>
    <w:rsid w:val="009C4DEB"/>
    <w:rsid w:val="009C5C99"/>
    <w:rsid w:val="009C5E36"/>
    <w:rsid w:val="009C722F"/>
    <w:rsid w:val="009C74EE"/>
    <w:rsid w:val="009C758B"/>
    <w:rsid w:val="009D24F8"/>
    <w:rsid w:val="009D2EC9"/>
    <w:rsid w:val="009D339D"/>
    <w:rsid w:val="009D3B44"/>
    <w:rsid w:val="009D63D5"/>
    <w:rsid w:val="009D74E8"/>
    <w:rsid w:val="009E25B8"/>
    <w:rsid w:val="009E31D4"/>
    <w:rsid w:val="009E34AA"/>
    <w:rsid w:val="009E39C2"/>
    <w:rsid w:val="009E3BD1"/>
    <w:rsid w:val="009E4293"/>
    <w:rsid w:val="009E4630"/>
    <w:rsid w:val="009E474A"/>
    <w:rsid w:val="009E5706"/>
    <w:rsid w:val="009E6169"/>
    <w:rsid w:val="009E77AF"/>
    <w:rsid w:val="009F0AFF"/>
    <w:rsid w:val="009F18DB"/>
    <w:rsid w:val="009F282B"/>
    <w:rsid w:val="009F28B3"/>
    <w:rsid w:val="009F307A"/>
    <w:rsid w:val="009F4635"/>
    <w:rsid w:val="009F4CA2"/>
    <w:rsid w:val="009F598F"/>
    <w:rsid w:val="009F73A4"/>
    <w:rsid w:val="009F7DEF"/>
    <w:rsid w:val="00A016E2"/>
    <w:rsid w:val="00A0184E"/>
    <w:rsid w:val="00A01DA8"/>
    <w:rsid w:val="00A01F10"/>
    <w:rsid w:val="00A02D4F"/>
    <w:rsid w:val="00A02F92"/>
    <w:rsid w:val="00A03353"/>
    <w:rsid w:val="00A039D3"/>
    <w:rsid w:val="00A03CE2"/>
    <w:rsid w:val="00A04066"/>
    <w:rsid w:val="00A04486"/>
    <w:rsid w:val="00A052F0"/>
    <w:rsid w:val="00A06448"/>
    <w:rsid w:val="00A071DC"/>
    <w:rsid w:val="00A07562"/>
    <w:rsid w:val="00A10F16"/>
    <w:rsid w:val="00A12215"/>
    <w:rsid w:val="00A12D98"/>
    <w:rsid w:val="00A13C38"/>
    <w:rsid w:val="00A14E58"/>
    <w:rsid w:val="00A16C57"/>
    <w:rsid w:val="00A200A4"/>
    <w:rsid w:val="00A20F12"/>
    <w:rsid w:val="00A21005"/>
    <w:rsid w:val="00A211CE"/>
    <w:rsid w:val="00A21F67"/>
    <w:rsid w:val="00A222A9"/>
    <w:rsid w:val="00A227FC"/>
    <w:rsid w:val="00A23C54"/>
    <w:rsid w:val="00A24633"/>
    <w:rsid w:val="00A24AAE"/>
    <w:rsid w:val="00A24ABE"/>
    <w:rsid w:val="00A24DE5"/>
    <w:rsid w:val="00A25353"/>
    <w:rsid w:val="00A26C1D"/>
    <w:rsid w:val="00A27167"/>
    <w:rsid w:val="00A273C6"/>
    <w:rsid w:val="00A27FE0"/>
    <w:rsid w:val="00A30BE8"/>
    <w:rsid w:val="00A3195E"/>
    <w:rsid w:val="00A337F4"/>
    <w:rsid w:val="00A34039"/>
    <w:rsid w:val="00A34968"/>
    <w:rsid w:val="00A351B1"/>
    <w:rsid w:val="00A35B72"/>
    <w:rsid w:val="00A36851"/>
    <w:rsid w:val="00A36D14"/>
    <w:rsid w:val="00A40CFF"/>
    <w:rsid w:val="00A4148A"/>
    <w:rsid w:val="00A415D1"/>
    <w:rsid w:val="00A416DA"/>
    <w:rsid w:val="00A41C5D"/>
    <w:rsid w:val="00A41DFC"/>
    <w:rsid w:val="00A41F85"/>
    <w:rsid w:val="00A428D9"/>
    <w:rsid w:val="00A4309E"/>
    <w:rsid w:val="00A4575C"/>
    <w:rsid w:val="00A45D15"/>
    <w:rsid w:val="00A4666F"/>
    <w:rsid w:val="00A4667D"/>
    <w:rsid w:val="00A467E4"/>
    <w:rsid w:val="00A4796D"/>
    <w:rsid w:val="00A47AE2"/>
    <w:rsid w:val="00A47EEA"/>
    <w:rsid w:val="00A507D2"/>
    <w:rsid w:val="00A52674"/>
    <w:rsid w:val="00A5564C"/>
    <w:rsid w:val="00A564FD"/>
    <w:rsid w:val="00A56604"/>
    <w:rsid w:val="00A56B14"/>
    <w:rsid w:val="00A56B64"/>
    <w:rsid w:val="00A56BD5"/>
    <w:rsid w:val="00A57918"/>
    <w:rsid w:val="00A62589"/>
    <w:rsid w:val="00A626AD"/>
    <w:rsid w:val="00A64356"/>
    <w:rsid w:val="00A643D4"/>
    <w:rsid w:val="00A6635D"/>
    <w:rsid w:val="00A669E3"/>
    <w:rsid w:val="00A67016"/>
    <w:rsid w:val="00A67522"/>
    <w:rsid w:val="00A67B6E"/>
    <w:rsid w:val="00A707C2"/>
    <w:rsid w:val="00A71484"/>
    <w:rsid w:val="00A724B3"/>
    <w:rsid w:val="00A729FF"/>
    <w:rsid w:val="00A73429"/>
    <w:rsid w:val="00A73EB2"/>
    <w:rsid w:val="00A740CD"/>
    <w:rsid w:val="00A74A0F"/>
    <w:rsid w:val="00A74CA1"/>
    <w:rsid w:val="00A7523D"/>
    <w:rsid w:val="00A7709E"/>
    <w:rsid w:val="00A77F16"/>
    <w:rsid w:val="00A81D83"/>
    <w:rsid w:val="00A825AD"/>
    <w:rsid w:val="00A8330F"/>
    <w:rsid w:val="00A83607"/>
    <w:rsid w:val="00A838EE"/>
    <w:rsid w:val="00A83FB4"/>
    <w:rsid w:val="00A85434"/>
    <w:rsid w:val="00A85603"/>
    <w:rsid w:val="00A85E4F"/>
    <w:rsid w:val="00A87F55"/>
    <w:rsid w:val="00A901BA"/>
    <w:rsid w:val="00A9123A"/>
    <w:rsid w:val="00A921EB"/>
    <w:rsid w:val="00A93A06"/>
    <w:rsid w:val="00A94DED"/>
    <w:rsid w:val="00A95C90"/>
    <w:rsid w:val="00A95F80"/>
    <w:rsid w:val="00A95FE4"/>
    <w:rsid w:val="00A96238"/>
    <w:rsid w:val="00A9679C"/>
    <w:rsid w:val="00A96F71"/>
    <w:rsid w:val="00A97AA0"/>
    <w:rsid w:val="00AA0150"/>
    <w:rsid w:val="00AA06CA"/>
    <w:rsid w:val="00AA1195"/>
    <w:rsid w:val="00AA1B6F"/>
    <w:rsid w:val="00AA2791"/>
    <w:rsid w:val="00AA2B26"/>
    <w:rsid w:val="00AA2D5B"/>
    <w:rsid w:val="00AA33F7"/>
    <w:rsid w:val="00AA3C23"/>
    <w:rsid w:val="00AA4109"/>
    <w:rsid w:val="00AA410F"/>
    <w:rsid w:val="00AA4689"/>
    <w:rsid w:val="00AA5268"/>
    <w:rsid w:val="00AA5F5A"/>
    <w:rsid w:val="00AA6A33"/>
    <w:rsid w:val="00AA72EE"/>
    <w:rsid w:val="00AB190A"/>
    <w:rsid w:val="00AB19D4"/>
    <w:rsid w:val="00AB285A"/>
    <w:rsid w:val="00AB2D7D"/>
    <w:rsid w:val="00AB3F5E"/>
    <w:rsid w:val="00AB4172"/>
    <w:rsid w:val="00AB4612"/>
    <w:rsid w:val="00AB472B"/>
    <w:rsid w:val="00AB4756"/>
    <w:rsid w:val="00AB6261"/>
    <w:rsid w:val="00AB6C2B"/>
    <w:rsid w:val="00AB7D1B"/>
    <w:rsid w:val="00AC003D"/>
    <w:rsid w:val="00AC0A74"/>
    <w:rsid w:val="00AC2347"/>
    <w:rsid w:val="00AC39E0"/>
    <w:rsid w:val="00AC6D4A"/>
    <w:rsid w:val="00AC6D4D"/>
    <w:rsid w:val="00AD0711"/>
    <w:rsid w:val="00AD08D8"/>
    <w:rsid w:val="00AD0EEA"/>
    <w:rsid w:val="00AD10F2"/>
    <w:rsid w:val="00AD139E"/>
    <w:rsid w:val="00AD1710"/>
    <w:rsid w:val="00AD316B"/>
    <w:rsid w:val="00AD3CA9"/>
    <w:rsid w:val="00AD3F34"/>
    <w:rsid w:val="00AD474C"/>
    <w:rsid w:val="00AD4A15"/>
    <w:rsid w:val="00AD4C2D"/>
    <w:rsid w:val="00AD6547"/>
    <w:rsid w:val="00AD694F"/>
    <w:rsid w:val="00AD71A3"/>
    <w:rsid w:val="00AE06DC"/>
    <w:rsid w:val="00AE24E4"/>
    <w:rsid w:val="00AE33AC"/>
    <w:rsid w:val="00AE3EDC"/>
    <w:rsid w:val="00AE46CE"/>
    <w:rsid w:val="00AE490B"/>
    <w:rsid w:val="00AE6EFD"/>
    <w:rsid w:val="00AF08AA"/>
    <w:rsid w:val="00AF4396"/>
    <w:rsid w:val="00AF4549"/>
    <w:rsid w:val="00AF466D"/>
    <w:rsid w:val="00AF7048"/>
    <w:rsid w:val="00AF7179"/>
    <w:rsid w:val="00AF7255"/>
    <w:rsid w:val="00AF7451"/>
    <w:rsid w:val="00AF7A22"/>
    <w:rsid w:val="00B00251"/>
    <w:rsid w:val="00B009AB"/>
    <w:rsid w:val="00B020A2"/>
    <w:rsid w:val="00B020BC"/>
    <w:rsid w:val="00B0399C"/>
    <w:rsid w:val="00B039E5"/>
    <w:rsid w:val="00B03B6D"/>
    <w:rsid w:val="00B05619"/>
    <w:rsid w:val="00B05DF6"/>
    <w:rsid w:val="00B06507"/>
    <w:rsid w:val="00B0686B"/>
    <w:rsid w:val="00B07E82"/>
    <w:rsid w:val="00B1215E"/>
    <w:rsid w:val="00B1220F"/>
    <w:rsid w:val="00B12443"/>
    <w:rsid w:val="00B12D1B"/>
    <w:rsid w:val="00B13183"/>
    <w:rsid w:val="00B13FDE"/>
    <w:rsid w:val="00B14156"/>
    <w:rsid w:val="00B15840"/>
    <w:rsid w:val="00B167E8"/>
    <w:rsid w:val="00B177C7"/>
    <w:rsid w:val="00B20412"/>
    <w:rsid w:val="00B20760"/>
    <w:rsid w:val="00B21704"/>
    <w:rsid w:val="00B22B85"/>
    <w:rsid w:val="00B23895"/>
    <w:rsid w:val="00B241AE"/>
    <w:rsid w:val="00B25029"/>
    <w:rsid w:val="00B25ABC"/>
    <w:rsid w:val="00B26465"/>
    <w:rsid w:val="00B26FCB"/>
    <w:rsid w:val="00B27932"/>
    <w:rsid w:val="00B308FB"/>
    <w:rsid w:val="00B3103F"/>
    <w:rsid w:val="00B31173"/>
    <w:rsid w:val="00B311B9"/>
    <w:rsid w:val="00B31EC5"/>
    <w:rsid w:val="00B326ED"/>
    <w:rsid w:val="00B328FA"/>
    <w:rsid w:val="00B32A53"/>
    <w:rsid w:val="00B345DE"/>
    <w:rsid w:val="00B34E23"/>
    <w:rsid w:val="00B361DE"/>
    <w:rsid w:val="00B36545"/>
    <w:rsid w:val="00B3661F"/>
    <w:rsid w:val="00B36B0E"/>
    <w:rsid w:val="00B37789"/>
    <w:rsid w:val="00B37986"/>
    <w:rsid w:val="00B402EE"/>
    <w:rsid w:val="00B4058D"/>
    <w:rsid w:val="00B4072A"/>
    <w:rsid w:val="00B40EED"/>
    <w:rsid w:val="00B4268A"/>
    <w:rsid w:val="00B42B21"/>
    <w:rsid w:val="00B42B2B"/>
    <w:rsid w:val="00B4364B"/>
    <w:rsid w:val="00B43AED"/>
    <w:rsid w:val="00B44B03"/>
    <w:rsid w:val="00B450DD"/>
    <w:rsid w:val="00B455B9"/>
    <w:rsid w:val="00B46196"/>
    <w:rsid w:val="00B462F6"/>
    <w:rsid w:val="00B46967"/>
    <w:rsid w:val="00B46A2B"/>
    <w:rsid w:val="00B47A81"/>
    <w:rsid w:val="00B5030A"/>
    <w:rsid w:val="00B5186D"/>
    <w:rsid w:val="00B51A96"/>
    <w:rsid w:val="00B52500"/>
    <w:rsid w:val="00B5286A"/>
    <w:rsid w:val="00B528D6"/>
    <w:rsid w:val="00B53175"/>
    <w:rsid w:val="00B53551"/>
    <w:rsid w:val="00B5391B"/>
    <w:rsid w:val="00B54DD5"/>
    <w:rsid w:val="00B604B7"/>
    <w:rsid w:val="00B60BB3"/>
    <w:rsid w:val="00B61953"/>
    <w:rsid w:val="00B62216"/>
    <w:rsid w:val="00B626C5"/>
    <w:rsid w:val="00B64236"/>
    <w:rsid w:val="00B647AA"/>
    <w:rsid w:val="00B650BA"/>
    <w:rsid w:val="00B65368"/>
    <w:rsid w:val="00B65CFE"/>
    <w:rsid w:val="00B66657"/>
    <w:rsid w:val="00B66C07"/>
    <w:rsid w:val="00B67753"/>
    <w:rsid w:val="00B704DD"/>
    <w:rsid w:val="00B7287C"/>
    <w:rsid w:val="00B738B4"/>
    <w:rsid w:val="00B74338"/>
    <w:rsid w:val="00B74891"/>
    <w:rsid w:val="00B7499E"/>
    <w:rsid w:val="00B74A04"/>
    <w:rsid w:val="00B766F9"/>
    <w:rsid w:val="00B77248"/>
    <w:rsid w:val="00B803B2"/>
    <w:rsid w:val="00B8061E"/>
    <w:rsid w:val="00B80649"/>
    <w:rsid w:val="00B80B76"/>
    <w:rsid w:val="00B80E63"/>
    <w:rsid w:val="00B818BB"/>
    <w:rsid w:val="00B82194"/>
    <w:rsid w:val="00B82DCB"/>
    <w:rsid w:val="00B8314B"/>
    <w:rsid w:val="00B832E7"/>
    <w:rsid w:val="00B83387"/>
    <w:rsid w:val="00B83727"/>
    <w:rsid w:val="00B846FA"/>
    <w:rsid w:val="00B866F9"/>
    <w:rsid w:val="00B86FC0"/>
    <w:rsid w:val="00B91198"/>
    <w:rsid w:val="00B91D70"/>
    <w:rsid w:val="00B91FF7"/>
    <w:rsid w:val="00B920BE"/>
    <w:rsid w:val="00B930D9"/>
    <w:rsid w:val="00B935CB"/>
    <w:rsid w:val="00B9537E"/>
    <w:rsid w:val="00B95746"/>
    <w:rsid w:val="00B95E26"/>
    <w:rsid w:val="00B95F74"/>
    <w:rsid w:val="00B96751"/>
    <w:rsid w:val="00B96D90"/>
    <w:rsid w:val="00B96EB2"/>
    <w:rsid w:val="00B976CD"/>
    <w:rsid w:val="00B97827"/>
    <w:rsid w:val="00BA4FBE"/>
    <w:rsid w:val="00BA56D8"/>
    <w:rsid w:val="00BA6848"/>
    <w:rsid w:val="00BA6BD8"/>
    <w:rsid w:val="00BA712A"/>
    <w:rsid w:val="00BA7551"/>
    <w:rsid w:val="00BA7616"/>
    <w:rsid w:val="00BB189A"/>
    <w:rsid w:val="00BB2F5A"/>
    <w:rsid w:val="00BB3C99"/>
    <w:rsid w:val="00BB424F"/>
    <w:rsid w:val="00BB4395"/>
    <w:rsid w:val="00BB44D8"/>
    <w:rsid w:val="00BB50AB"/>
    <w:rsid w:val="00BB57A4"/>
    <w:rsid w:val="00BB6A5F"/>
    <w:rsid w:val="00BB70C6"/>
    <w:rsid w:val="00BB724B"/>
    <w:rsid w:val="00BB724D"/>
    <w:rsid w:val="00BB7A14"/>
    <w:rsid w:val="00BC072C"/>
    <w:rsid w:val="00BC107A"/>
    <w:rsid w:val="00BC20E0"/>
    <w:rsid w:val="00BC2406"/>
    <w:rsid w:val="00BC2417"/>
    <w:rsid w:val="00BC31E4"/>
    <w:rsid w:val="00BC32C4"/>
    <w:rsid w:val="00BC45FC"/>
    <w:rsid w:val="00BC4BB5"/>
    <w:rsid w:val="00BC571C"/>
    <w:rsid w:val="00BC58C0"/>
    <w:rsid w:val="00BC5A8A"/>
    <w:rsid w:val="00BC6FB8"/>
    <w:rsid w:val="00BD051C"/>
    <w:rsid w:val="00BD1394"/>
    <w:rsid w:val="00BD1491"/>
    <w:rsid w:val="00BD1766"/>
    <w:rsid w:val="00BD322D"/>
    <w:rsid w:val="00BD4035"/>
    <w:rsid w:val="00BD4934"/>
    <w:rsid w:val="00BD4DEA"/>
    <w:rsid w:val="00BD5083"/>
    <w:rsid w:val="00BD5E71"/>
    <w:rsid w:val="00BD6363"/>
    <w:rsid w:val="00BD685E"/>
    <w:rsid w:val="00BD69CF"/>
    <w:rsid w:val="00BE0B98"/>
    <w:rsid w:val="00BE1BA8"/>
    <w:rsid w:val="00BE25EE"/>
    <w:rsid w:val="00BE2B3D"/>
    <w:rsid w:val="00BE2E19"/>
    <w:rsid w:val="00BE2E2A"/>
    <w:rsid w:val="00BE38B7"/>
    <w:rsid w:val="00BE4A71"/>
    <w:rsid w:val="00BE4EA7"/>
    <w:rsid w:val="00BF0F42"/>
    <w:rsid w:val="00BF1395"/>
    <w:rsid w:val="00BF2623"/>
    <w:rsid w:val="00BF3C68"/>
    <w:rsid w:val="00BF3D44"/>
    <w:rsid w:val="00BF45FF"/>
    <w:rsid w:val="00BF486A"/>
    <w:rsid w:val="00C01F26"/>
    <w:rsid w:val="00C03A36"/>
    <w:rsid w:val="00C0436A"/>
    <w:rsid w:val="00C04653"/>
    <w:rsid w:val="00C05F5A"/>
    <w:rsid w:val="00C0633F"/>
    <w:rsid w:val="00C06647"/>
    <w:rsid w:val="00C079EA"/>
    <w:rsid w:val="00C07FAE"/>
    <w:rsid w:val="00C10584"/>
    <w:rsid w:val="00C10C26"/>
    <w:rsid w:val="00C10C4D"/>
    <w:rsid w:val="00C120A6"/>
    <w:rsid w:val="00C120B8"/>
    <w:rsid w:val="00C12102"/>
    <w:rsid w:val="00C13928"/>
    <w:rsid w:val="00C14094"/>
    <w:rsid w:val="00C14727"/>
    <w:rsid w:val="00C1481A"/>
    <w:rsid w:val="00C15D36"/>
    <w:rsid w:val="00C16513"/>
    <w:rsid w:val="00C1692B"/>
    <w:rsid w:val="00C16D1A"/>
    <w:rsid w:val="00C17358"/>
    <w:rsid w:val="00C2000D"/>
    <w:rsid w:val="00C20BA5"/>
    <w:rsid w:val="00C21252"/>
    <w:rsid w:val="00C2125E"/>
    <w:rsid w:val="00C21808"/>
    <w:rsid w:val="00C21A9C"/>
    <w:rsid w:val="00C21D68"/>
    <w:rsid w:val="00C21EA4"/>
    <w:rsid w:val="00C2240F"/>
    <w:rsid w:val="00C22DD4"/>
    <w:rsid w:val="00C24C52"/>
    <w:rsid w:val="00C24E32"/>
    <w:rsid w:val="00C253DB"/>
    <w:rsid w:val="00C2687C"/>
    <w:rsid w:val="00C274DA"/>
    <w:rsid w:val="00C27B80"/>
    <w:rsid w:val="00C27CCF"/>
    <w:rsid w:val="00C300B9"/>
    <w:rsid w:val="00C3101F"/>
    <w:rsid w:val="00C31023"/>
    <w:rsid w:val="00C320E8"/>
    <w:rsid w:val="00C33205"/>
    <w:rsid w:val="00C33774"/>
    <w:rsid w:val="00C33994"/>
    <w:rsid w:val="00C33FC0"/>
    <w:rsid w:val="00C34516"/>
    <w:rsid w:val="00C359AD"/>
    <w:rsid w:val="00C36704"/>
    <w:rsid w:val="00C370F4"/>
    <w:rsid w:val="00C37863"/>
    <w:rsid w:val="00C4033A"/>
    <w:rsid w:val="00C40E8C"/>
    <w:rsid w:val="00C40FCA"/>
    <w:rsid w:val="00C41F93"/>
    <w:rsid w:val="00C42FE3"/>
    <w:rsid w:val="00C431B4"/>
    <w:rsid w:val="00C45431"/>
    <w:rsid w:val="00C455DC"/>
    <w:rsid w:val="00C5118B"/>
    <w:rsid w:val="00C511E6"/>
    <w:rsid w:val="00C52196"/>
    <w:rsid w:val="00C5232B"/>
    <w:rsid w:val="00C52EEE"/>
    <w:rsid w:val="00C53970"/>
    <w:rsid w:val="00C55BF8"/>
    <w:rsid w:val="00C563C9"/>
    <w:rsid w:val="00C572F2"/>
    <w:rsid w:val="00C575BD"/>
    <w:rsid w:val="00C57754"/>
    <w:rsid w:val="00C60205"/>
    <w:rsid w:val="00C60E4C"/>
    <w:rsid w:val="00C612E7"/>
    <w:rsid w:val="00C61796"/>
    <w:rsid w:val="00C61965"/>
    <w:rsid w:val="00C63115"/>
    <w:rsid w:val="00C63512"/>
    <w:rsid w:val="00C63C70"/>
    <w:rsid w:val="00C65522"/>
    <w:rsid w:val="00C65678"/>
    <w:rsid w:val="00C65789"/>
    <w:rsid w:val="00C65ABC"/>
    <w:rsid w:val="00C66685"/>
    <w:rsid w:val="00C675C4"/>
    <w:rsid w:val="00C71627"/>
    <w:rsid w:val="00C721E0"/>
    <w:rsid w:val="00C721F3"/>
    <w:rsid w:val="00C72284"/>
    <w:rsid w:val="00C722B7"/>
    <w:rsid w:val="00C72E5C"/>
    <w:rsid w:val="00C73270"/>
    <w:rsid w:val="00C74E76"/>
    <w:rsid w:val="00C758BB"/>
    <w:rsid w:val="00C769CE"/>
    <w:rsid w:val="00C76E64"/>
    <w:rsid w:val="00C775B6"/>
    <w:rsid w:val="00C801C4"/>
    <w:rsid w:val="00C8165D"/>
    <w:rsid w:val="00C81A2D"/>
    <w:rsid w:val="00C83B26"/>
    <w:rsid w:val="00C84588"/>
    <w:rsid w:val="00C85C21"/>
    <w:rsid w:val="00C8716E"/>
    <w:rsid w:val="00C906A9"/>
    <w:rsid w:val="00C9077E"/>
    <w:rsid w:val="00C90B0A"/>
    <w:rsid w:val="00C916AD"/>
    <w:rsid w:val="00C920C5"/>
    <w:rsid w:val="00C924FB"/>
    <w:rsid w:val="00C9267B"/>
    <w:rsid w:val="00C93378"/>
    <w:rsid w:val="00C941F8"/>
    <w:rsid w:val="00C944FE"/>
    <w:rsid w:val="00C94893"/>
    <w:rsid w:val="00C9550D"/>
    <w:rsid w:val="00C967FF"/>
    <w:rsid w:val="00C96F25"/>
    <w:rsid w:val="00C97713"/>
    <w:rsid w:val="00CA1C82"/>
    <w:rsid w:val="00CA2798"/>
    <w:rsid w:val="00CA27D8"/>
    <w:rsid w:val="00CA290D"/>
    <w:rsid w:val="00CA299B"/>
    <w:rsid w:val="00CA3839"/>
    <w:rsid w:val="00CA3C12"/>
    <w:rsid w:val="00CA439D"/>
    <w:rsid w:val="00CA4AEE"/>
    <w:rsid w:val="00CA5C2A"/>
    <w:rsid w:val="00CA6AD5"/>
    <w:rsid w:val="00CA7B30"/>
    <w:rsid w:val="00CB0AD0"/>
    <w:rsid w:val="00CB1569"/>
    <w:rsid w:val="00CB1838"/>
    <w:rsid w:val="00CB21F9"/>
    <w:rsid w:val="00CB38FE"/>
    <w:rsid w:val="00CB3D6F"/>
    <w:rsid w:val="00CB6E63"/>
    <w:rsid w:val="00CB74A2"/>
    <w:rsid w:val="00CB74F9"/>
    <w:rsid w:val="00CC1078"/>
    <w:rsid w:val="00CC2304"/>
    <w:rsid w:val="00CC2801"/>
    <w:rsid w:val="00CC2A25"/>
    <w:rsid w:val="00CC2B25"/>
    <w:rsid w:val="00CC392C"/>
    <w:rsid w:val="00CC411A"/>
    <w:rsid w:val="00CC5948"/>
    <w:rsid w:val="00CC5F88"/>
    <w:rsid w:val="00CC6AF7"/>
    <w:rsid w:val="00CC6C97"/>
    <w:rsid w:val="00CC7965"/>
    <w:rsid w:val="00CC7C11"/>
    <w:rsid w:val="00CC7CEB"/>
    <w:rsid w:val="00CC7E38"/>
    <w:rsid w:val="00CD07B7"/>
    <w:rsid w:val="00CD19BA"/>
    <w:rsid w:val="00CD2DCC"/>
    <w:rsid w:val="00CD32E2"/>
    <w:rsid w:val="00CD36DF"/>
    <w:rsid w:val="00CD40D3"/>
    <w:rsid w:val="00CD4906"/>
    <w:rsid w:val="00CD5B1A"/>
    <w:rsid w:val="00CD68F4"/>
    <w:rsid w:val="00CE0B18"/>
    <w:rsid w:val="00CE1564"/>
    <w:rsid w:val="00CE2841"/>
    <w:rsid w:val="00CE2994"/>
    <w:rsid w:val="00CE5109"/>
    <w:rsid w:val="00CE63D5"/>
    <w:rsid w:val="00CE67EA"/>
    <w:rsid w:val="00CE69B1"/>
    <w:rsid w:val="00CE6FB4"/>
    <w:rsid w:val="00CE77E5"/>
    <w:rsid w:val="00CF0214"/>
    <w:rsid w:val="00CF0436"/>
    <w:rsid w:val="00CF0C5E"/>
    <w:rsid w:val="00CF0CCA"/>
    <w:rsid w:val="00CF2660"/>
    <w:rsid w:val="00CF4047"/>
    <w:rsid w:val="00CF5AF9"/>
    <w:rsid w:val="00CF69CC"/>
    <w:rsid w:val="00CF6B69"/>
    <w:rsid w:val="00CF72E1"/>
    <w:rsid w:val="00D00CD3"/>
    <w:rsid w:val="00D010F0"/>
    <w:rsid w:val="00D01F8F"/>
    <w:rsid w:val="00D026F7"/>
    <w:rsid w:val="00D02B40"/>
    <w:rsid w:val="00D034E0"/>
    <w:rsid w:val="00D036EE"/>
    <w:rsid w:val="00D03BE6"/>
    <w:rsid w:val="00D04003"/>
    <w:rsid w:val="00D04D94"/>
    <w:rsid w:val="00D04EB7"/>
    <w:rsid w:val="00D04FAF"/>
    <w:rsid w:val="00D06A30"/>
    <w:rsid w:val="00D06A3A"/>
    <w:rsid w:val="00D06C83"/>
    <w:rsid w:val="00D06F76"/>
    <w:rsid w:val="00D10A6E"/>
    <w:rsid w:val="00D11270"/>
    <w:rsid w:val="00D11442"/>
    <w:rsid w:val="00D115AF"/>
    <w:rsid w:val="00D12760"/>
    <w:rsid w:val="00D14F8B"/>
    <w:rsid w:val="00D165FF"/>
    <w:rsid w:val="00D176B4"/>
    <w:rsid w:val="00D17BF3"/>
    <w:rsid w:val="00D17F83"/>
    <w:rsid w:val="00D200D3"/>
    <w:rsid w:val="00D20975"/>
    <w:rsid w:val="00D20C1F"/>
    <w:rsid w:val="00D20D20"/>
    <w:rsid w:val="00D22028"/>
    <w:rsid w:val="00D22C62"/>
    <w:rsid w:val="00D22C79"/>
    <w:rsid w:val="00D24029"/>
    <w:rsid w:val="00D2496D"/>
    <w:rsid w:val="00D30120"/>
    <w:rsid w:val="00D319B4"/>
    <w:rsid w:val="00D320F0"/>
    <w:rsid w:val="00D32678"/>
    <w:rsid w:val="00D339E9"/>
    <w:rsid w:val="00D34B44"/>
    <w:rsid w:val="00D35336"/>
    <w:rsid w:val="00D35A88"/>
    <w:rsid w:val="00D40713"/>
    <w:rsid w:val="00D4098A"/>
    <w:rsid w:val="00D42526"/>
    <w:rsid w:val="00D436CD"/>
    <w:rsid w:val="00D44A33"/>
    <w:rsid w:val="00D45B73"/>
    <w:rsid w:val="00D465BD"/>
    <w:rsid w:val="00D46C2D"/>
    <w:rsid w:val="00D501B5"/>
    <w:rsid w:val="00D50427"/>
    <w:rsid w:val="00D505BE"/>
    <w:rsid w:val="00D5099D"/>
    <w:rsid w:val="00D51E50"/>
    <w:rsid w:val="00D52531"/>
    <w:rsid w:val="00D549C8"/>
    <w:rsid w:val="00D55024"/>
    <w:rsid w:val="00D55E2E"/>
    <w:rsid w:val="00D56987"/>
    <w:rsid w:val="00D56B09"/>
    <w:rsid w:val="00D575DD"/>
    <w:rsid w:val="00D57F27"/>
    <w:rsid w:val="00D60226"/>
    <w:rsid w:val="00D6154B"/>
    <w:rsid w:val="00D62601"/>
    <w:rsid w:val="00D62790"/>
    <w:rsid w:val="00D62834"/>
    <w:rsid w:val="00D62DB7"/>
    <w:rsid w:val="00D64AA0"/>
    <w:rsid w:val="00D64B94"/>
    <w:rsid w:val="00D65D55"/>
    <w:rsid w:val="00D65EE2"/>
    <w:rsid w:val="00D66584"/>
    <w:rsid w:val="00D70DC6"/>
    <w:rsid w:val="00D70EFB"/>
    <w:rsid w:val="00D71F7E"/>
    <w:rsid w:val="00D72756"/>
    <w:rsid w:val="00D72A20"/>
    <w:rsid w:val="00D72D39"/>
    <w:rsid w:val="00D740E3"/>
    <w:rsid w:val="00D750FB"/>
    <w:rsid w:val="00D75785"/>
    <w:rsid w:val="00D75873"/>
    <w:rsid w:val="00D76259"/>
    <w:rsid w:val="00D76C23"/>
    <w:rsid w:val="00D77A56"/>
    <w:rsid w:val="00D77D00"/>
    <w:rsid w:val="00D80116"/>
    <w:rsid w:val="00D803DA"/>
    <w:rsid w:val="00D80A4D"/>
    <w:rsid w:val="00D80A54"/>
    <w:rsid w:val="00D80C15"/>
    <w:rsid w:val="00D81ED2"/>
    <w:rsid w:val="00D81F47"/>
    <w:rsid w:val="00D8217B"/>
    <w:rsid w:val="00D822B2"/>
    <w:rsid w:val="00D824B2"/>
    <w:rsid w:val="00D83128"/>
    <w:rsid w:val="00D837E0"/>
    <w:rsid w:val="00D83E76"/>
    <w:rsid w:val="00D84353"/>
    <w:rsid w:val="00D84FEC"/>
    <w:rsid w:val="00D85BB1"/>
    <w:rsid w:val="00D860F4"/>
    <w:rsid w:val="00D864F5"/>
    <w:rsid w:val="00D868F2"/>
    <w:rsid w:val="00D86BBA"/>
    <w:rsid w:val="00D90179"/>
    <w:rsid w:val="00D9035D"/>
    <w:rsid w:val="00D90A44"/>
    <w:rsid w:val="00D90B42"/>
    <w:rsid w:val="00D91859"/>
    <w:rsid w:val="00D9194B"/>
    <w:rsid w:val="00D927A4"/>
    <w:rsid w:val="00D9305F"/>
    <w:rsid w:val="00D94B41"/>
    <w:rsid w:val="00D9586B"/>
    <w:rsid w:val="00D95FCE"/>
    <w:rsid w:val="00D962C5"/>
    <w:rsid w:val="00D967C6"/>
    <w:rsid w:val="00D96DB9"/>
    <w:rsid w:val="00DA0165"/>
    <w:rsid w:val="00DA091E"/>
    <w:rsid w:val="00DA1155"/>
    <w:rsid w:val="00DA1824"/>
    <w:rsid w:val="00DA29C5"/>
    <w:rsid w:val="00DA3030"/>
    <w:rsid w:val="00DA435C"/>
    <w:rsid w:val="00DA4BB7"/>
    <w:rsid w:val="00DA5325"/>
    <w:rsid w:val="00DA5B70"/>
    <w:rsid w:val="00DA780F"/>
    <w:rsid w:val="00DB02A6"/>
    <w:rsid w:val="00DB200A"/>
    <w:rsid w:val="00DB43FA"/>
    <w:rsid w:val="00DB4A61"/>
    <w:rsid w:val="00DB55BE"/>
    <w:rsid w:val="00DB6603"/>
    <w:rsid w:val="00DB6BC2"/>
    <w:rsid w:val="00DB7ED9"/>
    <w:rsid w:val="00DC05A5"/>
    <w:rsid w:val="00DC0D2D"/>
    <w:rsid w:val="00DC0E8A"/>
    <w:rsid w:val="00DC0EEC"/>
    <w:rsid w:val="00DC12E9"/>
    <w:rsid w:val="00DC224B"/>
    <w:rsid w:val="00DC27E5"/>
    <w:rsid w:val="00DC2C6F"/>
    <w:rsid w:val="00DC3066"/>
    <w:rsid w:val="00DC33D4"/>
    <w:rsid w:val="00DC3963"/>
    <w:rsid w:val="00DC3D65"/>
    <w:rsid w:val="00DC3F89"/>
    <w:rsid w:val="00DC58A9"/>
    <w:rsid w:val="00DC5D0B"/>
    <w:rsid w:val="00DC67F6"/>
    <w:rsid w:val="00DC7360"/>
    <w:rsid w:val="00DC7417"/>
    <w:rsid w:val="00DC7B5A"/>
    <w:rsid w:val="00DD0335"/>
    <w:rsid w:val="00DD05D5"/>
    <w:rsid w:val="00DD063D"/>
    <w:rsid w:val="00DD0F6B"/>
    <w:rsid w:val="00DD1B22"/>
    <w:rsid w:val="00DD379D"/>
    <w:rsid w:val="00DD3E98"/>
    <w:rsid w:val="00DD563F"/>
    <w:rsid w:val="00DD5720"/>
    <w:rsid w:val="00DD5CB7"/>
    <w:rsid w:val="00DD603F"/>
    <w:rsid w:val="00DD64EF"/>
    <w:rsid w:val="00DD6C2F"/>
    <w:rsid w:val="00DD794E"/>
    <w:rsid w:val="00DE007C"/>
    <w:rsid w:val="00DE15F0"/>
    <w:rsid w:val="00DE1713"/>
    <w:rsid w:val="00DE2D67"/>
    <w:rsid w:val="00DE31B3"/>
    <w:rsid w:val="00DE44F5"/>
    <w:rsid w:val="00DE4612"/>
    <w:rsid w:val="00DE4899"/>
    <w:rsid w:val="00DE4AE9"/>
    <w:rsid w:val="00DE4AFD"/>
    <w:rsid w:val="00DE4F60"/>
    <w:rsid w:val="00DE5092"/>
    <w:rsid w:val="00DE6CB5"/>
    <w:rsid w:val="00DE79A6"/>
    <w:rsid w:val="00DE7F05"/>
    <w:rsid w:val="00DF0117"/>
    <w:rsid w:val="00DF08B7"/>
    <w:rsid w:val="00DF27A7"/>
    <w:rsid w:val="00DF2A9D"/>
    <w:rsid w:val="00DF3C40"/>
    <w:rsid w:val="00DF3F06"/>
    <w:rsid w:val="00DF4028"/>
    <w:rsid w:val="00DF41E4"/>
    <w:rsid w:val="00DF530D"/>
    <w:rsid w:val="00DF6D1A"/>
    <w:rsid w:val="00E0018F"/>
    <w:rsid w:val="00E02158"/>
    <w:rsid w:val="00E02272"/>
    <w:rsid w:val="00E02C7C"/>
    <w:rsid w:val="00E05A50"/>
    <w:rsid w:val="00E05BBD"/>
    <w:rsid w:val="00E062EA"/>
    <w:rsid w:val="00E06ED4"/>
    <w:rsid w:val="00E11516"/>
    <w:rsid w:val="00E11F46"/>
    <w:rsid w:val="00E12A45"/>
    <w:rsid w:val="00E12B38"/>
    <w:rsid w:val="00E148B0"/>
    <w:rsid w:val="00E151C3"/>
    <w:rsid w:val="00E16F00"/>
    <w:rsid w:val="00E176AA"/>
    <w:rsid w:val="00E22374"/>
    <w:rsid w:val="00E225A5"/>
    <w:rsid w:val="00E22AC5"/>
    <w:rsid w:val="00E22BDA"/>
    <w:rsid w:val="00E22CD0"/>
    <w:rsid w:val="00E24241"/>
    <w:rsid w:val="00E254D8"/>
    <w:rsid w:val="00E2562C"/>
    <w:rsid w:val="00E25E6B"/>
    <w:rsid w:val="00E303CA"/>
    <w:rsid w:val="00E30940"/>
    <w:rsid w:val="00E30A06"/>
    <w:rsid w:val="00E30E25"/>
    <w:rsid w:val="00E3111A"/>
    <w:rsid w:val="00E31853"/>
    <w:rsid w:val="00E3239B"/>
    <w:rsid w:val="00E329BF"/>
    <w:rsid w:val="00E32D82"/>
    <w:rsid w:val="00E34400"/>
    <w:rsid w:val="00E34D4B"/>
    <w:rsid w:val="00E35DEA"/>
    <w:rsid w:val="00E364EA"/>
    <w:rsid w:val="00E36A9F"/>
    <w:rsid w:val="00E36EDE"/>
    <w:rsid w:val="00E37125"/>
    <w:rsid w:val="00E37DB8"/>
    <w:rsid w:val="00E40B36"/>
    <w:rsid w:val="00E41E92"/>
    <w:rsid w:val="00E429F5"/>
    <w:rsid w:val="00E43CFE"/>
    <w:rsid w:val="00E44663"/>
    <w:rsid w:val="00E45113"/>
    <w:rsid w:val="00E46001"/>
    <w:rsid w:val="00E462D2"/>
    <w:rsid w:val="00E4669F"/>
    <w:rsid w:val="00E46CC1"/>
    <w:rsid w:val="00E47111"/>
    <w:rsid w:val="00E50A15"/>
    <w:rsid w:val="00E50BDB"/>
    <w:rsid w:val="00E511E9"/>
    <w:rsid w:val="00E51BC0"/>
    <w:rsid w:val="00E51E0B"/>
    <w:rsid w:val="00E51E80"/>
    <w:rsid w:val="00E53468"/>
    <w:rsid w:val="00E56D75"/>
    <w:rsid w:val="00E57181"/>
    <w:rsid w:val="00E57556"/>
    <w:rsid w:val="00E5755E"/>
    <w:rsid w:val="00E57F39"/>
    <w:rsid w:val="00E6057E"/>
    <w:rsid w:val="00E616A3"/>
    <w:rsid w:val="00E61C56"/>
    <w:rsid w:val="00E621D3"/>
    <w:rsid w:val="00E6313C"/>
    <w:rsid w:val="00E63305"/>
    <w:rsid w:val="00E66126"/>
    <w:rsid w:val="00E6796D"/>
    <w:rsid w:val="00E70BCA"/>
    <w:rsid w:val="00E72708"/>
    <w:rsid w:val="00E72B77"/>
    <w:rsid w:val="00E72C8F"/>
    <w:rsid w:val="00E73362"/>
    <w:rsid w:val="00E750FE"/>
    <w:rsid w:val="00E75834"/>
    <w:rsid w:val="00E75A35"/>
    <w:rsid w:val="00E75C62"/>
    <w:rsid w:val="00E778EC"/>
    <w:rsid w:val="00E77D57"/>
    <w:rsid w:val="00E77D6B"/>
    <w:rsid w:val="00E810EF"/>
    <w:rsid w:val="00E8210D"/>
    <w:rsid w:val="00E822AA"/>
    <w:rsid w:val="00E82C3D"/>
    <w:rsid w:val="00E82D22"/>
    <w:rsid w:val="00E84073"/>
    <w:rsid w:val="00E84171"/>
    <w:rsid w:val="00E841B4"/>
    <w:rsid w:val="00E84A73"/>
    <w:rsid w:val="00E84F56"/>
    <w:rsid w:val="00E85948"/>
    <w:rsid w:val="00E85E9C"/>
    <w:rsid w:val="00E86A5A"/>
    <w:rsid w:val="00E91460"/>
    <w:rsid w:val="00E91AA3"/>
    <w:rsid w:val="00E92B16"/>
    <w:rsid w:val="00E92B81"/>
    <w:rsid w:val="00E92CE9"/>
    <w:rsid w:val="00E93A44"/>
    <w:rsid w:val="00E9401B"/>
    <w:rsid w:val="00E9483D"/>
    <w:rsid w:val="00E952A3"/>
    <w:rsid w:val="00E953BB"/>
    <w:rsid w:val="00E9547A"/>
    <w:rsid w:val="00E960E8"/>
    <w:rsid w:val="00E96143"/>
    <w:rsid w:val="00E976CF"/>
    <w:rsid w:val="00EA035E"/>
    <w:rsid w:val="00EA1FB2"/>
    <w:rsid w:val="00EA2A8B"/>
    <w:rsid w:val="00EA2D30"/>
    <w:rsid w:val="00EA4101"/>
    <w:rsid w:val="00EA47F4"/>
    <w:rsid w:val="00EA5EF5"/>
    <w:rsid w:val="00EA6CA9"/>
    <w:rsid w:val="00EA7B72"/>
    <w:rsid w:val="00EB0A46"/>
    <w:rsid w:val="00EB1257"/>
    <w:rsid w:val="00EB16C5"/>
    <w:rsid w:val="00EB1D02"/>
    <w:rsid w:val="00EB353D"/>
    <w:rsid w:val="00EB36EA"/>
    <w:rsid w:val="00EB3FD8"/>
    <w:rsid w:val="00EB40A6"/>
    <w:rsid w:val="00EB454A"/>
    <w:rsid w:val="00EB6F19"/>
    <w:rsid w:val="00EB76CA"/>
    <w:rsid w:val="00EB7786"/>
    <w:rsid w:val="00EB7A85"/>
    <w:rsid w:val="00EC02C0"/>
    <w:rsid w:val="00EC064D"/>
    <w:rsid w:val="00EC0DD3"/>
    <w:rsid w:val="00EC213D"/>
    <w:rsid w:val="00EC24C6"/>
    <w:rsid w:val="00EC2832"/>
    <w:rsid w:val="00EC28B4"/>
    <w:rsid w:val="00EC2B67"/>
    <w:rsid w:val="00EC38F6"/>
    <w:rsid w:val="00EC5056"/>
    <w:rsid w:val="00EC5EF5"/>
    <w:rsid w:val="00EC6010"/>
    <w:rsid w:val="00EC79F6"/>
    <w:rsid w:val="00ED0A79"/>
    <w:rsid w:val="00ED0FF3"/>
    <w:rsid w:val="00ED13D6"/>
    <w:rsid w:val="00ED1566"/>
    <w:rsid w:val="00ED1CBD"/>
    <w:rsid w:val="00ED2123"/>
    <w:rsid w:val="00ED2721"/>
    <w:rsid w:val="00ED2A72"/>
    <w:rsid w:val="00ED330C"/>
    <w:rsid w:val="00ED53D3"/>
    <w:rsid w:val="00ED5798"/>
    <w:rsid w:val="00ED65DA"/>
    <w:rsid w:val="00ED67B4"/>
    <w:rsid w:val="00ED6EA7"/>
    <w:rsid w:val="00ED796D"/>
    <w:rsid w:val="00EE054D"/>
    <w:rsid w:val="00EE05F2"/>
    <w:rsid w:val="00EE082B"/>
    <w:rsid w:val="00EE11FD"/>
    <w:rsid w:val="00EE122F"/>
    <w:rsid w:val="00EE1F89"/>
    <w:rsid w:val="00EE2F87"/>
    <w:rsid w:val="00EE4832"/>
    <w:rsid w:val="00EE4AA4"/>
    <w:rsid w:val="00EE5332"/>
    <w:rsid w:val="00EE5C48"/>
    <w:rsid w:val="00EE61CD"/>
    <w:rsid w:val="00EE64B5"/>
    <w:rsid w:val="00EE6524"/>
    <w:rsid w:val="00EF0145"/>
    <w:rsid w:val="00EF328A"/>
    <w:rsid w:val="00EF413A"/>
    <w:rsid w:val="00EF46CD"/>
    <w:rsid w:val="00EF470A"/>
    <w:rsid w:val="00EF4DD7"/>
    <w:rsid w:val="00EF5649"/>
    <w:rsid w:val="00EF5B2E"/>
    <w:rsid w:val="00EF63E5"/>
    <w:rsid w:val="00EF7585"/>
    <w:rsid w:val="00F0036E"/>
    <w:rsid w:val="00F00F58"/>
    <w:rsid w:val="00F0173D"/>
    <w:rsid w:val="00F02AD9"/>
    <w:rsid w:val="00F03208"/>
    <w:rsid w:val="00F052FB"/>
    <w:rsid w:val="00F05858"/>
    <w:rsid w:val="00F07136"/>
    <w:rsid w:val="00F07848"/>
    <w:rsid w:val="00F07A1A"/>
    <w:rsid w:val="00F1277E"/>
    <w:rsid w:val="00F145BF"/>
    <w:rsid w:val="00F14B61"/>
    <w:rsid w:val="00F15018"/>
    <w:rsid w:val="00F153FF"/>
    <w:rsid w:val="00F16665"/>
    <w:rsid w:val="00F1717C"/>
    <w:rsid w:val="00F17988"/>
    <w:rsid w:val="00F21161"/>
    <w:rsid w:val="00F217B4"/>
    <w:rsid w:val="00F21A1A"/>
    <w:rsid w:val="00F21F7A"/>
    <w:rsid w:val="00F22705"/>
    <w:rsid w:val="00F22925"/>
    <w:rsid w:val="00F2378D"/>
    <w:rsid w:val="00F239BF"/>
    <w:rsid w:val="00F23A51"/>
    <w:rsid w:val="00F247BD"/>
    <w:rsid w:val="00F26189"/>
    <w:rsid w:val="00F261B8"/>
    <w:rsid w:val="00F26459"/>
    <w:rsid w:val="00F2780A"/>
    <w:rsid w:val="00F301D2"/>
    <w:rsid w:val="00F31079"/>
    <w:rsid w:val="00F31270"/>
    <w:rsid w:val="00F32DA3"/>
    <w:rsid w:val="00F3318F"/>
    <w:rsid w:val="00F3359A"/>
    <w:rsid w:val="00F33BB3"/>
    <w:rsid w:val="00F33DBD"/>
    <w:rsid w:val="00F34095"/>
    <w:rsid w:val="00F34969"/>
    <w:rsid w:val="00F3590A"/>
    <w:rsid w:val="00F35C98"/>
    <w:rsid w:val="00F36658"/>
    <w:rsid w:val="00F3754A"/>
    <w:rsid w:val="00F37E36"/>
    <w:rsid w:val="00F4083C"/>
    <w:rsid w:val="00F419D9"/>
    <w:rsid w:val="00F41CDD"/>
    <w:rsid w:val="00F41E66"/>
    <w:rsid w:val="00F4219B"/>
    <w:rsid w:val="00F42604"/>
    <w:rsid w:val="00F42D77"/>
    <w:rsid w:val="00F42F3F"/>
    <w:rsid w:val="00F439CF"/>
    <w:rsid w:val="00F43B51"/>
    <w:rsid w:val="00F4401A"/>
    <w:rsid w:val="00F4505D"/>
    <w:rsid w:val="00F452B5"/>
    <w:rsid w:val="00F45949"/>
    <w:rsid w:val="00F45E68"/>
    <w:rsid w:val="00F4641B"/>
    <w:rsid w:val="00F46FF1"/>
    <w:rsid w:val="00F47C2E"/>
    <w:rsid w:val="00F504B0"/>
    <w:rsid w:val="00F507C2"/>
    <w:rsid w:val="00F50E40"/>
    <w:rsid w:val="00F51988"/>
    <w:rsid w:val="00F51A49"/>
    <w:rsid w:val="00F5211C"/>
    <w:rsid w:val="00F538EC"/>
    <w:rsid w:val="00F53F0E"/>
    <w:rsid w:val="00F540AD"/>
    <w:rsid w:val="00F549FE"/>
    <w:rsid w:val="00F56D8E"/>
    <w:rsid w:val="00F57208"/>
    <w:rsid w:val="00F60437"/>
    <w:rsid w:val="00F619DC"/>
    <w:rsid w:val="00F61F68"/>
    <w:rsid w:val="00F627A3"/>
    <w:rsid w:val="00F6338D"/>
    <w:rsid w:val="00F63474"/>
    <w:rsid w:val="00F64B41"/>
    <w:rsid w:val="00F6554E"/>
    <w:rsid w:val="00F65857"/>
    <w:rsid w:val="00F668DC"/>
    <w:rsid w:val="00F66EDA"/>
    <w:rsid w:val="00F67596"/>
    <w:rsid w:val="00F679EF"/>
    <w:rsid w:val="00F67A2C"/>
    <w:rsid w:val="00F70B62"/>
    <w:rsid w:val="00F70BF2"/>
    <w:rsid w:val="00F73960"/>
    <w:rsid w:val="00F73C77"/>
    <w:rsid w:val="00F76981"/>
    <w:rsid w:val="00F76B45"/>
    <w:rsid w:val="00F77836"/>
    <w:rsid w:val="00F77B9A"/>
    <w:rsid w:val="00F77F6C"/>
    <w:rsid w:val="00F80380"/>
    <w:rsid w:val="00F83AED"/>
    <w:rsid w:val="00F845F3"/>
    <w:rsid w:val="00F849CC"/>
    <w:rsid w:val="00F84AF1"/>
    <w:rsid w:val="00F85597"/>
    <w:rsid w:val="00F8563B"/>
    <w:rsid w:val="00F85B0F"/>
    <w:rsid w:val="00F86788"/>
    <w:rsid w:val="00F86C49"/>
    <w:rsid w:val="00F8725D"/>
    <w:rsid w:val="00F905FF"/>
    <w:rsid w:val="00F91E41"/>
    <w:rsid w:val="00F92F53"/>
    <w:rsid w:val="00F935AC"/>
    <w:rsid w:val="00F94741"/>
    <w:rsid w:val="00F95245"/>
    <w:rsid w:val="00F961F2"/>
    <w:rsid w:val="00F9665C"/>
    <w:rsid w:val="00F9723C"/>
    <w:rsid w:val="00F9778A"/>
    <w:rsid w:val="00FA06A0"/>
    <w:rsid w:val="00FA0967"/>
    <w:rsid w:val="00FA3526"/>
    <w:rsid w:val="00FA3924"/>
    <w:rsid w:val="00FA3AA0"/>
    <w:rsid w:val="00FA5076"/>
    <w:rsid w:val="00FA58FE"/>
    <w:rsid w:val="00FA6E5B"/>
    <w:rsid w:val="00FA7FA5"/>
    <w:rsid w:val="00FB0BC3"/>
    <w:rsid w:val="00FB2C8A"/>
    <w:rsid w:val="00FB2E05"/>
    <w:rsid w:val="00FB33E4"/>
    <w:rsid w:val="00FB3E36"/>
    <w:rsid w:val="00FB4649"/>
    <w:rsid w:val="00FB470F"/>
    <w:rsid w:val="00FB5318"/>
    <w:rsid w:val="00FB5F92"/>
    <w:rsid w:val="00FB653C"/>
    <w:rsid w:val="00FB6F65"/>
    <w:rsid w:val="00FB7B4D"/>
    <w:rsid w:val="00FC1028"/>
    <w:rsid w:val="00FC1294"/>
    <w:rsid w:val="00FC1738"/>
    <w:rsid w:val="00FC22EC"/>
    <w:rsid w:val="00FC4D02"/>
    <w:rsid w:val="00FC510F"/>
    <w:rsid w:val="00FC7518"/>
    <w:rsid w:val="00FD0CEB"/>
    <w:rsid w:val="00FD0EBF"/>
    <w:rsid w:val="00FD0ED6"/>
    <w:rsid w:val="00FD1BC4"/>
    <w:rsid w:val="00FD1EB3"/>
    <w:rsid w:val="00FD2086"/>
    <w:rsid w:val="00FD258A"/>
    <w:rsid w:val="00FD33AF"/>
    <w:rsid w:val="00FD3FAC"/>
    <w:rsid w:val="00FD439B"/>
    <w:rsid w:val="00FD4A1C"/>
    <w:rsid w:val="00FD65A3"/>
    <w:rsid w:val="00FD6D78"/>
    <w:rsid w:val="00FD757D"/>
    <w:rsid w:val="00FE0182"/>
    <w:rsid w:val="00FE02A7"/>
    <w:rsid w:val="00FE12D8"/>
    <w:rsid w:val="00FE1977"/>
    <w:rsid w:val="00FE1B1D"/>
    <w:rsid w:val="00FE1F6B"/>
    <w:rsid w:val="00FE2592"/>
    <w:rsid w:val="00FE2E3D"/>
    <w:rsid w:val="00FE2FEA"/>
    <w:rsid w:val="00FE46F7"/>
    <w:rsid w:val="00FE53EB"/>
    <w:rsid w:val="00FE6507"/>
    <w:rsid w:val="00FE7C99"/>
    <w:rsid w:val="00FF06D3"/>
    <w:rsid w:val="00FF2FA0"/>
    <w:rsid w:val="00FF39F6"/>
    <w:rsid w:val="00FF3E63"/>
    <w:rsid w:val="00FF46EC"/>
    <w:rsid w:val="00FF5939"/>
    <w:rsid w:val="00FF5A36"/>
    <w:rsid w:val="00FF623F"/>
    <w:rsid w:val="00FF65BD"/>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8B"/>
    <w:pPr>
      <w:spacing w:after="0" w:line="240" w:lineRule="auto"/>
    </w:pPr>
    <w:rPr>
      <w:rFonts w:ascii="Century Schoolbook" w:eastAsia="Times New Roman" w:hAnsi="Century Schoolbook" w:cs="Century Schoolbook"/>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D"/>
    <w:pPr>
      <w:tabs>
        <w:tab w:val="left" w:pos="720"/>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DC0D2D"/>
  </w:style>
  <w:style w:type="paragraph" w:styleId="Footer">
    <w:name w:val="footer"/>
    <w:basedOn w:val="Normal"/>
    <w:link w:val="FooterChar"/>
    <w:uiPriority w:val="99"/>
    <w:unhideWhenUsed/>
    <w:rsid w:val="00DC0D2D"/>
    <w:pPr>
      <w:tabs>
        <w:tab w:val="left" w:pos="720"/>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DC0D2D"/>
  </w:style>
  <w:style w:type="character" w:styleId="PageNumber">
    <w:name w:val="page number"/>
    <w:basedOn w:val="DefaultParagraphFont"/>
    <w:uiPriority w:val="99"/>
    <w:semiHidden/>
    <w:unhideWhenUsed/>
    <w:rsid w:val="00DC0D2D"/>
  </w:style>
  <w:style w:type="paragraph" w:styleId="FootnoteText">
    <w:name w:val="footnote text"/>
    <w:link w:val="FootnoteTextChar"/>
    <w:uiPriority w:val="99"/>
    <w:unhideWhenUsed/>
    <w:rsid w:val="00DC0D2D"/>
    <w:pPr>
      <w:spacing w:after="0" w:line="240" w:lineRule="auto"/>
    </w:pPr>
    <w:rPr>
      <w:rFonts w:ascii="Century Schoolbook" w:hAnsi="Century Schoolbook"/>
      <w:sz w:val="26"/>
      <w:szCs w:val="20"/>
    </w:rPr>
  </w:style>
  <w:style w:type="character" w:customStyle="1" w:styleId="FootnoteTextChar">
    <w:name w:val="Footnote Text Char"/>
    <w:basedOn w:val="DefaultParagraphFont"/>
    <w:link w:val="FootnoteText"/>
    <w:uiPriority w:val="99"/>
    <w:rsid w:val="00DC0D2D"/>
    <w:rPr>
      <w:rFonts w:ascii="Century Schoolbook" w:hAnsi="Century Schoolbook"/>
      <w:sz w:val="26"/>
      <w:szCs w:val="20"/>
    </w:rPr>
  </w:style>
  <w:style w:type="character" w:styleId="FootnoteReference">
    <w:name w:val="footnote reference"/>
    <w:basedOn w:val="DefaultParagraphFont"/>
    <w:uiPriority w:val="99"/>
    <w:semiHidden/>
    <w:unhideWhenUsed/>
    <w:rsid w:val="001E27C3"/>
    <w:rPr>
      <w:vertAlign w:val="superscript"/>
    </w:rPr>
  </w:style>
  <w:style w:type="paragraph" w:styleId="BalloonText">
    <w:name w:val="Balloon Text"/>
    <w:basedOn w:val="Normal"/>
    <w:link w:val="BalloonTextChar"/>
    <w:uiPriority w:val="99"/>
    <w:semiHidden/>
    <w:unhideWhenUsed/>
    <w:rsid w:val="002F54AC"/>
    <w:pPr>
      <w:tabs>
        <w:tab w:val="left" w:pos="720"/>
      </w:tabs>
    </w:pPr>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54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54AC"/>
    <w:rPr>
      <w:sz w:val="16"/>
      <w:szCs w:val="16"/>
    </w:rPr>
  </w:style>
  <w:style w:type="paragraph" w:styleId="CommentText">
    <w:name w:val="annotation text"/>
    <w:basedOn w:val="Normal"/>
    <w:link w:val="CommentTextChar"/>
    <w:uiPriority w:val="99"/>
    <w:unhideWhenUsed/>
    <w:rsid w:val="002F54AC"/>
    <w:pPr>
      <w:tabs>
        <w:tab w:val="left" w:pos="720"/>
      </w:tabs>
    </w:pPr>
    <w:rPr>
      <w:rFonts w:eastAsiaTheme="minorHAnsi" w:cstheme="minorBidi"/>
      <w:sz w:val="20"/>
      <w:szCs w:val="20"/>
    </w:rPr>
  </w:style>
  <w:style w:type="character" w:customStyle="1" w:styleId="CommentTextChar">
    <w:name w:val="Comment Text Char"/>
    <w:basedOn w:val="DefaultParagraphFont"/>
    <w:link w:val="CommentText"/>
    <w:uiPriority w:val="99"/>
    <w:rsid w:val="002F54AC"/>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2F54AC"/>
    <w:rPr>
      <w:b/>
      <w:bCs/>
    </w:rPr>
  </w:style>
  <w:style w:type="character" w:customStyle="1" w:styleId="CommentSubjectChar">
    <w:name w:val="Comment Subject Char"/>
    <w:basedOn w:val="CommentTextChar"/>
    <w:link w:val="CommentSubject"/>
    <w:uiPriority w:val="99"/>
    <w:semiHidden/>
    <w:rsid w:val="002F54AC"/>
    <w:rPr>
      <w:rFonts w:ascii="Century Schoolbook" w:hAnsi="Century Schoolbook"/>
      <w:b/>
      <w:bCs/>
      <w:sz w:val="20"/>
      <w:szCs w:val="20"/>
    </w:rPr>
  </w:style>
  <w:style w:type="paragraph" w:styleId="ListParagraph">
    <w:name w:val="List Paragraph"/>
    <w:basedOn w:val="Normal"/>
    <w:uiPriority w:val="34"/>
    <w:qFormat/>
    <w:rsid w:val="00844213"/>
    <w:pPr>
      <w:tabs>
        <w:tab w:val="left" w:pos="720"/>
      </w:tabs>
      <w:spacing w:line="480" w:lineRule="atLeast"/>
      <w:ind w:left="720"/>
      <w:contextualSpacing/>
    </w:pPr>
    <w:rPr>
      <w:rFonts w:eastAsiaTheme="minorHAnsi" w:cstheme="minorBidi"/>
      <w:szCs w:val="22"/>
    </w:rPr>
  </w:style>
  <w:style w:type="paragraph" w:styleId="Revision">
    <w:name w:val="Revision"/>
    <w:hidden/>
    <w:uiPriority w:val="99"/>
    <w:semiHidden/>
    <w:rsid w:val="00FE12D8"/>
    <w:pPr>
      <w:spacing w:after="0" w:line="240" w:lineRule="auto"/>
    </w:pPr>
    <w:rPr>
      <w:rFonts w:ascii="Century Schoolbook" w:hAnsi="Century Schoolbook"/>
      <w:sz w:val="26"/>
    </w:rPr>
  </w:style>
  <w:style w:type="character" w:customStyle="1" w:styleId="costarpage">
    <w:name w:val="co_starpage"/>
    <w:basedOn w:val="DefaultParagraphFont"/>
    <w:rsid w:val="009C758B"/>
  </w:style>
  <w:style w:type="paragraph" w:styleId="NormalWeb">
    <w:name w:val="Normal (Web)"/>
    <w:basedOn w:val="Normal"/>
    <w:uiPriority w:val="99"/>
    <w:unhideWhenUsed/>
    <w:rsid w:val="00755204"/>
    <w:pPr>
      <w:spacing w:before="100" w:beforeAutospacing="1" w:after="100" w:afterAutospacing="1"/>
    </w:pPr>
    <w:rPr>
      <w:rFonts w:ascii="Times New Roman" w:hAnsi="Times New Roman" w:cs="Times New Roman"/>
      <w:sz w:val="24"/>
      <w:szCs w:val="24"/>
    </w:rPr>
  </w:style>
  <w:style w:type="character" w:customStyle="1" w:styleId="added-material">
    <w:name w:val="added-material"/>
    <w:basedOn w:val="DefaultParagraphFont"/>
    <w:rsid w:val="00755204"/>
  </w:style>
  <w:style w:type="character" w:customStyle="1" w:styleId="cite">
    <w:name w:val="cite"/>
    <w:basedOn w:val="DefaultParagraphFont"/>
    <w:rsid w:val="00755204"/>
  </w:style>
  <w:style w:type="character" w:styleId="Hyperlink">
    <w:name w:val="Hyperlink"/>
    <w:basedOn w:val="DefaultParagraphFont"/>
    <w:uiPriority w:val="99"/>
    <w:semiHidden/>
    <w:unhideWhenUsed/>
    <w:rsid w:val="00755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7D57-A6FF-4C07-86B5-D739534F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7454</Words>
  <Characters>39717</Characters>
  <Application>Microsoft Office Word</Application>
  <DocSecurity>0</DocSecurity>
  <Lines>728</Lines>
  <Paragraphs>96</Paragraphs>
  <ScaleCrop>false</ScaleCrop>
  <Manager/>
  <Company/>
  <LinksUpToDate>false</LinksUpToDate>
  <CharactersWithSpaces>47401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2022-03-11T02:05:00Z</dcterms:created>
  <dcterms:modified xsi:type="dcterms:W3CDTF">2022-03-11T02:05:00Z</dcterms:modified>
  <cp:category/>
</cp:coreProperties>
</file>