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8CF1A" w14:textId="5C418A73" w:rsidR="00B30215" w:rsidRDefault="00C64D74" w:rsidP="00AB4E6C">
      <w:pPr>
        <w:spacing w:line="240" w:lineRule="auto"/>
        <w:jc w:val="center"/>
        <w:rPr>
          <w:sz w:val="20"/>
          <w:lang w:val="es-MX"/>
        </w:rPr>
      </w:pPr>
      <w:r>
        <w:rPr>
          <w:sz w:val="20"/>
          <w:lang w:val="es-MX"/>
        </w:rPr>
        <w:t>Filed 11/21/22</w:t>
      </w:r>
      <w:bookmarkStart w:id="0" w:name="_Hlk91684443"/>
      <w:r w:rsidR="00AB4E6C" w:rsidRPr="0054264E">
        <w:rPr>
          <w:sz w:val="20"/>
        </w:rPr>
        <w:t>; REVIEW GRANTED.  See Cal. Rules of Court, rules 8.1105 and 8.1115 (and corresponding Comment, par. 2, concerning rule 8.1115(e)(3)).</w:t>
      </w:r>
      <w:bookmarkEnd w:id="0"/>
    </w:p>
    <w:p w14:paraId="400E017F" w14:textId="77777777" w:rsidR="00042988" w:rsidRDefault="00C64D74" w:rsidP="00B30215">
      <w:pPr>
        <w:spacing w:line="240" w:lineRule="auto"/>
        <w:rPr>
          <w:sz w:val="20"/>
          <w:lang w:val="es-MX"/>
        </w:rPr>
      </w:pPr>
      <w:r>
        <w:rPr>
          <w:sz w:val="20"/>
          <w:lang w:val="es-MX"/>
        </w:rPr>
        <w:t xml:space="preserve"> </w:t>
      </w:r>
    </w:p>
    <w:p w14:paraId="745C31EF" w14:textId="77777777" w:rsidR="00B30215" w:rsidRDefault="00C64D74" w:rsidP="00B30215">
      <w:pPr>
        <w:spacing w:line="240" w:lineRule="auto"/>
        <w:jc w:val="center"/>
        <w:rPr>
          <w:b/>
          <w:lang w:val="es-MX"/>
        </w:rPr>
      </w:pPr>
      <w:r>
        <w:rPr>
          <w:b/>
          <w:lang w:val="es-MX"/>
        </w:rPr>
        <w:t>CERTIFIED FOR PUBLICATION</w:t>
      </w:r>
    </w:p>
    <w:p w14:paraId="0FF4A500" w14:textId="77777777" w:rsidR="00B30215" w:rsidRDefault="00C64D74" w:rsidP="00B30215">
      <w:pPr>
        <w:spacing w:line="240" w:lineRule="auto"/>
        <w:jc w:val="center"/>
        <w:rPr>
          <w:lang w:val="es-MX"/>
        </w:rPr>
      </w:pPr>
    </w:p>
    <w:p w14:paraId="376A9830" w14:textId="77777777" w:rsidR="00DC0D2D" w:rsidRDefault="00C64D74" w:rsidP="0098563E">
      <w:pPr>
        <w:spacing w:line="240" w:lineRule="auto"/>
        <w:jc w:val="center"/>
      </w:pPr>
      <w:r>
        <w:t>IN THE COURT OF APPEAL OF THE STATE OF CALIFORNIA</w:t>
      </w:r>
    </w:p>
    <w:p w14:paraId="0F5D4334" w14:textId="77777777" w:rsidR="00DC0D2D" w:rsidRDefault="00C64D74" w:rsidP="00DC0D2D">
      <w:pPr>
        <w:spacing w:line="240" w:lineRule="auto"/>
        <w:jc w:val="center"/>
      </w:pPr>
    </w:p>
    <w:p w14:paraId="07E7EC99" w14:textId="77777777" w:rsidR="00DC0D2D" w:rsidRDefault="00C64D74" w:rsidP="00DC0D2D">
      <w:pPr>
        <w:spacing w:line="240" w:lineRule="auto"/>
        <w:jc w:val="center"/>
      </w:pPr>
      <w:r>
        <w:t>FIRST APPELLATE DISTRICT</w:t>
      </w:r>
    </w:p>
    <w:p w14:paraId="676C60BA" w14:textId="77777777" w:rsidR="00DC0D2D" w:rsidRDefault="00C64D74" w:rsidP="00DC0D2D">
      <w:pPr>
        <w:spacing w:line="240" w:lineRule="auto"/>
        <w:jc w:val="center"/>
      </w:pPr>
    </w:p>
    <w:p w14:paraId="43C7B3C9" w14:textId="77777777" w:rsidR="00DC0D2D" w:rsidRDefault="00C64D74" w:rsidP="00DC0D2D">
      <w:pPr>
        <w:spacing w:line="240" w:lineRule="auto"/>
        <w:jc w:val="center"/>
      </w:pPr>
      <w:r>
        <w:t>DIVISION THREE</w:t>
      </w:r>
    </w:p>
    <w:p w14:paraId="5F48F54B" w14:textId="77777777" w:rsidR="00DC0D2D" w:rsidRDefault="00C64D74" w:rsidP="00DC0D2D">
      <w:pPr>
        <w:spacing w:line="240" w:lineRule="auto"/>
        <w:jc w:val="center"/>
      </w:pPr>
    </w:p>
    <w:p w14:paraId="0CF71ED5" w14:textId="77777777" w:rsidR="00DC0D2D" w:rsidRDefault="00C64D74" w:rsidP="00DC0D2D">
      <w:pPr>
        <w:spacing w:line="240" w:lineRule="auto"/>
        <w:jc w:val="center"/>
      </w:pPr>
    </w:p>
    <w:tbl>
      <w:tblPr>
        <w:tblW w:w="8910" w:type="dxa"/>
        <w:tblLayout w:type="fixed"/>
        <w:tblLook w:val="0000" w:firstRow="0" w:lastRow="0" w:firstColumn="0" w:lastColumn="0" w:noHBand="0" w:noVBand="0"/>
      </w:tblPr>
      <w:tblGrid>
        <w:gridCol w:w="4770"/>
        <w:gridCol w:w="4140"/>
      </w:tblGrid>
      <w:tr w:rsidR="00442B09" w14:paraId="4EDECA5C" w14:textId="77777777" w:rsidTr="00BC3490">
        <w:tc>
          <w:tcPr>
            <w:tcW w:w="4770" w:type="dxa"/>
            <w:tcBorders>
              <w:bottom w:val="single" w:sz="4" w:space="0" w:color="auto"/>
              <w:right w:val="single" w:sz="4" w:space="0" w:color="auto"/>
            </w:tcBorders>
            <w:shd w:val="clear" w:color="auto" w:fill="auto"/>
          </w:tcPr>
          <w:p w14:paraId="7F668A05" w14:textId="77777777" w:rsidR="003D0CAF" w:rsidRDefault="00C64D74" w:rsidP="00DC0D2D">
            <w:pPr>
              <w:spacing w:after="120" w:line="240" w:lineRule="auto"/>
            </w:pPr>
            <w:r>
              <w:t xml:space="preserve">In re GERALD JOHN </w:t>
            </w:r>
          </w:p>
          <w:p w14:paraId="1BC9EE4F" w14:textId="77777777" w:rsidR="00DC0D2D" w:rsidRDefault="00C64D74" w:rsidP="00DC0D2D">
            <w:pPr>
              <w:spacing w:after="120" w:line="240" w:lineRule="auto"/>
            </w:pPr>
            <w:r>
              <w:t>KOWALCZYK</w:t>
            </w:r>
          </w:p>
          <w:p w14:paraId="2CC8165B" w14:textId="77777777" w:rsidR="00DC0D2D" w:rsidRDefault="00C64D74" w:rsidP="00DC0D2D">
            <w:pPr>
              <w:spacing w:after="120" w:line="240" w:lineRule="auto"/>
            </w:pPr>
            <w:r>
              <w:tab/>
              <w:t>on Habeas Corpus.</w:t>
            </w:r>
          </w:p>
        </w:tc>
        <w:tc>
          <w:tcPr>
            <w:tcW w:w="4140" w:type="dxa"/>
            <w:tcBorders>
              <w:left w:val="single" w:sz="4" w:space="0" w:color="auto"/>
            </w:tcBorders>
            <w:shd w:val="clear" w:color="auto" w:fill="auto"/>
          </w:tcPr>
          <w:p w14:paraId="130E69BE" w14:textId="77777777" w:rsidR="00DC0D2D" w:rsidRDefault="00C64D74" w:rsidP="00DC0D2D">
            <w:pPr>
              <w:spacing w:line="240" w:lineRule="auto"/>
            </w:pPr>
            <w:r>
              <w:t xml:space="preserve">      A162977</w:t>
            </w:r>
          </w:p>
          <w:p w14:paraId="2AFB58D8" w14:textId="77777777" w:rsidR="00DC0D2D" w:rsidRDefault="00C64D74" w:rsidP="00DC0D2D">
            <w:pPr>
              <w:spacing w:line="240" w:lineRule="auto"/>
            </w:pPr>
          </w:p>
          <w:p w14:paraId="078C2080" w14:textId="77777777" w:rsidR="00DC0D2D" w:rsidRDefault="00C64D74" w:rsidP="00DC0D2D">
            <w:pPr>
              <w:spacing w:line="240" w:lineRule="auto"/>
            </w:pPr>
            <w:r>
              <w:t xml:space="preserve">    (San Mateo County</w:t>
            </w:r>
          </w:p>
          <w:p w14:paraId="25C793A9" w14:textId="77777777" w:rsidR="00DC0D2D" w:rsidRDefault="00C64D74" w:rsidP="00E41A94">
            <w:pPr>
              <w:spacing w:line="240" w:lineRule="auto"/>
              <w:ind w:left="-106" w:right="-20"/>
            </w:pPr>
            <w:r>
              <w:t xml:space="preserve">      Super. Ct. No. 21SF003700A)</w:t>
            </w:r>
          </w:p>
          <w:p w14:paraId="747886F8" w14:textId="77777777" w:rsidR="00DC0D2D" w:rsidRDefault="00C64D74" w:rsidP="00DC0D2D">
            <w:pPr>
              <w:spacing w:line="240" w:lineRule="auto"/>
            </w:pPr>
          </w:p>
        </w:tc>
      </w:tr>
    </w:tbl>
    <w:p w14:paraId="54060569" w14:textId="77777777" w:rsidR="00DC0D2D" w:rsidRDefault="00C64D74" w:rsidP="00DC0D2D">
      <w:pPr>
        <w:spacing w:line="360" w:lineRule="auto"/>
      </w:pPr>
    </w:p>
    <w:p w14:paraId="060A6CC2" w14:textId="77777777" w:rsidR="00560614" w:rsidRDefault="00C64D74" w:rsidP="00165445">
      <w:pPr>
        <w:spacing w:line="360" w:lineRule="auto"/>
      </w:pPr>
      <w:bookmarkStart w:id="1" w:name="_Hlk119299476"/>
      <w:r>
        <w:tab/>
      </w:r>
      <w:r w:rsidRPr="007D504A">
        <w:t>Gerald John Kowalczyk filed a petition for writ of habeas corpus challenging the trial court’s decision denying him bail.  We issued an order to show cause and later asked the parties to brief a number of issues, inclu</w:t>
      </w:r>
      <w:r w:rsidRPr="007D504A">
        <w:t xml:space="preserve">ding whether pretrial detention is authorized outside of the circumstances specified in article I, section 12 of the California Constitution.  </w:t>
      </w:r>
      <w:r>
        <w:t>W</w:t>
      </w:r>
      <w:r w:rsidRPr="007D504A">
        <w:t xml:space="preserve">e ultimately dismissed the habeas petition as moot on the motion of the People, the real party in interest, who </w:t>
      </w:r>
      <w:r w:rsidRPr="007D504A">
        <w:t xml:space="preserve">informed us that petitioner had pled and been sentenced in </w:t>
      </w:r>
      <w:r>
        <w:t>the</w:t>
      </w:r>
      <w:r w:rsidRPr="007D504A">
        <w:t xml:space="preserve"> underlying criminal matter.  </w:t>
      </w:r>
    </w:p>
    <w:p w14:paraId="58FAF942" w14:textId="77777777" w:rsidR="00560614" w:rsidRDefault="00C64D74" w:rsidP="00760F66">
      <w:pPr>
        <w:spacing w:line="360" w:lineRule="auto"/>
        <w:rPr>
          <w:rFonts w:eastAsia="MS Mincho" w:cs="Times New Roman"/>
          <w:szCs w:val="26"/>
        </w:rPr>
      </w:pPr>
      <w:r>
        <w:tab/>
      </w:r>
      <w:r w:rsidRPr="007D504A">
        <w:t xml:space="preserve">The </w:t>
      </w:r>
      <w:r w:rsidRPr="007D504A">
        <w:rPr>
          <w:rFonts w:eastAsia="MS Mincho" w:cs="Times New Roman"/>
          <w:szCs w:val="26"/>
        </w:rPr>
        <w:t xml:space="preserve">California Supreme Court granted review and transferred the matter back to this court with directions to vacate our </w:t>
      </w:r>
      <w:r>
        <w:rPr>
          <w:rFonts w:eastAsia="MS Mincho" w:cs="Times New Roman"/>
          <w:szCs w:val="26"/>
        </w:rPr>
        <w:t xml:space="preserve">dismissal </w:t>
      </w:r>
      <w:r w:rsidRPr="007D504A">
        <w:rPr>
          <w:rFonts w:eastAsia="MS Mincho" w:cs="Times New Roman"/>
          <w:szCs w:val="26"/>
        </w:rPr>
        <w:t>order and to “issue an opinion t</w:t>
      </w:r>
      <w:r w:rsidRPr="007D504A">
        <w:rPr>
          <w:rFonts w:eastAsia="MS Mincho" w:cs="Times New Roman"/>
          <w:szCs w:val="26"/>
        </w:rPr>
        <w:t>hat addresses which constitutional provision governs the denial of bail in noncapital cases—article I, section 12, subdivisions (b) and (c), or article I, section 28, subdivision (f)(3), of the California Constitution —or, in the alternative, whether these</w:t>
      </w:r>
      <w:r w:rsidRPr="007D504A">
        <w:rPr>
          <w:rFonts w:eastAsia="MS Mincho" w:cs="Times New Roman"/>
          <w:szCs w:val="26"/>
        </w:rPr>
        <w:t xml:space="preserve"> provisions can be reconciled.” </w:t>
      </w:r>
      <w:r>
        <w:rPr>
          <w:rFonts w:eastAsia="MS Mincho" w:cs="Times New Roman"/>
          <w:szCs w:val="26"/>
        </w:rPr>
        <w:t xml:space="preserve"> At this juncture, we have received</w:t>
      </w:r>
      <w:r w:rsidRPr="007D504A">
        <w:rPr>
          <w:rFonts w:eastAsia="MS Mincho" w:cs="Times New Roman"/>
          <w:szCs w:val="26"/>
        </w:rPr>
        <w:t xml:space="preserve"> additional briefing </w:t>
      </w:r>
      <w:r>
        <w:rPr>
          <w:rFonts w:eastAsia="MS Mincho" w:cs="Times New Roman"/>
          <w:szCs w:val="26"/>
        </w:rPr>
        <w:t xml:space="preserve">from the parties </w:t>
      </w:r>
      <w:r w:rsidRPr="007D504A">
        <w:rPr>
          <w:rFonts w:eastAsia="MS Mincho" w:cs="Times New Roman"/>
          <w:szCs w:val="26"/>
        </w:rPr>
        <w:t xml:space="preserve">and </w:t>
      </w:r>
      <w:r>
        <w:rPr>
          <w:rFonts w:eastAsia="MS Mincho" w:cs="Times New Roman"/>
          <w:szCs w:val="26"/>
        </w:rPr>
        <w:t>held oral argument</w:t>
      </w:r>
      <w:r w:rsidRPr="007D504A">
        <w:rPr>
          <w:rFonts w:eastAsia="MS Mincho" w:cs="Times New Roman"/>
          <w:szCs w:val="26"/>
        </w:rPr>
        <w:t xml:space="preserve"> on the question posed</w:t>
      </w:r>
      <w:r>
        <w:rPr>
          <w:rFonts w:eastAsia="MS Mincho" w:cs="Times New Roman"/>
          <w:szCs w:val="26"/>
        </w:rPr>
        <w:t xml:space="preserve">.  </w:t>
      </w:r>
    </w:p>
    <w:p w14:paraId="2F394E51" w14:textId="77777777" w:rsidR="00695BB9" w:rsidRDefault="00C64D74" w:rsidP="00E40055">
      <w:pPr>
        <w:spacing w:line="360" w:lineRule="auto"/>
      </w:pPr>
      <w:r>
        <w:rPr>
          <w:rFonts w:eastAsia="MS Mincho" w:cs="Times New Roman"/>
          <w:szCs w:val="26"/>
        </w:rPr>
        <w:lastRenderedPageBreak/>
        <w:tab/>
      </w:r>
      <w:bookmarkStart w:id="2" w:name="_Hlk116563109"/>
      <w:r>
        <w:t>Adhering to settled principles governing the construction of constitutional provisions, we conclude th</w:t>
      </w:r>
      <w:r>
        <w:t xml:space="preserve">at the bail provisions of </w:t>
      </w:r>
      <w:r w:rsidRPr="007D504A">
        <w:rPr>
          <w:rFonts w:eastAsia="MS Mincho" w:cs="Times New Roman"/>
          <w:szCs w:val="26"/>
        </w:rPr>
        <w:t>article</w:t>
      </w:r>
      <w:r>
        <w:rPr>
          <w:rFonts w:eastAsia="MS Mincho" w:cs="Times New Roman"/>
          <w:szCs w:val="26"/>
        </w:rPr>
        <w:t> </w:t>
      </w:r>
      <w:r w:rsidRPr="007D504A">
        <w:rPr>
          <w:rFonts w:eastAsia="MS Mincho" w:cs="Times New Roman"/>
          <w:szCs w:val="26"/>
        </w:rPr>
        <w:t xml:space="preserve">I, </w:t>
      </w:r>
      <w:r>
        <w:t>section 28, subdivision (f)(3) can be reconciled with those of</w:t>
      </w:r>
      <w:r w:rsidRPr="00B85347">
        <w:t xml:space="preserve"> </w:t>
      </w:r>
      <w:r w:rsidRPr="007D504A">
        <w:rPr>
          <w:rFonts w:eastAsia="MS Mincho" w:cs="Times New Roman"/>
          <w:szCs w:val="26"/>
        </w:rPr>
        <w:t xml:space="preserve">article I, </w:t>
      </w:r>
      <w:r w:rsidRPr="00B85347">
        <w:t>section</w:t>
      </w:r>
      <w:r>
        <w:t> </w:t>
      </w:r>
      <w:r w:rsidRPr="00B85347">
        <w:t>12</w:t>
      </w:r>
      <w:r>
        <w:t xml:space="preserve"> (hereafter section 12 and section 28(f)(3)) and that both sections govern bail determinations in noncapital cases.  This means that section 12’s general right to bail in noncapital cases remains intact, while full effect must be given to section 28(f)(3)’</w:t>
      </w:r>
      <w:r>
        <w:t>s mandate that</w:t>
      </w:r>
      <w:r w:rsidRPr="00B911E3">
        <w:t xml:space="preserve"> </w:t>
      </w:r>
      <w:r>
        <w:t xml:space="preserve">the rights of crime victims be respected in all bail and OR release determinations.  </w:t>
      </w:r>
      <w:r>
        <w:rPr>
          <w:szCs w:val="26"/>
        </w:rPr>
        <w:t xml:space="preserve">In so concluding, we reject any suggestion that section 12 guarantees </w:t>
      </w:r>
      <w:r>
        <w:t>an unqualified</w:t>
      </w:r>
      <w:r w:rsidRPr="00B55163">
        <w:t xml:space="preserve"> right to pretrial release</w:t>
      </w:r>
      <w:r>
        <w:t xml:space="preserve"> or that it necessarily </w:t>
      </w:r>
      <w:r>
        <w:rPr>
          <w:szCs w:val="26"/>
        </w:rPr>
        <w:t>requires courts to set</w:t>
      </w:r>
      <w:r>
        <w:t xml:space="preserve"> bail at an amount a defendant can afford.</w:t>
      </w:r>
    </w:p>
    <w:bookmarkEnd w:id="2"/>
    <w:p w14:paraId="447E3E23" w14:textId="77777777" w:rsidR="00F0253F" w:rsidRPr="007D504A" w:rsidRDefault="00C64D74" w:rsidP="0098563E">
      <w:pPr>
        <w:keepNext/>
        <w:keepLines/>
        <w:spacing w:line="360" w:lineRule="auto"/>
        <w:jc w:val="center"/>
        <w:rPr>
          <w:b/>
          <w:bCs/>
          <w:smallCaps/>
        </w:rPr>
      </w:pPr>
      <w:r w:rsidRPr="007D504A">
        <w:rPr>
          <w:b/>
          <w:bCs/>
          <w:smallCaps/>
        </w:rPr>
        <w:t>Factual and Procedural Background</w:t>
      </w:r>
    </w:p>
    <w:p w14:paraId="3A228DD8" w14:textId="77777777" w:rsidR="009D1187" w:rsidRPr="007D504A" w:rsidRDefault="00C64D74" w:rsidP="00426CAD">
      <w:pPr>
        <w:spacing w:line="360" w:lineRule="auto"/>
      </w:pPr>
      <w:r w:rsidRPr="007D504A">
        <w:tab/>
        <w:t>The People charged petitioner by complaint with one felony count of vandalism (Pen. Code, § 594, subd. (b)(1)), three felony counts of identity theft (</w:t>
      </w:r>
      <w:r w:rsidRPr="007D504A">
        <w:rPr>
          <w:i/>
          <w:iCs/>
        </w:rPr>
        <w:t xml:space="preserve">id. </w:t>
      </w:r>
      <w:r w:rsidRPr="007D504A">
        <w:t>§ 530.5, subd. (a)), on</w:t>
      </w:r>
      <w:r w:rsidRPr="007D504A">
        <w:t>e misdemeanor count of petty theft of lost property (</w:t>
      </w:r>
      <w:r w:rsidRPr="007D504A">
        <w:rPr>
          <w:i/>
          <w:iCs/>
        </w:rPr>
        <w:t>id.</w:t>
      </w:r>
      <w:r w:rsidRPr="007D504A">
        <w:t xml:space="preserve"> § 485), and one misdemeanor count of identity theft (</w:t>
      </w:r>
      <w:r w:rsidRPr="007D504A">
        <w:rPr>
          <w:i/>
          <w:iCs/>
        </w:rPr>
        <w:t xml:space="preserve">id. </w:t>
      </w:r>
      <w:r w:rsidRPr="007D504A">
        <w:t>§ 530.5, subd. (c)(1)).  Petitioner waived arraignment on the complaint</w:t>
      </w:r>
      <w:r>
        <w:t>,</w:t>
      </w:r>
      <w:r w:rsidRPr="007D504A">
        <w:t xml:space="preserve"> and the court set bail at $75,000.  Prior to his preliminary hearing,</w:t>
      </w:r>
      <w:r w:rsidRPr="007D504A">
        <w:t xml:space="preserve"> petitioner filed a motion seeking release on his own recognizance (OR) with drug conditions and electronic monitoring, arguing that he </w:t>
      </w:r>
      <w:r>
        <w:t>posed no</w:t>
      </w:r>
      <w:r w:rsidRPr="007D504A">
        <w:t xml:space="preserve"> danger to the alleged victims or the community and </w:t>
      </w:r>
      <w:r>
        <w:t>was</w:t>
      </w:r>
      <w:r w:rsidRPr="007D504A">
        <w:t xml:space="preserve"> a minimal risk </w:t>
      </w:r>
      <w:r>
        <w:t>for</w:t>
      </w:r>
      <w:r w:rsidRPr="007D504A">
        <w:t xml:space="preserve"> nonappearance at future court proceed</w:t>
      </w:r>
      <w:r w:rsidRPr="007D504A">
        <w:t xml:space="preserve">ings.  </w:t>
      </w:r>
    </w:p>
    <w:p w14:paraId="5AA87C19" w14:textId="77777777" w:rsidR="00FF0CE7" w:rsidRPr="007D504A" w:rsidRDefault="00C64D74" w:rsidP="00426CAD">
      <w:pPr>
        <w:spacing w:line="360" w:lineRule="auto"/>
      </w:pPr>
      <w:r w:rsidRPr="007D504A">
        <w:tab/>
        <w:t xml:space="preserve">At </w:t>
      </w:r>
      <w:r>
        <w:t>a</w:t>
      </w:r>
      <w:r w:rsidRPr="007D504A">
        <w:t xml:space="preserve"> </w:t>
      </w:r>
      <w:r>
        <w:t>hearing</w:t>
      </w:r>
      <w:r w:rsidRPr="007D504A">
        <w:t xml:space="preserve"> in May 2021, the prosecutor opposed the </w:t>
      </w:r>
      <w:r>
        <w:t xml:space="preserve">bail </w:t>
      </w:r>
      <w:r w:rsidRPr="007D504A">
        <w:t xml:space="preserve">motion and requested </w:t>
      </w:r>
      <w:r>
        <w:t xml:space="preserve">that </w:t>
      </w:r>
      <w:r w:rsidRPr="007D504A">
        <w:t xml:space="preserve">bail remain </w:t>
      </w:r>
      <w:r>
        <w:t>set at $75,000</w:t>
      </w:r>
      <w:r w:rsidRPr="007D504A">
        <w:t xml:space="preserve">.  </w:t>
      </w:r>
      <w:r>
        <w:t>According to t</w:t>
      </w:r>
      <w:r w:rsidRPr="007D504A">
        <w:t>he prosecutor</w:t>
      </w:r>
      <w:r>
        <w:t>,</w:t>
      </w:r>
      <w:r w:rsidRPr="007D504A">
        <w:t xml:space="preserve"> the judge who initially set bail</w:t>
      </w:r>
      <w:r>
        <w:t xml:space="preserve"> determined</w:t>
      </w:r>
      <w:r w:rsidRPr="007D504A">
        <w:t xml:space="preserve"> </w:t>
      </w:r>
      <w:r>
        <w:t xml:space="preserve">that </w:t>
      </w:r>
      <w:r w:rsidRPr="007D504A">
        <w:t>petitioner posed a danger to the public based on the rec</w:t>
      </w:r>
      <w:r w:rsidRPr="007D504A">
        <w:t xml:space="preserve">ommendation of a pretrial services report and on petitioner’s </w:t>
      </w:r>
      <w:r>
        <w:t xml:space="preserve">extensive </w:t>
      </w:r>
      <w:r w:rsidRPr="007D504A">
        <w:t>RAP sheet</w:t>
      </w:r>
      <w:r>
        <w:t>.</w:t>
      </w:r>
      <w:r w:rsidRPr="007D504A">
        <w:t xml:space="preserve">  </w:t>
      </w:r>
      <w:r>
        <w:t>Given p</w:t>
      </w:r>
      <w:r w:rsidRPr="007D504A">
        <w:t xml:space="preserve">etitioner’s </w:t>
      </w:r>
      <w:r>
        <w:t xml:space="preserve">ongoing commission of </w:t>
      </w:r>
      <w:r>
        <w:lastRenderedPageBreak/>
        <w:t>crimes</w:t>
      </w:r>
      <w:r w:rsidRPr="007D504A">
        <w:t xml:space="preserve">, </w:t>
      </w:r>
      <w:r>
        <w:t>including</w:t>
      </w:r>
      <w:r w:rsidRPr="007D504A">
        <w:t xml:space="preserve"> </w:t>
      </w:r>
      <w:r>
        <w:t xml:space="preserve">while </w:t>
      </w:r>
      <w:r w:rsidRPr="007D504A">
        <w:t xml:space="preserve">on probation, </w:t>
      </w:r>
      <w:r>
        <w:t>the prosecutor argued that</w:t>
      </w:r>
      <w:r w:rsidRPr="007D504A">
        <w:t xml:space="preserve"> no less restrictive nonfinancial conditions could protect the publ</w:t>
      </w:r>
      <w:r w:rsidRPr="007D504A">
        <w:t xml:space="preserve">ic from him.  </w:t>
      </w:r>
      <w:r>
        <w:t>Petitioner</w:t>
      </w:r>
      <w:r w:rsidRPr="007D504A">
        <w:t xml:space="preserve"> contended </w:t>
      </w:r>
      <w:r>
        <w:t xml:space="preserve">otherwise, noting </w:t>
      </w:r>
      <w:r w:rsidRPr="007D504A">
        <w:t xml:space="preserve">there was no showing </w:t>
      </w:r>
      <w:r>
        <w:t>of</w:t>
      </w:r>
      <w:r w:rsidRPr="007D504A">
        <w:t xml:space="preserve"> flight risk or a risk of “harm to others” insofar as the charged offenses were property crimes and the majority of </w:t>
      </w:r>
      <w:r>
        <w:t>his</w:t>
      </w:r>
      <w:r w:rsidRPr="007D504A">
        <w:t xml:space="preserve"> </w:t>
      </w:r>
      <w:r>
        <w:t xml:space="preserve">prior </w:t>
      </w:r>
      <w:r w:rsidRPr="007D504A">
        <w:t xml:space="preserve">offenses were </w:t>
      </w:r>
      <w:r>
        <w:t xml:space="preserve">merely </w:t>
      </w:r>
      <w:r w:rsidRPr="007D504A">
        <w:t xml:space="preserve">theft or drug related.  </w:t>
      </w:r>
      <w:r>
        <w:t>Petitioner</w:t>
      </w:r>
      <w:r w:rsidRPr="007D504A">
        <w:t xml:space="preserve"> </w:t>
      </w:r>
      <w:r>
        <w:t>also urged consideration of</w:t>
      </w:r>
      <w:r w:rsidRPr="007D504A">
        <w:t xml:space="preserve"> </w:t>
      </w:r>
      <w:r>
        <w:t>his</w:t>
      </w:r>
      <w:r w:rsidRPr="007D504A">
        <w:t xml:space="preserve"> inability to pay the bail amount </w:t>
      </w:r>
      <w:r>
        <w:t>and</w:t>
      </w:r>
      <w:r w:rsidRPr="007D504A">
        <w:t xml:space="preserve"> </w:t>
      </w:r>
      <w:r>
        <w:t xml:space="preserve">the imposition of </w:t>
      </w:r>
      <w:r w:rsidRPr="007D504A">
        <w:t xml:space="preserve">alternative conditions, such as drug testing. </w:t>
      </w:r>
    </w:p>
    <w:p w14:paraId="0CADA2C0" w14:textId="77777777" w:rsidR="00BB1C9B" w:rsidRDefault="00C64D74" w:rsidP="00426CAD">
      <w:pPr>
        <w:spacing w:line="360" w:lineRule="auto"/>
      </w:pPr>
      <w:r w:rsidRPr="007D504A">
        <w:tab/>
        <w:t xml:space="preserve">The </w:t>
      </w:r>
      <w:r>
        <w:t>court</w:t>
      </w:r>
      <w:r w:rsidRPr="007D504A">
        <w:t xml:space="preserve"> denied bail altogether</w:t>
      </w:r>
      <w:r>
        <w:t xml:space="preserve"> and</w:t>
      </w:r>
      <w:r w:rsidRPr="007D504A">
        <w:t xml:space="preserve"> order</w:t>
      </w:r>
      <w:r>
        <w:t>ed</w:t>
      </w:r>
      <w:r w:rsidRPr="007D504A">
        <w:t xml:space="preserve"> petitioner detained.  </w:t>
      </w:r>
      <w:r>
        <w:t>Although the court indicated it was not worried for</w:t>
      </w:r>
      <w:r w:rsidRPr="007D504A">
        <w:t xml:space="preserve"> </w:t>
      </w:r>
      <w:r>
        <w:t xml:space="preserve">the safety of the </w:t>
      </w:r>
      <w:r w:rsidRPr="007D504A">
        <w:t>victims</w:t>
      </w:r>
      <w:r>
        <w:t xml:space="preserve"> of the charged offenses</w:t>
      </w:r>
      <w:r w:rsidRPr="007D504A">
        <w:t xml:space="preserve">, it </w:t>
      </w:r>
      <w:r>
        <w:t>emphasized</w:t>
      </w:r>
      <w:r w:rsidRPr="007D504A">
        <w:t xml:space="preserve"> protection of the public as the primary concern and viewed petitioner’s property crimes as a significant public safe</w:t>
      </w:r>
      <w:r w:rsidRPr="007D504A">
        <w:t xml:space="preserve">ty issue.  The court </w:t>
      </w:r>
      <w:r>
        <w:t>observed</w:t>
      </w:r>
      <w:r w:rsidRPr="007D504A">
        <w:t xml:space="preserve"> that petitioner was a chronic reoffender</w:t>
      </w:r>
      <w:r>
        <w:t xml:space="preserve"> whose</w:t>
      </w:r>
      <w:r w:rsidRPr="007D504A">
        <w:t xml:space="preserve"> RAP sheet </w:t>
      </w:r>
      <w:r>
        <w:t>documented</w:t>
      </w:r>
      <w:r w:rsidRPr="007D504A">
        <w:t xml:space="preserve"> 64 prior convictions</w:t>
      </w:r>
      <w:r>
        <w:t xml:space="preserve"> and was over 100 pages long</w:t>
      </w:r>
      <w:r w:rsidRPr="007D504A">
        <w:t>.  Among those prior convictions were at least four convictions for driving under the influence.  Petitioner r</w:t>
      </w:r>
      <w:r w:rsidRPr="007D504A">
        <w:t xml:space="preserve">eceived the maximum score of 14 on the Virginia Pretrial Risk Assessment Instrument, and the pretrial services report indicated petitioner failed to abide by supervised OR conditions in the last five years.  </w:t>
      </w:r>
      <w:r>
        <w:t xml:space="preserve">The </w:t>
      </w:r>
      <w:r w:rsidRPr="007D504A">
        <w:t xml:space="preserve">court </w:t>
      </w:r>
      <w:r>
        <w:t xml:space="preserve">also </w:t>
      </w:r>
      <w:r w:rsidRPr="007D504A">
        <w:t>indicated it</w:t>
      </w:r>
      <w:r>
        <w:t>s</w:t>
      </w:r>
      <w:r w:rsidRPr="007D504A">
        <w:t xml:space="preserve"> concern</w:t>
      </w:r>
      <w:r>
        <w:t xml:space="preserve"> that</w:t>
      </w:r>
      <w:r w:rsidRPr="007D504A">
        <w:t xml:space="preserve"> petiti</w:t>
      </w:r>
      <w:r w:rsidRPr="007D504A">
        <w:t xml:space="preserve">oner </w:t>
      </w:r>
      <w:r>
        <w:t>might abscond</w:t>
      </w:r>
      <w:r w:rsidRPr="007D504A">
        <w:t xml:space="preserve">, noting </w:t>
      </w:r>
      <w:r>
        <w:t>his</w:t>
      </w:r>
      <w:r w:rsidRPr="007D504A">
        <w:t xml:space="preserve"> convictions spanned multiple states and multiple counties in California</w:t>
      </w:r>
      <w:r>
        <w:t xml:space="preserve">.  Furthermore, </w:t>
      </w:r>
      <w:r w:rsidRPr="007D504A">
        <w:t xml:space="preserve">petitioner—who </w:t>
      </w:r>
      <w:r>
        <w:t>was unhoused and</w:t>
      </w:r>
      <w:r w:rsidRPr="007D504A">
        <w:t xml:space="preserve"> unemployed—made no showing </w:t>
      </w:r>
      <w:r>
        <w:t xml:space="preserve">of </w:t>
      </w:r>
      <w:r w:rsidRPr="007D504A">
        <w:t xml:space="preserve">any incentive to remain and attend future court appearances.  </w:t>
      </w:r>
      <w:r>
        <w:t>Highlighting p</w:t>
      </w:r>
      <w:r>
        <w:t xml:space="preserve">etitioner’s unprecedented </w:t>
      </w:r>
      <w:r w:rsidRPr="007D504A">
        <w:t>“level of recidivism</w:t>
      </w:r>
      <w:r>
        <w:t>,</w:t>
      </w:r>
      <w:r w:rsidRPr="007D504A">
        <w:t>”</w:t>
      </w:r>
      <w:r>
        <w:t xml:space="preserve"> </w:t>
      </w:r>
      <w:r w:rsidRPr="007D504A">
        <w:t xml:space="preserve">the court found </w:t>
      </w:r>
      <w:r>
        <w:t xml:space="preserve">that </w:t>
      </w:r>
      <w:r w:rsidRPr="007D504A">
        <w:t xml:space="preserve">no nonfinancial or financial conditions could accomplish the goals of protecting the public or ensuring petitioner’s appearance at future court proceedings. </w:t>
      </w:r>
    </w:p>
    <w:p w14:paraId="7C496727" w14:textId="77777777" w:rsidR="00BB1C9B" w:rsidRPr="007D504A" w:rsidRDefault="00C64D74" w:rsidP="00426CAD">
      <w:pPr>
        <w:spacing w:line="360" w:lineRule="auto"/>
      </w:pPr>
      <w:r>
        <w:tab/>
        <w:t xml:space="preserve">At the preliminary hearing </w:t>
      </w:r>
      <w:r>
        <w:t>in mid-</w:t>
      </w:r>
      <w:r w:rsidRPr="007D504A">
        <w:t>May 2021, the</w:t>
      </w:r>
      <w:r>
        <w:t xml:space="preserve"> court</w:t>
      </w:r>
      <w:r w:rsidRPr="007D504A">
        <w:t xml:space="preserve"> (a different judicial officer than th</w:t>
      </w:r>
      <w:r>
        <w:t>e two who considered the issue of bail</w:t>
      </w:r>
      <w:r w:rsidRPr="007D504A">
        <w:t xml:space="preserve"> before) held </w:t>
      </w:r>
      <w:r w:rsidRPr="007D504A">
        <w:lastRenderedPageBreak/>
        <w:t>petitioner to answer to the felony identity theft counts, but not the felony vandalism count, and “</w:t>
      </w:r>
      <w:r>
        <w:t> ‘</w:t>
      </w:r>
      <w:r w:rsidRPr="007D504A">
        <w:t>certified</w:t>
      </w:r>
      <w:r>
        <w:t>’ </w:t>
      </w:r>
      <w:r w:rsidRPr="007D504A">
        <w:t xml:space="preserve">” the misdemeanor counts to </w:t>
      </w:r>
      <w:r w:rsidRPr="007D504A">
        <w:t xml:space="preserve">the superior court.  The </w:t>
      </w:r>
      <w:r>
        <w:t>court</w:t>
      </w:r>
      <w:r w:rsidRPr="007D504A">
        <w:t xml:space="preserve"> considered and denied </w:t>
      </w:r>
      <w:r>
        <w:t>the defense’s</w:t>
      </w:r>
      <w:r w:rsidRPr="007D504A">
        <w:t xml:space="preserve"> oral motion to reduce bail, explaining </w:t>
      </w:r>
      <w:r>
        <w:t xml:space="preserve">that </w:t>
      </w:r>
      <w:r w:rsidRPr="007D504A">
        <w:t xml:space="preserve">the prior judge already considered the issue of bail and </w:t>
      </w:r>
      <w:r>
        <w:t>that the</w:t>
      </w:r>
      <w:r w:rsidRPr="007D504A">
        <w:t xml:space="preserve"> circumstances </w:t>
      </w:r>
      <w:r>
        <w:t xml:space="preserve">had not sufficiently changed </w:t>
      </w:r>
      <w:r w:rsidRPr="007D504A">
        <w:t xml:space="preserve">to warrant disturbing that order. </w:t>
      </w:r>
    </w:p>
    <w:p w14:paraId="27074758" w14:textId="77777777" w:rsidR="00DB5012" w:rsidRPr="007D504A" w:rsidRDefault="00C64D74" w:rsidP="00426CAD">
      <w:pPr>
        <w:spacing w:line="360" w:lineRule="auto"/>
      </w:pPr>
      <w:r w:rsidRPr="007D504A">
        <w:tab/>
      </w:r>
      <w:r w:rsidRPr="007D504A">
        <w:t>In mid-June 2021, petitioner again moved to reduce bail or for OR release</w:t>
      </w:r>
      <w:r>
        <w:t xml:space="preserve">, contending </w:t>
      </w:r>
      <w:r w:rsidRPr="007D504A">
        <w:t>t</w:t>
      </w:r>
      <w:r>
        <w:t>hat he posed no</w:t>
      </w:r>
      <w:r w:rsidRPr="007D504A">
        <w:t xml:space="preserve"> risk to </w:t>
      </w:r>
      <w:r>
        <w:t>specific</w:t>
      </w:r>
      <w:r w:rsidRPr="007D504A">
        <w:t xml:space="preserve"> victim</w:t>
      </w:r>
      <w:r>
        <w:t>s</w:t>
      </w:r>
      <w:r w:rsidRPr="007D504A">
        <w:t xml:space="preserve"> or the public and </w:t>
      </w:r>
      <w:r>
        <w:t xml:space="preserve">that </w:t>
      </w:r>
      <w:r w:rsidRPr="007D504A">
        <w:t xml:space="preserve">nonfinancial terms could be used to secure his appearance.  He also noted he was not held to answer on the felony vandalism charge, which he claimed was a changed circumstance warranting reconsideration of bail.  </w:t>
      </w:r>
      <w:r>
        <w:t>At one point during the hearing, but before</w:t>
      </w:r>
      <w:r>
        <w:t xml:space="preserve"> the prosecutor raised the issue of petitioner’s extensive criminal history and recidivism, the court </w:t>
      </w:r>
      <w:r w:rsidRPr="007D504A">
        <w:t>(a different judicial officer than those before)</w:t>
      </w:r>
      <w:r>
        <w:t xml:space="preserve"> indicated she did not see</w:t>
      </w:r>
      <w:r w:rsidRPr="007D504A">
        <w:t xml:space="preserve"> a public safety issue</w:t>
      </w:r>
      <w:r>
        <w:t xml:space="preserve"> in the case.</w:t>
      </w:r>
      <w:r w:rsidRPr="007D504A">
        <w:t xml:space="preserve"> </w:t>
      </w:r>
      <w:r>
        <w:t xml:space="preserve"> Ultimately</w:t>
      </w:r>
      <w:r w:rsidRPr="007D504A">
        <w:t xml:space="preserve">, the court denied the motion </w:t>
      </w:r>
      <w:r>
        <w:t>and</w:t>
      </w:r>
      <w:r w:rsidRPr="007D504A">
        <w:t xml:space="preserve"> declined to disturb the no bail order</w:t>
      </w:r>
      <w:r w:rsidRPr="00806D70">
        <w:t xml:space="preserve"> </w:t>
      </w:r>
      <w:r>
        <w:t>due to the absence of</w:t>
      </w:r>
      <w:r w:rsidRPr="007D504A">
        <w:t xml:space="preserve"> changed circumstances.  </w:t>
      </w:r>
    </w:p>
    <w:p w14:paraId="5D48BE54" w14:textId="77777777" w:rsidR="00896EB3" w:rsidRPr="00694F76" w:rsidRDefault="00C64D74" w:rsidP="00896EB3">
      <w:pPr>
        <w:spacing w:line="360" w:lineRule="auto"/>
        <w:rPr>
          <w:rFonts w:eastAsia="MS Mincho" w:cs="Times New Roman"/>
          <w:szCs w:val="26"/>
        </w:rPr>
      </w:pPr>
      <w:r w:rsidRPr="007D504A">
        <w:tab/>
        <w:t>In July 2021, petitioner filed his habeas petition challenging the denial of bail</w:t>
      </w:r>
      <w:r>
        <w:t xml:space="preserve"> on various grounds</w:t>
      </w:r>
      <w:r w:rsidRPr="007D504A">
        <w:t xml:space="preserve">.  </w:t>
      </w:r>
      <w:r>
        <w:t>As indicated, we issued an order to show cause but ultimately</w:t>
      </w:r>
      <w:r w:rsidRPr="007D504A">
        <w:t xml:space="preserve"> dism</w:t>
      </w:r>
      <w:r w:rsidRPr="007D504A">
        <w:t>issed the petition as moot</w:t>
      </w:r>
      <w:r w:rsidRPr="007D504A">
        <w:rPr>
          <w:rFonts w:eastAsia="MS Mincho" w:cs="Times New Roman"/>
          <w:szCs w:val="26"/>
        </w:rPr>
        <w:t xml:space="preserve">. </w:t>
      </w:r>
      <w:r w:rsidRPr="007D504A">
        <w:t xml:space="preserve"> The </w:t>
      </w:r>
      <w:r w:rsidRPr="007D504A">
        <w:rPr>
          <w:rFonts w:eastAsia="MS Mincho" w:cs="Times New Roman"/>
          <w:szCs w:val="26"/>
        </w:rPr>
        <w:t>California Supreme Court granted review, and transferred the matter back to this court with directions to vacate our order dismissing the petition as moot, to conduct further proceedings as appropriate, and to “issue an opi</w:t>
      </w:r>
      <w:r w:rsidRPr="007D504A">
        <w:rPr>
          <w:rFonts w:eastAsia="MS Mincho" w:cs="Times New Roman"/>
          <w:szCs w:val="26"/>
        </w:rPr>
        <w:t>nion that addresses which constitutional provision governs the denial of bail in noncapital cases—</w:t>
      </w:r>
      <w:r>
        <w:rPr>
          <w:rFonts w:eastAsia="MS Mincho" w:cs="Times New Roman"/>
          <w:szCs w:val="26"/>
        </w:rPr>
        <w:t xml:space="preserve">article I, </w:t>
      </w:r>
      <w:r w:rsidRPr="007D504A">
        <w:rPr>
          <w:rFonts w:eastAsia="MS Mincho" w:cs="Times New Roman"/>
          <w:szCs w:val="26"/>
        </w:rPr>
        <w:t xml:space="preserve">section 12, subdivisions (b) and (c), or </w:t>
      </w:r>
      <w:r>
        <w:rPr>
          <w:rFonts w:eastAsia="MS Mincho" w:cs="Times New Roman"/>
          <w:szCs w:val="26"/>
        </w:rPr>
        <w:t>article I,</w:t>
      </w:r>
      <w:r w:rsidRPr="007D504A">
        <w:rPr>
          <w:rFonts w:eastAsia="MS Mincho" w:cs="Times New Roman"/>
          <w:szCs w:val="26"/>
        </w:rPr>
        <w:t xml:space="preserve"> section 28, subdivision (f)(3)</w:t>
      </w:r>
      <w:r>
        <w:rPr>
          <w:rFonts w:eastAsia="MS Mincho" w:cs="Times New Roman"/>
          <w:szCs w:val="26"/>
        </w:rPr>
        <w:t>, of the California Constitution</w:t>
      </w:r>
      <w:r w:rsidRPr="007D504A">
        <w:rPr>
          <w:rFonts w:eastAsia="MS Mincho" w:cs="Times New Roman"/>
          <w:szCs w:val="26"/>
        </w:rPr>
        <w:t xml:space="preserve">—or, in the alternative, whether </w:t>
      </w:r>
      <w:r w:rsidRPr="007D504A">
        <w:rPr>
          <w:rFonts w:eastAsia="MS Mincho" w:cs="Times New Roman"/>
          <w:szCs w:val="26"/>
        </w:rPr>
        <w:t xml:space="preserve">these provisions can be reconciled.” </w:t>
      </w:r>
    </w:p>
    <w:p w14:paraId="4ABA81AB" w14:textId="77777777" w:rsidR="000E37C0" w:rsidRPr="002E7F41" w:rsidRDefault="00C64D74" w:rsidP="00C81FE3">
      <w:pPr>
        <w:keepNext/>
        <w:spacing w:line="360" w:lineRule="auto"/>
        <w:jc w:val="center"/>
        <w:rPr>
          <w:b/>
          <w:bCs/>
          <w:smallCaps/>
        </w:rPr>
      </w:pPr>
      <w:r w:rsidRPr="002E7F41">
        <w:rPr>
          <w:b/>
          <w:bCs/>
          <w:smallCaps/>
        </w:rPr>
        <w:lastRenderedPageBreak/>
        <w:t>Discussion</w:t>
      </w:r>
    </w:p>
    <w:p w14:paraId="700D5F33" w14:textId="77777777" w:rsidR="00381A06" w:rsidRPr="003756D4" w:rsidRDefault="00C64D74" w:rsidP="002F2118">
      <w:pPr>
        <w:pStyle w:val="ListParagraph"/>
        <w:keepNext/>
        <w:numPr>
          <w:ilvl w:val="0"/>
          <w:numId w:val="8"/>
        </w:numPr>
        <w:spacing w:line="360" w:lineRule="auto"/>
        <w:rPr>
          <w:b/>
          <w:bCs/>
        </w:rPr>
      </w:pPr>
      <w:r w:rsidRPr="003756D4">
        <w:rPr>
          <w:b/>
          <w:bCs/>
        </w:rPr>
        <w:t xml:space="preserve"> </w:t>
      </w:r>
      <w:r>
        <w:rPr>
          <w:b/>
          <w:bCs/>
        </w:rPr>
        <w:t xml:space="preserve">California </w:t>
      </w:r>
      <w:r w:rsidRPr="003756D4">
        <w:rPr>
          <w:b/>
          <w:bCs/>
        </w:rPr>
        <w:t>Constitution</w:t>
      </w:r>
      <w:r>
        <w:rPr>
          <w:b/>
          <w:bCs/>
        </w:rPr>
        <w:t>al Provisions Relating to Bail</w:t>
      </w:r>
    </w:p>
    <w:p w14:paraId="4C0A1ED0" w14:textId="77777777" w:rsidR="009A6C53" w:rsidRPr="00345A65" w:rsidRDefault="00C64D74" w:rsidP="00345A65">
      <w:pPr>
        <w:pStyle w:val="ListParagraph"/>
        <w:keepNext/>
        <w:spacing w:line="360" w:lineRule="auto"/>
        <w:ind w:left="1800"/>
        <w:rPr>
          <w:i/>
          <w:iCs/>
        </w:rPr>
      </w:pPr>
      <w:bookmarkStart w:id="3" w:name="_Hlk119310952"/>
      <w:r w:rsidRPr="00345A65">
        <w:rPr>
          <w:i/>
          <w:iCs/>
        </w:rPr>
        <w:t>1.  Early History</w:t>
      </w:r>
    </w:p>
    <w:p w14:paraId="3B4CF1FF" w14:textId="77777777" w:rsidR="00DF52A7" w:rsidRDefault="00C64D74" w:rsidP="004E6215">
      <w:pPr>
        <w:spacing w:line="360" w:lineRule="auto"/>
      </w:pPr>
      <w:r>
        <w:tab/>
      </w:r>
      <w:bookmarkStart w:id="4" w:name="_Hlk119686609"/>
      <w:r>
        <w:t>In 1849, article I, section 7 of the California Constitution provided:  “</w:t>
      </w:r>
      <w:r w:rsidRPr="00D2481B">
        <w:t>All persons shall be bailable</w:t>
      </w:r>
      <w:r>
        <w:t>,</w:t>
      </w:r>
      <w:r w:rsidRPr="00D2481B">
        <w:t xml:space="preserve"> by sufficient sureties</w:t>
      </w:r>
      <w:bookmarkEnd w:id="4"/>
      <w:r w:rsidRPr="00D2481B">
        <w:t>, unles</w:t>
      </w:r>
      <w:r w:rsidRPr="00D2481B">
        <w:t>s for capital offenses, when the proof is evident or the presumption great.</w:t>
      </w:r>
      <w:r>
        <w:t>”  (</w:t>
      </w:r>
      <w:r w:rsidRPr="00F504DA">
        <w:t>Cal. Const. of 1849, art.</w:t>
      </w:r>
      <w:r>
        <w:t> I, § 7.)  A</w:t>
      </w:r>
      <w:r w:rsidRPr="008A055A">
        <w:t>rticle</w:t>
      </w:r>
      <w:r>
        <w:t> </w:t>
      </w:r>
      <w:r w:rsidRPr="008A055A">
        <w:t>I, section</w:t>
      </w:r>
      <w:r>
        <w:t> </w:t>
      </w:r>
      <w:r w:rsidRPr="008A055A">
        <w:t>6</w:t>
      </w:r>
      <w:r>
        <w:t xml:space="preserve"> of the 1849 Constitution also provided</w:t>
      </w:r>
      <w:r w:rsidRPr="008A055A">
        <w:t xml:space="preserve">: </w:t>
      </w:r>
      <w:r>
        <w:t xml:space="preserve"> “</w:t>
      </w:r>
      <w:r w:rsidRPr="00D2481B">
        <w:t>Excessive bail shall not be required</w:t>
      </w:r>
      <w:r>
        <w:t xml:space="preserve"> . . . </w:t>
      </w:r>
      <w:r w:rsidRPr="00D2481B">
        <w:t>.</w:t>
      </w:r>
      <w:r>
        <w:t xml:space="preserve">”  These provisions were subsequently joined and set </w:t>
      </w:r>
      <w:r w:rsidRPr="007D504A">
        <w:t>forth in article I, section 6 of the California Constitution of 1879</w:t>
      </w:r>
      <w:r>
        <w:t>,</w:t>
      </w:r>
      <w:r w:rsidRPr="007D504A">
        <w:t xml:space="preserve"> </w:t>
      </w:r>
      <w:r>
        <w:t>and in</w:t>
      </w:r>
      <w:r w:rsidRPr="007D504A">
        <w:t xml:space="preserve"> 1974 they were </w:t>
      </w:r>
      <w:r>
        <w:t xml:space="preserve">relocated to </w:t>
      </w:r>
      <w:r w:rsidRPr="007D504A">
        <w:t>section 12 with an added provision explicitly permitting OR release at the court’s discretion.</w:t>
      </w:r>
      <w:r>
        <w:rPr>
          <w:rStyle w:val="FootnoteReference"/>
        </w:rPr>
        <w:footnoteReference w:id="2"/>
      </w:r>
      <w:r w:rsidRPr="007D504A">
        <w:t xml:space="preserve">  </w:t>
      </w:r>
      <w:r w:rsidRPr="007D504A">
        <w:t>(</w:t>
      </w:r>
      <w:r w:rsidRPr="004F4A13">
        <w:rPr>
          <w:i/>
          <w:iCs/>
        </w:rPr>
        <w:t>Standish</w:t>
      </w:r>
      <w:r>
        <w:t xml:space="preserve">, </w:t>
      </w:r>
      <w:r w:rsidRPr="007F427B">
        <w:rPr>
          <w:i/>
          <w:iCs/>
        </w:rPr>
        <w:t>supra</w:t>
      </w:r>
      <w:r>
        <w:t>,</w:t>
      </w:r>
      <w:r w:rsidRPr="007F427B">
        <w:t xml:space="preserve"> 38 Cal.4</w:t>
      </w:r>
      <w:r w:rsidRPr="00345A65">
        <w:t>th</w:t>
      </w:r>
      <w:r w:rsidRPr="007F427B">
        <w:t xml:space="preserve"> </w:t>
      </w:r>
      <w:r>
        <w:t>at</w:t>
      </w:r>
      <w:r w:rsidRPr="007F427B">
        <w:t xml:space="preserve"> </w:t>
      </w:r>
      <w:r>
        <w:t>p. </w:t>
      </w:r>
      <w:r w:rsidRPr="007F427B">
        <w:t>874</w:t>
      </w:r>
      <w:r>
        <w:t xml:space="preserve">.) </w:t>
      </w:r>
    </w:p>
    <w:bookmarkEnd w:id="3"/>
    <w:p w14:paraId="11EC94B6" w14:textId="77777777" w:rsidR="009012F9" w:rsidRPr="009A6C53" w:rsidRDefault="00C64D74" w:rsidP="002F2118">
      <w:pPr>
        <w:keepNext/>
        <w:spacing w:line="360" w:lineRule="auto"/>
        <w:rPr>
          <w:i/>
          <w:iCs/>
        </w:rPr>
      </w:pPr>
      <w:r w:rsidRPr="009A6C53">
        <w:rPr>
          <w:i/>
          <w:iCs/>
        </w:rPr>
        <w:tab/>
      </w:r>
      <w:r w:rsidRPr="009A6C53">
        <w:rPr>
          <w:i/>
          <w:iCs/>
        </w:rPr>
        <w:tab/>
        <w:t>2.  Propositions</w:t>
      </w:r>
      <w:r>
        <w:rPr>
          <w:i/>
          <w:iCs/>
        </w:rPr>
        <w:t> </w:t>
      </w:r>
      <w:r w:rsidRPr="009A6C53">
        <w:rPr>
          <w:i/>
          <w:iCs/>
        </w:rPr>
        <w:t>4 and 8 in 1982</w:t>
      </w:r>
    </w:p>
    <w:p w14:paraId="3C11D220" w14:textId="77777777" w:rsidR="00963036" w:rsidRPr="007D504A" w:rsidRDefault="00C64D74" w:rsidP="00963036">
      <w:pPr>
        <w:spacing w:line="360" w:lineRule="auto"/>
      </w:pPr>
      <w:r>
        <w:tab/>
        <w:t>I</w:t>
      </w:r>
      <w:r w:rsidRPr="007D504A">
        <w:t xml:space="preserve">n 1982, Proposition 4 proposed to amend section 12 </w:t>
      </w:r>
      <w:r>
        <w:t>by adding two subdivisions that would</w:t>
      </w:r>
      <w:r w:rsidRPr="007D504A">
        <w:t xml:space="preserve"> “broaden the circumstances under which the courts may deny bail.”  (Ballot Pamp., Primar</w:t>
      </w:r>
      <w:r w:rsidRPr="007D504A">
        <w:t>y Elec. (June 8, 1982) analysis of Prop. 4 by the Legislative Analyst, p. 16.</w:t>
      </w:r>
      <w:r>
        <w:t>)</w:t>
      </w:r>
      <w:r>
        <w:rPr>
          <w:rStyle w:val="FootnoteReference"/>
        </w:rPr>
        <w:footnoteReference w:id="3"/>
      </w:r>
      <w:r w:rsidRPr="007D504A">
        <w:t xml:space="preserve">  </w:t>
      </w:r>
      <w:r>
        <w:t>According to the Legislative Analyst, under</w:t>
      </w:r>
      <w:r w:rsidRPr="007D504A">
        <w:t xml:space="preserve"> </w:t>
      </w:r>
      <w:r>
        <w:t xml:space="preserve">new subdivision (b), bail “could be denied </w:t>
      </w:r>
      <w:r w:rsidRPr="007D504A">
        <w:t xml:space="preserve">in felony cases involving acts of violence against another person when </w:t>
      </w:r>
      <w:r>
        <w:t xml:space="preserve">. . . </w:t>
      </w:r>
      <w:r w:rsidRPr="007D504A">
        <w:t xml:space="preserve">the proof </w:t>
      </w:r>
      <w:r w:rsidRPr="007D504A">
        <w:t xml:space="preserve">of guilt is </w:t>
      </w:r>
      <w:r w:rsidRPr="007D504A">
        <w:lastRenderedPageBreak/>
        <w:t xml:space="preserve">evident or the presumption of guilt is great and </w:t>
      </w:r>
      <w:r>
        <w:t xml:space="preserve">. . . </w:t>
      </w:r>
      <w:r w:rsidRPr="007D504A">
        <w:t>there is a substantial likelihood that the accused’s release would result in great bodily harm to others</w:t>
      </w:r>
      <w:r>
        <w:t>.</w:t>
      </w:r>
      <w:r w:rsidRPr="007D504A">
        <w:t xml:space="preserve">” </w:t>
      </w:r>
      <w:r>
        <w:t xml:space="preserve"> </w:t>
      </w:r>
      <w:r w:rsidRPr="007D504A">
        <w:t>(</w:t>
      </w:r>
      <w:r w:rsidRPr="007D504A">
        <w:rPr>
          <w:i/>
          <w:iCs/>
        </w:rPr>
        <w:t>Id.</w:t>
      </w:r>
      <w:r w:rsidRPr="007D504A">
        <w:t>, analysis of Prop. 4 by the Legislative Analyst, p. 16</w:t>
      </w:r>
      <w:r>
        <w:t xml:space="preserve">; see </w:t>
      </w:r>
      <w:r>
        <w:rPr>
          <w:i/>
          <w:iCs/>
        </w:rPr>
        <w:t>i</w:t>
      </w:r>
      <w:r w:rsidRPr="007D504A">
        <w:rPr>
          <w:i/>
          <w:iCs/>
        </w:rPr>
        <w:t>d.</w:t>
      </w:r>
      <w:r w:rsidRPr="007D504A">
        <w:t>, text of Pro</w:t>
      </w:r>
      <w:r w:rsidRPr="007D504A">
        <w:t xml:space="preserve">p. 4, p. 17.)  </w:t>
      </w:r>
      <w:r>
        <w:t xml:space="preserve">And under new subdivision (c), bail “could be denied </w:t>
      </w:r>
      <w:r w:rsidRPr="007D504A">
        <w:t xml:space="preserve">in felony cases when </w:t>
      </w:r>
      <w:r>
        <w:t xml:space="preserve">. . . </w:t>
      </w:r>
      <w:r w:rsidRPr="007D504A">
        <w:t xml:space="preserve">the proof of guilt is evident or the presumption of guilt is great and </w:t>
      </w:r>
      <w:r>
        <w:t xml:space="preserve">. . . </w:t>
      </w:r>
      <w:r w:rsidRPr="007D504A">
        <w:t>the accused has threatened another with great bodily harm and there is a substantial</w:t>
      </w:r>
      <w:r w:rsidRPr="007D504A">
        <w:t xml:space="preserve"> likelihood that the threat would be carried out if the person were released.”  (</w:t>
      </w:r>
      <w:r w:rsidRPr="007D504A">
        <w:rPr>
          <w:i/>
          <w:iCs/>
        </w:rPr>
        <w:t>Id</w:t>
      </w:r>
      <w:r w:rsidRPr="007D504A">
        <w:t xml:space="preserve">., </w:t>
      </w:r>
      <w:r>
        <w:t>analysis</w:t>
      </w:r>
      <w:r w:rsidRPr="007D504A">
        <w:t xml:space="preserve"> of Prop. 4,</w:t>
      </w:r>
      <w:r>
        <w:t xml:space="preserve"> p. 16.</w:t>
      </w:r>
      <w:r w:rsidRPr="007D504A">
        <w:t xml:space="preserve">)  Proposition 4 also proposed to add </w:t>
      </w:r>
      <w:r>
        <w:t>a constitutional “</w:t>
      </w:r>
      <w:r w:rsidRPr="007D504A">
        <w:t>requirement that the courts, in fixing the amount of bail, consider . . . the seriousne</w:t>
      </w:r>
      <w:r w:rsidRPr="007D504A">
        <w:t>ss of the offense, the person’s previous criminal record, and the likelihood that the person will appear to stand trial[].”  (</w:t>
      </w:r>
      <w:r w:rsidRPr="007D504A">
        <w:rPr>
          <w:i/>
          <w:iCs/>
        </w:rPr>
        <w:t>Ibid.</w:t>
      </w:r>
      <w:r w:rsidRPr="007D504A">
        <w:t>)</w:t>
      </w:r>
    </w:p>
    <w:p w14:paraId="12B6DE75" w14:textId="77777777" w:rsidR="008E5523" w:rsidRDefault="00C64D74" w:rsidP="008A055A">
      <w:pPr>
        <w:spacing w:line="360" w:lineRule="auto"/>
      </w:pPr>
      <w:r w:rsidRPr="007D504A">
        <w:tab/>
      </w:r>
      <w:r w:rsidRPr="007D504A">
        <w:t xml:space="preserve">On the same ballot was Proposition 8—known as “ ‘The Victims’ Bill of </w:t>
      </w:r>
      <w:r>
        <w:t>R</w:t>
      </w:r>
      <w:r w:rsidRPr="007D504A">
        <w:t xml:space="preserve">ights’ ”—which would </w:t>
      </w:r>
      <w:r>
        <w:t>accord</w:t>
      </w:r>
      <w:r w:rsidRPr="007D504A">
        <w:t xml:space="preserve"> a number </w:t>
      </w:r>
      <w:r>
        <w:t xml:space="preserve">of constitutional </w:t>
      </w:r>
      <w:r w:rsidRPr="007D504A">
        <w:t>rights to crime victims in areas ranging from bail to restitution.  (Ballot Pamp., Primary Elec. (June 8, 1982) text of Prop. 8, p</w:t>
      </w:r>
      <w:r w:rsidRPr="007D504A">
        <w:t xml:space="preserve">. 33.)  </w:t>
      </w:r>
      <w:r>
        <w:t>In particular, Proposition 8 would acknowledge that “[t]he rights of victims pervade the criminal justice system, encompassing not only the right to restitution . . . , but also the more basic expectation that persons who commit felonious acts caus</w:t>
      </w:r>
      <w:r>
        <w:t>ing injury to innocent victims will be appropriately detained in custody.”  (</w:t>
      </w:r>
      <w:r w:rsidRPr="00F20C84">
        <w:rPr>
          <w:i/>
          <w:iCs/>
        </w:rPr>
        <w:t>Ibid</w:t>
      </w:r>
      <w:r>
        <w:t>., italics omitted.)  To accomplish these goals, the proposition explained, “broad reforms in the procedural treatment of accused persons and the disposition and sentencing of</w:t>
      </w:r>
      <w:r>
        <w:t xml:space="preserve"> convicted persons are necessary and proper as deterrents to criminal behavior and to serious disruption of people’s lives.”  (</w:t>
      </w:r>
      <w:r w:rsidRPr="005B1DDB">
        <w:rPr>
          <w:i/>
          <w:iCs/>
        </w:rPr>
        <w:t>I</w:t>
      </w:r>
      <w:r>
        <w:rPr>
          <w:i/>
          <w:iCs/>
        </w:rPr>
        <w:t>bi</w:t>
      </w:r>
      <w:r w:rsidRPr="005B1DDB">
        <w:rPr>
          <w:i/>
          <w:iCs/>
        </w:rPr>
        <w:t>d</w:t>
      </w:r>
      <w:r>
        <w:rPr>
          <w:i/>
          <w:iCs/>
        </w:rPr>
        <w:t>.</w:t>
      </w:r>
      <w:r>
        <w:t>, italics omitted.)</w:t>
      </w:r>
    </w:p>
    <w:p w14:paraId="0C80F743" w14:textId="77777777" w:rsidR="00F92013" w:rsidRDefault="00C64D74" w:rsidP="008A055A">
      <w:pPr>
        <w:spacing w:line="360" w:lineRule="auto"/>
      </w:pPr>
      <w:r>
        <w:tab/>
        <w:t>With regard to bail, Proposition 8 proposed to</w:t>
      </w:r>
      <w:r w:rsidRPr="001828EE">
        <w:t xml:space="preserve"> repeal section</w:t>
      </w:r>
      <w:r>
        <w:t> </w:t>
      </w:r>
      <w:r w:rsidRPr="001828EE">
        <w:t xml:space="preserve">12 and </w:t>
      </w:r>
      <w:r>
        <w:t xml:space="preserve">to </w:t>
      </w:r>
      <w:r w:rsidRPr="007D504A">
        <w:t>substitute section 28, subdivis</w:t>
      </w:r>
      <w:r w:rsidRPr="007D504A">
        <w:t>ion (e) (“section 28(e)”)</w:t>
      </w:r>
      <w:r>
        <w:t xml:space="preserve"> in its place</w:t>
      </w:r>
      <w:r w:rsidRPr="007D504A">
        <w:t>.  (</w:t>
      </w:r>
      <w:r w:rsidRPr="007D504A">
        <w:rPr>
          <w:i/>
          <w:iCs/>
        </w:rPr>
        <w:t>Standish</w:t>
      </w:r>
      <w:r w:rsidRPr="007D504A">
        <w:t xml:space="preserve">, </w:t>
      </w:r>
      <w:r w:rsidRPr="007D504A">
        <w:rPr>
          <w:i/>
          <w:iCs/>
        </w:rPr>
        <w:lastRenderedPageBreak/>
        <w:t>supra</w:t>
      </w:r>
      <w:r w:rsidRPr="007D504A">
        <w:t>, 38 Cal.4</w:t>
      </w:r>
      <w:r w:rsidRPr="00345A65">
        <w:t>th</w:t>
      </w:r>
      <w:r w:rsidRPr="007D504A">
        <w:t xml:space="preserve"> at p. 874; Ballot Pamp., Primary Elec.</w:t>
      </w:r>
      <w:r>
        <w:t xml:space="preserve">, </w:t>
      </w:r>
      <w:r w:rsidRPr="00063A2B">
        <w:rPr>
          <w:i/>
          <w:iCs/>
        </w:rPr>
        <w:t>supra</w:t>
      </w:r>
      <w:r>
        <w:t>,</w:t>
      </w:r>
      <w:r w:rsidRPr="007D504A">
        <w:t xml:space="preserve"> text of Prop. 8, §§ 2–3, p. 33.)  </w:t>
      </w:r>
      <w:r>
        <w:t>Section 28(e), e</w:t>
      </w:r>
      <w:r w:rsidRPr="007D504A">
        <w:t>ntitled “Public Safety Bail,” provided</w:t>
      </w:r>
      <w:r>
        <w:t xml:space="preserve"> as follows</w:t>
      </w:r>
      <w:r w:rsidRPr="007D504A">
        <w:t xml:space="preserve">:  “A person may be released on bail by </w:t>
      </w:r>
      <w:r w:rsidRPr="007D504A">
        <w:t>sufficient sureties, except for capital crimes when the facts are evident or the presumption great.  Excessive bail may not be required.  In setting, reducing or denying bail, the judge or magistrate shall take into consideration the protection of the publ</w:t>
      </w:r>
      <w:r w:rsidRPr="007D504A">
        <w:t>ic, the seriousness of the offense charged, the previous criminal record of the defendant, and the probability of his or her appearing at the trial or hearing of the case.  Public safety shall be the primary consideration.  [¶]</w:t>
      </w:r>
      <w:r>
        <w:t> </w:t>
      </w:r>
      <w:r w:rsidRPr="007D504A">
        <w:t xml:space="preserve">A person may be released on </w:t>
      </w:r>
      <w:r w:rsidRPr="007D504A">
        <w:t xml:space="preserve">his or her own recognizance in the court’s discretion, subject to the same factors considered in setting bail.  However, no person charged with the commission of any serious felony shall be released on his or her own recognizance.”  (Ballot Pamp., Primary </w:t>
      </w:r>
      <w:r w:rsidRPr="007D504A">
        <w:t>Elec.</w:t>
      </w:r>
      <w:r>
        <w:t xml:space="preserve">, </w:t>
      </w:r>
      <w:r w:rsidRPr="00063A2B">
        <w:rPr>
          <w:i/>
          <w:iCs/>
        </w:rPr>
        <w:t>supra</w:t>
      </w:r>
      <w:r>
        <w:t>,</w:t>
      </w:r>
      <w:r w:rsidRPr="007D504A">
        <w:t xml:space="preserve"> text of Prop. 8, § 3, p. 33, italics omitted.)</w:t>
      </w:r>
    </w:p>
    <w:p w14:paraId="4A9A8720" w14:textId="77777777" w:rsidR="006A2D94" w:rsidRDefault="00C64D74" w:rsidP="00CA0856">
      <w:pPr>
        <w:spacing w:line="360" w:lineRule="auto"/>
      </w:pPr>
      <w:r>
        <w:tab/>
        <w:t xml:space="preserve">Ultimately, Proposition 4 and Proposition 8 both passed, but Proposition 4 received more votes than Proposition 8.  Over a decade later, the California Supreme Court commented that the bail and </w:t>
      </w:r>
      <w:r>
        <w:t>OR provisions in Proposition 4 prevailed over those in Proposition 8 because the former received more votes than the latter.  (</w:t>
      </w:r>
      <w:r w:rsidRPr="007D504A">
        <w:rPr>
          <w:i/>
          <w:iCs/>
        </w:rPr>
        <w:t>In re York</w:t>
      </w:r>
      <w:r w:rsidRPr="007D504A">
        <w:t xml:space="preserve"> (1995) 9 Cal.4</w:t>
      </w:r>
      <w:r w:rsidRPr="00345A65">
        <w:t>th</w:t>
      </w:r>
      <w:r w:rsidRPr="007D504A">
        <w:t xml:space="preserve"> 1133</w:t>
      </w:r>
      <w:r>
        <w:t xml:space="preserve">, </w:t>
      </w:r>
      <w:r w:rsidRPr="00BC526D">
        <w:t>1140</w:t>
      </w:r>
      <w:r>
        <w:t>, fn. 4 (</w:t>
      </w:r>
      <w:r w:rsidRPr="00C26F98">
        <w:rPr>
          <w:i/>
          <w:iCs/>
        </w:rPr>
        <w:t>York</w:t>
      </w:r>
      <w:r>
        <w:t xml:space="preserve">).)  However, the </w:t>
      </w:r>
      <w:r w:rsidRPr="00283698">
        <w:rPr>
          <w:i/>
          <w:iCs/>
        </w:rPr>
        <w:t>York</w:t>
      </w:r>
      <w:r>
        <w:t xml:space="preserve"> court </w:t>
      </w:r>
      <w:r w:rsidRPr="00ED2DA6">
        <w:t xml:space="preserve">did not </w:t>
      </w:r>
      <w:r>
        <w:t>analyze at length whether the two proposi</w:t>
      </w:r>
      <w:r>
        <w:t>tions</w:t>
      </w:r>
      <w:r w:rsidRPr="00ED2DA6">
        <w:t xml:space="preserve"> might be harmonized </w:t>
      </w:r>
      <w:r>
        <w:t>so that both of their bail and OR provisions could be</w:t>
      </w:r>
      <w:r w:rsidRPr="00ED2DA6">
        <w:t xml:space="preserve"> given effect</w:t>
      </w:r>
      <w:r>
        <w:t>.  (</w:t>
      </w:r>
      <w:r w:rsidRPr="00283698">
        <w:rPr>
          <w:i/>
          <w:iCs/>
        </w:rPr>
        <w:t>Standish</w:t>
      </w:r>
      <w:r>
        <w:t xml:space="preserve">, </w:t>
      </w:r>
      <w:r w:rsidRPr="00283698">
        <w:rPr>
          <w:i/>
          <w:iCs/>
        </w:rPr>
        <w:t>supra</w:t>
      </w:r>
      <w:r>
        <w:t>, 38 Cal.4th at pp. 876–877.)</w:t>
      </w:r>
    </w:p>
    <w:p w14:paraId="253EC2E6" w14:textId="77777777" w:rsidR="009154F1" w:rsidRDefault="00C64D74" w:rsidP="00CA0856">
      <w:pPr>
        <w:spacing w:line="360" w:lineRule="auto"/>
      </w:pPr>
      <w:r>
        <w:tab/>
      </w:r>
      <w:r>
        <w:t xml:space="preserve">In 2006, the California Supreme Court performed such an analysis in </w:t>
      </w:r>
      <w:r w:rsidRPr="003E58C4">
        <w:rPr>
          <w:i/>
          <w:iCs/>
          <w:szCs w:val="26"/>
        </w:rPr>
        <w:t>Standish</w:t>
      </w:r>
      <w:r>
        <w:rPr>
          <w:szCs w:val="26"/>
        </w:rPr>
        <w:t xml:space="preserve">, </w:t>
      </w:r>
      <w:r w:rsidRPr="003E58C4">
        <w:rPr>
          <w:i/>
          <w:iCs/>
          <w:szCs w:val="26"/>
        </w:rPr>
        <w:t>supra</w:t>
      </w:r>
      <w:r>
        <w:rPr>
          <w:szCs w:val="26"/>
        </w:rPr>
        <w:t xml:space="preserve">, </w:t>
      </w:r>
      <w:r>
        <w:t>38 Cal.4</w:t>
      </w:r>
      <w:r w:rsidRPr="00345A65">
        <w:t>th</w:t>
      </w:r>
      <w:r>
        <w:t xml:space="preserve"> 858.  In conducting a “</w:t>
      </w:r>
      <w:r w:rsidRPr="00917CD7">
        <w:t>section-by-section comparison of Propositions 4 and 8</w:t>
      </w:r>
      <w:r>
        <w:t xml:space="preserve">,” the </w:t>
      </w:r>
      <w:r w:rsidRPr="00E870C3">
        <w:rPr>
          <w:i/>
          <w:iCs/>
        </w:rPr>
        <w:t>Standish</w:t>
      </w:r>
      <w:r>
        <w:t xml:space="preserve"> court observed their bail and OR provisions were in “direct conflict</w:t>
      </w:r>
      <w:r>
        <w:t>”:  “</w:t>
      </w:r>
      <w:r w:rsidRPr="000C0756">
        <w:t>Proposition 8 would have repealed . . . section 12</w:t>
      </w:r>
      <w:r w:rsidRPr="00920375">
        <w:t xml:space="preserve"> </w:t>
      </w:r>
      <w:r w:rsidRPr="00917CD7">
        <w:t>[citation], while Proposition</w:t>
      </w:r>
      <w:r>
        <w:t> </w:t>
      </w:r>
      <w:r w:rsidRPr="00917CD7">
        <w:t xml:space="preserve">4 amended that provision.  </w:t>
      </w:r>
      <w:r w:rsidRPr="00917CD7">
        <w:lastRenderedPageBreak/>
        <w:t>[Citation.]  Proposition 8 would have rescinded the court’s discretion to grant OR release for any serious felony[</w:t>
      </w:r>
      <w:r>
        <w:rPr>
          <w:rStyle w:val="FootnoteReference"/>
        </w:rPr>
        <w:footnoteReference w:id="4"/>
      </w:r>
      <w:r w:rsidRPr="00917CD7">
        <w:t>] [citation], while Proposi</w:t>
      </w:r>
      <w:r w:rsidRPr="00917CD7">
        <w:t>tion</w:t>
      </w:r>
      <w:r>
        <w:t> </w:t>
      </w:r>
      <w:r w:rsidRPr="00917CD7">
        <w:t xml:space="preserve">4 left the court’s preexisting discretion intact without any restriction.  [Citation.]  </w:t>
      </w:r>
      <w:bookmarkStart w:id="5" w:name="_Hlk114557714"/>
      <w:r w:rsidRPr="007E1535">
        <w:t xml:space="preserve">Proposition 4 stated that all accused persons ‘shall’ be admitted to bail, subject to certain limitations [citation], while </w:t>
      </w:r>
      <w:r w:rsidRPr="00314EA5">
        <w:t xml:space="preserve">Proposition 8 would have rendered bail </w:t>
      </w:r>
      <w:r w:rsidRPr="00314EA5">
        <w:t>discretionary in all cases and would have extended the restrictions it imposed upon bail to OR release</w:t>
      </w:r>
      <w:bookmarkEnd w:id="5"/>
      <w:r w:rsidRPr="007E1535">
        <w:t>.</w:t>
      </w:r>
      <w:r>
        <w:t>”  (</w:t>
      </w:r>
      <w:r w:rsidRPr="00917E07">
        <w:rPr>
          <w:i/>
          <w:iCs/>
        </w:rPr>
        <w:t>Id.</w:t>
      </w:r>
      <w:r>
        <w:t xml:space="preserve"> at pp. 877–878.) </w:t>
      </w:r>
      <w:r w:rsidRPr="009154F1">
        <w:t xml:space="preserve"> In view of th</w:t>
      </w:r>
      <w:r>
        <w:t>is analysis and the greater number of votes Proposition 4 received</w:t>
      </w:r>
      <w:r w:rsidRPr="009154F1">
        <w:t xml:space="preserve">, </w:t>
      </w:r>
      <w:r>
        <w:t xml:space="preserve">the court determined </w:t>
      </w:r>
      <w:r w:rsidRPr="009154F1">
        <w:t>that</w:t>
      </w:r>
      <w:r>
        <w:t xml:space="preserve"> Proposition 4’s</w:t>
      </w:r>
      <w:r w:rsidRPr="009154F1">
        <w:t xml:space="preserve"> </w:t>
      </w:r>
      <w:r>
        <w:t>bail</w:t>
      </w:r>
      <w:r>
        <w:t xml:space="preserve"> and OR </w:t>
      </w:r>
      <w:r w:rsidRPr="009154F1">
        <w:t>amendments to section</w:t>
      </w:r>
      <w:r>
        <w:t> </w:t>
      </w:r>
      <w:r w:rsidRPr="009154F1">
        <w:t xml:space="preserve">12 took effect, and that </w:t>
      </w:r>
      <w:r>
        <w:t xml:space="preserve">Proposition 8’s conflicting </w:t>
      </w:r>
      <w:r w:rsidRPr="00A93524">
        <w:t xml:space="preserve">provisions </w:t>
      </w:r>
      <w:r>
        <w:t xml:space="preserve">in </w:t>
      </w:r>
      <w:r w:rsidRPr="00A93524">
        <w:t xml:space="preserve">section 28(e) </w:t>
      </w:r>
      <w:r>
        <w:t>did not.  (</w:t>
      </w:r>
      <w:bookmarkStart w:id="6" w:name="_Hlk114557729"/>
      <w:r w:rsidRPr="00917E07">
        <w:rPr>
          <w:i/>
          <w:iCs/>
        </w:rPr>
        <w:t>Id.</w:t>
      </w:r>
      <w:r>
        <w:t xml:space="preserve"> at p. 878</w:t>
      </w:r>
      <w:bookmarkEnd w:id="6"/>
      <w:r>
        <w:t>.)</w:t>
      </w:r>
    </w:p>
    <w:p w14:paraId="73C7B716" w14:textId="77777777" w:rsidR="009A6C53" w:rsidRPr="007D504A" w:rsidRDefault="00C64D74" w:rsidP="00344927">
      <w:pPr>
        <w:spacing w:line="360" w:lineRule="auto"/>
      </w:pPr>
      <w:r>
        <w:tab/>
        <w:t xml:space="preserve">As relevant here, the voters approved two subsequent amendments.  First, in 1994 the voters passed </w:t>
      </w:r>
      <w:r>
        <w:t>Proposition 189, which expanded the exception in subdivision (b) of section 12 to include persons who have committed “</w:t>
      </w:r>
      <w:r w:rsidRPr="00165D32">
        <w:t>felony sexual assault offenses on another person</w:t>
      </w:r>
      <w:r>
        <w:t xml:space="preserve">, </w:t>
      </w:r>
      <w:r w:rsidRPr="00165D32">
        <w:t>when the facts are evident or the presumption great and the court finds based upon clear</w:t>
      </w:r>
      <w:r w:rsidRPr="00165D32">
        <w:t xml:space="preserve"> and convincing evidence that there is a substantial likelihood the </w:t>
      </w:r>
      <w:r w:rsidRPr="007D504A">
        <w:t xml:space="preserve">person’s release would result in great bodily harm to others.”  (Supp. Ballot Pamp., Gen. Elec., (Nov. 8, 1994) text of Prop. 189, p. 18, italics omitted.)  Second, </w:t>
      </w:r>
      <w:r>
        <w:t>and as will be discusse</w:t>
      </w:r>
      <w:r>
        <w:t>d below</w:t>
      </w:r>
      <w:r w:rsidRPr="007D504A">
        <w:t xml:space="preserve">, </w:t>
      </w:r>
      <w:r>
        <w:t xml:space="preserve">the </w:t>
      </w:r>
      <w:r w:rsidRPr="007D504A">
        <w:t xml:space="preserve">voters </w:t>
      </w:r>
      <w:r>
        <w:t>approved</w:t>
      </w:r>
      <w:r w:rsidRPr="007D504A">
        <w:t xml:space="preserve"> Proposition 9</w:t>
      </w:r>
      <w:r>
        <w:t xml:space="preserve"> in 2008</w:t>
      </w:r>
      <w:r w:rsidRPr="007D504A">
        <w:t>.</w:t>
      </w:r>
    </w:p>
    <w:p w14:paraId="4FC7B669" w14:textId="77777777" w:rsidR="009A6C53" w:rsidRPr="007D504A" w:rsidRDefault="00C64D74" w:rsidP="00A24746">
      <w:pPr>
        <w:keepNext/>
        <w:spacing w:line="360" w:lineRule="auto"/>
        <w:rPr>
          <w:i/>
          <w:iCs/>
        </w:rPr>
      </w:pPr>
      <w:r w:rsidRPr="007D504A">
        <w:rPr>
          <w:i/>
          <w:iCs/>
        </w:rPr>
        <w:tab/>
      </w:r>
      <w:r w:rsidRPr="007D504A">
        <w:rPr>
          <w:i/>
          <w:iCs/>
        </w:rPr>
        <w:tab/>
        <w:t>3.  Proposition 9 in 2008</w:t>
      </w:r>
    </w:p>
    <w:p w14:paraId="3BADB7E1" w14:textId="77777777" w:rsidR="001568B8" w:rsidRDefault="00C64D74" w:rsidP="002F2B97">
      <w:pPr>
        <w:spacing w:line="360" w:lineRule="auto"/>
      </w:pPr>
      <w:r w:rsidRPr="007D504A">
        <w:tab/>
      </w:r>
      <w:bookmarkStart w:id="7" w:name="_Hlk114406717"/>
      <w:r w:rsidRPr="007D504A">
        <w:t>Proposition 9—entitled the “ ‘Victims’ Bill of Rights Act of 2008: Marsy’s Law’ ”—</w:t>
      </w:r>
      <w:r>
        <w:t xml:space="preserve">proposed to </w:t>
      </w:r>
      <w:r w:rsidRPr="007D504A">
        <w:t>amend section 28</w:t>
      </w:r>
      <w:r>
        <w:t xml:space="preserve"> as added to the Constitution in 1982, including the bail provisions previously held inoperative</w:t>
      </w:r>
      <w:r w:rsidRPr="007D504A">
        <w:t xml:space="preserve">.  (Voter </w:t>
      </w:r>
      <w:r w:rsidRPr="007D504A">
        <w:lastRenderedPageBreak/>
        <w:t xml:space="preserve">Information Guide, Gen. Elec. (Nov. 4, 2008) text of Prop. 9, §§ 1 &amp; 4.1, pp. 128–130.)  </w:t>
      </w:r>
      <w:r>
        <w:t>Proposition 9 contained a finding that crime victims are enti</w:t>
      </w:r>
      <w:r>
        <w:t>tled to “justice and due process” and that its provisions are necessary “to remedy a justice system that fails to fully recognize and adequately enforce” such rights.  (</w:t>
      </w:r>
      <w:r>
        <w:rPr>
          <w:i/>
          <w:iCs/>
        </w:rPr>
        <w:t>Id.</w:t>
      </w:r>
      <w:r>
        <w:t>, text of Prop. 9, § 2, p. 128.)  Specifically, Proposition 9 declared</w:t>
      </w:r>
      <w:r w:rsidRPr="007D504A">
        <w:t>:  “The People</w:t>
      </w:r>
      <w:r w:rsidRPr="007D504A">
        <w:t xml:space="preserve"> of the State of California find that the ‘broad reform’ of the criminal justice system intended to grant these basic rights mandated in the Victims’ Bill of Rights initiative measure passed by the electorate as Proposition 8 in 1982 has not occurred as en</w:t>
      </w:r>
      <w:r w:rsidRPr="007D504A">
        <w:t>visioned by the people.  Victims of crime continue to be denied rights to justice and due process.”  (</w:t>
      </w:r>
      <w:r w:rsidRPr="007D504A">
        <w:rPr>
          <w:i/>
          <w:iCs/>
        </w:rPr>
        <w:t>I</w:t>
      </w:r>
      <w:r>
        <w:rPr>
          <w:i/>
          <w:iCs/>
        </w:rPr>
        <w:t>bi</w:t>
      </w:r>
      <w:r w:rsidRPr="007D504A">
        <w:rPr>
          <w:i/>
          <w:iCs/>
        </w:rPr>
        <w:t>d.</w:t>
      </w:r>
      <w:r w:rsidRPr="007D504A">
        <w:t>)</w:t>
      </w:r>
      <w:r w:rsidRPr="002514C8">
        <w:t xml:space="preserve"> </w:t>
      </w:r>
      <w:r>
        <w:t xml:space="preserve"> </w:t>
      </w:r>
      <w:bookmarkStart w:id="8" w:name="_Hlk115668691"/>
    </w:p>
    <w:p w14:paraId="1274157F" w14:textId="77777777" w:rsidR="003D10A0" w:rsidRPr="002514C8" w:rsidRDefault="00C64D74" w:rsidP="002F2B97">
      <w:pPr>
        <w:spacing w:line="360" w:lineRule="auto"/>
      </w:pPr>
      <w:r>
        <w:tab/>
        <w:t xml:space="preserve">Importantly, Proposition 9 included the following declaration of its purposes and intent:  </w:t>
      </w:r>
      <w:r w:rsidRPr="00EE3A3B">
        <w:t>“</w:t>
      </w:r>
      <w:r>
        <w:rPr>
          <w:i/>
          <w:iCs/>
        </w:rPr>
        <w:t>T</w:t>
      </w:r>
      <w:r w:rsidRPr="00EE3A3B">
        <w:rPr>
          <w:i/>
          <w:iCs/>
        </w:rPr>
        <w:t>he rights of victims also include broader shared co</w:t>
      </w:r>
      <w:r w:rsidRPr="00EE3A3B">
        <w:rPr>
          <w:i/>
          <w:iCs/>
        </w:rPr>
        <w:t>llective rights that are held in common with all of the People of the State of California and that are enforceable through the enactment of laws and through good-faith efforts and actions of California’s elected, appointed, and publicly employed officials.</w:t>
      </w:r>
      <w:r w:rsidRPr="00EE3A3B">
        <w:rPr>
          <w:i/>
          <w:iCs/>
        </w:rPr>
        <w:t xml:space="preserve">  These rights encompass the expectation shared with all of the people of California </w:t>
      </w:r>
      <w:r w:rsidRPr="006E4CDF">
        <w:t>that persons who commit felonious acts causing injury to innocent victims will be appropriately</w:t>
      </w:r>
      <w:r w:rsidRPr="007D504A">
        <w:rPr>
          <w:i/>
          <w:iCs/>
        </w:rPr>
        <w:t xml:space="preserve"> and thoroughly investigated, [and] appropriately </w:t>
      </w:r>
      <w:r w:rsidRPr="006E4CDF">
        <w:t>detained in custody</w:t>
      </w:r>
      <w:r w:rsidRPr="007D504A">
        <w:rPr>
          <w:i/>
          <w:iCs/>
        </w:rPr>
        <w:t xml:space="preserve"> . . . </w:t>
      </w:r>
      <w:r w:rsidRPr="00063A2B">
        <w:t>so that the public safety is protected and encouraged as a goal of highest importance</w:t>
      </w:r>
      <w:r w:rsidRPr="007D504A">
        <w:t>.”</w:t>
      </w:r>
      <w:r>
        <w:rPr>
          <w:rStyle w:val="FootnoteReference"/>
        </w:rPr>
        <w:footnoteReference w:id="5"/>
      </w:r>
      <w:r w:rsidRPr="007D504A">
        <w:t xml:space="preserve">  (Voter Information Guide, Gen. Elec.</w:t>
      </w:r>
      <w:r>
        <w:t xml:space="preserve">, </w:t>
      </w:r>
      <w:r w:rsidRPr="00063A2B">
        <w:rPr>
          <w:i/>
          <w:iCs/>
        </w:rPr>
        <w:t>supra</w:t>
      </w:r>
      <w:r>
        <w:t>,</w:t>
      </w:r>
      <w:r w:rsidRPr="007D504A">
        <w:t xml:space="preserve"> text of Prop. 9, § 4.1, p. 129.)</w:t>
      </w:r>
      <w:bookmarkEnd w:id="8"/>
    </w:p>
    <w:p w14:paraId="0A696C0D" w14:textId="77777777" w:rsidR="003F2CBE" w:rsidRDefault="00C64D74" w:rsidP="00CA0856">
      <w:pPr>
        <w:spacing w:line="360" w:lineRule="auto"/>
      </w:pPr>
      <w:r w:rsidRPr="007D504A">
        <w:lastRenderedPageBreak/>
        <w:tab/>
      </w:r>
      <w:r>
        <w:t xml:space="preserve">Upon its passage, </w:t>
      </w:r>
      <w:r w:rsidRPr="007D504A">
        <w:t>Proposition 9 amended section 28, subdivision (a)</w:t>
      </w:r>
      <w:r>
        <w:t>,</w:t>
      </w:r>
      <w:r w:rsidRPr="007D504A">
        <w:t xml:space="preserve"> to </w:t>
      </w:r>
      <w:r>
        <w:t>provide</w:t>
      </w:r>
      <w:r w:rsidRPr="007D504A">
        <w:t xml:space="preserve"> that</w:t>
      </w:r>
      <w:r>
        <w:t xml:space="preserve"> c</w:t>
      </w:r>
      <w:r>
        <w:t xml:space="preserve">rime victims had the personally enforceable rights described in subdivision (b)(1) through (17).  </w:t>
      </w:r>
      <w:r w:rsidRPr="007D504A">
        <w:t>(Voter Information Guide, Gen. Elec.</w:t>
      </w:r>
      <w:r>
        <w:t xml:space="preserve">, </w:t>
      </w:r>
      <w:r w:rsidRPr="00C26F98">
        <w:rPr>
          <w:i/>
          <w:iCs/>
        </w:rPr>
        <w:t>supra</w:t>
      </w:r>
      <w:r>
        <w:t>,</w:t>
      </w:r>
      <w:r w:rsidRPr="007D504A">
        <w:t xml:space="preserve"> text of Prop. 9, § 4.1, p. 129</w:t>
      </w:r>
      <w:r>
        <w:t>.)  In particular, s</w:t>
      </w:r>
      <w:r w:rsidRPr="007D504A">
        <w:t xml:space="preserve">ubdivision (b)(3) </w:t>
      </w:r>
      <w:r>
        <w:t>of</w:t>
      </w:r>
      <w:r w:rsidRPr="007D504A">
        <w:t xml:space="preserve"> section 28 </w:t>
      </w:r>
      <w:r>
        <w:t>guaranteed the right of</w:t>
      </w:r>
      <w:r w:rsidRPr="007D504A">
        <w:t xml:space="preserve"> crime v</w:t>
      </w:r>
      <w:r w:rsidRPr="007D504A">
        <w:t xml:space="preserve">ictims </w:t>
      </w:r>
      <w:r w:rsidRPr="007D504A">
        <w:rPr>
          <w:i/>
          <w:iCs/>
        </w:rPr>
        <w:t>“[t]o have the safety of the victim and the victim’s family considered in fixing the amount of bail and release conditions for the defendant</w:t>
      </w:r>
      <w:r w:rsidRPr="007D504A">
        <w:t>.”  (</w:t>
      </w:r>
      <w:r>
        <w:t>T</w:t>
      </w:r>
      <w:r w:rsidRPr="007D504A">
        <w:t>ext of Prop. 9, § 4.1, p. 129.)</w:t>
      </w:r>
    </w:p>
    <w:p w14:paraId="0962EA12" w14:textId="77777777" w:rsidR="00827863" w:rsidRDefault="00C64D74" w:rsidP="00CA0856">
      <w:pPr>
        <w:spacing w:line="360" w:lineRule="auto"/>
      </w:pPr>
      <w:r>
        <w:tab/>
      </w:r>
      <w:r w:rsidRPr="007D504A">
        <w:t>Proposition</w:t>
      </w:r>
      <w:r>
        <w:t> </w:t>
      </w:r>
      <w:r w:rsidRPr="000B65EC">
        <w:t>9 also added subdivision</w:t>
      </w:r>
      <w:r>
        <w:t> </w:t>
      </w:r>
      <w:r w:rsidRPr="000B65EC">
        <w:t>(f)(3) to section</w:t>
      </w:r>
      <w:r>
        <w:t> </w:t>
      </w:r>
      <w:r w:rsidRPr="000B65EC">
        <w:t>28</w:t>
      </w:r>
      <w:r>
        <w:t>, which</w:t>
      </w:r>
      <w:r w:rsidRPr="005F3306">
        <w:t xml:space="preserve"> </w:t>
      </w:r>
      <w:r>
        <w:t xml:space="preserve">reflected the same title (“Public Safety Bail”) and </w:t>
      </w:r>
      <w:r w:rsidRPr="000B65EC">
        <w:t xml:space="preserve">contained </w:t>
      </w:r>
      <w:r>
        <w:t xml:space="preserve">language </w:t>
      </w:r>
      <w:r w:rsidRPr="000B65EC">
        <w:t xml:space="preserve">nearly identical to </w:t>
      </w:r>
      <w:r>
        <w:t>the language that appeared in</w:t>
      </w:r>
      <w:r w:rsidRPr="000B65EC">
        <w:t xml:space="preserve"> </w:t>
      </w:r>
      <w:r>
        <w:t xml:space="preserve">Proposition 8’s version of </w:t>
      </w:r>
      <w:r w:rsidRPr="000B65EC">
        <w:t>section</w:t>
      </w:r>
      <w:r>
        <w:t> </w:t>
      </w:r>
      <w:r w:rsidRPr="000B65EC">
        <w:t>28(e).  (</w:t>
      </w:r>
      <w:r>
        <w:t xml:space="preserve">Compare </w:t>
      </w:r>
      <w:r w:rsidRPr="007D504A">
        <w:t>Voter Information Guide, Gen. Elec.</w:t>
      </w:r>
      <w:r>
        <w:t xml:space="preserve">, </w:t>
      </w:r>
      <w:r w:rsidRPr="00C26F98">
        <w:rPr>
          <w:i/>
          <w:iCs/>
        </w:rPr>
        <w:t>supra</w:t>
      </w:r>
      <w:r>
        <w:t>,</w:t>
      </w:r>
      <w:r w:rsidRPr="007D504A">
        <w:t xml:space="preserve"> text of Prop. 9</w:t>
      </w:r>
      <w:r w:rsidRPr="00E14C42">
        <w:t xml:space="preserve">, </w:t>
      </w:r>
      <w:r w:rsidRPr="000B65EC">
        <w:t>§</w:t>
      </w:r>
      <w:r>
        <w:t> </w:t>
      </w:r>
      <w:r w:rsidRPr="000B65EC">
        <w:t>4.1, p.</w:t>
      </w:r>
      <w:r>
        <w:t> </w:t>
      </w:r>
      <w:r w:rsidRPr="000B65EC">
        <w:t>130</w:t>
      </w:r>
      <w:r>
        <w:t xml:space="preserve"> with</w:t>
      </w:r>
      <w:r w:rsidRPr="000B65EC">
        <w:t xml:space="preserve"> Bal</w:t>
      </w:r>
      <w:r w:rsidRPr="000B65EC">
        <w:t>lot Pamp., Primary Elec.</w:t>
      </w:r>
      <w:r>
        <w:t xml:space="preserve">, </w:t>
      </w:r>
      <w:r w:rsidRPr="00C26F98">
        <w:rPr>
          <w:i/>
          <w:iCs/>
        </w:rPr>
        <w:t>supra</w:t>
      </w:r>
      <w:r>
        <w:t>,</w:t>
      </w:r>
      <w:r w:rsidRPr="007D504A">
        <w:t xml:space="preserve"> </w:t>
      </w:r>
      <w:r w:rsidRPr="000B65EC">
        <w:t>text of Prop.</w:t>
      </w:r>
      <w:r>
        <w:t> </w:t>
      </w:r>
      <w:r w:rsidRPr="000B65EC">
        <w:t>8, p.</w:t>
      </w:r>
      <w:r>
        <w:t> </w:t>
      </w:r>
      <w:r w:rsidRPr="000B65EC">
        <w:t>33.)</w:t>
      </w:r>
      <w:r>
        <w:t xml:space="preserve">  Given its significance to petitioner’s contentions, we set forth the following relevant</w:t>
      </w:r>
      <w:r w:rsidRPr="00827863">
        <w:t xml:space="preserve"> text of </w:t>
      </w:r>
      <w:r>
        <w:t xml:space="preserve">proposed </w:t>
      </w:r>
      <w:r w:rsidRPr="00827863">
        <w:t>section</w:t>
      </w:r>
      <w:r>
        <w:t> </w:t>
      </w:r>
      <w:r w:rsidRPr="00827863">
        <w:t>28(f)(3)</w:t>
      </w:r>
      <w:r>
        <w:t>, as it</w:t>
      </w:r>
      <w:r w:rsidRPr="00827863">
        <w:t xml:space="preserve"> </w:t>
      </w:r>
      <w:r>
        <w:t>appeared</w:t>
      </w:r>
      <w:r w:rsidRPr="00827863">
        <w:t xml:space="preserve"> in the ballot materials:</w:t>
      </w:r>
    </w:p>
    <w:p w14:paraId="32BA629F" w14:textId="77777777" w:rsidR="00827863" w:rsidRDefault="00C64D74" w:rsidP="00E41A2F">
      <w:pPr>
        <w:spacing w:after="120" w:line="240" w:lineRule="auto"/>
        <w:ind w:left="720" w:right="720"/>
        <w:rPr>
          <w:i/>
          <w:iCs/>
        </w:rPr>
      </w:pPr>
      <w:r>
        <w:tab/>
      </w:r>
      <w:r w:rsidRPr="00AD1564">
        <w:rPr>
          <w:i/>
          <w:iCs/>
        </w:rPr>
        <w:t>(f)</w:t>
      </w:r>
      <w:r>
        <w:rPr>
          <w:i/>
          <w:iCs/>
        </w:rPr>
        <w:t> </w:t>
      </w:r>
      <w:r w:rsidRPr="00AD1564">
        <w:rPr>
          <w:i/>
          <w:iCs/>
        </w:rPr>
        <w:t>In addition to the enumerated</w:t>
      </w:r>
      <w:r w:rsidRPr="00AD1564">
        <w:rPr>
          <w:i/>
          <w:iCs/>
        </w:rPr>
        <w:t xml:space="preserve"> rights provided in subdivision (b) that are personally enforceable by victims as provided in subdivision (c), victims of crime have additional rights that are shared with all of the People of the State of California.  These collectively held rights includ</w:t>
      </w:r>
      <w:r w:rsidRPr="00AD1564">
        <w:rPr>
          <w:i/>
          <w:iCs/>
        </w:rPr>
        <w:t xml:space="preserve">e, but are not limited to, the following:  </w:t>
      </w:r>
    </w:p>
    <w:p w14:paraId="33663C70" w14:textId="77777777" w:rsidR="00827863" w:rsidRDefault="00C64D74" w:rsidP="00E41A2F">
      <w:pPr>
        <w:spacing w:after="120" w:line="240" w:lineRule="auto"/>
        <w:ind w:left="720" w:right="720"/>
      </w:pPr>
      <w:r>
        <w:tab/>
      </w:r>
      <w:r w:rsidRPr="00827863">
        <w:t>[¶]</w:t>
      </w:r>
      <w:r>
        <w:t> </w:t>
      </w:r>
      <w:r w:rsidRPr="00827863">
        <w:t>.</w:t>
      </w:r>
      <w:r>
        <w:t> </w:t>
      </w:r>
      <w:r w:rsidRPr="00827863">
        <w:t>.</w:t>
      </w:r>
      <w:r>
        <w:t> </w:t>
      </w:r>
      <w:r w:rsidRPr="00827863">
        <w:t>.</w:t>
      </w:r>
      <w:r>
        <w:t> </w:t>
      </w:r>
      <w:r w:rsidRPr="00827863">
        <w:t>[¶]</w:t>
      </w:r>
    </w:p>
    <w:p w14:paraId="742963E2" w14:textId="77777777" w:rsidR="00C67690" w:rsidRDefault="00C64D74" w:rsidP="00E41A2F">
      <w:pPr>
        <w:spacing w:after="120" w:line="240" w:lineRule="auto"/>
        <w:ind w:left="720" w:right="720"/>
      </w:pPr>
      <w:r w:rsidRPr="00AD1564">
        <w:tab/>
      </w:r>
      <w:r w:rsidRPr="00827863">
        <w:rPr>
          <w:strike/>
        </w:rPr>
        <w:t>(e)</w:t>
      </w:r>
      <w:r w:rsidRPr="00827863">
        <w:t xml:space="preserve"> </w:t>
      </w:r>
      <w:r w:rsidRPr="00827863">
        <w:rPr>
          <w:i/>
          <w:iCs/>
        </w:rPr>
        <w:t>(3)</w:t>
      </w:r>
      <w:r>
        <w:t> </w:t>
      </w:r>
      <w:r w:rsidRPr="00827863">
        <w:t>Public Safety Bail.  A person may be released on bail by sufficient sureties, except for capital crimes when the facts are evident or the presumption great.  Excessive bail may not be requ</w:t>
      </w:r>
      <w:r w:rsidRPr="00827863">
        <w:t xml:space="preserve">ired.  </w:t>
      </w:r>
      <w:bookmarkStart w:id="9" w:name="_Hlk115668787"/>
      <w:r w:rsidRPr="00827863">
        <w:t xml:space="preserve">In setting, reducing or denying bail, the judge or magistrate shall take into consideration the protection of the public, </w:t>
      </w:r>
      <w:r w:rsidRPr="00827863">
        <w:rPr>
          <w:i/>
          <w:iCs/>
        </w:rPr>
        <w:t>the safety of the victim</w:t>
      </w:r>
      <w:r w:rsidRPr="00827863">
        <w:t>, the seriousness of the offense charged, the previous criminal record of the defendant, and the probab</w:t>
      </w:r>
      <w:r w:rsidRPr="00827863">
        <w:t xml:space="preserve">ility of his or her appearing at the trial or hearing of the case.  Public safety </w:t>
      </w:r>
      <w:r w:rsidRPr="00827863">
        <w:rPr>
          <w:i/>
          <w:iCs/>
        </w:rPr>
        <w:t>and the safety of the victim</w:t>
      </w:r>
      <w:r w:rsidRPr="00827863">
        <w:t xml:space="preserve"> shall be the primary </w:t>
      </w:r>
      <w:r w:rsidRPr="00827863">
        <w:rPr>
          <w:strike/>
        </w:rPr>
        <w:t>consideration</w:t>
      </w:r>
      <w:r w:rsidRPr="00827863">
        <w:t xml:space="preserve"> </w:t>
      </w:r>
      <w:r w:rsidRPr="00827863">
        <w:rPr>
          <w:i/>
          <w:iCs/>
        </w:rPr>
        <w:t>considerations</w:t>
      </w:r>
      <w:r w:rsidRPr="00827863">
        <w:t>.</w:t>
      </w:r>
      <w:bookmarkEnd w:id="9"/>
    </w:p>
    <w:p w14:paraId="72E9D514" w14:textId="77777777" w:rsidR="00C67690" w:rsidRDefault="00C64D74" w:rsidP="00E41A2F">
      <w:pPr>
        <w:spacing w:after="120" w:line="240" w:lineRule="auto"/>
        <w:ind w:left="720" w:right="720"/>
        <w:rPr>
          <w:strike/>
        </w:rPr>
      </w:pPr>
      <w:r>
        <w:tab/>
      </w:r>
      <w:r w:rsidRPr="00827863">
        <w:t xml:space="preserve">A person may be released on his or her own recognizance in the court’s discretion, subject to the same factors considered in </w:t>
      </w:r>
      <w:r w:rsidRPr="00827863">
        <w:lastRenderedPageBreak/>
        <w:t xml:space="preserve">setting bail.  </w:t>
      </w:r>
      <w:r w:rsidRPr="00C67690">
        <w:rPr>
          <w:strike/>
        </w:rPr>
        <w:t>However, no person charged with the commission of any serious felony shall be released on his or her own recognizanc</w:t>
      </w:r>
      <w:r w:rsidRPr="00C67690">
        <w:rPr>
          <w:strike/>
        </w:rPr>
        <w:t>e.</w:t>
      </w:r>
    </w:p>
    <w:p w14:paraId="0FA04366" w14:textId="77777777" w:rsidR="00C67690" w:rsidRDefault="00C64D74" w:rsidP="00E41A2F">
      <w:pPr>
        <w:spacing w:after="120" w:line="240" w:lineRule="auto"/>
        <w:ind w:left="720" w:right="720"/>
      </w:pPr>
      <w:bookmarkStart w:id="10" w:name="_Hlk115668843"/>
      <w:r>
        <w:tab/>
      </w:r>
      <w:r w:rsidRPr="00827863">
        <w:t xml:space="preserve">Before any person arrested for a serious felony may be released on bail, a hearing may be held before the magistrate or judge, and the prosecuting attorney </w:t>
      </w:r>
      <w:r w:rsidRPr="00C67690">
        <w:rPr>
          <w:i/>
          <w:iCs/>
        </w:rPr>
        <w:t>and the victim</w:t>
      </w:r>
      <w:r w:rsidRPr="00827863">
        <w:t xml:space="preserve"> shall be given notice and reasonable opportunity to be heard on the matter.</w:t>
      </w:r>
    </w:p>
    <w:bookmarkEnd w:id="10"/>
    <w:p w14:paraId="12465F86" w14:textId="77777777" w:rsidR="00FB32FE" w:rsidRDefault="00C64D74" w:rsidP="00F141DA">
      <w:pPr>
        <w:spacing w:after="120" w:line="240" w:lineRule="auto"/>
        <w:ind w:left="720" w:right="720"/>
      </w:pPr>
      <w:r>
        <w:tab/>
      </w:r>
      <w:r w:rsidRPr="00827863">
        <w:t>When</w:t>
      </w:r>
      <w:r w:rsidRPr="00827863">
        <w:t xml:space="preserve"> a judge or magistrate grants or denies bail or release on a person’s own recognizance, the reasons for that decision shall be stated in the record and included in the court’s minutes.</w:t>
      </w:r>
    </w:p>
    <w:p w14:paraId="30CB4563" w14:textId="77777777" w:rsidR="00EC0E76" w:rsidRDefault="00C64D74" w:rsidP="00CA0856">
      <w:pPr>
        <w:spacing w:line="360" w:lineRule="auto"/>
      </w:pPr>
      <w:r w:rsidRPr="007D504A">
        <w:t>(Voter Information Guide, Gen. Elec.</w:t>
      </w:r>
      <w:r>
        <w:t xml:space="preserve">, </w:t>
      </w:r>
      <w:r w:rsidRPr="008E3E4F">
        <w:rPr>
          <w:i/>
          <w:iCs/>
        </w:rPr>
        <w:t>supra</w:t>
      </w:r>
      <w:r>
        <w:t>,</w:t>
      </w:r>
      <w:r w:rsidRPr="007D504A">
        <w:t xml:space="preserve"> text of Prop. 9, § 4.1, p.</w:t>
      </w:r>
      <w:r w:rsidRPr="007D504A">
        <w:t> 130.)</w:t>
      </w:r>
      <w:r>
        <w:t xml:space="preserve"> </w:t>
      </w:r>
    </w:p>
    <w:p w14:paraId="0131B92A" w14:textId="77777777" w:rsidR="004648AB" w:rsidRDefault="00C64D74" w:rsidP="00A41512">
      <w:pPr>
        <w:spacing w:line="360" w:lineRule="auto"/>
      </w:pPr>
      <w:r>
        <w:tab/>
        <w:t xml:space="preserve">Unlike the situation earlier with Proposition 8, Proposition 9 did not propose to repeal section 12.  </w:t>
      </w:r>
      <w:r w:rsidRPr="007D504A">
        <w:t>Proposition </w:t>
      </w:r>
      <w:r>
        <w:t>9</w:t>
      </w:r>
      <w:r w:rsidRPr="007D504A">
        <w:t xml:space="preserve"> did</w:t>
      </w:r>
      <w:r>
        <w:t>, however,</w:t>
      </w:r>
      <w:r w:rsidRPr="007D504A">
        <w:t xml:space="preserve"> include a provision entitled “Conflicts with Existing Law” </w:t>
      </w:r>
      <w:r>
        <w:t xml:space="preserve">which specifically </w:t>
      </w:r>
      <w:r w:rsidRPr="007D504A">
        <w:t>stat</w:t>
      </w:r>
      <w:r>
        <w:t>ed</w:t>
      </w:r>
      <w:r w:rsidRPr="007D504A">
        <w:t xml:space="preserve">:  </w:t>
      </w:r>
      <w:bookmarkStart w:id="11" w:name="_Hlk116047046"/>
      <w:r w:rsidRPr="007D504A">
        <w:t>“It is the intent of the Peopl</w:t>
      </w:r>
      <w:r w:rsidRPr="007D504A">
        <w:t>e of the State of California in enacting this act that if any provision in this act conflicts with an existing provision of law which provides for greater rights of victims of crime, the latter provision shall apply.”  (Voter Information Guide, Gen. Elec.</w:t>
      </w:r>
      <w:r>
        <w:t>,</w:t>
      </w:r>
      <w:r>
        <w:t xml:space="preserve"> </w:t>
      </w:r>
      <w:r w:rsidRPr="00C26F98">
        <w:rPr>
          <w:i/>
          <w:iCs/>
        </w:rPr>
        <w:t>supra</w:t>
      </w:r>
      <w:r w:rsidRPr="007D504A">
        <w:t>, text of Prop. 9, § 7, p. 132</w:t>
      </w:r>
      <w:bookmarkEnd w:id="11"/>
      <w:r w:rsidRPr="007D504A">
        <w:t xml:space="preserve">, </w:t>
      </w:r>
      <w:r>
        <w:t xml:space="preserve">block </w:t>
      </w:r>
      <w:r w:rsidRPr="007D504A">
        <w:t>capitalization omitted.)</w:t>
      </w:r>
    </w:p>
    <w:p w14:paraId="6B993DB2" w14:textId="77777777" w:rsidR="00FD0512" w:rsidRPr="005A40D8" w:rsidRDefault="00C64D74" w:rsidP="005A40D8">
      <w:pPr>
        <w:keepNext/>
        <w:spacing w:line="360" w:lineRule="auto"/>
        <w:rPr>
          <w:b/>
          <w:bCs/>
        </w:rPr>
      </w:pPr>
      <w:r>
        <w:rPr>
          <w:b/>
          <w:bCs/>
        </w:rPr>
        <w:tab/>
        <w:t xml:space="preserve">B.  </w:t>
      </w:r>
      <w:r w:rsidRPr="005A40D8">
        <w:rPr>
          <w:b/>
          <w:bCs/>
        </w:rPr>
        <w:t xml:space="preserve">The </w:t>
      </w:r>
      <w:r w:rsidRPr="005A40D8">
        <w:rPr>
          <w:b/>
          <w:bCs/>
          <w:i/>
          <w:iCs/>
        </w:rPr>
        <w:t>Humphrey</w:t>
      </w:r>
      <w:r w:rsidRPr="005A40D8">
        <w:rPr>
          <w:b/>
          <w:bCs/>
        </w:rPr>
        <w:t xml:space="preserve"> Decision</w:t>
      </w:r>
    </w:p>
    <w:bookmarkEnd w:id="7"/>
    <w:p w14:paraId="70E0D3C4" w14:textId="77777777" w:rsidR="004379BC" w:rsidRPr="007D504A" w:rsidRDefault="00C64D74" w:rsidP="00CA0856">
      <w:pPr>
        <w:spacing w:line="360" w:lineRule="auto"/>
      </w:pPr>
      <w:r w:rsidRPr="007D504A">
        <w:tab/>
      </w:r>
      <w:r>
        <w:t>T</w:t>
      </w:r>
      <w:r w:rsidRPr="007D504A">
        <w:t xml:space="preserve">o </w:t>
      </w:r>
      <w:r>
        <w:t>round out</w:t>
      </w:r>
      <w:r w:rsidRPr="007D504A">
        <w:t xml:space="preserve"> the constitutional landscape pertaining to bail</w:t>
      </w:r>
      <w:r>
        <w:t>,</w:t>
      </w:r>
      <w:r w:rsidRPr="007D504A">
        <w:t xml:space="preserve"> we discuss</w:t>
      </w:r>
      <w:r>
        <w:t xml:space="preserve"> the California Supreme Court’s decision in</w:t>
      </w:r>
      <w:r w:rsidRPr="007D504A">
        <w:t xml:space="preserve"> </w:t>
      </w:r>
      <w:r w:rsidRPr="00063A2B">
        <w:rPr>
          <w:i/>
          <w:iCs/>
        </w:rPr>
        <w:t>In re</w:t>
      </w:r>
      <w:r>
        <w:t xml:space="preserve"> </w:t>
      </w:r>
      <w:r w:rsidRPr="007D504A">
        <w:rPr>
          <w:i/>
          <w:iCs/>
        </w:rPr>
        <w:t>Humphrey</w:t>
      </w:r>
      <w:r>
        <w:t xml:space="preserve"> (2021)</w:t>
      </w:r>
      <w:r w:rsidRPr="007D504A">
        <w:t xml:space="preserve"> 11 Cal.5th 135</w:t>
      </w:r>
      <w:r>
        <w:t xml:space="preserve"> (</w:t>
      </w:r>
      <w:r w:rsidRPr="00063A2B">
        <w:rPr>
          <w:i/>
          <w:iCs/>
        </w:rPr>
        <w:t>Humph</w:t>
      </w:r>
      <w:r w:rsidRPr="00063A2B">
        <w:rPr>
          <w:i/>
          <w:iCs/>
        </w:rPr>
        <w:t>rey</w:t>
      </w:r>
      <w:r>
        <w:t>)</w:t>
      </w:r>
      <w:r w:rsidRPr="007D504A">
        <w:t>.</w:t>
      </w:r>
    </w:p>
    <w:p w14:paraId="7C29068D" w14:textId="77777777" w:rsidR="005B00FF" w:rsidRPr="007D504A" w:rsidRDefault="00C64D74" w:rsidP="006B0384">
      <w:pPr>
        <w:spacing w:line="360" w:lineRule="auto"/>
      </w:pPr>
      <w:r w:rsidRPr="007D504A">
        <w:tab/>
      </w:r>
      <w:r>
        <w:t xml:space="preserve">In </w:t>
      </w:r>
      <w:r w:rsidRPr="005A40D8">
        <w:rPr>
          <w:i/>
          <w:iCs/>
        </w:rPr>
        <w:t>Humphrey</w:t>
      </w:r>
      <w:r>
        <w:t>, the charges against the</w:t>
      </w:r>
      <w:r w:rsidRPr="007D504A">
        <w:t xml:space="preserve"> 66</w:t>
      </w:r>
      <w:r>
        <w:t>-</w:t>
      </w:r>
      <w:r w:rsidRPr="007D504A">
        <w:t>year</w:t>
      </w:r>
      <w:r>
        <w:t>-</w:t>
      </w:r>
      <w:r w:rsidRPr="007D504A">
        <w:t xml:space="preserve">old </w:t>
      </w:r>
      <w:r>
        <w:t>petitioner included</w:t>
      </w:r>
      <w:r w:rsidRPr="007D504A">
        <w:t xml:space="preserve"> first degree residential robbery and burglary</w:t>
      </w:r>
      <w:r>
        <w:t>, infliction of injury on</w:t>
      </w:r>
      <w:r w:rsidRPr="007D504A">
        <w:t xml:space="preserve"> an elderly victim, and four </w:t>
      </w:r>
      <w:r>
        <w:t xml:space="preserve">prior </w:t>
      </w:r>
      <w:r w:rsidRPr="007D504A">
        <w:t xml:space="preserve">strike </w:t>
      </w:r>
      <w:r>
        <w:t>allegations</w:t>
      </w:r>
      <w:r w:rsidRPr="007D504A">
        <w:t>.  (</w:t>
      </w:r>
      <w:r w:rsidRPr="007D504A">
        <w:rPr>
          <w:i/>
          <w:iCs/>
        </w:rPr>
        <w:t>Humphrey</w:t>
      </w:r>
      <w:r w:rsidRPr="007D504A">
        <w:t xml:space="preserve">, </w:t>
      </w:r>
      <w:r w:rsidRPr="007D504A">
        <w:rPr>
          <w:i/>
          <w:iCs/>
        </w:rPr>
        <w:t>supra</w:t>
      </w:r>
      <w:r w:rsidRPr="007D504A">
        <w:t xml:space="preserve">, 11 Cal.5th at pp. 143–144.)  </w:t>
      </w:r>
      <w:r>
        <w:t>In seeking</w:t>
      </w:r>
      <w:r w:rsidRPr="007D504A">
        <w:t xml:space="preserve"> OR release without any condition of money bail</w:t>
      </w:r>
      <w:r>
        <w:t>, the petitioner cited</w:t>
      </w:r>
      <w:r w:rsidRPr="007D504A">
        <w:t xml:space="preserve"> his age, community ties, financial condition, history of appearing in court, remoteness of his prior offenses, as well as the fact that the charg</w:t>
      </w:r>
      <w:r w:rsidRPr="007D504A">
        <w:t xml:space="preserve">ed offenses involved </w:t>
      </w:r>
      <w:r>
        <w:t>the</w:t>
      </w:r>
      <w:r w:rsidRPr="007D504A">
        <w:t xml:space="preserve"> </w:t>
      </w:r>
      <w:r>
        <w:t xml:space="preserve">alleged </w:t>
      </w:r>
      <w:r w:rsidRPr="007D504A">
        <w:t xml:space="preserve">taking </w:t>
      </w:r>
      <w:r>
        <w:t xml:space="preserve">of </w:t>
      </w:r>
      <w:r w:rsidRPr="007D504A">
        <w:t>$</w:t>
      </w:r>
      <w:r>
        <w:t>7</w:t>
      </w:r>
      <w:r w:rsidRPr="007D504A">
        <w:t xml:space="preserve"> and a bottle of cologne </w:t>
      </w:r>
      <w:r w:rsidRPr="007D504A">
        <w:lastRenderedPageBreak/>
        <w:t>from the victim.  (</w:t>
      </w:r>
      <w:r w:rsidRPr="007D504A">
        <w:rPr>
          <w:i/>
          <w:iCs/>
        </w:rPr>
        <w:t>Id.</w:t>
      </w:r>
      <w:r w:rsidRPr="007D504A">
        <w:t xml:space="preserve"> at p. 144.)  The court set bail at $600,000, then later at $350,000, despite </w:t>
      </w:r>
      <w:r>
        <w:t>the petitioner</w:t>
      </w:r>
      <w:r w:rsidRPr="007D504A">
        <w:t>’s protestations that he could not afford these bail amounts.  (</w:t>
      </w:r>
      <w:r w:rsidRPr="007D504A">
        <w:rPr>
          <w:i/>
          <w:iCs/>
        </w:rPr>
        <w:t>Id.</w:t>
      </w:r>
      <w:r w:rsidRPr="007D504A">
        <w:t xml:space="preserve"> at p</w:t>
      </w:r>
      <w:r w:rsidRPr="007D504A">
        <w:t xml:space="preserve">p. 144–145.)  </w:t>
      </w:r>
      <w:r>
        <w:t>After t</w:t>
      </w:r>
      <w:r w:rsidRPr="00C66EB2">
        <w:t xml:space="preserve">he Court of Appeal granted habeas relief, </w:t>
      </w:r>
      <w:r>
        <w:t>t</w:t>
      </w:r>
      <w:r w:rsidRPr="007D504A">
        <w:t>he California Supreme Court granted review “to address the constitutionality of money bail as currently used in California as well as the proper role of public and victim safety in making bail</w:t>
      </w:r>
      <w:r w:rsidRPr="007D504A">
        <w:t xml:space="preserve"> determinations.”  (</w:t>
      </w:r>
      <w:r w:rsidRPr="00345A65">
        <w:rPr>
          <w:i/>
          <w:iCs/>
        </w:rPr>
        <w:t>Id.</w:t>
      </w:r>
      <w:r w:rsidRPr="000410B2">
        <w:t xml:space="preserve"> </w:t>
      </w:r>
      <w:r w:rsidRPr="007D504A">
        <w:t xml:space="preserve">at p. 147.)  </w:t>
      </w:r>
    </w:p>
    <w:p w14:paraId="4CED5545" w14:textId="77777777" w:rsidR="00731588" w:rsidRDefault="00C64D74" w:rsidP="00731588">
      <w:pPr>
        <w:spacing w:line="360" w:lineRule="auto"/>
      </w:pPr>
      <w:r w:rsidRPr="007D504A">
        <w:tab/>
        <w:t xml:space="preserve">Ultimately, the Supreme Court held it unconstitutional to </w:t>
      </w:r>
      <w:r>
        <w:t>detain</w:t>
      </w:r>
      <w:r w:rsidRPr="007D504A">
        <w:t xml:space="preserve"> </w:t>
      </w:r>
      <w:r>
        <w:t>arrestees</w:t>
      </w:r>
      <w:r w:rsidRPr="007D504A">
        <w:t xml:space="preserve"> sol</w:t>
      </w:r>
      <w:r w:rsidRPr="006B0384">
        <w:t xml:space="preserve">ely because </w:t>
      </w:r>
      <w:r>
        <w:t>they lack</w:t>
      </w:r>
      <w:r w:rsidRPr="006B0384">
        <w:t xml:space="preserve"> financial resources</w:t>
      </w:r>
      <w:r>
        <w:t xml:space="preserve">.  </w:t>
      </w:r>
      <w:r w:rsidRPr="007D504A">
        <w:t>(</w:t>
      </w:r>
      <w:r w:rsidRPr="007D504A">
        <w:rPr>
          <w:i/>
          <w:iCs/>
        </w:rPr>
        <w:t>Humphrey</w:t>
      </w:r>
      <w:r w:rsidRPr="007D504A">
        <w:t xml:space="preserve">, </w:t>
      </w:r>
      <w:r w:rsidRPr="007D504A">
        <w:rPr>
          <w:i/>
          <w:iCs/>
        </w:rPr>
        <w:t>supra</w:t>
      </w:r>
      <w:r w:rsidRPr="007D504A">
        <w:t xml:space="preserve">, 11 Cal.5th at p. 156.)  </w:t>
      </w:r>
      <w:r>
        <w:t xml:space="preserve">In so holding, the court emphasized that bail </w:t>
      </w:r>
      <w:r>
        <w:t xml:space="preserve">determinations require “an individualized consideration of the relevant factors,” including “the protection of the public as well as the victim, the seriousness of the charged offense, the arrestee’s previous criminal record and history of compliance with </w:t>
      </w:r>
      <w:r>
        <w:t>court orders, and the likelihood that the arrestee will appear at future court proceedings.”  (</w:t>
      </w:r>
      <w:r w:rsidRPr="009F0E54">
        <w:rPr>
          <w:i/>
          <w:iCs/>
        </w:rPr>
        <w:t>Humphrey</w:t>
      </w:r>
      <w:r>
        <w:t xml:space="preserve">, </w:t>
      </w:r>
      <w:r w:rsidRPr="009F0E54">
        <w:rPr>
          <w:i/>
          <w:iCs/>
        </w:rPr>
        <w:t>supra</w:t>
      </w:r>
      <w:r>
        <w:t>, 11 Cal.5th at p. 152, citing §§ 12, 28(b)(3), (f)(3); Pen. Code, § 1275, subd. (a)(1).)</w:t>
      </w:r>
      <w:bookmarkStart w:id="12" w:name="_Hlk115668964"/>
    </w:p>
    <w:bookmarkEnd w:id="12"/>
    <w:p w14:paraId="47ED1042" w14:textId="77777777" w:rsidR="00574BC4" w:rsidRDefault="00C64D74" w:rsidP="00574BC4">
      <w:pPr>
        <w:spacing w:line="360" w:lineRule="auto"/>
      </w:pPr>
      <w:r>
        <w:tab/>
      </w:r>
      <w:r>
        <w:rPr>
          <w:szCs w:val="26"/>
        </w:rPr>
        <w:t>T</w:t>
      </w:r>
      <w:r w:rsidRPr="00F466C4">
        <w:rPr>
          <w:szCs w:val="26"/>
        </w:rPr>
        <w:t xml:space="preserve">he </w:t>
      </w:r>
      <w:r w:rsidRPr="00F466C4">
        <w:rPr>
          <w:i/>
          <w:iCs/>
          <w:szCs w:val="26"/>
        </w:rPr>
        <w:t>Humphrey</w:t>
      </w:r>
      <w:r w:rsidRPr="00F466C4">
        <w:rPr>
          <w:szCs w:val="26"/>
        </w:rPr>
        <w:t xml:space="preserve"> court underscored the following general framework for pretrial release and detention determinations:  </w:t>
      </w:r>
      <w:r>
        <w:rPr>
          <w:szCs w:val="26"/>
        </w:rPr>
        <w:t>“</w:t>
      </w:r>
      <w:r w:rsidRPr="00C62425">
        <w:rPr>
          <w:color w:val="000000"/>
          <w:szCs w:val="26"/>
        </w:rPr>
        <w:t xml:space="preserve">Where the record reflects the risk of flight or a risk to public or victim safety, the court should consider whether nonfinancial conditions of release </w:t>
      </w:r>
      <w:r w:rsidRPr="00C62425">
        <w:rPr>
          <w:color w:val="000000"/>
          <w:szCs w:val="26"/>
        </w:rPr>
        <w:t xml:space="preserve">may reasonably protect the public and the victim or reasonably assure the arrestee’s presence at trial. </w:t>
      </w:r>
      <w:r>
        <w:rPr>
          <w:color w:val="000000"/>
          <w:szCs w:val="26"/>
        </w:rPr>
        <w:t xml:space="preserve"> </w:t>
      </w:r>
      <w:r w:rsidRPr="00C62425">
        <w:rPr>
          <w:color w:val="000000"/>
          <w:szCs w:val="26"/>
        </w:rPr>
        <w:t>If the court concludes that money bail is reasonably necessary, then the court must consider the individual arrestee’s ability to pay, along with the s</w:t>
      </w:r>
      <w:r w:rsidRPr="00C62425">
        <w:rPr>
          <w:color w:val="000000"/>
          <w:szCs w:val="26"/>
        </w:rPr>
        <w:t>eriousness of the charged offense and the arrestee’s criminal record, and</w:t>
      </w:r>
      <w:r>
        <w:rPr>
          <w:color w:val="000000"/>
          <w:szCs w:val="26"/>
        </w:rPr>
        <w:t>—</w:t>
      </w:r>
      <w:r w:rsidRPr="00C62425">
        <w:rPr>
          <w:color w:val="000000"/>
          <w:szCs w:val="26"/>
        </w:rPr>
        <w:t>unless there is a valid basis for detention</w:t>
      </w:r>
      <w:r>
        <w:rPr>
          <w:color w:val="000000"/>
          <w:szCs w:val="26"/>
        </w:rPr>
        <w:t>—</w:t>
      </w:r>
      <w:r w:rsidRPr="00C62425">
        <w:rPr>
          <w:color w:val="000000"/>
          <w:szCs w:val="26"/>
        </w:rPr>
        <w:t xml:space="preserve">set bail at a level the arrestee can reasonably afford. </w:t>
      </w:r>
      <w:r>
        <w:rPr>
          <w:color w:val="000000"/>
          <w:szCs w:val="26"/>
        </w:rPr>
        <w:t xml:space="preserve"> </w:t>
      </w:r>
      <w:r w:rsidRPr="00C62425">
        <w:rPr>
          <w:color w:val="000000"/>
          <w:szCs w:val="26"/>
        </w:rPr>
        <w:t>And if a court concludes that public or victim safety, or the arrestee’s appearan</w:t>
      </w:r>
      <w:r w:rsidRPr="00C62425">
        <w:rPr>
          <w:color w:val="000000"/>
          <w:szCs w:val="26"/>
        </w:rPr>
        <w:t xml:space="preserve">ce in court, cannot be reasonably assured if the arrestee is released, </w:t>
      </w:r>
      <w:r w:rsidRPr="00C62425">
        <w:rPr>
          <w:color w:val="000000"/>
          <w:szCs w:val="26"/>
        </w:rPr>
        <w:lastRenderedPageBreak/>
        <w:t>it may detain the arrestee only if it first finds, by clear and convincing evidence, that no nonfinancial condition of release can reasonably protect those interests</w:t>
      </w:r>
      <w:r>
        <w:rPr>
          <w:color w:val="000000"/>
          <w:szCs w:val="26"/>
        </w:rPr>
        <w:t>.”</w:t>
      </w:r>
      <w:r w:rsidRPr="00F466C4">
        <w:rPr>
          <w:szCs w:val="26"/>
        </w:rPr>
        <w:t xml:space="preserve">  (</w:t>
      </w:r>
      <w:r w:rsidRPr="00F466C4">
        <w:rPr>
          <w:i/>
          <w:iCs/>
          <w:szCs w:val="26"/>
        </w:rPr>
        <w:t>Humphrey</w:t>
      </w:r>
      <w:r w:rsidRPr="00F466C4">
        <w:rPr>
          <w:szCs w:val="26"/>
        </w:rPr>
        <w:t xml:space="preserve">, </w:t>
      </w:r>
      <w:r w:rsidRPr="00F466C4">
        <w:rPr>
          <w:i/>
          <w:iCs/>
          <w:szCs w:val="26"/>
        </w:rPr>
        <w:t>supra</w:t>
      </w:r>
      <w:r w:rsidRPr="00F466C4">
        <w:rPr>
          <w:szCs w:val="26"/>
        </w:rPr>
        <w:t>, 11 Cal.5th at p. 154.)  In sum, “detention is impermissible unless</w:t>
      </w:r>
      <w:r w:rsidRPr="007D504A">
        <w:t xml:space="preserve"> no less restrictive conditions of release can adequately vindicate the state’s compelling interests.”  (</w:t>
      </w:r>
      <w:r w:rsidRPr="007D504A">
        <w:rPr>
          <w:i/>
          <w:iCs/>
        </w:rPr>
        <w:t>Id.</w:t>
      </w:r>
      <w:r w:rsidRPr="007D504A">
        <w:t xml:space="preserve"> at pp. 151–152.)</w:t>
      </w:r>
    </w:p>
    <w:p w14:paraId="6C9585CC" w14:textId="77777777" w:rsidR="004D2E9F" w:rsidRDefault="00C64D74" w:rsidP="00CA0856">
      <w:pPr>
        <w:spacing w:line="360" w:lineRule="auto"/>
      </w:pPr>
      <w:r w:rsidRPr="007D504A">
        <w:tab/>
      </w:r>
      <w:r>
        <w:t xml:space="preserve">As relevant here, </w:t>
      </w:r>
      <w:r w:rsidRPr="007D504A">
        <w:t xml:space="preserve">the </w:t>
      </w:r>
      <w:r w:rsidRPr="007D504A">
        <w:rPr>
          <w:i/>
          <w:iCs/>
        </w:rPr>
        <w:t>Humphrey</w:t>
      </w:r>
      <w:r w:rsidRPr="007D504A">
        <w:t xml:space="preserve"> court </w:t>
      </w:r>
      <w:r>
        <w:t>expressly noted that “[e</w:t>
      </w:r>
      <w:r>
        <w:t>]</w:t>
      </w:r>
      <w:r w:rsidRPr="00F929B0">
        <w:t>ven when a bail determination complies with the above prerequisites, the court must still consider whether the deprivation of liberty caused by an order of pretrial detention is consistent with state statutory and constitutional law specifically addressin</w:t>
      </w:r>
      <w:r w:rsidRPr="00F929B0">
        <w:t xml:space="preserve">g bail—a question not resolved </w:t>
      </w:r>
      <w:r>
        <w:t xml:space="preserve">[in </w:t>
      </w:r>
      <w:r>
        <w:rPr>
          <w:i/>
          <w:iCs/>
        </w:rPr>
        <w:t>Humphrey</w:t>
      </w:r>
      <w:r>
        <w:t>]</w:t>
      </w:r>
      <w:r w:rsidRPr="00F929B0">
        <w:t>—and with due process.</w:t>
      </w:r>
      <w:r>
        <w:t>”  (</w:t>
      </w:r>
      <w:r w:rsidRPr="00EE273F">
        <w:rPr>
          <w:i/>
          <w:iCs/>
        </w:rPr>
        <w:t>Humphrey</w:t>
      </w:r>
      <w:r>
        <w:t xml:space="preserve">, </w:t>
      </w:r>
      <w:r w:rsidRPr="00EE273F">
        <w:rPr>
          <w:i/>
          <w:iCs/>
        </w:rPr>
        <w:t>supra</w:t>
      </w:r>
      <w:r>
        <w:t>, 11 Cal.5th at p. 155, fn. omitted.)  In a footnote accompanying this statement, the court noted it was leaving unresolved the question of whether section 12 and section </w:t>
      </w:r>
      <w:r>
        <w:t>28(f)(3) “</w:t>
      </w:r>
      <w:r w:rsidRPr="004134DA">
        <w:t>can or should be reconciled, including whether these provisions authorize or prohibit pretrial detention of noncapital arrestees outside the circumstances specified in section</w:t>
      </w:r>
      <w:r>
        <w:t> </w:t>
      </w:r>
      <w:r w:rsidRPr="004134DA">
        <w:t>12, subdivisions</w:t>
      </w:r>
      <w:r>
        <w:t> </w:t>
      </w:r>
      <w:r w:rsidRPr="004134DA">
        <w:t>(b) and (c).</w:t>
      </w:r>
      <w:r>
        <w:t>”</w:t>
      </w:r>
      <w:r w:rsidRPr="004134DA">
        <w:t xml:space="preserve"> </w:t>
      </w:r>
      <w:r>
        <w:t xml:space="preserve"> </w:t>
      </w:r>
      <w:r w:rsidRPr="004134DA">
        <w:t>(</w:t>
      </w:r>
      <w:r>
        <w:rPr>
          <w:i/>
          <w:iCs/>
        </w:rPr>
        <w:t>Humphrey</w:t>
      </w:r>
      <w:r w:rsidRPr="00C50805">
        <w:t>,</w:t>
      </w:r>
      <w:r>
        <w:t xml:space="preserve"> at p. 155, fn. 7; </w:t>
      </w:r>
      <w:r w:rsidRPr="00FC7974">
        <w:rPr>
          <w:i/>
          <w:iCs/>
        </w:rPr>
        <w:t>In re Whi</w:t>
      </w:r>
      <w:r w:rsidRPr="00FC7974">
        <w:rPr>
          <w:i/>
          <w:iCs/>
        </w:rPr>
        <w:t>te</w:t>
      </w:r>
      <w:r>
        <w:t xml:space="preserve"> (2020)</w:t>
      </w:r>
      <w:r w:rsidRPr="004134DA">
        <w:t xml:space="preserve"> 9 Cal.5th </w:t>
      </w:r>
      <w:r>
        <w:t>455,</w:t>
      </w:r>
      <w:r w:rsidRPr="004134DA">
        <w:t xml:space="preserve"> 470.)</w:t>
      </w:r>
      <w:r>
        <w:t xml:space="preserve">  As indicated, the California Supreme Court has directed us to resolve that open issue in this case.</w:t>
      </w:r>
    </w:p>
    <w:p w14:paraId="3F3ACA70" w14:textId="77777777" w:rsidR="00431CB7" w:rsidRPr="00B04F20" w:rsidRDefault="00C64D74" w:rsidP="00B04F20">
      <w:pPr>
        <w:pStyle w:val="ListParagraph"/>
        <w:keepNext/>
        <w:numPr>
          <w:ilvl w:val="0"/>
          <w:numId w:val="10"/>
        </w:numPr>
        <w:spacing w:line="360" w:lineRule="auto"/>
        <w:rPr>
          <w:b/>
          <w:bCs/>
        </w:rPr>
      </w:pPr>
      <w:bookmarkStart w:id="13" w:name="_Hlk116472321"/>
      <w:r>
        <w:rPr>
          <w:b/>
          <w:bCs/>
        </w:rPr>
        <w:t xml:space="preserve"> </w:t>
      </w:r>
      <w:r w:rsidRPr="00B04F20">
        <w:rPr>
          <w:b/>
          <w:bCs/>
        </w:rPr>
        <w:t>Analysis</w:t>
      </w:r>
    </w:p>
    <w:p w14:paraId="4D74F0BF" w14:textId="77777777" w:rsidR="006947F0" w:rsidRPr="007D504A" w:rsidRDefault="00C64D74" w:rsidP="006947F0">
      <w:pPr>
        <w:spacing w:line="360" w:lineRule="auto"/>
      </w:pPr>
      <w:r>
        <w:tab/>
        <w:t>Before turning to the question presented, we address petitioner’s claim that</w:t>
      </w:r>
      <w:r w:rsidRPr="00AF244C">
        <w:t xml:space="preserve"> </w:t>
      </w:r>
      <w:r w:rsidRPr="007D504A">
        <w:t xml:space="preserve">section 28(f)(3) is completely inoperative because Proposition 8 never took effect in 1982.  We review </w:t>
      </w:r>
      <w:r>
        <w:t>this issue</w:t>
      </w:r>
      <w:r w:rsidRPr="007D504A">
        <w:t xml:space="preserve"> de novo.  (</w:t>
      </w:r>
      <w:r w:rsidRPr="007D504A">
        <w:rPr>
          <w:i/>
          <w:iCs/>
        </w:rPr>
        <w:t>Taxpayers for Accountable School Bond Spending v. San Diego Unified School Dist.</w:t>
      </w:r>
      <w:r w:rsidRPr="007D504A">
        <w:t xml:space="preserve"> (2013) 215 Cal.App.4</w:t>
      </w:r>
      <w:r w:rsidRPr="00345A65">
        <w:t>th</w:t>
      </w:r>
      <w:r w:rsidRPr="007D504A">
        <w:t xml:space="preserve"> 1013, 1026</w:t>
      </w:r>
      <w:r>
        <w:t xml:space="preserve"> (</w:t>
      </w:r>
      <w:r w:rsidRPr="007D504A">
        <w:rPr>
          <w:i/>
          <w:iCs/>
        </w:rPr>
        <w:t>Taxpayers for A</w:t>
      </w:r>
      <w:r w:rsidRPr="007D504A">
        <w:rPr>
          <w:i/>
          <w:iCs/>
        </w:rPr>
        <w:t>ccountable School Bond Spending</w:t>
      </w:r>
      <w:r>
        <w:t>)</w:t>
      </w:r>
      <w:r w:rsidRPr="007D504A">
        <w:t>.)</w:t>
      </w:r>
    </w:p>
    <w:p w14:paraId="1A44A2DC" w14:textId="77777777" w:rsidR="00364443" w:rsidRPr="00345A65" w:rsidRDefault="00C64D74" w:rsidP="00345A65">
      <w:pPr>
        <w:pStyle w:val="ListParagraph"/>
        <w:keepNext/>
        <w:numPr>
          <w:ilvl w:val="0"/>
          <w:numId w:val="12"/>
        </w:numPr>
        <w:spacing w:line="360" w:lineRule="auto"/>
        <w:rPr>
          <w:i/>
          <w:iCs/>
        </w:rPr>
      </w:pPr>
      <w:bookmarkStart w:id="14" w:name="_Hlk115877652"/>
      <w:r w:rsidRPr="00345A65">
        <w:rPr>
          <w:i/>
          <w:iCs/>
        </w:rPr>
        <w:t>Section 28(f)(3) is fully operative</w:t>
      </w:r>
    </w:p>
    <w:p w14:paraId="562892BC" w14:textId="77777777" w:rsidR="00B150FA" w:rsidRPr="007D504A" w:rsidRDefault="00C64D74" w:rsidP="003E0580">
      <w:pPr>
        <w:spacing w:line="360" w:lineRule="auto"/>
      </w:pPr>
      <w:r w:rsidRPr="007D504A">
        <w:tab/>
      </w:r>
      <w:bookmarkStart w:id="15" w:name="_Hlk114398734"/>
      <w:r>
        <w:t>In contending section 28(f)(3) is inoperative, petitioner emphasizes that</w:t>
      </w:r>
      <w:r w:rsidRPr="007D504A">
        <w:t xml:space="preserve"> the ballot materials </w:t>
      </w:r>
      <w:r>
        <w:t>accompanying Proposition 9 made no mention of</w:t>
      </w:r>
      <w:r w:rsidRPr="007D504A">
        <w:t xml:space="preserve"> the </w:t>
      </w:r>
      <w:r w:rsidRPr="007D504A">
        <w:lastRenderedPageBreak/>
        <w:t>Supreme Court</w:t>
      </w:r>
      <w:r>
        <w:t>’s decision holding that P</w:t>
      </w:r>
      <w:r>
        <w:t xml:space="preserve">roposition 8’s similar bail provisions were inoperative; nor did the materials otherwise indicate </w:t>
      </w:r>
      <w:r w:rsidRPr="007D504A">
        <w:t xml:space="preserve">the voters were being asked to “re-enact” or </w:t>
      </w:r>
      <w:r>
        <w:t>effectuate the inoperative</w:t>
      </w:r>
      <w:r w:rsidRPr="007D504A">
        <w:t xml:space="preserve"> bail provisions</w:t>
      </w:r>
      <w:r>
        <w:t xml:space="preserve"> of section 28(e)</w:t>
      </w:r>
      <w:r w:rsidRPr="007D504A">
        <w:t xml:space="preserve">.  </w:t>
      </w:r>
      <w:r>
        <w:t>Thus, p</w:t>
      </w:r>
      <w:r w:rsidRPr="007D504A">
        <w:t xml:space="preserve">etitioner </w:t>
      </w:r>
      <w:r>
        <w:t>claims,</w:t>
      </w:r>
      <w:r w:rsidRPr="007D504A">
        <w:t xml:space="preserve"> the </w:t>
      </w:r>
      <w:r>
        <w:t xml:space="preserve">voters’ 2008 approval </w:t>
      </w:r>
      <w:r>
        <w:t xml:space="preserve">of </w:t>
      </w:r>
      <w:r w:rsidRPr="007D504A">
        <w:t xml:space="preserve">Proposition 9 </w:t>
      </w:r>
      <w:r>
        <w:t xml:space="preserve">did not reflect an intent to resuscitate the inoperative bail and OR provisions of Proposition 8, and section 28(f)(3) must be deemed inoperative.  </w:t>
      </w:r>
      <w:r w:rsidRPr="007D504A">
        <w:t xml:space="preserve">Alternatively, </w:t>
      </w:r>
      <w:r>
        <w:t xml:space="preserve">petitioner posits that </w:t>
      </w:r>
      <w:r w:rsidRPr="00FC0BCE">
        <w:t xml:space="preserve">effect </w:t>
      </w:r>
      <w:r>
        <w:t xml:space="preserve">should be given only </w:t>
      </w:r>
      <w:r w:rsidRPr="00FC0BCE">
        <w:t xml:space="preserve">to the </w:t>
      </w:r>
      <w:r>
        <w:t>“</w:t>
      </w:r>
      <w:r w:rsidRPr="00FC0BCE">
        <w:t>genuinely new mat</w:t>
      </w:r>
      <w:r w:rsidRPr="00FC0BCE">
        <w:t>erial</w:t>
      </w:r>
      <w:r>
        <w:t>” of section 28(f)(3), i.e.</w:t>
      </w:r>
      <w:r w:rsidRPr="00FC0BCE">
        <w:t xml:space="preserve">, </w:t>
      </w:r>
      <w:r>
        <w:t xml:space="preserve">only those portions of </w:t>
      </w:r>
      <w:r w:rsidRPr="00FC0BCE">
        <w:t xml:space="preserve">the </w:t>
      </w:r>
      <w:r>
        <w:t>constitutional text</w:t>
      </w:r>
      <w:r w:rsidRPr="00FC0BCE">
        <w:t xml:space="preserve"> </w:t>
      </w:r>
      <w:r>
        <w:t xml:space="preserve">that were italicized </w:t>
      </w:r>
      <w:r w:rsidRPr="00FC0BCE">
        <w:t xml:space="preserve">in </w:t>
      </w:r>
      <w:r>
        <w:t>the ballot materials.</w:t>
      </w:r>
      <w:r>
        <w:rPr>
          <w:rStyle w:val="FootnoteReference"/>
        </w:rPr>
        <w:footnoteReference w:id="6"/>
      </w:r>
      <w:r w:rsidRPr="007D504A">
        <w:t xml:space="preserve"> </w:t>
      </w:r>
    </w:p>
    <w:p w14:paraId="6D9214B4" w14:textId="77777777" w:rsidR="00B150FA" w:rsidRDefault="00C64D74" w:rsidP="003E0580">
      <w:pPr>
        <w:spacing w:line="360" w:lineRule="auto"/>
      </w:pPr>
      <w:r w:rsidRPr="007D504A">
        <w:tab/>
      </w:r>
      <w:bookmarkStart w:id="16" w:name="_Hlk115249058"/>
      <w:r>
        <w:t xml:space="preserve">“Under the California Constitution, ‘[t]he legislative power of this State is vested in the California Legislature . . . but </w:t>
      </w:r>
      <w:r>
        <w:t>the people reserve to themselves the powers of initiative and referendum.’  (Cal. Const., art. IV, § 1.)”  (</w:t>
      </w:r>
      <w:r w:rsidRPr="00E56B77">
        <w:rPr>
          <w:i/>
          <w:iCs/>
        </w:rPr>
        <w:t>Wilde v. Cit</w:t>
      </w:r>
      <w:r>
        <w:rPr>
          <w:i/>
          <w:iCs/>
        </w:rPr>
        <w:t>y</w:t>
      </w:r>
      <w:r w:rsidRPr="00E56B77">
        <w:rPr>
          <w:i/>
          <w:iCs/>
        </w:rPr>
        <w:t xml:space="preserve"> of Dunsmuir</w:t>
      </w:r>
      <w:r>
        <w:t xml:space="preserve"> (2020) 9 Cal.5</w:t>
      </w:r>
      <w:r w:rsidRPr="00345A65">
        <w:t>th</w:t>
      </w:r>
      <w:r>
        <w:t xml:space="preserve"> 1105, 1111.)  The initiative power is</w:t>
      </w:r>
      <w:r w:rsidRPr="007D504A">
        <w:t xml:space="preserve"> </w:t>
      </w:r>
      <w:r>
        <w:t>“ </w:t>
      </w:r>
      <w:r w:rsidRPr="007D504A">
        <w:t>‘one of the most precious rights of our democratic process’</w:t>
      </w:r>
      <w:r>
        <w:t> ”</w:t>
      </w:r>
      <w:r w:rsidRPr="007D504A">
        <w:t xml:space="preserve"> (</w:t>
      </w:r>
      <w:r w:rsidRPr="007D504A">
        <w:rPr>
          <w:i/>
          <w:iCs/>
        </w:rPr>
        <w:t>As</w:t>
      </w:r>
      <w:r w:rsidRPr="007D504A">
        <w:rPr>
          <w:i/>
          <w:iCs/>
        </w:rPr>
        <w:t>sociated Home Builders etc., Inc. v. City of Livermore</w:t>
      </w:r>
      <w:r w:rsidRPr="007D504A">
        <w:t xml:space="preserve"> (1976) 18 Cal.3d 582, 591)</w:t>
      </w:r>
      <w:r>
        <w:t>, and “courts have consistently declared it their duty to ‘ “jealously guard” ’</w:t>
      </w:r>
      <w:r w:rsidRPr="007D504A">
        <w:t xml:space="preserve"> </w:t>
      </w:r>
      <w:r>
        <w:t>and liberally construe the right so that it ‘ “be not improperly annulled” ’ ” (</w:t>
      </w:r>
      <w:r w:rsidRPr="008D0A34">
        <w:rPr>
          <w:i/>
          <w:iCs/>
        </w:rPr>
        <w:t xml:space="preserve">California </w:t>
      </w:r>
      <w:r w:rsidRPr="008D0A34">
        <w:rPr>
          <w:i/>
          <w:iCs/>
        </w:rPr>
        <w:t>Cannabis Coalition v. City of Upland</w:t>
      </w:r>
      <w:r>
        <w:t xml:space="preserve"> (2017) 3 Cal.5</w:t>
      </w:r>
      <w:r w:rsidRPr="00345A65">
        <w:t>th</w:t>
      </w:r>
      <w:r>
        <w:t xml:space="preserve"> 924, 934).  “ ‘I</w:t>
      </w:r>
      <w:r w:rsidRPr="007D504A">
        <w:t>f doubts can reasonably be resolved in favor of the use of this reserve power, courts will preserve it.’ ”  (</w:t>
      </w:r>
      <w:r w:rsidRPr="007D504A">
        <w:rPr>
          <w:i/>
          <w:iCs/>
        </w:rPr>
        <w:t>Associated Home Builders</w:t>
      </w:r>
      <w:r>
        <w:t>, at p. </w:t>
      </w:r>
      <w:r w:rsidRPr="007D504A">
        <w:t xml:space="preserve">591.)  </w:t>
      </w:r>
      <w:r>
        <w:t>In analyzing challenges to the exercis</w:t>
      </w:r>
      <w:r>
        <w:t xml:space="preserve">e of the initiative power, courts generally assume that, when voters are provided the whole text of a proposed constitutional amendment, they have considered each aspect of the law and </w:t>
      </w:r>
      <w:r>
        <w:lastRenderedPageBreak/>
        <w:t>voted intelligently.</w:t>
      </w:r>
      <w:r w:rsidRPr="007D504A">
        <w:t xml:space="preserve">  (</w:t>
      </w:r>
      <w:r>
        <w:t xml:space="preserve">See </w:t>
      </w:r>
      <w:r w:rsidRPr="007D504A">
        <w:rPr>
          <w:i/>
          <w:iCs/>
        </w:rPr>
        <w:t>Brosnahan v. Brown</w:t>
      </w:r>
      <w:r w:rsidRPr="007D504A">
        <w:t xml:space="preserve"> (1982) 32 Cal.3d 236, 252</w:t>
      </w:r>
      <w:r w:rsidRPr="007D504A">
        <w:t xml:space="preserve"> (</w:t>
      </w:r>
      <w:r w:rsidRPr="007D504A">
        <w:rPr>
          <w:i/>
          <w:iCs/>
        </w:rPr>
        <w:t>Brosnahan</w:t>
      </w:r>
      <w:r w:rsidRPr="007D504A">
        <w:t>)</w:t>
      </w:r>
      <w:bookmarkEnd w:id="16"/>
      <w:r w:rsidRPr="007D504A">
        <w:t xml:space="preserve">.) </w:t>
      </w:r>
    </w:p>
    <w:p w14:paraId="18313880" w14:textId="77777777" w:rsidR="003B7338" w:rsidRDefault="00C64D74" w:rsidP="00BC27B4">
      <w:pPr>
        <w:spacing w:line="360" w:lineRule="auto"/>
      </w:pPr>
      <w:r>
        <w:tab/>
        <w:t>Here, there is no dispute that t</w:t>
      </w:r>
      <w:r w:rsidRPr="00101448">
        <w:t xml:space="preserve">he voters </w:t>
      </w:r>
      <w:r>
        <w:t>were provided the entire text of Proposition 9.  Thus, when the voters cast their ballots, they presumably considered each aspect of the law and voted intelligently to approve all of its terms, inc</w:t>
      </w:r>
      <w:r>
        <w:t>luding the whole of section 28(f)(3).  (</w:t>
      </w:r>
      <w:r w:rsidRPr="002626F1">
        <w:rPr>
          <w:i/>
          <w:iCs/>
        </w:rPr>
        <w:t>Brosnahan</w:t>
      </w:r>
      <w:r>
        <w:t xml:space="preserve">, </w:t>
      </w:r>
      <w:r w:rsidRPr="00ED218A">
        <w:rPr>
          <w:i/>
          <w:iCs/>
        </w:rPr>
        <w:t>supra</w:t>
      </w:r>
      <w:r>
        <w:t xml:space="preserve">, 32 Cal.3d at p. 252.)  That </w:t>
      </w:r>
      <w:r w:rsidRPr="007D504A">
        <w:t xml:space="preserve">the </w:t>
      </w:r>
      <w:r>
        <w:t>ballot materials omitted to mention section 28(f)(3)’s similarity to bail provisions previously deemed inoperative despite voter approval in 1982 provides no basis fo</w:t>
      </w:r>
      <w:r>
        <w:t>r its annulment.</w:t>
      </w:r>
    </w:p>
    <w:p w14:paraId="33514AC3" w14:textId="77777777" w:rsidR="00FF38CA" w:rsidRDefault="00C64D74" w:rsidP="0042201B">
      <w:pPr>
        <w:spacing w:line="360" w:lineRule="auto"/>
      </w:pPr>
      <w:r>
        <w:tab/>
        <w:t xml:space="preserve">In arguing to the contrary, petitioner directs our attention to </w:t>
      </w:r>
      <w:r w:rsidRPr="007D504A">
        <w:t>Elections Code section 9086, subdivision (f)</w:t>
      </w:r>
      <w:r>
        <w:t xml:space="preserve">, which provides:  </w:t>
      </w:r>
      <w:r w:rsidRPr="007D504A">
        <w:t xml:space="preserve">“The provisions of the proposed measure differing from the </w:t>
      </w:r>
      <w:r w:rsidRPr="007D504A">
        <w:rPr>
          <w:i/>
          <w:iCs/>
        </w:rPr>
        <w:t>existing laws</w:t>
      </w:r>
      <w:r w:rsidRPr="007D504A">
        <w:t xml:space="preserve"> affected shall be distinguished in pri</w:t>
      </w:r>
      <w:r w:rsidRPr="007D504A">
        <w:t>nt, so as to facilitate comparison.”  (Italics added.)</w:t>
      </w:r>
      <w:r>
        <w:t xml:space="preserve">  Pointing to a</w:t>
      </w:r>
      <w:r w:rsidRPr="00F936F0">
        <w:t xml:space="preserve"> </w:t>
      </w:r>
      <w:r>
        <w:t xml:space="preserve">paragraph in the 2008 ballot materials that explains “new provisions proposed to be added are printed in </w:t>
      </w:r>
      <w:r w:rsidRPr="005A70EF">
        <w:rPr>
          <w:i/>
          <w:iCs/>
        </w:rPr>
        <w:t>italic type</w:t>
      </w:r>
      <w:r>
        <w:t xml:space="preserve"> to indicate that they are new” (see </w:t>
      </w:r>
      <w:r w:rsidRPr="00196027">
        <w:rPr>
          <w:i/>
          <w:iCs/>
        </w:rPr>
        <w:t>ante</w:t>
      </w:r>
      <w:r>
        <w:t>, fn. 4), petitioner argues t</w:t>
      </w:r>
      <w:r>
        <w:t>hat, at best, the voters intended to enact only those few italicized words and phrases within section 28(f)(3) of Proposition 9, i.e., “</w:t>
      </w:r>
      <w:r>
        <w:rPr>
          <w:i/>
          <w:iCs/>
        </w:rPr>
        <w:t>the safety of the victim</w:t>
      </w:r>
      <w:r>
        <w:t>,” “</w:t>
      </w:r>
      <w:r w:rsidRPr="000226A6">
        <w:rPr>
          <w:i/>
          <w:iCs/>
        </w:rPr>
        <w:t>and the safety of the victim</w:t>
      </w:r>
      <w:r>
        <w:t>,” “</w:t>
      </w:r>
      <w:r w:rsidRPr="000226A6">
        <w:rPr>
          <w:i/>
          <w:iCs/>
        </w:rPr>
        <w:t>considerations</w:t>
      </w:r>
      <w:r>
        <w:t>,” and “</w:t>
      </w:r>
      <w:r w:rsidRPr="000226A6">
        <w:rPr>
          <w:i/>
          <w:iCs/>
        </w:rPr>
        <w:t>and the victim</w:t>
      </w:r>
      <w:r w:rsidRPr="00196027">
        <w:t>.</w:t>
      </w:r>
      <w:r>
        <w:t xml:space="preserve">”  </w:t>
      </w:r>
    </w:p>
    <w:p w14:paraId="50ADE086" w14:textId="77777777" w:rsidR="009A3AE8" w:rsidRDefault="00C64D74" w:rsidP="000759DB">
      <w:pPr>
        <w:spacing w:line="360" w:lineRule="auto"/>
      </w:pPr>
      <w:r>
        <w:tab/>
        <w:t>We express no view</w:t>
      </w:r>
      <w:r>
        <w:t xml:space="preserve"> as to whether Elections Code section 9086, subdivision (f), would have required</w:t>
      </w:r>
      <w:r w:rsidRPr="007D504A">
        <w:t xml:space="preserve"> the entirety of section 28(f)(3) </w:t>
      </w:r>
      <w:r>
        <w:t>to be</w:t>
      </w:r>
      <w:r w:rsidRPr="007D504A">
        <w:t xml:space="preserve"> </w:t>
      </w:r>
      <w:r>
        <w:t>italicized, had a timely challenge to the typeface in the Voter Pamphlet been filed.  Elections Code section 9086 is silent as to whethe</w:t>
      </w:r>
      <w:r>
        <w:t>r italicization is appropriate for laws that technically exist but have been deemed inoperative, such as the bail provisions at issue.  Here, petitioner cites no authority for the view that, despite section 28(f)(3)’s approval by the voters, only its itali</w:t>
      </w:r>
      <w:r>
        <w:t xml:space="preserve">cized portions should be given effect.  Indeed, when excised from the </w:t>
      </w:r>
      <w:r>
        <w:lastRenderedPageBreak/>
        <w:t>sentences they appear in, the words and phrases that were italicized in section 28(f)(3) did not convey a complete idea and had no real meaning beyond their conceptual references.  Contr</w:t>
      </w:r>
      <w:r>
        <w:t>ary to petitioner’s contention, there simply is no basis for believing that the voters intended to enact certain select words and phrases divorced from the contextual language that gave them meaning.</w:t>
      </w:r>
    </w:p>
    <w:bookmarkEnd w:id="14"/>
    <w:p w14:paraId="398B4BAC" w14:textId="77777777" w:rsidR="00283564" w:rsidRPr="00035E3F" w:rsidRDefault="00C64D74" w:rsidP="00035E3F">
      <w:pPr>
        <w:pStyle w:val="ListParagraph"/>
        <w:keepNext/>
        <w:numPr>
          <w:ilvl w:val="0"/>
          <w:numId w:val="12"/>
        </w:numPr>
        <w:spacing w:after="120" w:line="240" w:lineRule="auto"/>
        <w:rPr>
          <w:i/>
          <w:iCs/>
        </w:rPr>
      </w:pPr>
      <w:r w:rsidRPr="009C6DAF">
        <w:rPr>
          <w:i/>
          <w:iCs/>
        </w:rPr>
        <w:t>Section</w:t>
      </w:r>
      <w:r>
        <w:rPr>
          <w:i/>
          <w:iCs/>
        </w:rPr>
        <w:t> </w:t>
      </w:r>
      <w:r w:rsidRPr="009C6DAF">
        <w:rPr>
          <w:i/>
          <w:iCs/>
        </w:rPr>
        <w:t xml:space="preserve">12 and </w:t>
      </w:r>
      <w:r>
        <w:rPr>
          <w:i/>
          <w:iCs/>
        </w:rPr>
        <w:t>s</w:t>
      </w:r>
      <w:r w:rsidRPr="00293C99">
        <w:rPr>
          <w:i/>
          <w:iCs/>
        </w:rPr>
        <w:t>ection </w:t>
      </w:r>
      <w:r w:rsidRPr="00035E3F">
        <w:rPr>
          <w:i/>
          <w:iCs/>
        </w:rPr>
        <w:t xml:space="preserve">28(f)(3) </w:t>
      </w:r>
      <w:r>
        <w:rPr>
          <w:i/>
          <w:iCs/>
        </w:rPr>
        <w:t xml:space="preserve">can be </w:t>
      </w:r>
      <w:r>
        <w:rPr>
          <w:i/>
          <w:iCs/>
        </w:rPr>
        <w:t>reconciled and each given full effect</w:t>
      </w:r>
    </w:p>
    <w:p w14:paraId="2FE2DAE7" w14:textId="77777777" w:rsidR="00FA1FE9" w:rsidRDefault="00C64D74" w:rsidP="00035E3F">
      <w:pPr>
        <w:spacing w:line="360" w:lineRule="auto"/>
      </w:pPr>
      <w:r>
        <w:tab/>
        <w:t>W</w:t>
      </w:r>
      <w:r w:rsidRPr="00C36A3D">
        <w:t xml:space="preserve">e </w:t>
      </w:r>
      <w:r>
        <w:t xml:space="preserve">now </w:t>
      </w:r>
      <w:r w:rsidRPr="00C36A3D">
        <w:t xml:space="preserve">address whether </w:t>
      </w:r>
      <w:bookmarkStart w:id="17" w:name="_Hlk114649700"/>
      <w:r w:rsidRPr="00C36A3D">
        <w:t>section</w:t>
      </w:r>
      <w:r>
        <w:t> </w:t>
      </w:r>
      <w:r w:rsidRPr="00C36A3D">
        <w:t>12(b) and (c) or section</w:t>
      </w:r>
      <w:r>
        <w:t> </w:t>
      </w:r>
      <w:r w:rsidRPr="00C36A3D">
        <w:t xml:space="preserve">28(f)(3) </w:t>
      </w:r>
      <w:bookmarkEnd w:id="17"/>
      <w:r w:rsidRPr="00C36A3D">
        <w:t>governs the denial of bail in noncapital cases, or alternatively, whether these provisions can be reconciled.</w:t>
      </w:r>
      <w:bookmarkEnd w:id="15"/>
      <w:r>
        <w:t xml:space="preserve">  This is a matter of constitutional interp</w:t>
      </w:r>
      <w:r>
        <w:t>retation, which we undertake de novo.  (</w:t>
      </w:r>
      <w:r w:rsidRPr="007D504A">
        <w:rPr>
          <w:i/>
          <w:iCs/>
        </w:rPr>
        <w:t>Taxpayers for Accountable School Bond Spending</w:t>
      </w:r>
      <w:r>
        <w:t xml:space="preserve">, </w:t>
      </w:r>
      <w:r w:rsidRPr="007C69C4">
        <w:rPr>
          <w:i/>
          <w:iCs/>
        </w:rPr>
        <w:t>supra</w:t>
      </w:r>
      <w:r>
        <w:t>,</w:t>
      </w:r>
      <w:r w:rsidRPr="007D504A">
        <w:rPr>
          <w:i/>
          <w:iCs/>
        </w:rPr>
        <w:t xml:space="preserve"> </w:t>
      </w:r>
      <w:r w:rsidRPr="007D504A">
        <w:t>215 Cal.App.4</w:t>
      </w:r>
      <w:r w:rsidRPr="00886FDB">
        <w:t>th</w:t>
      </w:r>
      <w:r w:rsidRPr="007D504A">
        <w:t xml:space="preserve"> </w:t>
      </w:r>
      <w:r>
        <w:t>at</w:t>
      </w:r>
      <w:r w:rsidRPr="007D504A">
        <w:t xml:space="preserve"> </w:t>
      </w:r>
      <w:r>
        <w:t>p. </w:t>
      </w:r>
      <w:r w:rsidRPr="007D504A">
        <w:t>1026</w:t>
      </w:r>
      <w:r>
        <w:t>.)</w:t>
      </w:r>
    </w:p>
    <w:p w14:paraId="2CF4AC75" w14:textId="77777777" w:rsidR="0091038F" w:rsidRDefault="00C64D74" w:rsidP="00BA0B0F">
      <w:pPr>
        <w:spacing w:line="360" w:lineRule="auto"/>
      </w:pPr>
      <w:r>
        <w:tab/>
        <w:t>We focus first on the meaning of these constitutional provisions.  For this task, we adhere to well established principles</w:t>
      </w:r>
      <w:r w:rsidRPr="00177391">
        <w:t xml:space="preserve"> similar </w:t>
      </w:r>
      <w:r w:rsidRPr="00177391">
        <w:t xml:space="preserve">to those governing statutory construction. </w:t>
      </w:r>
      <w:r>
        <w:t xml:space="preserve"> </w:t>
      </w:r>
      <w:r w:rsidRPr="00177391">
        <w:t>(</w:t>
      </w:r>
      <w:r w:rsidRPr="007D504A">
        <w:rPr>
          <w:i/>
          <w:iCs/>
        </w:rPr>
        <w:t>Silicon Valley Taxpayers’ Assn., Inc. v. Santa Clara County Open Space Authority</w:t>
      </w:r>
      <w:r w:rsidRPr="007D504A">
        <w:t xml:space="preserve"> (2008) 44 Cal.4</w:t>
      </w:r>
      <w:r w:rsidRPr="00886FDB">
        <w:t>th</w:t>
      </w:r>
      <w:r w:rsidRPr="007D504A">
        <w:t xml:space="preserve"> 431, 444.)  </w:t>
      </w:r>
      <w:r>
        <w:t xml:space="preserve">Our goal is to ascertain the intent of the lawmakers </w:t>
      </w:r>
      <w:r w:rsidRPr="007D504A">
        <w:t xml:space="preserve">“so as to effectuate the purpose of the law.”  </w:t>
      </w:r>
      <w:r w:rsidRPr="007D504A">
        <w:t>(</w:t>
      </w:r>
      <w:r w:rsidRPr="007D504A">
        <w:rPr>
          <w:i/>
          <w:iCs/>
        </w:rPr>
        <w:t>People v. Canty</w:t>
      </w:r>
      <w:r w:rsidRPr="007D504A">
        <w:t xml:space="preserve"> (2004) 32 Cal.4</w:t>
      </w:r>
      <w:r w:rsidRPr="00886FDB">
        <w:t>th</w:t>
      </w:r>
      <w:r w:rsidRPr="007D504A">
        <w:t xml:space="preserve"> 1266, 1276</w:t>
      </w:r>
      <w:r>
        <w:t xml:space="preserve"> (</w:t>
      </w:r>
      <w:r w:rsidRPr="000111F7">
        <w:rPr>
          <w:i/>
          <w:iCs/>
        </w:rPr>
        <w:t>Canty</w:t>
      </w:r>
      <w:r>
        <w:t>)</w:t>
      </w:r>
      <w:r w:rsidRPr="007D504A">
        <w:t>.)</w:t>
      </w:r>
      <w:r>
        <w:t xml:space="preserve"> </w:t>
      </w:r>
      <w:r w:rsidRPr="007D504A">
        <w:t xml:space="preserve"> </w:t>
      </w:r>
      <w:r>
        <w:t>We start by examining the language of the constitutional provisions, “ ‘ “giving the words their usual, ordinary meaning.</w:t>
      </w:r>
      <w:r w:rsidRPr="007D504A">
        <w:t>” ’</w:t>
      </w:r>
      <w:r>
        <w:t> ”  (</w:t>
      </w:r>
      <w:r w:rsidRPr="000111F7">
        <w:rPr>
          <w:i/>
          <w:iCs/>
        </w:rPr>
        <w:t>Ibid</w:t>
      </w:r>
      <w:r>
        <w:t xml:space="preserve">.)  If the language is clear and unambiguous, we follow its plain </w:t>
      </w:r>
      <w:r>
        <w:t>meaning.  (</w:t>
      </w:r>
      <w:r w:rsidRPr="000111F7">
        <w:rPr>
          <w:i/>
          <w:iCs/>
        </w:rPr>
        <w:t>Ibid</w:t>
      </w:r>
      <w:r>
        <w:t>.)  We construe the language</w:t>
      </w:r>
      <w:r w:rsidRPr="001066EA">
        <w:t xml:space="preserve"> in the context of the </w:t>
      </w:r>
      <w:r>
        <w:t>measures</w:t>
      </w:r>
      <w:r w:rsidRPr="001066EA">
        <w:t xml:space="preserve"> as a whole and the overall </w:t>
      </w:r>
      <w:r>
        <w:t>legislative</w:t>
      </w:r>
      <w:r w:rsidRPr="001066EA">
        <w:t xml:space="preserve"> scheme, </w:t>
      </w:r>
      <w:r>
        <w:t xml:space="preserve">according </w:t>
      </w:r>
      <w:r w:rsidRPr="001066EA">
        <w:t xml:space="preserve">significance to every word, phrase, </w:t>
      </w:r>
      <w:r>
        <w:t xml:space="preserve">and </w:t>
      </w:r>
      <w:r w:rsidRPr="001066EA">
        <w:t xml:space="preserve">sentence in </w:t>
      </w:r>
      <w:r>
        <w:t>order to achieve</w:t>
      </w:r>
      <w:r w:rsidRPr="001066EA">
        <w:t xml:space="preserve"> the legislative purpose. </w:t>
      </w:r>
      <w:r>
        <w:t xml:space="preserve"> (</w:t>
      </w:r>
      <w:r w:rsidRPr="000111F7">
        <w:rPr>
          <w:i/>
          <w:iCs/>
        </w:rPr>
        <w:t>Ibid</w:t>
      </w:r>
      <w:r>
        <w:t xml:space="preserve">.) </w:t>
      </w:r>
      <w:r w:rsidRPr="001066EA">
        <w:t xml:space="preserve"> </w:t>
      </w:r>
      <w:r>
        <w:t>“</w:t>
      </w:r>
      <w:r w:rsidRPr="001066EA">
        <w:t>The intent of the l</w:t>
      </w:r>
      <w:r w:rsidRPr="001066EA">
        <w:t xml:space="preserve">aw prevails over </w:t>
      </w:r>
      <w:r w:rsidRPr="007D504A">
        <w:t>the letter of the law, and ‘ “the letter will, if possible, be so read as to conform to the spirit of the act.” ’ ”  (</w:t>
      </w:r>
      <w:r>
        <w:rPr>
          <w:i/>
          <w:iCs/>
        </w:rPr>
        <w:t>Id</w:t>
      </w:r>
      <w:r w:rsidRPr="007D504A">
        <w:t>.</w:t>
      </w:r>
      <w:r>
        <w:t xml:space="preserve"> at pp. 1276–1277.</w:t>
      </w:r>
      <w:r w:rsidRPr="007D504A">
        <w:t>)</w:t>
      </w:r>
      <w:r>
        <w:t xml:space="preserve">  Once we ascertain the meaning of each constitutional provision, we will be positioned to determine which </w:t>
      </w:r>
      <w:r>
        <w:lastRenderedPageBreak/>
        <w:t xml:space="preserve">provision governs the denial of bail in noncapital cases or whether the two provisions can be reconciled.  </w:t>
      </w:r>
    </w:p>
    <w:p w14:paraId="4188C47E" w14:textId="77777777" w:rsidR="00A33128" w:rsidRPr="00F74C39" w:rsidRDefault="00C64D74" w:rsidP="00857C11">
      <w:pPr>
        <w:spacing w:line="360" w:lineRule="auto"/>
      </w:pPr>
      <w:r>
        <w:tab/>
      </w:r>
      <w:r>
        <w:t xml:space="preserve">To reiterate, section 12 provides in relevant part:  </w:t>
      </w:r>
      <w:bookmarkStart w:id="18" w:name="_Hlk114049784"/>
      <w:r>
        <w:t>“</w:t>
      </w:r>
      <w:bookmarkStart w:id="19" w:name="_Hlk114649854"/>
      <w:r w:rsidRPr="00F74C39">
        <w:t>A person shall be released on bail by sufficient sureties</w:t>
      </w:r>
      <w:bookmarkEnd w:id="19"/>
      <w:r w:rsidRPr="00F74C39">
        <w:t>, except for</w:t>
      </w:r>
      <w:r>
        <w:t>:  [¶] (a) Capital crimes . . . ; [¶] (b) Felony offenses involving acts of violence on another person, or felony sexual assault offe</w:t>
      </w:r>
      <w:r>
        <w:t>nses on another person . . . and the court finds . . . that there is a substantial likelihood the person’s release would result in great bodily harm to others; or [¶] (c) Felony offenses . . . and the court finds . . . that the person has threatened anothe</w:t>
      </w:r>
      <w:r>
        <w:t>r with great bodily harm and that there is a substantial likelihood that the person would carry out the threat if released.</w:t>
      </w:r>
      <w:r w:rsidRPr="00F74C39">
        <w:t xml:space="preserve">” </w:t>
      </w:r>
      <w:r>
        <w:t xml:space="preserve"> </w:t>
      </w:r>
      <w:r w:rsidRPr="00F74C39">
        <w:t>Section</w:t>
      </w:r>
      <w:r>
        <w:t> </w:t>
      </w:r>
      <w:r w:rsidRPr="00F74C39">
        <w:t xml:space="preserve">12 </w:t>
      </w:r>
      <w:r>
        <w:t>further</w:t>
      </w:r>
      <w:r w:rsidRPr="00F74C39">
        <w:t xml:space="preserve"> provides: </w:t>
      </w:r>
      <w:bookmarkStart w:id="20" w:name="_Hlk114044439"/>
      <w:bookmarkEnd w:id="18"/>
      <w:r>
        <w:t xml:space="preserve"> </w:t>
      </w:r>
      <w:r w:rsidRPr="00F74C39">
        <w:t>“Excessive bail may not be required.  In fixing the amount of bail, the court shall take into consid</w:t>
      </w:r>
      <w:r w:rsidRPr="00F74C39">
        <w:t>eration the seriousness of the offense charged, the previous criminal record of the defendant, and the probability of his or her appearing at the trial or hearing of the case.  [¶]</w:t>
      </w:r>
      <w:r>
        <w:t> </w:t>
      </w:r>
      <w:r w:rsidRPr="00F74C39">
        <w:t>A person may be released on his or her own recognizance in the court’s disc</w:t>
      </w:r>
      <w:r w:rsidRPr="00F74C39">
        <w:t>retion.”</w:t>
      </w:r>
    </w:p>
    <w:p w14:paraId="36E6F442" w14:textId="77777777" w:rsidR="00513ABE" w:rsidRDefault="00C64D74" w:rsidP="00360B5C">
      <w:pPr>
        <w:spacing w:line="360" w:lineRule="auto"/>
      </w:pPr>
      <w:r w:rsidRPr="00F74C39">
        <w:tab/>
        <w:t>Section</w:t>
      </w:r>
      <w:r>
        <w:t> </w:t>
      </w:r>
      <w:r w:rsidRPr="00F74C39">
        <w:t>28(f)(3) provides</w:t>
      </w:r>
      <w:r>
        <w:t xml:space="preserve"> in full</w:t>
      </w:r>
      <w:r w:rsidRPr="00F74C39">
        <w:t>:  “</w:t>
      </w:r>
      <w:bookmarkStart w:id="21" w:name="_Hlk114649812"/>
      <w:r>
        <w:t xml:space="preserve">Public Safety Bail.  </w:t>
      </w:r>
      <w:r w:rsidRPr="00F74C39">
        <w:t>A person may be released on bail by sufficient sureties</w:t>
      </w:r>
      <w:bookmarkEnd w:id="21"/>
      <w:r w:rsidRPr="00F74C39">
        <w:t>, except for capital crimes when the facts are evident or the presumption great.  Excessive bail may not be required.  In setting, re</w:t>
      </w:r>
      <w:r w:rsidRPr="00F74C39">
        <w:t>ducing or denying bail, the judge or magistrate shall take into consideration the protection of the public, the safety of the victim, the seriousness of the offense charged, the previous criminal record of the defendant, and the probability of his or her a</w:t>
      </w:r>
      <w:r w:rsidRPr="00F74C39">
        <w:t>ppearing</w:t>
      </w:r>
      <w:r>
        <w:t xml:space="preserve"> at the trial or hearing of the case.  Public safety and the safety of the victim shall be the primary considerations.  </w:t>
      </w:r>
      <w:bookmarkEnd w:id="20"/>
      <w:r>
        <w:t>[¶] A person may be released on his or her own recognizance in the court’s discretion, subject to the same factors considered in</w:t>
      </w:r>
      <w:r>
        <w:t xml:space="preserve"> setting bail.  [¶] Before any person arrested for a serious felony may be released on bail, a </w:t>
      </w:r>
      <w:r>
        <w:lastRenderedPageBreak/>
        <w:t>hearing may be held before the magistrate or judge, and the prosecuting attorney and the victim shall be given notice and reasonable opportunity to be heard on t</w:t>
      </w:r>
      <w:r>
        <w:t>he matter.  [¶] When a judge or magistrate grants or denies bail or release on a person’s own recognizance, the reasons for that decision shall be stated in the record and included in the court’s minutes.”</w:t>
      </w:r>
    </w:p>
    <w:p w14:paraId="553563B0" w14:textId="77777777" w:rsidR="006245B1" w:rsidRDefault="00C64D74" w:rsidP="005D6970">
      <w:pPr>
        <w:spacing w:line="360" w:lineRule="auto"/>
      </w:pPr>
      <w:r>
        <w:tab/>
      </w:r>
      <w:r w:rsidRPr="00B85347">
        <w:t xml:space="preserve">The </w:t>
      </w:r>
      <w:r>
        <w:t>principal</w:t>
      </w:r>
      <w:r w:rsidRPr="00B85347">
        <w:t xml:space="preserve"> dispute </w:t>
      </w:r>
      <w:r>
        <w:t>centers around the language</w:t>
      </w:r>
      <w:r>
        <w:t xml:space="preserve"> in</w:t>
      </w:r>
      <w:r w:rsidRPr="00B85347">
        <w:t xml:space="preserve"> </w:t>
      </w:r>
      <w:r>
        <w:t>the first sentence of each of these constitutional provisions.  Specifically, the lead clauses are virtually identical except that section 12 states that a person “</w:t>
      </w:r>
      <w:r w:rsidRPr="00221EFD">
        <w:rPr>
          <w:i/>
          <w:iCs/>
        </w:rPr>
        <w:t>shall be</w:t>
      </w:r>
      <w:r>
        <w:t xml:space="preserve"> released on bail by sufficient sureties,” while section 28(f)(3) says that a pe</w:t>
      </w:r>
      <w:r>
        <w:t>rson “</w:t>
      </w:r>
      <w:r w:rsidRPr="00221EFD">
        <w:rPr>
          <w:i/>
          <w:iCs/>
        </w:rPr>
        <w:t>may be</w:t>
      </w:r>
      <w:r>
        <w:t xml:space="preserve"> released on bail by sufficient sureties.</w:t>
      </w:r>
      <w:r w:rsidRPr="007D504A">
        <w:t xml:space="preserve">”  </w:t>
      </w:r>
      <w:r>
        <w:t>(Italics added.)  The precise inquiry is this:  What is the meaning of the seemingly permissive language in</w:t>
      </w:r>
      <w:r w:rsidRPr="00B85347">
        <w:t xml:space="preserve"> section</w:t>
      </w:r>
      <w:r>
        <w:t> </w:t>
      </w:r>
      <w:r w:rsidRPr="00B85347">
        <w:t>28(f)(3)</w:t>
      </w:r>
      <w:r>
        <w:t>, and can it be reconciled with the mandatory language in</w:t>
      </w:r>
      <w:r w:rsidRPr="00B85347">
        <w:t xml:space="preserve"> section</w:t>
      </w:r>
      <w:r>
        <w:t> </w:t>
      </w:r>
      <w:r w:rsidRPr="00B85347">
        <w:t>12</w:t>
      </w:r>
      <w:r>
        <w:t xml:space="preserve">, which </w:t>
      </w:r>
      <w:r>
        <w:t>embodies</w:t>
      </w:r>
      <w:r w:rsidRPr="007D504A">
        <w:t xml:space="preserve"> a </w:t>
      </w:r>
      <w:r>
        <w:t>longstanding “constitutional</w:t>
      </w:r>
      <w:r w:rsidRPr="007D504A">
        <w:t xml:space="preserve"> right</w:t>
      </w:r>
      <w:r>
        <w:t xml:space="preserve"> to be released on bail pending trial” </w:t>
      </w:r>
      <w:r w:rsidRPr="00B05443">
        <w:t>in noncapital</w:t>
      </w:r>
      <w:r>
        <w:t xml:space="preserve"> cases subject to two exceptions?</w:t>
      </w:r>
      <w:r w:rsidRPr="007D504A">
        <w:t xml:space="preserve">  (</w:t>
      </w:r>
      <w:r w:rsidRPr="00D356D4">
        <w:rPr>
          <w:i/>
          <w:iCs/>
        </w:rPr>
        <w:t>Standish</w:t>
      </w:r>
      <w:r>
        <w:t xml:space="preserve">, </w:t>
      </w:r>
      <w:r w:rsidRPr="00D356D4">
        <w:rPr>
          <w:i/>
          <w:iCs/>
        </w:rPr>
        <w:t>supra</w:t>
      </w:r>
      <w:r>
        <w:t xml:space="preserve">, 38 Cal.4th at p. 878; see </w:t>
      </w:r>
      <w:r w:rsidRPr="00F504DA">
        <w:t>Cal. Const. of 1849, art.</w:t>
      </w:r>
      <w:r>
        <w:t xml:space="preserve"> I, § 7; </w:t>
      </w:r>
      <w:r w:rsidRPr="007D504A">
        <w:rPr>
          <w:i/>
          <w:iCs/>
        </w:rPr>
        <w:t xml:space="preserve">In re Law </w:t>
      </w:r>
      <w:r w:rsidRPr="007D504A">
        <w:t>(1973) 10 Cal.3d 21, 25.)</w:t>
      </w:r>
    </w:p>
    <w:p w14:paraId="7C3E3D5C" w14:textId="77777777" w:rsidR="00714F14" w:rsidRDefault="00C64D74" w:rsidP="0079421F">
      <w:pPr>
        <w:spacing w:line="360" w:lineRule="auto"/>
      </w:pPr>
      <w:r>
        <w:tab/>
        <w:t>Turning t</w:t>
      </w:r>
      <w:r>
        <w:t>o section 28(f)(3)’s use of the term “may,” we observe that, ordinarily and presumptively, “may” is permissive.  (</w:t>
      </w:r>
      <w:r w:rsidRPr="007D504A">
        <w:rPr>
          <w:i/>
          <w:iCs/>
        </w:rPr>
        <w:t>Standish</w:t>
      </w:r>
      <w:r w:rsidRPr="007D504A">
        <w:t xml:space="preserve">, </w:t>
      </w:r>
      <w:r w:rsidRPr="007D504A">
        <w:rPr>
          <w:i/>
          <w:iCs/>
        </w:rPr>
        <w:t>supra</w:t>
      </w:r>
      <w:r w:rsidRPr="007D504A">
        <w:t>, 38 Cal.4</w:t>
      </w:r>
      <w:r w:rsidRPr="00886FDB">
        <w:t>th</w:t>
      </w:r>
      <w:r w:rsidRPr="007D504A">
        <w:t xml:space="preserve"> at </w:t>
      </w:r>
      <w:r>
        <w:t>p. </w:t>
      </w:r>
      <w:r w:rsidRPr="007D504A">
        <w:t>869.</w:t>
      </w:r>
      <w:r>
        <w:t>)  “May” is a term that also refers to an expression of possibility.  (</w:t>
      </w:r>
      <w:r w:rsidRPr="008B0980">
        <w:t>Black</w:t>
      </w:r>
      <w:r>
        <w:t>’</w:t>
      </w:r>
      <w:r w:rsidRPr="008B0980">
        <w:t xml:space="preserve">s Law Dictionary (11th </w:t>
      </w:r>
      <w:r w:rsidRPr="008B0980">
        <w:t>ed. 2019)</w:t>
      </w:r>
      <w:r>
        <w:t xml:space="preserve"> </w:t>
      </w:r>
      <w:r w:rsidRPr="00B8002F">
        <w:t>p.</w:t>
      </w:r>
      <w:r>
        <w:t> </w:t>
      </w:r>
      <w:r w:rsidRPr="00B8002F">
        <w:t>1172, col.</w:t>
      </w:r>
      <w:r>
        <w:t> </w:t>
      </w:r>
      <w:r w:rsidRPr="00B8002F">
        <w:t>2</w:t>
      </w:r>
      <w:r>
        <w:t xml:space="preserve">.)  Given that section 12 was fully operative when Proposition 9 was presented to the voters and approved, the most natural reading of section 28(f)(3)’s phrase “[a] person </w:t>
      </w:r>
      <w:r w:rsidRPr="00D356D4">
        <w:rPr>
          <w:i/>
          <w:iCs/>
        </w:rPr>
        <w:t>may</w:t>
      </w:r>
      <w:r>
        <w:t xml:space="preserve"> be released on bail by sufficient sureties</w:t>
      </w:r>
      <w:r w:rsidRPr="007D504A">
        <w:t>”</w:t>
      </w:r>
      <w:r>
        <w:t xml:space="preserve"> is that th</w:t>
      </w:r>
      <w:r>
        <w:t>e phrase is a declarative statement of existing law.  (Italics added.)  That is, the phrase acknowledges that a person may or may not be released on bail, consistent with the dictates in section 12 that a person is generally entitled to bail release in non</w:t>
      </w:r>
      <w:r>
        <w:t xml:space="preserve">capital cases except under the circumstances articulated in </w:t>
      </w:r>
      <w:r>
        <w:lastRenderedPageBreak/>
        <w:t>section 12(b) and (c), or (as will be discussed below) when a person may not be able to post bail as set.</w:t>
      </w:r>
    </w:p>
    <w:p w14:paraId="7AC4FE3C" w14:textId="77777777" w:rsidR="003969CC" w:rsidRDefault="00C64D74">
      <w:pPr>
        <w:spacing w:line="360" w:lineRule="auto"/>
      </w:pPr>
      <w:r>
        <w:tab/>
        <w:t>Construing section 28(f)(3) in this manner fully promotes the voters’ intent to “preserve</w:t>
      </w:r>
      <w:r>
        <w:t xml:space="preserve"> and protect” the right of crime victims “to justice and due process” by having “the safety of the victim and the victim’s family considered in fixing the amount of bail and release conditions for the defendant.”  (</w:t>
      </w:r>
      <w:r w:rsidRPr="00B911E3">
        <w:t>Voter Information Guide, Gen. Elec. (Nov.</w:t>
      </w:r>
      <w:r w:rsidRPr="00B911E3">
        <w:t xml:space="preserve"> 4, 2008), text of Prop.</w:t>
      </w:r>
      <w:r>
        <w:t> </w:t>
      </w:r>
      <w:r w:rsidRPr="00B911E3">
        <w:t>9, §</w:t>
      </w:r>
      <w:r>
        <w:t> </w:t>
      </w:r>
      <w:r w:rsidRPr="00B911E3">
        <w:t>4.1, p.</w:t>
      </w:r>
      <w:r>
        <w:t> </w:t>
      </w:r>
      <w:r w:rsidRPr="00B911E3">
        <w:t>129</w:t>
      </w:r>
      <w:r>
        <w:t xml:space="preserve">; </w:t>
      </w:r>
      <w:r w:rsidRPr="00B25011">
        <w:rPr>
          <w:i/>
          <w:iCs/>
        </w:rPr>
        <w:t>id.</w:t>
      </w:r>
      <w:r>
        <w:t xml:space="preserve">, </w:t>
      </w:r>
      <w:r w:rsidRPr="00DC4E81">
        <w:t>arguments in favor of Prop.</w:t>
      </w:r>
      <w:r>
        <w:t> </w:t>
      </w:r>
      <w:r w:rsidRPr="00DC4E81">
        <w:t>9, p.</w:t>
      </w:r>
      <w:r>
        <w:t> </w:t>
      </w:r>
      <w:r w:rsidRPr="00DC4E81">
        <w:t>6</w:t>
      </w:r>
      <w:r>
        <w:t>2.)  Section 28(f)(3) accomplishes this by requiring that (1) all bail determinations take into consideration and give primacy to protection of the public and victim safety</w:t>
      </w:r>
      <w:r>
        <w:rPr>
          <w:rStyle w:val="FootnoteReference"/>
        </w:rPr>
        <w:footnoteReference w:id="7"/>
      </w:r>
      <w:r>
        <w:t>; (2) all OR determinations be subject to the same factors considered in setting bail; and (3) victims be notified and provided a reasonable opportunity to be heard “[b]efore any person arrested for a serious felony may be released on bail.”</w:t>
      </w:r>
      <w:r w:rsidRPr="00B911E3">
        <w:t xml:space="preserve"> </w:t>
      </w:r>
      <w:r>
        <w:t xml:space="preserve"> At the same </w:t>
      </w:r>
      <w:r>
        <w:t>time, these victim safety provisions</w:t>
      </w:r>
      <w:r w:rsidRPr="00B911E3">
        <w:t xml:space="preserve"> </w:t>
      </w:r>
      <w:r>
        <w:t>do not conflict with section 12 or otherwise impede its operation; they simply mandate additional considerations in bail and OR determinations in noncapital cases.</w:t>
      </w:r>
      <w:r w:rsidRPr="007B5CD4">
        <w:t xml:space="preserve"> </w:t>
      </w:r>
      <w:r>
        <w:t xml:space="preserve"> Accordingly, construing the first sentence of section </w:t>
      </w:r>
      <w:r>
        <w:t>28(f)(3) as declarative of the general right to bail allows for complete reconciliation of section 28(f)(3) and section 12.</w:t>
      </w:r>
    </w:p>
    <w:p w14:paraId="725A41E6" w14:textId="77777777" w:rsidR="00C02A07" w:rsidRDefault="00C64D74" w:rsidP="0079421F">
      <w:pPr>
        <w:spacing w:line="360" w:lineRule="auto"/>
      </w:pPr>
      <w:r>
        <w:tab/>
        <w:t xml:space="preserve">The People advance a different construction of section 28(f)(3), essentially contending the phrase “[a] person </w:t>
      </w:r>
      <w:r w:rsidRPr="0078353C">
        <w:rPr>
          <w:i/>
          <w:iCs/>
        </w:rPr>
        <w:t>may</w:t>
      </w:r>
      <w:r>
        <w:t xml:space="preserve"> be released on b</w:t>
      </w:r>
      <w:r>
        <w:t>ail by sufficient sureties</w:t>
      </w:r>
      <w:r w:rsidRPr="007D504A">
        <w:t>”</w:t>
      </w:r>
      <w:r>
        <w:t xml:space="preserve"> must be interpreted as a grant of judicial discretion to deny bail release in all noncapital cases.  (Italics added.)  Such construction, of course, would mean that section 28(f)(3) is in direct conflict with section 12 </w:t>
      </w:r>
      <w:r>
        <w:lastRenderedPageBreak/>
        <w:t xml:space="preserve">and its </w:t>
      </w:r>
      <w:r>
        <w:t>limited exceptions for denying bail release in certain noncapital cases.  Setting aside for a moment the strong presumption against implied repeal, the People’s construction finds no support in the text of section 28 or in the ballot materials accompanying</w:t>
      </w:r>
      <w:r>
        <w:t xml:space="preserve"> Proposition 9.</w:t>
      </w:r>
    </w:p>
    <w:p w14:paraId="0B9F095F" w14:textId="77777777" w:rsidR="002637B6" w:rsidRDefault="00C64D74" w:rsidP="009F229F">
      <w:pPr>
        <w:spacing w:line="360" w:lineRule="auto"/>
      </w:pPr>
      <w:r>
        <w:tab/>
        <w:t>Apart from the People’s proffered interpretation of section 28(f)(3)’s first sentence, the text of section 28 contains no language indicating an intent to broaden the authority of judges and magistrates to deny bail.  Indeed, when the meas</w:t>
      </w:r>
      <w:r>
        <w:t>ure mentions the topic of bail, it does so in a manner that is fully consistent with the terms of section 12.  For instance, section 28’s prefatory declarations include a finding that the rights of crime victims “encompass the expectation” shared by all Ca</w:t>
      </w:r>
      <w:r>
        <w:t>lifornians that, prior to trial, “</w:t>
      </w:r>
      <w:r w:rsidRPr="00845072">
        <w:rPr>
          <w:i/>
          <w:iCs/>
        </w:rPr>
        <w:t>persons who commit felonious acts causing injury to innocent victims</w:t>
      </w:r>
      <w:r>
        <w:t xml:space="preserve"> will be . . . </w:t>
      </w:r>
      <w:r w:rsidRPr="00845072">
        <w:rPr>
          <w:i/>
          <w:iCs/>
        </w:rPr>
        <w:t>appropriately detained in custody</w:t>
      </w:r>
      <w:r>
        <w:t>.”  (§ 28, subd. (a)(4), italics added.)  Not only does this finding align with section 12’s contemplation</w:t>
      </w:r>
      <w:r>
        <w:t xml:space="preserve"> that pretrial bail release may be denied in certain serious felony cases, but the specificity of the italicized language counters any suggestion that judges were being given discretion to deny bail to any person accused of committing a noncapital offense.</w:t>
      </w:r>
    </w:p>
    <w:p w14:paraId="6F373BE1" w14:textId="77777777" w:rsidR="0012218B" w:rsidRDefault="00C64D74" w:rsidP="002637B6">
      <w:pPr>
        <w:spacing w:line="360" w:lineRule="auto"/>
      </w:pPr>
      <w:r>
        <w:tab/>
        <w:t xml:space="preserve">Similarly, </w:t>
      </w:r>
      <w:r w:rsidRPr="00DC4E81">
        <w:t>the ballot materials</w:t>
      </w:r>
      <w:r>
        <w:t xml:space="preserve"> accompanying Proposition 9 featured an impartial analysis by the Legislative Analyst that specifically informed the voters:  “The Constitution would be changed to specify that the safety of a crime victim must be taken int</w:t>
      </w:r>
      <w:r>
        <w:t>o consideration by judges in setting bail for persons arrested for crimes.”  (</w:t>
      </w:r>
      <w:r w:rsidRPr="00DC4E81">
        <w:t>Voter Information Guide, Gen. Elec.</w:t>
      </w:r>
      <w:r>
        <w:t xml:space="preserve">, </w:t>
      </w:r>
      <w:r w:rsidRPr="00063A2B">
        <w:rPr>
          <w:i/>
          <w:iCs/>
        </w:rPr>
        <w:t>supra</w:t>
      </w:r>
      <w:r w:rsidRPr="00DC4E81">
        <w:t>, analysis of Prop</w:t>
      </w:r>
      <w:r>
        <w:t>. </w:t>
      </w:r>
      <w:r w:rsidRPr="00DC4E81">
        <w:t>9 by the Legislative Analyst, p.</w:t>
      </w:r>
      <w:r>
        <w:t> </w:t>
      </w:r>
      <w:r w:rsidRPr="00DC4E81">
        <w:t>5</w:t>
      </w:r>
      <w:r>
        <w:t>9.)  While that analysis accurately conveyed the measure’s intent to add victim sa</w:t>
      </w:r>
      <w:r>
        <w:t xml:space="preserve">fety as a new mandatory consideration for bail determinations, the Legislative Analyst offered no view that the measure would completely eliminate the historic </w:t>
      </w:r>
      <w:r>
        <w:lastRenderedPageBreak/>
        <w:t>right to bail which has existed in the California Constitution since 1849.  Nor did the argument</w:t>
      </w:r>
      <w:r>
        <w:t xml:space="preserve">s for and against Proposition 9 suggest that the measure would expand judicial discretion to deny bail release beyond the exceptions in section 12(b) and (c). </w:t>
      </w:r>
      <w:r w:rsidRPr="00DC4E81">
        <w:t xml:space="preserve"> (Voter Information Guide, Gen. Elec.</w:t>
      </w:r>
      <w:r>
        <w:t xml:space="preserve">, </w:t>
      </w:r>
      <w:r w:rsidRPr="00063A2B">
        <w:rPr>
          <w:i/>
          <w:iCs/>
        </w:rPr>
        <w:t>supra</w:t>
      </w:r>
      <w:r>
        <w:t>,</w:t>
      </w:r>
      <w:r w:rsidRPr="00DC4E81">
        <w:t xml:space="preserve"> arguments in favor of Prop.</w:t>
      </w:r>
      <w:r>
        <w:t> </w:t>
      </w:r>
      <w:r w:rsidRPr="00DC4E81">
        <w:t xml:space="preserve">9 and rebuttal to </w:t>
      </w:r>
      <w:r w:rsidRPr="00DC4E81">
        <w:t>argument in favor of Prop.</w:t>
      </w:r>
      <w:r>
        <w:t> </w:t>
      </w:r>
      <w:r w:rsidRPr="00DC4E81">
        <w:t>9, pp.</w:t>
      </w:r>
      <w:r>
        <w:t> </w:t>
      </w:r>
      <w:r w:rsidRPr="00DC4E81">
        <w:t>62–63.)</w:t>
      </w:r>
    </w:p>
    <w:p w14:paraId="350113AF" w14:textId="77777777" w:rsidR="00AD67B5" w:rsidRDefault="00C64D74" w:rsidP="00FB41B7">
      <w:pPr>
        <w:spacing w:line="360" w:lineRule="auto"/>
      </w:pPr>
      <w:r>
        <w:tab/>
        <w:t>Moreover, where, as here, a later law contains no terms explicitly providing for repeal of existing law, we must contend with the strong presumption against repeal by implication.  (</w:t>
      </w:r>
      <w:r w:rsidRPr="007D504A">
        <w:rPr>
          <w:i/>
          <w:iCs/>
        </w:rPr>
        <w:t>Western Oil &amp; Gas Assn. v. Mont</w:t>
      </w:r>
      <w:r w:rsidRPr="007D504A">
        <w:rPr>
          <w:i/>
          <w:iCs/>
        </w:rPr>
        <w:t>erey Bay Unified Air Pollution Control Dist.</w:t>
      </w:r>
      <w:r w:rsidRPr="007D504A">
        <w:t xml:space="preserve"> (1989) 49 Cal.3d 408,</w:t>
      </w:r>
      <w:r>
        <w:t xml:space="preserve"> 419–420.) </w:t>
      </w:r>
      <w:r w:rsidRPr="001D4AA8">
        <w:t xml:space="preserve"> To overcome th</w:t>
      </w:r>
      <w:r>
        <w:t>is</w:t>
      </w:r>
      <w:r w:rsidRPr="001D4AA8">
        <w:t xml:space="preserve"> presumption</w:t>
      </w:r>
      <w:r>
        <w:t>, the bail provisions of sections 12 and 28(f)(3) “ ‘</w:t>
      </w:r>
      <w:r w:rsidRPr="001D4AA8">
        <w:t>must be irreconcilable, clearly repugnant, and so inconsistent that the two cannot have concurren</w:t>
      </w:r>
      <w:r w:rsidRPr="001D4AA8">
        <w:t>t operation.</w:t>
      </w:r>
      <w:r>
        <w:t>’ ”</w:t>
      </w:r>
      <w:r w:rsidRPr="001D4AA8">
        <w:t xml:space="preserve">  </w:t>
      </w:r>
      <w:r>
        <w:t>(</w:t>
      </w:r>
      <w:r w:rsidRPr="00845072">
        <w:rPr>
          <w:i/>
          <w:iCs/>
        </w:rPr>
        <w:t>Western Oil &amp; Gas</w:t>
      </w:r>
      <w:r>
        <w:t>, at pp. 419–420.)  Put another way, “ ‘[t]</w:t>
      </w:r>
      <w:r w:rsidRPr="001D4AA8">
        <w:t xml:space="preserve">here must be </w:t>
      </w:r>
      <w:r>
        <w:t>‘</w:t>
      </w:r>
      <w:r w:rsidRPr="00886FDB">
        <w:rPr>
          <w:i/>
          <w:iCs/>
        </w:rPr>
        <w:t>no possibility</w:t>
      </w:r>
      <w:r w:rsidRPr="001D4AA8">
        <w:t xml:space="preserve"> of concurrent operation</w:t>
      </w:r>
      <w:r>
        <w:t>.’ ”  (</w:t>
      </w:r>
      <w:r>
        <w:rPr>
          <w:i/>
          <w:iCs/>
        </w:rPr>
        <w:t>Ibid</w:t>
      </w:r>
      <w:r w:rsidRPr="00845072">
        <w:t>.</w:t>
      </w:r>
      <w:r>
        <w:t xml:space="preserve">, italics added.)  </w:t>
      </w:r>
    </w:p>
    <w:p w14:paraId="055CFE9D" w14:textId="77777777" w:rsidR="00E17260" w:rsidRDefault="00C64D74">
      <w:pPr>
        <w:spacing w:line="360" w:lineRule="auto"/>
      </w:pPr>
      <w:r>
        <w:tab/>
        <w:t>As discussed, sections 28(f)(3) and 12 are easily reconciled by giving a natural reading to t</w:t>
      </w:r>
      <w:r>
        <w:t>he first sentence of section 28(f)(3) and understanding its meaning as a declarative statement of existing law.  Such construction respects the longstanding constitutional right to bail as embodied in section 12, while also fully effectuating Proposition 9</w:t>
      </w:r>
      <w:r>
        <w:t xml:space="preserve">’s constitutionally mandated </w:t>
      </w:r>
      <w:r w:rsidRPr="00B911E3">
        <w:t>considerations</w:t>
      </w:r>
      <w:r>
        <w:t xml:space="preserve"> of</w:t>
      </w:r>
      <w:r w:rsidRPr="00B911E3">
        <w:t xml:space="preserve"> public and victim safety</w:t>
      </w:r>
      <w:r>
        <w:t xml:space="preserve"> in all bail and OR release determinations.  Consequently, there appears no basis for finding a repeal by implication.</w:t>
      </w:r>
    </w:p>
    <w:p w14:paraId="5BA07EF0" w14:textId="77777777" w:rsidR="00B01443" w:rsidRDefault="00C64D74" w:rsidP="00B01443">
      <w:pPr>
        <w:spacing w:line="360" w:lineRule="auto"/>
      </w:pPr>
      <w:r>
        <w:tab/>
        <w:t xml:space="preserve">In reaching this conclusion, we acknowledge that in </w:t>
      </w:r>
      <w:r w:rsidRPr="00390277">
        <w:rPr>
          <w:i/>
          <w:iCs/>
        </w:rPr>
        <w:t>Standish</w:t>
      </w:r>
      <w:r>
        <w:t xml:space="preserve">, </w:t>
      </w:r>
      <w:r w:rsidRPr="00A558FF">
        <w:rPr>
          <w:i/>
          <w:iCs/>
        </w:rPr>
        <w:t>sup</w:t>
      </w:r>
      <w:r w:rsidRPr="00A558FF">
        <w:rPr>
          <w:i/>
          <w:iCs/>
        </w:rPr>
        <w:t>ra</w:t>
      </w:r>
      <w:r>
        <w:t>, 38 Cal.4th 858, our Supreme Court determined that the bail provisions previously approved in Proposition 8—which were nearly identical to those in section 28(f)(3)—were in direct conflict with the bail provisions approved in Proposition 4—which amended</w:t>
      </w:r>
      <w:r>
        <w:t xml:space="preserve"> section 12 with the language existing today.  </w:t>
      </w:r>
      <w:r>
        <w:lastRenderedPageBreak/>
        <w:t>(</w:t>
      </w:r>
      <w:r>
        <w:rPr>
          <w:i/>
          <w:iCs/>
        </w:rPr>
        <w:t>Standish</w:t>
      </w:r>
      <w:r w:rsidRPr="00871879">
        <w:t xml:space="preserve">, </w:t>
      </w:r>
      <w:r>
        <w:t>at pp. 877–878.)  That finding of conflict, however, is neither dispositive nor persuasive in the present matter.</w:t>
      </w:r>
    </w:p>
    <w:p w14:paraId="373295FA" w14:textId="77777777" w:rsidR="005A6009" w:rsidRDefault="00C64D74">
      <w:pPr>
        <w:spacing w:line="360" w:lineRule="auto"/>
      </w:pPr>
      <w:r>
        <w:tab/>
        <w:t xml:space="preserve">Significantly, the </w:t>
      </w:r>
      <w:r w:rsidRPr="00390277">
        <w:rPr>
          <w:i/>
          <w:iCs/>
        </w:rPr>
        <w:t>Standish</w:t>
      </w:r>
      <w:r w:rsidRPr="009609D9">
        <w:t xml:space="preserve"> </w:t>
      </w:r>
      <w:r>
        <w:t xml:space="preserve">court was faced with the circumstance that </w:t>
      </w:r>
      <w:r w:rsidRPr="009609D9">
        <w:t>section</w:t>
      </w:r>
      <w:r>
        <w:t> </w:t>
      </w:r>
      <w:r w:rsidRPr="009609D9">
        <w:t>28(e</w:t>
      </w:r>
      <w:r w:rsidRPr="009609D9">
        <w:t>), as proposed in Proposition</w:t>
      </w:r>
      <w:r>
        <w:t> </w:t>
      </w:r>
      <w:r w:rsidRPr="009609D9">
        <w:t>8, explicitly called for the repeal and substitution of section</w:t>
      </w:r>
      <w:r>
        <w:t> </w:t>
      </w:r>
      <w:r w:rsidRPr="009609D9">
        <w:t>12.  (</w:t>
      </w:r>
      <w:r w:rsidRPr="0014728D">
        <w:rPr>
          <w:i/>
          <w:iCs/>
        </w:rPr>
        <w:t>Standish</w:t>
      </w:r>
      <w:r w:rsidRPr="00BA344E">
        <w:t xml:space="preserve">, </w:t>
      </w:r>
      <w:r w:rsidRPr="00390277">
        <w:rPr>
          <w:i/>
          <w:iCs/>
        </w:rPr>
        <w:t>supra</w:t>
      </w:r>
      <w:r w:rsidRPr="00BA344E">
        <w:t>, 38 Cal.4th at p.</w:t>
      </w:r>
      <w:r>
        <w:t> 877.</w:t>
      </w:r>
      <w:r w:rsidRPr="009609D9">
        <w:t>)</w:t>
      </w:r>
      <w:r>
        <w:t xml:space="preserve">  Because the repeal clause would eliminate the constitutional right to bail enshrined in section 12, then by necessi</w:t>
      </w:r>
      <w:r>
        <w:t>ty section 28(e) had to articulate its own constitutional parameters for the availability of bail.  Thus, section 28(e)’s use of the permissive term “may” was properly understood as rendering “bail discretionary in all cases.”  (</w:t>
      </w:r>
      <w:r w:rsidRPr="00A558FF">
        <w:rPr>
          <w:i/>
          <w:iCs/>
        </w:rPr>
        <w:t>Standish</w:t>
      </w:r>
      <w:r>
        <w:t>, at p. 877.)  In s</w:t>
      </w:r>
      <w:r>
        <w:t>tark contrast, Proposition 9 had no repeal clause and thus presented t</w:t>
      </w:r>
      <w:r w:rsidRPr="009609D9">
        <w:t>he voters w</w:t>
      </w:r>
      <w:r>
        <w:t xml:space="preserve">ith </w:t>
      </w:r>
      <w:r w:rsidRPr="009609D9">
        <w:t xml:space="preserve">bail release provisions </w:t>
      </w:r>
      <w:r>
        <w:t xml:space="preserve">that, presumably, would have to operate concurrently with the existing constitutional provision recognizing the right to bail in most </w:t>
      </w:r>
      <w:r>
        <w:t>noncapital cases.  For the reasons discussed, our reading of section 28(f)(3) is the most natural one given the operative provisions of section 12.</w:t>
      </w:r>
    </w:p>
    <w:p w14:paraId="2AB07B07" w14:textId="77777777" w:rsidR="00DF0914" w:rsidRDefault="00C64D74" w:rsidP="00741396">
      <w:pPr>
        <w:spacing w:line="360" w:lineRule="auto"/>
        <w:rPr>
          <w:i/>
          <w:iCs/>
        </w:rPr>
      </w:pPr>
      <w:r>
        <w:tab/>
      </w:r>
      <w:bookmarkStart w:id="22" w:name="_Hlk116505227"/>
      <w:r>
        <w:t xml:space="preserve">In sum, we interpret </w:t>
      </w:r>
      <w:r w:rsidRPr="005F29C7">
        <w:t>the first sentence of section</w:t>
      </w:r>
      <w:r>
        <w:t> </w:t>
      </w:r>
      <w:r w:rsidRPr="005F29C7">
        <w:t xml:space="preserve">28(f)(3) </w:t>
      </w:r>
      <w:r>
        <w:t>as</w:t>
      </w:r>
      <w:r w:rsidRPr="005F29C7">
        <w:t xml:space="preserve"> a </w:t>
      </w:r>
      <w:r>
        <w:t>declarative statement</w:t>
      </w:r>
      <w:r w:rsidRPr="005F29C7">
        <w:t xml:space="preserve"> </w:t>
      </w:r>
      <w:r>
        <w:t>recognizing</w:t>
      </w:r>
      <w:r w:rsidRPr="005F29C7">
        <w:t xml:space="preserve"> </w:t>
      </w:r>
      <w:r>
        <w:t>that bai</w:t>
      </w:r>
      <w:r>
        <w:t>l may or may not be denied under existing law.  Under this construction, section 12’s general right to bail remains intact, while full effect is accorded to section 28(f)(3)’s mandate that</w:t>
      </w:r>
      <w:r w:rsidRPr="00B911E3">
        <w:t xml:space="preserve"> </w:t>
      </w:r>
      <w:r>
        <w:t>the rights of crime victims be respected in bail and OR release det</w:t>
      </w:r>
      <w:r>
        <w:t>erminations.</w:t>
      </w:r>
      <w:bookmarkEnd w:id="22"/>
    </w:p>
    <w:p w14:paraId="4F6C81E6" w14:textId="77777777" w:rsidR="009B7BBE" w:rsidRDefault="00C64D74" w:rsidP="00A558FF">
      <w:pPr>
        <w:keepNext/>
        <w:spacing w:line="360" w:lineRule="auto"/>
      </w:pPr>
      <w:bookmarkStart w:id="23" w:name="_Hlk119301181"/>
      <w:bookmarkEnd w:id="1"/>
      <w:r>
        <w:rPr>
          <w:i/>
          <w:iCs/>
        </w:rPr>
        <w:tab/>
      </w:r>
      <w:r>
        <w:rPr>
          <w:i/>
          <w:iCs/>
        </w:rPr>
        <w:tab/>
      </w:r>
      <w:r w:rsidRPr="005F29C7">
        <w:rPr>
          <w:i/>
          <w:iCs/>
        </w:rPr>
        <w:t xml:space="preserve">3.  </w:t>
      </w:r>
      <w:r>
        <w:rPr>
          <w:i/>
          <w:iCs/>
        </w:rPr>
        <w:t xml:space="preserve">Bail and OR release after </w:t>
      </w:r>
      <w:r>
        <w:t>Humphrey</w:t>
      </w:r>
    </w:p>
    <w:p w14:paraId="10C043E7" w14:textId="77777777" w:rsidR="00256E52" w:rsidRDefault="00C64D74" w:rsidP="00256E52">
      <w:pPr>
        <w:spacing w:line="360" w:lineRule="auto"/>
        <w:rPr>
          <w:szCs w:val="26"/>
        </w:rPr>
      </w:pPr>
      <w:r>
        <w:tab/>
      </w:r>
      <w:bookmarkStart w:id="24" w:name="_Hlk116472690"/>
      <w:bookmarkStart w:id="25" w:name="_Hlk114651699"/>
      <w:r>
        <w:t xml:space="preserve">As indicated, </w:t>
      </w:r>
      <w:r w:rsidRPr="000B3BFF">
        <w:rPr>
          <w:szCs w:val="26"/>
        </w:rPr>
        <w:t>section</w:t>
      </w:r>
      <w:r>
        <w:rPr>
          <w:szCs w:val="26"/>
        </w:rPr>
        <w:t> </w:t>
      </w:r>
      <w:r w:rsidRPr="000B3BFF">
        <w:rPr>
          <w:szCs w:val="26"/>
        </w:rPr>
        <w:t>12</w:t>
      </w:r>
      <w:r>
        <w:rPr>
          <w:szCs w:val="26"/>
        </w:rPr>
        <w:t xml:space="preserve"> provides that a person “shall be released </w:t>
      </w:r>
      <w:r w:rsidRPr="00A558FF">
        <w:rPr>
          <w:szCs w:val="26"/>
        </w:rPr>
        <w:t>on bail</w:t>
      </w:r>
      <w:r w:rsidRPr="00DB74EB">
        <w:rPr>
          <w:szCs w:val="26"/>
        </w:rPr>
        <w:t xml:space="preserve"> </w:t>
      </w:r>
      <w:r w:rsidRPr="00A558FF">
        <w:rPr>
          <w:szCs w:val="26"/>
        </w:rPr>
        <w:t>by sufficient sureties</w:t>
      </w:r>
      <w:r>
        <w:rPr>
          <w:szCs w:val="26"/>
        </w:rPr>
        <w:t>” except for capital crimes and specific felony offenses.  Having concluded that sections 12 and 28(f)(3</w:t>
      </w:r>
      <w:r>
        <w:rPr>
          <w:szCs w:val="26"/>
        </w:rPr>
        <w:t xml:space="preserve">) must be given concurrent effect, we turn to petitioner’s contention that section 12 guarantees </w:t>
      </w:r>
      <w:r>
        <w:t>an “</w:t>
      </w:r>
      <w:r w:rsidRPr="00B55163">
        <w:t>absolute right to pretrial release</w:t>
      </w:r>
      <w:r>
        <w:t xml:space="preserve">” and requires courts to set </w:t>
      </w:r>
      <w:r>
        <w:lastRenderedPageBreak/>
        <w:t xml:space="preserve">bail at an amount a defendant can afford. </w:t>
      </w:r>
      <w:r>
        <w:rPr>
          <w:szCs w:val="26"/>
        </w:rPr>
        <w:t xml:space="preserve"> For the reasons below, we reject petitioner’s exp</w:t>
      </w:r>
      <w:r>
        <w:rPr>
          <w:szCs w:val="26"/>
        </w:rPr>
        <w:t>ansive and novel reading of section 12.</w:t>
      </w:r>
    </w:p>
    <w:p w14:paraId="3AF9A53F" w14:textId="77777777" w:rsidR="00256E52" w:rsidRDefault="00C64D74" w:rsidP="00256E52">
      <w:pPr>
        <w:spacing w:line="360" w:lineRule="auto"/>
        <w:rPr>
          <w:szCs w:val="26"/>
        </w:rPr>
      </w:pPr>
      <w:r>
        <w:rPr>
          <w:szCs w:val="26"/>
        </w:rPr>
        <w:tab/>
      </w:r>
      <w:bookmarkStart w:id="26" w:name="_Hlk118211476"/>
      <w:r>
        <w:rPr>
          <w:szCs w:val="26"/>
        </w:rPr>
        <w:t xml:space="preserve">First, petitioner’s contention finds no support in the </w:t>
      </w:r>
      <w:r w:rsidRPr="0007437E">
        <w:rPr>
          <w:szCs w:val="26"/>
        </w:rPr>
        <w:t>plain language of</w:t>
      </w:r>
      <w:r>
        <w:rPr>
          <w:szCs w:val="26"/>
        </w:rPr>
        <w:t xml:space="preserve"> </w:t>
      </w:r>
      <w:r w:rsidRPr="0007437E">
        <w:rPr>
          <w:szCs w:val="26"/>
        </w:rPr>
        <w:t>section</w:t>
      </w:r>
      <w:r>
        <w:rPr>
          <w:szCs w:val="26"/>
        </w:rPr>
        <w:t> 12</w:t>
      </w:r>
      <w:bookmarkEnd w:id="26"/>
      <w:r>
        <w:rPr>
          <w:szCs w:val="26"/>
        </w:rPr>
        <w:t>.</w:t>
      </w:r>
      <w:r w:rsidRPr="00436D79">
        <w:rPr>
          <w:szCs w:val="26"/>
        </w:rPr>
        <w:t xml:space="preserve"> </w:t>
      </w:r>
      <w:r>
        <w:rPr>
          <w:szCs w:val="26"/>
        </w:rPr>
        <w:t xml:space="preserve"> </w:t>
      </w:r>
      <w:bookmarkEnd w:id="24"/>
      <w:r>
        <w:rPr>
          <w:szCs w:val="26"/>
        </w:rPr>
        <w:t>The phrase “released on bail by sufficient sureties” as used in both sections 12 and 28(f)(3)</w:t>
      </w:r>
      <w:r w:rsidRPr="00C910E3">
        <w:rPr>
          <w:szCs w:val="26"/>
        </w:rPr>
        <w:t xml:space="preserve"> </w:t>
      </w:r>
      <w:r w:rsidRPr="00AB3963">
        <w:rPr>
          <w:szCs w:val="26"/>
        </w:rPr>
        <w:t>generally refers to the state of be</w:t>
      </w:r>
      <w:r w:rsidRPr="00AB3963">
        <w:rPr>
          <w:szCs w:val="26"/>
        </w:rPr>
        <w:t>ing released from custody after the posting of some</w:t>
      </w:r>
      <w:r>
        <w:rPr>
          <w:szCs w:val="26"/>
        </w:rPr>
        <w:t xml:space="preserve"> sufficient</w:t>
      </w:r>
      <w:r w:rsidRPr="00AB3963">
        <w:rPr>
          <w:szCs w:val="26"/>
        </w:rPr>
        <w:t xml:space="preserve"> security</w:t>
      </w:r>
      <w:r>
        <w:rPr>
          <w:szCs w:val="26"/>
        </w:rPr>
        <w:t xml:space="preserve"> such as “cash, property, or (more often) a commercial bail bond</w:t>
      </w:r>
      <w:r w:rsidRPr="00AB3963">
        <w:rPr>
          <w:szCs w:val="26"/>
        </w:rPr>
        <w:t xml:space="preserve">—which is forfeited if the arrestee later fails to appear in court.”  </w:t>
      </w:r>
      <w:r>
        <w:rPr>
          <w:szCs w:val="26"/>
        </w:rPr>
        <w:t>(</w:t>
      </w:r>
      <w:r w:rsidRPr="00CA4B31">
        <w:rPr>
          <w:i/>
          <w:iCs/>
          <w:szCs w:val="26"/>
        </w:rPr>
        <w:t>Humphrey</w:t>
      </w:r>
      <w:r w:rsidRPr="00AB3963">
        <w:rPr>
          <w:szCs w:val="26"/>
        </w:rPr>
        <w:t xml:space="preserve">, </w:t>
      </w:r>
      <w:r w:rsidRPr="00CA4B31">
        <w:rPr>
          <w:i/>
          <w:iCs/>
          <w:szCs w:val="26"/>
        </w:rPr>
        <w:t>supra</w:t>
      </w:r>
      <w:r w:rsidRPr="00AB3963">
        <w:rPr>
          <w:szCs w:val="26"/>
        </w:rPr>
        <w:t>, 11 Cal.5th at p.</w:t>
      </w:r>
      <w:r>
        <w:rPr>
          <w:szCs w:val="26"/>
        </w:rPr>
        <w:t> </w:t>
      </w:r>
      <w:r w:rsidRPr="00AB3963">
        <w:rPr>
          <w:szCs w:val="26"/>
        </w:rPr>
        <w:t>142</w:t>
      </w:r>
      <w:r>
        <w:rPr>
          <w:szCs w:val="26"/>
        </w:rPr>
        <w:t>;</w:t>
      </w:r>
      <w:r w:rsidRPr="00AB3963">
        <w:rPr>
          <w:szCs w:val="26"/>
        </w:rPr>
        <w:t xml:space="preserve"> Pen. Code, </w:t>
      </w:r>
      <w:r w:rsidRPr="00AB3963">
        <w:rPr>
          <w:szCs w:val="26"/>
        </w:rPr>
        <w:t>§§</w:t>
      </w:r>
      <w:r>
        <w:rPr>
          <w:szCs w:val="26"/>
        </w:rPr>
        <w:t> </w:t>
      </w:r>
      <w:r w:rsidRPr="00AB3963">
        <w:rPr>
          <w:szCs w:val="26"/>
        </w:rPr>
        <w:t xml:space="preserve">1268, 1269; accord </w:t>
      </w:r>
      <w:r w:rsidRPr="00CA4B31">
        <w:rPr>
          <w:i/>
          <w:iCs/>
          <w:szCs w:val="26"/>
        </w:rPr>
        <w:t>Stack v. Boyle</w:t>
      </w:r>
      <w:r w:rsidRPr="00AB3963">
        <w:rPr>
          <w:szCs w:val="26"/>
        </w:rPr>
        <w:t xml:space="preserve"> (1951) 342 U.S. 1, 5.)  </w:t>
      </w:r>
      <w:r>
        <w:rPr>
          <w:szCs w:val="26"/>
        </w:rPr>
        <w:t>A</w:t>
      </w:r>
      <w:r w:rsidRPr="00C933C1">
        <w:rPr>
          <w:szCs w:val="26"/>
        </w:rPr>
        <w:t xml:space="preserve"> “surety” is</w:t>
      </w:r>
      <w:r>
        <w:rPr>
          <w:szCs w:val="26"/>
        </w:rPr>
        <w:t>:  “</w:t>
      </w:r>
      <w:r w:rsidRPr="0000084E">
        <w:rPr>
          <w:szCs w:val="26"/>
        </w:rPr>
        <w:t>1.</w:t>
      </w:r>
      <w:r>
        <w:rPr>
          <w:szCs w:val="26"/>
        </w:rPr>
        <w:t> </w:t>
      </w:r>
      <w:r w:rsidRPr="0000084E">
        <w:rPr>
          <w:szCs w:val="26"/>
        </w:rPr>
        <w:t>Someone who is primarily liable for paying another</w:t>
      </w:r>
      <w:r>
        <w:rPr>
          <w:szCs w:val="26"/>
        </w:rPr>
        <w:t>’</w:t>
      </w:r>
      <w:r w:rsidRPr="0000084E">
        <w:rPr>
          <w:szCs w:val="26"/>
        </w:rPr>
        <w:t>s debt or performing another</w:t>
      </w:r>
      <w:r>
        <w:rPr>
          <w:szCs w:val="26"/>
        </w:rPr>
        <w:t>’</w:t>
      </w:r>
      <w:r w:rsidRPr="0000084E">
        <w:rPr>
          <w:szCs w:val="26"/>
        </w:rPr>
        <w:t>s obligation</w:t>
      </w:r>
      <w:r>
        <w:rPr>
          <w:szCs w:val="26"/>
        </w:rPr>
        <w:t>” or “</w:t>
      </w:r>
      <w:r w:rsidRPr="0000084E">
        <w:rPr>
          <w:szCs w:val="26"/>
        </w:rPr>
        <w:t>2.</w:t>
      </w:r>
      <w:r>
        <w:rPr>
          <w:szCs w:val="26"/>
        </w:rPr>
        <w:t> </w:t>
      </w:r>
      <w:r w:rsidRPr="0000084E">
        <w:rPr>
          <w:szCs w:val="26"/>
        </w:rPr>
        <w:t xml:space="preserve">A formal assurance; esp., a pledge, bond, guarantee, or security </w:t>
      </w:r>
      <w:r w:rsidRPr="0000084E">
        <w:rPr>
          <w:szCs w:val="26"/>
        </w:rPr>
        <w:t>given for the fulfillment of an undertakin</w:t>
      </w:r>
      <w:r>
        <w:rPr>
          <w:szCs w:val="26"/>
        </w:rPr>
        <w:t>g.”  (</w:t>
      </w:r>
      <w:r w:rsidRPr="00C933C1">
        <w:rPr>
          <w:szCs w:val="26"/>
        </w:rPr>
        <w:t>Black’s Law Dict. (11th</w:t>
      </w:r>
      <w:r>
        <w:rPr>
          <w:szCs w:val="26"/>
        </w:rPr>
        <w:t> </w:t>
      </w:r>
      <w:r w:rsidRPr="00C933C1">
        <w:rPr>
          <w:szCs w:val="26"/>
        </w:rPr>
        <w:t>ed. 2019) p.</w:t>
      </w:r>
      <w:r>
        <w:rPr>
          <w:szCs w:val="26"/>
        </w:rPr>
        <w:t> </w:t>
      </w:r>
      <w:r w:rsidRPr="00C933C1">
        <w:rPr>
          <w:szCs w:val="26"/>
        </w:rPr>
        <w:t>1742, col.</w:t>
      </w:r>
      <w:r>
        <w:rPr>
          <w:szCs w:val="26"/>
        </w:rPr>
        <w:t> </w:t>
      </w:r>
      <w:r w:rsidRPr="00C933C1">
        <w:rPr>
          <w:szCs w:val="26"/>
        </w:rPr>
        <w:t>2</w:t>
      </w:r>
      <w:r>
        <w:rPr>
          <w:szCs w:val="26"/>
        </w:rPr>
        <w:t>;</w:t>
      </w:r>
      <w:r w:rsidRPr="009D2702">
        <w:rPr>
          <w:szCs w:val="26"/>
        </w:rPr>
        <w:t xml:space="preserve"> </w:t>
      </w:r>
      <w:r>
        <w:rPr>
          <w:szCs w:val="26"/>
        </w:rPr>
        <w:t>Civ. Code, § 2787 [enacted in 1872 and defining a surety as “</w:t>
      </w:r>
      <w:r w:rsidRPr="00A86F3D">
        <w:rPr>
          <w:szCs w:val="26"/>
        </w:rPr>
        <w:t>one who promises to answer for the debt, default, or miscarriage of another, or hypothecates pro</w:t>
      </w:r>
      <w:r w:rsidRPr="00A86F3D">
        <w:rPr>
          <w:szCs w:val="26"/>
        </w:rPr>
        <w:t>perty as security therefor</w:t>
      </w:r>
      <w:r>
        <w:rPr>
          <w:szCs w:val="26"/>
        </w:rPr>
        <w:t>”].)</w:t>
      </w:r>
    </w:p>
    <w:p w14:paraId="164541CC" w14:textId="77777777" w:rsidR="00580F15" w:rsidRDefault="00C64D74">
      <w:pPr>
        <w:spacing w:line="360" w:lineRule="auto"/>
        <w:rPr>
          <w:szCs w:val="26"/>
        </w:rPr>
      </w:pPr>
      <w:r>
        <w:rPr>
          <w:szCs w:val="26"/>
        </w:rPr>
        <w:tab/>
        <w:t>Although we have found no California case expressly interpreting the phrase “sufficient sureties,” the phrase must be construed in conjunction with section 12’s requirement that trial courts fix the amount of bail upon consi</w:t>
      </w:r>
      <w:r>
        <w:rPr>
          <w:szCs w:val="26"/>
        </w:rPr>
        <w:t>deration of “the seriousness of the offense charged, the previous criminal record of the defendant, and the probability of his or her appearing at the trial or hearing of the case.”  When viewed as a whole, and with reference to section 28(f)(3)’s addition</w:t>
      </w:r>
      <w:r>
        <w:rPr>
          <w:szCs w:val="26"/>
        </w:rPr>
        <w:t xml:space="preserve">al considerations of public and victim safety, the most natural reading of section 12 is that a person has a right to be released upon the posting of a sufficient security which a court, in its discretion, determines is adequate to </w:t>
      </w:r>
      <w:r w:rsidRPr="001D6195">
        <w:rPr>
          <w:szCs w:val="26"/>
        </w:rPr>
        <w:t>accomplish the</w:t>
      </w:r>
      <w:r>
        <w:rPr>
          <w:szCs w:val="26"/>
        </w:rPr>
        <w:t xml:space="preserve"> </w:t>
      </w:r>
      <w:r w:rsidRPr="001D6195">
        <w:rPr>
          <w:szCs w:val="26"/>
        </w:rPr>
        <w:t>purpose</w:t>
      </w:r>
      <w:r>
        <w:rPr>
          <w:szCs w:val="26"/>
        </w:rPr>
        <w:t>s</w:t>
      </w:r>
      <w:r w:rsidRPr="001D6195">
        <w:rPr>
          <w:szCs w:val="26"/>
        </w:rPr>
        <w:t xml:space="preserve"> </w:t>
      </w:r>
      <w:r w:rsidRPr="001D6195">
        <w:rPr>
          <w:szCs w:val="26"/>
        </w:rPr>
        <w:t>of bail</w:t>
      </w:r>
      <w:r>
        <w:rPr>
          <w:szCs w:val="26"/>
        </w:rPr>
        <w:t xml:space="preserve">, i.e., to protect public and victim </w:t>
      </w:r>
      <w:r w:rsidRPr="00454A32">
        <w:rPr>
          <w:szCs w:val="26"/>
        </w:rPr>
        <w:t>safety</w:t>
      </w:r>
      <w:r>
        <w:rPr>
          <w:szCs w:val="26"/>
        </w:rPr>
        <w:t xml:space="preserve"> and to ensure a </w:t>
      </w:r>
      <w:r w:rsidRPr="00BF37B1">
        <w:rPr>
          <w:szCs w:val="26"/>
        </w:rPr>
        <w:t xml:space="preserve">defendant’s presence in court.  </w:t>
      </w:r>
      <w:r w:rsidRPr="00BF37B1">
        <w:rPr>
          <w:szCs w:val="26"/>
        </w:rPr>
        <w:lastRenderedPageBreak/>
        <w:t>(§</w:t>
      </w:r>
      <w:r>
        <w:rPr>
          <w:szCs w:val="26"/>
        </w:rPr>
        <w:t xml:space="preserve">§ 12; </w:t>
      </w:r>
      <w:r w:rsidRPr="00BF37B1">
        <w:rPr>
          <w:szCs w:val="26"/>
        </w:rPr>
        <w:t>28(b)(3), (f)(3).)</w:t>
      </w:r>
      <w:r>
        <w:rPr>
          <w:szCs w:val="26"/>
        </w:rPr>
        <w:t xml:space="preserve">  This construction clearly promotes the constitutionally-based policy purposes of bail, while a contrary construction that categor</w:t>
      </w:r>
      <w:r>
        <w:rPr>
          <w:szCs w:val="26"/>
        </w:rPr>
        <w:t>ically requires release on affordable bail does not.</w:t>
      </w:r>
    </w:p>
    <w:p w14:paraId="79F9F5C3" w14:textId="77777777" w:rsidR="00256E52" w:rsidRDefault="00C64D74">
      <w:pPr>
        <w:spacing w:line="360" w:lineRule="auto"/>
        <w:rPr>
          <w:szCs w:val="26"/>
        </w:rPr>
      </w:pPr>
      <w:r w:rsidRPr="00975507">
        <w:rPr>
          <w:szCs w:val="26"/>
        </w:rPr>
        <w:tab/>
      </w:r>
      <w:r>
        <w:rPr>
          <w:szCs w:val="26"/>
        </w:rPr>
        <w:t>Indeed, our construction comports with the long history of section 12, which has never been understood as mandating</w:t>
      </w:r>
      <w:r w:rsidRPr="00B138EA">
        <w:rPr>
          <w:szCs w:val="26"/>
        </w:rPr>
        <w:t xml:space="preserve"> </w:t>
      </w:r>
      <w:r w:rsidRPr="00D171CA">
        <w:rPr>
          <w:szCs w:val="26"/>
        </w:rPr>
        <w:t>affordable</w:t>
      </w:r>
      <w:r w:rsidRPr="00B85A12">
        <w:rPr>
          <w:szCs w:val="26"/>
        </w:rPr>
        <w:t xml:space="preserve"> </w:t>
      </w:r>
      <w:r>
        <w:rPr>
          <w:szCs w:val="26"/>
        </w:rPr>
        <w:t xml:space="preserve">bail.  At the time our state Constitution was drafted in 1879, people </w:t>
      </w:r>
      <w:r>
        <w:rPr>
          <w:szCs w:val="26"/>
        </w:rPr>
        <w:t>were routinely confined in jail for want of bail.  (</w:t>
      </w:r>
      <w:r w:rsidRPr="007537F3">
        <w:rPr>
          <w:szCs w:val="26"/>
        </w:rPr>
        <w:t>1 Willis &amp; Stockton, Debates</w:t>
      </w:r>
      <w:r>
        <w:rPr>
          <w:szCs w:val="26"/>
        </w:rPr>
        <w:t xml:space="preserve"> </w:t>
      </w:r>
      <w:r w:rsidRPr="007537F3">
        <w:rPr>
          <w:szCs w:val="26"/>
        </w:rPr>
        <w:t>and Proceedings, Cal. Const. Convention 1878</w:t>
      </w:r>
      <w:r>
        <w:rPr>
          <w:szCs w:val="26"/>
        </w:rPr>
        <w:t>–</w:t>
      </w:r>
      <w:r w:rsidRPr="007537F3">
        <w:rPr>
          <w:szCs w:val="26"/>
        </w:rPr>
        <w:t>1879 (1880), p.</w:t>
      </w:r>
      <w:r>
        <w:rPr>
          <w:szCs w:val="26"/>
        </w:rPr>
        <w:t> </w:t>
      </w:r>
      <w:r w:rsidRPr="007537F3">
        <w:rPr>
          <w:szCs w:val="26"/>
        </w:rPr>
        <w:t>310 [“the vast majority of those who are committed</w:t>
      </w:r>
      <w:r>
        <w:rPr>
          <w:szCs w:val="26"/>
        </w:rPr>
        <w:t xml:space="preserve"> </w:t>
      </w:r>
      <w:r w:rsidRPr="007537F3">
        <w:rPr>
          <w:szCs w:val="26"/>
        </w:rPr>
        <w:t xml:space="preserve">for various offenses under felonies are persons who are unable </w:t>
      </w:r>
      <w:r w:rsidRPr="007537F3">
        <w:rPr>
          <w:szCs w:val="26"/>
        </w:rPr>
        <w:t xml:space="preserve">to give bail”]; </w:t>
      </w:r>
      <w:r w:rsidRPr="00FA07FC">
        <w:rPr>
          <w:i/>
          <w:iCs/>
          <w:szCs w:val="26"/>
        </w:rPr>
        <w:t>id.</w:t>
      </w:r>
      <w:r>
        <w:rPr>
          <w:szCs w:val="26"/>
        </w:rPr>
        <w:t xml:space="preserve"> at p. 317 [“</w:t>
      </w:r>
      <w:r w:rsidRPr="000527C1">
        <w:rPr>
          <w:szCs w:val="26"/>
        </w:rPr>
        <w:t xml:space="preserve">if </w:t>
      </w:r>
      <w:r>
        <w:rPr>
          <w:szCs w:val="26"/>
        </w:rPr>
        <w:t>[a man]</w:t>
      </w:r>
      <w:r w:rsidRPr="000527C1">
        <w:rPr>
          <w:szCs w:val="26"/>
        </w:rPr>
        <w:t xml:space="preserve"> </w:t>
      </w:r>
      <w:r>
        <w:rPr>
          <w:szCs w:val="26"/>
        </w:rPr>
        <w:t>[is]</w:t>
      </w:r>
      <w:r w:rsidRPr="000527C1">
        <w:rPr>
          <w:szCs w:val="26"/>
        </w:rPr>
        <w:t xml:space="preserve"> poor and unable to give bail, he must go to jail, there to remain per</w:t>
      </w:r>
      <w:r>
        <w:rPr>
          <w:szCs w:val="26"/>
        </w:rPr>
        <w:t>h</w:t>
      </w:r>
      <w:r w:rsidRPr="000527C1">
        <w:rPr>
          <w:szCs w:val="26"/>
        </w:rPr>
        <w:t>aps for months to await the meeting of the Grand Jury</w:t>
      </w:r>
      <w:r>
        <w:rPr>
          <w:szCs w:val="26"/>
        </w:rPr>
        <w:t xml:space="preserve">”]; </w:t>
      </w:r>
      <w:r w:rsidRPr="007537F3">
        <w:rPr>
          <w:szCs w:val="26"/>
        </w:rPr>
        <w:t xml:space="preserve">3 Willis &amp; Stockton, </w:t>
      </w:r>
      <w:r w:rsidRPr="00860C51">
        <w:rPr>
          <w:i/>
          <w:iCs/>
          <w:szCs w:val="26"/>
        </w:rPr>
        <w:t>supra</w:t>
      </w:r>
      <w:r w:rsidRPr="007537F3">
        <w:rPr>
          <w:szCs w:val="26"/>
        </w:rPr>
        <w:t>, at p.</w:t>
      </w:r>
      <w:r>
        <w:rPr>
          <w:szCs w:val="26"/>
        </w:rPr>
        <w:t> </w:t>
      </w:r>
      <w:r w:rsidRPr="007537F3">
        <w:rPr>
          <w:szCs w:val="26"/>
        </w:rPr>
        <w:t>1188</w:t>
      </w:r>
      <w:r>
        <w:rPr>
          <w:szCs w:val="26"/>
        </w:rPr>
        <w:t xml:space="preserve"> </w:t>
      </w:r>
      <w:r w:rsidRPr="007537F3">
        <w:rPr>
          <w:szCs w:val="26"/>
        </w:rPr>
        <w:t xml:space="preserve">[“Sometimes we lock men up because </w:t>
      </w:r>
      <w:r w:rsidRPr="007537F3">
        <w:rPr>
          <w:szCs w:val="26"/>
        </w:rPr>
        <w:t>they cannot give bail”</w:t>
      </w:r>
      <w:r>
        <w:rPr>
          <w:szCs w:val="26"/>
        </w:rPr>
        <w:t xml:space="preserve">].)  Section 12 and its predecessors sought to curtail this all-too-common situation by expressly </w:t>
      </w:r>
      <w:r w:rsidRPr="00437248">
        <w:rPr>
          <w:szCs w:val="26"/>
        </w:rPr>
        <w:t>recognizing a right to bail in most cases</w:t>
      </w:r>
      <w:r>
        <w:rPr>
          <w:szCs w:val="26"/>
        </w:rPr>
        <w:t>, and by prohibiting the imposition of excessive bail.  But neither of these constitutional pro</w:t>
      </w:r>
      <w:r>
        <w:rPr>
          <w:szCs w:val="26"/>
        </w:rPr>
        <w:t>visions has ever been construed as imposing an absolute requirement that bail be affordable.</w:t>
      </w:r>
      <w:r>
        <w:rPr>
          <w:rStyle w:val="FootnoteReference"/>
          <w:szCs w:val="26"/>
        </w:rPr>
        <w:footnoteReference w:id="8"/>
      </w:r>
    </w:p>
    <w:p w14:paraId="0556450F" w14:textId="77777777" w:rsidR="00835403" w:rsidRDefault="00C64D74" w:rsidP="00256E52">
      <w:pPr>
        <w:spacing w:line="360" w:lineRule="auto"/>
        <w:rPr>
          <w:szCs w:val="26"/>
        </w:rPr>
      </w:pPr>
      <w:r w:rsidRPr="00975507">
        <w:rPr>
          <w:szCs w:val="26"/>
        </w:rPr>
        <w:lastRenderedPageBreak/>
        <w:tab/>
      </w:r>
      <w:r>
        <w:rPr>
          <w:szCs w:val="26"/>
        </w:rPr>
        <w:t>Notably</w:t>
      </w:r>
      <w:r w:rsidRPr="00975507">
        <w:rPr>
          <w:szCs w:val="26"/>
        </w:rPr>
        <w:t xml:space="preserve">, petitioner’s position </w:t>
      </w:r>
      <w:r>
        <w:rPr>
          <w:szCs w:val="26"/>
        </w:rPr>
        <w:t xml:space="preserve">that bail must be affordable </w:t>
      </w:r>
      <w:r w:rsidRPr="00975507">
        <w:rPr>
          <w:szCs w:val="26"/>
        </w:rPr>
        <w:t xml:space="preserve">was essentially rejected </w:t>
      </w:r>
      <w:r>
        <w:rPr>
          <w:szCs w:val="26"/>
        </w:rPr>
        <w:t>well over a century ago</w:t>
      </w:r>
      <w:r w:rsidRPr="00975507">
        <w:rPr>
          <w:szCs w:val="26"/>
        </w:rPr>
        <w:t xml:space="preserve"> in the cases of </w:t>
      </w:r>
      <w:r w:rsidRPr="00975507">
        <w:rPr>
          <w:i/>
          <w:iCs/>
          <w:szCs w:val="26"/>
        </w:rPr>
        <w:t xml:space="preserve">Ex parte Duncan </w:t>
      </w:r>
      <w:r w:rsidRPr="00975507">
        <w:rPr>
          <w:szCs w:val="26"/>
        </w:rPr>
        <w:t xml:space="preserve">(1879) 53 Cal. 410 </w:t>
      </w:r>
      <w:r w:rsidRPr="00975507">
        <w:rPr>
          <w:szCs w:val="26"/>
        </w:rPr>
        <w:t>(</w:t>
      </w:r>
      <w:r w:rsidRPr="00975507">
        <w:rPr>
          <w:i/>
          <w:iCs/>
          <w:szCs w:val="26"/>
        </w:rPr>
        <w:t>Duncan I</w:t>
      </w:r>
      <w:r w:rsidRPr="00975507">
        <w:rPr>
          <w:szCs w:val="26"/>
        </w:rPr>
        <w:t xml:space="preserve">) and </w:t>
      </w:r>
      <w:r w:rsidRPr="00975507">
        <w:rPr>
          <w:i/>
          <w:iCs/>
          <w:szCs w:val="26"/>
        </w:rPr>
        <w:t>Ex parte Duncan</w:t>
      </w:r>
      <w:r w:rsidRPr="00975507">
        <w:rPr>
          <w:szCs w:val="26"/>
        </w:rPr>
        <w:t xml:space="preserve"> (1879) 54 Cal. 75 (</w:t>
      </w:r>
      <w:r w:rsidRPr="00975507">
        <w:rPr>
          <w:i/>
          <w:iCs/>
          <w:szCs w:val="26"/>
        </w:rPr>
        <w:t>Duncan II</w:t>
      </w:r>
      <w:r w:rsidRPr="00975507">
        <w:rPr>
          <w:szCs w:val="26"/>
        </w:rPr>
        <w:t xml:space="preserve">), </w:t>
      </w:r>
      <w:r>
        <w:rPr>
          <w:szCs w:val="26"/>
        </w:rPr>
        <w:t>in which</w:t>
      </w:r>
      <w:r w:rsidRPr="00975507">
        <w:rPr>
          <w:szCs w:val="26"/>
        </w:rPr>
        <w:t xml:space="preserve"> a prisoner twice sought relief by habeas corpus to have his bail amount lowered, and twice the high court denied relief.  (</w:t>
      </w:r>
      <w:r w:rsidRPr="00975507">
        <w:rPr>
          <w:i/>
          <w:iCs/>
          <w:szCs w:val="26"/>
        </w:rPr>
        <w:t>Duncan</w:t>
      </w:r>
      <w:r w:rsidRPr="00975507">
        <w:rPr>
          <w:szCs w:val="26"/>
        </w:rPr>
        <w:t> </w:t>
      </w:r>
      <w:r w:rsidRPr="00975507">
        <w:rPr>
          <w:i/>
          <w:iCs/>
          <w:szCs w:val="26"/>
        </w:rPr>
        <w:t>I</w:t>
      </w:r>
      <w:r w:rsidRPr="00975507">
        <w:rPr>
          <w:szCs w:val="26"/>
        </w:rPr>
        <w:t xml:space="preserve">, at pp. 411–412; </w:t>
      </w:r>
      <w:r w:rsidRPr="00975507">
        <w:rPr>
          <w:i/>
          <w:iCs/>
          <w:szCs w:val="26"/>
        </w:rPr>
        <w:t>Duncan II</w:t>
      </w:r>
      <w:r w:rsidRPr="00975507">
        <w:rPr>
          <w:szCs w:val="26"/>
        </w:rPr>
        <w:t xml:space="preserve">, at pp. 76, 80.)  In </w:t>
      </w:r>
      <w:r w:rsidRPr="00975507">
        <w:rPr>
          <w:i/>
          <w:iCs/>
          <w:szCs w:val="26"/>
        </w:rPr>
        <w:t>Dunca</w:t>
      </w:r>
      <w:r w:rsidRPr="00975507">
        <w:rPr>
          <w:i/>
          <w:iCs/>
          <w:szCs w:val="26"/>
        </w:rPr>
        <w:t>n I</w:t>
      </w:r>
      <w:r w:rsidRPr="00975507">
        <w:rPr>
          <w:szCs w:val="26"/>
        </w:rPr>
        <w:t>, the court indicated that the setting of the amount of bail was a matter of judicial discretion, to be interfered with on review only when the amount was excessive, i.e., “ ‘</w:t>
      </w:r>
      <w:r w:rsidRPr="00975507">
        <w:rPr>
          <w:i/>
          <w:iCs/>
          <w:szCs w:val="26"/>
        </w:rPr>
        <w:t>per se</w:t>
      </w:r>
      <w:r w:rsidRPr="00975507">
        <w:rPr>
          <w:szCs w:val="26"/>
        </w:rPr>
        <w:t xml:space="preserve"> unreasonably great and clearly disproportionate to the offense involved</w:t>
      </w:r>
      <w:r w:rsidRPr="00975507">
        <w:rPr>
          <w:szCs w:val="26"/>
        </w:rPr>
        <w:t>,’ etc.”  (</w:t>
      </w:r>
      <w:r w:rsidRPr="00975507">
        <w:rPr>
          <w:i/>
          <w:iCs/>
          <w:szCs w:val="26"/>
        </w:rPr>
        <w:t>Duncan</w:t>
      </w:r>
      <w:r w:rsidRPr="00975507">
        <w:rPr>
          <w:szCs w:val="26"/>
        </w:rPr>
        <w:t> </w:t>
      </w:r>
      <w:r w:rsidRPr="00975507">
        <w:rPr>
          <w:i/>
          <w:iCs/>
          <w:szCs w:val="26"/>
        </w:rPr>
        <w:t>I</w:t>
      </w:r>
      <w:r w:rsidRPr="00975507">
        <w:rPr>
          <w:szCs w:val="26"/>
        </w:rPr>
        <w:t xml:space="preserve">, at p. 411.)  </w:t>
      </w:r>
    </w:p>
    <w:p w14:paraId="59A416CE" w14:textId="77777777" w:rsidR="00114149" w:rsidRDefault="00C64D74" w:rsidP="00256E52">
      <w:pPr>
        <w:spacing w:line="360" w:lineRule="auto"/>
        <w:rPr>
          <w:szCs w:val="26"/>
        </w:rPr>
      </w:pPr>
      <w:r>
        <w:rPr>
          <w:szCs w:val="26"/>
        </w:rPr>
        <w:tab/>
      </w:r>
      <w:r w:rsidRPr="00975507">
        <w:rPr>
          <w:szCs w:val="26"/>
        </w:rPr>
        <w:t xml:space="preserve">More significantly, in </w:t>
      </w:r>
      <w:r w:rsidRPr="00975507">
        <w:rPr>
          <w:i/>
          <w:iCs/>
          <w:szCs w:val="26"/>
        </w:rPr>
        <w:t>Duncan II</w:t>
      </w:r>
      <w:r w:rsidRPr="00975507">
        <w:rPr>
          <w:szCs w:val="26"/>
        </w:rPr>
        <w:t xml:space="preserve">, the </w:t>
      </w:r>
      <w:r>
        <w:rPr>
          <w:szCs w:val="26"/>
        </w:rPr>
        <w:t>court confronted and rejected the argument that a bail amount is excessive simply because a prisoner is unable to procure it.  (</w:t>
      </w:r>
      <w:r w:rsidRPr="00733A85">
        <w:rPr>
          <w:i/>
          <w:iCs/>
          <w:szCs w:val="26"/>
        </w:rPr>
        <w:t>Duncan II</w:t>
      </w:r>
      <w:r>
        <w:rPr>
          <w:szCs w:val="26"/>
        </w:rPr>
        <w:t xml:space="preserve">, </w:t>
      </w:r>
      <w:r w:rsidRPr="00B55142">
        <w:rPr>
          <w:i/>
          <w:iCs/>
          <w:szCs w:val="26"/>
        </w:rPr>
        <w:t>supra</w:t>
      </w:r>
      <w:r>
        <w:rPr>
          <w:szCs w:val="26"/>
        </w:rPr>
        <w:t>, 54 Cal. at pp. 77–78.)</w:t>
      </w:r>
      <w:r w:rsidRPr="00975507">
        <w:rPr>
          <w:szCs w:val="26"/>
        </w:rPr>
        <w:t xml:space="preserve">  </w:t>
      </w:r>
      <w:r>
        <w:rPr>
          <w:szCs w:val="26"/>
        </w:rPr>
        <w:t xml:space="preserve">As </w:t>
      </w:r>
      <w:r w:rsidRPr="00B55142">
        <w:rPr>
          <w:i/>
          <w:iCs/>
          <w:szCs w:val="26"/>
        </w:rPr>
        <w:t xml:space="preserve">Duncan </w:t>
      </w:r>
      <w:r w:rsidRPr="00B55142">
        <w:rPr>
          <w:i/>
          <w:iCs/>
          <w:szCs w:val="26"/>
        </w:rPr>
        <w:t>II</w:t>
      </w:r>
      <w:r>
        <w:rPr>
          <w:szCs w:val="26"/>
        </w:rPr>
        <w:t xml:space="preserve"> explained, “</w:t>
      </w:r>
      <w:r w:rsidRPr="00B55142">
        <w:rPr>
          <w:szCs w:val="26"/>
        </w:rPr>
        <w:t>Undoubtedly the extent of the pecuniary ability of a prisoner to furnish bail is a circumstance among other circumstances to be considered in fixing the amount</w:t>
      </w:r>
      <w:r w:rsidRPr="00BD62C1">
        <w:rPr>
          <w:szCs w:val="26"/>
        </w:rPr>
        <w:t xml:space="preserve"> in</w:t>
      </w:r>
      <w:r w:rsidRPr="00975507">
        <w:rPr>
          <w:szCs w:val="26"/>
        </w:rPr>
        <w:t xml:space="preserve"> which it is to be required</w:t>
      </w:r>
      <w:r w:rsidRPr="00114149">
        <w:rPr>
          <w:szCs w:val="26"/>
        </w:rPr>
        <w:t xml:space="preserve">, </w:t>
      </w:r>
      <w:r w:rsidRPr="00B55142">
        <w:rPr>
          <w:szCs w:val="26"/>
        </w:rPr>
        <w:t>but it is not in itself controlling.</w:t>
      </w:r>
      <w:r w:rsidRPr="00975507">
        <w:rPr>
          <w:i/>
          <w:iCs/>
          <w:szCs w:val="26"/>
        </w:rPr>
        <w:t xml:space="preserve">  If the posit</w:t>
      </w:r>
      <w:r w:rsidRPr="00975507">
        <w:rPr>
          <w:i/>
          <w:iCs/>
          <w:szCs w:val="26"/>
        </w:rPr>
        <w:t xml:space="preserve">ion of the counsel were correct, then the fact that the prisoner had no means of his own, and no friends who were able or willing to become sureties for him, even in the smallest </w:t>
      </w:r>
      <w:r w:rsidRPr="00114149">
        <w:rPr>
          <w:i/>
          <w:iCs/>
          <w:szCs w:val="26"/>
        </w:rPr>
        <w:t xml:space="preserve">sum, </w:t>
      </w:r>
      <w:r w:rsidRPr="00B55142">
        <w:rPr>
          <w:i/>
          <w:iCs/>
          <w:szCs w:val="26"/>
        </w:rPr>
        <w:t xml:space="preserve">would constitute a case of </w:t>
      </w:r>
      <w:r w:rsidRPr="00B55142">
        <w:rPr>
          <w:i/>
          <w:iCs/>
          <w:szCs w:val="26"/>
        </w:rPr>
        <w:lastRenderedPageBreak/>
        <w:t>excessive bail, and</w:t>
      </w:r>
      <w:r w:rsidRPr="00114149">
        <w:rPr>
          <w:i/>
          <w:iCs/>
          <w:szCs w:val="26"/>
        </w:rPr>
        <w:t xml:space="preserve"> would entitle him to go a</w:t>
      </w:r>
      <w:r w:rsidRPr="00114149">
        <w:rPr>
          <w:i/>
          <w:iCs/>
          <w:szCs w:val="26"/>
        </w:rPr>
        <w:t>t la</w:t>
      </w:r>
      <w:r w:rsidRPr="00975507">
        <w:rPr>
          <w:i/>
          <w:iCs/>
          <w:szCs w:val="26"/>
        </w:rPr>
        <w:t>rge upon his own recognizance</w:t>
      </w:r>
      <w:r w:rsidRPr="00975507">
        <w:rPr>
          <w:szCs w:val="26"/>
        </w:rPr>
        <w:t>.”  (</w:t>
      </w:r>
      <w:r w:rsidRPr="00975507">
        <w:rPr>
          <w:i/>
          <w:iCs/>
          <w:szCs w:val="26"/>
        </w:rPr>
        <w:t>Duncan II</w:t>
      </w:r>
      <w:r w:rsidRPr="00975507">
        <w:rPr>
          <w:szCs w:val="26"/>
        </w:rPr>
        <w:t>, at p. 78, italics added.)</w:t>
      </w:r>
    </w:p>
    <w:p w14:paraId="070BCC2F" w14:textId="77777777" w:rsidR="00256E52" w:rsidRPr="00975507" w:rsidRDefault="00C64D74" w:rsidP="00256E52">
      <w:pPr>
        <w:spacing w:line="360" w:lineRule="auto"/>
        <w:rPr>
          <w:szCs w:val="26"/>
        </w:rPr>
      </w:pPr>
      <w:r>
        <w:rPr>
          <w:szCs w:val="26"/>
        </w:rPr>
        <w:tab/>
        <w:t xml:space="preserve">Taken together, </w:t>
      </w:r>
      <w:r w:rsidRPr="00975507">
        <w:rPr>
          <w:szCs w:val="26"/>
        </w:rPr>
        <w:t>the</w:t>
      </w:r>
      <w:r w:rsidRPr="00975507">
        <w:rPr>
          <w:i/>
          <w:iCs/>
          <w:szCs w:val="26"/>
        </w:rPr>
        <w:t xml:space="preserve"> Duncan </w:t>
      </w:r>
      <w:r w:rsidRPr="00975507">
        <w:rPr>
          <w:szCs w:val="26"/>
        </w:rPr>
        <w:t>cases implicitly recognized</w:t>
      </w:r>
      <w:r>
        <w:rPr>
          <w:szCs w:val="26"/>
        </w:rPr>
        <w:t xml:space="preserve"> that</w:t>
      </w:r>
      <w:r w:rsidRPr="00975507">
        <w:rPr>
          <w:szCs w:val="26"/>
        </w:rPr>
        <w:t xml:space="preserve"> </w:t>
      </w:r>
      <w:bookmarkStart w:id="27" w:name="_Hlk118446183"/>
      <w:r w:rsidRPr="00975507">
        <w:rPr>
          <w:szCs w:val="26"/>
        </w:rPr>
        <w:t xml:space="preserve">unaffordable bail is not per se excessive </w:t>
      </w:r>
      <w:bookmarkEnd w:id="27"/>
      <w:r w:rsidRPr="00975507">
        <w:rPr>
          <w:szCs w:val="26"/>
        </w:rPr>
        <w:t>and</w:t>
      </w:r>
      <w:r>
        <w:rPr>
          <w:szCs w:val="26"/>
        </w:rPr>
        <w:t xml:space="preserve"> that</w:t>
      </w:r>
      <w:r w:rsidRPr="00975507">
        <w:rPr>
          <w:szCs w:val="26"/>
        </w:rPr>
        <w:t xml:space="preserve">, aside from prohibiting </w:t>
      </w:r>
      <w:r>
        <w:rPr>
          <w:szCs w:val="26"/>
        </w:rPr>
        <w:t>a bail amount disproportionate to the circums</w:t>
      </w:r>
      <w:r>
        <w:rPr>
          <w:szCs w:val="26"/>
        </w:rPr>
        <w:t>tances</w:t>
      </w:r>
      <w:r w:rsidRPr="00975507">
        <w:rPr>
          <w:szCs w:val="26"/>
        </w:rPr>
        <w:t>, the California Constitution’s bail provision—now in section 12—d</w:t>
      </w:r>
      <w:r>
        <w:rPr>
          <w:szCs w:val="26"/>
        </w:rPr>
        <w:t>id</w:t>
      </w:r>
      <w:r w:rsidRPr="00975507">
        <w:rPr>
          <w:szCs w:val="26"/>
        </w:rPr>
        <w:t xml:space="preserve"> not require bail </w:t>
      </w:r>
      <w:r>
        <w:rPr>
          <w:szCs w:val="26"/>
        </w:rPr>
        <w:t>in an affordable amount</w:t>
      </w:r>
      <w:r w:rsidRPr="00975507">
        <w:rPr>
          <w:szCs w:val="26"/>
        </w:rPr>
        <w:t>.</w:t>
      </w:r>
    </w:p>
    <w:p w14:paraId="6AA4D767" w14:textId="77777777" w:rsidR="00256E52" w:rsidRDefault="00C64D74" w:rsidP="00256E52">
      <w:pPr>
        <w:spacing w:line="360" w:lineRule="auto"/>
        <w:rPr>
          <w:szCs w:val="26"/>
        </w:rPr>
      </w:pPr>
      <w:r w:rsidRPr="00975507">
        <w:rPr>
          <w:szCs w:val="26"/>
        </w:rPr>
        <w:tab/>
      </w:r>
      <w:r>
        <w:rPr>
          <w:szCs w:val="26"/>
        </w:rPr>
        <w:t xml:space="preserve">We now address the extent to which the California Supreme Court’s decision in </w:t>
      </w:r>
      <w:r w:rsidRPr="001B4E79">
        <w:rPr>
          <w:i/>
          <w:iCs/>
          <w:szCs w:val="26"/>
        </w:rPr>
        <w:t>Humphrey</w:t>
      </w:r>
      <w:r>
        <w:rPr>
          <w:szCs w:val="26"/>
        </w:rPr>
        <w:t xml:space="preserve"> affects the historical understanding and operation </w:t>
      </w:r>
      <w:r>
        <w:rPr>
          <w:szCs w:val="26"/>
        </w:rPr>
        <w:t>of section 12’s bail provisions.  In holding that the denial of bail must comport with</w:t>
      </w:r>
      <w:r w:rsidRPr="00975507">
        <w:rPr>
          <w:szCs w:val="26"/>
        </w:rPr>
        <w:t xml:space="preserve"> due process and equal protection</w:t>
      </w:r>
      <w:r>
        <w:rPr>
          <w:szCs w:val="26"/>
        </w:rPr>
        <w:t xml:space="preserve"> principles, the </w:t>
      </w:r>
      <w:r w:rsidRPr="001B4E79">
        <w:rPr>
          <w:i/>
          <w:iCs/>
          <w:szCs w:val="26"/>
        </w:rPr>
        <w:t>Humphrey</w:t>
      </w:r>
      <w:r>
        <w:rPr>
          <w:szCs w:val="26"/>
        </w:rPr>
        <w:t xml:space="preserve"> court carefully explained that </w:t>
      </w:r>
      <w:r w:rsidRPr="00975507">
        <w:rPr>
          <w:szCs w:val="26"/>
        </w:rPr>
        <w:t>“where a financial condition is . . . necessary, the court must consider the arr</w:t>
      </w:r>
      <w:r w:rsidRPr="00975507">
        <w:rPr>
          <w:szCs w:val="26"/>
        </w:rPr>
        <w:t>estee’s ability to pay the stated amount of bail—and may not effectively detain the arrestee ‘</w:t>
      </w:r>
      <w:r w:rsidRPr="00975507">
        <w:rPr>
          <w:i/>
          <w:iCs/>
          <w:szCs w:val="26"/>
        </w:rPr>
        <w:t>solely</w:t>
      </w:r>
      <w:r w:rsidRPr="00975507">
        <w:rPr>
          <w:szCs w:val="26"/>
        </w:rPr>
        <w:t xml:space="preserve"> because’ the arrestee ‘lacked the resources’ to post bail.”  (</w:t>
      </w:r>
      <w:r w:rsidRPr="00975507">
        <w:rPr>
          <w:i/>
          <w:iCs/>
          <w:szCs w:val="26"/>
        </w:rPr>
        <w:t>Humphrey</w:t>
      </w:r>
      <w:r w:rsidRPr="00975507">
        <w:rPr>
          <w:szCs w:val="26"/>
        </w:rPr>
        <w:t xml:space="preserve">, </w:t>
      </w:r>
      <w:r w:rsidRPr="00975507">
        <w:rPr>
          <w:i/>
          <w:iCs/>
          <w:szCs w:val="26"/>
        </w:rPr>
        <w:t>supra</w:t>
      </w:r>
      <w:r w:rsidRPr="00975507">
        <w:rPr>
          <w:szCs w:val="26"/>
        </w:rPr>
        <w:t xml:space="preserve">, 11 Cal.5th at p. 143, italics added.)  </w:t>
      </w:r>
    </w:p>
    <w:p w14:paraId="50E86A53" w14:textId="77777777" w:rsidR="00256E52" w:rsidRPr="00975507" w:rsidRDefault="00C64D74" w:rsidP="00256E52">
      <w:pPr>
        <w:spacing w:line="360" w:lineRule="auto"/>
        <w:rPr>
          <w:szCs w:val="26"/>
        </w:rPr>
      </w:pPr>
      <w:r>
        <w:rPr>
          <w:szCs w:val="26"/>
        </w:rPr>
        <w:tab/>
        <w:t xml:space="preserve">Although the </w:t>
      </w:r>
      <w:r w:rsidRPr="00975507">
        <w:rPr>
          <w:i/>
          <w:iCs/>
          <w:szCs w:val="26"/>
        </w:rPr>
        <w:t>Humphrey</w:t>
      </w:r>
      <w:r w:rsidRPr="00975507">
        <w:rPr>
          <w:szCs w:val="26"/>
        </w:rPr>
        <w:t xml:space="preserve"> </w:t>
      </w:r>
      <w:r>
        <w:rPr>
          <w:szCs w:val="26"/>
        </w:rPr>
        <w:t>court made cl</w:t>
      </w:r>
      <w:r>
        <w:rPr>
          <w:szCs w:val="26"/>
        </w:rPr>
        <w:t xml:space="preserve">ear that a trial court must consider a defendant’s ability to pay in making a bail determination, </w:t>
      </w:r>
      <w:r w:rsidRPr="00041D06">
        <w:rPr>
          <w:i/>
          <w:iCs/>
          <w:szCs w:val="26"/>
        </w:rPr>
        <w:t>Humphrey</w:t>
      </w:r>
      <w:r>
        <w:rPr>
          <w:szCs w:val="26"/>
        </w:rPr>
        <w:t xml:space="preserve"> did not suggest that</w:t>
      </w:r>
      <w:r w:rsidRPr="00975507">
        <w:rPr>
          <w:szCs w:val="26"/>
        </w:rPr>
        <w:t xml:space="preserve"> a court </w:t>
      </w:r>
      <w:r>
        <w:rPr>
          <w:szCs w:val="26"/>
        </w:rPr>
        <w:t xml:space="preserve">is precluded </w:t>
      </w:r>
      <w:r w:rsidRPr="00975507">
        <w:rPr>
          <w:szCs w:val="26"/>
        </w:rPr>
        <w:t xml:space="preserve">from setting bail at an amount </w:t>
      </w:r>
      <w:r>
        <w:rPr>
          <w:szCs w:val="26"/>
        </w:rPr>
        <w:t xml:space="preserve">beyond </w:t>
      </w:r>
      <w:r w:rsidRPr="00975507">
        <w:rPr>
          <w:szCs w:val="26"/>
        </w:rPr>
        <w:t>a defendant</w:t>
      </w:r>
      <w:r>
        <w:rPr>
          <w:szCs w:val="26"/>
        </w:rPr>
        <w:t>’s means when necessitated by the circumstances presented.</w:t>
      </w:r>
      <w:r>
        <w:rPr>
          <w:szCs w:val="26"/>
        </w:rPr>
        <w:t xml:space="preserve">  To the contrary,</w:t>
      </w:r>
      <w:r w:rsidRPr="00975507">
        <w:rPr>
          <w:szCs w:val="26"/>
        </w:rPr>
        <w:t xml:space="preserve"> </w:t>
      </w:r>
      <w:r w:rsidRPr="00975507">
        <w:rPr>
          <w:i/>
          <w:iCs/>
          <w:szCs w:val="26"/>
        </w:rPr>
        <w:t>Humphrey</w:t>
      </w:r>
      <w:r w:rsidRPr="00975507">
        <w:rPr>
          <w:szCs w:val="26"/>
        </w:rPr>
        <w:t xml:space="preserve"> </w:t>
      </w:r>
      <w:r>
        <w:rPr>
          <w:szCs w:val="26"/>
        </w:rPr>
        <w:t xml:space="preserve">explicitly </w:t>
      </w:r>
      <w:r w:rsidRPr="00975507">
        <w:rPr>
          <w:szCs w:val="26"/>
        </w:rPr>
        <w:t>recognized that “[i]n unusual circumstances, the need to protect community safety may conflict with the arrestee’s fundamental right to pretrial liberty—a right that also generally protects an arrestee from being subj</w:t>
      </w:r>
      <w:r w:rsidRPr="00975507">
        <w:rPr>
          <w:szCs w:val="26"/>
        </w:rPr>
        <w:t xml:space="preserve">ect to a monetary condition of release the arrestee can’t satisfy—to such an extent that no option other than refusing pretrial release can reasonably vindicate the state’s compelling interests.  In order to detain an arrestee under those circumstances, a </w:t>
      </w:r>
      <w:r w:rsidRPr="00975507">
        <w:rPr>
          <w:szCs w:val="26"/>
        </w:rPr>
        <w:t xml:space="preserve">court </w:t>
      </w:r>
      <w:r w:rsidRPr="00975507">
        <w:rPr>
          <w:szCs w:val="26"/>
        </w:rPr>
        <w:lastRenderedPageBreak/>
        <w:t>must first find by clear and convincing evidence that no condition short of detention could suffice and then ensure the detention otherwise complies with statutory and constitutional requirements.  [Citation.]  [¶]</w:t>
      </w:r>
      <w:r>
        <w:rPr>
          <w:szCs w:val="26"/>
        </w:rPr>
        <w:t> </w:t>
      </w:r>
      <w:r w:rsidRPr="00975507">
        <w:rPr>
          <w:i/>
          <w:iCs/>
          <w:szCs w:val="26"/>
        </w:rPr>
        <w:t>Detention in these narrow circumsta</w:t>
      </w:r>
      <w:r w:rsidRPr="00975507">
        <w:rPr>
          <w:i/>
          <w:iCs/>
          <w:szCs w:val="26"/>
        </w:rPr>
        <w:t xml:space="preserve">nces doesn’t depend on the arrestee’s financial condition.  Rather, it depends on the insufficiency of less restrictive conditions to vindicate compelling government interests: the safety of the victim and the public more generally or the integrity of the </w:t>
      </w:r>
      <w:r w:rsidRPr="00975507">
        <w:rPr>
          <w:i/>
          <w:iCs/>
          <w:szCs w:val="26"/>
        </w:rPr>
        <w:t>criminal proceedings</w:t>
      </w:r>
      <w:r w:rsidRPr="00975507">
        <w:rPr>
          <w:szCs w:val="26"/>
        </w:rPr>
        <w:t>.  Allowing the government to detain an arrestee without such procedural protections would violate state and federal principles of equal protection and due process that must be honored in practice, not just in principle.”  (</w:t>
      </w:r>
      <w:r w:rsidRPr="00975507">
        <w:rPr>
          <w:i/>
          <w:iCs/>
          <w:szCs w:val="26"/>
        </w:rPr>
        <w:t>Ibid.</w:t>
      </w:r>
      <w:r w:rsidRPr="00975507">
        <w:rPr>
          <w:szCs w:val="26"/>
        </w:rPr>
        <w:t xml:space="preserve">, </w:t>
      </w:r>
      <w:r w:rsidRPr="00975507">
        <w:rPr>
          <w:szCs w:val="26"/>
        </w:rPr>
        <w:t>italics added.)</w:t>
      </w:r>
      <w:r>
        <w:rPr>
          <w:szCs w:val="26"/>
        </w:rPr>
        <w:t xml:space="preserve">  </w:t>
      </w:r>
    </w:p>
    <w:p w14:paraId="7F43DF2B" w14:textId="77777777" w:rsidR="00E92F4D" w:rsidRDefault="00C64D74" w:rsidP="00CC7D52">
      <w:pPr>
        <w:spacing w:line="360" w:lineRule="auto"/>
        <w:rPr>
          <w:szCs w:val="26"/>
        </w:rPr>
      </w:pPr>
      <w:r w:rsidRPr="00975507">
        <w:rPr>
          <w:szCs w:val="26"/>
        </w:rPr>
        <w:tab/>
      </w:r>
      <w:r>
        <w:rPr>
          <w:szCs w:val="26"/>
        </w:rPr>
        <w:t xml:space="preserve">Reasonably read, the foregoing passage in </w:t>
      </w:r>
      <w:r w:rsidRPr="00975507">
        <w:rPr>
          <w:i/>
          <w:iCs/>
          <w:szCs w:val="26"/>
        </w:rPr>
        <w:t>Humphrey</w:t>
      </w:r>
      <w:r>
        <w:rPr>
          <w:szCs w:val="26"/>
        </w:rPr>
        <w:t xml:space="preserve"> meaningfully restricts, but does not purport to eliminate, the traditional power of a court to</w:t>
      </w:r>
      <w:r w:rsidRPr="00975507">
        <w:rPr>
          <w:szCs w:val="26"/>
        </w:rPr>
        <w:t xml:space="preserve"> </w:t>
      </w:r>
      <w:r>
        <w:rPr>
          <w:szCs w:val="26"/>
        </w:rPr>
        <w:t>set</w:t>
      </w:r>
      <w:r w:rsidRPr="00975507">
        <w:rPr>
          <w:szCs w:val="26"/>
        </w:rPr>
        <w:t xml:space="preserve"> bail at an amount</w:t>
      </w:r>
      <w:r>
        <w:rPr>
          <w:szCs w:val="26"/>
        </w:rPr>
        <w:t xml:space="preserve"> that may prove unaffordable</w:t>
      </w:r>
      <w:r w:rsidRPr="00975507">
        <w:rPr>
          <w:szCs w:val="26"/>
        </w:rPr>
        <w:t xml:space="preserve">, </w:t>
      </w:r>
      <w:r>
        <w:rPr>
          <w:szCs w:val="26"/>
        </w:rPr>
        <w:t>so</w:t>
      </w:r>
      <w:r w:rsidRPr="00446C63">
        <w:rPr>
          <w:szCs w:val="26"/>
        </w:rPr>
        <w:t xml:space="preserve"> long as </w:t>
      </w:r>
      <w:r>
        <w:rPr>
          <w:szCs w:val="26"/>
        </w:rPr>
        <w:t>the court—after undertaking a</w:t>
      </w:r>
      <w:r>
        <w:rPr>
          <w:szCs w:val="26"/>
        </w:rPr>
        <w:t xml:space="preserve">n </w:t>
      </w:r>
      <w:r w:rsidRPr="00CE7E5C">
        <w:rPr>
          <w:szCs w:val="26"/>
        </w:rPr>
        <w:t xml:space="preserve">individualized consideration of </w:t>
      </w:r>
      <w:r>
        <w:rPr>
          <w:szCs w:val="26"/>
        </w:rPr>
        <w:t>all</w:t>
      </w:r>
      <w:r w:rsidRPr="00CE7E5C">
        <w:rPr>
          <w:szCs w:val="26"/>
        </w:rPr>
        <w:t xml:space="preserve"> relevant factors</w:t>
      </w:r>
      <w:r>
        <w:rPr>
          <w:szCs w:val="26"/>
        </w:rPr>
        <w:t xml:space="preserve"> including the defendant’s ability to pay—</w:t>
      </w:r>
      <w:r w:rsidRPr="00CE7E5C">
        <w:rPr>
          <w:szCs w:val="26"/>
        </w:rPr>
        <w:t>makes the necessary findings to support a detention</w:t>
      </w:r>
      <w:r>
        <w:rPr>
          <w:szCs w:val="26"/>
        </w:rPr>
        <w:t xml:space="preserve">.  That is, the court must </w:t>
      </w:r>
      <w:r w:rsidRPr="00CE7E5C">
        <w:rPr>
          <w:szCs w:val="26"/>
        </w:rPr>
        <w:t>find clear and convincing evidence that no other conditions of release</w:t>
      </w:r>
      <w:r>
        <w:rPr>
          <w:szCs w:val="26"/>
        </w:rPr>
        <w:t xml:space="preserve">, including </w:t>
      </w:r>
      <w:r>
        <w:rPr>
          <w:szCs w:val="26"/>
        </w:rPr>
        <w:t>affordable bail,</w:t>
      </w:r>
      <w:r w:rsidRPr="00CE7E5C">
        <w:rPr>
          <w:szCs w:val="26"/>
        </w:rPr>
        <w:t xml:space="preserve"> can reasonably protect the state’s interests in assuring public and victim safety and the arrestee’s appearance in court.</w:t>
      </w:r>
      <w:r w:rsidRPr="00975507">
        <w:rPr>
          <w:szCs w:val="26"/>
        </w:rPr>
        <w:t xml:space="preserve">  (</w:t>
      </w:r>
      <w:r w:rsidRPr="00975507">
        <w:rPr>
          <w:i/>
          <w:iCs/>
          <w:szCs w:val="26"/>
        </w:rPr>
        <w:t>Humphrey</w:t>
      </w:r>
      <w:r w:rsidRPr="00975507">
        <w:rPr>
          <w:szCs w:val="26"/>
        </w:rPr>
        <w:t xml:space="preserve">, </w:t>
      </w:r>
      <w:r w:rsidRPr="00975507">
        <w:rPr>
          <w:i/>
          <w:iCs/>
          <w:szCs w:val="26"/>
        </w:rPr>
        <w:t>supra</w:t>
      </w:r>
      <w:r w:rsidRPr="00975507">
        <w:rPr>
          <w:szCs w:val="26"/>
        </w:rPr>
        <w:t xml:space="preserve">, 11 Cal.5th at </w:t>
      </w:r>
      <w:r w:rsidRPr="00975507">
        <w:t xml:space="preserve">pp. 143, </w:t>
      </w:r>
      <w:r>
        <w:t>152–</w:t>
      </w:r>
      <w:r w:rsidRPr="00975507">
        <w:t>154.</w:t>
      </w:r>
      <w:r w:rsidRPr="00975507">
        <w:rPr>
          <w:szCs w:val="26"/>
        </w:rPr>
        <w:t xml:space="preserve">)  </w:t>
      </w:r>
    </w:p>
    <w:p w14:paraId="69D57FD6" w14:textId="77777777" w:rsidR="00256E52" w:rsidRPr="00975507" w:rsidRDefault="00C64D74" w:rsidP="00CC7D52">
      <w:pPr>
        <w:spacing w:line="360" w:lineRule="auto"/>
        <w:rPr>
          <w:szCs w:val="26"/>
        </w:rPr>
      </w:pPr>
      <w:r>
        <w:rPr>
          <w:szCs w:val="26"/>
        </w:rPr>
        <w:tab/>
        <w:t>Thus, when a court sets bail at an amount higher than a person</w:t>
      </w:r>
      <w:r>
        <w:rPr>
          <w:szCs w:val="26"/>
        </w:rPr>
        <w:t xml:space="preserve"> can likely afford after finding</w:t>
      </w:r>
      <w:r w:rsidRPr="00975507">
        <w:t xml:space="preserve"> clear and convincing evidence</w:t>
      </w:r>
      <w:r>
        <w:t xml:space="preserve"> </w:t>
      </w:r>
      <w:r w:rsidRPr="00975507">
        <w:t>that no condition</w:t>
      </w:r>
      <w:r>
        <w:t>s</w:t>
      </w:r>
      <w:r w:rsidRPr="00975507">
        <w:t xml:space="preserve"> short of detention can vindicate </w:t>
      </w:r>
      <w:r>
        <w:t>these compelling state interests</w:t>
      </w:r>
      <w:r w:rsidRPr="00975507">
        <w:t xml:space="preserve">, </w:t>
      </w:r>
      <w:r>
        <w:t>it cannot be said that the court “effectively detain[ed]” the person</w:t>
      </w:r>
      <w:r w:rsidRPr="00975507">
        <w:rPr>
          <w:szCs w:val="26"/>
        </w:rPr>
        <w:t xml:space="preserve"> </w:t>
      </w:r>
      <w:r>
        <w:rPr>
          <w:szCs w:val="26"/>
        </w:rPr>
        <w:t>“ </w:t>
      </w:r>
      <w:r w:rsidRPr="00975507">
        <w:rPr>
          <w:szCs w:val="26"/>
        </w:rPr>
        <w:t>‘</w:t>
      </w:r>
      <w:r w:rsidRPr="00975507">
        <w:rPr>
          <w:i/>
          <w:iCs/>
          <w:szCs w:val="26"/>
        </w:rPr>
        <w:t>solely</w:t>
      </w:r>
      <w:r w:rsidRPr="00975507">
        <w:rPr>
          <w:szCs w:val="26"/>
        </w:rPr>
        <w:t xml:space="preserve"> because’</w:t>
      </w:r>
      <w:r>
        <w:rPr>
          <w:szCs w:val="26"/>
        </w:rPr>
        <w:t> ”</w:t>
      </w:r>
      <w:r w:rsidRPr="00975507">
        <w:rPr>
          <w:szCs w:val="26"/>
        </w:rPr>
        <w:t xml:space="preserve"> the </w:t>
      </w:r>
      <w:r>
        <w:rPr>
          <w:szCs w:val="26"/>
        </w:rPr>
        <w:t>person</w:t>
      </w:r>
      <w:r w:rsidRPr="00975507">
        <w:rPr>
          <w:szCs w:val="26"/>
        </w:rPr>
        <w:t xml:space="preserve"> </w:t>
      </w:r>
      <w:r>
        <w:rPr>
          <w:szCs w:val="26"/>
        </w:rPr>
        <w:t>“ </w:t>
      </w:r>
      <w:r w:rsidRPr="00975507">
        <w:rPr>
          <w:szCs w:val="26"/>
        </w:rPr>
        <w:t>‘lac</w:t>
      </w:r>
      <w:r w:rsidRPr="00975507">
        <w:rPr>
          <w:szCs w:val="26"/>
        </w:rPr>
        <w:t xml:space="preserve">ked the resources’ to post bail.”  </w:t>
      </w:r>
      <w:r w:rsidRPr="00975507">
        <w:t>(</w:t>
      </w:r>
      <w:r>
        <w:rPr>
          <w:i/>
          <w:iCs/>
          <w:szCs w:val="26"/>
        </w:rPr>
        <w:t>Humphre</w:t>
      </w:r>
      <w:r w:rsidRPr="00EC7C30">
        <w:rPr>
          <w:i/>
          <w:iCs/>
          <w:szCs w:val="26"/>
        </w:rPr>
        <w:t>y</w:t>
      </w:r>
      <w:r w:rsidRPr="00041D06">
        <w:rPr>
          <w:szCs w:val="26"/>
        </w:rPr>
        <w:t>,</w:t>
      </w:r>
      <w:r>
        <w:rPr>
          <w:i/>
          <w:iCs/>
          <w:szCs w:val="26"/>
        </w:rPr>
        <w:t xml:space="preserve"> supra</w:t>
      </w:r>
      <w:r w:rsidRPr="00041D06">
        <w:rPr>
          <w:szCs w:val="26"/>
        </w:rPr>
        <w:t>, 11 Cal.5th</w:t>
      </w:r>
      <w:r w:rsidRPr="00975507">
        <w:rPr>
          <w:szCs w:val="26"/>
        </w:rPr>
        <w:t xml:space="preserve"> at </w:t>
      </w:r>
      <w:r w:rsidRPr="00975507">
        <w:t>p. 143</w:t>
      </w:r>
      <w:r>
        <w:t xml:space="preserve">, italics added.)  Though the person’s inability to post the court-ordered bail amount necessarily results in the person’s detention, the person’s </w:t>
      </w:r>
      <w:r>
        <w:lastRenderedPageBreak/>
        <w:t>financial condition is not the deter</w:t>
      </w:r>
      <w:r>
        <w:t xml:space="preserve">minate cause of detention.  Rather, the determinate cause of the detention is the court’s finding that no other conditions short of detention are sufficient to vindicate the state’s interests.  (See </w:t>
      </w:r>
      <w:r w:rsidRPr="0094294F">
        <w:rPr>
          <w:i/>
          <w:iCs/>
        </w:rPr>
        <w:t>U</w:t>
      </w:r>
      <w:r>
        <w:rPr>
          <w:i/>
          <w:iCs/>
        </w:rPr>
        <w:t xml:space="preserve">nited </w:t>
      </w:r>
      <w:r w:rsidRPr="0094294F">
        <w:rPr>
          <w:i/>
          <w:iCs/>
        </w:rPr>
        <w:t>S</w:t>
      </w:r>
      <w:r>
        <w:rPr>
          <w:i/>
          <w:iCs/>
        </w:rPr>
        <w:t>tates</w:t>
      </w:r>
      <w:r w:rsidRPr="0094294F">
        <w:rPr>
          <w:i/>
          <w:iCs/>
        </w:rPr>
        <w:t xml:space="preserve"> v. Fidler</w:t>
      </w:r>
      <w:r w:rsidRPr="0094294F">
        <w:t xml:space="preserve"> (9th Cir. 2005) 419 F.3d 1026, </w:t>
      </w:r>
      <w:r w:rsidRPr="00673E45">
        <w:t>1028</w:t>
      </w:r>
      <w:r>
        <w:t xml:space="preserve"> </w:t>
      </w:r>
      <w:r w:rsidRPr="00CC796D">
        <w:t>[</w:t>
      </w:r>
      <w:r w:rsidRPr="00673E45">
        <w:t>“</w:t>
      </w:r>
      <w:r w:rsidRPr="00D41608">
        <w:t>de facto detention</w:t>
      </w:r>
      <w:r>
        <w:t>”</w:t>
      </w:r>
      <w:r w:rsidRPr="00D41608">
        <w:t xml:space="preserve"> </w:t>
      </w:r>
      <w:r>
        <w:t xml:space="preserve">when defendant is unable to comply with a financial condition </w:t>
      </w:r>
      <w:r w:rsidRPr="00D41608">
        <w:t xml:space="preserve">does not violate </w:t>
      </w:r>
      <w:r>
        <w:t>the federal Bail Reform Act</w:t>
      </w:r>
      <w:r w:rsidRPr="00D41608">
        <w:t xml:space="preserve"> if the record shows </w:t>
      </w:r>
      <w:r>
        <w:t>“</w:t>
      </w:r>
      <w:r w:rsidRPr="00D41608">
        <w:t>the detention is not based solely on the defendant</w:t>
      </w:r>
      <w:r>
        <w:t>’</w:t>
      </w:r>
      <w:r w:rsidRPr="00D41608">
        <w:t>s inability to mee</w:t>
      </w:r>
      <w:r w:rsidRPr="00D41608">
        <w:t>t the financial condition, but rather on the district court</w:t>
      </w:r>
      <w:r>
        <w:t>’</w:t>
      </w:r>
      <w:r w:rsidRPr="00D41608">
        <w:t>s determination that the amount of the bond is necessary to reasonably assure the defendant</w:t>
      </w:r>
      <w:r>
        <w:t>’</w:t>
      </w:r>
      <w:r w:rsidRPr="00D41608">
        <w:t>s attendance at trial or the safety of the community</w:t>
      </w:r>
      <w:r w:rsidRPr="00673E45">
        <w:t>”];</w:t>
      </w:r>
      <w:r>
        <w:t xml:space="preserve"> </w:t>
      </w:r>
      <w:r w:rsidRPr="00975507">
        <w:rPr>
          <w:i/>
          <w:iCs/>
        </w:rPr>
        <w:t>United States v. McConnell</w:t>
      </w:r>
      <w:r w:rsidRPr="00975507">
        <w:t xml:space="preserve"> (5th Cir. 1988) 842 F</w:t>
      </w:r>
      <w:r w:rsidRPr="00975507">
        <w:t>.2d 105, 108–110.)</w:t>
      </w:r>
    </w:p>
    <w:p w14:paraId="3E962177" w14:textId="77777777" w:rsidR="00256E52" w:rsidRDefault="00C64D74" w:rsidP="00DB40BC">
      <w:pPr>
        <w:spacing w:line="360" w:lineRule="auto"/>
        <w:rPr>
          <w:szCs w:val="26"/>
        </w:rPr>
      </w:pPr>
      <w:r w:rsidRPr="00975507">
        <w:rPr>
          <w:szCs w:val="26"/>
        </w:rPr>
        <w:tab/>
      </w:r>
      <w:bookmarkStart w:id="28" w:name="_Hlk118450532"/>
      <w:r>
        <w:rPr>
          <w:szCs w:val="26"/>
        </w:rPr>
        <w:t xml:space="preserve">We acknowledge the recent decision in </w:t>
      </w:r>
      <w:r w:rsidRPr="00975507">
        <w:rPr>
          <w:i/>
          <w:iCs/>
          <w:szCs w:val="26"/>
        </w:rPr>
        <w:t>In re</w:t>
      </w:r>
      <w:r w:rsidRPr="00975507">
        <w:rPr>
          <w:szCs w:val="26"/>
        </w:rPr>
        <w:t xml:space="preserve"> </w:t>
      </w:r>
      <w:r w:rsidRPr="00975507">
        <w:rPr>
          <w:i/>
          <w:iCs/>
          <w:szCs w:val="26"/>
        </w:rPr>
        <w:t xml:space="preserve">Brown </w:t>
      </w:r>
      <w:r w:rsidRPr="00975507">
        <w:rPr>
          <w:szCs w:val="26"/>
        </w:rPr>
        <w:t>(2022) 76 Cal.App.5th 296 (</w:t>
      </w:r>
      <w:r w:rsidRPr="00975507">
        <w:rPr>
          <w:i/>
          <w:iCs/>
          <w:szCs w:val="26"/>
        </w:rPr>
        <w:t>Brown</w:t>
      </w:r>
      <w:r w:rsidRPr="00975507">
        <w:rPr>
          <w:szCs w:val="26"/>
        </w:rPr>
        <w:t>)</w:t>
      </w:r>
      <w:r>
        <w:rPr>
          <w:szCs w:val="26"/>
        </w:rPr>
        <w:t xml:space="preserve"> offers</w:t>
      </w:r>
      <w:r w:rsidRPr="00975507">
        <w:rPr>
          <w:szCs w:val="26"/>
        </w:rPr>
        <w:t xml:space="preserve"> an alternative interpretation of </w:t>
      </w:r>
      <w:r w:rsidRPr="00975507">
        <w:rPr>
          <w:i/>
          <w:iCs/>
          <w:szCs w:val="26"/>
        </w:rPr>
        <w:t>Humphrey</w:t>
      </w:r>
      <w:r w:rsidRPr="00975507">
        <w:rPr>
          <w:szCs w:val="26"/>
        </w:rPr>
        <w:t>.</w:t>
      </w:r>
      <w:bookmarkEnd w:id="28"/>
      <w:r>
        <w:rPr>
          <w:szCs w:val="26"/>
        </w:rPr>
        <w:t xml:space="preserve">  As a preliminary matter, we observe the </w:t>
      </w:r>
      <w:r w:rsidRPr="00975507">
        <w:rPr>
          <w:i/>
          <w:iCs/>
          <w:szCs w:val="26"/>
        </w:rPr>
        <w:t>Brown</w:t>
      </w:r>
      <w:r w:rsidRPr="00975507">
        <w:rPr>
          <w:szCs w:val="26"/>
        </w:rPr>
        <w:t xml:space="preserve"> </w:t>
      </w:r>
      <w:r>
        <w:rPr>
          <w:szCs w:val="26"/>
        </w:rPr>
        <w:t>court summarizes</w:t>
      </w:r>
      <w:r w:rsidRPr="00975507">
        <w:rPr>
          <w:szCs w:val="26"/>
        </w:rPr>
        <w:t xml:space="preserve"> </w:t>
      </w:r>
      <w:r w:rsidRPr="00975507">
        <w:rPr>
          <w:i/>
          <w:iCs/>
          <w:szCs w:val="26"/>
        </w:rPr>
        <w:t>Humphrey</w:t>
      </w:r>
      <w:r w:rsidRPr="00975507">
        <w:rPr>
          <w:szCs w:val="26"/>
        </w:rPr>
        <w:t xml:space="preserve"> as follows:  “Having consider</w:t>
      </w:r>
      <w:r w:rsidRPr="00975507">
        <w:rPr>
          <w:szCs w:val="26"/>
        </w:rPr>
        <w:t>ed potential nonfinancial conditions, if the trial court nonetheless concludes money bail is ‘reasonably necessary’ to protect the public and ensure the arrestee’s presence at trial, then bail must be set ‘at a level the arrestee can reasonably afford’ unl</w:t>
      </w:r>
      <w:r w:rsidRPr="00975507">
        <w:rPr>
          <w:szCs w:val="26"/>
        </w:rPr>
        <w:t>ess the court concludes, by clear and convincing evidence, that no nonfinancial condition in conjunction with affordable money bail can reasonably protect public safety or arrestee appearance.  (</w:t>
      </w:r>
      <w:r w:rsidRPr="00975507">
        <w:rPr>
          <w:i/>
          <w:iCs/>
          <w:szCs w:val="26"/>
        </w:rPr>
        <w:t>Humphrey</w:t>
      </w:r>
      <w:r w:rsidRPr="00975507">
        <w:rPr>
          <w:szCs w:val="26"/>
        </w:rPr>
        <w:t xml:space="preserve">, </w:t>
      </w:r>
      <w:r w:rsidRPr="00975507">
        <w:rPr>
          <w:i/>
          <w:iCs/>
          <w:szCs w:val="26"/>
        </w:rPr>
        <w:t>supra</w:t>
      </w:r>
      <w:r w:rsidRPr="00975507">
        <w:rPr>
          <w:szCs w:val="26"/>
        </w:rPr>
        <w:t>, 11 Cal.5th at p. 154.)”  (</w:t>
      </w:r>
      <w:r w:rsidRPr="00975507">
        <w:rPr>
          <w:i/>
          <w:iCs/>
          <w:szCs w:val="26"/>
        </w:rPr>
        <w:t>Brown</w:t>
      </w:r>
      <w:r w:rsidRPr="00975507">
        <w:rPr>
          <w:szCs w:val="26"/>
        </w:rPr>
        <w:t>, at pp. 305–</w:t>
      </w:r>
      <w:r w:rsidRPr="00975507">
        <w:rPr>
          <w:szCs w:val="26"/>
        </w:rPr>
        <w:t>306</w:t>
      </w:r>
      <w:r>
        <w:rPr>
          <w:szCs w:val="26"/>
        </w:rPr>
        <w:t>.)</w:t>
      </w:r>
    </w:p>
    <w:p w14:paraId="208E9B36" w14:textId="77777777" w:rsidR="00256E52" w:rsidRDefault="00C64D74" w:rsidP="00256E52">
      <w:pPr>
        <w:spacing w:line="360" w:lineRule="auto"/>
        <w:rPr>
          <w:szCs w:val="26"/>
        </w:rPr>
      </w:pPr>
      <w:r>
        <w:rPr>
          <w:szCs w:val="26"/>
        </w:rPr>
        <w:tab/>
        <w:t xml:space="preserve">While we concur in the foregoing summary, we cannot agree with the </w:t>
      </w:r>
      <w:r w:rsidRPr="00975507">
        <w:rPr>
          <w:i/>
          <w:iCs/>
          <w:szCs w:val="26"/>
        </w:rPr>
        <w:t>Brown</w:t>
      </w:r>
      <w:r>
        <w:rPr>
          <w:szCs w:val="26"/>
        </w:rPr>
        <w:t xml:space="preserve"> court’s conclusion</w:t>
      </w:r>
      <w:r w:rsidRPr="00975507">
        <w:rPr>
          <w:szCs w:val="26"/>
        </w:rPr>
        <w:t xml:space="preserve"> that</w:t>
      </w:r>
      <w:r>
        <w:rPr>
          <w:szCs w:val="26"/>
        </w:rPr>
        <w:t xml:space="preserve">, when a trial court makes the required finding above, then </w:t>
      </w:r>
      <w:r w:rsidRPr="00975507">
        <w:rPr>
          <w:i/>
          <w:iCs/>
          <w:szCs w:val="26"/>
        </w:rPr>
        <w:t>Humphrey</w:t>
      </w:r>
      <w:r w:rsidRPr="00975507">
        <w:rPr>
          <w:szCs w:val="26"/>
        </w:rPr>
        <w:t xml:space="preserve"> </w:t>
      </w:r>
      <w:r>
        <w:rPr>
          <w:szCs w:val="26"/>
        </w:rPr>
        <w:t>leaves a court with no option other than to formally order</w:t>
      </w:r>
      <w:r w:rsidRPr="00975507">
        <w:rPr>
          <w:szCs w:val="26"/>
        </w:rPr>
        <w:t xml:space="preserve"> pretrial detention.  </w:t>
      </w:r>
      <w:r>
        <w:rPr>
          <w:szCs w:val="26"/>
        </w:rPr>
        <w:t xml:space="preserve">For </w:t>
      </w:r>
      <w:r>
        <w:rPr>
          <w:szCs w:val="26"/>
        </w:rPr>
        <w:t xml:space="preserve">one thing, such a conclusion appears at odds with the historical understanding of section 12’s general right to release on </w:t>
      </w:r>
      <w:r>
        <w:rPr>
          <w:szCs w:val="26"/>
        </w:rPr>
        <w:lastRenderedPageBreak/>
        <w:t>bail</w:t>
      </w:r>
      <w:r w:rsidRPr="00DB74EB">
        <w:rPr>
          <w:szCs w:val="26"/>
        </w:rPr>
        <w:t xml:space="preserve"> </w:t>
      </w:r>
      <w:r w:rsidRPr="00A558FF">
        <w:rPr>
          <w:szCs w:val="26"/>
        </w:rPr>
        <w:t>by sufficient sureties</w:t>
      </w:r>
      <w:r>
        <w:rPr>
          <w:szCs w:val="26"/>
        </w:rPr>
        <w:t xml:space="preserve">, and </w:t>
      </w:r>
      <w:r w:rsidRPr="000319FD">
        <w:rPr>
          <w:i/>
          <w:iCs/>
          <w:szCs w:val="26"/>
        </w:rPr>
        <w:t>Humphrey</w:t>
      </w:r>
      <w:r>
        <w:rPr>
          <w:szCs w:val="26"/>
        </w:rPr>
        <w:t xml:space="preserve"> did not disavow that understanding</w:t>
      </w:r>
      <w:r w:rsidRPr="00975507">
        <w:rPr>
          <w:szCs w:val="26"/>
        </w:rPr>
        <w:t xml:space="preserve">.  Moreover, </w:t>
      </w:r>
      <w:r w:rsidRPr="00975507">
        <w:rPr>
          <w:i/>
          <w:iCs/>
          <w:szCs w:val="26"/>
        </w:rPr>
        <w:t>Humphrey</w:t>
      </w:r>
      <w:r>
        <w:rPr>
          <w:szCs w:val="26"/>
        </w:rPr>
        <w:t xml:space="preserve"> repeatedly acknowledged</w:t>
      </w:r>
      <w:r w:rsidRPr="00975507">
        <w:rPr>
          <w:szCs w:val="26"/>
        </w:rPr>
        <w:t xml:space="preserve"> that an outright pretrial detention order would not offend the due process clause</w:t>
      </w:r>
      <w:r>
        <w:rPr>
          <w:szCs w:val="26"/>
        </w:rPr>
        <w:t xml:space="preserve"> in those rare instances in which a</w:t>
      </w:r>
      <w:r w:rsidRPr="00975507">
        <w:rPr>
          <w:szCs w:val="26"/>
        </w:rPr>
        <w:t xml:space="preserve"> court concludes, by clear and convincing evidence, that no nonfinancial condition in conjunction with affordable m</w:t>
      </w:r>
      <w:r w:rsidRPr="00975507">
        <w:rPr>
          <w:szCs w:val="26"/>
        </w:rPr>
        <w:t xml:space="preserve">oney bail can reasonably protect </w:t>
      </w:r>
      <w:r>
        <w:rPr>
          <w:szCs w:val="26"/>
        </w:rPr>
        <w:t xml:space="preserve">the state’s compelling interests in </w:t>
      </w:r>
      <w:r w:rsidRPr="00975507">
        <w:rPr>
          <w:szCs w:val="26"/>
        </w:rPr>
        <w:t>public safety or arrestee appearance.  (</w:t>
      </w:r>
      <w:r>
        <w:rPr>
          <w:i/>
          <w:iCs/>
          <w:szCs w:val="26"/>
        </w:rPr>
        <w:t>Humphrey</w:t>
      </w:r>
      <w:r>
        <w:rPr>
          <w:szCs w:val="26"/>
        </w:rPr>
        <w:t xml:space="preserve">, </w:t>
      </w:r>
      <w:r w:rsidRPr="009A4256">
        <w:rPr>
          <w:i/>
          <w:iCs/>
          <w:szCs w:val="26"/>
        </w:rPr>
        <w:t>supra</w:t>
      </w:r>
      <w:r>
        <w:rPr>
          <w:szCs w:val="26"/>
        </w:rPr>
        <w:t>, 11 Cal.5th</w:t>
      </w:r>
      <w:r w:rsidRPr="00975507">
        <w:rPr>
          <w:szCs w:val="26"/>
        </w:rPr>
        <w:t xml:space="preserve"> at pp. 143, 154, 156.)  If, in balancing the liberty interest of an accused </w:t>
      </w:r>
      <w:r>
        <w:rPr>
          <w:szCs w:val="26"/>
        </w:rPr>
        <w:t>with</w:t>
      </w:r>
      <w:r w:rsidRPr="00975507">
        <w:rPr>
          <w:szCs w:val="26"/>
        </w:rPr>
        <w:t xml:space="preserve"> the state’s compelling interests, an o</w:t>
      </w:r>
      <w:r w:rsidRPr="00975507">
        <w:rPr>
          <w:szCs w:val="26"/>
        </w:rPr>
        <w:t xml:space="preserve">utright pretrial detention order would be appropriate, then </w:t>
      </w:r>
      <w:r w:rsidRPr="00975507">
        <w:rPr>
          <w:i/>
          <w:iCs/>
          <w:szCs w:val="26"/>
        </w:rPr>
        <w:t>a fortiori</w:t>
      </w:r>
      <w:r w:rsidRPr="00975507">
        <w:rPr>
          <w:szCs w:val="26"/>
        </w:rPr>
        <w:t xml:space="preserve"> a bail order </w:t>
      </w:r>
      <w:r>
        <w:rPr>
          <w:szCs w:val="26"/>
        </w:rPr>
        <w:t>in</w:t>
      </w:r>
      <w:r w:rsidRPr="00975507">
        <w:rPr>
          <w:szCs w:val="26"/>
        </w:rPr>
        <w:t xml:space="preserve"> an amount </w:t>
      </w:r>
      <w:r>
        <w:rPr>
          <w:szCs w:val="26"/>
        </w:rPr>
        <w:t>higher than</w:t>
      </w:r>
      <w:r w:rsidRPr="00975507">
        <w:rPr>
          <w:szCs w:val="26"/>
        </w:rPr>
        <w:t xml:space="preserve"> a defendant </w:t>
      </w:r>
      <w:r>
        <w:rPr>
          <w:szCs w:val="26"/>
        </w:rPr>
        <w:t>can</w:t>
      </w:r>
      <w:r w:rsidRPr="00975507">
        <w:rPr>
          <w:szCs w:val="26"/>
        </w:rPr>
        <w:t xml:space="preserve"> afford would also be appropriate.</w:t>
      </w:r>
      <w:r>
        <w:rPr>
          <w:rStyle w:val="FootnoteReference"/>
          <w:szCs w:val="26"/>
        </w:rPr>
        <w:footnoteReference w:id="9"/>
      </w:r>
    </w:p>
    <w:bookmarkEnd w:id="23"/>
    <w:p w14:paraId="19E53D50" w14:textId="77777777" w:rsidR="00B15C42" w:rsidRPr="00B15C42" w:rsidRDefault="00C64D74" w:rsidP="00C50805">
      <w:pPr>
        <w:keepNext/>
        <w:spacing w:line="360" w:lineRule="auto"/>
        <w:jc w:val="center"/>
        <w:rPr>
          <w:b/>
          <w:bCs/>
          <w:smallCaps/>
          <w:szCs w:val="26"/>
        </w:rPr>
      </w:pPr>
      <w:r w:rsidRPr="00B15C42">
        <w:rPr>
          <w:b/>
          <w:bCs/>
          <w:smallCaps/>
          <w:szCs w:val="26"/>
        </w:rPr>
        <w:t>Conclusion</w:t>
      </w:r>
    </w:p>
    <w:p w14:paraId="0A6DDF9C" w14:textId="77777777" w:rsidR="00F30CC8" w:rsidRDefault="00C64D74" w:rsidP="00256E52">
      <w:pPr>
        <w:spacing w:line="360" w:lineRule="auto"/>
        <w:rPr>
          <w:szCs w:val="26"/>
        </w:rPr>
      </w:pPr>
      <w:r w:rsidRPr="00975507">
        <w:rPr>
          <w:szCs w:val="26"/>
        </w:rPr>
        <w:tab/>
      </w:r>
      <w:r>
        <w:rPr>
          <w:szCs w:val="26"/>
        </w:rPr>
        <w:t xml:space="preserve">In closing, we summarize our answer to the California Supreme Court’s question and </w:t>
      </w:r>
      <w:r>
        <w:rPr>
          <w:szCs w:val="26"/>
        </w:rPr>
        <w:t xml:space="preserve">explain our view of the framework governing bail determinations as informed by the principles in </w:t>
      </w:r>
      <w:r w:rsidRPr="00B15C42">
        <w:rPr>
          <w:i/>
          <w:iCs/>
          <w:szCs w:val="26"/>
        </w:rPr>
        <w:t>Humphrey</w:t>
      </w:r>
      <w:r>
        <w:rPr>
          <w:szCs w:val="26"/>
        </w:rPr>
        <w:t xml:space="preserve">.  </w:t>
      </w:r>
    </w:p>
    <w:p w14:paraId="34282A55" w14:textId="77777777" w:rsidR="00B1697C" w:rsidRDefault="00C64D74" w:rsidP="00256E52">
      <w:pPr>
        <w:spacing w:line="360" w:lineRule="auto"/>
      </w:pPr>
      <w:r>
        <w:rPr>
          <w:szCs w:val="26"/>
        </w:rPr>
        <w:tab/>
      </w:r>
      <w:r>
        <w:t>S</w:t>
      </w:r>
      <w:r w:rsidRPr="007D504A">
        <w:t xml:space="preserve">ection 28(f)(3) became fully operative when the voters </w:t>
      </w:r>
      <w:r>
        <w:t>approved</w:t>
      </w:r>
      <w:r w:rsidRPr="007D504A">
        <w:t xml:space="preserve"> Proposition 9</w:t>
      </w:r>
      <w:r>
        <w:t xml:space="preserve"> in 2008, and its bail provisions can be fully reconciled with those</w:t>
      </w:r>
      <w:r>
        <w:t xml:space="preserve"> in</w:t>
      </w:r>
      <w:r w:rsidRPr="00B85347">
        <w:t xml:space="preserve"> section</w:t>
      </w:r>
      <w:r>
        <w:t> </w:t>
      </w:r>
      <w:r w:rsidRPr="00B85347">
        <w:t>12</w:t>
      </w:r>
      <w:r>
        <w:t xml:space="preserve">, as follows.  When a defendant’s case falls outside </w:t>
      </w:r>
      <w:r w:rsidRPr="00CB1E09">
        <w:t>the circumstances specified in section 12, subdivisions (a) through (c)</w:t>
      </w:r>
      <w:r>
        <w:t xml:space="preserve">, the </w:t>
      </w:r>
      <w:r>
        <w:lastRenderedPageBreak/>
        <w:t>defendant has a general right under sections 12 and 28(f)(3) to be released on bail by sufficient sureties, or t</w:t>
      </w:r>
      <w:r>
        <w:t>o be released on OR in the court’s discretion, subject to the considerations below.</w:t>
      </w:r>
    </w:p>
    <w:p w14:paraId="03ECBD60" w14:textId="77777777" w:rsidR="00D27D02" w:rsidRDefault="00C64D74" w:rsidP="00256E52">
      <w:pPr>
        <w:spacing w:line="360" w:lineRule="auto"/>
      </w:pPr>
      <w:r>
        <w:tab/>
        <w:t xml:space="preserve">In fixing the amount of bail and release conditions, or in exercising its discretion to release a person on OR, courts must consider </w:t>
      </w:r>
      <w:r w:rsidRPr="00B1697C">
        <w:t>the protection of the public, the safe</w:t>
      </w:r>
      <w:r w:rsidRPr="00B1697C">
        <w:t>ty of the victim</w:t>
      </w:r>
      <w:r>
        <w:t xml:space="preserve">, the </w:t>
      </w:r>
      <w:r w:rsidRPr="00C97669">
        <w:t xml:space="preserve">seriousness of the offense charged, the previous criminal record of the defendant, and the probability of </w:t>
      </w:r>
      <w:r>
        <w:t>the defendant</w:t>
      </w:r>
      <w:r w:rsidRPr="00C97669">
        <w:t xml:space="preserve"> appearing at the trial or hearing of the case.</w:t>
      </w:r>
      <w:r>
        <w:t xml:space="preserve">  (§§ 12, 28(b)(3) &amp; (f)(3).)  </w:t>
      </w:r>
      <w:r w:rsidRPr="00B1697C">
        <w:t>Public safety and the safety of the v</w:t>
      </w:r>
      <w:r w:rsidRPr="00B1697C">
        <w:t>ictim shall be the primary considerations.</w:t>
      </w:r>
      <w:r>
        <w:t xml:space="preserve">  (§ 28(f)(3).)</w:t>
      </w:r>
    </w:p>
    <w:p w14:paraId="2C29ABB9" w14:textId="77777777" w:rsidR="00D01869" w:rsidRDefault="00C64D74" w:rsidP="00256E52">
      <w:pPr>
        <w:spacing w:line="360" w:lineRule="auto"/>
      </w:pPr>
      <w:r>
        <w:tab/>
        <w:t>“</w:t>
      </w:r>
      <w:r w:rsidRPr="00456A43">
        <w:t xml:space="preserve">In those cases where the arrestee poses little or no risk of flight or harm to others, the court may offer OR release </w:t>
      </w:r>
      <w:bookmarkEnd w:id="25"/>
      <w:r w:rsidRPr="00456A43">
        <w:t>with appropriate conditions.</w:t>
      </w:r>
      <w:r>
        <w:t xml:space="preserve"> </w:t>
      </w:r>
      <w:r w:rsidRPr="00456A43">
        <w:t xml:space="preserve"> </w:t>
      </w:r>
      <w:r>
        <w:t>[Citation.]</w:t>
      </w:r>
      <w:r w:rsidRPr="00456A43">
        <w:t xml:space="preserve"> </w:t>
      </w:r>
      <w:r>
        <w:t xml:space="preserve"> </w:t>
      </w:r>
      <w:r w:rsidRPr="00456A43">
        <w:t xml:space="preserve">Where the record reflects the </w:t>
      </w:r>
      <w:r w:rsidRPr="00456A43">
        <w:t>risk of flight or a risk to public or victim safety, the court should consider whether nonfinancial conditions of release may reasonably protect the public and the victim or reasonably assure the arrestee</w:t>
      </w:r>
      <w:r>
        <w:t>’</w:t>
      </w:r>
      <w:r w:rsidRPr="00456A43">
        <w:t>s presence at trial.</w:t>
      </w:r>
      <w:r>
        <w:t xml:space="preserve"> </w:t>
      </w:r>
      <w:r w:rsidRPr="00456A43">
        <w:t xml:space="preserve"> If the court concludes that m</w:t>
      </w:r>
      <w:r w:rsidRPr="00456A43">
        <w:t>oney bail is reasonably necessary, then the court must consider the individual arrestee</w:t>
      </w:r>
      <w:r>
        <w:t>’</w:t>
      </w:r>
      <w:r w:rsidRPr="00456A43">
        <w:t>s ability to pay, along with the seriousness of the charged offense and the arrestee</w:t>
      </w:r>
      <w:r>
        <w:t>’</w:t>
      </w:r>
      <w:r w:rsidRPr="00456A43">
        <w:t>s criminal record, and—unless there is a valid basis for detention—set bail at a le</w:t>
      </w:r>
      <w:r w:rsidRPr="00456A43">
        <w:t xml:space="preserve">vel the arrestee can reasonably afford. </w:t>
      </w:r>
      <w:r>
        <w:t xml:space="preserve"> </w:t>
      </w:r>
      <w:r w:rsidRPr="00456A43">
        <w:t>And if a court concludes that public or victim safety, or the arrestee</w:t>
      </w:r>
      <w:r>
        <w:t>’</w:t>
      </w:r>
      <w:r w:rsidRPr="00456A43">
        <w:t>s appearance in court, cannot be reasonably assured if the arrestee is released, it may detain the arrestee only if it first finds, by clear and</w:t>
      </w:r>
      <w:r w:rsidRPr="00456A43">
        <w:t xml:space="preserve"> convincing evidence, that no nonfinancial condition of release can reasonably protect those interests.</w:t>
      </w:r>
      <w:r>
        <w:t>”  (</w:t>
      </w:r>
      <w:r w:rsidRPr="00AC2AD4">
        <w:rPr>
          <w:i/>
          <w:iCs/>
        </w:rPr>
        <w:t>Humphrey</w:t>
      </w:r>
      <w:r>
        <w:t xml:space="preserve">, </w:t>
      </w:r>
      <w:r w:rsidRPr="00AC2AD4">
        <w:rPr>
          <w:i/>
          <w:iCs/>
        </w:rPr>
        <w:t>supra</w:t>
      </w:r>
      <w:r>
        <w:t>, 11 Cal.5th at p. 154.)  Though excessive bail cannot be imposed, courts are not required to set bail at an amount a defendant will n</w:t>
      </w:r>
      <w:r>
        <w:t xml:space="preserve">ecessarily be able to afford.  </w:t>
      </w:r>
      <w:r>
        <w:rPr>
          <w:szCs w:val="26"/>
        </w:rPr>
        <w:t xml:space="preserve">Before a court sets bail at an amount higher </w:t>
      </w:r>
      <w:r>
        <w:rPr>
          <w:szCs w:val="26"/>
        </w:rPr>
        <w:lastRenderedPageBreak/>
        <w:t>than a person can likely afford, it</w:t>
      </w:r>
      <w:r w:rsidRPr="00730FBF">
        <w:rPr>
          <w:szCs w:val="26"/>
        </w:rPr>
        <w:t xml:space="preserve"> must</w:t>
      </w:r>
      <w:r>
        <w:rPr>
          <w:szCs w:val="26"/>
        </w:rPr>
        <w:t xml:space="preserve"> </w:t>
      </w:r>
      <w:r w:rsidRPr="00730FBF">
        <w:rPr>
          <w:szCs w:val="26"/>
        </w:rPr>
        <w:t>make the</w:t>
      </w:r>
      <w:r>
        <w:rPr>
          <w:szCs w:val="26"/>
        </w:rPr>
        <w:t xml:space="preserve"> aforementioned findings </w:t>
      </w:r>
      <w:r w:rsidRPr="00730FBF">
        <w:rPr>
          <w:szCs w:val="26"/>
        </w:rPr>
        <w:t>necessary to support a detention</w:t>
      </w:r>
      <w:r>
        <w:rPr>
          <w:szCs w:val="26"/>
        </w:rPr>
        <w:t>.</w:t>
      </w:r>
      <w:r w:rsidRPr="00975507">
        <w:t xml:space="preserve"> </w:t>
      </w:r>
    </w:p>
    <w:p w14:paraId="55AD9340" w14:textId="77777777" w:rsidR="00F67DD6" w:rsidRDefault="00C64D74" w:rsidP="00256E52">
      <w:pPr>
        <w:spacing w:line="360" w:lineRule="auto"/>
        <w:rPr>
          <w:szCs w:val="26"/>
        </w:rPr>
      </w:pPr>
      <w:r>
        <w:rPr>
          <w:szCs w:val="26"/>
        </w:rPr>
        <w:tab/>
        <w:t>Finally, we</w:t>
      </w:r>
      <w:r w:rsidRPr="00975507">
        <w:rPr>
          <w:szCs w:val="26"/>
        </w:rPr>
        <w:t xml:space="preserve"> </w:t>
      </w:r>
      <w:r>
        <w:rPr>
          <w:szCs w:val="26"/>
        </w:rPr>
        <w:t>reiterate the fundamental principle</w:t>
      </w:r>
      <w:r w:rsidRPr="00975507">
        <w:rPr>
          <w:szCs w:val="26"/>
        </w:rPr>
        <w:t xml:space="preserve"> that “liberty is the n</w:t>
      </w:r>
      <w:r w:rsidRPr="00975507">
        <w:rPr>
          <w:szCs w:val="26"/>
        </w:rPr>
        <w:t>orm, and detention prior to trial or without trial is the carefully limited exception.”  (</w:t>
      </w:r>
      <w:r w:rsidRPr="00975507">
        <w:rPr>
          <w:i/>
          <w:iCs/>
          <w:szCs w:val="26"/>
        </w:rPr>
        <w:t>United States v. Salerno</w:t>
      </w:r>
      <w:r w:rsidRPr="00975507">
        <w:rPr>
          <w:szCs w:val="26"/>
        </w:rPr>
        <w:t xml:space="preserve"> (1987) 481 U.S. 739, 755.)  While section 12 does not prohibit courts from fixing bail at an amount a defendant likely cannot meet, it will b</w:t>
      </w:r>
      <w:r w:rsidRPr="00975507">
        <w:rPr>
          <w:szCs w:val="26"/>
        </w:rPr>
        <w:t>e the rare case where such a monetary condition is truly necessary to sufficiently protect the state’s compelling interests in public and victim safety and in ensuring appearances in court.</w:t>
      </w:r>
      <w:bookmarkStart w:id="29" w:name="_Hlk115870922"/>
      <w:bookmarkStart w:id="30" w:name="_Hlk116896302"/>
      <w:bookmarkEnd w:id="13"/>
    </w:p>
    <w:bookmarkEnd w:id="29"/>
    <w:p w14:paraId="7EF6DD2E" w14:textId="77777777" w:rsidR="000E37C0" w:rsidRPr="007D504A" w:rsidRDefault="00C64D74" w:rsidP="00C81FE3">
      <w:pPr>
        <w:keepNext/>
        <w:spacing w:line="360" w:lineRule="auto"/>
        <w:jc w:val="center"/>
        <w:rPr>
          <w:b/>
          <w:bCs/>
          <w:smallCaps/>
        </w:rPr>
      </w:pPr>
      <w:r w:rsidRPr="007D504A">
        <w:rPr>
          <w:b/>
          <w:bCs/>
          <w:smallCaps/>
        </w:rPr>
        <w:t>Disposition</w:t>
      </w:r>
    </w:p>
    <w:bookmarkEnd w:id="30"/>
    <w:p w14:paraId="5F90333B" w14:textId="77777777" w:rsidR="00850EF1" w:rsidRDefault="00C64D74" w:rsidP="00BF5F11">
      <w:pPr>
        <w:spacing w:line="360" w:lineRule="auto"/>
      </w:pPr>
      <w:r w:rsidRPr="007D504A">
        <w:tab/>
      </w:r>
      <w:bookmarkStart w:id="31" w:name="_Hlk114651891"/>
      <w:r>
        <w:t>Having answered the question posed to us by the Calif</w:t>
      </w:r>
      <w:r>
        <w:t>ornia Supreme Court, we dismiss t</w:t>
      </w:r>
      <w:r w:rsidRPr="00B15C42">
        <w:t>he petition for writ of habeas corpus as moot.</w:t>
      </w:r>
    </w:p>
    <w:bookmarkEnd w:id="31"/>
    <w:p w14:paraId="3A0A52A6" w14:textId="77777777" w:rsidR="00042988" w:rsidRDefault="00C64D74" w:rsidP="00E2432F">
      <w:pPr>
        <w:spacing w:line="360" w:lineRule="auto"/>
      </w:pPr>
    </w:p>
    <w:p w14:paraId="39117994" w14:textId="77777777" w:rsidR="00042988" w:rsidRDefault="00C64D74" w:rsidP="00E2432F">
      <w:pPr>
        <w:spacing w:line="360" w:lineRule="auto"/>
      </w:pPr>
    </w:p>
    <w:p w14:paraId="6E720358" w14:textId="77777777" w:rsidR="00042988" w:rsidRPr="00042988" w:rsidRDefault="00C64D74" w:rsidP="00042988">
      <w:pPr>
        <w:spacing w:line="240" w:lineRule="auto"/>
        <w:rPr>
          <w:szCs w:val="26"/>
        </w:rPr>
      </w:pPr>
      <w:r>
        <w:rPr>
          <w:szCs w:val="26"/>
        </w:rPr>
        <w:tab/>
      </w:r>
      <w:r>
        <w:rPr>
          <w:szCs w:val="26"/>
        </w:rPr>
        <w:tab/>
      </w:r>
      <w:r>
        <w:rPr>
          <w:szCs w:val="26"/>
        </w:rPr>
        <w:tab/>
      </w:r>
      <w:r>
        <w:rPr>
          <w:szCs w:val="26"/>
        </w:rPr>
        <w:tab/>
      </w:r>
      <w:r>
        <w:rPr>
          <w:szCs w:val="26"/>
        </w:rPr>
        <w:tab/>
      </w:r>
      <w:r>
        <w:rPr>
          <w:szCs w:val="26"/>
        </w:rPr>
        <w:tab/>
      </w:r>
      <w:r>
        <w:rPr>
          <w:szCs w:val="26"/>
        </w:rPr>
        <w:tab/>
      </w:r>
      <w:r w:rsidRPr="00042988">
        <w:rPr>
          <w:szCs w:val="26"/>
        </w:rPr>
        <w:t>_________________________</w:t>
      </w:r>
    </w:p>
    <w:p w14:paraId="26F74C58" w14:textId="77777777" w:rsidR="00042988" w:rsidRPr="00042988" w:rsidRDefault="00C64D74" w:rsidP="00042988">
      <w:pPr>
        <w:spacing w:line="240" w:lineRule="auto"/>
        <w:rPr>
          <w:szCs w:val="26"/>
        </w:rPr>
      </w:pPr>
      <w:r>
        <w:rPr>
          <w:szCs w:val="26"/>
        </w:rPr>
        <w:tab/>
      </w:r>
      <w:r w:rsidRPr="00042988">
        <w:rPr>
          <w:szCs w:val="26"/>
        </w:rPr>
        <w:tab/>
      </w:r>
      <w:r w:rsidRPr="00042988">
        <w:rPr>
          <w:szCs w:val="26"/>
        </w:rPr>
        <w:tab/>
      </w:r>
      <w:r w:rsidRPr="00042988">
        <w:rPr>
          <w:szCs w:val="26"/>
        </w:rPr>
        <w:tab/>
      </w:r>
      <w:r w:rsidRPr="00042988">
        <w:rPr>
          <w:szCs w:val="26"/>
        </w:rPr>
        <w:tab/>
      </w:r>
      <w:r w:rsidRPr="00042988">
        <w:rPr>
          <w:szCs w:val="26"/>
        </w:rPr>
        <w:tab/>
      </w:r>
      <w:r w:rsidRPr="00042988">
        <w:rPr>
          <w:szCs w:val="26"/>
        </w:rPr>
        <w:tab/>
        <w:t>Fujisaki, J.</w:t>
      </w:r>
    </w:p>
    <w:p w14:paraId="78388BBB" w14:textId="77777777" w:rsidR="00042988" w:rsidRPr="00042988" w:rsidRDefault="00C64D74" w:rsidP="00042988">
      <w:pPr>
        <w:spacing w:line="240" w:lineRule="auto"/>
        <w:rPr>
          <w:szCs w:val="26"/>
        </w:rPr>
      </w:pPr>
    </w:p>
    <w:p w14:paraId="2C5574E1" w14:textId="77777777" w:rsidR="00042988" w:rsidRPr="00042988" w:rsidRDefault="00C64D74" w:rsidP="00042988">
      <w:pPr>
        <w:spacing w:line="240" w:lineRule="auto"/>
        <w:rPr>
          <w:szCs w:val="26"/>
        </w:rPr>
      </w:pPr>
      <w:r w:rsidRPr="00042988">
        <w:rPr>
          <w:szCs w:val="26"/>
        </w:rPr>
        <w:t>WE CONCUR:</w:t>
      </w:r>
    </w:p>
    <w:p w14:paraId="65719D99" w14:textId="77777777" w:rsidR="00042988" w:rsidRPr="00042988" w:rsidRDefault="00C64D74" w:rsidP="00042988">
      <w:pPr>
        <w:spacing w:line="240" w:lineRule="auto"/>
        <w:rPr>
          <w:szCs w:val="26"/>
        </w:rPr>
      </w:pPr>
    </w:p>
    <w:p w14:paraId="52B7E9D2" w14:textId="77777777" w:rsidR="00042988" w:rsidRPr="00042988" w:rsidRDefault="00C64D74" w:rsidP="00042988">
      <w:pPr>
        <w:spacing w:line="240" w:lineRule="auto"/>
        <w:rPr>
          <w:szCs w:val="26"/>
        </w:rPr>
      </w:pPr>
    </w:p>
    <w:p w14:paraId="74920510" w14:textId="77777777" w:rsidR="00042988" w:rsidRPr="00042988" w:rsidRDefault="00C64D74" w:rsidP="00042988">
      <w:pPr>
        <w:spacing w:line="240" w:lineRule="auto"/>
        <w:rPr>
          <w:szCs w:val="26"/>
        </w:rPr>
      </w:pPr>
      <w:r w:rsidRPr="00042988">
        <w:rPr>
          <w:szCs w:val="26"/>
        </w:rPr>
        <w:t>_________________________</w:t>
      </w:r>
    </w:p>
    <w:p w14:paraId="20D9269C" w14:textId="77777777" w:rsidR="00042988" w:rsidRPr="00042988" w:rsidRDefault="00C64D74" w:rsidP="00042988">
      <w:pPr>
        <w:spacing w:line="240" w:lineRule="auto"/>
        <w:rPr>
          <w:szCs w:val="26"/>
        </w:rPr>
      </w:pPr>
      <w:r w:rsidRPr="00042988">
        <w:rPr>
          <w:szCs w:val="26"/>
        </w:rPr>
        <w:t>Tucher, P.J.</w:t>
      </w:r>
    </w:p>
    <w:p w14:paraId="45AAE273" w14:textId="77777777" w:rsidR="00042988" w:rsidRPr="00042988" w:rsidRDefault="00C64D74" w:rsidP="00042988">
      <w:pPr>
        <w:spacing w:line="240" w:lineRule="auto"/>
        <w:rPr>
          <w:szCs w:val="26"/>
        </w:rPr>
      </w:pPr>
    </w:p>
    <w:p w14:paraId="47BE1CF6" w14:textId="77777777" w:rsidR="00042988" w:rsidRPr="00042988" w:rsidRDefault="00C64D74" w:rsidP="00042988">
      <w:pPr>
        <w:spacing w:line="240" w:lineRule="auto"/>
        <w:rPr>
          <w:szCs w:val="26"/>
        </w:rPr>
      </w:pPr>
    </w:p>
    <w:p w14:paraId="6369D245" w14:textId="77777777" w:rsidR="00042988" w:rsidRPr="00042988" w:rsidRDefault="00C64D74" w:rsidP="00042988">
      <w:pPr>
        <w:spacing w:line="240" w:lineRule="auto"/>
        <w:rPr>
          <w:szCs w:val="26"/>
        </w:rPr>
      </w:pPr>
    </w:p>
    <w:p w14:paraId="6DB49727" w14:textId="77777777" w:rsidR="00042988" w:rsidRPr="00042988" w:rsidRDefault="00C64D74" w:rsidP="00042988">
      <w:pPr>
        <w:spacing w:line="240" w:lineRule="auto"/>
        <w:rPr>
          <w:szCs w:val="26"/>
        </w:rPr>
      </w:pPr>
    </w:p>
    <w:p w14:paraId="44179733" w14:textId="77777777" w:rsidR="00042988" w:rsidRPr="00042988" w:rsidRDefault="00C64D74" w:rsidP="00042988">
      <w:pPr>
        <w:spacing w:line="240" w:lineRule="auto"/>
        <w:rPr>
          <w:szCs w:val="26"/>
        </w:rPr>
      </w:pPr>
      <w:r w:rsidRPr="00042988">
        <w:rPr>
          <w:szCs w:val="26"/>
        </w:rPr>
        <w:t>_________________________</w:t>
      </w:r>
    </w:p>
    <w:p w14:paraId="581045E2" w14:textId="77777777" w:rsidR="00042988" w:rsidRPr="00042988" w:rsidRDefault="00C64D74" w:rsidP="00042988">
      <w:pPr>
        <w:spacing w:line="240" w:lineRule="auto"/>
        <w:rPr>
          <w:szCs w:val="26"/>
        </w:rPr>
      </w:pPr>
      <w:r w:rsidRPr="00042988">
        <w:rPr>
          <w:szCs w:val="26"/>
          <w:lang w:val="es-MX"/>
        </w:rPr>
        <w:t>Rodríguez</w:t>
      </w:r>
      <w:r w:rsidRPr="00042988">
        <w:rPr>
          <w:szCs w:val="26"/>
        </w:rPr>
        <w:t>, J.</w:t>
      </w:r>
    </w:p>
    <w:p w14:paraId="0355DE73" w14:textId="77777777" w:rsidR="00042988" w:rsidRPr="00042988" w:rsidRDefault="00C64D74" w:rsidP="00E24DE5">
      <w:pPr>
        <w:adjustRightInd w:val="0"/>
        <w:snapToGrid w:val="0"/>
        <w:spacing w:line="240" w:lineRule="auto"/>
        <w:rPr>
          <w:i/>
          <w:szCs w:val="26"/>
        </w:rPr>
      </w:pPr>
    </w:p>
    <w:p w14:paraId="1043921C" w14:textId="77777777" w:rsidR="00042988" w:rsidRPr="00E24DE5" w:rsidRDefault="00C64D74" w:rsidP="00E24DE5">
      <w:pPr>
        <w:adjustRightInd w:val="0"/>
        <w:snapToGrid w:val="0"/>
        <w:spacing w:line="240" w:lineRule="auto"/>
        <w:rPr>
          <w:iCs/>
          <w:szCs w:val="26"/>
        </w:rPr>
      </w:pPr>
    </w:p>
    <w:p w14:paraId="0B48F5B8" w14:textId="77777777" w:rsidR="00E336CA" w:rsidRDefault="00C64D74">
      <w:pPr>
        <w:tabs>
          <w:tab w:val="clear" w:pos="720"/>
        </w:tabs>
        <w:spacing w:after="160" w:line="259" w:lineRule="auto"/>
        <w:rPr>
          <w:iCs/>
          <w:szCs w:val="26"/>
        </w:rPr>
      </w:pPr>
      <w:r>
        <w:rPr>
          <w:iCs/>
          <w:szCs w:val="26"/>
        </w:rPr>
        <w:br w:type="page"/>
      </w:r>
    </w:p>
    <w:p w14:paraId="09075A81" w14:textId="77777777" w:rsidR="00E336CA" w:rsidRDefault="00C64D74" w:rsidP="00E336CA">
      <w:pPr>
        <w:spacing w:line="240" w:lineRule="auto"/>
      </w:pPr>
      <w:r>
        <w:lastRenderedPageBreak/>
        <w:t>Trial Court:</w:t>
      </w:r>
      <w:r>
        <w:tab/>
      </w:r>
      <w:r>
        <w:tab/>
        <w:t xml:space="preserve">San </w:t>
      </w:r>
      <w:r>
        <w:t>Mateo County Superior Court</w:t>
      </w:r>
    </w:p>
    <w:p w14:paraId="7A27C55A" w14:textId="77777777" w:rsidR="00E336CA" w:rsidRDefault="00C64D74" w:rsidP="00E336CA">
      <w:pPr>
        <w:spacing w:line="240" w:lineRule="auto"/>
      </w:pPr>
    </w:p>
    <w:p w14:paraId="62CAFA44" w14:textId="77777777" w:rsidR="00E336CA" w:rsidRDefault="00C64D74" w:rsidP="00E336CA">
      <w:pPr>
        <w:spacing w:line="240" w:lineRule="auto"/>
      </w:pPr>
      <w:r>
        <w:t>Trial Judge:</w:t>
      </w:r>
      <w:r>
        <w:tab/>
        <w:t>Hon. Susan Greenbert</w:t>
      </w:r>
    </w:p>
    <w:p w14:paraId="1FEFE430" w14:textId="77777777" w:rsidR="00E336CA" w:rsidRDefault="00C64D74" w:rsidP="00E336CA">
      <w:pPr>
        <w:spacing w:line="240" w:lineRule="auto"/>
      </w:pPr>
    </w:p>
    <w:p w14:paraId="5111C4FA" w14:textId="77777777" w:rsidR="00E336CA" w:rsidRDefault="00C64D74" w:rsidP="00E336CA">
      <w:pPr>
        <w:tabs>
          <w:tab w:val="left" w:pos="1440"/>
          <w:tab w:val="left" w:pos="2160"/>
        </w:tabs>
        <w:spacing w:line="240" w:lineRule="auto"/>
        <w:ind w:left="2520" w:hanging="2520"/>
        <w:rPr>
          <w:rFonts w:eastAsia="Calibri" w:cs="Calibri"/>
        </w:rPr>
      </w:pPr>
      <w:r w:rsidRPr="003D2125">
        <w:rPr>
          <w:rFonts w:eastAsia="Calibri" w:cs="Calibri"/>
        </w:rPr>
        <w:t>Counsel:</w:t>
      </w:r>
      <w:r w:rsidRPr="003D2125">
        <w:rPr>
          <w:rFonts w:eastAsia="Calibri" w:cs="Calibri"/>
        </w:rPr>
        <w:tab/>
      </w:r>
      <w:r>
        <w:rPr>
          <w:rFonts w:eastAsia="Calibri" w:cs="Calibri"/>
        </w:rPr>
        <w:tab/>
        <w:t>Law Offices of Marsanne Weese, Marsanne Weese, Rose Mishaan</w:t>
      </w:r>
      <w:r w:rsidRPr="003D2125">
        <w:rPr>
          <w:rFonts w:eastAsia="Calibri" w:cs="Calibri"/>
        </w:rPr>
        <w:t xml:space="preserve">; </w:t>
      </w:r>
      <w:r>
        <w:rPr>
          <w:rFonts w:eastAsia="Calibri" w:cs="Calibri"/>
        </w:rPr>
        <w:t>Civil Rights Corps, Carson White, Katherine Hubbard, Salil Dudani</w:t>
      </w:r>
      <w:r w:rsidRPr="003D2125">
        <w:rPr>
          <w:rFonts w:eastAsia="Calibri" w:cs="Calibri"/>
        </w:rPr>
        <w:t xml:space="preserve">, and </w:t>
      </w:r>
      <w:r>
        <w:rPr>
          <w:rFonts w:eastAsia="Calibri" w:cs="Calibri"/>
        </w:rPr>
        <w:t xml:space="preserve">Alec Karakatsanis </w:t>
      </w:r>
      <w:r w:rsidRPr="003D2125">
        <w:rPr>
          <w:rFonts w:eastAsia="Calibri" w:cs="Calibri"/>
        </w:rPr>
        <w:t xml:space="preserve">for </w:t>
      </w:r>
      <w:r>
        <w:rPr>
          <w:rFonts w:eastAsia="Calibri" w:cs="Calibri"/>
        </w:rPr>
        <w:t>Petitioner</w:t>
      </w:r>
    </w:p>
    <w:p w14:paraId="31BE85DC" w14:textId="77777777" w:rsidR="00E336CA" w:rsidRDefault="00C64D74" w:rsidP="00E336CA">
      <w:pPr>
        <w:tabs>
          <w:tab w:val="left" w:pos="1440"/>
          <w:tab w:val="left" w:pos="2160"/>
        </w:tabs>
        <w:spacing w:line="240" w:lineRule="auto"/>
        <w:ind w:left="2520" w:hanging="2520"/>
        <w:rPr>
          <w:rFonts w:eastAsia="Calibri" w:cs="Calibri"/>
        </w:rPr>
      </w:pPr>
    </w:p>
    <w:p w14:paraId="752216FF" w14:textId="77777777" w:rsidR="00E336CA" w:rsidRPr="003D2125" w:rsidRDefault="00C64D74" w:rsidP="00E336CA">
      <w:pPr>
        <w:tabs>
          <w:tab w:val="left" w:pos="1440"/>
          <w:tab w:val="left" w:pos="2160"/>
        </w:tabs>
        <w:spacing w:line="240" w:lineRule="auto"/>
        <w:ind w:left="2520" w:hanging="2520"/>
        <w:rPr>
          <w:rFonts w:eastAsia="Calibri" w:cs="Calibri"/>
        </w:rPr>
      </w:pPr>
      <w:r w:rsidRPr="003D2125">
        <w:rPr>
          <w:rFonts w:eastAsia="Calibri" w:cs="Calibri"/>
        </w:rPr>
        <w:tab/>
      </w:r>
      <w:r w:rsidRPr="003D2125">
        <w:rPr>
          <w:rFonts w:eastAsia="Calibri" w:cs="Calibri"/>
        </w:rPr>
        <w:tab/>
      </w:r>
      <w:r>
        <w:rPr>
          <w:rFonts w:eastAsia="Calibri" w:cs="Calibri"/>
        </w:rPr>
        <w:tab/>
        <w:t xml:space="preserve">ACLU </w:t>
      </w:r>
      <w:r>
        <w:rPr>
          <w:rFonts w:eastAsia="Calibri" w:cs="Calibri"/>
        </w:rPr>
        <w:t>Foundation of Northern California, Avram Frey, Mica Doctoroff, Emi Young; ACLU Foundation of Southern California, Summer Lacey</w:t>
      </w:r>
      <w:r w:rsidRPr="003D2125">
        <w:rPr>
          <w:rFonts w:eastAsia="Calibri" w:cs="Calibri"/>
        </w:rPr>
        <w:t xml:space="preserve"> for </w:t>
      </w:r>
      <w:r w:rsidRPr="00E336CA">
        <w:rPr>
          <w:rFonts w:eastAsia="Calibri" w:cs="Calibri"/>
        </w:rPr>
        <w:t>American Civil Liberties Union of Northern California, American Civil Liberties Union of Southern California, California Publ</w:t>
      </w:r>
      <w:r w:rsidRPr="00E336CA">
        <w:rPr>
          <w:rFonts w:eastAsia="Calibri" w:cs="Calibri"/>
        </w:rPr>
        <w:t xml:space="preserve">ic Defenders Association, Crime Survivors for Safety and Justice, and Claudia Y. Bautista, Ventura County Public Defender as Amicus Curiae </w:t>
      </w:r>
      <w:r>
        <w:rPr>
          <w:rFonts w:eastAsia="Calibri" w:cs="Calibri"/>
        </w:rPr>
        <w:t>on behalf of Petitioner</w:t>
      </w:r>
    </w:p>
    <w:p w14:paraId="37D918D1" w14:textId="77777777" w:rsidR="00E336CA" w:rsidRPr="003D2125" w:rsidRDefault="00C64D74" w:rsidP="00E336CA">
      <w:pPr>
        <w:tabs>
          <w:tab w:val="left" w:pos="1620"/>
        </w:tabs>
        <w:spacing w:line="240" w:lineRule="auto"/>
        <w:ind w:left="1980" w:hanging="1980"/>
        <w:rPr>
          <w:rFonts w:eastAsia="Calibri" w:cs="Calibri"/>
        </w:rPr>
      </w:pPr>
    </w:p>
    <w:p w14:paraId="1E99DE39" w14:textId="77777777" w:rsidR="00E336CA" w:rsidRPr="003D2125" w:rsidRDefault="00C64D74" w:rsidP="00E336CA">
      <w:pPr>
        <w:tabs>
          <w:tab w:val="left" w:pos="1440"/>
          <w:tab w:val="left" w:pos="2160"/>
        </w:tabs>
        <w:spacing w:line="240" w:lineRule="auto"/>
        <w:ind w:left="2610" w:hanging="2610"/>
        <w:rPr>
          <w:rFonts w:eastAsia="Calibri" w:cs="Calibri"/>
        </w:rPr>
      </w:pPr>
      <w:r w:rsidRPr="003D2125">
        <w:rPr>
          <w:rFonts w:eastAsia="Calibri" w:cs="Calibri"/>
        </w:rPr>
        <w:tab/>
      </w:r>
      <w:r w:rsidRPr="003D2125">
        <w:rPr>
          <w:rFonts w:eastAsia="Calibri" w:cs="Calibri"/>
        </w:rPr>
        <w:tab/>
      </w:r>
      <w:r>
        <w:rPr>
          <w:rFonts w:eastAsia="Calibri" w:cs="Calibri"/>
        </w:rPr>
        <w:tab/>
        <w:t>Stephen M. Wagstaffe</w:t>
      </w:r>
      <w:r w:rsidRPr="003D2125">
        <w:rPr>
          <w:rFonts w:eastAsia="Calibri" w:cs="Calibri"/>
        </w:rPr>
        <w:t xml:space="preserve">, </w:t>
      </w:r>
      <w:r>
        <w:rPr>
          <w:rFonts w:eastAsia="Calibri" w:cs="Calibri"/>
        </w:rPr>
        <w:t>District Attorney of San Mateo County, Lechelle Mercier, Law Clerk,</w:t>
      </w:r>
      <w:r>
        <w:rPr>
          <w:rFonts w:eastAsia="Calibri" w:cs="Calibri"/>
        </w:rPr>
        <w:t xml:space="preserve"> Bryan Abanto and Joshua Martin, Deputy District Attorneys</w:t>
      </w:r>
      <w:r w:rsidRPr="003D2125">
        <w:rPr>
          <w:rFonts w:eastAsia="Calibri" w:cs="Calibri"/>
        </w:rPr>
        <w:t xml:space="preserve"> for </w:t>
      </w:r>
      <w:r>
        <w:rPr>
          <w:rFonts w:eastAsia="Calibri" w:cs="Calibri"/>
        </w:rPr>
        <w:t>Real Party in Interest</w:t>
      </w:r>
    </w:p>
    <w:p w14:paraId="0FEEF173" w14:textId="77777777" w:rsidR="00016E21" w:rsidRPr="00E24DE5" w:rsidRDefault="00C64D74" w:rsidP="00E24DE5">
      <w:pPr>
        <w:adjustRightInd w:val="0"/>
        <w:snapToGrid w:val="0"/>
        <w:spacing w:line="240" w:lineRule="auto"/>
        <w:rPr>
          <w:iCs/>
          <w:szCs w:val="26"/>
        </w:rPr>
      </w:pPr>
    </w:p>
    <w:p w14:paraId="5CB179DB" w14:textId="77777777" w:rsidR="00042988" w:rsidRDefault="00C64D74" w:rsidP="00E24DE5">
      <w:pPr>
        <w:adjustRightInd w:val="0"/>
        <w:snapToGrid w:val="0"/>
        <w:spacing w:line="240" w:lineRule="auto"/>
        <w:rPr>
          <w:i/>
          <w:szCs w:val="26"/>
        </w:rPr>
      </w:pPr>
    </w:p>
    <w:p w14:paraId="1F9C9F6D" w14:textId="77777777" w:rsidR="00042988" w:rsidRPr="001355A6" w:rsidRDefault="00C64D74" w:rsidP="00E24DE5">
      <w:pPr>
        <w:adjustRightInd w:val="0"/>
        <w:snapToGrid w:val="0"/>
        <w:spacing w:line="240" w:lineRule="auto"/>
        <w:rPr>
          <w:szCs w:val="26"/>
        </w:rPr>
      </w:pPr>
      <w:r w:rsidRPr="00042988">
        <w:rPr>
          <w:i/>
          <w:sz w:val="20"/>
          <w:szCs w:val="20"/>
        </w:rPr>
        <w:t xml:space="preserve">In re Kowalczyk </w:t>
      </w:r>
      <w:r w:rsidRPr="00042988">
        <w:rPr>
          <w:sz w:val="20"/>
          <w:szCs w:val="20"/>
        </w:rPr>
        <w:t>(A162977)</w:t>
      </w:r>
    </w:p>
    <w:sectPr w:rsidR="00042988" w:rsidRPr="001355A6" w:rsidSect="00F5131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FE7A6" w14:textId="77777777" w:rsidR="00000000" w:rsidRDefault="00C64D74">
      <w:pPr>
        <w:spacing w:line="240" w:lineRule="auto"/>
      </w:pPr>
      <w:r>
        <w:separator/>
      </w:r>
    </w:p>
  </w:endnote>
  <w:endnote w:type="continuationSeparator" w:id="0">
    <w:p w14:paraId="34DA2481" w14:textId="77777777" w:rsidR="00000000" w:rsidRDefault="00C64D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8E87F" w14:textId="77777777" w:rsidR="00392D36" w:rsidRDefault="00C64D74" w:rsidP="00DC0D2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fldChar w:fldCharType="end"/>
    </w:r>
  </w:p>
  <w:p w14:paraId="614C0F73" w14:textId="77777777" w:rsidR="00392D36" w:rsidRDefault="00C64D74" w:rsidP="00DC0D2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fldChar w:fldCharType="end"/>
    </w:r>
  </w:p>
  <w:p w14:paraId="3DF99B46" w14:textId="77777777" w:rsidR="00392D36" w:rsidRDefault="00C64D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C75B3" w14:textId="77777777" w:rsidR="00392D36" w:rsidRDefault="00C64D74" w:rsidP="00DC0D2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363C592D" w14:textId="77777777" w:rsidR="00392D36" w:rsidRDefault="00C64D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CA66D" w14:textId="77777777" w:rsidR="000F3721" w:rsidRDefault="00C64D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CDC68" w14:textId="77777777" w:rsidR="0073708B" w:rsidRDefault="00C64D74" w:rsidP="00DC0D2D">
      <w:pPr>
        <w:spacing w:line="240" w:lineRule="auto"/>
      </w:pPr>
      <w:r>
        <w:separator/>
      </w:r>
    </w:p>
  </w:footnote>
  <w:footnote w:type="continuationSeparator" w:id="0">
    <w:p w14:paraId="22BDFAF5" w14:textId="77777777" w:rsidR="0073708B" w:rsidRDefault="00C64D74" w:rsidP="00DC0D2D">
      <w:pPr>
        <w:spacing w:line="240" w:lineRule="auto"/>
      </w:pPr>
      <w:r>
        <w:continuationSeparator/>
      </w:r>
    </w:p>
  </w:footnote>
  <w:footnote w:type="continuationNotice" w:id="1">
    <w:p w14:paraId="6549F5A6" w14:textId="77777777" w:rsidR="0073708B" w:rsidRDefault="00C64D74">
      <w:pPr>
        <w:spacing w:line="240" w:lineRule="auto"/>
      </w:pPr>
    </w:p>
  </w:footnote>
  <w:footnote w:id="2">
    <w:p w14:paraId="2D0D741C" w14:textId="77777777" w:rsidR="00392D36" w:rsidRPr="00CF3185" w:rsidRDefault="00C64D74" w:rsidP="004269D9">
      <w:pPr>
        <w:pStyle w:val="FootnoteText"/>
        <w:spacing w:after="120"/>
        <w:rPr>
          <w:szCs w:val="26"/>
        </w:rPr>
      </w:pPr>
      <w:r w:rsidRPr="00CF3185">
        <w:rPr>
          <w:rStyle w:val="FootnoteReference"/>
          <w:szCs w:val="26"/>
        </w:rPr>
        <w:footnoteRef/>
      </w:r>
      <w:r w:rsidRPr="00CF3185">
        <w:rPr>
          <w:szCs w:val="26"/>
        </w:rPr>
        <w:t xml:space="preserve"> </w:t>
      </w:r>
      <w:r w:rsidRPr="00CF3185">
        <w:rPr>
          <w:szCs w:val="26"/>
        </w:rPr>
        <w:tab/>
        <w:t xml:space="preserve">In full, </w:t>
      </w:r>
      <w:r>
        <w:rPr>
          <w:szCs w:val="26"/>
        </w:rPr>
        <w:t xml:space="preserve">this </w:t>
      </w:r>
      <w:r w:rsidRPr="00CF3185">
        <w:rPr>
          <w:szCs w:val="26"/>
        </w:rPr>
        <w:t>former</w:t>
      </w:r>
      <w:r>
        <w:rPr>
          <w:szCs w:val="26"/>
        </w:rPr>
        <w:t xml:space="preserve"> version of</w:t>
      </w:r>
      <w:r w:rsidRPr="00CF3185">
        <w:rPr>
          <w:szCs w:val="26"/>
        </w:rPr>
        <w:t xml:space="preserve"> section</w:t>
      </w:r>
      <w:r>
        <w:rPr>
          <w:szCs w:val="26"/>
        </w:rPr>
        <w:t> </w:t>
      </w:r>
      <w:r w:rsidRPr="00CF3185">
        <w:rPr>
          <w:szCs w:val="26"/>
        </w:rPr>
        <w:t xml:space="preserve">12 read:  “A person shall be </w:t>
      </w:r>
      <w:r w:rsidRPr="00CF3185">
        <w:rPr>
          <w:szCs w:val="26"/>
        </w:rPr>
        <w:t>released on bail by sufficient sureties, except for capital crimes when the facts are evident or the presumption great.  Excessive bail may not be required.  [¶]</w:t>
      </w:r>
      <w:r>
        <w:rPr>
          <w:szCs w:val="26"/>
        </w:rPr>
        <w:t> </w:t>
      </w:r>
      <w:r w:rsidRPr="00CF3185">
        <w:rPr>
          <w:szCs w:val="26"/>
        </w:rPr>
        <w:t xml:space="preserve">A person may be released on his or her own </w:t>
      </w:r>
      <w:r w:rsidRPr="007D504A">
        <w:rPr>
          <w:szCs w:val="26"/>
        </w:rPr>
        <w:t>recognizance in the court’s discretion.”  (Former C</w:t>
      </w:r>
      <w:r w:rsidRPr="007D504A">
        <w:rPr>
          <w:szCs w:val="26"/>
        </w:rPr>
        <w:t xml:space="preserve">al. Const., art. I, § 12; </w:t>
      </w:r>
      <w:r w:rsidRPr="007D504A">
        <w:rPr>
          <w:i/>
          <w:iCs/>
          <w:szCs w:val="26"/>
        </w:rPr>
        <w:t>People v. Standish</w:t>
      </w:r>
      <w:r w:rsidRPr="007D504A">
        <w:rPr>
          <w:szCs w:val="26"/>
        </w:rPr>
        <w:t xml:space="preserve"> (2006) 38 Cal.4th 858, 874 (</w:t>
      </w:r>
      <w:r w:rsidRPr="007D504A">
        <w:rPr>
          <w:i/>
          <w:iCs/>
          <w:szCs w:val="26"/>
        </w:rPr>
        <w:t>Standish</w:t>
      </w:r>
      <w:r w:rsidRPr="007D504A">
        <w:rPr>
          <w:szCs w:val="26"/>
        </w:rPr>
        <w:t>) [prior to 1974, there was a “ ‘ “well-established practice of releasing persons accused of crimes on their</w:t>
      </w:r>
      <w:r w:rsidRPr="00CF3185">
        <w:rPr>
          <w:szCs w:val="26"/>
        </w:rPr>
        <w:t xml:space="preserve"> own recognizance”</w:t>
      </w:r>
      <w:r>
        <w:rPr>
          <w:szCs w:val="26"/>
        </w:rPr>
        <w:t> </w:t>
      </w:r>
      <w:r w:rsidRPr="00CF3185">
        <w:rPr>
          <w:szCs w:val="26"/>
        </w:rPr>
        <w:t xml:space="preserve">’ in appropriate circumstances </w:t>
      </w:r>
      <w:r w:rsidRPr="00A21FD7">
        <w:rPr>
          <w:szCs w:val="26"/>
        </w:rPr>
        <w:t>as an alternative</w:t>
      </w:r>
      <w:r w:rsidRPr="00A21FD7">
        <w:rPr>
          <w:szCs w:val="26"/>
        </w:rPr>
        <w:t xml:space="preserve"> to requiring the posting of bail</w:t>
      </w:r>
      <w:r w:rsidRPr="00CF3185">
        <w:rPr>
          <w:szCs w:val="26"/>
        </w:rPr>
        <w:t>”].)</w:t>
      </w:r>
    </w:p>
  </w:footnote>
  <w:footnote w:id="3">
    <w:p w14:paraId="782C1183" w14:textId="77777777" w:rsidR="00392D36" w:rsidRDefault="00C64D74" w:rsidP="004269D9">
      <w:pPr>
        <w:pStyle w:val="FootnoteText"/>
        <w:spacing w:after="120"/>
      </w:pPr>
      <w:r>
        <w:rPr>
          <w:rStyle w:val="FootnoteReference"/>
        </w:rPr>
        <w:footnoteRef/>
      </w:r>
      <w:r>
        <w:tab/>
        <w:t xml:space="preserve">Petitioner’s unopposed request for judicial notice of various documents, including voter information guides, is granted. </w:t>
      </w:r>
    </w:p>
  </w:footnote>
  <w:footnote w:id="4">
    <w:p w14:paraId="4DA8C966" w14:textId="77777777" w:rsidR="00392D36" w:rsidRPr="00CF3185" w:rsidRDefault="00C64D74" w:rsidP="004269D9">
      <w:pPr>
        <w:pStyle w:val="FootnoteText"/>
        <w:spacing w:after="120"/>
        <w:rPr>
          <w:szCs w:val="26"/>
        </w:rPr>
      </w:pPr>
      <w:r w:rsidRPr="00CF3185">
        <w:rPr>
          <w:rStyle w:val="FootnoteReference"/>
          <w:szCs w:val="26"/>
        </w:rPr>
        <w:footnoteRef/>
      </w:r>
      <w:r w:rsidRPr="00CF3185">
        <w:rPr>
          <w:szCs w:val="26"/>
        </w:rPr>
        <w:t xml:space="preserve"> </w:t>
      </w:r>
      <w:r w:rsidRPr="00CF3185">
        <w:rPr>
          <w:szCs w:val="26"/>
        </w:rPr>
        <w:tab/>
      </w:r>
      <w:r>
        <w:rPr>
          <w:szCs w:val="26"/>
        </w:rPr>
        <w:t xml:space="preserve">As noted, </w:t>
      </w:r>
      <w:r w:rsidRPr="00820D6C">
        <w:rPr>
          <w:i/>
          <w:iCs/>
          <w:szCs w:val="26"/>
        </w:rPr>
        <w:t>post</w:t>
      </w:r>
      <w:r>
        <w:rPr>
          <w:szCs w:val="26"/>
        </w:rPr>
        <w:t>, t</w:t>
      </w:r>
      <w:r w:rsidRPr="00CF3185">
        <w:rPr>
          <w:szCs w:val="26"/>
        </w:rPr>
        <w:t xml:space="preserve">his </w:t>
      </w:r>
      <w:r>
        <w:rPr>
          <w:szCs w:val="26"/>
        </w:rPr>
        <w:t>specific</w:t>
      </w:r>
      <w:r w:rsidRPr="00CF3185">
        <w:rPr>
          <w:szCs w:val="26"/>
        </w:rPr>
        <w:t xml:space="preserve"> provision rescinding a court’s discretion to grant OR release</w:t>
      </w:r>
      <w:r w:rsidRPr="00CF3185">
        <w:rPr>
          <w:szCs w:val="26"/>
        </w:rPr>
        <w:t xml:space="preserve"> for serious felon</w:t>
      </w:r>
      <w:r>
        <w:rPr>
          <w:szCs w:val="26"/>
        </w:rPr>
        <w:t>ies</w:t>
      </w:r>
      <w:r w:rsidRPr="00CF3185">
        <w:rPr>
          <w:szCs w:val="26"/>
        </w:rPr>
        <w:t xml:space="preserve"> was </w:t>
      </w:r>
      <w:r>
        <w:rPr>
          <w:szCs w:val="26"/>
        </w:rPr>
        <w:t>expressly</w:t>
      </w:r>
      <w:r w:rsidRPr="00CF3185">
        <w:rPr>
          <w:szCs w:val="26"/>
        </w:rPr>
        <w:t xml:space="preserve"> stricken from section 28 by </w:t>
      </w:r>
      <w:r>
        <w:rPr>
          <w:szCs w:val="26"/>
        </w:rPr>
        <w:t xml:space="preserve">the passage of </w:t>
      </w:r>
      <w:r w:rsidRPr="00CF3185">
        <w:rPr>
          <w:szCs w:val="26"/>
        </w:rPr>
        <w:t>Proposition 9</w:t>
      </w:r>
      <w:r>
        <w:rPr>
          <w:szCs w:val="26"/>
        </w:rPr>
        <w:t xml:space="preserve"> in 2008</w:t>
      </w:r>
      <w:r w:rsidRPr="00CF3185">
        <w:rPr>
          <w:szCs w:val="26"/>
        </w:rPr>
        <w:t>.</w:t>
      </w:r>
    </w:p>
  </w:footnote>
  <w:footnote w:id="5">
    <w:p w14:paraId="5F431CCE" w14:textId="77777777" w:rsidR="00392D36" w:rsidRDefault="00C64D74" w:rsidP="004269D9">
      <w:pPr>
        <w:pStyle w:val="FootnoteText"/>
        <w:spacing w:after="120"/>
      </w:pPr>
      <w:r>
        <w:rPr>
          <w:rStyle w:val="FootnoteReference"/>
        </w:rPr>
        <w:footnoteRef/>
      </w:r>
      <w:r>
        <w:t xml:space="preserve"> </w:t>
      </w:r>
      <w:r>
        <w:tab/>
      </w:r>
      <w:r>
        <w:t>The italics in this and in the following quoted text from Proposition 9 reflect the original italicized language appearing in the ballot materials, which informed the reader:  “This initiative measure amends a section of the California Constitution and ame</w:t>
      </w:r>
      <w:r>
        <w:t xml:space="preserve">nds and adds sections to the Penal Code; therefore, existing provisions proposed to be deleted are printed in </w:t>
      </w:r>
      <w:r w:rsidRPr="005A70EF">
        <w:rPr>
          <w:strike/>
        </w:rPr>
        <w:t>strikeout type</w:t>
      </w:r>
      <w:r>
        <w:t xml:space="preserve"> and new provisions proposed to be added are printed in </w:t>
      </w:r>
      <w:r w:rsidRPr="005A70EF">
        <w:rPr>
          <w:i/>
          <w:iCs/>
        </w:rPr>
        <w:t>italic type</w:t>
      </w:r>
      <w:r>
        <w:t xml:space="preserve"> to indicate that they are new.”  (</w:t>
      </w:r>
      <w:r w:rsidRPr="000A6B7A">
        <w:t xml:space="preserve">Voter Information Guide, Gen. </w:t>
      </w:r>
      <w:r w:rsidRPr="000A6B7A">
        <w:t>Elec.</w:t>
      </w:r>
      <w:r>
        <w:t xml:space="preserve">, </w:t>
      </w:r>
      <w:r w:rsidRPr="00C26F98">
        <w:rPr>
          <w:i/>
          <w:iCs/>
        </w:rPr>
        <w:t>supra</w:t>
      </w:r>
      <w:r>
        <w:t>,</w:t>
      </w:r>
      <w:r w:rsidRPr="007D504A">
        <w:t xml:space="preserve"> </w:t>
      </w:r>
      <w:r>
        <w:t>introductory paragraph to</w:t>
      </w:r>
      <w:r w:rsidRPr="000A6B7A">
        <w:t xml:space="preserve"> text of Prop.</w:t>
      </w:r>
      <w:r>
        <w:t> </w:t>
      </w:r>
      <w:r w:rsidRPr="000A6B7A">
        <w:t xml:space="preserve">9, </w:t>
      </w:r>
      <w:r>
        <w:t>p. 128.)</w:t>
      </w:r>
    </w:p>
  </w:footnote>
  <w:footnote w:id="6">
    <w:p w14:paraId="2CB4E101" w14:textId="77777777" w:rsidR="00392D36" w:rsidRDefault="00C64D74" w:rsidP="004269D9">
      <w:pPr>
        <w:pStyle w:val="FootnoteText"/>
        <w:spacing w:after="120"/>
      </w:pPr>
      <w:r>
        <w:rPr>
          <w:rStyle w:val="FootnoteReference"/>
        </w:rPr>
        <w:footnoteRef/>
      </w:r>
      <w:r>
        <w:t xml:space="preserve"> </w:t>
      </w:r>
      <w:r>
        <w:tab/>
      </w:r>
      <w:r w:rsidRPr="00E72736">
        <w:t>In their joint amicus brief in support of petitioner, the American Civil Liberties Union of Northern and Southern California, the California Public Defenders Association, Crime Survivors for Safety and Justice, and the Public Defender of Ventura County (he</w:t>
      </w:r>
      <w:r w:rsidRPr="00E72736">
        <w:t xml:space="preserve">reafter amici) </w:t>
      </w:r>
      <w:r>
        <w:t>essentially advance this the same argument, as well as a few other of petitioner’s arguments</w:t>
      </w:r>
      <w:r w:rsidRPr="007D504A">
        <w:t xml:space="preserve">. </w:t>
      </w:r>
    </w:p>
  </w:footnote>
  <w:footnote w:id="7">
    <w:p w14:paraId="3228B8DC" w14:textId="77777777" w:rsidR="00C46F48" w:rsidRDefault="00C64D74">
      <w:pPr>
        <w:pStyle w:val="FootnoteText"/>
      </w:pPr>
      <w:r>
        <w:rPr>
          <w:rStyle w:val="FootnoteReference"/>
        </w:rPr>
        <w:footnoteRef/>
      </w:r>
      <w:r>
        <w:t xml:space="preserve"> </w:t>
      </w:r>
      <w:r>
        <w:tab/>
        <w:t>Sections 28(f)(3) and 12 both additionally require consideration of “the seriousness of the offense charged, the previous criminal record of th</w:t>
      </w:r>
      <w:r>
        <w:t>e defendant, and the probability of [the defendant] appearing at the trial or hearing of the case.”</w:t>
      </w:r>
    </w:p>
  </w:footnote>
  <w:footnote w:id="8">
    <w:p w14:paraId="5F488D10" w14:textId="77777777" w:rsidR="00580F15" w:rsidRDefault="00C64D74" w:rsidP="00580F15">
      <w:pPr>
        <w:pStyle w:val="FootnoteText"/>
      </w:pPr>
      <w:r>
        <w:rPr>
          <w:rStyle w:val="FootnoteReference"/>
        </w:rPr>
        <w:footnoteRef/>
      </w:r>
      <w:r>
        <w:t xml:space="preserve"> </w:t>
      </w:r>
      <w:r>
        <w:tab/>
        <w:t xml:space="preserve">The language of section 12 is </w:t>
      </w:r>
      <w:r w:rsidRPr="00975507">
        <w:rPr>
          <w:szCs w:val="26"/>
        </w:rPr>
        <w:t xml:space="preserve">materially identical </w:t>
      </w:r>
      <w:r>
        <w:rPr>
          <w:szCs w:val="26"/>
        </w:rPr>
        <w:t xml:space="preserve">to </w:t>
      </w:r>
      <w:r w:rsidRPr="00975507">
        <w:rPr>
          <w:szCs w:val="26"/>
        </w:rPr>
        <w:t xml:space="preserve">clauses in the </w:t>
      </w:r>
      <w:r>
        <w:rPr>
          <w:szCs w:val="26"/>
        </w:rPr>
        <w:t>C</w:t>
      </w:r>
      <w:r w:rsidRPr="00975507">
        <w:rPr>
          <w:szCs w:val="26"/>
        </w:rPr>
        <w:t>onstitutions of our sister states.  (</w:t>
      </w:r>
      <w:r>
        <w:rPr>
          <w:szCs w:val="26"/>
        </w:rPr>
        <w:t>E.g.,</w:t>
      </w:r>
      <w:r w:rsidRPr="00895368">
        <w:t xml:space="preserve"> Iowa Const., art. I, § 12 [“All persons </w:t>
      </w:r>
      <w:r w:rsidRPr="00895368">
        <w:t>shall, before conviction, be bailable, by sufficient sureties, except for capital offences where the proof is evident, or the presumption great.”]; N.M. Const., art. II, § 13 [“All persons shall, before conviction</w:t>
      </w:r>
      <w:r>
        <w:t>,</w:t>
      </w:r>
      <w:r w:rsidRPr="00895368">
        <w:t xml:space="preserve"> be bailable by sufficient sureties, excep</w:t>
      </w:r>
      <w:r w:rsidRPr="00895368">
        <w:t>t for capital offenses when the proof is evident or the presumption great and in situations in which bail is specifically prohibited by this section”]; Ariz. Const., art. II, § 22 [“All persons charged with crime shall be bailable by sufficient sureties, e</w:t>
      </w:r>
      <w:r w:rsidRPr="00895368">
        <w:t>xcept . . .”]; Ill. Const., art. I, § 9 [“All persons shall be bailable by sufficient sureties, except for the following offenses where the proof is evident or the presumption great . . .”].</w:t>
      </w:r>
      <w:r>
        <w:t xml:space="preserve">)  </w:t>
      </w:r>
    </w:p>
    <w:p w14:paraId="7D58810A" w14:textId="77777777" w:rsidR="00580F15" w:rsidRDefault="00C64D74" w:rsidP="00580F15">
      <w:pPr>
        <w:pStyle w:val="FootnoteText"/>
        <w:spacing w:after="120"/>
      </w:pPr>
      <w:r>
        <w:tab/>
        <w:t>Our interpretation of section 12 is in line with the case law</w:t>
      </w:r>
      <w:r>
        <w:t xml:space="preserve"> interpreting these sister state Constitutions.  (E.g., </w:t>
      </w:r>
      <w:r w:rsidRPr="00975507">
        <w:rPr>
          <w:i/>
          <w:iCs/>
          <w:szCs w:val="26"/>
        </w:rPr>
        <w:t>State v. Briggs</w:t>
      </w:r>
      <w:r w:rsidRPr="00975507">
        <w:rPr>
          <w:szCs w:val="26"/>
        </w:rPr>
        <w:t xml:space="preserve"> (Iowa 2003) 666 N.W.2d 573, 582; </w:t>
      </w:r>
      <w:r w:rsidRPr="00975507">
        <w:rPr>
          <w:i/>
          <w:iCs/>
          <w:szCs w:val="26"/>
        </w:rPr>
        <w:t xml:space="preserve">People ex rel. Gendron v. Ingram </w:t>
      </w:r>
      <w:r w:rsidRPr="00975507">
        <w:rPr>
          <w:szCs w:val="26"/>
        </w:rPr>
        <w:t>(1966) 34 Ill. 2d 623, 626</w:t>
      </w:r>
      <w:r>
        <w:rPr>
          <w:szCs w:val="26"/>
        </w:rPr>
        <w:t xml:space="preserve"> </w:t>
      </w:r>
      <w:r w:rsidRPr="00975507">
        <w:rPr>
          <w:szCs w:val="26"/>
        </w:rPr>
        <w:t>([“Sufficient, as used in the [Illinois] constitution, means sufficient to accomplish the p</w:t>
      </w:r>
      <w:r w:rsidRPr="00975507">
        <w:rPr>
          <w:szCs w:val="26"/>
        </w:rPr>
        <w:t xml:space="preserve">urpose of bail, not just the ability to pay in the event of a ‘skip’]; </w:t>
      </w:r>
      <w:r w:rsidRPr="00975507">
        <w:rPr>
          <w:i/>
          <w:iCs/>
          <w:szCs w:val="26"/>
        </w:rPr>
        <w:t xml:space="preserve">State v. Gutierrez </w:t>
      </w:r>
      <w:r w:rsidRPr="00975507">
        <w:rPr>
          <w:szCs w:val="26"/>
        </w:rPr>
        <w:t>(N.M.Ct.App. 2006) 140 N.M. 157, 162;</w:t>
      </w:r>
      <w:r w:rsidRPr="00975507">
        <w:rPr>
          <w:i/>
          <w:iCs/>
          <w:szCs w:val="26"/>
        </w:rPr>
        <w:t xml:space="preserve"> Fragoso v. Fell</w:t>
      </w:r>
      <w:r w:rsidRPr="00975507">
        <w:rPr>
          <w:szCs w:val="26"/>
        </w:rPr>
        <w:t xml:space="preserve"> (Ariz.Ct.App. 2005) 210 Ariz. 427, 433; see also </w:t>
      </w:r>
      <w:r w:rsidRPr="00975507">
        <w:rPr>
          <w:i/>
          <w:iCs/>
          <w:szCs w:val="26"/>
        </w:rPr>
        <w:t>State v. Brooks</w:t>
      </w:r>
      <w:r w:rsidRPr="00975507">
        <w:rPr>
          <w:szCs w:val="26"/>
        </w:rPr>
        <w:t xml:space="preserve"> (Minn. 2000) 604 N.W.2d 345, 350 [explaining th</w:t>
      </w:r>
      <w:r w:rsidRPr="00975507">
        <w:rPr>
          <w:szCs w:val="26"/>
        </w:rPr>
        <w:t>at Pennsylvania’s</w:t>
      </w:r>
      <w:r>
        <w:rPr>
          <w:szCs w:val="26"/>
        </w:rPr>
        <w:t xml:space="preserve"> law—which permitted all prisoners to be “ ‘Bailable by Sufficient Sureties’ ”—“</w:t>
      </w:r>
      <w:r w:rsidRPr="00135F3B">
        <w:rPr>
          <w:szCs w:val="26"/>
        </w:rPr>
        <w:t>became the model for almost every state constitution adopted after 1776</w:t>
      </w:r>
      <w:r>
        <w:rPr>
          <w:szCs w:val="26"/>
        </w:rPr>
        <w:t>” and two-thirds of state constitutions contain similar or identical language</w:t>
      </w:r>
      <w:r w:rsidRPr="009B1085">
        <w:rPr>
          <w:szCs w:val="26"/>
        </w:rPr>
        <w:t>]</w:t>
      </w:r>
      <w:r>
        <w:rPr>
          <w:szCs w:val="26"/>
        </w:rPr>
        <w:t xml:space="preserve">, italics </w:t>
      </w:r>
      <w:r>
        <w:rPr>
          <w:szCs w:val="26"/>
        </w:rPr>
        <w:t>omitted</w:t>
      </w:r>
      <w:r w:rsidRPr="009B1085">
        <w:rPr>
          <w:szCs w:val="26"/>
        </w:rPr>
        <w:t>.)</w:t>
      </w:r>
    </w:p>
  </w:footnote>
  <w:footnote w:id="9">
    <w:p w14:paraId="475B61DB" w14:textId="77777777" w:rsidR="00256E52" w:rsidRDefault="00C64D74" w:rsidP="00256E52">
      <w:pPr>
        <w:pStyle w:val="FootnoteText"/>
        <w:spacing w:after="120"/>
      </w:pPr>
      <w:r>
        <w:rPr>
          <w:rStyle w:val="FootnoteReference"/>
        </w:rPr>
        <w:footnoteRef/>
      </w:r>
      <w:r>
        <w:t xml:space="preserve"> </w:t>
      </w:r>
      <w:r>
        <w:tab/>
        <w:t>W</w:t>
      </w:r>
      <w:r w:rsidRPr="000E515B">
        <w:t xml:space="preserve">e note it </w:t>
      </w:r>
      <w:r>
        <w:t>can be</w:t>
      </w:r>
      <w:r w:rsidRPr="000E515B">
        <w:t xml:space="preserve"> difficult to know</w:t>
      </w:r>
      <w:r>
        <w:t xml:space="preserve"> with any certainty</w:t>
      </w:r>
      <w:r w:rsidRPr="000E515B">
        <w:t xml:space="preserve"> what a defendant</w:t>
      </w:r>
      <w:r>
        <w:t xml:space="preserve"> </w:t>
      </w:r>
      <w:r w:rsidRPr="000E515B">
        <w:t>might</w:t>
      </w:r>
      <w:r>
        <w:t xml:space="preserve"> in good faith</w:t>
      </w:r>
      <w:r w:rsidRPr="000E515B">
        <w:t xml:space="preserve"> be able to afford in terms of bail.</w:t>
      </w:r>
      <w:r>
        <w:t xml:space="preserve">  But if a defendant truly </w:t>
      </w:r>
      <w:r w:rsidRPr="005D037C">
        <w:t xml:space="preserve">cannot afford to post any bail, then </w:t>
      </w:r>
      <w:r>
        <w:t>arguably all t</w:t>
      </w:r>
      <w:r w:rsidRPr="005D037C">
        <w:t xml:space="preserve">hat remains, in effect, is OR </w:t>
      </w:r>
      <w:r w:rsidRPr="005D037C">
        <w:t>release.  (Black’s Law Dict. (11th ed. 2019) p.</w:t>
      </w:r>
      <w:r>
        <w:t> </w:t>
      </w:r>
      <w:r w:rsidRPr="005D037C">
        <w:t>1543, col.</w:t>
      </w:r>
      <w:r>
        <w:t> </w:t>
      </w:r>
      <w:r w:rsidRPr="005D037C">
        <w:t>2 [“release on recognizance” means “[t]he pretrial release of an arrested person who promises, usually in writing but without supplying a surety or posting bond, to appear for trial at a later date</w:t>
      </w:r>
      <w:r w:rsidRPr="005D037C">
        <w:t>”]; Pen. Code, §§</w:t>
      </w:r>
      <w:r>
        <w:t> </w:t>
      </w:r>
      <w:r w:rsidRPr="005D037C">
        <w:t>1270, 1318.)  Both sections 12 and 28(f)(3) contain OR release provisions that are separate and distinct from their bail provisions</w:t>
      </w:r>
      <w:r>
        <w:t xml:space="preserve"> and that clearly provide for judicial discretion</w:t>
      </w:r>
      <w:r w:rsidRPr="005D037C">
        <w:t xml:space="preserve">.  (See </w:t>
      </w:r>
      <w:r w:rsidRPr="005D037C">
        <w:rPr>
          <w:i/>
          <w:iCs/>
        </w:rPr>
        <w:t>Humphrey</w:t>
      </w:r>
      <w:r w:rsidRPr="005D037C">
        <w:t xml:space="preserve">, </w:t>
      </w:r>
      <w:r w:rsidRPr="005D037C">
        <w:rPr>
          <w:i/>
          <w:iCs/>
        </w:rPr>
        <w:t>supra</w:t>
      </w:r>
      <w:r w:rsidRPr="005D037C">
        <w:t>, 11 Cal.5th at p.</w:t>
      </w:r>
      <w:r>
        <w:t> </w:t>
      </w:r>
      <w:r w:rsidRPr="005D037C">
        <w:t xml:space="preserve">147; </w:t>
      </w:r>
      <w:r w:rsidRPr="005D037C">
        <w:rPr>
          <w:i/>
          <w:iCs/>
        </w:rPr>
        <w:t>York</w:t>
      </w:r>
      <w:r w:rsidRPr="005D037C">
        <w:t xml:space="preserve">, </w:t>
      </w:r>
      <w:r w:rsidRPr="005D037C">
        <w:rPr>
          <w:i/>
          <w:iCs/>
        </w:rPr>
        <w:t>supra</w:t>
      </w:r>
      <w:r w:rsidRPr="005D037C">
        <w:t>, 9 Cal.4th at pp.</w:t>
      </w:r>
      <w:r>
        <w:t> </w:t>
      </w:r>
      <w:r w:rsidRPr="005D037C">
        <w:t>1139–1141.)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8E217" w14:textId="77777777" w:rsidR="000F3721" w:rsidRDefault="00C64D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55DC8" w14:textId="77777777" w:rsidR="00392D36" w:rsidRDefault="00C64D74" w:rsidP="00F51313">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16ADA" w14:textId="77777777" w:rsidR="00392D36" w:rsidRDefault="00C64D74" w:rsidP="00F5131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92AB9"/>
    <w:multiLevelType w:val="hybridMultilevel"/>
    <w:tmpl w:val="882698F4"/>
    <w:lvl w:ilvl="0" w:tplc="DB8AE3B6">
      <w:start w:val="5"/>
      <w:numFmt w:val="lowerLetter"/>
      <w:lvlText w:val="%1."/>
      <w:lvlJc w:val="left"/>
      <w:pPr>
        <w:ind w:left="1800" w:hanging="360"/>
      </w:pPr>
      <w:rPr>
        <w:rFonts w:hint="default"/>
        <w:i w:val="0"/>
      </w:rPr>
    </w:lvl>
    <w:lvl w:ilvl="1" w:tplc="5A70D802" w:tentative="1">
      <w:start w:val="1"/>
      <w:numFmt w:val="lowerLetter"/>
      <w:lvlText w:val="%2."/>
      <w:lvlJc w:val="left"/>
      <w:pPr>
        <w:ind w:left="2520" w:hanging="360"/>
      </w:pPr>
    </w:lvl>
    <w:lvl w:ilvl="2" w:tplc="64C08820" w:tentative="1">
      <w:start w:val="1"/>
      <w:numFmt w:val="lowerRoman"/>
      <w:lvlText w:val="%3."/>
      <w:lvlJc w:val="right"/>
      <w:pPr>
        <w:ind w:left="3240" w:hanging="180"/>
      </w:pPr>
    </w:lvl>
    <w:lvl w:ilvl="3" w:tplc="B0EA90A4" w:tentative="1">
      <w:start w:val="1"/>
      <w:numFmt w:val="decimal"/>
      <w:lvlText w:val="%4."/>
      <w:lvlJc w:val="left"/>
      <w:pPr>
        <w:ind w:left="3960" w:hanging="360"/>
      </w:pPr>
    </w:lvl>
    <w:lvl w:ilvl="4" w:tplc="89400156" w:tentative="1">
      <w:start w:val="1"/>
      <w:numFmt w:val="lowerLetter"/>
      <w:lvlText w:val="%5."/>
      <w:lvlJc w:val="left"/>
      <w:pPr>
        <w:ind w:left="4680" w:hanging="360"/>
      </w:pPr>
    </w:lvl>
    <w:lvl w:ilvl="5" w:tplc="7A56BAA0" w:tentative="1">
      <w:start w:val="1"/>
      <w:numFmt w:val="lowerRoman"/>
      <w:lvlText w:val="%6."/>
      <w:lvlJc w:val="right"/>
      <w:pPr>
        <w:ind w:left="5400" w:hanging="180"/>
      </w:pPr>
    </w:lvl>
    <w:lvl w:ilvl="6" w:tplc="330EFA2A" w:tentative="1">
      <w:start w:val="1"/>
      <w:numFmt w:val="decimal"/>
      <w:lvlText w:val="%7."/>
      <w:lvlJc w:val="left"/>
      <w:pPr>
        <w:ind w:left="6120" w:hanging="360"/>
      </w:pPr>
    </w:lvl>
    <w:lvl w:ilvl="7" w:tplc="B1A6BC42" w:tentative="1">
      <w:start w:val="1"/>
      <w:numFmt w:val="lowerLetter"/>
      <w:lvlText w:val="%8."/>
      <w:lvlJc w:val="left"/>
      <w:pPr>
        <w:ind w:left="6840" w:hanging="360"/>
      </w:pPr>
    </w:lvl>
    <w:lvl w:ilvl="8" w:tplc="DF0A3716" w:tentative="1">
      <w:start w:val="1"/>
      <w:numFmt w:val="lowerRoman"/>
      <w:lvlText w:val="%9."/>
      <w:lvlJc w:val="right"/>
      <w:pPr>
        <w:ind w:left="7560" w:hanging="180"/>
      </w:pPr>
    </w:lvl>
  </w:abstractNum>
  <w:abstractNum w:abstractNumId="1" w15:restartNumberingAfterBreak="0">
    <w:nsid w:val="206F7F53"/>
    <w:multiLevelType w:val="hybridMultilevel"/>
    <w:tmpl w:val="7EB097FE"/>
    <w:lvl w:ilvl="0" w:tplc="8A44F664">
      <w:start w:val="1"/>
      <w:numFmt w:val="decimal"/>
      <w:lvlText w:val="%1."/>
      <w:lvlJc w:val="left"/>
      <w:pPr>
        <w:ind w:left="1800" w:hanging="360"/>
      </w:pPr>
      <w:rPr>
        <w:rFonts w:hint="default"/>
      </w:rPr>
    </w:lvl>
    <w:lvl w:ilvl="1" w:tplc="00365278" w:tentative="1">
      <w:start w:val="1"/>
      <w:numFmt w:val="lowerLetter"/>
      <w:lvlText w:val="%2."/>
      <w:lvlJc w:val="left"/>
      <w:pPr>
        <w:ind w:left="2520" w:hanging="360"/>
      </w:pPr>
    </w:lvl>
    <w:lvl w:ilvl="2" w:tplc="4F5CCB80" w:tentative="1">
      <w:start w:val="1"/>
      <w:numFmt w:val="lowerRoman"/>
      <w:lvlText w:val="%3."/>
      <w:lvlJc w:val="right"/>
      <w:pPr>
        <w:ind w:left="3240" w:hanging="180"/>
      </w:pPr>
    </w:lvl>
    <w:lvl w:ilvl="3" w:tplc="74066A38" w:tentative="1">
      <w:start w:val="1"/>
      <w:numFmt w:val="decimal"/>
      <w:lvlText w:val="%4."/>
      <w:lvlJc w:val="left"/>
      <w:pPr>
        <w:ind w:left="3960" w:hanging="360"/>
      </w:pPr>
    </w:lvl>
    <w:lvl w:ilvl="4" w:tplc="4E34983E" w:tentative="1">
      <w:start w:val="1"/>
      <w:numFmt w:val="lowerLetter"/>
      <w:lvlText w:val="%5."/>
      <w:lvlJc w:val="left"/>
      <w:pPr>
        <w:ind w:left="4680" w:hanging="360"/>
      </w:pPr>
    </w:lvl>
    <w:lvl w:ilvl="5" w:tplc="24788C92" w:tentative="1">
      <w:start w:val="1"/>
      <w:numFmt w:val="lowerRoman"/>
      <w:lvlText w:val="%6."/>
      <w:lvlJc w:val="right"/>
      <w:pPr>
        <w:ind w:left="5400" w:hanging="180"/>
      </w:pPr>
    </w:lvl>
    <w:lvl w:ilvl="6" w:tplc="5358EA98" w:tentative="1">
      <w:start w:val="1"/>
      <w:numFmt w:val="decimal"/>
      <w:lvlText w:val="%7."/>
      <w:lvlJc w:val="left"/>
      <w:pPr>
        <w:ind w:left="6120" w:hanging="360"/>
      </w:pPr>
    </w:lvl>
    <w:lvl w:ilvl="7" w:tplc="5D7E48C8" w:tentative="1">
      <w:start w:val="1"/>
      <w:numFmt w:val="lowerLetter"/>
      <w:lvlText w:val="%8."/>
      <w:lvlJc w:val="left"/>
      <w:pPr>
        <w:ind w:left="6840" w:hanging="360"/>
      </w:pPr>
    </w:lvl>
    <w:lvl w:ilvl="8" w:tplc="7D56A942" w:tentative="1">
      <w:start w:val="1"/>
      <w:numFmt w:val="lowerRoman"/>
      <w:lvlText w:val="%9."/>
      <w:lvlJc w:val="right"/>
      <w:pPr>
        <w:ind w:left="7560" w:hanging="180"/>
      </w:pPr>
    </w:lvl>
  </w:abstractNum>
  <w:abstractNum w:abstractNumId="2" w15:restartNumberingAfterBreak="0">
    <w:nsid w:val="288C2BD1"/>
    <w:multiLevelType w:val="hybridMultilevel"/>
    <w:tmpl w:val="45F6538C"/>
    <w:lvl w:ilvl="0" w:tplc="A83EC4D6">
      <w:start w:val="3"/>
      <w:numFmt w:val="upperLetter"/>
      <w:lvlText w:val="%1."/>
      <w:lvlJc w:val="left"/>
      <w:pPr>
        <w:ind w:left="1080" w:hanging="360"/>
      </w:pPr>
      <w:rPr>
        <w:rFonts w:hint="default"/>
      </w:rPr>
    </w:lvl>
    <w:lvl w:ilvl="1" w:tplc="E3B29F3E" w:tentative="1">
      <w:start w:val="1"/>
      <w:numFmt w:val="lowerLetter"/>
      <w:lvlText w:val="%2."/>
      <w:lvlJc w:val="left"/>
      <w:pPr>
        <w:ind w:left="1800" w:hanging="360"/>
      </w:pPr>
    </w:lvl>
    <w:lvl w:ilvl="2" w:tplc="AE92C486" w:tentative="1">
      <w:start w:val="1"/>
      <w:numFmt w:val="lowerRoman"/>
      <w:lvlText w:val="%3."/>
      <w:lvlJc w:val="right"/>
      <w:pPr>
        <w:ind w:left="2520" w:hanging="180"/>
      </w:pPr>
    </w:lvl>
    <w:lvl w:ilvl="3" w:tplc="E0C46FFC" w:tentative="1">
      <w:start w:val="1"/>
      <w:numFmt w:val="decimal"/>
      <w:lvlText w:val="%4."/>
      <w:lvlJc w:val="left"/>
      <w:pPr>
        <w:ind w:left="3240" w:hanging="360"/>
      </w:pPr>
    </w:lvl>
    <w:lvl w:ilvl="4" w:tplc="800837D4" w:tentative="1">
      <w:start w:val="1"/>
      <w:numFmt w:val="lowerLetter"/>
      <w:lvlText w:val="%5."/>
      <w:lvlJc w:val="left"/>
      <w:pPr>
        <w:ind w:left="3960" w:hanging="360"/>
      </w:pPr>
    </w:lvl>
    <w:lvl w:ilvl="5" w:tplc="406AA54C" w:tentative="1">
      <w:start w:val="1"/>
      <w:numFmt w:val="lowerRoman"/>
      <w:lvlText w:val="%6."/>
      <w:lvlJc w:val="right"/>
      <w:pPr>
        <w:ind w:left="4680" w:hanging="180"/>
      </w:pPr>
    </w:lvl>
    <w:lvl w:ilvl="6" w:tplc="F7D075EC" w:tentative="1">
      <w:start w:val="1"/>
      <w:numFmt w:val="decimal"/>
      <w:lvlText w:val="%7."/>
      <w:lvlJc w:val="left"/>
      <w:pPr>
        <w:ind w:left="5400" w:hanging="360"/>
      </w:pPr>
    </w:lvl>
    <w:lvl w:ilvl="7" w:tplc="415AAEF6" w:tentative="1">
      <w:start w:val="1"/>
      <w:numFmt w:val="lowerLetter"/>
      <w:lvlText w:val="%8."/>
      <w:lvlJc w:val="left"/>
      <w:pPr>
        <w:ind w:left="6120" w:hanging="360"/>
      </w:pPr>
    </w:lvl>
    <w:lvl w:ilvl="8" w:tplc="8310606C" w:tentative="1">
      <w:start w:val="1"/>
      <w:numFmt w:val="lowerRoman"/>
      <w:lvlText w:val="%9."/>
      <w:lvlJc w:val="right"/>
      <w:pPr>
        <w:ind w:left="6840" w:hanging="180"/>
      </w:pPr>
    </w:lvl>
  </w:abstractNum>
  <w:abstractNum w:abstractNumId="3" w15:restartNumberingAfterBreak="0">
    <w:nsid w:val="4AFE3B4C"/>
    <w:multiLevelType w:val="hybridMultilevel"/>
    <w:tmpl w:val="2140FE32"/>
    <w:lvl w:ilvl="0" w:tplc="2B409EC2">
      <w:start w:val="1"/>
      <w:numFmt w:val="bullet"/>
      <w:lvlText w:val=""/>
      <w:lvlJc w:val="left"/>
      <w:pPr>
        <w:ind w:left="720" w:hanging="360"/>
      </w:pPr>
      <w:rPr>
        <w:rFonts w:ascii="Symbol" w:hAnsi="Symbol" w:hint="default"/>
      </w:rPr>
    </w:lvl>
    <w:lvl w:ilvl="1" w:tplc="18AA9FD4" w:tentative="1">
      <w:start w:val="1"/>
      <w:numFmt w:val="bullet"/>
      <w:lvlText w:val="o"/>
      <w:lvlJc w:val="left"/>
      <w:pPr>
        <w:ind w:left="1440" w:hanging="360"/>
      </w:pPr>
      <w:rPr>
        <w:rFonts w:ascii="Courier New" w:hAnsi="Courier New" w:cs="Courier New" w:hint="default"/>
      </w:rPr>
    </w:lvl>
    <w:lvl w:ilvl="2" w:tplc="FC82B486" w:tentative="1">
      <w:start w:val="1"/>
      <w:numFmt w:val="bullet"/>
      <w:lvlText w:val=""/>
      <w:lvlJc w:val="left"/>
      <w:pPr>
        <w:ind w:left="2160" w:hanging="360"/>
      </w:pPr>
      <w:rPr>
        <w:rFonts w:ascii="Wingdings" w:hAnsi="Wingdings" w:hint="default"/>
      </w:rPr>
    </w:lvl>
    <w:lvl w:ilvl="3" w:tplc="2C0C1DEA" w:tentative="1">
      <w:start w:val="1"/>
      <w:numFmt w:val="bullet"/>
      <w:lvlText w:val=""/>
      <w:lvlJc w:val="left"/>
      <w:pPr>
        <w:ind w:left="2880" w:hanging="360"/>
      </w:pPr>
      <w:rPr>
        <w:rFonts w:ascii="Symbol" w:hAnsi="Symbol" w:hint="default"/>
      </w:rPr>
    </w:lvl>
    <w:lvl w:ilvl="4" w:tplc="E6D66540" w:tentative="1">
      <w:start w:val="1"/>
      <w:numFmt w:val="bullet"/>
      <w:lvlText w:val="o"/>
      <w:lvlJc w:val="left"/>
      <w:pPr>
        <w:ind w:left="3600" w:hanging="360"/>
      </w:pPr>
      <w:rPr>
        <w:rFonts w:ascii="Courier New" w:hAnsi="Courier New" w:cs="Courier New" w:hint="default"/>
      </w:rPr>
    </w:lvl>
    <w:lvl w:ilvl="5" w:tplc="DBAAB35C" w:tentative="1">
      <w:start w:val="1"/>
      <w:numFmt w:val="bullet"/>
      <w:lvlText w:val=""/>
      <w:lvlJc w:val="left"/>
      <w:pPr>
        <w:ind w:left="4320" w:hanging="360"/>
      </w:pPr>
      <w:rPr>
        <w:rFonts w:ascii="Wingdings" w:hAnsi="Wingdings" w:hint="default"/>
      </w:rPr>
    </w:lvl>
    <w:lvl w:ilvl="6" w:tplc="62E42A5E" w:tentative="1">
      <w:start w:val="1"/>
      <w:numFmt w:val="bullet"/>
      <w:lvlText w:val=""/>
      <w:lvlJc w:val="left"/>
      <w:pPr>
        <w:ind w:left="5040" w:hanging="360"/>
      </w:pPr>
      <w:rPr>
        <w:rFonts w:ascii="Symbol" w:hAnsi="Symbol" w:hint="default"/>
      </w:rPr>
    </w:lvl>
    <w:lvl w:ilvl="7" w:tplc="E2DEE86C" w:tentative="1">
      <w:start w:val="1"/>
      <w:numFmt w:val="bullet"/>
      <w:lvlText w:val="o"/>
      <w:lvlJc w:val="left"/>
      <w:pPr>
        <w:ind w:left="5760" w:hanging="360"/>
      </w:pPr>
      <w:rPr>
        <w:rFonts w:ascii="Courier New" w:hAnsi="Courier New" w:cs="Courier New" w:hint="default"/>
      </w:rPr>
    </w:lvl>
    <w:lvl w:ilvl="8" w:tplc="0B563BE4" w:tentative="1">
      <w:start w:val="1"/>
      <w:numFmt w:val="bullet"/>
      <w:lvlText w:val=""/>
      <w:lvlJc w:val="left"/>
      <w:pPr>
        <w:ind w:left="6480" w:hanging="360"/>
      </w:pPr>
      <w:rPr>
        <w:rFonts w:ascii="Wingdings" w:hAnsi="Wingdings" w:hint="default"/>
      </w:rPr>
    </w:lvl>
  </w:abstractNum>
  <w:abstractNum w:abstractNumId="4" w15:restartNumberingAfterBreak="0">
    <w:nsid w:val="4D3E07FD"/>
    <w:multiLevelType w:val="hybridMultilevel"/>
    <w:tmpl w:val="2D40648A"/>
    <w:lvl w:ilvl="0" w:tplc="35320A00">
      <w:start w:val="1"/>
      <w:numFmt w:val="bullet"/>
      <w:lvlText w:val=""/>
      <w:lvlJc w:val="left"/>
      <w:pPr>
        <w:ind w:left="720" w:hanging="360"/>
      </w:pPr>
      <w:rPr>
        <w:rFonts w:ascii="Symbol" w:hAnsi="Symbol" w:hint="default"/>
      </w:rPr>
    </w:lvl>
    <w:lvl w:ilvl="1" w:tplc="25B26CC0" w:tentative="1">
      <w:start w:val="1"/>
      <w:numFmt w:val="bullet"/>
      <w:lvlText w:val="o"/>
      <w:lvlJc w:val="left"/>
      <w:pPr>
        <w:ind w:left="1440" w:hanging="360"/>
      </w:pPr>
      <w:rPr>
        <w:rFonts w:ascii="Courier New" w:hAnsi="Courier New" w:cs="Courier New" w:hint="default"/>
      </w:rPr>
    </w:lvl>
    <w:lvl w:ilvl="2" w:tplc="9EAA8E10" w:tentative="1">
      <w:start w:val="1"/>
      <w:numFmt w:val="bullet"/>
      <w:lvlText w:val=""/>
      <w:lvlJc w:val="left"/>
      <w:pPr>
        <w:ind w:left="2160" w:hanging="360"/>
      </w:pPr>
      <w:rPr>
        <w:rFonts w:ascii="Wingdings" w:hAnsi="Wingdings" w:hint="default"/>
      </w:rPr>
    </w:lvl>
    <w:lvl w:ilvl="3" w:tplc="A008C060" w:tentative="1">
      <w:start w:val="1"/>
      <w:numFmt w:val="bullet"/>
      <w:lvlText w:val=""/>
      <w:lvlJc w:val="left"/>
      <w:pPr>
        <w:ind w:left="2880" w:hanging="360"/>
      </w:pPr>
      <w:rPr>
        <w:rFonts w:ascii="Symbol" w:hAnsi="Symbol" w:hint="default"/>
      </w:rPr>
    </w:lvl>
    <w:lvl w:ilvl="4" w:tplc="99480B34" w:tentative="1">
      <w:start w:val="1"/>
      <w:numFmt w:val="bullet"/>
      <w:lvlText w:val="o"/>
      <w:lvlJc w:val="left"/>
      <w:pPr>
        <w:ind w:left="3600" w:hanging="360"/>
      </w:pPr>
      <w:rPr>
        <w:rFonts w:ascii="Courier New" w:hAnsi="Courier New" w:cs="Courier New" w:hint="default"/>
      </w:rPr>
    </w:lvl>
    <w:lvl w:ilvl="5" w:tplc="1FFEC61A" w:tentative="1">
      <w:start w:val="1"/>
      <w:numFmt w:val="bullet"/>
      <w:lvlText w:val=""/>
      <w:lvlJc w:val="left"/>
      <w:pPr>
        <w:ind w:left="4320" w:hanging="360"/>
      </w:pPr>
      <w:rPr>
        <w:rFonts w:ascii="Wingdings" w:hAnsi="Wingdings" w:hint="default"/>
      </w:rPr>
    </w:lvl>
    <w:lvl w:ilvl="6" w:tplc="786413E8" w:tentative="1">
      <w:start w:val="1"/>
      <w:numFmt w:val="bullet"/>
      <w:lvlText w:val=""/>
      <w:lvlJc w:val="left"/>
      <w:pPr>
        <w:ind w:left="5040" w:hanging="360"/>
      </w:pPr>
      <w:rPr>
        <w:rFonts w:ascii="Symbol" w:hAnsi="Symbol" w:hint="default"/>
      </w:rPr>
    </w:lvl>
    <w:lvl w:ilvl="7" w:tplc="EDEAB41A" w:tentative="1">
      <w:start w:val="1"/>
      <w:numFmt w:val="bullet"/>
      <w:lvlText w:val="o"/>
      <w:lvlJc w:val="left"/>
      <w:pPr>
        <w:ind w:left="5760" w:hanging="360"/>
      </w:pPr>
      <w:rPr>
        <w:rFonts w:ascii="Courier New" w:hAnsi="Courier New" w:cs="Courier New" w:hint="default"/>
      </w:rPr>
    </w:lvl>
    <w:lvl w:ilvl="8" w:tplc="FA6EDE0E" w:tentative="1">
      <w:start w:val="1"/>
      <w:numFmt w:val="bullet"/>
      <w:lvlText w:val=""/>
      <w:lvlJc w:val="left"/>
      <w:pPr>
        <w:ind w:left="6480" w:hanging="360"/>
      </w:pPr>
      <w:rPr>
        <w:rFonts w:ascii="Wingdings" w:hAnsi="Wingdings" w:hint="default"/>
      </w:rPr>
    </w:lvl>
  </w:abstractNum>
  <w:abstractNum w:abstractNumId="5" w15:restartNumberingAfterBreak="0">
    <w:nsid w:val="57FF09D9"/>
    <w:multiLevelType w:val="hybridMultilevel"/>
    <w:tmpl w:val="BB5C35A6"/>
    <w:lvl w:ilvl="0" w:tplc="A8AC7498">
      <w:start w:val="1"/>
      <w:numFmt w:val="upperLetter"/>
      <w:lvlText w:val="%1."/>
      <w:lvlJc w:val="left"/>
      <w:pPr>
        <w:ind w:left="1080" w:hanging="360"/>
      </w:pPr>
      <w:rPr>
        <w:rFonts w:hint="default"/>
      </w:rPr>
    </w:lvl>
    <w:lvl w:ilvl="1" w:tplc="7396AACA" w:tentative="1">
      <w:start w:val="1"/>
      <w:numFmt w:val="lowerLetter"/>
      <w:lvlText w:val="%2."/>
      <w:lvlJc w:val="left"/>
      <w:pPr>
        <w:ind w:left="1800" w:hanging="360"/>
      </w:pPr>
    </w:lvl>
    <w:lvl w:ilvl="2" w:tplc="7F1CD352" w:tentative="1">
      <w:start w:val="1"/>
      <w:numFmt w:val="lowerRoman"/>
      <w:lvlText w:val="%3."/>
      <w:lvlJc w:val="right"/>
      <w:pPr>
        <w:ind w:left="2520" w:hanging="180"/>
      </w:pPr>
    </w:lvl>
    <w:lvl w:ilvl="3" w:tplc="9A74CE14" w:tentative="1">
      <w:start w:val="1"/>
      <w:numFmt w:val="decimal"/>
      <w:lvlText w:val="%4."/>
      <w:lvlJc w:val="left"/>
      <w:pPr>
        <w:ind w:left="3240" w:hanging="360"/>
      </w:pPr>
    </w:lvl>
    <w:lvl w:ilvl="4" w:tplc="949CCAA2" w:tentative="1">
      <w:start w:val="1"/>
      <w:numFmt w:val="lowerLetter"/>
      <w:lvlText w:val="%5."/>
      <w:lvlJc w:val="left"/>
      <w:pPr>
        <w:ind w:left="3960" w:hanging="360"/>
      </w:pPr>
    </w:lvl>
    <w:lvl w:ilvl="5" w:tplc="24E6FA4C" w:tentative="1">
      <w:start w:val="1"/>
      <w:numFmt w:val="lowerRoman"/>
      <w:lvlText w:val="%6."/>
      <w:lvlJc w:val="right"/>
      <w:pPr>
        <w:ind w:left="4680" w:hanging="180"/>
      </w:pPr>
    </w:lvl>
    <w:lvl w:ilvl="6" w:tplc="E8908C40" w:tentative="1">
      <w:start w:val="1"/>
      <w:numFmt w:val="decimal"/>
      <w:lvlText w:val="%7."/>
      <w:lvlJc w:val="left"/>
      <w:pPr>
        <w:ind w:left="5400" w:hanging="360"/>
      </w:pPr>
    </w:lvl>
    <w:lvl w:ilvl="7" w:tplc="D898F428" w:tentative="1">
      <w:start w:val="1"/>
      <w:numFmt w:val="lowerLetter"/>
      <w:lvlText w:val="%8."/>
      <w:lvlJc w:val="left"/>
      <w:pPr>
        <w:ind w:left="6120" w:hanging="360"/>
      </w:pPr>
    </w:lvl>
    <w:lvl w:ilvl="8" w:tplc="32126E1E" w:tentative="1">
      <w:start w:val="1"/>
      <w:numFmt w:val="lowerRoman"/>
      <w:lvlText w:val="%9."/>
      <w:lvlJc w:val="right"/>
      <w:pPr>
        <w:ind w:left="6840" w:hanging="180"/>
      </w:pPr>
    </w:lvl>
  </w:abstractNum>
  <w:abstractNum w:abstractNumId="6" w15:restartNumberingAfterBreak="0">
    <w:nsid w:val="5ADF5FBE"/>
    <w:multiLevelType w:val="hybridMultilevel"/>
    <w:tmpl w:val="B55C2060"/>
    <w:lvl w:ilvl="0" w:tplc="2202231A">
      <w:start w:val="1"/>
      <w:numFmt w:val="upperLetter"/>
      <w:lvlText w:val="%1."/>
      <w:lvlJc w:val="left"/>
      <w:pPr>
        <w:ind w:left="2160" w:hanging="360"/>
      </w:pPr>
      <w:rPr>
        <w:rFonts w:hint="default"/>
      </w:rPr>
    </w:lvl>
    <w:lvl w:ilvl="1" w:tplc="21562A7C" w:tentative="1">
      <w:start w:val="1"/>
      <w:numFmt w:val="lowerLetter"/>
      <w:lvlText w:val="%2."/>
      <w:lvlJc w:val="left"/>
      <w:pPr>
        <w:ind w:left="2880" w:hanging="360"/>
      </w:pPr>
    </w:lvl>
    <w:lvl w:ilvl="2" w:tplc="500A11D8" w:tentative="1">
      <w:start w:val="1"/>
      <w:numFmt w:val="lowerRoman"/>
      <w:lvlText w:val="%3."/>
      <w:lvlJc w:val="right"/>
      <w:pPr>
        <w:ind w:left="3600" w:hanging="180"/>
      </w:pPr>
    </w:lvl>
    <w:lvl w:ilvl="3" w:tplc="126AC120" w:tentative="1">
      <w:start w:val="1"/>
      <w:numFmt w:val="decimal"/>
      <w:lvlText w:val="%4."/>
      <w:lvlJc w:val="left"/>
      <w:pPr>
        <w:ind w:left="4320" w:hanging="360"/>
      </w:pPr>
    </w:lvl>
    <w:lvl w:ilvl="4" w:tplc="7AEC234C" w:tentative="1">
      <w:start w:val="1"/>
      <w:numFmt w:val="lowerLetter"/>
      <w:lvlText w:val="%5."/>
      <w:lvlJc w:val="left"/>
      <w:pPr>
        <w:ind w:left="5040" w:hanging="360"/>
      </w:pPr>
    </w:lvl>
    <w:lvl w:ilvl="5" w:tplc="6E345A46" w:tentative="1">
      <w:start w:val="1"/>
      <w:numFmt w:val="lowerRoman"/>
      <w:lvlText w:val="%6."/>
      <w:lvlJc w:val="right"/>
      <w:pPr>
        <w:ind w:left="5760" w:hanging="180"/>
      </w:pPr>
    </w:lvl>
    <w:lvl w:ilvl="6" w:tplc="BB9CE3F8" w:tentative="1">
      <w:start w:val="1"/>
      <w:numFmt w:val="decimal"/>
      <w:lvlText w:val="%7."/>
      <w:lvlJc w:val="left"/>
      <w:pPr>
        <w:ind w:left="6480" w:hanging="360"/>
      </w:pPr>
    </w:lvl>
    <w:lvl w:ilvl="7" w:tplc="522006F2" w:tentative="1">
      <w:start w:val="1"/>
      <w:numFmt w:val="lowerLetter"/>
      <w:lvlText w:val="%8."/>
      <w:lvlJc w:val="left"/>
      <w:pPr>
        <w:ind w:left="7200" w:hanging="360"/>
      </w:pPr>
    </w:lvl>
    <w:lvl w:ilvl="8" w:tplc="D786D8D2" w:tentative="1">
      <w:start w:val="1"/>
      <w:numFmt w:val="lowerRoman"/>
      <w:lvlText w:val="%9."/>
      <w:lvlJc w:val="right"/>
      <w:pPr>
        <w:ind w:left="7920" w:hanging="180"/>
      </w:pPr>
    </w:lvl>
  </w:abstractNum>
  <w:abstractNum w:abstractNumId="7" w15:restartNumberingAfterBreak="0">
    <w:nsid w:val="642646DF"/>
    <w:multiLevelType w:val="hybridMultilevel"/>
    <w:tmpl w:val="30E2B170"/>
    <w:lvl w:ilvl="0" w:tplc="24D66862">
      <w:start w:val="1"/>
      <w:numFmt w:val="bullet"/>
      <w:lvlText w:val=""/>
      <w:lvlJc w:val="left"/>
      <w:pPr>
        <w:ind w:left="720" w:hanging="360"/>
      </w:pPr>
      <w:rPr>
        <w:rFonts w:ascii="Symbol" w:hAnsi="Symbol" w:hint="default"/>
      </w:rPr>
    </w:lvl>
    <w:lvl w:ilvl="1" w:tplc="EB408CB0" w:tentative="1">
      <w:start w:val="1"/>
      <w:numFmt w:val="bullet"/>
      <w:lvlText w:val="o"/>
      <w:lvlJc w:val="left"/>
      <w:pPr>
        <w:ind w:left="1440" w:hanging="360"/>
      </w:pPr>
      <w:rPr>
        <w:rFonts w:ascii="Courier New" w:hAnsi="Courier New" w:cs="Courier New" w:hint="default"/>
      </w:rPr>
    </w:lvl>
    <w:lvl w:ilvl="2" w:tplc="B95A2226" w:tentative="1">
      <w:start w:val="1"/>
      <w:numFmt w:val="bullet"/>
      <w:lvlText w:val=""/>
      <w:lvlJc w:val="left"/>
      <w:pPr>
        <w:ind w:left="2160" w:hanging="360"/>
      </w:pPr>
      <w:rPr>
        <w:rFonts w:ascii="Wingdings" w:hAnsi="Wingdings" w:hint="default"/>
      </w:rPr>
    </w:lvl>
    <w:lvl w:ilvl="3" w:tplc="88186C82" w:tentative="1">
      <w:start w:val="1"/>
      <w:numFmt w:val="bullet"/>
      <w:lvlText w:val=""/>
      <w:lvlJc w:val="left"/>
      <w:pPr>
        <w:ind w:left="2880" w:hanging="360"/>
      </w:pPr>
      <w:rPr>
        <w:rFonts w:ascii="Symbol" w:hAnsi="Symbol" w:hint="default"/>
      </w:rPr>
    </w:lvl>
    <w:lvl w:ilvl="4" w:tplc="5210C094" w:tentative="1">
      <w:start w:val="1"/>
      <w:numFmt w:val="bullet"/>
      <w:lvlText w:val="o"/>
      <w:lvlJc w:val="left"/>
      <w:pPr>
        <w:ind w:left="3600" w:hanging="360"/>
      </w:pPr>
      <w:rPr>
        <w:rFonts w:ascii="Courier New" w:hAnsi="Courier New" w:cs="Courier New" w:hint="default"/>
      </w:rPr>
    </w:lvl>
    <w:lvl w:ilvl="5" w:tplc="9DD0CFD8" w:tentative="1">
      <w:start w:val="1"/>
      <w:numFmt w:val="bullet"/>
      <w:lvlText w:val=""/>
      <w:lvlJc w:val="left"/>
      <w:pPr>
        <w:ind w:left="4320" w:hanging="360"/>
      </w:pPr>
      <w:rPr>
        <w:rFonts w:ascii="Wingdings" w:hAnsi="Wingdings" w:hint="default"/>
      </w:rPr>
    </w:lvl>
    <w:lvl w:ilvl="6" w:tplc="1644A62E" w:tentative="1">
      <w:start w:val="1"/>
      <w:numFmt w:val="bullet"/>
      <w:lvlText w:val=""/>
      <w:lvlJc w:val="left"/>
      <w:pPr>
        <w:ind w:left="5040" w:hanging="360"/>
      </w:pPr>
      <w:rPr>
        <w:rFonts w:ascii="Symbol" w:hAnsi="Symbol" w:hint="default"/>
      </w:rPr>
    </w:lvl>
    <w:lvl w:ilvl="7" w:tplc="9DD80A34" w:tentative="1">
      <w:start w:val="1"/>
      <w:numFmt w:val="bullet"/>
      <w:lvlText w:val="o"/>
      <w:lvlJc w:val="left"/>
      <w:pPr>
        <w:ind w:left="5760" w:hanging="360"/>
      </w:pPr>
      <w:rPr>
        <w:rFonts w:ascii="Courier New" w:hAnsi="Courier New" w:cs="Courier New" w:hint="default"/>
      </w:rPr>
    </w:lvl>
    <w:lvl w:ilvl="8" w:tplc="BED445EA" w:tentative="1">
      <w:start w:val="1"/>
      <w:numFmt w:val="bullet"/>
      <w:lvlText w:val=""/>
      <w:lvlJc w:val="left"/>
      <w:pPr>
        <w:ind w:left="6480" w:hanging="360"/>
      </w:pPr>
      <w:rPr>
        <w:rFonts w:ascii="Wingdings" w:hAnsi="Wingdings" w:hint="default"/>
      </w:rPr>
    </w:lvl>
  </w:abstractNum>
  <w:abstractNum w:abstractNumId="8" w15:restartNumberingAfterBreak="0">
    <w:nsid w:val="66AD58A0"/>
    <w:multiLevelType w:val="hybridMultilevel"/>
    <w:tmpl w:val="5C3E50A0"/>
    <w:lvl w:ilvl="0" w:tplc="98184CEA">
      <w:start w:val="1"/>
      <w:numFmt w:val="bullet"/>
      <w:lvlText w:val=""/>
      <w:lvlJc w:val="left"/>
      <w:pPr>
        <w:ind w:left="720" w:hanging="360"/>
      </w:pPr>
      <w:rPr>
        <w:rFonts w:ascii="Symbol" w:hAnsi="Symbol" w:hint="default"/>
      </w:rPr>
    </w:lvl>
    <w:lvl w:ilvl="1" w:tplc="2B2ECBF6" w:tentative="1">
      <w:start w:val="1"/>
      <w:numFmt w:val="bullet"/>
      <w:lvlText w:val="o"/>
      <w:lvlJc w:val="left"/>
      <w:pPr>
        <w:ind w:left="1440" w:hanging="360"/>
      </w:pPr>
      <w:rPr>
        <w:rFonts w:ascii="Courier New" w:hAnsi="Courier New" w:cs="Courier New" w:hint="default"/>
      </w:rPr>
    </w:lvl>
    <w:lvl w:ilvl="2" w:tplc="1758D082" w:tentative="1">
      <w:start w:val="1"/>
      <w:numFmt w:val="bullet"/>
      <w:lvlText w:val=""/>
      <w:lvlJc w:val="left"/>
      <w:pPr>
        <w:ind w:left="2160" w:hanging="360"/>
      </w:pPr>
      <w:rPr>
        <w:rFonts w:ascii="Wingdings" w:hAnsi="Wingdings" w:hint="default"/>
      </w:rPr>
    </w:lvl>
    <w:lvl w:ilvl="3" w:tplc="BF329136" w:tentative="1">
      <w:start w:val="1"/>
      <w:numFmt w:val="bullet"/>
      <w:lvlText w:val=""/>
      <w:lvlJc w:val="left"/>
      <w:pPr>
        <w:ind w:left="2880" w:hanging="360"/>
      </w:pPr>
      <w:rPr>
        <w:rFonts w:ascii="Symbol" w:hAnsi="Symbol" w:hint="default"/>
      </w:rPr>
    </w:lvl>
    <w:lvl w:ilvl="4" w:tplc="3C9E0B22" w:tentative="1">
      <w:start w:val="1"/>
      <w:numFmt w:val="bullet"/>
      <w:lvlText w:val="o"/>
      <w:lvlJc w:val="left"/>
      <w:pPr>
        <w:ind w:left="3600" w:hanging="360"/>
      </w:pPr>
      <w:rPr>
        <w:rFonts w:ascii="Courier New" w:hAnsi="Courier New" w:cs="Courier New" w:hint="default"/>
      </w:rPr>
    </w:lvl>
    <w:lvl w:ilvl="5" w:tplc="9C8A040C" w:tentative="1">
      <w:start w:val="1"/>
      <w:numFmt w:val="bullet"/>
      <w:lvlText w:val=""/>
      <w:lvlJc w:val="left"/>
      <w:pPr>
        <w:ind w:left="4320" w:hanging="360"/>
      </w:pPr>
      <w:rPr>
        <w:rFonts w:ascii="Wingdings" w:hAnsi="Wingdings" w:hint="default"/>
      </w:rPr>
    </w:lvl>
    <w:lvl w:ilvl="6" w:tplc="B088C31A" w:tentative="1">
      <w:start w:val="1"/>
      <w:numFmt w:val="bullet"/>
      <w:lvlText w:val=""/>
      <w:lvlJc w:val="left"/>
      <w:pPr>
        <w:ind w:left="5040" w:hanging="360"/>
      </w:pPr>
      <w:rPr>
        <w:rFonts w:ascii="Symbol" w:hAnsi="Symbol" w:hint="default"/>
      </w:rPr>
    </w:lvl>
    <w:lvl w:ilvl="7" w:tplc="74E2985C" w:tentative="1">
      <w:start w:val="1"/>
      <w:numFmt w:val="bullet"/>
      <w:lvlText w:val="o"/>
      <w:lvlJc w:val="left"/>
      <w:pPr>
        <w:ind w:left="5760" w:hanging="360"/>
      </w:pPr>
      <w:rPr>
        <w:rFonts w:ascii="Courier New" w:hAnsi="Courier New" w:cs="Courier New" w:hint="default"/>
      </w:rPr>
    </w:lvl>
    <w:lvl w:ilvl="8" w:tplc="7480D0C4" w:tentative="1">
      <w:start w:val="1"/>
      <w:numFmt w:val="bullet"/>
      <w:lvlText w:val=""/>
      <w:lvlJc w:val="left"/>
      <w:pPr>
        <w:ind w:left="6480" w:hanging="360"/>
      </w:pPr>
      <w:rPr>
        <w:rFonts w:ascii="Wingdings" w:hAnsi="Wingdings" w:hint="default"/>
      </w:rPr>
    </w:lvl>
  </w:abstractNum>
  <w:abstractNum w:abstractNumId="9" w15:restartNumberingAfterBreak="0">
    <w:nsid w:val="718E1C80"/>
    <w:multiLevelType w:val="hybridMultilevel"/>
    <w:tmpl w:val="BB5C35A6"/>
    <w:lvl w:ilvl="0" w:tplc="6AAE2814">
      <w:start w:val="1"/>
      <w:numFmt w:val="upperLetter"/>
      <w:lvlText w:val="%1."/>
      <w:lvlJc w:val="left"/>
      <w:pPr>
        <w:ind w:left="1080" w:hanging="360"/>
      </w:pPr>
      <w:rPr>
        <w:rFonts w:hint="default"/>
      </w:rPr>
    </w:lvl>
    <w:lvl w:ilvl="1" w:tplc="E1E0E9FA" w:tentative="1">
      <w:start w:val="1"/>
      <w:numFmt w:val="lowerLetter"/>
      <w:lvlText w:val="%2."/>
      <w:lvlJc w:val="left"/>
      <w:pPr>
        <w:ind w:left="1800" w:hanging="360"/>
      </w:pPr>
    </w:lvl>
    <w:lvl w:ilvl="2" w:tplc="BBAAE050" w:tentative="1">
      <w:start w:val="1"/>
      <w:numFmt w:val="lowerRoman"/>
      <w:lvlText w:val="%3."/>
      <w:lvlJc w:val="right"/>
      <w:pPr>
        <w:ind w:left="2520" w:hanging="180"/>
      </w:pPr>
    </w:lvl>
    <w:lvl w:ilvl="3" w:tplc="E342EB02" w:tentative="1">
      <w:start w:val="1"/>
      <w:numFmt w:val="decimal"/>
      <w:lvlText w:val="%4."/>
      <w:lvlJc w:val="left"/>
      <w:pPr>
        <w:ind w:left="3240" w:hanging="360"/>
      </w:pPr>
    </w:lvl>
    <w:lvl w:ilvl="4" w:tplc="3336EF96" w:tentative="1">
      <w:start w:val="1"/>
      <w:numFmt w:val="lowerLetter"/>
      <w:lvlText w:val="%5."/>
      <w:lvlJc w:val="left"/>
      <w:pPr>
        <w:ind w:left="3960" w:hanging="360"/>
      </w:pPr>
    </w:lvl>
    <w:lvl w:ilvl="5" w:tplc="E8825126" w:tentative="1">
      <w:start w:val="1"/>
      <w:numFmt w:val="lowerRoman"/>
      <w:lvlText w:val="%6."/>
      <w:lvlJc w:val="right"/>
      <w:pPr>
        <w:ind w:left="4680" w:hanging="180"/>
      </w:pPr>
    </w:lvl>
    <w:lvl w:ilvl="6" w:tplc="A7DC18FA" w:tentative="1">
      <w:start w:val="1"/>
      <w:numFmt w:val="decimal"/>
      <w:lvlText w:val="%7."/>
      <w:lvlJc w:val="left"/>
      <w:pPr>
        <w:ind w:left="5400" w:hanging="360"/>
      </w:pPr>
    </w:lvl>
    <w:lvl w:ilvl="7" w:tplc="B5EC9B42" w:tentative="1">
      <w:start w:val="1"/>
      <w:numFmt w:val="lowerLetter"/>
      <w:lvlText w:val="%8."/>
      <w:lvlJc w:val="left"/>
      <w:pPr>
        <w:ind w:left="6120" w:hanging="360"/>
      </w:pPr>
    </w:lvl>
    <w:lvl w:ilvl="8" w:tplc="C20018DE" w:tentative="1">
      <w:start w:val="1"/>
      <w:numFmt w:val="lowerRoman"/>
      <w:lvlText w:val="%9."/>
      <w:lvlJc w:val="right"/>
      <w:pPr>
        <w:ind w:left="6840" w:hanging="180"/>
      </w:pPr>
    </w:lvl>
  </w:abstractNum>
  <w:abstractNum w:abstractNumId="10" w15:restartNumberingAfterBreak="0">
    <w:nsid w:val="72BF500A"/>
    <w:multiLevelType w:val="hybridMultilevel"/>
    <w:tmpl w:val="07D01B3A"/>
    <w:lvl w:ilvl="0" w:tplc="303CED7C">
      <w:start w:val="1"/>
      <w:numFmt w:val="upperLetter"/>
      <w:lvlText w:val="%1."/>
      <w:lvlJc w:val="left"/>
      <w:pPr>
        <w:ind w:left="1080" w:hanging="360"/>
      </w:pPr>
      <w:rPr>
        <w:rFonts w:hint="default"/>
      </w:rPr>
    </w:lvl>
    <w:lvl w:ilvl="1" w:tplc="77EE6950" w:tentative="1">
      <w:start w:val="1"/>
      <w:numFmt w:val="lowerLetter"/>
      <w:lvlText w:val="%2."/>
      <w:lvlJc w:val="left"/>
      <w:pPr>
        <w:ind w:left="1800" w:hanging="360"/>
      </w:pPr>
    </w:lvl>
    <w:lvl w:ilvl="2" w:tplc="A0045A46" w:tentative="1">
      <w:start w:val="1"/>
      <w:numFmt w:val="lowerRoman"/>
      <w:lvlText w:val="%3."/>
      <w:lvlJc w:val="right"/>
      <w:pPr>
        <w:ind w:left="2520" w:hanging="180"/>
      </w:pPr>
    </w:lvl>
    <w:lvl w:ilvl="3" w:tplc="8102B7F2" w:tentative="1">
      <w:start w:val="1"/>
      <w:numFmt w:val="decimal"/>
      <w:lvlText w:val="%4."/>
      <w:lvlJc w:val="left"/>
      <w:pPr>
        <w:ind w:left="3240" w:hanging="360"/>
      </w:pPr>
    </w:lvl>
    <w:lvl w:ilvl="4" w:tplc="4F8AE9B8" w:tentative="1">
      <w:start w:val="1"/>
      <w:numFmt w:val="lowerLetter"/>
      <w:lvlText w:val="%5."/>
      <w:lvlJc w:val="left"/>
      <w:pPr>
        <w:ind w:left="3960" w:hanging="360"/>
      </w:pPr>
    </w:lvl>
    <w:lvl w:ilvl="5" w:tplc="CFB850B2" w:tentative="1">
      <w:start w:val="1"/>
      <w:numFmt w:val="lowerRoman"/>
      <w:lvlText w:val="%6."/>
      <w:lvlJc w:val="right"/>
      <w:pPr>
        <w:ind w:left="4680" w:hanging="180"/>
      </w:pPr>
    </w:lvl>
    <w:lvl w:ilvl="6" w:tplc="52A848A2" w:tentative="1">
      <w:start w:val="1"/>
      <w:numFmt w:val="decimal"/>
      <w:lvlText w:val="%7."/>
      <w:lvlJc w:val="left"/>
      <w:pPr>
        <w:ind w:left="5400" w:hanging="360"/>
      </w:pPr>
    </w:lvl>
    <w:lvl w:ilvl="7" w:tplc="050E2F56" w:tentative="1">
      <w:start w:val="1"/>
      <w:numFmt w:val="lowerLetter"/>
      <w:lvlText w:val="%8."/>
      <w:lvlJc w:val="left"/>
      <w:pPr>
        <w:ind w:left="6120" w:hanging="360"/>
      </w:pPr>
    </w:lvl>
    <w:lvl w:ilvl="8" w:tplc="6068E466" w:tentative="1">
      <w:start w:val="1"/>
      <w:numFmt w:val="lowerRoman"/>
      <w:lvlText w:val="%9."/>
      <w:lvlJc w:val="right"/>
      <w:pPr>
        <w:ind w:left="6840" w:hanging="180"/>
      </w:pPr>
    </w:lvl>
  </w:abstractNum>
  <w:abstractNum w:abstractNumId="11" w15:restartNumberingAfterBreak="0">
    <w:nsid w:val="7E832DA0"/>
    <w:multiLevelType w:val="hybridMultilevel"/>
    <w:tmpl w:val="58E6E6A4"/>
    <w:lvl w:ilvl="0" w:tplc="B21A3AEE">
      <w:start w:val="1"/>
      <w:numFmt w:val="upperLetter"/>
      <w:lvlText w:val="%1."/>
      <w:lvlJc w:val="left"/>
      <w:pPr>
        <w:ind w:left="1080" w:hanging="360"/>
      </w:pPr>
      <w:rPr>
        <w:rFonts w:hint="default"/>
      </w:rPr>
    </w:lvl>
    <w:lvl w:ilvl="1" w:tplc="3E780A36" w:tentative="1">
      <w:start w:val="1"/>
      <w:numFmt w:val="lowerLetter"/>
      <w:lvlText w:val="%2."/>
      <w:lvlJc w:val="left"/>
      <w:pPr>
        <w:ind w:left="1800" w:hanging="360"/>
      </w:pPr>
    </w:lvl>
    <w:lvl w:ilvl="2" w:tplc="31C6085A" w:tentative="1">
      <w:start w:val="1"/>
      <w:numFmt w:val="lowerRoman"/>
      <w:lvlText w:val="%3."/>
      <w:lvlJc w:val="right"/>
      <w:pPr>
        <w:ind w:left="2520" w:hanging="180"/>
      </w:pPr>
    </w:lvl>
    <w:lvl w:ilvl="3" w:tplc="E2C2D102" w:tentative="1">
      <w:start w:val="1"/>
      <w:numFmt w:val="decimal"/>
      <w:lvlText w:val="%4."/>
      <w:lvlJc w:val="left"/>
      <w:pPr>
        <w:ind w:left="3240" w:hanging="360"/>
      </w:pPr>
    </w:lvl>
    <w:lvl w:ilvl="4" w:tplc="D836516E" w:tentative="1">
      <w:start w:val="1"/>
      <w:numFmt w:val="lowerLetter"/>
      <w:lvlText w:val="%5."/>
      <w:lvlJc w:val="left"/>
      <w:pPr>
        <w:ind w:left="3960" w:hanging="360"/>
      </w:pPr>
    </w:lvl>
    <w:lvl w:ilvl="5" w:tplc="415242C0" w:tentative="1">
      <w:start w:val="1"/>
      <w:numFmt w:val="lowerRoman"/>
      <w:lvlText w:val="%6."/>
      <w:lvlJc w:val="right"/>
      <w:pPr>
        <w:ind w:left="4680" w:hanging="180"/>
      </w:pPr>
    </w:lvl>
    <w:lvl w:ilvl="6" w:tplc="310E2E0A" w:tentative="1">
      <w:start w:val="1"/>
      <w:numFmt w:val="decimal"/>
      <w:lvlText w:val="%7."/>
      <w:lvlJc w:val="left"/>
      <w:pPr>
        <w:ind w:left="5400" w:hanging="360"/>
      </w:pPr>
    </w:lvl>
    <w:lvl w:ilvl="7" w:tplc="AE60228C" w:tentative="1">
      <w:start w:val="1"/>
      <w:numFmt w:val="lowerLetter"/>
      <w:lvlText w:val="%8."/>
      <w:lvlJc w:val="left"/>
      <w:pPr>
        <w:ind w:left="6120" w:hanging="360"/>
      </w:pPr>
    </w:lvl>
    <w:lvl w:ilvl="8" w:tplc="D71E471E" w:tentative="1">
      <w:start w:val="1"/>
      <w:numFmt w:val="lowerRoman"/>
      <w:lvlText w:val="%9."/>
      <w:lvlJc w:val="right"/>
      <w:pPr>
        <w:ind w:left="6840" w:hanging="180"/>
      </w:pPr>
    </w:lvl>
  </w:abstractNum>
  <w:num w:numId="1" w16cid:durableId="625628166">
    <w:abstractNumId w:val="6"/>
  </w:num>
  <w:num w:numId="2" w16cid:durableId="136655828">
    <w:abstractNumId w:val="10"/>
  </w:num>
  <w:num w:numId="3" w16cid:durableId="741757460">
    <w:abstractNumId w:val="3"/>
  </w:num>
  <w:num w:numId="4" w16cid:durableId="130942810">
    <w:abstractNumId w:val="7"/>
  </w:num>
  <w:num w:numId="5" w16cid:durableId="1673140375">
    <w:abstractNumId w:val="4"/>
  </w:num>
  <w:num w:numId="6" w16cid:durableId="914364238">
    <w:abstractNumId w:val="8"/>
  </w:num>
  <w:num w:numId="7" w16cid:durableId="1456679863">
    <w:abstractNumId w:val="11"/>
  </w:num>
  <w:num w:numId="8" w16cid:durableId="2015455940">
    <w:abstractNumId w:val="5"/>
  </w:num>
  <w:num w:numId="9" w16cid:durableId="738942867">
    <w:abstractNumId w:val="9"/>
  </w:num>
  <w:num w:numId="10" w16cid:durableId="1218859680">
    <w:abstractNumId w:val="2"/>
  </w:num>
  <w:num w:numId="11" w16cid:durableId="463623730">
    <w:abstractNumId w:val="0"/>
  </w:num>
  <w:num w:numId="12" w16cid:durableId="2909372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B09"/>
    <w:rsid w:val="00442B09"/>
    <w:rsid w:val="00AB4E6C"/>
    <w:rsid w:val="00C64D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50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20"/>
      </w:tabs>
      <w:spacing w:after="0" w:line="480" w:lineRule="atLeast"/>
    </w:pPr>
    <w:rPr>
      <w:rFonts w:ascii="Century Schoolbook" w:hAnsi="Century Schoolbook"/>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0D2D"/>
    <w:pPr>
      <w:tabs>
        <w:tab w:val="center" w:pos="4680"/>
        <w:tab w:val="right" w:pos="9360"/>
      </w:tabs>
      <w:spacing w:line="240" w:lineRule="auto"/>
    </w:pPr>
  </w:style>
  <w:style w:type="character" w:customStyle="1" w:styleId="HeaderChar">
    <w:name w:val="Header Char"/>
    <w:basedOn w:val="DefaultParagraphFont"/>
    <w:link w:val="Header"/>
    <w:uiPriority w:val="99"/>
    <w:rsid w:val="00DC0D2D"/>
  </w:style>
  <w:style w:type="paragraph" w:styleId="Footer">
    <w:name w:val="footer"/>
    <w:basedOn w:val="Normal"/>
    <w:link w:val="FooterChar"/>
    <w:uiPriority w:val="99"/>
    <w:unhideWhenUsed/>
    <w:rsid w:val="00DC0D2D"/>
    <w:pPr>
      <w:tabs>
        <w:tab w:val="center" w:pos="4680"/>
        <w:tab w:val="right" w:pos="9360"/>
      </w:tabs>
      <w:spacing w:line="240" w:lineRule="auto"/>
    </w:pPr>
  </w:style>
  <w:style w:type="character" w:customStyle="1" w:styleId="FooterChar">
    <w:name w:val="Footer Char"/>
    <w:basedOn w:val="DefaultParagraphFont"/>
    <w:link w:val="Footer"/>
    <w:uiPriority w:val="99"/>
    <w:rsid w:val="00DC0D2D"/>
  </w:style>
  <w:style w:type="character" w:styleId="PageNumber">
    <w:name w:val="page number"/>
    <w:basedOn w:val="DefaultParagraphFont"/>
    <w:uiPriority w:val="99"/>
    <w:semiHidden/>
    <w:unhideWhenUsed/>
    <w:rsid w:val="00DC0D2D"/>
  </w:style>
  <w:style w:type="paragraph" w:styleId="FootnoteText">
    <w:name w:val="footnote text"/>
    <w:link w:val="FootnoteTextChar"/>
    <w:uiPriority w:val="99"/>
    <w:unhideWhenUsed/>
    <w:rsid w:val="00DC0D2D"/>
    <w:pPr>
      <w:spacing w:after="0" w:line="240" w:lineRule="auto"/>
    </w:pPr>
    <w:rPr>
      <w:rFonts w:ascii="Century Schoolbook" w:hAnsi="Century Schoolbook"/>
      <w:sz w:val="26"/>
      <w:szCs w:val="20"/>
    </w:rPr>
  </w:style>
  <w:style w:type="character" w:customStyle="1" w:styleId="FootnoteTextChar">
    <w:name w:val="Footnote Text Char"/>
    <w:basedOn w:val="DefaultParagraphFont"/>
    <w:link w:val="FootnoteText"/>
    <w:uiPriority w:val="99"/>
    <w:rsid w:val="00DC0D2D"/>
    <w:rPr>
      <w:rFonts w:ascii="Century Schoolbook" w:hAnsi="Century Schoolbook"/>
      <w:sz w:val="26"/>
      <w:szCs w:val="20"/>
    </w:rPr>
  </w:style>
  <w:style w:type="character" w:styleId="FootnoteReference">
    <w:name w:val="footnote reference"/>
    <w:basedOn w:val="DefaultParagraphFont"/>
    <w:uiPriority w:val="99"/>
    <w:semiHidden/>
    <w:unhideWhenUsed/>
    <w:rsid w:val="004122F7"/>
    <w:rPr>
      <w:vertAlign w:val="superscript"/>
    </w:rPr>
  </w:style>
  <w:style w:type="paragraph" w:styleId="ListParagraph">
    <w:name w:val="List Paragraph"/>
    <w:basedOn w:val="Normal"/>
    <w:uiPriority w:val="34"/>
    <w:qFormat/>
    <w:rsid w:val="006357F8"/>
    <w:pPr>
      <w:ind w:left="720"/>
      <w:contextualSpacing/>
    </w:pPr>
  </w:style>
  <w:style w:type="character" w:styleId="CommentReference">
    <w:name w:val="annotation reference"/>
    <w:basedOn w:val="DefaultParagraphFont"/>
    <w:uiPriority w:val="99"/>
    <w:semiHidden/>
    <w:unhideWhenUsed/>
    <w:rsid w:val="002F2117"/>
    <w:rPr>
      <w:sz w:val="16"/>
      <w:szCs w:val="16"/>
    </w:rPr>
  </w:style>
  <w:style w:type="paragraph" w:styleId="CommentText">
    <w:name w:val="annotation text"/>
    <w:basedOn w:val="Normal"/>
    <w:link w:val="CommentTextChar"/>
    <w:uiPriority w:val="99"/>
    <w:unhideWhenUsed/>
    <w:rsid w:val="002F2117"/>
    <w:pPr>
      <w:spacing w:line="240" w:lineRule="auto"/>
    </w:pPr>
    <w:rPr>
      <w:sz w:val="20"/>
      <w:szCs w:val="20"/>
    </w:rPr>
  </w:style>
  <w:style w:type="character" w:customStyle="1" w:styleId="CommentTextChar">
    <w:name w:val="Comment Text Char"/>
    <w:basedOn w:val="DefaultParagraphFont"/>
    <w:link w:val="CommentText"/>
    <w:uiPriority w:val="99"/>
    <w:rsid w:val="002F2117"/>
    <w:rPr>
      <w:rFonts w:ascii="Century Schoolbook" w:hAnsi="Century Schoolbook"/>
      <w:sz w:val="20"/>
      <w:szCs w:val="20"/>
    </w:rPr>
  </w:style>
  <w:style w:type="paragraph" w:styleId="CommentSubject">
    <w:name w:val="annotation subject"/>
    <w:basedOn w:val="CommentText"/>
    <w:next w:val="CommentText"/>
    <w:link w:val="CommentSubjectChar"/>
    <w:uiPriority w:val="99"/>
    <w:semiHidden/>
    <w:unhideWhenUsed/>
    <w:rsid w:val="002F2117"/>
    <w:rPr>
      <w:b/>
      <w:bCs/>
    </w:rPr>
  </w:style>
  <w:style w:type="character" w:customStyle="1" w:styleId="CommentSubjectChar">
    <w:name w:val="Comment Subject Char"/>
    <w:basedOn w:val="CommentTextChar"/>
    <w:link w:val="CommentSubject"/>
    <w:uiPriority w:val="99"/>
    <w:semiHidden/>
    <w:rsid w:val="002F2117"/>
    <w:rPr>
      <w:rFonts w:ascii="Century Schoolbook" w:hAnsi="Century Schoolbook"/>
      <w:b/>
      <w:bCs/>
      <w:sz w:val="20"/>
      <w:szCs w:val="20"/>
    </w:rPr>
  </w:style>
  <w:style w:type="paragraph" w:styleId="Revision">
    <w:name w:val="Revision"/>
    <w:hidden/>
    <w:uiPriority w:val="99"/>
    <w:semiHidden/>
    <w:rsid w:val="002F2117"/>
    <w:pPr>
      <w:spacing w:after="0" w:line="240" w:lineRule="auto"/>
    </w:pPr>
    <w:rPr>
      <w:rFonts w:ascii="Century Schoolbook" w:hAnsi="Century Schoolbook"/>
      <w:sz w:val="26"/>
    </w:rPr>
  </w:style>
  <w:style w:type="paragraph" w:styleId="BalloonText">
    <w:name w:val="Balloon Text"/>
    <w:basedOn w:val="Normal"/>
    <w:link w:val="BalloonTextChar"/>
    <w:uiPriority w:val="99"/>
    <w:semiHidden/>
    <w:unhideWhenUsed/>
    <w:rsid w:val="00A77786"/>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77786"/>
    <w:rPr>
      <w:rFonts w:ascii="Times New Roman" w:hAnsi="Times New Roman" w:cs="Times New Roman"/>
      <w:sz w:val="18"/>
      <w:szCs w:val="18"/>
    </w:rPr>
  </w:style>
  <w:style w:type="paragraph" w:customStyle="1" w:styleId="Default">
    <w:name w:val="Default"/>
    <w:rsid w:val="0039559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ext">
    <w:name w:val="Text"/>
    <w:basedOn w:val="Normal"/>
    <w:link w:val="TextChar"/>
    <w:qFormat/>
    <w:rsid w:val="00701E69"/>
    <w:pPr>
      <w:spacing w:line="360" w:lineRule="auto"/>
      <w:ind w:firstLine="720"/>
    </w:pPr>
    <w:rPr>
      <w:rFonts w:cs="Times New Roman"/>
      <w:szCs w:val="26"/>
    </w:rPr>
  </w:style>
  <w:style w:type="character" w:customStyle="1" w:styleId="TextChar">
    <w:name w:val="Text Char"/>
    <w:basedOn w:val="DefaultParagraphFont"/>
    <w:link w:val="Text"/>
    <w:rsid w:val="00701E69"/>
    <w:rPr>
      <w:rFonts w:ascii="Century Schoolbook" w:hAnsi="Century Schoolbook" w:cs="Times New Roman"/>
      <w:sz w:val="26"/>
      <w:szCs w:val="26"/>
    </w:rPr>
  </w:style>
  <w:style w:type="character" w:styleId="Hyperlink">
    <w:name w:val="Hyperlink"/>
    <w:basedOn w:val="DefaultParagraphFont"/>
    <w:uiPriority w:val="99"/>
    <w:unhideWhenUsed/>
    <w:rsid w:val="00DF52A7"/>
    <w:rPr>
      <w:color w:val="0563C1" w:themeColor="hyperlink"/>
      <w:u w:val="single"/>
    </w:rPr>
  </w:style>
  <w:style w:type="character" w:customStyle="1" w:styleId="UnresolvedMention1">
    <w:name w:val="Unresolved Mention1"/>
    <w:basedOn w:val="DefaultParagraphFont"/>
    <w:uiPriority w:val="99"/>
    <w:semiHidden/>
    <w:unhideWhenUsed/>
    <w:rsid w:val="00DF52A7"/>
    <w:rPr>
      <w:color w:val="605E5C"/>
      <w:shd w:val="clear" w:color="auto" w:fill="E1DFDD"/>
    </w:rPr>
  </w:style>
  <w:style w:type="paragraph" w:styleId="NoSpacing">
    <w:name w:val="No Spacing"/>
    <w:uiPriority w:val="1"/>
    <w:qFormat/>
    <w:rsid w:val="00223873"/>
    <w:pPr>
      <w:tabs>
        <w:tab w:val="left" w:pos="720"/>
      </w:tabs>
      <w:spacing w:after="0" w:line="240" w:lineRule="auto"/>
    </w:pPr>
    <w:rPr>
      <w:rFonts w:ascii="Century Schoolbook" w:hAnsi="Century Schoolbook"/>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8932</Words>
  <Characters>47035</Characters>
  <Application>Microsoft Office Word</Application>
  <DocSecurity>0</DocSecurity>
  <Lines>836</Lines>
  <Paragraphs>110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56239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2023-03-21T17:06:00Z</dcterms:created>
  <dcterms:modified xsi:type="dcterms:W3CDTF">2023-03-21T17:06:00Z</dcterms:modified>
  <cp:category/>
</cp:coreProperties>
</file>