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8260" w14:textId="52635FC2" w:rsidR="00B44B83" w:rsidRDefault="00873944" w:rsidP="00873944">
      <w:pPr>
        <w:spacing w:line="240" w:lineRule="auto"/>
        <w:jc w:val="center"/>
        <w:rPr>
          <w:sz w:val="20"/>
        </w:rPr>
      </w:pPr>
      <w:r>
        <w:rPr>
          <w:sz w:val="20"/>
        </w:rPr>
        <w:t xml:space="preserve">Filed </w:t>
      </w:r>
      <w:r w:rsidR="008816EF">
        <w:rPr>
          <w:sz w:val="20"/>
        </w:rPr>
        <w:t>9/1/23</w:t>
      </w:r>
      <w:r w:rsidRPr="00873944">
        <w:rPr>
          <w:sz w:val="20"/>
        </w:rPr>
        <w:t>; REVIEW GRANTED.  See Cal. Rules of Court, rules 8.1105 and 8.1115 (and corresponding Comment, par. 2, concerning rule 8.1115(e)(3)).</w:t>
      </w:r>
    </w:p>
    <w:p w14:paraId="55C2235F" w14:textId="77777777" w:rsidR="00B44B83" w:rsidRDefault="00873944" w:rsidP="00B44B83">
      <w:pPr>
        <w:spacing w:line="240" w:lineRule="auto"/>
        <w:jc w:val="center"/>
        <w:rPr>
          <w:b/>
        </w:rPr>
      </w:pPr>
      <w:r>
        <w:rPr>
          <w:b/>
        </w:rPr>
        <w:t>CERTIFIED FOR PUBLICATION</w:t>
      </w:r>
    </w:p>
    <w:p w14:paraId="3EDBAE7B" w14:textId="77777777" w:rsidR="00B44B83" w:rsidRDefault="00B44B83" w:rsidP="00B44B83">
      <w:pPr>
        <w:spacing w:line="240" w:lineRule="auto"/>
        <w:jc w:val="center"/>
      </w:pPr>
    </w:p>
    <w:p w14:paraId="508F4402" w14:textId="13D3C93C" w:rsidR="00EF00CC" w:rsidRDefault="00873944" w:rsidP="00B44B83">
      <w:pPr>
        <w:spacing w:line="240" w:lineRule="auto"/>
        <w:jc w:val="center"/>
      </w:pPr>
      <w:r>
        <w:t>IN THE COURT OF APPEAL OF THE STATE OF CALIFORNIA</w:t>
      </w:r>
    </w:p>
    <w:p w14:paraId="4DB351B0" w14:textId="73519EAF" w:rsidR="00943E6A" w:rsidRDefault="00943E6A" w:rsidP="00943E6A">
      <w:pPr>
        <w:spacing w:line="240" w:lineRule="auto"/>
        <w:jc w:val="center"/>
      </w:pPr>
    </w:p>
    <w:p w14:paraId="1D4196F0" w14:textId="0557FBE5" w:rsidR="00943E6A" w:rsidRDefault="00873944" w:rsidP="00943E6A">
      <w:pPr>
        <w:spacing w:line="240" w:lineRule="auto"/>
        <w:jc w:val="center"/>
      </w:pPr>
      <w:r>
        <w:t>FIRST APPELLATE DISTRICT</w:t>
      </w:r>
    </w:p>
    <w:p w14:paraId="1B674474" w14:textId="63B9DBD2" w:rsidR="00943E6A" w:rsidRDefault="00943E6A" w:rsidP="00943E6A">
      <w:pPr>
        <w:spacing w:line="240" w:lineRule="auto"/>
        <w:jc w:val="center"/>
      </w:pPr>
    </w:p>
    <w:p w14:paraId="6C3304A4" w14:textId="24FBBCF6" w:rsidR="00943E6A" w:rsidRDefault="00873944" w:rsidP="00943E6A">
      <w:pPr>
        <w:spacing w:line="240" w:lineRule="auto"/>
        <w:jc w:val="center"/>
      </w:pPr>
      <w:r>
        <w:t>DIVISION THREE</w:t>
      </w:r>
    </w:p>
    <w:p w14:paraId="688CE96E" w14:textId="00E4066B" w:rsidR="00943E6A" w:rsidRDefault="00943E6A" w:rsidP="00943E6A">
      <w:pPr>
        <w:spacing w:line="240" w:lineRule="auto"/>
        <w:jc w:val="center"/>
      </w:pPr>
    </w:p>
    <w:p w14:paraId="46D6E819" w14:textId="3D92EDE3" w:rsidR="00943E6A" w:rsidRDefault="00943E6A" w:rsidP="00943E6A">
      <w:pPr>
        <w:spacing w:line="240" w:lineRule="auto"/>
        <w:jc w:val="center"/>
      </w:pPr>
    </w:p>
    <w:tbl>
      <w:tblPr>
        <w:tblW w:w="0" w:type="auto"/>
        <w:tblLayout w:type="fixed"/>
        <w:tblLook w:val="0000" w:firstRow="0" w:lastRow="0" w:firstColumn="0" w:lastColumn="0" w:noHBand="0" w:noVBand="0"/>
      </w:tblPr>
      <w:tblGrid>
        <w:gridCol w:w="4680"/>
        <w:gridCol w:w="4680"/>
      </w:tblGrid>
      <w:tr w:rsidR="00275153" w14:paraId="62AA96B2" w14:textId="77777777" w:rsidTr="00943E6A">
        <w:tc>
          <w:tcPr>
            <w:tcW w:w="4680" w:type="dxa"/>
            <w:tcBorders>
              <w:bottom w:val="single" w:sz="4" w:space="0" w:color="auto"/>
              <w:right w:val="single" w:sz="4" w:space="0" w:color="auto"/>
            </w:tcBorders>
            <w:shd w:val="clear" w:color="auto" w:fill="auto"/>
          </w:tcPr>
          <w:p w14:paraId="14DB371E" w14:textId="77777777" w:rsidR="00943E6A" w:rsidRDefault="00873944" w:rsidP="00943E6A">
            <w:pPr>
              <w:spacing w:after="120" w:line="240" w:lineRule="auto"/>
            </w:pPr>
            <w:r>
              <w:t>THE PEOPLE,</w:t>
            </w:r>
          </w:p>
          <w:p w14:paraId="7D1543E5" w14:textId="77777777" w:rsidR="00943E6A" w:rsidRDefault="00873944" w:rsidP="00943E6A">
            <w:pPr>
              <w:spacing w:after="120" w:line="240" w:lineRule="auto"/>
            </w:pPr>
            <w:r>
              <w:tab/>
              <w:t>Plaintiff and Respondent,</w:t>
            </w:r>
          </w:p>
          <w:p w14:paraId="72559930" w14:textId="77777777" w:rsidR="00943E6A" w:rsidRDefault="00873944" w:rsidP="00943E6A">
            <w:pPr>
              <w:spacing w:after="120" w:line="240" w:lineRule="auto"/>
            </w:pPr>
            <w:r>
              <w:t>v.</w:t>
            </w:r>
          </w:p>
          <w:p w14:paraId="6D4CE741" w14:textId="77777777" w:rsidR="00943E6A" w:rsidRDefault="00873944" w:rsidP="00943E6A">
            <w:pPr>
              <w:spacing w:after="120" w:line="240" w:lineRule="auto"/>
            </w:pPr>
            <w:proofErr w:type="spellStart"/>
            <w:r>
              <w:t>MENIQUE</w:t>
            </w:r>
            <w:proofErr w:type="spellEnd"/>
            <w:r>
              <w:t xml:space="preserve"> LASHON,</w:t>
            </w:r>
          </w:p>
          <w:p w14:paraId="248A5D3B" w14:textId="3A50897F" w:rsidR="00943E6A" w:rsidRDefault="00873944" w:rsidP="00943E6A">
            <w:pPr>
              <w:spacing w:after="120" w:line="240" w:lineRule="auto"/>
            </w:pPr>
            <w:r>
              <w:tab/>
              <w:t>Defendant and Appellant.</w:t>
            </w:r>
          </w:p>
        </w:tc>
        <w:tc>
          <w:tcPr>
            <w:tcW w:w="4680" w:type="dxa"/>
            <w:tcBorders>
              <w:left w:val="single" w:sz="4" w:space="0" w:color="auto"/>
            </w:tcBorders>
            <w:shd w:val="clear" w:color="auto" w:fill="auto"/>
          </w:tcPr>
          <w:p w14:paraId="25C45F8C" w14:textId="77777777" w:rsidR="00943E6A" w:rsidRDefault="00943E6A" w:rsidP="00943E6A">
            <w:pPr>
              <w:spacing w:line="240" w:lineRule="auto"/>
            </w:pPr>
          </w:p>
          <w:p w14:paraId="7B66E049" w14:textId="77777777" w:rsidR="00943E6A" w:rsidRDefault="00943E6A" w:rsidP="00943E6A">
            <w:pPr>
              <w:spacing w:line="240" w:lineRule="auto"/>
            </w:pPr>
          </w:p>
          <w:p w14:paraId="30329F80" w14:textId="77777777" w:rsidR="00943E6A" w:rsidRDefault="00873944" w:rsidP="00943E6A">
            <w:pPr>
              <w:spacing w:line="240" w:lineRule="auto"/>
            </w:pPr>
            <w:r>
              <w:t xml:space="preserve">      </w:t>
            </w:r>
            <w:bookmarkStart w:id="0" w:name="_Hlk144472847"/>
            <w:r>
              <w:t>A163074</w:t>
            </w:r>
            <w:bookmarkEnd w:id="0"/>
          </w:p>
          <w:p w14:paraId="0E84A07D" w14:textId="77777777" w:rsidR="00943E6A" w:rsidRDefault="00943E6A" w:rsidP="00943E6A">
            <w:pPr>
              <w:spacing w:line="240" w:lineRule="auto"/>
            </w:pPr>
          </w:p>
          <w:p w14:paraId="26AEF004" w14:textId="77777777" w:rsidR="00943E6A" w:rsidRDefault="00873944" w:rsidP="00943E6A">
            <w:pPr>
              <w:spacing w:line="240" w:lineRule="auto"/>
            </w:pPr>
            <w:r>
              <w:t xml:space="preserve">      (Contra Costa County</w:t>
            </w:r>
          </w:p>
          <w:p w14:paraId="4AB1483C" w14:textId="77777777" w:rsidR="00943E6A" w:rsidRDefault="00873944" w:rsidP="00943E6A">
            <w:pPr>
              <w:spacing w:line="240" w:lineRule="auto"/>
            </w:pPr>
            <w:r>
              <w:t xml:space="preserve">      Super. Ct. No. 51814102)</w:t>
            </w:r>
          </w:p>
          <w:p w14:paraId="6B276DC2" w14:textId="01418C55" w:rsidR="00943E6A" w:rsidRDefault="00943E6A" w:rsidP="00943E6A">
            <w:pPr>
              <w:spacing w:line="240" w:lineRule="auto"/>
            </w:pPr>
          </w:p>
        </w:tc>
      </w:tr>
    </w:tbl>
    <w:p w14:paraId="48BCE47F" w14:textId="77777777" w:rsidR="00943E6A" w:rsidRDefault="00943E6A" w:rsidP="00943E6A">
      <w:pPr>
        <w:spacing w:line="240" w:lineRule="auto"/>
      </w:pPr>
    </w:p>
    <w:p w14:paraId="66A73305" w14:textId="1E4352E2" w:rsidR="00677E53" w:rsidRDefault="00873944" w:rsidP="00943E6A">
      <w:pPr>
        <w:spacing w:line="360" w:lineRule="auto"/>
      </w:pPr>
      <w:r>
        <w:tab/>
      </w:r>
      <w:r w:rsidR="004E1BB8">
        <w:t xml:space="preserve">Defendant </w:t>
      </w:r>
      <w:proofErr w:type="spellStart"/>
      <w:r w:rsidR="004E1BB8">
        <w:t>Menique</w:t>
      </w:r>
      <w:proofErr w:type="spellEnd"/>
      <w:r w:rsidR="004E1BB8">
        <w:t xml:space="preserve"> Lashon appeals from a judgment following her conviction for one count of second-degree murder and one count of first-degree murder, together with true finding</w:t>
      </w:r>
      <w:r w:rsidR="00694D9B">
        <w:t>s</w:t>
      </w:r>
      <w:r w:rsidR="004E1BB8">
        <w:t xml:space="preserve"> of special circumstance allegation</w:t>
      </w:r>
      <w:r w:rsidR="00694D9B">
        <w:t>s</w:t>
      </w:r>
      <w:r w:rsidR="004E1BB8">
        <w:t xml:space="preserve"> of multiple murders</w:t>
      </w:r>
      <w:r w:rsidR="004F650D">
        <w:t xml:space="preserve">.  Lashon </w:t>
      </w:r>
      <w:r w:rsidR="004E1BB8">
        <w:t xml:space="preserve">was sentenced to a term of life without the possibility of parole. </w:t>
      </w:r>
    </w:p>
    <w:p w14:paraId="479F2A59" w14:textId="7B0D31B6" w:rsidR="00112DBE" w:rsidRDefault="00873944" w:rsidP="002C7032">
      <w:pPr>
        <w:spacing w:line="360" w:lineRule="auto"/>
      </w:pPr>
      <w:r>
        <w:tab/>
      </w:r>
      <w:r w:rsidR="00005068">
        <w:t xml:space="preserve">On appeal, </w:t>
      </w:r>
      <w:r>
        <w:t xml:space="preserve">Lashon </w:t>
      </w:r>
      <w:r w:rsidR="00005068">
        <w:t>contends</w:t>
      </w:r>
      <w:r w:rsidR="00A173B5">
        <w:t xml:space="preserve"> the judgment was </w:t>
      </w:r>
      <w:r w:rsidR="004E1BB8">
        <w:t>the result of</w:t>
      </w:r>
      <w:r w:rsidR="00CA079B">
        <w:t xml:space="preserve"> the trial judge’s</w:t>
      </w:r>
      <w:r w:rsidR="004E1BB8">
        <w:t xml:space="preserve"> </w:t>
      </w:r>
      <w:r w:rsidR="00A0044F">
        <w:t xml:space="preserve">implicit </w:t>
      </w:r>
      <w:r w:rsidR="00A2507A">
        <w:t xml:space="preserve">racial bias against her and her </w:t>
      </w:r>
      <w:r w:rsidR="000D43C8">
        <w:t xml:space="preserve">trial </w:t>
      </w:r>
      <w:r w:rsidR="00A2507A">
        <w:t xml:space="preserve">counsel in violation of </w:t>
      </w:r>
      <w:r w:rsidR="00757CF3">
        <w:t>the California Racial Justice Act (</w:t>
      </w:r>
      <w:proofErr w:type="spellStart"/>
      <w:r w:rsidR="00EA2EC0">
        <w:t>CRJA</w:t>
      </w:r>
      <w:proofErr w:type="spellEnd"/>
      <w:r w:rsidR="00757CF3">
        <w:t>), codified at Penal Code section 745</w:t>
      </w:r>
      <w:r w:rsidR="00F1404B">
        <w:t>.</w:t>
      </w:r>
      <w:r>
        <w:rPr>
          <w:rStyle w:val="FootnoteReference"/>
          <w:szCs w:val="26"/>
        </w:rPr>
        <w:footnoteReference w:id="1"/>
      </w:r>
      <w:r w:rsidR="00F1404B">
        <w:t xml:space="preserve"> </w:t>
      </w:r>
      <w:r w:rsidR="00CF2B82">
        <w:t xml:space="preserve"> </w:t>
      </w:r>
      <w:r>
        <w:t xml:space="preserve">She </w:t>
      </w:r>
      <w:r w:rsidR="00D51D78">
        <w:t xml:space="preserve">avers the portions of the trial and sentencing proceedings cited in her opening brief constitute </w:t>
      </w:r>
      <w:proofErr w:type="gramStart"/>
      <w:r w:rsidR="00D51D78">
        <w:t>a prima facie</w:t>
      </w:r>
      <w:proofErr w:type="gramEnd"/>
      <w:r w:rsidR="00D51D78">
        <w:t xml:space="preserve"> showing for relief and asks us to remand the matter to the superior court for an evidentiary hearing.</w:t>
      </w:r>
      <w:r>
        <w:rPr>
          <w:rStyle w:val="FootnoteReference"/>
          <w:szCs w:val="26"/>
        </w:rPr>
        <w:footnoteReference w:id="2"/>
      </w:r>
    </w:p>
    <w:p w14:paraId="4E813CCC" w14:textId="63FE02B0" w:rsidR="00D53ADC" w:rsidRDefault="00873944" w:rsidP="002C7032">
      <w:pPr>
        <w:spacing w:line="360" w:lineRule="auto"/>
      </w:pPr>
      <w:r>
        <w:lastRenderedPageBreak/>
        <w:tab/>
      </w:r>
      <w:r w:rsidR="00D51D78">
        <w:t xml:space="preserve">We </w:t>
      </w:r>
      <w:r w:rsidR="007E2EFA">
        <w:t>conclude Lashon</w:t>
      </w:r>
      <w:r w:rsidR="007E2EFA" w:rsidRPr="004054B3">
        <w:t xml:space="preserve"> has</w:t>
      </w:r>
      <w:r w:rsidR="007E2EFA">
        <w:t xml:space="preserve"> forfeited her section 745 claim on direct appeal by not </w:t>
      </w:r>
      <w:r>
        <w:t xml:space="preserve">filing </w:t>
      </w:r>
      <w:r w:rsidR="007E2EFA">
        <w:t>a section 745 motion in the trial court before judgment was entered</w:t>
      </w:r>
      <w:r w:rsidR="008C615A">
        <w:t xml:space="preserve"> and affirm the judgment</w:t>
      </w:r>
      <w:r w:rsidR="007E2EFA">
        <w:t>.</w:t>
      </w:r>
      <w:r w:rsidR="007E2EFA" w:rsidRPr="007E2EFA">
        <w:rPr>
          <w:rStyle w:val="FootnoteReference"/>
          <w:szCs w:val="26"/>
        </w:rPr>
        <w:t xml:space="preserve"> </w:t>
      </w:r>
      <w:r w:rsidR="00CF2B82">
        <w:t xml:space="preserve"> </w:t>
      </w:r>
      <w:r w:rsidR="008279DF">
        <w:t xml:space="preserve">In light of our determination, </w:t>
      </w:r>
      <w:r>
        <w:t>we do not address her argument th</w:t>
      </w:r>
      <w:r w:rsidR="005838F2">
        <w:t>at</w:t>
      </w:r>
      <w:r>
        <w:t xml:space="preserve"> she has alleged </w:t>
      </w:r>
      <w:proofErr w:type="gramStart"/>
      <w:r>
        <w:t xml:space="preserve">a prima </w:t>
      </w:r>
      <w:r w:rsidR="00A72CE7">
        <w:t>facie</w:t>
      </w:r>
      <w:proofErr w:type="gramEnd"/>
      <w:r w:rsidR="00A72CE7">
        <w:t xml:space="preserve"> </w:t>
      </w:r>
      <w:r>
        <w:t>showing for relief under section 745 and deny her request to remand the matter for an evidentiary hearing</w:t>
      </w:r>
      <w:r w:rsidR="00D51D78">
        <w:t xml:space="preserve">.  </w:t>
      </w:r>
    </w:p>
    <w:p w14:paraId="457D8882" w14:textId="5F0440CB" w:rsidR="00353F5E" w:rsidRPr="005234C5" w:rsidRDefault="00873944" w:rsidP="00353F5E">
      <w:pPr>
        <w:keepNext/>
        <w:spacing w:line="360" w:lineRule="auto"/>
        <w:jc w:val="center"/>
        <w:rPr>
          <w:b/>
          <w:bCs/>
          <w:smallCaps/>
        </w:rPr>
      </w:pPr>
      <w:r>
        <w:rPr>
          <w:b/>
          <w:bCs/>
          <w:smallCaps/>
        </w:rPr>
        <w:t>California Racial Justice Act</w:t>
      </w:r>
    </w:p>
    <w:p w14:paraId="1C9372CE" w14:textId="6E8FFB45" w:rsidR="00CA079B" w:rsidRDefault="00873944" w:rsidP="00943E6A">
      <w:pPr>
        <w:spacing w:line="360" w:lineRule="auto"/>
      </w:pPr>
      <w:r>
        <w:tab/>
      </w:r>
      <w:r w:rsidR="00B06F1E">
        <w:t xml:space="preserve">The </w:t>
      </w:r>
      <w:proofErr w:type="spellStart"/>
      <w:r w:rsidR="00EA2EC0">
        <w:t>CRJA</w:t>
      </w:r>
      <w:proofErr w:type="spellEnd"/>
      <w:r w:rsidR="00B06F1E">
        <w:t>, as enacted in s</w:t>
      </w:r>
      <w:r w:rsidR="00DC52B1">
        <w:t>ection 745</w:t>
      </w:r>
      <w:r w:rsidR="00B06F1E">
        <w:t>,</w:t>
      </w:r>
      <w:r w:rsidR="00DC52B1">
        <w:t xml:space="preserve"> became effective on January 1, 2021</w:t>
      </w:r>
      <w:r>
        <w:t>.</w:t>
      </w:r>
      <w:r>
        <w:rPr>
          <w:rStyle w:val="FootnoteReference"/>
        </w:rPr>
        <w:footnoteReference w:id="3"/>
      </w:r>
      <w:r>
        <w:t xml:space="preserve">  (Stats. 2020, </w:t>
      </w:r>
      <w:proofErr w:type="spellStart"/>
      <w:r>
        <w:t>ch.</w:t>
      </w:r>
      <w:proofErr w:type="spellEnd"/>
      <w:r>
        <w:t> 317, §§ 1, 3</w:t>
      </w:r>
      <w:r w:rsidR="005B4FDC">
        <w:t>,</w:t>
      </w:r>
      <w:r>
        <w:t xml:space="preserve"> 3.5.)  This was </w:t>
      </w:r>
      <w:r w:rsidR="00493714">
        <w:t xml:space="preserve">over </w:t>
      </w:r>
      <w:r w:rsidR="00DC52B1">
        <w:t xml:space="preserve">four months before the commencement of Lashon’s trial, and </w:t>
      </w:r>
      <w:r>
        <w:t>section 745</w:t>
      </w:r>
      <w:r w:rsidR="00DC52B1">
        <w:t xml:space="preserve"> </w:t>
      </w:r>
      <w:r w:rsidR="005B4FDC">
        <w:t xml:space="preserve">was </w:t>
      </w:r>
      <w:r w:rsidR="00DC52B1">
        <w:t>made applicable to all cases then pending in the trial courts.</w:t>
      </w:r>
      <w:r>
        <w:rPr>
          <w:rStyle w:val="FootnoteReference"/>
        </w:rPr>
        <w:footnoteReference w:id="4"/>
      </w:r>
      <w:r w:rsidR="00DC52B1">
        <w:t xml:space="preserve"> </w:t>
      </w:r>
      <w:r w:rsidR="00CF2B82">
        <w:t xml:space="preserve"> </w:t>
      </w:r>
      <w:r w:rsidR="00DC52B1">
        <w:t>(</w:t>
      </w:r>
      <w:r w:rsidR="00DC52B1" w:rsidRPr="00F87E81">
        <w:rPr>
          <w:i/>
          <w:iCs/>
        </w:rPr>
        <w:t>Id</w:t>
      </w:r>
      <w:r w:rsidR="00DC52B1">
        <w:t>., subd. (j)</w:t>
      </w:r>
      <w:r>
        <w:t>.)</w:t>
      </w:r>
      <w:r w:rsidR="00DC52B1">
        <w:t xml:space="preserve"> </w:t>
      </w:r>
    </w:p>
    <w:p w14:paraId="4AE32B2F" w14:textId="6FBA49F2" w:rsidR="00F97BE2" w:rsidRDefault="00873944" w:rsidP="00943E6A">
      <w:pPr>
        <w:spacing w:line="360" w:lineRule="auto"/>
      </w:pPr>
      <w:r>
        <w:tab/>
        <w:t xml:space="preserve">Section 745 </w:t>
      </w:r>
      <w:r w:rsidR="00367DBC">
        <w:t>provides</w:t>
      </w:r>
      <w:r>
        <w:t xml:space="preserve"> “[t]he </w:t>
      </w:r>
      <w:proofErr w:type="gramStart"/>
      <w:r>
        <w:t>state</w:t>
      </w:r>
      <w:proofErr w:type="gramEnd"/>
      <w:r>
        <w:t xml:space="preserve"> shall not seek</w:t>
      </w:r>
      <w:r w:rsidR="000A6066">
        <w:t xml:space="preserve"> or obtain a criminal conviction or seek,</w:t>
      </w:r>
      <w:r>
        <w:t xml:space="preserve"> obtain, or impose a sentence on the basis of race, ethnicity, or national origin.</w:t>
      </w:r>
      <w:r w:rsidR="000A6066">
        <w:t>”</w:t>
      </w:r>
      <w:r>
        <w:t xml:space="preserve">  (</w:t>
      </w:r>
      <w:r w:rsidR="00353F5E" w:rsidRPr="00F87E81">
        <w:rPr>
          <w:i/>
          <w:iCs/>
        </w:rPr>
        <w:t>Id</w:t>
      </w:r>
      <w:r w:rsidR="00353F5E">
        <w:t xml:space="preserve">., </w:t>
      </w:r>
      <w:r>
        <w:t xml:space="preserve">subd. (a).)  </w:t>
      </w:r>
      <w:r w:rsidR="00D44A73">
        <w:t>Pertinent to our discussion</w:t>
      </w:r>
      <w:r w:rsidR="00367DBC">
        <w:t>, the following</w:t>
      </w:r>
      <w:r w:rsidR="00694D9B">
        <w:t xml:space="preserve"> constitute</w:t>
      </w:r>
      <w:r w:rsidR="007E2EFA">
        <w:t xml:space="preserve">s a </w:t>
      </w:r>
      <w:r w:rsidR="00694D9B">
        <w:t xml:space="preserve">violation </w:t>
      </w:r>
      <w:r w:rsidR="00367DBC">
        <w:t>of section 745</w:t>
      </w:r>
      <w:r w:rsidR="00D44A73">
        <w:t>:</w:t>
      </w:r>
      <w:r w:rsidR="00CE66A7">
        <w:t xml:space="preserve"> </w:t>
      </w:r>
      <w:r w:rsidR="00EE7886">
        <w:t>“[d]</w:t>
      </w:r>
      <w:proofErr w:type="spellStart"/>
      <w:r w:rsidR="00EE7886">
        <w:t>uring</w:t>
      </w:r>
      <w:proofErr w:type="spellEnd"/>
      <w:r w:rsidR="00EE7886">
        <w:t xml:space="preserve"> the defendant’s trial, in court and during the proceedings,” a trial judge “exhibited bias or animus towards the defendant because of the defendant’s race, ethnicity, or national origin, whether or not purposeful” (</w:t>
      </w:r>
      <w:r w:rsidR="00EE7886" w:rsidRPr="00EE7886">
        <w:rPr>
          <w:i/>
          <w:iCs/>
        </w:rPr>
        <w:t>id</w:t>
      </w:r>
      <w:r w:rsidR="00EE7886">
        <w:t>., subd.</w:t>
      </w:r>
      <w:r w:rsidR="00FD004F">
        <w:t> </w:t>
      </w:r>
      <w:r w:rsidR="00EE7886">
        <w:t>(a)(2)</w:t>
      </w:r>
      <w:r w:rsidR="00FD004F">
        <w:t>).</w:t>
      </w:r>
    </w:p>
    <w:p w14:paraId="742A42DC" w14:textId="360E1B60" w:rsidR="00353F5E" w:rsidRDefault="00873944" w:rsidP="005234C5">
      <w:pPr>
        <w:spacing w:line="360" w:lineRule="auto"/>
      </w:pPr>
      <w:r>
        <w:tab/>
        <w:t xml:space="preserve">The </w:t>
      </w:r>
      <w:proofErr w:type="spellStart"/>
      <w:r>
        <w:t>CRJA</w:t>
      </w:r>
      <w:proofErr w:type="spellEnd"/>
      <w:r>
        <w:t xml:space="preserve"> sets for</w:t>
      </w:r>
      <w:r w:rsidR="00111968">
        <w:t>th</w:t>
      </w:r>
      <w:r>
        <w:t xml:space="preserve"> </w:t>
      </w:r>
      <w:r w:rsidR="00F9477C">
        <w:t>the</w:t>
      </w:r>
      <w:r>
        <w:t xml:space="preserve"> procedure for seeking relief during various stages of a</w:t>
      </w:r>
      <w:r>
        <w:t xml:space="preserve"> criminal proceeding.  </w:t>
      </w:r>
      <w:r w:rsidR="00D44A73">
        <w:t>“A defendant may file a motion in the trial court or</w:t>
      </w:r>
      <w:r w:rsidR="00706A70">
        <w:t>,</w:t>
      </w:r>
      <w:r w:rsidR="00D44A73">
        <w:t xml:space="preserve"> if judgment has been imposed, may file a petition for writ of habeas </w:t>
      </w:r>
      <w:r w:rsidR="00D44A73">
        <w:lastRenderedPageBreak/>
        <w:t>corpus or a motion under Section</w:t>
      </w:r>
      <w:r w:rsidR="00715A09">
        <w:t xml:space="preserve"> </w:t>
      </w:r>
      <w:r w:rsidR="00D44A73">
        <w:t>1473.7 in a court of competent jurisdiction, alleging a violation of subdivision (a).”  (§745, subd. (b).)</w:t>
      </w:r>
      <w:r w:rsidR="00715A09">
        <w:t xml:space="preserve"> </w:t>
      </w:r>
      <w:r w:rsidR="00645899">
        <w:t xml:space="preserve"> </w:t>
      </w:r>
      <w:r>
        <w:t xml:space="preserve">The </w:t>
      </w:r>
      <w:proofErr w:type="spellStart"/>
      <w:r>
        <w:t>CRJA</w:t>
      </w:r>
      <w:proofErr w:type="spellEnd"/>
      <w:r>
        <w:t xml:space="preserve"> </w:t>
      </w:r>
      <w:r w:rsidR="00F053A9">
        <w:t xml:space="preserve">also </w:t>
      </w:r>
      <w:r>
        <w:t>sets forth remedies for successful prejudgment and post judgment claims (respectively, § 745, subd</w:t>
      </w:r>
      <w:r w:rsidR="00706A70">
        <w:t>s</w:t>
      </w:r>
      <w:r>
        <w:t>. (e)(1) and (e)(2)).</w:t>
      </w:r>
    </w:p>
    <w:p w14:paraId="51E0929C" w14:textId="0C8D6AA9" w:rsidR="007D1E6A" w:rsidRPr="005234C5" w:rsidRDefault="00873944" w:rsidP="005234C5">
      <w:pPr>
        <w:keepNext/>
        <w:spacing w:line="360" w:lineRule="auto"/>
        <w:jc w:val="center"/>
        <w:rPr>
          <w:b/>
          <w:bCs/>
          <w:smallCaps/>
        </w:rPr>
      </w:pPr>
      <w:r w:rsidRPr="005234C5">
        <w:rPr>
          <w:b/>
          <w:bCs/>
          <w:smallCaps/>
        </w:rPr>
        <w:t>Discussion</w:t>
      </w:r>
    </w:p>
    <w:p w14:paraId="492FC7E0" w14:textId="1ED13D72" w:rsidR="00C54010" w:rsidRDefault="00873944" w:rsidP="005E4683">
      <w:pPr>
        <w:spacing w:line="360" w:lineRule="auto"/>
      </w:pPr>
      <w:r>
        <w:tab/>
      </w:r>
      <w:r w:rsidR="00BF61CD">
        <w:t xml:space="preserve">Because </w:t>
      </w:r>
      <w:r w:rsidR="00DC52B1">
        <w:t xml:space="preserve">no </w:t>
      </w:r>
      <w:proofErr w:type="spellStart"/>
      <w:r w:rsidR="003C3BCE">
        <w:t>CRJA</w:t>
      </w:r>
      <w:proofErr w:type="spellEnd"/>
      <w:r w:rsidR="003C3BCE">
        <w:t xml:space="preserve"> </w:t>
      </w:r>
      <w:r w:rsidR="00DC52B1">
        <w:t xml:space="preserve">motion premised on </w:t>
      </w:r>
      <w:r w:rsidR="00BF61CD">
        <w:t xml:space="preserve">Lashon’s </w:t>
      </w:r>
      <w:r w:rsidR="00DC52B1">
        <w:t>claim of implicit racial bias by the trial judge was filed in the trial court during</w:t>
      </w:r>
      <w:r w:rsidR="00715A09">
        <w:t xml:space="preserve"> either</w:t>
      </w:r>
      <w:r w:rsidR="00DC52B1">
        <w:t xml:space="preserve"> the trial or sentencing phases, we </w:t>
      </w:r>
      <w:r w:rsidR="00225930">
        <w:t>deem</w:t>
      </w:r>
      <w:r w:rsidR="00BF61CD">
        <w:t xml:space="preserve"> </w:t>
      </w:r>
      <w:r>
        <w:t xml:space="preserve">forfeited her </w:t>
      </w:r>
      <w:proofErr w:type="spellStart"/>
      <w:r>
        <w:t>CRJA</w:t>
      </w:r>
      <w:proofErr w:type="spellEnd"/>
      <w:r>
        <w:t xml:space="preserve"> claim for purposes of </w:t>
      </w:r>
      <w:r w:rsidR="00F9658F">
        <w:t>direct appeal</w:t>
      </w:r>
      <w:r w:rsidR="00665F03">
        <w:t xml:space="preserve">.  </w:t>
      </w:r>
      <w:r w:rsidR="00F9658F">
        <w:t>(See</w:t>
      </w:r>
      <w:r w:rsidR="00807D02">
        <w:t>, e.g.,</w:t>
      </w:r>
      <w:r w:rsidR="00F9658F">
        <w:t xml:space="preserve"> </w:t>
      </w:r>
      <w:r w:rsidR="00F9658F" w:rsidRPr="00665F03">
        <w:rPr>
          <w:i/>
          <w:iCs/>
        </w:rPr>
        <w:t>People v. Elliot</w:t>
      </w:r>
      <w:r w:rsidR="00F9658F">
        <w:t xml:space="preserve"> (2012) 53 Cal.4th 535, 572 [defendant forfeited claim that trial court exhibited racial bias during jury selection process by failing to raise the issue at trial]</w:t>
      </w:r>
      <w:r w:rsidR="00F16A1C">
        <w:t>.)</w:t>
      </w:r>
      <w:r w:rsidR="005E4683">
        <w:t xml:space="preserve"> </w:t>
      </w:r>
    </w:p>
    <w:p w14:paraId="6468F8B3" w14:textId="502F4728" w:rsidR="00225930" w:rsidRDefault="00873944" w:rsidP="006F1FDD">
      <w:pPr>
        <w:spacing w:line="360" w:lineRule="auto"/>
      </w:pPr>
      <w:r>
        <w:tab/>
        <w:t>Lashon</w:t>
      </w:r>
      <w:r w:rsidR="007D34DB">
        <w:t xml:space="preserve"> asserts the general forfeiture rule should not apply because her claim involves a “substantial right” or “an </w:t>
      </w:r>
      <w:r w:rsidR="007D34DB" w:rsidRPr="00BD0496">
        <w:t>important issue of constitutional law</w:t>
      </w:r>
      <w:r w:rsidR="007D34DB">
        <w:t>.</w:t>
      </w:r>
      <w:r w:rsidR="00706A70">
        <w:t>”</w:t>
      </w:r>
      <w:r w:rsidR="00B44B83">
        <w:t xml:space="preserve">  </w:t>
      </w:r>
      <w:r w:rsidR="007D34DB">
        <w:t>Her</w:t>
      </w:r>
      <w:r>
        <w:t xml:space="preserve"> </w:t>
      </w:r>
      <w:r w:rsidR="00DC52B1">
        <w:t xml:space="preserve">reliance on </w:t>
      </w:r>
      <w:r w:rsidR="00DC52B1" w:rsidRPr="00F929D0">
        <w:rPr>
          <w:i/>
          <w:iCs/>
        </w:rPr>
        <w:t>In re</w:t>
      </w:r>
      <w:r w:rsidR="00DC52B1">
        <w:t xml:space="preserve"> </w:t>
      </w:r>
      <w:r w:rsidR="00DC52B1" w:rsidRPr="00732022">
        <w:rPr>
          <w:i/>
          <w:iCs/>
        </w:rPr>
        <w:t>Sheena K</w:t>
      </w:r>
      <w:r w:rsidR="00DC52B1">
        <w:t xml:space="preserve">. (2007) 40 Cal.4th 875 for </w:t>
      </w:r>
      <w:r w:rsidR="007D34DB">
        <w:t>this</w:t>
      </w:r>
      <w:r w:rsidR="00DC52B1">
        <w:t xml:space="preserve"> assertion</w:t>
      </w:r>
      <w:r>
        <w:t xml:space="preserve"> </w:t>
      </w:r>
      <w:r w:rsidR="00DC52B1">
        <w:t>is misplaced</w:t>
      </w:r>
      <w:r w:rsidR="00F929D0">
        <w:t>.</w:t>
      </w:r>
      <w:r w:rsidR="00B44B83">
        <w:t xml:space="preserve">  </w:t>
      </w:r>
      <w:r w:rsidR="00DC52B1">
        <w:t xml:space="preserve">In </w:t>
      </w:r>
      <w:r w:rsidR="00B93F2C">
        <w:t>that case,</w:t>
      </w:r>
      <w:r w:rsidR="00DC52B1">
        <w:t xml:space="preserve"> </w:t>
      </w:r>
      <w:r w:rsidR="00F929D0">
        <w:t>our Supreme Court held a juvenile could present a constitutional challenge to a probation condition</w:t>
      </w:r>
      <w:r w:rsidR="00DC52B1">
        <w:t xml:space="preserve"> on direct appeal</w:t>
      </w:r>
      <w:r w:rsidR="00F929D0">
        <w:t xml:space="preserve"> </w:t>
      </w:r>
      <w:r w:rsidR="00DC52B1">
        <w:t>as it</w:t>
      </w:r>
      <w:r w:rsidR="00F929D0">
        <w:t xml:space="preserve"> presented “a pure question of law, easily remediable on appeal by modification of the condition.”  (</w:t>
      </w:r>
      <w:r w:rsidR="00F929D0" w:rsidRPr="00EA7985">
        <w:rPr>
          <w:i/>
          <w:iCs/>
        </w:rPr>
        <w:t>Id</w:t>
      </w:r>
      <w:r w:rsidR="00F929D0">
        <w:t xml:space="preserve">. at p. 888.)  </w:t>
      </w:r>
      <w:r w:rsidR="00DC52B1">
        <w:t>However,</w:t>
      </w:r>
      <w:r w:rsidR="00BF61CD">
        <w:t xml:space="preserve"> the court did </w:t>
      </w:r>
      <w:r w:rsidR="00BF61CD" w:rsidRPr="00715A09">
        <w:rPr>
          <w:i/>
          <w:iCs/>
        </w:rPr>
        <w:t>not</w:t>
      </w:r>
      <w:r w:rsidR="00BF61CD">
        <w:t xml:space="preserve"> conclude “that </w:t>
      </w:r>
      <w:r w:rsidR="006F1FDD">
        <w:t>‘all constitutional defects in conditions of probation may be raised for the first time on appeal, since there may be circumstances that do not present “pure questions of law that can be resolved without reference to the particular sentencing record developed in the trial court.”  [Citation.]  In those circumstances, “[t]</w:t>
      </w:r>
      <w:proofErr w:type="spellStart"/>
      <w:r w:rsidR="00996683">
        <w:t>raditional</w:t>
      </w:r>
      <w:proofErr w:type="spellEnd"/>
      <w:r w:rsidR="006F1FDD">
        <w:t xml:space="preserve"> objection and waiver principles encourage development of the record and a proper exercise of discretion in the trial court.</w:t>
      </w:r>
      <w:proofErr w:type="gramStart"/>
      <w:r w:rsidR="006F1FDD">
        <w:t>”</w:t>
      </w:r>
      <w:r w:rsidR="00D27796">
        <w:t> ’</w:t>
      </w:r>
      <w:proofErr w:type="gramEnd"/>
      <w:r w:rsidR="00D27796">
        <w:t> ”  (</w:t>
      </w:r>
      <w:r w:rsidR="00D27796" w:rsidRPr="00D27796">
        <w:rPr>
          <w:i/>
          <w:iCs/>
        </w:rPr>
        <w:t>I</w:t>
      </w:r>
      <w:r w:rsidR="00E47A95">
        <w:rPr>
          <w:i/>
          <w:iCs/>
        </w:rPr>
        <w:t>d</w:t>
      </w:r>
      <w:r w:rsidR="00E47A95" w:rsidRPr="002C3795">
        <w:t>. at p. 889</w:t>
      </w:r>
      <w:r w:rsidR="00D27796">
        <w:t>.)</w:t>
      </w:r>
      <w:r w:rsidR="006F1FDD">
        <w:t xml:space="preserve">  </w:t>
      </w:r>
      <w:r w:rsidR="0088471A">
        <w:t>Simply put</w:t>
      </w:r>
      <w:r w:rsidR="00EA7985">
        <w:t xml:space="preserve">, </w:t>
      </w:r>
      <w:r>
        <w:t xml:space="preserve">Lashon’s claim for relief does not fall under the </w:t>
      </w:r>
      <w:r w:rsidR="00B93F2C" w:rsidRPr="00F929D0">
        <w:rPr>
          <w:i/>
          <w:iCs/>
        </w:rPr>
        <w:t>In re</w:t>
      </w:r>
      <w:r w:rsidR="00B93F2C">
        <w:t xml:space="preserve"> </w:t>
      </w:r>
      <w:r w:rsidRPr="00732022">
        <w:rPr>
          <w:i/>
          <w:iCs/>
        </w:rPr>
        <w:t>Sheena K.</w:t>
      </w:r>
      <w:r>
        <w:t xml:space="preserve"> exception because it does not present a pure </w:t>
      </w:r>
      <w:r>
        <w:lastRenderedPageBreak/>
        <w:t>question of law that can be resolved</w:t>
      </w:r>
      <w:r w:rsidR="00881976">
        <w:t xml:space="preserve"> without consideration</w:t>
      </w:r>
      <w:r w:rsidR="009F6298">
        <w:t xml:space="preserve"> as</w:t>
      </w:r>
      <w:r w:rsidR="00881976">
        <w:t xml:space="preserve"> to what occurred during the trial and sentencing proceedings. </w:t>
      </w:r>
      <w:r>
        <w:t xml:space="preserve"> </w:t>
      </w:r>
    </w:p>
    <w:p w14:paraId="0D578AE6" w14:textId="10C1B6E9" w:rsidR="009C2493" w:rsidRDefault="00873944" w:rsidP="002F7101">
      <w:pPr>
        <w:spacing w:line="360" w:lineRule="auto"/>
      </w:pPr>
      <w:r>
        <w:tab/>
      </w:r>
      <w:r w:rsidR="006F1FDD">
        <w:t>Lashon</w:t>
      </w:r>
      <w:r w:rsidR="00EA7985">
        <w:t xml:space="preserve"> also argues the fo</w:t>
      </w:r>
      <w:r w:rsidR="006F1FDD">
        <w:t xml:space="preserve">rfeiture </w:t>
      </w:r>
      <w:r w:rsidR="00EA7985">
        <w:t xml:space="preserve">rule should not be applied </w:t>
      </w:r>
      <w:r w:rsidR="006F1FDD">
        <w:t xml:space="preserve">because she did not have a meaningful opportunity to </w:t>
      </w:r>
      <w:r w:rsidR="00B93F2C">
        <w:t xml:space="preserve">raise a </w:t>
      </w:r>
      <w:proofErr w:type="spellStart"/>
      <w:r w:rsidR="00B93F2C">
        <w:t>CRJA</w:t>
      </w:r>
      <w:proofErr w:type="spellEnd"/>
      <w:r w:rsidR="00B93F2C">
        <w:t xml:space="preserve"> claim</w:t>
      </w:r>
      <w:r w:rsidR="006F1FDD">
        <w:t xml:space="preserve"> at trial.</w:t>
      </w:r>
      <w:r w:rsidR="00035B6E">
        <w:t xml:space="preserve">  </w:t>
      </w:r>
      <w:r w:rsidR="006F1FDD">
        <w:t>According to Lashon,</w:t>
      </w:r>
      <w:r w:rsidR="00EA7985">
        <w:t xml:space="preserve"> there were no obvious signs of racial bias by the </w:t>
      </w:r>
      <w:r w:rsidR="00C52A95">
        <w:t>t</w:t>
      </w:r>
      <w:r w:rsidR="00EA7985">
        <w:t>rial judge “[u]</w:t>
      </w:r>
      <w:proofErr w:type="spellStart"/>
      <w:r w:rsidR="00996683">
        <w:t>n</w:t>
      </w:r>
      <w:r w:rsidR="00721EAB">
        <w:t>t</w:t>
      </w:r>
      <w:r w:rsidR="00996683">
        <w:t>il</w:t>
      </w:r>
      <w:proofErr w:type="spellEnd"/>
      <w:r w:rsidR="006F1FDD">
        <w:t xml:space="preserve"> the African American defense attorney corrected the judge on her misassumption that the attorney had not followed the correct procedure on a subpoena duces tecum for medical records of a victim</w:t>
      </w:r>
      <w:r w:rsidR="00EA7985">
        <w:t>.”</w:t>
      </w:r>
      <w:r w:rsidR="00B44B83">
        <w:t xml:space="preserve">  </w:t>
      </w:r>
      <w:r w:rsidR="00EA7985">
        <w:t>“However, on</w:t>
      </w:r>
      <w:r w:rsidR="006F1FDD">
        <w:t>ce this judge felt challenged by this attorney of color, both she and her client be</w:t>
      </w:r>
      <w:r w:rsidR="00BF61CD">
        <w:t>came</w:t>
      </w:r>
      <w:r w:rsidR="006F1FDD">
        <w:t xml:space="preserve"> targets of increasing hostility.  This behavior seems most likely explained by the implicit bias held by the judge which was unleashed only after she felt her authority</w:t>
      </w:r>
      <w:r w:rsidR="009F6298">
        <w:t xml:space="preserve"> </w:t>
      </w:r>
      <w:r w:rsidR="006F1FDD">
        <w:t>questioned.  When the trial attorney did object to the trial court’s behavior</w:t>
      </w:r>
      <w:r w:rsidR="00706A70">
        <w:t>s,</w:t>
      </w:r>
      <w:r w:rsidR="006F1FDD">
        <w:t xml:space="preserve"> she was met with denials and greater hostility.”</w:t>
      </w:r>
      <w:r w:rsidR="00B44B83">
        <w:t xml:space="preserve">  </w:t>
      </w:r>
      <w:r w:rsidR="006F1FDD">
        <w:t>We find th</w:t>
      </w:r>
      <w:r w:rsidR="00EA7985">
        <w:t xml:space="preserve">is </w:t>
      </w:r>
      <w:r w:rsidR="006F1FDD">
        <w:t>argument unavailing</w:t>
      </w:r>
      <w:r w:rsidR="004671EB">
        <w:t xml:space="preserve"> as Lashon has not demonstrated </w:t>
      </w:r>
      <w:r w:rsidR="0088471A">
        <w:t xml:space="preserve">she could not object or </w:t>
      </w:r>
      <w:r w:rsidR="004671EB">
        <w:t xml:space="preserve">an objection would have been futile.  </w:t>
      </w:r>
      <w:r w:rsidR="00EA7985">
        <w:t xml:space="preserve">Even if </w:t>
      </w:r>
      <w:r w:rsidR="00D51D78">
        <w:t xml:space="preserve">her </w:t>
      </w:r>
      <w:r w:rsidR="004671EB">
        <w:t xml:space="preserve">trial </w:t>
      </w:r>
      <w:r w:rsidR="00EA7985">
        <w:t xml:space="preserve">counsel did not want to antagonize the trial judge during the trial, a section 745 motion could have been filed </w:t>
      </w:r>
      <w:r w:rsidR="00DF0180">
        <w:t xml:space="preserve">immediately after the </w:t>
      </w:r>
      <w:r w:rsidR="0057437B">
        <w:t xml:space="preserve">trial judge gave her </w:t>
      </w:r>
      <w:r w:rsidR="00DF0180">
        <w:t xml:space="preserve">reasons for </w:t>
      </w:r>
      <w:r w:rsidR="009858F5">
        <w:t>choosing the</w:t>
      </w:r>
      <w:r w:rsidR="00DF0180">
        <w:t xml:space="preserve"> sentence</w:t>
      </w:r>
      <w:r w:rsidR="009858F5">
        <w:t xml:space="preserve"> she was about to impose</w:t>
      </w:r>
      <w:r w:rsidR="00DF0180">
        <w:t xml:space="preserve">. </w:t>
      </w:r>
      <w:r w:rsidR="009858F5">
        <w:t xml:space="preserve"> </w:t>
      </w:r>
      <w:r w:rsidR="00EA7985">
        <w:t xml:space="preserve">(See, e.g., </w:t>
      </w:r>
      <w:r w:rsidR="00EA7985" w:rsidRPr="00BE5197">
        <w:rPr>
          <w:i/>
          <w:iCs/>
        </w:rPr>
        <w:t>People v. Garcia</w:t>
      </w:r>
      <w:r w:rsidR="00EA7985">
        <w:t xml:space="preserve"> (2022) 85 Cal.App.5th 290, 295–298 (</w:t>
      </w:r>
      <w:r w:rsidR="00EA7985" w:rsidRPr="002E3CE6">
        <w:rPr>
          <w:i/>
          <w:iCs/>
        </w:rPr>
        <w:t>Garcia</w:t>
      </w:r>
      <w:r w:rsidR="00EA7985">
        <w:t>)</w:t>
      </w:r>
      <w:r>
        <w:rPr>
          <w:rStyle w:val="FootnoteReference"/>
        </w:rPr>
        <w:footnoteReference w:id="5"/>
      </w:r>
      <w:r w:rsidR="00EA7985">
        <w:t xml:space="preserve"> [trial court abused its </w:t>
      </w:r>
      <w:r w:rsidR="00EA7985">
        <w:lastRenderedPageBreak/>
        <w:t>discretion in denying request for continuance of sentencing to allow defendant time to prepare a motion for substantive relief under § 745]</w:t>
      </w:r>
      <w:r w:rsidR="004671EB">
        <w:t>.)</w:t>
      </w:r>
      <w:r>
        <w:rPr>
          <w:rStyle w:val="FootnoteReference"/>
        </w:rPr>
        <w:footnoteReference w:id="6"/>
      </w:r>
      <w:r w:rsidR="00DB78E5">
        <w:t xml:space="preserve"> </w:t>
      </w:r>
    </w:p>
    <w:p w14:paraId="73A3019B" w14:textId="192D43C9" w:rsidR="00363442" w:rsidRDefault="00873944" w:rsidP="002F7101">
      <w:pPr>
        <w:spacing w:line="360" w:lineRule="auto"/>
      </w:pPr>
      <w:r>
        <w:tab/>
        <w:t xml:space="preserve">We therefore affirm the judgment as </w:t>
      </w:r>
      <w:r w:rsidR="00D51D78">
        <w:t>Lashon</w:t>
      </w:r>
      <w:r w:rsidR="002932EF">
        <w:t xml:space="preserve"> has forfeited her appellate claim for relief under section</w:t>
      </w:r>
      <w:r>
        <w:t> </w:t>
      </w:r>
      <w:r w:rsidR="002932EF">
        <w:t xml:space="preserve">745.  </w:t>
      </w:r>
      <w:r>
        <w:t xml:space="preserve">In light of our determination, </w:t>
      </w:r>
      <w:r w:rsidR="00D51D78">
        <w:t xml:space="preserve">we do not </w:t>
      </w:r>
      <w:r w:rsidR="00D51D78" w:rsidRPr="009858F5">
        <w:rPr>
          <w:szCs w:val="26"/>
        </w:rPr>
        <w:t xml:space="preserve">address </w:t>
      </w:r>
      <w:r w:rsidR="005549CB" w:rsidRPr="009858F5">
        <w:rPr>
          <w:szCs w:val="26"/>
        </w:rPr>
        <w:t>her substantive argument t</w:t>
      </w:r>
      <w:r w:rsidR="00D51D78" w:rsidRPr="009858F5">
        <w:rPr>
          <w:szCs w:val="26"/>
        </w:rPr>
        <w:t xml:space="preserve">hat portions of the trial and sentencing proceedings cited in her opening brief constitute </w:t>
      </w:r>
      <w:proofErr w:type="gramStart"/>
      <w:r w:rsidR="00D51D78" w:rsidRPr="009858F5">
        <w:rPr>
          <w:szCs w:val="26"/>
        </w:rPr>
        <w:t>a prima facie</w:t>
      </w:r>
      <w:proofErr w:type="gramEnd"/>
      <w:r w:rsidR="00D51D78" w:rsidRPr="009858F5">
        <w:rPr>
          <w:szCs w:val="26"/>
        </w:rPr>
        <w:t xml:space="preserve"> showing for relief</w:t>
      </w:r>
      <w:r w:rsidR="00112DBE" w:rsidRPr="009858F5">
        <w:rPr>
          <w:szCs w:val="26"/>
        </w:rPr>
        <w:t xml:space="preserve">, and we deny her request to remand the matter </w:t>
      </w:r>
      <w:r w:rsidR="00D51D78" w:rsidRPr="009858F5">
        <w:rPr>
          <w:szCs w:val="26"/>
        </w:rPr>
        <w:t xml:space="preserve">to the superior court for an evidentiary hearing. </w:t>
      </w:r>
      <w:r w:rsidR="00035B6E">
        <w:rPr>
          <w:szCs w:val="26"/>
        </w:rPr>
        <w:t xml:space="preserve"> </w:t>
      </w:r>
      <w:r w:rsidR="00084CB7" w:rsidRPr="009858F5">
        <w:rPr>
          <w:szCs w:val="26"/>
        </w:rPr>
        <w:t>We also deny her separate motion to stay the appeal and for a limited remand to permit further factual development of the appellate record</w:t>
      </w:r>
      <w:r w:rsidR="009858F5" w:rsidRPr="009858F5">
        <w:rPr>
          <w:szCs w:val="26"/>
        </w:rPr>
        <w:t xml:space="preserve"> as Lashon had the opportunity to make a section 745 motion in the trial court but failed to do so.  (Cf. </w:t>
      </w:r>
      <w:r w:rsidR="009858F5" w:rsidRPr="009858F5">
        <w:rPr>
          <w:i/>
          <w:iCs/>
          <w:szCs w:val="26"/>
        </w:rPr>
        <w:t>People v. Martinez</w:t>
      </w:r>
      <w:r w:rsidR="009858F5" w:rsidRPr="009858F5">
        <w:rPr>
          <w:szCs w:val="26"/>
        </w:rPr>
        <w:t xml:space="preserve"> (2019) 31 Cal.App.</w:t>
      </w:r>
      <w:r w:rsidR="00F9477C">
        <w:rPr>
          <w:szCs w:val="26"/>
        </w:rPr>
        <w:t>5th</w:t>
      </w:r>
      <w:r w:rsidR="009858F5" w:rsidRPr="009858F5">
        <w:rPr>
          <w:szCs w:val="26"/>
        </w:rPr>
        <w:t xml:space="preserve"> 719, 729.) </w:t>
      </w:r>
    </w:p>
    <w:p w14:paraId="3EBF1F4B" w14:textId="229D7FDC" w:rsidR="009B7B57" w:rsidRPr="000A76F7" w:rsidRDefault="00873944" w:rsidP="000A76F7">
      <w:pPr>
        <w:spacing w:line="360" w:lineRule="auto"/>
      </w:pPr>
      <w:r>
        <w:tab/>
      </w:r>
      <w:r w:rsidR="00F968DC">
        <w:t>Finally, we note</w:t>
      </w:r>
      <w:r>
        <w:t xml:space="preserve"> that Lashon indicates that if we find she has forfeited her section 745 claim on direct appeal, she </w:t>
      </w:r>
      <w:r w:rsidR="000A76F7">
        <w:t>may pursue</w:t>
      </w:r>
      <w:r>
        <w:t xml:space="preserve"> </w:t>
      </w:r>
      <w:r w:rsidR="000A76F7">
        <w:t>the</w:t>
      </w:r>
      <w:r>
        <w:t xml:space="preserve"> filing </w:t>
      </w:r>
      <w:r w:rsidR="000A76F7">
        <w:t xml:space="preserve">of </w:t>
      </w:r>
      <w:r>
        <w:t xml:space="preserve">a petition for writ of habeas corpus. </w:t>
      </w:r>
      <w:r w:rsidR="009858F5">
        <w:t xml:space="preserve"> </w:t>
      </w:r>
      <w:r w:rsidR="00C0266F">
        <w:t xml:space="preserve">While our </w:t>
      </w:r>
      <w:r>
        <w:t xml:space="preserve">decision should not be read as foreclosing Lashon from filing </w:t>
      </w:r>
      <w:r w:rsidR="00475CCD">
        <w:t>a petition for writ of habeas corpus in a court of competent jurisdiction</w:t>
      </w:r>
      <w:r w:rsidR="00C0266F">
        <w:t>,</w:t>
      </w:r>
      <w:r>
        <w:t xml:space="preserve"> we express no opinion on</w:t>
      </w:r>
      <w:r w:rsidR="00C0266F">
        <w:t xml:space="preserve"> the timing, </w:t>
      </w:r>
      <w:r>
        <w:t xml:space="preserve">the issues </w:t>
      </w:r>
      <w:r>
        <w:lastRenderedPageBreak/>
        <w:t>that may be presented</w:t>
      </w:r>
      <w:r w:rsidR="00C0266F">
        <w:t>,</w:t>
      </w:r>
      <w:r>
        <w:t xml:space="preserve"> or the appropriate outcome of any petition that Lashon may file.</w:t>
      </w:r>
    </w:p>
    <w:p w14:paraId="2875C247" w14:textId="2D49D269" w:rsidR="005B18AF" w:rsidRPr="00B44B83" w:rsidRDefault="00873944" w:rsidP="006612ED">
      <w:pPr>
        <w:spacing w:line="360" w:lineRule="auto"/>
        <w:jc w:val="center"/>
        <w:rPr>
          <w:smallCaps/>
        </w:rPr>
      </w:pPr>
      <w:r>
        <w:rPr>
          <w:b/>
          <w:smallCaps/>
        </w:rPr>
        <w:t>Disposition</w:t>
      </w:r>
    </w:p>
    <w:p w14:paraId="1206A985" w14:textId="0E915F6E" w:rsidR="00F3321C" w:rsidRDefault="00873944" w:rsidP="00140484">
      <w:pPr>
        <w:spacing w:line="360" w:lineRule="auto"/>
      </w:pPr>
      <w:r>
        <w:tab/>
      </w:r>
      <w:r w:rsidR="0083750F" w:rsidRPr="00701355">
        <w:t>The judgment is affirmed</w:t>
      </w:r>
      <w:r w:rsidR="0083750F">
        <w:t>.</w:t>
      </w:r>
    </w:p>
    <w:p w14:paraId="7A06AC97" w14:textId="44C5C80C" w:rsidR="00B44B83" w:rsidRDefault="00873944">
      <w:pPr>
        <w:tabs>
          <w:tab w:val="clear" w:pos="720"/>
        </w:tabs>
        <w:spacing w:after="160" w:line="259" w:lineRule="auto"/>
      </w:pPr>
      <w:r>
        <w:br w:type="page"/>
      </w:r>
    </w:p>
    <w:p w14:paraId="72984D39" w14:textId="3D6A67D5" w:rsidR="00B44B83" w:rsidRDefault="00B44B83" w:rsidP="00B44B83">
      <w:pPr>
        <w:spacing w:line="240" w:lineRule="auto"/>
      </w:pPr>
    </w:p>
    <w:p w14:paraId="361E256E" w14:textId="274E3097" w:rsidR="00B44B83" w:rsidRDefault="00873944" w:rsidP="00B44B83">
      <w:pPr>
        <w:spacing w:line="240" w:lineRule="auto"/>
      </w:pPr>
      <w:r>
        <w:tab/>
      </w:r>
      <w:r>
        <w:tab/>
      </w:r>
      <w:r>
        <w:tab/>
      </w:r>
      <w:r>
        <w:tab/>
      </w:r>
      <w:r>
        <w:tab/>
      </w:r>
      <w:r>
        <w:tab/>
      </w:r>
      <w:r>
        <w:tab/>
        <w:t>_________________________</w:t>
      </w:r>
    </w:p>
    <w:p w14:paraId="7DAACF7E" w14:textId="64C08EF6" w:rsidR="00B44B83" w:rsidRDefault="00873944" w:rsidP="00B44B83">
      <w:pPr>
        <w:spacing w:line="240" w:lineRule="auto"/>
      </w:pPr>
      <w:r>
        <w:tab/>
      </w:r>
      <w:r>
        <w:tab/>
      </w:r>
      <w:r>
        <w:tab/>
      </w:r>
      <w:r>
        <w:tab/>
      </w:r>
      <w:r>
        <w:tab/>
      </w:r>
      <w:r>
        <w:tab/>
      </w:r>
      <w:r>
        <w:tab/>
      </w:r>
      <w:proofErr w:type="spellStart"/>
      <w:r>
        <w:t>Petrou</w:t>
      </w:r>
      <w:proofErr w:type="spellEnd"/>
      <w:r>
        <w:t>, J.</w:t>
      </w:r>
    </w:p>
    <w:p w14:paraId="4A396508" w14:textId="16E5D2CE" w:rsidR="00B44B83" w:rsidRDefault="00B44B83" w:rsidP="00B44B83">
      <w:pPr>
        <w:spacing w:line="240" w:lineRule="auto"/>
      </w:pPr>
    </w:p>
    <w:p w14:paraId="09D4D5B9" w14:textId="4517C61D" w:rsidR="00B44B83" w:rsidRDefault="00B44B83" w:rsidP="00B44B83">
      <w:pPr>
        <w:spacing w:line="240" w:lineRule="auto"/>
      </w:pPr>
    </w:p>
    <w:p w14:paraId="3C18314F" w14:textId="3676538A" w:rsidR="00B44B83" w:rsidRDefault="00873944" w:rsidP="00B44B83">
      <w:pPr>
        <w:spacing w:line="240" w:lineRule="auto"/>
      </w:pPr>
      <w:r>
        <w:t>WE CONCUR:</w:t>
      </w:r>
    </w:p>
    <w:p w14:paraId="746FAB4C" w14:textId="7B0B7E76" w:rsidR="00B44B83" w:rsidRDefault="00B44B83" w:rsidP="00B44B83">
      <w:pPr>
        <w:spacing w:line="240" w:lineRule="auto"/>
      </w:pPr>
    </w:p>
    <w:p w14:paraId="02FF7ED0" w14:textId="1EB0B47A" w:rsidR="00B44B83" w:rsidRDefault="00B44B83" w:rsidP="00B44B83">
      <w:pPr>
        <w:spacing w:line="240" w:lineRule="auto"/>
      </w:pPr>
    </w:p>
    <w:p w14:paraId="7C0867AA" w14:textId="1AA94704" w:rsidR="00B44B83" w:rsidRDefault="00873944" w:rsidP="00B44B83">
      <w:pPr>
        <w:spacing w:line="240" w:lineRule="auto"/>
      </w:pPr>
      <w:r>
        <w:t>_________________________</w:t>
      </w:r>
    </w:p>
    <w:p w14:paraId="6B161C0C" w14:textId="10934931" w:rsidR="00B44B83" w:rsidRDefault="00873944" w:rsidP="00B44B83">
      <w:pPr>
        <w:spacing w:line="240" w:lineRule="auto"/>
      </w:pPr>
      <w:proofErr w:type="spellStart"/>
      <w:r>
        <w:t>Tucher</w:t>
      </w:r>
      <w:proofErr w:type="spellEnd"/>
      <w:r>
        <w:t>, P.J.</w:t>
      </w:r>
    </w:p>
    <w:p w14:paraId="7D6B9465" w14:textId="2328DE5B" w:rsidR="00B44B83" w:rsidRDefault="00B44B83" w:rsidP="00B44B83">
      <w:pPr>
        <w:spacing w:line="240" w:lineRule="auto"/>
      </w:pPr>
    </w:p>
    <w:p w14:paraId="71E6FFAE" w14:textId="45EBA002" w:rsidR="00B44B83" w:rsidRDefault="00B44B83" w:rsidP="00B44B83">
      <w:pPr>
        <w:spacing w:line="240" w:lineRule="auto"/>
      </w:pPr>
    </w:p>
    <w:p w14:paraId="7B6658D8" w14:textId="5186EF31" w:rsidR="00B44B83" w:rsidRPr="005F3F50" w:rsidRDefault="00873944" w:rsidP="00B44B83">
      <w:pPr>
        <w:spacing w:line="240" w:lineRule="auto"/>
        <w:rPr>
          <w:lang w:val="es-MX"/>
        </w:rPr>
      </w:pPr>
      <w:r w:rsidRPr="005F3F50">
        <w:rPr>
          <w:lang w:val="es-MX"/>
        </w:rPr>
        <w:t>_________________________</w:t>
      </w:r>
    </w:p>
    <w:p w14:paraId="409315A6" w14:textId="0EDCF50E" w:rsidR="00B44B83" w:rsidRPr="005F3F50" w:rsidRDefault="00873944" w:rsidP="00B44B83">
      <w:pPr>
        <w:spacing w:line="240" w:lineRule="auto"/>
        <w:rPr>
          <w:lang w:val="es-MX"/>
        </w:rPr>
      </w:pPr>
      <w:r w:rsidRPr="005F3F50">
        <w:rPr>
          <w:lang w:val="es-MX"/>
        </w:rPr>
        <w:t>Rodríguez, J.</w:t>
      </w:r>
    </w:p>
    <w:p w14:paraId="4DB1C731" w14:textId="58981E2D" w:rsidR="00B44B83" w:rsidRPr="005F3F50" w:rsidRDefault="00B44B83" w:rsidP="00B44B83">
      <w:pPr>
        <w:spacing w:line="240" w:lineRule="auto"/>
        <w:rPr>
          <w:lang w:val="es-MX"/>
        </w:rPr>
      </w:pPr>
    </w:p>
    <w:p w14:paraId="5ECA8EE5" w14:textId="03C10FC2" w:rsidR="00B44B83" w:rsidRPr="005F3F50" w:rsidRDefault="00B44B83" w:rsidP="00B44B83">
      <w:pPr>
        <w:spacing w:line="240" w:lineRule="auto"/>
        <w:rPr>
          <w:lang w:val="es-MX"/>
        </w:rPr>
      </w:pPr>
    </w:p>
    <w:p w14:paraId="20863F2C" w14:textId="4824F932" w:rsidR="00B44B83" w:rsidRPr="005F3F50" w:rsidRDefault="00B44B83" w:rsidP="00B44B83">
      <w:pPr>
        <w:spacing w:line="240" w:lineRule="auto"/>
        <w:rPr>
          <w:lang w:val="es-MX"/>
        </w:rPr>
      </w:pPr>
    </w:p>
    <w:p w14:paraId="4D78CD9A" w14:textId="57E7863E" w:rsidR="00B44B83" w:rsidRPr="005F3F50" w:rsidRDefault="00B44B83" w:rsidP="00B44B83">
      <w:pPr>
        <w:spacing w:line="240" w:lineRule="auto"/>
        <w:rPr>
          <w:lang w:val="es-MX"/>
        </w:rPr>
      </w:pPr>
    </w:p>
    <w:p w14:paraId="6815CE77" w14:textId="7E19B4DF" w:rsidR="00B44B83" w:rsidRPr="005F3F50" w:rsidRDefault="00B44B83" w:rsidP="00B44B83">
      <w:pPr>
        <w:spacing w:line="240" w:lineRule="auto"/>
        <w:rPr>
          <w:lang w:val="es-MX"/>
        </w:rPr>
      </w:pPr>
    </w:p>
    <w:p w14:paraId="3B3CB870" w14:textId="623C6BEC" w:rsidR="00B44B83" w:rsidRPr="005F3F50" w:rsidRDefault="00B44B83" w:rsidP="00B44B83">
      <w:pPr>
        <w:spacing w:line="240" w:lineRule="auto"/>
        <w:rPr>
          <w:lang w:val="es-MX"/>
        </w:rPr>
      </w:pPr>
    </w:p>
    <w:p w14:paraId="43052BB4" w14:textId="4022DDA7" w:rsidR="00B44B83" w:rsidRPr="005F3F50" w:rsidRDefault="00B44B83" w:rsidP="00B44B83">
      <w:pPr>
        <w:spacing w:line="240" w:lineRule="auto"/>
        <w:rPr>
          <w:lang w:val="es-MX"/>
        </w:rPr>
      </w:pPr>
    </w:p>
    <w:p w14:paraId="149E1FC5" w14:textId="6F16E0C7" w:rsidR="00B44B83" w:rsidRPr="005F3F50" w:rsidRDefault="00B44B83" w:rsidP="00B44B83">
      <w:pPr>
        <w:spacing w:line="240" w:lineRule="auto"/>
        <w:rPr>
          <w:lang w:val="es-MX"/>
        </w:rPr>
      </w:pPr>
    </w:p>
    <w:p w14:paraId="5BBA21DC" w14:textId="3D094CF5" w:rsidR="00B44B83" w:rsidRPr="005F3F50" w:rsidRDefault="00B44B83" w:rsidP="00B44B83">
      <w:pPr>
        <w:spacing w:line="240" w:lineRule="auto"/>
        <w:rPr>
          <w:lang w:val="es-MX"/>
        </w:rPr>
      </w:pPr>
    </w:p>
    <w:p w14:paraId="28DA2DAB" w14:textId="4FC84E0C" w:rsidR="00B44B83" w:rsidRPr="005F3F50" w:rsidRDefault="00B44B83" w:rsidP="00B44B83">
      <w:pPr>
        <w:spacing w:line="240" w:lineRule="auto"/>
        <w:rPr>
          <w:lang w:val="es-MX"/>
        </w:rPr>
      </w:pPr>
    </w:p>
    <w:p w14:paraId="5267141A" w14:textId="4558F147" w:rsidR="00B44B83" w:rsidRPr="005F3F50" w:rsidRDefault="00B44B83" w:rsidP="00B44B83">
      <w:pPr>
        <w:spacing w:line="240" w:lineRule="auto"/>
        <w:rPr>
          <w:lang w:val="es-MX"/>
        </w:rPr>
      </w:pPr>
    </w:p>
    <w:p w14:paraId="002D180C" w14:textId="313F2372" w:rsidR="00B44B83" w:rsidRPr="005F3F50" w:rsidRDefault="00B44B83" w:rsidP="00B44B83">
      <w:pPr>
        <w:spacing w:line="240" w:lineRule="auto"/>
        <w:rPr>
          <w:lang w:val="es-MX"/>
        </w:rPr>
      </w:pPr>
    </w:p>
    <w:p w14:paraId="5E3FA940" w14:textId="7ECDCAFA" w:rsidR="00B44B83" w:rsidRPr="005F3F50" w:rsidRDefault="00B44B83" w:rsidP="00B44B83">
      <w:pPr>
        <w:spacing w:line="240" w:lineRule="auto"/>
        <w:rPr>
          <w:lang w:val="es-MX"/>
        </w:rPr>
      </w:pPr>
    </w:p>
    <w:p w14:paraId="37F0D786" w14:textId="6BB04E8D" w:rsidR="00B44B83" w:rsidRPr="005F3F50" w:rsidRDefault="00B44B83" w:rsidP="00B44B83">
      <w:pPr>
        <w:spacing w:line="240" w:lineRule="auto"/>
        <w:rPr>
          <w:lang w:val="es-MX"/>
        </w:rPr>
      </w:pPr>
    </w:p>
    <w:p w14:paraId="65C2637E" w14:textId="4C18CCAF" w:rsidR="00B44B83" w:rsidRPr="005F3F50" w:rsidRDefault="00B44B83" w:rsidP="00B44B83">
      <w:pPr>
        <w:spacing w:line="240" w:lineRule="auto"/>
        <w:rPr>
          <w:lang w:val="es-MX"/>
        </w:rPr>
      </w:pPr>
    </w:p>
    <w:p w14:paraId="6E7131CF" w14:textId="615BBEE6" w:rsidR="00B44B83" w:rsidRPr="005F3F50" w:rsidRDefault="00B44B83" w:rsidP="00B44B83">
      <w:pPr>
        <w:spacing w:line="240" w:lineRule="auto"/>
        <w:rPr>
          <w:lang w:val="es-MX"/>
        </w:rPr>
      </w:pPr>
    </w:p>
    <w:p w14:paraId="17B769D4" w14:textId="789CEA86" w:rsidR="00B44B83" w:rsidRPr="005F3F50" w:rsidRDefault="00B44B83" w:rsidP="00B44B83">
      <w:pPr>
        <w:spacing w:line="240" w:lineRule="auto"/>
        <w:rPr>
          <w:lang w:val="es-MX"/>
        </w:rPr>
      </w:pPr>
    </w:p>
    <w:p w14:paraId="36DE1FE0" w14:textId="58B6403D" w:rsidR="00B44B83" w:rsidRPr="005F3F50" w:rsidRDefault="00B44B83" w:rsidP="00B44B83">
      <w:pPr>
        <w:spacing w:line="240" w:lineRule="auto"/>
        <w:rPr>
          <w:lang w:val="es-MX"/>
        </w:rPr>
      </w:pPr>
    </w:p>
    <w:p w14:paraId="62CB46B0" w14:textId="2529C91F" w:rsidR="00B44B83" w:rsidRPr="005F3F50" w:rsidRDefault="00B44B83" w:rsidP="00B44B83">
      <w:pPr>
        <w:spacing w:line="240" w:lineRule="auto"/>
        <w:rPr>
          <w:lang w:val="es-MX"/>
        </w:rPr>
      </w:pPr>
    </w:p>
    <w:p w14:paraId="4F158380" w14:textId="2FD89E7D" w:rsidR="00B44B83" w:rsidRPr="005F3F50" w:rsidRDefault="00B44B83" w:rsidP="00B44B83">
      <w:pPr>
        <w:spacing w:line="240" w:lineRule="auto"/>
        <w:rPr>
          <w:lang w:val="es-MX"/>
        </w:rPr>
      </w:pPr>
    </w:p>
    <w:p w14:paraId="2444E2F9" w14:textId="58FAA228" w:rsidR="00B44B83" w:rsidRPr="005F3F50" w:rsidRDefault="00B44B83" w:rsidP="00B44B83">
      <w:pPr>
        <w:spacing w:line="240" w:lineRule="auto"/>
        <w:rPr>
          <w:lang w:val="es-MX"/>
        </w:rPr>
      </w:pPr>
    </w:p>
    <w:p w14:paraId="222BB166" w14:textId="71CEDCD1" w:rsidR="00B44B83" w:rsidRPr="005F3F50" w:rsidRDefault="00B44B83" w:rsidP="00B44B83">
      <w:pPr>
        <w:spacing w:line="240" w:lineRule="auto"/>
        <w:rPr>
          <w:lang w:val="es-MX"/>
        </w:rPr>
      </w:pPr>
    </w:p>
    <w:p w14:paraId="27FA42ED" w14:textId="2127B11D" w:rsidR="00B44B83" w:rsidRPr="005F3F50" w:rsidRDefault="00B44B83" w:rsidP="00B44B83">
      <w:pPr>
        <w:spacing w:line="240" w:lineRule="auto"/>
        <w:rPr>
          <w:lang w:val="es-MX"/>
        </w:rPr>
      </w:pPr>
    </w:p>
    <w:p w14:paraId="0AC27676" w14:textId="73237058" w:rsidR="00B44B83" w:rsidRPr="005F3F50" w:rsidRDefault="00B44B83" w:rsidP="00B44B83">
      <w:pPr>
        <w:spacing w:line="240" w:lineRule="auto"/>
        <w:rPr>
          <w:lang w:val="es-MX"/>
        </w:rPr>
      </w:pPr>
    </w:p>
    <w:p w14:paraId="3199CF2A" w14:textId="6CE9DE94" w:rsidR="00B44B83" w:rsidRPr="005F3F50" w:rsidRDefault="00B44B83" w:rsidP="00B44B83">
      <w:pPr>
        <w:spacing w:line="240" w:lineRule="auto"/>
        <w:rPr>
          <w:lang w:val="es-MX"/>
        </w:rPr>
      </w:pPr>
    </w:p>
    <w:p w14:paraId="630CCD99" w14:textId="64A55223" w:rsidR="00B44B83" w:rsidRPr="005F3F50" w:rsidRDefault="00B44B83" w:rsidP="00B44B83">
      <w:pPr>
        <w:spacing w:line="240" w:lineRule="auto"/>
        <w:rPr>
          <w:lang w:val="es-MX"/>
        </w:rPr>
      </w:pPr>
    </w:p>
    <w:p w14:paraId="1B050499" w14:textId="393C02EF" w:rsidR="00B44B83" w:rsidRPr="005F3F50" w:rsidRDefault="00873944" w:rsidP="00B44B83">
      <w:pPr>
        <w:spacing w:line="240" w:lineRule="auto"/>
        <w:rPr>
          <w:i/>
          <w:iCs/>
          <w:lang w:val="es-MX"/>
        </w:rPr>
      </w:pPr>
      <w:r w:rsidRPr="005F3F50">
        <w:rPr>
          <w:lang w:val="es-MX"/>
        </w:rPr>
        <w:t>A163074/</w:t>
      </w:r>
      <w:r w:rsidRPr="005F3F50">
        <w:rPr>
          <w:i/>
          <w:iCs/>
          <w:lang w:val="es-MX"/>
        </w:rPr>
        <w:t xml:space="preserve">People v. </w:t>
      </w:r>
      <w:proofErr w:type="spellStart"/>
      <w:r w:rsidRPr="005F3F50">
        <w:rPr>
          <w:i/>
          <w:iCs/>
          <w:lang w:val="es-MX"/>
        </w:rPr>
        <w:t>Lashon</w:t>
      </w:r>
      <w:proofErr w:type="spellEnd"/>
    </w:p>
    <w:p w14:paraId="04C2F33B" w14:textId="77777777" w:rsidR="00B44B83" w:rsidRPr="00156E51" w:rsidRDefault="00873944" w:rsidP="00B44B83">
      <w:pPr>
        <w:tabs>
          <w:tab w:val="clear" w:pos="720"/>
          <w:tab w:val="left" w:pos="1440"/>
        </w:tabs>
        <w:spacing w:line="240" w:lineRule="auto"/>
      </w:pPr>
      <w:r w:rsidRPr="00156E51">
        <w:lastRenderedPageBreak/>
        <w:t>Trial Court:</w:t>
      </w:r>
      <w:r w:rsidRPr="00156E51">
        <w:tab/>
      </w:r>
      <w:r>
        <w:tab/>
        <w:t>Contra Costa County Superior Court</w:t>
      </w:r>
    </w:p>
    <w:p w14:paraId="45F9D19C" w14:textId="77777777" w:rsidR="00B44B83" w:rsidRPr="00156E51" w:rsidRDefault="00B44B83" w:rsidP="00B44B83">
      <w:pPr>
        <w:tabs>
          <w:tab w:val="clear" w:pos="720"/>
          <w:tab w:val="left" w:pos="1440"/>
        </w:tabs>
        <w:spacing w:line="240" w:lineRule="auto"/>
      </w:pPr>
    </w:p>
    <w:p w14:paraId="1BEB29D6" w14:textId="1A334E04" w:rsidR="00B44B83" w:rsidRPr="00156E51" w:rsidRDefault="00873944" w:rsidP="00B44B83">
      <w:pPr>
        <w:tabs>
          <w:tab w:val="clear" w:pos="720"/>
          <w:tab w:val="left" w:pos="1440"/>
        </w:tabs>
        <w:spacing w:line="240" w:lineRule="auto"/>
      </w:pPr>
      <w:r w:rsidRPr="00156E51">
        <w:t>Trial Judge:</w:t>
      </w:r>
      <w:r w:rsidRPr="00156E51">
        <w:tab/>
      </w:r>
      <w:r>
        <w:t xml:space="preserve">Hon. Terri A. </w:t>
      </w:r>
      <w:proofErr w:type="spellStart"/>
      <w:r>
        <w:t>Mockler</w:t>
      </w:r>
      <w:proofErr w:type="spellEnd"/>
    </w:p>
    <w:p w14:paraId="27B0BA41" w14:textId="77777777" w:rsidR="00B44B83" w:rsidRPr="00156E51" w:rsidRDefault="00B44B83" w:rsidP="00B44B83">
      <w:pPr>
        <w:tabs>
          <w:tab w:val="clear" w:pos="720"/>
          <w:tab w:val="left" w:pos="1440"/>
        </w:tabs>
        <w:spacing w:line="240" w:lineRule="auto"/>
      </w:pPr>
    </w:p>
    <w:p w14:paraId="1D8DC07C" w14:textId="77777777" w:rsidR="00F264B1" w:rsidRDefault="00873944" w:rsidP="00B44B83">
      <w:pPr>
        <w:tabs>
          <w:tab w:val="clear" w:pos="720"/>
          <w:tab w:val="left" w:pos="1440"/>
        </w:tabs>
        <w:spacing w:line="240" w:lineRule="auto"/>
        <w:ind w:left="2160" w:hanging="2160"/>
      </w:pPr>
      <w:r w:rsidRPr="00156E51">
        <w:t>Counsel:</w:t>
      </w:r>
      <w:r w:rsidRPr="00156E51">
        <w:tab/>
      </w:r>
      <w:r>
        <w:tab/>
      </w:r>
      <w:r>
        <w:t xml:space="preserve">Marylou </w:t>
      </w:r>
      <w:proofErr w:type="spellStart"/>
      <w:r>
        <w:t>Hillberg</w:t>
      </w:r>
      <w:proofErr w:type="spellEnd"/>
      <w:r>
        <w:t xml:space="preserve">, under appointment by the Court of Appeal, </w:t>
      </w:r>
      <w:r w:rsidRPr="00156E51">
        <w:t xml:space="preserve">for Defendant and Appellant. </w:t>
      </w:r>
    </w:p>
    <w:p w14:paraId="38394BD3" w14:textId="77777777" w:rsidR="00F264B1" w:rsidRDefault="00F264B1" w:rsidP="00B44B83">
      <w:pPr>
        <w:tabs>
          <w:tab w:val="clear" w:pos="720"/>
          <w:tab w:val="left" w:pos="1440"/>
        </w:tabs>
        <w:spacing w:line="240" w:lineRule="auto"/>
        <w:ind w:left="2160" w:hanging="2160"/>
      </w:pPr>
    </w:p>
    <w:p w14:paraId="41E61C57" w14:textId="7675BC5A" w:rsidR="00B44B83" w:rsidRPr="00156E51" w:rsidRDefault="00873944" w:rsidP="00B44B83">
      <w:pPr>
        <w:tabs>
          <w:tab w:val="clear" w:pos="720"/>
          <w:tab w:val="left" w:pos="1440"/>
        </w:tabs>
        <w:spacing w:line="240" w:lineRule="auto"/>
        <w:ind w:left="2160" w:hanging="2160"/>
      </w:pPr>
      <w:r>
        <w:tab/>
      </w:r>
      <w:r>
        <w:tab/>
        <w:t>Rob Bonta, Attorney General, Lance E. Winters, Chief Assistant Attorney General, Jeffrey M. Laurence, Assistant Attorney General, Katie Stowe and Linda Murphy, Dep</w:t>
      </w:r>
      <w:r>
        <w:t>uty Attorneys General, for</w:t>
      </w:r>
      <w:r w:rsidRPr="00156E51">
        <w:t xml:space="preserve"> Plaintiff and Respondent.</w:t>
      </w:r>
    </w:p>
    <w:p w14:paraId="33DA0F72" w14:textId="77777777" w:rsidR="00B44B83" w:rsidRPr="00156E51" w:rsidRDefault="00B44B83" w:rsidP="00B44B83">
      <w:pPr>
        <w:tabs>
          <w:tab w:val="clear" w:pos="720"/>
          <w:tab w:val="left" w:pos="1440"/>
        </w:tabs>
        <w:spacing w:line="240" w:lineRule="auto"/>
        <w:ind w:left="2160" w:hanging="2160"/>
      </w:pPr>
    </w:p>
    <w:p w14:paraId="4F8F5A16" w14:textId="6100911A" w:rsidR="00B44B83" w:rsidRPr="00156E51" w:rsidRDefault="00873944" w:rsidP="00B44B83">
      <w:pPr>
        <w:tabs>
          <w:tab w:val="clear" w:pos="720"/>
          <w:tab w:val="left" w:pos="1440"/>
        </w:tabs>
        <w:spacing w:line="240" w:lineRule="auto"/>
        <w:ind w:left="2160" w:hanging="2160"/>
      </w:pPr>
      <w:r w:rsidRPr="00156E51">
        <w:tab/>
      </w:r>
      <w:r>
        <w:tab/>
      </w:r>
      <w:r w:rsidRPr="00156E51">
        <w:t xml:space="preserve"> </w:t>
      </w:r>
    </w:p>
    <w:p w14:paraId="4E495394" w14:textId="77777777" w:rsidR="00B44B83" w:rsidRPr="00B44B83" w:rsidRDefault="00B44B83" w:rsidP="00B44B83">
      <w:pPr>
        <w:spacing w:line="240" w:lineRule="auto"/>
      </w:pPr>
    </w:p>
    <w:sectPr w:rsidR="00B44B83" w:rsidRPr="00B44B83" w:rsidSect="00943E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855E" w14:textId="77777777" w:rsidR="00000000" w:rsidRDefault="00873944">
      <w:pPr>
        <w:spacing w:line="240" w:lineRule="auto"/>
      </w:pPr>
      <w:r>
        <w:separator/>
      </w:r>
    </w:p>
  </w:endnote>
  <w:endnote w:type="continuationSeparator" w:id="0">
    <w:p w14:paraId="58E6E0CC" w14:textId="77777777" w:rsidR="00000000" w:rsidRDefault="00873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2BD9" w14:textId="1CE551BF" w:rsidR="00D53922" w:rsidRDefault="00873944" w:rsidP="00943E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43E6A">
      <w:rPr>
        <w:rStyle w:val="PageNumber"/>
        <w:noProof/>
      </w:rPr>
      <w:t>9</w:t>
    </w:r>
    <w:r>
      <w:rPr>
        <w:rStyle w:val="PageNumber"/>
      </w:rPr>
      <w:fldChar w:fldCharType="end"/>
    </w:r>
  </w:p>
  <w:p w14:paraId="79C0EB9C" w14:textId="07AC2DA9" w:rsidR="00D53922" w:rsidRDefault="00873944" w:rsidP="00943E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43E6A">
      <w:rPr>
        <w:rStyle w:val="PageNumber"/>
        <w:noProof/>
      </w:rPr>
      <w:t>9</w:t>
    </w:r>
    <w:r>
      <w:rPr>
        <w:rStyle w:val="PageNumber"/>
      </w:rPr>
      <w:fldChar w:fldCharType="end"/>
    </w:r>
  </w:p>
  <w:p w14:paraId="791BC052" w14:textId="77777777" w:rsidR="00D53922" w:rsidRDefault="00D53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EF0B" w14:textId="77777777" w:rsidR="00D53922" w:rsidRDefault="00873944" w:rsidP="00943E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F00CC">
      <w:rPr>
        <w:rStyle w:val="PageNumber"/>
        <w:noProof/>
      </w:rPr>
      <w:t>7</w:t>
    </w:r>
    <w:r>
      <w:rPr>
        <w:rStyle w:val="PageNumber"/>
      </w:rPr>
      <w:fldChar w:fldCharType="end"/>
    </w:r>
  </w:p>
  <w:p w14:paraId="095225F5" w14:textId="77777777" w:rsidR="00D53922" w:rsidRDefault="00D53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D390" w14:textId="77777777" w:rsidR="00FF3D92" w:rsidRDefault="00FF3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0BA8" w14:textId="77777777" w:rsidR="001233CE" w:rsidRDefault="00873944" w:rsidP="00FE2A8A">
      <w:pPr>
        <w:spacing w:line="240" w:lineRule="auto"/>
      </w:pPr>
      <w:r>
        <w:separator/>
      </w:r>
    </w:p>
  </w:footnote>
  <w:footnote w:type="continuationSeparator" w:id="0">
    <w:p w14:paraId="5EDD9CA1" w14:textId="77777777" w:rsidR="001233CE" w:rsidRDefault="00873944" w:rsidP="00FE2A8A">
      <w:pPr>
        <w:spacing w:line="240" w:lineRule="auto"/>
      </w:pPr>
      <w:r>
        <w:continuationSeparator/>
      </w:r>
    </w:p>
  </w:footnote>
  <w:footnote w:id="1">
    <w:p w14:paraId="2AA3E466" w14:textId="69A92ED5" w:rsidR="00005068" w:rsidRDefault="00873944" w:rsidP="00005068">
      <w:pPr>
        <w:pStyle w:val="FootnoteText"/>
        <w:ind w:firstLine="0"/>
      </w:pPr>
      <w:r>
        <w:rPr>
          <w:rStyle w:val="FootnoteReference"/>
        </w:rPr>
        <w:footnoteRef/>
      </w:r>
      <w:r>
        <w:t xml:space="preserve"> </w:t>
      </w:r>
      <w:r>
        <w:tab/>
      </w:r>
      <w:r w:rsidRPr="00F841B1">
        <w:t xml:space="preserve">All statutory references are to the </w:t>
      </w:r>
      <w:r>
        <w:t>Penal</w:t>
      </w:r>
      <w:r w:rsidRPr="00F841B1">
        <w:t xml:space="preserve"> Code.</w:t>
      </w:r>
    </w:p>
  </w:footnote>
  <w:footnote w:id="2">
    <w:p w14:paraId="054B3B7F" w14:textId="77777777" w:rsidR="00D51D78" w:rsidRDefault="00873944" w:rsidP="00D51D78">
      <w:pPr>
        <w:spacing w:line="240" w:lineRule="auto"/>
      </w:pPr>
      <w:r>
        <w:rPr>
          <w:rStyle w:val="FootnoteReference"/>
        </w:rPr>
        <w:footnoteRef/>
      </w:r>
      <w:r>
        <w:t xml:space="preserve"> </w:t>
      </w:r>
      <w:r>
        <w:tab/>
        <w:t xml:space="preserve">We do not set forth a detailed factual recitation of the trial and </w:t>
      </w:r>
      <w:r>
        <w:t>sentencing proceedings as it is not necessary to our disposition.</w:t>
      </w:r>
    </w:p>
  </w:footnote>
  <w:footnote w:id="3">
    <w:p w14:paraId="21A90A50" w14:textId="095F776E" w:rsidR="00353F5E" w:rsidRPr="00193868" w:rsidRDefault="00873944" w:rsidP="00193868">
      <w:pPr>
        <w:spacing w:line="240" w:lineRule="auto"/>
        <w:rPr>
          <w:rFonts w:cstheme="minorHAnsi"/>
          <w:szCs w:val="26"/>
        </w:rPr>
      </w:pPr>
      <w:r>
        <w:rPr>
          <w:rStyle w:val="FootnoteReference"/>
        </w:rPr>
        <w:footnoteRef/>
      </w:r>
      <w:r>
        <w:t xml:space="preserve"> </w:t>
      </w:r>
      <w:r>
        <w:tab/>
      </w:r>
      <w:r w:rsidR="00EA2EC0" w:rsidRPr="00EA2EC0">
        <w:rPr>
          <w:rFonts w:cstheme="minorHAnsi"/>
          <w:szCs w:val="26"/>
        </w:rPr>
        <w:t xml:space="preserve">The Legislature later amended section 745, effective January 1, 2023 (Stats. 2022, </w:t>
      </w:r>
      <w:proofErr w:type="spellStart"/>
      <w:r w:rsidR="00EA2EC0" w:rsidRPr="00EA2EC0">
        <w:rPr>
          <w:rFonts w:cstheme="minorHAnsi"/>
          <w:szCs w:val="26"/>
        </w:rPr>
        <w:t>ch.</w:t>
      </w:r>
      <w:proofErr w:type="spellEnd"/>
      <w:r w:rsidR="00EA2EC0" w:rsidRPr="00EA2EC0">
        <w:rPr>
          <w:rFonts w:cstheme="minorHAnsi"/>
          <w:szCs w:val="26"/>
        </w:rPr>
        <w:t xml:space="preserve"> 739, § 2); we cite to the language used in the current law for convenience.  Lashon asks us to consider pending legislature that, if enacted, would further amend section 745.  As an appellate court, we cannot consider amendments that may or may not be made at a future date. </w:t>
      </w:r>
    </w:p>
  </w:footnote>
  <w:footnote w:id="4">
    <w:p w14:paraId="40B6569B" w14:textId="016E75B9" w:rsidR="00353F5E" w:rsidRDefault="00873944" w:rsidP="00353F5E">
      <w:pPr>
        <w:pStyle w:val="FootnoteText"/>
        <w:ind w:firstLine="0"/>
      </w:pPr>
      <w:r>
        <w:rPr>
          <w:rStyle w:val="FootnoteReference"/>
        </w:rPr>
        <w:footnoteRef/>
      </w:r>
      <w:r>
        <w:t xml:space="preserve"> </w:t>
      </w:r>
      <w:r>
        <w:tab/>
        <w:t>Consequently, and despite Lashon’s argument to the contrary, the concept of a</w:t>
      </w:r>
      <w:r>
        <w:t>pplying a new law retroactively to cases not yet final is not relevant to this appeal.  (</w:t>
      </w:r>
      <w:r w:rsidRPr="003B4AC5">
        <w:rPr>
          <w:i/>
          <w:iCs/>
        </w:rPr>
        <w:t xml:space="preserve">People v. </w:t>
      </w:r>
      <w:proofErr w:type="spellStart"/>
      <w:r w:rsidRPr="003B4AC5">
        <w:rPr>
          <w:i/>
          <w:iCs/>
        </w:rPr>
        <w:t>Frahs</w:t>
      </w:r>
      <w:proofErr w:type="spellEnd"/>
      <w:r>
        <w:t xml:space="preserve"> (2020) 9 Cal.5th 618, 638, fn. 5.)</w:t>
      </w:r>
    </w:p>
  </w:footnote>
  <w:footnote w:id="5">
    <w:p w14:paraId="40C7FED7" w14:textId="5C835D3E" w:rsidR="004671EB" w:rsidRDefault="00873944" w:rsidP="004671EB">
      <w:pPr>
        <w:pStyle w:val="FootnoteText"/>
        <w:ind w:firstLine="0"/>
      </w:pPr>
      <w:r>
        <w:rPr>
          <w:rStyle w:val="FootnoteReference"/>
        </w:rPr>
        <w:footnoteRef/>
      </w:r>
      <w:r>
        <w:t xml:space="preserve"> </w:t>
      </w:r>
      <w:r>
        <w:tab/>
        <w:t xml:space="preserve">We see no merit to Lashon’s argument that in </w:t>
      </w:r>
      <w:r w:rsidRPr="00382259">
        <w:rPr>
          <w:i/>
          <w:iCs/>
        </w:rPr>
        <w:t>Garcia</w:t>
      </w:r>
      <w:r>
        <w:t xml:space="preserve">, </w:t>
      </w:r>
      <w:r w:rsidRPr="002E3CE6">
        <w:rPr>
          <w:i/>
          <w:iCs/>
        </w:rPr>
        <w:t>supra</w:t>
      </w:r>
      <w:r>
        <w:t xml:space="preserve">, 85 Cal.App.5th 290, we rejected the Attorney General’s position “that </w:t>
      </w:r>
      <w:r w:rsidR="00706A70">
        <w:t>[</w:t>
      </w:r>
      <w:r>
        <w:t>the</w:t>
      </w:r>
      <w:r w:rsidR="00706A70">
        <w:t>]</w:t>
      </w:r>
      <w:r>
        <w:t xml:space="preserve"> defendant can seek only </w:t>
      </w:r>
      <w:proofErr w:type="spellStart"/>
      <w:r>
        <w:t>postjudgment</w:t>
      </w:r>
      <w:proofErr w:type="spellEnd"/>
      <w:r>
        <w:t xml:space="preserve"> relief under the </w:t>
      </w:r>
      <w:proofErr w:type="spellStart"/>
      <w:r>
        <w:t>CRJA</w:t>
      </w:r>
      <w:proofErr w:type="spellEnd"/>
      <w:r>
        <w:t xml:space="preserve"> through a habeas petition.”  (</w:t>
      </w:r>
      <w:r w:rsidRPr="002E3CE6">
        <w:rPr>
          <w:i/>
          <w:iCs/>
        </w:rPr>
        <w:t>Id</w:t>
      </w:r>
      <w:r>
        <w:t>. at p. 298, fn. 4.)</w:t>
      </w:r>
      <w:r w:rsidR="00B44B83">
        <w:t xml:space="preserve">  </w:t>
      </w:r>
      <w:r>
        <w:t xml:space="preserve">The statement was made in the context of explaining that because </w:t>
      </w:r>
      <w:r>
        <w:t xml:space="preserve">a judgment </w:t>
      </w:r>
      <w:r w:rsidRPr="00534336">
        <w:rPr>
          <w:i/>
          <w:iCs/>
        </w:rPr>
        <w:t>had not been entered</w:t>
      </w:r>
      <w:r>
        <w:t xml:space="preserve"> at the time Garcia sought </w:t>
      </w:r>
      <w:proofErr w:type="spellStart"/>
      <w:r>
        <w:t>CRJA</w:t>
      </w:r>
      <w:proofErr w:type="spellEnd"/>
      <w:r>
        <w:t xml:space="preserve"> relief in the trial court, Garcia was not precluded from present</w:t>
      </w:r>
      <w:r w:rsidR="008F3C72">
        <w:t>ing</w:t>
      </w:r>
      <w:r>
        <w:t xml:space="preserve"> his claim for relief on direct appeal.  Accordingly, “</w:t>
      </w:r>
      <w:r w:rsidR="00706A70">
        <w:t>[</w:t>
      </w:r>
      <w:r w:rsidRPr="00534336">
        <w:rPr>
          <w:i/>
          <w:iCs/>
        </w:rPr>
        <w:t>f</w:t>
      </w:r>
      <w:r w:rsidR="00706A70" w:rsidRPr="00DF22A9">
        <w:t>]</w:t>
      </w:r>
      <w:r w:rsidRPr="00534336">
        <w:rPr>
          <w:i/>
          <w:iCs/>
        </w:rPr>
        <w:t>or the same reason</w:t>
      </w:r>
      <w:r>
        <w:t xml:space="preserve">,” </w:t>
      </w:r>
      <w:r w:rsidR="00996683">
        <w:t>i.e.,</w:t>
      </w:r>
      <w:r>
        <w:t xml:space="preserve"> that no final judgment had been entered i</w:t>
      </w:r>
      <w:r>
        <w:t xml:space="preserve">n the case, we rejected the Attorney General’s contention that the defendant could seek only </w:t>
      </w:r>
      <w:proofErr w:type="spellStart"/>
      <w:r w:rsidRPr="00265750">
        <w:rPr>
          <w:i/>
          <w:iCs/>
        </w:rPr>
        <w:t>postjudgment</w:t>
      </w:r>
      <w:proofErr w:type="spellEnd"/>
      <w:r w:rsidRPr="00265750">
        <w:rPr>
          <w:i/>
          <w:iCs/>
        </w:rPr>
        <w:t xml:space="preserve"> </w:t>
      </w:r>
      <w:r>
        <w:t xml:space="preserve">relief under the </w:t>
      </w:r>
      <w:proofErr w:type="spellStart"/>
      <w:r>
        <w:t>CRJA</w:t>
      </w:r>
      <w:proofErr w:type="spellEnd"/>
      <w:r>
        <w:t xml:space="preserve"> through a habeas petition.  (</w:t>
      </w:r>
      <w:r w:rsidRPr="00534336">
        <w:rPr>
          <w:i/>
          <w:iCs/>
        </w:rPr>
        <w:t>Id</w:t>
      </w:r>
      <w:r>
        <w:t xml:space="preserve">. at p. 298, fn. 4; italics added.)  By our decision in </w:t>
      </w:r>
      <w:r w:rsidRPr="00534336">
        <w:rPr>
          <w:i/>
          <w:iCs/>
        </w:rPr>
        <w:t>Garcia</w:t>
      </w:r>
      <w:r>
        <w:t>, we made no finding that a defenda</w:t>
      </w:r>
      <w:r>
        <w:t xml:space="preserve">nt </w:t>
      </w:r>
      <w:r w:rsidR="00B93F2C">
        <w:t>may</w:t>
      </w:r>
      <w:r>
        <w:t xml:space="preserve"> present a </w:t>
      </w:r>
      <w:proofErr w:type="spellStart"/>
      <w:r>
        <w:t>CRJA</w:t>
      </w:r>
      <w:proofErr w:type="spellEnd"/>
      <w:r>
        <w:t xml:space="preserve"> claim on direct appeal when the issue was not raised in the trial court. </w:t>
      </w:r>
    </w:p>
  </w:footnote>
  <w:footnote w:id="6">
    <w:p w14:paraId="1868653D" w14:textId="75205C52" w:rsidR="00C13CA7" w:rsidRPr="00AF7326" w:rsidRDefault="00873944" w:rsidP="00EA2EC0">
      <w:pPr>
        <w:spacing w:line="240" w:lineRule="auto"/>
        <w:rPr>
          <w:rFonts w:cstheme="minorHAnsi"/>
          <w:szCs w:val="26"/>
        </w:rPr>
      </w:pPr>
      <w:r>
        <w:rPr>
          <w:rStyle w:val="FootnoteReference"/>
        </w:rPr>
        <w:footnoteRef/>
      </w:r>
      <w:r>
        <w:t xml:space="preserve"> </w:t>
      </w:r>
      <w:r>
        <w:tab/>
      </w:r>
      <w:r w:rsidR="00EA2EC0" w:rsidRPr="00EA2EC0">
        <w:rPr>
          <w:rFonts w:cstheme="minorHAnsi"/>
          <w:szCs w:val="26"/>
        </w:rPr>
        <w:t xml:space="preserve">To the extent Lashon asserts that “[t]he behavior of the trial judge cannot be sanctioned even without reference to the Racial Justice Act,” citing to </w:t>
      </w:r>
      <w:r w:rsidR="00EA2EC0" w:rsidRPr="00EA2EC0">
        <w:rPr>
          <w:rFonts w:cstheme="minorHAnsi"/>
          <w:i/>
          <w:iCs/>
          <w:szCs w:val="26"/>
        </w:rPr>
        <w:t>People v. Nieves</w:t>
      </w:r>
      <w:r w:rsidR="00EA2EC0" w:rsidRPr="00EA2EC0">
        <w:rPr>
          <w:rFonts w:cstheme="minorHAnsi"/>
          <w:szCs w:val="26"/>
        </w:rPr>
        <w:t xml:space="preserve"> (2021) 11 Cal.5th 404 (</w:t>
      </w:r>
      <w:r w:rsidR="00EA2EC0" w:rsidRPr="00EA2EC0">
        <w:rPr>
          <w:rFonts w:cstheme="minorHAnsi"/>
          <w:i/>
          <w:iCs/>
          <w:szCs w:val="26"/>
        </w:rPr>
        <w:t>Nieves</w:t>
      </w:r>
      <w:r w:rsidR="00EA2EC0" w:rsidRPr="00EA2EC0">
        <w:rPr>
          <w:rFonts w:cstheme="minorHAnsi"/>
          <w:szCs w:val="26"/>
        </w:rPr>
        <w:t xml:space="preserve">), that issue has been forfeited because it was not presented in compliance with the rules governing briefs filed in this court.  Specifically, it was not presented under a separate point heading and supported by a cogent argument as to why we should follow </w:t>
      </w:r>
      <w:r w:rsidR="00EA2EC0" w:rsidRPr="00EA2EC0">
        <w:rPr>
          <w:rFonts w:cstheme="minorHAnsi"/>
          <w:i/>
          <w:iCs/>
          <w:szCs w:val="26"/>
        </w:rPr>
        <w:t>Nieves</w:t>
      </w:r>
      <w:r w:rsidR="00EA2EC0" w:rsidRPr="00EA2EC0">
        <w:rPr>
          <w:rFonts w:cstheme="minorHAnsi"/>
          <w:szCs w:val="26"/>
        </w:rPr>
        <w:t xml:space="preserve"> in this case.  </w:t>
      </w:r>
      <w:r w:rsidRPr="00EA2EC0">
        <w:rPr>
          <w:szCs w:val="26"/>
        </w:rPr>
        <w:t>(S</w:t>
      </w:r>
      <w:r>
        <w:t>ee Cal. Rules of Court, rule 8.204(a)(1)(B) [each brief must “[s]</w:t>
      </w:r>
      <w:proofErr w:type="spellStart"/>
      <w:r>
        <w:t>tate</w:t>
      </w:r>
      <w:proofErr w:type="spellEnd"/>
      <w:r>
        <w:t xml:space="preserve"> each point under a separate heading or subheading summarizing the point, and support each point by argument and, if poss</w:t>
      </w:r>
      <w:r>
        <w:t xml:space="preserve">ible, by citation to authority”]; </w:t>
      </w:r>
      <w:r w:rsidRPr="00495440">
        <w:rPr>
          <w:i/>
          <w:iCs/>
        </w:rPr>
        <w:t>Allen v. City of Sacramento</w:t>
      </w:r>
      <w:r>
        <w:t xml:space="preserve"> (2015) 234 Cal.App.4th 41, 52 [“citing cases without any discussion” as to why the cases should be followed “results in forfeiture” of the appellate claim].)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0D8E" w14:textId="77777777" w:rsidR="00FF3D92" w:rsidRDefault="00FF3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998E" w14:textId="5574E15F" w:rsidR="008913B0" w:rsidRDefault="008913B0" w:rsidP="00B972B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68E7" w14:textId="77777777" w:rsidR="00FF3D92" w:rsidRDefault="00FF3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8A"/>
    <w:rsid w:val="00005068"/>
    <w:rsid w:val="00010049"/>
    <w:rsid w:val="00012897"/>
    <w:rsid w:val="000144FE"/>
    <w:rsid w:val="00016CCE"/>
    <w:rsid w:val="00020612"/>
    <w:rsid w:val="000252AE"/>
    <w:rsid w:val="00027E27"/>
    <w:rsid w:val="00033CF3"/>
    <w:rsid w:val="00035B6E"/>
    <w:rsid w:val="000378BD"/>
    <w:rsid w:val="00041EAB"/>
    <w:rsid w:val="00045921"/>
    <w:rsid w:val="00046DA7"/>
    <w:rsid w:val="00046E3B"/>
    <w:rsid w:val="0007435A"/>
    <w:rsid w:val="000807DA"/>
    <w:rsid w:val="00081E4F"/>
    <w:rsid w:val="00084CB7"/>
    <w:rsid w:val="00085E97"/>
    <w:rsid w:val="00087D5B"/>
    <w:rsid w:val="00092880"/>
    <w:rsid w:val="000979EC"/>
    <w:rsid w:val="000A2985"/>
    <w:rsid w:val="000A33A9"/>
    <w:rsid w:val="000A5E20"/>
    <w:rsid w:val="000A6066"/>
    <w:rsid w:val="000A76F7"/>
    <w:rsid w:val="000A77E4"/>
    <w:rsid w:val="000A7EE3"/>
    <w:rsid w:val="000B46FC"/>
    <w:rsid w:val="000B4B4F"/>
    <w:rsid w:val="000B54B5"/>
    <w:rsid w:val="000B7259"/>
    <w:rsid w:val="000B7F27"/>
    <w:rsid w:val="000D411F"/>
    <w:rsid w:val="000D43C8"/>
    <w:rsid w:val="000E3E6D"/>
    <w:rsid w:val="000E6B98"/>
    <w:rsid w:val="000F2DA3"/>
    <w:rsid w:val="000F4280"/>
    <w:rsid w:val="00111968"/>
    <w:rsid w:val="00112DBE"/>
    <w:rsid w:val="001228E2"/>
    <w:rsid w:val="001233CE"/>
    <w:rsid w:val="0012761E"/>
    <w:rsid w:val="00127CA4"/>
    <w:rsid w:val="00130E05"/>
    <w:rsid w:val="00133EA3"/>
    <w:rsid w:val="00140484"/>
    <w:rsid w:val="00142C32"/>
    <w:rsid w:val="00143CAD"/>
    <w:rsid w:val="00152D4C"/>
    <w:rsid w:val="00156BCC"/>
    <w:rsid w:val="00156E51"/>
    <w:rsid w:val="00157455"/>
    <w:rsid w:val="001614F1"/>
    <w:rsid w:val="001638B5"/>
    <w:rsid w:val="00166F2D"/>
    <w:rsid w:val="001706FD"/>
    <w:rsid w:val="00170931"/>
    <w:rsid w:val="0017349B"/>
    <w:rsid w:val="00192023"/>
    <w:rsid w:val="00193868"/>
    <w:rsid w:val="00196998"/>
    <w:rsid w:val="001A38D6"/>
    <w:rsid w:val="001A4136"/>
    <w:rsid w:val="001B0C98"/>
    <w:rsid w:val="001B0FD4"/>
    <w:rsid w:val="001B2B22"/>
    <w:rsid w:val="001B42BF"/>
    <w:rsid w:val="001B447A"/>
    <w:rsid w:val="001B7CFE"/>
    <w:rsid w:val="001C0904"/>
    <w:rsid w:val="001D1DDF"/>
    <w:rsid w:val="001D5038"/>
    <w:rsid w:val="001E2E7A"/>
    <w:rsid w:val="001E5FC0"/>
    <w:rsid w:val="001F3B20"/>
    <w:rsid w:val="001F6B83"/>
    <w:rsid w:val="002010E1"/>
    <w:rsid w:val="00210777"/>
    <w:rsid w:val="00216ECD"/>
    <w:rsid w:val="00225930"/>
    <w:rsid w:val="00233BB0"/>
    <w:rsid w:val="00236403"/>
    <w:rsid w:val="00237432"/>
    <w:rsid w:val="0024053E"/>
    <w:rsid w:val="0024223E"/>
    <w:rsid w:val="00242419"/>
    <w:rsid w:val="002430E2"/>
    <w:rsid w:val="00254DE0"/>
    <w:rsid w:val="00264337"/>
    <w:rsid w:val="00265750"/>
    <w:rsid w:val="00275153"/>
    <w:rsid w:val="0027765C"/>
    <w:rsid w:val="002834F9"/>
    <w:rsid w:val="00283608"/>
    <w:rsid w:val="00286F2B"/>
    <w:rsid w:val="002932EF"/>
    <w:rsid w:val="002950D1"/>
    <w:rsid w:val="00295454"/>
    <w:rsid w:val="002A1AA7"/>
    <w:rsid w:val="002A697E"/>
    <w:rsid w:val="002B1023"/>
    <w:rsid w:val="002B1192"/>
    <w:rsid w:val="002B1727"/>
    <w:rsid w:val="002B4768"/>
    <w:rsid w:val="002B6FE1"/>
    <w:rsid w:val="002C1459"/>
    <w:rsid w:val="002C3795"/>
    <w:rsid w:val="002C5351"/>
    <w:rsid w:val="002C7032"/>
    <w:rsid w:val="002D3381"/>
    <w:rsid w:val="002D6BA2"/>
    <w:rsid w:val="002E05FD"/>
    <w:rsid w:val="002E238F"/>
    <w:rsid w:val="002E3CE6"/>
    <w:rsid w:val="002F492B"/>
    <w:rsid w:val="002F7101"/>
    <w:rsid w:val="003029BB"/>
    <w:rsid w:val="0030500B"/>
    <w:rsid w:val="00311529"/>
    <w:rsid w:val="00323742"/>
    <w:rsid w:val="003272E6"/>
    <w:rsid w:val="00332298"/>
    <w:rsid w:val="00333645"/>
    <w:rsid w:val="003450DC"/>
    <w:rsid w:val="00345398"/>
    <w:rsid w:val="00345BA7"/>
    <w:rsid w:val="00353F5E"/>
    <w:rsid w:val="0036076B"/>
    <w:rsid w:val="0036077C"/>
    <w:rsid w:val="0036155E"/>
    <w:rsid w:val="00363442"/>
    <w:rsid w:val="00367DBC"/>
    <w:rsid w:val="00382259"/>
    <w:rsid w:val="0038362B"/>
    <w:rsid w:val="0038456B"/>
    <w:rsid w:val="003A42E0"/>
    <w:rsid w:val="003A5B8A"/>
    <w:rsid w:val="003A7A2D"/>
    <w:rsid w:val="003A7B0E"/>
    <w:rsid w:val="003B367A"/>
    <w:rsid w:val="003B4AC5"/>
    <w:rsid w:val="003C3BCE"/>
    <w:rsid w:val="003C55EA"/>
    <w:rsid w:val="003C6F3D"/>
    <w:rsid w:val="003E5BA7"/>
    <w:rsid w:val="003E7A5D"/>
    <w:rsid w:val="003F3CDB"/>
    <w:rsid w:val="0040371B"/>
    <w:rsid w:val="004054B3"/>
    <w:rsid w:val="004152EA"/>
    <w:rsid w:val="00415CDA"/>
    <w:rsid w:val="00422AD7"/>
    <w:rsid w:val="00433904"/>
    <w:rsid w:val="0043499A"/>
    <w:rsid w:val="004350D2"/>
    <w:rsid w:val="004576DF"/>
    <w:rsid w:val="004671EB"/>
    <w:rsid w:val="00475CCD"/>
    <w:rsid w:val="004770ED"/>
    <w:rsid w:val="0048352B"/>
    <w:rsid w:val="00483893"/>
    <w:rsid w:val="00483A43"/>
    <w:rsid w:val="00486C67"/>
    <w:rsid w:val="00492B5C"/>
    <w:rsid w:val="00493714"/>
    <w:rsid w:val="004951F7"/>
    <w:rsid w:val="00495440"/>
    <w:rsid w:val="004A1512"/>
    <w:rsid w:val="004A22F3"/>
    <w:rsid w:val="004B237F"/>
    <w:rsid w:val="004B4978"/>
    <w:rsid w:val="004B7511"/>
    <w:rsid w:val="004C0DB3"/>
    <w:rsid w:val="004C67B0"/>
    <w:rsid w:val="004C7FBB"/>
    <w:rsid w:val="004E020C"/>
    <w:rsid w:val="004E125C"/>
    <w:rsid w:val="004E1BB8"/>
    <w:rsid w:val="004F30F5"/>
    <w:rsid w:val="004F5D37"/>
    <w:rsid w:val="004F650D"/>
    <w:rsid w:val="00504460"/>
    <w:rsid w:val="00505915"/>
    <w:rsid w:val="0051410E"/>
    <w:rsid w:val="00521CE2"/>
    <w:rsid w:val="005234C5"/>
    <w:rsid w:val="00526FEC"/>
    <w:rsid w:val="00531AFC"/>
    <w:rsid w:val="00533521"/>
    <w:rsid w:val="00534336"/>
    <w:rsid w:val="00535BA1"/>
    <w:rsid w:val="005441BC"/>
    <w:rsid w:val="0054717B"/>
    <w:rsid w:val="00553EAD"/>
    <w:rsid w:val="005542F2"/>
    <w:rsid w:val="00554416"/>
    <w:rsid w:val="005549CB"/>
    <w:rsid w:val="0056630A"/>
    <w:rsid w:val="0057437B"/>
    <w:rsid w:val="005838F2"/>
    <w:rsid w:val="00590142"/>
    <w:rsid w:val="00594FCF"/>
    <w:rsid w:val="00595281"/>
    <w:rsid w:val="005B18AF"/>
    <w:rsid w:val="005B4FDC"/>
    <w:rsid w:val="005B60C8"/>
    <w:rsid w:val="005C089B"/>
    <w:rsid w:val="005D0DC8"/>
    <w:rsid w:val="005D5011"/>
    <w:rsid w:val="005E4683"/>
    <w:rsid w:val="005E4C26"/>
    <w:rsid w:val="005F0B82"/>
    <w:rsid w:val="005F20F8"/>
    <w:rsid w:val="005F3F50"/>
    <w:rsid w:val="006000B1"/>
    <w:rsid w:val="0061000A"/>
    <w:rsid w:val="00617801"/>
    <w:rsid w:val="00617E0C"/>
    <w:rsid w:val="00624AE2"/>
    <w:rsid w:val="00631D38"/>
    <w:rsid w:val="006354C9"/>
    <w:rsid w:val="0063764E"/>
    <w:rsid w:val="00645899"/>
    <w:rsid w:val="006554BE"/>
    <w:rsid w:val="006612ED"/>
    <w:rsid w:val="006642A7"/>
    <w:rsid w:val="00665F03"/>
    <w:rsid w:val="00666579"/>
    <w:rsid w:val="00666F8E"/>
    <w:rsid w:val="006706D5"/>
    <w:rsid w:val="00677E53"/>
    <w:rsid w:val="00694D9B"/>
    <w:rsid w:val="006B5A1F"/>
    <w:rsid w:val="006B77CD"/>
    <w:rsid w:val="006C508D"/>
    <w:rsid w:val="006C63DD"/>
    <w:rsid w:val="006E13A0"/>
    <w:rsid w:val="006E4BA7"/>
    <w:rsid w:val="006F1FDD"/>
    <w:rsid w:val="006F2803"/>
    <w:rsid w:val="00701355"/>
    <w:rsid w:val="00706515"/>
    <w:rsid w:val="00706A70"/>
    <w:rsid w:val="00711597"/>
    <w:rsid w:val="007143BB"/>
    <w:rsid w:val="00715A09"/>
    <w:rsid w:val="007177ED"/>
    <w:rsid w:val="0072031D"/>
    <w:rsid w:val="00721EAB"/>
    <w:rsid w:val="00732022"/>
    <w:rsid w:val="007436C4"/>
    <w:rsid w:val="00753E25"/>
    <w:rsid w:val="00757CF3"/>
    <w:rsid w:val="00762FC1"/>
    <w:rsid w:val="00763EB2"/>
    <w:rsid w:val="00772EE9"/>
    <w:rsid w:val="00775F36"/>
    <w:rsid w:val="0078562A"/>
    <w:rsid w:val="0079574D"/>
    <w:rsid w:val="007A36B4"/>
    <w:rsid w:val="007A5284"/>
    <w:rsid w:val="007B2333"/>
    <w:rsid w:val="007B4F46"/>
    <w:rsid w:val="007B7140"/>
    <w:rsid w:val="007C29D0"/>
    <w:rsid w:val="007C4221"/>
    <w:rsid w:val="007C56A0"/>
    <w:rsid w:val="007D1E6A"/>
    <w:rsid w:val="007D34DB"/>
    <w:rsid w:val="007E1E65"/>
    <w:rsid w:val="007E2EFA"/>
    <w:rsid w:val="007E3C0B"/>
    <w:rsid w:val="007F40E0"/>
    <w:rsid w:val="00807D02"/>
    <w:rsid w:val="00807E67"/>
    <w:rsid w:val="00810B9A"/>
    <w:rsid w:val="00825E2C"/>
    <w:rsid w:val="008279DF"/>
    <w:rsid w:val="008309ED"/>
    <w:rsid w:val="00834A7E"/>
    <w:rsid w:val="0083750F"/>
    <w:rsid w:val="0084375A"/>
    <w:rsid w:val="008618CD"/>
    <w:rsid w:val="0086288A"/>
    <w:rsid w:val="008664BB"/>
    <w:rsid w:val="00871C56"/>
    <w:rsid w:val="00873944"/>
    <w:rsid w:val="008816EF"/>
    <w:rsid w:val="00881976"/>
    <w:rsid w:val="0088237C"/>
    <w:rsid w:val="0088471A"/>
    <w:rsid w:val="008913B0"/>
    <w:rsid w:val="00891BA8"/>
    <w:rsid w:val="008926CB"/>
    <w:rsid w:val="008A0789"/>
    <w:rsid w:val="008A4531"/>
    <w:rsid w:val="008A539D"/>
    <w:rsid w:val="008A54FE"/>
    <w:rsid w:val="008B0536"/>
    <w:rsid w:val="008B6EFA"/>
    <w:rsid w:val="008C30C1"/>
    <w:rsid w:val="008C3261"/>
    <w:rsid w:val="008C4357"/>
    <w:rsid w:val="008C615A"/>
    <w:rsid w:val="008D0704"/>
    <w:rsid w:val="008D0E3E"/>
    <w:rsid w:val="008D1A39"/>
    <w:rsid w:val="008D3CDF"/>
    <w:rsid w:val="008D5F47"/>
    <w:rsid w:val="008E6552"/>
    <w:rsid w:val="008E70B5"/>
    <w:rsid w:val="008F3C72"/>
    <w:rsid w:val="008F4090"/>
    <w:rsid w:val="008F4BBB"/>
    <w:rsid w:val="009015A3"/>
    <w:rsid w:val="00923618"/>
    <w:rsid w:val="0092458D"/>
    <w:rsid w:val="009247AF"/>
    <w:rsid w:val="009249E4"/>
    <w:rsid w:val="0092575C"/>
    <w:rsid w:val="00930075"/>
    <w:rsid w:val="00931AC8"/>
    <w:rsid w:val="00932F0B"/>
    <w:rsid w:val="0093393D"/>
    <w:rsid w:val="00935E8F"/>
    <w:rsid w:val="00936008"/>
    <w:rsid w:val="00936C89"/>
    <w:rsid w:val="00942D30"/>
    <w:rsid w:val="00943E6A"/>
    <w:rsid w:val="00946E5D"/>
    <w:rsid w:val="0095546F"/>
    <w:rsid w:val="009643F3"/>
    <w:rsid w:val="00984030"/>
    <w:rsid w:val="009858F5"/>
    <w:rsid w:val="00986F87"/>
    <w:rsid w:val="00987648"/>
    <w:rsid w:val="00996683"/>
    <w:rsid w:val="009A6007"/>
    <w:rsid w:val="009B7898"/>
    <w:rsid w:val="009B7B57"/>
    <w:rsid w:val="009B7CE7"/>
    <w:rsid w:val="009C2493"/>
    <w:rsid w:val="009D3C4D"/>
    <w:rsid w:val="009D7FE5"/>
    <w:rsid w:val="009E17A5"/>
    <w:rsid w:val="009E3B7D"/>
    <w:rsid w:val="009F6298"/>
    <w:rsid w:val="00A0044F"/>
    <w:rsid w:val="00A10137"/>
    <w:rsid w:val="00A11083"/>
    <w:rsid w:val="00A173B5"/>
    <w:rsid w:val="00A23998"/>
    <w:rsid w:val="00A24E14"/>
    <w:rsid w:val="00A2507A"/>
    <w:rsid w:val="00A438E6"/>
    <w:rsid w:val="00A62D4B"/>
    <w:rsid w:val="00A72C40"/>
    <w:rsid w:val="00A72CE7"/>
    <w:rsid w:val="00A846D4"/>
    <w:rsid w:val="00A91230"/>
    <w:rsid w:val="00A92FE0"/>
    <w:rsid w:val="00A946E9"/>
    <w:rsid w:val="00AA6F7E"/>
    <w:rsid w:val="00AB65B1"/>
    <w:rsid w:val="00AC311F"/>
    <w:rsid w:val="00AD3440"/>
    <w:rsid w:val="00AE2202"/>
    <w:rsid w:val="00AE4C37"/>
    <w:rsid w:val="00AF22D4"/>
    <w:rsid w:val="00AF42B9"/>
    <w:rsid w:val="00AF581D"/>
    <w:rsid w:val="00AF7326"/>
    <w:rsid w:val="00B024D0"/>
    <w:rsid w:val="00B06F1E"/>
    <w:rsid w:val="00B07803"/>
    <w:rsid w:val="00B10629"/>
    <w:rsid w:val="00B144F9"/>
    <w:rsid w:val="00B1532C"/>
    <w:rsid w:val="00B2284D"/>
    <w:rsid w:val="00B30092"/>
    <w:rsid w:val="00B302A9"/>
    <w:rsid w:val="00B32498"/>
    <w:rsid w:val="00B41E1A"/>
    <w:rsid w:val="00B44B83"/>
    <w:rsid w:val="00B55E69"/>
    <w:rsid w:val="00B62984"/>
    <w:rsid w:val="00B66EBE"/>
    <w:rsid w:val="00B70352"/>
    <w:rsid w:val="00B83C11"/>
    <w:rsid w:val="00B93F2C"/>
    <w:rsid w:val="00B94F3A"/>
    <w:rsid w:val="00B972BB"/>
    <w:rsid w:val="00BA325A"/>
    <w:rsid w:val="00BB53DB"/>
    <w:rsid w:val="00BB64D2"/>
    <w:rsid w:val="00BB6F44"/>
    <w:rsid w:val="00BC6012"/>
    <w:rsid w:val="00BD0496"/>
    <w:rsid w:val="00BD08DF"/>
    <w:rsid w:val="00BD3B1F"/>
    <w:rsid w:val="00BD68E9"/>
    <w:rsid w:val="00BE287B"/>
    <w:rsid w:val="00BE28BE"/>
    <w:rsid w:val="00BE4843"/>
    <w:rsid w:val="00BE5197"/>
    <w:rsid w:val="00BF0F1E"/>
    <w:rsid w:val="00BF315E"/>
    <w:rsid w:val="00BF54CF"/>
    <w:rsid w:val="00BF61CD"/>
    <w:rsid w:val="00C0266F"/>
    <w:rsid w:val="00C050ED"/>
    <w:rsid w:val="00C07DB0"/>
    <w:rsid w:val="00C13CA7"/>
    <w:rsid w:val="00C20D18"/>
    <w:rsid w:val="00C25BFF"/>
    <w:rsid w:val="00C359B5"/>
    <w:rsid w:val="00C36C78"/>
    <w:rsid w:val="00C40EF6"/>
    <w:rsid w:val="00C41DF0"/>
    <w:rsid w:val="00C45FC0"/>
    <w:rsid w:val="00C469A9"/>
    <w:rsid w:val="00C51DB8"/>
    <w:rsid w:val="00C52A95"/>
    <w:rsid w:val="00C54010"/>
    <w:rsid w:val="00C57E25"/>
    <w:rsid w:val="00C65443"/>
    <w:rsid w:val="00C71155"/>
    <w:rsid w:val="00C95C55"/>
    <w:rsid w:val="00CA079B"/>
    <w:rsid w:val="00CA2FD9"/>
    <w:rsid w:val="00CA536D"/>
    <w:rsid w:val="00CA580F"/>
    <w:rsid w:val="00CC5BF5"/>
    <w:rsid w:val="00CC682B"/>
    <w:rsid w:val="00CE2447"/>
    <w:rsid w:val="00CE66A7"/>
    <w:rsid w:val="00CF2B82"/>
    <w:rsid w:val="00D1393B"/>
    <w:rsid w:val="00D17271"/>
    <w:rsid w:val="00D21510"/>
    <w:rsid w:val="00D24128"/>
    <w:rsid w:val="00D27796"/>
    <w:rsid w:val="00D30443"/>
    <w:rsid w:val="00D415D8"/>
    <w:rsid w:val="00D44A73"/>
    <w:rsid w:val="00D51D78"/>
    <w:rsid w:val="00D53922"/>
    <w:rsid w:val="00D53ADC"/>
    <w:rsid w:val="00D568C2"/>
    <w:rsid w:val="00D64F45"/>
    <w:rsid w:val="00D654B6"/>
    <w:rsid w:val="00D66195"/>
    <w:rsid w:val="00D721D9"/>
    <w:rsid w:val="00D75229"/>
    <w:rsid w:val="00D85D3B"/>
    <w:rsid w:val="00DA394F"/>
    <w:rsid w:val="00DB42D5"/>
    <w:rsid w:val="00DB6437"/>
    <w:rsid w:val="00DB78E5"/>
    <w:rsid w:val="00DC30FD"/>
    <w:rsid w:val="00DC52B1"/>
    <w:rsid w:val="00DD01AA"/>
    <w:rsid w:val="00DD6595"/>
    <w:rsid w:val="00DE6E46"/>
    <w:rsid w:val="00DF0180"/>
    <w:rsid w:val="00DF22A9"/>
    <w:rsid w:val="00DF583A"/>
    <w:rsid w:val="00E00D67"/>
    <w:rsid w:val="00E038A7"/>
    <w:rsid w:val="00E0488A"/>
    <w:rsid w:val="00E11E7E"/>
    <w:rsid w:val="00E17ED0"/>
    <w:rsid w:val="00E21729"/>
    <w:rsid w:val="00E37BC3"/>
    <w:rsid w:val="00E37C12"/>
    <w:rsid w:val="00E47A95"/>
    <w:rsid w:val="00E528C8"/>
    <w:rsid w:val="00E57DDD"/>
    <w:rsid w:val="00E70685"/>
    <w:rsid w:val="00E77FE5"/>
    <w:rsid w:val="00E85B6D"/>
    <w:rsid w:val="00E939E2"/>
    <w:rsid w:val="00EA2EC0"/>
    <w:rsid w:val="00EA330A"/>
    <w:rsid w:val="00EA7985"/>
    <w:rsid w:val="00EB0841"/>
    <w:rsid w:val="00EB3AD9"/>
    <w:rsid w:val="00EC42F6"/>
    <w:rsid w:val="00EE1D00"/>
    <w:rsid w:val="00EE2EA0"/>
    <w:rsid w:val="00EE46C0"/>
    <w:rsid w:val="00EE49EA"/>
    <w:rsid w:val="00EE7886"/>
    <w:rsid w:val="00EF00CC"/>
    <w:rsid w:val="00EF7EAE"/>
    <w:rsid w:val="00F02B21"/>
    <w:rsid w:val="00F052F5"/>
    <w:rsid w:val="00F053A9"/>
    <w:rsid w:val="00F05A0B"/>
    <w:rsid w:val="00F113FC"/>
    <w:rsid w:val="00F1404B"/>
    <w:rsid w:val="00F16A1C"/>
    <w:rsid w:val="00F20A04"/>
    <w:rsid w:val="00F211F1"/>
    <w:rsid w:val="00F264B1"/>
    <w:rsid w:val="00F3321C"/>
    <w:rsid w:val="00F40B41"/>
    <w:rsid w:val="00F414A4"/>
    <w:rsid w:val="00F4561B"/>
    <w:rsid w:val="00F4676F"/>
    <w:rsid w:val="00F6013A"/>
    <w:rsid w:val="00F70E90"/>
    <w:rsid w:val="00F82C3E"/>
    <w:rsid w:val="00F841B1"/>
    <w:rsid w:val="00F87E81"/>
    <w:rsid w:val="00F906E3"/>
    <w:rsid w:val="00F90C8D"/>
    <w:rsid w:val="00F929D0"/>
    <w:rsid w:val="00F9477C"/>
    <w:rsid w:val="00F9658F"/>
    <w:rsid w:val="00F968DC"/>
    <w:rsid w:val="00F97BE2"/>
    <w:rsid w:val="00FA036D"/>
    <w:rsid w:val="00FA2F71"/>
    <w:rsid w:val="00FB226F"/>
    <w:rsid w:val="00FD004F"/>
    <w:rsid w:val="00FD058D"/>
    <w:rsid w:val="00FD4142"/>
    <w:rsid w:val="00FD5335"/>
    <w:rsid w:val="00FD6968"/>
    <w:rsid w:val="00FE2A8A"/>
    <w:rsid w:val="00FE6BF4"/>
    <w:rsid w:val="00FF14D5"/>
    <w:rsid w:val="00FF3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683"/>
    <w:pPr>
      <w:tabs>
        <w:tab w:val="left" w:pos="720"/>
      </w:tabs>
      <w:spacing w:after="0" w:line="480" w:lineRule="atLeast"/>
    </w:pPr>
    <w:rPr>
      <w:rFonts w:ascii="Century Schoolbook" w:hAnsi="Century Schoolbook"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74986"/>
    <w:rPr>
      <w:rFonts w:ascii="Lucida Grande" w:hAnsi="Lucida Grande"/>
      <w:sz w:val="18"/>
      <w:szCs w:val="18"/>
    </w:rPr>
  </w:style>
  <w:style w:type="character" w:customStyle="1" w:styleId="BalloonTextChar">
    <w:name w:val="Balloon Text Char"/>
    <w:basedOn w:val="DefaultParagraphFont"/>
    <w:uiPriority w:val="99"/>
    <w:semiHidden/>
    <w:rsid w:val="00D7498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74986"/>
    <w:rPr>
      <w:rFonts w:ascii="Lucida Grande" w:hAnsi="Lucida Grande"/>
      <w:sz w:val="18"/>
      <w:szCs w:val="18"/>
    </w:rPr>
  </w:style>
  <w:style w:type="paragraph" w:styleId="Header">
    <w:name w:val="header"/>
    <w:basedOn w:val="Normal"/>
    <w:link w:val="HeaderChar"/>
    <w:uiPriority w:val="99"/>
    <w:unhideWhenUsed/>
    <w:rsid w:val="00FE2A8A"/>
    <w:pPr>
      <w:tabs>
        <w:tab w:val="center" w:pos="4680"/>
        <w:tab w:val="right" w:pos="9360"/>
      </w:tabs>
      <w:spacing w:line="240" w:lineRule="auto"/>
    </w:pPr>
  </w:style>
  <w:style w:type="character" w:customStyle="1" w:styleId="HeaderChar">
    <w:name w:val="Header Char"/>
    <w:basedOn w:val="DefaultParagraphFont"/>
    <w:link w:val="Header"/>
    <w:uiPriority w:val="99"/>
    <w:rsid w:val="00FE2A8A"/>
  </w:style>
  <w:style w:type="paragraph" w:styleId="Footer">
    <w:name w:val="footer"/>
    <w:basedOn w:val="Normal"/>
    <w:link w:val="FooterChar"/>
    <w:uiPriority w:val="99"/>
    <w:unhideWhenUsed/>
    <w:rsid w:val="00FE2A8A"/>
    <w:pPr>
      <w:tabs>
        <w:tab w:val="center" w:pos="4680"/>
        <w:tab w:val="right" w:pos="9360"/>
      </w:tabs>
      <w:spacing w:line="240" w:lineRule="auto"/>
    </w:pPr>
  </w:style>
  <w:style w:type="character" w:customStyle="1" w:styleId="FooterChar">
    <w:name w:val="Footer Char"/>
    <w:basedOn w:val="DefaultParagraphFont"/>
    <w:link w:val="Footer"/>
    <w:uiPriority w:val="99"/>
    <w:rsid w:val="00FE2A8A"/>
  </w:style>
  <w:style w:type="character" w:styleId="PageNumber">
    <w:name w:val="page number"/>
    <w:basedOn w:val="DefaultParagraphFont"/>
    <w:uiPriority w:val="99"/>
    <w:semiHidden/>
    <w:unhideWhenUsed/>
    <w:rsid w:val="00FE2A8A"/>
  </w:style>
  <w:style w:type="paragraph" w:styleId="FootnoteText">
    <w:name w:val="footnote text"/>
    <w:link w:val="FootnoteTextChar"/>
    <w:uiPriority w:val="99"/>
    <w:unhideWhenUsed/>
    <w:rsid w:val="000F2DA3"/>
    <w:pPr>
      <w:spacing w:after="120" w:line="240" w:lineRule="auto"/>
      <w:ind w:firstLine="720"/>
    </w:pPr>
    <w:rPr>
      <w:rFonts w:ascii="Century Schoolbook" w:hAnsi="Century Schoolbook" w:cs="Times New Roman"/>
      <w:sz w:val="26"/>
      <w:szCs w:val="20"/>
    </w:rPr>
  </w:style>
  <w:style w:type="character" w:customStyle="1" w:styleId="FootnoteTextChar">
    <w:name w:val="Footnote Text Char"/>
    <w:basedOn w:val="DefaultParagraphFont"/>
    <w:link w:val="FootnoteText"/>
    <w:uiPriority w:val="99"/>
    <w:rsid w:val="000F2DA3"/>
    <w:rPr>
      <w:rFonts w:ascii="Century Schoolbook" w:hAnsi="Century Schoolbook" w:cs="Times New Roman"/>
      <w:sz w:val="26"/>
      <w:szCs w:val="20"/>
    </w:rPr>
  </w:style>
  <w:style w:type="character" w:styleId="FootnoteReference">
    <w:name w:val="footnote reference"/>
    <w:basedOn w:val="DefaultParagraphFont"/>
    <w:uiPriority w:val="99"/>
    <w:semiHidden/>
    <w:unhideWhenUsed/>
    <w:rsid w:val="005B18AF"/>
    <w:rPr>
      <w:vertAlign w:val="superscript"/>
    </w:rPr>
  </w:style>
  <w:style w:type="character" w:customStyle="1" w:styleId="normal0020tablechar">
    <w:name w:val="normal_0020table__char"/>
    <w:basedOn w:val="DefaultParagraphFont"/>
    <w:rsid w:val="005B18AF"/>
  </w:style>
  <w:style w:type="character" w:customStyle="1" w:styleId="costarpage">
    <w:name w:val="co_starpage"/>
    <w:basedOn w:val="DefaultParagraphFont"/>
    <w:rsid w:val="009247AF"/>
  </w:style>
  <w:style w:type="character" w:styleId="Hyperlink">
    <w:name w:val="Hyperlink"/>
    <w:basedOn w:val="DefaultParagraphFont"/>
    <w:uiPriority w:val="99"/>
    <w:semiHidden/>
    <w:unhideWhenUsed/>
    <w:rsid w:val="009247AF"/>
    <w:rPr>
      <w:color w:val="0000FF"/>
      <w:u w:val="single"/>
    </w:rPr>
  </w:style>
  <w:style w:type="character" w:customStyle="1" w:styleId="cosearchterm">
    <w:name w:val="co_searchterm"/>
    <w:basedOn w:val="DefaultParagraphFont"/>
    <w:rsid w:val="00E77FE5"/>
  </w:style>
  <w:style w:type="character" w:styleId="Emphasis">
    <w:name w:val="Emphasis"/>
    <w:basedOn w:val="DefaultParagraphFont"/>
    <w:uiPriority w:val="20"/>
    <w:qFormat/>
    <w:rsid w:val="00E77FE5"/>
    <w:rPr>
      <w:i/>
      <w:iCs/>
    </w:rPr>
  </w:style>
  <w:style w:type="character" w:customStyle="1" w:styleId="copinpointicon">
    <w:name w:val="co_pinpointicon"/>
    <w:basedOn w:val="DefaultParagraphFont"/>
    <w:rsid w:val="00E77FE5"/>
  </w:style>
  <w:style w:type="paragraph" w:styleId="Revision">
    <w:name w:val="Revision"/>
    <w:hidden/>
    <w:uiPriority w:val="99"/>
    <w:semiHidden/>
    <w:rsid w:val="00996683"/>
    <w:pPr>
      <w:spacing w:after="0" w:line="240" w:lineRule="auto"/>
    </w:pPr>
    <w:rPr>
      <w:rFonts w:ascii="Century Schoolbook" w:hAnsi="Century Schoolbook" w:cs="Times New Roman"/>
      <w:sz w:val="26"/>
    </w:rPr>
  </w:style>
  <w:style w:type="character" w:styleId="CommentReference">
    <w:name w:val="annotation reference"/>
    <w:basedOn w:val="DefaultParagraphFont"/>
    <w:uiPriority w:val="99"/>
    <w:semiHidden/>
    <w:unhideWhenUsed/>
    <w:rsid w:val="00D27796"/>
    <w:rPr>
      <w:sz w:val="16"/>
      <w:szCs w:val="16"/>
    </w:rPr>
  </w:style>
  <w:style w:type="paragraph" w:styleId="CommentText">
    <w:name w:val="annotation text"/>
    <w:basedOn w:val="Normal"/>
    <w:link w:val="CommentTextChar"/>
    <w:uiPriority w:val="99"/>
    <w:semiHidden/>
    <w:unhideWhenUsed/>
    <w:rsid w:val="00D27796"/>
    <w:pPr>
      <w:spacing w:line="240" w:lineRule="auto"/>
    </w:pPr>
    <w:rPr>
      <w:sz w:val="20"/>
      <w:szCs w:val="20"/>
    </w:rPr>
  </w:style>
  <w:style w:type="character" w:customStyle="1" w:styleId="CommentTextChar">
    <w:name w:val="Comment Text Char"/>
    <w:basedOn w:val="DefaultParagraphFont"/>
    <w:link w:val="CommentText"/>
    <w:uiPriority w:val="99"/>
    <w:semiHidden/>
    <w:rsid w:val="00D27796"/>
    <w:rPr>
      <w:rFonts w:ascii="Century Schoolbook"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D27796"/>
    <w:rPr>
      <w:b/>
      <w:bCs/>
    </w:rPr>
  </w:style>
  <w:style w:type="character" w:customStyle="1" w:styleId="CommentSubjectChar">
    <w:name w:val="Comment Subject Char"/>
    <w:basedOn w:val="CommentTextChar"/>
    <w:link w:val="CommentSubject"/>
    <w:uiPriority w:val="99"/>
    <w:semiHidden/>
    <w:rsid w:val="00D27796"/>
    <w:rPr>
      <w:rFonts w:ascii="Century Schoolbook" w:hAnsi="Century Schoolbook" w:cs="Times New Roman"/>
      <w:b/>
      <w:bCs/>
      <w:sz w:val="20"/>
      <w:szCs w:val="20"/>
    </w:rPr>
  </w:style>
  <w:style w:type="paragraph" w:styleId="NormalWeb">
    <w:name w:val="Normal (Web)"/>
    <w:basedOn w:val="Normal"/>
    <w:uiPriority w:val="99"/>
    <w:unhideWhenUsed/>
    <w:rsid w:val="00BC6012"/>
    <w:pPr>
      <w:tabs>
        <w:tab w:val="clear" w:pos="720"/>
      </w:tabs>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basedOn w:val="Normal"/>
    <w:rsid w:val="00363442"/>
    <w:pPr>
      <w:tabs>
        <w:tab w:val="clear" w:pos="720"/>
      </w:tabs>
      <w:autoSpaceDE w:val="0"/>
      <w:autoSpaceDN w:val="0"/>
      <w:spacing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227B-F832-42E4-821A-B25EF1E8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1265</Words>
  <Characters>6618</Characters>
  <Application>Microsoft Office Word</Application>
  <DocSecurity>0</DocSecurity>
  <Lines>101</Lines>
  <Paragraphs>16</Paragraphs>
  <ScaleCrop>false</ScaleCrop>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2023-11-16T20:49:00Z</dcterms:created>
  <dcterms:modified xsi:type="dcterms:W3CDTF">2023-11-16T20:49:00Z</dcterms:modified>
</cp:coreProperties>
</file>