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9E7F" w14:textId="2E79EC88" w:rsidR="00702E20" w:rsidRDefault="00702E20" w:rsidP="000778DF">
      <w:pPr>
        <w:spacing w:line="240" w:lineRule="auto"/>
        <w:jc w:val="center"/>
        <w:rPr>
          <w:sz w:val="20"/>
        </w:rPr>
      </w:pPr>
      <w:r>
        <w:rPr>
          <w:sz w:val="20"/>
        </w:rPr>
        <w:t xml:space="preserve">Filed </w:t>
      </w:r>
      <w:r w:rsidR="001577D5">
        <w:rPr>
          <w:sz w:val="20"/>
        </w:rPr>
        <w:t>02/28/22</w:t>
      </w:r>
      <w:bookmarkStart w:id="0" w:name="_Hlk91684443"/>
      <w:r w:rsidR="000778DF" w:rsidRPr="007872E3">
        <w:rPr>
          <w:sz w:val="20"/>
        </w:rPr>
        <w:t>; REVIEW GRANTED.  See Cal. Rules of Court, rules 8.1105 and 8.1115 (and corresponding Comment, par. 2, concerning rule 8.1115(e)(3)).</w:t>
      </w:r>
      <w:bookmarkEnd w:id="0"/>
    </w:p>
    <w:p w14:paraId="4BDF4877" w14:textId="24E32802" w:rsidR="00702E20" w:rsidRDefault="00702E20" w:rsidP="00702E20">
      <w:pPr>
        <w:spacing w:line="240" w:lineRule="auto"/>
        <w:jc w:val="center"/>
        <w:rPr>
          <w:b/>
        </w:rPr>
      </w:pPr>
      <w:r>
        <w:rPr>
          <w:b/>
        </w:rPr>
        <w:t>CERTIFIED FOR PUBLICATION</w:t>
      </w:r>
    </w:p>
    <w:p w14:paraId="39829371" w14:textId="615F3129" w:rsidR="00702E20" w:rsidRDefault="00702E20" w:rsidP="00702E20">
      <w:pPr>
        <w:spacing w:line="240" w:lineRule="auto"/>
        <w:jc w:val="center"/>
      </w:pPr>
    </w:p>
    <w:p w14:paraId="6582F3BB" w14:textId="4DD78B48" w:rsidR="008C69C3" w:rsidRPr="00AC5305" w:rsidRDefault="00A70BA2" w:rsidP="00A70BA2">
      <w:pPr>
        <w:spacing w:line="240" w:lineRule="auto"/>
        <w:jc w:val="center"/>
      </w:pPr>
      <w:r w:rsidRPr="00AC5305">
        <w:t>IN THE COURT OF APPEAL OF THE STATE OF CALIFORNIA</w:t>
      </w:r>
    </w:p>
    <w:p w14:paraId="550938A4" w14:textId="5DCED12E" w:rsidR="00A70BA2" w:rsidRPr="00AC5305" w:rsidRDefault="00A70BA2" w:rsidP="00A70BA2">
      <w:pPr>
        <w:spacing w:line="240" w:lineRule="auto"/>
        <w:jc w:val="center"/>
      </w:pPr>
    </w:p>
    <w:p w14:paraId="623BB73D" w14:textId="7670DE85" w:rsidR="00A70BA2" w:rsidRPr="00AC5305" w:rsidRDefault="00A70BA2" w:rsidP="00A70BA2">
      <w:pPr>
        <w:spacing w:line="240" w:lineRule="auto"/>
        <w:jc w:val="center"/>
      </w:pPr>
      <w:r w:rsidRPr="00AC5305">
        <w:t>FIRST APPELLATE DISTRICT</w:t>
      </w:r>
    </w:p>
    <w:p w14:paraId="63159CFC" w14:textId="4F345560" w:rsidR="00A70BA2" w:rsidRPr="00AC5305" w:rsidRDefault="00A70BA2" w:rsidP="00A70BA2">
      <w:pPr>
        <w:spacing w:line="240" w:lineRule="auto"/>
        <w:jc w:val="center"/>
      </w:pPr>
    </w:p>
    <w:p w14:paraId="25BC17F2" w14:textId="6BD322F9" w:rsidR="00A70BA2" w:rsidRPr="00AC5305" w:rsidRDefault="00A70BA2" w:rsidP="00A70BA2">
      <w:pPr>
        <w:spacing w:line="240" w:lineRule="auto"/>
        <w:jc w:val="center"/>
      </w:pPr>
      <w:r w:rsidRPr="00AC5305">
        <w:t>DIVISION THREE</w:t>
      </w:r>
    </w:p>
    <w:p w14:paraId="1DF1A890" w14:textId="5ADC6AC3" w:rsidR="00A70BA2" w:rsidRPr="00AC5305" w:rsidRDefault="00A70BA2" w:rsidP="00A70BA2">
      <w:pPr>
        <w:spacing w:line="240" w:lineRule="auto"/>
        <w:jc w:val="center"/>
      </w:pPr>
    </w:p>
    <w:p w14:paraId="54F89B7F" w14:textId="60723D1D" w:rsidR="00A70BA2" w:rsidRPr="00AC5305" w:rsidRDefault="00A70BA2" w:rsidP="00A70BA2">
      <w:pPr>
        <w:spacing w:line="240" w:lineRule="auto"/>
        <w:jc w:val="center"/>
      </w:pPr>
    </w:p>
    <w:tbl>
      <w:tblPr>
        <w:tblW w:w="9450" w:type="dxa"/>
        <w:tblLayout w:type="fixed"/>
        <w:tblLook w:val="0000" w:firstRow="0" w:lastRow="0" w:firstColumn="0" w:lastColumn="0" w:noHBand="0" w:noVBand="0"/>
      </w:tblPr>
      <w:tblGrid>
        <w:gridCol w:w="4680"/>
        <w:gridCol w:w="4770"/>
      </w:tblGrid>
      <w:tr w:rsidR="00A70BA2" w:rsidRPr="00AC5305" w14:paraId="6BC889AE" w14:textId="77777777" w:rsidTr="00FB54F0">
        <w:tc>
          <w:tcPr>
            <w:tcW w:w="4680" w:type="dxa"/>
            <w:tcBorders>
              <w:bottom w:val="single" w:sz="4" w:space="0" w:color="auto"/>
              <w:right w:val="single" w:sz="4" w:space="0" w:color="auto"/>
            </w:tcBorders>
            <w:shd w:val="clear" w:color="auto" w:fill="auto"/>
          </w:tcPr>
          <w:p w14:paraId="444FD381" w14:textId="77777777" w:rsidR="00A70BA2" w:rsidRPr="00AC5305" w:rsidRDefault="00A70BA2" w:rsidP="00A70BA2">
            <w:pPr>
              <w:spacing w:after="120" w:line="240" w:lineRule="auto"/>
            </w:pPr>
            <w:r w:rsidRPr="00AC5305">
              <w:t>KELLIE KUHNEL,</w:t>
            </w:r>
          </w:p>
          <w:p w14:paraId="71EDB68B" w14:textId="77777777" w:rsidR="00A70BA2" w:rsidRPr="00AC5305" w:rsidRDefault="00A70BA2" w:rsidP="00A70BA2">
            <w:pPr>
              <w:spacing w:after="120" w:line="240" w:lineRule="auto"/>
            </w:pPr>
            <w:r w:rsidRPr="00AC5305">
              <w:tab/>
              <w:t>Petitioner,</w:t>
            </w:r>
          </w:p>
          <w:p w14:paraId="67724DD3" w14:textId="77777777" w:rsidR="00A70BA2" w:rsidRPr="00AC5305" w:rsidRDefault="00A70BA2" w:rsidP="00A70BA2">
            <w:pPr>
              <w:spacing w:after="120" w:line="240" w:lineRule="auto"/>
            </w:pPr>
            <w:r w:rsidRPr="00AC5305">
              <w:t>v.</w:t>
            </w:r>
          </w:p>
          <w:p w14:paraId="5DF51C27" w14:textId="77777777" w:rsidR="00A70BA2" w:rsidRPr="00AC5305" w:rsidRDefault="00A70BA2" w:rsidP="00A70BA2">
            <w:pPr>
              <w:spacing w:after="120" w:line="240" w:lineRule="auto"/>
            </w:pPr>
            <w:r w:rsidRPr="00AC5305">
              <w:t>THE SUPERIOR COURT OF CONTRA COSTA COUNTY,</w:t>
            </w:r>
          </w:p>
          <w:p w14:paraId="70E8941D" w14:textId="77777777" w:rsidR="00A70BA2" w:rsidRPr="00AC5305" w:rsidRDefault="00A70BA2" w:rsidP="00A70BA2">
            <w:pPr>
              <w:spacing w:after="120" w:line="240" w:lineRule="auto"/>
            </w:pPr>
            <w:r w:rsidRPr="00AC5305">
              <w:tab/>
              <w:t>Respondent;</w:t>
            </w:r>
          </w:p>
          <w:p w14:paraId="60A59D72" w14:textId="77777777" w:rsidR="00A70BA2" w:rsidRPr="00AC5305" w:rsidRDefault="00A70BA2" w:rsidP="00A70BA2">
            <w:pPr>
              <w:spacing w:after="120" w:line="240" w:lineRule="auto"/>
            </w:pPr>
            <w:r w:rsidRPr="00AC5305">
              <w:t>THE PEOPLE,</w:t>
            </w:r>
          </w:p>
          <w:p w14:paraId="0D4B2A95" w14:textId="4C9600CB" w:rsidR="00A70BA2" w:rsidRPr="00AC5305" w:rsidRDefault="00A70BA2" w:rsidP="00A70BA2">
            <w:pPr>
              <w:spacing w:after="120" w:line="240" w:lineRule="auto"/>
            </w:pPr>
            <w:r w:rsidRPr="00AC5305">
              <w:tab/>
              <w:t>Real Party in Interest.</w:t>
            </w:r>
          </w:p>
        </w:tc>
        <w:tc>
          <w:tcPr>
            <w:tcW w:w="4770" w:type="dxa"/>
            <w:tcBorders>
              <w:left w:val="single" w:sz="4" w:space="0" w:color="auto"/>
            </w:tcBorders>
            <w:shd w:val="clear" w:color="auto" w:fill="auto"/>
          </w:tcPr>
          <w:p w14:paraId="48B69C72" w14:textId="77777777" w:rsidR="00A70BA2" w:rsidRPr="00AC5305" w:rsidRDefault="00A70BA2" w:rsidP="00A70BA2">
            <w:pPr>
              <w:spacing w:line="240" w:lineRule="auto"/>
            </w:pPr>
          </w:p>
          <w:p w14:paraId="31E60AD5" w14:textId="77777777" w:rsidR="00A70BA2" w:rsidRPr="00AC5305" w:rsidRDefault="00A70BA2" w:rsidP="00A70BA2">
            <w:pPr>
              <w:spacing w:line="240" w:lineRule="auto"/>
            </w:pPr>
          </w:p>
          <w:p w14:paraId="152FA834" w14:textId="77777777" w:rsidR="00A70BA2" w:rsidRPr="00AC5305" w:rsidRDefault="00A70BA2" w:rsidP="00A70BA2">
            <w:pPr>
              <w:spacing w:line="240" w:lineRule="auto"/>
            </w:pPr>
          </w:p>
          <w:p w14:paraId="28CA1242" w14:textId="77777777" w:rsidR="00A70BA2" w:rsidRPr="00AC5305" w:rsidRDefault="00A70BA2" w:rsidP="00A70BA2">
            <w:pPr>
              <w:spacing w:line="240" w:lineRule="auto"/>
            </w:pPr>
          </w:p>
          <w:p w14:paraId="30ED2DFD" w14:textId="77777777" w:rsidR="00A70BA2" w:rsidRPr="00AC5305" w:rsidRDefault="00A70BA2" w:rsidP="00A70BA2">
            <w:pPr>
              <w:spacing w:line="240" w:lineRule="auto"/>
            </w:pPr>
            <w:r w:rsidRPr="00AC5305">
              <w:t xml:space="preserve">      A163307</w:t>
            </w:r>
          </w:p>
          <w:p w14:paraId="1DAA3BAA" w14:textId="77777777" w:rsidR="00A70BA2" w:rsidRPr="00AC5305" w:rsidRDefault="00A70BA2" w:rsidP="00A70BA2">
            <w:pPr>
              <w:spacing w:line="240" w:lineRule="auto"/>
            </w:pPr>
          </w:p>
          <w:p w14:paraId="35D98197" w14:textId="77777777" w:rsidR="00A70BA2" w:rsidRPr="00AC5305" w:rsidRDefault="00A70BA2" w:rsidP="00A70BA2">
            <w:pPr>
              <w:spacing w:line="240" w:lineRule="auto"/>
            </w:pPr>
            <w:r w:rsidRPr="00AC5305">
              <w:t xml:space="preserve">      (Contra Costa County</w:t>
            </w:r>
          </w:p>
          <w:p w14:paraId="7F50509D" w14:textId="77777777" w:rsidR="00A70BA2" w:rsidRPr="00AC5305" w:rsidRDefault="00A70BA2" w:rsidP="00A70BA2">
            <w:pPr>
              <w:spacing w:line="240" w:lineRule="auto"/>
            </w:pPr>
            <w:r w:rsidRPr="00AC5305">
              <w:t xml:space="preserve">      Super. Ct. No. 5-210601-1)</w:t>
            </w:r>
          </w:p>
          <w:p w14:paraId="17AD3B4C" w14:textId="52C8E043" w:rsidR="00A70BA2" w:rsidRPr="00AC5305" w:rsidRDefault="00A70BA2" w:rsidP="00A70BA2">
            <w:pPr>
              <w:spacing w:line="240" w:lineRule="auto"/>
            </w:pPr>
          </w:p>
        </w:tc>
      </w:tr>
    </w:tbl>
    <w:p w14:paraId="199F638B" w14:textId="473194EA" w:rsidR="00A70BA2" w:rsidRPr="00AC5305" w:rsidRDefault="00A70BA2" w:rsidP="00A70BA2">
      <w:pPr>
        <w:spacing w:line="360" w:lineRule="auto"/>
      </w:pPr>
    </w:p>
    <w:p w14:paraId="041FF408" w14:textId="596935F0" w:rsidR="00FD7607" w:rsidRDefault="00D1104D" w:rsidP="00A70BA2">
      <w:pPr>
        <w:spacing w:line="360" w:lineRule="auto"/>
      </w:pPr>
      <w:r w:rsidRPr="00AC5305">
        <w:tab/>
      </w:r>
      <w:r w:rsidR="003654F6">
        <w:t xml:space="preserve">Kellie Kuhnel seeks a writ of mandate directing the trial court to terminate her probation on the ground she is entitled to the retroactive benefit of </w:t>
      </w:r>
      <w:r w:rsidRPr="00AC5305">
        <w:t xml:space="preserve">a recent statutory amendment reducing the </w:t>
      </w:r>
      <w:r w:rsidR="00B452FA">
        <w:t>length of probationary terms</w:t>
      </w:r>
      <w:r w:rsidRPr="00AC5305">
        <w:t>.</w:t>
      </w:r>
      <w:r w:rsidR="005A7AC9" w:rsidRPr="00AC5305">
        <w:t xml:space="preserve">  </w:t>
      </w:r>
      <w:r w:rsidR="003B1FEA" w:rsidRPr="00AC5305">
        <w:t xml:space="preserve">Previous </w:t>
      </w:r>
      <w:r w:rsidR="005A7AC9" w:rsidRPr="00AC5305">
        <w:t>law</w:t>
      </w:r>
      <w:r w:rsidR="003B1FEA" w:rsidRPr="00AC5305">
        <w:t xml:space="preserve"> generally allowed a court to place</w:t>
      </w:r>
      <w:r w:rsidR="005A7AC9" w:rsidRPr="00AC5305">
        <w:t xml:space="preserve"> </w:t>
      </w:r>
      <w:r w:rsidR="00D92AA9">
        <w:t>a defendant</w:t>
      </w:r>
      <w:r w:rsidR="00D92AA9" w:rsidRPr="00AC5305">
        <w:t xml:space="preserve"> </w:t>
      </w:r>
      <w:r w:rsidR="005A7AC9" w:rsidRPr="00AC5305">
        <w:t>convicted of a misdemeanor on probation for</w:t>
      </w:r>
      <w:r w:rsidR="0037520A" w:rsidRPr="00AC5305">
        <w:t xml:space="preserve"> up to</w:t>
      </w:r>
      <w:r w:rsidR="005A7AC9" w:rsidRPr="00AC5305">
        <w:t xml:space="preserve"> three years.</w:t>
      </w:r>
      <w:r w:rsidR="0037520A" w:rsidRPr="00AC5305">
        <w:t xml:space="preserve">  (Former Pen. Code, § 1203a.)</w:t>
      </w:r>
      <w:r w:rsidR="0037520A" w:rsidRPr="00AC5305">
        <w:rPr>
          <w:rStyle w:val="FootnoteReference"/>
        </w:rPr>
        <w:footnoteReference w:id="1"/>
      </w:r>
      <w:r w:rsidR="005A7AC9" w:rsidRPr="00AC5305">
        <w:t xml:space="preserve">  </w:t>
      </w:r>
      <w:r w:rsidR="00B452FA">
        <w:t xml:space="preserve">Effective </w:t>
      </w:r>
      <w:r w:rsidR="005A7AC9" w:rsidRPr="00AC5305">
        <w:t>January 1, 2021</w:t>
      </w:r>
      <w:r w:rsidR="00B452FA">
        <w:t>, this default period</w:t>
      </w:r>
      <w:r w:rsidR="003B1FEA" w:rsidRPr="00AC5305">
        <w:t xml:space="preserve"> </w:t>
      </w:r>
      <w:r w:rsidR="00590958">
        <w:t>i</w:t>
      </w:r>
      <w:r w:rsidR="00B452FA">
        <w:t xml:space="preserve">s reduced </w:t>
      </w:r>
      <w:r w:rsidR="003B1FEA" w:rsidRPr="00AC5305">
        <w:t xml:space="preserve">to </w:t>
      </w:r>
      <w:r w:rsidR="005A7AC9" w:rsidRPr="00AC5305">
        <w:t>one year.  (</w:t>
      </w:r>
      <w:bookmarkStart w:id="1" w:name="_Hlk86402988"/>
      <w:r w:rsidR="005A7AC9" w:rsidRPr="0002336D">
        <w:t>A</w:t>
      </w:r>
      <w:r w:rsidR="0037520A" w:rsidRPr="0002336D">
        <w:t>ssem</w:t>
      </w:r>
      <w:r w:rsidR="0002336D">
        <w:t>.</w:t>
      </w:r>
      <w:r w:rsidR="0037520A" w:rsidRPr="00AC5305">
        <w:t xml:space="preserve"> Bill </w:t>
      </w:r>
      <w:r w:rsidR="00B452FA">
        <w:t xml:space="preserve">No. </w:t>
      </w:r>
      <w:r w:rsidR="005A7AC9" w:rsidRPr="00AC5305">
        <w:t>1950</w:t>
      </w:r>
      <w:r w:rsidR="00CC29E0">
        <w:t xml:space="preserve"> (2019</w:t>
      </w:r>
      <w:r w:rsidR="009B0B31">
        <w:t>–</w:t>
      </w:r>
      <w:r w:rsidR="00CC29E0">
        <w:t>2020 Reg. Sess.),</w:t>
      </w:r>
      <w:r w:rsidR="0037520A" w:rsidRPr="00AC5305">
        <w:t xml:space="preserve"> Stats.</w:t>
      </w:r>
      <w:r w:rsidR="00CC29E0">
        <w:t> </w:t>
      </w:r>
      <w:r w:rsidR="0037520A" w:rsidRPr="00AC5305">
        <w:t xml:space="preserve">2020, ch. 328, </w:t>
      </w:r>
      <w:r w:rsidR="00606ACA" w:rsidRPr="00AC5305">
        <w:t>§ 1</w:t>
      </w:r>
      <w:bookmarkEnd w:id="1"/>
      <w:r w:rsidR="00B452FA">
        <w:t xml:space="preserve"> (Assembly Bill 1950)</w:t>
      </w:r>
      <w:r w:rsidR="00813D31" w:rsidRPr="00AC5305">
        <w:t>; Pen. Code, § 1203a</w:t>
      </w:r>
      <w:r w:rsidR="00590958">
        <w:t>.</w:t>
      </w:r>
      <w:r w:rsidR="005A7AC9" w:rsidRPr="00AC5305">
        <w:t>)</w:t>
      </w:r>
      <w:r w:rsidRPr="00AC5305">
        <w:t xml:space="preserve">  </w:t>
      </w:r>
      <w:r w:rsidR="00B452FA">
        <w:t>A</w:t>
      </w:r>
      <w:r w:rsidR="005A7AC9" w:rsidRPr="00AC5305">
        <w:t xml:space="preserve">ppellate courts have </w:t>
      </w:r>
      <w:r w:rsidR="00B452FA">
        <w:t xml:space="preserve">unanimously </w:t>
      </w:r>
      <w:r w:rsidR="005A7AC9" w:rsidRPr="00AC5305">
        <w:t xml:space="preserve">concluded that </w:t>
      </w:r>
      <w:r w:rsidR="00590958">
        <w:t>Assembly Bill 1950</w:t>
      </w:r>
      <w:r w:rsidR="00B452FA">
        <w:t xml:space="preserve"> applies</w:t>
      </w:r>
      <w:r w:rsidR="005A7AC9" w:rsidRPr="00AC5305">
        <w:t xml:space="preserve"> retroactive</w:t>
      </w:r>
      <w:r w:rsidR="00B452FA">
        <w:t>ly to cases that are not yet final</w:t>
      </w:r>
      <w:r w:rsidR="00D92AA9">
        <w:t>,</w:t>
      </w:r>
      <w:r w:rsidR="005A7AC9" w:rsidRPr="00AC5305">
        <w:t xml:space="preserve"> and have accordingly reduced the length of probationary terms imposed before the new law went into effect. </w:t>
      </w:r>
      <w:r w:rsidR="00FD7607">
        <w:t xml:space="preserve"> (See, e.g., </w:t>
      </w:r>
      <w:r w:rsidR="00FD7607" w:rsidRPr="00AC5305">
        <w:rPr>
          <w:i/>
          <w:iCs/>
        </w:rPr>
        <w:lastRenderedPageBreak/>
        <w:t>People v. Quinn</w:t>
      </w:r>
      <w:r w:rsidR="00FD7607" w:rsidRPr="00AC5305">
        <w:t xml:space="preserve"> (2021) 59 Cal.App.5th 874 (</w:t>
      </w:r>
      <w:r w:rsidR="00FD7607" w:rsidRPr="00AC5305">
        <w:rPr>
          <w:i/>
          <w:iCs/>
        </w:rPr>
        <w:t>Quinn</w:t>
      </w:r>
      <w:r w:rsidR="00FD7607" w:rsidRPr="00AC5305">
        <w:t>)</w:t>
      </w:r>
      <w:r w:rsidR="00FD7607">
        <w:t>.)</w:t>
      </w:r>
      <w:r w:rsidR="00702E20">
        <w:t xml:space="preserve"> </w:t>
      </w:r>
      <w:r w:rsidR="005A7AC9" w:rsidRPr="00AC5305">
        <w:t xml:space="preserve"> </w:t>
      </w:r>
      <w:r w:rsidR="001C29DB">
        <w:t>In this case, Kuhnel was originally placed on three years’ probation, and t</w:t>
      </w:r>
      <w:r w:rsidR="005A7AC9" w:rsidRPr="00AC5305">
        <w:t xml:space="preserve">he question </w:t>
      </w:r>
      <w:r w:rsidR="00B452FA">
        <w:t>before us</w:t>
      </w:r>
      <w:r w:rsidR="005A7AC9" w:rsidRPr="00AC5305">
        <w:t xml:space="preserve"> is</w:t>
      </w:r>
      <w:r w:rsidR="00B452FA">
        <w:t xml:space="preserve"> </w:t>
      </w:r>
      <w:r w:rsidR="005A7AC9" w:rsidRPr="00AC5305">
        <w:t>whether th</w:t>
      </w:r>
      <w:r w:rsidR="00D11A71">
        <w:t>is</w:t>
      </w:r>
      <w:r w:rsidR="005A7AC9" w:rsidRPr="00AC5305">
        <w:t xml:space="preserve"> rule of retroactivity prevent</w:t>
      </w:r>
      <w:r w:rsidR="00D92AA9">
        <w:t>s</w:t>
      </w:r>
      <w:r w:rsidR="005A7AC9" w:rsidRPr="00AC5305">
        <w:t xml:space="preserve"> </w:t>
      </w:r>
      <w:r w:rsidR="00D11A71">
        <w:t>the</w:t>
      </w:r>
      <w:r w:rsidR="00D11A71" w:rsidRPr="00AC5305">
        <w:t xml:space="preserve"> </w:t>
      </w:r>
      <w:r w:rsidR="005A7AC9" w:rsidRPr="00AC5305">
        <w:t xml:space="preserve">court from adjudicating </w:t>
      </w:r>
      <w:r w:rsidR="00D11A71">
        <w:t xml:space="preserve">a </w:t>
      </w:r>
      <w:r w:rsidR="005A7AC9" w:rsidRPr="00AC5305">
        <w:t xml:space="preserve">violation </w:t>
      </w:r>
      <w:r w:rsidR="00D11A71">
        <w:t>allegedly</w:t>
      </w:r>
      <w:r w:rsidR="00D92AA9">
        <w:t xml:space="preserve"> committed during </w:t>
      </w:r>
      <w:r w:rsidR="009929DE">
        <w:t>her</w:t>
      </w:r>
      <w:r w:rsidR="00D92AA9">
        <w:t xml:space="preserve"> first year o</w:t>
      </w:r>
      <w:r w:rsidR="00FD7607">
        <w:t>n</w:t>
      </w:r>
      <w:r w:rsidR="00D92AA9">
        <w:t xml:space="preserve"> probation</w:t>
      </w:r>
      <w:r w:rsidR="009929DE">
        <w:t>,</w:t>
      </w:r>
      <w:r w:rsidR="00D92AA9">
        <w:t xml:space="preserve"> </w:t>
      </w:r>
      <w:r w:rsidR="009929DE">
        <w:t>which</w:t>
      </w:r>
      <w:r w:rsidR="00D11A71">
        <w:t xml:space="preserve"> result</w:t>
      </w:r>
      <w:r w:rsidR="00590958">
        <w:t>ed</w:t>
      </w:r>
      <w:r w:rsidR="00D11A71">
        <w:t xml:space="preserve"> in</w:t>
      </w:r>
      <w:r w:rsidR="00590958">
        <w:t xml:space="preserve"> </w:t>
      </w:r>
      <w:r w:rsidR="001C29DB">
        <w:t xml:space="preserve">the court </w:t>
      </w:r>
      <w:r w:rsidR="00D11A71">
        <w:t>summar</w:t>
      </w:r>
      <w:r w:rsidR="00590958">
        <w:t>il</w:t>
      </w:r>
      <w:r w:rsidR="00D11A71">
        <w:t>y revo</w:t>
      </w:r>
      <w:r w:rsidR="00590958">
        <w:t>k</w:t>
      </w:r>
      <w:r w:rsidR="001C29DB">
        <w:t xml:space="preserve">ing her probation </w:t>
      </w:r>
      <w:r w:rsidR="00FD7607">
        <w:t>early in the second year</w:t>
      </w:r>
      <w:r w:rsidR="00D11A71">
        <w:t xml:space="preserve">.  </w:t>
      </w:r>
    </w:p>
    <w:p w14:paraId="57A8E3E5" w14:textId="5D39D8B3" w:rsidR="00D1104D" w:rsidRPr="00AC5305" w:rsidRDefault="00FD7607" w:rsidP="00A70BA2">
      <w:pPr>
        <w:spacing w:line="360" w:lineRule="auto"/>
      </w:pPr>
      <w:r>
        <w:tab/>
      </w:r>
      <w:r w:rsidR="009929DE">
        <w:t xml:space="preserve">All </w:t>
      </w:r>
      <w:r>
        <w:t xml:space="preserve">of </w:t>
      </w:r>
      <w:r w:rsidR="009929DE">
        <w:t>t</w:t>
      </w:r>
      <w:r w:rsidR="00D11A71">
        <w:t>hese events occurred</w:t>
      </w:r>
      <w:r w:rsidR="003654F6">
        <w:t xml:space="preserve"> well before </w:t>
      </w:r>
      <w:r w:rsidR="0037520A" w:rsidRPr="00AC5305">
        <w:t xml:space="preserve">Assembly Bill 1950 </w:t>
      </w:r>
      <w:r w:rsidR="00D11A71">
        <w:t xml:space="preserve">was enacted or </w:t>
      </w:r>
      <w:r w:rsidR="0037520A" w:rsidRPr="00AC5305">
        <w:t>went into effect</w:t>
      </w:r>
      <w:r w:rsidR="00D11A71">
        <w:t xml:space="preserve">, </w:t>
      </w:r>
      <w:r w:rsidR="009929DE">
        <w:t xml:space="preserve">and were </w:t>
      </w:r>
      <w:r w:rsidR="004D2602">
        <w:t>appropriate under then-governing law</w:t>
      </w:r>
      <w:r w:rsidR="00D92AA9">
        <w:t xml:space="preserve">.  </w:t>
      </w:r>
      <w:r>
        <w:t xml:space="preserve">(See section 1203.3, subd. (a).)  </w:t>
      </w:r>
      <w:r w:rsidR="005A7AC9" w:rsidRPr="00AC5305">
        <w:t xml:space="preserve">We conclude </w:t>
      </w:r>
      <w:r w:rsidR="004D2602">
        <w:t xml:space="preserve">that having summarily revoked Kuhnel’s probation under these circumstances, </w:t>
      </w:r>
      <w:r w:rsidR="00B841F8" w:rsidRPr="00AC5305">
        <w:t xml:space="preserve">the trial court retained jurisdiction to </w:t>
      </w:r>
      <w:r w:rsidR="004D2602">
        <w:t>conduct a formal hearing on the</w:t>
      </w:r>
      <w:r w:rsidR="004D2602" w:rsidRPr="00AC5305">
        <w:t xml:space="preserve"> </w:t>
      </w:r>
      <w:r w:rsidR="00B841F8" w:rsidRPr="00AC5305">
        <w:t>probation violation</w:t>
      </w:r>
      <w:r w:rsidR="00D92AA9">
        <w:t xml:space="preserve"> </w:t>
      </w:r>
      <w:r w:rsidR="004D2602">
        <w:t xml:space="preserve">even after </w:t>
      </w:r>
      <w:r w:rsidR="001C29DB">
        <w:t xml:space="preserve">the effective date </w:t>
      </w:r>
      <w:r w:rsidR="004D2602">
        <w:t>of Assembly Bill 1950</w:t>
      </w:r>
      <w:r w:rsidR="009F232C" w:rsidRPr="00AC5305">
        <w:t xml:space="preserve">, and </w:t>
      </w:r>
      <w:r w:rsidR="004D2602">
        <w:t xml:space="preserve">we </w:t>
      </w:r>
      <w:r w:rsidR="009F232C" w:rsidRPr="00AC5305">
        <w:t xml:space="preserve">accordingly </w:t>
      </w:r>
      <w:r w:rsidR="00587C78" w:rsidRPr="00AC5305">
        <w:t>deny the petition</w:t>
      </w:r>
      <w:r w:rsidR="005A7AC9" w:rsidRPr="00AC5305">
        <w:t>.</w:t>
      </w:r>
    </w:p>
    <w:p w14:paraId="5E8F9E60" w14:textId="59CD936F" w:rsidR="00D1104D" w:rsidRPr="00AC5305" w:rsidRDefault="009F232C" w:rsidP="009F232C">
      <w:pPr>
        <w:spacing w:line="360" w:lineRule="auto"/>
        <w:jc w:val="center"/>
        <w:rPr>
          <w:b/>
          <w:bCs/>
        </w:rPr>
      </w:pPr>
      <w:r w:rsidRPr="00AC5305">
        <w:rPr>
          <w:b/>
          <w:bCs/>
        </w:rPr>
        <w:t>FACTUAL AND PROCEDURAL BACKGROUND</w:t>
      </w:r>
    </w:p>
    <w:p w14:paraId="542AB4D7" w14:textId="6C9B18EF" w:rsidR="00A70BA2" w:rsidRPr="00AC5305" w:rsidRDefault="00D1104D" w:rsidP="00A70BA2">
      <w:pPr>
        <w:spacing w:line="360" w:lineRule="auto"/>
      </w:pPr>
      <w:r w:rsidRPr="00AC5305">
        <w:tab/>
        <w:t xml:space="preserve">Petitioner Kellie Kuhnel was convicted of misdemeanor embezzlement and placed on probation for three years on November 17, 2016. </w:t>
      </w:r>
      <w:r w:rsidR="009F232C" w:rsidRPr="00AC5305">
        <w:t xml:space="preserve"> </w:t>
      </w:r>
      <w:r w:rsidR="004D2602">
        <w:t>Eleven months into her probation,</w:t>
      </w:r>
      <w:r w:rsidR="004D2602" w:rsidRPr="00AC5305">
        <w:t xml:space="preserve"> </w:t>
      </w:r>
      <w:r w:rsidR="00CC29E0">
        <w:t>i</w:t>
      </w:r>
      <w:r w:rsidR="00CC29E0" w:rsidRPr="0002336D">
        <w:t>n</w:t>
      </w:r>
      <w:r w:rsidR="004D2602" w:rsidRPr="00AC5305">
        <w:t xml:space="preserve"> October 2017</w:t>
      </w:r>
      <w:r w:rsidR="004D2602">
        <w:t xml:space="preserve">, the </w:t>
      </w:r>
      <w:r w:rsidR="009929DE">
        <w:t xml:space="preserve">Orinda </w:t>
      </w:r>
      <w:r w:rsidR="00712ABE">
        <w:t>P</w:t>
      </w:r>
      <w:r w:rsidR="004D2602">
        <w:t xml:space="preserve">olice </w:t>
      </w:r>
      <w:r w:rsidR="00712ABE">
        <w:t xml:space="preserve">Department </w:t>
      </w:r>
      <w:r w:rsidR="004D2602">
        <w:t xml:space="preserve">received a report that </w:t>
      </w:r>
      <w:r w:rsidR="00712ABE">
        <w:t xml:space="preserve">Kuhnel had committed new acts of fraud, and </w:t>
      </w:r>
      <w:r w:rsidR="00FD7607">
        <w:t>in early December</w:t>
      </w:r>
      <w:r w:rsidR="00712ABE">
        <w:t xml:space="preserve"> </w:t>
      </w:r>
      <w:r w:rsidR="009F232C" w:rsidRPr="00AC5305">
        <w:t xml:space="preserve">the probation department reported </w:t>
      </w:r>
      <w:r w:rsidR="00712ABE">
        <w:t xml:space="preserve">this </w:t>
      </w:r>
      <w:r w:rsidR="009F232C" w:rsidRPr="00AC5305">
        <w:t xml:space="preserve">to the trial court. </w:t>
      </w:r>
      <w:r w:rsidR="00CE03F0" w:rsidRPr="00AC5305">
        <w:t xml:space="preserve"> </w:t>
      </w:r>
      <w:r w:rsidR="00712ABE">
        <w:t>Thirteen months into her probation, o</w:t>
      </w:r>
      <w:r w:rsidR="00CE03F0" w:rsidRPr="00AC5305">
        <w:t xml:space="preserve">n December 11, 2017, the trial court summarily revoked Kuhnel’s probation and set a hearing on the violation for January 8, 2018. </w:t>
      </w:r>
      <w:r w:rsidR="00772277" w:rsidRPr="00AC5305">
        <w:t xml:space="preserve"> The hearing was continued multiple times</w:t>
      </w:r>
      <w:r w:rsidR="0040438E">
        <w:t>, on several occasions because Kuhnel failed to appear</w:t>
      </w:r>
      <w:r w:rsidR="00386881">
        <w:t xml:space="preserve"> and twice in 2021 at her request.  </w:t>
      </w:r>
    </w:p>
    <w:p w14:paraId="488D5A4E" w14:textId="2F8C7DDA" w:rsidR="003B44B3" w:rsidRPr="00AC5305" w:rsidRDefault="003B44B3" w:rsidP="00A70BA2">
      <w:pPr>
        <w:spacing w:line="360" w:lineRule="auto"/>
      </w:pPr>
      <w:r w:rsidRPr="00AC5305">
        <w:tab/>
      </w:r>
      <w:r w:rsidR="008657FD">
        <w:t xml:space="preserve">Without the probation violation hearing </w:t>
      </w:r>
      <w:r w:rsidR="00712ABE">
        <w:t xml:space="preserve">ever </w:t>
      </w:r>
      <w:r w:rsidR="008657FD">
        <w:t xml:space="preserve">being held, </w:t>
      </w:r>
      <w:r w:rsidRPr="00AC5305">
        <w:t xml:space="preserve">Kuhnel moved </w:t>
      </w:r>
      <w:r w:rsidR="002717C6" w:rsidRPr="00AC5305">
        <w:t>on June 18, 2021</w:t>
      </w:r>
      <w:r w:rsidR="002717C6">
        <w:t xml:space="preserve"> </w:t>
      </w:r>
      <w:r w:rsidRPr="00AC5305">
        <w:t xml:space="preserve">to terminate her probation, arguing that she had </w:t>
      </w:r>
      <w:r w:rsidR="006C74BF">
        <w:t xml:space="preserve">been on probation for </w:t>
      </w:r>
      <w:r w:rsidRPr="00AC5305">
        <w:t>more than one year and Assembly Bill 1950</w:t>
      </w:r>
      <w:r w:rsidR="00433B5A">
        <w:t xml:space="preserve"> applied retroactively to </w:t>
      </w:r>
      <w:r w:rsidR="008657FD">
        <w:t xml:space="preserve">shorten </w:t>
      </w:r>
      <w:r w:rsidR="00433B5A">
        <w:t xml:space="preserve">her </w:t>
      </w:r>
      <w:r w:rsidR="008657FD">
        <w:t>probationary term</w:t>
      </w:r>
      <w:r w:rsidRPr="00AC5305">
        <w:t xml:space="preserve">.  </w:t>
      </w:r>
      <w:r w:rsidR="00B075CE" w:rsidRPr="00AC5305">
        <w:t xml:space="preserve">Relying on </w:t>
      </w:r>
      <w:r w:rsidR="00B075CE" w:rsidRPr="00AC5305">
        <w:rPr>
          <w:i/>
          <w:iCs/>
        </w:rPr>
        <w:t>People v. Leiva</w:t>
      </w:r>
      <w:r w:rsidR="00B075CE" w:rsidRPr="00AC5305">
        <w:t xml:space="preserve"> </w:t>
      </w:r>
      <w:r w:rsidR="00B075CE" w:rsidRPr="00AC5305">
        <w:lastRenderedPageBreak/>
        <w:t>(2013) 56 Cal.4th 498 (</w:t>
      </w:r>
      <w:r w:rsidR="00B075CE" w:rsidRPr="00AC5305">
        <w:rPr>
          <w:i/>
          <w:iCs/>
        </w:rPr>
        <w:t>Leiva</w:t>
      </w:r>
      <w:r w:rsidR="00B075CE" w:rsidRPr="00AC5305">
        <w:t>)</w:t>
      </w:r>
      <w:r w:rsidR="00712ABE">
        <w:t xml:space="preserve"> and </w:t>
      </w:r>
      <w:r w:rsidR="002959BC">
        <w:t>a statutory provision</w:t>
      </w:r>
      <w:r w:rsidR="002959BC" w:rsidRPr="00AC5305">
        <w:t xml:space="preserve"> that revocation of probation serves to toll the running of </w:t>
      </w:r>
      <w:r w:rsidR="002959BC">
        <w:t>a</w:t>
      </w:r>
      <w:r w:rsidR="002959BC" w:rsidRPr="00AC5305">
        <w:t xml:space="preserve"> </w:t>
      </w:r>
      <w:r w:rsidR="002959BC">
        <w:t xml:space="preserve">probationary </w:t>
      </w:r>
      <w:r w:rsidR="002959BC" w:rsidRPr="00AC5305">
        <w:t>term</w:t>
      </w:r>
      <w:r w:rsidR="002959BC">
        <w:t xml:space="preserve"> (§1203.2, subd. (a) </w:t>
      </w:r>
      <w:r w:rsidR="00702E20">
        <w:t>(</w:t>
      </w:r>
      <w:r w:rsidR="002959BC">
        <w:t>§ 1203.2(a)</w:t>
      </w:r>
      <w:r w:rsidR="00702E20">
        <w:t>)</w:t>
      </w:r>
      <w:r w:rsidR="002959BC">
        <w:t>)</w:t>
      </w:r>
      <w:r w:rsidR="00B075CE" w:rsidRPr="00AC5305">
        <w:t>, t</w:t>
      </w:r>
      <w:r w:rsidRPr="00AC5305">
        <w:t xml:space="preserve">he People opposed the motion on the ground the court retained jurisdiction to adjudicate violations that took place during the original term of probation. </w:t>
      </w:r>
      <w:r w:rsidR="00B075CE" w:rsidRPr="00AC5305">
        <w:t xml:space="preserve"> </w:t>
      </w:r>
      <w:r w:rsidR="00E034F9">
        <w:t xml:space="preserve">The trial court </w:t>
      </w:r>
      <w:r w:rsidR="002959BC">
        <w:t>accepted</w:t>
      </w:r>
      <w:r w:rsidR="00E034F9">
        <w:t xml:space="preserve"> this theory, at least </w:t>
      </w:r>
      <w:r w:rsidR="006C74BF">
        <w:t>under the circumstances of this case</w:t>
      </w:r>
      <w:r w:rsidR="008657FD">
        <w:t xml:space="preserve">, </w:t>
      </w:r>
      <w:r w:rsidR="00E034F9">
        <w:t>and accordingly</w:t>
      </w:r>
      <w:r w:rsidR="00B075CE" w:rsidRPr="00AC5305">
        <w:t xml:space="preserve"> denied Kuhnel’s motion on July 9, 2021.  </w:t>
      </w:r>
    </w:p>
    <w:p w14:paraId="5950E1DD" w14:textId="11A759A4" w:rsidR="00FF1746" w:rsidRPr="00AC5305" w:rsidRDefault="00FF1746" w:rsidP="00A70BA2">
      <w:pPr>
        <w:spacing w:line="360" w:lineRule="auto"/>
      </w:pPr>
      <w:r w:rsidRPr="00AC5305">
        <w:tab/>
        <w:t>Kuhnel petitioned the trial court’s appellate division for a writ of mandate, and the appellate division denied the petition</w:t>
      </w:r>
      <w:r w:rsidR="00E034F9">
        <w:t xml:space="preserve"> without explanation</w:t>
      </w:r>
      <w:r w:rsidRPr="00AC5305">
        <w:t xml:space="preserve"> on August 12, 2021.  Kuhnel then petitioned this court for a writ of mandate</w:t>
      </w:r>
      <w:r w:rsidR="003B1FEA" w:rsidRPr="00AC5305">
        <w:t xml:space="preserve"> (Code Civ. Proc., § </w:t>
      </w:r>
      <w:r w:rsidR="00EF515D">
        <w:t>904.3</w:t>
      </w:r>
      <w:r w:rsidR="003B1FEA" w:rsidRPr="00AC5305">
        <w:t>)</w:t>
      </w:r>
      <w:r w:rsidRPr="00AC5305">
        <w:t xml:space="preserve">, and on September 23, 2021, we issued an alternative writ directing the appellate division of the superior court either to grant </w:t>
      </w:r>
      <w:r w:rsidR="008121FD" w:rsidRPr="00AC5305">
        <w:t xml:space="preserve">her petition or to show cause why a peremptory writ of mandate should not be granted. </w:t>
      </w:r>
      <w:r w:rsidR="007261DC" w:rsidRPr="00AC5305">
        <w:t xml:space="preserve"> The appellate division elected not to grant the petition, explaining that it would welcome our guidance on the interaction among </w:t>
      </w:r>
      <w:r w:rsidR="00494226">
        <w:t>section</w:t>
      </w:r>
      <w:r w:rsidR="00494226" w:rsidRPr="00AC5305">
        <w:t xml:space="preserve"> </w:t>
      </w:r>
      <w:r w:rsidR="007261DC" w:rsidRPr="00AC5305">
        <w:t xml:space="preserve">1203.2(a), </w:t>
      </w:r>
      <w:r w:rsidR="007261DC" w:rsidRPr="00AC5305">
        <w:rPr>
          <w:i/>
          <w:iCs/>
        </w:rPr>
        <w:t>Leiva</w:t>
      </w:r>
      <w:r w:rsidR="007261DC" w:rsidRPr="00AC5305">
        <w:t xml:space="preserve">, and Assembly Bill 1950.  The District Attorney therefore filed a return to the writ petition, and Kuhnel has filed a traverse. </w:t>
      </w:r>
    </w:p>
    <w:p w14:paraId="085DCC25" w14:textId="11D32750" w:rsidR="00EF515D" w:rsidRPr="00D02ED1" w:rsidRDefault="00813D31" w:rsidP="00D02ED1">
      <w:pPr>
        <w:keepNext/>
        <w:spacing w:line="360" w:lineRule="auto"/>
        <w:jc w:val="center"/>
        <w:rPr>
          <w:b/>
          <w:bCs/>
        </w:rPr>
      </w:pPr>
      <w:r w:rsidRPr="00AC5305">
        <w:rPr>
          <w:b/>
          <w:bCs/>
        </w:rPr>
        <w:t>DISCUSSION</w:t>
      </w:r>
    </w:p>
    <w:p w14:paraId="49E7F3AE" w14:textId="0999C73A" w:rsidR="00813D31" w:rsidRDefault="00813D31" w:rsidP="00A70BA2">
      <w:pPr>
        <w:spacing w:line="360" w:lineRule="auto"/>
      </w:pPr>
      <w:r w:rsidRPr="00AC5305">
        <w:tab/>
      </w:r>
      <w:r w:rsidR="00EF515D">
        <w:t>When</w:t>
      </w:r>
      <w:r w:rsidRPr="00AC5305">
        <w:t xml:space="preserve"> Kuhnel was placed on probation, section 1203a provided that courts </w:t>
      </w:r>
      <w:r w:rsidR="00E034F9">
        <w:t>could</w:t>
      </w:r>
      <w:r w:rsidRPr="00AC5305">
        <w:t xml:space="preserve"> suspend the imposition or execution of sentence in misdemeanor cases and</w:t>
      </w:r>
      <w:r w:rsidR="00E034F9">
        <w:t xml:space="preserve"> “</w:t>
      </w:r>
      <w:r w:rsidRPr="00AC5305">
        <w:t xml:space="preserve">make and enforce </w:t>
      </w:r>
      <w:r w:rsidR="00CC29E0">
        <w:t>. . .</w:t>
      </w:r>
      <w:r w:rsidR="00E034F9" w:rsidRPr="00AC5305">
        <w:t xml:space="preserve"> </w:t>
      </w:r>
      <w:r w:rsidRPr="00AC5305">
        <w:t xml:space="preserve">terms of probation for a period not to exceed three years,” </w:t>
      </w:r>
      <w:r w:rsidR="00E034F9">
        <w:t>or longer if</w:t>
      </w:r>
      <w:r w:rsidRPr="00AC5305">
        <w:t xml:space="preserve"> the maximum term of imprisonment provided by law exceeded three years.  Among the amendments made by Assembly </w:t>
      </w:r>
      <w:r w:rsidR="0037520A" w:rsidRPr="00AC5305">
        <w:t>Bill</w:t>
      </w:r>
      <w:r w:rsidR="00282065" w:rsidRPr="00AC5305">
        <w:t xml:space="preserve"> 1950, signed by the Governor on September 30, 2020 and effective January 1, 2021</w:t>
      </w:r>
      <w:r w:rsidR="0037520A" w:rsidRPr="00AC5305">
        <w:t xml:space="preserve">, misdemeanor probation </w:t>
      </w:r>
      <w:r w:rsidR="00282065" w:rsidRPr="00AC5305">
        <w:t>may now not exceed</w:t>
      </w:r>
      <w:r w:rsidR="0037520A" w:rsidRPr="00AC5305">
        <w:t xml:space="preserve"> one year</w:t>
      </w:r>
      <w:r w:rsidR="00282065" w:rsidRPr="00AC5305">
        <w:t>, unless</w:t>
      </w:r>
      <w:r w:rsidR="0037520A" w:rsidRPr="00AC5305">
        <w:t xml:space="preserve"> the offense provides for a specific probation length</w:t>
      </w:r>
      <w:r w:rsidR="00E034F9">
        <w:t>, which Kuhnel’s crime did not</w:t>
      </w:r>
      <w:r w:rsidR="0037520A" w:rsidRPr="00AC5305">
        <w:t>.  (§ 1203a; Stats.</w:t>
      </w:r>
      <w:r w:rsidR="00606ACA" w:rsidRPr="00AC5305">
        <w:t xml:space="preserve"> 2020, ch. 328, § 1</w:t>
      </w:r>
      <w:r w:rsidR="00E034F9">
        <w:t xml:space="preserve">; </w:t>
      </w:r>
      <w:r w:rsidR="002959BC" w:rsidRPr="00AC5305">
        <w:t>§</w:t>
      </w:r>
      <w:r w:rsidR="008C1216" w:rsidRPr="00AC5305">
        <w:t>§</w:t>
      </w:r>
      <w:r w:rsidR="002959BC">
        <w:t xml:space="preserve"> 487, subd. (a)</w:t>
      </w:r>
      <w:r w:rsidR="008C1216">
        <w:t>, 489</w:t>
      </w:r>
      <w:r w:rsidR="0037520A" w:rsidRPr="00AC5305">
        <w:t xml:space="preserve">.)  Thus, under the </w:t>
      </w:r>
      <w:r w:rsidR="0037520A" w:rsidRPr="00AC5305">
        <w:lastRenderedPageBreak/>
        <w:t>new law, Kuhnel could have been ordered to serve no more than one year of probation for her offense.  Assembly Bill 1950 also reduced the default maximum probationary term for felonies to two years.</w:t>
      </w:r>
      <w:r w:rsidR="00606ACA" w:rsidRPr="00AC5305">
        <w:t xml:space="preserve">  (§ 1203.1, subds. (a) &amp;</w:t>
      </w:r>
      <w:r w:rsidR="00702E20">
        <w:t> </w:t>
      </w:r>
      <w:r w:rsidR="00606ACA" w:rsidRPr="00AC5305">
        <w:t>(m); Stats. 2020, ch. 328</w:t>
      </w:r>
      <w:r w:rsidR="00FB54F0">
        <w:t>,</w:t>
      </w:r>
      <w:r w:rsidR="00606ACA" w:rsidRPr="00AC5305">
        <w:t xml:space="preserve"> § 2.)</w:t>
      </w:r>
      <w:r w:rsidR="00BA7573" w:rsidRPr="00AC5305">
        <w:t xml:space="preserve">  Kuhnel contends that these amendments apply retroactively and that, as a result, her probation ended as a matter of law on November 17, 2017 and the court no longer has jurisdiction over her. </w:t>
      </w:r>
    </w:p>
    <w:p w14:paraId="20335A30" w14:textId="5CE438B9" w:rsidR="00EF515D" w:rsidRPr="00EF515D" w:rsidRDefault="00EF515D" w:rsidP="00EF515D">
      <w:pPr>
        <w:pStyle w:val="ListParagraph"/>
        <w:numPr>
          <w:ilvl w:val="0"/>
          <w:numId w:val="1"/>
        </w:numPr>
        <w:spacing w:line="360" w:lineRule="auto"/>
        <w:rPr>
          <w:b/>
          <w:bCs/>
        </w:rPr>
      </w:pPr>
      <w:r>
        <w:rPr>
          <w:b/>
          <w:bCs/>
        </w:rPr>
        <w:t xml:space="preserve"> Estoppel</w:t>
      </w:r>
    </w:p>
    <w:p w14:paraId="7EE44661" w14:textId="51E143E0" w:rsidR="00CF5142" w:rsidRDefault="00BA7573" w:rsidP="00BA7573">
      <w:pPr>
        <w:spacing w:line="360" w:lineRule="auto"/>
      </w:pPr>
      <w:r w:rsidRPr="00AC5305">
        <w:tab/>
        <w:t xml:space="preserve">As a threshold issue, the People contend Kuhnel may not challenge the court’s authority to consider the probation violation because she consented to the court’s continuing jurisdiction and contributed to the delays that resulted in the matter being continued until after Assembly Bill 1950 went into effect.  They rely for this proposition on </w:t>
      </w:r>
      <w:r w:rsidRPr="00AC5305">
        <w:rPr>
          <w:i/>
          <w:iCs/>
        </w:rPr>
        <w:t>People v. Ford</w:t>
      </w:r>
      <w:r w:rsidRPr="00AC5305">
        <w:t xml:space="preserve"> (2015) 61 Cal.4th 282 (</w:t>
      </w:r>
      <w:r w:rsidRPr="00AC5305">
        <w:rPr>
          <w:i/>
          <w:iCs/>
        </w:rPr>
        <w:t>Ford</w:t>
      </w:r>
      <w:r w:rsidRPr="00AC5305">
        <w:t xml:space="preserve">), but </w:t>
      </w:r>
      <w:r w:rsidRPr="00AC5305">
        <w:rPr>
          <w:i/>
          <w:iCs/>
        </w:rPr>
        <w:t>Ford</w:t>
      </w:r>
      <w:r w:rsidRPr="00AC5305">
        <w:t xml:space="preserve"> </w:t>
      </w:r>
      <w:r w:rsidR="0006536B" w:rsidRPr="00AC5305">
        <w:t>is readily distinguishable</w:t>
      </w:r>
      <w:r w:rsidRPr="00AC5305">
        <w:t xml:space="preserve">.  </w:t>
      </w:r>
    </w:p>
    <w:p w14:paraId="0C85629A" w14:textId="26530165" w:rsidR="00BA7573" w:rsidRPr="00AC5305" w:rsidRDefault="00CF5142" w:rsidP="00BA7573">
      <w:pPr>
        <w:spacing w:line="360" w:lineRule="auto"/>
        <w:rPr>
          <w:i/>
          <w:iCs/>
        </w:rPr>
      </w:pPr>
      <w:r>
        <w:tab/>
      </w:r>
      <w:r w:rsidR="00BA7573" w:rsidRPr="00AC5305">
        <w:t xml:space="preserve">In </w:t>
      </w:r>
      <w:r w:rsidR="00BA7573" w:rsidRPr="00AC5305">
        <w:rPr>
          <w:i/>
          <w:iCs/>
        </w:rPr>
        <w:t>Ford</w:t>
      </w:r>
      <w:r w:rsidR="00BA7573" w:rsidRPr="00AC5305">
        <w:t xml:space="preserve">, the defendant was placed on probation under an agreement that provided he would pay restitution to the victim of his crime.  </w:t>
      </w:r>
      <w:r w:rsidR="00BA7573" w:rsidRPr="0002336D">
        <w:t>(</w:t>
      </w:r>
      <w:r w:rsidR="00CC29E0">
        <w:rPr>
          <w:i/>
          <w:iCs/>
        </w:rPr>
        <w:t>Ford</w:t>
      </w:r>
      <w:r w:rsidR="009B0B31" w:rsidRPr="009B0B31">
        <w:t>,</w:t>
      </w:r>
      <w:r w:rsidR="00CC29E0">
        <w:rPr>
          <w:i/>
          <w:iCs/>
        </w:rPr>
        <w:t xml:space="preserve"> supra</w:t>
      </w:r>
      <w:r w:rsidR="009B0B31" w:rsidRPr="009B0B31">
        <w:t>,</w:t>
      </w:r>
      <w:r w:rsidR="00BA7573" w:rsidRPr="0002336D">
        <w:t xml:space="preserve"> </w:t>
      </w:r>
      <w:r w:rsidR="00CC29E0" w:rsidRPr="0002336D">
        <w:t>61 Cal.4th</w:t>
      </w:r>
      <w:r w:rsidR="00BA7573" w:rsidRPr="00AC5305">
        <w:t xml:space="preserve"> at p.</w:t>
      </w:r>
      <w:r w:rsidR="00FB54F0">
        <w:t> </w:t>
      </w:r>
      <w:r w:rsidR="00BA7573" w:rsidRPr="00AC5305">
        <w:t>285.)  When the probation officer determined the appropriate amount of restitution, the defendant requested a hearing, which was continued many times, sometimes at his request and always with his consent.  (</w:t>
      </w:r>
      <w:r w:rsidR="00BA7573" w:rsidRPr="00AC5305">
        <w:rPr>
          <w:i/>
          <w:iCs/>
        </w:rPr>
        <w:t>Id</w:t>
      </w:r>
      <w:r w:rsidR="00BA7573" w:rsidRPr="00AC5305">
        <w:t>. at p. 285.)  The hearing finally concluded a week after probation expired, at which point the defendant contested the court’s jurisdiction to order restitution.  (</w:t>
      </w:r>
      <w:r w:rsidR="00BA7573" w:rsidRPr="00AC5305">
        <w:rPr>
          <w:i/>
          <w:iCs/>
        </w:rPr>
        <w:t>Id</w:t>
      </w:r>
      <w:r w:rsidR="00BA7573" w:rsidRPr="00AC5305">
        <w:t>. at pp. 285</w:t>
      </w:r>
      <w:r w:rsidR="009B0B31">
        <w:t>–</w:t>
      </w:r>
      <w:r w:rsidR="00BA7573" w:rsidRPr="00AC5305">
        <w:t>286.)  In concluding the trial court could still order restitution, our high court explained that “the expiration of a probationary period does not terminate a court’s fundamental jurisdiction”; an award after that time would at most be “an ordinary act in excess of jurisdiction.”  (</w:t>
      </w:r>
      <w:r w:rsidR="00BA7573" w:rsidRPr="00AC5305">
        <w:rPr>
          <w:i/>
          <w:iCs/>
        </w:rPr>
        <w:t>Id</w:t>
      </w:r>
      <w:r w:rsidR="00BA7573" w:rsidRPr="00AC5305">
        <w:t>. at p. 287.)  Such an act “is treated as valid until set aside,” and a defendant who seeks or consents to such an act may be estopped from challenging the court’s jurisdiction.  (</w:t>
      </w:r>
      <w:r w:rsidR="00BA7573" w:rsidRPr="00AC5305">
        <w:rPr>
          <w:i/>
          <w:iCs/>
        </w:rPr>
        <w:t>Ibid</w:t>
      </w:r>
      <w:r w:rsidR="00BA7573" w:rsidRPr="00AC5305">
        <w:t xml:space="preserve">.)  Because the defendant’s own </w:t>
      </w:r>
      <w:r w:rsidR="00BA7573" w:rsidRPr="00AC5305">
        <w:lastRenderedPageBreak/>
        <w:t>requests played a role in delaying the hearing and he did not object to a continuance beyond his probationary term, he was estopped from challenging the court’s exercise of jurisdiction</w:t>
      </w:r>
      <w:r>
        <w:t xml:space="preserve">, </w:t>
      </w:r>
      <w:r w:rsidRPr="00FB54F0">
        <w:rPr>
          <w:i/>
          <w:iCs/>
        </w:rPr>
        <w:t>Ford</w:t>
      </w:r>
      <w:r>
        <w:t xml:space="preserve"> held</w:t>
      </w:r>
      <w:r w:rsidR="00BA7573" w:rsidRPr="00AC5305">
        <w:t>.  (</w:t>
      </w:r>
      <w:r w:rsidR="00BA7573" w:rsidRPr="00AC5305">
        <w:rPr>
          <w:i/>
          <w:iCs/>
        </w:rPr>
        <w:t>Id</w:t>
      </w:r>
      <w:r w:rsidR="00BA7573" w:rsidRPr="00AC5305">
        <w:t>. at pp. 288</w:t>
      </w:r>
      <w:r w:rsidR="009B0B31">
        <w:t>–</w:t>
      </w:r>
      <w:r w:rsidR="00BA7573" w:rsidRPr="00AC5305">
        <w:t xml:space="preserve">289.)  Other cases have reached similar conclusions.  (See </w:t>
      </w:r>
      <w:r w:rsidR="00CC29E0">
        <w:rPr>
          <w:i/>
          <w:iCs/>
        </w:rPr>
        <w:t>In re</w:t>
      </w:r>
      <w:r w:rsidR="00BA7573" w:rsidRPr="00AC5305">
        <w:rPr>
          <w:i/>
          <w:iCs/>
        </w:rPr>
        <w:t xml:space="preserve"> Bakke</w:t>
      </w:r>
      <w:r w:rsidR="00BA7573" w:rsidRPr="00AC5305">
        <w:t xml:space="preserve"> (1986) 42 Cal.3d 84, 89</w:t>
      </w:r>
      <w:r w:rsidR="009B0B31">
        <w:t>–</w:t>
      </w:r>
      <w:r w:rsidR="00BA7573" w:rsidRPr="00AC5305">
        <w:t xml:space="preserve">90 [trial court had jurisdiction to order execution of jail term that </w:t>
      </w:r>
      <w:r>
        <w:t>had been</w:t>
      </w:r>
      <w:r w:rsidRPr="00AC5305">
        <w:t xml:space="preserve"> </w:t>
      </w:r>
      <w:r w:rsidR="00BA7573" w:rsidRPr="00AC5305">
        <w:t xml:space="preserve">stayed at probationer’s request]; </w:t>
      </w:r>
      <w:r w:rsidR="00BA7573" w:rsidRPr="00AC5305">
        <w:rPr>
          <w:i/>
          <w:iCs/>
        </w:rPr>
        <w:t xml:space="preserve">In re </w:t>
      </w:r>
      <w:r w:rsidR="00BA7573" w:rsidRPr="0002336D">
        <w:rPr>
          <w:i/>
          <w:iCs/>
        </w:rPr>
        <w:t>Griff</w:t>
      </w:r>
      <w:r w:rsidR="00CC29E0">
        <w:rPr>
          <w:i/>
          <w:iCs/>
        </w:rPr>
        <w:t>i</w:t>
      </w:r>
      <w:r w:rsidR="00BA7573" w:rsidRPr="0002336D">
        <w:rPr>
          <w:i/>
          <w:iCs/>
        </w:rPr>
        <w:t>n</w:t>
      </w:r>
      <w:r w:rsidR="00BA7573" w:rsidRPr="00AC5305">
        <w:t xml:space="preserve"> (1967) 67 Cal.2d 3</w:t>
      </w:r>
      <w:r w:rsidR="00324080" w:rsidRPr="00AC5305">
        <w:t>4</w:t>
      </w:r>
      <w:r w:rsidR="00BA7573" w:rsidRPr="00AC5305">
        <w:t xml:space="preserve">3, 348 [estoppel where probationer requested continuance of probation revocation hearing beyond expiration of probationary term]; </w:t>
      </w:r>
      <w:r w:rsidR="00BA7573" w:rsidRPr="00AC5305">
        <w:rPr>
          <w:i/>
          <w:iCs/>
        </w:rPr>
        <w:t>People v. Ham</w:t>
      </w:r>
      <w:r w:rsidR="00BA7573" w:rsidRPr="00AC5305">
        <w:t xml:space="preserve"> (1975) 44 Cal.App.3d 288, 294 [defendant requested continuance of hearing past probationary period].)</w:t>
      </w:r>
    </w:p>
    <w:p w14:paraId="742A0EC4" w14:textId="75E8F579" w:rsidR="00BA7573" w:rsidRDefault="00BA7573" w:rsidP="00A70BA2">
      <w:pPr>
        <w:spacing w:line="360" w:lineRule="auto"/>
      </w:pPr>
      <w:r w:rsidRPr="00AC5305">
        <w:tab/>
        <w:t xml:space="preserve">The People argue that Kuhnel is likewise estopped because she </w:t>
      </w:r>
      <w:r w:rsidR="00D02ED1">
        <w:t>was the reason for</w:t>
      </w:r>
      <w:r w:rsidRPr="00AC5305">
        <w:t xml:space="preserve"> some of the continuances in this matter and consented to </w:t>
      </w:r>
      <w:r w:rsidR="008C1216">
        <w:t xml:space="preserve">the </w:t>
      </w:r>
      <w:r w:rsidRPr="00AC5305">
        <w:t xml:space="preserve">continuance </w:t>
      </w:r>
      <w:r w:rsidR="008C1216">
        <w:t xml:space="preserve">that placed this case within </w:t>
      </w:r>
      <w:r w:rsidRPr="00AC5305">
        <w:t xml:space="preserve">the effective date of Assembly Bill 1950.  But unlike the defendant in </w:t>
      </w:r>
      <w:r w:rsidRPr="00AC5305">
        <w:rPr>
          <w:i/>
          <w:iCs/>
        </w:rPr>
        <w:t>Ford</w:t>
      </w:r>
      <w:r w:rsidRPr="00AC5305">
        <w:t xml:space="preserve">, </w:t>
      </w:r>
      <w:r w:rsidR="0006536B" w:rsidRPr="00AC5305">
        <w:t xml:space="preserve">Kuhnel neither </w:t>
      </w:r>
      <w:r w:rsidRPr="00AC5305">
        <w:t xml:space="preserve">requested </w:t>
      </w:r>
      <w:r w:rsidR="0006536B" w:rsidRPr="00AC5305">
        <w:t>n</w:t>
      </w:r>
      <w:r w:rsidRPr="00AC5305">
        <w:t>or consented</w:t>
      </w:r>
      <w:r w:rsidR="0006536B" w:rsidRPr="00AC5305">
        <w:t xml:space="preserve"> t</w:t>
      </w:r>
      <w:r w:rsidR="00D02ED1">
        <w:t xml:space="preserve">o </w:t>
      </w:r>
      <w:r w:rsidR="0006536B" w:rsidRPr="00AC5305">
        <w:t>delay</w:t>
      </w:r>
      <w:r w:rsidR="00B25FF5">
        <w:t>s</w:t>
      </w:r>
      <w:r w:rsidR="0006536B" w:rsidRPr="00AC5305">
        <w:t xml:space="preserve"> that </w:t>
      </w:r>
      <w:r w:rsidR="00B25FF5">
        <w:t xml:space="preserve">directly resulted in </w:t>
      </w:r>
      <w:r w:rsidRPr="00AC5305">
        <w:t xml:space="preserve">the court </w:t>
      </w:r>
      <w:r w:rsidR="00B25FF5">
        <w:t>losing</w:t>
      </w:r>
      <w:r w:rsidR="00B25FF5" w:rsidRPr="00AC5305">
        <w:t xml:space="preserve"> </w:t>
      </w:r>
      <w:r w:rsidRPr="00AC5305">
        <w:t xml:space="preserve">jurisdiction.  Rather, if her </w:t>
      </w:r>
      <w:r w:rsidR="00B25FF5">
        <w:t>theory</w:t>
      </w:r>
      <w:r w:rsidR="00B25FF5" w:rsidRPr="00AC5305">
        <w:t xml:space="preserve"> </w:t>
      </w:r>
      <w:r w:rsidRPr="00AC5305">
        <w:t>is correct,</w:t>
      </w:r>
      <w:r w:rsidR="00D02ED1">
        <w:t xml:space="preserve"> </w:t>
      </w:r>
      <w:r w:rsidRPr="00AC5305">
        <w:t>the trial court</w:t>
      </w:r>
      <w:r w:rsidR="00B25FF5">
        <w:t xml:space="preserve"> </w:t>
      </w:r>
      <w:r w:rsidR="00D02ED1">
        <w:t xml:space="preserve">should be deemed to have </w:t>
      </w:r>
      <w:r w:rsidR="00B25FF5">
        <w:t>lost jurisdiction</w:t>
      </w:r>
      <w:r w:rsidRPr="00AC5305">
        <w:t xml:space="preserve"> in November 2017, before the alleged violation was even reported to the court.  The </w:t>
      </w:r>
      <w:r w:rsidR="00D02ED1">
        <w:t>delays</w:t>
      </w:r>
      <w:r w:rsidRPr="00AC5305">
        <w:t xml:space="preserve"> Kuhnel sought</w:t>
      </w:r>
      <w:r w:rsidR="00D02ED1">
        <w:t xml:space="preserve"> or</w:t>
      </w:r>
      <w:r w:rsidRPr="00AC5305">
        <w:t xml:space="preserve"> agreed to </w:t>
      </w:r>
      <w:r w:rsidR="00D02ED1">
        <w:t xml:space="preserve">took place </w:t>
      </w:r>
      <w:r w:rsidR="00D02ED1">
        <w:rPr>
          <w:i/>
          <w:iCs/>
        </w:rPr>
        <w:t>after</w:t>
      </w:r>
      <w:r w:rsidR="00D02ED1">
        <w:t xml:space="preserve"> that date</w:t>
      </w:r>
      <w:r w:rsidR="00B25FF5">
        <w:t xml:space="preserve"> and therefore did not cause the alleged loss of jurisdiction, except indirectly in that they caused the case to be still pending when the new law was passed and took effect</w:t>
      </w:r>
      <w:r w:rsidRPr="00AC5305">
        <w:t xml:space="preserve">.  </w:t>
      </w:r>
      <w:r w:rsidR="00B25FF5">
        <w:t xml:space="preserve">Because the </w:t>
      </w:r>
      <w:r w:rsidR="00B25FF5" w:rsidRPr="00FB54F0">
        <w:rPr>
          <w:i/>
          <w:iCs/>
        </w:rPr>
        <w:t>Ford</w:t>
      </w:r>
      <w:r w:rsidR="00B25FF5">
        <w:t xml:space="preserve"> line of cases does not address such indirect effects</w:t>
      </w:r>
      <w:r w:rsidRPr="00AC5305">
        <w:t>, we will consider her contentions on the merits.</w:t>
      </w:r>
    </w:p>
    <w:p w14:paraId="32685C92" w14:textId="195D5755" w:rsidR="00EF515D" w:rsidRPr="00EF515D" w:rsidRDefault="00EF515D" w:rsidP="00EF515D">
      <w:pPr>
        <w:pStyle w:val="ListParagraph"/>
        <w:numPr>
          <w:ilvl w:val="0"/>
          <w:numId w:val="1"/>
        </w:numPr>
        <w:spacing w:line="360" w:lineRule="auto"/>
        <w:rPr>
          <w:b/>
          <w:bCs/>
        </w:rPr>
      </w:pPr>
      <w:r>
        <w:rPr>
          <w:b/>
          <w:bCs/>
        </w:rPr>
        <w:t>Retroactivity</w:t>
      </w:r>
    </w:p>
    <w:p w14:paraId="38D874D1" w14:textId="0C5A58E2" w:rsidR="00BA70DC" w:rsidRPr="00AC5305" w:rsidRDefault="0037520A" w:rsidP="000260FE">
      <w:pPr>
        <w:spacing w:line="360" w:lineRule="auto"/>
      </w:pPr>
      <w:r w:rsidRPr="00AC5305">
        <w:tab/>
      </w:r>
      <w:r w:rsidR="00606ACA" w:rsidRPr="00AC5305">
        <w:t xml:space="preserve">Multiple </w:t>
      </w:r>
      <w:r w:rsidR="003B1FEA" w:rsidRPr="00AC5305">
        <w:t>courts</w:t>
      </w:r>
      <w:r w:rsidR="00606ACA" w:rsidRPr="00AC5305">
        <w:t xml:space="preserve"> have considered whether </w:t>
      </w:r>
      <w:r w:rsidR="00EF515D">
        <w:t>the amendments of Assembly Bill 1950</w:t>
      </w:r>
      <w:r w:rsidR="00606ACA" w:rsidRPr="00AC5305">
        <w:t xml:space="preserve"> apply retroactively to</w:t>
      </w:r>
      <w:r w:rsidR="00DC668D" w:rsidRPr="00AC5305">
        <w:t xml:space="preserve"> the benefit of</w:t>
      </w:r>
      <w:r w:rsidR="00606ACA" w:rsidRPr="00AC5305">
        <w:t xml:space="preserve"> a person whose judgment is not </w:t>
      </w:r>
      <w:r w:rsidR="00606ACA" w:rsidRPr="00AC5305">
        <w:lastRenderedPageBreak/>
        <w:t>yet final on appeal</w:t>
      </w:r>
      <w:r w:rsidR="003B1FEA" w:rsidRPr="00AC5305">
        <w:t>,</w:t>
      </w:r>
      <w:r w:rsidR="00606ACA" w:rsidRPr="00AC5305">
        <w:t xml:space="preserve"> and </w:t>
      </w:r>
      <w:r w:rsidR="003B1FEA" w:rsidRPr="00AC5305">
        <w:t xml:space="preserve">they </w:t>
      </w:r>
      <w:r w:rsidR="00606ACA" w:rsidRPr="00AC5305">
        <w:t xml:space="preserve">have uniformly </w:t>
      </w:r>
      <w:r w:rsidR="003B1FEA" w:rsidRPr="00AC5305">
        <w:t>held</w:t>
      </w:r>
      <w:r w:rsidR="00606ACA" w:rsidRPr="00AC5305">
        <w:t xml:space="preserve"> that they do</w:t>
      </w:r>
      <w:r w:rsidR="00BA70DC" w:rsidRPr="00AC5305">
        <w:t>.</w:t>
      </w:r>
      <w:r w:rsidR="008C1216">
        <w:rPr>
          <w:rStyle w:val="FootnoteReference"/>
        </w:rPr>
        <w:footnoteReference w:id="2"/>
      </w:r>
      <w:r w:rsidR="00BA70DC" w:rsidRPr="00AC5305">
        <w:t xml:space="preserve">  As</w:t>
      </w:r>
      <w:r w:rsidR="00606ACA" w:rsidRPr="00AC5305">
        <w:t xml:space="preserve"> </w:t>
      </w:r>
      <w:r w:rsidR="00BA70DC" w:rsidRPr="00AC5305">
        <w:t xml:space="preserve">Division Four of this </w:t>
      </w:r>
      <w:r w:rsidR="003B1FEA" w:rsidRPr="00AC5305">
        <w:t>appellate district</w:t>
      </w:r>
      <w:r w:rsidR="00EF515D">
        <w:t xml:space="preserve"> recently</w:t>
      </w:r>
      <w:r w:rsidR="00BA70DC" w:rsidRPr="00AC5305">
        <w:t xml:space="preserve"> explained</w:t>
      </w:r>
      <w:r w:rsidR="00EF515D">
        <w:t>,</w:t>
      </w:r>
      <w:r w:rsidR="00BA70DC" w:rsidRPr="00AC5305">
        <w:t xml:space="preserve"> </w:t>
      </w:r>
      <w:r w:rsidR="00B25FF5">
        <w:t xml:space="preserve">although </w:t>
      </w:r>
      <w:r w:rsidR="00BA70DC" w:rsidRPr="00AC5305">
        <w:t xml:space="preserve">statutes are generally presumed to apply prospectively, the Legislature </w:t>
      </w:r>
      <w:r w:rsidR="00B25FF5">
        <w:t>may</w:t>
      </w:r>
      <w:r w:rsidR="00BA70DC" w:rsidRPr="00AC5305">
        <w:t xml:space="preserve"> </w:t>
      </w:r>
      <w:r w:rsidR="00B25FF5" w:rsidRPr="00AC5305">
        <w:t>“ ‘</w:t>
      </w:r>
      <w:r w:rsidR="00CC29E0">
        <w:t> “</w:t>
      </w:r>
      <w:r w:rsidR="00BA70DC" w:rsidRPr="00AC5305">
        <w:t>enact laws that apply retroactively, either explicitly or by implication</w:t>
      </w:r>
      <w:r w:rsidR="00494226" w:rsidRPr="0002336D">
        <w:t>,</w:t>
      </w:r>
      <w:r w:rsidR="00CC29E0">
        <w:t>” </w:t>
      </w:r>
      <w:r w:rsidR="00BA70DC" w:rsidRPr="00AC5305">
        <w:t>’ ”</w:t>
      </w:r>
      <w:r w:rsidR="00EF515D">
        <w:t xml:space="preserve"> </w:t>
      </w:r>
      <w:r w:rsidR="00494226">
        <w:t>and</w:t>
      </w:r>
      <w:r w:rsidR="00BA70DC" w:rsidRPr="00AC5305">
        <w:t xml:space="preserve"> “</w:t>
      </w:r>
      <w:r w:rsidR="00CC29E0">
        <w:t> </w:t>
      </w:r>
      <w:r w:rsidR="00BA70DC" w:rsidRPr="00AC5305">
        <w:t>‘amendatory statu</w:t>
      </w:r>
      <w:r w:rsidR="00B25FF5">
        <w:t>t</w:t>
      </w:r>
      <w:r w:rsidR="00BA70DC" w:rsidRPr="00AC5305">
        <w:t xml:space="preserve">es that lessen the punishment for criminal conduct are ordinarily intended to apply retroactively.’ ” </w:t>
      </w:r>
      <w:r w:rsidR="00494226">
        <w:rPr>
          <w:i/>
          <w:iCs/>
        </w:rPr>
        <w:t xml:space="preserve"> </w:t>
      </w:r>
      <w:r w:rsidR="00494226">
        <w:t>(</w:t>
      </w:r>
      <w:r w:rsidR="00494226" w:rsidRPr="00AC5305">
        <w:rPr>
          <w:i/>
          <w:iCs/>
        </w:rPr>
        <w:t>Quinn</w:t>
      </w:r>
      <w:r w:rsidR="002959BC" w:rsidRPr="00FB54F0">
        <w:t>,</w:t>
      </w:r>
      <w:r w:rsidR="002959BC">
        <w:rPr>
          <w:i/>
          <w:iCs/>
        </w:rPr>
        <w:t xml:space="preserve"> supra</w:t>
      </w:r>
      <w:r w:rsidR="002959BC">
        <w:t>,</w:t>
      </w:r>
      <w:r w:rsidR="00494226" w:rsidRPr="00AC5305">
        <w:t xml:space="preserve"> 59 Cal.App.5th </w:t>
      </w:r>
      <w:r w:rsidR="00C668FA">
        <w:t>at p.</w:t>
      </w:r>
      <w:r w:rsidR="00494226" w:rsidRPr="00AC5305">
        <w:t xml:space="preserve"> 881</w:t>
      </w:r>
      <w:r w:rsidR="00494226">
        <w:t xml:space="preserve">.) </w:t>
      </w:r>
      <w:r w:rsidR="002717C6">
        <w:t xml:space="preserve"> </w:t>
      </w:r>
      <w:r w:rsidR="00494226" w:rsidRPr="00AC5305">
        <w:t>Th</w:t>
      </w:r>
      <w:r w:rsidR="00494226">
        <w:t>is</w:t>
      </w:r>
      <w:r w:rsidR="00494226" w:rsidRPr="00AC5305">
        <w:t xml:space="preserve"> </w:t>
      </w:r>
      <w:r w:rsidR="00F31545" w:rsidRPr="00AC5305">
        <w:t>is because “[w]hen the Legislature amends a statute so as to lessen the punishment it has obviously expressly determined that its former penalty was too severe and that a lighter punishment is proper</w:t>
      </w:r>
      <w:r w:rsidR="000260FE">
        <w:t>.</w:t>
      </w:r>
      <w:r w:rsidR="00B25FF5">
        <w:t xml:space="preserve">” </w:t>
      </w:r>
      <w:r w:rsidR="000260FE">
        <w:t xml:space="preserve"> </w:t>
      </w:r>
      <w:r w:rsidR="00B25FF5">
        <w:t>(</w:t>
      </w:r>
      <w:r w:rsidR="00B25FF5" w:rsidRPr="00AC5305">
        <w:rPr>
          <w:i/>
          <w:iCs/>
        </w:rPr>
        <w:t>In re Estrada</w:t>
      </w:r>
      <w:r w:rsidR="00B25FF5" w:rsidRPr="00AC5305">
        <w:t xml:space="preserve"> (1965) 63 Cal.2d 740, 74</w:t>
      </w:r>
      <w:r w:rsidR="000260FE">
        <w:t>5</w:t>
      </w:r>
      <w:r w:rsidR="00CC29E0">
        <w:t xml:space="preserve"> (</w:t>
      </w:r>
      <w:r w:rsidR="00CC29E0" w:rsidRPr="00DA514C">
        <w:rPr>
          <w:i/>
          <w:iCs/>
        </w:rPr>
        <w:t>Estrada</w:t>
      </w:r>
      <w:r w:rsidR="00CC29E0">
        <w:t>)</w:t>
      </w:r>
      <w:r w:rsidR="00B25FF5" w:rsidRPr="0002336D">
        <w:t>.)</w:t>
      </w:r>
      <w:r w:rsidR="00B25FF5" w:rsidRPr="00AC5305">
        <w:t xml:space="preserve">  </w:t>
      </w:r>
      <w:r w:rsidR="00F31545" w:rsidRPr="00AC5305">
        <w:t>After such a legislative determination, “</w:t>
      </w:r>
      <w:r w:rsidR="00FB54F0">
        <w:t> </w:t>
      </w:r>
      <w:r w:rsidR="00F31545" w:rsidRPr="00AC5305">
        <w:t xml:space="preserve">‘it is safe to assume, . . . that it was the legislative design that the lighter penalty should be imposed in all cases that subsequently reach the courts.’ ” </w:t>
      </w:r>
      <w:r w:rsidR="00BA70DC" w:rsidRPr="00AC5305">
        <w:t xml:space="preserve"> </w:t>
      </w:r>
      <w:r w:rsidR="00F31545" w:rsidRPr="00AC5305">
        <w:t>(</w:t>
      </w:r>
      <w:r w:rsidR="00CC29E0">
        <w:rPr>
          <w:i/>
          <w:iCs/>
        </w:rPr>
        <w:t>Id.</w:t>
      </w:r>
      <w:r w:rsidR="00F31545" w:rsidRPr="00AC5305">
        <w:t xml:space="preserve"> at p</w:t>
      </w:r>
      <w:r w:rsidR="00D661D6" w:rsidRPr="00AC5305">
        <w:t>p</w:t>
      </w:r>
      <w:r w:rsidR="00F31545" w:rsidRPr="00AC5305">
        <w:t xml:space="preserve">. </w:t>
      </w:r>
      <w:r w:rsidR="00D661D6" w:rsidRPr="00AC5305">
        <w:t>745</w:t>
      </w:r>
      <w:r w:rsidR="009B0B31">
        <w:t>–</w:t>
      </w:r>
      <w:r w:rsidR="00D661D6" w:rsidRPr="00AC5305">
        <w:t>746</w:t>
      </w:r>
      <w:r w:rsidR="00F31545" w:rsidRPr="00AC5305">
        <w:t>.)</w:t>
      </w:r>
    </w:p>
    <w:p w14:paraId="0F8602BC" w14:textId="23499AB9" w:rsidR="001E2ED5" w:rsidRDefault="00F748D4" w:rsidP="00A70BA2">
      <w:pPr>
        <w:spacing w:line="360" w:lineRule="auto"/>
      </w:pPr>
      <w:r w:rsidRPr="00AC5305">
        <w:tab/>
      </w:r>
      <w:r w:rsidR="003B1FEA" w:rsidRPr="00AC5305">
        <w:t>The court</w:t>
      </w:r>
      <w:r w:rsidRPr="00AC5305">
        <w:t xml:space="preserve"> in </w:t>
      </w:r>
      <w:r w:rsidRPr="00AC5305">
        <w:rPr>
          <w:i/>
          <w:iCs/>
        </w:rPr>
        <w:t>Quinn</w:t>
      </w:r>
      <w:r w:rsidRPr="00AC5305">
        <w:t xml:space="preserve"> concluded the amendments of Assembly Bill 1950 fell within </w:t>
      </w:r>
      <w:r w:rsidR="003B1FEA" w:rsidRPr="00AC5305">
        <w:t>this</w:t>
      </w:r>
      <w:r w:rsidRPr="00AC5305">
        <w:rPr>
          <w:iCs/>
        </w:rPr>
        <w:t xml:space="preserve"> rule</w:t>
      </w:r>
      <w:r w:rsidR="00764B1F" w:rsidRPr="00AC5305">
        <w:rPr>
          <w:iCs/>
        </w:rPr>
        <w:t xml:space="preserve">, rejecting </w:t>
      </w:r>
      <w:r w:rsidR="000260FE" w:rsidRPr="00AC5305">
        <w:rPr>
          <w:iCs/>
        </w:rPr>
        <w:t>th</w:t>
      </w:r>
      <w:r w:rsidR="000260FE">
        <w:rPr>
          <w:iCs/>
        </w:rPr>
        <w:t>e</w:t>
      </w:r>
      <w:r w:rsidR="000260FE" w:rsidRPr="00AC5305">
        <w:rPr>
          <w:iCs/>
        </w:rPr>
        <w:t xml:space="preserve"> </w:t>
      </w:r>
      <w:r w:rsidR="00764B1F" w:rsidRPr="00AC5305">
        <w:rPr>
          <w:iCs/>
        </w:rPr>
        <w:t xml:space="preserve">argument that the </w:t>
      </w:r>
      <w:r w:rsidR="00764B1F" w:rsidRPr="00AC5305">
        <w:rPr>
          <w:i/>
        </w:rPr>
        <w:t>Estrada</w:t>
      </w:r>
      <w:r w:rsidR="00764B1F" w:rsidRPr="00AC5305">
        <w:rPr>
          <w:iCs/>
        </w:rPr>
        <w:t xml:space="preserve"> presumption of retroactivity did not apply because probation </w:t>
      </w:r>
      <w:r w:rsidR="000F6913">
        <w:rPr>
          <w:iCs/>
        </w:rPr>
        <w:t>is</w:t>
      </w:r>
      <w:r w:rsidR="00764B1F" w:rsidRPr="00AC5305">
        <w:rPr>
          <w:iCs/>
        </w:rPr>
        <w:t xml:space="preserve"> not a form of criminal punishment</w:t>
      </w:r>
      <w:r w:rsidRPr="00AC5305">
        <w:rPr>
          <w:iCs/>
        </w:rPr>
        <w:t>.  (</w:t>
      </w:r>
      <w:r w:rsidRPr="00AC5305">
        <w:rPr>
          <w:i/>
        </w:rPr>
        <w:t>Quinn</w:t>
      </w:r>
      <w:r w:rsidRPr="00AC5305">
        <w:rPr>
          <w:iCs/>
        </w:rPr>
        <w:t xml:space="preserve">, </w:t>
      </w:r>
      <w:r w:rsidRPr="00AC5305">
        <w:rPr>
          <w:i/>
        </w:rPr>
        <w:t>supra</w:t>
      </w:r>
      <w:r w:rsidRPr="00AC5305">
        <w:rPr>
          <w:iCs/>
        </w:rPr>
        <w:t>, 59 Cal.App.5th at pp. 882</w:t>
      </w:r>
      <w:r w:rsidR="009B0B31">
        <w:rPr>
          <w:iCs/>
        </w:rPr>
        <w:t>–</w:t>
      </w:r>
      <w:r w:rsidRPr="00AC5305">
        <w:rPr>
          <w:iCs/>
        </w:rPr>
        <w:t>885.)</w:t>
      </w:r>
      <w:r w:rsidR="001E2ED5">
        <w:rPr>
          <w:iCs/>
        </w:rPr>
        <w:t xml:space="preserve">  </w:t>
      </w:r>
      <w:r w:rsidR="001E2ED5" w:rsidRPr="00FB54F0">
        <w:rPr>
          <w:i/>
        </w:rPr>
        <w:t>Quinn</w:t>
      </w:r>
      <w:r w:rsidR="001E2ED5">
        <w:rPr>
          <w:iCs/>
        </w:rPr>
        <w:t xml:space="preserve"> followed </w:t>
      </w:r>
      <w:r w:rsidR="001E2ED5" w:rsidRPr="00AC5305">
        <w:rPr>
          <w:i/>
        </w:rPr>
        <w:t>People v. Burton</w:t>
      </w:r>
      <w:r w:rsidR="001E2ED5" w:rsidRPr="00AC5305">
        <w:rPr>
          <w:iCs/>
        </w:rPr>
        <w:t xml:space="preserve"> (2020) 58 Cal.App.5th Supp. 1, an opinion of the Los Angeles County appellate d</w:t>
      </w:r>
      <w:r w:rsidR="00596F20">
        <w:rPr>
          <w:iCs/>
        </w:rPr>
        <w:t>ivision</w:t>
      </w:r>
      <w:r w:rsidR="00494226">
        <w:rPr>
          <w:iCs/>
        </w:rPr>
        <w:t xml:space="preserve"> that </w:t>
      </w:r>
      <w:r w:rsidR="00C668FA">
        <w:rPr>
          <w:iCs/>
        </w:rPr>
        <w:t>applied Assembly Bill 1950 retroactively</w:t>
      </w:r>
      <w:r w:rsidR="001E2ED5" w:rsidRPr="00AC5305">
        <w:rPr>
          <w:iCs/>
        </w:rPr>
        <w:t>.  (</w:t>
      </w:r>
      <w:bookmarkStart w:id="2" w:name="_Hlk96076109"/>
      <w:r w:rsidR="001E2ED5" w:rsidRPr="00AC5305">
        <w:rPr>
          <w:i/>
        </w:rPr>
        <w:t>Quinn</w:t>
      </w:r>
      <w:r w:rsidR="001E2ED5" w:rsidRPr="00AC5305">
        <w:rPr>
          <w:iCs/>
        </w:rPr>
        <w:t xml:space="preserve">, </w:t>
      </w:r>
      <w:r w:rsidR="001E2ED5" w:rsidRPr="00AC5305">
        <w:rPr>
          <w:i/>
        </w:rPr>
        <w:t>supra</w:t>
      </w:r>
      <w:r w:rsidR="001E2ED5" w:rsidRPr="00AC5305">
        <w:rPr>
          <w:iCs/>
        </w:rPr>
        <w:t xml:space="preserve">, 59 Cal.App.5th </w:t>
      </w:r>
      <w:bookmarkEnd w:id="2"/>
      <w:r w:rsidR="001E2ED5" w:rsidRPr="00AC5305">
        <w:rPr>
          <w:iCs/>
        </w:rPr>
        <w:t xml:space="preserve">at p. 882.)  As explained in </w:t>
      </w:r>
      <w:r w:rsidR="001E2ED5" w:rsidRPr="00AC5305">
        <w:rPr>
          <w:i/>
        </w:rPr>
        <w:t>Burton</w:t>
      </w:r>
      <w:r w:rsidR="001E2ED5" w:rsidRPr="00AC5305">
        <w:rPr>
          <w:iCs/>
        </w:rPr>
        <w:t xml:space="preserve">, </w:t>
      </w:r>
      <w:r w:rsidR="001E2ED5" w:rsidRPr="00AC5305">
        <w:t>“[t]he longer the length of probation, the greater the encroachment on a probationer’s interest in living free from government intrusion</w:t>
      </w:r>
      <w:r w:rsidR="003E0DEE">
        <w:t>,</w:t>
      </w:r>
      <w:r w:rsidR="001E2ED5" w:rsidRPr="00AC5305">
        <w:t xml:space="preserve">” </w:t>
      </w:r>
      <w:r w:rsidR="003E0DEE">
        <w:t xml:space="preserve">whether </w:t>
      </w:r>
      <w:r w:rsidR="00C668FA">
        <w:t xml:space="preserve">that </w:t>
      </w:r>
      <w:r w:rsidR="00C668FA">
        <w:lastRenderedPageBreak/>
        <w:t>intrusion takes</w:t>
      </w:r>
      <w:r w:rsidR="003E0DEE">
        <w:t xml:space="preserve"> the form of probation conditions or </w:t>
      </w:r>
      <w:r w:rsidR="00C668FA">
        <w:t>a</w:t>
      </w:r>
      <w:r w:rsidR="003E0DEE">
        <w:t xml:space="preserve"> risk of further incarceration.  </w:t>
      </w:r>
      <w:r w:rsidR="003E0DEE" w:rsidRPr="00AC5305">
        <w:t>(</w:t>
      </w:r>
      <w:r w:rsidR="003E0DEE" w:rsidRPr="00001CCD">
        <w:rPr>
          <w:i/>
          <w:iCs/>
        </w:rPr>
        <w:t>Burton</w:t>
      </w:r>
      <w:r w:rsidR="003E0DEE">
        <w:t>,</w:t>
      </w:r>
      <w:r w:rsidR="003E0DEE" w:rsidRPr="00001CCD">
        <w:t xml:space="preserve"> </w:t>
      </w:r>
      <w:r w:rsidR="003E0DEE">
        <w:t>a</w:t>
      </w:r>
      <w:r w:rsidR="003E0DEE" w:rsidRPr="00001CCD">
        <w:t>t p. 15.)</w:t>
      </w:r>
    </w:p>
    <w:p w14:paraId="54ECF52B" w14:textId="3A278529" w:rsidR="003E1F52" w:rsidRPr="00D11A71" w:rsidRDefault="001E2ED5" w:rsidP="00A70BA2">
      <w:pPr>
        <w:spacing w:line="360" w:lineRule="auto"/>
        <w:rPr>
          <w:iCs/>
        </w:rPr>
      </w:pPr>
      <w:r>
        <w:tab/>
      </w:r>
      <w:r w:rsidRPr="00FB54F0">
        <w:rPr>
          <w:i/>
          <w:iCs/>
        </w:rPr>
        <w:t>Quinn</w:t>
      </w:r>
      <w:r>
        <w:t xml:space="preserve"> also </w:t>
      </w:r>
      <w:r w:rsidR="00B8092B" w:rsidRPr="00AC5305">
        <w:rPr>
          <w:iCs/>
        </w:rPr>
        <w:t xml:space="preserve">discussed the legislative history of </w:t>
      </w:r>
      <w:r w:rsidR="003E0DEE" w:rsidRPr="00AC5305">
        <w:t>Assembly Bill 1950</w:t>
      </w:r>
      <w:r w:rsidR="00B8092B" w:rsidRPr="00AC5305">
        <w:rPr>
          <w:iCs/>
        </w:rPr>
        <w:t>, which reflect</w:t>
      </w:r>
      <w:r w:rsidR="000F6913">
        <w:rPr>
          <w:iCs/>
        </w:rPr>
        <w:t>s</w:t>
      </w:r>
      <w:r w:rsidR="00B8092B" w:rsidRPr="00AC5305">
        <w:rPr>
          <w:iCs/>
        </w:rPr>
        <w:t xml:space="preserve"> </w:t>
      </w:r>
      <w:r w:rsidR="00CC29E0">
        <w:rPr>
          <w:iCs/>
        </w:rPr>
        <w:t>“</w:t>
      </w:r>
      <w:r w:rsidR="00B8092B" w:rsidRPr="00AC5305">
        <w:rPr>
          <w:iCs/>
        </w:rPr>
        <w:t>the Legislature’s concern . . . that lengthy probationary periods do not serve a rehabilitative function and unfairly lead to reincarceration for technical violations.”  (</w:t>
      </w:r>
      <w:r w:rsidR="00CC29E0" w:rsidRPr="0002336D">
        <w:rPr>
          <w:i/>
        </w:rPr>
        <w:t>Quinn</w:t>
      </w:r>
      <w:r w:rsidR="00CC29E0" w:rsidRPr="0002336D">
        <w:rPr>
          <w:iCs/>
        </w:rPr>
        <w:t xml:space="preserve">, </w:t>
      </w:r>
      <w:r w:rsidR="00CC29E0" w:rsidRPr="0002336D">
        <w:rPr>
          <w:i/>
        </w:rPr>
        <w:t>supra</w:t>
      </w:r>
      <w:r w:rsidR="00CC29E0" w:rsidRPr="0002336D">
        <w:rPr>
          <w:iCs/>
        </w:rPr>
        <w:t>, 59 Cal.App.5th</w:t>
      </w:r>
      <w:r w:rsidR="00B8092B" w:rsidRPr="00AC5305">
        <w:rPr>
          <w:iCs/>
        </w:rPr>
        <w:t xml:space="preserve"> at p.</w:t>
      </w:r>
      <w:r w:rsidR="00CC29E0">
        <w:rPr>
          <w:iCs/>
        </w:rPr>
        <w:t> </w:t>
      </w:r>
      <w:r w:rsidR="00B8092B" w:rsidRPr="00AC5305">
        <w:rPr>
          <w:iCs/>
        </w:rPr>
        <w:t xml:space="preserve">879.)  For instance, the author’s statement explained that </w:t>
      </w:r>
      <w:r w:rsidR="00051ABA">
        <w:rPr>
          <w:iCs/>
        </w:rPr>
        <w:t xml:space="preserve">many probationers </w:t>
      </w:r>
      <w:r w:rsidR="00B8092B" w:rsidRPr="00AC5305">
        <w:rPr>
          <w:iCs/>
        </w:rPr>
        <w:t xml:space="preserve">“ ‘ “violate probation and end up incarcerated as a result,” ’ ” </w:t>
      </w:r>
      <w:r w:rsidR="000260FE">
        <w:rPr>
          <w:iCs/>
        </w:rPr>
        <w:t>often for</w:t>
      </w:r>
      <w:r w:rsidR="00B8092B" w:rsidRPr="00AC5305">
        <w:rPr>
          <w:iCs/>
        </w:rPr>
        <w:t xml:space="preserve"> violations </w:t>
      </w:r>
      <w:r w:rsidR="000260FE">
        <w:rPr>
          <w:iCs/>
        </w:rPr>
        <w:t xml:space="preserve">that </w:t>
      </w:r>
      <w:r w:rsidR="00B8092B" w:rsidRPr="00AC5305">
        <w:rPr>
          <w:iCs/>
        </w:rPr>
        <w:t>are technical in nature; that research shows probation services are most effective in the first 18 months</w:t>
      </w:r>
      <w:r w:rsidR="00032006">
        <w:rPr>
          <w:iCs/>
        </w:rPr>
        <w:t>,</w:t>
      </w:r>
      <w:r w:rsidR="00B8092B" w:rsidRPr="00AC5305">
        <w:rPr>
          <w:iCs/>
        </w:rPr>
        <w:t xml:space="preserve"> </w:t>
      </w:r>
      <w:r>
        <w:rPr>
          <w:iCs/>
        </w:rPr>
        <w:t xml:space="preserve">so </w:t>
      </w:r>
      <w:r w:rsidR="00B8092B" w:rsidRPr="00AC5305">
        <w:rPr>
          <w:iCs/>
        </w:rPr>
        <w:t>“ ‘ “[a] shorter term of probation, allowing for an increased emphasis on services, should lead to improved outcomes” ’ ”; and that the bill’s reduced probationary period was “sufficient to fulfill the rehabilitative function of probation</w:t>
      </w:r>
      <w:r w:rsidR="00A65DBF" w:rsidRPr="00AC5305">
        <w:rPr>
          <w:iCs/>
        </w:rPr>
        <w:t>.</w:t>
      </w:r>
      <w:r w:rsidR="00B8092B" w:rsidRPr="00AC5305">
        <w:rPr>
          <w:iCs/>
        </w:rPr>
        <w:t>”  (</w:t>
      </w:r>
      <w:r w:rsidR="00B8092B" w:rsidRPr="00AC5305">
        <w:rPr>
          <w:i/>
        </w:rPr>
        <w:t>Id</w:t>
      </w:r>
      <w:r w:rsidR="00B8092B" w:rsidRPr="00AC5305">
        <w:rPr>
          <w:iCs/>
        </w:rPr>
        <w:t>. at pp.</w:t>
      </w:r>
      <w:r w:rsidR="00CC29E0">
        <w:rPr>
          <w:iCs/>
        </w:rPr>
        <w:t> </w:t>
      </w:r>
      <w:r w:rsidR="00B8092B" w:rsidRPr="00AC5305">
        <w:rPr>
          <w:iCs/>
        </w:rPr>
        <w:t>879</w:t>
      </w:r>
      <w:r w:rsidR="009B0B31">
        <w:rPr>
          <w:iCs/>
        </w:rPr>
        <w:t>–</w:t>
      </w:r>
      <w:r w:rsidR="00B8092B" w:rsidRPr="00AC5305">
        <w:rPr>
          <w:iCs/>
        </w:rPr>
        <w:t xml:space="preserve">880, </w:t>
      </w:r>
      <w:r w:rsidR="00A65DBF" w:rsidRPr="00AC5305">
        <w:rPr>
          <w:iCs/>
        </w:rPr>
        <w:t>citing</w:t>
      </w:r>
      <w:r w:rsidR="00B8092B" w:rsidRPr="00AC5305">
        <w:rPr>
          <w:iCs/>
        </w:rPr>
        <w:t xml:space="preserve"> Assem. Com. on Public Safety, Analysis of Assem. Bill No.</w:t>
      </w:r>
      <w:r w:rsidR="00CC29E0">
        <w:rPr>
          <w:iCs/>
        </w:rPr>
        <w:t> </w:t>
      </w:r>
      <w:r w:rsidR="00B8092B" w:rsidRPr="00AC5305">
        <w:rPr>
          <w:iCs/>
        </w:rPr>
        <w:t>1950 (2019</w:t>
      </w:r>
      <w:r w:rsidR="009B0B31">
        <w:rPr>
          <w:iCs/>
        </w:rPr>
        <w:t>–</w:t>
      </w:r>
      <w:r w:rsidR="00B8092B" w:rsidRPr="00AC5305">
        <w:rPr>
          <w:iCs/>
        </w:rPr>
        <w:t>2020 R</w:t>
      </w:r>
      <w:r w:rsidR="00A65DBF" w:rsidRPr="00AC5305">
        <w:rPr>
          <w:iCs/>
        </w:rPr>
        <w:t>e</w:t>
      </w:r>
      <w:r w:rsidR="00B8092B" w:rsidRPr="00AC5305">
        <w:rPr>
          <w:iCs/>
        </w:rPr>
        <w:t>g. Sess.) as amended May 6, 2020, pp. 3</w:t>
      </w:r>
      <w:r w:rsidR="009B0B31">
        <w:rPr>
          <w:iCs/>
        </w:rPr>
        <w:t>–</w:t>
      </w:r>
      <w:r w:rsidR="00A65DBF" w:rsidRPr="00AC5305">
        <w:rPr>
          <w:iCs/>
        </w:rPr>
        <w:t>6</w:t>
      </w:r>
      <w:r w:rsidR="00B8092B" w:rsidRPr="00AC5305">
        <w:rPr>
          <w:iCs/>
        </w:rPr>
        <w:t>.)</w:t>
      </w:r>
      <w:r w:rsidR="00032006">
        <w:rPr>
          <w:iCs/>
        </w:rPr>
        <w:t xml:space="preserve"> </w:t>
      </w:r>
      <w:r>
        <w:rPr>
          <w:iCs/>
        </w:rPr>
        <w:t xml:space="preserve"> </w:t>
      </w:r>
      <w:r w:rsidR="003E1F52" w:rsidRPr="00AC5305">
        <w:rPr>
          <w:i/>
          <w:iCs/>
        </w:rPr>
        <w:t>Quinn</w:t>
      </w:r>
      <w:r>
        <w:t xml:space="preserve"> </w:t>
      </w:r>
      <w:r w:rsidR="003E1F52" w:rsidRPr="00AC5305">
        <w:t>conclud</w:t>
      </w:r>
      <w:r>
        <w:t xml:space="preserve">ed, </w:t>
      </w:r>
      <w:r w:rsidR="003E1F52" w:rsidRPr="00AC5305">
        <w:t>“the only reasonable inference to draw from</w:t>
      </w:r>
      <w:r>
        <w:t>” this</w:t>
      </w:r>
      <w:r w:rsidR="003E1F52" w:rsidRPr="00AC5305">
        <w:t xml:space="preserve"> legislative history </w:t>
      </w:r>
      <w:r>
        <w:t>“</w:t>
      </w:r>
      <w:r w:rsidR="003E1F52" w:rsidRPr="00AC5305">
        <w:t xml:space="preserve">is that the shorter term of probation ‘now deemed to be sufficient should apply to every case to which it constitutionally could apply.’  [Citation.]  The alternative is untenable:  that the </w:t>
      </w:r>
      <w:r w:rsidR="003B1FEA" w:rsidRPr="00AC5305">
        <w:t>L</w:t>
      </w:r>
      <w:r w:rsidR="003E1F52" w:rsidRPr="00AC5305">
        <w:t>egislature intended to subject thousands of criminal defendants whose cases are not yet final to terms of probation determined to be unnecessary for rehabilitation, arguably discriminatory and likely to result in unfair and unnecessary reincarceration.”  (</w:t>
      </w:r>
      <w:r w:rsidR="003E1F52" w:rsidRPr="00AC5305">
        <w:rPr>
          <w:i/>
          <w:iCs/>
        </w:rPr>
        <w:t>Quinn</w:t>
      </w:r>
      <w:r w:rsidR="003E1F52" w:rsidRPr="00AC5305">
        <w:t xml:space="preserve">, at p. 883.)  </w:t>
      </w:r>
    </w:p>
    <w:p w14:paraId="03D8A7C2" w14:textId="24F9515E" w:rsidR="00BA70DC" w:rsidRPr="00AC2EFC" w:rsidRDefault="003E1F52" w:rsidP="00A70BA2">
      <w:pPr>
        <w:spacing w:line="360" w:lineRule="auto"/>
      </w:pPr>
      <w:r w:rsidRPr="00AC5305">
        <w:tab/>
        <w:t xml:space="preserve">Every </w:t>
      </w:r>
      <w:r w:rsidR="000F6913">
        <w:t xml:space="preserve">appellate </w:t>
      </w:r>
      <w:r w:rsidRPr="00AC5305">
        <w:t xml:space="preserve">case to have considered the </w:t>
      </w:r>
      <w:r w:rsidR="00051ABA">
        <w:t>retroactivity of A</w:t>
      </w:r>
      <w:r w:rsidR="003E0DEE">
        <w:t xml:space="preserve">ssembly </w:t>
      </w:r>
      <w:r w:rsidR="00051ABA">
        <w:t>B</w:t>
      </w:r>
      <w:r w:rsidR="003E0DEE">
        <w:t>ill</w:t>
      </w:r>
      <w:r w:rsidR="00051ABA">
        <w:t xml:space="preserve"> 1950 </w:t>
      </w:r>
      <w:r w:rsidRPr="00AC5305">
        <w:t xml:space="preserve">has agreed with </w:t>
      </w:r>
      <w:r w:rsidRPr="00AC5305">
        <w:rPr>
          <w:i/>
          <w:iCs/>
        </w:rPr>
        <w:t>Quinn</w:t>
      </w:r>
      <w:r w:rsidRPr="00AC5305">
        <w:t>, and the People do not disagree with their conclusions.  (See, e.g.,</w:t>
      </w:r>
      <w:r w:rsidR="00FE69DD" w:rsidRPr="00AC5305">
        <w:t xml:space="preserve"> </w:t>
      </w:r>
      <w:r w:rsidR="00FE69DD" w:rsidRPr="00AC5305">
        <w:rPr>
          <w:i/>
          <w:iCs/>
        </w:rPr>
        <w:t>People v. Greeley</w:t>
      </w:r>
      <w:r w:rsidR="00FE69DD" w:rsidRPr="00AC5305">
        <w:t xml:space="preserve"> (2021)</w:t>
      </w:r>
      <w:r w:rsidR="008C1216">
        <w:t xml:space="preserve"> 70 Cal.App.5th 609, 627</w:t>
      </w:r>
      <w:bookmarkStart w:id="3" w:name="_Hlk86408388"/>
      <w:r w:rsidR="00FE69DD" w:rsidRPr="00AC5305">
        <w:t xml:space="preserve">; </w:t>
      </w:r>
      <w:r w:rsidR="00A64A0E" w:rsidRPr="00AC5305">
        <w:rPr>
          <w:i/>
          <w:iCs/>
        </w:rPr>
        <w:t>People v. Czirban</w:t>
      </w:r>
      <w:r w:rsidR="00A64A0E" w:rsidRPr="00AC5305">
        <w:t xml:space="preserve"> (2021) 67 Cal.App.5th 1073, 1095; </w:t>
      </w:r>
      <w:r w:rsidR="00A64A0E" w:rsidRPr="00AC5305">
        <w:rPr>
          <w:i/>
          <w:iCs/>
        </w:rPr>
        <w:t>People v. Schulz</w:t>
      </w:r>
      <w:r w:rsidR="00A64A0E" w:rsidRPr="00AC5305">
        <w:t xml:space="preserve"> (2021) </w:t>
      </w:r>
      <w:r w:rsidR="00A64A0E" w:rsidRPr="00AC5305">
        <w:lastRenderedPageBreak/>
        <w:t>66 Cal.App.</w:t>
      </w:r>
      <w:r w:rsidR="00475E21" w:rsidRPr="00AC5305">
        <w:t>5</w:t>
      </w:r>
      <w:r w:rsidR="00A64A0E" w:rsidRPr="00AC5305">
        <w:t>th 887, 894</w:t>
      </w:r>
      <w:r w:rsidR="009B0B31">
        <w:t>–</w:t>
      </w:r>
      <w:r w:rsidR="00A64A0E" w:rsidRPr="00AC5305">
        <w:t xml:space="preserve">895; </w:t>
      </w:r>
      <w:r w:rsidR="00A64A0E" w:rsidRPr="00AC5305">
        <w:rPr>
          <w:i/>
          <w:iCs/>
        </w:rPr>
        <w:t>People v. Lord</w:t>
      </w:r>
      <w:r w:rsidR="00A64A0E" w:rsidRPr="00AC5305">
        <w:t xml:space="preserve"> (2021) 6</w:t>
      </w:r>
      <w:r w:rsidR="006F3C22" w:rsidRPr="00AC5305">
        <w:t>4</w:t>
      </w:r>
      <w:r w:rsidR="00A64A0E" w:rsidRPr="00AC5305">
        <w:t xml:space="preserve"> Cal.App.5th 241, </w:t>
      </w:r>
      <w:r w:rsidR="00E80ED7" w:rsidRPr="00AC5305">
        <w:t>245</w:t>
      </w:r>
      <w:r w:rsidR="009B0B31">
        <w:t>–</w:t>
      </w:r>
      <w:r w:rsidR="00E80ED7" w:rsidRPr="00AC5305">
        <w:t>246</w:t>
      </w:r>
      <w:r w:rsidR="00A64A0E" w:rsidRPr="00AC5305">
        <w:t>;</w:t>
      </w:r>
      <w:r w:rsidRPr="00AC5305">
        <w:t xml:space="preserve"> </w:t>
      </w:r>
      <w:r w:rsidRPr="00AC5305">
        <w:rPr>
          <w:i/>
          <w:iCs/>
        </w:rPr>
        <w:t>People v. Stewart</w:t>
      </w:r>
      <w:r w:rsidRPr="00AC5305">
        <w:t xml:space="preserve"> (2021) 62 Cal.App.5th 1065, 107</w:t>
      </w:r>
      <w:r w:rsidR="00E80ED7" w:rsidRPr="00AC5305">
        <w:t>1</w:t>
      </w:r>
      <w:r w:rsidR="009B0B31">
        <w:t>–</w:t>
      </w:r>
      <w:r w:rsidRPr="00AC5305">
        <w:t>1074, review granted</w:t>
      </w:r>
      <w:r w:rsidR="006F3C22" w:rsidRPr="00AC5305">
        <w:t xml:space="preserve"> June 30, 2021</w:t>
      </w:r>
      <w:r w:rsidR="00CC29E0">
        <w:t>,</w:t>
      </w:r>
      <w:r w:rsidR="006F3C22" w:rsidRPr="0002336D">
        <w:t xml:space="preserve"> </w:t>
      </w:r>
      <w:r w:rsidR="006F3C22" w:rsidRPr="00AC5305">
        <w:t>S268787</w:t>
      </w:r>
      <w:r w:rsidRPr="0002336D">
        <w:t>;</w:t>
      </w:r>
      <w:r w:rsidRPr="00AC5305">
        <w:t xml:space="preserve"> </w:t>
      </w:r>
      <w:r w:rsidRPr="00AC5305">
        <w:rPr>
          <w:i/>
          <w:iCs/>
        </w:rPr>
        <w:t>People v. Sims</w:t>
      </w:r>
      <w:r w:rsidRPr="00AC5305">
        <w:t xml:space="preserve"> (2021) 59 Cal.App.5th 943, </w:t>
      </w:r>
      <w:bookmarkEnd w:id="3"/>
      <w:r w:rsidR="00A65DBF" w:rsidRPr="00AC5305">
        <w:t>958</w:t>
      </w:r>
      <w:r w:rsidR="009B0B31">
        <w:t>–</w:t>
      </w:r>
      <w:r w:rsidR="00A65DBF" w:rsidRPr="00AC5305">
        <w:t>964</w:t>
      </w:r>
      <w:r w:rsidR="00A64A0E" w:rsidRPr="00AC5305">
        <w:t xml:space="preserve">.)  </w:t>
      </w:r>
      <w:bookmarkStart w:id="4" w:name="_Hlk86408436"/>
      <w:r w:rsidR="00A64A0E" w:rsidRPr="00AC5305">
        <w:t>But the question in each of th</w:t>
      </w:r>
      <w:r w:rsidR="00C668FA">
        <w:t>o</w:t>
      </w:r>
      <w:r w:rsidR="00A64A0E" w:rsidRPr="00AC5305">
        <w:t xml:space="preserve">se cases was whether a probationer was entitled to a reduction </w:t>
      </w:r>
      <w:r w:rsidR="00D02ED1">
        <w:t>of</w:t>
      </w:r>
      <w:r w:rsidR="00A64A0E" w:rsidRPr="00AC5305">
        <w:t xml:space="preserve"> an ongoing probationary term, not whether </w:t>
      </w:r>
      <w:r w:rsidR="00E23AA3" w:rsidRPr="00AC5305">
        <w:t>Assembly Bill 1950 effectively expunge</w:t>
      </w:r>
      <w:r w:rsidR="002717C6">
        <w:t>s,</w:t>
      </w:r>
      <w:r w:rsidR="002717C6" w:rsidRPr="00AC5305">
        <w:t xml:space="preserve"> </w:t>
      </w:r>
      <w:r w:rsidR="00E23AA3" w:rsidRPr="00AC5305">
        <w:t>or deprive</w:t>
      </w:r>
      <w:r w:rsidR="002717C6">
        <w:t>s</w:t>
      </w:r>
      <w:r w:rsidR="00E23AA3" w:rsidRPr="00AC5305">
        <w:t xml:space="preserve"> the trial court of authority to adjudicate, probation violations that occurred</w:t>
      </w:r>
      <w:r w:rsidR="002717C6">
        <w:t xml:space="preserve"> </w:t>
      </w:r>
      <w:r w:rsidR="00A853B2" w:rsidRPr="00AC5305">
        <w:t xml:space="preserve">and </w:t>
      </w:r>
      <w:r w:rsidR="002717C6">
        <w:t xml:space="preserve">that </w:t>
      </w:r>
      <w:r w:rsidR="00A853B2" w:rsidRPr="00AC5305">
        <w:t>resulted in summary revocation</w:t>
      </w:r>
      <w:r w:rsidR="002717C6">
        <w:t xml:space="preserve"> </w:t>
      </w:r>
      <w:r w:rsidR="00E23AA3" w:rsidRPr="00AC2EFC">
        <w:t>while a person was validly on probation under the law in effect at the time.</w:t>
      </w:r>
      <w:bookmarkEnd w:id="4"/>
      <w:r w:rsidR="00E23AA3" w:rsidRPr="00AC2EFC">
        <w:t xml:space="preserve"> </w:t>
      </w:r>
    </w:p>
    <w:p w14:paraId="6D016B29" w14:textId="76320A90" w:rsidR="00307C99" w:rsidRDefault="00E23AA3" w:rsidP="002C185E">
      <w:pPr>
        <w:spacing w:line="360" w:lineRule="auto"/>
      </w:pPr>
      <w:r w:rsidRPr="00AC2EFC">
        <w:tab/>
      </w:r>
      <w:r w:rsidR="00446A32" w:rsidRPr="00AC2EFC">
        <w:t>T</w:t>
      </w:r>
      <w:r w:rsidR="00F17E9F" w:rsidRPr="00AC2EFC">
        <w:t xml:space="preserve">o </w:t>
      </w:r>
      <w:r w:rsidR="00307C99" w:rsidRPr="00AC2EFC">
        <w:t>understand</w:t>
      </w:r>
      <w:r w:rsidR="00F17E9F" w:rsidRPr="00AC2EFC">
        <w:t xml:space="preserve"> whether or how </w:t>
      </w:r>
      <w:r w:rsidR="00F17E9F" w:rsidRPr="00AC2EFC">
        <w:rPr>
          <w:i/>
          <w:iCs/>
        </w:rPr>
        <w:t>Estrada</w:t>
      </w:r>
      <w:r w:rsidR="00F17E9F" w:rsidRPr="00AC2EFC">
        <w:t xml:space="preserve"> applies </w:t>
      </w:r>
      <w:r w:rsidR="00E10A48" w:rsidRPr="00AC2EFC">
        <w:t xml:space="preserve">in this case </w:t>
      </w:r>
      <w:r w:rsidR="00F17E9F" w:rsidRPr="00AC2EFC">
        <w:t xml:space="preserve">we </w:t>
      </w:r>
      <w:r w:rsidR="00E10A48" w:rsidRPr="00AC2EFC">
        <w:t>look for guidance</w:t>
      </w:r>
      <w:r w:rsidR="00F5315F" w:rsidRPr="00AC2EFC">
        <w:t xml:space="preserve"> in</w:t>
      </w:r>
      <w:r w:rsidR="00F17E9F" w:rsidRPr="00AC2EFC">
        <w:t xml:space="preserve"> the </w:t>
      </w:r>
      <w:r w:rsidR="00E041C6" w:rsidRPr="00AC2EFC">
        <w:t xml:space="preserve">law </w:t>
      </w:r>
      <w:r w:rsidR="00F17E9F" w:rsidRPr="00AC2EFC">
        <w:t xml:space="preserve">governing the adjudication of probation violations.  </w:t>
      </w:r>
      <w:r w:rsidR="00307C99" w:rsidRPr="00AC2EFC">
        <w:t xml:space="preserve">First </w:t>
      </w:r>
      <w:r w:rsidR="0030518A" w:rsidRPr="00AC2EFC">
        <w:t>come</w:t>
      </w:r>
      <w:r w:rsidR="00307C99" w:rsidRPr="00AC2EFC">
        <w:t xml:space="preserve">s the </w:t>
      </w:r>
      <w:r w:rsidR="00E10A48" w:rsidRPr="00AC2EFC">
        <w:t>rule</w:t>
      </w:r>
      <w:r w:rsidR="00307C99" w:rsidRPr="00AC2EFC">
        <w:t xml:space="preserve"> that</w:t>
      </w:r>
      <w:r w:rsidR="00307C99">
        <w:t xml:space="preserve"> it is only “during the term of probation” that the court has authority to revoke or modify an order placing the defendant on probation.  (§ 1203.3, subd. (a).)  Once probation expire</w:t>
      </w:r>
      <w:r w:rsidR="002C185E">
        <w:t>s</w:t>
      </w:r>
      <w:r w:rsidR="00307C99">
        <w:t xml:space="preserve">, the trial court loses jurisdiction to modify </w:t>
      </w:r>
      <w:r w:rsidR="002C185E">
        <w:t>its</w:t>
      </w:r>
      <w:r w:rsidR="00307C99">
        <w:t xml:space="preserve"> terms.  (</w:t>
      </w:r>
      <w:r w:rsidR="00307C99" w:rsidRPr="00FB54F0">
        <w:rPr>
          <w:i/>
          <w:iCs/>
        </w:rPr>
        <w:t>Hilton v. Superior Court</w:t>
      </w:r>
      <w:r w:rsidR="00307C99" w:rsidRPr="0002336D">
        <w:t xml:space="preserve"> </w:t>
      </w:r>
      <w:r w:rsidR="00CC29E0">
        <w:t>(2014)</w:t>
      </w:r>
      <w:r w:rsidR="00307C99">
        <w:t xml:space="preserve"> 239 Cal.App.4</w:t>
      </w:r>
      <w:r w:rsidR="00307C99" w:rsidRPr="00FB54F0">
        <w:t>th</w:t>
      </w:r>
      <w:r w:rsidR="00307C99">
        <w:t xml:space="preserve"> 766, 772</w:t>
      </w:r>
      <w:r w:rsidR="009B0B31">
        <w:t>–</w:t>
      </w:r>
      <w:r w:rsidR="00307C99">
        <w:t>773</w:t>
      </w:r>
      <w:r w:rsidR="002C185E">
        <w:t>, 777 [court cannot award additional restitution after probationary term expires]</w:t>
      </w:r>
      <w:r w:rsidR="00307C99">
        <w:t>.)</w:t>
      </w:r>
      <w:r w:rsidR="002C185E">
        <w:t xml:space="preserve">  </w:t>
      </w:r>
      <w:r w:rsidR="006C74BF">
        <w:t xml:space="preserve">As </w:t>
      </w:r>
      <w:r w:rsidR="006C74BF" w:rsidRPr="00FB54F0">
        <w:rPr>
          <w:i/>
          <w:iCs/>
        </w:rPr>
        <w:t>Hilton</w:t>
      </w:r>
      <w:r w:rsidR="006C74BF">
        <w:t xml:space="preserve"> explains</w:t>
      </w:r>
      <w:r w:rsidR="002C185E">
        <w:t>, “ ‘[a]n order revoking probation must be made within the period of time circumscribed in the order of probation. Otherwise, the probationary period terminates automatically on the last day.’ ”  (</w:t>
      </w:r>
      <w:r w:rsidR="002C185E" w:rsidRPr="00FB54F0">
        <w:rPr>
          <w:i/>
          <w:iCs/>
        </w:rPr>
        <w:t>Id</w:t>
      </w:r>
      <w:r w:rsidR="002C185E" w:rsidRPr="0002336D">
        <w:t>.</w:t>
      </w:r>
      <w:r w:rsidR="002C185E">
        <w:t xml:space="preserve"> at p. 773</w:t>
      </w:r>
      <w:r w:rsidR="00CC29E0">
        <w:t>, italics omitted</w:t>
      </w:r>
      <w:r w:rsidR="002C185E">
        <w:t xml:space="preserve">.)  </w:t>
      </w:r>
    </w:p>
    <w:p w14:paraId="74788F89" w14:textId="731D6485" w:rsidR="00E041C6" w:rsidRDefault="00564256" w:rsidP="00E041C6">
      <w:pPr>
        <w:spacing w:line="360" w:lineRule="auto"/>
      </w:pPr>
      <w:r>
        <w:tab/>
      </w:r>
      <w:r w:rsidR="00897AE6">
        <w:t>The</w:t>
      </w:r>
      <w:r>
        <w:t xml:space="preserve"> second </w:t>
      </w:r>
      <w:r w:rsidR="00E10A48">
        <w:t>rule</w:t>
      </w:r>
      <w:r w:rsidR="007D1AD6">
        <w:t xml:space="preserve"> </w:t>
      </w:r>
      <w:r w:rsidR="002717C6">
        <w:t>modifies</w:t>
      </w:r>
      <w:r w:rsidR="007D1AD6">
        <w:t xml:space="preserve"> th</w:t>
      </w:r>
      <w:r w:rsidR="00897AE6">
        <w:t>e</w:t>
      </w:r>
      <w:r w:rsidR="007D1AD6">
        <w:t xml:space="preserve"> first: </w:t>
      </w:r>
      <w:r w:rsidR="007D1AD6" w:rsidRPr="00AC5305">
        <w:t>revocation of probation, “summary or otherwise, shall serve to toll the running of the probationary period</w:t>
      </w:r>
      <w:r w:rsidR="007D1AD6" w:rsidRPr="0002336D">
        <w:t>.”</w:t>
      </w:r>
      <w:r w:rsidR="007D1AD6">
        <w:t xml:space="preserve">  (</w:t>
      </w:r>
      <w:r w:rsidR="007D1AD6" w:rsidRPr="00AC5305">
        <w:t>Former § 1203</w:t>
      </w:r>
      <w:r w:rsidR="00897AE6">
        <w:t>.2(a)</w:t>
      </w:r>
      <w:r w:rsidR="007D1AD6">
        <w:t>.)</w:t>
      </w:r>
      <w:r w:rsidR="00FB54F0">
        <w:rPr>
          <w:rStyle w:val="FootnoteReference"/>
        </w:rPr>
        <w:footnoteReference w:id="3"/>
      </w:r>
      <w:r w:rsidR="00792941">
        <w:t xml:space="preserve">  The Legislature added this provision in 1977 to respond to two then-</w:t>
      </w:r>
      <w:r w:rsidR="00E041C6">
        <w:t>curre</w:t>
      </w:r>
      <w:r w:rsidR="00792941">
        <w:t xml:space="preserve">nt appellate decisions </w:t>
      </w:r>
      <w:r w:rsidR="00897AE6">
        <w:t>construing section 1203.3 to</w:t>
      </w:r>
      <w:r w:rsidR="00E041C6">
        <w:t xml:space="preserve"> </w:t>
      </w:r>
      <w:r w:rsidR="00792941">
        <w:lastRenderedPageBreak/>
        <w:t xml:space="preserve">require </w:t>
      </w:r>
      <w:r w:rsidR="006C74BF">
        <w:t xml:space="preserve">even </w:t>
      </w:r>
      <w:r w:rsidR="001D2ACE">
        <w:t>the</w:t>
      </w:r>
      <w:r w:rsidR="00792941">
        <w:t xml:space="preserve"> formal revocation hearing</w:t>
      </w:r>
      <w:r w:rsidR="00E041C6">
        <w:t>—</w:t>
      </w:r>
      <w:r w:rsidR="00792941">
        <w:t xml:space="preserve">compliant with </w:t>
      </w:r>
      <w:bookmarkStart w:id="5" w:name="_Hlk93924068"/>
      <w:r w:rsidR="00792941" w:rsidRPr="00FB54F0">
        <w:rPr>
          <w:i/>
          <w:iCs/>
        </w:rPr>
        <w:t xml:space="preserve">Morrissey v. Brewer </w:t>
      </w:r>
      <w:r w:rsidR="00792941">
        <w:t>(1</w:t>
      </w:r>
      <w:r w:rsidR="001E4C55">
        <w:t>9</w:t>
      </w:r>
      <w:r w:rsidR="00792941">
        <w:t>72) 408 U.S. 471</w:t>
      </w:r>
      <w:bookmarkEnd w:id="5"/>
      <w:r w:rsidR="00792941">
        <w:t xml:space="preserve"> </w:t>
      </w:r>
      <w:r w:rsidR="00E041C6">
        <w:t>(</w:t>
      </w:r>
      <w:r w:rsidR="00E041C6" w:rsidRPr="00350E89">
        <w:rPr>
          <w:i/>
          <w:iCs/>
        </w:rPr>
        <w:t>Morrissey</w:t>
      </w:r>
      <w:r w:rsidR="00E041C6">
        <w:t xml:space="preserve">) </w:t>
      </w:r>
      <w:r w:rsidR="00792941">
        <w:t xml:space="preserve">and </w:t>
      </w:r>
      <w:bookmarkStart w:id="6" w:name="_Hlk93924080"/>
      <w:r w:rsidR="00E041C6" w:rsidRPr="00FB54F0">
        <w:rPr>
          <w:i/>
          <w:iCs/>
        </w:rPr>
        <w:t>People v. Vickers</w:t>
      </w:r>
      <w:r w:rsidR="00E041C6">
        <w:t xml:space="preserve"> (1972) 8 Cal.3d 451</w:t>
      </w:r>
      <w:bookmarkEnd w:id="6"/>
      <w:r w:rsidR="001E4C55">
        <w:t xml:space="preserve"> </w:t>
      </w:r>
      <w:r w:rsidR="00E041C6">
        <w:t>(</w:t>
      </w:r>
      <w:r w:rsidR="00E041C6" w:rsidRPr="00350E89">
        <w:rPr>
          <w:i/>
          <w:iCs/>
        </w:rPr>
        <w:t>Vickers</w:t>
      </w:r>
      <w:r w:rsidR="00E041C6">
        <w:t>)—</w:t>
      </w:r>
      <w:r w:rsidR="00792941">
        <w:t xml:space="preserve">to conclude before the probationary period expired.  (See </w:t>
      </w:r>
      <w:r w:rsidR="00792941" w:rsidRPr="00FB54F0">
        <w:rPr>
          <w:i/>
          <w:iCs/>
        </w:rPr>
        <w:t>Leiva</w:t>
      </w:r>
      <w:r w:rsidR="00792941" w:rsidRPr="00897AE6">
        <w:t>,</w:t>
      </w:r>
      <w:r w:rsidR="00792941" w:rsidRPr="00FB54F0">
        <w:rPr>
          <w:i/>
          <w:iCs/>
        </w:rPr>
        <w:t xml:space="preserve"> supra</w:t>
      </w:r>
      <w:r w:rsidR="00792941">
        <w:t>, 56 Cal</w:t>
      </w:r>
      <w:r w:rsidR="00403EE2">
        <w:t>.4th</w:t>
      </w:r>
      <w:r w:rsidR="00792941">
        <w:t xml:space="preserve"> at p. 512.)</w:t>
      </w:r>
      <w:r w:rsidR="00E041C6">
        <w:t xml:space="preserve">  </w:t>
      </w:r>
      <w:r w:rsidR="0068688D">
        <w:t>The Legislature</w:t>
      </w:r>
      <w:r w:rsidR="001D2ACE">
        <w:t xml:space="preserve"> </w:t>
      </w:r>
      <w:r w:rsidR="002717C6">
        <w:t>added a</w:t>
      </w:r>
      <w:r w:rsidR="001D2ACE">
        <w:t xml:space="preserve"> tolling</w:t>
      </w:r>
      <w:r w:rsidR="0068688D">
        <w:t xml:space="preserve"> </w:t>
      </w:r>
      <w:r w:rsidR="002717C6">
        <w:t xml:space="preserve">provision </w:t>
      </w:r>
      <w:r w:rsidR="0068688D">
        <w:t>because it</w:t>
      </w:r>
      <w:r w:rsidR="00E041C6">
        <w:t xml:space="preserve"> “</w:t>
      </w:r>
      <w:r w:rsidR="0068688D">
        <w:t xml:space="preserve">was focused on </w:t>
      </w:r>
      <w:r w:rsidR="00E041C6" w:rsidRPr="00FB54F0">
        <w:rPr>
          <w:i/>
          <w:iCs/>
        </w:rPr>
        <w:t>preserv</w:t>
      </w:r>
      <w:r w:rsidR="0068688D">
        <w:rPr>
          <w:i/>
          <w:iCs/>
        </w:rPr>
        <w:t>ing</w:t>
      </w:r>
      <w:r w:rsidR="00E041C6" w:rsidRPr="00FB54F0">
        <w:rPr>
          <w:i/>
          <w:iCs/>
        </w:rPr>
        <w:t xml:space="preserve"> the jurisdiction</w:t>
      </w:r>
      <w:r w:rsidR="00E041C6">
        <w:t xml:space="preserve"> of the trial court to hold formal probation violation hearings that met </w:t>
      </w:r>
      <w:r w:rsidR="00E041C6" w:rsidRPr="00FB54F0">
        <w:rPr>
          <w:i/>
          <w:iCs/>
        </w:rPr>
        <w:t>Morrissey-Vickers</w:t>
      </w:r>
      <w:r w:rsidR="00E041C6">
        <w:t xml:space="preserve"> requirements after the period of probation had expired.”  (</w:t>
      </w:r>
      <w:r w:rsidR="00E041C6" w:rsidRPr="00FB54F0">
        <w:rPr>
          <w:i/>
          <w:iCs/>
        </w:rPr>
        <w:t>Ibid</w:t>
      </w:r>
      <w:r w:rsidR="00E041C6">
        <w:t xml:space="preserve">.)  </w:t>
      </w:r>
      <w:r w:rsidR="0068688D">
        <w:t>I</w:t>
      </w:r>
      <w:r w:rsidR="00E041C6">
        <w:t xml:space="preserve">t is </w:t>
      </w:r>
      <w:r w:rsidR="0068688D">
        <w:t xml:space="preserve">now </w:t>
      </w:r>
      <w:r w:rsidR="00BB290E" w:rsidRPr="00AC5305">
        <w:t xml:space="preserve">well established that summary revocation of probation is appropriate </w:t>
      </w:r>
      <w:r w:rsidR="002C42E9" w:rsidRPr="00AC5305">
        <w:t xml:space="preserve">and </w:t>
      </w:r>
      <w:r w:rsidR="00BB290E" w:rsidRPr="00AC5305">
        <w:t>preserve</w:t>
      </w:r>
      <w:r w:rsidR="00D02ED1">
        <w:t>s</w:t>
      </w:r>
      <w:r w:rsidR="00BB290E" w:rsidRPr="00AC5305">
        <w:t xml:space="preserve"> a court’s jurisdiction over a probationer, “even if the evidentiary hearing, formal revocation and sentencing all occur after the period of probation would otherwise have been completed.”  </w:t>
      </w:r>
      <w:bookmarkStart w:id="7" w:name="_Hlk86408534"/>
      <w:r w:rsidR="00BB290E" w:rsidRPr="00AC5305">
        <w:t>(</w:t>
      </w:r>
      <w:bookmarkStart w:id="8" w:name="_Hlk93924113"/>
      <w:r w:rsidR="00BB290E" w:rsidRPr="00AC5305">
        <w:rPr>
          <w:i/>
          <w:iCs/>
        </w:rPr>
        <w:t>People v. Journey</w:t>
      </w:r>
      <w:r w:rsidR="00BB290E" w:rsidRPr="00AC5305">
        <w:t xml:space="preserve"> (1976)</w:t>
      </w:r>
      <w:bookmarkEnd w:id="8"/>
      <w:r w:rsidR="00BB290E" w:rsidRPr="00AC5305">
        <w:t xml:space="preserve"> </w:t>
      </w:r>
      <w:bookmarkStart w:id="9" w:name="_Hlk93924101"/>
      <w:r w:rsidR="00BB290E" w:rsidRPr="00AC5305">
        <w:t>58 Cal.App.</w:t>
      </w:r>
      <w:r w:rsidR="002C42E9" w:rsidRPr="00AC5305">
        <w:t>3</w:t>
      </w:r>
      <w:r w:rsidR="00BB290E" w:rsidRPr="00AC5305">
        <w:t>d 24</w:t>
      </w:r>
      <w:bookmarkEnd w:id="9"/>
      <w:r w:rsidR="00BB290E" w:rsidRPr="00AC5305">
        <w:t>, 27</w:t>
      </w:r>
      <w:r w:rsidR="005075F2" w:rsidRPr="00AC5305">
        <w:t xml:space="preserve"> (</w:t>
      </w:r>
      <w:r w:rsidR="005075F2" w:rsidRPr="00AC5305">
        <w:rPr>
          <w:i/>
          <w:iCs/>
        </w:rPr>
        <w:t>Journey</w:t>
      </w:r>
      <w:r w:rsidR="005075F2" w:rsidRPr="00AC5305">
        <w:t>)</w:t>
      </w:r>
      <w:r w:rsidR="002C42E9" w:rsidRPr="00AC5305">
        <w:t xml:space="preserve">; accord, </w:t>
      </w:r>
      <w:bookmarkStart w:id="10" w:name="_Hlk93924123"/>
      <w:r w:rsidR="002C42E9" w:rsidRPr="00AC5305">
        <w:rPr>
          <w:i/>
          <w:iCs/>
        </w:rPr>
        <w:t>People v. M</w:t>
      </w:r>
      <w:r w:rsidR="00403EE2">
        <w:rPr>
          <w:i/>
          <w:iCs/>
        </w:rPr>
        <w:t>e</w:t>
      </w:r>
      <w:r w:rsidR="002C42E9" w:rsidRPr="00AC5305">
        <w:rPr>
          <w:i/>
          <w:iCs/>
        </w:rPr>
        <w:t>deiros</w:t>
      </w:r>
      <w:r w:rsidR="002C42E9" w:rsidRPr="00AC5305">
        <w:t xml:space="preserve"> (1994) 25 Cal.App.4th 1260</w:t>
      </w:r>
      <w:bookmarkEnd w:id="10"/>
      <w:r w:rsidR="002C42E9" w:rsidRPr="00AC5305">
        <w:t>, 1267; § 1203.2(a)</w:t>
      </w:r>
      <w:r w:rsidR="00BB290E" w:rsidRPr="00AC5305">
        <w:t>.)</w:t>
      </w:r>
      <w:bookmarkEnd w:id="7"/>
      <w:r w:rsidR="00BB290E" w:rsidRPr="00AC5305">
        <w:t xml:space="preserve">  </w:t>
      </w:r>
    </w:p>
    <w:p w14:paraId="2643818E" w14:textId="0906E3FA" w:rsidR="00BB290E" w:rsidRPr="00AC5305" w:rsidRDefault="001D2ACE" w:rsidP="00897AE6">
      <w:pPr>
        <w:spacing w:line="360" w:lineRule="auto"/>
      </w:pPr>
      <w:r>
        <w:tab/>
        <w:t xml:space="preserve">The parties disagree on how these principles </w:t>
      </w:r>
      <w:r w:rsidR="0068688D">
        <w:t xml:space="preserve">apply </w:t>
      </w:r>
      <w:r>
        <w:t xml:space="preserve">to the case before us.  </w:t>
      </w:r>
      <w:r w:rsidR="00A323D3">
        <w:t>T</w:t>
      </w:r>
      <w:r>
        <w:t xml:space="preserve">he order revoking </w:t>
      </w:r>
      <w:r w:rsidR="00A323D3">
        <w:t xml:space="preserve">Kuhnel’s </w:t>
      </w:r>
      <w:r>
        <w:t xml:space="preserve">probation was made within the period circumscribed by the original order of probation as required by </w:t>
      </w:r>
      <w:r w:rsidRPr="00350E89">
        <w:rPr>
          <w:i/>
          <w:iCs/>
        </w:rPr>
        <w:t>Hilton</w:t>
      </w:r>
      <w:r>
        <w:t xml:space="preserve">, but Kuhnel is quick to point out </w:t>
      </w:r>
      <w:r w:rsidR="00A323D3">
        <w:t xml:space="preserve">that </w:t>
      </w:r>
      <w:r>
        <w:t xml:space="preserve">it was </w:t>
      </w:r>
      <w:r w:rsidRPr="00FB54F0">
        <w:rPr>
          <w:i/>
          <w:iCs/>
        </w:rPr>
        <w:t>not</w:t>
      </w:r>
      <w:r>
        <w:t xml:space="preserve"> made within the one-year probationary period that retroactive application of Assembly Bill 1950 would have allowed.</w:t>
      </w:r>
      <w:r w:rsidR="0068688D">
        <w:t xml:space="preserve">  </w:t>
      </w:r>
      <w:r w:rsidR="00E10A48">
        <w:t>Citing</w:t>
      </w:r>
      <w:r w:rsidR="00E4738E">
        <w:t xml:space="preserve"> section 1203.2</w:t>
      </w:r>
      <w:r w:rsidR="006C74BF">
        <w:t>(a)</w:t>
      </w:r>
      <w:r w:rsidR="00E4738E">
        <w:t xml:space="preserve"> </w:t>
      </w:r>
      <w:r w:rsidR="00E10A48">
        <w:t>and</w:t>
      </w:r>
      <w:r w:rsidR="00E4738E">
        <w:t xml:space="preserve"> </w:t>
      </w:r>
      <w:r w:rsidR="00E722CD" w:rsidRPr="00AC5305">
        <w:rPr>
          <w:i/>
          <w:iCs/>
        </w:rPr>
        <w:t>Leiva</w:t>
      </w:r>
      <w:r w:rsidR="00E722CD">
        <w:t xml:space="preserve">, </w:t>
      </w:r>
      <w:r w:rsidR="00E10A48">
        <w:t xml:space="preserve">the People argue </w:t>
      </w:r>
      <w:r w:rsidR="00E722CD" w:rsidRPr="00AC5305">
        <w:t>that</w:t>
      </w:r>
      <w:r w:rsidR="00E722CD" w:rsidRPr="007A032D">
        <w:t xml:space="preserve"> </w:t>
      </w:r>
      <w:r w:rsidR="00E722CD">
        <w:t>even after enactment of Assembly Bill 1950</w:t>
      </w:r>
      <w:r w:rsidR="00E722CD" w:rsidRPr="00AC5305">
        <w:t xml:space="preserve"> the trial court retain</w:t>
      </w:r>
      <w:r w:rsidR="00E722CD">
        <w:t>s j</w:t>
      </w:r>
      <w:r w:rsidR="00E722CD" w:rsidRPr="00AC5305">
        <w:t xml:space="preserve">urisdiction to </w:t>
      </w:r>
      <w:r w:rsidR="00E722CD">
        <w:t>adjudicate</w:t>
      </w:r>
      <w:r w:rsidR="00E722CD" w:rsidRPr="00AC5305">
        <w:t xml:space="preserve"> probation violations occurr</w:t>
      </w:r>
      <w:r w:rsidR="00E722CD">
        <w:t>ing</w:t>
      </w:r>
      <w:r w:rsidR="00E722CD" w:rsidRPr="00AC5305">
        <w:t xml:space="preserve"> during the original grant of probation. </w:t>
      </w:r>
      <w:r w:rsidR="00E4738E">
        <w:t xml:space="preserve"> </w:t>
      </w:r>
      <w:r w:rsidR="00E10A48">
        <w:t xml:space="preserve">But </w:t>
      </w:r>
      <w:r w:rsidR="00E4738E">
        <w:t>Kuhnel</w:t>
      </w:r>
      <w:r w:rsidR="00E722CD">
        <w:t xml:space="preserve"> </w:t>
      </w:r>
      <w:r w:rsidR="00E4738E">
        <w:t>challenge</w:t>
      </w:r>
      <w:r w:rsidR="00E10A48">
        <w:t>s</w:t>
      </w:r>
      <w:r w:rsidR="00E4738E">
        <w:t xml:space="preserve"> the efficacy of a </w:t>
      </w:r>
      <w:r w:rsidR="00051ABA">
        <w:t>summary revo</w:t>
      </w:r>
      <w:r w:rsidR="00E4738E">
        <w:t>cation order made</w:t>
      </w:r>
      <w:r w:rsidR="00051ABA">
        <w:t xml:space="preserve"> thirteen months into her probationary period</w:t>
      </w:r>
      <w:r w:rsidR="00E10A48">
        <w:t>, once Assembly Bill 1950 shortened the maximum term for her probation to one year</w:t>
      </w:r>
      <w:r w:rsidR="00051ABA">
        <w:t>.</w:t>
      </w:r>
      <w:r w:rsidR="00E722CD">
        <w:t xml:space="preserve"> </w:t>
      </w:r>
    </w:p>
    <w:p w14:paraId="406BEB57" w14:textId="4A30CBCF" w:rsidR="004B7A60" w:rsidRDefault="00BB290E" w:rsidP="00A70BA2">
      <w:pPr>
        <w:spacing w:line="360" w:lineRule="auto"/>
      </w:pPr>
      <w:r w:rsidRPr="00AC5305">
        <w:tab/>
      </w:r>
      <w:r w:rsidR="008C068F">
        <w:t xml:space="preserve">While not directly on point, </w:t>
      </w:r>
      <w:r w:rsidR="00E722CD" w:rsidRPr="00FB54F0">
        <w:rPr>
          <w:i/>
          <w:iCs/>
        </w:rPr>
        <w:t>Leiva</w:t>
      </w:r>
      <w:r w:rsidR="00E722CD">
        <w:t xml:space="preserve"> is helpful </w:t>
      </w:r>
      <w:r w:rsidR="008C068F">
        <w:t>for its analysis of the Legislative intent behind section 1203</w:t>
      </w:r>
      <w:r w:rsidR="006C74BF">
        <w:t>.2</w:t>
      </w:r>
      <w:r w:rsidR="008C068F">
        <w:t xml:space="preserve">(a). </w:t>
      </w:r>
      <w:r w:rsidR="00E722CD">
        <w:t xml:space="preserve"> </w:t>
      </w:r>
      <w:r w:rsidR="00AF6EEE" w:rsidRPr="00AC5305">
        <w:t xml:space="preserve">The </w:t>
      </w:r>
      <w:r w:rsidR="002C42E9" w:rsidRPr="00AC5305">
        <w:t>question</w:t>
      </w:r>
      <w:r w:rsidR="00AF6EEE" w:rsidRPr="00AC5305">
        <w:t xml:space="preserve"> in </w:t>
      </w:r>
      <w:r w:rsidR="006C1366" w:rsidRPr="00AC5305">
        <w:rPr>
          <w:i/>
          <w:iCs/>
        </w:rPr>
        <w:t>Leiva</w:t>
      </w:r>
      <w:r w:rsidR="006C1366" w:rsidRPr="00AC5305">
        <w:t xml:space="preserve"> </w:t>
      </w:r>
      <w:r w:rsidR="00AF6EEE" w:rsidRPr="00AC5305">
        <w:t>was</w:t>
      </w:r>
      <w:r w:rsidR="002356E6" w:rsidRPr="00AC5305">
        <w:t xml:space="preserve"> whether</w:t>
      </w:r>
      <w:r w:rsidR="008C068F">
        <w:t xml:space="preserve">, </w:t>
      </w:r>
      <w:r w:rsidR="008118C0">
        <w:t xml:space="preserve">years </w:t>
      </w:r>
      <w:r w:rsidR="008C068F">
        <w:t>after probation had been summarily revoked,</w:t>
      </w:r>
      <w:r w:rsidR="002356E6" w:rsidRPr="00AC5305">
        <w:t xml:space="preserve"> </w:t>
      </w:r>
      <w:r w:rsidR="008C068F">
        <w:t xml:space="preserve">the tolling </w:t>
      </w:r>
      <w:r w:rsidR="008C068F">
        <w:lastRenderedPageBreak/>
        <w:t>provision of</w:t>
      </w:r>
      <w:r w:rsidR="002356E6" w:rsidRPr="00AC5305">
        <w:t xml:space="preserve"> former section 1203.2(a) authorized a court to find a violation of</w:t>
      </w:r>
      <w:r w:rsidR="00E10A48">
        <w:t xml:space="preserve"> probation</w:t>
      </w:r>
      <w:r w:rsidR="002356E6" w:rsidRPr="00AC5305">
        <w:t xml:space="preserve"> based only on </w:t>
      </w:r>
      <w:r w:rsidR="008C068F">
        <w:t xml:space="preserve">different </w:t>
      </w:r>
      <w:r w:rsidR="002356E6" w:rsidRPr="00AC5305">
        <w:t>conduct that occurred after the court-imposed probationary period had elapsed.</w:t>
      </w:r>
      <w:r w:rsidR="006C1366" w:rsidRPr="00AC5305">
        <w:t xml:space="preserve">  </w:t>
      </w:r>
      <w:r w:rsidR="002356E6" w:rsidRPr="00AC5305">
        <w:t>(</w:t>
      </w:r>
      <w:r w:rsidR="002356E6" w:rsidRPr="00AC5305">
        <w:rPr>
          <w:i/>
          <w:iCs/>
        </w:rPr>
        <w:t>Leiva</w:t>
      </w:r>
      <w:r w:rsidR="002356E6" w:rsidRPr="00AC5305">
        <w:t xml:space="preserve">, </w:t>
      </w:r>
      <w:r w:rsidR="002356E6" w:rsidRPr="00AC5305">
        <w:rPr>
          <w:i/>
          <w:iCs/>
        </w:rPr>
        <w:t>supra</w:t>
      </w:r>
      <w:r w:rsidR="002356E6" w:rsidRPr="00AC5305">
        <w:t>, 56 Cal</w:t>
      </w:r>
      <w:r w:rsidR="00A140F4" w:rsidRPr="00AC5305">
        <w:t>.</w:t>
      </w:r>
      <w:r w:rsidR="008C1216">
        <w:t>4</w:t>
      </w:r>
      <w:r w:rsidR="002356E6" w:rsidRPr="00AC5305">
        <w:t>th at p.</w:t>
      </w:r>
      <w:r w:rsidR="00FB54F0">
        <w:t> </w:t>
      </w:r>
      <w:r w:rsidR="002356E6" w:rsidRPr="00AC5305">
        <w:t>502.)</w:t>
      </w:r>
      <w:r w:rsidR="00F42891" w:rsidRPr="00AC5305">
        <w:t xml:space="preserve"> </w:t>
      </w:r>
      <w:r w:rsidR="00A140F4" w:rsidRPr="00AC5305">
        <w:t xml:space="preserve"> </w:t>
      </w:r>
      <w:r w:rsidR="004B7A60">
        <w:t>Following</w:t>
      </w:r>
      <w:r w:rsidR="004B7A60" w:rsidRPr="00AC5305">
        <w:t xml:space="preserve"> </w:t>
      </w:r>
      <w:r w:rsidR="00555C0D" w:rsidRPr="00AC5305">
        <w:t xml:space="preserve">an extensive review of the legislative history, our high court concluded that the tolling provision was intended to preserve a court’s jurisdiction to act on a violation after </w:t>
      </w:r>
      <w:r w:rsidR="008C068F">
        <w:t xml:space="preserve">summarily revoking </w:t>
      </w:r>
      <w:r w:rsidR="00555C0D" w:rsidRPr="00AC5305">
        <w:t>probation, even if the probationer did not appear for a formal hearing until after the expiration of the term</w:t>
      </w:r>
      <w:r w:rsidR="008E0C7D">
        <w:t>; however,</w:t>
      </w:r>
      <w:r w:rsidR="00B82F13" w:rsidRPr="00AC5305">
        <w:t xml:space="preserve"> </w:t>
      </w:r>
      <w:r w:rsidR="00F8196E">
        <w:t>the provision</w:t>
      </w:r>
      <w:r w:rsidR="00F8196E" w:rsidRPr="00AC5305">
        <w:t xml:space="preserve"> </w:t>
      </w:r>
      <w:r w:rsidR="00B82F13" w:rsidRPr="00AC5305">
        <w:t>was not intended to extend</w:t>
      </w:r>
      <w:r w:rsidR="00555C0D" w:rsidRPr="00AC5305">
        <w:t xml:space="preserve"> the terms and conditions of probation indefinitely so as to authorize a finding </w:t>
      </w:r>
      <w:r w:rsidR="008C068F">
        <w:t>that probation was</w:t>
      </w:r>
      <w:r w:rsidR="008C068F" w:rsidRPr="00AC5305">
        <w:t xml:space="preserve"> </w:t>
      </w:r>
      <w:r w:rsidR="00555C0D" w:rsidRPr="00AC5305">
        <w:t>violat</w:t>
      </w:r>
      <w:r w:rsidR="008C068F">
        <w:t>ed by acts committed after the original probationary term</w:t>
      </w:r>
      <w:r w:rsidR="00555C0D" w:rsidRPr="00AC5305">
        <w:t>.  (</w:t>
      </w:r>
      <w:r w:rsidR="00555C0D" w:rsidRPr="00AC5305">
        <w:rPr>
          <w:i/>
          <w:iCs/>
        </w:rPr>
        <w:t>Id</w:t>
      </w:r>
      <w:r w:rsidR="00555C0D" w:rsidRPr="00AC5305">
        <w:t>. at pp. 514</w:t>
      </w:r>
      <w:r w:rsidR="009B0B31">
        <w:t>–</w:t>
      </w:r>
      <w:r w:rsidR="00555C0D" w:rsidRPr="00AC5305">
        <w:t>515.)</w:t>
      </w:r>
      <w:r w:rsidR="001839B2" w:rsidRPr="00AC5305">
        <w:t xml:space="preserve">  </w:t>
      </w:r>
    </w:p>
    <w:p w14:paraId="5BD8D9DA" w14:textId="37220CBF" w:rsidR="00E23AA3" w:rsidRPr="00AC5305" w:rsidRDefault="004B7A60" w:rsidP="00A70BA2">
      <w:pPr>
        <w:spacing w:line="360" w:lineRule="auto"/>
      </w:pPr>
      <w:r>
        <w:tab/>
      </w:r>
      <w:r w:rsidRPr="00FB54F0">
        <w:rPr>
          <w:i/>
          <w:iCs/>
        </w:rPr>
        <w:t>Leiva</w:t>
      </w:r>
      <w:r>
        <w:t xml:space="preserve"> explains that the Legislature intended the tolling provision to promote two objectives.  </w:t>
      </w:r>
      <w:r w:rsidRPr="0002336D">
        <w:t>(</w:t>
      </w:r>
      <w:r w:rsidR="00CC29E0" w:rsidRPr="0002336D">
        <w:rPr>
          <w:i/>
          <w:iCs/>
        </w:rPr>
        <w:t>Leiva</w:t>
      </w:r>
      <w:r w:rsidR="00CC29E0" w:rsidRPr="0002336D">
        <w:t xml:space="preserve">, </w:t>
      </w:r>
      <w:r w:rsidR="00CC29E0" w:rsidRPr="0002336D">
        <w:rPr>
          <w:i/>
          <w:iCs/>
        </w:rPr>
        <w:t>supra</w:t>
      </w:r>
      <w:r w:rsidR="00CC29E0" w:rsidRPr="0002336D">
        <w:t>, 56 Cal.4th</w:t>
      </w:r>
      <w:r w:rsidRPr="00AC5305">
        <w:t xml:space="preserve"> at p. 515.)  </w:t>
      </w:r>
      <w:r>
        <w:t>F</w:t>
      </w:r>
      <w:r w:rsidR="001839B2" w:rsidRPr="00AC5305">
        <w:t>irst,</w:t>
      </w:r>
      <w:r>
        <w:t xml:space="preserve"> </w:t>
      </w:r>
      <w:r w:rsidR="008118C0">
        <w:t>the provision</w:t>
      </w:r>
      <w:r w:rsidR="001839B2" w:rsidRPr="00AC5305">
        <w:t xml:space="preserve"> “would ensure that, once probation was summarily revoked, the prosecution would have a fair opportunity to prove that a defendant violated probation </w:t>
      </w:r>
      <w:r w:rsidR="001839B2" w:rsidRPr="006F4188">
        <w:t xml:space="preserve">during the probationary period </w:t>
      </w:r>
      <w:r w:rsidR="001839B2" w:rsidRPr="00AC5305">
        <w:t>even when a formal probation violation hearing could not be held before probation expired,” and, second,</w:t>
      </w:r>
      <w:r>
        <w:t xml:space="preserve"> it</w:t>
      </w:r>
      <w:r w:rsidR="001839B2" w:rsidRPr="00AC5305">
        <w:t xml:space="preserve"> “would ensure a defendant’s due process right to a formal hearing in which to litigate the validity of an allegation that he violated the conditions of probation </w:t>
      </w:r>
      <w:r w:rsidR="001839B2" w:rsidRPr="006F4188">
        <w:t>during the probationary period</w:t>
      </w:r>
      <w:r w:rsidR="001839B2" w:rsidRPr="00AC5305">
        <w:t xml:space="preserve"> whenever such a formal hearing could be held.”  (</w:t>
      </w:r>
      <w:r w:rsidR="001839B2" w:rsidRPr="0002336D">
        <w:rPr>
          <w:i/>
          <w:iCs/>
        </w:rPr>
        <w:t>I</w:t>
      </w:r>
      <w:r w:rsidR="00CC29E0">
        <w:rPr>
          <w:i/>
          <w:iCs/>
        </w:rPr>
        <w:t>bi</w:t>
      </w:r>
      <w:r w:rsidR="001839B2" w:rsidRPr="0002336D">
        <w:rPr>
          <w:i/>
          <w:iCs/>
        </w:rPr>
        <w:t>d</w:t>
      </w:r>
      <w:r w:rsidR="001839B2" w:rsidRPr="00AC5305">
        <w:t>.)  The high court thus concluded that “summary revocation of</w:t>
      </w:r>
      <w:r w:rsidR="002C42E9" w:rsidRPr="00AC5305">
        <w:t xml:space="preserve"> </w:t>
      </w:r>
      <w:r w:rsidR="001839B2" w:rsidRPr="00AC5305">
        <w:t>probation preserves the trial court’s authority to adjudicate a claim that the defendant violated a condition of probation during the probationary period.”  (</w:t>
      </w:r>
      <w:r w:rsidR="001839B2" w:rsidRPr="00AC5305">
        <w:rPr>
          <w:i/>
          <w:iCs/>
        </w:rPr>
        <w:t>Ibid</w:t>
      </w:r>
      <w:r w:rsidR="001839B2" w:rsidRPr="00AC5305">
        <w:t xml:space="preserve">.)  At the hearing on the violation, the court may </w:t>
      </w:r>
      <w:r w:rsidR="001D71C1" w:rsidRPr="00AC5305">
        <w:t>decide</w:t>
      </w:r>
      <w:r w:rsidR="001839B2" w:rsidRPr="00AC5305">
        <w:t xml:space="preserve"> </w:t>
      </w:r>
      <w:r w:rsidR="001D71C1" w:rsidRPr="00AC5305">
        <w:t xml:space="preserve">whether there was a violation during </w:t>
      </w:r>
      <w:r w:rsidR="00051ABA">
        <w:t xml:space="preserve">the </w:t>
      </w:r>
      <w:r w:rsidR="001D71C1" w:rsidRPr="00AC5305">
        <w:t>probationary period and whether to reinstate or terminate probation.  (</w:t>
      </w:r>
      <w:r w:rsidR="001D71C1" w:rsidRPr="00AC5305">
        <w:rPr>
          <w:i/>
          <w:iCs/>
        </w:rPr>
        <w:t>Id</w:t>
      </w:r>
      <w:r w:rsidR="001D71C1" w:rsidRPr="00AC5305">
        <w:t>. at pp. 515</w:t>
      </w:r>
      <w:r w:rsidR="009B0B31">
        <w:t>–</w:t>
      </w:r>
      <w:r w:rsidR="001D71C1" w:rsidRPr="00AC5305">
        <w:t>516, citing</w:t>
      </w:r>
      <w:r w:rsidR="001D71C1" w:rsidRPr="00AC5305">
        <w:rPr>
          <w:i/>
          <w:iCs/>
        </w:rPr>
        <w:t xml:space="preserve"> </w:t>
      </w:r>
      <w:r w:rsidR="001839B2" w:rsidRPr="00AC5305">
        <w:rPr>
          <w:i/>
          <w:iCs/>
        </w:rPr>
        <w:lastRenderedPageBreak/>
        <w:t>People v. Tapia</w:t>
      </w:r>
      <w:r w:rsidR="001839B2" w:rsidRPr="00AC5305">
        <w:t xml:space="preserve"> (</w:t>
      </w:r>
      <w:r w:rsidR="001D71C1" w:rsidRPr="00AC5305">
        <w:t>2001</w:t>
      </w:r>
      <w:r w:rsidR="001839B2" w:rsidRPr="00AC5305">
        <w:t>) 91 Cal.App</w:t>
      </w:r>
      <w:r w:rsidR="001D71C1" w:rsidRPr="00AC5305">
        <w:t>.4</w:t>
      </w:r>
      <w:r w:rsidR="001839B2" w:rsidRPr="00AC5305">
        <w:t xml:space="preserve">th </w:t>
      </w:r>
      <w:r w:rsidR="001D71C1" w:rsidRPr="00AC5305">
        <w:t>738</w:t>
      </w:r>
      <w:r w:rsidR="001839B2" w:rsidRPr="00AC5305">
        <w:t xml:space="preserve">, </w:t>
      </w:r>
      <w:r w:rsidR="001D71C1" w:rsidRPr="00AC5305">
        <w:t>741</w:t>
      </w:r>
      <w:r w:rsidR="009B0B31">
        <w:t>–</w:t>
      </w:r>
      <w:r w:rsidR="001839B2" w:rsidRPr="00AC5305">
        <w:t>742</w:t>
      </w:r>
      <w:r w:rsidR="00A31D70" w:rsidRPr="00AC5305">
        <w:t xml:space="preserve">, disapproved on another point in </w:t>
      </w:r>
      <w:r w:rsidR="00A31D70" w:rsidRPr="00AC5305">
        <w:rPr>
          <w:i/>
          <w:iCs/>
        </w:rPr>
        <w:t>People v. Wagner</w:t>
      </w:r>
      <w:r w:rsidR="00A31D70" w:rsidRPr="00AC5305">
        <w:t xml:space="preserve"> (2009) 45 Cal.4th 1039, 1061, fn. 10</w:t>
      </w:r>
      <w:r w:rsidR="001839B2" w:rsidRPr="00AC5305">
        <w:t>.)</w:t>
      </w:r>
    </w:p>
    <w:p w14:paraId="0416CF39" w14:textId="7FD6B935" w:rsidR="00AA6094" w:rsidRPr="00AC5305" w:rsidRDefault="00BB290E" w:rsidP="00A70BA2">
      <w:pPr>
        <w:spacing w:line="360" w:lineRule="auto"/>
      </w:pPr>
      <w:r w:rsidRPr="00AC5305">
        <w:tab/>
      </w:r>
      <w:r w:rsidR="00B3138C">
        <w:t>W</w:t>
      </w:r>
      <w:r w:rsidR="005075F2" w:rsidRPr="00AC5305">
        <w:t xml:space="preserve">e agree with the People that </w:t>
      </w:r>
      <w:r w:rsidR="00B3138C" w:rsidRPr="00FB54F0">
        <w:rPr>
          <w:i/>
          <w:iCs/>
        </w:rPr>
        <w:t>Leiva</w:t>
      </w:r>
      <w:r w:rsidR="00B3138C" w:rsidRPr="00AC5305">
        <w:t xml:space="preserve"> </w:t>
      </w:r>
      <w:r w:rsidR="005075F2" w:rsidRPr="00AC5305">
        <w:t>points us in the right direction.</w:t>
      </w:r>
      <w:r w:rsidR="00702E20">
        <w:t xml:space="preserve">  </w:t>
      </w:r>
      <w:r w:rsidR="00BB31B3">
        <w:t xml:space="preserve"> </w:t>
      </w:r>
      <w:r w:rsidR="00684372">
        <w:t>Both</w:t>
      </w:r>
      <w:r w:rsidRPr="00AC5305">
        <w:t xml:space="preserve"> </w:t>
      </w:r>
      <w:r w:rsidR="008E0C7D">
        <w:t>Kuhnel’s</w:t>
      </w:r>
      <w:r w:rsidRPr="00AC5305">
        <w:t xml:space="preserve"> alleged violation and the summary revocation of probation occurred during the original probationary period.</w:t>
      </w:r>
      <w:r w:rsidR="005075F2" w:rsidRPr="00AC5305">
        <w:t xml:space="preserve">  And</w:t>
      </w:r>
      <w:r w:rsidR="00684372">
        <w:t xml:space="preserve"> </w:t>
      </w:r>
      <w:r w:rsidR="00AB0AFE">
        <w:t>her</w:t>
      </w:r>
      <w:r w:rsidR="00AB0AFE" w:rsidRPr="00AC5305">
        <w:t xml:space="preserve"> </w:t>
      </w:r>
      <w:r w:rsidR="00AB0AFE">
        <w:t>first</w:t>
      </w:r>
      <w:r w:rsidR="00AB0AFE" w:rsidRPr="00AC5305">
        <w:t xml:space="preserve"> </w:t>
      </w:r>
      <w:r w:rsidR="00AB0AFE">
        <w:t xml:space="preserve">probationary </w:t>
      </w:r>
      <w:r w:rsidR="005075F2" w:rsidRPr="00AC5305">
        <w:t>year had not yet expired when Kuhnel allegedly violated probation in 2017.</w:t>
      </w:r>
      <w:r w:rsidR="00BB31B3">
        <w:rPr>
          <w:rStyle w:val="FootnoteReference"/>
        </w:rPr>
        <w:footnoteReference w:id="4"/>
      </w:r>
      <w:r w:rsidR="005075F2" w:rsidRPr="00AC5305">
        <w:t xml:space="preserve">  </w:t>
      </w:r>
      <w:r w:rsidR="00100820">
        <w:t>All of t</w:t>
      </w:r>
      <w:r w:rsidR="00A942D4">
        <w:t>hese events occurred</w:t>
      </w:r>
      <w:r w:rsidR="005075F2" w:rsidRPr="00AC5305">
        <w:t xml:space="preserve"> well before the effective date of Assembly Bill 1950—indeed, before the law was even introduced in the Legislature—</w:t>
      </w:r>
      <w:r w:rsidR="00F8196E">
        <w:t>so</w:t>
      </w:r>
      <w:r w:rsidR="00F8196E" w:rsidRPr="00AC5305">
        <w:t xml:space="preserve"> </w:t>
      </w:r>
      <w:r w:rsidR="005075F2" w:rsidRPr="00AC5305">
        <w:t xml:space="preserve">no one had any reason to expedite summary revocation of probation to ensure the court’s continued jurisdiction.  (Compare </w:t>
      </w:r>
      <w:r w:rsidR="005075F2" w:rsidRPr="00AC5305">
        <w:rPr>
          <w:i/>
          <w:iCs/>
        </w:rPr>
        <w:t>Journey</w:t>
      </w:r>
      <w:r w:rsidR="005075F2" w:rsidRPr="00AC5305">
        <w:t xml:space="preserve">, </w:t>
      </w:r>
      <w:r w:rsidR="005075F2" w:rsidRPr="00AC5305">
        <w:rPr>
          <w:i/>
          <w:iCs/>
        </w:rPr>
        <w:t>supra</w:t>
      </w:r>
      <w:r w:rsidR="005075F2" w:rsidRPr="00AC5305">
        <w:t>, 58 Cal.App.3d at pp. 26</w:t>
      </w:r>
      <w:r w:rsidR="009B0B31">
        <w:t>–</w:t>
      </w:r>
      <w:r w:rsidR="005075F2" w:rsidRPr="00AC5305">
        <w:t xml:space="preserve">28 [ex parte summary revocation on last possible day </w:t>
      </w:r>
      <w:r w:rsidR="00BA7573" w:rsidRPr="00AC5305">
        <w:t>preserved jurisdiction</w:t>
      </w:r>
      <w:r w:rsidR="005075F2" w:rsidRPr="00AC5305">
        <w:t>]</w:t>
      </w:r>
      <w:r w:rsidR="00BA7573" w:rsidRPr="00AC5305">
        <w:t xml:space="preserve">; </w:t>
      </w:r>
      <w:r w:rsidR="00C96403" w:rsidRPr="0002336D">
        <w:t>Legis</w:t>
      </w:r>
      <w:r w:rsidR="00C96403">
        <w:t>.</w:t>
      </w:r>
      <w:r w:rsidR="002D04CA" w:rsidRPr="00AC5305">
        <w:t xml:space="preserve"> Counsel’s </w:t>
      </w:r>
      <w:r w:rsidR="002D04CA" w:rsidRPr="0002336D">
        <w:t>Dig</w:t>
      </w:r>
      <w:r w:rsidR="00C96403">
        <w:t>.</w:t>
      </w:r>
      <w:r w:rsidR="002D04CA" w:rsidRPr="0002336D">
        <w:t xml:space="preserve">, </w:t>
      </w:r>
      <w:r w:rsidR="00C96403" w:rsidRPr="0002336D">
        <w:t>Assem</w:t>
      </w:r>
      <w:r w:rsidR="00C96403">
        <w:t>.</w:t>
      </w:r>
      <w:r w:rsidR="002D04CA" w:rsidRPr="00AC5305">
        <w:t xml:space="preserve"> Bill 1950</w:t>
      </w:r>
      <w:r w:rsidR="002D04CA" w:rsidRPr="0002336D">
        <w:t xml:space="preserve">, </w:t>
      </w:r>
      <w:r w:rsidR="00C96403">
        <w:t>Stats. 2020</w:t>
      </w:r>
      <w:r w:rsidR="002D04CA" w:rsidRPr="00AC5305">
        <w:t>, ch. 328, approved by Governor Sept. 30, 2020</w:t>
      </w:r>
      <w:r w:rsidR="00BA7573" w:rsidRPr="00AC5305">
        <w:t>.)</w:t>
      </w:r>
    </w:p>
    <w:p w14:paraId="24460C82" w14:textId="34472582" w:rsidR="0066616D" w:rsidRPr="003130E0" w:rsidRDefault="00AA6094" w:rsidP="008D1011">
      <w:pPr>
        <w:spacing w:line="360" w:lineRule="auto"/>
      </w:pPr>
      <w:r w:rsidRPr="00AC5305">
        <w:tab/>
        <w:t>Th</w:t>
      </w:r>
      <w:r w:rsidR="002D04CA" w:rsidRPr="00AC5305">
        <w:t>ese</w:t>
      </w:r>
      <w:r w:rsidRPr="00AC5305">
        <w:t xml:space="preserve"> fact</w:t>
      </w:r>
      <w:r w:rsidR="002D04CA" w:rsidRPr="00AC5305">
        <w:t>s</w:t>
      </w:r>
      <w:r w:rsidRPr="00AC5305">
        <w:t xml:space="preserve"> lead us to conclude that</w:t>
      </w:r>
      <w:r w:rsidR="008E0C7D">
        <w:t xml:space="preserve"> </w:t>
      </w:r>
      <w:r w:rsidR="00973A0E">
        <w:t xml:space="preserve">giving full effect to </w:t>
      </w:r>
      <w:r w:rsidR="008E0C7D">
        <w:t>the trial court’s</w:t>
      </w:r>
      <w:r w:rsidRPr="00AC5305">
        <w:t xml:space="preserve"> summary revocation of </w:t>
      </w:r>
      <w:r w:rsidR="008E0C7D">
        <w:t xml:space="preserve">Kuhnel’s </w:t>
      </w:r>
      <w:r w:rsidRPr="00AC5305">
        <w:t xml:space="preserve">probation </w:t>
      </w:r>
      <w:r w:rsidR="00973A0E" w:rsidRPr="00AC5305">
        <w:t>conflict</w:t>
      </w:r>
      <w:r w:rsidR="00973A0E">
        <w:t>s</w:t>
      </w:r>
      <w:r w:rsidR="00973A0E" w:rsidRPr="00AC5305">
        <w:t xml:space="preserve"> </w:t>
      </w:r>
      <w:r w:rsidR="002D04CA" w:rsidRPr="00AC5305">
        <w:t>with neither</w:t>
      </w:r>
      <w:r w:rsidRPr="00AC5305">
        <w:t xml:space="preserve"> the letter </w:t>
      </w:r>
      <w:r w:rsidR="002D04CA" w:rsidRPr="00AC5305">
        <w:t>n</w:t>
      </w:r>
      <w:r w:rsidRPr="00AC5305">
        <w:t xml:space="preserve">or the spirit of </w:t>
      </w:r>
      <w:r w:rsidRPr="00AC5305">
        <w:rPr>
          <w:i/>
          <w:iCs/>
        </w:rPr>
        <w:t>Estrada</w:t>
      </w:r>
      <w:r w:rsidR="00B3138C" w:rsidRPr="00AC5305">
        <w:t xml:space="preserve">. </w:t>
      </w:r>
      <w:r w:rsidR="00B3138C">
        <w:t xml:space="preserve"> </w:t>
      </w:r>
      <w:r w:rsidR="00D91642">
        <w:t>“</w:t>
      </w:r>
      <w:r w:rsidR="00973A0E">
        <w:t>G</w:t>
      </w:r>
      <w:r w:rsidR="00D91642">
        <w:t xml:space="preserve">enerally, statutes are presumed to apply only </w:t>
      </w:r>
      <w:r w:rsidR="00D91642">
        <w:lastRenderedPageBreak/>
        <w:t>prospectively.”  (</w:t>
      </w:r>
      <w:r w:rsidR="00D91642" w:rsidRPr="00FB54F0">
        <w:rPr>
          <w:i/>
          <w:iCs/>
        </w:rPr>
        <w:t>People v. Frahs</w:t>
      </w:r>
      <w:r w:rsidR="00D91642">
        <w:t xml:space="preserve"> (2020) 9</w:t>
      </w:r>
      <w:r w:rsidR="00FB54F0">
        <w:t> </w:t>
      </w:r>
      <w:r w:rsidR="00D91642">
        <w:t>Cal.5</w:t>
      </w:r>
      <w:r w:rsidR="00D91642" w:rsidRPr="00FB54F0">
        <w:t>th</w:t>
      </w:r>
      <w:r w:rsidR="00D91642">
        <w:t xml:space="preserve"> 618, 627; </w:t>
      </w:r>
      <w:r w:rsidR="00D91642" w:rsidRPr="00FB54F0">
        <w:rPr>
          <w:i/>
          <w:iCs/>
        </w:rPr>
        <w:t>Estrada</w:t>
      </w:r>
      <w:r w:rsidR="00D91642" w:rsidRPr="00897AE6">
        <w:t>,</w:t>
      </w:r>
      <w:r w:rsidR="00D91642" w:rsidRPr="00FB54F0">
        <w:rPr>
          <w:i/>
          <w:iCs/>
        </w:rPr>
        <w:t xml:space="preserve"> supra</w:t>
      </w:r>
      <w:r w:rsidR="00D91642">
        <w:t>, 63 Cal.2d at p. 746.)</w:t>
      </w:r>
      <w:r w:rsidR="006145AC" w:rsidRPr="00AC5305">
        <w:t xml:space="preserve"> </w:t>
      </w:r>
      <w:r w:rsidR="00D91642">
        <w:t xml:space="preserve"> </w:t>
      </w:r>
      <w:r w:rsidR="006145AC" w:rsidRPr="00AC5305">
        <w:rPr>
          <w:i/>
          <w:iCs/>
        </w:rPr>
        <w:t>Estrada</w:t>
      </w:r>
      <w:r w:rsidR="006145AC" w:rsidRPr="00AC5305">
        <w:t xml:space="preserve"> </w:t>
      </w:r>
      <w:r w:rsidR="00D91642">
        <w:t xml:space="preserve">establishes a contrary presumption for </w:t>
      </w:r>
      <w:r w:rsidR="00B972D1" w:rsidRPr="00AC5305">
        <w:t>a statute ameliorating a criminal penalty</w:t>
      </w:r>
      <w:r w:rsidR="00D91642">
        <w:t xml:space="preserve"> only because it understands such a provision to</w:t>
      </w:r>
      <w:r w:rsidR="00B972D1" w:rsidRPr="00AC5305">
        <w:t xml:space="preserve"> “ ‘</w:t>
      </w:r>
      <w:r w:rsidR="00D91642" w:rsidRPr="00AC5305">
        <w:t>represent</w:t>
      </w:r>
      <w:r w:rsidR="00D91642">
        <w:t>[]</w:t>
      </w:r>
      <w:r w:rsidR="00D91642" w:rsidRPr="00AC5305">
        <w:t xml:space="preserve"> </w:t>
      </w:r>
      <w:r w:rsidR="00B972D1" w:rsidRPr="00AC5305">
        <w:t>a legislative judgment that the lesser penalty or the different treatment is sufficient to meet the legitimate ends of the criminal law.’ ”  (</w:t>
      </w:r>
      <w:r w:rsidR="00B972D1" w:rsidRPr="00AC5305">
        <w:rPr>
          <w:i/>
          <w:iCs/>
        </w:rPr>
        <w:t>Estrada</w:t>
      </w:r>
      <w:r w:rsidR="00B972D1" w:rsidRPr="00AC5305">
        <w:t>, at p. 745.)</w:t>
      </w:r>
      <w:r w:rsidR="0063212A" w:rsidRPr="00AC5305">
        <w:t xml:space="preserve">  </w:t>
      </w:r>
      <w:r w:rsidR="00FE0EAD" w:rsidRPr="00AC5305">
        <w:t xml:space="preserve">The cases </w:t>
      </w:r>
      <w:r w:rsidR="003A57CD">
        <w:t>applying</w:t>
      </w:r>
      <w:r w:rsidR="00FE0EAD" w:rsidRPr="00AC5305">
        <w:t xml:space="preserve"> Assembly Bill 1950 </w:t>
      </w:r>
      <w:r w:rsidR="003A57CD">
        <w:t xml:space="preserve">retroactively </w:t>
      </w:r>
      <w:r w:rsidR="00FE0EAD" w:rsidRPr="00AC5305">
        <w:t>have emphasized the legislative goal of limi</w:t>
      </w:r>
      <w:r w:rsidR="00ED7E17" w:rsidRPr="00AC5305">
        <w:t>ting the length of probationary periods to that which promotes rehabilitation</w:t>
      </w:r>
      <w:r w:rsidR="002A5076" w:rsidRPr="00AC5305">
        <w:t xml:space="preserve">, thus leading to a decrease in unnecessary supervision and reincarceration for technical violations.  (See, e.g., </w:t>
      </w:r>
      <w:r w:rsidR="002A5076" w:rsidRPr="00AC5305">
        <w:rPr>
          <w:i/>
          <w:iCs/>
        </w:rPr>
        <w:t>Sims</w:t>
      </w:r>
      <w:r w:rsidR="002A5076" w:rsidRPr="00AC5305">
        <w:t xml:space="preserve">, </w:t>
      </w:r>
      <w:r w:rsidR="002A5076" w:rsidRPr="00AC5305">
        <w:rPr>
          <w:i/>
          <w:iCs/>
        </w:rPr>
        <w:t>supra</w:t>
      </w:r>
      <w:r w:rsidR="002A5076" w:rsidRPr="00AC5305">
        <w:t xml:space="preserve">, 59 Cal.App.5th at pp. </w:t>
      </w:r>
      <w:r w:rsidR="00C96403">
        <w:t>9</w:t>
      </w:r>
      <w:r w:rsidR="00C96403" w:rsidRPr="0002336D">
        <w:t>61</w:t>
      </w:r>
      <w:r w:rsidR="009B0B31">
        <w:t>–</w:t>
      </w:r>
      <w:r w:rsidR="00C96403">
        <w:t>9</w:t>
      </w:r>
      <w:r w:rsidR="002A5076" w:rsidRPr="0002336D">
        <w:t>62</w:t>
      </w:r>
      <w:r w:rsidR="002A5076" w:rsidRPr="00AC5305">
        <w:t xml:space="preserve">; </w:t>
      </w:r>
      <w:r w:rsidR="002A5076" w:rsidRPr="00AC5305">
        <w:rPr>
          <w:i/>
          <w:iCs/>
        </w:rPr>
        <w:t>Quinn</w:t>
      </w:r>
      <w:r w:rsidR="002A5076" w:rsidRPr="00AC5305">
        <w:t xml:space="preserve">, </w:t>
      </w:r>
      <w:r w:rsidR="00C96403">
        <w:rPr>
          <w:i/>
          <w:iCs/>
        </w:rPr>
        <w:t>supra</w:t>
      </w:r>
      <w:r w:rsidR="002A5076" w:rsidRPr="0002336D">
        <w:t xml:space="preserve">, </w:t>
      </w:r>
      <w:r w:rsidR="00C96403">
        <w:t xml:space="preserve">59 Cal.App.5th </w:t>
      </w:r>
      <w:r w:rsidR="002A5076" w:rsidRPr="00AC5305">
        <w:t>at pp. 880</w:t>
      </w:r>
      <w:r w:rsidR="009B0B31">
        <w:t>–</w:t>
      </w:r>
      <w:r w:rsidR="002A5076" w:rsidRPr="00AC5305">
        <w:t xml:space="preserve">881.) </w:t>
      </w:r>
      <w:r w:rsidR="00D91642">
        <w:t xml:space="preserve"> </w:t>
      </w:r>
      <w:r w:rsidR="003A57CD">
        <w:t>T</w:t>
      </w:r>
      <w:r w:rsidR="002A5076" w:rsidRPr="00AC5305">
        <w:t>his goal</w:t>
      </w:r>
      <w:r w:rsidR="00ED7E17" w:rsidRPr="00AC5305">
        <w:t xml:space="preserve"> would not be served by a retroactive interpretation that gives a </w:t>
      </w:r>
      <w:r w:rsidR="002D04CA" w:rsidRPr="00AC5305">
        <w:t xml:space="preserve">misdemeanor </w:t>
      </w:r>
      <w:r w:rsidR="00ED7E17" w:rsidRPr="00AC5305">
        <w:t>probationer a free pass for</w:t>
      </w:r>
      <w:r w:rsidR="002D04CA" w:rsidRPr="00AC5305">
        <w:t xml:space="preserve"> a</w:t>
      </w:r>
      <w:r w:rsidR="00ED7E17" w:rsidRPr="00AC5305">
        <w:t xml:space="preserve"> violation </w:t>
      </w:r>
      <w:r w:rsidR="00234F60">
        <w:t xml:space="preserve">that </w:t>
      </w:r>
      <w:r w:rsidR="009A03AD">
        <w:t>already prompted</w:t>
      </w:r>
      <w:r w:rsidR="00234F60">
        <w:t xml:space="preserve"> summary revocation while she </w:t>
      </w:r>
      <w:r w:rsidR="00234F60" w:rsidRPr="00A942D4">
        <w:t>was properly on probation under the</w:t>
      </w:r>
      <w:r w:rsidR="009A03AD">
        <w:t>n-prevailing</w:t>
      </w:r>
      <w:r w:rsidR="00234F60" w:rsidRPr="00A942D4">
        <w:t xml:space="preserve"> law</w:t>
      </w:r>
      <w:r w:rsidR="00C037D9">
        <w:t>—especially where, as here, th</w:t>
      </w:r>
      <w:r w:rsidR="00AF6990">
        <w:t>e</w:t>
      </w:r>
      <w:r w:rsidR="00C037D9">
        <w:t xml:space="preserve"> </w:t>
      </w:r>
      <w:r w:rsidR="009A03AD">
        <w:t xml:space="preserve">alleged </w:t>
      </w:r>
      <w:r w:rsidR="00C037D9">
        <w:t xml:space="preserve">violation occurred </w:t>
      </w:r>
      <w:r w:rsidR="00C037D9" w:rsidRPr="00A942D4">
        <w:t xml:space="preserve">during the </w:t>
      </w:r>
      <w:r w:rsidR="009A03AD">
        <w:t xml:space="preserve">first year of probation, </w:t>
      </w:r>
      <w:r w:rsidR="00AF6990">
        <w:t>which</w:t>
      </w:r>
      <w:r w:rsidR="009A03AD">
        <w:t xml:space="preserve"> </w:t>
      </w:r>
      <w:r w:rsidR="00C037D9" w:rsidRPr="00A942D4">
        <w:t xml:space="preserve">the Legislature </w:t>
      </w:r>
      <w:r w:rsidR="009A03AD">
        <w:t xml:space="preserve">continues to believe </w:t>
      </w:r>
      <w:r w:rsidR="00AF6990">
        <w:t>is a period when</w:t>
      </w:r>
      <w:r w:rsidR="00C037D9" w:rsidRPr="00A942D4">
        <w:t xml:space="preserve"> probation serves a legitimate rehabilitative purpos</w:t>
      </w:r>
      <w:r w:rsidR="00C037D9">
        <w:t>e</w:t>
      </w:r>
      <w:r w:rsidR="005A7D28" w:rsidRPr="003130E0">
        <w:t>.</w:t>
      </w:r>
    </w:p>
    <w:p w14:paraId="51278D2C" w14:textId="6AEC8274" w:rsidR="00973A0E" w:rsidRDefault="0066616D" w:rsidP="008118C0">
      <w:pPr>
        <w:spacing w:line="360" w:lineRule="auto"/>
      </w:pPr>
      <w:r w:rsidRPr="003130E0">
        <w:tab/>
      </w:r>
      <w:r w:rsidR="0066474E">
        <w:t xml:space="preserve">Because Kuhnel was validly on probation when </w:t>
      </w:r>
      <w:r w:rsidR="00877256">
        <w:t>her probation was</w:t>
      </w:r>
      <w:r w:rsidR="0066474E">
        <w:t xml:space="preserve"> summarily revoked, section </w:t>
      </w:r>
      <w:r w:rsidR="003A57CD">
        <w:t xml:space="preserve">1203.2(a) </w:t>
      </w:r>
      <w:r w:rsidR="0066474E">
        <w:t xml:space="preserve">by its terms </w:t>
      </w:r>
      <w:r w:rsidR="003A57CD">
        <w:t xml:space="preserve">tolls the running of </w:t>
      </w:r>
      <w:r w:rsidR="00877256">
        <w:t xml:space="preserve">the </w:t>
      </w:r>
      <w:r w:rsidR="003A57CD">
        <w:t xml:space="preserve">probationary period </w:t>
      </w:r>
      <w:r w:rsidR="008D1011">
        <w:t>until</w:t>
      </w:r>
      <w:r w:rsidR="003A57CD">
        <w:t xml:space="preserve"> a formal probation hearing</w:t>
      </w:r>
      <w:r w:rsidR="008D1011">
        <w:t xml:space="preserve"> occurs.  </w:t>
      </w:r>
      <w:r w:rsidR="008118C0">
        <w:t>W</w:t>
      </w:r>
      <w:r w:rsidR="008D1011">
        <w:t xml:space="preserve">e see nothing in the rationale of </w:t>
      </w:r>
      <w:r w:rsidR="008D1011" w:rsidRPr="00FB54F0">
        <w:rPr>
          <w:i/>
          <w:iCs/>
        </w:rPr>
        <w:t>Estrada</w:t>
      </w:r>
      <w:r w:rsidR="008D1011">
        <w:t xml:space="preserve"> that suggests </w:t>
      </w:r>
      <w:r w:rsidR="003A57CD">
        <w:t xml:space="preserve">we </w:t>
      </w:r>
      <w:r w:rsidR="008D1011">
        <w:t xml:space="preserve">are to </w:t>
      </w:r>
      <w:r w:rsidR="003A57CD">
        <w:t xml:space="preserve">apply Assembly Bill 1950 retroactively </w:t>
      </w:r>
      <w:r w:rsidR="00877256">
        <w:t>to</w:t>
      </w:r>
      <w:r w:rsidR="00014F8E">
        <w:t xml:space="preserve"> divest courts of the jurisdiction section 1203.2(a) confers—nothing that would</w:t>
      </w:r>
      <w:r w:rsidR="00877256">
        <w:t xml:space="preserve"> </w:t>
      </w:r>
      <w:r>
        <w:t xml:space="preserve">absolve Kuhnel of responsibility for </w:t>
      </w:r>
      <w:r w:rsidR="0095711B">
        <w:t xml:space="preserve">a </w:t>
      </w:r>
      <w:r>
        <w:t>probation violation</w:t>
      </w:r>
      <w:r w:rsidR="0095711B">
        <w:t xml:space="preserve"> </w:t>
      </w:r>
      <w:r w:rsidR="00877256">
        <w:t xml:space="preserve">she </w:t>
      </w:r>
      <w:r>
        <w:t>committed during her first year, based on the</w:t>
      </w:r>
      <w:r w:rsidR="00ED7E17" w:rsidRPr="00AC5305">
        <w:t xml:space="preserve"> fortuity </w:t>
      </w:r>
      <w:r w:rsidR="008D1011">
        <w:t xml:space="preserve">that </w:t>
      </w:r>
      <w:r>
        <w:t>t</w:t>
      </w:r>
      <w:r w:rsidR="00ED7E17" w:rsidRPr="00AC5305">
        <w:t>he court revoke</w:t>
      </w:r>
      <w:r w:rsidR="008D1011">
        <w:t>d</w:t>
      </w:r>
      <w:r w:rsidR="00ED7E17" w:rsidRPr="00AC5305">
        <w:t xml:space="preserve"> probation </w:t>
      </w:r>
      <w:r w:rsidR="008118C0">
        <w:t>only</w:t>
      </w:r>
      <w:r>
        <w:t xml:space="preserve"> </w:t>
      </w:r>
      <w:r w:rsidR="00ED7E17" w:rsidRPr="00AC5305">
        <w:t xml:space="preserve">after </w:t>
      </w:r>
      <w:r w:rsidR="0095711B">
        <w:t>the</w:t>
      </w:r>
      <w:r w:rsidRPr="00AC5305">
        <w:t xml:space="preserve"> </w:t>
      </w:r>
      <w:r w:rsidR="00ED7E17" w:rsidRPr="00AC5305">
        <w:t xml:space="preserve">one-year </w:t>
      </w:r>
      <w:r>
        <w:t>mark</w:t>
      </w:r>
      <w:r w:rsidR="008118C0">
        <w:t>.  A</w:t>
      </w:r>
      <w:r>
        <w:t xml:space="preserve">t the time these events transpired, </w:t>
      </w:r>
      <w:r w:rsidR="008118C0">
        <w:t xml:space="preserve">the </w:t>
      </w:r>
      <w:r w:rsidR="00973A0E">
        <w:t>passing</w:t>
      </w:r>
      <w:r w:rsidR="008118C0">
        <w:t xml:space="preserve"> of the first probationary year </w:t>
      </w:r>
      <w:r>
        <w:t>had no legal significance.</w:t>
      </w:r>
      <w:r w:rsidR="008E0C7D">
        <w:t xml:space="preserve">  </w:t>
      </w:r>
      <w:r w:rsidRPr="002C1ECC">
        <w:rPr>
          <w:i/>
          <w:iCs/>
        </w:rPr>
        <w:t>Estrada</w:t>
      </w:r>
      <w:r w:rsidRPr="002C1ECC">
        <w:t xml:space="preserve"> </w:t>
      </w:r>
      <w:r w:rsidR="002271C0" w:rsidRPr="002C1ECC">
        <w:t xml:space="preserve">teaches </w:t>
      </w:r>
      <w:r w:rsidR="008118C0" w:rsidRPr="002C1ECC">
        <w:t xml:space="preserve">that we </w:t>
      </w:r>
      <w:r w:rsidR="002271C0" w:rsidRPr="002C1ECC">
        <w:t>sh</w:t>
      </w:r>
      <w:r w:rsidR="00014F8E" w:rsidRPr="002C1ECC">
        <w:t xml:space="preserve">ould avoid imposing punishment the </w:t>
      </w:r>
      <w:r w:rsidR="00014F8E" w:rsidRPr="002C1ECC">
        <w:lastRenderedPageBreak/>
        <w:t>Legislature has determined to be excessive (</w:t>
      </w:r>
      <w:r w:rsidR="00F76326" w:rsidRPr="002C1ECC">
        <w:rPr>
          <w:i/>
          <w:iCs/>
        </w:rPr>
        <w:t>Estrada</w:t>
      </w:r>
      <w:r w:rsidR="009B0B31" w:rsidRPr="009B0B31">
        <w:t>,</w:t>
      </w:r>
      <w:r w:rsidR="00F76326" w:rsidRPr="002C1ECC">
        <w:t xml:space="preserve"> </w:t>
      </w:r>
      <w:r w:rsidR="00014F8E" w:rsidRPr="002C1ECC">
        <w:rPr>
          <w:i/>
          <w:iCs/>
        </w:rPr>
        <w:t>supra</w:t>
      </w:r>
      <w:r w:rsidR="00014F8E" w:rsidRPr="00AC5305">
        <w:t>, 63 Cal.2d at p</w:t>
      </w:r>
      <w:r w:rsidR="009B0B31">
        <w:t>. </w:t>
      </w:r>
      <w:r w:rsidR="00014F8E" w:rsidRPr="00AC5305">
        <w:t>745</w:t>
      </w:r>
      <w:r w:rsidR="00014F8E" w:rsidRPr="00F4612B">
        <w:t>),</w:t>
      </w:r>
      <w:r w:rsidR="00014F8E">
        <w:t xml:space="preserve"> but i</w:t>
      </w:r>
      <w:r w:rsidR="00973A0E">
        <w:t xml:space="preserve">t does not require us to </w:t>
      </w:r>
      <w:r w:rsidR="00973A0E" w:rsidRPr="0002336D">
        <w:t>play “gotcha”</w:t>
      </w:r>
      <w:r w:rsidR="002271C0">
        <w:t xml:space="preserve"> with the prosecution,</w:t>
      </w:r>
      <w:r w:rsidR="00F8196E" w:rsidRPr="0002336D">
        <w:t xml:space="preserve"> imposing </w:t>
      </w:r>
      <w:r w:rsidR="00F8196E">
        <w:t>an after-the-fact</w:t>
      </w:r>
      <w:r w:rsidR="00EB4500">
        <w:t>,</w:t>
      </w:r>
      <w:r w:rsidR="00F8196E">
        <w:t xml:space="preserve"> artificial deadline for summary revocation.</w:t>
      </w:r>
      <w:r w:rsidR="00002CBB">
        <w:t xml:space="preserve"> </w:t>
      </w:r>
      <w:r w:rsidR="00973A0E">
        <w:t xml:space="preserve"> The rationale of </w:t>
      </w:r>
      <w:r w:rsidR="00973A0E" w:rsidRPr="00FB54F0">
        <w:rPr>
          <w:i/>
          <w:iCs/>
        </w:rPr>
        <w:t>Estrada</w:t>
      </w:r>
      <w:r>
        <w:t xml:space="preserve"> provides no basis for departing from the general rule of prospective application</w:t>
      </w:r>
      <w:r w:rsidR="0095711B">
        <w:t xml:space="preserve"> </w:t>
      </w:r>
      <w:r w:rsidR="00973A0E">
        <w:t>whe</w:t>
      </w:r>
      <w:r w:rsidR="0095711B">
        <w:t xml:space="preserve">n analyzing the date by which a court must </w:t>
      </w:r>
      <w:r w:rsidR="00973A0E">
        <w:t xml:space="preserve">have </w:t>
      </w:r>
      <w:r w:rsidR="0095711B">
        <w:t>summarily revoke</w:t>
      </w:r>
      <w:r w:rsidR="00973A0E">
        <w:t>d</w:t>
      </w:r>
      <w:r w:rsidR="0095711B">
        <w:t xml:space="preserve"> probation in order to </w:t>
      </w:r>
      <w:r w:rsidR="008118C0">
        <w:t>preserve its</w:t>
      </w:r>
      <w:r w:rsidR="0095711B">
        <w:t xml:space="preserve"> authority to adjudicate a violation </w:t>
      </w:r>
      <w:r w:rsidR="00973A0E">
        <w:t>committed</w:t>
      </w:r>
      <w:r w:rsidR="008118C0">
        <w:t xml:space="preserve"> </w:t>
      </w:r>
      <w:r w:rsidR="0095711B">
        <w:t xml:space="preserve">during </w:t>
      </w:r>
      <w:r w:rsidR="00F8196E">
        <w:t>a probationer’s</w:t>
      </w:r>
      <w:r w:rsidR="0095711B">
        <w:t xml:space="preserve"> first year.  </w:t>
      </w:r>
    </w:p>
    <w:p w14:paraId="7AC582A0" w14:textId="26B9D7C4" w:rsidR="002D04CA" w:rsidRPr="00AC5305" w:rsidRDefault="00973A0E">
      <w:pPr>
        <w:spacing w:line="360" w:lineRule="auto"/>
      </w:pPr>
      <w:r>
        <w:tab/>
        <w:t xml:space="preserve">We know that in 1977 the Legislature was intent “on </w:t>
      </w:r>
      <w:r w:rsidRPr="00FB54F0">
        <w:rPr>
          <w:i/>
          <w:iCs/>
        </w:rPr>
        <w:t>preserving the jurisdiction</w:t>
      </w:r>
      <w:r>
        <w:t xml:space="preserve"> of the trial court to hold formal probation violation hearings.”  (</w:t>
      </w:r>
      <w:r w:rsidRPr="00FB54F0">
        <w:rPr>
          <w:i/>
          <w:iCs/>
        </w:rPr>
        <w:t>Leiva</w:t>
      </w:r>
      <w:r w:rsidRPr="00973A0E">
        <w:t xml:space="preserve">, </w:t>
      </w:r>
      <w:r w:rsidRPr="00FB54F0">
        <w:rPr>
          <w:i/>
          <w:iCs/>
        </w:rPr>
        <w:t>supra</w:t>
      </w:r>
      <w:r>
        <w:t>, 56 Cal.</w:t>
      </w:r>
      <w:r w:rsidR="005C52CE">
        <w:t>4th</w:t>
      </w:r>
      <w:r>
        <w:t xml:space="preserve"> at p. 512.)  We see n</w:t>
      </w:r>
      <w:r w:rsidR="008118C0">
        <w:t xml:space="preserve">othing in </w:t>
      </w:r>
      <w:r w:rsidR="008E0C7D">
        <w:t xml:space="preserve">the language or legislative history of Assembly Bill 1950 </w:t>
      </w:r>
      <w:r>
        <w:t>t</w:t>
      </w:r>
      <w:r w:rsidR="00FE4095">
        <w:t>o</w:t>
      </w:r>
      <w:r>
        <w:t xml:space="preserve"> </w:t>
      </w:r>
      <w:r w:rsidR="008E0C7D">
        <w:t xml:space="preserve">suggest </w:t>
      </w:r>
      <w:r>
        <w:t xml:space="preserve">a </w:t>
      </w:r>
      <w:r w:rsidR="00FE4095">
        <w:t xml:space="preserve">legislative </w:t>
      </w:r>
      <w:r>
        <w:t>change of course</w:t>
      </w:r>
      <w:r w:rsidR="00F8196E">
        <w:t xml:space="preserve"> on this issue</w:t>
      </w:r>
      <w:r>
        <w:t xml:space="preserve">.  </w:t>
      </w:r>
      <w:r w:rsidR="00FE4095">
        <w:t xml:space="preserve">Our task in construing a statute is to ascertain the intent of the </w:t>
      </w:r>
      <w:r w:rsidR="008E0C7D">
        <w:t>Legislature</w:t>
      </w:r>
      <w:r w:rsidR="00FE4095">
        <w:t xml:space="preserve"> (</w:t>
      </w:r>
      <w:r w:rsidR="00FE4095" w:rsidRPr="00FB54F0">
        <w:rPr>
          <w:i/>
          <w:iCs/>
        </w:rPr>
        <w:t>id</w:t>
      </w:r>
      <w:r w:rsidR="00FE4095">
        <w:t xml:space="preserve">. at p. </w:t>
      </w:r>
      <w:r w:rsidR="00C96403">
        <w:t>506</w:t>
      </w:r>
      <w:r w:rsidR="00FE4095">
        <w:t>), and we see no indication the Legislature</w:t>
      </w:r>
      <w:r w:rsidR="008E0C7D">
        <w:t xml:space="preserve"> intended </w:t>
      </w:r>
      <w:r w:rsidR="00FE4095" w:rsidRPr="0002336D">
        <w:t>A</w:t>
      </w:r>
      <w:r w:rsidR="00C96403">
        <w:t xml:space="preserve">ssembly </w:t>
      </w:r>
      <w:r w:rsidR="00FE4095" w:rsidRPr="0002336D">
        <w:t>B</w:t>
      </w:r>
      <w:r w:rsidR="00C96403">
        <w:t>ill</w:t>
      </w:r>
      <w:r w:rsidR="00FE4095">
        <w:t xml:space="preserve"> 1950 </w:t>
      </w:r>
      <w:r w:rsidR="008118C0">
        <w:t xml:space="preserve">to deprive courts of the authority </w:t>
      </w:r>
      <w:r w:rsidR="00FE4095">
        <w:t>it had given them in enacting the tolling provision of section 1203.2</w:t>
      </w:r>
      <w:r w:rsidR="006C74BF">
        <w:t>(a)</w:t>
      </w:r>
      <w:r w:rsidR="00FE4095">
        <w:t>.  W</w:t>
      </w:r>
      <w:r w:rsidR="002D04CA" w:rsidRPr="00AC5305">
        <w:t xml:space="preserve">e </w:t>
      </w:r>
      <w:r w:rsidR="00FE4095">
        <w:t xml:space="preserve">accordingly </w:t>
      </w:r>
      <w:r w:rsidR="002D04CA" w:rsidRPr="00AC5305">
        <w:t xml:space="preserve">conclude </w:t>
      </w:r>
      <w:r w:rsidR="00FE4095">
        <w:t xml:space="preserve">that </w:t>
      </w:r>
      <w:r w:rsidR="002D04CA" w:rsidRPr="00AC5305">
        <w:t xml:space="preserve">the trial court’s summary revocation of </w:t>
      </w:r>
      <w:r w:rsidR="00FE4095">
        <w:t xml:space="preserve">Kuhnel’s </w:t>
      </w:r>
      <w:r w:rsidR="002D04CA" w:rsidRPr="00AC5305">
        <w:t xml:space="preserve">probation preserved its </w:t>
      </w:r>
      <w:r w:rsidR="00FE4095">
        <w:t xml:space="preserve">authority to adjudicate the </w:t>
      </w:r>
      <w:r w:rsidR="00F8196E">
        <w:t xml:space="preserve">alleged </w:t>
      </w:r>
      <w:r w:rsidR="00FE4095">
        <w:t>violation</w:t>
      </w:r>
      <w:r w:rsidR="002D04CA" w:rsidRPr="00AC5305">
        <w:t xml:space="preserve">, and </w:t>
      </w:r>
      <w:r w:rsidR="005E08FB">
        <w:t>the court</w:t>
      </w:r>
      <w:r w:rsidR="005E08FB" w:rsidRPr="00AC5305">
        <w:t xml:space="preserve"> </w:t>
      </w:r>
      <w:r w:rsidR="002D04CA" w:rsidRPr="00AC5305">
        <w:t>did not err in denying her motion to terminate probation.</w:t>
      </w:r>
    </w:p>
    <w:p w14:paraId="5059F768" w14:textId="1BF470D2" w:rsidR="0078183B" w:rsidRPr="00AC5305" w:rsidRDefault="0078183B" w:rsidP="0078183B">
      <w:pPr>
        <w:spacing w:line="360" w:lineRule="auto"/>
        <w:jc w:val="center"/>
        <w:rPr>
          <w:b/>
          <w:bCs/>
        </w:rPr>
      </w:pPr>
      <w:r w:rsidRPr="00AC5305">
        <w:rPr>
          <w:b/>
          <w:bCs/>
        </w:rPr>
        <w:t>DISPOSITI</w:t>
      </w:r>
      <w:r w:rsidR="001016E6" w:rsidRPr="00AC5305">
        <w:rPr>
          <w:b/>
          <w:bCs/>
        </w:rPr>
        <w:t>O</w:t>
      </w:r>
      <w:r w:rsidRPr="00AC5305">
        <w:rPr>
          <w:b/>
          <w:bCs/>
        </w:rPr>
        <w:t>N</w:t>
      </w:r>
    </w:p>
    <w:p w14:paraId="03EC664E" w14:textId="2CE2F30A" w:rsidR="0037520A" w:rsidRDefault="0078183B" w:rsidP="00A70BA2">
      <w:pPr>
        <w:spacing w:line="360" w:lineRule="auto"/>
      </w:pPr>
      <w:r w:rsidRPr="00AC5305">
        <w:tab/>
        <w:t xml:space="preserve">Kuhnel’s petition for </w:t>
      </w:r>
      <w:r w:rsidR="00AC5305">
        <w:t xml:space="preserve">a </w:t>
      </w:r>
      <w:r w:rsidRPr="00AC5305">
        <w:t>writ of mandate is denied.</w:t>
      </w:r>
    </w:p>
    <w:p w14:paraId="1992861A" w14:textId="252F4127" w:rsidR="00FB54F0" w:rsidRDefault="00FB54F0" w:rsidP="00A70BA2">
      <w:pPr>
        <w:spacing w:line="360" w:lineRule="auto"/>
      </w:pPr>
    </w:p>
    <w:p w14:paraId="4A359E97" w14:textId="77777777" w:rsidR="00FB54F0" w:rsidRPr="00F03F30" w:rsidRDefault="00FB54F0" w:rsidP="00FB54F0">
      <w:pPr>
        <w:spacing w:line="240" w:lineRule="auto"/>
      </w:pPr>
      <w:r w:rsidRPr="00F03F30">
        <w:tab/>
      </w:r>
      <w:r w:rsidRPr="00F03F30">
        <w:tab/>
      </w:r>
      <w:r w:rsidRPr="00F03F30">
        <w:tab/>
      </w:r>
      <w:r w:rsidRPr="00F03F30">
        <w:tab/>
      </w:r>
      <w:r w:rsidRPr="00F03F30">
        <w:tab/>
      </w:r>
      <w:r w:rsidRPr="00F03F30">
        <w:tab/>
      </w:r>
      <w:r w:rsidRPr="00F03F30">
        <w:tab/>
        <w:t xml:space="preserve">TUCHER, </w:t>
      </w:r>
      <w:r>
        <w:t>P.</w:t>
      </w:r>
      <w:r w:rsidRPr="00F03F30">
        <w:t>J.</w:t>
      </w:r>
    </w:p>
    <w:p w14:paraId="0611DE9A" w14:textId="77777777" w:rsidR="00FB54F0" w:rsidRPr="00F03F30" w:rsidRDefault="00FB54F0" w:rsidP="00FB54F0">
      <w:pPr>
        <w:spacing w:line="240" w:lineRule="auto"/>
      </w:pPr>
    </w:p>
    <w:p w14:paraId="769561F4" w14:textId="77777777" w:rsidR="00FB54F0" w:rsidRPr="00F03F30" w:rsidRDefault="00FB54F0" w:rsidP="00FB54F0">
      <w:pPr>
        <w:spacing w:line="240" w:lineRule="auto"/>
      </w:pPr>
      <w:r w:rsidRPr="00F03F30">
        <w:t>WE CONCUR:</w:t>
      </w:r>
    </w:p>
    <w:p w14:paraId="5BDBCDB1" w14:textId="77777777" w:rsidR="00FB54F0" w:rsidRDefault="00FB54F0" w:rsidP="00FB54F0">
      <w:pPr>
        <w:spacing w:line="240" w:lineRule="auto"/>
      </w:pPr>
    </w:p>
    <w:p w14:paraId="1A6EE97A" w14:textId="77777777" w:rsidR="00FB54F0" w:rsidRPr="00F03F30" w:rsidRDefault="00FB54F0" w:rsidP="00FB54F0">
      <w:pPr>
        <w:spacing w:line="240" w:lineRule="auto"/>
      </w:pPr>
      <w:r>
        <w:t>FUJISAKI, J.</w:t>
      </w:r>
    </w:p>
    <w:p w14:paraId="2BFFAF8F" w14:textId="782282F5" w:rsidR="009B0B31" w:rsidRDefault="00FB54F0" w:rsidP="00FB54F0">
      <w:pPr>
        <w:spacing w:line="240" w:lineRule="auto"/>
      </w:pPr>
      <w:r>
        <w:t>PETROU</w:t>
      </w:r>
      <w:r w:rsidRPr="00F03F30">
        <w:t>, J.</w:t>
      </w:r>
    </w:p>
    <w:p w14:paraId="5F06DAE0" w14:textId="77777777" w:rsidR="009B0B31" w:rsidRDefault="009B0B31">
      <w:pPr>
        <w:tabs>
          <w:tab w:val="clear" w:pos="720"/>
        </w:tabs>
        <w:spacing w:line="360" w:lineRule="auto"/>
      </w:pPr>
      <w:r>
        <w:br w:type="page"/>
      </w:r>
    </w:p>
    <w:p w14:paraId="4E2400D1" w14:textId="10198E10" w:rsidR="009B0B31" w:rsidRDefault="009B0B31" w:rsidP="009B0B31">
      <w:pPr>
        <w:spacing w:line="240" w:lineRule="auto"/>
      </w:pPr>
      <w:r>
        <w:lastRenderedPageBreak/>
        <w:t>Trial Court:</w:t>
      </w:r>
      <w:r>
        <w:tab/>
      </w:r>
      <w:r>
        <w:tab/>
        <w:t>Contra Costa County Superior Court</w:t>
      </w:r>
    </w:p>
    <w:p w14:paraId="56403594" w14:textId="77777777" w:rsidR="009B0B31" w:rsidRDefault="009B0B31" w:rsidP="009B0B31">
      <w:pPr>
        <w:spacing w:line="240" w:lineRule="auto"/>
      </w:pPr>
    </w:p>
    <w:p w14:paraId="78545EEE" w14:textId="27971A18" w:rsidR="009B0B31" w:rsidRDefault="009B0B31" w:rsidP="009B0B31">
      <w:pPr>
        <w:spacing w:line="240" w:lineRule="auto"/>
      </w:pPr>
      <w:r>
        <w:t>Trial Judge:</w:t>
      </w:r>
      <w:r>
        <w:tab/>
        <w:t xml:space="preserve">Hon. </w:t>
      </w:r>
      <w:r w:rsidRPr="009B0B31">
        <w:t>Brian F.</w:t>
      </w:r>
      <w:r>
        <w:t xml:space="preserve"> </w:t>
      </w:r>
      <w:r w:rsidRPr="009B0B31">
        <w:t>Haynes</w:t>
      </w:r>
    </w:p>
    <w:p w14:paraId="6674A633" w14:textId="77777777" w:rsidR="009B0B31" w:rsidRDefault="009B0B31" w:rsidP="009B0B31">
      <w:pPr>
        <w:tabs>
          <w:tab w:val="left" w:pos="1440"/>
          <w:tab w:val="left" w:pos="2160"/>
        </w:tabs>
        <w:spacing w:line="240" w:lineRule="auto"/>
        <w:ind w:left="2520" w:hanging="2520"/>
        <w:rPr>
          <w:rFonts w:eastAsia="Calibri" w:cs="Calibri"/>
        </w:rPr>
      </w:pPr>
    </w:p>
    <w:p w14:paraId="537AC33A" w14:textId="7FDFA342" w:rsidR="009B0B31" w:rsidRPr="003D2125" w:rsidRDefault="009B0B31" w:rsidP="009B0B31">
      <w:pPr>
        <w:tabs>
          <w:tab w:val="left" w:pos="1440"/>
          <w:tab w:val="left" w:pos="2160"/>
        </w:tabs>
        <w:spacing w:line="240" w:lineRule="auto"/>
        <w:ind w:left="2520" w:hanging="2520"/>
        <w:rPr>
          <w:rFonts w:eastAsia="Calibri" w:cs="Calibri"/>
        </w:rPr>
      </w:pPr>
      <w:r w:rsidRPr="003D2125">
        <w:rPr>
          <w:rFonts w:eastAsia="Calibri" w:cs="Calibri"/>
        </w:rPr>
        <w:t>Counsel:</w:t>
      </w:r>
      <w:r w:rsidRPr="003D2125">
        <w:rPr>
          <w:rFonts w:eastAsia="Calibri" w:cs="Calibri"/>
        </w:rPr>
        <w:tab/>
      </w:r>
      <w:r>
        <w:rPr>
          <w:rFonts w:eastAsia="Calibri" w:cs="Calibri"/>
        </w:rPr>
        <w:tab/>
      </w:r>
      <w:r w:rsidRPr="009B0B31">
        <w:rPr>
          <w:rFonts w:eastAsia="Calibri" w:cs="Calibri"/>
        </w:rPr>
        <w:t>Robin Lipetzky</w:t>
      </w:r>
      <w:r w:rsidR="008226B5">
        <w:rPr>
          <w:rFonts w:eastAsia="Calibri" w:cs="Calibri"/>
        </w:rPr>
        <w:t xml:space="preserve"> and </w:t>
      </w:r>
      <w:r w:rsidR="008226B5" w:rsidRPr="008226B5">
        <w:rPr>
          <w:rFonts w:eastAsia="Calibri" w:cs="Calibri"/>
        </w:rPr>
        <w:t>Ellen Mcdonnell</w:t>
      </w:r>
      <w:r w:rsidRPr="009B0B31">
        <w:rPr>
          <w:rFonts w:eastAsia="Calibri" w:cs="Calibri"/>
        </w:rPr>
        <w:t>, Public Defender</w:t>
      </w:r>
      <w:r w:rsidR="008226B5">
        <w:rPr>
          <w:rFonts w:eastAsia="Calibri" w:cs="Calibri"/>
        </w:rPr>
        <w:t>s</w:t>
      </w:r>
      <w:r>
        <w:rPr>
          <w:rFonts w:eastAsia="Calibri" w:cs="Calibri"/>
        </w:rPr>
        <w:t xml:space="preserve">, </w:t>
      </w:r>
      <w:r w:rsidRPr="009B0B31">
        <w:rPr>
          <w:rFonts w:eastAsia="Calibri" w:cs="Calibri"/>
        </w:rPr>
        <w:t>Lyla Bugara, Deputy Public Defender</w:t>
      </w:r>
      <w:r w:rsidRPr="003D2125">
        <w:rPr>
          <w:rFonts w:eastAsia="Calibri" w:cs="Calibri"/>
        </w:rPr>
        <w:t xml:space="preserve"> </w:t>
      </w:r>
      <w:r>
        <w:rPr>
          <w:rFonts w:eastAsia="Calibri" w:cs="Calibri"/>
        </w:rPr>
        <w:t>for Petitioner</w:t>
      </w:r>
    </w:p>
    <w:p w14:paraId="27A066EE" w14:textId="77777777" w:rsidR="009B0B31" w:rsidRPr="003D2125" w:rsidRDefault="009B0B31" w:rsidP="009B0B31">
      <w:pPr>
        <w:tabs>
          <w:tab w:val="left" w:pos="1620"/>
        </w:tabs>
        <w:spacing w:line="240" w:lineRule="auto"/>
        <w:ind w:left="1980" w:hanging="1980"/>
        <w:rPr>
          <w:rFonts w:eastAsia="Calibri" w:cs="Calibri"/>
        </w:rPr>
      </w:pPr>
    </w:p>
    <w:p w14:paraId="218110EF" w14:textId="68D307B5" w:rsidR="009B0B31" w:rsidRDefault="009B0B31" w:rsidP="009B0B31">
      <w:pPr>
        <w:tabs>
          <w:tab w:val="left" w:pos="1440"/>
          <w:tab w:val="left" w:pos="2160"/>
        </w:tabs>
        <w:spacing w:line="240" w:lineRule="auto"/>
        <w:ind w:left="2610" w:hanging="2610"/>
        <w:rPr>
          <w:rFonts w:eastAsia="Calibri" w:cs="Calibri"/>
        </w:rPr>
      </w:pPr>
      <w:r w:rsidRPr="003D2125">
        <w:rPr>
          <w:rFonts w:eastAsia="Calibri" w:cs="Calibri"/>
        </w:rPr>
        <w:tab/>
      </w:r>
      <w:r w:rsidRPr="003D2125">
        <w:rPr>
          <w:rFonts w:eastAsia="Calibri" w:cs="Calibri"/>
        </w:rPr>
        <w:tab/>
      </w:r>
      <w:r>
        <w:rPr>
          <w:rFonts w:eastAsia="Calibri" w:cs="Calibri"/>
        </w:rPr>
        <w:tab/>
      </w:r>
      <w:r w:rsidR="008226B5" w:rsidRPr="009B0B31">
        <w:rPr>
          <w:rFonts w:eastAsia="Calibri" w:cs="Calibri"/>
        </w:rPr>
        <w:t>Diana Becton</w:t>
      </w:r>
      <w:r w:rsidR="008226B5">
        <w:rPr>
          <w:rFonts w:eastAsia="Calibri" w:cs="Calibri"/>
        </w:rPr>
        <w:t xml:space="preserve">, </w:t>
      </w:r>
      <w:r w:rsidRPr="009B0B31">
        <w:rPr>
          <w:rFonts w:eastAsia="Calibri" w:cs="Calibri"/>
        </w:rPr>
        <w:t>District Attorney</w:t>
      </w:r>
      <w:r w:rsidR="008226B5">
        <w:rPr>
          <w:rFonts w:eastAsia="Calibri" w:cs="Calibri"/>
        </w:rPr>
        <w:t xml:space="preserve">, </w:t>
      </w:r>
      <w:r w:rsidR="008226B5" w:rsidRPr="009B0B31">
        <w:rPr>
          <w:rFonts w:eastAsia="Calibri" w:cs="Calibri"/>
        </w:rPr>
        <w:t>Ryan Wagner</w:t>
      </w:r>
      <w:r w:rsidR="008226B5">
        <w:rPr>
          <w:rFonts w:eastAsia="Calibri" w:cs="Calibri"/>
        </w:rPr>
        <w:t xml:space="preserve">, </w:t>
      </w:r>
      <w:r w:rsidRPr="009B0B31">
        <w:rPr>
          <w:rFonts w:eastAsia="Calibri" w:cs="Calibri"/>
        </w:rPr>
        <w:t>Deputy District Attorney</w:t>
      </w:r>
      <w:r w:rsidR="008226B5">
        <w:rPr>
          <w:rFonts w:eastAsia="Calibri" w:cs="Calibri"/>
        </w:rPr>
        <w:t xml:space="preserve">, </w:t>
      </w:r>
      <w:r w:rsidR="008226B5" w:rsidRPr="009B0B31">
        <w:rPr>
          <w:rFonts w:eastAsia="Calibri" w:cs="Calibri"/>
        </w:rPr>
        <w:t>Daniel Becker</w:t>
      </w:r>
      <w:r w:rsidR="008226B5">
        <w:rPr>
          <w:rFonts w:eastAsia="Calibri" w:cs="Calibri"/>
        </w:rPr>
        <w:t xml:space="preserve">,  </w:t>
      </w:r>
      <w:r w:rsidR="008226B5" w:rsidRPr="008226B5">
        <w:rPr>
          <w:rFonts w:eastAsia="Calibri" w:cs="Calibri"/>
        </w:rPr>
        <w:t>Certified Law Clerk</w:t>
      </w:r>
      <w:r w:rsidR="008226B5">
        <w:rPr>
          <w:rFonts w:eastAsia="Calibri" w:cs="Calibri"/>
        </w:rPr>
        <w:t xml:space="preserve"> </w:t>
      </w:r>
      <w:r w:rsidRPr="003D2125">
        <w:rPr>
          <w:rFonts w:eastAsia="Calibri" w:cs="Calibri"/>
        </w:rPr>
        <w:t xml:space="preserve">for </w:t>
      </w:r>
      <w:r w:rsidR="008226B5">
        <w:rPr>
          <w:rFonts w:eastAsia="Calibri" w:cs="Calibri"/>
        </w:rPr>
        <w:t>Real Party in Interest</w:t>
      </w:r>
      <w:r w:rsidRPr="003D2125">
        <w:rPr>
          <w:rFonts w:eastAsia="Calibri" w:cs="Calibri"/>
        </w:rPr>
        <w:t xml:space="preserve"> </w:t>
      </w:r>
    </w:p>
    <w:p w14:paraId="6F736455" w14:textId="77777777" w:rsidR="009B0B31" w:rsidRDefault="009B0B31" w:rsidP="009B0B31">
      <w:pPr>
        <w:tabs>
          <w:tab w:val="left" w:pos="1440"/>
          <w:tab w:val="left" w:pos="2160"/>
        </w:tabs>
        <w:spacing w:line="240" w:lineRule="auto"/>
        <w:ind w:left="2610" w:hanging="2610"/>
        <w:rPr>
          <w:rFonts w:eastAsia="Calibri" w:cs="Calibri"/>
        </w:rPr>
      </w:pPr>
    </w:p>
    <w:p w14:paraId="788FD6D9" w14:textId="77777777" w:rsidR="009B0B31" w:rsidRPr="003D2125" w:rsidRDefault="009B0B31" w:rsidP="009B0B31">
      <w:pPr>
        <w:tabs>
          <w:tab w:val="left" w:pos="1440"/>
          <w:tab w:val="left" w:pos="2160"/>
        </w:tabs>
        <w:spacing w:line="240" w:lineRule="auto"/>
        <w:ind w:left="2610" w:hanging="2610"/>
        <w:rPr>
          <w:rFonts w:eastAsia="Calibri" w:cs="Calibri"/>
        </w:rPr>
      </w:pPr>
    </w:p>
    <w:p w14:paraId="514F287D" w14:textId="77777777" w:rsidR="009B0B31" w:rsidRDefault="009B0B31" w:rsidP="009B0B31">
      <w:pPr>
        <w:spacing w:line="360" w:lineRule="auto"/>
      </w:pPr>
    </w:p>
    <w:p w14:paraId="0402BD3D" w14:textId="02DB90BC" w:rsidR="00FB54F0" w:rsidRDefault="00FB54F0" w:rsidP="00FB54F0">
      <w:pPr>
        <w:spacing w:line="240" w:lineRule="auto"/>
      </w:pPr>
    </w:p>
    <w:p w14:paraId="3C4C37F1" w14:textId="530AE282" w:rsidR="008226B5" w:rsidRDefault="008226B5" w:rsidP="00FB54F0">
      <w:pPr>
        <w:spacing w:line="240" w:lineRule="auto"/>
      </w:pPr>
    </w:p>
    <w:p w14:paraId="63A06A6B" w14:textId="1C1F78DE" w:rsidR="008226B5" w:rsidRDefault="008226B5" w:rsidP="00FB54F0">
      <w:pPr>
        <w:spacing w:line="240" w:lineRule="auto"/>
      </w:pPr>
    </w:p>
    <w:p w14:paraId="7E6CA8FF" w14:textId="299C425D" w:rsidR="008226B5" w:rsidRDefault="008226B5" w:rsidP="00FB54F0">
      <w:pPr>
        <w:spacing w:line="240" w:lineRule="auto"/>
      </w:pPr>
    </w:p>
    <w:p w14:paraId="6AAAA9D9" w14:textId="3042CF49" w:rsidR="008226B5" w:rsidRDefault="008226B5" w:rsidP="00FB54F0">
      <w:pPr>
        <w:spacing w:line="240" w:lineRule="auto"/>
      </w:pPr>
    </w:p>
    <w:p w14:paraId="0E16FB1D" w14:textId="22AC47FA" w:rsidR="008226B5" w:rsidRDefault="008226B5" w:rsidP="00FB54F0">
      <w:pPr>
        <w:spacing w:line="240" w:lineRule="auto"/>
      </w:pPr>
    </w:p>
    <w:p w14:paraId="4651FD63" w14:textId="5272A850" w:rsidR="008226B5" w:rsidRDefault="008226B5" w:rsidP="00FB54F0">
      <w:pPr>
        <w:spacing w:line="240" w:lineRule="auto"/>
      </w:pPr>
    </w:p>
    <w:p w14:paraId="13AFEDBE" w14:textId="5F403BFB" w:rsidR="008226B5" w:rsidRDefault="008226B5" w:rsidP="00FB54F0">
      <w:pPr>
        <w:spacing w:line="240" w:lineRule="auto"/>
      </w:pPr>
    </w:p>
    <w:p w14:paraId="3E4A0199" w14:textId="382C1643" w:rsidR="008226B5" w:rsidRDefault="008226B5" w:rsidP="00FB54F0">
      <w:pPr>
        <w:spacing w:line="240" w:lineRule="auto"/>
      </w:pPr>
    </w:p>
    <w:p w14:paraId="0E5ECD5A" w14:textId="65F8B455" w:rsidR="008226B5" w:rsidRDefault="008226B5" w:rsidP="00FB54F0">
      <w:pPr>
        <w:spacing w:line="240" w:lineRule="auto"/>
      </w:pPr>
    </w:p>
    <w:p w14:paraId="112B1B64" w14:textId="3DC67E21" w:rsidR="008226B5" w:rsidRDefault="008226B5" w:rsidP="00FB54F0">
      <w:pPr>
        <w:spacing w:line="240" w:lineRule="auto"/>
      </w:pPr>
    </w:p>
    <w:p w14:paraId="02E197AD" w14:textId="77777777" w:rsidR="008226B5" w:rsidRDefault="008226B5" w:rsidP="00FB54F0">
      <w:pPr>
        <w:spacing w:line="240" w:lineRule="auto"/>
      </w:pPr>
    </w:p>
    <w:p w14:paraId="0AFECA4F" w14:textId="77777777" w:rsidR="00FB54F0" w:rsidRPr="00F03F30" w:rsidRDefault="00FB54F0" w:rsidP="00FB54F0">
      <w:pPr>
        <w:spacing w:line="240" w:lineRule="auto"/>
      </w:pPr>
    </w:p>
    <w:p w14:paraId="231FF954" w14:textId="77777777" w:rsidR="00FB54F0" w:rsidRDefault="00FB54F0" w:rsidP="00FB54F0">
      <w:pPr>
        <w:spacing w:line="240" w:lineRule="auto"/>
        <w:rPr>
          <w:i/>
          <w:sz w:val="16"/>
          <w:szCs w:val="16"/>
        </w:rPr>
      </w:pPr>
    </w:p>
    <w:p w14:paraId="1CACC24A" w14:textId="77777777" w:rsidR="00FB54F0" w:rsidRDefault="00FB54F0" w:rsidP="00FB54F0">
      <w:pPr>
        <w:spacing w:line="240" w:lineRule="auto"/>
        <w:rPr>
          <w:i/>
          <w:sz w:val="16"/>
          <w:szCs w:val="16"/>
        </w:rPr>
      </w:pPr>
    </w:p>
    <w:p w14:paraId="2AA66242" w14:textId="145E2231" w:rsidR="00FB54F0" w:rsidRPr="00F03F30" w:rsidRDefault="00FB54F0" w:rsidP="00FB54F0">
      <w:pPr>
        <w:spacing w:line="240" w:lineRule="auto"/>
        <w:rPr>
          <w:sz w:val="16"/>
          <w:szCs w:val="16"/>
        </w:rPr>
      </w:pPr>
      <w:r w:rsidRPr="00FB54F0">
        <w:rPr>
          <w:i/>
          <w:sz w:val="16"/>
          <w:szCs w:val="16"/>
        </w:rPr>
        <w:t xml:space="preserve">Kuhnel v. Superior Court </w:t>
      </w:r>
      <w:r w:rsidRPr="00F03F30">
        <w:rPr>
          <w:sz w:val="16"/>
          <w:szCs w:val="16"/>
        </w:rPr>
        <w:t>(A1</w:t>
      </w:r>
      <w:r>
        <w:rPr>
          <w:sz w:val="16"/>
          <w:szCs w:val="16"/>
        </w:rPr>
        <w:t>63307</w:t>
      </w:r>
      <w:r w:rsidRPr="00F03F30">
        <w:rPr>
          <w:sz w:val="16"/>
          <w:szCs w:val="16"/>
        </w:rPr>
        <w:t>)</w:t>
      </w:r>
    </w:p>
    <w:p w14:paraId="20E3475E" w14:textId="77777777" w:rsidR="00FB54F0" w:rsidRPr="00282065" w:rsidRDefault="00FB54F0" w:rsidP="00A70BA2">
      <w:pPr>
        <w:spacing w:line="360" w:lineRule="auto"/>
      </w:pPr>
    </w:p>
    <w:sectPr w:rsidR="00FB54F0" w:rsidRPr="00282065" w:rsidSect="00D431E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773E" w14:textId="77777777" w:rsidR="00F544B6" w:rsidRDefault="00F544B6" w:rsidP="00A70BA2">
      <w:pPr>
        <w:spacing w:line="240" w:lineRule="auto"/>
      </w:pPr>
      <w:r>
        <w:separator/>
      </w:r>
    </w:p>
  </w:endnote>
  <w:endnote w:type="continuationSeparator" w:id="0">
    <w:p w14:paraId="7B306FF7" w14:textId="77777777" w:rsidR="00F544B6" w:rsidRDefault="00F544B6" w:rsidP="00A70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A2BA" w14:textId="77777777" w:rsidR="00FE4095" w:rsidRDefault="00FE4095" w:rsidP="00F428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13C298" w14:textId="77777777" w:rsidR="00FE4095" w:rsidRDefault="00FE4095" w:rsidP="00F428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C763FA" w14:textId="77777777" w:rsidR="00FE4095" w:rsidRDefault="00FE4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F66B" w14:textId="11599A1F" w:rsidR="00FE4095" w:rsidRDefault="00FE4095" w:rsidP="00A70B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270B15" w14:textId="77777777" w:rsidR="00FE4095" w:rsidRDefault="00FE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5CD4" w14:textId="77777777" w:rsidR="00F544B6" w:rsidRDefault="00F544B6" w:rsidP="00A70BA2">
      <w:pPr>
        <w:spacing w:line="240" w:lineRule="auto"/>
      </w:pPr>
      <w:r>
        <w:separator/>
      </w:r>
    </w:p>
  </w:footnote>
  <w:footnote w:type="continuationSeparator" w:id="0">
    <w:p w14:paraId="3460E6EA" w14:textId="77777777" w:rsidR="00F544B6" w:rsidRDefault="00F544B6" w:rsidP="00A70BA2">
      <w:pPr>
        <w:spacing w:line="240" w:lineRule="auto"/>
      </w:pPr>
      <w:r>
        <w:continuationSeparator/>
      </w:r>
    </w:p>
  </w:footnote>
  <w:footnote w:id="1">
    <w:p w14:paraId="30E74C9D" w14:textId="77777777" w:rsidR="00FE4095" w:rsidRDefault="00FE4095" w:rsidP="0037520A">
      <w:pPr>
        <w:pStyle w:val="FootnoteText"/>
        <w:ind w:firstLine="720"/>
      </w:pPr>
      <w:r>
        <w:rPr>
          <w:rStyle w:val="FootnoteReference"/>
        </w:rPr>
        <w:footnoteRef/>
      </w:r>
      <w:r>
        <w:t xml:space="preserve"> All </w:t>
      </w:r>
      <w:r w:rsidRPr="00591A50">
        <w:t>undesignated</w:t>
      </w:r>
      <w:r>
        <w:t xml:space="preserve"> statutory references are to the Penal Code.</w:t>
      </w:r>
    </w:p>
  </w:footnote>
  <w:footnote w:id="2">
    <w:p w14:paraId="099E58FC" w14:textId="34685C22" w:rsidR="008C1216" w:rsidRDefault="008C1216" w:rsidP="00FB54F0">
      <w:pPr>
        <w:pStyle w:val="FootnoteText"/>
        <w:ind w:firstLine="720"/>
      </w:pPr>
      <w:r>
        <w:rPr>
          <w:rStyle w:val="FootnoteReference"/>
        </w:rPr>
        <w:footnoteRef/>
      </w:r>
      <w:r>
        <w:t xml:space="preserve"> In </w:t>
      </w:r>
      <w:r>
        <w:rPr>
          <w:i/>
          <w:iCs/>
        </w:rPr>
        <w:t>People v. Prudholme</w:t>
      </w:r>
      <w:r>
        <w:t xml:space="preserve">, S271057, rev. granted Nov. 10, 2021, our high court has directed the parties to submit briefing on whether Assembly Bill 1950 applies retroactively under </w:t>
      </w:r>
      <w:r>
        <w:rPr>
          <w:i/>
          <w:iCs/>
        </w:rPr>
        <w:t>Estrada</w:t>
      </w:r>
      <w:r>
        <w:t xml:space="preserve"> and, if so, whether the remand procedure of </w:t>
      </w:r>
      <w:r>
        <w:rPr>
          <w:i/>
          <w:iCs/>
        </w:rPr>
        <w:t>People v. Stamps</w:t>
      </w:r>
      <w:r>
        <w:t xml:space="preserve"> (2020) 9 Cal.5th 685 applies.  (</w:t>
      </w:r>
      <w:r>
        <w:rPr>
          <w:i/>
          <w:iCs/>
        </w:rPr>
        <w:t>People v. Prudholme</w:t>
      </w:r>
      <w:r>
        <w:t xml:space="preserve"> (Dec. 22, 2021) 2021 Cal. L</w:t>
      </w:r>
      <w:r w:rsidR="00FB54F0">
        <w:t>exis</w:t>
      </w:r>
      <w:r>
        <w:t xml:space="preserve"> 8859.)</w:t>
      </w:r>
    </w:p>
  </w:footnote>
  <w:footnote w:id="3">
    <w:p w14:paraId="325D1551" w14:textId="3F77DD02" w:rsidR="00FB54F0" w:rsidRDefault="00FB54F0" w:rsidP="00FB54F0">
      <w:pPr>
        <w:pStyle w:val="FootnoteText"/>
        <w:ind w:firstLine="720"/>
      </w:pPr>
      <w:r>
        <w:rPr>
          <w:rStyle w:val="FootnoteReference"/>
        </w:rPr>
        <w:footnoteRef/>
      </w:r>
      <w:r>
        <w:t xml:space="preserve"> The principle remains in the current version of section 1203.2(a) but is articulated in more general terms: “</w:t>
      </w:r>
      <w:r w:rsidRPr="007D1AD6">
        <w:t xml:space="preserve">revocation, summary or otherwise, shall serve to toll the running of the </w:t>
      </w:r>
      <w:r w:rsidRPr="00FB54F0">
        <w:rPr>
          <w:i/>
          <w:iCs/>
        </w:rPr>
        <w:t>period of supervision</w:t>
      </w:r>
      <w:r w:rsidRPr="007D1AD6">
        <w:t>.</w:t>
      </w:r>
      <w:r>
        <w:t>”  (</w:t>
      </w:r>
      <w:r w:rsidRPr="00AC5305">
        <w:t>§ 1203</w:t>
      </w:r>
      <w:r>
        <w:t>.2(</w:t>
      </w:r>
      <w:r w:rsidRPr="00AC5305">
        <w:t>a</w:t>
      </w:r>
      <w:r>
        <w:t>) (italics added).)</w:t>
      </w:r>
    </w:p>
  </w:footnote>
  <w:footnote w:id="4">
    <w:p w14:paraId="0973C960" w14:textId="59C167F9" w:rsidR="00BB31B3" w:rsidRDefault="00BB31B3" w:rsidP="00BB31B3">
      <w:pPr>
        <w:pStyle w:val="FootnoteText"/>
        <w:ind w:firstLine="720"/>
      </w:pPr>
      <w:r>
        <w:rPr>
          <w:rStyle w:val="FootnoteReference"/>
        </w:rPr>
        <w:footnoteRef/>
      </w:r>
      <w:r>
        <w:t xml:space="preserve"> </w:t>
      </w:r>
      <w:r w:rsidR="008F5705">
        <w:t xml:space="preserve">This case does not raise the question of whether the court may adjudicate a violation that took place after the probationary period now permissible under Assembly Bill 1950 (i.e., after the first year for most misdemeanors), but while a person was validly on probation under the law then in effect.  </w:t>
      </w:r>
      <w:r w:rsidR="008F5705" w:rsidRPr="008F5705">
        <w:t>Another case we decide today,</w:t>
      </w:r>
      <w:r w:rsidR="008F5705" w:rsidRPr="008F5705">
        <w:rPr>
          <w:b/>
          <w:bCs/>
        </w:rPr>
        <w:t xml:space="preserve"> </w:t>
      </w:r>
      <w:r w:rsidR="008F5705" w:rsidRPr="008F5705">
        <w:rPr>
          <w:i/>
          <w:iCs/>
        </w:rPr>
        <w:t xml:space="preserve">People v. Faial </w:t>
      </w:r>
      <w:r w:rsidR="008F5705" w:rsidRPr="008F5705">
        <w:t xml:space="preserve">(Feb. </w:t>
      </w:r>
      <w:r w:rsidR="00702E20" w:rsidRPr="00702E20">
        <w:t>28</w:t>
      </w:r>
      <w:r w:rsidR="008F5705" w:rsidRPr="00702E20">
        <w:t>,</w:t>
      </w:r>
      <w:r w:rsidR="008F5705" w:rsidRPr="008F5705">
        <w:t xml:space="preserve"> 2022, A159026) __ Cal.App.5th __, involves such violations in the felony probation context and holds that Assembly Bill 1950 does not invalidate a trial court’s revocation and termination of a defendant’s probation “</w:t>
      </w:r>
      <w:r w:rsidR="00702E20">
        <w:rPr>
          <w:color w:val="000000"/>
        </w:rPr>
        <w:t xml:space="preserve">where, as here, such actions were properly taken before </w:t>
      </w:r>
      <w:r w:rsidR="00702E20">
        <w:t xml:space="preserve">Assembly Bill </w:t>
      </w:r>
      <w:r w:rsidR="00702E20">
        <w:rPr>
          <w:color w:val="000000"/>
        </w:rPr>
        <w:t>1950’s effective date</w:t>
      </w:r>
      <w:r w:rsidR="008F5705" w:rsidRPr="008F5705">
        <w:t>.”</w:t>
      </w:r>
      <w:r w:rsidR="008F5705">
        <w:t xml:space="preserve">  (</w:t>
      </w:r>
      <w:r w:rsidR="008F5705" w:rsidRPr="00F4612B">
        <w:rPr>
          <w:i/>
          <w:iCs/>
        </w:rPr>
        <w:t>Id</w:t>
      </w:r>
      <w:r w:rsidR="008F5705">
        <w:t xml:space="preserve">. at p. </w:t>
      </w:r>
      <w:r w:rsidR="008F5705" w:rsidRPr="00702E20">
        <w:t>6.</w:t>
      </w:r>
      <w:r w:rsidR="008F5705">
        <w:t xml:space="preserve">)  The analysis in </w:t>
      </w:r>
      <w:r w:rsidR="008F5705" w:rsidRPr="00F4612B">
        <w:rPr>
          <w:i/>
          <w:iCs/>
        </w:rPr>
        <w:t>Faial</w:t>
      </w:r>
      <w:r w:rsidR="008F5705">
        <w:t xml:space="preserve"> reinforces the consistent conclusion we reach on the facts of this case.  We acknowledge that another appellate court recently reached a different result in </w:t>
      </w:r>
      <w:r w:rsidR="008F5705" w:rsidRPr="00F4612B">
        <w:rPr>
          <w:i/>
          <w:iCs/>
        </w:rPr>
        <w:t>People v. Butler</w:t>
      </w:r>
      <w:r w:rsidR="008F5705">
        <w:t xml:space="preserve"> (Feb. 15, 2022, B313121)</w:t>
      </w:r>
      <w:r w:rsidR="008F5705" w:rsidRPr="00F4612B">
        <w:t xml:space="preserve"> __ Cal.App.5th __</w:t>
      </w:r>
      <w:r w:rsidR="008F5705">
        <w:t xml:space="preserve">, but without addressing section 1203.2(a) or </w:t>
      </w:r>
      <w:r w:rsidR="008F5705" w:rsidRPr="00F4612B">
        <w:rPr>
          <w:i/>
          <w:iCs/>
        </w:rPr>
        <w:t>Leiva</w:t>
      </w:r>
      <w:r w:rsidR="008F5705">
        <w:t xml:space="preserve">, </w:t>
      </w:r>
      <w:r w:rsidR="008F5705" w:rsidRPr="00F4612B">
        <w:rPr>
          <w:i/>
          <w:iCs/>
        </w:rPr>
        <w:t>supra</w:t>
      </w:r>
      <w:r w:rsidR="008F5705">
        <w:t>, 56 Cal.4th at p. 512, and we respectfully disagree with its conclusion</w:t>
      </w:r>
      <w:r w:rsidR="00596F2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534EA"/>
    <w:multiLevelType w:val="hybridMultilevel"/>
    <w:tmpl w:val="563E23C4"/>
    <w:lvl w:ilvl="0" w:tplc="E12C1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A2"/>
    <w:rsid w:val="00002CBB"/>
    <w:rsid w:val="00014F8E"/>
    <w:rsid w:val="0002336D"/>
    <w:rsid w:val="000260FE"/>
    <w:rsid w:val="00032006"/>
    <w:rsid w:val="00051ABA"/>
    <w:rsid w:val="0006536B"/>
    <w:rsid w:val="000778DF"/>
    <w:rsid w:val="000D6161"/>
    <w:rsid w:val="000F6913"/>
    <w:rsid w:val="00100820"/>
    <w:rsid w:val="001016E6"/>
    <w:rsid w:val="0010318A"/>
    <w:rsid w:val="0012583E"/>
    <w:rsid w:val="0012633D"/>
    <w:rsid w:val="0013199C"/>
    <w:rsid w:val="001577D5"/>
    <w:rsid w:val="001839B2"/>
    <w:rsid w:val="001C05CD"/>
    <w:rsid w:val="001C29DB"/>
    <w:rsid w:val="001D2ACE"/>
    <w:rsid w:val="001D71C1"/>
    <w:rsid w:val="001E2ED5"/>
    <w:rsid w:val="001E4C55"/>
    <w:rsid w:val="00207F95"/>
    <w:rsid w:val="002271C0"/>
    <w:rsid w:val="00234F60"/>
    <w:rsid w:val="002356E6"/>
    <w:rsid w:val="002717C6"/>
    <w:rsid w:val="00273965"/>
    <w:rsid w:val="00282065"/>
    <w:rsid w:val="002924A8"/>
    <w:rsid w:val="002959BC"/>
    <w:rsid w:val="002A5076"/>
    <w:rsid w:val="002C185E"/>
    <w:rsid w:val="002C1ECC"/>
    <w:rsid w:val="002C42E9"/>
    <w:rsid w:val="002C5E80"/>
    <w:rsid w:val="002D04CA"/>
    <w:rsid w:val="002D4B16"/>
    <w:rsid w:val="0030518A"/>
    <w:rsid w:val="00307C99"/>
    <w:rsid w:val="003130E0"/>
    <w:rsid w:val="00324080"/>
    <w:rsid w:val="0036324D"/>
    <w:rsid w:val="003654F6"/>
    <w:rsid w:val="0037520A"/>
    <w:rsid w:val="00386881"/>
    <w:rsid w:val="003A57CD"/>
    <w:rsid w:val="003B1FEA"/>
    <w:rsid w:val="003B44B3"/>
    <w:rsid w:val="003C1882"/>
    <w:rsid w:val="003D78AF"/>
    <w:rsid w:val="003E0DEE"/>
    <w:rsid w:val="003E1F52"/>
    <w:rsid w:val="00403EE2"/>
    <w:rsid w:val="0040438E"/>
    <w:rsid w:val="00422DC1"/>
    <w:rsid w:val="00425B05"/>
    <w:rsid w:val="00433B5A"/>
    <w:rsid w:val="00446A32"/>
    <w:rsid w:val="00450C80"/>
    <w:rsid w:val="004613AA"/>
    <w:rsid w:val="00475E21"/>
    <w:rsid w:val="00494226"/>
    <w:rsid w:val="004B7A60"/>
    <w:rsid w:val="004C6690"/>
    <w:rsid w:val="004C7323"/>
    <w:rsid w:val="004D2602"/>
    <w:rsid w:val="004F5936"/>
    <w:rsid w:val="0050443E"/>
    <w:rsid w:val="005075F2"/>
    <w:rsid w:val="00534704"/>
    <w:rsid w:val="00555C0D"/>
    <w:rsid w:val="00564256"/>
    <w:rsid w:val="0057415E"/>
    <w:rsid w:val="00587C78"/>
    <w:rsid w:val="00587E3A"/>
    <w:rsid w:val="00590958"/>
    <w:rsid w:val="00591A50"/>
    <w:rsid w:val="0059517D"/>
    <w:rsid w:val="00596F20"/>
    <w:rsid w:val="005A7653"/>
    <w:rsid w:val="005A7AC9"/>
    <w:rsid w:val="005A7D28"/>
    <w:rsid w:val="005B4096"/>
    <w:rsid w:val="005C52CE"/>
    <w:rsid w:val="005E08FB"/>
    <w:rsid w:val="005F3E98"/>
    <w:rsid w:val="00606ACA"/>
    <w:rsid w:val="006145AC"/>
    <w:rsid w:val="0063212A"/>
    <w:rsid w:val="00647395"/>
    <w:rsid w:val="0066474E"/>
    <w:rsid w:val="0066616D"/>
    <w:rsid w:val="00684372"/>
    <w:rsid w:val="0068688D"/>
    <w:rsid w:val="006A4978"/>
    <w:rsid w:val="006C1366"/>
    <w:rsid w:val="006C74BF"/>
    <w:rsid w:val="006E50AD"/>
    <w:rsid w:val="006F3C22"/>
    <w:rsid w:val="006F4188"/>
    <w:rsid w:val="00702E20"/>
    <w:rsid w:val="0071027A"/>
    <w:rsid w:val="00712ABE"/>
    <w:rsid w:val="007261DC"/>
    <w:rsid w:val="00764B1F"/>
    <w:rsid w:val="00772277"/>
    <w:rsid w:val="0078183B"/>
    <w:rsid w:val="00781A0F"/>
    <w:rsid w:val="00792941"/>
    <w:rsid w:val="007A032D"/>
    <w:rsid w:val="007B5B9B"/>
    <w:rsid w:val="007C5627"/>
    <w:rsid w:val="007D1AD6"/>
    <w:rsid w:val="007E25EF"/>
    <w:rsid w:val="007F36A3"/>
    <w:rsid w:val="008118C0"/>
    <w:rsid w:val="008121FD"/>
    <w:rsid w:val="00813D31"/>
    <w:rsid w:val="008226B5"/>
    <w:rsid w:val="00853047"/>
    <w:rsid w:val="008657FD"/>
    <w:rsid w:val="00877256"/>
    <w:rsid w:val="008977E0"/>
    <w:rsid w:val="00897AE6"/>
    <w:rsid w:val="008A0EB7"/>
    <w:rsid w:val="008C068F"/>
    <w:rsid w:val="008C1216"/>
    <w:rsid w:val="008C69C3"/>
    <w:rsid w:val="008D1011"/>
    <w:rsid w:val="008E0C7D"/>
    <w:rsid w:val="008F5705"/>
    <w:rsid w:val="0095711B"/>
    <w:rsid w:val="0096133F"/>
    <w:rsid w:val="00973A0E"/>
    <w:rsid w:val="009929DE"/>
    <w:rsid w:val="009A03AD"/>
    <w:rsid w:val="009B0B31"/>
    <w:rsid w:val="009C4B4D"/>
    <w:rsid w:val="009F1FBB"/>
    <w:rsid w:val="009F232C"/>
    <w:rsid w:val="009F6B23"/>
    <w:rsid w:val="00A140F4"/>
    <w:rsid w:val="00A30557"/>
    <w:rsid w:val="00A31D70"/>
    <w:rsid w:val="00A323D3"/>
    <w:rsid w:val="00A56461"/>
    <w:rsid w:val="00A64A0E"/>
    <w:rsid w:val="00A65DBF"/>
    <w:rsid w:val="00A70BA2"/>
    <w:rsid w:val="00A853B2"/>
    <w:rsid w:val="00A942D4"/>
    <w:rsid w:val="00AA6094"/>
    <w:rsid w:val="00AB0AFE"/>
    <w:rsid w:val="00AB422D"/>
    <w:rsid w:val="00AB6931"/>
    <w:rsid w:val="00AC2EFC"/>
    <w:rsid w:val="00AC5305"/>
    <w:rsid w:val="00AF3647"/>
    <w:rsid w:val="00AF6990"/>
    <w:rsid w:val="00AF6EEE"/>
    <w:rsid w:val="00B075CE"/>
    <w:rsid w:val="00B25FF5"/>
    <w:rsid w:val="00B3138C"/>
    <w:rsid w:val="00B452FA"/>
    <w:rsid w:val="00B741AB"/>
    <w:rsid w:val="00B8092B"/>
    <w:rsid w:val="00B82F13"/>
    <w:rsid w:val="00B841F8"/>
    <w:rsid w:val="00B972D1"/>
    <w:rsid w:val="00BA70DC"/>
    <w:rsid w:val="00BA7573"/>
    <w:rsid w:val="00BB290E"/>
    <w:rsid w:val="00BB2F68"/>
    <w:rsid w:val="00BB31B3"/>
    <w:rsid w:val="00C037D9"/>
    <w:rsid w:val="00C407CA"/>
    <w:rsid w:val="00C668FA"/>
    <w:rsid w:val="00C96403"/>
    <w:rsid w:val="00CC29E0"/>
    <w:rsid w:val="00CE03F0"/>
    <w:rsid w:val="00CF5142"/>
    <w:rsid w:val="00D02ED1"/>
    <w:rsid w:val="00D1104D"/>
    <w:rsid w:val="00D11A71"/>
    <w:rsid w:val="00D25274"/>
    <w:rsid w:val="00D315E9"/>
    <w:rsid w:val="00D431EC"/>
    <w:rsid w:val="00D661D6"/>
    <w:rsid w:val="00D91642"/>
    <w:rsid w:val="00D92AA9"/>
    <w:rsid w:val="00DA514C"/>
    <w:rsid w:val="00DC668D"/>
    <w:rsid w:val="00E00CCC"/>
    <w:rsid w:val="00E034F9"/>
    <w:rsid w:val="00E041C6"/>
    <w:rsid w:val="00E10A48"/>
    <w:rsid w:val="00E12DDC"/>
    <w:rsid w:val="00E14C09"/>
    <w:rsid w:val="00E23AA3"/>
    <w:rsid w:val="00E32E94"/>
    <w:rsid w:val="00E35529"/>
    <w:rsid w:val="00E4738E"/>
    <w:rsid w:val="00E50A56"/>
    <w:rsid w:val="00E710B2"/>
    <w:rsid w:val="00E722CD"/>
    <w:rsid w:val="00E80ED7"/>
    <w:rsid w:val="00EB4500"/>
    <w:rsid w:val="00ED7E17"/>
    <w:rsid w:val="00EF515D"/>
    <w:rsid w:val="00F17E9F"/>
    <w:rsid w:val="00F206EE"/>
    <w:rsid w:val="00F243CC"/>
    <w:rsid w:val="00F31545"/>
    <w:rsid w:val="00F42891"/>
    <w:rsid w:val="00F4612B"/>
    <w:rsid w:val="00F51E76"/>
    <w:rsid w:val="00F5315F"/>
    <w:rsid w:val="00F544B6"/>
    <w:rsid w:val="00F748D4"/>
    <w:rsid w:val="00F76326"/>
    <w:rsid w:val="00F8196E"/>
    <w:rsid w:val="00F92204"/>
    <w:rsid w:val="00FA7620"/>
    <w:rsid w:val="00FB3829"/>
    <w:rsid w:val="00FB54F0"/>
    <w:rsid w:val="00FD7607"/>
    <w:rsid w:val="00FE0EAD"/>
    <w:rsid w:val="00FE4095"/>
    <w:rsid w:val="00FE69DD"/>
    <w:rsid w:val="00FF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CF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BA2"/>
    <w:pPr>
      <w:tabs>
        <w:tab w:val="center" w:pos="4680"/>
        <w:tab w:val="right" w:pos="9360"/>
      </w:tabs>
      <w:spacing w:line="240" w:lineRule="auto"/>
    </w:pPr>
  </w:style>
  <w:style w:type="character" w:customStyle="1" w:styleId="HeaderChar">
    <w:name w:val="Header Char"/>
    <w:basedOn w:val="DefaultParagraphFont"/>
    <w:link w:val="Header"/>
    <w:uiPriority w:val="99"/>
    <w:rsid w:val="00A70BA2"/>
  </w:style>
  <w:style w:type="paragraph" w:styleId="Footer">
    <w:name w:val="footer"/>
    <w:basedOn w:val="Normal"/>
    <w:link w:val="FooterChar"/>
    <w:uiPriority w:val="99"/>
    <w:unhideWhenUsed/>
    <w:rsid w:val="00A70BA2"/>
    <w:pPr>
      <w:tabs>
        <w:tab w:val="center" w:pos="4680"/>
        <w:tab w:val="right" w:pos="9360"/>
      </w:tabs>
      <w:spacing w:line="240" w:lineRule="auto"/>
    </w:pPr>
  </w:style>
  <w:style w:type="character" w:customStyle="1" w:styleId="FooterChar">
    <w:name w:val="Footer Char"/>
    <w:basedOn w:val="DefaultParagraphFont"/>
    <w:link w:val="Footer"/>
    <w:uiPriority w:val="99"/>
    <w:rsid w:val="00A70BA2"/>
  </w:style>
  <w:style w:type="character" w:styleId="PageNumber">
    <w:name w:val="page number"/>
    <w:basedOn w:val="DefaultParagraphFont"/>
    <w:uiPriority w:val="99"/>
    <w:semiHidden/>
    <w:unhideWhenUsed/>
    <w:rsid w:val="00A70BA2"/>
  </w:style>
  <w:style w:type="paragraph" w:styleId="FootnoteText">
    <w:name w:val="footnote text"/>
    <w:link w:val="FootnoteTextChar"/>
    <w:uiPriority w:val="99"/>
    <w:unhideWhenUsed/>
    <w:rsid w:val="00A70BA2"/>
    <w:pPr>
      <w:spacing w:line="240" w:lineRule="auto"/>
    </w:pPr>
    <w:rPr>
      <w:szCs w:val="20"/>
    </w:rPr>
  </w:style>
  <w:style w:type="character" w:customStyle="1" w:styleId="FootnoteTextChar">
    <w:name w:val="Footnote Text Char"/>
    <w:basedOn w:val="DefaultParagraphFont"/>
    <w:link w:val="FootnoteText"/>
    <w:uiPriority w:val="99"/>
    <w:rsid w:val="00A70BA2"/>
    <w:rPr>
      <w:szCs w:val="20"/>
    </w:rPr>
  </w:style>
  <w:style w:type="character" w:styleId="FootnoteReference">
    <w:name w:val="footnote reference"/>
    <w:basedOn w:val="DefaultParagraphFont"/>
    <w:uiPriority w:val="99"/>
    <w:semiHidden/>
    <w:unhideWhenUsed/>
    <w:rsid w:val="00813D31"/>
    <w:rPr>
      <w:vertAlign w:val="superscript"/>
    </w:rPr>
  </w:style>
  <w:style w:type="paragraph" w:styleId="ListParagraph">
    <w:name w:val="List Paragraph"/>
    <w:basedOn w:val="Normal"/>
    <w:uiPriority w:val="34"/>
    <w:qFormat/>
    <w:rsid w:val="00EF515D"/>
    <w:pPr>
      <w:ind w:left="720"/>
      <w:contextualSpacing/>
    </w:pPr>
  </w:style>
  <w:style w:type="character" w:styleId="CommentReference">
    <w:name w:val="annotation reference"/>
    <w:basedOn w:val="DefaultParagraphFont"/>
    <w:uiPriority w:val="99"/>
    <w:semiHidden/>
    <w:unhideWhenUsed/>
    <w:rsid w:val="008657FD"/>
    <w:rPr>
      <w:sz w:val="16"/>
      <w:szCs w:val="16"/>
    </w:rPr>
  </w:style>
  <w:style w:type="paragraph" w:styleId="CommentText">
    <w:name w:val="annotation text"/>
    <w:basedOn w:val="Normal"/>
    <w:link w:val="CommentTextChar"/>
    <w:uiPriority w:val="99"/>
    <w:semiHidden/>
    <w:unhideWhenUsed/>
    <w:rsid w:val="008657FD"/>
    <w:pPr>
      <w:spacing w:line="240" w:lineRule="auto"/>
    </w:pPr>
    <w:rPr>
      <w:sz w:val="20"/>
      <w:szCs w:val="20"/>
    </w:rPr>
  </w:style>
  <w:style w:type="character" w:customStyle="1" w:styleId="CommentTextChar">
    <w:name w:val="Comment Text Char"/>
    <w:basedOn w:val="DefaultParagraphFont"/>
    <w:link w:val="CommentText"/>
    <w:uiPriority w:val="99"/>
    <w:semiHidden/>
    <w:rsid w:val="008657FD"/>
    <w:rPr>
      <w:sz w:val="20"/>
      <w:szCs w:val="20"/>
    </w:rPr>
  </w:style>
  <w:style w:type="paragraph" w:styleId="CommentSubject">
    <w:name w:val="annotation subject"/>
    <w:basedOn w:val="CommentText"/>
    <w:next w:val="CommentText"/>
    <w:link w:val="CommentSubjectChar"/>
    <w:uiPriority w:val="99"/>
    <w:semiHidden/>
    <w:unhideWhenUsed/>
    <w:rsid w:val="008657FD"/>
    <w:rPr>
      <w:b/>
      <w:bCs/>
    </w:rPr>
  </w:style>
  <w:style w:type="character" w:customStyle="1" w:styleId="CommentSubjectChar">
    <w:name w:val="Comment Subject Char"/>
    <w:basedOn w:val="CommentTextChar"/>
    <w:link w:val="CommentSubject"/>
    <w:uiPriority w:val="99"/>
    <w:semiHidden/>
    <w:rsid w:val="008657FD"/>
    <w:rPr>
      <w:b/>
      <w:bCs/>
      <w:sz w:val="20"/>
      <w:szCs w:val="20"/>
    </w:rPr>
  </w:style>
  <w:style w:type="paragraph" w:styleId="Revision">
    <w:name w:val="Revision"/>
    <w:hidden/>
    <w:uiPriority w:val="99"/>
    <w:semiHidden/>
    <w:rsid w:val="00FB54F0"/>
    <w:pPr>
      <w:spacing w:line="240" w:lineRule="auto"/>
    </w:pPr>
  </w:style>
  <w:style w:type="paragraph" w:styleId="BalloonText">
    <w:name w:val="Balloon Text"/>
    <w:basedOn w:val="Normal"/>
    <w:link w:val="BalloonTextChar"/>
    <w:uiPriority w:val="99"/>
    <w:semiHidden/>
    <w:unhideWhenUsed/>
    <w:rsid w:val="00E00CC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0C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9709">
      <w:bodyDiv w:val="1"/>
      <w:marLeft w:val="0"/>
      <w:marRight w:val="0"/>
      <w:marTop w:val="0"/>
      <w:marBottom w:val="0"/>
      <w:divBdr>
        <w:top w:val="none" w:sz="0" w:space="0" w:color="auto"/>
        <w:left w:val="none" w:sz="0" w:space="0" w:color="auto"/>
        <w:bottom w:val="none" w:sz="0" w:space="0" w:color="auto"/>
        <w:right w:val="none" w:sz="0" w:space="0" w:color="auto"/>
      </w:divBdr>
      <w:divsChild>
        <w:div w:id="871378328">
          <w:marLeft w:val="0"/>
          <w:marRight w:val="0"/>
          <w:marTop w:val="0"/>
          <w:marBottom w:val="0"/>
          <w:divBdr>
            <w:top w:val="none" w:sz="0" w:space="0" w:color="auto"/>
            <w:left w:val="none" w:sz="0" w:space="0" w:color="auto"/>
            <w:bottom w:val="none" w:sz="0" w:space="0" w:color="auto"/>
            <w:right w:val="none" w:sz="0" w:space="0" w:color="auto"/>
          </w:divBdr>
        </w:div>
      </w:divsChild>
    </w:div>
    <w:div w:id="2111848705">
      <w:bodyDiv w:val="1"/>
      <w:marLeft w:val="0"/>
      <w:marRight w:val="0"/>
      <w:marTop w:val="0"/>
      <w:marBottom w:val="0"/>
      <w:divBdr>
        <w:top w:val="none" w:sz="0" w:space="0" w:color="auto"/>
        <w:left w:val="none" w:sz="0" w:space="0" w:color="auto"/>
        <w:bottom w:val="none" w:sz="0" w:space="0" w:color="auto"/>
        <w:right w:val="none" w:sz="0" w:space="0" w:color="auto"/>
      </w:divBdr>
      <w:divsChild>
        <w:div w:id="61441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EFFB-5294-4BD0-A3C3-A37339DE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3561</Words>
  <Characters>19024</Characters>
  <Application>Microsoft Office Word</Application>
  <DocSecurity>0</DocSecurity>
  <Lines>372</Lines>
  <Paragraphs>52</Paragraphs>
  <ScaleCrop>false</ScaleCrop>
  <Manager/>
  <Company/>
  <LinksUpToDate>false</LinksUpToDate>
  <CharactersWithSpaces>22698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2022-06-07T21:49:00Z</dcterms:created>
  <dcterms:modified xsi:type="dcterms:W3CDTF">2022-06-07T21:49:00Z</dcterms:modified>
  <cp:category/>
</cp:coreProperties>
</file>