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CA4B" w14:textId="6B7E9741" w:rsidR="00A0072B" w:rsidRDefault="0064751C" w:rsidP="0007188A">
      <w:pPr>
        <w:spacing w:line="240" w:lineRule="auto"/>
        <w:jc w:val="center"/>
        <w:rPr>
          <w:rFonts w:ascii="Century Schoolbook" w:hAnsi="Century Schoolbook"/>
          <w:sz w:val="20"/>
        </w:rPr>
      </w:pPr>
      <w:r>
        <w:rPr>
          <w:rFonts w:ascii="Century Schoolbook" w:hAnsi="Century Schoolbook"/>
          <w:sz w:val="20"/>
        </w:rPr>
        <w:t xml:space="preserve">Filed </w:t>
      </w:r>
      <w:r w:rsidR="004627BA">
        <w:rPr>
          <w:rFonts w:ascii="Century Schoolbook" w:hAnsi="Century Schoolbook"/>
          <w:sz w:val="20"/>
        </w:rPr>
        <w:t>5/</w:t>
      </w:r>
      <w:r w:rsidR="00EB3EA0">
        <w:rPr>
          <w:rFonts w:ascii="Century Schoolbook" w:hAnsi="Century Schoolbook"/>
          <w:sz w:val="20"/>
        </w:rPr>
        <w:t>11/22</w:t>
      </w:r>
      <w:bookmarkStart w:id="0" w:name="_Hlk91684443"/>
      <w:r w:rsidR="0007188A" w:rsidRPr="00EF30E6">
        <w:rPr>
          <w:rFonts w:ascii="Century Schoolbook" w:hAnsi="Century Schoolbook"/>
          <w:sz w:val="20"/>
        </w:rPr>
        <w:t>; REVIEW GRANTED.  See Cal. Rules of Court, rules 8.1105 and 8.1115 (and corresponding Comment, par. 2, concerning rule 8.1115(e)(3)).</w:t>
      </w:r>
      <w:bookmarkEnd w:id="0"/>
    </w:p>
    <w:p w14:paraId="3EE7A098" w14:textId="77777777" w:rsidR="00A0072B" w:rsidRDefault="0064751C" w:rsidP="00A0072B">
      <w:pPr>
        <w:spacing w:line="240" w:lineRule="auto"/>
        <w:jc w:val="center"/>
        <w:rPr>
          <w:rFonts w:ascii="Century Schoolbook" w:hAnsi="Century Schoolbook"/>
          <w:b/>
        </w:rPr>
      </w:pPr>
      <w:r>
        <w:rPr>
          <w:rFonts w:ascii="Century Schoolbook" w:hAnsi="Century Schoolbook"/>
          <w:b/>
        </w:rPr>
        <w:t>CERTIFIED FOR PUBLICATION</w:t>
      </w:r>
    </w:p>
    <w:p w14:paraId="03342D09" w14:textId="77777777" w:rsidR="00A0072B" w:rsidRDefault="00A0072B" w:rsidP="00A0072B">
      <w:pPr>
        <w:spacing w:line="240" w:lineRule="auto"/>
        <w:jc w:val="center"/>
        <w:rPr>
          <w:rFonts w:ascii="Century Schoolbook" w:hAnsi="Century Schoolbook"/>
        </w:rPr>
      </w:pPr>
    </w:p>
    <w:p w14:paraId="7A13FDD2" w14:textId="5708AF26" w:rsidR="00AE59ED" w:rsidRPr="0081600F" w:rsidRDefault="0064751C" w:rsidP="00A0072B">
      <w:pPr>
        <w:spacing w:line="240" w:lineRule="auto"/>
        <w:jc w:val="center"/>
        <w:rPr>
          <w:rFonts w:ascii="Century Schoolbook" w:hAnsi="Century Schoolbook"/>
        </w:rPr>
      </w:pPr>
      <w:r w:rsidRPr="0081600F">
        <w:rPr>
          <w:rFonts w:ascii="Century Schoolbook" w:hAnsi="Century Schoolbook"/>
        </w:rPr>
        <w:t>IN THE COURT OF APPEAL OF THE STATE OF CALIFORNIA</w:t>
      </w:r>
    </w:p>
    <w:p w14:paraId="6BFD63D0" w14:textId="77777777" w:rsidR="00514AB4" w:rsidRPr="0081600F" w:rsidRDefault="00514AB4" w:rsidP="00514AB4">
      <w:pPr>
        <w:spacing w:line="240" w:lineRule="auto"/>
        <w:jc w:val="center"/>
        <w:rPr>
          <w:rFonts w:ascii="Century Schoolbook" w:hAnsi="Century Schoolbook"/>
        </w:rPr>
      </w:pPr>
    </w:p>
    <w:p w14:paraId="72EB0C95" w14:textId="77777777" w:rsidR="00514AB4" w:rsidRPr="0081600F" w:rsidRDefault="0064751C" w:rsidP="00514AB4">
      <w:pPr>
        <w:spacing w:line="240" w:lineRule="auto"/>
        <w:jc w:val="center"/>
        <w:rPr>
          <w:rFonts w:ascii="Century Schoolbook" w:hAnsi="Century Schoolbook"/>
        </w:rPr>
      </w:pPr>
      <w:r w:rsidRPr="0081600F">
        <w:rPr>
          <w:rFonts w:ascii="Century Schoolbook" w:hAnsi="Century Schoolbook"/>
        </w:rPr>
        <w:t>FIRST APPELLATE DISTRICT</w:t>
      </w:r>
    </w:p>
    <w:p w14:paraId="3E4EB13B" w14:textId="77777777" w:rsidR="00514AB4" w:rsidRPr="0081600F" w:rsidRDefault="00514AB4" w:rsidP="00514AB4">
      <w:pPr>
        <w:spacing w:line="240" w:lineRule="auto"/>
        <w:jc w:val="center"/>
        <w:rPr>
          <w:rFonts w:ascii="Century Schoolbook" w:hAnsi="Century Schoolbook"/>
        </w:rPr>
      </w:pPr>
    </w:p>
    <w:p w14:paraId="6BF1FD12" w14:textId="77777777" w:rsidR="00514AB4" w:rsidRPr="0081600F" w:rsidRDefault="0064751C" w:rsidP="00514AB4">
      <w:pPr>
        <w:spacing w:line="240" w:lineRule="auto"/>
        <w:jc w:val="center"/>
        <w:rPr>
          <w:rFonts w:ascii="Century Schoolbook" w:hAnsi="Century Schoolbook"/>
        </w:rPr>
      </w:pPr>
      <w:r w:rsidRPr="0081600F">
        <w:rPr>
          <w:rFonts w:ascii="Century Schoolbook" w:hAnsi="Century Schoolbook"/>
        </w:rPr>
        <w:t>DIVISION ONE</w:t>
      </w:r>
    </w:p>
    <w:p w14:paraId="3D86972C" w14:textId="77777777" w:rsidR="00514AB4" w:rsidRPr="0081600F" w:rsidRDefault="00514AB4" w:rsidP="00514AB4">
      <w:pPr>
        <w:spacing w:line="240" w:lineRule="auto"/>
        <w:jc w:val="center"/>
        <w:rPr>
          <w:rFonts w:ascii="Century Schoolbook" w:hAnsi="Century Schoolbook"/>
        </w:rPr>
      </w:pPr>
    </w:p>
    <w:tbl>
      <w:tblPr>
        <w:tblW w:w="0" w:type="auto"/>
        <w:tblLayout w:type="fixed"/>
        <w:tblLook w:val="0000" w:firstRow="0" w:lastRow="0" w:firstColumn="0" w:lastColumn="0" w:noHBand="0" w:noVBand="0"/>
      </w:tblPr>
      <w:tblGrid>
        <w:gridCol w:w="4680"/>
        <w:gridCol w:w="4680"/>
      </w:tblGrid>
      <w:tr w:rsidR="00C056A4" w14:paraId="12C04521" w14:textId="77777777" w:rsidTr="00D42196">
        <w:tc>
          <w:tcPr>
            <w:tcW w:w="4680" w:type="dxa"/>
            <w:tcBorders>
              <w:right w:val="single" w:sz="4" w:space="0" w:color="auto"/>
            </w:tcBorders>
            <w:shd w:val="clear" w:color="auto" w:fill="auto"/>
          </w:tcPr>
          <w:p w14:paraId="086B4407" w14:textId="00103575" w:rsidR="00124769" w:rsidRPr="004F12A5" w:rsidRDefault="00124769" w:rsidP="00D42196">
            <w:pPr>
              <w:spacing w:after="120" w:line="240" w:lineRule="auto"/>
              <w:rPr>
                <w:rFonts w:ascii="Century Schoolbook" w:hAnsi="Century Schoolbook"/>
              </w:rPr>
            </w:pPr>
          </w:p>
          <w:p w14:paraId="4850F8AC" w14:textId="77777777" w:rsidR="008F5101" w:rsidRPr="004F12A5" w:rsidRDefault="008F5101" w:rsidP="00D42196">
            <w:pPr>
              <w:spacing w:after="120" w:line="240" w:lineRule="auto"/>
              <w:rPr>
                <w:rFonts w:ascii="Century Schoolbook" w:hAnsi="Century Schoolbook"/>
              </w:rPr>
            </w:pPr>
          </w:p>
          <w:p w14:paraId="161D657C" w14:textId="51266080" w:rsidR="00124769" w:rsidRPr="004F12A5" w:rsidRDefault="0064751C" w:rsidP="00D42196">
            <w:pPr>
              <w:spacing w:after="120" w:line="240" w:lineRule="auto"/>
              <w:rPr>
                <w:rFonts w:ascii="Century Schoolbook" w:hAnsi="Century Schoolbook"/>
              </w:rPr>
            </w:pPr>
            <w:r w:rsidRPr="004F12A5">
              <w:rPr>
                <w:rFonts w:ascii="Century Schoolbook" w:hAnsi="Century Schoolbook"/>
              </w:rPr>
              <w:t>PACIFIC FERTILITY CASES</w:t>
            </w:r>
          </w:p>
          <w:p w14:paraId="00CB0E95" w14:textId="02A3B5C3" w:rsidR="00124769" w:rsidRPr="004F12A5" w:rsidRDefault="00124769" w:rsidP="00D42196">
            <w:pPr>
              <w:spacing w:after="120" w:line="240" w:lineRule="auto"/>
              <w:rPr>
                <w:rFonts w:ascii="Century Schoolbook" w:hAnsi="Century Schoolbook"/>
              </w:rPr>
            </w:pPr>
          </w:p>
        </w:tc>
        <w:tc>
          <w:tcPr>
            <w:tcW w:w="4680" w:type="dxa"/>
            <w:tcBorders>
              <w:left w:val="single" w:sz="4" w:space="0" w:color="auto"/>
            </w:tcBorders>
            <w:shd w:val="clear" w:color="auto" w:fill="auto"/>
          </w:tcPr>
          <w:p w14:paraId="23AEA05D" w14:textId="77777777" w:rsidR="00124769" w:rsidRPr="004F12A5" w:rsidRDefault="00124769" w:rsidP="00D42196">
            <w:pPr>
              <w:spacing w:line="240" w:lineRule="auto"/>
              <w:rPr>
                <w:rFonts w:ascii="Century Schoolbook" w:hAnsi="Century Schoolbook"/>
              </w:rPr>
            </w:pPr>
          </w:p>
          <w:p w14:paraId="7D4ADFB1" w14:textId="30CE0AFA" w:rsidR="00124769" w:rsidRPr="004F12A5" w:rsidRDefault="0064751C" w:rsidP="00D42196">
            <w:pPr>
              <w:spacing w:line="240" w:lineRule="auto"/>
              <w:rPr>
                <w:rFonts w:ascii="Century Schoolbook" w:hAnsi="Century Schoolbook"/>
              </w:rPr>
            </w:pPr>
            <w:r w:rsidRPr="004F12A5">
              <w:rPr>
                <w:rFonts w:ascii="Century Schoolbook" w:hAnsi="Century Schoolbook"/>
              </w:rPr>
              <w:t xml:space="preserve">      A</w:t>
            </w:r>
            <w:r w:rsidR="00D63BD6" w:rsidRPr="004F12A5">
              <w:rPr>
                <w:rFonts w:ascii="Century Schoolbook" w:hAnsi="Century Schoolbook"/>
              </w:rPr>
              <w:t>164472</w:t>
            </w:r>
          </w:p>
          <w:p w14:paraId="3C7491EF" w14:textId="77777777" w:rsidR="00124769" w:rsidRPr="004F12A5" w:rsidRDefault="00124769" w:rsidP="00D42196">
            <w:pPr>
              <w:spacing w:line="240" w:lineRule="auto"/>
              <w:rPr>
                <w:rFonts w:ascii="Century Schoolbook" w:hAnsi="Century Schoolbook"/>
              </w:rPr>
            </w:pPr>
          </w:p>
          <w:p w14:paraId="5F0F4D06" w14:textId="37906B55" w:rsidR="00124769" w:rsidRPr="004F12A5" w:rsidRDefault="0064751C" w:rsidP="00D42196">
            <w:pPr>
              <w:spacing w:line="240" w:lineRule="auto"/>
              <w:rPr>
                <w:rFonts w:ascii="Century Schoolbook" w:hAnsi="Century Schoolbook"/>
              </w:rPr>
            </w:pPr>
            <w:r w:rsidRPr="004F12A5">
              <w:rPr>
                <w:rFonts w:ascii="Century Schoolbook" w:hAnsi="Century Schoolbook"/>
              </w:rPr>
              <w:t xml:space="preserve">      (</w:t>
            </w:r>
            <w:r w:rsidR="00946815" w:rsidRPr="004F12A5">
              <w:rPr>
                <w:rFonts w:ascii="Century Schoolbook" w:hAnsi="Century Schoolbook"/>
              </w:rPr>
              <w:t>S</w:t>
            </w:r>
            <w:r w:rsidR="00D63BD6" w:rsidRPr="004F12A5">
              <w:rPr>
                <w:rFonts w:ascii="Century Schoolbook" w:hAnsi="Century Schoolbook"/>
              </w:rPr>
              <w:t xml:space="preserve">an Francisco </w:t>
            </w:r>
            <w:r w:rsidR="0081600F" w:rsidRPr="004F12A5">
              <w:rPr>
                <w:rFonts w:ascii="Century Schoolbook" w:hAnsi="Century Schoolbook"/>
              </w:rPr>
              <w:t xml:space="preserve">City &amp; </w:t>
            </w:r>
            <w:r w:rsidRPr="004F12A5">
              <w:rPr>
                <w:rFonts w:ascii="Century Schoolbook" w:hAnsi="Century Schoolbook"/>
              </w:rPr>
              <w:t>County</w:t>
            </w:r>
            <w:r w:rsidR="009039CE" w:rsidRPr="004F12A5">
              <w:rPr>
                <w:rFonts w:ascii="Century Schoolbook" w:hAnsi="Century Schoolbook"/>
              </w:rPr>
              <w:t xml:space="preserve"> </w:t>
            </w:r>
          </w:p>
          <w:p w14:paraId="5B6026E0" w14:textId="39A33424" w:rsidR="00124769" w:rsidRPr="004F12A5" w:rsidRDefault="0064751C" w:rsidP="008F5101">
            <w:pPr>
              <w:spacing w:line="240" w:lineRule="auto"/>
              <w:ind w:left="434" w:hanging="434"/>
              <w:rPr>
                <w:rFonts w:ascii="Century Schoolbook" w:hAnsi="Century Schoolbook"/>
              </w:rPr>
            </w:pPr>
            <w:r w:rsidRPr="004F12A5">
              <w:rPr>
                <w:rFonts w:ascii="Century Schoolbook" w:hAnsi="Century Schoolbook"/>
              </w:rPr>
              <w:t xml:space="preserve">      </w:t>
            </w:r>
            <w:r w:rsidR="005D0B88" w:rsidRPr="004F12A5">
              <w:rPr>
                <w:rFonts w:ascii="Century Schoolbook" w:hAnsi="Century Schoolbook"/>
              </w:rPr>
              <w:t xml:space="preserve"> </w:t>
            </w:r>
            <w:r w:rsidR="009039CE" w:rsidRPr="004F12A5">
              <w:rPr>
                <w:rFonts w:ascii="Century Schoolbook" w:hAnsi="Century Schoolbook"/>
              </w:rPr>
              <w:t>Super. Ct.</w:t>
            </w:r>
            <w:r w:rsidR="00D20BBA" w:rsidRPr="004F12A5">
              <w:rPr>
                <w:rFonts w:ascii="Century Schoolbook" w:hAnsi="Century Schoolbook"/>
              </w:rPr>
              <w:t xml:space="preserve"> No. CJC-19-005021</w:t>
            </w:r>
            <w:r w:rsidR="00066F38">
              <w:rPr>
                <w:rFonts w:ascii="Century Schoolbook" w:hAnsi="Century Schoolbook"/>
              </w:rPr>
              <w:t>;</w:t>
            </w:r>
            <w:r w:rsidR="001F1D53" w:rsidRPr="004F12A5">
              <w:rPr>
                <w:rFonts w:ascii="Century Schoolbook" w:hAnsi="Century Schoolbook"/>
              </w:rPr>
              <w:t xml:space="preserve"> </w:t>
            </w:r>
            <w:r w:rsidR="00B56920" w:rsidRPr="004F12A5">
              <w:rPr>
                <w:rFonts w:ascii="Century Schoolbook" w:hAnsi="Century Schoolbook"/>
              </w:rPr>
              <w:t>JCCP</w:t>
            </w:r>
            <w:r w:rsidR="00D20BBA" w:rsidRPr="004F12A5">
              <w:rPr>
                <w:rFonts w:ascii="Century Schoolbook" w:hAnsi="Century Schoolbook"/>
              </w:rPr>
              <w:t xml:space="preserve"> No. 5021</w:t>
            </w:r>
            <w:r w:rsidRPr="004F12A5">
              <w:rPr>
                <w:rFonts w:ascii="Century Schoolbook" w:hAnsi="Century Schoolbook"/>
              </w:rPr>
              <w:t>)</w:t>
            </w:r>
          </w:p>
        </w:tc>
      </w:tr>
      <w:tr w:rsidR="00C056A4" w14:paraId="295C21EA" w14:textId="77777777" w:rsidTr="008F5101">
        <w:trPr>
          <w:trHeight w:val="171"/>
        </w:trPr>
        <w:tc>
          <w:tcPr>
            <w:tcW w:w="4680" w:type="dxa"/>
            <w:tcBorders>
              <w:bottom w:val="single" w:sz="4" w:space="0" w:color="auto"/>
              <w:right w:val="single" w:sz="4" w:space="0" w:color="auto"/>
            </w:tcBorders>
            <w:shd w:val="clear" w:color="auto" w:fill="auto"/>
          </w:tcPr>
          <w:p w14:paraId="7528D016" w14:textId="20F73208" w:rsidR="009216C4" w:rsidRPr="0081600F" w:rsidRDefault="009216C4" w:rsidP="00D42196">
            <w:pPr>
              <w:spacing w:after="120" w:line="240" w:lineRule="auto"/>
              <w:rPr>
                <w:rFonts w:ascii="Century Schoolbook" w:hAnsi="Century Schoolbook"/>
              </w:rPr>
            </w:pPr>
          </w:p>
        </w:tc>
        <w:tc>
          <w:tcPr>
            <w:tcW w:w="4680" w:type="dxa"/>
            <w:tcBorders>
              <w:left w:val="single" w:sz="4" w:space="0" w:color="auto"/>
            </w:tcBorders>
            <w:shd w:val="clear" w:color="auto" w:fill="auto"/>
          </w:tcPr>
          <w:p w14:paraId="39C3D8AC" w14:textId="54FC53DF" w:rsidR="00124769" w:rsidRPr="0081600F" w:rsidRDefault="00124769" w:rsidP="00D42196">
            <w:pPr>
              <w:spacing w:line="240" w:lineRule="auto"/>
              <w:rPr>
                <w:rFonts w:ascii="Century Schoolbook" w:hAnsi="Century Schoolbook"/>
              </w:rPr>
            </w:pPr>
          </w:p>
        </w:tc>
      </w:tr>
    </w:tbl>
    <w:p w14:paraId="10412F58" w14:textId="77777777" w:rsidR="00801120" w:rsidRPr="0081600F" w:rsidRDefault="00801120" w:rsidP="00801120">
      <w:pPr>
        <w:spacing w:line="360" w:lineRule="auto"/>
      </w:pPr>
    </w:p>
    <w:p w14:paraId="3E8664B4" w14:textId="28CFAD2F" w:rsidR="005D3434" w:rsidRPr="0081600F" w:rsidRDefault="0064751C" w:rsidP="00801120">
      <w:pPr>
        <w:spacing w:line="360" w:lineRule="auto"/>
        <w:rPr>
          <w:rFonts w:ascii="Century Schoolbook" w:hAnsi="Century Schoolbook"/>
        </w:rPr>
      </w:pPr>
      <w:r w:rsidRPr="0081600F">
        <w:tab/>
      </w:r>
      <w:r w:rsidR="00E6073F" w:rsidRPr="0081600F">
        <w:rPr>
          <w:rFonts w:ascii="Century Schoolbook" w:hAnsi="Century Schoolbook"/>
        </w:rPr>
        <w:t>When one of multiple tortfeasor</w:t>
      </w:r>
      <w:r w:rsidR="007A0218" w:rsidRPr="0081600F">
        <w:rPr>
          <w:rFonts w:ascii="Century Schoolbook" w:hAnsi="Century Schoolbook"/>
        </w:rPr>
        <w:t xml:space="preserve"> defendants</w:t>
      </w:r>
      <w:r w:rsidR="00E6073F" w:rsidRPr="0081600F">
        <w:rPr>
          <w:rFonts w:ascii="Century Schoolbook" w:hAnsi="Century Schoolbook"/>
        </w:rPr>
        <w:t xml:space="preserve"> </w:t>
      </w:r>
      <w:r w:rsidR="00C64308" w:rsidRPr="0081600F">
        <w:rPr>
          <w:rFonts w:ascii="Century Schoolbook" w:hAnsi="Century Schoolbook"/>
        </w:rPr>
        <w:t xml:space="preserve">intends </w:t>
      </w:r>
      <w:r w:rsidRPr="0081600F">
        <w:rPr>
          <w:rFonts w:ascii="Century Schoolbook" w:hAnsi="Century Schoolbook"/>
        </w:rPr>
        <w:t xml:space="preserve">to </w:t>
      </w:r>
      <w:r w:rsidR="00C76885" w:rsidRPr="0081600F">
        <w:rPr>
          <w:rFonts w:ascii="Century Schoolbook" w:hAnsi="Century Schoolbook"/>
        </w:rPr>
        <w:t xml:space="preserve">settle a case before it </w:t>
      </w:r>
      <w:r w:rsidR="00801120" w:rsidRPr="0081600F">
        <w:rPr>
          <w:rFonts w:ascii="Century Schoolbook" w:hAnsi="Century Schoolbook"/>
        </w:rPr>
        <w:t xml:space="preserve">is </w:t>
      </w:r>
      <w:r w:rsidR="00E6073F" w:rsidRPr="0081600F">
        <w:rPr>
          <w:rFonts w:ascii="Century Schoolbook" w:hAnsi="Century Schoolbook"/>
        </w:rPr>
        <w:t xml:space="preserve">resolved against </w:t>
      </w:r>
      <w:r w:rsidR="00CA5BCD" w:rsidRPr="0081600F">
        <w:rPr>
          <w:rFonts w:ascii="Century Schoolbook" w:hAnsi="Century Schoolbook"/>
        </w:rPr>
        <w:t xml:space="preserve">all defendants, the tortfeasor may petition the trial court for a determination that the settlement </w:t>
      </w:r>
      <w:r w:rsidRPr="0081600F">
        <w:rPr>
          <w:rFonts w:ascii="Century Schoolbook" w:hAnsi="Century Schoolbook"/>
        </w:rPr>
        <w:t xml:space="preserve">was </w:t>
      </w:r>
      <w:r w:rsidR="00CA5BCD" w:rsidRPr="0081600F">
        <w:rPr>
          <w:rFonts w:ascii="Century Schoolbook" w:hAnsi="Century Schoolbook"/>
        </w:rPr>
        <w:t>made in good faith.  (Code Civ. Proc.</w:t>
      </w:r>
      <w:r w:rsidR="000E4BD5" w:rsidRPr="0081600F">
        <w:rPr>
          <w:rFonts w:ascii="Century Schoolbook" w:hAnsi="Century Schoolbook"/>
        </w:rPr>
        <w:t>,</w:t>
      </w:r>
      <w:r>
        <w:rPr>
          <w:rStyle w:val="FootnoteReference"/>
          <w:rFonts w:ascii="Century Schoolbook" w:hAnsi="Century Schoolbook"/>
        </w:rPr>
        <w:footnoteReference w:id="1"/>
      </w:r>
      <w:r w:rsidR="00CA5BCD" w:rsidRPr="0081600F">
        <w:rPr>
          <w:rFonts w:ascii="Century Schoolbook" w:hAnsi="Century Schoolbook"/>
        </w:rPr>
        <w:t xml:space="preserve"> § 877.6.)  </w:t>
      </w:r>
      <w:r w:rsidR="00A97AC5" w:rsidRPr="0081600F">
        <w:rPr>
          <w:rFonts w:ascii="Century Schoolbook" w:hAnsi="Century Schoolbook"/>
        </w:rPr>
        <w:t xml:space="preserve">If </w:t>
      </w:r>
      <w:r w:rsidR="00801120" w:rsidRPr="0081600F">
        <w:rPr>
          <w:rFonts w:ascii="Century Schoolbook" w:hAnsi="Century Schoolbook"/>
        </w:rPr>
        <w:t>the court</w:t>
      </w:r>
      <w:r w:rsidR="002740A9" w:rsidRPr="0081600F">
        <w:rPr>
          <w:rFonts w:ascii="Century Schoolbook" w:hAnsi="Century Schoolbook"/>
        </w:rPr>
        <w:t xml:space="preserve"> makes such a determination, </w:t>
      </w:r>
      <w:r w:rsidR="00801120" w:rsidRPr="0081600F">
        <w:rPr>
          <w:rFonts w:ascii="Century Schoolbook" w:hAnsi="Century Schoolbook"/>
        </w:rPr>
        <w:t xml:space="preserve">the </w:t>
      </w:r>
      <w:r w:rsidRPr="0081600F">
        <w:rPr>
          <w:rFonts w:ascii="Century Schoolbook" w:hAnsi="Century Schoolbook"/>
        </w:rPr>
        <w:t xml:space="preserve">other defendants are barred from </w:t>
      </w:r>
      <w:r w:rsidR="00EE5DFC" w:rsidRPr="0081600F">
        <w:rPr>
          <w:rFonts w:ascii="Century Schoolbook" w:hAnsi="Century Schoolbook"/>
        </w:rPr>
        <w:t>obtaining c</w:t>
      </w:r>
      <w:r w:rsidR="00CA5BCD" w:rsidRPr="0081600F">
        <w:rPr>
          <w:rFonts w:ascii="Century Schoolbook" w:hAnsi="Century Schoolbook"/>
        </w:rPr>
        <w:t>ontribution or indemnification</w:t>
      </w:r>
      <w:r w:rsidRPr="0081600F">
        <w:rPr>
          <w:rFonts w:ascii="Century Schoolbook" w:hAnsi="Century Schoolbook"/>
        </w:rPr>
        <w:t xml:space="preserve"> from the settling tortfeasor based on </w:t>
      </w:r>
      <w:r w:rsidR="00EE5DFC" w:rsidRPr="0081600F">
        <w:rPr>
          <w:rFonts w:ascii="Century Schoolbook" w:hAnsi="Century Schoolbook"/>
        </w:rPr>
        <w:t xml:space="preserve">the parties’ </w:t>
      </w:r>
      <w:r w:rsidRPr="0081600F">
        <w:rPr>
          <w:rFonts w:ascii="Century Schoolbook" w:hAnsi="Century Schoolbook"/>
        </w:rPr>
        <w:t>comparative negligence or fault.  (§ 877.6</w:t>
      </w:r>
      <w:r w:rsidR="00BB7F15" w:rsidRPr="0081600F">
        <w:rPr>
          <w:rFonts w:ascii="Century Schoolbook" w:hAnsi="Century Schoolbook"/>
        </w:rPr>
        <w:t xml:space="preserve">, subd. </w:t>
      </w:r>
      <w:r w:rsidRPr="0081600F">
        <w:rPr>
          <w:rFonts w:ascii="Century Schoolbook" w:hAnsi="Century Schoolbook"/>
        </w:rPr>
        <w:t>(c).)</w:t>
      </w:r>
      <w:r w:rsidR="00C76885" w:rsidRPr="0081600F">
        <w:rPr>
          <w:rFonts w:ascii="Century Schoolbook" w:hAnsi="Century Schoolbook"/>
        </w:rPr>
        <w:t xml:space="preserve">  </w:t>
      </w:r>
      <w:r w:rsidR="006579DA" w:rsidRPr="0081600F">
        <w:rPr>
          <w:rFonts w:ascii="Century Schoolbook" w:hAnsi="Century Schoolbook"/>
        </w:rPr>
        <w:t>Th</w:t>
      </w:r>
      <w:r w:rsidR="00C64308" w:rsidRPr="0081600F">
        <w:rPr>
          <w:rFonts w:ascii="Century Schoolbook" w:hAnsi="Century Schoolbook"/>
        </w:rPr>
        <w:t>e</w:t>
      </w:r>
      <w:r w:rsidR="00C76885" w:rsidRPr="0081600F">
        <w:rPr>
          <w:rFonts w:ascii="Century Schoolbook" w:hAnsi="Century Schoolbook"/>
        </w:rPr>
        <w:t xml:space="preserve"> </w:t>
      </w:r>
      <w:r w:rsidR="00C64308" w:rsidRPr="0081600F">
        <w:rPr>
          <w:rFonts w:ascii="Century Schoolbook" w:hAnsi="Century Schoolbook"/>
        </w:rPr>
        <w:t xml:space="preserve">court’s </w:t>
      </w:r>
      <w:r w:rsidR="00C76885" w:rsidRPr="0081600F">
        <w:rPr>
          <w:rFonts w:ascii="Century Schoolbook" w:hAnsi="Century Schoolbook"/>
        </w:rPr>
        <w:t>good faith determination is reviewable by writ of mandate.  (§ 877.6</w:t>
      </w:r>
      <w:r w:rsidR="00BB7F15" w:rsidRPr="0081600F">
        <w:rPr>
          <w:rFonts w:ascii="Century Schoolbook" w:hAnsi="Century Schoolbook"/>
        </w:rPr>
        <w:t xml:space="preserve">, subd. </w:t>
      </w:r>
      <w:r w:rsidR="00C76885" w:rsidRPr="0081600F">
        <w:rPr>
          <w:rFonts w:ascii="Century Schoolbook" w:hAnsi="Century Schoolbook"/>
        </w:rPr>
        <w:t>(e).)</w:t>
      </w:r>
    </w:p>
    <w:p w14:paraId="371BB1CB" w14:textId="7595630D" w:rsidR="000533B7" w:rsidRPr="0081600F" w:rsidRDefault="0064751C" w:rsidP="00801120">
      <w:pPr>
        <w:spacing w:line="360" w:lineRule="auto"/>
        <w:rPr>
          <w:rFonts w:ascii="Century Schoolbook" w:hAnsi="Century Schoolbook"/>
          <w:iCs/>
        </w:rPr>
      </w:pPr>
      <w:r w:rsidRPr="0081600F">
        <w:rPr>
          <w:rFonts w:ascii="Century Schoolbook" w:hAnsi="Century Schoolbook"/>
        </w:rPr>
        <w:tab/>
      </w:r>
      <w:r w:rsidR="003611F6" w:rsidRPr="0081600F">
        <w:rPr>
          <w:rFonts w:ascii="Century Schoolbook" w:hAnsi="Century Schoolbook"/>
        </w:rPr>
        <w:t xml:space="preserve">In this </w:t>
      </w:r>
      <w:r w:rsidR="00C207A8" w:rsidRPr="0081600F">
        <w:rPr>
          <w:rFonts w:ascii="Century Schoolbook" w:hAnsi="Century Schoolbook"/>
        </w:rPr>
        <w:t>case</w:t>
      </w:r>
      <w:r w:rsidR="003611F6" w:rsidRPr="0081600F">
        <w:rPr>
          <w:rFonts w:ascii="Century Schoolbook" w:hAnsi="Century Schoolbook"/>
        </w:rPr>
        <w:t>, we consider w</w:t>
      </w:r>
      <w:r w:rsidR="006A7F87" w:rsidRPr="0081600F">
        <w:rPr>
          <w:rFonts w:ascii="Century Schoolbook" w:hAnsi="Century Schoolbook"/>
        </w:rPr>
        <w:t xml:space="preserve">hether such a determination is also reviewable </w:t>
      </w:r>
      <w:r w:rsidR="00C76885" w:rsidRPr="0081600F">
        <w:rPr>
          <w:rFonts w:ascii="Century Schoolbook" w:hAnsi="Century Schoolbook"/>
        </w:rPr>
        <w:t>in a</w:t>
      </w:r>
      <w:r w:rsidR="00EE749D" w:rsidRPr="0081600F">
        <w:rPr>
          <w:rFonts w:ascii="Century Schoolbook" w:hAnsi="Century Schoolbook"/>
        </w:rPr>
        <w:t xml:space="preserve">n appeal brought by </w:t>
      </w:r>
      <w:r w:rsidR="00C207A8" w:rsidRPr="0081600F">
        <w:rPr>
          <w:rFonts w:ascii="Century Schoolbook" w:hAnsi="Century Schoolbook"/>
        </w:rPr>
        <w:t>a</w:t>
      </w:r>
      <w:r w:rsidR="00EE749D" w:rsidRPr="0081600F">
        <w:rPr>
          <w:rFonts w:ascii="Century Schoolbook" w:hAnsi="Century Schoolbook"/>
        </w:rPr>
        <w:t xml:space="preserve"> nonsettling defendant</w:t>
      </w:r>
      <w:r w:rsidR="006A7F87" w:rsidRPr="0081600F">
        <w:rPr>
          <w:rFonts w:ascii="Century Schoolbook" w:hAnsi="Century Schoolbook"/>
        </w:rPr>
        <w:t xml:space="preserve">.  </w:t>
      </w:r>
      <w:r w:rsidR="002E3FE1" w:rsidRPr="0081600F">
        <w:rPr>
          <w:rFonts w:ascii="Century Schoolbook" w:hAnsi="Century Schoolbook"/>
        </w:rPr>
        <w:t>Respondents Pacific MSO, LLC (Pacific MSO), Prelude Fertility, Inc. (Prelude), Pacific Fertility Center (PFC), Dr. Joseph Conaghan, and individual PFC physicians</w:t>
      </w:r>
      <w:r w:rsidR="000E4BD5" w:rsidRPr="0081600F">
        <w:rPr>
          <w:rFonts w:ascii="Century Schoolbook" w:hAnsi="Century Schoolbook"/>
        </w:rPr>
        <w:t>—</w:t>
      </w:r>
      <w:r w:rsidR="002E3FE1" w:rsidRPr="0081600F">
        <w:rPr>
          <w:rFonts w:ascii="Century Schoolbook" w:hAnsi="Century Schoolbook"/>
        </w:rPr>
        <w:t>a group of defendants</w:t>
      </w:r>
      <w:r w:rsidR="003611F6" w:rsidRPr="0081600F">
        <w:rPr>
          <w:rFonts w:ascii="Century Schoolbook" w:hAnsi="Century Schoolbook"/>
        </w:rPr>
        <w:t xml:space="preserve"> that settled the c</w:t>
      </w:r>
      <w:r w:rsidR="00497003" w:rsidRPr="0081600F">
        <w:rPr>
          <w:rFonts w:ascii="Century Schoolbook" w:hAnsi="Century Schoolbook"/>
        </w:rPr>
        <w:t xml:space="preserve">laims </w:t>
      </w:r>
      <w:r w:rsidR="003611F6" w:rsidRPr="0081600F">
        <w:rPr>
          <w:rFonts w:ascii="Century Schoolbook" w:hAnsi="Century Schoolbook"/>
        </w:rPr>
        <w:t xml:space="preserve">against them </w:t>
      </w:r>
      <w:r w:rsidR="000E4BD5" w:rsidRPr="0081600F">
        <w:rPr>
          <w:rFonts w:ascii="Century Schoolbook" w:hAnsi="Century Schoolbook"/>
        </w:rPr>
        <w:lastRenderedPageBreak/>
        <w:t>(settling defendants)—</w:t>
      </w:r>
      <w:r w:rsidR="002E3FE1" w:rsidRPr="0081600F">
        <w:rPr>
          <w:rFonts w:ascii="Century Schoolbook" w:hAnsi="Century Schoolbook"/>
        </w:rPr>
        <w:t>argu</w:t>
      </w:r>
      <w:r w:rsidR="002A4282" w:rsidRPr="0081600F">
        <w:rPr>
          <w:rFonts w:ascii="Century Schoolbook" w:hAnsi="Century Schoolbook"/>
        </w:rPr>
        <w:t>e</w:t>
      </w:r>
      <w:r w:rsidR="002E3FE1" w:rsidRPr="0081600F">
        <w:rPr>
          <w:rFonts w:ascii="Century Schoolbook" w:hAnsi="Century Schoolbook"/>
        </w:rPr>
        <w:t xml:space="preserve"> that it is not</w:t>
      </w:r>
      <w:r w:rsidR="006A7F87" w:rsidRPr="0081600F">
        <w:rPr>
          <w:rFonts w:ascii="Century Schoolbook" w:hAnsi="Century Schoolbook"/>
        </w:rPr>
        <w:t xml:space="preserve">.  </w:t>
      </w:r>
      <w:r w:rsidR="00195DF8" w:rsidRPr="0081600F">
        <w:rPr>
          <w:rFonts w:ascii="Century Schoolbook" w:hAnsi="Century Schoolbook"/>
        </w:rPr>
        <w:t xml:space="preserve">Appellant </w:t>
      </w:r>
      <w:r w:rsidR="00FA0DBC" w:rsidRPr="0081600F">
        <w:rPr>
          <w:rFonts w:ascii="Century Schoolbook" w:hAnsi="Century Schoolbook"/>
        </w:rPr>
        <w:t>Chart Inc. (Chart)</w:t>
      </w:r>
      <w:r w:rsidR="00195DF8" w:rsidRPr="0081600F">
        <w:rPr>
          <w:rFonts w:ascii="Century Schoolbook" w:hAnsi="Century Schoolbook"/>
        </w:rPr>
        <w:t xml:space="preserve">, a nonsettling defendant, </w:t>
      </w:r>
      <w:r w:rsidR="006A7F87" w:rsidRPr="0081600F">
        <w:rPr>
          <w:rFonts w:ascii="Century Schoolbook" w:hAnsi="Century Schoolbook"/>
        </w:rPr>
        <w:t xml:space="preserve">argues that it is.  </w:t>
      </w:r>
      <w:r w:rsidR="00146788" w:rsidRPr="0081600F">
        <w:rPr>
          <w:rFonts w:ascii="Century Schoolbook" w:hAnsi="Century Schoolbook"/>
        </w:rPr>
        <w:t xml:space="preserve">Addressing </w:t>
      </w:r>
      <w:r w:rsidR="007A0218" w:rsidRPr="0081600F">
        <w:rPr>
          <w:rFonts w:ascii="Century Schoolbook" w:hAnsi="Century Schoolbook"/>
        </w:rPr>
        <w:t>a</w:t>
      </w:r>
      <w:r w:rsidR="00FC7987" w:rsidRPr="0081600F">
        <w:rPr>
          <w:rFonts w:ascii="Century Schoolbook" w:hAnsi="Century Schoolbook"/>
        </w:rPr>
        <w:t xml:space="preserve"> </w:t>
      </w:r>
      <w:r w:rsidR="000C727D" w:rsidRPr="0081600F">
        <w:rPr>
          <w:rFonts w:ascii="Century Schoolbook" w:hAnsi="Century Schoolbook"/>
        </w:rPr>
        <w:t xml:space="preserve">split in the </w:t>
      </w:r>
      <w:r w:rsidR="00350B54" w:rsidRPr="0081600F">
        <w:rPr>
          <w:rFonts w:ascii="Century Schoolbook" w:hAnsi="Century Schoolbook"/>
        </w:rPr>
        <w:t>C</w:t>
      </w:r>
      <w:r w:rsidR="000C727D" w:rsidRPr="0081600F">
        <w:rPr>
          <w:rFonts w:ascii="Century Schoolbook" w:hAnsi="Century Schoolbook"/>
        </w:rPr>
        <w:t xml:space="preserve">ourts of </w:t>
      </w:r>
      <w:r w:rsidR="00350B54" w:rsidRPr="0081600F">
        <w:rPr>
          <w:rFonts w:ascii="Century Schoolbook" w:hAnsi="Century Schoolbook"/>
        </w:rPr>
        <w:t>A</w:t>
      </w:r>
      <w:r w:rsidR="000C727D" w:rsidRPr="0081600F">
        <w:rPr>
          <w:rFonts w:ascii="Century Schoolbook" w:hAnsi="Century Schoolbook"/>
        </w:rPr>
        <w:t xml:space="preserve">ppeal </w:t>
      </w:r>
      <w:r w:rsidR="00146788" w:rsidRPr="0081600F">
        <w:rPr>
          <w:rFonts w:ascii="Century Schoolbook" w:hAnsi="Century Schoolbook"/>
        </w:rPr>
        <w:t>on th</w:t>
      </w:r>
      <w:r w:rsidR="0045292D" w:rsidRPr="0081600F">
        <w:rPr>
          <w:rFonts w:ascii="Century Schoolbook" w:hAnsi="Century Schoolbook"/>
        </w:rPr>
        <w:t>e</w:t>
      </w:r>
      <w:r w:rsidR="00146788" w:rsidRPr="0081600F">
        <w:rPr>
          <w:rFonts w:ascii="Century Schoolbook" w:hAnsi="Century Schoolbook"/>
        </w:rPr>
        <w:t xml:space="preserve"> issue, we </w:t>
      </w:r>
      <w:r w:rsidR="00FC7987" w:rsidRPr="0081600F">
        <w:rPr>
          <w:rFonts w:ascii="Century Schoolbook" w:hAnsi="Century Schoolbook"/>
        </w:rPr>
        <w:t xml:space="preserve">reaffirm a </w:t>
      </w:r>
      <w:r w:rsidR="007A0218" w:rsidRPr="0081600F">
        <w:rPr>
          <w:rFonts w:ascii="Century Schoolbook" w:hAnsi="Century Schoolbook"/>
        </w:rPr>
        <w:t>decades-old decision of</w:t>
      </w:r>
      <w:r w:rsidR="00FC7987" w:rsidRPr="0081600F">
        <w:rPr>
          <w:rFonts w:ascii="Century Schoolbook" w:hAnsi="Century Schoolbook"/>
        </w:rPr>
        <w:t xml:space="preserve"> this division</w:t>
      </w:r>
      <w:r w:rsidR="00207F4B" w:rsidRPr="0081600F">
        <w:rPr>
          <w:rFonts w:ascii="Century Schoolbook" w:hAnsi="Century Schoolbook"/>
        </w:rPr>
        <w:t xml:space="preserve"> </w:t>
      </w:r>
      <w:r w:rsidR="007F4436" w:rsidRPr="0081600F">
        <w:rPr>
          <w:rFonts w:ascii="Century Schoolbook" w:hAnsi="Century Schoolbook"/>
        </w:rPr>
        <w:t xml:space="preserve">summarily concluding </w:t>
      </w:r>
      <w:r w:rsidR="005A1B13" w:rsidRPr="0081600F">
        <w:rPr>
          <w:rFonts w:ascii="Century Schoolbook" w:hAnsi="Century Schoolbook"/>
        </w:rPr>
        <w:t xml:space="preserve">that a </w:t>
      </w:r>
      <w:r w:rsidRPr="0081600F">
        <w:rPr>
          <w:rFonts w:ascii="Century Schoolbook" w:hAnsi="Century Schoolbook"/>
        </w:rPr>
        <w:t xml:space="preserve">good faith settlement determination </w:t>
      </w:r>
      <w:r w:rsidR="00BE363E" w:rsidRPr="0081600F">
        <w:rPr>
          <w:rFonts w:ascii="Century Schoolbook" w:hAnsi="Century Schoolbook"/>
        </w:rPr>
        <w:t xml:space="preserve">is </w:t>
      </w:r>
      <w:r w:rsidRPr="0081600F">
        <w:rPr>
          <w:rFonts w:ascii="Century Schoolbook" w:hAnsi="Century Schoolbook"/>
        </w:rPr>
        <w:t>review</w:t>
      </w:r>
      <w:r w:rsidR="007A0218" w:rsidRPr="0081600F">
        <w:rPr>
          <w:rFonts w:ascii="Century Schoolbook" w:hAnsi="Century Schoolbook"/>
        </w:rPr>
        <w:t xml:space="preserve">able </w:t>
      </w:r>
      <w:r w:rsidRPr="0081600F">
        <w:rPr>
          <w:rFonts w:ascii="Century Schoolbook" w:hAnsi="Century Schoolbook"/>
        </w:rPr>
        <w:t>only by a timely petition for writ of mandate</w:t>
      </w:r>
      <w:r w:rsidR="00DD7EBD">
        <w:rPr>
          <w:rFonts w:ascii="Century Schoolbook" w:hAnsi="Century Schoolbook"/>
        </w:rPr>
        <w:t xml:space="preserve"> in accordance with section 877.6</w:t>
      </w:r>
      <w:r w:rsidRPr="0081600F">
        <w:rPr>
          <w:rFonts w:ascii="Century Schoolbook" w:hAnsi="Century Schoolbook"/>
        </w:rPr>
        <w:t>.  (</w:t>
      </w:r>
      <w:r w:rsidRPr="0081600F">
        <w:rPr>
          <w:rFonts w:ascii="Century Schoolbook" w:hAnsi="Century Schoolbook"/>
          <w:i/>
          <w:iCs/>
        </w:rPr>
        <w:t>Housing Group v. Superior Court</w:t>
      </w:r>
      <w:r w:rsidRPr="0081600F">
        <w:rPr>
          <w:rFonts w:ascii="Century Schoolbook" w:hAnsi="Century Schoolbook"/>
        </w:rPr>
        <w:t xml:space="preserve"> </w:t>
      </w:r>
      <w:r w:rsidRPr="0081600F">
        <w:rPr>
          <w:rFonts w:ascii="Century Schoolbook" w:hAnsi="Century Schoolbook"/>
          <w:iCs/>
        </w:rPr>
        <w:t>(1994) 24 Cal.A</w:t>
      </w:r>
      <w:r w:rsidRPr="0081600F">
        <w:rPr>
          <w:rFonts w:ascii="Century Schoolbook" w:hAnsi="Century Schoolbook"/>
          <w:iCs/>
        </w:rPr>
        <w:t>pp.4th 549, 552 (</w:t>
      </w:r>
      <w:r w:rsidRPr="0081600F">
        <w:rPr>
          <w:rFonts w:ascii="Century Schoolbook" w:hAnsi="Century Schoolbook"/>
          <w:i/>
          <w:iCs/>
        </w:rPr>
        <w:t>Housing Group</w:t>
      </w:r>
      <w:r w:rsidRPr="0081600F">
        <w:rPr>
          <w:rFonts w:ascii="Century Schoolbook" w:hAnsi="Century Schoolbook"/>
          <w:iCs/>
        </w:rPr>
        <w:t>).)</w:t>
      </w:r>
      <w:r w:rsidR="000E4BD5" w:rsidRPr="0081600F">
        <w:rPr>
          <w:rFonts w:ascii="Century Schoolbook" w:hAnsi="Century Schoolbook"/>
          <w:iCs/>
        </w:rPr>
        <w:t xml:space="preserve">  We therefore dismiss the appeal.</w:t>
      </w:r>
    </w:p>
    <w:p w14:paraId="7180FA37" w14:textId="77777777" w:rsidR="006A5912" w:rsidRPr="0081600F" w:rsidRDefault="0064751C" w:rsidP="004B60F3">
      <w:pPr>
        <w:pStyle w:val="Heading"/>
      </w:pPr>
      <w:r w:rsidRPr="0081600F">
        <w:t>I.</w:t>
      </w:r>
    </w:p>
    <w:p w14:paraId="2F830F74" w14:textId="21E88D49" w:rsidR="00383EC6" w:rsidRPr="0081600F" w:rsidRDefault="0064751C" w:rsidP="004B60F3">
      <w:pPr>
        <w:pStyle w:val="Heading"/>
      </w:pPr>
      <w:r w:rsidRPr="0081600F">
        <w:t>BACKGROUND</w:t>
      </w:r>
    </w:p>
    <w:p w14:paraId="19CE7945" w14:textId="4B2BBE76" w:rsidR="00EA50D2" w:rsidRPr="0081600F" w:rsidRDefault="0064751C" w:rsidP="00473CA5">
      <w:pPr>
        <w:pStyle w:val="Text"/>
        <w:ind w:firstLine="0"/>
      </w:pPr>
      <w:r w:rsidRPr="0081600F">
        <w:rPr>
          <w:iCs/>
        </w:rPr>
        <w:tab/>
      </w:r>
      <w:r w:rsidR="00764B9E" w:rsidRPr="0081600F">
        <w:t>These coordinated proceedings ar</w:t>
      </w:r>
      <w:r w:rsidR="00697D1B" w:rsidRPr="0081600F">
        <w:t>o</w:t>
      </w:r>
      <w:r w:rsidR="00764B9E" w:rsidRPr="0081600F">
        <w:t xml:space="preserve">se </w:t>
      </w:r>
      <w:r w:rsidR="00697D1B" w:rsidRPr="0081600F">
        <w:t xml:space="preserve">following the failure in 2018 of a </w:t>
      </w:r>
      <w:r w:rsidR="00A84E91" w:rsidRPr="0081600F">
        <w:t>cryo</w:t>
      </w:r>
      <w:r w:rsidR="000148A2" w:rsidRPr="0081600F">
        <w:t xml:space="preserve">genic </w:t>
      </w:r>
      <w:r w:rsidR="00A84E91" w:rsidRPr="0081600F">
        <w:t>storage tank</w:t>
      </w:r>
      <w:r w:rsidR="002C70DD" w:rsidRPr="0081600F">
        <w:t xml:space="preserve">, which was </w:t>
      </w:r>
      <w:r w:rsidR="00A84E91" w:rsidRPr="0081600F">
        <w:t xml:space="preserve">manufactured by Chart and used by PFC, a San Francisco fertility clinic, to </w:t>
      </w:r>
      <w:r w:rsidR="00710EFC" w:rsidRPr="0081600F">
        <w:t xml:space="preserve">store </w:t>
      </w:r>
      <w:r w:rsidR="00A84E91" w:rsidRPr="0081600F">
        <w:t>patients’ reproductive material</w:t>
      </w:r>
      <w:r w:rsidR="00764B9E" w:rsidRPr="0081600F">
        <w:t xml:space="preserve">. </w:t>
      </w:r>
      <w:r w:rsidRPr="0081600F">
        <w:t xml:space="preserve"> </w:t>
      </w:r>
      <w:r w:rsidR="00E104F7" w:rsidRPr="0081600F">
        <w:t xml:space="preserve">During the </w:t>
      </w:r>
      <w:r w:rsidR="00EE749D" w:rsidRPr="0081600F">
        <w:t xml:space="preserve">failure, </w:t>
      </w:r>
      <w:r w:rsidR="00853D3A" w:rsidRPr="0081600F">
        <w:t>the tank</w:t>
      </w:r>
      <w:r w:rsidR="00E104F7" w:rsidRPr="0081600F">
        <w:t>’</w:t>
      </w:r>
      <w:r w:rsidR="00853D3A" w:rsidRPr="0081600F">
        <w:t xml:space="preserve">s nitrogen levels dropped, </w:t>
      </w:r>
      <w:r w:rsidR="00E104F7" w:rsidRPr="0081600F">
        <w:t xml:space="preserve">causing the temperature to rise and </w:t>
      </w:r>
      <w:r w:rsidR="00853D3A" w:rsidRPr="0081600F">
        <w:t>potentially endanger</w:t>
      </w:r>
      <w:r w:rsidR="007846A3" w:rsidRPr="0081600F">
        <w:t>ing</w:t>
      </w:r>
      <w:r w:rsidR="00853D3A" w:rsidRPr="0081600F">
        <w:t xml:space="preserve"> the eggs and embryos stored inside.  </w:t>
      </w:r>
      <w:r w:rsidR="00186A8C" w:rsidRPr="0081600F">
        <w:t xml:space="preserve">PFC patients and others affected by the </w:t>
      </w:r>
      <w:r w:rsidR="00577308" w:rsidRPr="0081600F">
        <w:t>tank</w:t>
      </w:r>
      <w:r w:rsidR="00697D1B" w:rsidRPr="0081600F">
        <w:t>’s</w:t>
      </w:r>
      <w:r w:rsidR="00577308" w:rsidRPr="0081600F">
        <w:t xml:space="preserve"> failure</w:t>
      </w:r>
      <w:r w:rsidR="00186A8C" w:rsidRPr="0081600F">
        <w:t xml:space="preserve"> </w:t>
      </w:r>
      <w:r w:rsidRPr="0081600F">
        <w:t>sought recourse, resulting in hundreds of claims in federal and state courts and arbitration proceedings.</w:t>
      </w:r>
    </w:p>
    <w:p w14:paraId="1564CD92" w14:textId="435ED74B" w:rsidR="00186A8C" w:rsidRPr="0081600F" w:rsidRDefault="0064751C" w:rsidP="00C20536">
      <w:pPr>
        <w:pStyle w:val="Text"/>
        <w:ind w:firstLine="0"/>
      </w:pPr>
      <w:r w:rsidRPr="0081600F">
        <w:tab/>
        <w:t>A putative class action was first filed in federal court</w:t>
      </w:r>
      <w:r w:rsidR="00BA3DF5" w:rsidRPr="0081600F">
        <w:t xml:space="preserve"> against PFC, Prelude, </w:t>
      </w:r>
      <w:r w:rsidR="001E4D66" w:rsidRPr="0081600F">
        <w:t>Pacific MSO</w:t>
      </w:r>
      <w:r w:rsidR="00E262C6" w:rsidRPr="0081600F">
        <w:t>,</w:t>
      </w:r>
      <w:r w:rsidR="001E4D66" w:rsidRPr="0081600F">
        <w:t xml:space="preserve"> </w:t>
      </w:r>
      <w:r w:rsidR="00BA3DF5" w:rsidRPr="0081600F">
        <w:t>and Chart</w:t>
      </w:r>
      <w:r w:rsidRPr="0081600F">
        <w:t>.</w:t>
      </w:r>
      <w:r>
        <w:rPr>
          <w:rStyle w:val="FootnoteReference"/>
        </w:rPr>
        <w:footnoteReference w:id="2"/>
      </w:r>
      <w:r w:rsidRPr="0081600F">
        <w:t xml:space="preserve">  (See </w:t>
      </w:r>
      <w:r w:rsidRPr="0081600F">
        <w:rPr>
          <w:i/>
          <w:iCs/>
        </w:rPr>
        <w:t xml:space="preserve">In </w:t>
      </w:r>
      <w:r w:rsidR="00181865">
        <w:rPr>
          <w:i/>
          <w:iCs/>
        </w:rPr>
        <w:t>r</w:t>
      </w:r>
      <w:r w:rsidRPr="0081600F">
        <w:rPr>
          <w:i/>
          <w:iCs/>
        </w:rPr>
        <w:t>e Pacific Fertility Center Litigation</w:t>
      </w:r>
      <w:r w:rsidRPr="0081600F">
        <w:t xml:space="preserve"> </w:t>
      </w:r>
      <w:r w:rsidR="00D25D27" w:rsidRPr="0081600F">
        <w:t xml:space="preserve">(N.D.Cal., </w:t>
      </w:r>
      <w:r w:rsidR="00D25D27">
        <w:t>c</w:t>
      </w:r>
      <w:r w:rsidRPr="0081600F">
        <w:t>ase No. 3:18-cv-01586</w:t>
      </w:r>
      <w:r w:rsidR="00D25D27">
        <w:t>)</w:t>
      </w:r>
      <w:r w:rsidRPr="0081600F">
        <w:t xml:space="preserve"> filed May 30, 2018</w:t>
      </w:r>
      <w:r w:rsidR="00577308" w:rsidRPr="0081600F">
        <w:t>.</w:t>
      </w:r>
      <w:r w:rsidRPr="0081600F">
        <w:t>)</w:t>
      </w:r>
      <w:r w:rsidR="00577308" w:rsidRPr="0081600F">
        <w:t xml:space="preserve">  </w:t>
      </w:r>
      <w:r w:rsidRPr="0081600F">
        <w:t xml:space="preserve">As a result of motions to compel arbitration, and an </w:t>
      </w:r>
      <w:r w:rsidR="00CD08D8" w:rsidRPr="0081600F">
        <w:t xml:space="preserve">ensuing </w:t>
      </w:r>
      <w:r w:rsidRPr="0081600F">
        <w:t>appeal to the Ninth Circuit</w:t>
      </w:r>
      <w:r w:rsidR="00C207A8" w:rsidRPr="0081600F">
        <w:t xml:space="preserve"> Court of Appeals</w:t>
      </w:r>
      <w:r w:rsidRPr="0081600F">
        <w:t xml:space="preserve">, claims against Chart proceeded in federal court </w:t>
      </w:r>
      <w:r w:rsidR="00CD08D8" w:rsidRPr="0081600F">
        <w:t xml:space="preserve">while claims </w:t>
      </w:r>
      <w:r w:rsidRPr="0081600F">
        <w:t xml:space="preserve">against the remaining defendants proceeded in arbitration.  </w:t>
      </w:r>
      <w:r w:rsidR="00226CF9" w:rsidRPr="0081600F">
        <w:t>T</w:t>
      </w:r>
      <w:r w:rsidRPr="0081600F">
        <w:t>he district court</w:t>
      </w:r>
      <w:r w:rsidR="00C20536" w:rsidRPr="0081600F">
        <w:t>, however,</w:t>
      </w:r>
      <w:r w:rsidRPr="0081600F">
        <w:t xml:space="preserve"> denied the plaintiffs’ motion for class certification.  As </w:t>
      </w:r>
      <w:r w:rsidRPr="0081600F">
        <w:lastRenderedPageBreak/>
        <w:t xml:space="preserve">a result, nearly 150 </w:t>
      </w:r>
      <w:r w:rsidR="000A4AFF" w:rsidRPr="0081600F">
        <w:t xml:space="preserve">individual </w:t>
      </w:r>
      <w:r w:rsidRPr="0081600F">
        <w:t>lawsuits agai</w:t>
      </w:r>
      <w:r w:rsidRPr="0081600F">
        <w:t xml:space="preserve">nst </w:t>
      </w:r>
      <w:r w:rsidR="00DC4E6F" w:rsidRPr="0081600F">
        <w:t>Chart</w:t>
      </w:r>
      <w:r w:rsidRPr="0081600F">
        <w:t xml:space="preserve"> </w:t>
      </w:r>
      <w:r w:rsidR="00616462" w:rsidRPr="0081600F">
        <w:t>were pending in federal court</w:t>
      </w:r>
      <w:r w:rsidRPr="0081600F">
        <w:t xml:space="preserve">. </w:t>
      </w:r>
    </w:p>
    <w:p w14:paraId="1E941F2E" w14:textId="66D9E055" w:rsidR="00764B9E" w:rsidRPr="0081600F" w:rsidRDefault="0064751C" w:rsidP="001E4D66">
      <w:pPr>
        <w:pStyle w:val="Text"/>
        <w:ind w:firstLine="0"/>
      </w:pPr>
      <w:r w:rsidRPr="0081600F">
        <w:tab/>
        <w:t xml:space="preserve">The first </w:t>
      </w:r>
      <w:r w:rsidR="00C20536" w:rsidRPr="0081600F">
        <w:t xml:space="preserve">federal </w:t>
      </w:r>
      <w:r w:rsidRPr="0081600F">
        <w:t>bellwether trial was conducted in mid-2021</w:t>
      </w:r>
      <w:r w:rsidR="00AB2AB4" w:rsidRPr="0081600F">
        <w:t>, resulting in a jury verdict against Chart</w:t>
      </w:r>
      <w:r w:rsidRPr="0081600F">
        <w:t>.</w:t>
      </w:r>
      <w:r>
        <w:rPr>
          <w:rStyle w:val="FootnoteReference"/>
        </w:rPr>
        <w:footnoteReference w:id="3"/>
      </w:r>
      <w:r w:rsidRPr="0081600F">
        <w:t xml:space="preserve">  The jury found that </w:t>
      </w:r>
      <w:r w:rsidR="00E262C6" w:rsidRPr="0081600F">
        <w:t>the cryo</w:t>
      </w:r>
      <w:r w:rsidR="000A4AFF" w:rsidRPr="0081600F">
        <w:t xml:space="preserve">genic </w:t>
      </w:r>
      <w:r w:rsidR="00E262C6" w:rsidRPr="0081600F">
        <w:t xml:space="preserve">storage tank had </w:t>
      </w:r>
      <w:r w:rsidRPr="0081600F">
        <w:t>a manufacturing defect and failed to perform as safely</w:t>
      </w:r>
      <w:r w:rsidRPr="0081600F">
        <w:t xml:space="preserve"> </w:t>
      </w:r>
      <w:r w:rsidR="00E52E46" w:rsidRPr="0081600F">
        <w:t xml:space="preserve">as </w:t>
      </w:r>
      <w:r w:rsidRPr="0081600F">
        <w:t xml:space="preserve">expected.  </w:t>
      </w:r>
      <w:r w:rsidR="0065650D" w:rsidRPr="0081600F">
        <w:t>It also</w:t>
      </w:r>
      <w:r w:rsidR="001F298B" w:rsidRPr="0081600F">
        <w:t xml:space="preserve"> concluded that the </w:t>
      </w:r>
      <w:r w:rsidR="00254D86" w:rsidRPr="0081600F">
        <w:t>tank’s design</w:t>
      </w:r>
      <w:r w:rsidRPr="0081600F">
        <w:t xml:space="preserve"> w</w:t>
      </w:r>
      <w:r w:rsidR="00254D86" w:rsidRPr="0081600F">
        <w:t>as</w:t>
      </w:r>
      <w:r w:rsidRPr="0081600F">
        <w:t xml:space="preserve"> </w:t>
      </w:r>
      <w:r w:rsidR="00254D86" w:rsidRPr="0081600F">
        <w:t xml:space="preserve">a </w:t>
      </w:r>
      <w:r w:rsidRPr="0081600F">
        <w:t>substantial factor in causing harm to</w:t>
      </w:r>
      <w:r w:rsidR="00C207A8" w:rsidRPr="0081600F">
        <w:t xml:space="preserve"> the</w:t>
      </w:r>
      <w:r w:rsidRPr="0081600F">
        <w:t xml:space="preserve"> plaintiffs. </w:t>
      </w:r>
      <w:r w:rsidR="00254D86" w:rsidRPr="0081600F">
        <w:t xml:space="preserve"> The jury apportioned </w:t>
      </w:r>
      <w:r w:rsidR="00C207A8" w:rsidRPr="0081600F">
        <w:t xml:space="preserve">90 percent of </w:t>
      </w:r>
      <w:r w:rsidR="00BA120C" w:rsidRPr="0081600F">
        <w:t xml:space="preserve">the </w:t>
      </w:r>
      <w:r w:rsidR="00254D86" w:rsidRPr="0081600F">
        <w:t>liability</w:t>
      </w:r>
      <w:r w:rsidR="00C207A8" w:rsidRPr="0081600F">
        <w:t xml:space="preserve"> to</w:t>
      </w:r>
      <w:r w:rsidR="00254D86" w:rsidRPr="0081600F">
        <w:t xml:space="preserve"> Chart and 10 percent to PFC. </w:t>
      </w:r>
    </w:p>
    <w:p w14:paraId="7948143A" w14:textId="7DC68461" w:rsidR="00186A8C" w:rsidRPr="0081600F" w:rsidRDefault="0064751C" w:rsidP="00C13842">
      <w:pPr>
        <w:pStyle w:val="Text"/>
        <w:ind w:firstLine="0"/>
      </w:pPr>
      <w:r w:rsidRPr="0081600F">
        <w:tab/>
      </w:r>
      <w:r w:rsidR="00781A0E" w:rsidRPr="0081600F">
        <w:t>In the meantime,</w:t>
      </w:r>
      <w:r w:rsidR="00DD2738" w:rsidRPr="0081600F">
        <w:t xml:space="preserve"> </w:t>
      </w:r>
      <w:r w:rsidR="00781A0E" w:rsidRPr="0081600F">
        <w:t>c</w:t>
      </w:r>
      <w:r w:rsidRPr="0081600F">
        <w:t xml:space="preserve">laimants not involved in the federal litigation filed 60 individual lawsuits in California state courts against PFC, Pacific MSO, Prelude, and Chart, </w:t>
      </w:r>
      <w:r w:rsidR="00BA120C" w:rsidRPr="0081600F">
        <w:t xml:space="preserve">and those lawsuits </w:t>
      </w:r>
      <w:r w:rsidRPr="0081600F">
        <w:t xml:space="preserve">were coordinated into these proceedings.  </w:t>
      </w:r>
      <w:r w:rsidR="00FC5170" w:rsidRPr="0081600F">
        <w:t>Arbitration was compelled for c</w:t>
      </w:r>
      <w:r w:rsidR="00EA50D2" w:rsidRPr="0081600F">
        <w:t xml:space="preserve">laims against </w:t>
      </w:r>
      <w:r w:rsidR="00C13842" w:rsidRPr="0081600F">
        <w:t>PFC</w:t>
      </w:r>
      <w:r w:rsidR="003551B1" w:rsidRPr="0081600F">
        <w:t xml:space="preserve"> but not the other defendants</w:t>
      </w:r>
      <w:r w:rsidR="00FC5170" w:rsidRPr="0081600F">
        <w:t xml:space="preserve">.  </w:t>
      </w:r>
      <w:r w:rsidR="00137165" w:rsidRPr="0081600F">
        <w:t xml:space="preserve">All told, approximately 260 </w:t>
      </w:r>
      <w:r w:rsidR="00FC5170" w:rsidRPr="0081600F">
        <w:t>claims were</w:t>
      </w:r>
      <w:r w:rsidR="00CD08D8" w:rsidRPr="0081600F">
        <w:t xml:space="preserve"> pending in </w:t>
      </w:r>
      <w:r w:rsidR="00FC5170" w:rsidRPr="0081600F">
        <w:t>arbitration</w:t>
      </w:r>
      <w:r w:rsidR="00CD08D8" w:rsidRPr="0081600F">
        <w:t xml:space="preserve"> pro</w:t>
      </w:r>
      <w:r w:rsidR="003551B1" w:rsidRPr="0081600F">
        <w:t>c</w:t>
      </w:r>
      <w:r w:rsidR="00CD08D8" w:rsidRPr="0081600F">
        <w:t>eedings</w:t>
      </w:r>
      <w:r w:rsidR="00137165" w:rsidRPr="0081600F">
        <w:t xml:space="preserve">.  </w:t>
      </w:r>
    </w:p>
    <w:p w14:paraId="4B0F90D1" w14:textId="0A7E5E18" w:rsidR="00191DA8" w:rsidRPr="0081600F" w:rsidRDefault="0064751C" w:rsidP="00764B9E">
      <w:pPr>
        <w:pStyle w:val="Text"/>
        <w:ind w:firstLine="0"/>
      </w:pPr>
      <w:r w:rsidRPr="0081600F">
        <w:tab/>
      </w:r>
      <w:r w:rsidR="00514858" w:rsidRPr="0081600F">
        <w:t xml:space="preserve">After 18 months of settlement negotiations and mediation, extensive written discovery, depositions, laboratory inspections, tests on the failed </w:t>
      </w:r>
      <w:r w:rsidR="00E262C6" w:rsidRPr="0081600F">
        <w:t>cryo</w:t>
      </w:r>
      <w:r w:rsidR="0065650D" w:rsidRPr="0081600F">
        <w:t xml:space="preserve">genic </w:t>
      </w:r>
      <w:r w:rsidR="00E262C6" w:rsidRPr="0081600F">
        <w:t>storage tank</w:t>
      </w:r>
      <w:r w:rsidR="00514858" w:rsidRPr="0081600F">
        <w:t xml:space="preserve">, and </w:t>
      </w:r>
      <w:r w:rsidR="007F4436" w:rsidRPr="0081600F">
        <w:t xml:space="preserve">additional </w:t>
      </w:r>
      <w:r w:rsidR="00514858" w:rsidRPr="0081600F">
        <w:t>trials in federal court, t</w:t>
      </w:r>
      <w:r w:rsidRPr="0081600F">
        <w:t xml:space="preserve">he </w:t>
      </w:r>
      <w:r w:rsidR="002C447F" w:rsidRPr="0081600F">
        <w:t>s</w:t>
      </w:r>
      <w:r w:rsidRPr="0081600F">
        <w:t xml:space="preserve">ettling </w:t>
      </w:r>
      <w:r w:rsidR="002C447F" w:rsidRPr="0081600F">
        <w:t>d</w:t>
      </w:r>
      <w:r w:rsidRPr="0081600F">
        <w:t>efendants reached a</w:t>
      </w:r>
      <w:r w:rsidR="003551B1" w:rsidRPr="0081600F">
        <w:t xml:space="preserve">n agreement </w:t>
      </w:r>
      <w:r w:rsidR="00544E4C" w:rsidRPr="0081600F">
        <w:t xml:space="preserve">to resolve </w:t>
      </w:r>
      <w:r w:rsidR="003551B1" w:rsidRPr="0081600F">
        <w:t>the c</w:t>
      </w:r>
      <w:r w:rsidR="00C55176" w:rsidRPr="0081600F">
        <w:t xml:space="preserve">laims against them in </w:t>
      </w:r>
      <w:r w:rsidR="00544E4C" w:rsidRPr="0081600F">
        <w:t xml:space="preserve">all courts and arbitration proceedings. </w:t>
      </w:r>
      <w:r w:rsidR="00FC5170" w:rsidRPr="0081600F">
        <w:t xml:space="preserve"> </w:t>
      </w:r>
      <w:r w:rsidR="001507D8" w:rsidRPr="0081600F">
        <w:t>The agreement was expressly conditioned on final court approval of the settlement</w:t>
      </w:r>
      <w:r w:rsidR="00BA120C" w:rsidRPr="0081600F">
        <w:t>’s good faith</w:t>
      </w:r>
      <w:r w:rsidR="001507D8" w:rsidRPr="0081600F">
        <w:t xml:space="preserve">.  </w:t>
      </w:r>
      <w:r w:rsidR="003551B1" w:rsidRPr="0081600F">
        <w:t xml:space="preserve">The </w:t>
      </w:r>
      <w:r w:rsidR="001507D8" w:rsidRPr="0081600F">
        <w:t xml:space="preserve">settling defendants </w:t>
      </w:r>
      <w:r w:rsidRPr="0081600F">
        <w:t>moved for a good faith settlement determination under section 877.6</w:t>
      </w:r>
      <w:r w:rsidR="003551B1" w:rsidRPr="0081600F">
        <w:t>, and the</w:t>
      </w:r>
      <w:r w:rsidR="00BA120C" w:rsidRPr="0081600F">
        <w:t xml:space="preserve"> trial court granted the</w:t>
      </w:r>
      <w:r w:rsidR="003551B1" w:rsidRPr="0081600F">
        <w:t xml:space="preserve"> motion in November 2021</w:t>
      </w:r>
      <w:r w:rsidRPr="0081600F">
        <w:t>.</w:t>
      </w:r>
      <w:r w:rsidR="003551B1" w:rsidRPr="0081600F">
        <w:t xml:space="preserve"> </w:t>
      </w:r>
      <w:bookmarkStart w:id="1" w:name="_Hlk101261630"/>
      <w:r w:rsidR="0003205B" w:rsidRPr="0081600F">
        <w:t xml:space="preserve"> </w:t>
      </w:r>
      <w:bookmarkEnd w:id="1"/>
      <w:r w:rsidR="00EA7DB2" w:rsidRPr="0081600F">
        <w:t>T</w:t>
      </w:r>
      <w:r w:rsidR="00544E4C" w:rsidRPr="0081600F">
        <w:t xml:space="preserve">he </w:t>
      </w:r>
      <w:r w:rsidR="00DD2738" w:rsidRPr="0081600F">
        <w:t xml:space="preserve">court </w:t>
      </w:r>
      <w:r w:rsidR="00EA7DB2" w:rsidRPr="0081600F">
        <w:t xml:space="preserve">also stated that it was </w:t>
      </w:r>
      <w:r w:rsidR="00DD2738" w:rsidRPr="0081600F">
        <w:rPr>
          <w:rFonts w:eastAsia="Times New Roman"/>
        </w:rPr>
        <w:t>dismiss</w:t>
      </w:r>
      <w:r w:rsidR="00EA7DB2" w:rsidRPr="0081600F">
        <w:rPr>
          <w:rFonts w:eastAsia="Times New Roman"/>
        </w:rPr>
        <w:t>ing</w:t>
      </w:r>
      <w:r w:rsidR="00DD2738" w:rsidRPr="0081600F">
        <w:rPr>
          <w:rFonts w:eastAsia="Times New Roman"/>
        </w:rPr>
        <w:t xml:space="preserve"> with prejudice </w:t>
      </w:r>
      <w:r w:rsidR="00D43868" w:rsidRPr="0081600F">
        <w:rPr>
          <w:rFonts w:eastAsia="Times New Roman"/>
        </w:rPr>
        <w:t>“[a]</w:t>
      </w:r>
      <w:r w:rsidR="00DD2738" w:rsidRPr="0081600F">
        <w:rPr>
          <w:rFonts w:eastAsia="Times New Roman"/>
        </w:rPr>
        <w:t>ll existing cross-</w:t>
      </w:r>
      <w:r w:rsidR="00DD2738" w:rsidRPr="0081600F">
        <w:rPr>
          <w:rFonts w:eastAsia="Times New Roman"/>
        </w:rPr>
        <w:lastRenderedPageBreak/>
        <w:t>complaints</w:t>
      </w:r>
      <w:r w:rsidR="00D43868" w:rsidRPr="0081600F">
        <w:rPr>
          <w:rFonts w:eastAsia="Times New Roman"/>
        </w:rPr>
        <w:t>” for equitable indemnity or contribution</w:t>
      </w:r>
      <w:r w:rsidR="00DD2738" w:rsidRPr="0081600F">
        <w:rPr>
          <w:rFonts w:eastAsia="Times New Roman"/>
        </w:rPr>
        <w:t xml:space="preserve"> against the settling defendants.</w:t>
      </w:r>
      <w:r w:rsidR="0065650D" w:rsidRPr="0081600F">
        <w:t xml:space="preserve"> </w:t>
      </w:r>
    </w:p>
    <w:p w14:paraId="7E6E7C5C" w14:textId="2FD78B75" w:rsidR="00CA1D8A" w:rsidRPr="0081600F" w:rsidRDefault="0064751C" w:rsidP="001034A9">
      <w:pPr>
        <w:pStyle w:val="Text"/>
        <w:ind w:firstLine="0"/>
      </w:pPr>
      <w:r w:rsidRPr="0081600F">
        <w:tab/>
      </w:r>
      <w:r w:rsidR="000F0566" w:rsidRPr="0081600F">
        <w:t xml:space="preserve">In December 2021, </w:t>
      </w:r>
      <w:r w:rsidR="00C877E0" w:rsidRPr="0081600F">
        <w:t xml:space="preserve">Chart filed a petition for writ of mandate in this court </w:t>
      </w:r>
      <w:r w:rsidR="00544E4C" w:rsidRPr="0081600F">
        <w:t>to challenge</w:t>
      </w:r>
      <w:r w:rsidR="00C877E0" w:rsidRPr="0081600F">
        <w:t xml:space="preserve"> the trial court’s good faith settlement determination. </w:t>
      </w:r>
      <w:r w:rsidR="00910D18" w:rsidRPr="0081600F">
        <w:t xml:space="preserve"> </w:t>
      </w:r>
      <w:r w:rsidR="000F0566" w:rsidRPr="0081600F">
        <w:t xml:space="preserve">The following month, </w:t>
      </w:r>
      <w:r w:rsidR="00910D18" w:rsidRPr="0081600F">
        <w:t>we denied the petition</w:t>
      </w:r>
      <w:r w:rsidR="00544E4C" w:rsidRPr="0081600F">
        <w:t>.</w:t>
      </w:r>
      <w:r w:rsidR="00C877E0" w:rsidRPr="0081600F">
        <w:t xml:space="preserve"> </w:t>
      </w:r>
      <w:r w:rsidR="00910D18" w:rsidRPr="0081600F">
        <w:t xml:space="preserve"> </w:t>
      </w:r>
      <w:r w:rsidR="007F4436" w:rsidRPr="0081600F">
        <w:t xml:space="preserve">In </w:t>
      </w:r>
      <w:r w:rsidR="00C35D27" w:rsidRPr="0081600F">
        <w:t xml:space="preserve">April 2022, </w:t>
      </w:r>
      <w:r w:rsidR="00BA120C" w:rsidRPr="0081600F">
        <w:t>our state</w:t>
      </w:r>
      <w:r w:rsidR="00C35D27" w:rsidRPr="0081600F">
        <w:t xml:space="preserve"> Supreme Court denied Chart’s petition for review</w:t>
      </w:r>
      <w:r w:rsidR="007F4436" w:rsidRPr="0081600F">
        <w:t xml:space="preserve"> of </w:t>
      </w:r>
      <w:r w:rsidR="00C35D27" w:rsidRPr="0081600F">
        <w:t xml:space="preserve">our denial of </w:t>
      </w:r>
      <w:r w:rsidR="007F4436" w:rsidRPr="0081600F">
        <w:t xml:space="preserve">the </w:t>
      </w:r>
      <w:r w:rsidR="00C35D27" w:rsidRPr="0081600F">
        <w:t xml:space="preserve">writ petition. </w:t>
      </w:r>
      <w:r w:rsidR="00184833" w:rsidRPr="00184833">
        <w:t>(</w:t>
      </w:r>
      <w:r w:rsidR="00184833" w:rsidRPr="00184833">
        <w:rPr>
          <w:i/>
          <w:iCs/>
        </w:rPr>
        <w:t>Chart Inc. v. Superior Court</w:t>
      </w:r>
      <w:r w:rsidR="00184833" w:rsidRPr="00184833">
        <w:t>, review denied Apr. 13, 2022, S272985.)</w:t>
      </w:r>
    </w:p>
    <w:p w14:paraId="55C3740F" w14:textId="10D2F50A" w:rsidR="00FD5CA1" w:rsidRPr="0081600F" w:rsidRDefault="0064751C" w:rsidP="001034A9">
      <w:pPr>
        <w:pStyle w:val="Text"/>
        <w:ind w:firstLine="0"/>
      </w:pPr>
      <w:r w:rsidRPr="0081600F">
        <w:tab/>
        <w:t>Meanwhile, on January 21, 202</w:t>
      </w:r>
      <w:r w:rsidRPr="0081600F">
        <w:t xml:space="preserve">2, two days after we denied its writ petition, Chart filed a notice of appeal from the order determining the settlement was in good faith.  The settling defendants then moved to dismiss the appeal. </w:t>
      </w:r>
    </w:p>
    <w:p w14:paraId="6EE24039" w14:textId="77777777" w:rsidR="006A5912" w:rsidRPr="0081600F" w:rsidRDefault="0064751C" w:rsidP="00E435A9">
      <w:pPr>
        <w:pStyle w:val="ISubheading"/>
        <w:keepNext/>
        <w:numPr>
          <w:ilvl w:val="0"/>
          <w:numId w:val="0"/>
        </w:numPr>
        <w:jc w:val="center"/>
        <w:rPr>
          <w:i w:val="0"/>
          <w:iCs/>
        </w:rPr>
      </w:pPr>
      <w:r w:rsidRPr="0081600F">
        <w:rPr>
          <w:i w:val="0"/>
          <w:iCs/>
        </w:rPr>
        <w:t>II.</w:t>
      </w:r>
    </w:p>
    <w:p w14:paraId="7DF8E78B" w14:textId="502ED72A" w:rsidR="00E435A9" w:rsidRPr="0081600F" w:rsidRDefault="0064751C" w:rsidP="00E435A9">
      <w:pPr>
        <w:pStyle w:val="ISubheading"/>
        <w:keepNext/>
        <w:numPr>
          <w:ilvl w:val="0"/>
          <w:numId w:val="0"/>
        </w:numPr>
        <w:jc w:val="center"/>
        <w:rPr>
          <w:i w:val="0"/>
          <w:iCs/>
        </w:rPr>
      </w:pPr>
      <w:r w:rsidRPr="0081600F">
        <w:rPr>
          <w:i w:val="0"/>
          <w:iCs/>
        </w:rPr>
        <w:t>DISCUSSION</w:t>
      </w:r>
    </w:p>
    <w:p w14:paraId="098E0DBF" w14:textId="276AE29A" w:rsidR="00063C05" w:rsidRPr="0081600F" w:rsidRDefault="0064751C" w:rsidP="005309C7">
      <w:pPr>
        <w:pStyle w:val="ISubheading"/>
        <w:keepNext/>
        <w:numPr>
          <w:ilvl w:val="0"/>
          <w:numId w:val="0"/>
        </w:numPr>
      </w:pPr>
      <w:r w:rsidRPr="0081600F">
        <w:rPr>
          <w:i w:val="0"/>
          <w:iCs/>
        </w:rPr>
        <w:tab/>
      </w:r>
      <w:r w:rsidR="00DD2738" w:rsidRPr="0081600F">
        <w:rPr>
          <w:b w:val="0"/>
          <w:bCs w:val="0"/>
          <w:i w:val="0"/>
          <w:iCs/>
        </w:rPr>
        <w:t xml:space="preserve">In </w:t>
      </w:r>
      <w:r w:rsidR="00FD5CA1" w:rsidRPr="0081600F">
        <w:rPr>
          <w:b w:val="0"/>
          <w:bCs w:val="0"/>
          <w:i w:val="0"/>
          <w:iCs/>
        </w:rPr>
        <w:t>arguing that the appeal must be dismissed, the</w:t>
      </w:r>
      <w:r w:rsidR="005C2282" w:rsidRPr="0081600F">
        <w:rPr>
          <w:b w:val="0"/>
          <w:bCs w:val="0"/>
          <w:i w:val="0"/>
          <w:iCs/>
        </w:rPr>
        <w:t xml:space="preserve"> settling defendants </w:t>
      </w:r>
      <w:r w:rsidR="00DD2738" w:rsidRPr="0081600F">
        <w:rPr>
          <w:b w:val="0"/>
          <w:bCs w:val="0"/>
          <w:i w:val="0"/>
          <w:iCs/>
        </w:rPr>
        <w:t xml:space="preserve">cite </w:t>
      </w:r>
      <w:r w:rsidR="00FD5CA1" w:rsidRPr="0081600F">
        <w:rPr>
          <w:b w:val="0"/>
          <w:bCs w:val="0"/>
          <w:i w:val="0"/>
          <w:iCs/>
        </w:rPr>
        <w:t>this division’s</w:t>
      </w:r>
      <w:r w:rsidR="00E146A7" w:rsidRPr="0081600F">
        <w:rPr>
          <w:b w:val="0"/>
          <w:bCs w:val="0"/>
          <w:i w:val="0"/>
          <w:iCs/>
        </w:rPr>
        <w:t xml:space="preserve"> conclusion t</w:t>
      </w:r>
      <w:r w:rsidR="005C2282" w:rsidRPr="0081600F">
        <w:rPr>
          <w:b w:val="0"/>
          <w:bCs w:val="0"/>
          <w:i w:val="0"/>
          <w:iCs/>
        </w:rPr>
        <w:t xml:space="preserve">hat </w:t>
      </w:r>
      <w:r w:rsidR="005B1813" w:rsidRPr="0081600F">
        <w:rPr>
          <w:b w:val="0"/>
          <w:bCs w:val="0"/>
          <w:i w:val="0"/>
          <w:iCs/>
        </w:rPr>
        <w:t>“[t]he determination of the good faith of a settlement may only be reviewed by a timely petition for writ of mandate.”</w:t>
      </w:r>
      <w:r w:rsidR="00C92662">
        <w:rPr>
          <w:b w:val="0"/>
          <w:bCs w:val="0"/>
          <w:i w:val="0"/>
          <w:iCs/>
        </w:rPr>
        <w:t xml:space="preserve">  </w:t>
      </w:r>
      <w:r w:rsidR="005B1813" w:rsidRPr="0081600F">
        <w:rPr>
          <w:b w:val="0"/>
          <w:bCs w:val="0"/>
          <w:i w:val="0"/>
          <w:iCs/>
        </w:rPr>
        <w:t>(</w:t>
      </w:r>
      <w:r w:rsidR="00227E29" w:rsidRPr="0081600F">
        <w:rPr>
          <w:b w:val="0"/>
          <w:bCs w:val="0"/>
        </w:rPr>
        <w:t>Housing Group</w:t>
      </w:r>
      <w:r w:rsidR="00227E29" w:rsidRPr="00A0072B">
        <w:rPr>
          <w:b w:val="0"/>
          <w:bCs w:val="0"/>
          <w:i w:val="0"/>
          <w:iCs/>
        </w:rPr>
        <w:t>,</w:t>
      </w:r>
      <w:r w:rsidR="00227E29" w:rsidRPr="0081600F">
        <w:rPr>
          <w:b w:val="0"/>
          <w:bCs w:val="0"/>
        </w:rPr>
        <w:t xml:space="preserve"> supra</w:t>
      </w:r>
      <w:r w:rsidR="00227E29" w:rsidRPr="00A0072B">
        <w:rPr>
          <w:b w:val="0"/>
          <w:bCs w:val="0"/>
          <w:i w:val="0"/>
          <w:iCs/>
        </w:rPr>
        <w:t>,</w:t>
      </w:r>
      <w:r w:rsidR="005B1813" w:rsidRPr="0081600F">
        <w:rPr>
          <w:b w:val="0"/>
          <w:bCs w:val="0"/>
          <w:i w:val="0"/>
          <w:iCs/>
        </w:rPr>
        <w:t xml:space="preserve"> </w:t>
      </w:r>
      <w:r w:rsidR="00227E29" w:rsidRPr="0081600F">
        <w:rPr>
          <w:b w:val="0"/>
          <w:bCs w:val="0"/>
          <w:i w:val="0"/>
          <w:iCs/>
        </w:rPr>
        <w:t xml:space="preserve">24 Cal.App.4th at p. </w:t>
      </w:r>
      <w:r w:rsidR="005B1813" w:rsidRPr="0081600F">
        <w:rPr>
          <w:b w:val="0"/>
          <w:bCs w:val="0"/>
          <w:i w:val="0"/>
          <w:iCs/>
        </w:rPr>
        <w:t>552</w:t>
      </w:r>
      <w:r w:rsidR="005C2282" w:rsidRPr="0081600F">
        <w:rPr>
          <w:b w:val="0"/>
          <w:bCs w:val="0"/>
          <w:i w:val="0"/>
          <w:iCs/>
        </w:rPr>
        <w:t xml:space="preserve">.)  </w:t>
      </w:r>
      <w:r w:rsidR="00DD2738" w:rsidRPr="0081600F">
        <w:rPr>
          <w:b w:val="0"/>
          <w:bCs w:val="0"/>
          <w:i w:val="0"/>
          <w:iCs/>
        </w:rPr>
        <w:t>And t</w:t>
      </w:r>
      <w:r w:rsidR="005C2282" w:rsidRPr="0081600F">
        <w:rPr>
          <w:b w:val="0"/>
          <w:bCs w:val="0"/>
          <w:i w:val="0"/>
          <w:iCs/>
        </w:rPr>
        <w:t xml:space="preserve">hey point to subsequent </w:t>
      </w:r>
      <w:r w:rsidR="009F46D2" w:rsidRPr="0081600F">
        <w:rPr>
          <w:b w:val="0"/>
          <w:bCs w:val="0"/>
          <w:i w:val="0"/>
          <w:iCs/>
        </w:rPr>
        <w:t xml:space="preserve">appellate </w:t>
      </w:r>
      <w:r w:rsidR="005C2282" w:rsidRPr="0081600F">
        <w:rPr>
          <w:b w:val="0"/>
          <w:bCs w:val="0"/>
          <w:i w:val="0"/>
          <w:iCs/>
        </w:rPr>
        <w:t xml:space="preserve">decisions </w:t>
      </w:r>
      <w:r w:rsidR="004A1940" w:rsidRPr="0081600F">
        <w:rPr>
          <w:b w:val="0"/>
          <w:bCs w:val="0"/>
          <w:i w:val="0"/>
          <w:iCs/>
        </w:rPr>
        <w:t xml:space="preserve">agreeing with that </w:t>
      </w:r>
      <w:r w:rsidR="007F4436" w:rsidRPr="0081600F">
        <w:rPr>
          <w:b w:val="0"/>
          <w:bCs w:val="0"/>
          <w:i w:val="0"/>
          <w:iCs/>
        </w:rPr>
        <w:t>conclusion</w:t>
      </w:r>
      <w:r w:rsidR="005C2282" w:rsidRPr="0081600F">
        <w:rPr>
          <w:b w:val="0"/>
          <w:bCs w:val="0"/>
          <w:i w:val="0"/>
          <w:iCs/>
        </w:rPr>
        <w:t xml:space="preserve">.  (See </w:t>
      </w:r>
      <w:r w:rsidR="00401DB3" w:rsidRPr="0081600F">
        <w:rPr>
          <w:b w:val="0"/>
          <w:bCs w:val="0"/>
        </w:rPr>
        <w:t xml:space="preserve">O’Hearn v. Hillcrest Gym &amp; Fitness </w:t>
      </w:r>
      <w:r w:rsidR="00C92662">
        <w:rPr>
          <w:b w:val="0"/>
          <w:bCs w:val="0"/>
        </w:rPr>
        <w:t>Center</w:t>
      </w:r>
      <w:r w:rsidR="00401DB3" w:rsidRPr="0081600F">
        <w:rPr>
          <w:b w:val="0"/>
          <w:bCs w:val="0"/>
        </w:rPr>
        <w:t>, Inc.</w:t>
      </w:r>
      <w:r w:rsidR="00401DB3" w:rsidRPr="0081600F">
        <w:rPr>
          <w:b w:val="0"/>
          <w:bCs w:val="0"/>
          <w:i w:val="0"/>
          <w:iCs/>
        </w:rPr>
        <w:t xml:space="preserve"> (2004) 115 Cal.App.4th</w:t>
      </w:r>
      <w:r w:rsidR="005B1813" w:rsidRPr="0081600F">
        <w:rPr>
          <w:b w:val="0"/>
          <w:bCs w:val="0"/>
          <w:i w:val="0"/>
          <w:iCs/>
        </w:rPr>
        <w:t xml:space="preserve"> </w:t>
      </w:r>
      <w:r w:rsidR="00401DB3" w:rsidRPr="0081600F">
        <w:rPr>
          <w:b w:val="0"/>
          <w:bCs w:val="0"/>
          <w:i w:val="0"/>
          <w:iCs/>
        </w:rPr>
        <w:t>491,</w:t>
      </w:r>
      <w:r w:rsidR="00233369" w:rsidRPr="0081600F">
        <w:rPr>
          <w:b w:val="0"/>
          <w:bCs w:val="0"/>
          <w:i w:val="0"/>
          <w:iCs/>
        </w:rPr>
        <w:t xml:space="preserve"> 499 </w:t>
      </w:r>
      <w:r w:rsidRPr="0081600F">
        <w:rPr>
          <w:b w:val="0"/>
          <w:bCs w:val="0"/>
          <w:i w:val="0"/>
          <w:iCs/>
        </w:rPr>
        <w:t>(</w:t>
      </w:r>
      <w:r w:rsidRPr="0081600F">
        <w:rPr>
          <w:b w:val="0"/>
          <w:bCs w:val="0"/>
        </w:rPr>
        <w:t>O’Hearn</w:t>
      </w:r>
      <w:r w:rsidRPr="0081600F">
        <w:rPr>
          <w:b w:val="0"/>
          <w:bCs w:val="0"/>
          <w:i w:val="0"/>
          <w:iCs/>
        </w:rPr>
        <w:t>)</w:t>
      </w:r>
      <w:r w:rsidR="001E2CCE" w:rsidRPr="0081600F">
        <w:rPr>
          <w:b w:val="0"/>
          <w:bCs w:val="0"/>
          <w:i w:val="0"/>
          <w:iCs/>
        </w:rPr>
        <w:t xml:space="preserve">; </w:t>
      </w:r>
      <w:r w:rsidRPr="0081600F">
        <w:rPr>
          <w:b w:val="0"/>
          <w:bCs w:val="0"/>
        </w:rPr>
        <w:t>Main Fiber Prod</w:t>
      </w:r>
      <w:r w:rsidR="0077387E" w:rsidRPr="0081600F">
        <w:rPr>
          <w:b w:val="0"/>
          <w:bCs w:val="0"/>
        </w:rPr>
        <w:t>uct</w:t>
      </w:r>
      <w:r w:rsidRPr="0081600F">
        <w:rPr>
          <w:b w:val="0"/>
          <w:bCs w:val="0"/>
        </w:rPr>
        <w:t>s, Inc. v. Morgan &amp; Franz Ins. Agency</w:t>
      </w:r>
      <w:r w:rsidRPr="0081600F">
        <w:rPr>
          <w:b w:val="0"/>
          <w:bCs w:val="0"/>
          <w:i w:val="0"/>
          <w:iCs/>
        </w:rPr>
        <w:t xml:space="preserve"> (1999) 73 Cal.App.4th</w:t>
      </w:r>
      <w:r w:rsidR="00401DB3" w:rsidRPr="0081600F">
        <w:rPr>
          <w:b w:val="0"/>
          <w:bCs w:val="0"/>
          <w:i w:val="0"/>
          <w:iCs/>
        </w:rPr>
        <w:t xml:space="preserve"> </w:t>
      </w:r>
      <w:r w:rsidRPr="0081600F">
        <w:rPr>
          <w:b w:val="0"/>
          <w:bCs w:val="0"/>
          <w:i w:val="0"/>
          <w:iCs/>
        </w:rPr>
        <w:t>1130, 1136 (</w:t>
      </w:r>
      <w:r w:rsidRPr="0081600F">
        <w:rPr>
          <w:b w:val="0"/>
          <w:bCs w:val="0"/>
        </w:rPr>
        <w:t>Main Fiber</w:t>
      </w:r>
      <w:r w:rsidR="00CA1D8A" w:rsidRPr="0081600F">
        <w:rPr>
          <w:b w:val="0"/>
          <w:bCs w:val="0"/>
          <w:i w:val="0"/>
          <w:iCs/>
        </w:rPr>
        <w:t>)</w:t>
      </w:r>
      <w:r w:rsidR="00711953" w:rsidRPr="0081600F">
        <w:rPr>
          <w:b w:val="0"/>
          <w:bCs w:val="0"/>
          <w:i w:val="0"/>
          <w:iCs/>
        </w:rPr>
        <w:t xml:space="preserve">.)  </w:t>
      </w:r>
      <w:r w:rsidR="006F1BB4" w:rsidRPr="0081600F">
        <w:rPr>
          <w:b w:val="0"/>
          <w:bCs w:val="0"/>
          <w:i w:val="0"/>
          <w:iCs/>
        </w:rPr>
        <w:t>Chart, in contrast,</w:t>
      </w:r>
      <w:r w:rsidR="00711953" w:rsidRPr="0081600F">
        <w:rPr>
          <w:b w:val="0"/>
          <w:bCs w:val="0"/>
        </w:rPr>
        <w:t xml:space="preserve"> </w:t>
      </w:r>
      <w:r w:rsidR="00CD1EF1" w:rsidRPr="0081600F">
        <w:rPr>
          <w:b w:val="0"/>
          <w:bCs w:val="0"/>
          <w:i w:val="0"/>
          <w:iCs/>
        </w:rPr>
        <w:t xml:space="preserve">cites </w:t>
      </w:r>
      <w:r w:rsidR="00F51C62" w:rsidRPr="0081600F">
        <w:rPr>
          <w:b w:val="0"/>
          <w:bCs w:val="0"/>
          <w:i w:val="0"/>
          <w:iCs/>
        </w:rPr>
        <w:t xml:space="preserve">cases </w:t>
      </w:r>
      <w:r w:rsidR="00584FE4" w:rsidRPr="0081600F">
        <w:rPr>
          <w:b w:val="0"/>
          <w:bCs w:val="0"/>
          <w:i w:val="0"/>
          <w:iCs/>
        </w:rPr>
        <w:t>holding that</w:t>
      </w:r>
      <w:r w:rsidR="005C2282" w:rsidRPr="0081600F">
        <w:rPr>
          <w:b w:val="0"/>
          <w:bCs w:val="0"/>
          <w:i w:val="0"/>
          <w:iCs/>
        </w:rPr>
        <w:t xml:space="preserve">, </w:t>
      </w:r>
      <w:r w:rsidR="00E25C1C" w:rsidRPr="0081600F">
        <w:rPr>
          <w:b w:val="0"/>
          <w:bCs w:val="0"/>
          <w:i w:val="0"/>
          <w:iCs/>
        </w:rPr>
        <w:t xml:space="preserve">while </w:t>
      </w:r>
      <w:r w:rsidR="00CD1EF1" w:rsidRPr="0081600F">
        <w:rPr>
          <w:b w:val="0"/>
          <w:bCs w:val="0"/>
          <w:i w:val="0"/>
          <w:iCs/>
        </w:rPr>
        <w:t xml:space="preserve">a good faith settlement determination </w:t>
      </w:r>
      <w:r w:rsidR="00D80770" w:rsidRPr="0081600F">
        <w:rPr>
          <w:b w:val="0"/>
          <w:bCs w:val="0"/>
        </w:rPr>
        <w:t>may</w:t>
      </w:r>
      <w:r w:rsidR="00D80770" w:rsidRPr="0081600F">
        <w:rPr>
          <w:b w:val="0"/>
          <w:bCs w:val="0"/>
          <w:i w:val="0"/>
          <w:iCs/>
        </w:rPr>
        <w:t xml:space="preserve"> be reviewed</w:t>
      </w:r>
      <w:r w:rsidR="00E25C1C" w:rsidRPr="0081600F">
        <w:rPr>
          <w:b w:val="0"/>
          <w:bCs w:val="0"/>
          <w:i w:val="0"/>
          <w:iCs/>
        </w:rPr>
        <w:t xml:space="preserve"> </w:t>
      </w:r>
      <w:r w:rsidR="00D80770" w:rsidRPr="0081600F">
        <w:rPr>
          <w:b w:val="0"/>
          <w:bCs w:val="0"/>
          <w:i w:val="0"/>
          <w:iCs/>
        </w:rPr>
        <w:t>by writ of mandate</w:t>
      </w:r>
      <w:r w:rsidR="001F53C3" w:rsidRPr="0081600F">
        <w:rPr>
          <w:b w:val="0"/>
          <w:bCs w:val="0"/>
          <w:i w:val="0"/>
          <w:iCs/>
        </w:rPr>
        <w:t xml:space="preserve"> in accordance with section 877.6, subdivision (e),</w:t>
      </w:r>
      <w:r w:rsidR="00D80770" w:rsidRPr="0081600F">
        <w:rPr>
          <w:b w:val="0"/>
          <w:bCs w:val="0"/>
          <w:i w:val="0"/>
          <w:iCs/>
        </w:rPr>
        <w:t xml:space="preserve"> </w:t>
      </w:r>
      <w:r w:rsidR="00E25C1C" w:rsidRPr="0081600F">
        <w:rPr>
          <w:b w:val="0"/>
          <w:bCs w:val="0"/>
          <w:i w:val="0"/>
          <w:iCs/>
        </w:rPr>
        <w:t>it</w:t>
      </w:r>
      <w:r w:rsidR="00BA2F46" w:rsidRPr="0081600F">
        <w:rPr>
          <w:b w:val="0"/>
          <w:bCs w:val="0"/>
          <w:i w:val="0"/>
          <w:iCs/>
        </w:rPr>
        <w:t xml:space="preserve"> </w:t>
      </w:r>
      <w:r w:rsidR="0041409B" w:rsidRPr="0081600F">
        <w:rPr>
          <w:b w:val="0"/>
          <w:bCs w:val="0"/>
          <w:i w:val="0"/>
          <w:iCs/>
        </w:rPr>
        <w:t>may</w:t>
      </w:r>
      <w:r w:rsidR="00BA2F46" w:rsidRPr="0081600F">
        <w:rPr>
          <w:b w:val="0"/>
          <w:bCs w:val="0"/>
          <w:i w:val="0"/>
          <w:iCs/>
        </w:rPr>
        <w:t xml:space="preserve"> </w:t>
      </w:r>
      <w:r w:rsidR="00E25C1C" w:rsidRPr="0081600F">
        <w:rPr>
          <w:b w:val="0"/>
          <w:bCs w:val="0"/>
          <w:i w:val="0"/>
          <w:iCs/>
        </w:rPr>
        <w:t>a</w:t>
      </w:r>
      <w:r w:rsidR="00D36357" w:rsidRPr="0081600F">
        <w:rPr>
          <w:b w:val="0"/>
          <w:bCs w:val="0"/>
          <w:i w:val="0"/>
          <w:iCs/>
        </w:rPr>
        <w:t>lso</w:t>
      </w:r>
      <w:r w:rsidR="00BA2F46" w:rsidRPr="0081600F">
        <w:rPr>
          <w:b w:val="0"/>
          <w:bCs w:val="0"/>
          <w:i w:val="0"/>
          <w:iCs/>
        </w:rPr>
        <w:t xml:space="preserve"> </w:t>
      </w:r>
      <w:r w:rsidR="0041409B" w:rsidRPr="0081600F">
        <w:rPr>
          <w:b w:val="0"/>
          <w:bCs w:val="0"/>
          <w:i w:val="0"/>
          <w:iCs/>
        </w:rPr>
        <w:t xml:space="preserve">be </w:t>
      </w:r>
      <w:r w:rsidR="00E25C1C" w:rsidRPr="0081600F">
        <w:rPr>
          <w:b w:val="0"/>
          <w:bCs w:val="0"/>
          <w:i w:val="0"/>
          <w:iCs/>
        </w:rPr>
        <w:t>review</w:t>
      </w:r>
      <w:r w:rsidR="0041409B" w:rsidRPr="0081600F">
        <w:rPr>
          <w:b w:val="0"/>
          <w:bCs w:val="0"/>
          <w:i w:val="0"/>
          <w:iCs/>
        </w:rPr>
        <w:t>ed</w:t>
      </w:r>
      <w:r w:rsidR="00E25C1C" w:rsidRPr="0081600F">
        <w:rPr>
          <w:b w:val="0"/>
          <w:bCs w:val="0"/>
          <w:i w:val="0"/>
          <w:iCs/>
        </w:rPr>
        <w:t xml:space="preserve"> </w:t>
      </w:r>
      <w:r w:rsidR="00B6213D" w:rsidRPr="0081600F">
        <w:rPr>
          <w:b w:val="0"/>
          <w:bCs w:val="0"/>
          <w:i w:val="0"/>
          <w:iCs/>
        </w:rPr>
        <w:t>in an</w:t>
      </w:r>
      <w:r w:rsidR="00CD1EF1" w:rsidRPr="0081600F">
        <w:rPr>
          <w:b w:val="0"/>
          <w:bCs w:val="0"/>
          <w:i w:val="0"/>
          <w:iCs/>
        </w:rPr>
        <w:t xml:space="preserve"> appeal from </w:t>
      </w:r>
      <w:r w:rsidR="00267BD3" w:rsidRPr="0081600F">
        <w:rPr>
          <w:b w:val="0"/>
          <w:bCs w:val="0"/>
          <w:i w:val="0"/>
          <w:iCs/>
        </w:rPr>
        <w:t>a</w:t>
      </w:r>
      <w:r w:rsidR="00CD1EF1" w:rsidRPr="0081600F">
        <w:rPr>
          <w:b w:val="0"/>
          <w:bCs w:val="0"/>
          <w:i w:val="0"/>
          <w:iCs/>
        </w:rPr>
        <w:t xml:space="preserve"> </w:t>
      </w:r>
      <w:r w:rsidR="000F6FBF" w:rsidRPr="0081600F">
        <w:rPr>
          <w:b w:val="0"/>
          <w:bCs w:val="0"/>
          <w:i w:val="0"/>
          <w:iCs/>
        </w:rPr>
        <w:t xml:space="preserve">final </w:t>
      </w:r>
      <w:r w:rsidR="00CD1EF1" w:rsidRPr="0081600F">
        <w:rPr>
          <w:b w:val="0"/>
          <w:bCs w:val="0"/>
          <w:i w:val="0"/>
          <w:iCs/>
        </w:rPr>
        <w:t>judgment.</w:t>
      </w:r>
      <w:r w:rsidR="005B35E4" w:rsidRPr="0081600F">
        <w:rPr>
          <w:b w:val="0"/>
          <w:bCs w:val="0"/>
          <w:i w:val="0"/>
          <w:iCs/>
        </w:rPr>
        <w:t xml:space="preserve"> </w:t>
      </w:r>
      <w:r w:rsidR="00F641BA" w:rsidRPr="0081600F">
        <w:rPr>
          <w:b w:val="0"/>
          <w:bCs w:val="0"/>
          <w:i w:val="0"/>
          <w:iCs/>
        </w:rPr>
        <w:t xml:space="preserve"> </w:t>
      </w:r>
      <w:r w:rsidR="00CD1EF1" w:rsidRPr="0081600F">
        <w:rPr>
          <w:b w:val="0"/>
          <w:bCs w:val="0"/>
          <w:i w:val="0"/>
          <w:iCs/>
        </w:rPr>
        <w:t>(</w:t>
      </w:r>
      <w:bookmarkStart w:id="2" w:name="_Hlk101262492"/>
      <w:r w:rsidR="00DB6B01" w:rsidRPr="0081600F">
        <w:rPr>
          <w:b w:val="0"/>
          <w:bCs w:val="0"/>
        </w:rPr>
        <w:t>Cahill</w:t>
      </w:r>
      <w:r w:rsidR="006E1699" w:rsidRPr="004844E3">
        <w:rPr>
          <w:b w:val="0"/>
          <w:bCs w:val="0"/>
        </w:rPr>
        <w:t xml:space="preserve"> v. San Diego Gas &amp; Electric Co.</w:t>
      </w:r>
      <w:r w:rsidR="006E1699" w:rsidRPr="006E1699">
        <w:rPr>
          <w:b w:val="0"/>
          <w:bCs w:val="0"/>
          <w:i w:val="0"/>
          <w:iCs/>
        </w:rPr>
        <w:t xml:space="preserve"> (2011)</w:t>
      </w:r>
      <w:r w:rsidR="00DB6B01" w:rsidRPr="0081600F">
        <w:rPr>
          <w:b w:val="0"/>
          <w:bCs w:val="0"/>
        </w:rPr>
        <w:t xml:space="preserve"> </w:t>
      </w:r>
      <w:r w:rsidR="00DB6B01" w:rsidRPr="0081600F">
        <w:rPr>
          <w:b w:val="0"/>
          <w:bCs w:val="0"/>
          <w:i w:val="0"/>
          <w:iCs/>
        </w:rPr>
        <w:t>194</w:t>
      </w:r>
      <w:r w:rsidR="00644DBE" w:rsidRPr="0081600F">
        <w:rPr>
          <w:b w:val="0"/>
          <w:bCs w:val="0"/>
          <w:i w:val="0"/>
          <w:iCs/>
        </w:rPr>
        <w:t> </w:t>
      </w:r>
      <w:r w:rsidR="00DB6B01" w:rsidRPr="0081600F">
        <w:rPr>
          <w:b w:val="0"/>
          <w:bCs w:val="0"/>
          <w:i w:val="0"/>
          <w:iCs/>
        </w:rPr>
        <w:t xml:space="preserve">Cal.App.4th </w:t>
      </w:r>
      <w:r w:rsidR="00EF0FE6">
        <w:rPr>
          <w:b w:val="0"/>
          <w:bCs w:val="0"/>
          <w:i w:val="0"/>
          <w:iCs/>
        </w:rPr>
        <w:t>939,</w:t>
      </w:r>
      <w:r w:rsidR="00061658" w:rsidRPr="0081600F">
        <w:rPr>
          <w:b w:val="0"/>
          <w:bCs w:val="0"/>
          <w:i w:val="0"/>
          <w:iCs/>
        </w:rPr>
        <w:t xml:space="preserve"> </w:t>
      </w:r>
      <w:r w:rsidR="00AE10C5" w:rsidRPr="0081600F">
        <w:rPr>
          <w:b w:val="0"/>
          <w:bCs w:val="0"/>
          <w:i w:val="0"/>
          <w:iCs/>
        </w:rPr>
        <w:t>956</w:t>
      </w:r>
      <w:bookmarkEnd w:id="2"/>
      <w:r w:rsidR="00EF0FE6">
        <w:rPr>
          <w:b w:val="0"/>
          <w:bCs w:val="0"/>
          <w:i w:val="0"/>
          <w:iCs/>
        </w:rPr>
        <w:t xml:space="preserve"> (</w:t>
      </w:r>
      <w:r w:rsidR="00EF0FE6">
        <w:rPr>
          <w:b w:val="0"/>
          <w:bCs w:val="0"/>
        </w:rPr>
        <w:t>Cahill</w:t>
      </w:r>
      <w:r w:rsidR="00EF0FE6">
        <w:rPr>
          <w:b w:val="0"/>
          <w:bCs w:val="0"/>
          <w:i w:val="0"/>
          <w:iCs/>
        </w:rPr>
        <w:t>)</w:t>
      </w:r>
      <w:r w:rsidR="00DB6B01" w:rsidRPr="0081600F">
        <w:rPr>
          <w:b w:val="0"/>
          <w:bCs w:val="0"/>
          <w:i w:val="0"/>
          <w:iCs/>
        </w:rPr>
        <w:t xml:space="preserve">; </w:t>
      </w:r>
      <w:r w:rsidR="00AE10C5" w:rsidRPr="0081600F">
        <w:rPr>
          <w:b w:val="0"/>
          <w:bCs w:val="0"/>
        </w:rPr>
        <w:t>Wilshire Ins. Co. v. Tuff Boy Holding, Inc.</w:t>
      </w:r>
      <w:r w:rsidR="00AE10C5" w:rsidRPr="0081600F">
        <w:rPr>
          <w:b w:val="0"/>
          <w:bCs w:val="0"/>
          <w:i w:val="0"/>
          <w:iCs/>
        </w:rPr>
        <w:t xml:space="preserve"> (2001) 86 Cal.App.4th 627, </w:t>
      </w:r>
      <w:r w:rsidR="00267BD3" w:rsidRPr="0081600F">
        <w:rPr>
          <w:b w:val="0"/>
          <w:bCs w:val="0"/>
          <w:i w:val="0"/>
          <w:iCs/>
        </w:rPr>
        <w:t>636 (</w:t>
      </w:r>
      <w:r w:rsidR="00267BD3" w:rsidRPr="0081600F">
        <w:rPr>
          <w:b w:val="0"/>
          <w:bCs w:val="0"/>
        </w:rPr>
        <w:t>Tuff Boy</w:t>
      </w:r>
      <w:r w:rsidR="00267BD3" w:rsidRPr="0081600F">
        <w:rPr>
          <w:b w:val="0"/>
          <w:bCs w:val="0"/>
          <w:i w:val="0"/>
          <w:iCs/>
        </w:rPr>
        <w:t>)</w:t>
      </w:r>
      <w:r w:rsidR="00ED49D7" w:rsidRPr="0081600F">
        <w:rPr>
          <w:b w:val="0"/>
          <w:bCs w:val="0"/>
          <w:i w:val="0"/>
          <w:iCs/>
        </w:rPr>
        <w:t xml:space="preserve">; </w:t>
      </w:r>
      <w:r w:rsidR="00B6213D" w:rsidRPr="0081600F">
        <w:rPr>
          <w:b w:val="0"/>
          <w:bCs w:val="0"/>
        </w:rPr>
        <w:t>Maryland Casualty Co. v. Andreini &amp; Co.</w:t>
      </w:r>
      <w:r w:rsidR="00B6213D" w:rsidRPr="0081600F">
        <w:rPr>
          <w:b w:val="0"/>
          <w:bCs w:val="0"/>
          <w:i w:val="0"/>
          <w:iCs/>
        </w:rPr>
        <w:t xml:space="preserve"> (2001) 8</w:t>
      </w:r>
      <w:r w:rsidR="00A466E7" w:rsidRPr="0081600F">
        <w:rPr>
          <w:b w:val="0"/>
          <w:bCs w:val="0"/>
          <w:i w:val="0"/>
          <w:iCs/>
        </w:rPr>
        <w:t>1</w:t>
      </w:r>
      <w:r w:rsidR="00B6213D" w:rsidRPr="0081600F">
        <w:rPr>
          <w:b w:val="0"/>
          <w:bCs w:val="0"/>
          <w:i w:val="0"/>
          <w:iCs/>
        </w:rPr>
        <w:t xml:space="preserve"> Cal.App.4th</w:t>
      </w:r>
      <w:r w:rsidR="00267BD3" w:rsidRPr="0081600F">
        <w:rPr>
          <w:b w:val="0"/>
          <w:bCs w:val="0"/>
          <w:i w:val="0"/>
          <w:iCs/>
        </w:rPr>
        <w:t xml:space="preserve"> </w:t>
      </w:r>
      <w:r w:rsidR="00B6213D" w:rsidRPr="0081600F">
        <w:rPr>
          <w:b w:val="0"/>
          <w:bCs w:val="0"/>
          <w:i w:val="0"/>
          <w:iCs/>
        </w:rPr>
        <w:t xml:space="preserve">1413, </w:t>
      </w:r>
      <w:r w:rsidR="00C66BBF" w:rsidRPr="0081600F">
        <w:rPr>
          <w:b w:val="0"/>
          <w:bCs w:val="0"/>
          <w:i w:val="0"/>
          <w:iCs/>
        </w:rPr>
        <w:t>1423</w:t>
      </w:r>
      <w:r w:rsidR="00B6213D" w:rsidRPr="0081600F">
        <w:rPr>
          <w:b w:val="0"/>
          <w:bCs w:val="0"/>
          <w:i w:val="0"/>
          <w:iCs/>
        </w:rPr>
        <w:t xml:space="preserve"> </w:t>
      </w:r>
      <w:r w:rsidR="001632D1" w:rsidRPr="0081600F">
        <w:rPr>
          <w:b w:val="0"/>
          <w:bCs w:val="0"/>
          <w:i w:val="0"/>
          <w:iCs/>
        </w:rPr>
        <w:t>(</w:t>
      </w:r>
      <w:r w:rsidR="001632D1" w:rsidRPr="0081600F">
        <w:rPr>
          <w:b w:val="0"/>
          <w:bCs w:val="0"/>
        </w:rPr>
        <w:t xml:space="preserve">Maryland </w:t>
      </w:r>
      <w:r w:rsidR="001632D1" w:rsidRPr="0081600F">
        <w:rPr>
          <w:b w:val="0"/>
          <w:bCs w:val="0"/>
        </w:rPr>
        <w:lastRenderedPageBreak/>
        <w:t>Casualty</w:t>
      </w:r>
      <w:r w:rsidR="001632D1" w:rsidRPr="0081600F">
        <w:rPr>
          <w:b w:val="0"/>
          <w:bCs w:val="0"/>
          <w:i w:val="0"/>
          <w:iCs/>
        </w:rPr>
        <w:t>)</w:t>
      </w:r>
      <w:r w:rsidR="00B6213D" w:rsidRPr="0081600F">
        <w:rPr>
          <w:b w:val="0"/>
          <w:bCs w:val="0"/>
          <w:i w:val="0"/>
          <w:iCs/>
        </w:rPr>
        <w:t>.)</w:t>
      </w:r>
      <w:r>
        <w:rPr>
          <w:rStyle w:val="FootnoteReference"/>
          <w:b w:val="0"/>
          <w:bCs w:val="0"/>
          <w:i w:val="0"/>
          <w:iCs/>
        </w:rPr>
        <w:footnoteReference w:id="4"/>
      </w:r>
      <w:r w:rsidR="00350B54" w:rsidRPr="0081600F">
        <w:rPr>
          <w:b w:val="0"/>
          <w:bCs w:val="0"/>
          <w:i w:val="0"/>
          <w:iCs/>
        </w:rPr>
        <w:t xml:space="preserve">  </w:t>
      </w:r>
      <w:r w:rsidR="00584FE4" w:rsidRPr="0081600F">
        <w:rPr>
          <w:b w:val="0"/>
          <w:bCs w:val="0"/>
          <w:i w:val="0"/>
          <w:iCs/>
        </w:rPr>
        <w:t xml:space="preserve">With these conflicting decisions in mind, we </w:t>
      </w:r>
      <w:r w:rsidRPr="0081600F">
        <w:rPr>
          <w:b w:val="0"/>
          <w:bCs w:val="0"/>
          <w:i w:val="0"/>
          <w:iCs/>
        </w:rPr>
        <w:t xml:space="preserve">carefully </w:t>
      </w:r>
      <w:r w:rsidR="005C2282" w:rsidRPr="0081600F">
        <w:rPr>
          <w:b w:val="0"/>
          <w:bCs w:val="0"/>
          <w:i w:val="0"/>
          <w:iCs/>
        </w:rPr>
        <w:t xml:space="preserve">reexamine </w:t>
      </w:r>
      <w:r w:rsidR="007F09FF" w:rsidRPr="0081600F">
        <w:rPr>
          <w:b w:val="0"/>
          <w:bCs w:val="0"/>
          <w:i w:val="0"/>
          <w:iCs/>
        </w:rPr>
        <w:t>section 877.6</w:t>
      </w:r>
      <w:r w:rsidR="008F5540" w:rsidRPr="0081600F">
        <w:rPr>
          <w:b w:val="0"/>
          <w:bCs w:val="0"/>
          <w:i w:val="0"/>
          <w:iCs/>
        </w:rPr>
        <w:t xml:space="preserve">, </w:t>
      </w:r>
      <w:r w:rsidR="00584FE4" w:rsidRPr="0081600F">
        <w:rPr>
          <w:b w:val="0"/>
          <w:bCs w:val="0"/>
          <w:i w:val="0"/>
          <w:iCs/>
        </w:rPr>
        <w:t>ultimately reaffirm</w:t>
      </w:r>
      <w:r w:rsidR="00A466E7" w:rsidRPr="0081600F">
        <w:rPr>
          <w:b w:val="0"/>
          <w:bCs w:val="0"/>
          <w:i w:val="0"/>
          <w:iCs/>
        </w:rPr>
        <w:t>ing</w:t>
      </w:r>
      <w:r w:rsidR="00584FE4" w:rsidRPr="0081600F">
        <w:rPr>
          <w:b w:val="0"/>
          <w:bCs w:val="0"/>
          <w:i w:val="0"/>
          <w:iCs/>
        </w:rPr>
        <w:t xml:space="preserve"> </w:t>
      </w:r>
      <w:r w:rsidR="00242AFF" w:rsidRPr="0081600F">
        <w:rPr>
          <w:b w:val="0"/>
          <w:bCs w:val="0"/>
          <w:i w:val="0"/>
          <w:iCs/>
        </w:rPr>
        <w:t xml:space="preserve">the conclusion we reached in </w:t>
      </w:r>
      <w:r w:rsidRPr="0081600F">
        <w:rPr>
          <w:b w:val="0"/>
          <w:bCs w:val="0"/>
        </w:rPr>
        <w:t>Housing Group</w:t>
      </w:r>
      <w:r w:rsidRPr="0081600F">
        <w:rPr>
          <w:b w:val="0"/>
          <w:bCs w:val="0"/>
          <w:i w:val="0"/>
          <w:iCs/>
        </w:rPr>
        <w:t>.</w:t>
      </w:r>
      <w:r>
        <w:rPr>
          <w:rStyle w:val="FootnoteReference"/>
          <w:b w:val="0"/>
          <w:bCs w:val="0"/>
          <w:i w:val="0"/>
          <w:iCs/>
        </w:rPr>
        <w:footnoteReference w:id="5"/>
      </w:r>
    </w:p>
    <w:p w14:paraId="648DB580" w14:textId="545B21C2" w:rsidR="0013265A" w:rsidRPr="0081600F" w:rsidRDefault="0064751C" w:rsidP="005309C7">
      <w:pPr>
        <w:pStyle w:val="ISubheading"/>
        <w:keepNext/>
        <w:numPr>
          <w:ilvl w:val="0"/>
          <w:numId w:val="0"/>
        </w:numPr>
        <w:rPr>
          <w:b w:val="0"/>
          <w:bCs w:val="0"/>
          <w:i w:val="0"/>
          <w:iCs/>
        </w:rPr>
      </w:pPr>
      <w:bookmarkStart w:id="3" w:name="_Hlk97542569"/>
      <w:r w:rsidRPr="0081600F">
        <w:tab/>
      </w:r>
      <w:r w:rsidR="00F43926" w:rsidRPr="0081600F">
        <w:t xml:space="preserve">A. </w:t>
      </w:r>
      <w:r w:rsidR="00F43926" w:rsidRPr="0081600F">
        <w:tab/>
      </w:r>
      <w:r w:rsidR="00432FF8" w:rsidRPr="0081600F">
        <w:t>Legal Framework and Standard of Review</w:t>
      </w:r>
      <w:bookmarkEnd w:id="3"/>
    </w:p>
    <w:p w14:paraId="2FD196C4" w14:textId="15AA6AB2" w:rsidR="002A4D6F" w:rsidRPr="0081600F" w:rsidRDefault="0064751C" w:rsidP="002A4D6F">
      <w:pPr>
        <w:pStyle w:val="Text"/>
        <w:rPr>
          <w:shd w:val="clear" w:color="auto" w:fill="FFFFFF"/>
        </w:rPr>
      </w:pPr>
      <w:r w:rsidRPr="0081600F">
        <w:rPr>
          <w:shd w:val="clear" w:color="auto" w:fill="FFFFFF"/>
        </w:rPr>
        <w:t>“</w:t>
      </w:r>
      <w:r w:rsidR="00103BC8">
        <w:rPr>
          <w:shd w:val="clear" w:color="auto" w:fill="FFFFFF"/>
        </w:rPr>
        <w:t> </w:t>
      </w:r>
      <w:r w:rsidRPr="0081600F">
        <w:rPr>
          <w:shd w:val="clear" w:color="auto" w:fill="FFFFFF"/>
        </w:rPr>
        <w:t>‘The fundamental rule of statutory construction is that a court should ascertain the intent of the Legislature so as to effectuate the purpose of the law.’</w:t>
      </w:r>
      <w:r w:rsidR="00103BC8">
        <w:rPr>
          <w:shd w:val="clear" w:color="auto" w:fill="FFFFFF"/>
        </w:rPr>
        <w:t> </w:t>
      </w:r>
      <w:r w:rsidRPr="0081600F">
        <w:rPr>
          <w:shd w:val="clear" w:color="auto" w:fill="FFFFFF"/>
        </w:rPr>
        <w:t>”  (</w:t>
      </w:r>
      <w:r w:rsidRPr="0081600F">
        <w:rPr>
          <w:i/>
          <w:shd w:val="clear" w:color="auto" w:fill="FFFFFF"/>
        </w:rPr>
        <w:t>Upland</w:t>
      </w:r>
      <w:r w:rsidRPr="0081600F">
        <w:rPr>
          <w:shd w:val="clear" w:color="auto" w:fill="FFFFFF"/>
        </w:rPr>
        <w:t xml:space="preserve"> </w:t>
      </w:r>
      <w:r w:rsidRPr="0081600F">
        <w:rPr>
          <w:i/>
          <w:shd w:val="clear" w:color="auto" w:fill="FFFFFF"/>
        </w:rPr>
        <w:t>Police Officers Assn. v. City of Upland</w:t>
      </w:r>
      <w:r w:rsidRPr="0081600F">
        <w:rPr>
          <w:shd w:val="clear" w:color="auto" w:fill="FFFFFF"/>
        </w:rPr>
        <w:t xml:space="preserve"> (2003) 111</w:t>
      </w:r>
      <w:r w:rsidR="00103BC8">
        <w:rPr>
          <w:shd w:val="clear" w:color="auto" w:fill="FFFFFF"/>
        </w:rPr>
        <w:t> </w:t>
      </w:r>
      <w:r w:rsidRPr="0081600F">
        <w:rPr>
          <w:shd w:val="clear" w:color="auto" w:fill="FFFFFF"/>
        </w:rPr>
        <w:t>Cal.App.4th 1294, 1303</w:t>
      </w:r>
      <w:r w:rsidR="0079145D">
        <w:rPr>
          <w:shd w:val="clear" w:color="auto" w:fill="FFFFFF"/>
        </w:rPr>
        <w:t xml:space="preserve"> (</w:t>
      </w:r>
      <w:r w:rsidR="0079145D">
        <w:rPr>
          <w:i/>
          <w:iCs/>
          <w:shd w:val="clear" w:color="auto" w:fill="FFFFFF"/>
        </w:rPr>
        <w:t>Upland</w:t>
      </w:r>
      <w:r w:rsidR="0079145D">
        <w:rPr>
          <w:shd w:val="clear" w:color="auto" w:fill="FFFFFF"/>
        </w:rPr>
        <w:t>)</w:t>
      </w:r>
      <w:r w:rsidRPr="0081600F">
        <w:rPr>
          <w:shd w:val="clear" w:color="auto" w:fill="FFFFFF"/>
        </w:rPr>
        <w:t xml:space="preserve">; see also </w:t>
      </w:r>
      <w:r w:rsidRPr="0081600F">
        <w:rPr>
          <w:i/>
          <w:shd w:val="clear" w:color="auto" w:fill="FFFFFF"/>
        </w:rPr>
        <w:t>Dyna-Med, Inc. v. Fair Employment &amp; Housing Com.</w:t>
      </w:r>
      <w:r w:rsidRPr="0081600F">
        <w:rPr>
          <w:shd w:val="clear" w:color="auto" w:fill="FFFFFF"/>
        </w:rPr>
        <w:t xml:space="preserve"> (1987) 43 Cal.3d </w:t>
      </w:r>
      <w:r w:rsidR="00103BC8">
        <w:rPr>
          <w:shd w:val="clear" w:color="auto" w:fill="FFFFFF"/>
        </w:rPr>
        <w:t xml:space="preserve">1379, </w:t>
      </w:r>
      <w:r w:rsidRPr="0081600F">
        <w:rPr>
          <w:shd w:val="clear" w:color="auto" w:fill="FFFFFF"/>
        </w:rPr>
        <w:t>1386</w:t>
      </w:r>
      <w:r w:rsidR="00ED49D7" w:rsidRPr="0081600F">
        <w:rPr>
          <w:shd w:val="clear" w:color="auto" w:fill="FFFFFF"/>
        </w:rPr>
        <w:t>–</w:t>
      </w:r>
      <w:r w:rsidRPr="0081600F">
        <w:rPr>
          <w:shd w:val="clear" w:color="auto" w:fill="FFFFFF"/>
        </w:rPr>
        <w:t>1387</w:t>
      </w:r>
      <w:r w:rsidRPr="0081600F">
        <w:rPr>
          <w:bdr w:val="none" w:sz="0" w:space="0" w:color="auto" w:frame="1"/>
          <w:shd w:val="clear" w:color="auto" w:fill="FFFFFF"/>
        </w:rPr>
        <w:t xml:space="preserve">.)  </w:t>
      </w:r>
      <w:r w:rsidRPr="0081600F">
        <w:rPr>
          <w:shd w:val="clear" w:color="auto" w:fill="FFFFFF"/>
        </w:rPr>
        <w:t xml:space="preserve">“Because the statutory language is </w:t>
      </w:r>
      <w:r w:rsidRPr="0081600F">
        <w:rPr>
          <w:shd w:val="clear" w:color="auto" w:fill="FFFFFF"/>
        </w:rPr>
        <w:lastRenderedPageBreak/>
        <w:t xml:space="preserve">generally the most reliable indicator of legislative intent, we first examine the words themselves, giving them their </w:t>
      </w:r>
      <w:r w:rsidRPr="0081600F">
        <w:rPr>
          <w:shd w:val="clear" w:color="auto" w:fill="FFFFFF"/>
        </w:rPr>
        <w:t xml:space="preserve">usual and ordinary meaning and construing them in context.”  </w:t>
      </w:r>
      <w:r w:rsidRPr="0081600F">
        <w:rPr>
          <w:bdr w:val="none" w:sz="0" w:space="0" w:color="auto" w:frame="1"/>
          <w:shd w:val="clear" w:color="auto" w:fill="FFFFFF"/>
        </w:rPr>
        <w:t>(</w:t>
      </w:r>
      <w:r w:rsidRPr="0081600F">
        <w:rPr>
          <w:i/>
          <w:bdr w:val="none" w:sz="0" w:space="0" w:color="auto" w:frame="1"/>
          <w:shd w:val="clear" w:color="auto" w:fill="FFFFFF"/>
        </w:rPr>
        <w:t>Esberg v. Union Oil Co.</w:t>
      </w:r>
      <w:r w:rsidRPr="0081600F">
        <w:rPr>
          <w:bdr w:val="none" w:sz="0" w:space="0" w:color="auto" w:frame="1"/>
          <w:shd w:val="clear" w:color="auto" w:fill="FFFFFF"/>
        </w:rPr>
        <w:t xml:space="preserve"> (2002) 28 Cal.4th 262, 268, superseded by statute on other grounds as stated in </w:t>
      </w:r>
      <w:r w:rsidRPr="0081600F">
        <w:rPr>
          <w:i/>
          <w:bdr w:val="none" w:sz="0" w:space="0" w:color="auto" w:frame="1"/>
          <w:shd w:val="clear" w:color="auto" w:fill="FFFFFF"/>
        </w:rPr>
        <w:t>Bernard v. City of Oakland</w:t>
      </w:r>
      <w:r w:rsidRPr="0081600F">
        <w:rPr>
          <w:bdr w:val="none" w:sz="0" w:space="0" w:color="auto" w:frame="1"/>
          <w:shd w:val="clear" w:color="auto" w:fill="FFFFFF"/>
        </w:rPr>
        <w:t xml:space="preserve"> (2012) 202 Cal.App.4th 1553</w:t>
      </w:r>
      <w:r w:rsidR="00ED49D7" w:rsidRPr="0081600F">
        <w:rPr>
          <w:bdr w:val="none" w:sz="0" w:space="0" w:color="auto" w:frame="1"/>
          <w:shd w:val="clear" w:color="auto" w:fill="FFFFFF"/>
        </w:rPr>
        <w:t>, 1561 &amp;</w:t>
      </w:r>
      <w:r w:rsidRPr="0081600F">
        <w:rPr>
          <w:bdr w:val="none" w:sz="0" w:space="0" w:color="auto" w:frame="1"/>
          <w:shd w:val="clear" w:color="auto" w:fill="FFFFFF"/>
        </w:rPr>
        <w:t xml:space="preserve"> fn. 5.)  “</w:t>
      </w:r>
      <w:r w:rsidRPr="0081600F">
        <w:rPr>
          <w:shd w:val="clear" w:color="auto" w:fill="FFFFFF"/>
        </w:rPr>
        <w:t>The statute’s pla</w:t>
      </w:r>
      <w:r w:rsidRPr="0081600F">
        <w:rPr>
          <w:shd w:val="clear" w:color="auto" w:fill="FFFFFF"/>
        </w:rPr>
        <w:t>in meaning controls the court’s interpretation unless its words are ambiguous.”  (</w:t>
      </w:r>
      <w:r w:rsidRPr="0081600F">
        <w:rPr>
          <w:i/>
          <w:shd w:val="clear" w:color="auto" w:fill="FFFFFF"/>
        </w:rPr>
        <w:t xml:space="preserve">Green v. State of California </w:t>
      </w:r>
      <w:r w:rsidRPr="0081600F">
        <w:rPr>
          <w:shd w:val="clear" w:color="auto" w:fill="FFFFFF"/>
        </w:rPr>
        <w:t>(2007) 42 Cal.4th 254, 260.)</w:t>
      </w:r>
    </w:p>
    <w:p w14:paraId="1AD059D7" w14:textId="197415A1" w:rsidR="002A4D6F" w:rsidRPr="0081600F" w:rsidRDefault="0064751C" w:rsidP="002A4D6F">
      <w:pPr>
        <w:pStyle w:val="Text"/>
        <w:rPr>
          <w:iCs/>
        </w:rPr>
      </w:pPr>
      <w:r w:rsidRPr="0081600F">
        <w:rPr>
          <w:bdr w:val="none" w:sz="0" w:space="0" w:color="auto" w:frame="1"/>
          <w:shd w:val="clear" w:color="auto" w:fill="FFFFFF"/>
        </w:rPr>
        <w:t xml:space="preserve">“If the words in the statute do not, by themselves, provide a reliable indicator of legislative intent, </w:t>
      </w:r>
      <w:r w:rsidR="00997348">
        <w:rPr>
          <w:bdr w:val="none" w:sz="0" w:space="0" w:color="auto" w:frame="1"/>
          <w:shd w:val="clear" w:color="auto" w:fill="FFFFFF"/>
        </w:rPr>
        <w:t>‘</w:t>
      </w:r>
      <w:r w:rsidRPr="0081600F">
        <w:rPr>
          <w:bdr w:val="none" w:sz="0" w:space="0" w:color="auto" w:frame="1"/>
          <w:shd w:val="clear" w:color="auto" w:fill="FFFFFF"/>
        </w:rPr>
        <w:t>[s]tatutory</w:t>
      </w:r>
      <w:r w:rsidRPr="0081600F">
        <w:rPr>
          <w:bdr w:val="none" w:sz="0" w:space="0" w:color="auto" w:frame="1"/>
          <w:shd w:val="clear" w:color="auto" w:fill="FFFFFF"/>
        </w:rPr>
        <w:t xml:space="preserve"> ambiguities often may be resolved by examining the context in which the language appears and adopting the construction which best serves to harmonize the statute internally and with related statutes.’</w:t>
      </w:r>
      <w:r w:rsidR="00997348">
        <w:rPr>
          <w:bdr w:val="none" w:sz="0" w:space="0" w:color="auto" w:frame="1"/>
          <w:shd w:val="clear" w:color="auto" w:fill="FFFFFF"/>
        </w:rPr>
        <w:t> </w:t>
      </w:r>
      <w:r w:rsidRPr="0081600F">
        <w:rPr>
          <w:bdr w:val="none" w:sz="0" w:space="0" w:color="auto" w:frame="1"/>
          <w:shd w:val="clear" w:color="auto" w:fill="FFFFFF"/>
        </w:rPr>
        <w:t>”  (</w:t>
      </w:r>
      <w:r w:rsidRPr="0081600F">
        <w:rPr>
          <w:i/>
          <w:bdr w:val="none" w:sz="0" w:space="0" w:color="auto" w:frame="1"/>
          <w:shd w:val="clear" w:color="auto" w:fill="FFFFFF"/>
        </w:rPr>
        <w:t xml:space="preserve">People v. Arias </w:t>
      </w:r>
      <w:r w:rsidRPr="0081600F">
        <w:rPr>
          <w:bdr w:val="none" w:sz="0" w:space="0" w:color="auto" w:frame="1"/>
          <w:shd w:val="clear" w:color="auto" w:fill="FFFFFF"/>
        </w:rPr>
        <w:t>(2008) 45 Cal.4th 169, 177.)  More</w:t>
      </w:r>
      <w:r w:rsidRPr="0081600F">
        <w:rPr>
          <w:bdr w:val="none" w:sz="0" w:space="0" w:color="auto" w:frame="1"/>
          <w:shd w:val="clear" w:color="auto" w:fill="FFFFFF"/>
        </w:rPr>
        <w:t xml:space="preserve">over, </w:t>
      </w:r>
      <w:bookmarkStart w:id="4" w:name="_Hlk76556385"/>
      <w:r w:rsidRPr="0081600F">
        <w:rPr>
          <w:bdr w:val="none" w:sz="0" w:space="0" w:color="auto" w:frame="1"/>
          <w:shd w:val="clear" w:color="auto" w:fill="FFFFFF"/>
        </w:rPr>
        <w:t>“ ‘</w:t>
      </w:r>
      <w:r w:rsidRPr="0081600F">
        <w:rPr>
          <w:shd w:val="clear" w:color="auto" w:fill="FFFFFF"/>
        </w:rPr>
        <w:t>statutes must be construed so as to give a reasonable and common-sense construction consistent with the apparent purpose and intention of the lawmakers—a construction that is practical rather than technical, and will lead to wise policy rather tha</w:t>
      </w:r>
      <w:r w:rsidRPr="0081600F">
        <w:rPr>
          <w:shd w:val="clear" w:color="auto" w:fill="FFFFFF"/>
        </w:rPr>
        <w:t xml:space="preserve">n mischief or absurdity.  </w:t>
      </w:r>
      <w:r w:rsidRPr="0081600F">
        <w:rPr>
          <w:bdr w:val="none" w:sz="0" w:space="0" w:color="auto" w:frame="1"/>
          <w:shd w:val="clear" w:color="auto" w:fill="FFFFFF"/>
        </w:rPr>
        <w:t xml:space="preserve">[Citation.]  In approaching this task, the courts may consider the consequences which might flow from a particular interpretation and </w:t>
      </w:r>
      <w:bookmarkStart w:id="5" w:name="_Hlk65590162"/>
      <w:bookmarkStart w:id="6" w:name="_Hlk76549815"/>
      <w:r w:rsidRPr="0081600F">
        <w:rPr>
          <w:bdr w:val="none" w:sz="0" w:space="0" w:color="auto" w:frame="1"/>
          <w:shd w:val="clear" w:color="auto" w:fill="FFFFFF"/>
        </w:rPr>
        <w:t>must construe the statute with a view to promoting rather than defeating its general purpose and</w:t>
      </w:r>
      <w:r w:rsidRPr="0081600F">
        <w:rPr>
          <w:bdr w:val="none" w:sz="0" w:space="0" w:color="auto" w:frame="1"/>
          <w:shd w:val="clear" w:color="auto" w:fill="FFFFFF"/>
        </w:rPr>
        <w:t xml:space="preserve"> the policy behind it.’ ”  (</w:t>
      </w:r>
      <w:r w:rsidR="00ED49D7" w:rsidRPr="0081600F">
        <w:rPr>
          <w:i/>
          <w:shd w:val="clear" w:color="auto" w:fill="FFFFFF"/>
        </w:rPr>
        <w:t>Upland</w:t>
      </w:r>
      <w:r w:rsidRPr="0081600F">
        <w:rPr>
          <w:bdr w:val="none" w:sz="0" w:space="0" w:color="auto" w:frame="1"/>
          <w:shd w:val="clear" w:color="auto" w:fill="FFFFFF"/>
        </w:rPr>
        <w:t xml:space="preserve">, </w:t>
      </w:r>
      <w:r w:rsidRPr="0081600F">
        <w:rPr>
          <w:i/>
          <w:bdr w:val="none" w:sz="0" w:space="0" w:color="auto" w:frame="1"/>
          <w:shd w:val="clear" w:color="auto" w:fill="FFFFFF"/>
        </w:rPr>
        <w:t>supra</w:t>
      </w:r>
      <w:r w:rsidRPr="0081600F">
        <w:rPr>
          <w:bdr w:val="none" w:sz="0" w:space="0" w:color="auto" w:frame="1"/>
          <w:shd w:val="clear" w:color="auto" w:fill="FFFFFF"/>
        </w:rPr>
        <w:t>, 111</w:t>
      </w:r>
      <w:r w:rsidR="00ED49D7" w:rsidRPr="0081600F">
        <w:rPr>
          <w:bdr w:val="none" w:sz="0" w:space="0" w:color="auto" w:frame="1"/>
          <w:shd w:val="clear" w:color="auto" w:fill="FFFFFF"/>
        </w:rPr>
        <w:t> </w:t>
      </w:r>
      <w:r w:rsidRPr="0081600F">
        <w:rPr>
          <w:bdr w:val="none" w:sz="0" w:space="0" w:color="auto" w:frame="1"/>
          <w:shd w:val="clear" w:color="auto" w:fill="FFFFFF"/>
        </w:rPr>
        <w:t>Cal.App.4th at p. 1303.)</w:t>
      </w:r>
      <w:bookmarkEnd w:id="5"/>
      <w:r w:rsidRPr="0081600F">
        <w:rPr>
          <w:bdr w:val="none" w:sz="0" w:space="0" w:color="auto" w:frame="1"/>
          <w:shd w:val="clear" w:color="auto" w:fill="FFFFFF"/>
        </w:rPr>
        <w:t xml:space="preserve">  </w:t>
      </w:r>
      <w:bookmarkEnd w:id="4"/>
      <w:bookmarkEnd w:id="6"/>
      <w:r w:rsidRPr="0081600F">
        <w:rPr>
          <w:bdr w:val="none" w:sz="0" w:space="0" w:color="auto" w:frame="1"/>
          <w:shd w:val="clear" w:color="auto" w:fill="FFFFFF"/>
        </w:rPr>
        <w:t>When</w:t>
      </w:r>
      <w:r w:rsidRPr="0081600F">
        <w:rPr>
          <w:shd w:val="clear" w:color="auto" w:fill="FFFFFF"/>
        </w:rPr>
        <w:t xml:space="preserve"> </w:t>
      </w:r>
      <w:r w:rsidRPr="0081600F">
        <w:rPr>
          <w:bdr w:val="none" w:sz="0" w:space="0" w:color="auto" w:frame="1"/>
          <w:shd w:val="clear" w:color="auto" w:fill="FFFFFF"/>
        </w:rPr>
        <w:t>“ ‘the language permits more than one reasonable interpretation, .</w:t>
      </w:r>
      <w:r w:rsidR="00FE2AD1">
        <w:rPr>
          <w:bdr w:val="none" w:sz="0" w:space="0" w:color="auto" w:frame="1"/>
          <w:shd w:val="clear" w:color="auto" w:fill="FFFFFF"/>
        </w:rPr>
        <w:t> </w:t>
      </w:r>
      <w:r w:rsidRPr="0081600F">
        <w:rPr>
          <w:bdr w:val="none" w:sz="0" w:space="0" w:color="auto" w:frame="1"/>
          <w:shd w:val="clear" w:color="auto" w:fill="FFFFFF"/>
        </w:rPr>
        <w:t>.</w:t>
      </w:r>
      <w:r w:rsidR="00FE2AD1">
        <w:rPr>
          <w:bdr w:val="none" w:sz="0" w:space="0" w:color="auto" w:frame="1"/>
          <w:shd w:val="clear" w:color="auto" w:fill="FFFFFF"/>
        </w:rPr>
        <w:t> </w:t>
      </w:r>
      <w:r w:rsidRPr="0081600F">
        <w:rPr>
          <w:bdr w:val="none" w:sz="0" w:space="0" w:color="auto" w:frame="1"/>
          <w:shd w:val="clear" w:color="auto" w:fill="FFFFFF"/>
        </w:rPr>
        <w:t xml:space="preserve">. </w:t>
      </w:r>
      <w:r w:rsidR="00FE2AD1">
        <w:rPr>
          <w:bdr w:val="none" w:sz="0" w:space="0" w:color="auto" w:frame="1"/>
          <w:shd w:val="clear" w:color="auto" w:fill="FFFFFF"/>
        </w:rPr>
        <w:t>the</w:t>
      </w:r>
      <w:r w:rsidR="00FE2AD1" w:rsidRPr="0081600F">
        <w:rPr>
          <w:bdr w:val="none" w:sz="0" w:space="0" w:color="auto" w:frame="1"/>
          <w:shd w:val="clear" w:color="auto" w:fill="FFFFFF"/>
        </w:rPr>
        <w:t xml:space="preserve"> </w:t>
      </w:r>
      <w:r w:rsidRPr="0081600F">
        <w:rPr>
          <w:bdr w:val="none" w:sz="0" w:space="0" w:color="auto" w:frame="1"/>
          <w:shd w:val="clear" w:color="auto" w:fill="FFFFFF"/>
        </w:rPr>
        <w:t xml:space="preserve">court looks “to a variety of extrinsic aids, including the ostensible objects to be achieved, the </w:t>
      </w:r>
      <w:r w:rsidRPr="0081600F">
        <w:rPr>
          <w:bdr w:val="none" w:sz="0" w:space="0" w:color="auto" w:frame="1"/>
          <w:shd w:val="clear" w:color="auto" w:fill="FFFFFF"/>
        </w:rPr>
        <w:t>evils to be remedied, the legislative history, public policy, contemporaneous administrative construction, and the statutory scheme of which the statute is a part.”</w:t>
      </w:r>
      <w:r w:rsidR="00FE2AD1">
        <w:rPr>
          <w:bdr w:val="none" w:sz="0" w:space="0" w:color="auto" w:frame="1"/>
          <w:shd w:val="clear" w:color="auto" w:fill="FFFFFF"/>
        </w:rPr>
        <w:t> </w:t>
      </w:r>
      <w:r w:rsidRPr="0081600F">
        <w:rPr>
          <w:bdr w:val="none" w:sz="0" w:space="0" w:color="auto" w:frame="1"/>
          <w:shd w:val="clear" w:color="auto" w:fill="FFFFFF"/>
        </w:rPr>
        <w:t>’</w:t>
      </w:r>
      <w:r w:rsidR="00FE2AD1">
        <w:rPr>
          <w:bdr w:val="none" w:sz="0" w:space="0" w:color="auto" w:frame="1"/>
          <w:shd w:val="clear" w:color="auto" w:fill="FFFFFF"/>
        </w:rPr>
        <w:t> </w:t>
      </w:r>
      <w:r w:rsidRPr="0081600F">
        <w:rPr>
          <w:bdr w:val="none" w:sz="0" w:space="0" w:color="auto" w:frame="1"/>
          <w:shd w:val="clear" w:color="auto" w:fill="FFFFFF"/>
        </w:rPr>
        <w:t>”</w:t>
      </w:r>
      <w:r w:rsidR="000A3F3B" w:rsidRPr="0081600F">
        <w:rPr>
          <w:bdr w:val="none" w:sz="0" w:space="0" w:color="auto" w:frame="1"/>
          <w:shd w:val="clear" w:color="auto" w:fill="FFFFFF"/>
        </w:rPr>
        <w:t xml:space="preserve"> </w:t>
      </w:r>
      <w:r w:rsidRPr="0081600F">
        <w:rPr>
          <w:bdr w:val="none" w:sz="0" w:space="0" w:color="auto" w:frame="1"/>
          <w:shd w:val="clear" w:color="auto" w:fill="FFFFFF"/>
        </w:rPr>
        <w:t xml:space="preserve"> (</w:t>
      </w:r>
      <w:r w:rsidRPr="0081600F">
        <w:rPr>
          <w:i/>
          <w:bdr w:val="none" w:sz="0" w:space="0" w:color="auto" w:frame="1"/>
          <w:shd w:val="clear" w:color="auto" w:fill="FFFFFF"/>
        </w:rPr>
        <w:t>S.</w:t>
      </w:r>
      <w:r w:rsidR="00230430">
        <w:rPr>
          <w:i/>
          <w:bdr w:val="none" w:sz="0" w:space="0" w:color="auto" w:frame="1"/>
          <w:shd w:val="clear" w:color="auto" w:fill="FFFFFF"/>
        </w:rPr>
        <w:t> </w:t>
      </w:r>
      <w:r w:rsidRPr="0081600F">
        <w:rPr>
          <w:i/>
          <w:bdr w:val="none" w:sz="0" w:space="0" w:color="auto" w:frame="1"/>
          <w:shd w:val="clear" w:color="auto" w:fill="FFFFFF"/>
        </w:rPr>
        <w:t>B. Beach Properties v. Berti</w:t>
      </w:r>
      <w:r w:rsidRPr="0081600F">
        <w:rPr>
          <w:bdr w:val="none" w:sz="0" w:space="0" w:color="auto" w:frame="1"/>
          <w:shd w:val="clear" w:color="auto" w:fill="FFFFFF"/>
        </w:rPr>
        <w:t xml:space="preserve"> (2006) 39</w:t>
      </w:r>
      <w:r w:rsidR="00FE2AD1">
        <w:rPr>
          <w:bdr w:val="none" w:sz="0" w:space="0" w:color="auto" w:frame="1"/>
          <w:shd w:val="clear" w:color="auto" w:fill="FFFFFF"/>
        </w:rPr>
        <w:t> </w:t>
      </w:r>
      <w:r w:rsidRPr="0081600F">
        <w:rPr>
          <w:bdr w:val="none" w:sz="0" w:space="0" w:color="auto" w:frame="1"/>
          <w:shd w:val="clear" w:color="auto" w:fill="FFFFFF"/>
        </w:rPr>
        <w:t>Cal.4th 374, 379.)  Ultimately, “</w:t>
      </w:r>
      <w:r w:rsidR="00FE2AD1">
        <w:rPr>
          <w:bdr w:val="none" w:sz="0" w:space="0" w:color="auto" w:frame="1"/>
          <w:shd w:val="clear" w:color="auto" w:fill="FFFFFF"/>
        </w:rPr>
        <w:t> </w:t>
      </w:r>
      <w:r w:rsidRPr="0081600F">
        <w:rPr>
          <w:bdr w:val="none" w:sz="0" w:space="0" w:color="auto" w:frame="1"/>
          <w:shd w:val="clear" w:color="auto" w:fill="FFFFFF"/>
        </w:rPr>
        <w:t xml:space="preserve">‘[i]f </w:t>
      </w:r>
      <w:r w:rsidRPr="0081600F">
        <w:rPr>
          <w:shd w:val="clear" w:color="auto" w:fill="FFFFFF"/>
        </w:rPr>
        <w:t>a s</w:t>
      </w:r>
      <w:r w:rsidRPr="0081600F">
        <w:rPr>
          <w:shd w:val="clear" w:color="auto" w:fill="FFFFFF"/>
        </w:rPr>
        <w:t xml:space="preserve">tatute is amenable to two alternative interpretations, the one that leads to the </w:t>
      </w:r>
      <w:r w:rsidRPr="0081600F">
        <w:rPr>
          <w:i/>
          <w:shd w:val="clear" w:color="auto" w:fill="FFFFFF"/>
        </w:rPr>
        <w:t>more</w:t>
      </w:r>
      <w:r w:rsidRPr="0081600F">
        <w:rPr>
          <w:shd w:val="clear" w:color="auto" w:fill="FFFFFF"/>
        </w:rPr>
        <w:t xml:space="preserve"> reasonable result </w:t>
      </w:r>
      <w:r w:rsidRPr="0081600F">
        <w:rPr>
          <w:shd w:val="clear" w:color="auto" w:fill="FFFFFF"/>
        </w:rPr>
        <w:lastRenderedPageBreak/>
        <w:t>will be followed.’</w:t>
      </w:r>
      <w:r w:rsidR="00FE2AD1">
        <w:rPr>
          <w:shd w:val="clear" w:color="auto" w:fill="FFFFFF"/>
        </w:rPr>
        <w:t> </w:t>
      </w:r>
      <w:r w:rsidRPr="0081600F">
        <w:rPr>
          <w:shd w:val="clear" w:color="auto" w:fill="FFFFFF"/>
        </w:rPr>
        <w:t>”  (</w:t>
      </w:r>
      <w:r w:rsidRPr="0081600F">
        <w:rPr>
          <w:i/>
          <w:shd w:val="clear" w:color="auto" w:fill="FFFFFF"/>
        </w:rPr>
        <w:t>People v. Cornett</w:t>
      </w:r>
      <w:r w:rsidRPr="0081600F">
        <w:rPr>
          <w:shd w:val="clear" w:color="auto" w:fill="FFFFFF"/>
        </w:rPr>
        <w:t xml:space="preserve"> (2012) 53</w:t>
      </w:r>
      <w:r w:rsidR="00ED49D7" w:rsidRPr="0081600F">
        <w:rPr>
          <w:shd w:val="clear" w:color="auto" w:fill="FFFFFF"/>
        </w:rPr>
        <w:t> </w:t>
      </w:r>
      <w:r w:rsidRPr="0081600F">
        <w:rPr>
          <w:shd w:val="clear" w:color="auto" w:fill="FFFFFF"/>
        </w:rPr>
        <w:t xml:space="preserve">Cal.4th 1261, 1271, italics added.)   </w:t>
      </w:r>
      <w:r w:rsidRPr="0081600F">
        <w:rPr>
          <w:iCs/>
        </w:rPr>
        <w:t xml:space="preserve"> </w:t>
      </w:r>
    </w:p>
    <w:p w14:paraId="5B2C5412" w14:textId="2B481E55" w:rsidR="00621A67" w:rsidRPr="0081600F" w:rsidRDefault="0064751C" w:rsidP="00BC1454">
      <w:pPr>
        <w:pStyle w:val="Text"/>
        <w:ind w:firstLine="0"/>
        <w:rPr>
          <w:shd w:val="clear" w:color="auto" w:fill="FFFFFF"/>
        </w:rPr>
      </w:pPr>
      <w:r w:rsidRPr="0081600F">
        <w:rPr>
          <w:bdr w:val="none" w:sz="0" w:space="0" w:color="auto" w:frame="1"/>
          <w:shd w:val="clear" w:color="auto" w:fill="FFFFFF"/>
        </w:rPr>
        <w:tab/>
      </w:r>
      <w:r w:rsidR="000A3F3B" w:rsidRPr="0081600F">
        <w:rPr>
          <w:bdr w:val="none" w:sz="0" w:space="0" w:color="auto" w:frame="1"/>
          <w:shd w:val="clear" w:color="auto" w:fill="FFFFFF"/>
        </w:rPr>
        <w:t>“</w:t>
      </w:r>
      <w:r w:rsidR="00230430">
        <w:rPr>
          <w:bdr w:val="none" w:sz="0" w:space="0" w:color="auto" w:frame="1"/>
          <w:shd w:val="clear" w:color="auto" w:fill="FFFFFF"/>
        </w:rPr>
        <w:t> </w:t>
      </w:r>
      <w:r w:rsidR="000A3F3B" w:rsidRPr="0081600F">
        <w:rPr>
          <w:bdr w:val="none" w:sz="0" w:space="0" w:color="auto" w:frame="1"/>
          <w:shd w:val="clear" w:color="auto" w:fill="FFFFFF"/>
        </w:rPr>
        <w:t>‘</w:t>
      </w:r>
      <w:r w:rsidR="002A4D6F" w:rsidRPr="0081600F">
        <w:rPr>
          <w:bdr w:val="none" w:sz="0" w:space="0" w:color="auto" w:frame="1"/>
          <w:shd w:val="clear" w:color="auto" w:fill="FFFFFF"/>
        </w:rPr>
        <w:t xml:space="preserve">Statutory interpretation is a clear question of law for our determination anew on appeal.’ ” </w:t>
      </w:r>
      <w:r w:rsidR="000A3F3B" w:rsidRPr="0081600F">
        <w:rPr>
          <w:bdr w:val="none" w:sz="0" w:space="0" w:color="auto" w:frame="1"/>
          <w:shd w:val="clear" w:color="auto" w:fill="FFFFFF"/>
        </w:rPr>
        <w:t xml:space="preserve"> </w:t>
      </w:r>
      <w:r w:rsidR="002A4D6F" w:rsidRPr="0081600F">
        <w:rPr>
          <w:bdr w:val="none" w:sz="0" w:space="0" w:color="auto" w:frame="1"/>
          <w:shd w:val="clear" w:color="auto" w:fill="FFFFFF"/>
        </w:rPr>
        <w:t>(</w:t>
      </w:r>
      <w:r w:rsidR="002A4D6F" w:rsidRPr="0081600F">
        <w:rPr>
          <w:i/>
          <w:shd w:val="clear" w:color="auto" w:fill="FFFFFF"/>
        </w:rPr>
        <w:t>Daugherty v. City and County of San Francisco</w:t>
      </w:r>
      <w:r w:rsidR="002A4D6F" w:rsidRPr="0081600F">
        <w:rPr>
          <w:shd w:val="clear" w:color="auto" w:fill="FFFFFF"/>
        </w:rPr>
        <w:t xml:space="preserve"> (2018) 24 Cal.App.5th 928, 944; </w:t>
      </w:r>
      <w:r w:rsidR="002A4D6F" w:rsidRPr="0081600F">
        <w:rPr>
          <w:i/>
          <w:shd w:val="clear" w:color="auto" w:fill="FFFFFF"/>
        </w:rPr>
        <w:t>Breslin v. City and County of San Francisco</w:t>
      </w:r>
      <w:r w:rsidR="002A4D6F" w:rsidRPr="0081600F">
        <w:rPr>
          <w:shd w:val="clear" w:color="auto" w:fill="FFFFFF"/>
        </w:rPr>
        <w:t xml:space="preserve"> (2007) 146 Cal.App.4th 1064, 1077.)  </w:t>
      </w:r>
      <w:r w:rsidRPr="0081600F">
        <w:rPr>
          <w:shd w:val="clear" w:color="auto" w:fill="FFFFFF"/>
        </w:rPr>
        <w:t>In</w:t>
      </w:r>
      <w:r w:rsidRPr="0081600F">
        <w:rPr>
          <w:shd w:val="clear" w:color="auto" w:fill="FFFFFF"/>
        </w:rPr>
        <w:t xml:space="preserve"> addition, w</w:t>
      </w:r>
      <w:r w:rsidR="002A4D6F" w:rsidRPr="0081600F">
        <w:rPr>
          <w:shd w:val="clear" w:color="auto" w:fill="FFFFFF"/>
        </w:rPr>
        <w:t>e are “dutybound to consider” appealability</w:t>
      </w:r>
      <w:r w:rsidRPr="0081600F">
        <w:rPr>
          <w:shd w:val="clear" w:color="auto" w:fill="FFFFFF"/>
        </w:rPr>
        <w:t>.</w:t>
      </w:r>
      <w:r w:rsidR="002A4D6F" w:rsidRPr="0081600F">
        <w:rPr>
          <w:shd w:val="clear" w:color="auto" w:fill="FFFFFF"/>
        </w:rPr>
        <w:t xml:space="preserve"> </w:t>
      </w:r>
      <w:r w:rsidRPr="0081600F">
        <w:rPr>
          <w:shd w:val="clear" w:color="auto" w:fill="FFFFFF"/>
        </w:rPr>
        <w:t xml:space="preserve"> </w:t>
      </w:r>
      <w:r w:rsidR="002A4D6F" w:rsidRPr="0081600F">
        <w:rPr>
          <w:shd w:val="clear" w:color="auto" w:fill="FFFFFF"/>
        </w:rPr>
        <w:t>(</w:t>
      </w:r>
      <w:r w:rsidR="002A4D6F" w:rsidRPr="0081600F">
        <w:rPr>
          <w:i/>
          <w:iCs/>
          <w:shd w:val="clear" w:color="auto" w:fill="FFFFFF"/>
        </w:rPr>
        <w:t>Olson v. Cory</w:t>
      </w:r>
      <w:r w:rsidR="002A4D6F" w:rsidRPr="0081600F">
        <w:rPr>
          <w:shd w:val="clear" w:color="auto" w:fill="FFFFFF"/>
        </w:rPr>
        <w:t xml:space="preserve"> (1983) 35 Cal.3d 390, 398</w:t>
      </w:r>
      <w:r w:rsidRPr="0081600F">
        <w:rPr>
          <w:shd w:val="clear" w:color="auto" w:fill="FFFFFF"/>
        </w:rPr>
        <w:t>.</w:t>
      </w:r>
      <w:r w:rsidR="002A4D6F" w:rsidRPr="0081600F">
        <w:rPr>
          <w:shd w:val="clear" w:color="auto" w:fill="FFFFFF"/>
        </w:rPr>
        <w:t>)</w:t>
      </w:r>
      <w:r w:rsidRPr="0081600F">
        <w:rPr>
          <w:shd w:val="clear" w:color="auto" w:fill="FFFFFF"/>
        </w:rPr>
        <w:t xml:space="preserve">  I</w:t>
      </w:r>
      <w:r w:rsidR="0002114B" w:rsidRPr="0081600F">
        <w:rPr>
          <w:shd w:val="clear" w:color="auto" w:fill="FFFFFF"/>
        </w:rPr>
        <w:t>f jurisdiction is lacking, we “must dismiss</w:t>
      </w:r>
      <w:r w:rsidRPr="0081600F">
        <w:rPr>
          <w:shd w:val="clear" w:color="auto" w:fill="FFFFFF"/>
        </w:rPr>
        <w:t>.</w:t>
      </w:r>
      <w:r w:rsidR="0002114B" w:rsidRPr="0081600F">
        <w:rPr>
          <w:shd w:val="clear" w:color="auto" w:fill="FFFFFF"/>
        </w:rPr>
        <w:t xml:space="preserve">” </w:t>
      </w:r>
      <w:r w:rsidR="000A3F3B" w:rsidRPr="0081600F">
        <w:rPr>
          <w:shd w:val="clear" w:color="auto" w:fill="FFFFFF"/>
        </w:rPr>
        <w:t xml:space="preserve"> </w:t>
      </w:r>
      <w:r w:rsidR="0002114B" w:rsidRPr="0081600F">
        <w:rPr>
          <w:shd w:val="clear" w:color="auto" w:fill="FFFFFF"/>
        </w:rPr>
        <w:t>(</w:t>
      </w:r>
      <w:r w:rsidR="0002114B" w:rsidRPr="0081600F">
        <w:rPr>
          <w:i/>
          <w:iCs/>
          <w:shd w:val="clear" w:color="auto" w:fill="FFFFFF"/>
        </w:rPr>
        <w:t>Hollister Convalescent Hosp., Inc. v. Rico</w:t>
      </w:r>
      <w:r w:rsidR="0002114B" w:rsidRPr="0081600F">
        <w:rPr>
          <w:shd w:val="clear" w:color="auto" w:fill="FFFFFF"/>
        </w:rPr>
        <w:t xml:space="preserve"> (1975) 15 Cal.3d 660, 674</w:t>
      </w:r>
      <w:r w:rsidRPr="0081600F">
        <w:rPr>
          <w:shd w:val="clear" w:color="auto" w:fill="FFFFFF"/>
        </w:rPr>
        <w:t>.</w:t>
      </w:r>
      <w:r w:rsidR="0002114B" w:rsidRPr="0081600F">
        <w:rPr>
          <w:shd w:val="clear" w:color="auto" w:fill="FFFFFF"/>
        </w:rPr>
        <w:t>)</w:t>
      </w:r>
      <w:r w:rsidR="002A4D6F" w:rsidRPr="0081600F">
        <w:rPr>
          <w:shd w:val="clear" w:color="auto" w:fill="FFFFFF"/>
        </w:rPr>
        <w:t xml:space="preserve"> </w:t>
      </w:r>
    </w:p>
    <w:p w14:paraId="3095DB1E" w14:textId="20DB085B" w:rsidR="0046791E" w:rsidRPr="0081600F" w:rsidRDefault="0064751C" w:rsidP="0046791E">
      <w:pPr>
        <w:pStyle w:val="Text"/>
        <w:rPr>
          <w:iCs/>
        </w:rPr>
      </w:pPr>
      <w:r w:rsidRPr="0081600F">
        <w:rPr>
          <w:iCs/>
        </w:rPr>
        <w:t xml:space="preserve">The statute at issue </w:t>
      </w:r>
      <w:r w:rsidR="000A3F3B" w:rsidRPr="0081600F">
        <w:rPr>
          <w:iCs/>
        </w:rPr>
        <w:t xml:space="preserve">here, section </w:t>
      </w:r>
      <w:r w:rsidRPr="0081600F">
        <w:rPr>
          <w:iCs/>
        </w:rPr>
        <w:t>877.6</w:t>
      </w:r>
      <w:r w:rsidR="000A3F3B" w:rsidRPr="0081600F">
        <w:rPr>
          <w:iCs/>
        </w:rPr>
        <w:t xml:space="preserve">, </w:t>
      </w:r>
      <w:r w:rsidRPr="0081600F">
        <w:rPr>
          <w:iCs/>
        </w:rPr>
        <w:t>establishes procedures for determining the good faith of a settlement between a plaintiff and one or more joint tortfeasors in a case involving multiple tortfeasors</w:t>
      </w:r>
      <w:r w:rsidR="00ED49D7" w:rsidRPr="0081600F">
        <w:rPr>
          <w:iCs/>
        </w:rPr>
        <w:t xml:space="preserve">.  </w:t>
      </w:r>
      <w:r w:rsidRPr="0081600F">
        <w:rPr>
          <w:iCs/>
        </w:rPr>
        <w:t>(§ 877.6, subd.</w:t>
      </w:r>
      <w:r w:rsidR="00ED49D7" w:rsidRPr="0081600F">
        <w:rPr>
          <w:iCs/>
        </w:rPr>
        <w:t> </w:t>
      </w:r>
      <w:r w:rsidRPr="0081600F">
        <w:rPr>
          <w:iCs/>
        </w:rPr>
        <w:t>(a).)  The party asserting a la</w:t>
      </w:r>
      <w:r w:rsidRPr="0081600F">
        <w:rPr>
          <w:iCs/>
        </w:rPr>
        <w:t>ck of good faith bears the burden of proof on the issue.  (</w:t>
      </w:r>
      <w:r w:rsidR="008743BB">
        <w:rPr>
          <w:i/>
        </w:rPr>
        <w:t>Id.</w:t>
      </w:r>
      <w:r w:rsidRPr="0081600F">
        <w:rPr>
          <w:iCs/>
        </w:rPr>
        <w:t xml:space="preserve">, subd. (d).)  A </w:t>
      </w:r>
      <w:r w:rsidR="00ED49D7" w:rsidRPr="0081600F">
        <w:rPr>
          <w:iCs/>
        </w:rPr>
        <w:t xml:space="preserve">trial </w:t>
      </w:r>
      <w:r w:rsidRPr="0081600F">
        <w:rPr>
          <w:iCs/>
        </w:rPr>
        <w:t xml:space="preserve">court’s determination that a settlement was made in good faith bars “any other joint tortfeasor </w:t>
      </w:r>
      <w:r w:rsidR="002E7A6C" w:rsidRPr="0081600F">
        <w:rPr>
          <w:iCs/>
        </w:rPr>
        <w:t>.</w:t>
      </w:r>
      <w:r w:rsidR="007F5841">
        <w:rPr>
          <w:iCs/>
        </w:rPr>
        <w:t> </w:t>
      </w:r>
      <w:r w:rsidR="002E7A6C" w:rsidRPr="0081600F">
        <w:rPr>
          <w:iCs/>
        </w:rPr>
        <w:t>.</w:t>
      </w:r>
      <w:r w:rsidR="007F5841">
        <w:rPr>
          <w:iCs/>
        </w:rPr>
        <w:t> </w:t>
      </w:r>
      <w:r w:rsidR="002E7A6C" w:rsidRPr="0081600F">
        <w:rPr>
          <w:iCs/>
        </w:rPr>
        <w:t>.</w:t>
      </w:r>
      <w:r w:rsidRPr="0081600F">
        <w:rPr>
          <w:iCs/>
        </w:rPr>
        <w:t xml:space="preserve"> from any further claims against the settling tortfeasor </w:t>
      </w:r>
      <w:r w:rsidR="002E7A6C" w:rsidRPr="0081600F">
        <w:rPr>
          <w:iCs/>
        </w:rPr>
        <w:t>.</w:t>
      </w:r>
      <w:r w:rsidR="007F5841">
        <w:rPr>
          <w:iCs/>
        </w:rPr>
        <w:t> </w:t>
      </w:r>
      <w:r w:rsidR="002E7A6C" w:rsidRPr="0081600F">
        <w:rPr>
          <w:iCs/>
        </w:rPr>
        <w:t>.</w:t>
      </w:r>
      <w:r w:rsidR="007F5841">
        <w:rPr>
          <w:iCs/>
        </w:rPr>
        <w:t> </w:t>
      </w:r>
      <w:r w:rsidR="002E7A6C" w:rsidRPr="0081600F">
        <w:rPr>
          <w:iCs/>
        </w:rPr>
        <w:t xml:space="preserve">. </w:t>
      </w:r>
      <w:r w:rsidRPr="0081600F">
        <w:rPr>
          <w:iCs/>
        </w:rPr>
        <w:t>for equ</w:t>
      </w:r>
      <w:r w:rsidRPr="0081600F">
        <w:rPr>
          <w:iCs/>
        </w:rPr>
        <w:t>itable comparative contribution, or partial or comparative indemnity, based on comparative negligence or comparative fault.</w:t>
      </w:r>
      <w:r w:rsidR="000A3F3B" w:rsidRPr="0081600F">
        <w:rPr>
          <w:iCs/>
        </w:rPr>
        <w:t>”</w:t>
      </w:r>
      <w:r w:rsidRPr="0081600F">
        <w:rPr>
          <w:iCs/>
        </w:rPr>
        <w:t xml:space="preserve">  (</w:t>
      </w:r>
      <w:r w:rsidR="008743BB">
        <w:rPr>
          <w:i/>
        </w:rPr>
        <w:t>Id.</w:t>
      </w:r>
      <w:r w:rsidR="00D9691A" w:rsidRPr="0081600F">
        <w:rPr>
          <w:iCs/>
        </w:rPr>
        <w:t xml:space="preserve">, </w:t>
      </w:r>
      <w:r w:rsidRPr="0081600F">
        <w:rPr>
          <w:iCs/>
        </w:rPr>
        <w:t xml:space="preserve">subd. (c).)  </w:t>
      </w:r>
    </w:p>
    <w:p w14:paraId="0B254A08" w14:textId="246F9320" w:rsidR="0046791E" w:rsidRPr="0081600F" w:rsidRDefault="0064751C" w:rsidP="00564C19">
      <w:pPr>
        <w:pStyle w:val="Text"/>
        <w:ind w:firstLine="0"/>
        <w:rPr>
          <w:rFonts w:eastAsia="Times New Roman"/>
        </w:rPr>
      </w:pPr>
      <w:r w:rsidRPr="0081600F">
        <w:rPr>
          <w:iCs/>
        </w:rPr>
        <w:tab/>
        <w:t>Addressing appellate review of good faith settlement determinations, sub</w:t>
      </w:r>
      <w:r w:rsidR="00D9691A" w:rsidRPr="0081600F">
        <w:rPr>
          <w:iCs/>
        </w:rPr>
        <w:t>division</w:t>
      </w:r>
      <w:r w:rsidRPr="0081600F">
        <w:rPr>
          <w:iCs/>
        </w:rPr>
        <w:t xml:space="preserve"> (e) of section 877.6 provide</w:t>
      </w:r>
      <w:r w:rsidRPr="0081600F">
        <w:rPr>
          <w:iCs/>
        </w:rPr>
        <w:t>s:  “When a determination of the good faith or lack of good faith of a settlement is made, any party aggrieved by the determination may petition the proper court to review the determination by writ of mandate.  The petition for writ of mandate shall be fil</w:t>
      </w:r>
      <w:r w:rsidRPr="0081600F">
        <w:rPr>
          <w:iCs/>
        </w:rPr>
        <w:t>ed within 20 days after service of written notice of the determination, or within any additional time not exceeding 20 days as the trial court may allow.”  The appellate court must, “within 30 days of the receipt of all materials to be filed by the parties</w:t>
      </w:r>
      <w:r w:rsidRPr="0081600F">
        <w:rPr>
          <w:iCs/>
        </w:rPr>
        <w:t xml:space="preserve">, determine whether or not the court will hear the writ and </w:t>
      </w:r>
      <w:r w:rsidRPr="0081600F">
        <w:rPr>
          <w:iCs/>
        </w:rPr>
        <w:lastRenderedPageBreak/>
        <w:t>notify the parties of its determination.”  (</w:t>
      </w:r>
      <w:r w:rsidR="00186B21">
        <w:rPr>
          <w:i/>
        </w:rPr>
        <w:t>Id.</w:t>
      </w:r>
      <w:r w:rsidR="00186B21">
        <w:rPr>
          <w:iCs/>
        </w:rPr>
        <w:t>, subd., (e)(1).</w:t>
      </w:r>
      <w:r w:rsidRPr="0081600F">
        <w:rPr>
          <w:iCs/>
        </w:rPr>
        <w:t xml:space="preserve">)  Moreover, “[i]f the court grants a hearing on the writ, the hearing shall be given special precedence over all other civil </w:t>
      </w:r>
      <w:r w:rsidRPr="0081600F">
        <w:rPr>
          <w:iCs/>
        </w:rPr>
        <w:t>matters on the calendar of the court except those matters to which equal or greater precedence on the calendar is granted by law.”  (</w:t>
      </w:r>
      <w:r w:rsidR="00186B21">
        <w:rPr>
          <w:i/>
        </w:rPr>
        <w:t>Id.</w:t>
      </w:r>
      <w:r w:rsidR="00186B21">
        <w:rPr>
          <w:iCs/>
        </w:rPr>
        <w:t>, subd. (e)(2).</w:t>
      </w:r>
      <w:r w:rsidRPr="0081600F">
        <w:rPr>
          <w:iCs/>
        </w:rPr>
        <w:t xml:space="preserve">)  </w:t>
      </w:r>
      <w:r w:rsidR="005726E8" w:rsidRPr="0081600F">
        <w:rPr>
          <w:iCs/>
        </w:rPr>
        <w:t>T</w:t>
      </w:r>
      <w:r w:rsidRPr="0081600F">
        <w:rPr>
          <w:shd w:val="clear" w:color="auto" w:fill="FFFFFF"/>
        </w:rPr>
        <w:t xml:space="preserve">he time periods for dismissal for want of diligent prosecution are tolled while the writ petition is </w:t>
      </w:r>
      <w:r w:rsidRPr="0081600F">
        <w:rPr>
          <w:shd w:val="clear" w:color="auto" w:fill="FFFFFF"/>
        </w:rPr>
        <w:t>pending.  (</w:t>
      </w:r>
      <w:r w:rsidR="00186B21">
        <w:rPr>
          <w:rStyle w:val="ssit"/>
          <w:i/>
          <w:iCs/>
          <w:bdr w:val="none" w:sz="0" w:space="0" w:color="auto" w:frame="1"/>
          <w:shd w:val="clear" w:color="auto" w:fill="FFFFFF"/>
        </w:rPr>
        <w:t>Id.</w:t>
      </w:r>
      <w:r w:rsidR="00186B21">
        <w:rPr>
          <w:rStyle w:val="ssit"/>
          <w:bdr w:val="none" w:sz="0" w:space="0" w:color="auto" w:frame="1"/>
          <w:shd w:val="clear" w:color="auto" w:fill="FFFFFF"/>
        </w:rPr>
        <w:t>, subd.</w:t>
      </w:r>
      <w:r w:rsidR="000A6DFC">
        <w:rPr>
          <w:rStyle w:val="ssit"/>
          <w:bdr w:val="none" w:sz="0" w:space="0" w:color="auto" w:frame="1"/>
          <w:shd w:val="clear" w:color="auto" w:fill="FFFFFF"/>
        </w:rPr>
        <w:t> </w:t>
      </w:r>
      <w:r w:rsidR="00186B21">
        <w:rPr>
          <w:rStyle w:val="ssit"/>
          <w:bdr w:val="none" w:sz="0" w:space="0" w:color="auto" w:frame="1"/>
          <w:shd w:val="clear" w:color="auto" w:fill="FFFFFF"/>
        </w:rPr>
        <w:t>(e)(3).</w:t>
      </w:r>
      <w:r w:rsidRPr="0081600F">
        <w:rPr>
          <w:rStyle w:val="ssit"/>
          <w:bdr w:val="none" w:sz="0" w:space="0" w:color="auto" w:frame="1"/>
          <w:shd w:val="clear" w:color="auto" w:fill="FFFFFF"/>
        </w:rPr>
        <w:t>)</w:t>
      </w:r>
    </w:p>
    <w:p w14:paraId="1D4F2D2C" w14:textId="37F45BFC" w:rsidR="003B00AA" w:rsidRPr="0081600F" w:rsidRDefault="0064751C" w:rsidP="003B00AA">
      <w:pPr>
        <w:pStyle w:val="Text"/>
        <w:ind w:firstLine="0"/>
        <w:rPr>
          <w:b/>
          <w:bCs/>
          <w:i/>
        </w:rPr>
      </w:pPr>
      <w:r w:rsidRPr="0081600F">
        <w:rPr>
          <w:b/>
          <w:bCs/>
          <w:i/>
        </w:rPr>
        <w:tab/>
        <w:t xml:space="preserve">B. </w:t>
      </w:r>
      <w:r w:rsidRPr="0081600F">
        <w:rPr>
          <w:b/>
          <w:bCs/>
          <w:i/>
        </w:rPr>
        <w:tab/>
      </w:r>
      <w:r w:rsidR="00955724" w:rsidRPr="0081600F">
        <w:rPr>
          <w:b/>
          <w:bCs/>
          <w:i/>
        </w:rPr>
        <w:t xml:space="preserve">The </w:t>
      </w:r>
      <w:r w:rsidR="00432FF8" w:rsidRPr="0081600F">
        <w:rPr>
          <w:b/>
          <w:bCs/>
          <w:i/>
        </w:rPr>
        <w:t xml:space="preserve">Statutory Language </w:t>
      </w:r>
      <w:r w:rsidR="005F08F9" w:rsidRPr="0081600F">
        <w:rPr>
          <w:b/>
          <w:bCs/>
          <w:i/>
        </w:rPr>
        <w:t>I</w:t>
      </w:r>
      <w:r w:rsidR="00432FF8" w:rsidRPr="0081600F">
        <w:rPr>
          <w:b/>
          <w:bCs/>
          <w:i/>
        </w:rPr>
        <w:t>s Ambiguous</w:t>
      </w:r>
    </w:p>
    <w:p w14:paraId="1505C482" w14:textId="4E2BBB5B" w:rsidR="009C4519" w:rsidRPr="0081600F" w:rsidRDefault="0064751C" w:rsidP="00C56821">
      <w:pPr>
        <w:pStyle w:val="Text"/>
        <w:ind w:firstLine="0"/>
        <w:rPr>
          <w:iCs/>
        </w:rPr>
      </w:pPr>
      <w:r w:rsidRPr="0081600F">
        <w:rPr>
          <w:b/>
          <w:bCs/>
          <w:iCs/>
        </w:rPr>
        <w:tab/>
      </w:r>
      <w:r w:rsidR="00C941E1" w:rsidRPr="0081600F">
        <w:rPr>
          <w:iCs/>
        </w:rPr>
        <w:t>In support of their varying positions, t</w:t>
      </w:r>
      <w:r w:rsidR="00B078FC" w:rsidRPr="0081600F">
        <w:rPr>
          <w:iCs/>
        </w:rPr>
        <w:t xml:space="preserve">he parties make several arguments based on the </w:t>
      </w:r>
      <w:r w:rsidR="00DD24E3" w:rsidRPr="0081600F">
        <w:rPr>
          <w:iCs/>
        </w:rPr>
        <w:t>statute’s la</w:t>
      </w:r>
      <w:r w:rsidR="00B078FC" w:rsidRPr="0081600F">
        <w:rPr>
          <w:iCs/>
        </w:rPr>
        <w:t>nguage.</w:t>
      </w:r>
      <w:r w:rsidR="00CA1D8A" w:rsidRPr="0081600F">
        <w:rPr>
          <w:iCs/>
        </w:rPr>
        <w:t xml:space="preserve">  </w:t>
      </w:r>
      <w:r w:rsidR="00E16F0C" w:rsidRPr="0081600F">
        <w:t xml:space="preserve">Chart contends that </w:t>
      </w:r>
      <w:r w:rsidR="001B4922" w:rsidRPr="0081600F">
        <w:rPr>
          <w:iCs/>
        </w:rPr>
        <w:t>section</w:t>
      </w:r>
      <w:r w:rsidR="00D9691A" w:rsidRPr="0081600F">
        <w:rPr>
          <w:iCs/>
        </w:rPr>
        <w:t> </w:t>
      </w:r>
      <w:r w:rsidR="001B4922" w:rsidRPr="0081600F">
        <w:rPr>
          <w:iCs/>
        </w:rPr>
        <w:t xml:space="preserve">877.6 </w:t>
      </w:r>
      <w:r w:rsidR="00E16F0C" w:rsidRPr="0081600F">
        <w:t xml:space="preserve">does not expressly preclude appellate review and states only that a writ petition “may” be filed, making such review optional rather than mandatory.  </w:t>
      </w:r>
      <w:r w:rsidR="001B4922" w:rsidRPr="0081600F">
        <w:t>In contrast, t</w:t>
      </w:r>
      <w:r w:rsidR="00D83954" w:rsidRPr="0081600F">
        <w:rPr>
          <w:iCs/>
        </w:rPr>
        <w:t>he s</w:t>
      </w:r>
      <w:r w:rsidR="00CA1D8A" w:rsidRPr="0081600F">
        <w:rPr>
          <w:iCs/>
        </w:rPr>
        <w:t xml:space="preserve">ettling defendants </w:t>
      </w:r>
      <w:r w:rsidR="00E16F0C" w:rsidRPr="0081600F">
        <w:rPr>
          <w:iCs/>
        </w:rPr>
        <w:t xml:space="preserve">contend </w:t>
      </w:r>
      <w:r w:rsidR="00CA1D8A" w:rsidRPr="0081600F">
        <w:rPr>
          <w:iCs/>
        </w:rPr>
        <w:t xml:space="preserve">that </w:t>
      </w:r>
      <w:r w:rsidR="00D9691A" w:rsidRPr="0081600F">
        <w:rPr>
          <w:iCs/>
        </w:rPr>
        <w:t xml:space="preserve">because </w:t>
      </w:r>
      <w:r w:rsidR="00CA1D8A" w:rsidRPr="0081600F">
        <w:rPr>
          <w:iCs/>
        </w:rPr>
        <w:t xml:space="preserve">subdivision (e) </w:t>
      </w:r>
      <w:r w:rsidR="00C941E1" w:rsidRPr="0081600F">
        <w:rPr>
          <w:iCs/>
        </w:rPr>
        <w:t xml:space="preserve">of section 877.6 </w:t>
      </w:r>
      <w:r w:rsidR="00E16F0C" w:rsidRPr="0081600F">
        <w:rPr>
          <w:iCs/>
        </w:rPr>
        <w:t xml:space="preserve">mentions no type of review </w:t>
      </w:r>
      <w:r w:rsidR="00717DD3">
        <w:rPr>
          <w:iCs/>
        </w:rPr>
        <w:t>except review</w:t>
      </w:r>
      <w:r w:rsidR="00E16F0C" w:rsidRPr="0081600F">
        <w:rPr>
          <w:iCs/>
        </w:rPr>
        <w:t xml:space="preserve"> by </w:t>
      </w:r>
      <w:r w:rsidR="00C941E1" w:rsidRPr="0081600F">
        <w:rPr>
          <w:iCs/>
        </w:rPr>
        <w:t>writ of mandate</w:t>
      </w:r>
      <w:r w:rsidR="00D9691A" w:rsidRPr="0081600F">
        <w:rPr>
          <w:iCs/>
        </w:rPr>
        <w:t xml:space="preserve"> and</w:t>
      </w:r>
      <w:r w:rsidR="00E16F0C" w:rsidRPr="0081600F">
        <w:rPr>
          <w:iCs/>
        </w:rPr>
        <w:t xml:space="preserve"> sets forth a specific </w:t>
      </w:r>
      <w:r w:rsidR="00C941E1" w:rsidRPr="0081600F">
        <w:rPr>
          <w:iCs/>
        </w:rPr>
        <w:t xml:space="preserve">procedure </w:t>
      </w:r>
      <w:r w:rsidR="00E16F0C" w:rsidRPr="0081600F">
        <w:rPr>
          <w:iCs/>
        </w:rPr>
        <w:t xml:space="preserve">with </w:t>
      </w:r>
      <w:r w:rsidR="001B4922" w:rsidRPr="0081600F">
        <w:rPr>
          <w:iCs/>
        </w:rPr>
        <w:t xml:space="preserve">short deadlines, </w:t>
      </w:r>
      <w:r w:rsidR="00D9691A" w:rsidRPr="0081600F">
        <w:rPr>
          <w:iCs/>
        </w:rPr>
        <w:t xml:space="preserve">the statute evinces </w:t>
      </w:r>
      <w:r w:rsidR="00E16F0C" w:rsidRPr="0081600F">
        <w:rPr>
          <w:iCs/>
        </w:rPr>
        <w:t xml:space="preserve">an </w:t>
      </w:r>
      <w:r w:rsidR="00F70B5F" w:rsidRPr="0081600F">
        <w:rPr>
          <w:iCs/>
        </w:rPr>
        <w:t xml:space="preserve">intent </w:t>
      </w:r>
      <w:r w:rsidR="00225078" w:rsidRPr="0081600F">
        <w:rPr>
          <w:iCs/>
        </w:rPr>
        <w:t xml:space="preserve">to supplant other forms of review. </w:t>
      </w:r>
      <w:r w:rsidR="00225078" w:rsidRPr="0081600F">
        <w:t xml:space="preserve"> </w:t>
      </w:r>
      <w:r w:rsidR="00F70B5F" w:rsidRPr="0081600F">
        <w:t xml:space="preserve">None of these </w:t>
      </w:r>
      <w:r w:rsidR="00E16F0C" w:rsidRPr="0081600F">
        <w:t xml:space="preserve">contentions </w:t>
      </w:r>
      <w:r w:rsidR="007E31AD" w:rsidRPr="0081600F">
        <w:t>are</w:t>
      </w:r>
      <w:r w:rsidR="007846A3" w:rsidRPr="0081600F">
        <w:t xml:space="preserve"> </w:t>
      </w:r>
      <w:r w:rsidR="007A4B09" w:rsidRPr="0081600F">
        <w:t>entirely convincing.</w:t>
      </w:r>
      <w:r w:rsidR="00671ABA" w:rsidRPr="0081600F">
        <w:t xml:space="preserve"> </w:t>
      </w:r>
      <w:r w:rsidR="0002114B" w:rsidRPr="0081600F">
        <w:rPr>
          <w:iCs/>
        </w:rPr>
        <w:t xml:space="preserve">  </w:t>
      </w:r>
      <w:r w:rsidR="002A4D6F" w:rsidRPr="0081600F">
        <w:rPr>
          <w:iCs/>
        </w:rPr>
        <w:t xml:space="preserve">  </w:t>
      </w:r>
      <w:r w:rsidR="00B078FC" w:rsidRPr="0081600F">
        <w:rPr>
          <w:iCs/>
        </w:rPr>
        <w:t xml:space="preserve">  </w:t>
      </w:r>
    </w:p>
    <w:p w14:paraId="7822B96F" w14:textId="4F3F2C40" w:rsidR="00BC172D" w:rsidRPr="0081600F" w:rsidRDefault="0064751C" w:rsidP="005E0D77">
      <w:pPr>
        <w:pStyle w:val="Text"/>
      </w:pPr>
      <w:r>
        <w:t xml:space="preserve">To begin with, </w:t>
      </w:r>
      <w:r w:rsidR="007A4B09">
        <w:t xml:space="preserve">we reject Chart’s argument that the word “may” necessarily makes </w:t>
      </w:r>
      <w:r w:rsidR="00A4367F">
        <w:t xml:space="preserve">the </w:t>
      </w:r>
      <w:r w:rsidR="00D9691A">
        <w:t>section 877.6</w:t>
      </w:r>
      <w:r w:rsidR="00A4367F">
        <w:t xml:space="preserve"> </w:t>
      </w:r>
      <w:r w:rsidR="007A4B09">
        <w:t xml:space="preserve">writ review </w:t>
      </w:r>
      <w:r w:rsidR="00A4367F">
        <w:t xml:space="preserve">procedure </w:t>
      </w:r>
      <w:r w:rsidR="007A4B09">
        <w:t>nonexclusive.</w:t>
      </w:r>
      <w:r w:rsidR="008C1548">
        <w:t xml:space="preserve">  Obviously, no litigant is ever </w:t>
      </w:r>
      <w:r w:rsidR="008C1548" w:rsidRPr="717AE9B5">
        <w:rPr>
          <w:i/>
          <w:iCs/>
        </w:rPr>
        <w:t>required</w:t>
      </w:r>
      <w:r w:rsidR="008C1548">
        <w:t xml:space="preserve"> to seek appellate review.  </w:t>
      </w:r>
      <w:r w:rsidR="00AA54F2">
        <w:t xml:space="preserve">The use </w:t>
      </w:r>
      <w:r w:rsidR="008C1548">
        <w:t xml:space="preserve">of </w:t>
      </w:r>
      <w:r w:rsidR="002F4ED3">
        <w:t>“</w:t>
      </w:r>
      <w:r w:rsidR="00CA5C8F">
        <w:t>may</w:t>
      </w:r>
      <w:r w:rsidR="002F4ED3">
        <w:t>”</w:t>
      </w:r>
      <w:r w:rsidR="00CD0017">
        <w:t xml:space="preserve"> </w:t>
      </w:r>
      <w:r w:rsidR="002F4ED3">
        <w:t xml:space="preserve">simply </w:t>
      </w:r>
      <w:r w:rsidR="00CD0017">
        <w:t>indicate</w:t>
      </w:r>
      <w:r w:rsidR="00A3621C">
        <w:t>s</w:t>
      </w:r>
      <w:r w:rsidR="00CD0017">
        <w:t xml:space="preserve"> that litigants </w:t>
      </w:r>
      <w:r w:rsidR="00835160">
        <w:t xml:space="preserve">have </w:t>
      </w:r>
      <w:r w:rsidR="00CD0017">
        <w:t xml:space="preserve">the </w:t>
      </w:r>
      <w:r w:rsidR="002F4ED3">
        <w:t xml:space="preserve">expedited writ procedure </w:t>
      </w:r>
      <w:r w:rsidR="00835160">
        <w:t xml:space="preserve">available to them </w:t>
      </w:r>
      <w:r w:rsidR="002F4ED3" w:rsidRPr="717AE9B5">
        <w:rPr>
          <w:i/>
          <w:iCs/>
        </w:rPr>
        <w:t>should they wish to challenge</w:t>
      </w:r>
      <w:r w:rsidR="002F4ED3">
        <w:t xml:space="preserve"> </w:t>
      </w:r>
      <w:r w:rsidR="00D9691A">
        <w:t>a</w:t>
      </w:r>
      <w:r w:rsidR="00835160">
        <w:t xml:space="preserve"> </w:t>
      </w:r>
      <w:r w:rsidR="002F4ED3">
        <w:t>trial court’s good faith determination.  Other courts have concluded as much in similar contexts.  (See</w:t>
      </w:r>
      <w:r w:rsidR="00D9691A">
        <w:t>, e.g.,</w:t>
      </w:r>
      <w:r w:rsidR="00E84D19">
        <w:t xml:space="preserve"> </w:t>
      </w:r>
      <w:r w:rsidR="00E84D19" w:rsidRPr="717AE9B5">
        <w:rPr>
          <w:i/>
          <w:iCs/>
        </w:rPr>
        <w:t>McCorkle v. City of Los Angeles</w:t>
      </w:r>
      <w:r w:rsidR="00E84D19">
        <w:t xml:space="preserve"> (1969) 70 Cal.2d 252, 256, fn. 4 &amp; 257 [holding that </w:t>
      </w:r>
      <w:r w:rsidR="003C3827">
        <w:t xml:space="preserve">the “interlocutory appellate remedy” set forth in </w:t>
      </w:r>
      <w:r w:rsidR="00E84D19">
        <w:t xml:space="preserve">former </w:t>
      </w:r>
      <w:r w:rsidR="006D5C82">
        <w:t>§ </w:t>
      </w:r>
      <w:r w:rsidR="00835160">
        <w:t>416.3</w:t>
      </w:r>
      <w:r w:rsidR="004104BE">
        <w:t>—</w:t>
      </w:r>
      <w:r w:rsidR="00835160">
        <w:t>which provided that a defendant “may” petition for a writ of mandate after denial of a motion to quash service of summons</w:t>
      </w:r>
      <w:r w:rsidR="004104BE">
        <w:t>—“preclude</w:t>
      </w:r>
      <w:r w:rsidR="003C3827">
        <w:t>[d]</w:t>
      </w:r>
      <w:r w:rsidR="004104BE">
        <w:t xml:space="preserve"> </w:t>
      </w:r>
      <w:r w:rsidR="004104BE">
        <w:lastRenderedPageBreak/>
        <w:t>review of the order upon appeal from a judgment entered after trial on the merits</w:t>
      </w:r>
      <w:r w:rsidR="003C3827">
        <w:t>”</w:t>
      </w:r>
      <w:r w:rsidR="00E84D19">
        <w:t>]</w:t>
      </w:r>
      <w:r w:rsidR="003C3827">
        <w:t xml:space="preserve">; </w:t>
      </w:r>
      <w:r w:rsidR="003C3827" w:rsidRPr="717AE9B5">
        <w:rPr>
          <w:i/>
          <w:iCs/>
        </w:rPr>
        <w:t>West v. Arent Fox LLP</w:t>
      </w:r>
      <w:r w:rsidR="003C3827">
        <w:t xml:space="preserve"> (2015) 237 Cal.App.4th 1065, 1071</w:t>
      </w:r>
      <w:r w:rsidR="00D9691A">
        <w:t>–</w:t>
      </w:r>
      <w:r w:rsidR="003C3827">
        <w:t>1072 [</w:t>
      </w:r>
      <w:r w:rsidR="006D5C82">
        <w:t>§ </w:t>
      </w:r>
      <w:r w:rsidR="004E27B3">
        <w:t>425.18</w:t>
      </w:r>
      <w:r w:rsidR="006D5C82">
        <w:t>, subd. (g)</w:t>
      </w:r>
      <w:r w:rsidR="004E27B3">
        <w:t xml:space="preserve">—which </w:t>
      </w:r>
      <w:r w:rsidR="005E0D77">
        <w:t>state</w:t>
      </w:r>
      <w:r w:rsidR="004E27B3">
        <w:t>s that “</w:t>
      </w:r>
      <w:r w:rsidR="00C843A6">
        <w:t>[</w:t>
      </w:r>
      <w:r w:rsidR="004E27B3">
        <w:t>u</w:t>
      </w:r>
      <w:r w:rsidR="00C843A6">
        <w:t>]</w:t>
      </w:r>
      <w:r w:rsidR="004E27B3">
        <w:t>pon entry of an order denying a special motion to strike a SLAPPback claim</w:t>
      </w:r>
      <w:r w:rsidR="00C843A6">
        <w:t>,</w:t>
      </w:r>
      <w:r w:rsidR="004E27B3">
        <w:t xml:space="preserve"> .</w:t>
      </w:r>
      <w:r w:rsidR="00C843A6">
        <w:t> </w:t>
      </w:r>
      <w:r w:rsidR="004E27B3">
        <w:t>.</w:t>
      </w:r>
      <w:r w:rsidR="00C843A6">
        <w:t> </w:t>
      </w:r>
      <w:r w:rsidR="004E27B3">
        <w:t xml:space="preserve">. an aggrieved party </w:t>
      </w:r>
      <w:r w:rsidR="004E27B3" w:rsidRPr="717AE9B5">
        <w:rPr>
          <w:i/>
          <w:iCs/>
        </w:rPr>
        <w:t>may</w:t>
      </w:r>
      <w:r w:rsidR="004E27B3">
        <w:t>, within 20 days after service of a written notice of the entry of the order, petition an appropriate reviewing court for a peremptory writ”</w:t>
      </w:r>
      <w:r w:rsidR="00716D66">
        <w:t xml:space="preserve"> </w:t>
      </w:r>
      <w:r w:rsidR="00BA0709">
        <w:t xml:space="preserve">(italics added) </w:t>
      </w:r>
      <w:r w:rsidR="004E27B3">
        <w:t>—</w:t>
      </w:r>
      <w:r w:rsidR="00EC692D">
        <w:t>held to be</w:t>
      </w:r>
      <w:r>
        <w:t xml:space="preserve"> the “sole remedy provided for review”</w:t>
      </w:r>
      <w:r w:rsidR="004E27B3">
        <w:t xml:space="preserve">].)  </w:t>
      </w:r>
    </w:p>
    <w:p w14:paraId="6C9A22CE" w14:textId="75F61154" w:rsidR="0046383E" w:rsidRPr="0081600F" w:rsidRDefault="0064751C" w:rsidP="00A4262F">
      <w:pPr>
        <w:pStyle w:val="Text"/>
      </w:pPr>
      <w:r>
        <w:t>On the other hand</w:t>
      </w:r>
      <w:r w:rsidR="00CA5C8F">
        <w:t xml:space="preserve">, it is true that section 877.6 does not expressly state that </w:t>
      </w:r>
      <w:r w:rsidR="00CD0017">
        <w:t>its</w:t>
      </w:r>
      <w:r w:rsidR="00CA5C8F">
        <w:t xml:space="preserve"> articulated writ procedure </w:t>
      </w:r>
      <w:r w:rsidR="002F4ED3">
        <w:t xml:space="preserve">must be followed </w:t>
      </w:r>
      <w:r w:rsidR="00CA5C8F">
        <w:t xml:space="preserve">in </w:t>
      </w:r>
      <w:r w:rsidR="00CD0017">
        <w:t>lieu</w:t>
      </w:r>
      <w:r w:rsidR="00CA5C8F">
        <w:t xml:space="preserve"> of any subsequent appeal</w:t>
      </w:r>
      <w:r w:rsidR="00FB5AE9">
        <w:t>.  A</w:t>
      </w:r>
      <w:r w:rsidR="00CD0017">
        <w:t xml:space="preserve">nd the Legislature could easily </w:t>
      </w:r>
      <w:r w:rsidR="002F4ED3">
        <w:t>have made any such intent express</w:t>
      </w:r>
      <w:r w:rsidR="00CA5C8F">
        <w:t>.</w:t>
      </w:r>
      <w:r w:rsidR="00FB5AE9">
        <w:t xml:space="preserve">  Indeed, it has done so in </w:t>
      </w:r>
      <w:r w:rsidR="00C078F4">
        <w:t xml:space="preserve">other </w:t>
      </w:r>
      <w:r w:rsidR="00FB5AE9">
        <w:t>statutes.</w:t>
      </w:r>
      <w:r w:rsidR="00FD238A">
        <w:t xml:space="preserve">  (</w:t>
      </w:r>
      <w:r w:rsidR="006D5C82">
        <w:t>See, e.g.,</w:t>
      </w:r>
      <w:r w:rsidR="00FD238A">
        <w:t xml:space="preserve"> §</w:t>
      </w:r>
      <w:r w:rsidR="003C3827">
        <w:t> </w:t>
      </w:r>
      <w:r w:rsidR="00FD238A">
        <w:t>170.3</w:t>
      </w:r>
      <w:r w:rsidR="00801A4D">
        <w:t>, subd. (d)</w:t>
      </w:r>
      <w:r w:rsidR="00FD238A">
        <w:t xml:space="preserve"> [providing that </w:t>
      </w:r>
      <w:r w:rsidR="00963FFC">
        <w:t>“</w:t>
      </w:r>
      <w:r w:rsidR="00FD238A">
        <w:t>[t]he determination of the question of the disqualification of a judge is not an appealable order and may be reviewed only by a writ of mandate from the appropriate court of appeal sought only by the parties to the proceeding</w:t>
      </w:r>
      <w:r w:rsidR="00963FFC">
        <w:t>”</w:t>
      </w:r>
      <w:r w:rsidR="00FD238A">
        <w:t xml:space="preserve">]; </w:t>
      </w:r>
      <w:r w:rsidR="00A4262F">
        <w:t xml:space="preserve">Gov. Code, § </w:t>
      </w:r>
      <w:r w:rsidR="003D1564">
        <w:t>6259</w:t>
      </w:r>
      <w:r w:rsidR="00A4262F">
        <w:t>, subd. (c) [providing that a superior court decision in a Public Records Act case “is not a final judgment or order within the meaning of [section 904.1] from which an appeal may be taken, but shall be immediately reviewable by petition to the appellate court for the issuance of an extraordinary writ”]; s</w:t>
      </w:r>
      <w:r w:rsidR="00FD238A">
        <w:t>ee also</w:t>
      </w:r>
      <w:r w:rsidR="00963FFC">
        <w:t xml:space="preserve"> </w:t>
      </w:r>
      <w:r w:rsidR="00963FFC" w:rsidRPr="717AE9B5">
        <w:rPr>
          <w:i/>
          <w:iCs/>
        </w:rPr>
        <w:t>Tuff Boy</w:t>
      </w:r>
      <w:r w:rsidR="00963FFC">
        <w:t xml:space="preserve">, </w:t>
      </w:r>
      <w:r w:rsidR="00963FFC" w:rsidRPr="717AE9B5">
        <w:rPr>
          <w:i/>
          <w:iCs/>
        </w:rPr>
        <w:t>supra</w:t>
      </w:r>
      <w:r w:rsidR="00963FFC">
        <w:t>, 86 Cal.App.4th at pp.</w:t>
      </w:r>
      <w:r w:rsidR="006B419B">
        <w:t> </w:t>
      </w:r>
      <w:r w:rsidR="00963FFC">
        <w:t>636</w:t>
      </w:r>
      <w:r w:rsidR="006D5C82">
        <w:t>–</w:t>
      </w:r>
      <w:r w:rsidR="00963FFC">
        <w:t xml:space="preserve">637 [citing § 170.3 to show “that </w:t>
      </w:r>
      <w:r w:rsidR="00FD238A">
        <w:t>the Legislature knows how to make writ review the exclusive mode of review if it wants to</w:t>
      </w:r>
      <w:r w:rsidR="00BC172D">
        <w:t>”</w:t>
      </w:r>
      <w:r w:rsidR="00963FFC">
        <w:t>].)</w:t>
      </w:r>
    </w:p>
    <w:p w14:paraId="5BC4EC6B" w14:textId="6CAE35F6" w:rsidR="008B4E2B" w:rsidRPr="0081600F" w:rsidRDefault="0064751C" w:rsidP="00CF0CA4">
      <w:pPr>
        <w:pStyle w:val="Text"/>
        <w:rPr>
          <w:bdr w:val="none" w:sz="0" w:space="0" w:color="auto" w:frame="1"/>
          <w:shd w:val="clear" w:color="auto" w:fill="FFFFFF"/>
        </w:rPr>
      </w:pPr>
      <w:r w:rsidRPr="0081600F">
        <w:rPr>
          <w:iCs/>
        </w:rPr>
        <w:t xml:space="preserve">While we </w:t>
      </w:r>
      <w:r w:rsidR="006B4B69" w:rsidRPr="0081600F">
        <w:rPr>
          <w:iCs/>
        </w:rPr>
        <w:t>dis</w:t>
      </w:r>
      <w:r w:rsidR="002F4ED3" w:rsidRPr="0081600F">
        <w:rPr>
          <w:iCs/>
        </w:rPr>
        <w:t xml:space="preserve">agree that </w:t>
      </w:r>
      <w:r w:rsidR="006B4B69" w:rsidRPr="0081600F">
        <w:rPr>
          <w:iCs/>
        </w:rPr>
        <w:t>section 877.6</w:t>
      </w:r>
      <w:r w:rsidR="00D83954" w:rsidRPr="0081600F">
        <w:rPr>
          <w:iCs/>
        </w:rPr>
        <w:t xml:space="preserve">’s </w:t>
      </w:r>
      <w:r w:rsidR="00087913" w:rsidRPr="0081600F">
        <w:rPr>
          <w:iCs/>
        </w:rPr>
        <w:t xml:space="preserve">exclusive </w:t>
      </w:r>
      <w:r w:rsidR="00D83954" w:rsidRPr="0081600F">
        <w:rPr>
          <w:iCs/>
        </w:rPr>
        <w:t xml:space="preserve">reference to review by </w:t>
      </w:r>
      <w:r w:rsidR="006B4B69" w:rsidRPr="0081600F">
        <w:rPr>
          <w:iCs/>
        </w:rPr>
        <w:t>writ of mandate is definitive ev</w:t>
      </w:r>
      <w:r w:rsidR="00D84924" w:rsidRPr="0081600F">
        <w:rPr>
          <w:iCs/>
        </w:rPr>
        <w:t>idence precluding a subsequent appeal</w:t>
      </w:r>
      <w:r w:rsidRPr="0081600F">
        <w:rPr>
          <w:iCs/>
        </w:rPr>
        <w:t xml:space="preserve">, we agree that </w:t>
      </w:r>
      <w:r w:rsidR="00D83954" w:rsidRPr="0081600F">
        <w:rPr>
          <w:iCs/>
        </w:rPr>
        <w:t xml:space="preserve">the </w:t>
      </w:r>
      <w:r w:rsidR="001B4922" w:rsidRPr="0081600F">
        <w:rPr>
          <w:iCs/>
        </w:rPr>
        <w:t>s</w:t>
      </w:r>
      <w:r w:rsidR="006D5C82" w:rsidRPr="0081600F">
        <w:rPr>
          <w:iCs/>
        </w:rPr>
        <w:t>tatute</w:t>
      </w:r>
      <w:r w:rsidR="001B4922" w:rsidRPr="0081600F">
        <w:rPr>
          <w:iCs/>
        </w:rPr>
        <w:t xml:space="preserve">’s </w:t>
      </w:r>
      <w:r w:rsidR="00D83954" w:rsidRPr="0081600F">
        <w:rPr>
          <w:iCs/>
        </w:rPr>
        <w:t>sp</w:t>
      </w:r>
      <w:r w:rsidR="00D84924" w:rsidRPr="0081600F">
        <w:rPr>
          <w:iCs/>
        </w:rPr>
        <w:t>ecific</w:t>
      </w:r>
      <w:r w:rsidR="00D83954" w:rsidRPr="0081600F">
        <w:rPr>
          <w:iCs/>
        </w:rPr>
        <w:t xml:space="preserve">ity </w:t>
      </w:r>
      <w:r w:rsidR="001B4922" w:rsidRPr="0081600F">
        <w:rPr>
          <w:iCs/>
        </w:rPr>
        <w:t>is</w:t>
      </w:r>
      <w:r w:rsidR="00D84924" w:rsidRPr="0081600F">
        <w:rPr>
          <w:iCs/>
        </w:rPr>
        <w:t xml:space="preserve"> some evidence that the Legislature intended the statutory writ remedy to be the only avenue </w:t>
      </w:r>
      <w:r w:rsidR="00D33F48" w:rsidRPr="0081600F">
        <w:rPr>
          <w:iCs/>
        </w:rPr>
        <w:t>for</w:t>
      </w:r>
      <w:r w:rsidR="00D84924" w:rsidRPr="0081600F">
        <w:rPr>
          <w:iCs/>
        </w:rPr>
        <w:t xml:space="preserve"> appellate review.  </w:t>
      </w:r>
      <w:r w:rsidR="001F19E6" w:rsidRPr="0081600F">
        <w:rPr>
          <w:iCs/>
        </w:rPr>
        <w:t xml:space="preserve">As </w:t>
      </w:r>
      <w:r w:rsidR="00D83954" w:rsidRPr="0081600F">
        <w:rPr>
          <w:iCs/>
        </w:rPr>
        <w:t xml:space="preserve">we have </w:t>
      </w:r>
      <w:r w:rsidR="001F19E6" w:rsidRPr="0081600F">
        <w:rPr>
          <w:iCs/>
        </w:rPr>
        <w:t>mentioned</w:t>
      </w:r>
      <w:r w:rsidR="00D83954" w:rsidRPr="0081600F">
        <w:rPr>
          <w:iCs/>
        </w:rPr>
        <w:t>, under the statute</w:t>
      </w:r>
      <w:r w:rsidR="00F30107">
        <w:rPr>
          <w:iCs/>
        </w:rPr>
        <w:t>,</w:t>
      </w:r>
      <w:r w:rsidR="00D83954" w:rsidRPr="0081600F">
        <w:rPr>
          <w:iCs/>
        </w:rPr>
        <w:t xml:space="preserve"> </w:t>
      </w:r>
      <w:r w:rsidR="009269D6" w:rsidRPr="0081600F">
        <w:rPr>
          <w:iCs/>
        </w:rPr>
        <w:t xml:space="preserve">the petition for writ of mandate must be filed within 20 days of notice of the good faith </w:t>
      </w:r>
      <w:r w:rsidR="009269D6" w:rsidRPr="0081600F">
        <w:rPr>
          <w:iCs/>
        </w:rPr>
        <w:lastRenderedPageBreak/>
        <w:t xml:space="preserve">determination, a timeframe that can only be extended by the trial court up to an additional 20 days.  (§ 877.6, subd. (e).)  The appellate court must determine </w:t>
      </w:r>
      <w:r w:rsidR="00644DBE" w:rsidRPr="0081600F">
        <w:rPr>
          <w:iCs/>
        </w:rPr>
        <w:t xml:space="preserve">within 30 days </w:t>
      </w:r>
      <w:r w:rsidR="009269D6" w:rsidRPr="0081600F">
        <w:rPr>
          <w:iCs/>
        </w:rPr>
        <w:t xml:space="preserve">whether it will hear the writ </w:t>
      </w:r>
      <w:r w:rsidRPr="0081600F">
        <w:rPr>
          <w:iCs/>
        </w:rPr>
        <w:t>petition</w:t>
      </w:r>
      <w:r w:rsidR="009269D6" w:rsidRPr="0081600F">
        <w:rPr>
          <w:iCs/>
        </w:rPr>
        <w:t xml:space="preserve">, </w:t>
      </w:r>
      <w:r w:rsidR="00644DBE" w:rsidRPr="0081600F">
        <w:rPr>
          <w:iCs/>
        </w:rPr>
        <w:t xml:space="preserve">and if so, the matter </w:t>
      </w:r>
      <w:r w:rsidR="009269D6" w:rsidRPr="0081600F">
        <w:rPr>
          <w:iCs/>
        </w:rPr>
        <w:t xml:space="preserve">“shall be given special precedence over all other civil matters on the calendar of the court except those matters to which equal or greater precedence on the calendar is granted by law.”  </w:t>
      </w:r>
      <w:r w:rsidR="00E53C16">
        <w:rPr>
          <w:iCs/>
        </w:rPr>
        <w:t>(</w:t>
      </w:r>
      <w:r w:rsidR="00CF2881">
        <w:rPr>
          <w:i/>
        </w:rPr>
        <w:t>Id.</w:t>
      </w:r>
      <w:r w:rsidR="006D5C82" w:rsidRPr="0081600F">
        <w:rPr>
          <w:iCs/>
        </w:rPr>
        <w:t>,</w:t>
      </w:r>
      <w:r w:rsidRPr="0081600F">
        <w:rPr>
          <w:iCs/>
        </w:rPr>
        <w:t xml:space="preserve"> subd. (e)(1) &amp; (2).)  And t</w:t>
      </w:r>
      <w:r w:rsidRPr="0081600F">
        <w:rPr>
          <w:shd w:val="clear" w:color="auto" w:fill="FFFFFF"/>
        </w:rPr>
        <w:t>he time periods for dismissal for want of diligent prosecution with respect to the underlying action are tolled while the</w:t>
      </w:r>
      <w:r w:rsidRPr="0081600F">
        <w:rPr>
          <w:shd w:val="clear" w:color="auto" w:fill="FFFFFF"/>
        </w:rPr>
        <w:t xml:space="preserve"> writ petition is pending.  (</w:t>
      </w:r>
      <w:r w:rsidR="00CF2881">
        <w:rPr>
          <w:rStyle w:val="ssit"/>
          <w:i/>
          <w:iCs/>
          <w:bdr w:val="none" w:sz="0" w:space="0" w:color="auto" w:frame="1"/>
          <w:shd w:val="clear" w:color="auto" w:fill="FFFFFF"/>
        </w:rPr>
        <w:t>Id.</w:t>
      </w:r>
      <w:r w:rsidR="00644DBE" w:rsidRPr="0081600F">
        <w:rPr>
          <w:rStyle w:val="ssit"/>
          <w:bdr w:val="none" w:sz="0" w:space="0" w:color="auto" w:frame="1"/>
          <w:shd w:val="clear" w:color="auto" w:fill="FFFFFF"/>
        </w:rPr>
        <w:t xml:space="preserve">, </w:t>
      </w:r>
      <w:r w:rsidRPr="0081600F">
        <w:rPr>
          <w:rStyle w:val="ssit"/>
          <w:bdr w:val="none" w:sz="0" w:space="0" w:color="auto" w:frame="1"/>
          <w:shd w:val="clear" w:color="auto" w:fill="FFFFFF"/>
        </w:rPr>
        <w:t>subd.</w:t>
      </w:r>
      <w:r w:rsidR="00E53C16">
        <w:rPr>
          <w:rStyle w:val="ssit"/>
          <w:bdr w:val="none" w:sz="0" w:space="0" w:color="auto" w:frame="1"/>
          <w:shd w:val="clear" w:color="auto" w:fill="FFFFFF"/>
        </w:rPr>
        <w:t> </w:t>
      </w:r>
      <w:r w:rsidRPr="0081600F">
        <w:rPr>
          <w:rStyle w:val="ssit"/>
          <w:bdr w:val="none" w:sz="0" w:space="0" w:color="auto" w:frame="1"/>
          <w:shd w:val="clear" w:color="auto" w:fill="FFFFFF"/>
        </w:rPr>
        <w:t>(e)(3).)  In addition, subdivision (a)</w:t>
      </w:r>
      <w:r w:rsidR="00E53C16">
        <w:rPr>
          <w:rStyle w:val="ssit"/>
          <w:bdr w:val="none" w:sz="0" w:space="0" w:color="auto" w:frame="1"/>
          <w:shd w:val="clear" w:color="auto" w:fill="FFFFFF"/>
        </w:rPr>
        <w:t>(1)</w:t>
      </w:r>
      <w:r w:rsidRPr="0081600F">
        <w:rPr>
          <w:rStyle w:val="ssit"/>
          <w:bdr w:val="none" w:sz="0" w:space="0" w:color="auto" w:frame="1"/>
          <w:shd w:val="clear" w:color="auto" w:fill="FFFFFF"/>
        </w:rPr>
        <w:t xml:space="preserve"> of section </w:t>
      </w:r>
      <w:r w:rsidR="00CF0CA4" w:rsidRPr="0081600F">
        <w:rPr>
          <w:rStyle w:val="ssit"/>
          <w:bdr w:val="none" w:sz="0" w:space="0" w:color="auto" w:frame="1"/>
          <w:shd w:val="clear" w:color="auto" w:fill="FFFFFF"/>
        </w:rPr>
        <w:t xml:space="preserve">877.6 states that “[u]pon a showing of good cause, the court may shorten the time for giving the required notice to permit the determination of the issue </w:t>
      </w:r>
      <w:r w:rsidR="00D33F48" w:rsidRPr="0081600F">
        <w:rPr>
          <w:rStyle w:val="ssit"/>
          <w:bdr w:val="none" w:sz="0" w:space="0" w:color="auto" w:frame="1"/>
          <w:shd w:val="clear" w:color="auto" w:fill="FFFFFF"/>
        </w:rPr>
        <w:t xml:space="preserve">[of the good faith of a settlement] </w:t>
      </w:r>
      <w:r w:rsidR="00CF0CA4" w:rsidRPr="0081600F">
        <w:rPr>
          <w:rStyle w:val="ssit"/>
          <w:bdr w:val="none" w:sz="0" w:space="0" w:color="auto" w:frame="1"/>
          <w:shd w:val="clear" w:color="auto" w:fill="FFFFFF"/>
        </w:rPr>
        <w:t>to be made before the commencement of the trial of the action, or before the verdict or judgment if settlement is made after the trial has commenced.”  All of these provisions support the conclusion that the Legislature w</w:t>
      </w:r>
      <w:r w:rsidR="00D83954" w:rsidRPr="0081600F">
        <w:rPr>
          <w:rStyle w:val="ssit"/>
          <w:bdr w:val="none" w:sz="0" w:space="0" w:color="auto" w:frame="1"/>
          <w:shd w:val="clear" w:color="auto" w:fill="FFFFFF"/>
        </w:rPr>
        <w:t xml:space="preserve">anted to provide </w:t>
      </w:r>
      <w:r w:rsidR="00CF0CA4" w:rsidRPr="0081600F">
        <w:rPr>
          <w:rStyle w:val="ssit"/>
          <w:bdr w:val="none" w:sz="0" w:space="0" w:color="auto" w:frame="1"/>
          <w:shd w:val="clear" w:color="auto" w:fill="FFFFFF"/>
        </w:rPr>
        <w:t>settling tortfeasors w</w:t>
      </w:r>
      <w:r w:rsidR="00644DBE" w:rsidRPr="0081600F">
        <w:rPr>
          <w:rStyle w:val="ssit"/>
          <w:bdr w:val="none" w:sz="0" w:space="0" w:color="auto" w:frame="1"/>
          <w:shd w:val="clear" w:color="auto" w:fill="FFFFFF"/>
        </w:rPr>
        <w:t>ith</w:t>
      </w:r>
      <w:r w:rsidR="00CF0CA4" w:rsidRPr="0081600F">
        <w:rPr>
          <w:rStyle w:val="ssit"/>
          <w:bdr w:val="none" w:sz="0" w:space="0" w:color="auto" w:frame="1"/>
          <w:shd w:val="clear" w:color="auto" w:fill="FFFFFF"/>
        </w:rPr>
        <w:t xml:space="preserve"> a swift and final procedure for reviewing a trial court’s </w:t>
      </w:r>
      <w:r w:rsidR="00D33F48" w:rsidRPr="0081600F">
        <w:rPr>
          <w:rStyle w:val="ssit"/>
          <w:bdr w:val="none" w:sz="0" w:space="0" w:color="auto" w:frame="1"/>
          <w:shd w:val="clear" w:color="auto" w:fill="FFFFFF"/>
        </w:rPr>
        <w:t xml:space="preserve">good faith settlement </w:t>
      </w:r>
      <w:r w:rsidR="00CF0CA4" w:rsidRPr="0081600F">
        <w:rPr>
          <w:rStyle w:val="ssit"/>
          <w:bdr w:val="none" w:sz="0" w:space="0" w:color="auto" w:frame="1"/>
          <w:shd w:val="clear" w:color="auto" w:fill="FFFFFF"/>
        </w:rPr>
        <w:t>determination before the verdict or judgment in the underlying trial.</w:t>
      </w:r>
      <w:r w:rsidR="00A835A2" w:rsidRPr="0081600F">
        <w:rPr>
          <w:rStyle w:val="ssit"/>
          <w:bdr w:val="none" w:sz="0" w:space="0" w:color="auto" w:frame="1"/>
          <w:shd w:val="clear" w:color="auto" w:fill="FFFFFF"/>
        </w:rPr>
        <w:t xml:space="preserve">  (See </w:t>
      </w:r>
      <w:r w:rsidR="00A835A2" w:rsidRPr="0081600F">
        <w:rPr>
          <w:rStyle w:val="ssit"/>
          <w:i/>
          <w:iCs/>
          <w:bdr w:val="none" w:sz="0" w:space="0" w:color="auto" w:frame="1"/>
          <w:shd w:val="clear" w:color="auto" w:fill="FFFFFF"/>
        </w:rPr>
        <w:t>Main Fiber</w:t>
      </w:r>
      <w:r w:rsidR="00A835A2" w:rsidRPr="0081600F">
        <w:rPr>
          <w:rStyle w:val="ssit"/>
          <w:bdr w:val="none" w:sz="0" w:space="0" w:color="auto" w:frame="1"/>
          <w:shd w:val="clear" w:color="auto" w:fill="FFFFFF"/>
        </w:rPr>
        <w:t xml:space="preserve">, </w:t>
      </w:r>
      <w:r w:rsidR="00A835A2" w:rsidRPr="0081600F">
        <w:rPr>
          <w:rStyle w:val="ssit"/>
          <w:i/>
          <w:iCs/>
          <w:bdr w:val="none" w:sz="0" w:space="0" w:color="auto" w:frame="1"/>
          <w:shd w:val="clear" w:color="auto" w:fill="FFFFFF"/>
        </w:rPr>
        <w:t>supra</w:t>
      </w:r>
      <w:r w:rsidR="00A835A2" w:rsidRPr="0081600F">
        <w:rPr>
          <w:rStyle w:val="ssit"/>
          <w:bdr w:val="none" w:sz="0" w:space="0" w:color="auto" w:frame="1"/>
          <w:shd w:val="clear" w:color="auto" w:fill="FFFFFF"/>
        </w:rPr>
        <w:t xml:space="preserve">, 73 Cal.App.4th at p. 1136 [observing that </w:t>
      </w:r>
      <w:r w:rsidR="00644DBE" w:rsidRPr="0081600F">
        <w:rPr>
          <w:rStyle w:val="ssit"/>
          <w:bdr w:val="none" w:sz="0" w:space="0" w:color="auto" w:frame="1"/>
          <w:shd w:val="clear" w:color="auto" w:fill="FFFFFF"/>
        </w:rPr>
        <w:t>“</w:t>
      </w:r>
      <w:r w:rsidR="00A835A2" w:rsidRPr="0081600F">
        <w:rPr>
          <w:rStyle w:val="ssit"/>
          <w:bdr w:val="none" w:sz="0" w:space="0" w:color="auto" w:frame="1"/>
          <w:shd w:val="clear" w:color="auto" w:fill="FFFFFF"/>
        </w:rPr>
        <w:t>[t]he Legislature would not have gone to such lengths to enable effective writ review i</w:t>
      </w:r>
      <w:r w:rsidR="00644DBE" w:rsidRPr="0081600F">
        <w:rPr>
          <w:rStyle w:val="ssit"/>
          <w:bdr w:val="none" w:sz="0" w:space="0" w:color="auto" w:frame="1"/>
          <w:shd w:val="clear" w:color="auto" w:fill="FFFFFF"/>
        </w:rPr>
        <w:t>f</w:t>
      </w:r>
      <w:r w:rsidR="00A835A2" w:rsidRPr="0081600F">
        <w:rPr>
          <w:rStyle w:val="ssit"/>
          <w:bdr w:val="none" w:sz="0" w:space="0" w:color="auto" w:frame="1"/>
          <w:shd w:val="clear" w:color="auto" w:fill="FFFFFF"/>
        </w:rPr>
        <w:t xml:space="preserve"> the aggrieved party was equally free to wait for a final judgment” and pursue the issue by appeal].)  </w:t>
      </w:r>
    </w:p>
    <w:p w14:paraId="20A9B98C" w14:textId="7D9E78C7" w:rsidR="00963FFC" w:rsidRPr="0081600F" w:rsidRDefault="0064751C" w:rsidP="00C56821">
      <w:pPr>
        <w:pStyle w:val="Text"/>
        <w:ind w:firstLine="0"/>
        <w:rPr>
          <w:iCs/>
        </w:rPr>
      </w:pPr>
      <w:r w:rsidRPr="0081600F">
        <w:rPr>
          <w:iCs/>
        </w:rPr>
        <w:tab/>
        <w:t xml:space="preserve">In the end, we conclude that the absence of express language </w:t>
      </w:r>
      <w:r w:rsidR="003641ED" w:rsidRPr="0081600F">
        <w:rPr>
          <w:iCs/>
        </w:rPr>
        <w:t>in section</w:t>
      </w:r>
      <w:r w:rsidR="00644DBE" w:rsidRPr="0081600F">
        <w:rPr>
          <w:iCs/>
        </w:rPr>
        <w:t> </w:t>
      </w:r>
      <w:r w:rsidR="003641ED" w:rsidRPr="0081600F">
        <w:rPr>
          <w:iCs/>
        </w:rPr>
        <w:t xml:space="preserve">877.6 making a writ of mandate the exclusive means for securing appellate review of a trial court’s good faith settlement determination is not conclusive with respect to the Legislature’s intent on this point.  Similarly, </w:t>
      </w:r>
      <w:r w:rsidR="00B43474" w:rsidRPr="0081600F">
        <w:rPr>
          <w:iCs/>
        </w:rPr>
        <w:t xml:space="preserve">while section 877.6, when read as a whole, supports the conclusion the writ remedy provided is exclusive, the statute is not definitive.  Since the </w:t>
      </w:r>
      <w:r w:rsidR="00644DBE" w:rsidRPr="0081600F">
        <w:rPr>
          <w:iCs/>
        </w:rPr>
        <w:lastRenderedPageBreak/>
        <w:t xml:space="preserve">statutory </w:t>
      </w:r>
      <w:r w:rsidR="00B43474" w:rsidRPr="0081600F">
        <w:rPr>
          <w:iCs/>
        </w:rPr>
        <w:t xml:space="preserve">language provides no clear guidance on the </w:t>
      </w:r>
      <w:r w:rsidR="00D33F48" w:rsidRPr="0081600F">
        <w:rPr>
          <w:iCs/>
        </w:rPr>
        <w:t>issue, s</w:t>
      </w:r>
      <w:r w:rsidR="000B0968" w:rsidRPr="0081600F">
        <w:rPr>
          <w:iCs/>
        </w:rPr>
        <w:t>ection 877.6</w:t>
      </w:r>
      <w:r w:rsidR="003641ED" w:rsidRPr="0081600F">
        <w:rPr>
          <w:iCs/>
        </w:rPr>
        <w:t xml:space="preserve"> </w:t>
      </w:r>
      <w:r w:rsidR="00D33F48" w:rsidRPr="0081600F">
        <w:rPr>
          <w:iCs/>
        </w:rPr>
        <w:t xml:space="preserve">is </w:t>
      </w:r>
      <w:r w:rsidR="003641ED" w:rsidRPr="0081600F">
        <w:rPr>
          <w:iCs/>
        </w:rPr>
        <w:t xml:space="preserve">ambiguous </w:t>
      </w:r>
      <w:r w:rsidR="00D33F48" w:rsidRPr="0081600F">
        <w:rPr>
          <w:iCs/>
        </w:rPr>
        <w:t>with respect to</w:t>
      </w:r>
      <w:r w:rsidR="003641ED" w:rsidRPr="0081600F">
        <w:rPr>
          <w:iCs/>
        </w:rPr>
        <w:t xml:space="preserve"> </w:t>
      </w:r>
      <w:r w:rsidR="00B43474" w:rsidRPr="0081600F">
        <w:rPr>
          <w:iCs/>
        </w:rPr>
        <w:t>the availability of review by appeal from a subsequent judgment</w:t>
      </w:r>
      <w:r w:rsidR="00D33F48" w:rsidRPr="0081600F">
        <w:rPr>
          <w:iCs/>
        </w:rPr>
        <w:t>.  W</w:t>
      </w:r>
      <w:r w:rsidR="00B43474" w:rsidRPr="0081600F">
        <w:rPr>
          <w:iCs/>
        </w:rPr>
        <w:t xml:space="preserve">e </w:t>
      </w:r>
      <w:r w:rsidR="00D33F48" w:rsidRPr="0081600F">
        <w:rPr>
          <w:iCs/>
        </w:rPr>
        <w:t>th</w:t>
      </w:r>
      <w:r w:rsidR="00350B54" w:rsidRPr="0081600F">
        <w:rPr>
          <w:iCs/>
        </w:rPr>
        <w:t>us</w:t>
      </w:r>
      <w:r w:rsidR="00D33F48" w:rsidRPr="0081600F">
        <w:rPr>
          <w:iCs/>
        </w:rPr>
        <w:t xml:space="preserve"> </w:t>
      </w:r>
      <w:r w:rsidR="00B43474" w:rsidRPr="0081600F">
        <w:rPr>
          <w:iCs/>
        </w:rPr>
        <w:t xml:space="preserve">look to </w:t>
      </w:r>
      <w:r w:rsidR="003641ED" w:rsidRPr="0081600F">
        <w:rPr>
          <w:iCs/>
        </w:rPr>
        <w:t xml:space="preserve">the legislative history and underlying purposes of </w:t>
      </w:r>
      <w:r w:rsidR="000B0968" w:rsidRPr="0081600F">
        <w:rPr>
          <w:iCs/>
        </w:rPr>
        <w:t>the statute</w:t>
      </w:r>
      <w:r w:rsidR="00B43474" w:rsidRPr="0081600F">
        <w:rPr>
          <w:iCs/>
        </w:rPr>
        <w:t xml:space="preserve"> to </w:t>
      </w:r>
      <w:r w:rsidR="00644DBE" w:rsidRPr="0081600F">
        <w:rPr>
          <w:iCs/>
        </w:rPr>
        <w:t xml:space="preserve">aid us in </w:t>
      </w:r>
      <w:r w:rsidR="00911BAA" w:rsidRPr="0081600F">
        <w:rPr>
          <w:iCs/>
        </w:rPr>
        <w:t>discern</w:t>
      </w:r>
      <w:r w:rsidR="00644DBE" w:rsidRPr="0081600F">
        <w:rPr>
          <w:iCs/>
        </w:rPr>
        <w:t>ing</w:t>
      </w:r>
      <w:r w:rsidR="00911BAA" w:rsidRPr="0081600F">
        <w:rPr>
          <w:iCs/>
        </w:rPr>
        <w:t xml:space="preserve"> the Legislature’s intent.</w:t>
      </w:r>
      <w:r w:rsidR="003641ED" w:rsidRPr="0081600F">
        <w:rPr>
          <w:iCs/>
        </w:rPr>
        <w:t xml:space="preserve"> </w:t>
      </w:r>
    </w:p>
    <w:p w14:paraId="31CC6129" w14:textId="59AB433C" w:rsidR="00411B8D" w:rsidRPr="0081600F" w:rsidRDefault="0064751C" w:rsidP="00694632">
      <w:pPr>
        <w:pStyle w:val="Text"/>
        <w:ind w:left="720" w:hanging="720"/>
        <w:rPr>
          <w:i/>
          <w:shd w:val="clear" w:color="auto" w:fill="FFFFFF"/>
        </w:rPr>
      </w:pPr>
      <w:r w:rsidRPr="0081600F">
        <w:rPr>
          <w:b/>
          <w:bCs/>
          <w:i/>
        </w:rPr>
        <w:tab/>
      </w:r>
      <w:r w:rsidR="00432FF8" w:rsidRPr="0081600F">
        <w:rPr>
          <w:b/>
          <w:bCs/>
          <w:i/>
        </w:rPr>
        <w:t>C</w:t>
      </w:r>
      <w:r w:rsidR="00126BF5" w:rsidRPr="0081600F">
        <w:rPr>
          <w:b/>
          <w:bCs/>
          <w:i/>
        </w:rPr>
        <w:t xml:space="preserve">. </w:t>
      </w:r>
      <w:r w:rsidR="00126BF5" w:rsidRPr="0081600F">
        <w:rPr>
          <w:b/>
          <w:bCs/>
          <w:i/>
        </w:rPr>
        <w:tab/>
      </w:r>
      <w:r w:rsidR="00844276" w:rsidRPr="0081600F">
        <w:rPr>
          <w:b/>
          <w:bCs/>
          <w:i/>
        </w:rPr>
        <w:t>Purpose</w:t>
      </w:r>
      <w:r w:rsidR="00FB5AE9" w:rsidRPr="0081600F">
        <w:rPr>
          <w:b/>
          <w:bCs/>
          <w:i/>
        </w:rPr>
        <w:t>s</w:t>
      </w:r>
      <w:r w:rsidR="00844276" w:rsidRPr="0081600F">
        <w:rPr>
          <w:b/>
          <w:bCs/>
          <w:i/>
        </w:rPr>
        <w:t xml:space="preserve"> </w:t>
      </w:r>
      <w:r w:rsidR="00944C11" w:rsidRPr="0081600F">
        <w:rPr>
          <w:b/>
          <w:bCs/>
          <w:i/>
        </w:rPr>
        <w:t>and</w:t>
      </w:r>
      <w:r w:rsidR="00844276" w:rsidRPr="0081600F">
        <w:rPr>
          <w:b/>
          <w:bCs/>
          <w:i/>
        </w:rPr>
        <w:t xml:space="preserve"> </w:t>
      </w:r>
      <w:r w:rsidR="00432FF8" w:rsidRPr="0081600F">
        <w:rPr>
          <w:b/>
          <w:bCs/>
          <w:i/>
        </w:rPr>
        <w:t>Legislative History</w:t>
      </w:r>
      <w:r w:rsidR="001632D1" w:rsidRPr="0081600F">
        <w:rPr>
          <w:b/>
          <w:bCs/>
          <w:i/>
        </w:rPr>
        <w:t xml:space="preserve"> of Assembly Bill No. 232</w:t>
      </w:r>
      <w:r w:rsidR="00126BF5" w:rsidRPr="0081600F">
        <w:rPr>
          <w:b/>
          <w:bCs/>
          <w:i/>
        </w:rPr>
        <w:t xml:space="preserve"> </w:t>
      </w:r>
      <w:r w:rsidR="00FC07EF" w:rsidRPr="0081600F">
        <w:rPr>
          <w:i/>
          <w:shd w:val="clear" w:color="auto" w:fill="FFFFFF"/>
        </w:rPr>
        <w:tab/>
      </w:r>
    </w:p>
    <w:p w14:paraId="3657D1CE" w14:textId="50388583" w:rsidR="00F05942" w:rsidRPr="0081600F" w:rsidRDefault="0064751C" w:rsidP="005453E7">
      <w:pPr>
        <w:pStyle w:val="Text"/>
        <w:rPr>
          <w:iCs/>
        </w:rPr>
      </w:pPr>
      <w:r w:rsidRPr="0081600F">
        <w:rPr>
          <w:iCs/>
        </w:rPr>
        <w:t>“</w:t>
      </w:r>
      <w:r w:rsidR="00A512D3" w:rsidRPr="0081600F">
        <w:rPr>
          <w:iCs/>
        </w:rPr>
        <w:t xml:space="preserve">The policies underlying the discharge of a good faith settling tortfeasor under </w:t>
      </w:r>
      <w:r w:rsidR="00644DBE" w:rsidRPr="0081600F">
        <w:rPr>
          <w:iCs/>
        </w:rPr>
        <w:t>.</w:t>
      </w:r>
      <w:r w:rsidR="00E53C16">
        <w:rPr>
          <w:iCs/>
        </w:rPr>
        <w:t> </w:t>
      </w:r>
      <w:r w:rsidR="00644DBE" w:rsidRPr="0081600F">
        <w:rPr>
          <w:iCs/>
        </w:rPr>
        <w:t>.</w:t>
      </w:r>
      <w:r w:rsidR="00E53C16">
        <w:rPr>
          <w:iCs/>
        </w:rPr>
        <w:t> </w:t>
      </w:r>
      <w:r w:rsidR="00644DBE" w:rsidRPr="0081600F">
        <w:rPr>
          <w:iCs/>
        </w:rPr>
        <w:t xml:space="preserve">. </w:t>
      </w:r>
      <w:r w:rsidR="006A695B" w:rsidRPr="0081600F">
        <w:rPr>
          <w:iCs/>
        </w:rPr>
        <w:t xml:space="preserve">section </w:t>
      </w:r>
      <w:r w:rsidR="00A512D3" w:rsidRPr="0081600F">
        <w:rPr>
          <w:iCs/>
        </w:rPr>
        <w:t>877 include the promotion of settlement of disputes and the finality of such settlements.</w:t>
      </w:r>
      <w:r w:rsidR="006A695B" w:rsidRPr="0081600F">
        <w:rPr>
          <w:iCs/>
        </w:rPr>
        <w:t>”</w:t>
      </w:r>
      <w:r w:rsidR="00EF30BF" w:rsidRPr="0081600F">
        <w:rPr>
          <w:iCs/>
        </w:rPr>
        <w:t xml:space="preserve">  (</w:t>
      </w:r>
      <w:r w:rsidR="00F52F45" w:rsidRPr="0081600F">
        <w:rPr>
          <w:i/>
        </w:rPr>
        <w:t>Barth-Wit</w:t>
      </w:r>
      <w:r w:rsidR="00644DBE" w:rsidRPr="0081600F">
        <w:rPr>
          <w:i/>
        </w:rPr>
        <w:t>t</w:t>
      </w:r>
      <w:r w:rsidR="00F52F45" w:rsidRPr="0081600F">
        <w:rPr>
          <w:i/>
        </w:rPr>
        <w:t>more Ins. v. H.</w:t>
      </w:r>
      <w:r w:rsidR="00E53C16">
        <w:rPr>
          <w:i/>
        </w:rPr>
        <w:t> </w:t>
      </w:r>
      <w:r w:rsidR="00F52F45" w:rsidRPr="0081600F">
        <w:rPr>
          <w:i/>
        </w:rPr>
        <w:t>R. Murphy Enter</w:t>
      </w:r>
      <w:r w:rsidR="00E53C16">
        <w:rPr>
          <w:i/>
        </w:rPr>
        <w:t>prise</w:t>
      </w:r>
      <w:r w:rsidR="00F52F45" w:rsidRPr="0081600F">
        <w:rPr>
          <w:i/>
        </w:rPr>
        <w:t>s</w:t>
      </w:r>
      <w:r w:rsidR="00D6713B">
        <w:rPr>
          <w:i/>
        </w:rPr>
        <w:t>, Inc.</w:t>
      </w:r>
      <w:r w:rsidR="00F52F45" w:rsidRPr="0081600F">
        <w:rPr>
          <w:iCs/>
        </w:rPr>
        <w:t xml:space="preserve"> (1985) 169 Cal.App.3d</w:t>
      </w:r>
      <w:r w:rsidR="006A695B" w:rsidRPr="0081600F">
        <w:rPr>
          <w:iCs/>
        </w:rPr>
        <w:t xml:space="preserve"> </w:t>
      </w:r>
      <w:r w:rsidR="00F52F45" w:rsidRPr="0081600F">
        <w:rPr>
          <w:iCs/>
        </w:rPr>
        <w:t>124,</w:t>
      </w:r>
      <w:r w:rsidR="004E0C1A" w:rsidRPr="0081600F">
        <w:rPr>
          <w:iCs/>
        </w:rPr>
        <w:t xml:space="preserve"> 13</w:t>
      </w:r>
      <w:r w:rsidR="00FE5118" w:rsidRPr="0081600F">
        <w:rPr>
          <w:iCs/>
        </w:rPr>
        <w:t>0</w:t>
      </w:r>
      <w:r w:rsidR="00F52F45" w:rsidRPr="0081600F">
        <w:rPr>
          <w:iCs/>
        </w:rPr>
        <w:t>.)</w:t>
      </w:r>
      <w:r w:rsidR="004E0C1A" w:rsidRPr="0081600F">
        <w:rPr>
          <w:iCs/>
        </w:rPr>
        <w:t xml:space="preserve">  However, “[w]</w:t>
      </w:r>
      <w:r w:rsidR="00A512D3" w:rsidRPr="0081600F">
        <w:rPr>
          <w:iCs/>
        </w:rPr>
        <w:t>here review of a settlement must await conclusion of the entire case, the intended finality is absent and promotion of settlement obviously thwarted.</w:t>
      </w:r>
      <w:r w:rsidR="00F51AE7" w:rsidRPr="0081600F">
        <w:rPr>
          <w:iCs/>
        </w:rPr>
        <w:t>”</w:t>
      </w:r>
      <w:r w:rsidR="004E0C1A" w:rsidRPr="0081600F">
        <w:rPr>
          <w:iCs/>
        </w:rPr>
        <w:t xml:space="preserve">  (</w:t>
      </w:r>
      <w:r w:rsidR="004E0C1A" w:rsidRPr="0081600F">
        <w:rPr>
          <w:i/>
        </w:rPr>
        <w:t>Ibid.</w:t>
      </w:r>
      <w:r w:rsidR="004E0C1A" w:rsidRPr="0081600F">
        <w:rPr>
          <w:iCs/>
        </w:rPr>
        <w:t>)</w:t>
      </w:r>
      <w:r w:rsidR="00A512D3" w:rsidRPr="0081600F">
        <w:rPr>
          <w:iCs/>
        </w:rPr>
        <w:t xml:space="preserve"> </w:t>
      </w:r>
      <w:r w:rsidR="004E0C1A" w:rsidRPr="0081600F">
        <w:rPr>
          <w:iCs/>
        </w:rPr>
        <w:t xml:space="preserve"> Recognizing this problem, the</w:t>
      </w:r>
      <w:r w:rsidR="00A512D3" w:rsidRPr="0081600F">
        <w:rPr>
          <w:iCs/>
        </w:rPr>
        <w:t xml:space="preserve"> Legislature</w:t>
      </w:r>
      <w:r w:rsidR="004E0C1A" w:rsidRPr="0081600F">
        <w:rPr>
          <w:iCs/>
        </w:rPr>
        <w:t xml:space="preserve"> added s</w:t>
      </w:r>
      <w:r w:rsidR="008A44A0" w:rsidRPr="0081600F">
        <w:rPr>
          <w:iCs/>
        </w:rPr>
        <w:t>ubdivision (e) to section</w:t>
      </w:r>
      <w:r w:rsidR="00102992">
        <w:rPr>
          <w:iCs/>
        </w:rPr>
        <w:t> </w:t>
      </w:r>
      <w:r w:rsidR="008A44A0" w:rsidRPr="0081600F">
        <w:rPr>
          <w:iCs/>
        </w:rPr>
        <w:t xml:space="preserve">877.6 </w:t>
      </w:r>
      <w:r w:rsidR="004E0C1A" w:rsidRPr="0081600F">
        <w:rPr>
          <w:iCs/>
        </w:rPr>
        <w:t>in 1984.  (</w:t>
      </w:r>
      <w:r w:rsidR="0020227F" w:rsidRPr="0081600F">
        <w:rPr>
          <w:i/>
        </w:rPr>
        <w:t>Barth-Wittmore</w:t>
      </w:r>
      <w:r w:rsidR="0020227F">
        <w:rPr>
          <w:iCs/>
        </w:rPr>
        <w:t>,</w:t>
      </w:r>
      <w:r w:rsidR="009E1634">
        <w:rPr>
          <w:iCs/>
        </w:rPr>
        <w:t xml:space="preserve"> at pp. 130–131</w:t>
      </w:r>
      <w:r w:rsidR="004E0C1A" w:rsidRPr="0081600F">
        <w:rPr>
          <w:iCs/>
        </w:rPr>
        <w:t xml:space="preserve">; see </w:t>
      </w:r>
      <w:r w:rsidR="008A44A0" w:rsidRPr="0081600F">
        <w:rPr>
          <w:iCs/>
        </w:rPr>
        <w:t>Assembly Bill No. 232</w:t>
      </w:r>
      <w:r w:rsidR="005855EC">
        <w:rPr>
          <w:iCs/>
        </w:rPr>
        <w:t xml:space="preserve"> (1983–1984 Reg.</w:t>
      </w:r>
      <w:r w:rsidR="00897CCA">
        <w:rPr>
          <w:iCs/>
        </w:rPr>
        <w:t xml:space="preserve"> Sess.)</w:t>
      </w:r>
      <w:r w:rsidR="009E1634" w:rsidRPr="0081600F">
        <w:rPr>
          <w:iCs/>
        </w:rPr>
        <w:t xml:space="preserve"> (Assembly Bill 232)</w:t>
      </w:r>
      <w:r w:rsidR="008A44A0" w:rsidRPr="0081600F">
        <w:rPr>
          <w:iCs/>
        </w:rPr>
        <w:t>, Stats. 1984, ch. 311, § 1</w:t>
      </w:r>
      <w:r w:rsidR="009E1634">
        <w:rPr>
          <w:iCs/>
        </w:rPr>
        <w:t>, p. 1552</w:t>
      </w:r>
      <w:r w:rsidR="005453E7" w:rsidRPr="0081600F">
        <w:rPr>
          <w:iCs/>
        </w:rPr>
        <w:t>; see also Sen. Com. on Judiciary, Analysis of Assem. Bill 232</w:t>
      </w:r>
      <w:r w:rsidR="00897CCA">
        <w:rPr>
          <w:iCs/>
        </w:rPr>
        <w:t>,</w:t>
      </w:r>
      <w:r w:rsidR="005453E7" w:rsidRPr="0081600F">
        <w:rPr>
          <w:iCs/>
        </w:rPr>
        <w:t xml:space="preserve"> as amended May 19, 1984, p.</w:t>
      </w:r>
      <w:r w:rsidR="000529E1">
        <w:rPr>
          <w:iCs/>
        </w:rPr>
        <w:t> </w:t>
      </w:r>
      <w:r w:rsidR="005453E7" w:rsidRPr="0081600F">
        <w:rPr>
          <w:iCs/>
        </w:rPr>
        <w:t>2 (Senate Judiciary Analysis) [“The purpose of this bill is to provide specifically for an expeditious review of a trial court’s determination of the good faith of a settlement in an action involving multiple tortfeasors.”].)</w:t>
      </w:r>
      <w:r>
        <w:rPr>
          <w:rStyle w:val="FootnoteReference"/>
          <w:iCs/>
        </w:rPr>
        <w:footnoteReference w:id="6"/>
      </w:r>
      <w:r w:rsidR="005453E7" w:rsidRPr="0081600F">
        <w:rPr>
          <w:iCs/>
        </w:rPr>
        <w:t xml:space="preserve">  </w:t>
      </w:r>
      <w:r w:rsidR="00F51AE7" w:rsidRPr="0081600F">
        <w:rPr>
          <w:iCs/>
        </w:rPr>
        <w:t>As t</w:t>
      </w:r>
      <w:r w:rsidR="008A44A0" w:rsidRPr="0081600F">
        <w:rPr>
          <w:iCs/>
        </w:rPr>
        <w:t>he Legislative Counsel</w:t>
      </w:r>
      <w:r w:rsidR="00B418D0" w:rsidRPr="0081600F">
        <w:rPr>
          <w:iCs/>
        </w:rPr>
        <w:t xml:space="preserve">’s Digest </w:t>
      </w:r>
      <w:r w:rsidR="00F51AE7" w:rsidRPr="0081600F">
        <w:rPr>
          <w:iCs/>
        </w:rPr>
        <w:t xml:space="preserve">for Assembly Bill 232 </w:t>
      </w:r>
      <w:r w:rsidR="00B418D0" w:rsidRPr="0081600F">
        <w:rPr>
          <w:iCs/>
        </w:rPr>
        <w:t>notes</w:t>
      </w:r>
      <w:r w:rsidR="00F51AE7" w:rsidRPr="0081600F">
        <w:rPr>
          <w:iCs/>
        </w:rPr>
        <w:t>,</w:t>
      </w:r>
      <w:r w:rsidR="008A44A0" w:rsidRPr="0081600F">
        <w:rPr>
          <w:iCs/>
        </w:rPr>
        <w:t xml:space="preserve"> the legislation was necessary because “[e]xisting law [did] not expressly provide for appellate review prior to trial of a determination by the court of the good faith of a settlement.”  (</w:t>
      </w:r>
      <w:r w:rsidR="001171EF" w:rsidRPr="0081600F">
        <w:rPr>
          <w:iCs/>
        </w:rPr>
        <w:t xml:space="preserve">Legis. Counsel’s Dig., Assem. </w:t>
      </w:r>
      <w:r w:rsidR="001171EF" w:rsidRPr="0081600F">
        <w:rPr>
          <w:iCs/>
        </w:rPr>
        <w:lastRenderedPageBreak/>
        <w:t>Bill</w:t>
      </w:r>
      <w:r w:rsidR="00B7044B">
        <w:rPr>
          <w:iCs/>
        </w:rPr>
        <w:t> </w:t>
      </w:r>
      <w:r w:rsidR="001171EF" w:rsidRPr="0081600F">
        <w:rPr>
          <w:iCs/>
        </w:rPr>
        <w:t>232</w:t>
      </w:r>
      <w:r w:rsidR="00F601D1">
        <w:rPr>
          <w:iCs/>
        </w:rPr>
        <w:t>,</w:t>
      </w:r>
      <w:r w:rsidR="001171EF" w:rsidRPr="0081600F">
        <w:rPr>
          <w:iCs/>
        </w:rPr>
        <w:t xml:space="preserve">  Stats. 1984, Summary Dig., p. 113.</w:t>
      </w:r>
      <w:r w:rsidR="008A44A0" w:rsidRPr="0081600F">
        <w:rPr>
          <w:iCs/>
        </w:rPr>
        <w:t>)  The amendment therefore provide</w:t>
      </w:r>
      <w:r w:rsidR="00DF5043" w:rsidRPr="0081600F">
        <w:rPr>
          <w:iCs/>
        </w:rPr>
        <w:t>d</w:t>
      </w:r>
      <w:r w:rsidR="008A44A0" w:rsidRPr="0081600F">
        <w:rPr>
          <w:iCs/>
        </w:rPr>
        <w:t xml:space="preserve"> “that any party aggrieved by such determination may file a petition for review of the determination by writ of mandate, as specified.</w:t>
      </w:r>
      <w:r w:rsidR="00DF5043" w:rsidRPr="0081600F">
        <w:rPr>
          <w:iCs/>
        </w:rPr>
        <w:t>”</w:t>
      </w:r>
      <w:r w:rsidR="008A44A0" w:rsidRPr="0081600F">
        <w:rPr>
          <w:iCs/>
        </w:rPr>
        <w:t xml:space="preserve">  (</w:t>
      </w:r>
      <w:r w:rsidR="008A44A0" w:rsidRPr="0081600F">
        <w:rPr>
          <w:i/>
        </w:rPr>
        <w:t>Ibid</w:t>
      </w:r>
      <w:r w:rsidR="005453E7" w:rsidRPr="0081600F">
        <w:rPr>
          <w:i/>
        </w:rPr>
        <w:t>.</w:t>
      </w:r>
      <w:r w:rsidR="005453E7" w:rsidRPr="0081600F">
        <w:rPr>
          <w:iCs/>
        </w:rPr>
        <w:t>)</w:t>
      </w:r>
    </w:p>
    <w:p w14:paraId="67ED4859" w14:textId="20AA3A42" w:rsidR="00A8097F" w:rsidRPr="0081600F" w:rsidRDefault="0064751C" w:rsidP="005C6826">
      <w:pPr>
        <w:pStyle w:val="Text"/>
        <w:ind w:firstLine="0"/>
        <w:rPr>
          <w:iCs/>
        </w:rPr>
      </w:pPr>
      <w:r w:rsidRPr="0081600F">
        <w:rPr>
          <w:iCs/>
        </w:rPr>
        <w:tab/>
        <w:t xml:space="preserve">The legislative history for Assembly Bill 232 </w:t>
      </w:r>
      <w:r w:rsidR="0088339C" w:rsidRPr="0081600F">
        <w:rPr>
          <w:iCs/>
        </w:rPr>
        <w:t>is replete with references to</w:t>
      </w:r>
      <w:r w:rsidR="00F51AE7" w:rsidRPr="0081600F">
        <w:rPr>
          <w:iCs/>
        </w:rPr>
        <w:t xml:space="preserve"> </w:t>
      </w:r>
      <w:r w:rsidR="009F4A09" w:rsidRPr="0081600F">
        <w:rPr>
          <w:iCs/>
        </w:rPr>
        <w:t xml:space="preserve">the need for early finality to </w:t>
      </w:r>
      <w:r w:rsidR="00C25984" w:rsidRPr="0081600F">
        <w:rPr>
          <w:iCs/>
        </w:rPr>
        <w:t>encourage</w:t>
      </w:r>
      <w:r w:rsidR="009F4A09" w:rsidRPr="0081600F">
        <w:rPr>
          <w:iCs/>
        </w:rPr>
        <w:t xml:space="preserve"> the settlement</w:t>
      </w:r>
      <w:r w:rsidR="00142E1B" w:rsidRPr="0081600F">
        <w:rPr>
          <w:iCs/>
        </w:rPr>
        <w:t xml:space="preserve"> </w:t>
      </w:r>
      <w:r w:rsidR="009F4A09" w:rsidRPr="0081600F">
        <w:rPr>
          <w:iCs/>
        </w:rPr>
        <w:t>of disputes.</w:t>
      </w:r>
      <w:r w:rsidR="005C6826" w:rsidRPr="0081600F">
        <w:rPr>
          <w:iCs/>
        </w:rPr>
        <w:t xml:space="preserve">  For example, </w:t>
      </w:r>
      <w:r w:rsidR="00D33F48" w:rsidRPr="0081600F">
        <w:rPr>
          <w:iCs/>
        </w:rPr>
        <w:t>one</w:t>
      </w:r>
      <w:r w:rsidR="008D2CDD" w:rsidRPr="0081600F">
        <w:rPr>
          <w:iCs/>
        </w:rPr>
        <w:t xml:space="preserve"> </w:t>
      </w:r>
      <w:r w:rsidR="005C6826" w:rsidRPr="0081600F">
        <w:rPr>
          <w:iCs/>
        </w:rPr>
        <w:t>l</w:t>
      </w:r>
      <w:r w:rsidR="0070503A" w:rsidRPr="0081600F">
        <w:rPr>
          <w:iCs/>
        </w:rPr>
        <w:t>egislative staff analys</w:t>
      </w:r>
      <w:r w:rsidR="008D2CDD" w:rsidRPr="0081600F">
        <w:rPr>
          <w:iCs/>
        </w:rPr>
        <w:t>i</w:t>
      </w:r>
      <w:r w:rsidR="0070503A" w:rsidRPr="0081600F">
        <w:rPr>
          <w:iCs/>
        </w:rPr>
        <w:t xml:space="preserve">s </w:t>
      </w:r>
      <w:r w:rsidR="005C6826" w:rsidRPr="0081600F">
        <w:rPr>
          <w:iCs/>
        </w:rPr>
        <w:t>recite</w:t>
      </w:r>
      <w:r w:rsidR="008D2CDD" w:rsidRPr="0081600F">
        <w:rPr>
          <w:iCs/>
        </w:rPr>
        <w:t>s</w:t>
      </w:r>
      <w:r w:rsidR="005C6826" w:rsidRPr="0081600F">
        <w:rPr>
          <w:iCs/>
        </w:rPr>
        <w:t xml:space="preserve"> the reasoning of the </w:t>
      </w:r>
      <w:r w:rsidR="006016C0" w:rsidRPr="0081600F">
        <w:rPr>
          <w:iCs/>
        </w:rPr>
        <w:t xml:space="preserve">State Bar, the </w:t>
      </w:r>
      <w:r w:rsidR="0070503A" w:rsidRPr="0081600F">
        <w:rPr>
          <w:iCs/>
        </w:rPr>
        <w:t>proponent of the amendment:</w:t>
      </w:r>
      <w:r w:rsidR="005C6826" w:rsidRPr="0081600F">
        <w:rPr>
          <w:iCs/>
        </w:rPr>
        <w:t xml:space="preserve">  “ ‘</w:t>
      </w:r>
      <w:r w:rsidR="0070503A" w:rsidRPr="0081600F">
        <w:rPr>
          <w:iCs/>
        </w:rPr>
        <w:t xml:space="preserve">Under present law, a settling plaintiff and settling defendant or cross defendant who are denied approval of the settlement must undergo further discovery and trial against the </w:t>
      </w:r>
      <w:r w:rsidR="00623108" w:rsidRPr="0081600F">
        <w:rPr>
          <w:iCs/>
        </w:rPr>
        <w:t>[non</w:t>
      </w:r>
      <w:r w:rsidR="00200DFD" w:rsidRPr="0081600F">
        <w:rPr>
          <w:iCs/>
        </w:rPr>
        <w:t>]</w:t>
      </w:r>
      <w:r w:rsidR="0070503A" w:rsidRPr="0081600F">
        <w:rPr>
          <w:iCs/>
        </w:rPr>
        <w:t xml:space="preserve">settling tortfeasor, thus denying those parties the goals to be achieved by the settlement. </w:t>
      </w:r>
      <w:r w:rsidR="0088339C" w:rsidRPr="0081600F">
        <w:rPr>
          <w:iCs/>
        </w:rPr>
        <w:t xml:space="preserve"> </w:t>
      </w:r>
      <w:r w:rsidR="0070503A" w:rsidRPr="0081600F">
        <w:rPr>
          <w:iCs/>
        </w:rPr>
        <w:t xml:space="preserve">Likewise, if a settlement is approved but ultimately held, on appeal after the judgment, to have been in bad faith, the case will have to be re-tried to include the alleged tortfeasors who were improperly removed from the case. </w:t>
      </w:r>
      <w:r w:rsidR="0088339C" w:rsidRPr="0081600F">
        <w:rPr>
          <w:iCs/>
        </w:rPr>
        <w:t xml:space="preserve"> </w:t>
      </w:r>
      <w:r w:rsidR="0070503A" w:rsidRPr="0081600F">
        <w:rPr>
          <w:i/>
        </w:rPr>
        <w:t>Appellate review delayed until after the judgment thus thwarts the policy of the law to encourage settlement</w:t>
      </w:r>
      <w:r w:rsidR="0070503A" w:rsidRPr="0081600F">
        <w:rPr>
          <w:iCs/>
        </w:rPr>
        <w:t>.</w:t>
      </w:r>
      <w:r w:rsidR="005C6826" w:rsidRPr="0081600F">
        <w:rPr>
          <w:iCs/>
        </w:rPr>
        <w:t>’ ”</w:t>
      </w:r>
      <w:r w:rsidR="0070503A" w:rsidRPr="0081600F">
        <w:rPr>
          <w:iCs/>
        </w:rPr>
        <w:t xml:space="preserve"> </w:t>
      </w:r>
      <w:r w:rsidR="005C6826" w:rsidRPr="0081600F">
        <w:rPr>
          <w:iCs/>
        </w:rPr>
        <w:t xml:space="preserve"> </w:t>
      </w:r>
      <w:r w:rsidR="0070503A" w:rsidRPr="0081600F">
        <w:rPr>
          <w:iCs/>
        </w:rPr>
        <w:t>(Assem. Com. on Judiciary, Analysis of Assem. Bill 232 as introduced, p. 2</w:t>
      </w:r>
      <w:r w:rsidR="00E1474D" w:rsidRPr="00E1474D">
        <w:rPr>
          <w:iCs/>
        </w:rPr>
        <w:t>, italics added</w:t>
      </w:r>
      <w:r w:rsidR="008B6FD0" w:rsidRPr="0081600F">
        <w:rPr>
          <w:iCs/>
        </w:rPr>
        <w:t xml:space="preserve"> (Assembly Judiciary Analysis)</w:t>
      </w:r>
      <w:r w:rsidR="0070503A" w:rsidRPr="0081600F">
        <w:rPr>
          <w:iCs/>
        </w:rPr>
        <w:t>.)</w:t>
      </w:r>
      <w:r w:rsidR="00BD779D" w:rsidRPr="0081600F">
        <w:rPr>
          <w:iCs/>
        </w:rPr>
        <w:t xml:space="preserve">  </w:t>
      </w:r>
      <w:r w:rsidR="00D146EB" w:rsidRPr="0081600F">
        <w:rPr>
          <w:iCs/>
        </w:rPr>
        <w:t>T</w:t>
      </w:r>
      <w:r w:rsidR="001D6FC3" w:rsidRPr="0081600F">
        <w:rPr>
          <w:iCs/>
        </w:rPr>
        <w:t xml:space="preserve">he bill </w:t>
      </w:r>
      <w:r w:rsidR="00B96EFF" w:rsidRPr="0081600F">
        <w:rPr>
          <w:iCs/>
        </w:rPr>
        <w:t xml:space="preserve">therefore </w:t>
      </w:r>
      <w:r w:rsidR="001D6FC3" w:rsidRPr="0081600F">
        <w:rPr>
          <w:iCs/>
        </w:rPr>
        <w:t xml:space="preserve">provided for discretionary review with a 20-day filing period </w:t>
      </w:r>
      <w:r w:rsidR="00621F2A" w:rsidRPr="0081600F">
        <w:rPr>
          <w:iCs/>
        </w:rPr>
        <w:t xml:space="preserve">from the settlement order, </w:t>
      </w:r>
      <w:r w:rsidR="001D6FC3" w:rsidRPr="0081600F">
        <w:rPr>
          <w:iCs/>
        </w:rPr>
        <w:t>as opposed to the mandatory review and 60-day filing period required for an appeal.  (</w:t>
      </w:r>
      <w:r w:rsidR="001D6FC3" w:rsidRPr="0081600F">
        <w:rPr>
          <w:i/>
        </w:rPr>
        <w:t>Ibid.</w:t>
      </w:r>
      <w:r w:rsidRPr="0081600F">
        <w:rPr>
          <w:iCs/>
        </w:rPr>
        <w:t>)</w:t>
      </w:r>
    </w:p>
    <w:p w14:paraId="501034E0" w14:textId="4D95ADC5" w:rsidR="000D139B" w:rsidRPr="0081600F" w:rsidRDefault="0064751C" w:rsidP="000D139B">
      <w:pPr>
        <w:pStyle w:val="Text"/>
        <w:ind w:firstLine="0"/>
        <w:rPr>
          <w:iCs/>
        </w:rPr>
      </w:pPr>
      <w:r w:rsidRPr="0081600F">
        <w:rPr>
          <w:iCs/>
        </w:rPr>
        <w:tab/>
        <w:t xml:space="preserve">Other staff reports </w:t>
      </w:r>
      <w:r w:rsidR="00250B1C" w:rsidRPr="0081600F">
        <w:rPr>
          <w:iCs/>
        </w:rPr>
        <w:t xml:space="preserve">further </w:t>
      </w:r>
      <w:r w:rsidR="00B17327" w:rsidRPr="0081600F">
        <w:rPr>
          <w:iCs/>
        </w:rPr>
        <w:t>describe</w:t>
      </w:r>
      <w:r w:rsidR="007C058D" w:rsidRPr="0081600F">
        <w:rPr>
          <w:iCs/>
        </w:rPr>
        <w:t xml:space="preserve"> </w:t>
      </w:r>
      <w:r w:rsidR="00B17327" w:rsidRPr="0081600F">
        <w:rPr>
          <w:iCs/>
        </w:rPr>
        <w:t xml:space="preserve">the proposed writ procedure </w:t>
      </w:r>
      <w:r w:rsidR="00C25984" w:rsidRPr="0081600F">
        <w:rPr>
          <w:iCs/>
        </w:rPr>
        <w:t>a</w:t>
      </w:r>
      <w:r w:rsidR="007C058D" w:rsidRPr="0081600F">
        <w:rPr>
          <w:iCs/>
        </w:rPr>
        <w:t xml:space="preserve">s superior to either pre- or postjudgment appellate review:  “[S]ince many settlements are made </w:t>
      </w:r>
      <w:r w:rsidR="00250B1C" w:rsidRPr="0081600F">
        <w:rPr>
          <w:iCs/>
        </w:rPr>
        <w:t>immediately before trial, it is imperative that the review of the court’s determination occur expeditiously and before trial</w:t>
      </w:r>
      <w:r w:rsidR="008A1425" w:rsidRPr="0081600F">
        <w:rPr>
          <w:iCs/>
        </w:rPr>
        <w:t>.  The writ of mandate procedures are well suited and preferable to a direct appeal of the order which could result in an unacceptable risk of long trial delay</w:t>
      </w:r>
      <w:r w:rsidR="008A1425" w:rsidRPr="0081600F">
        <w:rPr>
          <w:i/>
        </w:rPr>
        <w:t>.  It is also preferable to an appeal following judgment</w:t>
      </w:r>
      <w:r w:rsidR="008A1425" w:rsidRPr="0081600F">
        <w:rPr>
          <w:iCs/>
        </w:rPr>
        <w:t xml:space="preserve">, since an immediate reviewable writ [petition] could avoid the incurring of avoidable expenses if </w:t>
      </w:r>
      <w:r w:rsidR="008A1425" w:rsidRPr="0081600F">
        <w:rPr>
          <w:iCs/>
        </w:rPr>
        <w:lastRenderedPageBreak/>
        <w:t>the trial court’s d</w:t>
      </w:r>
      <w:r w:rsidR="000C1716" w:rsidRPr="0081600F">
        <w:rPr>
          <w:iCs/>
        </w:rPr>
        <w:t>e</w:t>
      </w:r>
      <w:r w:rsidR="008A1425" w:rsidRPr="0081600F">
        <w:rPr>
          <w:iCs/>
        </w:rPr>
        <w:t>termination of the good faith of an agreement was not upheld.”  (Senate Judiciary Analysis,</w:t>
      </w:r>
      <w:r w:rsidR="008F174A">
        <w:rPr>
          <w:iCs/>
        </w:rPr>
        <w:t xml:space="preserve"> </w:t>
      </w:r>
      <w:r w:rsidR="008F174A">
        <w:rPr>
          <w:i/>
        </w:rPr>
        <w:t>supra</w:t>
      </w:r>
      <w:r w:rsidR="008F174A">
        <w:rPr>
          <w:iCs/>
        </w:rPr>
        <w:t>,</w:t>
      </w:r>
      <w:r w:rsidR="008A1425" w:rsidRPr="0081600F">
        <w:rPr>
          <w:iCs/>
        </w:rPr>
        <w:t xml:space="preserve"> at p. 3</w:t>
      </w:r>
      <w:r w:rsidR="00D146EB" w:rsidRPr="0081600F">
        <w:rPr>
          <w:iCs/>
        </w:rPr>
        <w:t>, italics added</w:t>
      </w:r>
      <w:r w:rsidR="008A1425" w:rsidRPr="0081600F">
        <w:rPr>
          <w:iCs/>
        </w:rPr>
        <w:t xml:space="preserve">; see also </w:t>
      </w:r>
      <w:r w:rsidR="00324BB0" w:rsidRPr="0081600F">
        <w:rPr>
          <w:iCs/>
        </w:rPr>
        <w:t>Assem. Com. on Judiciary, Minority Analysis of Assem. Bill 232 as amended Aug. 24, 1983, p. 1</w:t>
      </w:r>
      <w:r w:rsidR="000C1716" w:rsidRPr="0081600F">
        <w:rPr>
          <w:iCs/>
        </w:rPr>
        <w:t xml:space="preserve">; </w:t>
      </w:r>
      <w:r w:rsidR="005649C7" w:rsidRPr="0081600F">
        <w:rPr>
          <w:iCs/>
        </w:rPr>
        <w:t>Cal. Dept.</w:t>
      </w:r>
      <w:r w:rsidR="00936530">
        <w:rPr>
          <w:iCs/>
        </w:rPr>
        <w:t xml:space="preserve"> of</w:t>
      </w:r>
      <w:r w:rsidR="005649C7" w:rsidRPr="0081600F">
        <w:rPr>
          <w:iCs/>
        </w:rPr>
        <w:t xml:space="preserve"> Transportation, Analysis of Assem. Bill 232 as amended March 9, 1983, p. 1; </w:t>
      </w:r>
      <w:r w:rsidR="00F14D0D" w:rsidRPr="0081600F">
        <w:rPr>
          <w:iCs/>
        </w:rPr>
        <w:t>Sen. Republican Caucus, Rep. on Assem. Bill</w:t>
      </w:r>
      <w:r w:rsidR="00204465">
        <w:rPr>
          <w:iCs/>
        </w:rPr>
        <w:t> </w:t>
      </w:r>
      <w:r w:rsidR="00F14D0D" w:rsidRPr="0081600F">
        <w:rPr>
          <w:iCs/>
        </w:rPr>
        <w:t>232 as amended Aug. 24, 1983, p. 2</w:t>
      </w:r>
      <w:r w:rsidRPr="0081600F">
        <w:rPr>
          <w:iCs/>
        </w:rPr>
        <w:t>; Sen. Democratic Caucus, 3d reading analysis of Assem</w:t>
      </w:r>
      <w:r w:rsidR="00BA7372">
        <w:rPr>
          <w:iCs/>
        </w:rPr>
        <w:t>.</w:t>
      </w:r>
      <w:r w:rsidRPr="0081600F">
        <w:rPr>
          <w:iCs/>
        </w:rPr>
        <w:t xml:space="preserve"> Bill 232 as amended Aug. 24, 1983, pp.</w:t>
      </w:r>
      <w:r w:rsidR="00DF5043" w:rsidRPr="0081600F">
        <w:rPr>
          <w:iCs/>
        </w:rPr>
        <w:t> </w:t>
      </w:r>
      <w:r w:rsidRPr="0081600F">
        <w:rPr>
          <w:iCs/>
        </w:rPr>
        <w:t>1</w:t>
      </w:r>
      <w:r w:rsidR="00DF5043" w:rsidRPr="0081600F">
        <w:rPr>
          <w:iCs/>
        </w:rPr>
        <w:t>–</w:t>
      </w:r>
      <w:r w:rsidRPr="0081600F">
        <w:rPr>
          <w:iCs/>
        </w:rPr>
        <w:t>2; S</w:t>
      </w:r>
      <w:r w:rsidRPr="0081600F">
        <w:rPr>
          <w:iCs/>
        </w:rPr>
        <w:t>en. Democratic Caucus, Conference Rep. on Assem</w:t>
      </w:r>
      <w:r w:rsidR="00BA7372">
        <w:rPr>
          <w:iCs/>
        </w:rPr>
        <w:t>.</w:t>
      </w:r>
      <w:r w:rsidRPr="0081600F">
        <w:rPr>
          <w:iCs/>
        </w:rPr>
        <w:t xml:space="preserve"> Bill 232 as amended Aug. 24, 1983, p.</w:t>
      </w:r>
      <w:r w:rsidR="00682323" w:rsidRPr="0081600F">
        <w:rPr>
          <w:iCs/>
        </w:rPr>
        <w:t xml:space="preserve"> </w:t>
      </w:r>
      <w:r w:rsidRPr="0081600F">
        <w:rPr>
          <w:iCs/>
        </w:rPr>
        <w:t xml:space="preserve">2.)    </w:t>
      </w:r>
    </w:p>
    <w:p w14:paraId="371390AB" w14:textId="3784510A" w:rsidR="007256EC" w:rsidRPr="0081600F" w:rsidRDefault="0064751C" w:rsidP="00324542">
      <w:pPr>
        <w:pStyle w:val="Text"/>
        <w:rPr>
          <w:iCs/>
        </w:rPr>
      </w:pPr>
      <w:r w:rsidRPr="0081600F">
        <w:rPr>
          <w:iCs/>
        </w:rPr>
        <w:t xml:space="preserve">In our view, both the legislative history of Assembly Bill 232 and the underlying purposes of the legislation point to a construction of </w:t>
      </w:r>
      <w:r w:rsidR="00645E6E" w:rsidRPr="0081600F">
        <w:rPr>
          <w:iCs/>
        </w:rPr>
        <w:t xml:space="preserve">section 877.6, </w:t>
      </w:r>
      <w:r w:rsidRPr="0081600F">
        <w:rPr>
          <w:iCs/>
        </w:rPr>
        <w:t>subdivisi</w:t>
      </w:r>
      <w:r w:rsidRPr="0081600F">
        <w:rPr>
          <w:iCs/>
        </w:rPr>
        <w:t xml:space="preserve">on (e) </w:t>
      </w:r>
      <w:r w:rsidR="00D87B81" w:rsidRPr="0081600F">
        <w:rPr>
          <w:iCs/>
        </w:rPr>
        <w:t xml:space="preserve">that </w:t>
      </w:r>
      <w:r w:rsidRPr="0081600F">
        <w:rPr>
          <w:iCs/>
        </w:rPr>
        <w:t xml:space="preserve">would make </w:t>
      </w:r>
      <w:r w:rsidR="00F94167" w:rsidRPr="0081600F">
        <w:rPr>
          <w:iCs/>
        </w:rPr>
        <w:t xml:space="preserve">the filing of a petition for </w:t>
      </w:r>
      <w:r w:rsidRPr="0081600F">
        <w:rPr>
          <w:iCs/>
        </w:rPr>
        <w:t>writ</w:t>
      </w:r>
      <w:r w:rsidR="00F94167" w:rsidRPr="0081600F">
        <w:rPr>
          <w:iCs/>
        </w:rPr>
        <w:t xml:space="preserve"> of mandate</w:t>
      </w:r>
      <w:r w:rsidRPr="0081600F">
        <w:rPr>
          <w:iCs/>
        </w:rPr>
        <w:t xml:space="preserve"> </w:t>
      </w:r>
      <w:r w:rsidR="00F94167" w:rsidRPr="0081600F">
        <w:rPr>
          <w:iCs/>
        </w:rPr>
        <w:t>the exclusive means for obtaining appellate review</w:t>
      </w:r>
      <w:r w:rsidRPr="0081600F">
        <w:rPr>
          <w:iCs/>
        </w:rPr>
        <w:t xml:space="preserve"> </w:t>
      </w:r>
      <w:r w:rsidR="00F94167" w:rsidRPr="0081600F">
        <w:rPr>
          <w:iCs/>
        </w:rPr>
        <w:t xml:space="preserve">of a trial court’s good faith settlement determination.  </w:t>
      </w:r>
      <w:r w:rsidR="00A835A2" w:rsidRPr="0081600F">
        <w:rPr>
          <w:iCs/>
        </w:rPr>
        <w:t xml:space="preserve">(See </w:t>
      </w:r>
      <w:r w:rsidR="00A835A2" w:rsidRPr="0081600F">
        <w:rPr>
          <w:i/>
        </w:rPr>
        <w:t>O’Hearn</w:t>
      </w:r>
      <w:r w:rsidR="00A835A2" w:rsidRPr="0081600F">
        <w:rPr>
          <w:iCs/>
        </w:rPr>
        <w:t xml:space="preserve">, </w:t>
      </w:r>
      <w:r w:rsidR="00A835A2" w:rsidRPr="0081600F">
        <w:rPr>
          <w:i/>
        </w:rPr>
        <w:t>supra</w:t>
      </w:r>
      <w:r w:rsidR="00A835A2" w:rsidRPr="0081600F">
        <w:rPr>
          <w:iCs/>
        </w:rPr>
        <w:t>, 115 Cal.App.4th at p. 498 [allowing an aggrieved litigant to challenge a good faith settlement determination in a later appeal</w:t>
      </w:r>
      <w:r w:rsidR="000859F6" w:rsidRPr="0081600F">
        <w:rPr>
          <w:iCs/>
        </w:rPr>
        <w:t xml:space="preserve"> “would have a chilling effect on good faith settlements”].)  </w:t>
      </w:r>
      <w:r w:rsidR="00F94167" w:rsidRPr="0081600F">
        <w:rPr>
          <w:iCs/>
        </w:rPr>
        <w:t xml:space="preserve">And, as we previously </w:t>
      </w:r>
      <w:r w:rsidR="00645E6E" w:rsidRPr="0081600F">
        <w:rPr>
          <w:iCs/>
        </w:rPr>
        <w:t xml:space="preserve">discussed, </w:t>
      </w:r>
      <w:r w:rsidR="00F94167" w:rsidRPr="0081600F">
        <w:rPr>
          <w:iCs/>
        </w:rPr>
        <w:t>such a construction is supported</w:t>
      </w:r>
      <w:r w:rsidR="00DF5043" w:rsidRPr="0081600F">
        <w:rPr>
          <w:iCs/>
        </w:rPr>
        <w:t>,</w:t>
      </w:r>
      <w:r w:rsidR="00F94167" w:rsidRPr="0081600F">
        <w:rPr>
          <w:iCs/>
        </w:rPr>
        <w:t xml:space="preserve"> </w:t>
      </w:r>
      <w:r w:rsidR="00645E6E" w:rsidRPr="0081600F">
        <w:rPr>
          <w:iCs/>
        </w:rPr>
        <w:t>if not mandated</w:t>
      </w:r>
      <w:r w:rsidR="00DF5043" w:rsidRPr="0081600F">
        <w:rPr>
          <w:iCs/>
        </w:rPr>
        <w:t>,</w:t>
      </w:r>
      <w:r w:rsidR="00645E6E" w:rsidRPr="0081600F">
        <w:rPr>
          <w:iCs/>
        </w:rPr>
        <w:t xml:space="preserve"> </w:t>
      </w:r>
      <w:r w:rsidR="00F94167" w:rsidRPr="0081600F">
        <w:rPr>
          <w:iCs/>
        </w:rPr>
        <w:t>by the statutory language.</w:t>
      </w:r>
      <w:r w:rsidR="00652E1A" w:rsidRPr="0081600F">
        <w:rPr>
          <w:iCs/>
        </w:rPr>
        <w:t xml:space="preserve">  Indeed, several courts have reached the same conclusion. </w:t>
      </w:r>
    </w:p>
    <w:p w14:paraId="0EC8FC39" w14:textId="5ACFB962" w:rsidR="00C334B6" w:rsidRPr="0081600F" w:rsidRDefault="0064751C" w:rsidP="00C334B6">
      <w:pPr>
        <w:pStyle w:val="Text"/>
        <w:rPr>
          <w:iCs/>
        </w:rPr>
      </w:pPr>
      <w:r w:rsidRPr="0081600F">
        <w:rPr>
          <w:iCs/>
        </w:rPr>
        <w:t>I</w:t>
      </w:r>
      <w:r w:rsidR="00324542" w:rsidRPr="0081600F">
        <w:rPr>
          <w:iCs/>
        </w:rPr>
        <w:t xml:space="preserve">n </w:t>
      </w:r>
      <w:r w:rsidR="00F45F9C" w:rsidRPr="0081600F">
        <w:rPr>
          <w:i/>
        </w:rPr>
        <w:t>Main Fiber</w:t>
      </w:r>
      <w:r w:rsidR="00F45F9C" w:rsidRPr="0081600F">
        <w:rPr>
          <w:iCs/>
        </w:rPr>
        <w:t xml:space="preserve">, </w:t>
      </w:r>
      <w:r w:rsidRPr="0081600F">
        <w:rPr>
          <w:iCs/>
        </w:rPr>
        <w:t>for instance</w:t>
      </w:r>
      <w:r w:rsidR="006A21FA" w:rsidRPr="0081600F">
        <w:rPr>
          <w:iCs/>
        </w:rPr>
        <w:t>,</w:t>
      </w:r>
      <w:r w:rsidRPr="0081600F">
        <w:rPr>
          <w:iCs/>
        </w:rPr>
        <w:t xml:space="preserve"> </w:t>
      </w:r>
      <w:r w:rsidR="00324542" w:rsidRPr="0081600F">
        <w:rPr>
          <w:iCs/>
        </w:rPr>
        <w:t>the Fourth District</w:t>
      </w:r>
      <w:r w:rsidR="00DF5043" w:rsidRPr="0081600F">
        <w:rPr>
          <w:iCs/>
        </w:rPr>
        <w:t xml:space="preserve"> Court of Appeal</w:t>
      </w:r>
      <w:r w:rsidR="00324542" w:rsidRPr="0081600F">
        <w:rPr>
          <w:iCs/>
        </w:rPr>
        <w:t xml:space="preserve"> surveyed the </w:t>
      </w:r>
      <w:r w:rsidR="00EE1C86" w:rsidRPr="0081600F">
        <w:rPr>
          <w:iCs/>
        </w:rPr>
        <w:t xml:space="preserve">language, purposes, and </w:t>
      </w:r>
      <w:r w:rsidR="00324542" w:rsidRPr="0081600F">
        <w:rPr>
          <w:iCs/>
        </w:rPr>
        <w:t>legislati</w:t>
      </w:r>
      <w:r w:rsidRPr="0081600F">
        <w:rPr>
          <w:iCs/>
        </w:rPr>
        <w:t xml:space="preserve">ve </w:t>
      </w:r>
      <w:r w:rsidR="00324542" w:rsidRPr="0081600F">
        <w:rPr>
          <w:iCs/>
        </w:rPr>
        <w:t xml:space="preserve">history of Assembly Bill 232 and </w:t>
      </w:r>
      <w:r w:rsidR="006A21FA" w:rsidRPr="0081600F">
        <w:rPr>
          <w:iCs/>
        </w:rPr>
        <w:t>opined</w:t>
      </w:r>
      <w:r w:rsidR="00324542" w:rsidRPr="0081600F">
        <w:rPr>
          <w:iCs/>
        </w:rPr>
        <w:t xml:space="preserve">:  “The same policy reasons which prompted the Legislature to afford parties aggrieved by good faith determinations the right to review by writ of mandate also militate in favor of a construction of the statute which renders a pretrial petition for a writ of mandate the exclusive means of review.  A contrary construction, permitting an aggrieved party to postpone review of the good faith determination until after the balance of the claims </w:t>
      </w:r>
      <w:r w:rsidR="00324542" w:rsidRPr="0081600F">
        <w:rPr>
          <w:iCs/>
        </w:rPr>
        <w:lastRenderedPageBreak/>
        <w:t xml:space="preserve">were tried and a final judgment issued months or years later, would prevent the very finality and certainty that writ review was intended to promote. </w:t>
      </w:r>
      <w:r w:rsidR="00731CD5" w:rsidRPr="0081600F">
        <w:rPr>
          <w:iCs/>
        </w:rPr>
        <w:t xml:space="preserve"> </w:t>
      </w:r>
      <w:r w:rsidR="00324542" w:rsidRPr="0081600F">
        <w:rPr>
          <w:iCs/>
        </w:rPr>
        <w:t>Years after the settlement, the settling tortfeasor could be dragged back into the action, necessitating a retrial of the plaintiff</w:t>
      </w:r>
      <w:r w:rsidR="00A94132">
        <w:rPr>
          <w:iCs/>
        </w:rPr>
        <w:t>’</w:t>
      </w:r>
      <w:r w:rsidR="00324542" w:rsidRPr="0081600F">
        <w:rPr>
          <w:iCs/>
        </w:rPr>
        <w:t>s claims.”  (</w:t>
      </w:r>
      <w:r w:rsidR="00324542" w:rsidRPr="0081600F">
        <w:rPr>
          <w:i/>
        </w:rPr>
        <w:t>Main Fiber</w:t>
      </w:r>
      <w:r w:rsidR="00324542" w:rsidRPr="0081600F">
        <w:rPr>
          <w:iCs/>
        </w:rPr>
        <w:t xml:space="preserve">, </w:t>
      </w:r>
      <w:r w:rsidR="00324542" w:rsidRPr="004844E3">
        <w:rPr>
          <w:i/>
        </w:rPr>
        <w:t>s</w:t>
      </w:r>
      <w:r w:rsidR="00F45F9C" w:rsidRPr="0081600F">
        <w:rPr>
          <w:i/>
        </w:rPr>
        <w:t>upra</w:t>
      </w:r>
      <w:r w:rsidR="00F45F9C" w:rsidRPr="0081600F">
        <w:rPr>
          <w:iCs/>
        </w:rPr>
        <w:t>, 73 Cal.App.4th</w:t>
      </w:r>
      <w:r w:rsidR="00652E1A" w:rsidRPr="0081600F">
        <w:rPr>
          <w:iCs/>
        </w:rPr>
        <w:t xml:space="preserve"> </w:t>
      </w:r>
      <w:r w:rsidR="00F45F9C" w:rsidRPr="0081600F">
        <w:rPr>
          <w:iCs/>
        </w:rPr>
        <w:t>at p.</w:t>
      </w:r>
      <w:r w:rsidR="00324542" w:rsidRPr="0081600F">
        <w:rPr>
          <w:iCs/>
        </w:rPr>
        <w:t xml:space="preserve"> 1135</w:t>
      </w:r>
      <w:r w:rsidRPr="0081600F">
        <w:rPr>
          <w:iCs/>
        </w:rPr>
        <w:t>.)</w:t>
      </w:r>
      <w:r w:rsidR="00EE1C86" w:rsidRPr="0081600F">
        <w:rPr>
          <w:iCs/>
        </w:rPr>
        <w:t xml:space="preserve">  On this basis, the court held that “[a]ny party wishing to challenge the merits of a ‘good faith settlement’ determination must do so via a petition for writ of mandate in the manner and within the time prescribed by section 877.6, subdivision (e).”  (</w:t>
      </w:r>
      <w:r w:rsidR="006E3D1B">
        <w:rPr>
          <w:i/>
        </w:rPr>
        <w:t xml:space="preserve">Id. </w:t>
      </w:r>
      <w:r w:rsidR="006E3D1B">
        <w:rPr>
          <w:iCs/>
        </w:rPr>
        <w:t>at p. 1136</w:t>
      </w:r>
      <w:r w:rsidRPr="0081600F">
        <w:rPr>
          <w:iCs/>
        </w:rPr>
        <w:t xml:space="preserve">; see also </w:t>
      </w:r>
      <w:r w:rsidRPr="0081600F">
        <w:rPr>
          <w:i/>
        </w:rPr>
        <w:t>O’H</w:t>
      </w:r>
      <w:r w:rsidRPr="0081600F">
        <w:rPr>
          <w:i/>
        </w:rPr>
        <w:t>earn</w:t>
      </w:r>
      <w:r w:rsidRPr="0081600F">
        <w:rPr>
          <w:iCs/>
        </w:rPr>
        <w:t xml:space="preserve">, </w:t>
      </w:r>
      <w:r w:rsidRPr="0081600F">
        <w:rPr>
          <w:i/>
        </w:rPr>
        <w:t>supra</w:t>
      </w:r>
      <w:r w:rsidRPr="0081600F">
        <w:rPr>
          <w:iCs/>
        </w:rPr>
        <w:t xml:space="preserve">, 115 Cal.App.4th at p. 499 [agreeing with </w:t>
      </w:r>
      <w:r w:rsidRPr="0081600F">
        <w:rPr>
          <w:i/>
        </w:rPr>
        <w:t xml:space="preserve">Main Fiber </w:t>
      </w:r>
      <w:r w:rsidRPr="0081600F">
        <w:rPr>
          <w:iCs/>
        </w:rPr>
        <w:t>and</w:t>
      </w:r>
      <w:r w:rsidRPr="0081600F">
        <w:rPr>
          <w:i/>
        </w:rPr>
        <w:t xml:space="preserve"> </w:t>
      </w:r>
      <w:r w:rsidRPr="0081600F">
        <w:rPr>
          <w:iCs/>
        </w:rPr>
        <w:t xml:space="preserve">concluding that “the strong policy of encouraging settlements militates against an interpretation of section 877.6, subdivision (e) which denies early finality to a good faith </w:t>
      </w:r>
      <w:r w:rsidRPr="0081600F">
        <w:rPr>
          <w:iCs/>
        </w:rPr>
        <w:t>settlement determination”].)</w:t>
      </w:r>
    </w:p>
    <w:p w14:paraId="4189C6E6" w14:textId="4317E60A" w:rsidR="00B425ED" w:rsidRPr="0081600F" w:rsidRDefault="0064751C" w:rsidP="00A0072B">
      <w:pPr>
        <w:pStyle w:val="Text"/>
        <w:keepNext/>
        <w:ind w:left="720" w:hanging="720"/>
        <w:rPr>
          <w:i/>
          <w:shd w:val="clear" w:color="auto" w:fill="FFFFFF"/>
        </w:rPr>
      </w:pPr>
      <w:r w:rsidRPr="0081600F">
        <w:rPr>
          <w:b/>
          <w:bCs/>
          <w:i/>
        </w:rPr>
        <w:tab/>
      </w:r>
      <w:r w:rsidR="00AD60D4" w:rsidRPr="0081600F">
        <w:rPr>
          <w:b/>
          <w:bCs/>
          <w:i/>
        </w:rPr>
        <w:t>D</w:t>
      </w:r>
      <w:r w:rsidRPr="0081600F">
        <w:rPr>
          <w:b/>
          <w:bCs/>
          <w:i/>
        </w:rPr>
        <w:t xml:space="preserve">. </w:t>
      </w:r>
      <w:r w:rsidRPr="0081600F">
        <w:rPr>
          <w:b/>
          <w:bCs/>
          <w:i/>
        </w:rPr>
        <w:tab/>
      </w:r>
      <w:r w:rsidR="0091718D" w:rsidRPr="0081600F">
        <w:rPr>
          <w:b/>
          <w:bCs/>
          <w:iCs/>
        </w:rPr>
        <w:t xml:space="preserve">Maryland Casualty </w:t>
      </w:r>
      <w:r w:rsidR="0091718D" w:rsidRPr="0081600F">
        <w:rPr>
          <w:b/>
          <w:bCs/>
          <w:i/>
        </w:rPr>
        <w:t xml:space="preserve">and </w:t>
      </w:r>
      <w:r w:rsidR="005F08F9" w:rsidRPr="0081600F">
        <w:rPr>
          <w:b/>
          <w:bCs/>
          <w:i/>
        </w:rPr>
        <w:t>I</w:t>
      </w:r>
      <w:r w:rsidR="0091718D" w:rsidRPr="0081600F">
        <w:rPr>
          <w:b/>
          <w:bCs/>
          <w:i/>
        </w:rPr>
        <w:t>ts Progeny</w:t>
      </w:r>
      <w:r w:rsidRPr="0081600F">
        <w:rPr>
          <w:b/>
          <w:bCs/>
          <w:i/>
        </w:rPr>
        <w:t xml:space="preserve"> </w:t>
      </w:r>
      <w:r w:rsidRPr="0081600F">
        <w:rPr>
          <w:i/>
          <w:shd w:val="clear" w:color="auto" w:fill="FFFFFF"/>
        </w:rPr>
        <w:tab/>
      </w:r>
    </w:p>
    <w:p w14:paraId="09649083" w14:textId="396FEDBE" w:rsidR="00250B1C" w:rsidRPr="0081600F" w:rsidRDefault="0064751C" w:rsidP="00250B1C">
      <w:pPr>
        <w:pStyle w:val="Text"/>
        <w:ind w:firstLine="0"/>
        <w:rPr>
          <w:iCs/>
        </w:rPr>
      </w:pPr>
      <w:r w:rsidRPr="0081600F">
        <w:rPr>
          <w:iCs/>
        </w:rPr>
        <w:tab/>
        <w:t>Th</w:t>
      </w:r>
      <w:r w:rsidR="00D87B81" w:rsidRPr="0081600F">
        <w:rPr>
          <w:iCs/>
        </w:rPr>
        <w:t>e</w:t>
      </w:r>
      <w:r w:rsidRPr="0081600F">
        <w:rPr>
          <w:iCs/>
        </w:rPr>
        <w:t xml:space="preserve"> </w:t>
      </w:r>
      <w:r w:rsidR="007256EC" w:rsidRPr="0081600F">
        <w:rPr>
          <w:iCs/>
        </w:rPr>
        <w:t xml:space="preserve">appellate courts </w:t>
      </w:r>
      <w:r w:rsidR="0091718D" w:rsidRPr="0081600F">
        <w:rPr>
          <w:iCs/>
        </w:rPr>
        <w:t>that</w:t>
      </w:r>
      <w:r w:rsidRPr="0081600F">
        <w:rPr>
          <w:iCs/>
        </w:rPr>
        <w:t xml:space="preserve"> have </w:t>
      </w:r>
      <w:r w:rsidR="007256EC" w:rsidRPr="0081600F">
        <w:rPr>
          <w:iCs/>
        </w:rPr>
        <w:t xml:space="preserve">reached the opposite conclusion </w:t>
      </w:r>
      <w:r w:rsidRPr="0081600F">
        <w:rPr>
          <w:iCs/>
        </w:rPr>
        <w:t xml:space="preserve">largely rely on </w:t>
      </w:r>
      <w:r w:rsidR="00731CD5" w:rsidRPr="0081600F">
        <w:rPr>
          <w:i/>
        </w:rPr>
        <w:t>Maryland Casualty</w:t>
      </w:r>
      <w:r w:rsidR="00487876" w:rsidRPr="0081600F">
        <w:rPr>
          <w:iCs/>
        </w:rPr>
        <w:t>.</w:t>
      </w:r>
      <w:r w:rsidR="00F27C6D" w:rsidRPr="0081600F">
        <w:rPr>
          <w:iCs/>
        </w:rPr>
        <w:t xml:space="preserve">  (See, e.g., </w:t>
      </w:r>
      <w:r w:rsidR="00F53C83" w:rsidRPr="0081600F">
        <w:rPr>
          <w:i/>
        </w:rPr>
        <w:t>Cahill</w:t>
      </w:r>
      <w:r w:rsidR="00F53C83" w:rsidRPr="0081600F">
        <w:rPr>
          <w:iCs/>
        </w:rPr>
        <w:t xml:space="preserve">, </w:t>
      </w:r>
      <w:r w:rsidR="00F53C83" w:rsidRPr="0081600F">
        <w:rPr>
          <w:i/>
        </w:rPr>
        <w:t>supra</w:t>
      </w:r>
      <w:r w:rsidR="00F53C83" w:rsidRPr="0081600F">
        <w:rPr>
          <w:iCs/>
        </w:rPr>
        <w:t>, 194 Cal.App.4th at pp.</w:t>
      </w:r>
      <w:r w:rsidR="002A47A1" w:rsidRPr="0081600F">
        <w:rPr>
          <w:iCs/>
        </w:rPr>
        <w:t> </w:t>
      </w:r>
      <w:r w:rsidR="00DD6197" w:rsidRPr="0081600F">
        <w:rPr>
          <w:iCs/>
        </w:rPr>
        <w:t>951</w:t>
      </w:r>
      <w:r w:rsidR="002A47A1" w:rsidRPr="0081600F">
        <w:rPr>
          <w:iCs/>
        </w:rPr>
        <w:t>–</w:t>
      </w:r>
      <w:r w:rsidR="00DD6197" w:rsidRPr="0081600F">
        <w:rPr>
          <w:iCs/>
        </w:rPr>
        <w:t>956</w:t>
      </w:r>
      <w:r w:rsidR="00F53C83" w:rsidRPr="0081600F">
        <w:rPr>
          <w:iCs/>
        </w:rPr>
        <w:t xml:space="preserve">; </w:t>
      </w:r>
      <w:r w:rsidR="00F53C83" w:rsidRPr="0081600F">
        <w:rPr>
          <w:i/>
        </w:rPr>
        <w:t>Tuff Boy</w:t>
      </w:r>
      <w:r w:rsidR="00F53C83" w:rsidRPr="0081600F">
        <w:rPr>
          <w:iCs/>
        </w:rPr>
        <w:t xml:space="preserve">, </w:t>
      </w:r>
      <w:r w:rsidR="00F53C83" w:rsidRPr="0081600F">
        <w:rPr>
          <w:i/>
        </w:rPr>
        <w:t>supra</w:t>
      </w:r>
      <w:r w:rsidR="00F53C83" w:rsidRPr="0081600F">
        <w:rPr>
          <w:iCs/>
        </w:rPr>
        <w:t>, 86 Cal.App.4th at pp.</w:t>
      </w:r>
      <w:r w:rsidR="002A47A1" w:rsidRPr="0081600F">
        <w:rPr>
          <w:iCs/>
        </w:rPr>
        <w:t> </w:t>
      </w:r>
      <w:r w:rsidR="003156D8" w:rsidRPr="0081600F">
        <w:rPr>
          <w:iCs/>
        </w:rPr>
        <w:t>634</w:t>
      </w:r>
      <w:r w:rsidR="002A47A1" w:rsidRPr="0081600F">
        <w:rPr>
          <w:iCs/>
        </w:rPr>
        <w:t>–</w:t>
      </w:r>
      <w:r w:rsidR="003156D8" w:rsidRPr="0081600F">
        <w:rPr>
          <w:iCs/>
        </w:rPr>
        <w:t>636</w:t>
      </w:r>
      <w:r w:rsidR="00F27C6D" w:rsidRPr="0081600F">
        <w:rPr>
          <w:iCs/>
        </w:rPr>
        <w:t>.)</w:t>
      </w:r>
      <w:r w:rsidR="00487876" w:rsidRPr="0081600F">
        <w:rPr>
          <w:iCs/>
        </w:rPr>
        <w:t xml:space="preserve">  In </w:t>
      </w:r>
      <w:r w:rsidR="00D22DBE" w:rsidRPr="0081600F">
        <w:rPr>
          <w:i/>
        </w:rPr>
        <w:t>Maryland Casualty</w:t>
      </w:r>
      <w:r w:rsidR="00487876" w:rsidRPr="0081600F">
        <w:rPr>
          <w:iCs/>
        </w:rPr>
        <w:t>, the Second District</w:t>
      </w:r>
      <w:r w:rsidR="002A47A1" w:rsidRPr="0081600F">
        <w:rPr>
          <w:iCs/>
        </w:rPr>
        <w:t xml:space="preserve"> Court of Appeal</w:t>
      </w:r>
      <w:r w:rsidR="00487876" w:rsidRPr="0081600F">
        <w:rPr>
          <w:iCs/>
        </w:rPr>
        <w:t xml:space="preserve"> </w:t>
      </w:r>
      <w:r w:rsidR="00D87B81" w:rsidRPr="0081600F">
        <w:rPr>
          <w:iCs/>
        </w:rPr>
        <w:t xml:space="preserve">held </w:t>
      </w:r>
      <w:r w:rsidR="00487876" w:rsidRPr="0081600F">
        <w:rPr>
          <w:iCs/>
        </w:rPr>
        <w:t xml:space="preserve">that the availability of writ relief did not preclude a subsequent appeal </w:t>
      </w:r>
      <w:r w:rsidR="00D27D0D" w:rsidRPr="0081600F">
        <w:rPr>
          <w:iCs/>
        </w:rPr>
        <w:t xml:space="preserve">of a </w:t>
      </w:r>
      <w:r w:rsidR="00487876" w:rsidRPr="0081600F">
        <w:rPr>
          <w:iCs/>
        </w:rPr>
        <w:t>trial court’s good faith settlement determination, at least when a writ petition had been filed and summarily denied.  (</w:t>
      </w:r>
      <w:r w:rsidR="00200DFD" w:rsidRPr="0081600F">
        <w:rPr>
          <w:i/>
        </w:rPr>
        <w:t>Maryland Casualty</w:t>
      </w:r>
      <w:r w:rsidR="00200DFD" w:rsidRPr="0081600F">
        <w:rPr>
          <w:iCs/>
        </w:rPr>
        <w:t xml:space="preserve">, </w:t>
      </w:r>
      <w:r w:rsidR="00200DFD" w:rsidRPr="0081600F">
        <w:rPr>
          <w:i/>
        </w:rPr>
        <w:t>supra</w:t>
      </w:r>
      <w:r w:rsidR="00200DFD" w:rsidRPr="0081600F">
        <w:rPr>
          <w:iCs/>
        </w:rPr>
        <w:t xml:space="preserve">, 81 Cal.App.4th </w:t>
      </w:r>
      <w:r w:rsidR="00487876" w:rsidRPr="0081600F">
        <w:rPr>
          <w:iCs/>
        </w:rPr>
        <w:t xml:space="preserve">at p. </w:t>
      </w:r>
      <w:r w:rsidR="00F27C6D" w:rsidRPr="0081600F">
        <w:rPr>
          <w:iCs/>
        </w:rPr>
        <w:t>1426</w:t>
      </w:r>
      <w:r w:rsidR="00487876" w:rsidRPr="0081600F">
        <w:rPr>
          <w:iCs/>
        </w:rPr>
        <w:t>.)</w:t>
      </w:r>
    </w:p>
    <w:p w14:paraId="5093E10B" w14:textId="01AAEA60" w:rsidR="00C651B8" w:rsidRPr="0081600F" w:rsidRDefault="0064751C" w:rsidP="00841906">
      <w:pPr>
        <w:pStyle w:val="Text"/>
        <w:rPr>
          <w:iCs/>
        </w:rPr>
      </w:pPr>
      <w:r w:rsidRPr="0081600F">
        <w:rPr>
          <w:i/>
        </w:rPr>
        <w:t>Maryland Casualty</w:t>
      </w:r>
      <w:r w:rsidRPr="0081600F">
        <w:rPr>
          <w:iCs/>
        </w:rPr>
        <w:t xml:space="preserve"> first considered the language of section 8</w:t>
      </w:r>
      <w:r w:rsidR="00A466E7" w:rsidRPr="0081600F">
        <w:rPr>
          <w:iCs/>
        </w:rPr>
        <w:t>77</w:t>
      </w:r>
      <w:r w:rsidRPr="0081600F">
        <w:rPr>
          <w:iCs/>
        </w:rPr>
        <w:t>.</w:t>
      </w:r>
      <w:r w:rsidR="00A466E7" w:rsidRPr="0081600F">
        <w:rPr>
          <w:iCs/>
        </w:rPr>
        <w:t>6</w:t>
      </w:r>
      <w:r w:rsidRPr="0081600F">
        <w:rPr>
          <w:iCs/>
        </w:rPr>
        <w:t xml:space="preserve">, subdivision (e), stating:  </w:t>
      </w:r>
      <w:r w:rsidR="00841906" w:rsidRPr="0081600F">
        <w:rPr>
          <w:iCs/>
        </w:rPr>
        <w:t>“</w:t>
      </w:r>
      <w:r w:rsidRPr="0081600F">
        <w:rPr>
          <w:iCs/>
        </w:rPr>
        <w:t xml:space="preserve">The use of the words </w:t>
      </w:r>
      <w:r w:rsidR="00841906" w:rsidRPr="0081600F">
        <w:rPr>
          <w:iCs/>
        </w:rPr>
        <w:t>‘</w:t>
      </w:r>
      <w:r w:rsidRPr="00A0072B">
        <w:rPr>
          <w:i/>
        </w:rPr>
        <w:t>may</w:t>
      </w:r>
      <w:r w:rsidRPr="0081600F">
        <w:rPr>
          <w:iCs/>
        </w:rPr>
        <w:t xml:space="preserve"> petition,</w:t>
      </w:r>
      <w:r w:rsidR="00841906" w:rsidRPr="0081600F">
        <w:rPr>
          <w:iCs/>
        </w:rPr>
        <w:t>’</w:t>
      </w:r>
      <w:r w:rsidRPr="0081600F">
        <w:rPr>
          <w:iCs/>
        </w:rPr>
        <w:t xml:space="preserve"> together with </w:t>
      </w:r>
      <w:r w:rsidR="00841906" w:rsidRPr="0081600F">
        <w:rPr>
          <w:iCs/>
        </w:rPr>
        <w:t>‘</w:t>
      </w:r>
      <w:r w:rsidRPr="00A0072B">
        <w:rPr>
          <w:i/>
        </w:rPr>
        <w:t>shall</w:t>
      </w:r>
      <w:r w:rsidRPr="0081600F">
        <w:rPr>
          <w:iCs/>
        </w:rPr>
        <w:t xml:space="preserve"> be filed,</w:t>
      </w:r>
      <w:r w:rsidR="00841906" w:rsidRPr="0081600F">
        <w:rPr>
          <w:iCs/>
        </w:rPr>
        <w:t>’</w:t>
      </w:r>
      <w:r w:rsidRPr="0081600F">
        <w:rPr>
          <w:iCs/>
        </w:rPr>
        <w:t xml:space="preserve"> suggests that a writ petition might not be the exclusive means of reviewing a good faith settlement determination</w:t>
      </w:r>
      <w:r w:rsidR="00841906" w:rsidRPr="0081600F">
        <w:rPr>
          <w:iCs/>
        </w:rPr>
        <w:t>.”  (</w:t>
      </w:r>
      <w:r w:rsidR="00841906" w:rsidRPr="0081600F">
        <w:rPr>
          <w:i/>
        </w:rPr>
        <w:t>Maryland Casualty</w:t>
      </w:r>
      <w:r w:rsidR="00841906" w:rsidRPr="0081600F">
        <w:rPr>
          <w:iCs/>
        </w:rPr>
        <w:t xml:space="preserve">, </w:t>
      </w:r>
      <w:r w:rsidR="00841906" w:rsidRPr="0081600F">
        <w:rPr>
          <w:i/>
        </w:rPr>
        <w:t>supra</w:t>
      </w:r>
      <w:r w:rsidR="00841906" w:rsidRPr="0081600F">
        <w:rPr>
          <w:iCs/>
        </w:rPr>
        <w:t xml:space="preserve">, 81 Cal.App.4th at p. 1420.)  As discussed above, we find this argument unconvincing.  </w:t>
      </w:r>
      <w:r w:rsidR="00D87B81" w:rsidRPr="0081600F">
        <w:rPr>
          <w:i/>
        </w:rPr>
        <w:t>Maryland Casualty</w:t>
      </w:r>
      <w:r w:rsidR="00D87B81" w:rsidRPr="0081600F">
        <w:rPr>
          <w:iCs/>
        </w:rPr>
        <w:t xml:space="preserve"> </w:t>
      </w:r>
      <w:r w:rsidR="00841906" w:rsidRPr="0081600F">
        <w:rPr>
          <w:iCs/>
        </w:rPr>
        <w:t xml:space="preserve">then surveyed the legislative history of subdivision (e), </w:t>
      </w:r>
      <w:r w:rsidR="003C16AE" w:rsidRPr="0081600F">
        <w:rPr>
          <w:iCs/>
        </w:rPr>
        <w:t xml:space="preserve">focusing on the legislative history for Assembly Bill 3712, </w:t>
      </w:r>
      <w:r w:rsidRPr="0081600F">
        <w:rPr>
          <w:iCs/>
        </w:rPr>
        <w:t xml:space="preserve">a </w:t>
      </w:r>
      <w:r w:rsidR="00943570" w:rsidRPr="0081600F">
        <w:rPr>
          <w:iCs/>
        </w:rPr>
        <w:lastRenderedPageBreak/>
        <w:t>predecessor</w:t>
      </w:r>
      <w:r w:rsidR="003C16AE" w:rsidRPr="0081600F">
        <w:rPr>
          <w:iCs/>
        </w:rPr>
        <w:t xml:space="preserve"> </w:t>
      </w:r>
      <w:r w:rsidRPr="0081600F">
        <w:rPr>
          <w:iCs/>
        </w:rPr>
        <w:t>bill</w:t>
      </w:r>
      <w:r w:rsidR="00D27D0D" w:rsidRPr="0081600F">
        <w:rPr>
          <w:iCs/>
        </w:rPr>
        <w:t xml:space="preserve">, </w:t>
      </w:r>
      <w:r w:rsidRPr="0081600F">
        <w:rPr>
          <w:iCs/>
        </w:rPr>
        <w:t>which was ultimately vetoed by Governor</w:t>
      </w:r>
      <w:r w:rsidR="00D27D0D" w:rsidRPr="0081600F">
        <w:rPr>
          <w:iCs/>
        </w:rPr>
        <w:t xml:space="preserve"> Brown</w:t>
      </w:r>
      <w:r w:rsidRPr="0081600F">
        <w:rPr>
          <w:iCs/>
        </w:rPr>
        <w:t>.  (</w:t>
      </w:r>
      <w:r w:rsidR="00463869">
        <w:rPr>
          <w:i/>
        </w:rPr>
        <w:t>Maryland Casualty</w:t>
      </w:r>
      <w:r w:rsidR="00463869">
        <w:rPr>
          <w:iCs/>
        </w:rPr>
        <w:t>,</w:t>
      </w:r>
      <w:r w:rsidR="00841906" w:rsidRPr="0081600F">
        <w:rPr>
          <w:iCs/>
        </w:rPr>
        <w:t xml:space="preserve"> </w:t>
      </w:r>
      <w:r w:rsidRPr="0081600F">
        <w:rPr>
          <w:iCs/>
        </w:rPr>
        <w:t>at pp.</w:t>
      </w:r>
      <w:r w:rsidR="002A47A1" w:rsidRPr="0081600F">
        <w:rPr>
          <w:iCs/>
        </w:rPr>
        <w:t> </w:t>
      </w:r>
      <w:r w:rsidR="001D5C56" w:rsidRPr="0081600F">
        <w:rPr>
          <w:iCs/>
        </w:rPr>
        <w:t>1420</w:t>
      </w:r>
      <w:r w:rsidR="002A47A1" w:rsidRPr="0081600F">
        <w:rPr>
          <w:iCs/>
        </w:rPr>
        <w:t>–</w:t>
      </w:r>
      <w:r w:rsidR="001D5C56" w:rsidRPr="0081600F">
        <w:rPr>
          <w:iCs/>
        </w:rPr>
        <w:t>1422</w:t>
      </w:r>
      <w:r w:rsidRPr="0081600F">
        <w:rPr>
          <w:iCs/>
        </w:rPr>
        <w:t>.)</w:t>
      </w:r>
    </w:p>
    <w:p w14:paraId="732FBA7B" w14:textId="2D2534EF" w:rsidR="00C651B8" w:rsidRPr="0081600F" w:rsidRDefault="0064751C" w:rsidP="006F7529">
      <w:pPr>
        <w:pStyle w:val="Text"/>
      </w:pPr>
      <w:r>
        <w:t>A</w:t>
      </w:r>
      <w:r w:rsidR="00530797">
        <w:t xml:space="preserve">ccording to </w:t>
      </w:r>
      <w:r w:rsidRPr="717AE9B5">
        <w:rPr>
          <w:i/>
          <w:iCs/>
        </w:rPr>
        <w:t>Maryland Casualty</w:t>
      </w:r>
      <w:r>
        <w:t xml:space="preserve">, </w:t>
      </w:r>
      <w:r w:rsidR="00D27D0D">
        <w:t xml:space="preserve">in 1981 </w:t>
      </w:r>
      <w:r w:rsidR="00530797">
        <w:t>the Sacramento County Bar Association proposed the following amendment to section 8</w:t>
      </w:r>
      <w:r w:rsidR="00A466E7">
        <w:t>77</w:t>
      </w:r>
      <w:r w:rsidR="00530797">
        <w:t>.</w:t>
      </w:r>
      <w:r w:rsidR="00A466E7">
        <w:t>6</w:t>
      </w:r>
      <w:r w:rsidR="00530797">
        <w:t>:  “</w:t>
      </w:r>
      <w:r w:rsidR="00EB0C2D">
        <w:t> </w:t>
      </w:r>
      <w:r w:rsidR="00530797">
        <w:t>‘</w:t>
      </w:r>
      <w:r>
        <w:t xml:space="preserve">An order by the court determining that a settlement was or was not made in good faith </w:t>
      </w:r>
      <w:r w:rsidRPr="717AE9B5">
        <w:rPr>
          <w:i/>
          <w:iCs/>
        </w:rPr>
        <w:t>shall not be appealable</w:t>
      </w:r>
      <w:r>
        <w:t xml:space="preserve">. </w:t>
      </w:r>
      <w:r w:rsidR="00530797">
        <w:t xml:space="preserve"> </w:t>
      </w:r>
      <w:r>
        <w:t>When such a determination is made, the party aggr</w:t>
      </w:r>
      <w:r>
        <w:t xml:space="preserve">ieved by such order may, within the time hereinafter provided, petition the proper reviewing court to review such determination by writ of mandate. </w:t>
      </w:r>
      <w:r w:rsidR="00530797">
        <w:t xml:space="preserve"> </w:t>
      </w:r>
      <w:r>
        <w:t>Such petition for writ of mandate may be filed within 20 days after service of written notice of the order,</w:t>
      </w:r>
      <w:r>
        <w:t xml:space="preserve"> or within such additional time not exceeding 20 days as the trial court may allow.</w:t>
      </w:r>
      <w:r w:rsidR="00530797">
        <w:t>’</w:t>
      </w:r>
      <w:r w:rsidR="00EB0C2D">
        <w:t> </w:t>
      </w:r>
      <w:r w:rsidR="00530797">
        <w:t>”</w:t>
      </w:r>
      <w:r>
        <w:t xml:space="preserve"> </w:t>
      </w:r>
      <w:r w:rsidR="0005445F">
        <w:t xml:space="preserve"> </w:t>
      </w:r>
      <w:r>
        <w:t>(</w:t>
      </w:r>
      <w:r w:rsidR="00390D83" w:rsidRPr="717AE9B5">
        <w:rPr>
          <w:i/>
          <w:iCs/>
        </w:rPr>
        <w:t>Maryland Casualty</w:t>
      </w:r>
      <w:r w:rsidR="00390D83">
        <w:t xml:space="preserve">, </w:t>
      </w:r>
      <w:r w:rsidR="00390D83" w:rsidRPr="717AE9B5">
        <w:rPr>
          <w:i/>
          <w:iCs/>
        </w:rPr>
        <w:t>supra</w:t>
      </w:r>
      <w:r w:rsidR="00390D83">
        <w:t>, 81</w:t>
      </w:r>
      <w:r w:rsidR="002A47A1">
        <w:t> </w:t>
      </w:r>
      <w:r w:rsidR="00390D83">
        <w:t xml:space="preserve">Cal.App.4th at </w:t>
      </w:r>
      <w:r w:rsidR="0092381B">
        <w:t>p</w:t>
      </w:r>
      <w:r w:rsidR="00390D83">
        <w:t xml:space="preserve">p. </w:t>
      </w:r>
      <w:r w:rsidR="0092381B">
        <w:t>1420,</w:t>
      </w:r>
      <w:r w:rsidR="00390D83">
        <w:t>1421.)</w:t>
      </w:r>
      <w:r w:rsidR="00C63DEA">
        <w:t xml:space="preserve">  </w:t>
      </w:r>
      <w:r w:rsidR="00D81354">
        <w:t>As</w:t>
      </w:r>
      <w:r w:rsidR="0005445F">
        <w:t xml:space="preserve"> introduced by Assemblyman Larry Stirling in March 1982, Assembly Bill 3712’s </w:t>
      </w:r>
      <w:r w:rsidR="00C63DEA">
        <w:t xml:space="preserve">proposed subdivision (e) did not include </w:t>
      </w:r>
      <w:r w:rsidR="0005445F">
        <w:t xml:space="preserve">a </w:t>
      </w:r>
      <w:r w:rsidR="00C63DEA">
        <w:t>provision explicitly barring postjudgment appellate review</w:t>
      </w:r>
      <w:r w:rsidR="0005445F">
        <w:t xml:space="preserve">.  </w:t>
      </w:r>
      <w:r w:rsidR="00053168">
        <w:t>(</w:t>
      </w:r>
      <w:r w:rsidR="0092381B" w:rsidRPr="717AE9B5">
        <w:rPr>
          <w:i/>
          <w:iCs/>
        </w:rPr>
        <w:t>Maryland Casualty</w:t>
      </w:r>
      <w:r w:rsidR="0092381B">
        <w:t>,</w:t>
      </w:r>
      <w:r w:rsidR="00053168">
        <w:t xml:space="preserve"> at p. 1422; see Assem. Bill </w:t>
      </w:r>
      <w:r w:rsidR="00C92040">
        <w:t>3712</w:t>
      </w:r>
      <w:r w:rsidR="00053168">
        <w:t>, as introduced Mar. 22, 1982, proposed § 877.6, subd. (e).)</w:t>
      </w:r>
      <w:r w:rsidR="006F7529">
        <w:t xml:space="preserve">  </w:t>
      </w:r>
      <w:r w:rsidR="006F7529" w:rsidRPr="717AE9B5">
        <w:rPr>
          <w:i/>
          <w:iCs/>
        </w:rPr>
        <w:t>Maryland Casualty</w:t>
      </w:r>
      <w:r w:rsidR="00C92040">
        <w:t xml:space="preserve"> also reports that</w:t>
      </w:r>
      <w:r w:rsidR="006F7529">
        <w:t xml:space="preserve"> a copy of </w:t>
      </w:r>
      <w:r w:rsidR="00200DFD">
        <w:t>the State Bar</w:t>
      </w:r>
      <w:r w:rsidR="006F7529">
        <w:t xml:space="preserve"> proposal from Assemblyman St</w:t>
      </w:r>
      <w:r w:rsidR="0005445F">
        <w:t>i</w:t>
      </w:r>
      <w:r w:rsidR="006F7529">
        <w:t xml:space="preserve">rling’s legislative bill file </w:t>
      </w:r>
      <w:r w:rsidR="00F80326">
        <w:t>w</w:t>
      </w:r>
      <w:r w:rsidR="006F7529">
        <w:t xml:space="preserve">as </w:t>
      </w:r>
      <w:r w:rsidR="00F80326">
        <w:t xml:space="preserve">edited as </w:t>
      </w:r>
      <w:r w:rsidR="006F7529">
        <w:t>follows:  “</w:t>
      </w:r>
      <w:r>
        <w:t>Handwritten parentheses were placed around the proposed nonappealability</w:t>
      </w:r>
      <w:r>
        <w:t xml:space="preserve"> provision, as were the handwritten notations, </w:t>
      </w:r>
      <w:r w:rsidR="006F7529">
        <w:t>‘</w:t>
      </w:r>
      <w:r>
        <w:t>strike according to author</w:t>
      </w:r>
      <w:r w:rsidR="006F7529">
        <w:t>’</w:t>
      </w:r>
      <w:r>
        <w:t xml:space="preserve"> and </w:t>
      </w:r>
      <w:r w:rsidR="006F7529">
        <w:t>‘</w:t>
      </w:r>
      <w:r>
        <w:t>don</w:t>
      </w:r>
      <w:r w:rsidR="00F80326">
        <w:t>’</w:t>
      </w:r>
      <w:r>
        <w:t>t want to preclude.</w:t>
      </w:r>
      <w:r w:rsidR="006F7529">
        <w:t>’</w:t>
      </w:r>
      <w:r w:rsidR="00A26395">
        <w:t> ”</w:t>
      </w:r>
      <w:r>
        <w:t xml:space="preserve"> </w:t>
      </w:r>
      <w:r w:rsidR="00A26395">
        <w:t xml:space="preserve"> </w:t>
      </w:r>
      <w:r>
        <w:t>(</w:t>
      </w:r>
      <w:r w:rsidR="00F80326" w:rsidRPr="717AE9B5">
        <w:rPr>
          <w:i/>
          <w:iCs/>
        </w:rPr>
        <w:t>Maryland Casualty</w:t>
      </w:r>
      <w:r w:rsidR="002E4F20" w:rsidRPr="002E4F20">
        <w:rPr>
          <w:iCs/>
        </w:rPr>
        <w:t>,</w:t>
      </w:r>
      <w:r w:rsidR="00F80326" w:rsidRPr="717AE9B5">
        <w:rPr>
          <w:i/>
          <w:iCs/>
        </w:rPr>
        <w:t xml:space="preserve"> </w:t>
      </w:r>
      <w:r w:rsidR="00F80326">
        <w:t>at p. 1422</w:t>
      </w:r>
      <w:r>
        <w:t>.)</w:t>
      </w:r>
      <w:r w:rsidR="00F80326">
        <w:t xml:space="preserve">  </w:t>
      </w:r>
      <w:r w:rsidR="00D27D0D">
        <w:t xml:space="preserve">Furthermore, the Senate Judiciary Committee’s analysis </w:t>
      </w:r>
      <w:r w:rsidR="003C5B04">
        <w:t>of Assembly Bill 3712 expressly provided:  “</w:t>
      </w:r>
      <w:r w:rsidR="003C5B04" w:rsidRPr="717AE9B5">
        <w:rPr>
          <w:u w:val="single"/>
        </w:rPr>
        <w:t>No impact on ability to appeal</w:t>
      </w:r>
      <w:r w:rsidR="003C5B04">
        <w:t xml:space="preserve"> [¶] A non-settling defendant is presently free to appeal a determination which dismissed a co-defendant pursuant to a settlement after judgment is entered, and this bill would not affect that right of appeal.”  (Sen. Com. on Judiciary, Analysis of Assem. Bill</w:t>
      </w:r>
      <w:r w:rsidR="003C217B">
        <w:t> </w:t>
      </w:r>
      <w:r w:rsidR="003C5B04">
        <w:t>3712</w:t>
      </w:r>
      <w:r w:rsidR="006E52B4">
        <w:t>, at</w:t>
      </w:r>
      <w:r w:rsidR="003C5B04">
        <w:t xml:space="preserve"> p.</w:t>
      </w:r>
      <w:r w:rsidR="00F670B9">
        <w:t> </w:t>
      </w:r>
      <w:r w:rsidR="003C5B04">
        <w:t>4.)</w:t>
      </w:r>
    </w:p>
    <w:p w14:paraId="609D4929" w14:textId="5E1E8413" w:rsidR="00FE6C6B" w:rsidRPr="0081600F" w:rsidRDefault="0064751C" w:rsidP="00FB02E8">
      <w:pPr>
        <w:pStyle w:val="Text"/>
        <w:rPr>
          <w:iCs/>
        </w:rPr>
      </w:pPr>
      <w:r w:rsidRPr="0081600F">
        <w:rPr>
          <w:iCs/>
        </w:rPr>
        <w:lastRenderedPageBreak/>
        <w:t xml:space="preserve">Late in the legislative process, </w:t>
      </w:r>
      <w:r w:rsidR="00C651B8" w:rsidRPr="0081600F">
        <w:rPr>
          <w:iCs/>
        </w:rPr>
        <w:t>the Legislature</w:t>
      </w:r>
      <w:r w:rsidRPr="0081600F">
        <w:rPr>
          <w:iCs/>
        </w:rPr>
        <w:t xml:space="preserve"> </w:t>
      </w:r>
      <w:r w:rsidR="00C651B8" w:rsidRPr="0081600F">
        <w:rPr>
          <w:iCs/>
        </w:rPr>
        <w:t xml:space="preserve">amended </w:t>
      </w:r>
      <w:r w:rsidRPr="0081600F">
        <w:rPr>
          <w:iCs/>
        </w:rPr>
        <w:t>Assembly Bill</w:t>
      </w:r>
      <w:r w:rsidR="002A47A1" w:rsidRPr="0081600F">
        <w:rPr>
          <w:iCs/>
        </w:rPr>
        <w:t> </w:t>
      </w:r>
      <w:r w:rsidRPr="0081600F">
        <w:rPr>
          <w:iCs/>
        </w:rPr>
        <w:t xml:space="preserve">3712 </w:t>
      </w:r>
      <w:r w:rsidR="00C651B8" w:rsidRPr="0081600F">
        <w:rPr>
          <w:iCs/>
        </w:rPr>
        <w:t xml:space="preserve">to include </w:t>
      </w:r>
      <w:r w:rsidRPr="0081600F">
        <w:rPr>
          <w:iCs/>
        </w:rPr>
        <w:t xml:space="preserve">a nonrelated </w:t>
      </w:r>
      <w:r w:rsidR="00C651B8" w:rsidRPr="0081600F">
        <w:rPr>
          <w:iCs/>
        </w:rPr>
        <w:t xml:space="preserve">provision </w:t>
      </w:r>
      <w:r w:rsidR="00FE3859" w:rsidRPr="0081600F">
        <w:rPr>
          <w:iCs/>
        </w:rPr>
        <w:t xml:space="preserve">involving the approval of certain </w:t>
      </w:r>
      <w:r w:rsidR="00C651B8" w:rsidRPr="0081600F">
        <w:rPr>
          <w:iCs/>
        </w:rPr>
        <w:t>personnel assignments</w:t>
      </w:r>
      <w:r w:rsidR="00FE3859" w:rsidRPr="0081600F">
        <w:rPr>
          <w:iCs/>
        </w:rPr>
        <w:t xml:space="preserve"> by the presiding judge of the superior court.</w:t>
      </w:r>
      <w:r w:rsidR="000B6C39" w:rsidRPr="0081600F">
        <w:rPr>
          <w:iCs/>
        </w:rPr>
        <w:t xml:space="preserve">  (See </w:t>
      </w:r>
      <w:r w:rsidR="000B6C39" w:rsidRPr="0081600F">
        <w:rPr>
          <w:i/>
        </w:rPr>
        <w:t>Maryland Casualty</w:t>
      </w:r>
      <w:r w:rsidR="000B6C39" w:rsidRPr="0081600F">
        <w:rPr>
          <w:iCs/>
        </w:rPr>
        <w:t xml:space="preserve">, </w:t>
      </w:r>
      <w:r w:rsidR="000B6C39" w:rsidRPr="0081600F">
        <w:rPr>
          <w:i/>
        </w:rPr>
        <w:t>supra</w:t>
      </w:r>
      <w:r w:rsidR="000B6C39" w:rsidRPr="0081600F">
        <w:rPr>
          <w:iCs/>
        </w:rPr>
        <w:t>, 81 Cal.App.4th at p. 142</w:t>
      </w:r>
      <w:r w:rsidR="00A82C02" w:rsidRPr="0081600F">
        <w:rPr>
          <w:iCs/>
        </w:rPr>
        <w:t>2</w:t>
      </w:r>
      <w:r w:rsidR="000B6C39" w:rsidRPr="0081600F">
        <w:rPr>
          <w:iCs/>
        </w:rPr>
        <w:t xml:space="preserve">.) </w:t>
      </w:r>
      <w:r w:rsidR="00C651B8" w:rsidRPr="0081600F">
        <w:rPr>
          <w:iCs/>
        </w:rPr>
        <w:t xml:space="preserve"> </w:t>
      </w:r>
      <w:r w:rsidR="00D27D0D" w:rsidRPr="0081600F">
        <w:rPr>
          <w:iCs/>
        </w:rPr>
        <w:t xml:space="preserve">Apparently, </w:t>
      </w:r>
      <w:r w:rsidR="000B6C39" w:rsidRPr="0081600F">
        <w:rPr>
          <w:iCs/>
        </w:rPr>
        <w:t xml:space="preserve">Governor Brown vetoed Assembly Bill 3712 due the controversial nature of this </w:t>
      </w:r>
      <w:r w:rsidR="00A82C02" w:rsidRPr="0081600F">
        <w:rPr>
          <w:iCs/>
        </w:rPr>
        <w:t>provision.  (</w:t>
      </w:r>
      <w:r w:rsidR="00137BF5">
        <w:rPr>
          <w:i/>
        </w:rPr>
        <w:t>Maryland Casualty</w:t>
      </w:r>
      <w:r w:rsidR="00137BF5">
        <w:rPr>
          <w:iCs/>
        </w:rPr>
        <w:t>, at p. 1422</w:t>
      </w:r>
      <w:r w:rsidR="00A82C02" w:rsidRPr="0081600F">
        <w:rPr>
          <w:iCs/>
        </w:rPr>
        <w:t xml:space="preserve">, citing </w:t>
      </w:r>
      <w:r w:rsidR="00C651B8" w:rsidRPr="0081600F">
        <w:rPr>
          <w:iCs/>
        </w:rPr>
        <w:t>Governor</w:t>
      </w:r>
      <w:r w:rsidR="00D27D0D" w:rsidRPr="0081600F">
        <w:rPr>
          <w:iCs/>
        </w:rPr>
        <w:t>’</w:t>
      </w:r>
      <w:r w:rsidR="00C651B8" w:rsidRPr="0081600F">
        <w:rPr>
          <w:iCs/>
        </w:rPr>
        <w:t>s veto message to Assem. on Assem. Bill</w:t>
      </w:r>
      <w:r w:rsidR="002A47A1" w:rsidRPr="0081600F">
        <w:rPr>
          <w:iCs/>
        </w:rPr>
        <w:t> </w:t>
      </w:r>
      <w:r w:rsidR="00C651B8" w:rsidRPr="0081600F">
        <w:rPr>
          <w:iCs/>
        </w:rPr>
        <w:t>3712 (Sept. 30, 1982) 10 Assem. J. (1981</w:t>
      </w:r>
      <w:r w:rsidR="002A47A1" w:rsidRPr="0081600F">
        <w:rPr>
          <w:iCs/>
        </w:rPr>
        <w:t>–</w:t>
      </w:r>
      <w:r w:rsidR="00C651B8" w:rsidRPr="0081600F">
        <w:rPr>
          <w:iCs/>
        </w:rPr>
        <w:t>1982 Reg. Sess.) p.</w:t>
      </w:r>
      <w:r w:rsidR="00200DFD" w:rsidRPr="0081600F">
        <w:rPr>
          <w:iCs/>
        </w:rPr>
        <w:t> </w:t>
      </w:r>
      <w:r w:rsidR="00C651B8" w:rsidRPr="0081600F">
        <w:rPr>
          <w:iCs/>
        </w:rPr>
        <w:t>18794</w:t>
      </w:r>
      <w:r w:rsidR="00A82C02" w:rsidRPr="0081600F">
        <w:rPr>
          <w:iCs/>
        </w:rPr>
        <w:t xml:space="preserve"> [noting that the issue of assignments for superior court clerks “</w:t>
      </w:r>
      <w:r w:rsidR="00E83C75">
        <w:rPr>
          <w:iCs/>
        </w:rPr>
        <w:t> ‘</w:t>
      </w:r>
      <w:r w:rsidR="00A82C02" w:rsidRPr="0081600F">
        <w:rPr>
          <w:iCs/>
        </w:rPr>
        <w:t>merits further legislative review</w:t>
      </w:r>
      <w:r w:rsidR="00E83C75">
        <w:rPr>
          <w:iCs/>
        </w:rPr>
        <w:t>’ </w:t>
      </w:r>
      <w:r w:rsidR="007A75C9" w:rsidRPr="0081600F">
        <w:rPr>
          <w:iCs/>
        </w:rPr>
        <w:t>”</w:t>
      </w:r>
      <w:r w:rsidR="00A82C02" w:rsidRPr="0081600F">
        <w:rPr>
          <w:iCs/>
        </w:rPr>
        <w:t xml:space="preserve">].)  </w:t>
      </w:r>
      <w:r w:rsidR="00A82C02" w:rsidRPr="0081600F">
        <w:rPr>
          <w:i/>
        </w:rPr>
        <w:t xml:space="preserve">Maryland Casualty </w:t>
      </w:r>
      <w:r w:rsidR="007C7E5C" w:rsidRPr="0081600F">
        <w:rPr>
          <w:iCs/>
        </w:rPr>
        <w:t xml:space="preserve">relied on </w:t>
      </w:r>
      <w:r w:rsidR="00D81354" w:rsidRPr="0081600F">
        <w:rPr>
          <w:iCs/>
        </w:rPr>
        <w:t xml:space="preserve">this legislative history </w:t>
      </w:r>
      <w:r w:rsidR="007C7E5C" w:rsidRPr="0081600F">
        <w:rPr>
          <w:iCs/>
        </w:rPr>
        <w:t xml:space="preserve">to conclude that “while the Legislature viewed a writ petition </w:t>
      </w:r>
      <w:r w:rsidR="007C7E5C" w:rsidRPr="0081600F">
        <w:rPr>
          <w:i/>
        </w:rPr>
        <w:t>before</w:t>
      </w:r>
      <w:r w:rsidR="007C7E5C" w:rsidRPr="0081600F">
        <w:rPr>
          <w:iCs/>
        </w:rPr>
        <w:t xml:space="preserve"> trial as a </w:t>
      </w:r>
      <w:r w:rsidR="007C7E5C" w:rsidRPr="0081600F">
        <w:rPr>
          <w:i/>
        </w:rPr>
        <w:t>preferable</w:t>
      </w:r>
      <w:r w:rsidR="007C7E5C" w:rsidRPr="0081600F">
        <w:rPr>
          <w:iCs/>
        </w:rPr>
        <w:t xml:space="preserve"> means of reviewing good faith settlement determinations, section</w:t>
      </w:r>
      <w:r w:rsidR="002A47A1" w:rsidRPr="0081600F">
        <w:rPr>
          <w:iCs/>
        </w:rPr>
        <w:t> </w:t>
      </w:r>
      <w:r w:rsidR="007C7E5C" w:rsidRPr="0081600F">
        <w:rPr>
          <w:iCs/>
        </w:rPr>
        <w:t>877.6</w:t>
      </w:r>
      <w:r w:rsidR="00E83C75">
        <w:rPr>
          <w:iCs/>
        </w:rPr>
        <w:t>[, </w:t>
      </w:r>
      <w:r w:rsidR="008E30AC">
        <w:rPr>
          <w:iCs/>
        </w:rPr>
        <w:t>subdivision] </w:t>
      </w:r>
      <w:r w:rsidR="007C7E5C" w:rsidRPr="0081600F">
        <w:rPr>
          <w:iCs/>
        </w:rPr>
        <w:t>(e) does not foreclose postjudgment review.</w:t>
      </w:r>
      <w:r w:rsidR="00FF0215" w:rsidRPr="0081600F">
        <w:rPr>
          <w:iCs/>
        </w:rPr>
        <w:t>”</w:t>
      </w:r>
      <w:r w:rsidR="007C7E5C" w:rsidRPr="0081600F">
        <w:rPr>
          <w:iCs/>
        </w:rPr>
        <w:t xml:space="preserve">  (</w:t>
      </w:r>
      <w:r w:rsidR="007C7E5C" w:rsidRPr="0081600F">
        <w:rPr>
          <w:i/>
        </w:rPr>
        <w:t>Maryland Casualty</w:t>
      </w:r>
      <w:r w:rsidR="007C7E5C" w:rsidRPr="0081600F">
        <w:rPr>
          <w:iCs/>
        </w:rPr>
        <w:t xml:space="preserve">, at p. </w:t>
      </w:r>
      <w:r w:rsidR="002E2D2B" w:rsidRPr="0081600F">
        <w:rPr>
          <w:iCs/>
        </w:rPr>
        <w:t>1423</w:t>
      </w:r>
      <w:r w:rsidR="007C7E5C" w:rsidRPr="0081600F">
        <w:rPr>
          <w:iCs/>
        </w:rPr>
        <w:t>.)</w:t>
      </w:r>
    </w:p>
    <w:p w14:paraId="6801F0C4" w14:textId="109E6BCD" w:rsidR="000E7538" w:rsidRPr="0081600F" w:rsidRDefault="0064751C" w:rsidP="00053EDF">
      <w:pPr>
        <w:pStyle w:val="Text"/>
        <w:rPr>
          <w:iCs/>
        </w:rPr>
      </w:pPr>
      <w:r w:rsidRPr="0081600F">
        <w:rPr>
          <w:iCs/>
        </w:rPr>
        <w:t xml:space="preserve">We </w:t>
      </w:r>
      <w:r w:rsidR="00D81354" w:rsidRPr="0081600F">
        <w:rPr>
          <w:iCs/>
        </w:rPr>
        <w:t>are less persuaded by this legislative history.</w:t>
      </w:r>
      <w:r w:rsidRPr="0081600F">
        <w:rPr>
          <w:iCs/>
        </w:rPr>
        <w:t xml:space="preserve"> </w:t>
      </w:r>
      <w:r w:rsidR="00FE6C6B" w:rsidRPr="0081600F">
        <w:rPr>
          <w:iCs/>
        </w:rPr>
        <w:t xml:space="preserve"> </w:t>
      </w:r>
      <w:r w:rsidR="00FF0215" w:rsidRPr="0081600F">
        <w:rPr>
          <w:iCs/>
        </w:rPr>
        <w:t xml:space="preserve">First, although </w:t>
      </w:r>
      <w:r w:rsidR="00FF0215" w:rsidRPr="0081600F">
        <w:rPr>
          <w:i/>
        </w:rPr>
        <w:t>Maryland Casualty</w:t>
      </w:r>
      <w:r w:rsidR="00FF0215" w:rsidRPr="0081600F">
        <w:rPr>
          <w:iCs/>
        </w:rPr>
        <w:t xml:space="preserve"> found relevant </w:t>
      </w:r>
      <w:r w:rsidR="00943570" w:rsidRPr="0081600F">
        <w:rPr>
          <w:iCs/>
        </w:rPr>
        <w:t>the fact</w:t>
      </w:r>
      <w:r w:rsidR="00FB02E8" w:rsidRPr="0081600F">
        <w:rPr>
          <w:iCs/>
        </w:rPr>
        <w:t xml:space="preserve"> </w:t>
      </w:r>
      <w:r w:rsidR="00FF0215" w:rsidRPr="0081600F">
        <w:rPr>
          <w:iCs/>
        </w:rPr>
        <w:t>that the bill’s author “expressly opposed the nonappealability language”</w:t>
      </w:r>
      <w:r w:rsidR="002E2D2B" w:rsidRPr="0081600F">
        <w:rPr>
          <w:iCs/>
        </w:rPr>
        <w:t xml:space="preserve"> (</w:t>
      </w:r>
      <w:r w:rsidR="002E2D2B" w:rsidRPr="0081600F">
        <w:rPr>
          <w:i/>
        </w:rPr>
        <w:t>Maryland Casualty</w:t>
      </w:r>
      <w:r w:rsidR="002E2D2B" w:rsidRPr="0081600F">
        <w:rPr>
          <w:iCs/>
        </w:rPr>
        <w:t xml:space="preserve">, </w:t>
      </w:r>
      <w:r w:rsidR="002E2D2B" w:rsidRPr="0081600F">
        <w:rPr>
          <w:i/>
        </w:rPr>
        <w:t>supra</w:t>
      </w:r>
      <w:r w:rsidR="002E2D2B" w:rsidRPr="0081600F">
        <w:rPr>
          <w:iCs/>
        </w:rPr>
        <w:t>, 81</w:t>
      </w:r>
      <w:r w:rsidR="002A47A1" w:rsidRPr="0081600F">
        <w:rPr>
          <w:iCs/>
        </w:rPr>
        <w:t> </w:t>
      </w:r>
      <w:r w:rsidR="002E2D2B" w:rsidRPr="0081600F">
        <w:rPr>
          <w:iCs/>
        </w:rPr>
        <w:t>Cal.App.4th at pp. 1423</w:t>
      </w:r>
      <w:r w:rsidR="002A47A1" w:rsidRPr="0081600F">
        <w:rPr>
          <w:iCs/>
        </w:rPr>
        <w:t>–</w:t>
      </w:r>
      <w:r w:rsidR="002E2D2B" w:rsidRPr="0081600F">
        <w:rPr>
          <w:iCs/>
        </w:rPr>
        <w:t xml:space="preserve">1424), </w:t>
      </w:r>
      <w:r w:rsidR="00FF0215" w:rsidRPr="0081600F">
        <w:rPr>
          <w:iCs/>
        </w:rPr>
        <w:t>it is well established that</w:t>
      </w:r>
      <w:r w:rsidR="002E2D2B" w:rsidRPr="0081600F">
        <w:rPr>
          <w:iCs/>
        </w:rPr>
        <w:t xml:space="preserve"> </w:t>
      </w:r>
      <w:r w:rsidRPr="0081600F">
        <w:rPr>
          <w:iCs/>
        </w:rPr>
        <w:t>“[i]n construing a statute we do not consider the motives or understandings of individual legislators who cast their votes in favor of it.</w:t>
      </w:r>
      <w:r w:rsidR="007C561B" w:rsidRPr="0081600F">
        <w:rPr>
          <w:iCs/>
        </w:rPr>
        <w:t xml:space="preserve">  [Citations.]  </w:t>
      </w:r>
      <w:r w:rsidRPr="0081600F">
        <w:rPr>
          <w:iCs/>
        </w:rPr>
        <w:t>Nor do we carve an exception to this principle simply because the legislator whose mo</w:t>
      </w:r>
      <w:r w:rsidRPr="0081600F">
        <w:rPr>
          <w:iCs/>
        </w:rPr>
        <w:t xml:space="preserve">tives are </w:t>
      </w:r>
      <w:r w:rsidR="001B0A37" w:rsidRPr="0081600F">
        <w:rPr>
          <w:iCs/>
        </w:rPr>
        <w:t>proffered</w:t>
      </w:r>
      <w:r w:rsidRPr="0081600F">
        <w:rPr>
          <w:iCs/>
        </w:rPr>
        <w:t xml:space="preserve"> actually authored the bill in controversy</w:t>
      </w:r>
      <w:r w:rsidR="002A47A1" w:rsidRPr="0081600F">
        <w:rPr>
          <w:iCs/>
        </w:rPr>
        <w:t xml:space="preserve"> </w:t>
      </w:r>
      <w:r w:rsidR="007C561B" w:rsidRPr="0081600F">
        <w:rPr>
          <w:iCs/>
        </w:rPr>
        <w:t>[</w:t>
      </w:r>
      <w:r w:rsidR="001E45D2" w:rsidRPr="0081600F">
        <w:rPr>
          <w:iCs/>
        </w:rPr>
        <w:t>c</w:t>
      </w:r>
      <w:r w:rsidR="007C561B" w:rsidRPr="0081600F">
        <w:rPr>
          <w:iCs/>
        </w:rPr>
        <w:t>itation</w:t>
      </w:r>
      <w:r w:rsidR="001E45D2" w:rsidRPr="0081600F">
        <w:rPr>
          <w:iCs/>
        </w:rPr>
        <w:t>]</w:t>
      </w:r>
      <w:r w:rsidRPr="0081600F">
        <w:rPr>
          <w:iCs/>
        </w:rPr>
        <w:t xml:space="preserve">; no guarantee can issue that those who supported </w:t>
      </w:r>
      <w:r w:rsidR="001E45D2" w:rsidRPr="0081600F">
        <w:rPr>
          <w:iCs/>
        </w:rPr>
        <w:t>[the]</w:t>
      </w:r>
      <w:r w:rsidRPr="0081600F">
        <w:rPr>
          <w:iCs/>
        </w:rPr>
        <w:t xml:space="preserve"> proposal shared </w:t>
      </w:r>
      <w:r w:rsidR="001E45D2" w:rsidRPr="0081600F">
        <w:rPr>
          <w:iCs/>
        </w:rPr>
        <w:t>[the author’s]</w:t>
      </w:r>
      <w:r w:rsidRPr="0081600F">
        <w:rPr>
          <w:iCs/>
        </w:rPr>
        <w:t xml:space="preserve"> view of its compass.</w:t>
      </w:r>
      <w:r w:rsidR="001E45D2" w:rsidRPr="0081600F">
        <w:rPr>
          <w:iCs/>
        </w:rPr>
        <w:t>”  (</w:t>
      </w:r>
      <w:r w:rsidR="001E45D2" w:rsidRPr="0081600F">
        <w:rPr>
          <w:i/>
        </w:rPr>
        <w:t>In re Marriage of Bouquet</w:t>
      </w:r>
      <w:r w:rsidR="001E45D2" w:rsidRPr="0081600F">
        <w:rPr>
          <w:iCs/>
        </w:rPr>
        <w:t xml:space="preserve"> (1976) 16 Cal.3d 583, 589</w:t>
      </w:r>
      <w:r w:rsidR="002A47A1" w:rsidRPr="0081600F">
        <w:rPr>
          <w:iCs/>
        </w:rPr>
        <w:t>–</w:t>
      </w:r>
      <w:r w:rsidR="006D3ADF" w:rsidRPr="0081600F">
        <w:rPr>
          <w:iCs/>
        </w:rPr>
        <w:t>590; accord</w:t>
      </w:r>
      <w:r w:rsidR="00D40C86">
        <w:rPr>
          <w:iCs/>
        </w:rPr>
        <w:t>,</w:t>
      </w:r>
      <w:r w:rsidR="006D3ADF" w:rsidRPr="0081600F">
        <w:rPr>
          <w:iCs/>
        </w:rPr>
        <w:t xml:space="preserve"> </w:t>
      </w:r>
      <w:r w:rsidR="006D3ADF" w:rsidRPr="0081600F">
        <w:rPr>
          <w:i/>
        </w:rPr>
        <w:t>California Teachers Assn. v. Governing Board</w:t>
      </w:r>
      <w:r w:rsidR="006D3ADF" w:rsidRPr="0081600F">
        <w:rPr>
          <w:iCs/>
        </w:rPr>
        <w:t xml:space="preserve"> (1983) 144 Cal.App.3d 27</w:t>
      </w:r>
      <w:r w:rsidR="007A75C9" w:rsidRPr="0081600F">
        <w:rPr>
          <w:iCs/>
        </w:rPr>
        <w:t xml:space="preserve">, </w:t>
      </w:r>
      <w:r w:rsidR="006A37F3" w:rsidRPr="0081600F">
        <w:rPr>
          <w:iCs/>
        </w:rPr>
        <w:t>35</w:t>
      </w:r>
      <w:r w:rsidR="00287DFB" w:rsidRPr="0081600F">
        <w:rPr>
          <w:iCs/>
        </w:rPr>
        <w:t xml:space="preserve">; see </w:t>
      </w:r>
      <w:r w:rsidR="008D56CA" w:rsidRPr="0081600F">
        <w:rPr>
          <w:i/>
        </w:rPr>
        <w:t>Kaufman &amp; Broad Communities, Inc. v. Performance Plastering, Inc.</w:t>
      </w:r>
      <w:r w:rsidR="008D56CA" w:rsidRPr="0081600F">
        <w:rPr>
          <w:iCs/>
        </w:rPr>
        <w:t xml:space="preserve"> (2005) 133 Cal.App.4th 26, </w:t>
      </w:r>
      <w:r w:rsidR="00FB02E8" w:rsidRPr="0081600F">
        <w:rPr>
          <w:iCs/>
        </w:rPr>
        <w:t xml:space="preserve">30 [“as a general rule in order to be  cognizable, legislative history must shed light on the collegial view of the </w:t>
      </w:r>
      <w:r w:rsidR="00FB02E8" w:rsidRPr="0081600F">
        <w:rPr>
          <w:iCs/>
        </w:rPr>
        <w:lastRenderedPageBreak/>
        <w:t xml:space="preserve">Legislature </w:t>
      </w:r>
      <w:r w:rsidR="00FB02E8" w:rsidRPr="00A0072B">
        <w:rPr>
          <w:i/>
        </w:rPr>
        <w:t>as a whole</w:t>
      </w:r>
      <w:r w:rsidR="00FB02E8" w:rsidRPr="0081600F">
        <w:rPr>
          <w:iCs/>
        </w:rPr>
        <w:t xml:space="preserve">”]; </w:t>
      </w:r>
      <w:r w:rsidR="00FB02E8" w:rsidRPr="0081600F">
        <w:rPr>
          <w:i/>
        </w:rPr>
        <w:t xml:space="preserve">id. </w:t>
      </w:r>
      <w:r w:rsidR="00FB02E8" w:rsidRPr="0081600F">
        <w:rPr>
          <w:iCs/>
        </w:rPr>
        <w:t xml:space="preserve">at </w:t>
      </w:r>
      <w:r w:rsidR="00434779" w:rsidRPr="0081600F">
        <w:rPr>
          <w:iCs/>
        </w:rPr>
        <w:t xml:space="preserve">p. </w:t>
      </w:r>
      <w:r w:rsidR="00FB02E8" w:rsidRPr="0081600F">
        <w:rPr>
          <w:iCs/>
        </w:rPr>
        <w:t xml:space="preserve">37 </w:t>
      </w:r>
      <w:r w:rsidR="008D56CA" w:rsidRPr="0081600F">
        <w:rPr>
          <w:iCs/>
        </w:rPr>
        <w:t>[rejecting authoring legislator’s files a</w:t>
      </w:r>
      <w:r w:rsidR="00D62280" w:rsidRPr="0081600F">
        <w:rPr>
          <w:iCs/>
        </w:rPr>
        <w:t>s a permissible source of legislative history when there is no evidence the documents were communicated to the Legislature as a whole</w:t>
      </w:r>
      <w:r w:rsidR="008D56CA" w:rsidRPr="0081600F">
        <w:rPr>
          <w:iCs/>
        </w:rPr>
        <w:t>].)</w:t>
      </w:r>
      <w:r w:rsidR="00C92040">
        <w:rPr>
          <w:iCs/>
        </w:rPr>
        <w:t xml:space="preserve">  Indeed, Chart concedes as much.</w:t>
      </w:r>
      <w:r w:rsidR="00C92040" w:rsidRPr="0081600F">
        <w:t xml:space="preserve"> </w:t>
      </w:r>
      <w:r w:rsidR="001E45D2" w:rsidRPr="0081600F">
        <w:rPr>
          <w:iCs/>
        </w:rPr>
        <w:t xml:space="preserve"> </w:t>
      </w:r>
    </w:p>
    <w:p w14:paraId="013C7AFD" w14:textId="76B791E7" w:rsidR="000D706B" w:rsidRPr="0081600F" w:rsidRDefault="0064751C" w:rsidP="009E0CB0">
      <w:pPr>
        <w:pStyle w:val="Text"/>
        <w:rPr>
          <w:iCs/>
        </w:rPr>
      </w:pPr>
      <w:r w:rsidRPr="0081600F">
        <w:rPr>
          <w:iCs/>
        </w:rPr>
        <w:t>Consequently</w:t>
      </w:r>
      <w:r w:rsidR="00D62280" w:rsidRPr="0081600F">
        <w:rPr>
          <w:iCs/>
        </w:rPr>
        <w:t>, “</w:t>
      </w:r>
      <w:r w:rsidR="008E30AC">
        <w:rPr>
          <w:iCs/>
        </w:rPr>
        <w:t>[</w:t>
      </w:r>
      <w:r w:rsidR="00D62280" w:rsidRPr="0081600F">
        <w:rPr>
          <w:iCs/>
        </w:rPr>
        <w:t>a</w:t>
      </w:r>
      <w:r w:rsidR="008E30AC">
        <w:rPr>
          <w:iCs/>
        </w:rPr>
        <w:t>]</w:t>
      </w:r>
      <w:r w:rsidR="002E2D2B" w:rsidRPr="0081600F">
        <w:rPr>
          <w:iCs/>
        </w:rPr>
        <w:t xml:space="preserve"> legislator</w:t>
      </w:r>
      <w:r w:rsidR="002A47A1" w:rsidRPr="0081600F">
        <w:rPr>
          <w:iCs/>
        </w:rPr>
        <w:t>’</w:t>
      </w:r>
      <w:r w:rsidR="002E2D2B" w:rsidRPr="0081600F">
        <w:rPr>
          <w:iCs/>
        </w:rPr>
        <w:t>s statement is evidence of legislative intent only if it provides the history of the legislation</w:t>
      </w:r>
      <w:r w:rsidR="00D62280" w:rsidRPr="0081600F">
        <w:rPr>
          <w:iCs/>
        </w:rPr>
        <w:t>—</w:t>
      </w:r>
      <w:r w:rsidR="002E2D2B" w:rsidRPr="0081600F">
        <w:rPr>
          <w:iCs/>
        </w:rPr>
        <w:t>events which occurred or arguments made during its passage.</w:t>
      </w:r>
      <w:r w:rsidR="00D62280" w:rsidRPr="0081600F">
        <w:rPr>
          <w:iCs/>
        </w:rPr>
        <w:t>”</w:t>
      </w:r>
      <w:r w:rsidR="002E2D2B" w:rsidRPr="0081600F">
        <w:rPr>
          <w:iCs/>
        </w:rPr>
        <w:t xml:space="preserve"> </w:t>
      </w:r>
      <w:r w:rsidR="00D62280" w:rsidRPr="0081600F">
        <w:rPr>
          <w:iCs/>
        </w:rPr>
        <w:t xml:space="preserve"> </w:t>
      </w:r>
      <w:r w:rsidR="002E2D2B" w:rsidRPr="0081600F">
        <w:rPr>
          <w:iCs/>
        </w:rPr>
        <w:t>(</w:t>
      </w:r>
      <w:r w:rsidR="00372CA5" w:rsidRPr="0081600F">
        <w:rPr>
          <w:i/>
        </w:rPr>
        <w:t>California Teachers Assn. v. Governing Board</w:t>
      </w:r>
      <w:r w:rsidR="00D62280" w:rsidRPr="0081600F">
        <w:rPr>
          <w:iCs/>
        </w:rPr>
        <w:t xml:space="preserve">, </w:t>
      </w:r>
      <w:r w:rsidR="00D62280" w:rsidRPr="0081600F">
        <w:rPr>
          <w:i/>
        </w:rPr>
        <w:t>supra</w:t>
      </w:r>
      <w:r w:rsidR="00D62280" w:rsidRPr="0081600F">
        <w:rPr>
          <w:iCs/>
        </w:rPr>
        <w:t>, 144</w:t>
      </w:r>
      <w:r w:rsidR="002A47A1" w:rsidRPr="0081600F">
        <w:rPr>
          <w:iCs/>
        </w:rPr>
        <w:t> </w:t>
      </w:r>
      <w:r w:rsidR="00D62280" w:rsidRPr="0081600F">
        <w:rPr>
          <w:iCs/>
        </w:rPr>
        <w:t xml:space="preserve">Cal.App.3d </w:t>
      </w:r>
      <w:r w:rsidR="006A37F3" w:rsidRPr="0081600F">
        <w:rPr>
          <w:iCs/>
        </w:rPr>
        <w:t>at p. 35</w:t>
      </w:r>
      <w:r w:rsidR="002E2D2B" w:rsidRPr="0081600F">
        <w:rPr>
          <w:iCs/>
        </w:rPr>
        <w:t>.)</w:t>
      </w:r>
      <w:r w:rsidR="006A37F3" w:rsidRPr="0081600F">
        <w:rPr>
          <w:iCs/>
        </w:rPr>
        <w:t xml:space="preserve">  Moreover, </w:t>
      </w:r>
      <w:r w:rsidR="002A47A1" w:rsidRPr="0081600F">
        <w:rPr>
          <w:iCs/>
        </w:rPr>
        <w:t>“</w:t>
      </w:r>
      <w:r w:rsidR="006A37F3" w:rsidRPr="0081600F">
        <w:rPr>
          <w:iCs/>
        </w:rPr>
        <w:t>[t]</w:t>
      </w:r>
      <w:r w:rsidR="002E2D2B" w:rsidRPr="0081600F">
        <w:rPr>
          <w:iCs/>
        </w:rPr>
        <w:t>hese standards for consideration of legislators</w:t>
      </w:r>
      <w:r w:rsidR="006A37F3" w:rsidRPr="0081600F">
        <w:rPr>
          <w:iCs/>
        </w:rPr>
        <w:t>’</w:t>
      </w:r>
      <w:r w:rsidR="002E2D2B" w:rsidRPr="0081600F">
        <w:rPr>
          <w:iCs/>
        </w:rPr>
        <w:t xml:space="preserve"> statements go to admissibility, rather than weight, of the evidence offered. </w:t>
      </w:r>
      <w:r w:rsidR="00092DA8" w:rsidRPr="0081600F">
        <w:rPr>
          <w:iCs/>
        </w:rPr>
        <w:t xml:space="preserve"> </w:t>
      </w:r>
      <w:r w:rsidR="002E2D2B" w:rsidRPr="0081600F">
        <w:rPr>
          <w:iCs/>
        </w:rPr>
        <w:t>(</w:t>
      </w:r>
      <w:r w:rsidR="00092DA8" w:rsidRPr="0081600F">
        <w:rPr>
          <w:i/>
        </w:rPr>
        <w:t>Ibid</w:t>
      </w:r>
      <w:r w:rsidR="002E2D2B" w:rsidRPr="0081600F">
        <w:rPr>
          <w:iCs/>
        </w:rPr>
        <w:t>.)</w:t>
      </w:r>
      <w:r w:rsidR="005D01AD" w:rsidRPr="0081600F">
        <w:rPr>
          <w:iCs/>
        </w:rPr>
        <w:t xml:space="preserve">  </w:t>
      </w:r>
      <w:r w:rsidR="009342C6" w:rsidRPr="0081600F">
        <w:rPr>
          <w:iCs/>
        </w:rPr>
        <w:t>I</w:t>
      </w:r>
      <w:r w:rsidR="005D01AD" w:rsidRPr="0081600F">
        <w:rPr>
          <w:iCs/>
        </w:rPr>
        <w:t xml:space="preserve">f we were attempting to discern the legislative intent animating Assembly Bill </w:t>
      </w:r>
      <w:r w:rsidR="005D01AD" w:rsidRPr="0081600F">
        <w:rPr>
          <w:i/>
        </w:rPr>
        <w:t>3712</w:t>
      </w:r>
      <w:r w:rsidR="005D01AD" w:rsidRPr="0081600F">
        <w:rPr>
          <w:iCs/>
        </w:rPr>
        <w:t xml:space="preserve">, we </w:t>
      </w:r>
      <w:r w:rsidR="001A4881" w:rsidRPr="0081600F">
        <w:rPr>
          <w:iCs/>
        </w:rPr>
        <w:t>might</w:t>
      </w:r>
      <w:r w:rsidR="005D01AD" w:rsidRPr="0081600F">
        <w:rPr>
          <w:iCs/>
        </w:rPr>
        <w:t xml:space="preserve"> find the statement of the bill’s author admissible as </w:t>
      </w:r>
      <w:r w:rsidR="00327175" w:rsidRPr="0081600F">
        <w:rPr>
          <w:iCs/>
        </w:rPr>
        <w:t>it reflected argument</w:t>
      </w:r>
      <w:r w:rsidR="00F51C08" w:rsidRPr="0081600F">
        <w:rPr>
          <w:iCs/>
        </w:rPr>
        <w:t>s</w:t>
      </w:r>
      <w:r w:rsidR="00327175" w:rsidRPr="0081600F">
        <w:rPr>
          <w:iCs/>
        </w:rPr>
        <w:t xml:space="preserve"> made </w:t>
      </w:r>
      <w:r w:rsidR="005D01AD" w:rsidRPr="0081600F">
        <w:rPr>
          <w:iCs/>
        </w:rPr>
        <w:t xml:space="preserve">in the </w:t>
      </w:r>
      <w:r w:rsidR="005D01AD" w:rsidRPr="006B2762">
        <w:rPr>
          <w:iCs/>
        </w:rPr>
        <w:t xml:space="preserve">Senate Judiciary Committee </w:t>
      </w:r>
      <w:r w:rsidR="00327175" w:rsidRPr="006B2762">
        <w:rPr>
          <w:iCs/>
        </w:rPr>
        <w:t>analysis</w:t>
      </w:r>
      <w:r w:rsidR="00312CF5">
        <w:rPr>
          <w:iCs/>
        </w:rPr>
        <w:t xml:space="preserve"> for Assembly Bill 3712</w:t>
      </w:r>
      <w:r w:rsidR="00F51C08" w:rsidRPr="0081600F">
        <w:rPr>
          <w:iCs/>
        </w:rPr>
        <w:t>,</w:t>
      </w:r>
      <w:r w:rsidR="00327175" w:rsidRPr="0081600F">
        <w:rPr>
          <w:iCs/>
        </w:rPr>
        <w:t xml:space="preserve"> which</w:t>
      </w:r>
      <w:r w:rsidR="00816A04">
        <w:rPr>
          <w:iCs/>
        </w:rPr>
        <w:t>, as mentioned above,</w:t>
      </w:r>
      <w:r w:rsidR="00327175" w:rsidRPr="0081600F">
        <w:rPr>
          <w:iCs/>
        </w:rPr>
        <w:t xml:space="preserve"> clearly stated that the amendment would </w:t>
      </w:r>
      <w:r w:rsidR="005D01AD" w:rsidRPr="0081600F">
        <w:rPr>
          <w:iCs/>
        </w:rPr>
        <w:t xml:space="preserve">not preclude postjudgment </w:t>
      </w:r>
      <w:r w:rsidR="009E0CB0" w:rsidRPr="0081600F">
        <w:rPr>
          <w:iCs/>
        </w:rPr>
        <w:t xml:space="preserve">appellate </w:t>
      </w:r>
      <w:r w:rsidR="005D01AD" w:rsidRPr="0081600F">
        <w:rPr>
          <w:iCs/>
        </w:rPr>
        <w:t>review.</w:t>
      </w:r>
    </w:p>
    <w:p w14:paraId="1D0559C3" w14:textId="4452CEB8" w:rsidR="009E0CB0" w:rsidRPr="0081600F" w:rsidRDefault="0064751C" w:rsidP="009E0CB0">
      <w:pPr>
        <w:pStyle w:val="Text"/>
        <w:rPr>
          <w:iCs/>
        </w:rPr>
      </w:pPr>
      <w:r w:rsidRPr="0081600F">
        <w:rPr>
          <w:iCs/>
        </w:rPr>
        <w:t xml:space="preserve">Here, however, we are concerned with the legislative intent underlying Assembly Bill </w:t>
      </w:r>
      <w:r w:rsidRPr="0081600F">
        <w:rPr>
          <w:i/>
        </w:rPr>
        <w:t>2</w:t>
      </w:r>
      <w:r w:rsidR="00F51C08" w:rsidRPr="0081600F">
        <w:rPr>
          <w:i/>
        </w:rPr>
        <w:t>3</w:t>
      </w:r>
      <w:r w:rsidRPr="0081600F">
        <w:rPr>
          <w:i/>
        </w:rPr>
        <w:t>2</w:t>
      </w:r>
      <w:r w:rsidR="00F51C08" w:rsidRPr="0081600F">
        <w:rPr>
          <w:iCs/>
        </w:rPr>
        <w:t xml:space="preserve">, enacted by a subsequent </w:t>
      </w:r>
      <w:r w:rsidR="008F5DA2">
        <w:rPr>
          <w:iCs/>
        </w:rPr>
        <w:t>L</w:t>
      </w:r>
      <w:r w:rsidR="00F51C08" w:rsidRPr="0081600F">
        <w:rPr>
          <w:iCs/>
        </w:rPr>
        <w:t xml:space="preserve">egislature.  </w:t>
      </w:r>
      <w:r w:rsidRPr="0081600F">
        <w:rPr>
          <w:iCs/>
        </w:rPr>
        <w:t>Our review of the legislati</w:t>
      </w:r>
      <w:r w:rsidRPr="0081600F">
        <w:rPr>
          <w:iCs/>
        </w:rPr>
        <w:t xml:space="preserve">ve history for </w:t>
      </w:r>
      <w:r w:rsidR="00582019" w:rsidRPr="0081600F">
        <w:rPr>
          <w:iCs/>
        </w:rPr>
        <w:t>Assembly Bill 232</w:t>
      </w:r>
      <w:r w:rsidRPr="0081600F">
        <w:rPr>
          <w:iCs/>
        </w:rPr>
        <w:t xml:space="preserve"> has </w:t>
      </w:r>
      <w:r w:rsidR="00D81354" w:rsidRPr="0081600F">
        <w:rPr>
          <w:iCs/>
        </w:rPr>
        <w:t xml:space="preserve">not uncovered </w:t>
      </w:r>
      <w:r w:rsidRPr="0081600F">
        <w:rPr>
          <w:i/>
        </w:rPr>
        <w:t>any</w:t>
      </w:r>
      <w:r w:rsidRPr="0081600F">
        <w:rPr>
          <w:iCs/>
        </w:rPr>
        <w:t xml:space="preserve"> express discussion of the continued viability of postjudgment appellate review.  In addition, t</w:t>
      </w:r>
      <w:r w:rsidR="00F51C08" w:rsidRPr="0081600F">
        <w:rPr>
          <w:iCs/>
        </w:rPr>
        <w:t xml:space="preserve">he only reference to Assembly Bill 3712 in the legislative history for Assembly Bill 232 is </w:t>
      </w:r>
      <w:r w:rsidR="00434779" w:rsidRPr="0081600F">
        <w:rPr>
          <w:iCs/>
        </w:rPr>
        <w:t>a</w:t>
      </w:r>
      <w:r w:rsidR="00F51C08" w:rsidRPr="0081600F">
        <w:rPr>
          <w:iCs/>
        </w:rPr>
        <w:t xml:space="preserve"> repeated comment that the prior legislation contained nearly identical provisions and was vetoed for unrelated reasons.  (Assembly Judiciary Analysis</w:t>
      </w:r>
      <w:r w:rsidR="00F52788">
        <w:rPr>
          <w:iCs/>
        </w:rPr>
        <w:t xml:space="preserve">, </w:t>
      </w:r>
      <w:r w:rsidR="00F52788">
        <w:rPr>
          <w:i/>
        </w:rPr>
        <w:t>supra</w:t>
      </w:r>
      <w:r w:rsidR="00F52788">
        <w:rPr>
          <w:iCs/>
        </w:rPr>
        <w:t>,</w:t>
      </w:r>
      <w:r w:rsidR="00F51C08" w:rsidRPr="0081600F">
        <w:rPr>
          <w:iCs/>
        </w:rPr>
        <w:t xml:space="preserve"> at p. 2.; Senate Judiciary Analysis</w:t>
      </w:r>
      <w:r w:rsidR="00F52788">
        <w:rPr>
          <w:iCs/>
        </w:rPr>
        <w:t xml:space="preserve">, </w:t>
      </w:r>
      <w:r w:rsidR="00F52788">
        <w:rPr>
          <w:i/>
        </w:rPr>
        <w:t>supra</w:t>
      </w:r>
      <w:r w:rsidR="00F52788">
        <w:rPr>
          <w:iCs/>
        </w:rPr>
        <w:t>,</w:t>
      </w:r>
      <w:r w:rsidR="00F51C08" w:rsidRPr="0081600F">
        <w:rPr>
          <w:iCs/>
        </w:rPr>
        <w:t xml:space="preserve"> at pp. 1, 7</w:t>
      </w:r>
      <w:r w:rsidRPr="0081600F">
        <w:rPr>
          <w:iCs/>
        </w:rPr>
        <w:t>.</w:t>
      </w:r>
      <w:r w:rsidR="00F51C08" w:rsidRPr="0081600F">
        <w:rPr>
          <w:iCs/>
        </w:rPr>
        <w:t>)</w:t>
      </w:r>
      <w:r w:rsidRPr="0081600F">
        <w:rPr>
          <w:iCs/>
        </w:rPr>
        <w:t xml:space="preserve">  </w:t>
      </w:r>
      <w:r w:rsidR="003F7B3A" w:rsidRPr="0081600F">
        <w:rPr>
          <w:iCs/>
        </w:rPr>
        <w:t>In t</w:t>
      </w:r>
      <w:r w:rsidR="00D81354" w:rsidRPr="0081600F">
        <w:rPr>
          <w:iCs/>
        </w:rPr>
        <w:t xml:space="preserve">hese </w:t>
      </w:r>
      <w:r w:rsidRPr="0081600F">
        <w:rPr>
          <w:iCs/>
        </w:rPr>
        <w:t>circumstances, the author’s statement</w:t>
      </w:r>
      <w:r w:rsidR="003F7B3A" w:rsidRPr="0081600F">
        <w:rPr>
          <w:iCs/>
        </w:rPr>
        <w:t>s</w:t>
      </w:r>
      <w:r w:rsidRPr="0081600F">
        <w:rPr>
          <w:iCs/>
        </w:rPr>
        <w:t xml:space="preserve"> </w:t>
      </w:r>
      <w:r w:rsidR="003F7B3A" w:rsidRPr="0081600F">
        <w:rPr>
          <w:iCs/>
        </w:rPr>
        <w:t xml:space="preserve">about </w:t>
      </w:r>
      <w:r w:rsidRPr="0081600F">
        <w:rPr>
          <w:iCs/>
        </w:rPr>
        <w:t xml:space="preserve">Assembly Bill 3712 </w:t>
      </w:r>
      <w:r w:rsidR="00372CA5" w:rsidRPr="0081600F">
        <w:rPr>
          <w:iCs/>
        </w:rPr>
        <w:t>add little</w:t>
      </w:r>
      <w:r w:rsidR="003F7B3A" w:rsidRPr="0081600F">
        <w:rPr>
          <w:iCs/>
        </w:rPr>
        <w:t xml:space="preserve"> </w:t>
      </w:r>
      <w:r w:rsidR="004649DB" w:rsidRPr="0081600F">
        <w:rPr>
          <w:iCs/>
        </w:rPr>
        <w:t xml:space="preserve">to </w:t>
      </w:r>
      <w:r w:rsidR="003F7B3A" w:rsidRPr="0081600F">
        <w:rPr>
          <w:iCs/>
        </w:rPr>
        <w:t xml:space="preserve">our understanding of the intent </w:t>
      </w:r>
      <w:r w:rsidR="00816A04">
        <w:rPr>
          <w:iCs/>
        </w:rPr>
        <w:t>underlying</w:t>
      </w:r>
      <w:r w:rsidR="004649DB" w:rsidRPr="0081600F">
        <w:rPr>
          <w:iCs/>
        </w:rPr>
        <w:t xml:space="preserve"> Assembly Bill 232</w:t>
      </w:r>
      <w:r w:rsidRPr="0081600F">
        <w:rPr>
          <w:iCs/>
        </w:rPr>
        <w:t>.</w:t>
      </w:r>
    </w:p>
    <w:p w14:paraId="7530C3A9" w14:textId="37D14EAC" w:rsidR="009A640D" w:rsidRPr="0081600F" w:rsidRDefault="0064751C" w:rsidP="001632D1">
      <w:pPr>
        <w:pStyle w:val="Text"/>
        <w:rPr>
          <w:iCs/>
        </w:rPr>
      </w:pPr>
      <w:r w:rsidRPr="0081600F">
        <w:rPr>
          <w:iCs/>
        </w:rPr>
        <w:lastRenderedPageBreak/>
        <w:t xml:space="preserve">Nor do we find helpful the </w:t>
      </w:r>
      <w:r w:rsidR="001A39AB" w:rsidRPr="0081600F">
        <w:rPr>
          <w:iCs/>
        </w:rPr>
        <w:t xml:space="preserve">comment in the Senate Judiciary </w:t>
      </w:r>
      <w:r w:rsidR="001E1211">
        <w:rPr>
          <w:iCs/>
        </w:rPr>
        <w:t xml:space="preserve">Committee </w:t>
      </w:r>
      <w:r w:rsidR="001A39AB" w:rsidRPr="0081600F">
        <w:rPr>
          <w:iCs/>
        </w:rPr>
        <w:t xml:space="preserve">analysis </w:t>
      </w:r>
      <w:r w:rsidRPr="0081600F">
        <w:rPr>
          <w:iCs/>
        </w:rPr>
        <w:t xml:space="preserve">of </w:t>
      </w:r>
      <w:r w:rsidR="001A39AB" w:rsidRPr="0081600F">
        <w:rPr>
          <w:iCs/>
        </w:rPr>
        <w:t xml:space="preserve">Assembly Bill 3712 </w:t>
      </w:r>
      <w:r w:rsidR="000D1FFD" w:rsidRPr="0081600F">
        <w:rPr>
          <w:iCs/>
        </w:rPr>
        <w:t xml:space="preserve">regarding </w:t>
      </w:r>
      <w:r w:rsidR="008350E4" w:rsidRPr="0081600F">
        <w:rPr>
          <w:iCs/>
        </w:rPr>
        <w:t>the continued viability of postjudgment appeals.</w:t>
      </w:r>
      <w:r w:rsidR="000D706B" w:rsidRPr="0081600F">
        <w:rPr>
          <w:iCs/>
        </w:rPr>
        <w:t xml:space="preserve">  As many courts have noted, “it is difficult to rely on vetoed legislation when determining Legislative intent.”  (</w:t>
      </w:r>
      <w:r w:rsidR="000A59F9" w:rsidRPr="0081600F">
        <w:rPr>
          <w:i/>
        </w:rPr>
        <w:t>Union of American Physicians &amp; Dentists v. Brown</w:t>
      </w:r>
      <w:r w:rsidR="000A59F9" w:rsidRPr="0081600F">
        <w:rPr>
          <w:iCs/>
        </w:rPr>
        <w:t xml:space="preserve"> (2011) 195 Cal.App.4th 691, 700, fn. 8;</w:t>
      </w:r>
      <w:r w:rsidR="009A7FD1" w:rsidRPr="0081600F">
        <w:rPr>
          <w:iCs/>
        </w:rPr>
        <w:t xml:space="preserve"> see, </w:t>
      </w:r>
      <w:r w:rsidR="001B0A37" w:rsidRPr="0081600F">
        <w:rPr>
          <w:iCs/>
        </w:rPr>
        <w:t>e.g.,</w:t>
      </w:r>
      <w:r w:rsidR="009A7FD1" w:rsidRPr="0081600F">
        <w:rPr>
          <w:iCs/>
        </w:rPr>
        <w:t xml:space="preserve"> </w:t>
      </w:r>
      <w:r w:rsidR="009A7FD1" w:rsidRPr="0081600F">
        <w:rPr>
          <w:i/>
        </w:rPr>
        <w:t>Snyder v. Michael’s Stores, Inc.</w:t>
      </w:r>
      <w:r w:rsidR="009A7FD1" w:rsidRPr="0081600F">
        <w:rPr>
          <w:iCs/>
        </w:rPr>
        <w:t xml:space="preserve"> (1997) 16 Cal.4th </w:t>
      </w:r>
      <w:r w:rsidR="00D83224" w:rsidRPr="0081600F">
        <w:rPr>
          <w:iCs/>
        </w:rPr>
        <w:t xml:space="preserve">991, 1003, fn. 4; </w:t>
      </w:r>
      <w:r w:rsidR="009A7FD1" w:rsidRPr="0081600F">
        <w:rPr>
          <w:i/>
        </w:rPr>
        <w:t>California Labor Federation v. Industrial Welfare Com</w:t>
      </w:r>
      <w:r w:rsidR="009A7FD1" w:rsidRPr="0081600F">
        <w:rPr>
          <w:iCs/>
        </w:rPr>
        <w:t xml:space="preserve">. (1998) 63 Cal.App.4th 982, 994–995 </w:t>
      </w:r>
      <w:r w:rsidR="00D83224" w:rsidRPr="0081600F">
        <w:rPr>
          <w:iCs/>
        </w:rPr>
        <w:t>[“we may not take judicial notice of unenacted legislation for the purpose of giving effect to that legislation in spite of the Governor’s veto”];</w:t>
      </w:r>
      <w:r w:rsidR="007A2BB5" w:rsidRPr="0081600F">
        <w:rPr>
          <w:iCs/>
        </w:rPr>
        <w:t xml:space="preserve"> </w:t>
      </w:r>
      <w:r w:rsidR="007A2BB5" w:rsidRPr="0081600F">
        <w:rPr>
          <w:i/>
        </w:rPr>
        <w:t>Baldwin v. County of Tehama</w:t>
      </w:r>
      <w:r w:rsidR="007A2BB5" w:rsidRPr="0081600F">
        <w:rPr>
          <w:iCs/>
        </w:rPr>
        <w:t xml:space="preserve"> (</w:t>
      </w:r>
      <w:r w:rsidR="006C693C" w:rsidRPr="0081600F">
        <w:rPr>
          <w:iCs/>
        </w:rPr>
        <w:t>1994</w:t>
      </w:r>
      <w:r w:rsidR="007A2BB5" w:rsidRPr="0081600F">
        <w:rPr>
          <w:iCs/>
        </w:rPr>
        <w:t>)</w:t>
      </w:r>
      <w:r w:rsidR="006C693C" w:rsidRPr="0081600F">
        <w:rPr>
          <w:iCs/>
        </w:rPr>
        <w:t xml:space="preserve"> 31 Cal.App.4th</w:t>
      </w:r>
      <w:r w:rsidR="007A2BB5" w:rsidRPr="0081600F">
        <w:rPr>
          <w:iCs/>
        </w:rPr>
        <w:t xml:space="preserve"> </w:t>
      </w:r>
      <w:r w:rsidR="006C693C" w:rsidRPr="0081600F">
        <w:rPr>
          <w:iCs/>
        </w:rPr>
        <w:t>166, 181, fn. 10</w:t>
      </w:r>
      <w:r w:rsidR="007A2BB5" w:rsidRPr="0081600F">
        <w:rPr>
          <w:iCs/>
        </w:rPr>
        <w:t xml:space="preserve"> [consideration of vetoed precursor legislation improperly invites the court “to read legislative history tea leaves”].)</w:t>
      </w:r>
      <w:r w:rsidR="006C693C" w:rsidRPr="0081600F">
        <w:rPr>
          <w:iCs/>
        </w:rPr>
        <w:t xml:space="preserve">  </w:t>
      </w:r>
      <w:r w:rsidR="00434779" w:rsidRPr="0081600F">
        <w:rPr>
          <w:iCs/>
        </w:rPr>
        <w:t>In a similar vein</w:t>
      </w:r>
      <w:r w:rsidR="009A6D5A" w:rsidRPr="0081600F">
        <w:rPr>
          <w:iCs/>
        </w:rPr>
        <w:t>, “ ‘</w:t>
      </w:r>
      <w:r w:rsidR="009A6D5A" w:rsidRPr="0081600F">
        <w:rPr>
          <w:rFonts w:eastAsia="Times New Roman"/>
          <w:bdr w:val="none" w:sz="0" w:space="0" w:color="auto" w:frame="1"/>
        </w:rPr>
        <w:t>[u]npassed bills, as evidences of legislative intent, have little value.’ ”  (</w:t>
      </w:r>
      <w:r w:rsidR="009A6D5A" w:rsidRPr="0081600F">
        <w:rPr>
          <w:rFonts w:eastAsia="Times New Roman"/>
          <w:i/>
          <w:iCs/>
          <w:bdr w:val="none" w:sz="0" w:space="0" w:color="auto" w:frame="1"/>
        </w:rPr>
        <w:t>Granberry v. Islay Investments</w:t>
      </w:r>
      <w:r w:rsidR="009A6D5A" w:rsidRPr="0081600F">
        <w:rPr>
          <w:rFonts w:eastAsia="Times New Roman"/>
          <w:bdr w:val="none" w:sz="0" w:space="0" w:color="auto" w:frame="1"/>
        </w:rPr>
        <w:t xml:space="preserve"> (1995) 9 Cal.4th</w:t>
      </w:r>
      <w:r w:rsidR="007A2BB5" w:rsidRPr="0081600F">
        <w:rPr>
          <w:iCs/>
        </w:rPr>
        <w:t xml:space="preserve"> </w:t>
      </w:r>
      <w:r w:rsidR="009A6D5A" w:rsidRPr="0081600F">
        <w:rPr>
          <w:iCs/>
        </w:rPr>
        <w:t xml:space="preserve">738, 746; </w:t>
      </w:r>
      <w:r w:rsidR="006E3B48" w:rsidRPr="0081600F">
        <w:rPr>
          <w:iCs/>
        </w:rPr>
        <w:t xml:space="preserve">see also </w:t>
      </w:r>
      <w:r w:rsidR="006E3B48" w:rsidRPr="0081600F">
        <w:rPr>
          <w:i/>
        </w:rPr>
        <w:t>People v. Mendoza</w:t>
      </w:r>
      <w:r w:rsidR="006E3B48" w:rsidRPr="0081600F">
        <w:rPr>
          <w:iCs/>
        </w:rPr>
        <w:t xml:space="preserve"> (2000) 23</w:t>
      </w:r>
      <w:r w:rsidR="00372CA5" w:rsidRPr="0081600F">
        <w:rPr>
          <w:iCs/>
        </w:rPr>
        <w:t> </w:t>
      </w:r>
      <w:r w:rsidR="006E3B48" w:rsidRPr="0081600F">
        <w:rPr>
          <w:iCs/>
        </w:rPr>
        <w:t xml:space="preserve">Cal.4th 896, 921; </w:t>
      </w:r>
      <w:r w:rsidRPr="0081600F">
        <w:rPr>
          <w:i/>
        </w:rPr>
        <w:t>Arnett v. Dal Cielo</w:t>
      </w:r>
      <w:r w:rsidRPr="0081600F">
        <w:rPr>
          <w:iCs/>
        </w:rPr>
        <w:t xml:space="preserve"> (1996) 14 Cal.4th</w:t>
      </w:r>
      <w:r w:rsidR="007A2BB5" w:rsidRPr="0081600F">
        <w:rPr>
          <w:iCs/>
        </w:rPr>
        <w:t xml:space="preserve"> </w:t>
      </w:r>
      <w:r w:rsidRPr="0081600F">
        <w:rPr>
          <w:iCs/>
        </w:rPr>
        <w:t xml:space="preserve">4, 29.)  The reason for these rules is apparent.  </w:t>
      </w:r>
      <w:r w:rsidR="00FE6C6B" w:rsidRPr="0081600F">
        <w:rPr>
          <w:iCs/>
        </w:rPr>
        <w:t>A</w:t>
      </w:r>
      <w:r w:rsidR="00A71D10" w:rsidRPr="0081600F">
        <w:rPr>
          <w:iCs/>
        </w:rPr>
        <w:t xml:space="preserve"> </w:t>
      </w:r>
      <w:r w:rsidR="00FE6C6B" w:rsidRPr="0081600F">
        <w:rPr>
          <w:iCs/>
        </w:rPr>
        <w:t xml:space="preserve">Legislature’s intent </w:t>
      </w:r>
      <w:r w:rsidR="00372CA5" w:rsidRPr="0081600F">
        <w:rPr>
          <w:iCs/>
        </w:rPr>
        <w:t>as to</w:t>
      </w:r>
      <w:r w:rsidR="00FE6C6B" w:rsidRPr="0081600F">
        <w:rPr>
          <w:iCs/>
        </w:rPr>
        <w:t xml:space="preserve"> failed </w:t>
      </w:r>
      <w:r w:rsidR="00A71D10" w:rsidRPr="0081600F">
        <w:rPr>
          <w:iCs/>
        </w:rPr>
        <w:t xml:space="preserve">legislation sheds little light on </w:t>
      </w:r>
      <w:r w:rsidR="00FE6C6B" w:rsidRPr="0081600F">
        <w:rPr>
          <w:iCs/>
        </w:rPr>
        <w:t xml:space="preserve">a subsequent Legislature’s intent </w:t>
      </w:r>
      <w:r w:rsidR="00816A04">
        <w:rPr>
          <w:iCs/>
        </w:rPr>
        <w:t>regarding</w:t>
      </w:r>
      <w:r w:rsidR="00FE6C6B" w:rsidRPr="0081600F">
        <w:rPr>
          <w:iCs/>
        </w:rPr>
        <w:t xml:space="preserve"> enacted </w:t>
      </w:r>
      <w:r w:rsidR="00A71D10" w:rsidRPr="0081600F">
        <w:rPr>
          <w:iCs/>
        </w:rPr>
        <w:t xml:space="preserve">legislation.  </w:t>
      </w:r>
      <w:r w:rsidR="00C85FE0" w:rsidRPr="0081600F">
        <w:rPr>
          <w:iCs/>
        </w:rPr>
        <w:t xml:space="preserve">(See </w:t>
      </w:r>
      <w:r w:rsidR="00DF2A19" w:rsidRPr="0081600F">
        <w:rPr>
          <w:i/>
        </w:rPr>
        <w:t>Mendoza</w:t>
      </w:r>
      <w:r w:rsidR="002E4F20" w:rsidRPr="002E4F20">
        <w:t>,</w:t>
      </w:r>
      <w:r w:rsidR="00DF2A19" w:rsidRPr="0081600F">
        <w:rPr>
          <w:iCs/>
        </w:rPr>
        <w:t xml:space="preserve"> at p. </w:t>
      </w:r>
      <w:r w:rsidR="00416EA3" w:rsidRPr="0081600F">
        <w:rPr>
          <w:iCs/>
        </w:rPr>
        <w:t xml:space="preserve">921 </w:t>
      </w:r>
      <w:r w:rsidR="00DF2A19" w:rsidRPr="0081600F">
        <w:rPr>
          <w:iCs/>
        </w:rPr>
        <w:t>[</w:t>
      </w:r>
      <w:r w:rsidR="00416EA3" w:rsidRPr="0081600F">
        <w:rPr>
          <w:iCs/>
        </w:rPr>
        <w:t>failure to enact could be based on political considerations</w:t>
      </w:r>
      <w:r w:rsidR="00DF2A19" w:rsidRPr="0081600F">
        <w:rPr>
          <w:iCs/>
        </w:rPr>
        <w:t xml:space="preserve">]; </w:t>
      </w:r>
      <w:r w:rsidR="00DF2A19" w:rsidRPr="0081600F">
        <w:rPr>
          <w:i/>
        </w:rPr>
        <w:t>Arnett</w:t>
      </w:r>
      <w:r w:rsidR="00DF2A19" w:rsidRPr="0081600F">
        <w:rPr>
          <w:iCs/>
        </w:rPr>
        <w:t>, at p. 28 [proponents may withdraw a provision on purely tactical grounds].)</w:t>
      </w:r>
    </w:p>
    <w:p w14:paraId="59EE6FFE" w14:textId="7468F2E7" w:rsidR="009342C6" w:rsidRPr="0081600F" w:rsidRDefault="0064751C" w:rsidP="001632D1">
      <w:pPr>
        <w:pStyle w:val="Text"/>
        <w:rPr>
          <w:iCs/>
        </w:rPr>
      </w:pPr>
      <w:r w:rsidRPr="0081600F">
        <w:rPr>
          <w:iCs/>
        </w:rPr>
        <w:t xml:space="preserve">In this case, </w:t>
      </w:r>
      <w:r w:rsidR="007768EF" w:rsidRPr="0081600F">
        <w:rPr>
          <w:iCs/>
        </w:rPr>
        <w:t xml:space="preserve">the author </w:t>
      </w:r>
      <w:r w:rsidR="00AE2CDB" w:rsidRPr="0081600F">
        <w:rPr>
          <w:iCs/>
        </w:rPr>
        <w:t xml:space="preserve">of Assembly Bill 232 </w:t>
      </w:r>
      <w:r w:rsidR="007768EF" w:rsidRPr="0081600F">
        <w:rPr>
          <w:iCs/>
        </w:rPr>
        <w:t xml:space="preserve">may have </w:t>
      </w:r>
      <w:r w:rsidRPr="0081600F">
        <w:rPr>
          <w:iCs/>
        </w:rPr>
        <w:t xml:space="preserve">realized the </w:t>
      </w:r>
      <w:r w:rsidR="009208E0" w:rsidRPr="0081600F">
        <w:rPr>
          <w:iCs/>
        </w:rPr>
        <w:t>State Bar</w:t>
      </w:r>
      <w:r w:rsidRPr="0081600F">
        <w:rPr>
          <w:iCs/>
        </w:rPr>
        <w:t xml:space="preserve"> was correct that the proposed statutory writ procedure should be exclusive</w:t>
      </w:r>
      <w:r w:rsidR="00470482" w:rsidRPr="0081600F">
        <w:rPr>
          <w:iCs/>
        </w:rPr>
        <w:t xml:space="preserve">, and </w:t>
      </w:r>
      <w:r w:rsidR="00372CA5" w:rsidRPr="0081600F">
        <w:rPr>
          <w:iCs/>
        </w:rPr>
        <w:t xml:space="preserve">he may </w:t>
      </w:r>
      <w:r w:rsidR="007768EF" w:rsidRPr="0081600F">
        <w:rPr>
          <w:iCs/>
        </w:rPr>
        <w:t xml:space="preserve">therefore </w:t>
      </w:r>
      <w:r w:rsidR="00372CA5" w:rsidRPr="0081600F">
        <w:rPr>
          <w:iCs/>
        </w:rPr>
        <w:t xml:space="preserve">have </w:t>
      </w:r>
      <w:r w:rsidRPr="0081600F">
        <w:rPr>
          <w:iCs/>
        </w:rPr>
        <w:t>d</w:t>
      </w:r>
      <w:r w:rsidR="00470482" w:rsidRPr="0081600F">
        <w:rPr>
          <w:iCs/>
        </w:rPr>
        <w:t xml:space="preserve">ecided against including </w:t>
      </w:r>
      <w:r w:rsidR="00DD501E" w:rsidRPr="0081600F">
        <w:rPr>
          <w:iCs/>
        </w:rPr>
        <w:t>a</w:t>
      </w:r>
      <w:r w:rsidRPr="0081600F">
        <w:rPr>
          <w:iCs/>
        </w:rPr>
        <w:t xml:space="preserve"> </w:t>
      </w:r>
      <w:r w:rsidR="00DD501E" w:rsidRPr="0081600F">
        <w:rPr>
          <w:iCs/>
        </w:rPr>
        <w:t xml:space="preserve">discussion of postjudgment appeal in the arguments put forth for </w:t>
      </w:r>
      <w:r w:rsidR="00AE2CDB" w:rsidRPr="0081600F">
        <w:rPr>
          <w:iCs/>
        </w:rPr>
        <w:t>the bill</w:t>
      </w:r>
      <w:r w:rsidR="00DD501E" w:rsidRPr="0081600F">
        <w:rPr>
          <w:iCs/>
        </w:rPr>
        <w:t xml:space="preserve">.  </w:t>
      </w:r>
      <w:r w:rsidR="00385538" w:rsidRPr="0081600F">
        <w:rPr>
          <w:iCs/>
        </w:rPr>
        <w:t>Or</w:t>
      </w:r>
      <w:r w:rsidR="007A473D" w:rsidRPr="0081600F">
        <w:rPr>
          <w:iCs/>
        </w:rPr>
        <w:t xml:space="preserve"> the author may have initially excluded the nonappealability provision for tactical reasons </w:t>
      </w:r>
      <w:r w:rsidR="00AE2CDB" w:rsidRPr="0081600F">
        <w:rPr>
          <w:iCs/>
        </w:rPr>
        <w:t xml:space="preserve">that </w:t>
      </w:r>
      <w:r w:rsidR="007A473D" w:rsidRPr="0081600F">
        <w:rPr>
          <w:iCs/>
        </w:rPr>
        <w:t xml:space="preserve">were no longer relevant.  </w:t>
      </w:r>
      <w:r w:rsidR="00DD501E" w:rsidRPr="0081600F">
        <w:rPr>
          <w:iCs/>
        </w:rPr>
        <w:t xml:space="preserve">We will never know.  </w:t>
      </w:r>
    </w:p>
    <w:p w14:paraId="03DE2BE5" w14:textId="6AC95CA6" w:rsidR="009342C6" w:rsidRDefault="0064751C" w:rsidP="00485035">
      <w:pPr>
        <w:pStyle w:val="Text"/>
        <w:rPr>
          <w:iCs/>
        </w:rPr>
      </w:pPr>
      <w:r w:rsidRPr="717AE9B5">
        <w:lastRenderedPageBreak/>
        <w:t xml:space="preserve">What </w:t>
      </w:r>
      <w:r w:rsidR="00DD501E" w:rsidRPr="717AE9B5">
        <w:t xml:space="preserve">we do know is that the legislative history of Assembly Bill 232 </w:t>
      </w:r>
      <w:r w:rsidR="00434779" w:rsidRPr="717AE9B5">
        <w:t xml:space="preserve">does not mention </w:t>
      </w:r>
      <w:r w:rsidR="002B2468" w:rsidRPr="717AE9B5">
        <w:t>postjudgment appeal as an alternative to the writ procedure the bill creates.</w:t>
      </w:r>
      <w:r>
        <w:rPr>
          <w:rStyle w:val="FootnoteReference"/>
        </w:rPr>
        <w:footnoteReference w:id="7"/>
      </w:r>
      <w:r w:rsidR="002B2468" w:rsidRPr="717AE9B5">
        <w:t xml:space="preserve">  Instead, the history repeatedly </w:t>
      </w:r>
      <w:r w:rsidR="00DD501E" w:rsidRPr="717AE9B5">
        <w:t xml:space="preserve">stresses that </w:t>
      </w:r>
      <w:r w:rsidR="00DD501E" w:rsidRPr="0081600F">
        <w:rPr>
          <w:iCs/>
        </w:rPr>
        <w:t>“</w:t>
      </w:r>
      <w:r w:rsidR="00616954" w:rsidRPr="0081600F">
        <w:rPr>
          <w:iCs/>
        </w:rPr>
        <w:t> ‘</w:t>
      </w:r>
      <w:r w:rsidR="00DD501E" w:rsidRPr="717AE9B5">
        <w:t>[a]ppellate review delayed until after the judgment . . . thwarts the policy of the law to encourage settlement.’ ”  (Assem</w:t>
      </w:r>
      <w:r w:rsidR="00CD5842" w:rsidRPr="0081600F">
        <w:rPr>
          <w:iCs/>
        </w:rPr>
        <w:t>.</w:t>
      </w:r>
      <w:r w:rsidR="00DD501E" w:rsidRPr="717AE9B5">
        <w:t xml:space="preserve"> Judiciary Analysis</w:t>
      </w:r>
      <w:r w:rsidR="00C641AA">
        <w:rPr>
          <w:iCs/>
        </w:rPr>
        <w:t xml:space="preserve">, </w:t>
      </w:r>
      <w:r w:rsidR="00C641AA" w:rsidRPr="717AE9B5">
        <w:rPr>
          <w:i/>
          <w:iCs/>
        </w:rPr>
        <w:t>supra</w:t>
      </w:r>
      <w:r w:rsidR="00CD5842" w:rsidRPr="717AE9B5">
        <w:t>, at p.</w:t>
      </w:r>
      <w:r w:rsidR="00C641AA">
        <w:rPr>
          <w:iCs/>
        </w:rPr>
        <w:t> </w:t>
      </w:r>
      <w:r w:rsidR="00CD5842" w:rsidRPr="717AE9B5">
        <w:t>2</w:t>
      </w:r>
      <w:r w:rsidR="00DD501E" w:rsidRPr="0081600F">
        <w:rPr>
          <w:iCs/>
        </w:rPr>
        <w:t>.)</w:t>
      </w:r>
      <w:r w:rsidR="007C65BD" w:rsidRPr="0081600F">
        <w:rPr>
          <w:iCs/>
        </w:rPr>
        <w:t xml:space="preserve">  </w:t>
      </w:r>
      <w:r w:rsidR="00E80AE7" w:rsidRPr="717AE9B5">
        <w:t>Moreover</w:t>
      </w:r>
      <w:r w:rsidR="005B5150" w:rsidRPr="717AE9B5">
        <w:t xml:space="preserve">, the </w:t>
      </w:r>
      <w:r w:rsidR="00E80AE7" w:rsidRPr="717AE9B5">
        <w:t xml:space="preserve">obvious </w:t>
      </w:r>
      <w:r w:rsidR="005B5150" w:rsidRPr="717AE9B5">
        <w:t xml:space="preserve">impracticality of requiring </w:t>
      </w:r>
      <w:r w:rsidR="00AA528F" w:rsidRPr="717AE9B5">
        <w:t xml:space="preserve">a </w:t>
      </w:r>
      <w:r w:rsidR="005B5150" w:rsidRPr="717AE9B5">
        <w:t xml:space="preserve">settling defendant </w:t>
      </w:r>
      <w:r w:rsidR="00AA528F" w:rsidRPr="717AE9B5">
        <w:t xml:space="preserve">to </w:t>
      </w:r>
      <w:r w:rsidR="005F0E09" w:rsidRPr="717AE9B5">
        <w:t>continue to monitor or participate in further litigation, including a trial, based on  a</w:t>
      </w:r>
      <w:r w:rsidR="00A01C02">
        <w:rPr>
          <w:iCs/>
        </w:rPr>
        <w:t xml:space="preserve"> </w:t>
      </w:r>
      <w:r w:rsidR="00E80AE7" w:rsidRPr="717AE9B5">
        <w:t>concern</w:t>
      </w:r>
      <w:r w:rsidR="0060462F">
        <w:rPr>
          <w:iCs/>
        </w:rPr>
        <w:t xml:space="preserve"> </w:t>
      </w:r>
      <w:r w:rsidR="00E80AE7" w:rsidRPr="717AE9B5">
        <w:t xml:space="preserve">that </w:t>
      </w:r>
      <w:r w:rsidR="0060462F" w:rsidRPr="717AE9B5">
        <w:t>the good faith of its settlement m</w:t>
      </w:r>
      <w:r w:rsidR="00D53746" w:rsidRPr="717AE9B5">
        <w:t>ight</w:t>
      </w:r>
      <w:r w:rsidR="0060462F" w:rsidRPr="717AE9B5">
        <w:t xml:space="preserve"> be </w:t>
      </w:r>
      <w:r w:rsidR="00AA528F" w:rsidRPr="717AE9B5">
        <w:t xml:space="preserve">overturned on appeal </w:t>
      </w:r>
      <w:r w:rsidR="00D53746" w:rsidRPr="717AE9B5">
        <w:t>from a later judgment</w:t>
      </w:r>
      <w:r w:rsidR="005F0E09">
        <w:rPr>
          <w:iCs/>
        </w:rPr>
        <w:t>,</w:t>
      </w:r>
      <w:r w:rsidR="00D53746">
        <w:rPr>
          <w:iCs/>
        </w:rPr>
        <w:t xml:space="preserve"> </w:t>
      </w:r>
      <w:r w:rsidR="005B5150" w:rsidRPr="717AE9B5">
        <w:t>makes any other construction of</w:t>
      </w:r>
      <w:r w:rsidR="00D53746" w:rsidRPr="717AE9B5">
        <w:t xml:space="preserve"> section</w:t>
      </w:r>
      <w:r w:rsidR="00761F4A">
        <w:t> </w:t>
      </w:r>
      <w:r w:rsidR="00D53746" w:rsidRPr="717AE9B5">
        <w:t xml:space="preserve">877.6 </w:t>
      </w:r>
      <w:r w:rsidR="005B5150">
        <w:rPr>
          <w:iCs/>
        </w:rPr>
        <w:t xml:space="preserve"> </w:t>
      </w:r>
      <w:r w:rsidR="00D53746" w:rsidRPr="717AE9B5">
        <w:t>antithetical to the legislation</w:t>
      </w:r>
      <w:r w:rsidR="00E80AE7" w:rsidRPr="717AE9B5">
        <w:t>’s purpose of providing swift and final settlements.</w:t>
      </w:r>
      <w:r w:rsidR="005B5150">
        <w:rPr>
          <w:iCs/>
        </w:rPr>
        <w:t xml:space="preserve">  </w:t>
      </w:r>
      <w:r w:rsidR="007C65BD" w:rsidRPr="717AE9B5">
        <w:t xml:space="preserve">We therefore conclude that the statutory writ of mandate procedure set forth </w:t>
      </w:r>
      <w:r w:rsidR="00761F4A">
        <w:t xml:space="preserve">in </w:t>
      </w:r>
      <w:r w:rsidR="007C65BD" w:rsidRPr="717AE9B5">
        <w:t xml:space="preserve">subdivision (e) of section 877.6 is the sole means of obtaining appellate review of the good faith </w:t>
      </w:r>
      <w:r w:rsidR="007E31AD" w:rsidRPr="717AE9B5">
        <w:t>determination</w:t>
      </w:r>
      <w:r w:rsidR="007C65BD" w:rsidRPr="0081600F">
        <w:rPr>
          <w:iCs/>
        </w:rPr>
        <w:t>.</w:t>
      </w:r>
    </w:p>
    <w:p w14:paraId="49F44AB5" w14:textId="78D66023" w:rsidR="00682213" w:rsidRDefault="00682213" w:rsidP="00485035">
      <w:pPr>
        <w:pStyle w:val="Text"/>
        <w:rPr>
          <w:iCs/>
        </w:rPr>
      </w:pPr>
    </w:p>
    <w:p w14:paraId="53331C38" w14:textId="4886F009" w:rsidR="00682213" w:rsidRPr="0081600F" w:rsidRDefault="0064751C" w:rsidP="001322D1">
      <w:pPr>
        <w:pStyle w:val="Text"/>
        <w:ind w:firstLine="0"/>
        <w:jc w:val="center"/>
      </w:pPr>
      <w:r>
        <w:lastRenderedPageBreak/>
        <w:t xml:space="preserve">* </w:t>
      </w:r>
      <w:r w:rsidR="00D030F4">
        <w:t>* *</w:t>
      </w:r>
    </w:p>
    <w:p w14:paraId="0F76266F" w14:textId="10CEE5E7" w:rsidR="00E30C73" w:rsidRPr="0081600F" w:rsidRDefault="0064751C" w:rsidP="00E30C73">
      <w:pPr>
        <w:pStyle w:val="Text"/>
        <w:rPr>
          <w:iCs/>
        </w:rPr>
      </w:pPr>
      <w:r w:rsidRPr="0081600F">
        <w:rPr>
          <w:iCs/>
        </w:rPr>
        <w:t xml:space="preserve">Finally, we </w:t>
      </w:r>
      <w:r w:rsidR="003A4B2E" w:rsidRPr="0081600F">
        <w:rPr>
          <w:iCs/>
        </w:rPr>
        <w:t xml:space="preserve">take a moment to </w:t>
      </w:r>
      <w:r w:rsidRPr="0081600F">
        <w:rPr>
          <w:iCs/>
        </w:rPr>
        <w:t>address Chart’s concern that it has not received effective appellate review of the good faith determination because its writ petition was denied summarily.  A similar</w:t>
      </w:r>
      <w:r w:rsidRPr="0081600F">
        <w:rPr>
          <w:iCs/>
        </w:rPr>
        <w:t xml:space="preserve"> concern can be found in the legislative history for Assembly Bill 3712, which discloses that the Alameda County Bar Association originally objected to the State Bar’s proposal because “ ‘</w:t>
      </w:r>
      <w:r w:rsidR="00E86DD0">
        <w:rPr>
          <w:iCs/>
        </w:rPr>
        <w:t>[</w:t>
      </w:r>
      <w:r w:rsidRPr="0081600F">
        <w:rPr>
          <w:iCs/>
        </w:rPr>
        <w:t>d</w:t>
      </w:r>
      <w:r w:rsidR="00E86DD0">
        <w:rPr>
          <w:iCs/>
        </w:rPr>
        <w:t>]</w:t>
      </w:r>
      <w:r w:rsidRPr="0081600F">
        <w:rPr>
          <w:iCs/>
        </w:rPr>
        <w:t>iscretionary review of a party’s dismissal from an action pursuan</w:t>
      </w:r>
      <w:r w:rsidRPr="0081600F">
        <w:rPr>
          <w:iCs/>
        </w:rPr>
        <w:t>t to [section 877.6] should not be the sole means of reviewing a trial court’s order. . . .  A party objecting to a settlement should have the absolute right of a review on the merits to protect his or her interests.’ ”  (</w:t>
      </w:r>
      <w:r w:rsidRPr="0081600F">
        <w:rPr>
          <w:i/>
        </w:rPr>
        <w:t>Maryland Casualty</w:t>
      </w:r>
      <w:r w:rsidRPr="0081600F">
        <w:rPr>
          <w:iCs/>
        </w:rPr>
        <w:t xml:space="preserve">, </w:t>
      </w:r>
      <w:r w:rsidRPr="0081600F">
        <w:rPr>
          <w:i/>
        </w:rPr>
        <w:t>supra</w:t>
      </w:r>
      <w:r w:rsidRPr="0081600F">
        <w:rPr>
          <w:iCs/>
        </w:rPr>
        <w:t xml:space="preserve">, 81 Cal.App.4th at p. 1421.)  </w:t>
      </w:r>
    </w:p>
    <w:p w14:paraId="7040FEEA" w14:textId="49605319" w:rsidR="00ED1818" w:rsidRPr="0081600F" w:rsidRDefault="0064751C" w:rsidP="003A4B2E">
      <w:pPr>
        <w:pStyle w:val="Text"/>
      </w:pPr>
      <w:r>
        <w:t xml:space="preserve">That writ review is discretionary, however, does not mean it is ineffective.  Even though “appellate review by extraordinary writ petition is said to be discretionary, a court must exercise its discretion ‘within reasonable </w:t>
      </w:r>
      <w:r>
        <w:t>bounds and for a proper reason.’ ”  (</w:t>
      </w:r>
      <w:r w:rsidRPr="717AE9B5">
        <w:rPr>
          <w:i/>
          <w:iCs/>
        </w:rPr>
        <w:t xml:space="preserve">Powers v. City of Richmond </w:t>
      </w:r>
      <w:r>
        <w:t>(1995) 10 Cal.4th 85, 113.)  In particular, “when writ review is the exclusive means of appellate review of a final order or judgment, an appellate court may not deny an apparently meritorious</w:t>
      </w:r>
      <w:r>
        <w:t xml:space="preserve"> writ petition, timely presented in a formally and procedurally sufficient manner, merely because, for example, the petition presents no important issue of law or because the court considers the case less worthy of its attention than other matters.”  (</w:t>
      </w:r>
      <w:r w:rsidRPr="717AE9B5">
        <w:rPr>
          <w:i/>
          <w:iCs/>
        </w:rPr>
        <w:t>Id.</w:t>
      </w:r>
      <w:r>
        <w:t xml:space="preserve"> </w:t>
      </w:r>
      <w:r>
        <w:t>at p. 114.)  Thus, although appellate courts may decide writ petitions summarily—i.e., without issuing an alternative writ or order to show cause, without oral argument, and without issuing a full written opinion—when a writ petition constitutes the exclus</w:t>
      </w:r>
      <w:r>
        <w:t xml:space="preserve">ive means of obtaining appellate review of an order, </w:t>
      </w:r>
      <w:r w:rsidR="008360B0">
        <w:t>“</w:t>
      </w:r>
      <w:r>
        <w:t xml:space="preserve">an appellate court must judge the petition on its procedural and substantive merits, and a summary denial of the petition is necessarily on the merits.”  </w:t>
      </w:r>
      <w:r>
        <w:lastRenderedPageBreak/>
        <w:t>(</w:t>
      </w:r>
      <w:r w:rsidR="003A4B2E" w:rsidRPr="717AE9B5">
        <w:rPr>
          <w:i/>
          <w:iCs/>
        </w:rPr>
        <w:t xml:space="preserve">Leone v. Medical </w:t>
      </w:r>
      <w:r w:rsidR="008360B0" w:rsidRPr="717AE9B5">
        <w:rPr>
          <w:i/>
          <w:iCs/>
        </w:rPr>
        <w:t>Board</w:t>
      </w:r>
      <w:r w:rsidR="003A4B2E" w:rsidRPr="717AE9B5">
        <w:rPr>
          <w:i/>
          <w:iCs/>
        </w:rPr>
        <w:t xml:space="preserve"> </w:t>
      </w:r>
      <w:r w:rsidR="003A4B2E">
        <w:t>(2000) 22 Cal.4th 660, 669</w:t>
      </w:r>
      <w:r w:rsidR="002E7A6C">
        <w:t>–</w:t>
      </w:r>
      <w:r w:rsidR="003A4B2E">
        <w:t>670</w:t>
      </w:r>
      <w:r>
        <w:t>;</w:t>
      </w:r>
      <w:r w:rsidR="003A4B2E">
        <w:t xml:space="preserve"> </w:t>
      </w:r>
      <w:r w:rsidR="003A4B2E" w:rsidRPr="717AE9B5">
        <w:rPr>
          <w:i/>
          <w:iCs/>
        </w:rPr>
        <w:t>Powers</w:t>
      </w:r>
      <w:r w:rsidR="000954B5">
        <w:t>,</w:t>
      </w:r>
      <w:r w:rsidR="003A4B2E">
        <w:t xml:space="preserve"> at p.</w:t>
      </w:r>
      <w:r w:rsidR="008A326A">
        <w:t> </w:t>
      </w:r>
      <w:r w:rsidR="003A4B2E">
        <w:t>114, fn. 19;</w:t>
      </w:r>
      <w:r>
        <w:t xml:space="preserve"> see </w:t>
      </w:r>
      <w:r w:rsidR="008A326A" w:rsidRPr="717AE9B5">
        <w:rPr>
          <w:i/>
          <w:iCs/>
        </w:rPr>
        <w:t xml:space="preserve">Frisk </w:t>
      </w:r>
      <w:r w:rsidRPr="717AE9B5">
        <w:rPr>
          <w:i/>
          <w:iCs/>
        </w:rPr>
        <w:t>v. Superior Court</w:t>
      </w:r>
      <w:r>
        <w:t xml:space="preserve"> (2011) 200 Cal.App.4th 402, 415</w:t>
      </w:r>
      <w:r w:rsidR="003A4B2E">
        <w:t xml:space="preserve">; cf. </w:t>
      </w:r>
      <w:r w:rsidR="003A4B2E" w:rsidRPr="717AE9B5">
        <w:rPr>
          <w:i/>
          <w:iCs/>
        </w:rPr>
        <w:t>James</w:t>
      </w:r>
      <w:r w:rsidR="0068596A">
        <w:rPr>
          <w:i/>
          <w:iCs/>
        </w:rPr>
        <w:t> </w:t>
      </w:r>
      <w:r w:rsidR="003A4B2E" w:rsidRPr="717AE9B5">
        <w:rPr>
          <w:i/>
          <w:iCs/>
        </w:rPr>
        <w:t>B. v. Superior Court</w:t>
      </w:r>
      <w:r w:rsidR="003A4B2E">
        <w:t xml:space="preserve"> (1995) 35 Cal.App.4th 1014, 1018, fn. 3.)  </w:t>
      </w:r>
      <w:r>
        <w:t>Chart can rest assured that we carefully considered its writ petition and denied it on</w:t>
      </w:r>
      <w:r>
        <w:t xml:space="preserve"> its substantive merits.   </w:t>
      </w:r>
      <w:r w:rsidR="00733412">
        <w:t xml:space="preserve"> </w:t>
      </w:r>
    </w:p>
    <w:p w14:paraId="43DE4DBC" w14:textId="24EFF4C6" w:rsidR="006A5912" w:rsidRPr="0081600F" w:rsidRDefault="0064751C" w:rsidP="00D375FE">
      <w:pPr>
        <w:pStyle w:val="Heading"/>
      </w:pPr>
      <w:r w:rsidRPr="0081600F">
        <w:t>III.</w:t>
      </w:r>
    </w:p>
    <w:p w14:paraId="2427A996" w14:textId="5AC7F3BC" w:rsidR="00B45695" w:rsidRPr="0081600F" w:rsidRDefault="0064751C" w:rsidP="00D375FE">
      <w:pPr>
        <w:pStyle w:val="Heading"/>
      </w:pPr>
      <w:r w:rsidRPr="0081600F">
        <w:t>DISPOSITION</w:t>
      </w:r>
    </w:p>
    <w:p w14:paraId="29E1ECAB" w14:textId="454AD298" w:rsidR="0079173E" w:rsidRDefault="0064751C" w:rsidP="00953F1A">
      <w:pPr>
        <w:pStyle w:val="Text"/>
        <w:rPr>
          <w:shd w:val="clear" w:color="auto" w:fill="FFFFFF"/>
        </w:rPr>
      </w:pPr>
      <w:r w:rsidRPr="0081600F">
        <w:t xml:space="preserve">The </w:t>
      </w:r>
      <w:r w:rsidR="00B174EF" w:rsidRPr="0081600F">
        <w:rPr>
          <w:shd w:val="clear" w:color="auto" w:fill="FFFFFF"/>
        </w:rPr>
        <w:t>appeal is dismissed</w:t>
      </w:r>
      <w:r w:rsidR="00DF7299" w:rsidRPr="0081600F">
        <w:rPr>
          <w:shd w:val="clear" w:color="auto" w:fill="FFFFFF"/>
        </w:rPr>
        <w:t>.</w:t>
      </w:r>
      <w:r w:rsidR="00B174EF" w:rsidRPr="0081600F">
        <w:rPr>
          <w:shd w:val="clear" w:color="auto" w:fill="FFFFFF"/>
        </w:rPr>
        <w:t xml:space="preserve">  </w:t>
      </w:r>
      <w:r w:rsidR="0018265A" w:rsidRPr="0081600F">
        <w:rPr>
          <w:shd w:val="clear" w:color="auto" w:fill="FFFFFF"/>
        </w:rPr>
        <w:t>Respondents are awarded their costs on appeal</w:t>
      </w:r>
      <w:r w:rsidR="00B174EF" w:rsidRPr="0081600F">
        <w:rPr>
          <w:shd w:val="clear" w:color="auto" w:fill="FFFFFF"/>
        </w:rPr>
        <w:t>.</w:t>
      </w:r>
    </w:p>
    <w:p w14:paraId="22CDA339" w14:textId="22BCA2C7" w:rsidR="008A326A" w:rsidRDefault="0064751C">
      <w:pPr>
        <w:tabs>
          <w:tab w:val="clear" w:pos="720"/>
        </w:tabs>
        <w:spacing w:after="160" w:line="259" w:lineRule="auto"/>
        <w:rPr>
          <w:rFonts w:ascii="Century Schoolbook" w:hAnsi="Century Schoolbook"/>
        </w:rPr>
      </w:pPr>
      <w:r>
        <w:rPr>
          <w:rFonts w:ascii="Century Schoolbook" w:hAnsi="Century Schoolbook"/>
        </w:rPr>
        <w:br w:type="page"/>
      </w:r>
    </w:p>
    <w:p w14:paraId="39BD641E" w14:textId="77777777" w:rsidR="00994A7B" w:rsidRPr="000C15AC" w:rsidRDefault="00994A7B" w:rsidP="00EB5353">
      <w:pPr>
        <w:spacing w:line="240" w:lineRule="auto"/>
        <w:rPr>
          <w:rFonts w:ascii="Century Schoolbook" w:hAnsi="Century Schoolbook"/>
        </w:rPr>
      </w:pPr>
    </w:p>
    <w:p w14:paraId="45FB8465" w14:textId="77777777" w:rsidR="00994A7B" w:rsidRPr="000C15AC" w:rsidRDefault="00994A7B" w:rsidP="00EB5353">
      <w:pPr>
        <w:spacing w:line="240" w:lineRule="auto"/>
        <w:rPr>
          <w:rFonts w:ascii="Century Schoolbook" w:hAnsi="Century Schoolbook"/>
        </w:rPr>
      </w:pPr>
    </w:p>
    <w:p w14:paraId="5D12E37E" w14:textId="77777777" w:rsidR="00994A7B" w:rsidRPr="000C15AC" w:rsidRDefault="00994A7B" w:rsidP="00EB5353">
      <w:pPr>
        <w:spacing w:line="240" w:lineRule="auto"/>
        <w:rPr>
          <w:rFonts w:ascii="Century Schoolbook" w:hAnsi="Century Schoolbook"/>
        </w:rPr>
      </w:pPr>
    </w:p>
    <w:p w14:paraId="38AE3995" w14:textId="400D1ABB" w:rsidR="00994A7B" w:rsidRPr="0002324F" w:rsidRDefault="0064751C" w:rsidP="00EB5353">
      <w:pPr>
        <w:spacing w:line="240" w:lineRule="auto"/>
        <w:rPr>
          <w:rFonts w:ascii="Century Schoolbook" w:hAnsi="Century Schoolbook"/>
          <w:smallCaps/>
        </w:rPr>
      </w:pPr>
      <w:r w:rsidRPr="0002324F">
        <w:rPr>
          <w:rFonts w:ascii="Century Schoolbook" w:hAnsi="Century Schoolbook"/>
          <w:smallCaps/>
        </w:rPr>
        <w:tab/>
      </w:r>
      <w:r w:rsidRPr="0002324F">
        <w:rPr>
          <w:rFonts w:ascii="Century Schoolbook" w:hAnsi="Century Schoolbook"/>
          <w:smallCaps/>
        </w:rPr>
        <w:tab/>
      </w:r>
      <w:r w:rsidRPr="0002324F">
        <w:rPr>
          <w:rFonts w:ascii="Century Schoolbook" w:hAnsi="Century Schoolbook"/>
          <w:smallCaps/>
        </w:rPr>
        <w:tab/>
      </w:r>
      <w:r w:rsidRPr="0002324F">
        <w:rPr>
          <w:rFonts w:ascii="Century Schoolbook" w:hAnsi="Century Schoolbook"/>
          <w:smallCaps/>
        </w:rPr>
        <w:tab/>
      </w:r>
      <w:r w:rsidRPr="0002324F">
        <w:rPr>
          <w:rFonts w:ascii="Century Schoolbook" w:hAnsi="Century Schoolbook"/>
          <w:smallCaps/>
        </w:rPr>
        <w:tab/>
      </w:r>
      <w:r w:rsidRPr="0002324F">
        <w:rPr>
          <w:rFonts w:ascii="Century Schoolbook" w:hAnsi="Century Schoolbook"/>
          <w:smallCaps/>
        </w:rPr>
        <w:tab/>
      </w:r>
      <w:r w:rsidRPr="0002324F">
        <w:rPr>
          <w:rFonts w:ascii="Century Schoolbook" w:hAnsi="Century Schoolbook"/>
          <w:smallCaps/>
        </w:rPr>
        <w:tab/>
      </w:r>
    </w:p>
    <w:p w14:paraId="0EE3D6AF" w14:textId="77777777" w:rsidR="00994A7B" w:rsidRPr="0002324F" w:rsidRDefault="00994A7B" w:rsidP="00EB5353">
      <w:pPr>
        <w:spacing w:line="240" w:lineRule="auto"/>
        <w:rPr>
          <w:rFonts w:ascii="Century Schoolbook" w:hAnsi="Century Schoolbook"/>
          <w:smallCaps/>
        </w:rPr>
      </w:pPr>
    </w:p>
    <w:p w14:paraId="55AFAAF9" w14:textId="77777777" w:rsidR="00994A7B" w:rsidRPr="0002324F" w:rsidRDefault="00994A7B" w:rsidP="00EB5353">
      <w:pPr>
        <w:spacing w:line="240" w:lineRule="auto"/>
        <w:rPr>
          <w:rFonts w:ascii="Century Schoolbook" w:hAnsi="Century Schoolbook"/>
          <w:smallCaps/>
        </w:rPr>
      </w:pPr>
    </w:p>
    <w:p w14:paraId="364BA67D" w14:textId="77777777" w:rsidR="00994A7B" w:rsidRPr="0002324F" w:rsidRDefault="0064751C" w:rsidP="00994A7B">
      <w:pPr>
        <w:spacing w:line="240" w:lineRule="auto"/>
        <w:rPr>
          <w:rFonts w:ascii="Century Schoolbook" w:hAnsi="Century Schoolbook"/>
          <w:smallCaps/>
        </w:rPr>
      </w:pPr>
      <w:r w:rsidRPr="0002324F">
        <w:rPr>
          <w:rFonts w:ascii="Century Schoolbook" w:hAnsi="Century Schoolbook"/>
          <w:smallCaps/>
        </w:rPr>
        <w:tab/>
      </w:r>
      <w:r w:rsidRPr="0002324F">
        <w:rPr>
          <w:rFonts w:ascii="Century Schoolbook" w:hAnsi="Century Schoolbook"/>
          <w:smallCaps/>
        </w:rPr>
        <w:tab/>
      </w:r>
      <w:r w:rsidRPr="0002324F">
        <w:rPr>
          <w:rFonts w:ascii="Century Schoolbook" w:hAnsi="Century Schoolbook"/>
          <w:smallCaps/>
        </w:rPr>
        <w:tab/>
      </w:r>
      <w:r w:rsidRPr="0002324F">
        <w:rPr>
          <w:rFonts w:ascii="Century Schoolbook" w:hAnsi="Century Schoolbook"/>
          <w:smallCaps/>
        </w:rPr>
        <w:tab/>
      </w:r>
      <w:r w:rsidRPr="0002324F">
        <w:rPr>
          <w:rFonts w:ascii="Century Schoolbook" w:hAnsi="Century Schoolbook"/>
          <w:smallCaps/>
        </w:rPr>
        <w:tab/>
      </w:r>
      <w:r w:rsidRPr="0002324F">
        <w:rPr>
          <w:rFonts w:ascii="Century Schoolbook" w:hAnsi="Century Schoolbook"/>
          <w:smallCaps/>
        </w:rPr>
        <w:tab/>
      </w:r>
      <w:r w:rsidRPr="0002324F">
        <w:rPr>
          <w:rFonts w:ascii="Century Schoolbook" w:hAnsi="Century Schoolbook"/>
          <w:smallCaps/>
        </w:rPr>
        <w:tab/>
        <w:t>Humes, P. J.</w:t>
      </w:r>
    </w:p>
    <w:p w14:paraId="4F3F0386" w14:textId="0F3EDBFC" w:rsidR="00994A7B" w:rsidRPr="000C15AC" w:rsidRDefault="00994A7B" w:rsidP="00EB5353">
      <w:pPr>
        <w:spacing w:line="240" w:lineRule="auto"/>
        <w:rPr>
          <w:rFonts w:ascii="Century Schoolbook" w:hAnsi="Century Schoolbook"/>
        </w:rPr>
      </w:pPr>
    </w:p>
    <w:p w14:paraId="3F770931" w14:textId="77777777" w:rsidR="00994A7B" w:rsidRPr="000C15AC" w:rsidRDefault="00994A7B" w:rsidP="00EB5353">
      <w:pPr>
        <w:spacing w:line="240" w:lineRule="auto"/>
        <w:rPr>
          <w:rFonts w:ascii="Century Schoolbook" w:hAnsi="Century Schoolbook"/>
        </w:rPr>
      </w:pPr>
    </w:p>
    <w:p w14:paraId="54A86AA6" w14:textId="77777777" w:rsidR="00994A7B" w:rsidRPr="000C15AC" w:rsidRDefault="00994A7B" w:rsidP="00EB5353">
      <w:pPr>
        <w:spacing w:line="240" w:lineRule="auto"/>
        <w:rPr>
          <w:rFonts w:ascii="Century Schoolbook" w:hAnsi="Century Schoolbook"/>
        </w:rPr>
      </w:pPr>
    </w:p>
    <w:p w14:paraId="5C1057F1" w14:textId="77777777" w:rsidR="00994A7B" w:rsidRPr="000C15AC" w:rsidRDefault="0064751C" w:rsidP="00EB5353">
      <w:pPr>
        <w:spacing w:line="240" w:lineRule="auto"/>
        <w:rPr>
          <w:rFonts w:ascii="Century Schoolbook" w:hAnsi="Century Schoolbook"/>
        </w:rPr>
      </w:pPr>
      <w:r w:rsidRPr="000C15AC">
        <w:rPr>
          <w:rFonts w:ascii="Century Schoolbook" w:hAnsi="Century Schoolbook"/>
        </w:rPr>
        <w:t>WE CONCUR:</w:t>
      </w:r>
    </w:p>
    <w:p w14:paraId="7A0A9921" w14:textId="77777777" w:rsidR="00994A7B" w:rsidRPr="000C15AC" w:rsidRDefault="00994A7B" w:rsidP="00EB5353">
      <w:pPr>
        <w:spacing w:line="240" w:lineRule="auto"/>
        <w:rPr>
          <w:rFonts w:ascii="Century Schoolbook" w:hAnsi="Century Schoolbook"/>
        </w:rPr>
      </w:pPr>
    </w:p>
    <w:p w14:paraId="03A18C5D" w14:textId="467372DA" w:rsidR="00994A7B" w:rsidRDefault="00994A7B" w:rsidP="00EB5353">
      <w:pPr>
        <w:spacing w:line="240" w:lineRule="auto"/>
        <w:rPr>
          <w:rFonts w:ascii="Century Schoolbook" w:hAnsi="Century Schoolbook"/>
        </w:rPr>
      </w:pPr>
    </w:p>
    <w:p w14:paraId="5609DF60" w14:textId="77777777" w:rsidR="002C5388" w:rsidRPr="000C15AC" w:rsidRDefault="002C5388" w:rsidP="00EB5353">
      <w:pPr>
        <w:spacing w:line="240" w:lineRule="auto"/>
        <w:rPr>
          <w:rFonts w:ascii="Century Schoolbook" w:hAnsi="Century Schoolbook"/>
        </w:rPr>
      </w:pPr>
    </w:p>
    <w:p w14:paraId="67928B8C" w14:textId="77777777" w:rsidR="00994A7B" w:rsidRPr="000C15AC" w:rsidRDefault="00994A7B" w:rsidP="00EB5353">
      <w:pPr>
        <w:spacing w:line="240" w:lineRule="auto"/>
        <w:rPr>
          <w:rFonts w:ascii="Century Schoolbook" w:hAnsi="Century Schoolbook"/>
        </w:rPr>
      </w:pPr>
    </w:p>
    <w:p w14:paraId="51C7482E" w14:textId="77777777" w:rsidR="00994A7B" w:rsidRPr="0002324F" w:rsidRDefault="0064751C" w:rsidP="00994A7B">
      <w:pPr>
        <w:spacing w:line="240" w:lineRule="auto"/>
        <w:rPr>
          <w:rFonts w:ascii="Century Schoolbook" w:hAnsi="Century Schoolbook"/>
          <w:smallCaps/>
        </w:rPr>
      </w:pPr>
      <w:r w:rsidRPr="0002324F">
        <w:rPr>
          <w:rFonts w:ascii="Century Schoolbook" w:hAnsi="Century Schoolbook"/>
          <w:smallCaps/>
        </w:rPr>
        <w:t>Margulies, J.</w:t>
      </w:r>
    </w:p>
    <w:p w14:paraId="36E7C58D" w14:textId="77777777" w:rsidR="00994A7B" w:rsidRPr="0002324F" w:rsidRDefault="00994A7B" w:rsidP="00EB5353">
      <w:pPr>
        <w:spacing w:line="240" w:lineRule="auto"/>
        <w:rPr>
          <w:rFonts w:ascii="Century Schoolbook" w:hAnsi="Century Schoolbook"/>
          <w:smallCaps/>
        </w:rPr>
      </w:pPr>
    </w:p>
    <w:p w14:paraId="7492713C" w14:textId="77777777" w:rsidR="00994A7B" w:rsidRPr="0002324F" w:rsidRDefault="00994A7B" w:rsidP="00EB5353">
      <w:pPr>
        <w:spacing w:line="240" w:lineRule="auto"/>
        <w:rPr>
          <w:rFonts w:ascii="Century Schoolbook" w:hAnsi="Century Schoolbook"/>
          <w:smallCaps/>
        </w:rPr>
      </w:pPr>
    </w:p>
    <w:p w14:paraId="310F01C9" w14:textId="77777777" w:rsidR="00994A7B" w:rsidRPr="0002324F" w:rsidRDefault="00994A7B" w:rsidP="00EB5353">
      <w:pPr>
        <w:spacing w:line="240" w:lineRule="auto"/>
        <w:rPr>
          <w:rFonts w:ascii="Century Schoolbook" w:hAnsi="Century Schoolbook"/>
          <w:smallCaps/>
        </w:rPr>
      </w:pPr>
    </w:p>
    <w:p w14:paraId="27C44095" w14:textId="77777777" w:rsidR="00994A7B" w:rsidRPr="0002324F" w:rsidRDefault="00994A7B" w:rsidP="00EB5353">
      <w:pPr>
        <w:spacing w:line="240" w:lineRule="auto"/>
        <w:rPr>
          <w:rFonts w:ascii="Century Schoolbook" w:hAnsi="Century Schoolbook"/>
          <w:smallCaps/>
        </w:rPr>
      </w:pPr>
    </w:p>
    <w:p w14:paraId="2EEE4F53" w14:textId="77777777" w:rsidR="00994A7B" w:rsidRPr="0002324F" w:rsidRDefault="0064751C" w:rsidP="00EB5353">
      <w:pPr>
        <w:spacing w:line="240" w:lineRule="auto"/>
        <w:rPr>
          <w:rFonts w:ascii="Century Schoolbook" w:hAnsi="Century Schoolbook"/>
          <w:smallCaps/>
        </w:rPr>
      </w:pPr>
      <w:r w:rsidRPr="0002324F">
        <w:rPr>
          <w:rFonts w:ascii="Century Schoolbook" w:hAnsi="Century Schoolbook"/>
          <w:smallCaps/>
        </w:rPr>
        <w:t>Banke, J.</w:t>
      </w:r>
    </w:p>
    <w:p w14:paraId="0765E9AA" w14:textId="77777777" w:rsidR="00994A7B" w:rsidRPr="0002324F" w:rsidRDefault="00994A7B" w:rsidP="00EB5353">
      <w:pPr>
        <w:spacing w:line="240" w:lineRule="auto"/>
        <w:rPr>
          <w:rFonts w:ascii="Century Schoolbook" w:hAnsi="Century Schoolbook"/>
          <w:smallCaps/>
        </w:rPr>
      </w:pPr>
    </w:p>
    <w:p w14:paraId="6BC1CF4F" w14:textId="77777777" w:rsidR="00994A7B" w:rsidRPr="0002324F" w:rsidRDefault="00994A7B" w:rsidP="00EB5353">
      <w:pPr>
        <w:spacing w:line="240" w:lineRule="auto"/>
        <w:rPr>
          <w:rFonts w:ascii="Century Schoolbook" w:hAnsi="Century Schoolbook"/>
          <w:smallCaps/>
        </w:rPr>
      </w:pPr>
    </w:p>
    <w:p w14:paraId="053AFE84" w14:textId="77777777" w:rsidR="00994A7B" w:rsidRPr="0002324F" w:rsidRDefault="00994A7B" w:rsidP="00EB5353">
      <w:pPr>
        <w:spacing w:line="240" w:lineRule="auto"/>
        <w:rPr>
          <w:rFonts w:ascii="Century Schoolbook" w:hAnsi="Century Schoolbook"/>
          <w:smallCaps/>
        </w:rPr>
      </w:pPr>
    </w:p>
    <w:p w14:paraId="4342C853" w14:textId="77777777" w:rsidR="00994A7B" w:rsidRPr="0002324F" w:rsidRDefault="00994A7B" w:rsidP="005C1BD9">
      <w:pPr>
        <w:spacing w:line="240" w:lineRule="auto"/>
        <w:rPr>
          <w:rFonts w:ascii="Century Schoolbook" w:hAnsi="Century Schoolbook"/>
          <w:smallCaps/>
        </w:rPr>
      </w:pPr>
    </w:p>
    <w:p w14:paraId="066CB030" w14:textId="77777777" w:rsidR="00994A7B" w:rsidRPr="000C15AC" w:rsidRDefault="00994A7B" w:rsidP="00EB5353">
      <w:pPr>
        <w:spacing w:line="240" w:lineRule="auto"/>
        <w:rPr>
          <w:rFonts w:ascii="Century Schoolbook" w:hAnsi="Century Schoolbook"/>
        </w:rPr>
      </w:pPr>
    </w:p>
    <w:p w14:paraId="12AFC57B" w14:textId="77777777" w:rsidR="00994A7B" w:rsidRPr="000C15AC" w:rsidRDefault="00994A7B" w:rsidP="00EB5353">
      <w:pPr>
        <w:spacing w:line="240" w:lineRule="auto"/>
        <w:rPr>
          <w:rFonts w:ascii="Century Schoolbook" w:hAnsi="Century Schoolbook"/>
        </w:rPr>
      </w:pPr>
    </w:p>
    <w:p w14:paraId="7C37C151" w14:textId="77777777" w:rsidR="00994A7B" w:rsidRPr="000C15AC" w:rsidRDefault="00994A7B" w:rsidP="00EB5353">
      <w:pPr>
        <w:spacing w:line="240" w:lineRule="auto"/>
        <w:rPr>
          <w:rFonts w:ascii="Century Schoolbook" w:hAnsi="Century Schoolbook"/>
        </w:rPr>
      </w:pPr>
    </w:p>
    <w:p w14:paraId="02004521" w14:textId="77777777" w:rsidR="00994A7B" w:rsidRPr="000C15AC" w:rsidRDefault="00994A7B" w:rsidP="00EB5353">
      <w:pPr>
        <w:spacing w:line="240" w:lineRule="auto"/>
        <w:rPr>
          <w:rFonts w:ascii="Century Schoolbook" w:hAnsi="Century Schoolbook"/>
        </w:rPr>
      </w:pPr>
    </w:p>
    <w:p w14:paraId="5F68AA79" w14:textId="77777777" w:rsidR="00994A7B" w:rsidRPr="000C15AC" w:rsidRDefault="00994A7B" w:rsidP="00EB5353">
      <w:pPr>
        <w:spacing w:line="240" w:lineRule="auto"/>
        <w:rPr>
          <w:rFonts w:ascii="Century Schoolbook" w:hAnsi="Century Schoolbook"/>
        </w:rPr>
      </w:pPr>
    </w:p>
    <w:p w14:paraId="4D60D999" w14:textId="77777777" w:rsidR="00994A7B" w:rsidRPr="000C15AC" w:rsidRDefault="00994A7B" w:rsidP="00EB5353">
      <w:pPr>
        <w:spacing w:line="240" w:lineRule="auto"/>
        <w:rPr>
          <w:rFonts w:ascii="Century Schoolbook" w:hAnsi="Century Schoolbook"/>
        </w:rPr>
      </w:pPr>
    </w:p>
    <w:p w14:paraId="178893CF" w14:textId="77777777" w:rsidR="00994A7B" w:rsidRPr="000C15AC" w:rsidRDefault="00994A7B" w:rsidP="00EB5353">
      <w:pPr>
        <w:spacing w:line="240" w:lineRule="auto"/>
        <w:rPr>
          <w:rFonts w:ascii="Century Schoolbook" w:hAnsi="Century Schoolbook"/>
        </w:rPr>
      </w:pPr>
    </w:p>
    <w:p w14:paraId="6D9B1BC7" w14:textId="77777777" w:rsidR="00994A7B" w:rsidRPr="000C15AC" w:rsidRDefault="00994A7B" w:rsidP="00EB5353">
      <w:pPr>
        <w:spacing w:line="240" w:lineRule="auto"/>
        <w:rPr>
          <w:rFonts w:ascii="Century Schoolbook" w:hAnsi="Century Schoolbook"/>
        </w:rPr>
      </w:pPr>
    </w:p>
    <w:p w14:paraId="7285883E" w14:textId="77777777" w:rsidR="00994A7B" w:rsidRPr="000C15AC" w:rsidRDefault="00994A7B" w:rsidP="00EB5353">
      <w:pPr>
        <w:spacing w:line="240" w:lineRule="auto"/>
        <w:rPr>
          <w:rFonts w:ascii="Century Schoolbook" w:hAnsi="Century Schoolbook"/>
        </w:rPr>
      </w:pPr>
    </w:p>
    <w:p w14:paraId="07C8A28C" w14:textId="77777777" w:rsidR="00994A7B" w:rsidRPr="000C15AC" w:rsidRDefault="00994A7B" w:rsidP="00EB5353">
      <w:pPr>
        <w:spacing w:line="240" w:lineRule="auto"/>
        <w:rPr>
          <w:rFonts w:ascii="Century Schoolbook" w:hAnsi="Century Schoolbook"/>
        </w:rPr>
      </w:pPr>
    </w:p>
    <w:p w14:paraId="37107741" w14:textId="7008363E" w:rsidR="00994A7B" w:rsidRPr="000C15AC" w:rsidRDefault="0064751C" w:rsidP="00EB5353">
      <w:pPr>
        <w:spacing w:line="240" w:lineRule="auto"/>
        <w:rPr>
          <w:rFonts w:ascii="Century Schoolbook" w:hAnsi="Century Schoolbook"/>
        </w:rPr>
      </w:pPr>
      <w:r w:rsidRPr="000C15AC">
        <w:rPr>
          <w:rFonts w:ascii="Century Schoolbook" w:hAnsi="Century Schoolbook"/>
        </w:rPr>
        <w:t>A</w:t>
      </w:r>
      <w:r w:rsidR="002C5388">
        <w:rPr>
          <w:rFonts w:ascii="Century Schoolbook" w:hAnsi="Century Schoolbook"/>
        </w:rPr>
        <w:t>164472</w:t>
      </w:r>
    </w:p>
    <w:p w14:paraId="0DBBBA67" w14:textId="1321BB9E" w:rsidR="00994A7B" w:rsidRDefault="0064751C" w:rsidP="00EB5353">
      <w:pPr>
        <w:spacing w:line="240" w:lineRule="auto"/>
        <w:rPr>
          <w:rFonts w:ascii="Century Schoolbook" w:hAnsi="Century Schoolbook"/>
          <w:i/>
        </w:rPr>
      </w:pPr>
      <w:r>
        <w:rPr>
          <w:rFonts w:ascii="Century Schoolbook" w:hAnsi="Century Schoolbook"/>
          <w:i/>
        </w:rPr>
        <w:t>Pacific Fertility Cases</w:t>
      </w:r>
    </w:p>
    <w:p w14:paraId="75EAC753" w14:textId="77777777" w:rsidR="00994A7B" w:rsidRDefault="00994A7B" w:rsidP="00EB5353">
      <w:pPr>
        <w:spacing w:line="240" w:lineRule="auto"/>
        <w:rPr>
          <w:rFonts w:ascii="Century Schoolbook" w:hAnsi="Century Schoolbook"/>
          <w:iCs/>
        </w:rPr>
      </w:pPr>
    </w:p>
    <w:p w14:paraId="3047D87A" w14:textId="60D5DBC4" w:rsidR="00F16D1E" w:rsidRDefault="0064751C">
      <w:pPr>
        <w:tabs>
          <w:tab w:val="clear" w:pos="720"/>
        </w:tabs>
        <w:spacing w:after="160" w:line="259" w:lineRule="auto"/>
        <w:rPr>
          <w:rFonts w:ascii="Century Schoolbook" w:hAnsi="Century Schoolbook"/>
          <w:shd w:val="clear" w:color="auto" w:fill="FFFFFF"/>
        </w:rPr>
      </w:pPr>
      <w:r>
        <w:rPr>
          <w:shd w:val="clear" w:color="auto" w:fill="FFFFFF"/>
        </w:rPr>
        <w:br w:type="page"/>
      </w:r>
    </w:p>
    <w:p w14:paraId="05044F6B" w14:textId="4EE4E2F8" w:rsidR="00F16D1E" w:rsidRPr="00801B4D" w:rsidRDefault="0064751C" w:rsidP="0025232B">
      <w:pPr>
        <w:spacing w:line="240" w:lineRule="auto"/>
        <w:rPr>
          <w:rFonts w:ascii="Century Schoolbook" w:hAnsi="Century Schoolbook"/>
        </w:rPr>
      </w:pPr>
      <w:r w:rsidRPr="00801B4D">
        <w:rPr>
          <w:rFonts w:ascii="Century Schoolbook" w:hAnsi="Century Schoolbook"/>
        </w:rPr>
        <w:lastRenderedPageBreak/>
        <w:t>Trial Court:</w:t>
      </w:r>
      <w:r w:rsidRPr="00801B4D">
        <w:rPr>
          <w:rFonts w:ascii="Century Schoolbook" w:hAnsi="Century Schoolbook"/>
        </w:rPr>
        <w:tab/>
        <w:t xml:space="preserve"> </w:t>
      </w:r>
      <w:r w:rsidR="00E85206">
        <w:rPr>
          <w:rFonts w:ascii="Century Schoolbook" w:hAnsi="Century Schoolbook"/>
        </w:rPr>
        <w:tab/>
        <w:t xml:space="preserve">Superior Court of </w:t>
      </w:r>
      <w:r w:rsidR="000E7E90">
        <w:rPr>
          <w:rFonts w:ascii="Century Schoolbook" w:hAnsi="Century Schoolbook"/>
        </w:rPr>
        <w:t>the City and County of San Francisco</w:t>
      </w:r>
    </w:p>
    <w:p w14:paraId="11675E91" w14:textId="77777777" w:rsidR="00F16D1E" w:rsidRPr="00801B4D" w:rsidRDefault="00F16D1E" w:rsidP="0025232B">
      <w:pPr>
        <w:spacing w:line="240" w:lineRule="auto"/>
        <w:rPr>
          <w:rFonts w:ascii="Century Schoolbook" w:hAnsi="Century Schoolbook"/>
        </w:rPr>
      </w:pPr>
    </w:p>
    <w:p w14:paraId="45A397F9" w14:textId="5B4B1491" w:rsidR="00F16D1E" w:rsidRPr="00801B4D" w:rsidRDefault="0064751C" w:rsidP="0025232B">
      <w:pPr>
        <w:spacing w:line="240" w:lineRule="auto"/>
        <w:rPr>
          <w:rFonts w:ascii="Century Schoolbook" w:hAnsi="Century Schoolbook"/>
        </w:rPr>
      </w:pPr>
      <w:r w:rsidRPr="00801B4D">
        <w:rPr>
          <w:rFonts w:ascii="Century Schoolbook" w:hAnsi="Century Schoolbook"/>
        </w:rPr>
        <w:t xml:space="preserve">Trial Judge: </w:t>
      </w:r>
      <w:r w:rsidRPr="00801B4D">
        <w:rPr>
          <w:rFonts w:ascii="Century Schoolbook" w:hAnsi="Century Schoolbook"/>
        </w:rPr>
        <w:tab/>
      </w:r>
      <w:r w:rsidR="00976C8F">
        <w:rPr>
          <w:rFonts w:ascii="Century Schoolbook" w:hAnsi="Century Schoolbook"/>
        </w:rPr>
        <w:t>Andrew Y.S. Cheng</w:t>
      </w:r>
      <w:r w:rsidR="00E85206">
        <w:rPr>
          <w:rFonts w:ascii="Century Schoolbook" w:hAnsi="Century Schoolbook"/>
        </w:rPr>
        <w:t>, Judge</w:t>
      </w:r>
    </w:p>
    <w:p w14:paraId="300A073F" w14:textId="77777777" w:rsidR="00F16D1E" w:rsidRPr="00801B4D" w:rsidRDefault="00F16D1E" w:rsidP="0025232B">
      <w:pPr>
        <w:spacing w:line="240" w:lineRule="auto"/>
        <w:rPr>
          <w:rFonts w:ascii="Century Schoolbook" w:hAnsi="Century Schoolbook"/>
        </w:rPr>
      </w:pPr>
    </w:p>
    <w:p w14:paraId="0BC4C2EC" w14:textId="77777777" w:rsidR="00F16D1E" w:rsidRPr="00801B4D" w:rsidRDefault="0064751C" w:rsidP="0025232B">
      <w:pPr>
        <w:spacing w:line="240" w:lineRule="auto"/>
        <w:rPr>
          <w:rFonts w:ascii="Century Schoolbook" w:hAnsi="Century Schoolbook"/>
        </w:rPr>
      </w:pPr>
      <w:r w:rsidRPr="00801B4D">
        <w:rPr>
          <w:rFonts w:ascii="Century Schoolbook" w:hAnsi="Century Schoolbook"/>
        </w:rPr>
        <w:t xml:space="preserve">Counsel:  </w:t>
      </w:r>
    </w:p>
    <w:p w14:paraId="167692B5" w14:textId="77777777" w:rsidR="00F16D1E" w:rsidRPr="00801B4D" w:rsidRDefault="00F16D1E" w:rsidP="0025232B">
      <w:pPr>
        <w:spacing w:line="240" w:lineRule="auto"/>
        <w:rPr>
          <w:rFonts w:ascii="Century Schoolbook" w:hAnsi="Century Schoolbook"/>
        </w:rPr>
      </w:pPr>
    </w:p>
    <w:p w14:paraId="5DE6DB5B" w14:textId="529DCD47" w:rsidR="00F16D1E" w:rsidRPr="00801B4D" w:rsidRDefault="0064751C" w:rsidP="0025232B">
      <w:pPr>
        <w:spacing w:line="240" w:lineRule="auto"/>
        <w:rPr>
          <w:rFonts w:ascii="Century Schoolbook" w:hAnsi="Century Schoolbook"/>
        </w:rPr>
      </w:pPr>
      <w:r>
        <w:rPr>
          <w:rFonts w:ascii="Century Schoolbook" w:hAnsi="Century Schoolbook"/>
        </w:rPr>
        <w:t>Horvitz &amp; Levy, Julian W. Park, Frederic D. Cohen, Stephen E. Norris; Swanson Martin &amp; Bell, John J. Duffy</w:t>
      </w:r>
      <w:r w:rsidR="007E4E23">
        <w:rPr>
          <w:rFonts w:ascii="Century Schoolbook" w:hAnsi="Century Schoolbook"/>
        </w:rPr>
        <w:t>, Kevin Ringel; Zenere Cowden &amp; Stoddard, Marc G. Cowden and Adam M. Stoddard for Defendant</w:t>
      </w:r>
      <w:r w:rsidRPr="00801B4D">
        <w:rPr>
          <w:rFonts w:ascii="Century Schoolbook" w:hAnsi="Century Schoolbook"/>
        </w:rPr>
        <w:t xml:space="preserve"> and Appellant</w:t>
      </w:r>
      <w:r w:rsidR="00A83477">
        <w:rPr>
          <w:rFonts w:ascii="Century Schoolbook" w:hAnsi="Century Schoolbook"/>
        </w:rPr>
        <w:t xml:space="preserve"> Chart Inc</w:t>
      </w:r>
      <w:r w:rsidRPr="00801B4D">
        <w:rPr>
          <w:rFonts w:ascii="Century Schoolbook" w:hAnsi="Century Schoolbook"/>
        </w:rPr>
        <w:t>.</w:t>
      </w:r>
    </w:p>
    <w:p w14:paraId="7C7A1556" w14:textId="77777777" w:rsidR="00F16D1E" w:rsidRPr="00801B4D" w:rsidRDefault="00F16D1E" w:rsidP="0025232B">
      <w:pPr>
        <w:spacing w:line="240" w:lineRule="auto"/>
        <w:rPr>
          <w:rFonts w:ascii="Century Schoolbook" w:hAnsi="Century Schoolbook"/>
        </w:rPr>
      </w:pPr>
    </w:p>
    <w:p w14:paraId="2A0A20D0" w14:textId="4C1CC264" w:rsidR="006E5456" w:rsidRDefault="0064751C" w:rsidP="6B4F90DA">
      <w:pPr>
        <w:spacing w:line="240" w:lineRule="auto"/>
        <w:rPr>
          <w:rFonts w:ascii="Century Schoolbook" w:hAnsi="Century Schoolbook"/>
        </w:rPr>
      </w:pPr>
      <w:r>
        <w:rPr>
          <w:rFonts w:ascii="Century Schoolbook" w:hAnsi="Century Schoolbook"/>
        </w:rPr>
        <w:t>Galloway, Lucchese</w:t>
      </w:r>
      <w:r w:rsidR="00331D01">
        <w:rPr>
          <w:rFonts w:ascii="Century Schoolbook" w:hAnsi="Century Schoolbook"/>
        </w:rPr>
        <w:t>, Everson &amp; Picchi, Joseph S. Picchi, Sukhwinder K. Bajwa</w:t>
      </w:r>
      <w:r>
        <w:rPr>
          <w:rFonts w:ascii="Century Schoolbook" w:hAnsi="Century Schoolbook"/>
        </w:rPr>
        <w:t xml:space="preserve"> and </w:t>
      </w:r>
      <w:r w:rsidR="00513B61">
        <w:rPr>
          <w:rFonts w:ascii="Century Schoolbook" w:hAnsi="Century Schoolbook"/>
        </w:rPr>
        <w:t>Aaron T. Schultz</w:t>
      </w:r>
      <w:r>
        <w:rPr>
          <w:rFonts w:ascii="Century Schoolbook" w:hAnsi="Century Schoolbook"/>
        </w:rPr>
        <w:t xml:space="preserve"> for Defendants and Respondents Pacific Fertility Center, </w:t>
      </w:r>
      <w:r>
        <w:rPr>
          <w:rFonts w:ascii="Century Schoolbook" w:hAnsi="Century Schoolbook"/>
        </w:rPr>
        <w:t>Carl Herbert, Eldon Schriock, Philip Chenette, Carolyn Givens, Liyun Li</w:t>
      </w:r>
      <w:r w:rsidR="001E095D">
        <w:rPr>
          <w:rFonts w:ascii="Century Schoolbook" w:hAnsi="Century Schoolbook"/>
        </w:rPr>
        <w:t xml:space="preserve"> and</w:t>
      </w:r>
      <w:r>
        <w:rPr>
          <w:rFonts w:ascii="Century Schoolbook" w:hAnsi="Century Schoolbook"/>
        </w:rPr>
        <w:t xml:space="preserve"> Isabelle Ryan</w:t>
      </w:r>
      <w:r w:rsidR="001E095D">
        <w:rPr>
          <w:rFonts w:ascii="Century Schoolbook" w:hAnsi="Century Schoolbook"/>
        </w:rPr>
        <w:t>.</w:t>
      </w:r>
    </w:p>
    <w:p w14:paraId="5CF862C5" w14:textId="77777777" w:rsidR="006E5456" w:rsidRDefault="006E5456" w:rsidP="6B4F90DA">
      <w:pPr>
        <w:spacing w:line="240" w:lineRule="auto"/>
        <w:rPr>
          <w:rFonts w:ascii="Century Schoolbook" w:hAnsi="Century Schoolbook"/>
        </w:rPr>
      </w:pPr>
    </w:p>
    <w:p w14:paraId="53FCA0B7" w14:textId="5EF08935" w:rsidR="00F16D1E" w:rsidRPr="00801B4D" w:rsidRDefault="0064751C" w:rsidP="6B4F90DA">
      <w:pPr>
        <w:spacing w:line="240" w:lineRule="auto"/>
        <w:rPr>
          <w:rFonts w:ascii="Century Schoolbook" w:hAnsi="Century Schoolbook"/>
        </w:rPr>
      </w:pPr>
      <w:r>
        <w:rPr>
          <w:rFonts w:ascii="Century Schoolbook" w:hAnsi="Century Schoolbook"/>
        </w:rPr>
        <w:t>Morrison &amp; Foerster, Erin M. Bosman, Julie Y. Park, William F. Tarantino and James R. Sigel for D</w:t>
      </w:r>
      <w:r w:rsidR="00E930C1">
        <w:rPr>
          <w:rFonts w:ascii="Century Schoolbook" w:hAnsi="Century Schoolbook"/>
        </w:rPr>
        <w:t>efendants</w:t>
      </w:r>
      <w:r w:rsidRPr="00801B4D">
        <w:rPr>
          <w:rFonts w:ascii="Century Schoolbook" w:hAnsi="Century Schoolbook"/>
        </w:rPr>
        <w:t xml:space="preserve"> and Respondent</w:t>
      </w:r>
      <w:r w:rsidR="00E930C1">
        <w:rPr>
          <w:rFonts w:ascii="Century Schoolbook" w:hAnsi="Century Schoolbook"/>
        </w:rPr>
        <w:t>s</w:t>
      </w:r>
      <w:r w:rsidR="00FA5126">
        <w:rPr>
          <w:rFonts w:ascii="Century Schoolbook" w:hAnsi="Century Schoolbook"/>
        </w:rPr>
        <w:t xml:space="preserve"> Pacific MSO, LLC, Pre</w:t>
      </w:r>
      <w:r w:rsidR="00E0087E">
        <w:rPr>
          <w:rFonts w:ascii="Century Schoolbook" w:hAnsi="Century Schoolbook"/>
        </w:rPr>
        <w:t>lude Fertility, Inc.</w:t>
      </w:r>
      <w:r w:rsidR="00F47B3F">
        <w:rPr>
          <w:rFonts w:ascii="Century Schoolbook" w:hAnsi="Century Schoolbook"/>
        </w:rPr>
        <w:t xml:space="preserve"> and </w:t>
      </w:r>
      <w:r w:rsidR="00834EEE">
        <w:rPr>
          <w:rFonts w:ascii="Century Schoolbook" w:hAnsi="Century Schoolbook"/>
        </w:rPr>
        <w:t>Joseph Con</w:t>
      </w:r>
      <w:r w:rsidR="00F47B3F">
        <w:rPr>
          <w:rFonts w:ascii="Century Schoolbook" w:hAnsi="Century Schoolbook"/>
        </w:rPr>
        <w:t>aghan</w:t>
      </w:r>
      <w:r w:rsidRPr="00801B4D">
        <w:rPr>
          <w:rFonts w:ascii="Century Schoolbook" w:hAnsi="Century Schoolbook"/>
        </w:rPr>
        <w:t>.</w:t>
      </w:r>
    </w:p>
    <w:p w14:paraId="1DAE6FD6" w14:textId="77777777" w:rsidR="00F16D1E" w:rsidRPr="00801B4D" w:rsidRDefault="00F16D1E" w:rsidP="0025232B">
      <w:pPr>
        <w:spacing w:line="240" w:lineRule="auto"/>
        <w:rPr>
          <w:rFonts w:ascii="Century Schoolbook" w:hAnsi="Century Schoolbook"/>
        </w:rPr>
      </w:pPr>
    </w:p>
    <w:p w14:paraId="7AF714F3" w14:textId="30CBF746" w:rsidR="00F16D1E" w:rsidRPr="00801B4D" w:rsidRDefault="00F16D1E" w:rsidP="009A6360">
      <w:pPr>
        <w:spacing w:line="240" w:lineRule="auto"/>
        <w:rPr>
          <w:rFonts w:ascii="Century Schoolbook" w:hAnsi="Century Schoolbook"/>
        </w:rPr>
      </w:pPr>
    </w:p>
    <w:p w14:paraId="73EBAD81" w14:textId="77777777" w:rsidR="00F16D1E" w:rsidRPr="00801B4D" w:rsidRDefault="00F16D1E" w:rsidP="009A6360">
      <w:pPr>
        <w:spacing w:line="240" w:lineRule="auto"/>
        <w:rPr>
          <w:rFonts w:ascii="Century Schoolbook" w:hAnsi="Century Schoolbook"/>
        </w:rPr>
      </w:pPr>
    </w:p>
    <w:p w14:paraId="336C1830" w14:textId="77777777" w:rsidR="00F16D1E" w:rsidRPr="00801B4D" w:rsidRDefault="00F16D1E">
      <w:pPr>
        <w:rPr>
          <w:rFonts w:ascii="Century Schoolbook" w:hAnsi="Century Schoolbook"/>
        </w:rPr>
      </w:pPr>
    </w:p>
    <w:p w14:paraId="075CD72E" w14:textId="77777777" w:rsidR="00061C13" w:rsidRPr="0081600F" w:rsidRDefault="00061C13" w:rsidP="00061C13">
      <w:pPr>
        <w:pStyle w:val="Text"/>
        <w:ind w:firstLine="0"/>
        <w:rPr>
          <w:shd w:val="clear" w:color="auto" w:fill="FFFFFF"/>
        </w:rPr>
      </w:pPr>
    </w:p>
    <w:sectPr w:rsidR="00061C13" w:rsidRPr="0081600F" w:rsidSect="005A263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590EA" w14:textId="77777777" w:rsidR="00000000" w:rsidRDefault="0064751C">
      <w:pPr>
        <w:spacing w:line="240" w:lineRule="auto"/>
      </w:pPr>
      <w:r>
        <w:separator/>
      </w:r>
    </w:p>
  </w:endnote>
  <w:endnote w:type="continuationSeparator" w:id="0">
    <w:p w14:paraId="6F8925AB" w14:textId="77777777" w:rsidR="00000000" w:rsidRDefault="006475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5BEAA" w14:textId="77777777" w:rsidR="00812E36" w:rsidRDefault="0064751C" w:rsidP="00154D9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p w14:paraId="05A03722" w14:textId="77777777" w:rsidR="00812E36" w:rsidRDefault="0064751C" w:rsidP="00154D9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p w14:paraId="6E6FCFBE" w14:textId="77777777" w:rsidR="00812E36" w:rsidRDefault="00812E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96664" w14:textId="66BD7003" w:rsidR="00812E36" w:rsidRPr="00C207A8" w:rsidRDefault="0064751C" w:rsidP="00514AB4">
    <w:pPr>
      <w:pStyle w:val="Footer"/>
      <w:framePr w:wrap="around" w:vAnchor="text" w:hAnchor="margin" w:xAlign="center" w:y="1"/>
      <w:rPr>
        <w:rStyle w:val="PageNumber"/>
        <w:rFonts w:ascii="Century Schoolbook" w:hAnsi="Century Schoolbook"/>
      </w:rPr>
    </w:pPr>
    <w:r w:rsidRPr="00C207A8">
      <w:rPr>
        <w:rStyle w:val="PageNumber"/>
        <w:rFonts w:ascii="Century Schoolbook" w:hAnsi="Century Schoolbook"/>
      </w:rPr>
      <w:fldChar w:fldCharType="begin"/>
    </w:r>
    <w:r w:rsidRPr="00C207A8">
      <w:rPr>
        <w:rStyle w:val="PageNumber"/>
        <w:rFonts w:ascii="Century Schoolbook" w:hAnsi="Century Schoolbook"/>
      </w:rPr>
      <w:instrText xml:space="preserve"> PAGE </w:instrText>
    </w:r>
    <w:r w:rsidRPr="00C207A8">
      <w:rPr>
        <w:rStyle w:val="PageNumber"/>
        <w:rFonts w:ascii="Century Schoolbook" w:hAnsi="Century Schoolbook"/>
      </w:rPr>
      <w:fldChar w:fldCharType="separate"/>
    </w:r>
    <w:r w:rsidR="009A6591" w:rsidRPr="00C207A8">
      <w:rPr>
        <w:rStyle w:val="PageNumber"/>
        <w:rFonts w:ascii="Century Schoolbook" w:hAnsi="Century Schoolbook"/>
        <w:noProof/>
      </w:rPr>
      <w:t>10</w:t>
    </w:r>
    <w:r w:rsidRPr="00C207A8">
      <w:rPr>
        <w:rStyle w:val="PageNumber"/>
        <w:rFonts w:ascii="Century Schoolbook" w:hAnsi="Century Schoolbook"/>
      </w:rPr>
      <w:fldChar w:fldCharType="end"/>
    </w:r>
  </w:p>
  <w:p w14:paraId="2AE9E5BE" w14:textId="77777777" w:rsidR="00812E36" w:rsidRDefault="00812E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36255" w14:textId="77777777" w:rsidR="005F0FE8" w:rsidRDefault="005F0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9ADF2" w14:textId="77777777" w:rsidR="00E904B4" w:rsidRDefault="0064751C" w:rsidP="00514AB4">
      <w:pPr>
        <w:spacing w:line="240" w:lineRule="auto"/>
      </w:pPr>
      <w:r>
        <w:separator/>
      </w:r>
    </w:p>
  </w:footnote>
  <w:footnote w:type="continuationSeparator" w:id="0">
    <w:p w14:paraId="1657DA70" w14:textId="77777777" w:rsidR="00E904B4" w:rsidRDefault="0064751C" w:rsidP="00514AB4">
      <w:pPr>
        <w:spacing w:line="240" w:lineRule="auto"/>
      </w:pPr>
      <w:r>
        <w:continuationSeparator/>
      </w:r>
    </w:p>
  </w:footnote>
  <w:footnote w:id="1">
    <w:p w14:paraId="3DDC823B" w14:textId="77777777" w:rsidR="001F1D53" w:rsidRPr="00A40CA8" w:rsidRDefault="0064751C" w:rsidP="005A263C">
      <w:pPr>
        <w:pStyle w:val="FootnoteText"/>
      </w:pPr>
      <w:r w:rsidRPr="00A40CA8">
        <w:rPr>
          <w:rStyle w:val="FootnoteReference"/>
        </w:rPr>
        <w:footnoteRef/>
      </w:r>
      <w:r w:rsidRPr="00A40CA8">
        <w:t xml:space="preserve"> </w:t>
      </w:r>
      <w:r>
        <w:t>All statutory references are to the Code of Civil Procedure unless otherwise specified.</w:t>
      </w:r>
    </w:p>
  </w:footnote>
  <w:footnote w:id="2">
    <w:p w14:paraId="12B84C22" w14:textId="6C56847D" w:rsidR="00BA1800" w:rsidRPr="00BA1800" w:rsidRDefault="0064751C" w:rsidP="005A263C">
      <w:pPr>
        <w:pStyle w:val="FootnoteText"/>
      </w:pPr>
      <w:r w:rsidRPr="00BA1800">
        <w:rPr>
          <w:rStyle w:val="FootnoteReference"/>
        </w:rPr>
        <w:footnoteRef/>
      </w:r>
      <w:r w:rsidRPr="00BA1800">
        <w:t xml:space="preserve"> </w:t>
      </w:r>
      <w:r>
        <w:t>Pacific MSO provides operational services and administrative support to PFC, operating its embryology laboratory and employing PFC’s nonphysician staff, including Dr. Conaghan, the embryology lab director.  Prelude is a majority stakeholder in Pacific MSO.</w:t>
      </w:r>
      <w:r>
        <w:t xml:space="preserve"> </w:t>
      </w:r>
    </w:p>
  </w:footnote>
  <w:footnote w:id="3">
    <w:p w14:paraId="3E1A15F6" w14:textId="1DA23966" w:rsidR="00F61FD1" w:rsidRPr="00F61FD1" w:rsidRDefault="0064751C" w:rsidP="005A263C">
      <w:pPr>
        <w:pStyle w:val="FootnoteText"/>
        <w:rPr>
          <w:rFonts w:eastAsia="Times New Roman" w:cs="Calibri"/>
          <w:color w:val="000000"/>
        </w:rPr>
      </w:pPr>
      <w:r w:rsidRPr="00F61FD1">
        <w:rPr>
          <w:rStyle w:val="FootnoteReference"/>
        </w:rPr>
        <w:footnoteRef/>
      </w:r>
      <w:r w:rsidRPr="00F61FD1">
        <w:t xml:space="preserve"> </w:t>
      </w:r>
      <w:r>
        <w:t>The primary purpose of a “</w:t>
      </w:r>
      <w:r w:rsidRPr="00F61FD1">
        <w:rPr>
          <w:rFonts w:eastAsia="Times New Roman" w:cs="Calibri"/>
          <w:color w:val="000000"/>
          <w:bdr w:val="none" w:sz="0" w:space="0" w:color="auto" w:frame="1"/>
          <w:shd w:val="clear" w:color="auto" w:fill="FFFFFF"/>
        </w:rPr>
        <w:t>bellwether</w:t>
      </w:r>
      <w:r>
        <w:rPr>
          <w:rFonts w:eastAsia="Times New Roman" w:cs="Calibri"/>
          <w:color w:val="000000"/>
          <w:bdr w:val="none" w:sz="0" w:space="0" w:color="auto" w:frame="1"/>
          <w:shd w:val="clear" w:color="auto" w:fill="FFFFFF"/>
        </w:rPr>
        <w:t>”</w:t>
      </w:r>
      <w:r w:rsidRPr="00F61FD1">
        <w:rPr>
          <w:rFonts w:eastAsia="Times New Roman" w:cs="Calibri"/>
          <w:color w:val="000000"/>
          <w:shd w:val="clear" w:color="auto" w:fill="FFFFFF"/>
        </w:rPr>
        <w:t xml:space="preserve"> trial </w:t>
      </w:r>
      <w:r>
        <w:rPr>
          <w:rFonts w:eastAsia="Times New Roman" w:cs="Calibri"/>
          <w:color w:val="000000"/>
          <w:shd w:val="clear" w:color="auto" w:fill="FFFFFF"/>
        </w:rPr>
        <w:t xml:space="preserve">is to educate the parties and the court about the </w:t>
      </w:r>
      <w:r w:rsidRPr="00F61FD1">
        <w:rPr>
          <w:rFonts w:eastAsia="Times New Roman" w:cs="Calibri"/>
          <w:color w:val="000000"/>
          <w:shd w:val="clear" w:color="auto" w:fill="FFFFFF"/>
        </w:rPr>
        <w:t>strengths and weaknesses of the many underlying case</w:t>
      </w:r>
      <w:r>
        <w:rPr>
          <w:rFonts w:eastAsia="Times New Roman" w:cs="Calibri"/>
          <w:color w:val="000000"/>
          <w:shd w:val="clear" w:color="auto" w:fill="FFFFFF"/>
        </w:rPr>
        <w:t xml:space="preserve">s.  (See </w:t>
      </w:r>
      <w:r w:rsidR="00BD63F5">
        <w:rPr>
          <w:rFonts w:eastAsia="Times New Roman" w:cs="Calibri"/>
          <w:color w:val="000000"/>
          <w:shd w:val="clear" w:color="auto" w:fill="FFFFFF"/>
        </w:rPr>
        <w:t>4 Newberg on Class Actions (5th ed.</w:t>
      </w:r>
      <w:r w:rsidR="00F641BA">
        <w:rPr>
          <w:rFonts w:eastAsia="Times New Roman" w:cs="Calibri"/>
          <w:color w:val="000000"/>
          <w:shd w:val="clear" w:color="auto" w:fill="FFFFFF"/>
        </w:rPr>
        <w:t xml:space="preserve"> 2021</w:t>
      </w:r>
      <w:r w:rsidR="00BD63F5">
        <w:rPr>
          <w:rFonts w:eastAsia="Times New Roman" w:cs="Calibri"/>
          <w:color w:val="000000"/>
          <w:shd w:val="clear" w:color="auto" w:fill="FFFFFF"/>
        </w:rPr>
        <w:t xml:space="preserve">) </w:t>
      </w:r>
      <w:r w:rsidRPr="00F61FD1">
        <w:rPr>
          <w:rFonts w:eastAsia="Times New Roman" w:cs="Calibri"/>
          <w:color w:val="000000"/>
        </w:rPr>
        <w:t xml:space="preserve">Selecting the bellwether </w:t>
      </w:r>
      <w:r w:rsidRPr="00F61FD1">
        <w:rPr>
          <w:rFonts w:eastAsia="Times New Roman" w:cs="Calibri"/>
          <w:color w:val="000000"/>
        </w:rPr>
        <w:t>cases—Generally, § 11:13</w:t>
      </w:r>
      <w:r w:rsidR="0030155C">
        <w:rPr>
          <w:rFonts w:eastAsia="Times New Roman" w:cs="Calibri"/>
          <w:color w:val="000000"/>
        </w:rPr>
        <w:t>.</w:t>
      </w:r>
      <w:r>
        <w:rPr>
          <w:rFonts w:eastAsia="Times New Roman" w:cs="Calibri"/>
          <w:color w:val="000000"/>
        </w:rPr>
        <w:t>)</w:t>
      </w:r>
    </w:p>
    <w:p w14:paraId="5717BAD2" w14:textId="09C940C2" w:rsidR="00F61FD1" w:rsidRDefault="00F61FD1" w:rsidP="005A263C">
      <w:pPr>
        <w:pStyle w:val="FootnoteText"/>
      </w:pPr>
    </w:p>
  </w:footnote>
  <w:footnote w:id="4">
    <w:p w14:paraId="14BB3BFA" w14:textId="2B1E241B" w:rsidR="004530E8" w:rsidRPr="00E84992" w:rsidRDefault="0064751C" w:rsidP="005A263C">
      <w:pPr>
        <w:pStyle w:val="FootnoteText"/>
      </w:pPr>
      <w:r w:rsidRPr="00D43868">
        <w:rPr>
          <w:rStyle w:val="FootnoteReference"/>
        </w:rPr>
        <w:footnoteRef/>
      </w:r>
      <w:r w:rsidRPr="00D43868">
        <w:t xml:space="preserve"> </w:t>
      </w:r>
      <w:r>
        <w:t xml:space="preserve">Although the parties do not </w:t>
      </w:r>
      <w:r w:rsidR="00350B54">
        <w:t xml:space="preserve">raise </w:t>
      </w:r>
      <w:r>
        <w:t xml:space="preserve">the issue, we question whether the November 2021 order is </w:t>
      </w:r>
      <w:r w:rsidR="00BC6293">
        <w:t>an appealable order</w:t>
      </w:r>
      <w:r>
        <w:t>.</w:t>
      </w:r>
      <w:r w:rsidR="002A3E06">
        <w:t xml:space="preserve">  </w:t>
      </w:r>
      <w:r w:rsidR="002A3E06" w:rsidRPr="00D43868">
        <w:t>“ ‘[I]n a case involving multiple parties, a judgment is final and appealable when it leaves no issues to be determined as to one party.’ ”  (</w:t>
      </w:r>
      <w:r w:rsidR="002A3E06" w:rsidRPr="00D43868">
        <w:rPr>
          <w:i/>
          <w:iCs/>
        </w:rPr>
        <w:t>Heshejin v. Rostami</w:t>
      </w:r>
      <w:r w:rsidR="002A3E06" w:rsidRPr="00D43868">
        <w:t xml:space="preserve"> (2020) 54</w:t>
      </w:r>
      <w:r w:rsidR="002A3E06">
        <w:t> </w:t>
      </w:r>
      <w:r w:rsidR="002A3E06" w:rsidRPr="00D43868">
        <w:t>Cal.App.5th 98</w:t>
      </w:r>
      <w:r w:rsidR="002A3E06">
        <w:t>4</w:t>
      </w:r>
      <w:r w:rsidR="002A3E06" w:rsidRPr="00D43868">
        <w:t xml:space="preserve">, </w:t>
      </w:r>
      <w:r w:rsidR="00864F54">
        <w:t>991</w:t>
      </w:r>
      <w:r w:rsidR="00461A83">
        <w:t>.</w:t>
      </w:r>
      <w:r w:rsidR="002A3E06" w:rsidRPr="00D43868">
        <w:t xml:space="preserve">)  </w:t>
      </w:r>
      <w:r w:rsidR="002A3E06">
        <w:t>None of the authorities Chart cites held that “a determination of good faith is directly appealable as an interlocutory decree</w:t>
      </w:r>
      <w:r w:rsidR="00350B54">
        <w:t>.</w:t>
      </w:r>
      <w:r w:rsidR="002A3E06">
        <w:t>”</w:t>
      </w:r>
      <w:r w:rsidR="00350B54">
        <w:t xml:space="preserve">  </w:t>
      </w:r>
      <w:r w:rsidR="002A3E06">
        <w:t>(</w:t>
      </w:r>
      <w:r w:rsidR="002A3E06">
        <w:rPr>
          <w:i/>
          <w:iCs/>
        </w:rPr>
        <w:t>Maryland Casualty</w:t>
      </w:r>
      <w:r w:rsidR="002A3E06">
        <w:t xml:space="preserve">, </w:t>
      </w:r>
      <w:r w:rsidR="002A3E06">
        <w:rPr>
          <w:i/>
          <w:iCs/>
        </w:rPr>
        <w:t>supra</w:t>
      </w:r>
      <w:r w:rsidR="002A3E06">
        <w:t>, 81 Cal.App.4th at p. 1419, fn. 8</w:t>
      </w:r>
      <w:r w:rsidR="00350B54">
        <w:t xml:space="preserve"> [noting the issue was not before it].</w:t>
      </w:r>
      <w:r w:rsidR="002A3E06">
        <w:t>)</w:t>
      </w:r>
      <w:r w:rsidR="00350B54">
        <w:t xml:space="preserve">  And </w:t>
      </w:r>
      <w:r w:rsidR="002A3E06">
        <w:t>Chart does not so argue</w:t>
      </w:r>
      <w:r w:rsidR="00AB4635">
        <w:t xml:space="preserve">, meaning the order must qualify as a final judgment to be appealable.  Yet </w:t>
      </w:r>
      <w:r w:rsidR="002A3E06">
        <w:t>Chart did not appeal from a final judgment resolving the plaintiffs’ claims against it, and</w:t>
      </w:r>
      <w:r w:rsidR="00B22937">
        <w:t xml:space="preserve"> it is not clear on this record that </w:t>
      </w:r>
      <w:r w:rsidR="001014E3">
        <w:t>all</w:t>
      </w:r>
      <w:r w:rsidR="00B22937">
        <w:t xml:space="preserve"> plaintiffs have dismissed the settling defendants from this action.</w:t>
      </w:r>
      <w:r w:rsidR="002A3E06">
        <w:t xml:space="preserve"> </w:t>
      </w:r>
      <w:r w:rsidR="00B22937" w:rsidRPr="004530E8">
        <w:t xml:space="preserve"> </w:t>
      </w:r>
      <w:r w:rsidR="00B22937">
        <w:t>T</w:t>
      </w:r>
      <w:r w:rsidR="002A3E06">
        <w:t xml:space="preserve">he law is unsettled on whether an order making a good faith settlement determination qualifies as a final judgment when it also dismisses a nonsettling defendant’s counterclaims.  (Compare </w:t>
      </w:r>
      <w:r w:rsidR="002A3E06" w:rsidRPr="00D43868">
        <w:rPr>
          <w:i/>
          <w:iCs/>
        </w:rPr>
        <w:t>Cahill</w:t>
      </w:r>
      <w:r w:rsidR="006E1699">
        <w:rPr>
          <w:iCs/>
        </w:rPr>
        <w:t xml:space="preserve">, </w:t>
      </w:r>
      <w:r w:rsidR="006E1699">
        <w:rPr>
          <w:i/>
        </w:rPr>
        <w:t>supra</w:t>
      </w:r>
      <w:r w:rsidR="006E1699">
        <w:rPr>
          <w:iCs/>
        </w:rPr>
        <w:t>,</w:t>
      </w:r>
      <w:r w:rsidR="002A3E06" w:rsidRPr="00D43868">
        <w:rPr>
          <w:iCs/>
        </w:rPr>
        <w:t xml:space="preserve"> 194</w:t>
      </w:r>
      <w:r w:rsidR="00A83477">
        <w:rPr>
          <w:iCs/>
        </w:rPr>
        <w:t> </w:t>
      </w:r>
      <w:r w:rsidR="002A3E06" w:rsidRPr="00D43868">
        <w:rPr>
          <w:iCs/>
        </w:rPr>
        <w:t xml:space="preserve">Cal.App.4th </w:t>
      </w:r>
      <w:r w:rsidR="006E1699">
        <w:rPr>
          <w:iCs/>
        </w:rPr>
        <w:t>at pp.</w:t>
      </w:r>
      <w:r w:rsidR="002A3E06" w:rsidRPr="00D43868">
        <w:rPr>
          <w:iCs/>
        </w:rPr>
        <w:t xml:space="preserve"> 945 &amp; fn.</w:t>
      </w:r>
      <w:r w:rsidR="00350B54">
        <w:rPr>
          <w:iCs/>
        </w:rPr>
        <w:t> </w:t>
      </w:r>
      <w:r w:rsidR="002A3E06" w:rsidRPr="00D43868">
        <w:rPr>
          <w:iCs/>
        </w:rPr>
        <w:t>3, 946 [considering appeal from an order approving good faith settlement and</w:t>
      </w:r>
      <w:r w:rsidR="002A3E06">
        <w:rPr>
          <w:iCs/>
        </w:rPr>
        <w:t xml:space="preserve"> </w:t>
      </w:r>
      <w:r w:rsidR="002A3E06" w:rsidRPr="00D43868">
        <w:rPr>
          <w:iCs/>
        </w:rPr>
        <w:t>dismissing nonsettling defendant’s cross-complaint for indemnity]</w:t>
      </w:r>
      <w:r w:rsidR="002A3E06">
        <w:rPr>
          <w:iCs/>
        </w:rPr>
        <w:t xml:space="preserve"> with </w:t>
      </w:r>
      <w:r w:rsidR="002A3E06">
        <w:rPr>
          <w:i/>
        </w:rPr>
        <w:t>Oak Springs Villas Homeowners Assn. v. Advanced Truss Systems, Inc.</w:t>
      </w:r>
      <w:r w:rsidR="002A3E06">
        <w:rPr>
          <w:iCs/>
        </w:rPr>
        <w:t xml:space="preserve"> (2012) 206 Cal.App.4th 1304, 1307 [“</w:t>
      </w:r>
      <w:r w:rsidR="001F79D3">
        <w:rPr>
          <w:iCs/>
        </w:rPr>
        <w:t>T</w:t>
      </w:r>
      <w:r w:rsidR="002A3E06">
        <w:rPr>
          <w:iCs/>
        </w:rPr>
        <w:t>he final judgment rule cannot be interpreted to allow a party who remains in the action to base its appeal on an order involving a different party</w:t>
      </w:r>
      <w:r w:rsidR="001F79D3">
        <w:rPr>
          <w:iCs/>
        </w:rPr>
        <w:t>.</w:t>
      </w:r>
      <w:r w:rsidR="002A3E06">
        <w:rPr>
          <w:iCs/>
        </w:rPr>
        <w:t>”]</w:t>
      </w:r>
      <w:r w:rsidR="002A3E06" w:rsidRPr="00D43868">
        <w:rPr>
          <w:iCs/>
        </w:rPr>
        <w:t>.)</w:t>
      </w:r>
      <w:r w:rsidR="00350B54">
        <w:rPr>
          <w:iCs/>
        </w:rPr>
        <w:t xml:space="preserve">  </w:t>
      </w:r>
      <w:r>
        <w:rPr>
          <w:iCs/>
        </w:rPr>
        <w:t>Ult</w:t>
      </w:r>
      <w:r>
        <w:rPr>
          <w:iCs/>
        </w:rPr>
        <w:t xml:space="preserve">imately, </w:t>
      </w:r>
      <w:r w:rsidR="00461A83">
        <w:rPr>
          <w:iCs/>
        </w:rPr>
        <w:t xml:space="preserve">we need not decide whether the </w:t>
      </w:r>
      <w:r w:rsidR="001128CD">
        <w:rPr>
          <w:iCs/>
        </w:rPr>
        <w:t>order</w:t>
      </w:r>
      <w:r w:rsidR="00461A83">
        <w:rPr>
          <w:iCs/>
        </w:rPr>
        <w:t xml:space="preserve"> </w:t>
      </w:r>
      <w:r w:rsidR="00BC6293">
        <w:rPr>
          <w:iCs/>
        </w:rPr>
        <w:t xml:space="preserve">is </w:t>
      </w:r>
      <w:r w:rsidR="00461A83">
        <w:rPr>
          <w:iCs/>
        </w:rPr>
        <w:t xml:space="preserve">appealable as an interlocutory decree or final judgment </w:t>
      </w:r>
      <w:r>
        <w:rPr>
          <w:iCs/>
        </w:rPr>
        <w:t xml:space="preserve">since we conclude that </w:t>
      </w:r>
      <w:r w:rsidR="001128CD">
        <w:rPr>
          <w:iCs/>
        </w:rPr>
        <w:t>the good faith determination</w:t>
      </w:r>
      <w:r w:rsidR="00461A83">
        <w:rPr>
          <w:iCs/>
        </w:rPr>
        <w:t xml:space="preserve"> is</w:t>
      </w:r>
      <w:r w:rsidR="00461A83" w:rsidRPr="00461A83">
        <w:t xml:space="preserve"> </w:t>
      </w:r>
      <w:r w:rsidR="00461A83">
        <w:t xml:space="preserve">reviewable </w:t>
      </w:r>
      <w:r w:rsidR="00461A83" w:rsidRPr="000533B7">
        <w:t xml:space="preserve">only by </w:t>
      </w:r>
      <w:r w:rsidR="001014E3">
        <w:t xml:space="preserve">a </w:t>
      </w:r>
      <w:r w:rsidR="00461A83">
        <w:t xml:space="preserve">writ </w:t>
      </w:r>
      <w:r w:rsidR="00461A83" w:rsidRPr="000533B7">
        <w:t>petition</w:t>
      </w:r>
      <w:r w:rsidR="001014E3">
        <w:t xml:space="preserve"> filed in accordance with section 877.6</w:t>
      </w:r>
      <w:r>
        <w:rPr>
          <w:iCs/>
        </w:rPr>
        <w:t xml:space="preserve">. </w:t>
      </w:r>
      <w:r w:rsidRPr="002D4996">
        <w:t xml:space="preserve"> </w:t>
      </w:r>
    </w:p>
  </w:footnote>
  <w:footnote w:id="5">
    <w:p w14:paraId="12B928B2" w14:textId="16141444" w:rsidR="00C82357" w:rsidRPr="00FB3D5C" w:rsidRDefault="0064751C" w:rsidP="005A263C">
      <w:pPr>
        <w:pStyle w:val="FootnoteText"/>
      </w:pPr>
      <w:r w:rsidRPr="00FB3D5C">
        <w:rPr>
          <w:rStyle w:val="FootnoteReference"/>
        </w:rPr>
        <w:footnoteRef/>
      </w:r>
      <w:r w:rsidRPr="00FB3D5C">
        <w:t xml:space="preserve"> </w:t>
      </w:r>
      <w:r>
        <w:t xml:space="preserve">In light of our holding, we need not decide the </w:t>
      </w:r>
      <w:r w:rsidRPr="004530E8">
        <w:t>settling defendants</w:t>
      </w:r>
      <w:r>
        <w:t>’</w:t>
      </w:r>
      <w:r w:rsidRPr="004530E8">
        <w:t xml:space="preserve"> claim that the appeal must be dismissed because it is frivolous</w:t>
      </w:r>
      <w:r>
        <w:t xml:space="preserve">. </w:t>
      </w:r>
    </w:p>
  </w:footnote>
  <w:footnote w:id="6">
    <w:p w14:paraId="1298D9C5" w14:textId="2CCE02ED" w:rsidR="00312336" w:rsidRDefault="0064751C" w:rsidP="005A263C">
      <w:pPr>
        <w:pStyle w:val="FootnoteText"/>
      </w:pPr>
      <w:r w:rsidRPr="00312336">
        <w:rPr>
          <w:rStyle w:val="FootnoteReference"/>
        </w:rPr>
        <w:footnoteRef/>
      </w:r>
      <w:r w:rsidRPr="00312336">
        <w:t xml:space="preserve"> On our</w:t>
      </w:r>
      <w:r>
        <w:t xml:space="preserve"> own motion, we take judicial notice of the legislative history for </w:t>
      </w:r>
      <w:r>
        <w:t xml:space="preserve">Assembly Bill 232, as well as the legislative history for </w:t>
      </w:r>
      <w:r w:rsidR="00087929">
        <w:t xml:space="preserve">a predecessor </w:t>
      </w:r>
      <w:r w:rsidR="00575875">
        <w:t>b</w:t>
      </w:r>
      <w:r w:rsidR="00087929">
        <w:t xml:space="preserve">ill, </w:t>
      </w:r>
      <w:r>
        <w:t>Assembly Bill No. 3712</w:t>
      </w:r>
      <w:r w:rsidR="002625D4">
        <w:t xml:space="preserve"> (1981–1982 Reg. Sess.</w:t>
      </w:r>
      <w:r w:rsidR="00C63E26">
        <w:t>) (</w:t>
      </w:r>
      <w:r w:rsidR="008D5112">
        <w:t>Assembly</w:t>
      </w:r>
      <w:r w:rsidR="00C63E26">
        <w:t xml:space="preserve"> Bill 3712)</w:t>
      </w:r>
      <w:r w:rsidR="00087929">
        <w:t xml:space="preserve">. </w:t>
      </w:r>
      <w:r w:rsidR="001B4922">
        <w:t xml:space="preserve"> </w:t>
      </w:r>
      <w:r w:rsidR="00087929">
        <w:t>(</w:t>
      </w:r>
      <w:r w:rsidR="00575875">
        <w:t xml:space="preserve">See </w:t>
      </w:r>
      <w:r w:rsidR="00087929">
        <w:t>Assem. Bill 3712, vetoed by Governor, Sept.</w:t>
      </w:r>
      <w:r w:rsidR="00DF5043">
        <w:t> </w:t>
      </w:r>
      <w:r w:rsidR="00087929">
        <w:t>30, 1982</w:t>
      </w:r>
      <w:r w:rsidR="00575875">
        <w:t>, Assem. Final Hist. (1981</w:t>
      </w:r>
      <w:r w:rsidR="002E7A6C">
        <w:t>–</w:t>
      </w:r>
      <w:r w:rsidR="00575875">
        <w:t>1982 Reg. Sess.) p. 2264</w:t>
      </w:r>
      <w:r w:rsidR="00944C11">
        <w:t>.)</w:t>
      </w:r>
      <w:r w:rsidR="008906DA">
        <w:t xml:space="preserve">  We gave the parties the opportunity to file supplemental briefing with respect to this legislative history, and Chart did so. </w:t>
      </w:r>
    </w:p>
  </w:footnote>
  <w:footnote w:id="7">
    <w:p w14:paraId="3729B129" w14:textId="0581201F" w:rsidR="000C16D2" w:rsidRPr="00986501" w:rsidRDefault="0064751C" w:rsidP="005A263C">
      <w:pPr>
        <w:pStyle w:val="FootnoteText"/>
      </w:pPr>
      <w:r w:rsidRPr="00053EDF">
        <w:rPr>
          <w:rStyle w:val="FootnoteReference"/>
        </w:rPr>
        <w:footnoteRef/>
      </w:r>
      <w:r w:rsidR="717AE9B5" w:rsidRPr="00053EDF">
        <w:t xml:space="preserve"> </w:t>
      </w:r>
      <w:r w:rsidR="717AE9B5">
        <w:t xml:space="preserve">For this reason, we also reject the notion that </w:t>
      </w:r>
      <w:r w:rsidR="717AE9B5" w:rsidRPr="00053EDF">
        <w:t xml:space="preserve">use of the term “preferable” in the legislative history for Assembly Bill 232 necessarily means </w:t>
      </w:r>
      <w:r w:rsidR="717AE9B5" w:rsidRPr="717AE9B5">
        <w:t>the more desirable but nonexclusive option.</w:t>
      </w:r>
      <w:r w:rsidR="717AE9B5" w:rsidRPr="00053EDF">
        <w:t xml:space="preserve">  (See </w:t>
      </w:r>
      <w:r w:rsidR="717AE9B5" w:rsidRPr="717AE9B5">
        <w:rPr>
          <w:i/>
          <w:iCs/>
        </w:rPr>
        <w:t>Cahill</w:t>
      </w:r>
      <w:r w:rsidR="717AE9B5" w:rsidRPr="00053EDF">
        <w:t xml:space="preserve">, </w:t>
      </w:r>
      <w:r w:rsidR="717AE9B5" w:rsidRPr="717AE9B5">
        <w:rPr>
          <w:i/>
          <w:iCs/>
        </w:rPr>
        <w:t>supra</w:t>
      </w:r>
      <w:r w:rsidR="717AE9B5" w:rsidRPr="00053EDF">
        <w:t>, 194</w:t>
      </w:r>
      <w:r w:rsidR="717AE9B5">
        <w:t> </w:t>
      </w:r>
      <w:r w:rsidR="717AE9B5" w:rsidRPr="00053EDF">
        <w:t>Cal.App.4th at p. 953.)</w:t>
      </w:r>
      <w:r w:rsidR="717AE9B5">
        <w:t xml:space="preserve">  The most obvious understanding of “preferable” in the context of the legislative analysis is simply “better.”  (See Senate Judiciary Analysis, </w:t>
      </w:r>
      <w:r w:rsidR="717AE9B5" w:rsidRPr="717AE9B5">
        <w:rPr>
          <w:i/>
          <w:iCs/>
        </w:rPr>
        <w:t>supra</w:t>
      </w:r>
      <w:r w:rsidR="717AE9B5">
        <w:t>, at p. 3.)</w:t>
      </w:r>
      <w:r w:rsidR="717AE9B5" w:rsidRPr="000C16D2">
        <w:t xml:space="preserve"> </w:t>
      </w:r>
      <w:r w:rsidR="717AE9B5">
        <w:t xml:space="preserve"> </w:t>
      </w:r>
      <w:r w:rsidR="717AE9B5" w:rsidRPr="00B67F1C">
        <w:t>But the proposed writ procedure can only be better if it is exclusive.</w:t>
      </w:r>
      <w:r w:rsidR="717AE9B5" w:rsidRPr="000C16D2">
        <w:t xml:space="preserve">  Allowing an additional postjudgment appeal “</w:t>
      </w:r>
      <w:r w:rsidR="717AE9B5">
        <w:t> ‘</w:t>
      </w:r>
      <w:r w:rsidR="717AE9B5" w:rsidRPr="000C16D2">
        <w:t>thwarts the policy of the law to encourage settlements.</w:t>
      </w:r>
      <w:r w:rsidR="717AE9B5">
        <w:t>’ </w:t>
      </w:r>
      <w:r w:rsidR="717AE9B5" w:rsidRPr="000C16D2">
        <w:t>”  (Assem. Judiciary Analysis,</w:t>
      </w:r>
      <w:r w:rsidR="717AE9B5">
        <w:t xml:space="preserve"> </w:t>
      </w:r>
      <w:r w:rsidR="717AE9B5" w:rsidRPr="717AE9B5">
        <w:rPr>
          <w:i/>
          <w:iCs/>
        </w:rPr>
        <w:t>supra</w:t>
      </w:r>
      <w:r w:rsidR="717AE9B5">
        <w:t>,</w:t>
      </w:r>
      <w:r w:rsidR="717AE9B5" w:rsidRPr="000C16D2">
        <w:t xml:space="preserve"> at p. 2.</w:t>
      </w:r>
      <w:r w:rsidR="717AE9B5">
        <w:t>)</w:t>
      </w:r>
      <w:r w:rsidR="717AE9B5" w:rsidRPr="000C16D2">
        <w:t xml:space="preserve"> </w:t>
      </w:r>
      <w:r w:rsidR="717AE9B5">
        <w:t xml:space="preserve"> While we might be forced to construe “preferable” differently if we were addressing the legislative history for Assembly Bill 3712—with its express statement regarding the nonexclusive nature of the writ remedy it proposed—such a construction would be in clear tension with the underlying purpose of the proposed legislation and the law of good faith settlements generally.  Perhaps that is why the proponent of Assembly Bill 232 failed to include any mention of postjudgment appealability in the successor legislation.  Regardless, the legislative history for Assembly Bill 232 contains no such statement.  </w:t>
      </w:r>
    </w:p>
    <w:p w14:paraId="6279BA9C" w14:textId="557E4570" w:rsidR="00053EDF" w:rsidRPr="00053EDF" w:rsidRDefault="00053EDF" w:rsidP="005A263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B7AC9" w14:textId="77777777" w:rsidR="005F0FE8" w:rsidRDefault="005F0F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8D70D" w14:textId="77777777" w:rsidR="005F0FE8" w:rsidRDefault="005F0F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50D81" w14:textId="77777777" w:rsidR="005F0FE8" w:rsidRDefault="005F0F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50566"/>
    <w:multiLevelType w:val="hybridMultilevel"/>
    <w:tmpl w:val="3E140E6A"/>
    <w:lvl w:ilvl="0" w:tplc="0F823996">
      <w:start w:val="1"/>
      <w:numFmt w:val="lowerLetter"/>
      <w:lvlText w:val="%1."/>
      <w:lvlJc w:val="left"/>
      <w:pPr>
        <w:ind w:left="720" w:hanging="360"/>
      </w:pPr>
      <w:rPr>
        <w:rFonts w:hint="default"/>
      </w:rPr>
    </w:lvl>
    <w:lvl w:ilvl="1" w:tplc="8FC89354" w:tentative="1">
      <w:start w:val="1"/>
      <w:numFmt w:val="lowerLetter"/>
      <w:lvlText w:val="%2."/>
      <w:lvlJc w:val="left"/>
      <w:pPr>
        <w:ind w:left="1440" w:hanging="360"/>
      </w:pPr>
    </w:lvl>
    <w:lvl w:ilvl="2" w:tplc="AB28AA4E" w:tentative="1">
      <w:start w:val="1"/>
      <w:numFmt w:val="lowerRoman"/>
      <w:lvlText w:val="%3."/>
      <w:lvlJc w:val="right"/>
      <w:pPr>
        <w:ind w:left="2160" w:hanging="180"/>
      </w:pPr>
    </w:lvl>
    <w:lvl w:ilvl="3" w:tplc="E864FF4E" w:tentative="1">
      <w:start w:val="1"/>
      <w:numFmt w:val="decimal"/>
      <w:lvlText w:val="%4."/>
      <w:lvlJc w:val="left"/>
      <w:pPr>
        <w:ind w:left="2880" w:hanging="360"/>
      </w:pPr>
    </w:lvl>
    <w:lvl w:ilvl="4" w:tplc="D63A2450" w:tentative="1">
      <w:start w:val="1"/>
      <w:numFmt w:val="lowerLetter"/>
      <w:lvlText w:val="%5."/>
      <w:lvlJc w:val="left"/>
      <w:pPr>
        <w:ind w:left="3600" w:hanging="360"/>
      </w:pPr>
    </w:lvl>
    <w:lvl w:ilvl="5" w:tplc="8FAAD386" w:tentative="1">
      <w:start w:val="1"/>
      <w:numFmt w:val="lowerRoman"/>
      <w:lvlText w:val="%6."/>
      <w:lvlJc w:val="right"/>
      <w:pPr>
        <w:ind w:left="4320" w:hanging="180"/>
      </w:pPr>
    </w:lvl>
    <w:lvl w:ilvl="6" w:tplc="5418904C" w:tentative="1">
      <w:start w:val="1"/>
      <w:numFmt w:val="decimal"/>
      <w:lvlText w:val="%7."/>
      <w:lvlJc w:val="left"/>
      <w:pPr>
        <w:ind w:left="5040" w:hanging="360"/>
      </w:pPr>
    </w:lvl>
    <w:lvl w:ilvl="7" w:tplc="3AA2A6C2" w:tentative="1">
      <w:start w:val="1"/>
      <w:numFmt w:val="lowerLetter"/>
      <w:lvlText w:val="%8."/>
      <w:lvlJc w:val="left"/>
      <w:pPr>
        <w:ind w:left="5760" w:hanging="360"/>
      </w:pPr>
    </w:lvl>
    <w:lvl w:ilvl="8" w:tplc="CDA4AD6A" w:tentative="1">
      <w:start w:val="1"/>
      <w:numFmt w:val="lowerRoman"/>
      <w:lvlText w:val="%9."/>
      <w:lvlJc w:val="right"/>
      <w:pPr>
        <w:ind w:left="6480" w:hanging="180"/>
      </w:pPr>
    </w:lvl>
  </w:abstractNum>
  <w:abstractNum w:abstractNumId="1" w15:restartNumberingAfterBreak="0">
    <w:nsid w:val="209F1F1F"/>
    <w:multiLevelType w:val="hybridMultilevel"/>
    <w:tmpl w:val="855EE7E6"/>
    <w:lvl w:ilvl="0" w:tplc="6B727070">
      <w:start w:val="1"/>
      <w:numFmt w:val="upperLetter"/>
      <w:pStyle w:val="A"/>
      <w:lvlText w:val="%1."/>
      <w:lvlJc w:val="left"/>
      <w:pPr>
        <w:ind w:left="720" w:hanging="360"/>
      </w:pPr>
      <w:rPr>
        <w:rFonts w:hint="default"/>
      </w:rPr>
    </w:lvl>
    <w:lvl w:ilvl="1" w:tplc="042EAE2C" w:tentative="1">
      <w:start w:val="1"/>
      <w:numFmt w:val="lowerLetter"/>
      <w:lvlText w:val="%2."/>
      <w:lvlJc w:val="left"/>
      <w:pPr>
        <w:ind w:left="1440" w:hanging="360"/>
      </w:pPr>
    </w:lvl>
    <w:lvl w:ilvl="2" w:tplc="662AF9B4" w:tentative="1">
      <w:start w:val="1"/>
      <w:numFmt w:val="lowerRoman"/>
      <w:lvlText w:val="%3."/>
      <w:lvlJc w:val="right"/>
      <w:pPr>
        <w:ind w:left="2160" w:hanging="180"/>
      </w:pPr>
    </w:lvl>
    <w:lvl w:ilvl="3" w:tplc="1110E94C" w:tentative="1">
      <w:start w:val="1"/>
      <w:numFmt w:val="decimal"/>
      <w:lvlText w:val="%4."/>
      <w:lvlJc w:val="left"/>
      <w:pPr>
        <w:ind w:left="2880" w:hanging="360"/>
      </w:pPr>
    </w:lvl>
    <w:lvl w:ilvl="4" w:tplc="CCDCA35C" w:tentative="1">
      <w:start w:val="1"/>
      <w:numFmt w:val="lowerLetter"/>
      <w:lvlText w:val="%5."/>
      <w:lvlJc w:val="left"/>
      <w:pPr>
        <w:ind w:left="3600" w:hanging="360"/>
      </w:pPr>
    </w:lvl>
    <w:lvl w:ilvl="5" w:tplc="6F98A298" w:tentative="1">
      <w:start w:val="1"/>
      <w:numFmt w:val="lowerRoman"/>
      <w:lvlText w:val="%6."/>
      <w:lvlJc w:val="right"/>
      <w:pPr>
        <w:ind w:left="4320" w:hanging="180"/>
      </w:pPr>
    </w:lvl>
    <w:lvl w:ilvl="6" w:tplc="49B88DD2" w:tentative="1">
      <w:start w:val="1"/>
      <w:numFmt w:val="decimal"/>
      <w:lvlText w:val="%7."/>
      <w:lvlJc w:val="left"/>
      <w:pPr>
        <w:ind w:left="5040" w:hanging="360"/>
      </w:pPr>
    </w:lvl>
    <w:lvl w:ilvl="7" w:tplc="4B3CA328" w:tentative="1">
      <w:start w:val="1"/>
      <w:numFmt w:val="lowerLetter"/>
      <w:lvlText w:val="%8."/>
      <w:lvlJc w:val="left"/>
      <w:pPr>
        <w:ind w:left="5760" w:hanging="360"/>
      </w:pPr>
    </w:lvl>
    <w:lvl w:ilvl="8" w:tplc="B322B7BE" w:tentative="1">
      <w:start w:val="1"/>
      <w:numFmt w:val="lowerRoman"/>
      <w:lvlText w:val="%9."/>
      <w:lvlJc w:val="right"/>
      <w:pPr>
        <w:ind w:left="6480" w:hanging="180"/>
      </w:pPr>
    </w:lvl>
  </w:abstractNum>
  <w:abstractNum w:abstractNumId="2" w15:restartNumberingAfterBreak="0">
    <w:nsid w:val="33D37159"/>
    <w:multiLevelType w:val="multilevel"/>
    <w:tmpl w:val="D94EFDBE"/>
    <w:lvl w:ilvl="0">
      <w:start w:val="1"/>
      <w:numFmt w:val="upperLetter"/>
      <w:pStyle w:val="AHeading"/>
      <w:lvlText w:val="%1."/>
      <w:lvlJc w:val="left"/>
      <w:pPr>
        <w:ind w:left="1080" w:hanging="720"/>
      </w:pPr>
      <w:rPr>
        <w:rFonts w:hint="default"/>
      </w:rPr>
    </w:lvl>
    <w:lvl w:ilvl="1">
      <w:start w:val="1"/>
      <w:numFmt w:val="lowerRoman"/>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4EB1EED"/>
    <w:multiLevelType w:val="hybridMultilevel"/>
    <w:tmpl w:val="29CA9B38"/>
    <w:lvl w:ilvl="0" w:tplc="01185B0A">
      <w:start w:val="1"/>
      <w:numFmt w:val="upperRoman"/>
      <w:pStyle w:val="ISubheading"/>
      <w:lvlText w:val="%1."/>
      <w:lvlJc w:val="left"/>
      <w:pPr>
        <w:ind w:left="1080" w:hanging="720"/>
      </w:pPr>
      <w:rPr>
        <w:rFonts w:hint="default"/>
      </w:rPr>
    </w:lvl>
    <w:lvl w:ilvl="1" w:tplc="011A7F62">
      <w:start w:val="1"/>
      <w:numFmt w:val="lowerLetter"/>
      <w:pStyle w:val="aSubheading"/>
      <w:lvlText w:val="%2."/>
      <w:lvlJc w:val="left"/>
      <w:pPr>
        <w:ind w:left="1440" w:hanging="360"/>
      </w:pPr>
    </w:lvl>
    <w:lvl w:ilvl="2" w:tplc="5E18555E" w:tentative="1">
      <w:start w:val="1"/>
      <w:numFmt w:val="lowerRoman"/>
      <w:lvlText w:val="%3."/>
      <w:lvlJc w:val="right"/>
      <w:pPr>
        <w:ind w:left="2160" w:hanging="180"/>
      </w:pPr>
    </w:lvl>
    <w:lvl w:ilvl="3" w:tplc="57061330" w:tentative="1">
      <w:start w:val="1"/>
      <w:numFmt w:val="decimal"/>
      <w:lvlText w:val="%4."/>
      <w:lvlJc w:val="left"/>
      <w:pPr>
        <w:ind w:left="2880" w:hanging="360"/>
      </w:pPr>
    </w:lvl>
    <w:lvl w:ilvl="4" w:tplc="59EC2BCC" w:tentative="1">
      <w:start w:val="1"/>
      <w:numFmt w:val="lowerLetter"/>
      <w:lvlText w:val="%5."/>
      <w:lvlJc w:val="left"/>
      <w:pPr>
        <w:ind w:left="3600" w:hanging="360"/>
      </w:pPr>
    </w:lvl>
    <w:lvl w:ilvl="5" w:tplc="93CEC706" w:tentative="1">
      <w:start w:val="1"/>
      <w:numFmt w:val="lowerRoman"/>
      <w:lvlText w:val="%6."/>
      <w:lvlJc w:val="right"/>
      <w:pPr>
        <w:ind w:left="4320" w:hanging="180"/>
      </w:pPr>
    </w:lvl>
    <w:lvl w:ilvl="6" w:tplc="AF9448FC" w:tentative="1">
      <w:start w:val="1"/>
      <w:numFmt w:val="decimal"/>
      <w:lvlText w:val="%7."/>
      <w:lvlJc w:val="left"/>
      <w:pPr>
        <w:ind w:left="5040" w:hanging="360"/>
      </w:pPr>
    </w:lvl>
    <w:lvl w:ilvl="7" w:tplc="7A3E23CC" w:tentative="1">
      <w:start w:val="1"/>
      <w:numFmt w:val="lowerLetter"/>
      <w:lvlText w:val="%8."/>
      <w:lvlJc w:val="left"/>
      <w:pPr>
        <w:ind w:left="5760" w:hanging="360"/>
      </w:pPr>
    </w:lvl>
    <w:lvl w:ilvl="8" w:tplc="A590F788" w:tentative="1">
      <w:start w:val="1"/>
      <w:numFmt w:val="lowerRoman"/>
      <w:lvlText w:val="%9."/>
      <w:lvlJc w:val="right"/>
      <w:pPr>
        <w:ind w:left="6480" w:hanging="180"/>
      </w:pPr>
    </w:lvl>
  </w:abstractNum>
  <w:abstractNum w:abstractNumId="4" w15:restartNumberingAfterBreak="0">
    <w:nsid w:val="5E275B03"/>
    <w:multiLevelType w:val="hybridMultilevel"/>
    <w:tmpl w:val="EE421688"/>
    <w:lvl w:ilvl="0" w:tplc="B53EBDFE">
      <w:start w:val="1"/>
      <w:numFmt w:val="bullet"/>
      <w:lvlText w:val=""/>
      <w:lvlJc w:val="left"/>
      <w:pPr>
        <w:ind w:left="1080" w:hanging="360"/>
      </w:pPr>
      <w:rPr>
        <w:rFonts w:ascii="Symbol" w:eastAsiaTheme="minorHAnsi" w:hAnsi="Symbol" w:cs="Times New Roman" w:hint="default"/>
      </w:rPr>
    </w:lvl>
    <w:lvl w:ilvl="1" w:tplc="36D2905E" w:tentative="1">
      <w:start w:val="1"/>
      <w:numFmt w:val="bullet"/>
      <w:lvlText w:val="o"/>
      <w:lvlJc w:val="left"/>
      <w:pPr>
        <w:ind w:left="1800" w:hanging="360"/>
      </w:pPr>
      <w:rPr>
        <w:rFonts w:ascii="Courier New" w:hAnsi="Courier New" w:cs="Courier New" w:hint="default"/>
      </w:rPr>
    </w:lvl>
    <w:lvl w:ilvl="2" w:tplc="0DE6AD4E" w:tentative="1">
      <w:start w:val="1"/>
      <w:numFmt w:val="bullet"/>
      <w:lvlText w:val=""/>
      <w:lvlJc w:val="left"/>
      <w:pPr>
        <w:ind w:left="2520" w:hanging="360"/>
      </w:pPr>
      <w:rPr>
        <w:rFonts w:ascii="Wingdings" w:hAnsi="Wingdings" w:hint="default"/>
      </w:rPr>
    </w:lvl>
    <w:lvl w:ilvl="3" w:tplc="2698FA9E" w:tentative="1">
      <w:start w:val="1"/>
      <w:numFmt w:val="bullet"/>
      <w:lvlText w:val=""/>
      <w:lvlJc w:val="left"/>
      <w:pPr>
        <w:ind w:left="3240" w:hanging="360"/>
      </w:pPr>
      <w:rPr>
        <w:rFonts w:ascii="Symbol" w:hAnsi="Symbol" w:hint="default"/>
      </w:rPr>
    </w:lvl>
    <w:lvl w:ilvl="4" w:tplc="32AC696E" w:tentative="1">
      <w:start w:val="1"/>
      <w:numFmt w:val="bullet"/>
      <w:lvlText w:val="o"/>
      <w:lvlJc w:val="left"/>
      <w:pPr>
        <w:ind w:left="3960" w:hanging="360"/>
      </w:pPr>
      <w:rPr>
        <w:rFonts w:ascii="Courier New" w:hAnsi="Courier New" w:cs="Courier New" w:hint="default"/>
      </w:rPr>
    </w:lvl>
    <w:lvl w:ilvl="5" w:tplc="2A767CF2" w:tentative="1">
      <w:start w:val="1"/>
      <w:numFmt w:val="bullet"/>
      <w:lvlText w:val=""/>
      <w:lvlJc w:val="left"/>
      <w:pPr>
        <w:ind w:left="4680" w:hanging="360"/>
      </w:pPr>
      <w:rPr>
        <w:rFonts w:ascii="Wingdings" w:hAnsi="Wingdings" w:hint="default"/>
      </w:rPr>
    </w:lvl>
    <w:lvl w:ilvl="6" w:tplc="EA069402" w:tentative="1">
      <w:start w:val="1"/>
      <w:numFmt w:val="bullet"/>
      <w:lvlText w:val=""/>
      <w:lvlJc w:val="left"/>
      <w:pPr>
        <w:ind w:left="5400" w:hanging="360"/>
      </w:pPr>
      <w:rPr>
        <w:rFonts w:ascii="Symbol" w:hAnsi="Symbol" w:hint="default"/>
      </w:rPr>
    </w:lvl>
    <w:lvl w:ilvl="7" w:tplc="89D63984" w:tentative="1">
      <w:start w:val="1"/>
      <w:numFmt w:val="bullet"/>
      <w:lvlText w:val="o"/>
      <w:lvlJc w:val="left"/>
      <w:pPr>
        <w:ind w:left="6120" w:hanging="360"/>
      </w:pPr>
      <w:rPr>
        <w:rFonts w:ascii="Courier New" w:hAnsi="Courier New" w:cs="Courier New" w:hint="default"/>
      </w:rPr>
    </w:lvl>
    <w:lvl w:ilvl="8" w:tplc="EC483F62" w:tentative="1">
      <w:start w:val="1"/>
      <w:numFmt w:val="bullet"/>
      <w:lvlText w:val=""/>
      <w:lvlJc w:val="left"/>
      <w:pPr>
        <w:ind w:left="6840" w:hanging="360"/>
      </w:pPr>
      <w:rPr>
        <w:rFonts w:ascii="Wingdings" w:hAnsi="Wingdings" w:hint="default"/>
      </w:rPr>
    </w:lvl>
  </w:abstractNum>
  <w:abstractNum w:abstractNumId="5" w15:restartNumberingAfterBreak="0">
    <w:nsid w:val="62064D65"/>
    <w:multiLevelType w:val="hybridMultilevel"/>
    <w:tmpl w:val="CC883936"/>
    <w:lvl w:ilvl="0" w:tplc="C76C0656">
      <w:start w:val="1"/>
      <w:numFmt w:val="lowerLetter"/>
      <w:lvlText w:val="%1."/>
      <w:lvlJc w:val="left"/>
      <w:pPr>
        <w:ind w:left="1440" w:hanging="360"/>
      </w:pPr>
    </w:lvl>
    <w:lvl w:ilvl="1" w:tplc="8DB83D44" w:tentative="1">
      <w:start w:val="1"/>
      <w:numFmt w:val="lowerLetter"/>
      <w:lvlText w:val="%2."/>
      <w:lvlJc w:val="left"/>
      <w:pPr>
        <w:ind w:left="2160" w:hanging="360"/>
      </w:pPr>
    </w:lvl>
    <w:lvl w:ilvl="2" w:tplc="C0B6A552" w:tentative="1">
      <w:start w:val="1"/>
      <w:numFmt w:val="lowerRoman"/>
      <w:lvlText w:val="%3."/>
      <w:lvlJc w:val="right"/>
      <w:pPr>
        <w:ind w:left="2880" w:hanging="180"/>
      </w:pPr>
    </w:lvl>
    <w:lvl w:ilvl="3" w:tplc="BEF8BFAC" w:tentative="1">
      <w:start w:val="1"/>
      <w:numFmt w:val="decimal"/>
      <w:lvlText w:val="%4."/>
      <w:lvlJc w:val="left"/>
      <w:pPr>
        <w:ind w:left="3600" w:hanging="360"/>
      </w:pPr>
    </w:lvl>
    <w:lvl w:ilvl="4" w:tplc="BFB06C3C" w:tentative="1">
      <w:start w:val="1"/>
      <w:numFmt w:val="lowerLetter"/>
      <w:lvlText w:val="%5."/>
      <w:lvlJc w:val="left"/>
      <w:pPr>
        <w:ind w:left="4320" w:hanging="360"/>
      </w:pPr>
    </w:lvl>
    <w:lvl w:ilvl="5" w:tplc="9A52E39E" w:tentative="1">
      <w:start w:val="1"/>
      <w:numFmt w:val="lowerRoman"/>
      <w:lvlText w:val="%6."/>
      <w:lvlJc w:val="right"/>
      <w:pPr>
        <w:ind w:left="5040" w:hanging="180"/>
      </w:pPr>
    </w:lvl>
    <w:lvl w:ilvl="6" w:tplc="D910FD0E" w:tentative="1">
      <w:start w:val="1"/>
      <w:numFmt w:val="decimal"/>
      <w:lvlText w:val="%7."/>
      <w:lvlJc w:val="left"/>
      <w:pPr>
        <w:ind w:left="5760" w:hanging="360"/>
      </w:pPr>
    </w:lvl>
    <w:lvl w:ilvl="7" w:tplc="C510A30E" w:tentative="1">
      <w:start w:val="1"/>
      <w:numFmt w:val="lowerLetter"/>
      <w:lvlText w:val="%8."/>
      <w:lvlJc w:val="left"/>
      <w:pPr>
        <w:ind w:left="6480" w:hanging="360"/>
      </w:pPr>
    </w:lvl>
    <w:lvl w:ilvl="8" w:tplc="EA848E56" w:tentative="1">
      <w:start w:val="1"/>
      <w:numFmt w:val="lowerRoman"/>
      <w:lvlText w:val="%9."/>
      <w:lvlJc w:val="right"/>
      <w:pPr>
        <w:ind w:left="7200" w:hanging="180"/>
      </w:pPr>
    </w:lvl>
  </w:abstractNum>
  <w:abstractNum w:abstractNumId="6" w15:restartNumberingAfterBreak="0">
    <w:nsid w:val="6E714684"/>
    <w:multiLevelType w:val="hybridMultilevel"/>
    <w:tmpl w:val="11A8B184"/>
    <w:lvl w:ilvl="0" w:tplc="3F96AA66">
      <w:start w:val="3"/>
      <w:numFmt w:val="upperRoman"/>
      <w:lvlText w:val="%1."/>
      <w:lvlJc w:val="left"/>
      <w:pPr>
        <w:ind w:left="1080" w:hanging="720"/>
      </w:pPr>
      <w:rPr>
        <w:rFonts w:hint="default"/>
      </w:rPr>
    </w:lvl>
    <w:lvl w:ilvl="1" w:tplc="7D743706" w:tentative="1">
      <w:start w:val="1"/>
      <w:numFmt w:val="lowerLetter"/>
      <w:lvlText w:val="%2."/>
      <w:lvlJc w:val="left"/>
      <w:pPr>
        <w:ind w:left="1440" w:hanging="360"/>
      </w:pPr>
    </w:lvl>
    <w:lvl w:ilvl="2" w:tplc="5DF2749A" w:tentative="1">
      <w:start w:val="1"/>
      <w:numFmt w:val="lowerRoman"/>
      <w:lvlText w:val="%3."/>
      <w:lvlJc w:val="right"/>
      <w:pPr>
        <w:ind w:left="2160" w:hanging="180"/>
      </w:pPr>
    </w:lvl>
    <w:lvl w:ilvl="3" w:tplc="D71E41B0" w:tentative="1">
      <w:start w:val="1"/>
      <w:numFmt w:val="decimal"/>
      <w:lvlText w:val="%4."/>
      <w:lvlJc w:val="left"/>
      <w:pPr>
        <w:ind w:left="2880" w:hanging="360"/>
      </w:pPr>
    </w:lvl>
    <w:lvl w:ilvl="4" w:tplc="514A102C" w:tentative="1">
      <w:start w:val="1"/>
      <w:numFmt w:val="lowerLetter"/>
      <w:lvlText w:val="%5."/>
      <w:lvlJc w:val="left"/>
      <w:pPr>
        <w:ind w:left="3600" w:hanging="360"/>
      </w:pPr>
    </w:lvl>
    <w:lvl w:ilvl="5" w:tplc="CDA827E0" w:tentative="1">
      <w:start w:val="1"/>
      <w:numFmt w:val="lowerRoman"/>
      <w:lvlText w:val="%6."/>
      <w:lvlJc w:val="right"/>
      <w:pPr>
        <w:ind w:left="4320" w:hanging="180"/>
      </w:pPr>
    </w:lvl>
    <w:lvl w:ilvl="6" w:tplc="44D4DDF6" w:tentative="1">
      <w:start w:val="1"/>
      <w:numFmt w:val="decimal"/>
      <w:lvlText w:val="%7."/>
      <w:lvlJc w:val="left"/>
      <w:pPr>
        <w:ind w:left="5040" w:hanging="360"/>
      </w:pPr>
    </w:lvl>
    <w:lvl w:ilvl="7" w:tplc="C3728A56" w:tentative="1">
      <w:start w:val="1"/>
      <w:numFmt w:val="lowerLetter"/>
      <w:lvlText w:val="%8."/>
      <w:lvlJc w:val="left"/>
      <w:pPr>
        <w:ind w:left="5760" w:hanging="360"/>
      </w:pPr>
    </w:lvl>
    <w:lvl w:ilvl="8" w:tplc="961EAB5E" w:tentative="1">
      <w:start w:val="1"/>
      <w:numFmt w:val="lowerRoman"/>
      <w:lvlText w:val="%9."/>
      <w:lvlJc w:val="right"/>
      <w:pPr>
        <w:ind w:left="6480" w:hanging="180"/>
      </w:pPr>
    </w:lvl>
  </w:abstractNum>
  <w:abstractNum w:abstractNumId="7" w15:restartNumberingAfterBreak="0">
    <w:nsid w:val="782A35D3"/>
    <w:multiLevelType w:val="hybridMultilevel"/>
    <w:tmpl w:val="7674A30A"/>
    <w:lvl w:ilvl="0" w:tplc="6F662A8E">
      <w:start w:val="3"/>
      <w:numFmt w:val="upperLetter"/>
      <w:lvlText w:val="%1."/>
      <w:lvlJc w:val="left"/>
      <w:pPr>
        <w:ind w:left="720" w:hanging="360"/>
      </w:pPr>
      <w:rPr>
        <w:rFonts w:hint="default"/>
      </w:rPr>
    </w:lvl>
    <w:lvl w:ilvl="1" w:tplc="CCD49802" w:tentative="1">
      <w:start w:val="1"/>
      <w:numFmt w:val="lowerLetter"/>
      <w:lvlText w:val="%2."/>
      <w:lvlJc w:val="left"/>
      <w:pPr>
        <w:ind w:left="1440" w:hanging="360"/>
      </w:pPr>
    </w:lvl>
    <w:lvl w:ilvl="2" w:tplc="17FA450A" w:tentative="1">
      <w:start w:val="1"/>
      <w:numFmt w:val="lowerRoman"/>
      <w:lvlText w:val="%3."/>
      <w:lvlJc w:val="right"/>
      <w:pPr>
        <w:ind w:left="2160" w:hanging="180"/>
      </w:pPr>
    </w:lvl>
    <w:lvl w:ilvl="3" w:tplc="F28467E6" w:tentative="1">
      <w:start w:val="1"/>
      <w:numFmt w:val="decimal"/>
      <w:lvlText w:val="%4."/>
      <w:lvlJc w:val="left"/>
      <w:pPr>
        <w:ind w:left="2880" w:hanging="360"/>
      </w:pPr>
    </w:lvl>
    <w:lvl w:ilvl="4" w:tplc="82D6E496" w:tentative="1">
      <w:start w:val="1"/>
      <w:numFmt w:val="lowerLetter"/>
      <w:lvlText w:val="%5."/>
      <w:lvlJc w:val="left"/>
      <w:pPr>
        <w:ind w:left="3600" w:hanging="360"/>
      </w:pPr>
    </w:lvl>
    <w:lvl w:ilvl="5" w:tplc="DBFCE22E" w:tentative="1">
      <w:start w:val="1"/>
      <w:numFmt w:val="lowerRoman"/>
      <w:lvlText w:val="%6."/>
      <w:lvlJc w:val="right"/>
      <w:pPr>
        <w:ind w:left="4320" w:hanging="180"/>
      </w:pPr>
    </w:lvl>
    <w:lvl w:ilvl="6" w:tplc="8A6243AE" w:tentative="1">
      <w:start w:val="1"/>
      <w:numFmt w:val="decimal"/>
      <w:lvlText w:val="%7."/>
      <w:lvlJc w:val="left"/>
      <w:pPr>
        <w:ind w:left="5040" w:hanging="360"/>
      </w:pPr>
    </w:lvl>
    <w:lvl w:ilvl="7" w:tplc="E834BE54" w:tentative="1">
      <w:start w:val="1"/>
      <w:numFmt w:val="lowerLetter"/>
      <w:lvlText w:val="%8."/>
      <w:lvlJc w:val="left"/>
      <w:pPr>
        <w:ind w:left="5760" w:hanging="360"/>
      </w:pPr>
    </w:lvl>
    <w:lvl w:ilvl="8" w:tplc="1E842B90"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5"/>
  </w:num>
  <w:num w:numId="5">
    <w:abstractNumId w:val="1"/>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AB4"/>
    <w:rsid w:val="00001561"/>
    <w:rsid w:val="000025D5"/>
    <w:rsid w:val="00002DF2"/>
    <w:rsid w:val="00003435"/>
    <w:rsid w:val="00003AE4"/>
    <w:rsid w:val="00003D37"/>
    <w:rsid w:val="000057D7"/>
    <w:rsid w:val="000061D5"/>
    <w:rsid w:val="00006788"/>
    <w:rsid w:val="00006A45"/>
    <w:rsid w:val="00006B73"/>
    <w:rsid w:val="000076C3"/>
    <w:rsid w:val="00007DAD"/>
    <w:rsid w:val="00007FF8"/>
    <w:rsid w:val="00010962"/>
    <w:rsid w:val="00010D6E"/>
    <w:rsid w:val="0001144F"/>
    <w:rsid w:val="0001231B"/>
    <w:rsid w:val="0001258F"/>
    <w:rsid w:val="0001273C"/>
    <w:rsid w:val="000134D3"/>
    <w:rsid w:val="000135D2"/>
    <w:rsid w:val="000148A2"/>
    <w:rsid w:val="00015B1B"/>
    <w:rsid w:val="00017521"/>
    <w:rsid w:val="00017B85"/>
    <w:rsid w:val="0002114B"/>
    <w:rsid w:val="00021600"/>
    <w:rsid w:val="00021972"/>
    <w:rsid w:val="000219B0"/>
    <w:rsid w:val="000219D4"/>
    <w:rsid w:val="0002300C"/>
    <w:rsid w:val="0002324F"/>
    <w:rsid w:val="000233D1"/>
    <w:rsid w:val="0002383E"/>
    <w:rsid w:val="00023AC1"/>
    <w:rsid w:val="00023F5A"/>
    <w:rsid w:val="000245A2"/>
    <w:rsid w:val="00024F34"/>
    <w:rsid w:val="00026226"/>
    <w:rsid w:val="000267C3"/>
    <w:rsid w:val="000268A8"/>
    <w:rsid w:val="00026A2D"/>
    <w:rsid w:val="00026D49"/>
    <w:rsid w:val="00026E88"/>
    <w:rsid w:val="000273D5"/>
    <w:rsid w:val="000276F5"/>
    <w:rsid w:val="00027C80"/>
    <w:rsid w:val="000306B1"/>
    <w:rsid w:val="00030AB8"/>
    <w:rsid w:val="0003205B"/>
    <w:rsid w:val="00032F35"/>
    <w:rsid w:val="00032FF8"/>
    <w:rsid w:val="00033B8F"/>
    <w:rsid w:val="00034487"/>
    <w:rsid w:val="00034625"/>
    <w:rsid w:val="000347F6"/>
    <w:rsid w:val="000355F6"/>
    <w:rsid w:val="0003563C"/>
    <w:rsid w:val="00035687"/>
    <w:rsid w:val="000357E7"/>
    <w:rsid w:val="00035A46"/>
    <w:rsid w:val="00036589"/>
    <w:rsid w:val="00040321"/>
    <w:rsid w:val="000405B9"/>
    <w:rsid w:val="00040DBC"/>
    <w:rsid w:val="00040F67"/>
    <w:rsid w:val="00041570"/>
    <w:rsid w:val="00041C2F"/>
    <w:rsid w:val="00041D7C"/>
    <w:rsid w:val="00042259"/>
    <w:rsid w:val="00043769"/>
    <w:rsid w:val="00043FDA"/>
    <w:rsid w:val="00044251"/>
    <w:rsid w:val="000444FE"/>
    <w:rsid w:val="0004453A"/>
    <w:rsid w:val="00044AE7"/>
    <w:rsid w:val="0004502E"/>
    <w:rsid w:val="00045948"/>
    <w:rsid w:val="00046A10"/>
    <w:rsid w:val="000472DE"/>
    <w:rsid w:val="00050777"/>
    <w:rsid w:val="000516F3"/>
    <w:rsid w:val="00051753"/>
    <w:rsid w:val="00051B7E"/>
    <w:rsid w:val="000529E1"/>
    <w:rsid w:val="00052B42"/>
    <w:rsid w:val="00052E3C"/>
    <w:rsid w:val="00053168"/>
    <w:rsid w:val="000533B7"/>
    <w:rsid w:val="00053EDF"/>
    <w:rsid w:val="0005438A"/>
    <w:rsid w:val="000543B5"/>
    <w:rsid w:val="0005445F"/>
    <w:rsid w:val="0005587B"/>
    <w:rsid w:val="0005704C"/>
    <w:rsid w:val="00057462"/>
    <w:rsid w:val="00057880"/>
    <w:rsid w:val="000578C4"/>
    <w:rsid w:val="00057C8D"/>
    <w:rsid w:val="000610B3"/>
    <w:rsid w:val="00061154"/>
    <w:rsid w:val="00061658"/>
    <w:rsid w:val="00061948"/>
    <w:rsid w:val="00061990"/>
    <w:rsid w:val="00061BEB"/>
    <w:rsid w:val="00061C13"/>
    <w:rsid w:val="00063453"/>
    <w:rsid w:val="0006389E"/>
    <w:rsid w:val="00063C05"/>
    <w:rsid w:val="00063EAA"/>
    <w:rsid w:val="00063FA9"/>
    <w:rsid w:val="000648D7"/>
    <w:rsid w:val="00064C27"/>
    <w:rsid w:val="00064CF3"/>
    <w:rsid w:val="000652C1"/>
    <w:rsid w:val="00066913"/>
    <w:rsid w:val="00066E7E"/>
    <w:rsid w:val="00066F38"/>
    <w:rsid w:val="0006759B"/>
    <w:rsid w:val="00067B0C"/>
    <w:rsid w:val="00067BEB"/>
    <w:rsid w:val="00067ED6"/>
    <w:rsid w:val="00070A4C"/>
    <w:rsid w:val="00071001"/>
    <w:rsid w:val="0007188A"/>
    <w:rsid w:val="00071ABE"/>
    <w:rsid w:val="00071DE7"/>
    <w:rsid w:val="00072D47"/>
    <w:rsid w:val="00072EF1"/>
    <w:rsid w:val="000735DB"/>
    <w:rsid w:val="00073750"/>
    <w:rsid w:val="0007400E"/>
    <w:rsid w:val="0007463C"/>
    <w:rsid w:val="0007477A"/>
    <w:rsid w:val="00074B47"/>
    <w:rsid w:val="0007547A"/>
    <w:rsid w:val="000759C9"/>
    <w:rsid w:val="00075AA3"/>
    <w:rsid w:val="000762C1"/>
    <w:rsid w:val="000772D3"/>
    <w:rsid w:val="000773C6"/>
    <w:rsid w:val="00080032"/>
    <w:rsid w:val="00080424"/>
    <w:rsid w:val="00080991"/>
    <w:rsid w:val="00081CD1"/>
    <w:rsid w:val="00082D9B"/>
    <w:rsid w:val="00083785"/>
    <w:rsid w:val="00083EA1"/>
    <w:rsid w:val="00084AAA"/>
    <w:rsid w:val="0008541A"/>
    <w:rsid w:val="000859F6"/>
    <w:rsid w:val="00085A3D"/>
    <w:rsid w:val="000866D5"/>
    <w:rsid w:val="00086CDC"/>
    <w:rsid w:val="000876B3"/>
    <w:rsid w:val="000876B8"/>
    <w:rsid w:val="00087913"/>
    <w:rsid w:val="00087923"/>
    <w:rsid w:val="00087929"/>
    <w:rsid w:val="00087B06"/>
    <w:rsid w:val="000910DC"/>
    <w:rsid w:val="00091434"/>
    <w:rsid w:val="00092199"/>
    <w:rsid w:val="00092DA8"/>
    <w:rsid w:val="000934B0"/>
    <w:rsid w:val="000938FA"/>
    <w:rsid w:val="00093A9C"/>
    <w:rsid w:val="00093AEA"/>
    <w:rsid w:val="000944FB"/>
    <w:rsid w:val="000954B5"/>
    <w:rsid w:val="00095AFA"/>
    <w:rsid w:val="00095CAB"/>
    <w:rsid w:val="00097155"/>
    <w:rsid w:val="00097FF5"/>
    <w:rsid w:val="000A023A"/>
    <w:rsid w:val="000A0951"/>
    <w:rsid w:val="000A0A4D"/>
    <w:rsid w:val="000A1A18"/>
    <w:rsid w:val="000A1CFF"/>
    <w:rsid w:val="000A2BF7"/>
    <w:rsid w:val="000A30CD"/>
    <w:rsid w:val="000A324E"/>
    <w:rsid w:val="000A3F3B"/>
    <w:rsid w:val="000A4371"/>
    <w:rsid w:val="000A4AFF"/>
    <w:rsid w:val="000A59F9"/>
    <w:rsid w:val="000A5DEB"/>
    <w:rsid w:val="000A5F83"/>
    <w:rsid w:val="000A6DFC"/>
    <w:rsid w:val="000A7899"/>
    <w:rsid w:val="000B042C"/>
    <w:rsid w:val="000B0875"/>
    <w:rsid w:val="000B0968"/>
    <w:rsid w:val="000B17FA"/>
    <w:rsid w:val="000B1DA2"/>
    <w:rsid w:val="000B1E59"/>
    <w:rsid w:val="000B1F1F"/>
    <w:rsid w:val="000B28B4"/>
    <w:rsid w:val="000B356C"/>
    <w:rsid w:val="000B3C7F"/>
    <w:rsid w:val="000B3E7F"/>
    <w:rsid w:val="000B3EA3"/>
    <w:rsid w:val="000B4572"/>
    <w:rsid w:val="000B46DC"/>
    <w:rsid w:val="000B4D95"/>
    <w:rsid w:val="000B5705"/>
    <w:rsid w:val="000B63BA"/>
    <w:rsid w:val="000B67C7"/>
    <w:rsid w:val="000B67D6"/>
    <w:rsid w:val="000B6A31"/>
    <w:rsid w:val="000B6C39"/>
    <w:rsid w:val="000B6E6A"/>
    <w:rsid w:val="000B7890"/>
    <w:rsid w:val="000B78F6"/>
    <w:rsid w:val="000B7E0C"/>
    <w:rsid w:val="000C0067"/>
    <w:rsid w:val="000C01F5"/>
    <w:rsid w:val="000C030C"/>
    <w:rsid w:val="000C088A"/>
    <w:rsid w:val="000C0A6A"/>
    <w:rsid w:val="000C0BD8"/>
    <w:rsid w:val="000C0FE4"/>
    <w:rsid w:val="000C15AC"/>
    <w:rsid w:val="000C16D2"/>
    <w:rsid w:val="000C1716"/>
    <w:rsid w:val="000C2456"/>
    <w:rsid w:val="000C29B9"/>
    <w:rsid w:val="000C3BF8"/>
    <w:rsid w:val="000C3FBE"/>
    <w:rsid w:val="000C40EF"/>
    <w:rsid w:val="000C44D5"/>
    <w:rsid w:val="000C52CA"/>
    <w:rsid w:val="000C5C8A"/>
    <w:rsid w:val="000C6151"/>
    <w:rsid w:val="000C63B4"/>
    <w:rsid w:val="000C722F"/>
    <w:rsid w:val="000C727D"/>
    <w:rsid w:val="000C7E27"/>
    <w:rsid w:val="000D04B6"/>
    <w:rsid w:val="000D0581"/>
    <w:rsid w:val="000D0CB1"/>
    <w:rsid w:val="000D0ECB"/>
    <w:rsid w:val="000D1042"/>
    <w:rsid w:val="000D139B"/>
    <w:rsid w:val="000D15F5"/>
    <w:rsid w:val="000D1C5B"/>
    <w:rsid w:val="000D1DE0"/>
    <w:rsid w:val="000D1FFD"/>
    <w:rsid w:val="000D21B6"/>
    <w:rsid w:val="000D282F"/>
    <w:rsid w:val="000D2DBD"/>
    <w:rsid w:val="000D30DC"/>
    <w:rsid w:val="000D3135"/>
    <w:rsid w:val="000D39CF"/>
    <w:rsid w:val="000D39E8"/>
    <w:rsid w:val="000D3A77"/>
    <w:rsid w:val="000D43E2"/>
    <w:rsid w:val="000D465F"/>
    <w:rsid w:val="000D56E9"/>
    <w:rsid w:val="000D5734"/>
    <w:rsid w:val="000D5F56"/>
    <w:rsid w:val="000D6ACD"/>
    <w:rsid w:val="000D6B55"/>
    <w:rsid w:val="000D701E"/>
    <w:rsid w:val="000D706B"/>
    <w:rsid w:val="000D7BD7"/>
    <w:rsid w:val="000D7DF8"/>
    <w:rsid w:val="000E0341"/>
    <w:rsid w:val="000E078A"/>
    <w:rsid w:val="000E09D9"/>
    <w:rsid w:val="000E0EB7"/>
    <w:rsid w:val="000E3003"/>
    <w:rsid w:val="000E3289"/>
    <w:rsid w:val="000E4089"/>
    <w:rsid w:val="000E41B0"/>
    <w:rsid w:val="000E427D"/>
    <w:rsid w:val="000E4BD5"/>
    <w:rsid w:val="000E5054"/>
    <w:rsid w:val="000E57E5"/>
    <w:rsid w:val="000E7538"/>
    <w:rsid w:val="000E75DE"/>
    <w:rsid w:val="000E7627"/>
    <w:rsid w:val="000E7A4B"/>
    <w:rsid w:val="000E7DD9"/>
    <w:rsid w:val="000E7E90"/>
    <w:rsid w:val="000F0566"/>
    <w:rsid w:val="000F12FC"/>
    <w:rsid w:val="000F1575"/>
    <w:rsid w:val="000F2F87"/>
    <w:rsid w:val="000F3422"/>
    <w:rsid w:val="000F3B12"/>
    <w:rsid w:val="000F3FC6"/>
    <w:rsid w:val="000F4675"/>
    <w:rsid w:val="000F4C51"/>
    <w:rsid w:val="000F6145"/>
    <w:rsid w:val="000F6A5B"/>
    <w:rsid w:val="000F6FBF"/>
    <w:rsid w:val="000F721D"/>
    <w:rsid w:val="000F724F"/>
    <w:rsid w:val="000F77FE"/>
    <w:rsid w:val="000F7EBB"/>
    <w:rsid w:val="000F7ED1"/>
    <w:rsid w:val="00100574"/>
    <w:rsid w:val="001014E3"/>
    <w:rsid w:val="0010237C"/>
    <w:rsid w:val="00102552"/>
    <w:rsid w:val="00102619"/>
    <w:rsid w:val="00102992"/>
    <w:rsid w:val="001032E7"/>
    <w:rsid w:val="001034A9"/>
    <w:rsid w:val="0010377E"/>
    <w:rsid w:val="001039DD"/>
    <w:rsid w:val="00103BC8"/>
    <w:rsid w:val="00104B39"/>
    <w:rsid w:val="001055FB"/>
    <w:rsid w:val="00105F7B"/>
    <w:rsid w:val="00106393"/>
    <w:rsid w:val="00107863"/>
    <w:rsid w:val="001079D3"/>
    <w:rsid w:val="00111352"/>
    <w:rsid w:val="00111A2F"/>
    <w:rsid w:val="001128CD"/>
    <w:rsid w:val="00112AD3"/>
    <w:rsid w:val="00112BBF"/>
    <w:rsid w:val="00112FE8"/>
    <w:rsid w:val="00113063"/>
    <w:rsid w:val="00113955"/>
    <w:rsid w:val="001168B2"/>
    <w:rsid w:val="00116D08"/>
    <w:rsid w:val="00116E53"/>
    <w:rsid w:val="00117033"/>
    <w:rsid w:val="001171EF"/>
    <w:rsid w:val="00120629"/>
    <w:rsid w:val="00120F5C"/>
    <w:rsid w:val="00121731"/>
    <w:rsid w:val="00121ACD"/>
    <w:rsid w:val="0012204A"/>
    <w:rsid w:val="001221B5"/>
    <w:rsid w:val="00122510"/>
    <w:rsid w:val="00122620"/>
    <w:rsid w:val="00122A33"/>
    <w:rsid w:val="00122FDB"/>
    <w:rsid w:val="0012334D"/>
    <w:rsid w:val="00123A97"/>
    <w:rsid w:val="001240ED"/>
    <w:rsid w:val="00124769"/>
    <w:rsid w:val="00124C60"/>
    <w:rsid w:val="0012684A"/>
    <w:rsid w:val="00126BC4"/>
    <w:rsid w:val="00126BF5"/>
    <w:rsid w:val="00126FF2"/>
    <w:rsid w:val="0013013B"/>
    <w:rsid w:val="0013073A"/>
    <w:rsid w:val="001314B0"/>
    <w:rsid w:val="001315C2"/>
    <w:rsid w:val="001315C7"/>
    <w:rsid w:val="00131E4F"/>
    <w:rsid w:val="001322D1"/>
    <w:rsid w:val="0013265A"/>
    <w:rsid w:val="00132F30"/>
    <w:rsid w:val="00133003"/>
    <w:rsid w:val="00133451"/>
    <w:rsid w:val="00133B92"/>
    <w:rsid w:val="001346C1"/>
    <w:rsid w:val="001356E1"/>
    <w:rsid w:val="0013631F"/>
    <w:rsid w:val="00137165"/>
    <w:rsid w:val="001379B3"/>
    <w:rsid w:val="00137BF5"/>
    <w:rsid w:val="00140417"/>
    <w:rsid w:val="00140BD9"/>
    <w:rsid w:val="00141491"/>
    <w:rsid w:val="00141531"/>
    <w:rsid w:val="00141C51"/>
    <w:rsid w:val="00141D4A"/>
    <w:rsid w:val="00141E2A"/>
    <w:rsid w:val="00142E1B"/>
    <w:rsid w:val="00143709"/>
    <w:rsid w:val="00143A52"/>
    <w:rsid w:val="001448C3"/>
    <w:rsid w:val="00145FA5"/>
    <w:rsid w:val="00146788"/>
    <w:rsid w:val="00147161"/>
    <w:rsid w:val="00147C70"/>
    <w:rsid w:val="0015047E"/>
    <w:rsid w:val="001507D8"/>
    <w:rsid w:val="00152848"/>
    <w:rsid w:val="0015297E"/>
    <w:rsid w:val="00152A9A"/>
    <w:rsid w:val="00152E2D"/>
    <w:rsid w:val="00153B62"/>
    <w:rsid w:val="001544B9"/>
    <w:rsid w:val="00154D94"/>
    <w:rsid w:val="00154F11"/>
    <w:rsid w:val="00155483"/>
    <w:rsid w:val="00155AFC"/>
    <w:rsid w:val="001561BD"/>
    <w:rsid w:val="00156463"/>
    <w:rsid w:val="0015769B"/>
    <w:rsid w:val="00157D9B"/>
    <w:rsid w:val="00160091"/>
    <w:rsid w:val="001605DB"/>
    <w:rsid w:val="00161D0B"/>
    <w:rsid w:val="001620EE"/>
    <w:rsid w:val="001627DF"/>
    <w:rsid w:val="0016293F"/>
    <w:rsid w:val="001632D1"/>
    <w:rsid w:val="00163BC6"/>
    <w:rsid w:val="00164034"/>
    <w:rsid w:val="0016524D"/>
    <w:rsid w:val="00165322"/>
    <w:rsid w:val="00165915"/>
    <w:rsid w:val="00165FB4"/>
    <w:rsid w:val="00166B2A"/>
    <w:rsid w:val="001675B2"/>
    <w:rsid w:val="001679F7"/>
    <w:rsid w:val="00167D81"/>
    <w:rsid w:val="001700FD"/>
    <w:rsid w:val="00170134"/>
    <w:rsid w:val="00170473"/>
    <w:rsid w:val="00171126"/>
    <w:rsid w:val="001732F3"/>
    <w:rsid w:val="001733F2"/>
    <w:rsid w:val="0017363A"/>
    <w:rsid w:val="00173800"/>
    <w:rsid w:val="00173C71"/>
    <w:rsid w:val="0017483F"/>
    <w:rsid w:val="0017541C"/>
    <w:rsid w:val="00175F5D"/>
    <w:rsid w:val="00176188"/>
    <w:rsid w:val="00176314"/>
    <w:rsid w:val="00176365"/>
    <w:rsid w:val="0017684E"/>
    <w:rsid w:val="00176CE2"/>
    <w:rsid w:val="001774A4"/>
    <w:rsid w:val="00180D58"/>
    <w:rsid w:val="00181646"/>
    <w:rsid w:val="0018175B"/>
    <w:rsid w:val="00181822"/>
    <w:rsid w:val="00181865"/>
    <w:rsid w:val="00181A32"/>
    <w:rsid w:val="0018265A"/>
    <w:rsid w:val="001828CC"/>
    <w:rsid w:val="00182AB6"/>
    <w:rsid w:val="00182FE3"/>
    <w:rsid w:val="001832FE"/>
    <w:rsid w:val="001845EC"/>
    <w:rsid w:val="00184633"/>
    <w:rsid w:val="00184833"/>
    <w:rsid w:val="001848E7"/>
    <w:rsid w:val="00184B3A"/>
    <w:rsid w:val="001853D7"/>
    <w:rsid w:val="00185E4A"/>
    <w:rsid w:val="00186A8C"/>
    <w:rsid w:val="00186B21"/>
    <w:rsid w:val="00187469"/>
    <w:rsid w:val="0018757B"/>
    <w:rsid w:val="00187C7B"/>
    <w:rsid w:val="00187E69"/>
    <w:rsid w:val="00187E72"/>
    <w:rsid w:val="00190AFE"/>
    <w:rsid w:val="0019127F"/>
    <w:rsid w:val="00191604"/>
    <w:rsid w:val="00191ADC"/>
    <w:rsid w:val="00191DA8"/>
    <w:rsid w:val="0019266B"/>
    <w:rsid w:val="00192CB4"/>
    <w:rsid w:val="00192D09"/>
    <w:rsid w:val="00192E97"/>
    <w:rsid w:val="00193B91"/>
    <w:rsid w:val="00195512"/>
    <w:rsid w:val="00195AC9"/>
    <w:rsid w:val="00195DF8"/>
    <w:rsid w:val="00196489"/>
    <w:rsid w:val="00196E59"/>
    <w:rsid w:val="00197F65"/>
    <w:rsid w:val="001A039B"/>
    <w:rsid w:val="001A07E8"/>
    <w:rsid w:val="001A0814"/>
    <w:rsid w:val="001A140F"/>
    <w:rsid w:val="001A1A8F"/>
    <w:rsid w:val="001A1BB5"/>
    <w:rsid w:val="001A1FDD"/>
    <w:rsid w:val="001A291D"/>
    <w:rsid w:val="001A2DAC"/>
    <w:rsid w:val="001A39AB"/>
    <w:rsid w:val="001A4881"/>
    <w:rsid w:val="001A7478"/>
    <w:rsid w:val="001A7AF5"/>
    <w:rsid w:val="001B0844"/>
    <w:rsid w:val="001B0A37"/>
    <w:rsid w:val="001B1818"/>
    <w:rsid w:val="001B199D"/>
    <w:rsid w:val="001B1FBF"/>
    <w:rsid w:val="001B3058"/>
    <w:rsid w:val="001B3275"/>
    <w:rsid w:val="001B33FA"/>
    <w:rsid w:val="001B397C"/>
    <w:rsid w:val="001B3D76"/>
    <w:rsid w:val="001B40BB"/>
    <w:rsid w:val="001B41F3"/>
    <w:rsid w:val="001B4922"/>
    <w:rsid w:val="001B4EE2"/>
    <w:rsid w:val="001B5B02"/>
    <w:rsid w:val="001B64CD"/>
    <w:rsid w:val="001B6741"/>
    <w:rsid w:val="001B68A9"/>
    <w:rsid w:val="001B6BFB"/>
    <w:rsid w:val="001B6E0C"/>
    <w:rsid w:val="001B75A9"/>
    <w:rsid w:val="001B775A"/>
    <w:rsid w:val="001C1753"/>
    <w:rsid w:val="001C2694"/>
    <w:rsid w:val="001C278D"/>
    <w:rsid w:val="001C32F6"/>
    <w:rsid w:val="001C37D0"/>
    <w:rsid w:val="001C4803"/>
    <w:rsid w:val="001C4B4E"/>
    <w:rsid w:val="001C4C45"/>
    <w:rsid w:val="001C6538"/>
    <w:rsid w:val="001C6767"/>
    <w:rsid w:val="001C67F5"/>
    <w:rsid w:val="001C6C3E"/>
    <w:rsid w:val="001C743F"/>
    <w:rsid w:val="001C78EC"/>
    <w:rsid w:val="001D0534"/>
    <w:rsid w:val="001D1208"/>
    <w:rsid w:val="001D15D0"/>
    <w:rsid w:val="001D1780"/>
    <w:rsid w:val="001D2098"/>
    <w:rsid w:val="001D3DA2"/>
    <w:rsid w:val="001D4B2E"/>
    <w:rsid w:val="001D50D1"/>
    <w:rsid w:val="001D5204"/>
    <w:rsid w:val="001D5568"/>
    <w:rsid w:val="001D5C56"/>
    <w:rsid w:val="001D64FF"/>
    <w:rsid w:val="001D673F"/>
    <w:rsid w:val="001D6CAD"/>
    <w:rsid w:val="001D6E9B"/>
    <w:rsid w:val="001D6FC3"/>
    <w:rsid w:val="001D793A"/>
    <w:rsid w:val="001D7A75"/>
    <w:rsid w:val="001E095D"/>
    <w:rsid w:val="001E0D58"/>
    <w:rsid w:val="001E1211"/>
    <w:rsid w:val="001E1B4D"/>
    <w:rsid w:val="001E1BF3"/>
    <w:rsid w:val="001E2AFD"/>
    <w:rsid w:val="001E2B3F"/>
    <w:rsid w:val="001E2CCE"/>
    <w:rsid w:val="001E2ED5"/>
    <w:rsid w:val="001E330F"/>
    <w:rsid w:val="001E3C92"/>
    <w:rsid w:val="001E45D2"/>
    <w:rsid w:val="001E49D2"/>
    <w:rsid w:val="001E4AF7"/>
    <w:rsid w:val="001E4BC3"/>
    <w:rsid w:val="001E4D66"/>
    <w:rsid w:val="001E5597"/>
    <w:rsid w:val="001E5699"/>
    <w:rsid w:val="001E575E"/>
    <w:rsid w:val="001E695C"/>
    <w:rsid w:val="001E69E2"/>
    <w:rsid w:val="001E763F"/>
    <w:rsid w:val="001E7AF7"/>
    <w:rsid w:val="001E7B6D"/>
    <w:rsid w:val="001E7BAA"/>
    <w:rsid w:val="001F02DC"/>
    <w:rsid w:val="001F0F07"/>
    <w:rsid w:val="001F19E6"/>
    <w:rsid w:val="001F1D53"/>
    <w:rsid w:val="001F25A9"/>
    <w:rsid w:val="001F298B"/>
    <w:rsid w:val="001F2A4D"/>
    <w:rsid w:val="001F2C9C"/>
    <w:rsid w:val="001F3105"/>
    <w:rsid w:val="001F4243"/>
    <w:rsid w:val="001F53C3"/>
    <w:rsid w:val="001F67BC"/>
    <w:rsid w:val="001F68DD"/>
    <w:rsid w:val="001F6966"/>
    <w:rsid w:val="001F6A2C"/>
    <w:rsid w:val="001F79D3"/>
    <w:rsid w:val="001F7AAF"/>
    <w:rsid w:val="00200036"/>
    <w:rsid w:val="002007F6"/>
    <w:rsid w:val="00200DFD"/>
    <w:rsid w:val="00201301"/>
    <w:rsid w:val="00202262"/>
    <w:rsid w:val="0020227F"/>
    <w:rsid w:val="0020256A"/>
    <w:rsid w:val="0020341B"/>
    <w:rsid w:val="002034A0"/>
    <w:rsid w:val="00204391"/>
    <w:rsid w:val="00204465"/>
    <w:rsid w:val="0020497B"/>
    <w:rsid w:val="00204F94"/>
    <w:rsid w:val="002054A1"/>
    <w:rsid w:val="00205796"/>
    <w:rsid w:val="00205AF1"/>
    <w:rsid w:val="00205E01"/>
    <w:rsid w:val="00205E7A"/>
    <w:rsid w:val="0020616C"/>
    <w:rsid w:val="00206A51"/>
    <w:rsid w:val="00206B13"/>
    <w:rsid w:val="00207915"/>
    <w:rsid w:val="00207DBD"/>
    <w:rsid w:val="00207F4B"/>
    <w:rsid w:val="002106E3"/>
    <w:rsid w:val="0021086F"/>
    <w:rsid w:val="00210F47"/>
    <w:rsid w:val="002112F3"/>
    <w:rsid w:val="00211B89"/>
    <w:rsid w:val="00212202"/>
    <w:rsid w:val="00212941"/>
    <w:rsid w:val="00213266"/>
    <w:rsid w:val="002139EF"/>
    <w:rsid w:val="00213E66"/>
    <w:rsid w:val="0021492C"/>
    <w:rsid w:val="00214A40"/>
    <w:rsid w:val="002152DE"/>
    <w:rsid w:val="00215A9C"/>
    <w:rsid w:val="00216518"/>
    <w:rsid w:val="00216549"/>
    <w:rsid w:val="002168B5"/>
    <w:rsid w:val="00216A20"/>
    <w:rsid w:val="00216C0C"/>
    <w:rsid w:val="00220522"/>
    <w:rsid w:val="002207E1"/>
    <w:rsid w:val="002214AC"/>
    <w:rsid w:val="002220DE"/>
    <w:rsid w:val="002223C5"/>
    <w:rsid w:val="00222886"/>
    <w:rsid w:val="002233BB"/>
    <w:rsid w:val="002234C7"/>
    <w:rsid w:val="002243F2"/>
    <w:rsid w:val="0022442E"/>
    <w:rsid w:val="00224BD8"/>
    <w:rsid w:val="00225078"/>
    <w:rsid w:val="0022510B"/>
    <w:rsid w:val="002251CB"/>
    <w:rsid w:val="002252D3"/>
    <w:rsid w:val="00225790"/>
    <w:rsid w:val="00226927"/>
    <w:rsid w:val="00226CF9"/>
    <w:rsid w:val="00227089"/>
    <w:rsid w:val="00227156"/>
    <w:rsid w:val="002272C6"/>
    <w:rsid w:val="00227382"/>
    <w:rsid w:val="00227768"/>
    <w:rsid w:val="00227E29"/>
    <w:rsid w:val="00230430"/>
    <w:rsid w:val="0023089A"/>
    <w:rsid w:val="00230AD2"/>
    <w:rsid w:val="0023123E"/>
    <w:rsid w:val="00231E79"/>
    <w:rsid w:val="0023204B"/>
    <w:rsid w:val="00232C15"/>
    <w:rsid w:val="00232E2F"/>
    <w:rsid w:val="00233369"/>
    <w:rsid w:val="002337F7"/>
    <w:rsid w:val="00235601"/>
    <w:rsid w:val="00236A6D"/>
    <w:rsid w:val="00236D7B"/>
    <w:rsid w:val="00236F79"/>
    <w:rsid w:val="00236FF6"/>
    <w:rsid w:val="00237AF5"/>
    <w:rsid w:val="00237CC9"/>
    <w:rsid w:val="00240C2F"/>
    <w:rsid w:val="00240EB7"/>
    <w:rsid w:val="0024111F"/>
    <w:rsid w:val="00241B04"/>
    <w:rsid w:val="00241C6D"/>
    <w:rsid w:val="002422D6"/>
    <w:rsid w:val="002426AB"/>
    <w:rsid w:val="00242971"/>
    <w:rsid w:val="00242AFF"/>
    <w:rsid w:val="002432FD"/>
    <w:rsid w:val="0024456D"/>
    <w:rsid w:val="00244D68"/>
    <w:rsid w:val="00244D91"/>
    <w:rsid w:val="00245EB8"/>
    <w:rsid w:val="00245F07"/>
    <w:rsid w:val="0024653D"/>
    <w:rsid w:val="0024654D"/>
    <w:rsid w:val="00247CD6"/>
    <w:rsid w:val="00247CF8"/>
    <w:rsid w:val="00250516"/>
    <w:rsid w:val="0025078E"/>
    <w:rsid w:val="00250B1C"/>
    <w:rsid w:val="0025232B"/>
    <w:rsid w:val="00252380"/>
    <w:rsid w:val="00252404"/>
    <w:rsid w:val="00252E97"/>
    <w:rsid w:val="00253195"/>
    <w:rsid w:val="0025364C"/>
    <w:rsid w:val="00253667"/>
    <w:rsid w:val="00254973"/>
    <w:rsid w:val="00254D86"/>
    <w:rsid w:val="00256306"/>
    <w:rsid w:val="0025694B"/>
    <w:rsid w:val="00256AEB"/>
    <w:rsid w:val="00257A9B"/>
    <w:rsid w:val="002603CF"/>
    <w:rsid w:val="00261572"/>
    <w:rsid w:val="002625D4"/>
    <w:rsid w:val="002626B0"/>
    <w:rsid w:val="002639E3"/>
    <w:rsid w:val="00263B2A"/>
    <w:rsid w:val="00264402"/>
    <w:rsid w:val="00265254"/>
    <w:rsid w:val="002653A4"/>
    <w:rsid w:val="00265671"/>
    <w:rsid w:val="002662B1"/>
    <w:rsid w:val="00266795"/>
    <w:rsid w:val="00267AD2"/>
    <w:rsid w:val="00267BD3"/>
    <w:rsid w:val="00270C60"/>
    <w:rsid w:val="00271BE1"/>
    <w:rsid w:val="002722B4"/>
    <w:rsid w:val="00272581"/>
    <w:rsid w:val="002725D4"/>
    <w:rsid w:val="002727C2"/>
    <w:rsid w:val="00272A2A"/>
    <w:rsid w:val="00272C4C"/>
    <w:rsid w:val="002740A9"/>
    <w:rsid w:val="00274B85"/>
    <w:rsid w:val="0027535A"/>
    <w:rsid w:val="002754F9"/>
    <w:rsid w:val="00275861"/>
    <w:rsid w:val="00275FA0"/>
    <w:rsid w:val="00276079"/>
    <w:rsid w:val="00276193"/>
    <w:rsid w:val="00276620"/>
    <w:rsid w:val="00276EC1"/>
    <w:rsid w:val="00277007"/>
    <w:rsid w:val="00277446"/>
    <w:rsid w:val="00281789"/>
    <w:rsid w:val="00282E40"/>
    <w:rsid w:val="002841D8"/>
    <w:rsid w:val="00284706"/>
    <w:rsid w:val="00284C3C"/>
    <w:rsid w:val="00284CB1"/>
    <w:rsid w:val="0028568E"/>
    <w:rsid w:val="00285993"/>
    <w:rsid w:val="00286265"/>
    <w:rsid w:val="00286A42"/>
    <w:rsid w:val="00287B54"/>
    <w:rsid w:val="00287D00"/>
    <w:rsid w:val="00287DFB"/>
    <w:rsid w:val="00291856"/>
    <w:rsid w:val="002918EE"/>
    <w:rsid w:val="00291989"/>
    <w:rsid w:val="00291C21"/>
    <w:rsid w:val="0029204A"/>
    <w:rsid w:val="00292854"/>
    <w:rsid w:val="0029372E"/>
    <w:rsid w:val="0029392B"/>
    <w:rsid w:val="0029542B"/>
    <w:rsid w:val="00296277"/>
    <w:rsid w:val="0029657A"/>
    <w:rsid w:val="00296722"/>
    <w:rsid w:val="00296A62"/>
    <w:rsid w:val="0029761B"/>
    <w:rsid w:val="00297C2C"/>
    <w:rsid w:val="002A0ED9"/>
    <w:rsid w:val="002A213F"/>
    <w:rsid w:val="002A321B"/>
    <w:rsid w:val="002A3E06"/>
    <w:rsid w:val="002A4282"/>
    <w:rsid w:val="002A47A1"/>
    <w:rsid w:val="002A4D6F"/>
    <w:rsid w:val="002A4F1C"/>
    <w:rsid w:val="002A53D1"/>
    <w:rsid w:val="002A5BF9"/>
    <w:rsid w:val="002A5C65"/>
    <w:rsid w:val="002A6D23"/>
    <w:rsid w:val="002A740F"/>
    <w:rsid w:val="002A7C56"/>
    <w:rsid w:val="002A7F75"/>
    <w:rsid w:val="002B0371"/>
    <w:rsid w:val="002B2468"/>
    <w:rsid w:val="002B3387"/>
    <w:rsid w:val="002B34F5"/>
    <w:rsid w:val="002B3AA9"/>
    <w:rsid w:val="002B3D04"/>
    <w:rsid w:val="002B3F15"/>
    <w:rsid w:val="002B49FA"/>
    <w:rsid w:val="002B58EF"/>
    <w:rsid w:val="002B592E"/>
    <w:rsid w:val="002B5B82"/>
    <w:rsid w:val="002B6A2F"/>
    <w:rsid w:val="002B7F90"/>
    <w:rsid w:val="002C01F6"/>
    <w:rsid w:val="002C0E1C"/>
    <w:rsid w:val="002C1217"/>
    <w:rsid w:val="002C14A7"/>
    <w:rsid w:val="002C16CE"/>
    <w:rsid w:val="002C22E0"/>
    <w:rsid w:val="002C2526"/>
    <w:rsid w:val="002C269E"/>
    <w:rsid w:val="002C2D50"/>
    <w:rsid w:val="002C3868"/>
    <w:rsid w:val="002C3A29"/>
    <w:rsid w:val="002C447F"/>
    <w:rsid w:val="002C4AA2"/>
    <w:rsid w:val="002C4B90"/>
    <w:rsid w:val="002C4D6A"/>
    <w:rsid w:val="002C5388"/>
    <w:rsid w:val="002C5FC0"/>
    <w:rsid w:val="002C6845"/>
    <w:rsid w:val="002C6A87"/>
    <w:rsid w:val="002C70DD"/>
    <w:rsid w:val="002C72B5"/>
    <w:rsid w:val="002D0FC5"/>
    <w:rsid w:val="002D184F"/>
    <w:rsid w:val="002D3796"/>
    <w:rsid w:val="002D4996"/>
    <w:rsid w:val="002D50F2"/>
    <w:rsid w:val="002D5B19"/>
    <w:rsid w:val="002D61AA"/>
    <w:rsid w:val="002D6279"/>
    <w:rsid w:val="002D6B3B"/>
    <w:rsid w:val="002D70EE"/>
    <w:rsid w:val="002D7243"/>
    <w:rsid w:val="002E00B7"/>
    <w:rsid w:val="002E1812"/>
    <w:rsid w:val="002E1E31"/>
    <w:rsid w:val="002E22C1"/>
    <w:rsid w:val="002E2C7F"/>
    <w:rsid w:val="002E2D2B"/>
    <w:rsid w:val="002E2E78"/>
    <w:rsid w:val="002E3FE1"/>
    <w:rsid w:val="002E4AFC"/>
    <w:rsid w:val="002E4F20"/>
    <w:rsid w:val="002E5CFD"/>
    <w:rsid w:val="002E70BF"/>
    <w:rsid w:val="002E7593"/>
    <w:rsid w:val="002E75AD"/>
    <w:rsid w:val="002E7A6C"/>
    <w:rsid w:val="002F008A"/>
    <w:rsid w:val="002F0437"/>
    <w:rsid w:val="002F1273"/>
    <w:rsid w:val="002F1392"/>
    <w:rsid w:val="002F225C"/>
    <w:rsid w:val="002F2B70"/>
    <w:rsid w:val="002F30C7"/>
    <w:rsid w:val="002F3232"/>
    <w:rsid w:val="002F350F"/>
    <w:rsid w:val="002F48C1"/>
    <w:rsid w:val="002F4ED3"/>
    <w:rsid w:val="002F4F5F"/>
    <w:rsid w:val="002F54E2"/>
    <w:rsid w:val="002F572D"/>
    <w:rsid w:val="002F5E80"/>
    <w:rsid w:val="002F6D53"/>
    <w:rsid w:val="002F6F0C"/>
    <w:rsid w:val="002F7380"/>
    <w:rsid w:val="002F79DD"/>
    <w:rsid w:val="00300438"/>
    <w:rsid w:val="0030155C"/>
    <w:rsid w:val="003015EF"/>
    <w:rsid w:val="00302BB3"/>
    <w:rsid w:val="003031D7"/>
    <w:rsid w:val="003040E7"/>
    <w:rsid w:val="003051D3"/>
    <w:rsid w:val="0030541F"/>
    <w:rsid w:val="003057F8"/>
    <w:rsid w:val="00305818"/>
    <w:rsid w:val="00305A27"/>
    <w:rsid w:val="0030641D"/>
    <w:rsid w:val="00306540"/>
    <w:rsid w:val="00306702"/>
    <w:rsid w:val="00306A15"/>
    <w:rsid w:val="00306E57"/>
    <w:rsid w:val="00307272"/>
    <w:rsid w:val="003075B9"/>
    <w:rsid w:val="003078D7"/>
    <w:rsid w:val="00307EDA"/>
    <w:rsid w:val="0031079F"/>
    <w:rsid w:val="00310CB6"/>
    <w:rsid w:val="003114A6"/>
    <w:rsid w:val="00312336"/>
    <w:rsid w:val="00312CF5"/>
    <w:rsid w:val="00313665"/>
    <w:rsid w:val="00314438"/>
    <w:rsid w:val="00314B55"/>
    <w:rsid w:val="00315324"/>
    <w:rsid w:val="00315343"/>
    <w:rsid w:val="003156D8"/>
    <w:rsid w:val="0031571B"/>
    <w:rsid w:val="003162A9"/>
    <w:rsid w:val="00316C54"/>
    <w:rsid w:val="00317365"/>
    <w:rsid w:val="003205BD"/>
    <w:rsid w:val="00320A29"/>
    <w:rsid w:val="00320BF3"/>
    <w:rsid w:val="00321597"/>
    <w:rsid w:val="0032166C"/>
    <w:rsid w:val="003219D8"/>
    <w:rsid w:val="0032245C"/>
    <w:rsid w:val="0032247E"/>
    <w:rsid w:val="003227BF"/>
    <w:rsid w:val="00322DDD"/>
    <w:rsid w:val="003234C4"/>
    <w:rsid w:val="00323E1D"/>
    <w:rsid w:val="00324542"/>
    <w:rsid w:val="00324BB0"/>
    <w:rsid w:val="00325C1A"/>
    <w:rsid w:val="0032602B"/>
    <w:rsid w:val="00327175"/>
    <w:rsid w:val="003273C7"/>
    <w:rsid w:val="003275DF"/>
    <w:rsid w:val="0033042A"/>
    <w:rsid w:val="00330F18"/>
    <w:rsid w:val="00330F8F"/>
    <w:rsid w:val="00331655"/>
    <w:rsid w:val="00331D01"/>
    <w:rsid w:val="003329FC"/>
    <w:rsid w:val="00332D0D"/>
    <w:rsid w:val="00333DC9"/>
    <w:rsid w:val="00333F91"/>
    <w:rsid w:val="0033417F"/>
    <w:rsid w:val="00334364"/>
    <w:rsid w:val="00334CB0"/>
    <w:rsid w:val="00334D77"/>
    <w:rsid w:val="00335530"/>
    <w:rsid w:val="003356EE"/>
    <w:rsid w:val="00335CB1"/>
    <w:rsid w:val="00336A4C"/>
    <w:rsid w:val="00337EBE"/>
    <w:rsid w:val="00340C35"/>
    <w:rsid w:val="00340E43"/>
    <w:rsid w:val="00341899"/>
    <w:rsid w:val="00342220"/>
    <w:rsid w:val="00342233"/>
    <w:rsid w:val="00342387"/>
    <w:rsid w:val="00343475"/>
    <w:rsid w:val="003434B7"/>
    <w:rsid w:val="00343DCD"/>
    <w:rsid w:val="0034525F"/>
    <w:rsid w:val="00345547"/>
    <w:rsid w:val="00345C44"/>
    <w:rsid w:val="00345CDC"/>
    <w:rsid w:val="00345D23"/>
    <w:rsid w:val="00345DD5"/>
    <w:rsid w:val="00345F6F"/>
    <w:rsid w:val="00346226"/>
    <w:rsid w:val="00346F1E"/>
    <w:rsid w:val="00347027"/>
    <w:rsid w:val="00347033"/>
    <w:rsid w:val="003472F1"/>
    <w:rsid w:val="003476E5"/>
    <w:rsid w:val="00350B54"/>
    <w:rsid w:val="00350C02"/>
    <w:rsid w:val="00351268"/>
    <w:rsid w:val="00351673"/>
    <w:rsid w:val="00351ADD"/>
    <w:rsid w:val="003524A2"/>
    <w:rsid w:val="00352DA9"/>
    <w:rsid w:val="00353C74"/>
    <w:rsid w:val="00354F92"/>
    <w:rsid w:val="003551B1"/>
    <w:rsid w:val="003554CB"/>
    <w:rsid w:val="0035552D"/>
    <w:rsid w:val="00355A1A"/>
    <w:rsid w:val="00355DCC"/>
    <w:rsid w:val="00356037"/>
    <w:rsid w:val="0035621D"/>
    <w:rsid w:val="00357A60"/>
    <w:rsid w:val="00360F1E"/>
    <w:rsid w:val="003611F6"/>
    <w:rsid w:val="003618A3"/>
    <w:rsid w:val="00361A84"/>
    <w:rsid w:val="00362A92"/>
    <w:rsid w:val="00362E27"/>
    <w:rsid w:val="003630ED"/>
    <w:rsid w:val="003639EB"/>
    <w:rsid w:val="00363F45"/>
    <w:rsid w:val="003641ED"/>
    <w:rsid w:val="003648BF"/>
    <w:rsid w:val="00364FE4"/>
    <w:rsid w:val="003653CE"/>
    <w:rsid w:val="00365C6B"/>
    <w:rsid w:val="003664F0"/>
    <w:rsid w:val="003670D6"/>
    <w:rsid w:val="0036721D"/>
    <w:rsid w:val="00367387"/>
    <w:rsid w:val="00367431"/>
    <w:rsid w:val="00367456"/>
    <w:rsid w:val="00367797"/>
    <w:rsid w:val="00367E52"/>
    <w:rsid w:val="003700F4"/>
    <w:rsid w:val="0037208C"/>
    <w:rsid w:val="00372CA5"/>
    <w:rsid w:val="003731EF"/>
    <w:rsid w:val="00373D22"/>
    <w:rsid w:val="00374572"/>
    <w:rsid w:val="00374734"/>
    <w:rsid w:val="003757F0"/>
    <w:rsid w:val="003769F4"/>
    <w:rsid w:val="00377011"/>
    <w:rsid w:val="0038021B"/>
    <w:rsid w:val="003804B1"/>
    <w:rsid w:val="0038272E"/>
    <w:rsid w:val="00382C70"/>
    <w:rsid w:val="00383EC6"/>
    <w:rsid w:val="00383FA4"/>
    <w:rsid w:val="0038479E"/>
    <w:rsid w:val="00385538"/>
    <w:rsid w:val="00385A02"/>
    <w:rsid w:val="00385D87"/>
    <w:rsid w:val="003860B5"/>
    <w:rsid w:val="00386719"/>
    <w:rsid w:val="003907CC"/>
    <w:rsid w:val="00390D83"/>
    <w:rsid w:val="003916D5"/>
    <w:rsid w:val="00391C50"/>
    <w:rsid w:val="0039210C"/>
    <w:rsid w:val="003921AC"/>
    <w:rsid w:val="003923AF"/>
    <w:rsid w:val="003925F4"/>
    <w:rsid w:val="003931D9"/>
    <w:rsid w:val="003938A1"/>
    <w:rsid w:val="003938CF"/>
    <w:rsid w:val="00395142"/>
    <w:rsid w:val="00395275"/>
    <w:rsid w:val="0039566E"/>
    <w:rsid w:val="00395B4D"/>
    <w:rsid w:val="003961F6"/>
    <w:rsid w:val="0039708C"/>
    <w:rsid w:val="00397835"/>
    <w:rsid w:val="00397F8C"/>
    <w:rsid w:val="003A0211"/>
    <w:rsid w:val="003A04AB"/>
    <w:rsid w:val="003A1779"/>
    <w:rsid w:val="003A1842"/>
    <w:rsid w:val="003A2447"/>
    <w:rsid w:val="003A402E"/>
    <w:rsid w:val="003A4069"/>
    <w:rsid w:val="003A4676"/>
    <w:rsid w:val="003A4B2E"/>
    <w:rsid w:val="003A4DEA"/>
    <w:rsid w:val="003A5ACE"/>
    <w:rsid w:val="003A6109"/>
    <w:rsid w:val="003A65C6"/>
    <w:rsid w:val="003A6A4C"/>
    <w:rsid w:val="003A6B10"/>
    <w:rsid w:val="003A70F0"/>
    <w:rsid w:val="003A7255"/>
    <w:rsid w:val="003A7709"/>
    <w:rsid w:val="003A7FF6"/>
    <w:rsid w:val="003B00AA"/>
    <w:rsid w:val="003B1458"/>
    <w:rsid w:val="003B17EA"/>
    <w:rsid w:val="003B1B6A"/>
    <w:rsid w:val="003B20C7"/>
    <w:rsid w:val="003B235D"/>
    <w:rsid w:val="003B2455"/>
    <w:rsid w:val="003B3464"/>
    <w:rsid w:val="003B3EA3"/>
    <w:rsid w:val="003B4416"/>
    <w:rsid w:val="003B44E3"/>
    <w:rsid w:val="003B4FE4"/>
    <w:rsid w:val="003B6B66"/>
    <w:rsid w:val="003B74B0"/>
    <w:rsid w:val="003B7E98"/>
    <w:rsid w:val="003C1517"/>
    <w:rsid w:val="003C1611"/>
    <w:rsid w:val="003C16AE"/>
    <w:rsid w:val="003C1CF5"/>
    <w:rsid w:val="003C217B"/>
    <w:rsid w:val="003C21D2"/>
    <w:rsid w:val="003C2F28"/>
    <w:rsid w:val="003C346D"/>
    <w:rsid w:val="003C3827"/>
    <w:rsid w:val="003C3A69"/>
    <w:rsid w:val="003C4400"/>
    <w:rsid w:val="003C4621"/>
    <w:rsid w:val="003C46A0"/>
    <w:rsid w:val="003C582F"/>
    <w:rsid w:val="003C5B04"/>
    <w:rsid w:val="003C680A"/>
    <w:rsid w:val="003C6A9E"/>
    <w:rsid w:val="003C6ABE"/>
    <w:rsid w:val="003C74BA"/>
    <w:rsid w:val="003C7501"/>
    <w:rsid w:val="003C7D43"/>
    <w:rsid w:val="003D003F"/>
    <w:rsid w:val="003D1564"/>
    <w:rsid w:val="003D1833"/>
    <w:rsid w:val="003D1EA3"/>
    <w:rsid w:val="003D2224"/>
    <w:rsid w:val="003D3596"/>
    <w:rsid w:val="003D39CB"/>
    <w:rsid w:val="003D3CBD"/>
    <w:rsid w:val="003D461D"/>
    <w:rsid w:val="003D5583"/>
    <w:rsid w:val="003D62B0"/>
    <w:rsid w:val="003D63A2"/>
    <w:rsid w:val="003D6920"/>
    <w:rsid w:val="003D6A16"/>
    <w:rsid w:val="003D6B6A"/>
    <w:rsid w:val="003D6B83"/>
    <w:rsid w:val="003E105F"/>
    <w:rsid w:val="003E1621"/>
    <w:rsid w:val="003E1A4B"/>
    <w:rsid w:val="003E2545"/>
    <w:rsid w:val="003E2FDF"/>
    <w:rsid w:val="003E3088"/>
    <w:rsid w:val="003E3661"/>
    <w:rsid w:val="003E3A7F"/>
    <w:rsid w:val="003E3ACF"/>
    <w:rsid w:val="003E406C"/>
    <w:rsid w:val="003E40A1"/>
    <w:rsid w:val="003E427A"/>
    <w:rsid w:val="003E43C9"/>
    <w:rsid w:val="003E4E2F"/>
    <w:rsid w:val="003E5448"/>
    <w:rsid w:val="003E6309"/>
    <w:rsid w:val="003E7F37"/>
    <w:rsid w:val="003F03EC"/>
    <w:rsid w:val="003F0510"/>
    <w:rsid w:val="003F0A90"/>
    <w:rsid w:val="003F0D44"/>
    <w:rsid w:val="003F13AD"/>
    <w:rsid w:val="003F188F"/>
    <w:rsid w:val="003F1A9E"/>
    <w:rsid w:val="003F1F5C"/>
    <w:rsid w:val="003F25B2"/>
    <w:rsid w:val="003F25F4"/>
    <w:rsid w:val="003F4020"/>
    <w:rsid w:val="003F4253"/>
    <w:rsid w:val="003F48C1"/>
    <w:rsid w:val="003F53EA"/>
    <w:rsid w:val="003F569D"/>
    <w:rsid w:val="003F63EE"/>
    <w:rsid w:val="003F7025"/>
    <w:rsid w:val="003F76BD"/>
    <w:rsid w:val="003F7B3A"/>
    <w:rsid w:val="003F7CF7"/>
    <w:rsid w:val="003F7D7C"/>
    <w:rsid w:val="0040004C"/>
    <w:rsid w:val="00400253"/>
    <w:rsid w:val="00400555"/>
    <w:rsid w:val="004006B5"/>
    <w:rsid w:val="0040096D"/>
    <w:rsid w:val="00400CA0"/>
    <w:rsid w:val="00400DEC"/>
    <w:rsid w:val="00400EFA"/>
    <w:rsid w:val="00401148"/>
    <w:rsid w:val="004013BE"/>
    <w:rsid w:val="00401DB3"/>
    <w:rsid w:val="00402128"/>
    <w:rsid w:val="00402F75"/>
    <w:rsid w:val="004030F6"/>
    <w:rsid w:val="00403AEA"/>
    <w:rsid w:val="00403B33"/>
    <w:rsid w:val="00404CA4"/>
    <w:rsid w:val="0040635F"/>
    <w:rsid w:val="00406745"/>
    <w:rsid w:val="00407A22"/>
    <w:rsid w:val="00407CCE"/>
    <w:rsid w:val="00407E99"/>
    <w:rsid w:val="00407EAF"/>
    <w:rsid w:val="004102EF"/>
    <w:rsid w:val="004104BE"/>
    <w:rsid w:val="004111B0"/>
    <w:rsid w:val="00411440"/>
    <w:rsid w:val="00411534"/>
    <w:rsid w:val="00411988"/>
    <w:rsid w:val="00411B05"/>
    <w:rsid w:val="00411B8D"/>
    <w:rsid w:val="0041409B"/>
    <w:rsid w:val="004144F3"/>
    <w:rsid w:val="00414593"/>
    <w:rsid w:val="004146DB"/>
    <w:rsid w:val="00415CAD"/>
    <w:rsid w:val="00415D72"/>
    <w:rsid w:val="00415F8A"/>
    <w:rsid w:val="004160AB"/>
    <w:rsid w:val="0041626E"/>
    <w:rsid w:val="004165F8"/>
    <w:rsid w:val="00416943"/>
    <w:rsid w:val="00416EA3"/>
    <w:rsid w:val="004171CD"/>
    <w:rsid w:val="00417A2D"/>
    <w:rsid w:val="00420646"/>
    <w:rsid w:val="00420BB2"/>
    <w:rsid w:val="00420E33"/>
    <w:rsid w:val="00421CC6"/>
    <w:rsid w:val="004223CD"/>
    <w:rsid w:val="00422FF9"/>
    <w:rsid w:val="004248E4"/>
    <w:rsid w:val="004249C3"/>
    <w:rsid w:val="00424FDE"/>
    <w:rsid w:val="004250EC"/>
    <w:rsid w:val="00425C14"/>
    <w:rsid w:val="0042650C"/>
    <w:rsid w:val="00426976"/>
    <w:rsid w:val="00426988"/>
    <w:rsid w:val="004276E2"/>
    <w:rsid w:val="004300E4"/>
    <w:rsid w:val="004301CE"/>
    <w:rsid w:val="00430F33"/>
    <w:rsid w:val="00432FF8"/>
    <w:rsid w:val="004336CB"/>
    <w:rsid w:val="0043455A"/>
    <w:rsid w:val="00434779"/>
    <w:rsid w:val="00435CA0"/>
    <w:rsid w:val="00436A43"/>
    <w:rsid w:val="00436E34"/>
    <w:rsid w:val="00437181"/>
    <w:rsid w:val="004377D5"/>
    <w:rsid w:val="00437DA5"/>
    <w:rsid w:val="00437E86"/>
    <w:rsid w:val="00440BF6"/>
    <w:rsid w:val="00440E34"/>
    <w:rsid w:val="00441140"/>
    <w:rsid w:val="004417FB"/>
    <w:rsid w:val="00442D84"/>
    <w:rsid w:val="00443806"/>
    <w:rsid w:val="004444EF"/>
    <w:rsid w:val="00444864"/>
    <w:rsid w:val="00446451"/>
    <w:rsid w:val="004474A3"/>
    <w:rsid w:val="004479C1"/>
    <w:rsid w:val="00447BDB"/>
    <w:rsid w:val="004506AC"/>
    <w:rsid w:val="004516AE"/>
    <w:rsid w:val="00451AC5"/>
    <w:rsid w:val="00451B39"/>
    <w:rsid w:val="004524CD"/>
    <w:rsid w:val="0045292D"/>
    <w:rsid w:val="00452AB2"/>
    <w:rsid w:val="004530E8"/>
    <w:rsid w:val="00453176"/>
    <w:rsid w:val="004546F8"/>
    <w:rsid w:val="00454846"/>
    <w:rsid w:val="00454952"/>
    <w:rsid w:val="00455B24"/>
    <w:rsid w:val="00455CBA"/>
    <w:rsid w:val="00456196"/>
    <w:rsid w:val="00456E2E"/>
    <w:rsid w:val="00457439"/>
    <w:rsid w:val="00457C51"/>
    <w:rsid w:val="00457C5B"/>
    <w:rsid w:val="00460522"/>
    <w:rsid w:val="00460BEF"/>
    <w:rsid w:val="00460C3D"/>
    <w:rsid w:val="00460E52"/>
    <w:rsid w:val="004614BD"/>
    <w:rsid w:val="004619E8"/>
    <w:rsid w:val="00461A83"/>
    <w:rsid w:val="00461AE7"/>
    <w:rsid w:val="00461CA1"/>
    <w:rsid w:val="004627BA"/>
    <w:rsid w:val="00462D1D"/>
    <w:rsid w:val="00463779"/>
    <w:rsid w:val="0046383E"/>
    <w:rsid w:val="00463869"/>
    <w:rsid w:val="004649DB"/>
    <w:rsid w:val="00464B06"/>
    <w:rsid w:val="00465B5F"/>
    <w:rsid w:val="00465DB7"/>
    <w:rsid w:val="00465E94"/>
    <w:rsid w:val="004663C4"/>
    <w:rsid w:val="004663E7"/>
    <w:rsid w:val="0046791E"/>
    <w:rsid w:val="00470482"/>
    <w:rsid w:val="0047054C"/>
    <w:rsid w:val="004708B4"/>
    <w:rsid w:val="0047144F"/>
    <w:rsid w:val="004714FC"/>
    <w:rsid w:val="004717DD"/>
    <w:rsid w:val="00471BBA"/>
    <w:rsid w:val="00471E1B"/>
    <w:rsid w:val="00473596"/>
    <w:rsid w:val="004737B2"/>
    <w:rsid w:val="00473CA5"/>
    <w:rsid w:val="00474A1A"/>
    <w:rsid w:val="00475153"/>
    <w:rsid w:val="0047523C"/>
    <w:rsid w:val="00475D88"/>
    <w:rsid w:val="0047661F"/>
    <w:rsid w:val="00476A8E"/>
    <w:rsid w:val="00476E6F"/>
    <w:rsid w:val="0047720D"/>
    <w:rsid w:val="004811F7"/>
    <w:rsid w:val="004814FA"/>
    <w:rsid w:val="00482610"/>
    <w:rsid w:val="00482E7D"/>
    <w:rsid w:val="004831B8"/>
    <w:rsid w:val="004834F7"/>
    <w:rsid w:val="00483552"/>
    <w:rsid w:val="004843DE"/>
    <w:rsid w:val="004844E3"/>
    <w:rsid w:val="00485035"/>
    <w:rsid w:val="00485C3A"/>
    <w:rsid w:val="00486852"/>
    <w:rsid w:val="0048698A"/>
    <w:rsid w:val="0048733D"/>
    <w:rsid w:val="004876DC"/>
    <w:rsid w:val="00487876"/>
    <w:rsid w:val="004906B8"/>
    <w:rsid w:val="0049108C"/>
    <w:rsid w:val="00491CE0"/>
    <w:rsid w:val="00491F3B"/>
    <w:rsid w:val="00491F77"/>
    <w:rsid w:val="004920A6"/>
    <w:rsid w:val="0049215B"/>
    <w:rsid w:val="004923B5"/>
    <w:rsid w:val="004928F7"/>
    <w:rsid w:val="00492D63"/>
    <w:rsid w:val="004932FB"/>
    <w:rsid w:val="004938E4"/>
    <w:rsid w:val="004940F0"/>
    <w:rsid w:val="0049494B"/>
    <w:rsid w:val="00494FF4"/>
    <w:rsid w:val="00495588"/>
    <w:rsid w:val="00495BEC"/>
    <w:rsid w:val="00496E68"/>
    <w:rsid w:val="00497003"/>
    <w:rsid w:val="00497639"/>
    <w:rsid w:val="00497C43"/>
    <w:rsid w:val="004A08BC"/>
    <w:rsid w:val="004A107E"/>
    <w:rsid w:val="004A1623"/>
    <w:rsid w:val="004A1940"/>
    <w:rsid w:val="004A2EDE"/>
    <w:rsid w:val="004A2F70"/>
    <w:rsid w:val="004A3F28"/>
    <w:rsid w:val="004A5117"/>
    <w:rsid w:val="004A5B3A"/>
    <w:rsid w:val="004A5C4B"/>
    <w:rsid w:val="004A5CA4"/>
    <w:rsid w:val="004A64E0"/>
    <w:rsid w:val="004B06E2"/>
    <w:rsid w:val="004B30FE"/>
    <w:rsid w:val="004B317B"/>
    <w:rsid w:val="004B3724"/>
    <w:rsid w:val="004B4016"/>
    <w:rsid w:val="004B45A5"/>
    <w:rsid w:val="004B4A01"/>
    <w:rsid w:val="004B5B23"/>
    <w:rsid w:val="004B60F3"/>
    <w:rsid w:val="004B6B22"/>
    <w:rsid w:val="004B75A5"/>
    <w:rsid w:val="004B796F"/>
    <w:rsid w:val="004C0683"/>
    <w:rsid w:val="004C08F3"/>
    <w:rsid w:val="004C0CAE"/>
    <w:rsid w:val="004C1316"/>
    <w:rsid w:val="004C175A"/>
    <w:rsid w:val="004C19DD"/>
    <w:rsid w:val="004C1D40"/>
    <w:rsid w:val="004C2B5C"/>
    <w:rsid w:val="004C2C2D"/>
    <w:rsid w:val="004C3F8A"/>
    <w:rsid w:val="004C566B"/>
    <w:rsid w:val="004C5D20"/>
    <w:rsid w:val="004C5E0A"/>
    <w:rsid w:val="004C6382"/>
    <w:rsid w:val="004C787B"/>
    <w:rsid w:val="004D034A"/>
    <w:rsid w:val="004D0BD7"/>
    <w:rsid w:val="004D1048"/>
    <w:rsid w:val="004D1567"/>
    <w:rsid w:val="004D1AB1"/>
    <w:rsid w:val="004D29D1"/>
    <w:rsid w:val="004D2A15"/>
    <w:rsid w:val="004D36BD"/>
    <w:rsid w:val="004D4C46"/>
    <w:rsid w:val="004D5048"/>
    <w:rsid w:val="004D56DF"/>
    <w:rsid w:val="004D6419"/>
    <w:rsid w:val="004D683C"/>
    <w:rsid w:val="004D77CE"/>
    <w:rsid w:val="004D7C5E"/>
    <w:rsid w:val="004E0102"/>
    <w:rsid w:val="004E04D7"/>
    <w:rsid w:val="004E0819"/>
    <w:rsid w:val="004E0C1A"/>
    <w:rsid w:val="004E1586"/>
    <w:rsid w:val="004E2640"/>
    <w:rsid w:val="004E275F"/>
    <w:rsid w:val="004E27B3"/>
    <w:rsid w:val="004E3D3B"/>
    <w:rsid w:val="004E4677"/>
    <w:rsid w:val="004E59D0"/>
    <w:rsid w:val="004E5A5B"/>
    <w:rsid w:val="004E5A8A"/>
    <w:rsid w:val="004E6BA2"/>
    <w:rsid w:val="004E6D4F"/>
    <w:rsid w:val="004E7632"/>
    <w:rsid w:val="004E7670"/>
    <w:rsid w:val="004E7CA9"/>
    <w:rsid w:val="004F09F5"/>
    <w:rsid w:val="004F0BDE"/>
    <w:rsid w:val="004F12A5"/>
    <w:rsid w:val="004F1711"/>
    <w:rsid w:val="004F1B6E"/>
    <w:rsid w:val="004F3075"/>
    <w:rsid w:val="004F3355"/>
    <w:rsid w:val="004F3A24"/>
    <w:rsid w:val="004F3B16"/>
    <w:rsid w:val="004F4128"/>
    <w:rsid w:val="004F49B7"/>
    <w:rsid w:val="004F4C4E"/>
    <w:rsid w:val="004F4FCA"/>
    <w:rsid w:val="004F5473"/>
    <w:rsid w:val="004F5A34"/>
    <w:rsid w:val="004F5A63"/>
    <w:rsid w:val="004F6244"/>
    <w:rsid w:val="004F64E0"/>
    <w:rsid w:val="004F6A06"/>
    <w:rsid w:val="004F6EA0"/>
    <w:rsid w:val="004F7714"/>
    <w:rsid w:val="004F78D6"/>
    <w:rsid w:val="004F7BB2"/>
    <w:rsid w:val="00500A65"/>
    <w:rsid w:val="00501DD5"/>
    <w:rsid w:val="005024B1"/>
    <w:rsid w:val="00502C48"/>
    <w:rsid w:val="0050321F"/>
    <w:rsid w:val="005036D0"/>
    <w:rsid w:val="00503D2D"/>
    <w:rsid w:val="0050422D"/>
    <w:rsid w:val="0050458E"/>
    <w:rsid w:val="00505BC3"/>
    <w:rsid w:val="00505D8D"/>
    <w:rsid w:val="0050690B"/>
    <w:rsid w:val="00506B79"/>
    <w:rsid w:val="00507293"/>
    <w:rsid w:val="005112FA"/>
    <w:rsid w:val="0051147A"/>
    <w:rsid w:val="0051178A"/>
    <w:rsid w:val="005119B6"/>
    <w:rsid w:val="005120DF"/>
    <w:rsid w:val="0051334F"/>
    <w:rsid w:val="00513B61"/>
    <w:rsid w:val="00514858"/>
    <w:rsid w:val="00514AB4"/>
    <w:rsid w:val="00514B5A"/>
    <w:rsid w:val="00515278"/>
    <w:rsid w:val="005156C9"/>
    <w:rsid w:val="00517622"/>
    <w:rsid w:val="00520416"/>
    <w:rsid w:val="00520C9F"/>
    <w:rsid w:val="00520F55"/>
    <w:rsid w:val="00521513"/>
    <w:rsid w:val="00521D1E"/>
    <w:rsid w:val="00522487"/>
    <w:rsid w:val="0052253F"/>
    <w:rsid w:val="0052345E"/>
    <w:rsid w:val="00524993"/>
    <w:rsid w:val="0052510B"/>
    <w:rsid w:val="00525A10"/>
    <w:rsid w:val="00525B1D"/>
    <w:rsid w:val="00525BF3"/>
    <w:rsid w:val="00527086"/>
    <w:rsid w:val="005271FF"/>
    <w:rsid w:val="00527243"/>
    <w:rsid w:val="00530797"/>
    <w:rsid w:val="005309C7"/>
    <w:rsid w:val="00530A6E"/>
    <w:rsid w:val="00530EBF"/>
    <w:rsid w:val="00531AC3"/>
    <w:rsid w:val="005327E1"/>
    <w:rsid w:val="005329E2"/>
    <w:rsid w:val="00532C37"/>
    <w:rsid w:val="005344DC"/>
    <w:rsid w:val="0053471A"/>
    <w:rsid w:val="0053617B"/>
    <w:rsid w:val="00536FA9"/>
    <w:rsid w:val="005375C0"/>
    <w:rsid w:val="005378E8"/>
    <w:rsid w:val="00540A53"/>
    <w:rsid w:val="0054143C"/>
    <w:rsid w:val="0054169D"/>
    <w:rsid w:val="00541E77"/>
    <w:rsid w:val="00542205"/>
    <w:rsid w:val="005427DF"/>
    <w:rsid w:val="00543E68"/>
    <w:rsid w:val="00544159"/>
    <w:rsid w:val="00544E4C"/>
    <w:rsid w:val="005453E7"/>
    <w:rsid w:val="005457BF"/>
    <w:rsid w:val="005459B6"/>
    <w:rsid w:val="0054626C"/>
    <w:rsid w:val="00546A48"/>
    <w:rsid w:val="00546F71"/>
    <w:rsid w:val="005477D9"/>
    <w:rsid w:val="0054783D"/>
    <w:rsid w:val="00550905"/>
    <w:rsid w:val="00550A10"/>
    <w:rsid w:val="00551089"/>
    <w:rsid w:val="00551358"/>
    <w:rsid w:val="00551834"/>
    <w:rsid w:val="0055197F"/>
    <w:rsid w:val="00551CC2"/>
    <w:rsid w:val="0055269C"/>
    <w:rsid w:val="00552F63"/>
    <w:rsid w:val="005537A9"/>
    <w:rsid w:val="00553AB7"/>
    <w:rsid w:val="00553C05"/>
    <w:rsid w:val="00554AA0"/>
    <w:rsid w:val="005555C5"/>
    <w:rsid w:val="0055573E"/>
    <w:rsid w:val="005578ED"/>
    <w:rsid w:val="00557988"/>
    <w:rsid w:val="00557CAA"/>
    <w:rsid w:val="00560F1D"/>
    <w:rsid w:val="00560F52"/>
    <w:rsid w:val="0056122D"/>
    <w:rsid w:val="00561513"/>
    <w:rsid w:val="005615F5"/>
    <w:rsid w:val="0056248E"/>
    <w:rsid w:val="005625A3"/>
    <w:rsid w:val="005625F4"/>
    <w:rsid w:val="005627FB"/>
    <w:rsid w:val="0056284B"/>
    <w:rsid w:val="00562897"/>
    <w:rsid w:val="00562C81"/>
    <w:rsid w:val="00562DC9"/>
    <w:rsid w:val="005635F0"/>
    <w:rsid w:val="00563724"/>
    <w:rsid w:val="005637F7"/>
    <w:rsid w:val="005644FA"/>
    <w:rsid w:val="005649C7"/>
    <w:rsid w:val="00564C19"/>
    <w:rsid w:val="00564D88"/>
    <w:rsid w:val="0056502A"/>
    <w:rsid w:val="005651F2"/>
    <w:rsid w:val="00565F51"/>
    <w:rsid w:val="005661B6"/>
    <w:rsid w:val="005665DC"/>
    <w:rsid w:val="0056684E"/>
    <w:rsid w:val="0056685B"/>
    <w:rsid w:val="00567F91"/>
    <w:rsid w:val="00570756"/>
    <w:rsid w:val="00570AED"/>
    <w:rsid w:val="00571139"/>
    <w:rsid w:val="005726B2"/>
    <w:rsid w:val="005726E8"/>
    <w:rsid w:val="005728DF"/>
    <w:rsid w:val="00572C93"/>
    <w:rsid w:val="00572E4D"/>
    <w:rsid w:val="005730E1"/>
    <w:rsid w:val="005740BA"/>
    <w:rsid w:val="00574818"/>
    <w:rsid w:val="00574B92"/>
    <w:rsid w:val="00575875"/>
    <w:rsid w:val="0057636F"/>
    <w:rsid w:val="005764B7"/>
    <w:rsid w:val="00577308"/>
    <w:rsid w:val="005776CD"/>
    <w:rsid w:val="00580656"/>
    <w:rsid w:val="0058087C"/>
    <w:rsid w:val="005818FB"/>
    <w:rsid w:val="00582019"/>
    <w:rsid w:val="00582056"/>
    <w:rsid w:val="005823D5"/>
    <w:rsid w:val="005825C6"/>
    <w:rsid w:val="00582812"/>
    <w:rsid w:val="0058389C"/>
    <w:rsid w:val="005838F9"/>
    <w:rsid w:val="0058398F"/>
    <w:rsid w:val="005849EA"/>
    <w:rsid w:val="00584D84"/>
    <w:rsid w:val="00584FE4"/>
    <w:rsid w:val="005855EC"/>
    <w:rsid w:val="00585FF8"/>
    <w:rsid w:val="0058782D"/>
    <w:rsid w:val="00587AF9"/>
    <w:rsid w:val="00590930"/>
    <w:rsid w:val="00591DED"/>
    <w:rsid w:val="00591DF2"/>
    <w:rsid w:val="005924C6"/>
    <w:rsid w:val="00592DFB"/>
    <w:rsid w:val="00593631"/>
    <w:rsid w:val="00593CA8"/>
    <w:rsid w:val="00593D95"/>
    <w:rsid w:val="00594B1D"/>
    <w:rsid w:val="005950D3"/>
    <w:rsid w:val="00595623"/>
    <w:rsid w:val="00597361"/>
    <w:rsid w:val="00597C04"/>
    <w:rsid w:val="00597C15"/>
    <w:rsid w:val="005A00CA"/>
    <w:rsid w:val="005A017C"/>
    <w:rsid w:val="005A038C"/>
    <w:rsid w:val="005A038D"/>
    <w:rsid w:val="005A03A2"/>
    <w:rsid w:val="005A0BE1"/>
    <w:rsid w:val="005A12F6"/>
    <w:rsid w:val="005A1B13"/>
    <w:rsid w:val="005A239C"/>
    <w:rsid w:val="005A263C"/>
    <w:rsid w:val="005A29FE"/>
    <w:rsid w:val="005A2E42"/>
    <w:rsid w:val="005A30C8"/>
    <w:rsid w:val="005A46C0"/>
    <w:rsid w:val="005A498C"/>
    <w:rsid w:val="005A4CCA"/>
    <w:rsid w:val="005A5068"/>
    <w:rsid w:val="005A5CC8"/>
    <w:rsid w:val="005A62AF"/>
    <w:rsid w:val="005A6D01"/>
    <w:rsid w:val="005A7E55"/>
    <w:rsid w:val="005B0B1B"/>
    <w:rsid w:val="005B1813"/>
    <w:rsid w:val="005B2659"/>
    <w:rsid w:val="005B2840"/>
    <w:rsid w:val="005B2CF0"/>
    <w:rsid w:val="005B35E4"/>
    <w:rsid w:val="005B4866"/>
    <w:rsid w:val="005B5150"/>
    <w:rsid w:val="005B546E"/>
    <w:rsid w:val="005B56C5"/>
    <w:rsid w:val="005B6471"/>
    <w:rsid w:val="005B6FB3"/>
    <w:rsid w:val="005C0505"/>
    <w:rsid w:val="005C1BD9"/>
    <w:rsid w:val="005C2282"/>
    <w:rsid w:val="005C23EB"/>
    <w:rsid w:val="005C29D8"/>
    <w:rsid w:val="005C2E00"/>
    <w:rsid w:val="005C4F94"/>
    <w:rsid w:val="005C55C0"/>
    <w:rsid w:val="005C5778"/>
    <w:rsid w:val="005C6826"/>
    <w:rsid w:val="005C7045"/>
    <w:rsid w:val="005D01AD"/>
    <w:rsid w:val="005D0B88"/>
    <w:rsid w:val="005D0C79"/>
    <w:rsid w:val="005D12B6"/>
    <w:rsid w:val="005D1502"/>
    <w:rsid w:val="005D1CE4"/>
    <w:rsid w:val="005D3434"/>
    <w:rsid w:val="005D3A3A"/>
    <w:rsid w:val="005D456C"/>
    <w:rsid w:val="005D4796"/>
    <w:rsid w:val="005D5C92"/>
    <w:rsid w:val="005D5D9C"/>
    <w:rsid w:val="005D5EBC"/>
    <w:rsid w:val="005D6456"/>
    <w:rsid w:val="005D6E10"/>
    <w:rsid w:val="005E063D"/>
    <w:rsid w:val="005E0B49"/>
    <w:rsid w:val="005E0D77"/>
    <w:rsid w:val="005E1154"/>
    <w:rsid w:val="005E1278"/>
    <w:rsid w:val="005E14FD"/>
    <w:rsid w:val="005E1902"/>
    <w:rsid w:val="005E1BD5"/>
    <w:rsid w:val="005E27AD"/>
    <w:rsid w:val="005E30B0"/>
    <w:rsid w:val="005E4749"/>
    <w:rsid w:val="005E4ACB"/>
    <w:rsid w:val="005E4C28"/>
    <w:rsid w:val="005E4E13"/>
    <w:rsid w:val="005E5297"/>
    <w:rsid w:val="005E55AB"/>
    <w:rsid w:val="005E5AE9"/>
    <w:rsid w:val="005E5B3E"/>
    <w:rsid w:val="005E698F"/>
    <w:rsid w:val="005E6E39"/>
    <w:rsid w:val="005E72D9"/>
    <w:rsid w:val="005E7838"/>
    <w:rsid w:val="005E7B7F"/>
    <w:rsid w:val="005E7D84"/>
    <w:rsid w:val="005F08F9"/>
    <w:rsid w:val="005F0E09"/>
    <w:rsid w:val="005F0FE8"/>
    <w:rsid w:val="005F2832"/>
    <w:rsid w:val="005F298E"/>
    <w:rsid w:val="005F367A"/>
    <w:rsid w:val="005F379B"/>
    <w:rsid w:val="005F3A6E"/>
    <w:rsid w:val="005F3D23"/>
    <w:rsid w:val="005F3EDF"/>
    <w:rsid w:val="005F4C10"/>
    <w:rsid w:val="005F50A4"/>
    <w:rsid w:val="005F50CB"/>
    <w:rsid w:val="005F5259"/>
    <w:rsid w:val="005F7462"/>
    <w:rsid w:val="005F765C"/>
    <w:rsid w:val="00600AF9"/>
    <w:rsid w:val="00601254"/>
    <w:rsid w:val="006013DC"/>
    <w:rsid w:val="0060148C"/>
    <w:rsid w:val="006016C0"/>
    <w:rsid w:val="006029B9"/>
    <w:rsid w:val="00602BA4"/>
    <w:rsid w:val="00602FDA"/>
    <w:rsid w:val="00603304"/>
    <w:rsid w:val="00603372"/>
    <w:rsid w:val="00603795"/>
    <w:rsid w:val="0060462F"/>
    <w:rsid w:val="0060477A"/>
    <w:rsid w:val="00605E7A"/>
    <w:rsid w:val="00606DF8"/>
    <w:rsid w:val="0061011E"/>
    <w:rsid w:val="006112D5"/>
    <w:rsid w:val="00611409"/>
    <w:rsid w:val="00611CF1"/>
    <w:rsid w:val="00611F37"/>
    <w:rsid w:val="00612890"/>
    <w:rsid w:val="00612B26"/>
    <w:rsid w:val="00613255"/>
    <w:rsid w:val="00613325"/>
    <w:rsid w:val="0061345C"/>
    <w:rsid w:val="00613885"/>
    <w:rsid w:val="00614116"/>
    <w:rsid w:val="00614B80"/>
    <w:rsid w:val="00614FCB"/>
    <w:rsid w:val="006150C0"/>
    <w:rsid w:val="006150DA"/>
    <w:rsid w:val="00616462"/>
    <w:rsid w:val="00616954"/>
    <w:rsid w:val="00616A02"/>
    <w:rsid w:val="006171E0"/>
    <w:rsid w:val="006172ED"/>
    <w:rsid w:val="00617E81"/>
    <w:rsid w:val="00617F39"/>
    <w:rsid w:val="00620166"/>
    <w:rsid w:val="0062026C"/>
    <w:rsid w:val="006209D7"/>
    <w:rsid w:val="00620B6A"/>
    <w:rsid w:val="00620FA6"/>
    <w:rsid w:val="00621158"/>
    <w:rsid w:val="006213A0"/>
    <w:rsid w:val="00621482"/>
    <w:rsid w:val="006219A6"/>
    <w:rsid w:val="00621A67"/>
    <w:rsid w:val="00621C42"/>
    <w:rsid w:val="00621F2A"/>
    <w:rsid w:val="006221E7"/>
    <w:rsid w:val="00622613"/>
    <w:rsid w:val="006228CA"/>
    <w:rsid w:val="00622C91"/>
    <w:rsid w:val="00623108"/>
    <w:rsid w:val="0062310D"/>
    <w:rsid w:val="00623BF6"/>
    <w:rsid w:val="00623E5B"/>
    <w:rsid w:val="006245A5"/>
    <w:rsid w:val="00624DD8"/>
    <w:rsid w:val="00626676"/>
    <w:rsid w:val="00626DD1"/>
    <w:rsid w:val="006272B8"/>
    <w:rsid w:val="00630488"/>
    <w:rsid w:val="00630B67"/>
    <w:rsid w:val="00630BD5"/>
    <w:rsid w:val="00630FAF"/>
    <w:rsid w:val="006316DC"/>
    <w:rsid w:val="006316EF"/>
    <w:rsid w:val="00631965"/>
    <w:rsid w:val="00631B76"/>
    <w:rsid w:val="00631DA3"/>
    <w:rsid w:val="00631F30"/>
    <w:rsid w:val="0063278B"/>
    <w:rsid w:val="006340AD"/>
    <w:rsid w:val="00634825"/>
    <w:rsid w:val="00635309"/>
    <w:rsid w:val="0063547D"/>
    <w:rsid w:val="006359F8"/>
    <w:rsid w:val="00636BD3"/>
    <w:rsid w:val="00637A98"/>
    <w:rsid w:val="00637DDF"/>
    <w:rsid w:val="00640210"/>
    <w:rsid w:val="00640376"/>
    <w:rsid w:val="00640393"/>
    <w:rsid w:val="00640870"/>
    <w:rsid w:val="006416E4"/>
    <w:rsid w:val="00642CD6"/>
    <w:rsid w:val="00642D2F"/>
    <w:rsid w:val="00643BC4"/>
    <w:rsid w:val="00644DBE"/>
    <w:rsid w:val="00644E0E"/>
    <w:rsid w:val="00645E6E"/>
    <w:rsid w:val="00645F9E"/>
    <w:rsid w:val="006461B6"/>
    <w:rsid w:val="006474E6"/>
    <w:rsid w:val="0064751C"/>
    <w:rsid w:val="0064797D"/>
    <w:rsid w:val="006505EA"/>
    <w:rsid w:val="006509EC"/>
    <w:rsid w:val="0065238D"/>
    <w:rsid w:val="00652B5E"/>
    <w:rsid w:val="00652C78"/>
    <w:rsid w:val="00652E1A"/>
    <w:rsid w:val="00653853"/>
    <w:rsid w:val="00654521"/>
    <w:rsid w:val="0065471F"/>
    <w:rsid w:val="00654A4B"/>
    <w:rsid w:val="00654E0E"/>
    <w:rsid w:val="00654E1A"/>
    <w:rsid w:val="006550AD"/>
    <w:rsid w:val="0065650D"/>
    <w:rsid w:val="0065688B"/>
    <w:rsid w:val="00656C45"/>
    <w:rsid w:val="00657679"/>
    <w:rsid w:val="006579DA"/>
    <w:rsid w:val="00657C5B"/>
    <w:rsid w:val="00657FF6"/>
    <w:rsid w:val="00662E8F"/>
    <w:rsid w:val="00663EB8"/>
    <w:rsid w:val="0066403D"/>
    <w:rsid w:val="0066431E"/>
    <w:rsid w:val="00664644"/>
    <w:rsid w:val="006647AB"/>
    <w:rsid w:val="00665145"/>
    <w:rsid w:val="0066546B"/>
    <w:rsid w:val="00665B9D"/>
    <w:rsid w:val="00666EEA"/>
    <w:rsid w:val="00667449"/>
    <w:rsid w:val="006677D0"/>
    <w:rsid w:val="00671ABA"/>
    <w:rsid w:val="00672450"/>
    <w:rsid w:val="00672D47"/>
    <w:rsid w:val="0067372B"/>
    <w:rsid w:val="00673A02"/>
    <w:rsid w:val="00673BBD"/>
    <w:rsid w:val="00673EA8"/>
    <w:rsid w:val="00674455"/>
    <w:rsid w:val="006755F6"/>
    <w:rsid w:val="00675B51"/>
    <w:rsid w:val="00676914"/>
    <w:rsid w:val="00676986"/>
    <w:rsid w:val="00676C78"/>
    <w:rsid w:val="00676F56"/>
    <w:rsid w:val="00677128"/>
    <w:rsid w:val="006803C8"/>
    <w:rsid w:val="0068064F"/>
    <w:rsid w:val="006811C8"/>
    <w:rsid w:val="006815BA"/>
    <w:rsid w:val="00681E58"/>
    <w:rsid w:val="00682213"/>
    <w:rsid w:val="00682323"/>
    <w:rsid w:val="0068242C"/>
    <w:rsid w:val="00682ABF"/>
    <w:rsid w:val="00682F3B"/>
    <w:rsid w:val="00682FDA"/>
    <w:rsid w:val="00684983"/>
    <w:rsid w:val="00684DAC"/>
    <w:rsid w:val="006857F9"/>
    <w:rsid w:val="0068596A"/>
    <w:rsid w:val="006859DD"/>
    <w:rsid w:val="006860CE"/>
    <w:rsid w:val="00686347"/>
    <w:rsid w:val="00686E07"/>
    <w:rsid w:val="00687E77"/>
    <w:rsid w:val="0069085D"/>
    <w:rsid w:val="00690BB3"/>
    <w:rsid w:val="00692187"/>
    <w:rsid w:val="006921A3"/>
    <w:rsid w:val="00692D6A"/>
    <w:rsid w:val="006932C0"/>
    <w:rsid w:val="0069353D"/>
    <w:rsid w:val="00693679"/>
    <w:rsid w:val="00693898"/>
    <w:rsid w:val="00693933"/>
    <w:rsid w:val="00693C9B"/>
    <w:rsid w:val="00693DAE"/>
    <w:rsid w:val="00693EB3"/>
    <w:rsid w:val="00694372"/>
    <w:rsid w:val="00694632"/>
    <w:rsid w:val="00694863"/>
    <w:rsid w:val="0069545F"/>
    <w:rsid w:val="00695471"/>
    <w:rsid w:val="0069580E"/>
    <w:rsid w:val="00696038"/>
    <w:rsid w:val="006960D4"/>
    <w:rsid w:val="0069673A"/>
    <w:rsid w:val="0069721A"/>
    <w:rsid w:val="00697D05"/>
    <w:rsid w:val="00697D1B"/>
    <w:rsid w:val="00697FFC"/>
    <w:rsid w:val="006A209E"/>
    <w:rsid w:val="006A21FA"/>
    <w:rsid w:val="006A2C74"/>
    <w:rsid w:val="006A324D"/>
    <w:rsid w:val="006A37F3"/>
    <w:rsid w:val="006A3A2F"/>
    <w:rsid w:val="006A3E53"/>
    <w:rsid w:val="006A4127"/>
    <w:rsid w:val="006A46E8"/>
    <w:rsid w:val="006A4A07"/>
    <w:rsid w:val="006A4E3C"/>
    <w:rsid w:val="006A5666"/>
    <w:rsid w:val="006A583F"/>
    <w:rsid w:val="006A5912"/>
    <w:rsid w:val="006A5AB6"/>
    <w:rsid w:val="006A5D65"/>
    <w:rsid w:val="006A6162"/>
    <w:rsid w:val="006A6298"/>
    <w:rsid w:val="006A66A2"/>
    <w:rsid w:val="006A695B"/>
    <w:rsid w:val="006A6A54"/>
    <w:rsid w:val="006A7DA1"/>
    <w:rsid w:val="006A7F87"/>
    <w:rsid w:val="006B0511"/>
    <w:rsid w:val="006B1718"/>
    <w:rsid w:val="006B1C5C"/>
    <w:rsid w:val="006B2762"/>
    <w:rsid w:val="006B2922"/>
    <w:rsid w:val="006B29DC"/>
    <w:rsid w:val="006B419B"/>
    <w:rsid w:val="006B4B69"/>
    <w:rsid w:val="006B5E5D"/>
    <w:rsid w:val="006B7AFF"/>
    <w:rsid w:val="006C0B7A"/>
    <w:rsid w:val="006C0C1E"/>
    <w:rsid w:val="006C0D65"/>
    <w:rsid w:val="006C1B05"/>
    <w:rsid w:val="006C2C0A"/>
    <w:rsid w:val="006C2EA1"/>
    <w:rsid w:val="006C3101"/>
    <w:rsid w:val="006C36AE"/>
    <w:rsid w:val="006C3EA1"/>
    <w:rsid w:val="006C441E"/>
    <w:rsid w:val="006C55D2"/>
    <w:rsid w:val="006C693C"/>
    <w:rsid w:val="006D05F3"/>
    <w:rsid w:val="006D0981"/>
    <w:rsid w:val="006D09D9"/>
    <w:rsid w:val="006D0D43"/>
    <w:rsid w:val="006D10FA"/>
    <w:rsid w:val="006D159D"/>
    <w:rsid w:val="006D1932"/>
    <w:rsid w:val="006D2654"/>
    <w:rsid w:val="006D314F"/>
    <w:rsid w:val="006D3ADF"/>
    <w:rsid w:val="006D3FDF"/>
    <w:rsid w:val="006D4915"/>
    <w:rsid w:val="006D4F3D"/>
    <w:rsid w:val="006D5521"/>
    <w:rsid w:val="006D58DB"/>
    <w:rsid w:val="006D5C82"/>
    <w:rsid w:val="006D5FA3"/>
    <w:rsid w:val="006D68ED"/>
    <w:rsid w:val="006D6924"/>
    <w:rsid w:val="006D6DE8"/>
    <w:rsid w:val="006D7424"/>
    <w:rsid w:val="006D7B90"/>
    <w:rsid w:val="006D7CDE"/>
    <w:rsid w:val="006E0374"/>
    <w:rsid w:val="006E0938"/>
    <w:rsid w:val="006E0C07"/>
    <w:rsid w:val="006E0D25"/>
    <w:rsid w:val="006E127F"/>
    <w:rsid w:val="006E1699"/>
    <w:rsid w:val="006E17D3"/>
    <w:rsid w:val="006E1875"/>
    <w:rsid w:val="006E2E1A"/>
    <w:rsid w:val="006E305C"/>
    <w:rsid w:val="006E31FA"/>
    <w:rsid w:val="006E3B48"/>
    <w:rsid w:val="006E3D1B"/>
    <w:rsid w:val="006E4AD8"/>
    <w:rsid w:val="006E4CD3"/>
    <w:rsid w:val="006E4F4A"/>
    <w:rsid w:val="006E52B4"/>
    <w:rsid w:val="006E5456"/>
    <w:rsid w:val="006E57B8"/>
    <w:rsid w:val="006E684F"/>
    <w:rsid w:val="006E6A54"/>
    <w:rsid w:val="006E6BDE"/>
    <w:rsid w:val="006E7B41"/>
    <w:rsid w:val="006E7BEE"/>
    <w:rsid w:val="006E7C54"/>
    <w:rsid w:val="006E7C8D"/>
    <w:rsid w:val="006F09FB"/>
    <w:rsid w:val="006F186A"/>
    <w:rsid w:val="006F1BB4"/>
    <w:rsid w:val="006F1CF2"/>
    <w:rsid w:val="006F323C"/>
    <w:rsid w:val="006F3B5B"/>
    <w:rsid w:val="006F4003"/>
    <w:rsid w:val="006F41B5"/>
    <w:rsid w:val="006F4204"/>
    <w:rsid w:val="006F439D"/>
    <w:rsid w:val="006F46A2"/>
    <w:rsid w:val="006F5563"/>
    <w:rsid w:val="006F712B"/>
    <w:rsid w:val="006F7529"/>
    <w:rsid w:val="006F75D9"/>
    <w:rsid w:val="006F7D4D"/>
    <w:rsid w:val="007002C9"/>
    <w:rsid w:val="0070095E"/>
    <w:rsid w:val="00702748"/>
    <w:rsid w:val="00702E81"/>
    <w:rsid w:val="007037EE"/>
    <w:rsid w:val="007039B2"/>
    <w:rsid w:val="00703B48"/>
    <w:rsid w:val="00703C50"/>
    <w:rsid w:val="00703E04"/>
    <w:rsid w:val="007044A4"/>
    <w:rsid w:val="0070503A"/>
    <w:rsid w:val="00705C79"/>
    <w:rsid w:val="007066D7"/>
    <w:rsid w:val="007068F1"/>
    <w:rsid w:val="0070748B"/>
    <w:rsid w:val="00707522"/>
    <w:rsid w:val="00707CE2"/>
    <w:rsid w:val="00710EFC"/>
    <w:rsid w:val="0071144E"/>
    <w:rsid w:val="00711741"/>
    <w:rsid w:val="00711953"/>
    <w:rsid w:val="0071347B"/>
    <w:rsid w:val="007134CC"/>
    <w:rsid w:val="007144C2"/>
    <w:rsid w:val="0071457E"/>
    <w:rsid w:val="00714AB7"/>
    <w:rsid w:val="00714F38"/>
    <w:rsid w:val="00715199"/>
    <w:rsid w:val="007155E2"/>
    <w:rsid w:val="00715854"/>
    <w:rsid w:val="007159E0"/>
    <w:rsid w:val="00715C72"/>
    <w:rsid w:val="00716AAC"/>
    <w:rsid w:val="00716B72"/>
    <w:rsid w:val="00716D66"/>
    <w:rsid w:val="00716F19"/>
    <w:rsid w:val="0071721A"/>
    <w:rsid w:val="00717DD3"/>
    <w:rsid w:val="00720E70"/>
    <w:rsid w:val="00720EE1"/>
    <w:rsid w:val="00722449"/>
    <w:rsid w:val="00722B58"/>
    <w:rsid w:val="00722E73"/>
    <w:rsid w:val="00723150"/>
    <w:rsid w:val="00723439"/>
    <w:rsid w:val="00723652"/>
    <w:rsid w:val="00723BC9"/>
    <w:rsid w:val="00723DDA"/>
    <w:rsid w:val="007256EC"/>
    <w:rsid w:val="007270FF"/>
    <w:rsid w:val="00731B69"/>
    <w:rsid w:val="00731CD5"/>
    <w:rsid w:val="00732158"/>
    <w:rsid w:val="007329FB"/>
    <w:rsid w:val="00732B95"/>
    <w:rsid w:val="00732F94"/>
    <w:rsid w:val="00733412"/>
    <w:rsid w:val="00733493"/>
    <w:rsid w:val="007338A0"/>
    <w:rsid w:val="00734C3B"/>
    <w:rsid w:val="00734C7D"/>
    <w:rsid w:val="00736D46"/>
    <w:rsid w:val="00736DBE"/>
    <w:rsid w:val="00736DD4"/>
    <w:rsid w:val="00737251"/>
    <w:rsid w:val="00737C65"/>
    <w:rsid w:val="00741438"/>
    <w:rsid w:val="0074190D"/>
    <w:rsid w:val="00741C9C"/>
    <w:rsid w:val="00741D45"/>
    <w:rsid w:val="00743954"/>
    <w:rsid w:val="00743A28"/>
    <w:rsid w:val="00743D51"/>
    <w:rsid w:val="00743DAB"/>
    <w:rsid w:val="00744128"/>
    <w:rsid w:val="007442B7"/>
    <w:rsid w:val="007446EE"/>
    <w:rsid w:val="007451A6"/>
    <w:rsid w:val="00745333"/>
    <w:rsid w:val="007466DF"/>
    <w:rsid w:val="007470F7"/>
    <w:rsid w:val="0074719C"/>
    <w:rsid w:val="00747489"/>
    <w:rsid w:val="00747D42"/>
    <w:rsid w:val="00747D7D"/>
    <w:rsid w:val="00747E71"/>
    <w:rsid w:val="0075011B"/>
    <w:rsid w:val="00750185"/>
    <w:rsid w:val="00751B9F"/>
    <w:rsid w:val="00751C31"/>
    <w:rsid w:val="00751E72"/>
    <w:rsid w:val="00751E8D"/>
    <w:rsid w:val="007521AB"/>
    <w:rsid w:val="007525CF"/>
    <w:rsid w:val="00752708"/>
    <w:rsid w:val="00752788"/>
    <w:rsid w:val="007534CA"/>
    <w:rsid w:val="00753627"/>
    <w:rsid w:val="00753C30"/>
    <w:rsid w:val="00754345"/>
    <w:rsid w:val="007543AC"/>
    <w:rsid w:val="00754D94"/>
    <w:rsid w:val="00755099"/>
    <w:rsid w:val="00755117"/>
    <w:rsid w:val="007558EF"/>
    <w:rsid w:val="00755C6B"/>
    <w:rsid w:val="007560AA"/>
    <w:rsid w:val="007561EC"/>
    <w:rsid w:val="00756412"/>
    <w:rsid w:val="00756BE5"/>
    <w:rsid w:val="00756D90"/>
    <w:rsid w:val="00757B68"/>
    <w:rsid w:val="00757F94"/>
    <w:rsid w:val="007607B8"/>
    <w:rsid w:val="007608D0"/>
    <w:rsid w:val="00761AD9"/>
    <w:rsid w:val="00761BFD"/>
    <w:rsid w:val="00761F4A"/>
    <w:rsid w:val="007622A7"/>
    <w:rsid w:val="0076267D"/>
    <w:rsid w:val="00762B62"/>
    <w:rsid w:val="00764186"/>
    <w:rsid w:val="007642DA"/>
    <w:rsid w:val="0076439C"/>
    <w:rsid w:val="00764B9E"/>
    <w:rsid w:val="00765380"/>
    <w:rsid w:val="00765F28"/>
    <w:rsid w:val="007663AE"/>
    <w:rsid w:val="00767014"/>
    <w:rsid w:val="00767D84"/>
    <w:rsid w:val="00770452"/>
    <w:rsid w:val="00770EE4"/>
    <w:rsid w:val="007711B4"/>
    <w:rsid w:val="00772818"/>
    <w:rsid w:val="0077325C"/>
    <w:rsid w:val="0077387E"/>
    <w:rsid w:val="007739D0"/>
    <w:rsid w:val="0077623E"/>
    <w:rsid w:val="007767B2"/>
    <w:rsid w:val="007768EF"/>
    <w:rsid w:val="00776BF1"/>
    <w:rsid w:val="00777904"/>
    <w:rsid w:val="00780D99"/>
    <w:rsid w:val="00780F9B"/>
    <w:rsid w:val="007810D9"/>
    <w:rsid w:val="0078113A"/>
    <w:rsid w:val="007818A1"/>
    <w:rsid w:val="00781A0E"/>
    <w:rsid w:val="00781ABC"/>
    <w:rsid w:val="00782143"/>
    <w:rsid w:val="0078293A"/>
    <w:rsid w:val="00782979"/>
    <w:rsid w:val="00782CA4"/>
    <w:rsid w:val="00782D26"/>
    <w:rsid w:val="007834E0"/>
    <w:rsid w:val="00783B1F"/>
    <w:rsid w:val="00784644"/>
    <w:rsid w:val="007846A3"/>
    <w:rsid w:val="00785CA0"/>
    <w:rsid w:val="007878A3"/>
    <w:rsid w:val="00787E51"/>
    <w:rsid w:val="00790820"/>
    <w:rsid w:val="00790901"/>
    <w:rsid w:val="00790D4E"/>
    <w:rsid w:val="00791146"/>
    <w:rsid w:val="0079145D"/>
    <w:rsid w:val="007914EA"/>
    <w:rsid w:val="00791645"/>
    <w:rsid w:val="0079173E"/>
    <w:rsid w:val="00792C1C"/>
    <w:rsid w:val="00792CDF"/>
    <w:rsid w:val="00792F37"/>
    <w:rsid w:val="0079303B"/>
    <w:rsid w:val="007937C1"/>
    <w:rsid w:val="0079391D"/>
    <w:rsid w:val="007939FD"/>
    <w:rsid w:val="00793B55"/>
    <w:rsid w:val="00793F25"/>
    <w:rsid w:val="0079432E"/>
    <w:rsid w:val="00794847"/>
    <w:rsid w:val="00794BBF"/>
    <w:rsid w:val="0079514F"/>
    <w:rsid w:val="007951F5"/>
    <w:rsid w:val="00795484"/>
    <w:rsid w:val="00795E6B"/>
    <w:rsid w:val="00796824"/>
    <w:rsid w:val="00796F3D"/>
    <w:rsid w:val="00796FB9"/>
    <w:rsid w:val="00797189"/>
    <w:rsid w:val="00797A95"/>
    <w:rsid w:val="007A0093"/>
    <w:rsid w:val="007A0218"/>
    <w:rsid w:val="007A0336"/>
    <w:rsid w:val="007A06FD"/>
    <w:rsid w:val="007A097D"/>
    <w:rsid w:val="007A15DB"/>
    <w:rsid w:val="007A1E55"/>
    <w:rsid w:val="007A2BB5"/>
    <w:rsid w:val="007A473D"/>
    <w:rsid w:val="007A4B09"/>
    <w:rsid w:val="007A4E66"/>
    <w:rsid w:val="007A506F"/>
    <w:rsid w:val="007A5488"/>
    <w:rsid w:val="007A56DA"/>
    <w:rsid w:val="007A57AC"/>
    <w:rsid w:val="007A63ED"/>
    <w:rsid w:val="007A68BE"/>
    <w:rsid w:val="007A75C9"/>
    <w:rsid w:val="007B0159"/>
    <w:rsid w:val="007B125A"/>
    <w:rsid w:val="007B171E"/>
    <w:rsid w:val="007B23B6"/>
    <w:rsid w:val="007B2B1B"/>
    <w:rsid w:val="007B32E3"/>
    <w:rsid w:val="007B4408"/>
    <w:rsid w:val="007B4B0B"/>
    <w:rsid w:val="007B61C8"/>
    <w:rsid w:val="007B61E8"/>
    <w:rsid w:val="007B626F"/>
    <w:rsid w:val="007B6E12"/>
    <w:rsid w:val="007B6E9C"/>
    <w:rsid w:val="007B731D"/>
    <w:rsid w:val="007C016B"/>
    <w:rsid w:val="007C058D"/>
    <w:rsid w:val="007C0ACD"/>
    <w:rsid w:val="007C0F5B"/>
    <w:rsid w:val="007C1BB3"/>
    <w:rsid w:val="007C24A3"/>
    <w:rsid w:val="007C3E75"/>
    <w:rsid w:val="007C434C"/>
    <w:rsid w:val="007C4904"/>
    <w:rsid w:val="007C4A97"/>
    <w:rsid w:val="007C503C"/>
    <w:rsid w:val="007C516A"/>
    <w:rsid w:val="007C541D"/>
    <w:rsid w:val="007C561B"/>
    <w:rsid w:val="007C5A68"/>
    <w:rsid w:val="007C629D"/>
    <w:rsid w:val="007C65BD"/>
    <w:rsid w:val="007C7003"/>
    <w:rsid w:val="007C71AD"/>
    <w:rsid w:val="007C774D"/>
    <w:rsid w:val="007C7B41"/>
    <w:rsid w:val="007C7E5C"/>
    <w:rsid w:val="007D04F6"/>
    <w:rsid w:val="007D055A"/>
    <w:rsid w:val="007D1266"/>
    <w:rsid w:val="007D2168"/>
    <w:rsid w:val="007D219A"/>
    <w:rsid w:val="007D25DC"/>
    <w:rsid w:val="007D40E6"/>
    <w:rsid w:val="007D4567"/>
    <w:rsid w:val="007D46BC"/>
    <w:rsid w:val="007D50DB"/>
    <w:rsid w:val="007D54AD"/>
    <w:rsid w:val="007D6A19"/>
    <w:rsid w:val="007D6A46"/>
    <w:rsid w:val="007D73D3"/>
    <w:rsid w:val="007E0617"/>
    <w:rsid w:val="007E0865"/>
    <w:rsid w:val="007E0D63"/>
    <w:rsid w:val="007E10AB"/>
    <w:rsid w:val="007E1116"/>
    <w:rsid w:val="007E189C"/>
    <w:rsid w:val="007E2510"/>
    <w:rsid w:val="007E252C"/>
    <w:rsid w:val="007E2BA5"/>
    <w:rsid w:val="007E31AD"/>
    <w:rsid w:val="007E3B98"/>
    <w:rsid w:val="007E43A1"/>
    <w:rsid w:val="007E4682"/>
    <w:rsid w:val="007E4E23"/>
    <w:rsid w:val="007E50F5"/>
    <w:rsid w:val="007E55A9"/>
    <w:rsid w:val="007E56F8"/>
    <w:rsid w:val="007E5D97"/>
    <w:rsid w:val="007E61B6"/>
    <w:rsid w:val="007E6FA6"/>
    <w:rsid w:val="007E7428"/>
    <w:rsid w:val="007E74E8"/>
    <w:rsid w:val="007E7DB3"/>
    <w:rsid w:val="007E7E72"/>
    <w:rsid w:val="007F02E3"/>
    <w:rsid w:val="007F09FF"/>
    <w:rsid w:val="007F11ED"/>
    <w:rsid w:val="007F1ADB"/>
    <w:rsid w:val="007F1CF8"/>
    <w:rsid w:val="007F2C2F"/>
    <w:rsid w:val="007F2DE9"/>
    <w:rsid w:val="007F3EE4"/>
    <w:rsid w:val="007F3F8F"/>
    <w:rsid w:val="007F4436"/>
    <w:rsid w:val="007F5841"/>
    <w:rsid w:val="007F5B59"/>
    <w:rsid w:val="007F621D"/>
    <w:rsid w:val="007F653D"/>
    <w:rsid w:val="007F660E"/>
    <w:rsid w:val="007F67F4"/>
    <w:rsid w:val="007F6845"/>
    <w:rsid w:val="007F6A2C"/>
    <w:rsid w:val="007F737D"/>
    <w:rsid w:val="007F7FCA"/>
    <w:rsid w:val="008008B8"/>
    <w:rsid w:val="00801120"/>
    <w:rsid w:val="00801486"/>
    <w:rsid w:val="00801A4D"/>
    <w:rsid w:val="00801B4D"/>
    <w:rsid w:val="008021F5"/>
    <w:rsid w:val="00802F26"/>
    <w:rsid w:val="00803203"/>
    <w:rsid w:val="008041B0"/>
    <w:rsid w:val="0080465D"/>
    <w:rsid w:val="008046EA"/>
    <w:rsid w:val="00804E33"/>
    <w:rsid w:val="008057CB"/>
    <w:rsid w:val="008058A0"/>
    <w:rsid w:val="00805D1F"/>
    <w:rsid w:val="00806062"/>
    <w:rsid w:val="00807EA1"/>
    <w:rsid w:val="00807FAC"/>
    <w:rsid w:val="00810095"/>
    <w:rsid w:val="0081094C"/>
    <w:rsid w:val="00811F6F"/>
    <w:rsid w:val="00811FF2"/>
    <w:rsid w:val="00812E36"/>
    <w:rsid w:val="008134C0"/>
    <w:rsid w:val="00813BAC"/>
    <w:rsid w:val="00814CD6"/>
    <w:rsid w:val="00814FA7"/>
    <w:rsid w:val="00815282"/>
    <w:rsid w:val="0081533E"/>
    <w:rsid w:val="008156DE"/>
    <w:rsid w:val="00815D74"/>
    <w:rsid w:val="0081600F"/>
    <w:rsid w:val="0081620E"/>
    <w:rsid w:val="008166DF"/>
    <w:rsid w:val="008167C9"/>
    <w:rsid w:val="00816A04"/>
    <w:rsid w:val="00816A67"/>
    <w:rsid w:val="00816CD4"/>
    <w:rsid w:val="00817E77"/>
    <w:rsid w:val="00821DF7"/>
    <w:rsid w:val="008229EB"/>
    <w:rsid w:val="008229F5"/>
    <w:rsid w:val="00822BFE"/>
    <w:rsid w:val="00823E30"/>
    <w:rsid w:val="00824085"/>
    <w:rsid w:val="008244E4"/>
    <w:rsid w:val="0082488A"/>
    <w:rsid w:val="0082510C"/>
    <w:rsid w:val="00825A6A"/>
    <w:rsid w:val="00826E67"/>
    <w:rsid w:val="00827E21"/>
    <w:rsid w:val="00827E3D"/>
    <w:rsid w:val="008317CD"/>
    <w:rsid w:val="00832191"/>
    <w:rsid w:val="00832237"/>
    <w:rsid w:val="00832AFF"/>
    <w:rsid w:val="00833BA2"/>
    <w:rsid w:val="00834203"/>
    <w:rsid w:val="00834AF3"/>
    <w:rsid w:val="00834CEA"/>
    <w:rsid w:val="00834EEE"/>
    <w:rsid w:val="00835077"/>
    <w:rsid w:val="008350E4"/>
    <w:rsid w:val="00835160"/>
    <w:rsid w:val="008355F5"/>
    <w:rsid w:val="008360B0"/>
    <w:rsid w:val="0083628C"/>
    <w:rsid w:val="008371C4"/>
    <w:rsid w:val="00837262"/>
    <w:rsid w:val="008372BE"/>
    <w:rsid w:val="00837478"/>
    <w:rsid w:val="00840689"/>
    <w:rsid w:val="008406B8"/>
    <w:rsid w:val="00840F58"/>
    <w:rsid w:val="00841906"/>
    <w:rsid w:val="00841FEA"/>
    <w:rsid w:val="00842556"/>
    <w:rsid w:val="00842739"/>
    <w:rsid w:val="00842A89"/>
    <w:rsid w:val="008430C7"/>
    <w:rsid w:val="00844071"/>
    <w:rsid w:val="00844276"/>
    <w:rsid w:val="00844480"/>
    <w:rsid w:val="00844FB7"/>
    <w:rsid w:val="0084503E"/>
    <w:rsid w:val="008451B0"/>
    <w:rsid w:val="008455D9"/>
    <w:rsid w:val="008459C8"/>
    <w:rsid w:val="00845A46"/>
    <w:rsid w:val="00846F39"/>
    <w:rsid w:val="0084759D"/>
    <w:rsid w:val="00847C77"/>
    <w:rsid w:val="0085015E"/>
    <w:rsid w:val="008502ED"/>
    <w:rsid w:val="00850B1E"/>
    <w:rsid w:val="00850C08"/>
    <w:rsid w:val="00853866"/>
    <w:rsid w:val="00853D3A"/>
    <w:rsid w:val="00853F22"/>
    <w:rsid w:val="008546A4"/>
    <w:rsid w:val="008556C7"/>
    <w:rsid w:val="008567DF"/>
    <w:rsid w:val="00857D69"/>
    <w:rsid w:val="008601A9"/>
    <w:rsid w:val="00861543"/>
    <w:rsid w:val="008620E2"/>
    <w:rsid w:val="0086215C"/>
    <w:rsid w:val="008626E9"/>
    <w:rsid w:val="00863113"/>
    <w:rsid w:val="00863121"/>
    <w:rsid w:val="00863163"/>
    <w:rsid w:val="0086317D"/>
    <w:rsid w:val="00863527"/>
    <w:rsid w:val="008638C3"/>
    <w:rsid w:val="008640C6"/>
    <w:rsid w:val="0086440A"/>
    <w:rsid w:val="008644FB"/>
    <w:rsid w:val="00864BF9"/>
    <w:rsid w:val="00864F54"/>
    <w:rsid w:val="008670DC"/>
    <w:rsid w:val="008702B3"/>
    <w:rsid w:val="00870BA8"/>
    <w:rsid w:val="00870E77"/>
    <w:rsid w:val="00871EB3"/>
    <w:rsid w:val="00872716"/>
    <w:rsid w:val="00872AED"/>
    <w:rsid w:val="00873310"/>
    <w:rsid w:val="00873B71"/>
    <w:rsid w:val="008743BB"/>
    <w:rsid w:val="00874C97"/>
    <w:rsid w:val="0087535F"/>
    <w:rsid w:val="008758A0"/>
    <w:rsid w:val="0087601A"/>
    <w:rsid w:val="0087699A"/>
    <w:rsid w:val="00877C39"/>
    <w:rsid w:val="008802B7"/>
    <w:rsid w:val="008804F0"/>
    <w:rsid w:val="008805D7"/>
    <w:rsid w:val="00882A92"/>
    <w:rsid w:val="00882AD9"/>
    <w:rsid w:val="00882B94"/>
    <w:rsid w:val="0088339C"/>
    <w:rsid w:val="00883953"/>
    <w:rsid w:val="00884709"/>
    <w:rsid w:val="0088500F"/>
    <w:rsid w:val="00885A82"/>
    <w:rsid w:val="0088601A"/>
    <w:rsid w:val="00886282"/>
    <w:rsid w:val="00886413"/>
    <w:rsid w:val="0088642F"/>
    <w:rsid w:val="00887564"/>
    <w:rsid w:val="0089031E"/>
    <w:rsid w:val="00890469"/>
    <w:rsid w:val="008906DA"/>
    <w:rsid w:val="00890C48"/>
    <w:rsid w:val="00890C95"/>
    <w:rsid w:val="0089130F"/>
    <w:rsid w:val="00891443"/>
    <w:rsid w:val="008915D8"/>
    <w:rsid w:val="0089166B"/>
    <w:rsid w:val="00891BE4"/>
    <w:rsid w:val="00892067"/>
    <w:rsid w:val="00892791"/>
    <w:rsid w:val="00892D8C"/>
    <w:rsid w:val="008934C3"/>
    <w:rsid w:val="008935C7"/>
    <w:rsid w:val="00893BC9"/>
    <w:rsid w:val="00894862"/>
    <w:rsid w:val="00894F05"/>
    <w:rsid w:val="0089576E"/>
    <w:rsid w:val="00895E4C"/>
    <w:rsid w:val="00896001"/>
    <w:rsid w:val="008969F5"/>
    <w:rsid w:val="00896D51"/>
    <w:rsid w:val="00897108"/>
    <w:rsid w:val="00897C0B"/>
    <w:rsid w:val="00897CCA"/>
    <w:rsid w:val="008A1326"/>
    <w:rsid w:val="008A1425"/>
    <w:rsid w:val="008A183D"/>
    <w:rsid w:val="008A193A"/>
    <w:rsid w:val="008A2918"/>
    <w:rsid w:val="008A326A"/>
    <w:rsid w:val="008A3459"/>
    <w:rsid w:val="008A36C1"/>
    <w:rsid w:val="008A3B56"/>
    <w:rsid w:val="008A44A0"/>
    <w:rsid w:val="008A463C"/>
    <w:rsid w:val="008A4E4D"/>
    <w:rsid w:val="008A6523"/>
    <w:rsid w:val="008A669C"/>
    <w:rsid w:val="008A6972"/>
    <w:rsid w:val="008A6A44"/>
    <w:rsid w:val="008A6A64"/>
    <w:rsid w:val="008A6B44"/>
    <w:rsid w:val="008A75E8"/>
    <w:rsid w:val="008B0ABD"/>
    <w:rsid w:val="008B0F69"/>
    <w:rsid w:val="008B1755"/>
    <w:rsid w:val="008B2056"/>
    <w:rsid w:val="008B237B"/>
    <w:rsid w:val="008B3E99"/>
    <w:rsid w:val="008B3FD2"/>
    <w:rsid w:val="008B417E"/>
    <w:rsid w:val="008B46E1"/>
    <w:rsid w:val="008B4E2B"/>
    <w:rsid w:val="008B4E39"/>
    <w:rsid w:val="008B614F"/>
    <w:rsid w:val="008B6765"/>
    <w:rsid w:val="008B6819"/>
    <w:rsid w:val="008B6FD0"/>
    <w:rsid w:val="008B718E"/>
    <w:rsid w:val="008B7F43"/>
    <w:rsid w:val="008C0B53"/>
    <w:rsid w:val="008C1548"/>
    <w:rsid w:val="008C243B"/>
    <w:rsid w:val="008C27B0"/>
    <w:rsid w:val="008C429F"/>
    <w:rsid w:val="008C437D"/>
    <w:rsid w:val="008C45B0"/>
    <w:rsid w:val="008C4986"/>
    <w:rsid w:val="008C4EF5"/>
    <w:rsid w:val="008C703C"/>
    <w:rsid w:val="008C70F0"/>
    <w:rsid w:val="008D06ED"/>
    <w:rsid w:val="008D0876"/>
    <w:rsid w:val="008D110D"/>
    <w:rsid w:val="008D14B5"/>
    <w:rsid w:val="008D164C"/>
    <w:rsid w:val="008D2C81"/>
    <w:rsid w:val="008D2CDD"/>
    <w:rsid w:val="008D2D2D"/>
    <w:rsid w:val="008D3DA9"/>
    <w:rsid w:val="008D5112"/>
    <w:rsid w:val="008D56CA"/>
    <w:rsid w:val="008D5A1A"/>
    <w:rsid w:val="008D7128"/>
    <w:rsid w:val="008D73E9"/>
    <w:rsid w:val="008D747D"/>
    <w:rsid w:val="008D7AD7"/>
    <w:rsid w:val="008D7DCC"/>
    <w:rsid w:val="008D7E6B"/>
    <w:rsid w:val="008D7FB5"/>
    <w:rsid w:val="008E04FE"/>
    <w:rsid w:val="008E0595"/>
    <w:rsid w:val="008E07BA"/>
    <w:rsid w:val="008E0A26"/>
    <w:rsid w:val="008E1331"/>
    <w:rsid w:val="008E1884"/>
    <w:rsid w:val="008E1D95"/>
    <w:rsid w:val="008E1F9E"/>
    <w:rsid w:val="008E2507"/>
    <w:rsid w:val="008E2C58"/>
    <w:rsid w:val="008E2CCF"/>
    <w:rsid w:val="008E2FE5"/>
    <w:rsid w:val="008E30AC"/>
    <w:rsid w:val="008E3D6D"/>
    <w:rsid w:val="008E4CF7"/>
    <w:rsid w:val="008E534B"/>
    <w:rsid w:val="008E5429"/>
    <w:rsid w:val="008E5A2A"/>
    <w:rsid w:val="008E7498"/>
    <w:rsid w:val="008E75F5"/>
    <w:rsid w:val="008E761D"/>
    <w:rsid w:val="008E7D67"/>
    <w:rsid w:val="008F02CA"/>
    <w:rsid w:val="008F093A"/>
    <w:rsid w:val="008F0C10"/>
    <w:rsid w:val="008F0F34"/>
    <w:rsid w:val="008F174A"/>
    <w:rsid w:val="008F2CB8"/>
    <w:rsid w:val="008F361C"/>
    <w:rsid w:val="008F4615"/>
    <w:rsid w:val="008F4ECF"/>
    <w:rsid w:val="008F4F3F"/>
    <w:rsid w:val="008F506C"/>
    <w:rsid w:val="008F5101"/>
    <w:rsid w:val="008F5415"/>
    <w:rsid w:val="008F5540"/>
    <w:rsid w:val="008F5DA2"/>
    <w:rsid w:val="008F5F77"/>
    <w:rsid w:val="008F62D2"/>
    <w:rsid w:val="008F7732"/>
    <w:rsid w:val="00901736"/>
    <w:rsid w:val="00902185"/>
    <w:rsid w:val="00902BD6"/>
    <w:rsid w:val="00902C32"/>
    <w:rsid w:val="009032BE"/>
    <w:rsid w:val="009039CE"/>
    <w:rsid w:val="00903FCD"/>
    <w:rsid w:val="0090500A"/>
    <w:rsid w:val="009050C1"/>
    <w:rsid w:val="00905E9E"/>
    <w:rsid w:val="0090692E"/>
    <w:rsid w:val="0090715A"/>
    <w:rsid w:val="009076C7"/>
    <w:rsid w:val="00910036"/>
    <w:rsid w:val="00910D18"/>
    <w:rsid w:val="00910D50"/>
    <w:rsid w:val="00911250"/>
    <w:rsid w:val="00911B29"/>
    <w:rsid w:val="00911BAA"/>
    <w:rsid w:val="0091452E"/>
    <w:rsid w:val="00914D62"/>
    <w:rsid w:val="00915E2A"/>
    <w:rsid w:val="00915E7B"/>
    <w:rsid w:val="0091658B"/>
    <w:rsid w:val="009166F1"/>
    <w:rsid w:val="00917107"/>
    <w:rsid w:val="0091718D"/>
    <w:rsid w:val="00917A34"/>
    <w:rsid w:val="00917EE1"/>
    <w:rsid w:val="00920471"/>
    <w:rsid w:val="009208BA"/>
    <w:rsid w:val="009208E0"/>
    <w:rsid w:val="00920913"/>
    <w:rsid w:val="00920932"/>
    <w:rsid w:val="00920E9D"/>
    <w:rsid w:val="009216C4"/>
    <w:rsid w:val="00921E20"/>
    <w:rsid w:val="00922424"/>
    <w:rsid w:val="00922A21"/>
    <w:rsid w:val="00922FAC"/>
    <w:rsid w:val="00923562"/>
    <w:rsid w:val="0092381B"/>
    <w:rsid w:val="0092383F"/>
    <w:rsid w:val="009249B0"/>
    <w:rsid w:val="00925604"/>
    <w:rsid w:val="0092603E"/>
    <w:rsid w:val="00926663"/>
    <w:rsid w:val="009269D6"/>
    <w:rsid w:val="00926CD3"/>
    <w:rsid w:val="00927007"/>
    <w:rsid w:val="00927B6C"/>
    <w:rsid w:val="00930024"/>
    <w:rsid w:val="009315B3"/>
    <w:rsid w:val="00931759"/>
    <w:rsid w:val="00931998"/>
    <w:rsid w:val="00932A4F"/>
    <w:rsid w:val="00932D97"/>
    <w:rsid w:val="00932FA8"/>
    <w:rsid w:val="00933325"/>
    <w:rsid w:val="009342C6"/>
    <w:rsid w:val="00934BDE"/>
    <w:rsid w:val="009351F9"/>
    <w:rsid w:val="00936530"/>
    <w:rsid w:val="009369EC"/>
    <w:rsid w:val="009409BD"/>
    <w:rsid w:val="00940A37"/>
    <w:rsid w:val="009414CE"/>
    <w:rsid w:val="009429DD"/>
    <w:rsid w:val="00942BD9"/>
    <w:rsid w:val="00942C65"/>
    <w:rsid w:val="009430D6"/>
    <w:rsid w:val="0094353D"/>
    <w:rsid w:val="00943570"/>
    <w:rsid w:val="00943EA8"/>
    <w:rsid w:val="00944234"/>
    <w:rsid w:val="00944483"/>
    <w:rsid w:val="00944A2F"/>
    <w:rsid w:val="00944C11"/>
    <w:rsid w:val="00944DE8"/>
    <w:rsid w:val="00945450"/>
    <w:rsid w:val="009457C7"/>
    <w:rsid w:val="00945929"/>
    <w:rsid w:val="00945D15"/>
    <w:rsid w:val="00945F6E"/>
    <w:rsid w:val="00946815"/>
    <w:rsid w:val="00946A6C"/>
    <w:rsid w:val="00946EE2"/>
    <w:rsid w:val="009479CA"/>
    <w:rsid w:val="00950145"/>
    <w:rsid w:val="00952378"/>
    <w:rsid w:val="00952DC7"/>
    <w:rsid w:val="00952ED7"/>
    <w:rsid w:val="009539EE"/>
    <w:rsid w:val="00953BC5"/>
    <w:rsid w:val="00953F1A"/>
    <w:rsid w:val="00954268"/>
    <w:rsid w:val="00954D2D"/>
    <w:rsid w:val="00954E3C"/>
    <w:rsid w:val="0095550A"/>
    <w:rsid w:val="00955724"/>
    <w:rsid w:val="00955AE3"/>
    <w:rsid w:val="00955D28"/>
    <w:rsid w:val="00955EFA"/>
    <w:rsid w:val="009562CF"/>
    <w:rsid w:val="00957E6C"/>
    <w:rsid w:val="00960BD3"/>
    <w:rsid w:val="00961D70"/>
    <w:rsid w:val="009621FB"/>
    <w:rsid w:val="00962584"/>
    <w:rsid w:val="00962912"/>
    <w:rsid w:val="00962EBA"/>
    <w:rsid w:val="0096311B"/>
    <w:rsid w:val="0096361A"/>
    <w:rsid w:val="00963A37"/>
    <w:rsid w:val="00963CD7"/>
    <w:rsid w:val="00963FFC"/>
    <w:rsid w:val="0096414C"/>
    <w:rsid w:val="00964224"/>
    <w:rsid w:val="009650C9"/>
    <w:rsid w:val="00965609"/>
    <w:rsid w:val="00965F3B"/>
    <w:rsid w:val="00967316"/>
    <w:rsid w:val="00970499"/>
    <w:rsid w:val="00970B4B"/>
    <w:rsid w:val="009710DD"/>
    <w:rsid w:val="009722B7"/>
    <w:rsid w:val="009726EC"/>
    <w:rsid w:val="009729DF"/>
    <w:rsid w:val="00972B92"/>
    <w:rsid w:val="009732F2"/>
    <w:rsid w:val="00973598"/>
    <w:rsid w:val="00973CDC"/>
    <w:rsid w:val="00974552"/>
    <w:rsid w:val="0097469E"/>
    <w:rsid w:val="00975974"/>
    <w:rsid w:val="00976C8F"/>
    <w:rsid w:val="00976DC1"/>
    <w:rsid w:val="00976F02"/>
    <w:rsid w:val="00976F9D"/>
    <w:rsid w:val="00977012"/>
    <w:rsid w:val="009770B3"/>
    <w:rsid w:val="0097737A"/>
    <w:rsid w:val="009773BD"/>
    <w:rsid w:val="009775E6"/>
    <w:rsid w:val="0098057E"/>
    <w:rsid w:val="009805E5"/>
    <w:rsid w:val="0098070B"/>
    <w:rsid w:val="009807C5"/>
    <w:rsid w:val="009808BD"/>
    <w:rsid w:val="009818D6"/>
    <w:rsid w:val="0098216E"/>
    <w:rsid w:val="009826DF"/>
    <w:rsid w:val="00983645"/>
    <w:rsid w:val="00983B11"/>
    <w:rsid w:val="00983C25"/>
    <w:rsid w:val="00984355"/>
    <w:rsid w:val="00984A0C"/>
    <w:rsid w:val="00985D80"/>
    <w:rsid w:val="009862E7"/>
    <w:rsid w:val="009863DF"/>
    <w:rsid w:val="00986460"/>
    <w:rsid w:val="00986501"/>
    <w:rsid w:val="009872B4"/>
    <w:rsid w:val="00987F3A"/>
    <w:rsid w:val="00990392"/>
    <w:rsid w:val="0099107D"/>
    <w:rsid w:val="00991968"/>
    <w:rsid w:val="00992FA5"/>
    <w:rsid w:val="00993985"/>
    <w:rsid w:val="009943BB"/>
    <w:rsid w:val="009946F0"/>
    <w:rsid w:val="00994A7B"/>
    <w:rsid w:val="00994C07"/>
    <w:rsid w:val="00994FF8"/>
    <w:rsid w:val="009966A6"/>
    <w:rsid w:val="00996861"/>
    <w:rsid w:val="00997348"/>
    <w:rsid w:val="00997BB3"/>
    <w:rsid w:val="009A0171"/>
    <w:rsid w:val="009A02A9"/>
    <w:rsid w:val="009A0857"/>
    <w:rsid w:val="009A0C35"/>
    <w:rsid w:val="009A1051"/>
    <w:rsid w:val="009A16CA"/>
    <w:rsid w:val="009A1AF9"/>
    <w:rsid w:val="009A1D4B"/>
    <w:rsid w:val="009A1DB4"/>
    <w:rsid w:val="009A2551"/>
    <w:rsid w:val="009A2A93"/>
    <w:rsid w:val="009A2BDE"/>
    <w:rsid w:val="009A2EA0"/>
    <w:rsid w:val="009A301C"/>
    <w:rsid w:val="009A3454"/>
    <w:rsid w:val="009A3624"/>
    <w:rsid w:val="009A3B83"/>
    <w:rsid w:val="009A4126"/>
    <w:rsid w:val="009A436C"/>
    <w:rsid w:val="009A4581"/>
    <w:rsid w:val="009A4E56"/>
    <w:rsid w:val="009A4F49"/>
    <w:rsid w:val="009A50B9"/>
    <w:rsid w:val="009A562D"/>
    <w:rsid w:val="009A5E1F"/>
    <w:rsid w:val="009A6040"/>
    <w:rsid w:val="009A6360"/>
    <w:rsid w:val="009A640D"/>
    <w:rsid w:val="009A6591"/>
    <w:rsid w:val="009A6D5A"/>
    <w:rsid w:val="009A6DA0"/>
    <w:rsid w:val="009A76E7"/>
    <w:rsid w:val="009A7FD1"/>
    <w:rsid w:val="009B050A"/>
    <w:rsid w:val="009B0760"/>
    <w:rsid w:val="009B0FD6"/>
    <w:rsid w:val="009B1709"/>
    <w:rsid w:val="009B2785"/>
    <w:rsid w:val="009B4C59"/>
    <w:rsid w:val="009B597B"/>
    <w:rsid w:val="009B5F61"/>
    <w:rsid w:val="009B669D"/>
    <w:rsid w:val="009B67C1"/>
    <w:rsid w:val="009B6B39"/>
    <w:rsid w:val="009B6FF2"/>
    <w:rsid w:val="009B78C2"/>
    <w:rsid w:val="009C0089"/>
    <w:rsid w:val="009C185F"/>
    <w:rsid w:val="009C2833"/>
    <w:rsid w:val="009C4519"/>
    <w:rsid w:val="009C4E7D"/>
    <w:rsid w:val="009C5024"/>
    <w:rsid w:val="009C5D52"/>
    <w:rsid w:val="009C614B"/>
    <w:rsid w:val="009C65BE"/>
    <w:rsid w:val="009C65EC"/>
    <w:rsid w:val="009C6B70"/>
    <w:rsid w:val="009C7E1D"/>
    <w:rsid w:val="009D03A0"/>
    <w:rsid w:val="009D04EE"/>
    <w:rsid w:val="009D0AB4"/>
    <w:rsid w:val="009D124E"/>
    <w:rsid w:val="009D141D"/>
    <w:rsid w:val="009D17B6"/>
    <w:rsid w:val="009D1EF4"/>
    <w:rsid w:val="009D2904"/>
    <w:rsid w:val="009D2BC0"/>
    <w:rsid w:val="009D2FEE"/>
    <w:rsid w:val="009D32AF"/>
    <w:rsid w:val="009D3447"/>
    <w:rsid w:val="009D3679"/>
    <w:rsid w:val="009D3A92"/>
    <w:rsid w:val="009D43A9"/>
    <w:rsid w:val="009D43F3"/>
    <w:rsid w:val="009D4FD5"/>
    <w:rsid w:val="009D6493"/>
    <w:rsid w:val="009D6DC7"/>
    <w:rsid w:val="009D6E04"/>
    <w:rsid w:val="009D7494"/>
    <w:rsid w:val="009D78F9"/>
    <w:rsid w:val="009E0CB0"/>
    <w:rsid w:val="009E0E58"/>
    <w:rsid w:val="009E0F90"/>
    <w:rsid w:val="009E111B"/>
    <w:rsid w:val="009E1188"/>
    <w:rsid w:val="009E11A4"/>
    <w:rsid w:val="009E1634"/>
    <w:rsid w:val="009E19B7"/>
    <w:rsid w:val="009E205C"/>
    <w:rsid w:val="009E36AA"/>
    <w:rsid w:val="009E37AC"/>
    <w:rsid w:val="009E3A31"/>
    <w:rsid w:val="009E3C68"/>
    <w:rsid w:val="009E429A"/>
    <w:rsid w:val="009E4497"/>
    <w:rsid w:val="009E48AE"/>
    <w:rsid w:val="009E5131"/>
    <w:rsid w:val="009E513A"/>
    <w:rsid w:val="009E55C5"/>
    <w:rsid w:val="009E6526"/>
    <w:rsid w:val="009E6CDC"/>
    <w:rsid w:val="009E7498"/>
    <w:rsid w:val="009E75BE"/>
    <w:rsid w:val="009F0EC7"/>
    <w:rsid w:val="009F12A5"/>
    <w:rsid w:val="009F1358"/>
    <w:rsid w:val="009F1423"/>
    <w:rsid w:val="009F16AE"/>
    <w:rsid w:val="009F1C74"/>
    <w:rsid w:val="009F46D2"/>
    <w:rsid w:val="009F48A3"/>
    <w:rsid w:val="009F4A09"/>
    <w:rsid w:val="009F5939"/>
    <w:rsid w:val="009F68A3"/>
    <w:rsid w:val="009F6B70"/>
    <w:rsid w:val="009F701F"/>
    <w:rsid w:val="009F7577"/>
    <w:rsid w:val="00A00200"/>
    <w:rsid w:val="00A005E3"/>
    <w:rsid w:val="00A0072B"/>
    <w:rsid w:val="00A01168"/>
    <w:rsid w:val="00A0147C"/>
    <w:rsid w:val="00A0151A"/>
    <w:rsid w:val="00A017ED"/>
    <w:rsid w:val="00A01C02"/>
    <w:rsid w:val="00A02ADB"/>
    <w:rsid w:val="00A02B8E"/>
    <w:rsid w:val="00A02F59"/>
    <w:rsid w:val="00A0301A"/>
    <w:rsid w:val="00A0307F"/>
    <w:rsid w:val="00A032D9"/>
    <w:rsid w:val="00A0342E"/>
    <w:rsid w:val="00A0400C"/>
    <w:rsid w:val="00A044F8"/>
    <w:rsid w:val="00A04649"/>
    <w:rsid w:val="00A056CF"/>
    <w:rsid w:val="00A057E0"/>
    <w:rsid w:val="00A05A53"/>
    <w:rsid w:val="00A05CFF"/>
    <w:rsid w:val="00A05DA4"/>
    <w:rsid w:val="00A07644"/>
    <w:rsid w:val="00A078A4"/>
    <w:rsid w:val="00A07DCC"/>
    <w:rsid w:val="00A106BF"/>
    <w:rsid w:val="00A10715"/>
    <w:rsid w:val="00A10898"/>
    <w:rsid w:val="00A11157"/>
    <w:rsid w:val="00A11221"/>
    <w:rsid w:val="00A11563"/>
    <w:rsid w:val="00A120A2"/>
    <w:rsid w:val="00A12100"/>
    <w:rsid w:val="00A12221"/>
    <w:rsid w:val="00A1235F"/>
    <w:rsid w:val="00A12391"/>
    <w:rsid w:val="00A12BA6"/>
    <w:rsid w:val="00A1302F"/>
    <w:rsid w:val="00A13883"/>
    <w:rsid w:val="00A14B9D"/>
    <w:rsid w:val="00A14DBE"/>
    <w:rsid w:val="00A1503C"/>
    <w:rsid w:val="00A15188"/>
    <w:rsid w:val="00A15DA7"/>
    <w:rsid w:val="00A161FD"/>
    <w:rsid w:val="00A169CA"/>
    <w:rsid w:val="00A1725D"/>
    <w:rsid w:val="00A1767E"/>
    <w:rsid w:val="00A2079D"/>
    <w:rsid w:val="00A20AB5"/>
    <w:rsid w:val="00A21820"/>
    <w:rsid w:val="00A21BE9"/>
    <w:rsid w:val="00A22596"/>
    <w:rsid w:val="00A231ED"/>
    <w:rsid w:val="00A23C03"/>
    <w:rsid w:val="00A24559"/>
    <w:rsid w:val="00A25503"/>
    <w:rsid w:val="00A25F16"/>
    <w:rsid w:val="00A26395"/>
    <w:rsid w:val="00A27659"/>
    <w:rsid w:val="00A27E89"/>
    <w:rsid w:val="00A30422"/>
    <w:rsid w:val="00A317D2"/>
    <w:rsid w:val="00A31808"/>
    <w:rsid w:val="00A31883"/>
    <w:rsid w:val="00A32045"/>
    <w:rsid w:val="00A33271"/>
    <w:rsid w:val="00A33CB0"/>
    <w:rsid w:val="00A3469B"/>
    <w:rsid w:val="00A34DF7"/>
    <w:rsid w:val="00A358A1"/>
    <w:rsid w:val="00A3621C"/>
    <w:rsid w:val="00A36441"/>
    <w:rsid w:val="00A37272"/>
    <w:rsid w:val="00A37537"/>
    <w:rsid w:val="00A37A7B"/>
    <w:rsid w:val="00A40102"/>
    <w:rsid w:val="00A40161"/>
    <w:rsid w:val="00A40CA8"/>
    <w:rsid w:val="00A420AA"/>
    <w:rsid w:val="00A42572"/>
    <w:rsid w:val="00A4262F"/>
    <w:rsid w:val="00A42EA2"/>
    <w:rsid w:val="00A4367F"/>
    <w:rsid w:val="00A436C9"/>
    <w:rsid w:val="00A449A5"/>
    <w:rsid w:val="00A44F4B"/>
    <w:rsid w:val="00A45659"/>
    <w:rsid w:val="00A45891"/>
    <w:rsid w:val="00A45CDF"/>
    <w:rsid w:val="00A466E7"/>
    <w:rsid w:val="00A47693"/>
    <w:rsid w:val="00A47F2D"/>
    <w:rsid w:val="00A50219"/>
    <w:rsid w:val="00A50317"/>
    <w:rsid w:val="00A512D3"/>
    <w:rsid w:val="00A51382"/>
    <w:rsid w:val="00A51AA1"/>
    <w:rsid w:val="00A51D07"/>
    <w:rsid w:val="00A52132"/>
    <w:rsid w:val="00A52221"/>
    <w:rsid w:val="00A525EF"/>
    <w:rsid w:val="00A52EE3"/>
    <w:rsid w:val="00A53258"/>
    <w:rsid w:val="00A532BC"/>
    <w:rsid w:val="00A53E27"/>
    <w:rsid w:val="00A53E7E"/>
    <w:rsid w:val="00A54651"/>
    <w:rsid w:val="00A54905"/>
    <w:rsid w:val="00A54AA5"/>
    <w:rsid w:val="00A5566F"/>
    <w:rsid w:val="00A5585B"/>
    <w:rsid w:val="00A56755"/>
    <w:rsid w:val="00A5690D"/>
    <w:rsid w:val="00A56936"/>
    <w:rsid w:val="00A569C2"/>
    <w:rsid w:val="00A56BD4"/>
    <w:rsid w:val="00A600CA"/>
    <w:rsid w:val="00A607F5"/>
    <w:rsid w:val="00A60B35"/>
    <w:rsid w:val="00A60B3F"/>
    <w:rsid w:val="00A60E83"/>
    <w:rsid w:val="00A6128A"/>
    <w:rsid w:val="00A61317"/>
    <w:rsid w:val="00A615F0"/>
    <w:rsid w:val="00A61AEB"/>
    <w:rsid w:val="00A6286B"/>
    <w:rsid w:val="00A628B3"/>
    <w:rsid w:val="00A637FE"/>
    <w:rsid w:val="00A63C1B"/>
    <w:rsid w:val="00A641A3"/>
    <w:rsid w:val="00A6543B"/>
    <w:rsid w:val="00A65F2F"/>
    <w:rsid w:val="00A66BE3"/>
    <w:rsid w:val="00A66EBB"/>
    <w:rsid w:val="00A6714E"/>
    <w:rsid w:val="00A672CC"/>
    <w:rsid w:val="00A6789C"/>
    <w:rsid w:val="00A67CE5"/>
    <w:rsid w:val="00A67EAE"/>
    <w:rsid w:val="00A70256"/>
    <w:rsid w:val="00A70540"/>
    <w:rsid w:val="00A70844"/>
    <w:rsid w:val="00A70A02"/>
    <w:rsid w:val="00A7170A"/>
    <w:rsid w:val="00A71906"/>
    <w:rsid w:val="00A71BEE"/>
    <w:rsid w:val="00A71D10"/>
    <w:rsid w:val="00A73B82"/>
    <w:rsid w:val="00A74B0A"/>
    <w:rsid w:val="00A770A7"/>
    <w:rsid w:val="00A775DD"/>
    <w:rsid w:val="00A77EDB"/>
    <w:rsid w:val="00A8027A"/>
    <w:rsid w:val="00A80387"/>
    <w:rsid w:val="00A80891"/>
    <w:rsid w:val="00A8097F"/>
    <w:rsid w:val="00A81351"/>
    <w:rsid w:val="00A817F8"/>
    <w:rsid w:val="00A8212B"/>
    <w:rsid w:val="00A825C1"/>
    <w:rsid w:val="00A82983"/>
    <w:rsid w:val="00A82A33"/>
    <w:rsid w:val="00A82AA6"/>
    <w:rsid w:val="00A82C02"/>
    <w:rsid w:val="00A82CD1"/>
    <w:rsid w:val="00A83477"/>
    <w:rsid w:val="00A835A2"/>
    <w:rsid w:val="00A839D3"/>
    <w:rsid w:val="00A8420D"/>
    <w:rsid w:val="00A84C76"/>
    <w:rsid w:val="00A84E91"/>
    <w:rsid w:val="00A85279"/>
    <w:rsid w:val="00A85528"/>
    <w:rsid w:val="00A855CC"/>
    <w:rsid w:val="00A8774B"/>
    <w:rsid w:val="00A878D4"/>
    <w:rsid w:val="00A903FD"/>
    <w:rsid w:val="00A90D78"/>
    <w:rsid w:val="00A90EA3"/>
    <w:rsid w:val="00A90FC0"/>
    <w:rsid w:val="00A91741"/>
    <w:rsid w:val="00A91AD8"/>
    <w:rsid w:val="00A92090"/>
    <w:rsid w:val="00A92309"/>
    <w:rsid w:val="00A924A7"/>
    <w:rsid w:val="00A9282B"/>
    <w:rsid w:val="00A92B53"/>
    <w:rsid w:val="00A92C2A"/>
    <w:rsid w:val="00A92DD4"/>
    <w:rsid w:val="00A93AA9"/>
    <w:rsid w:val="00A94132"/>
    <w:rsid w:val="00A948F7"/>
    <w:rsid w:val="00A952A6"/>
    <w:rsid w:val="00A9571C"/>
    <w:rsid w:val="00A95B15"/>
    <w:rsid w:val="00A95C17"/>
    <w:rsid w:val="00A95E6C"/>
    <w:rsid w:val="00A95FCB"/>
    <w:rsid w:val="00A963FA"/>
    <w:rsid w:val="00A96660"/>
    <w:rsid w:val="00A9677B"/>
    <w:rsid w:val="00A97AC5"/>
    <w:rsid w:val="00A97CD4"/>
    <w:rsid w:val="00AA150C"/>
    <w:rsid w:val="00AA217D"/>
    <w:rsid w:val="00AA2D3C"/>
    <w:rsid w:val="00AA2EE7"/>
    <w:rsid w:val="00AA351F"/>
    <w:rsid w:val="00AA3605"/>
    <w:rsid w:val="00AA3A17"/>
    <w:rsid w:val="00AA3AD6"/>
    <w:rsid w:val="00AA40C5"/>
    <w:rsid w:val="00AA444B"/>
    <w:rsid w:val="00AA492C"/>
    <w:rsid w:val="00AA51AA"/>
    <w:rsid w:val="00AA528F"/>
    <w:rsid w:val="00AA54F2"/>
    <w:rsid w:val="00AA5DD2"/>
    <w:rsid w:val="00AA740A"/>
    <w:rsid w:val="00AA7DB2"/>
    <w:rsid w:val="00AA7F0B"/>
    <w:rsid w:val="00AB007D"/>
    <w:rsid w:val="00AB07A1"/>
    <w:rsid w:val="00AB1407"/>
    <w:rsid w:val="00AB2124"/>
    <w:rsid w:val="00AB2990"/>
    <w:rsid w:val="00AB2AB4"/>
    <w:rsid w:val="00AB2B17"/>
    <w:rsid w:val="00AB324D"/>
    <w:rsid w:val="00AB3441"/>
    <w:rsid w:val="00AB3D65"/>
    <w:rsid w:val="00AB3FCE"/>
    <w:rsid w:val="00AB4348"/>
    <w:rsid w:val="00AB4635"/>
    <w:rsid w:val="00AB466A"/>
    <w:rsid w:val="00AB46CE"/>
    <w:rsid w:val="00AB6080"/>
    <w:rsid w:val="00AB6667"/>
    <w:rsid w:val="00AB6E41"/>
    <w:rsid w:val="00AB73C1"/>
    <w:rsid w:val="00AB7E69"/>
    <w:rsid w:val="00AC0B44"/>
    <w:rsid w:val="00AC0E62"/>
    <w:rsid w:val="00AC1FF4"/>
    <w:rsid w:val="00AC25B7"/>
    <w:rsid w:val="00AC29C6"/>
    <w:rsid w:val="00AC3213"/>
    <w:rsid w:val="00AC3F3F"/>
    <w:rsid w:val="00AC48E5"/>
    <w:rsid w:val="00AC4EC3"/>
    <w:rsid w:val="00AC510B"/>
    <w:rsid w:val="00AC5391"/>
    <w:rsid w:val="00AC55B4"/>
    <w:rsid w:val="00AC58D5"/>
    <w:rsid w:val="00AC6402"/>
    <w:rsid w:val="00AD022E"/>
    <w:rsid w:val="00AD0B3F"/>
    <w:rsid w:val="00AD0C22"/>
    <w:rsid w:val="00AD363E"/>
    <w:rsid w:val="00AD3C43"/>
    <w:rsid w:val="00AD5E68"/>
    <w:rsid w:val="00AD60D4"/>
    <w:rsid w:val="00AD6D42"/>
    <w:rsid w:val="00AD7DA6"/>
    <w:rsid w:val="00AD7E2B"/>
    <w:rsid w:val="00AE0505"/>
    <w:rsid w:val="00AE0A41"/>
    <w:rsid w:val="00AE10C5"/>
    <w:rsid w:val="00AE1790"/>
    <w:rsid w:val="00AE1CAF"/>
    <w:rsid w:val="00AE2CDB"/>
    <w:rsid w:val="00AE35E8"/>
    <w:rsid w:val="00AE3D60"/>
    <w:rsid w:val="00AE4DB6"/>
    <w:rsid w:val="00AE59A1"/>
    <w:rsid w:val="00AE59ED"/>
    <w:rsid w:val="00AE607A"/>
    <w:rsid w:val="00AE644F"/>
    <w:rsid w:val="00AE7289"/>
    <w:rsid w:val="00AE746E"/>
    <w:rsid w:val="00AE7614"/>
    <w:rsid w:val="00AE78F7"/>
    <w:rsid w:val="00AF03DD"/>
    <w:rsid w:val="00AF0D80"/>
    <w:rsid w:val="00AF1794"/>
    <w:rsid w:val="00AF21B7"/>
    <w:rsid w:val="00AF3263"/>
    <w:rsid w:val="00AF32CD"/>
    <w:rsid w:val="00AF395A"/>
    <w:rsid w:val="00AF3962"/>
    <w:rsid w:val="00AF4CE8"/>
    <w:rsid w:val="00AF5664"/>
    <w:rsid w:val="00AF6358"/>
    <w:rsid w:val="00AF6FFF"/>
    <w:rsid w:val="00AF7CC3"/>
    <w:rsid w:val="00B000CD"/>
    <w:rsid w:val="00B00100"/>
    <w:rsid w:val="00B0031B"/>
    <w:rsid w:val="00B00A88"/>
    <w:rsid w:val="00B00C3B"/>
    <w:rsid w:val="00B00E5B"/>
    <w:rsid w:val="00B01A38"/>
    <w:rsid w:val="00B01E3A"/>
    <w:rsid w:val="00B020BD"/>
    <w:rsid w:val="00B02632"/>
    <w:rsid w:val="00B027D8"/>
    <w:rsid w:val="00B02898"/>
    <w:rsid w:val="00B02C9B"/>
    <w:rsid w:val="00B02DBC"/>
    <w:rsid w:val="00B040F2"/>
    <w:rsid w:val="00B052A1"/>
    <w:rsid w:val="00B05ADE"/>
    <w:rsid w:val="00B06BF0"/>
    <w:rsid w:val="00B06DD3"/>
    <w:rsid w:val="00B076B6"/>
    <w:rsid w:val="00B0785B"/>
    <w:rsid w:val="00B078E2"/>
    <w:rsid w:val="00B078FC"/>
    <w:rsid w:val="00B0793C"/>
    <w:rsid w:val="00B104E5"/>
    <w:rsid w:val="00B105E0"/>
    <w:rsid w:val="00B10EBF"/>
    <w:rsid w:val="00B110EC"/>
    <w:rsid w:val="00B112EC"/>
    <w:rsid w:val="00B11749"/>
    <w:rsid w:val="00B13AC9"/>
    <w:rsid w:val="00B14909"/>
    <w:rsid w:val="00B154C7"/>
    <w:rsid w:val="00B1633A"/>
    <w:rsid w:val="00B165F9"/>
    <w:rsid w:val="00B167EF"/>
    <w:rsid w:val="00B17327"/>
    <w:rsid w:val="00B174EF"/>
    <w:rsid w:val="00B20001"/>
    <w:rsid w:val="00B20550"/>
    <w:rsid w:val="00B20B33"/>
    <w:rsid w:val="00B215F3"/>
    <w:rsid w:val="00B21863"/>
    <w:rsid w:val="00B222D7"/>
    <w:rsid w:val="00B22937"/>
    <w:rsid w:val="00B2377C"/>
    <w:rsid w:val="00B239D2"/>
    <w:rsid w:val="00B23B66"/>
    <w:rsid w:val="00B23E61"/>
    <w:rsid w:val="00B251DE"/>
    <w:rsid w:val="00B2560B"/>
    <w:rsid w:val="00B2622C"/>
    <w:rsid w:val="00B262D1"/>
    <w:rsid w:val="00B2638A"/>
    <w:rsid w:val="00B26518"/>
    <w:rsid w:val="00B274DD"/>
    <w:rsid w:val="00B2795C"/>
    <w:rsid w:val="00B27EF3"/>
    <w:rsid w:val="00B30304"/>
    <w:rsid w:val="00B3055C"/>
    <w:rsid w:val="00B30844"/>
    <w:rsid w:val="00B30AF6"/>
    <w:rsid w:val="00B3100D"/>
    <w:rsid w:val="00B3113F"/>
    <w:rsid w:val="00B3155B"/>
    <w:rsid w:val="00B3188B"/>
    <w:rsid w:val="00B3280B"/>
    <w:rsid w:val="00B3282A"/>
    <w:rsid w:val="00B351B6"/>
    <w:rsid w:val="00B356FB"/>
    <w:rsid w:val="00B364E8"/>
    <w:rsid w:val="00B36A2E"/>
    <w:rsid w:val="00B3709A"/>
    <w:rsid w:val="00B374FE"/>
    <w:rsid w:val="00B37BF0"/>
    <w:rsid w:val="00B37DB0"/>
    <w:rsid w:val="00B40BAE"/>
    <w:rsid w:val="00B41001"/>
    <w:rsid w:val="00B41318"/>
    <w:rsid w:val="00B418D0"/>
    <w:rsid w:val="00B4203E"/>
    <w:rsid w:val="00B425ED"/>
    <w:rsid w:val="00B43474"/>
    <w:rsid w:val="00B4444F"/>
    <w:rsid w:val="00B44683"/>
    <w:rsid w:val="00B4544C"/>
    <w:rsid w:val="00B45695"/>
    <w:rsid w:val="00B47CF1"/>
    <w:rsid w:val="00B50316"/>
    <w:rsid w:val="00B511DF"/>
    <w:rsid w:val="00B514B1"/>
    <w:rsid w:val="00B53F15"/>
    <w:rsid w:val="00B54012"/>
    <w:rsid w:val="00B54083"/>
    <w:rsid w:val="00B54287"/>
    <w:rsid w:val="00B5461E"/>
    <w:rsid w:val="00B5485B"/>
    <w:rsid w:val="00B5486A"/>
    <w:rsid w:val="00B56920"/>
    <w:rsid w:val="00B5757F"/>
    <w:rsid w:val="00B57850"/>
    <w:rsid w:val="00B607D2"/>
    <w:rsid w:val="00B60EA9"/>
    <w:rsid w:val="00B6108C"/>
    <w:rsid w:val="00B61093"/>
    <w:rsid w:val="00B6213D"/>
    <w:rsid w:val="00B62221"/>
    <w:rsid w:val="00B62B64"/>
    <w:rsid w:val="00B62E06"/>
    <w:rsid w:val="00B6355F"/>
    <w:rsid w:val="00B6432D"/>
    <w:rsid w:val="00B64E1F"/>
    <w:rsid w:val="00B65599"/>
    <w:rsid w:val="00B655E4"/>
    <w:rsid w:val="00B6561A"/>
    <w:rsid w:val="00B65DDA"/>
    <w:rsid w:val="00B660B5"/>
    <w:rsid w:val="00B6637F"/>
    <w:rsid w:val="00B6676A"/>
    <w:rsid w:val="00B66A4E"/>
    <w:rsid w:val="00B67F1C"/>
    <w:rsid w:val="00B7044B"/>
    <w:rsid w:val="00B70B30"/>
    <w:rsid w:val="00B70DE1"/>
    <w:rsid w:val="00B71B71"/>
    <w:rsid w:val="00B73525"/>
    <w:rsid w:val="00B739B4"/>
    <w:rsid w:val="00B74012"/>
    <w:rsid w:val="00B743BA"/>
    <w:rsid w:val="00B758F0"/>
    <w:rsid w:val="00B7648A"/>
    <w:rsid w:val="00B76726"/>
    <w:rsid w:val="00B7710C"/>
    <w:rsid w:val="00B800CF"/>
    <w:rsid w:val="00B801DA"/>
    <w:rsid w:val="00B8020B"/>
    <w:rsid w:val="00B80260"/>
    <w:rsid w:val="00B80424"/>
    <w:rsid w:val="00B80426"/>
    <w:rsid w:val="00B81101"/>
    <w:rsid w:val="00B81680"/>
    <w:rsid w:val="00B81A07"/>
    <w:rsid w:val="00B8200C"/>
    <w:rsid w:val="00B82024"/>
    <w:rsid w:val="00B82508"/>
    <w:rsid w:val="00B82932"/>
    <w:rsid w:val="00B83828"/>
    <w:rsid w:val="00B84149"/>
    <w:rsid w:val="00B845E1"/>
    <w:rsid w:val="00B8471E"/>
    <w:rsid w:val="00B84A6D"/>
    <w:rsid w:val="00B84B75"/>
    <w:rsid w:val="00B85007"/>
    <w:rsid w:val="00B853F8"/>
    <w:rsid w:val="00B854E4"/>
    <w:rsid w:val="00B8659F"/>
    <w:rsid w:val="00B86AE2"/>
    <w:rsid w:val="00B907EF"/>
    <w:rsid w:val="00B91103"/>
    <w:rsid w:val="00B91CA9"/>
    <w:rsid w:val="00B92024"/>
    <w:rsid w:val="00B926E9"/>
    <w:rsid w:val="00B92BF4"/>
    <w:rsid w:val="00B92EFD"/>
    <w:rsid w:val="00B93B69"/>
    <w:rsid w:val="00B943A8"/>
    <w:rsid w:val="00B948C8"/>
    <w:rsid w:val="00B95838"/>
    <w:rsid w:val="00B96022"/>
    <w:rsid w:val="00B96CAA"/>
    <w:rsid w:val="00B96EFF"/>
    <w:rsid w:val="00B9716F"/>
    <w:rsid w:val="00B9764E"/>
    <w:rsid w:val="00B978F7"/>
    <w:rsid w:val="00B97FAA"/>
    <w:rsid w:val="00BA0453"/>
    <w:rsid w:val="00BA048C"/>
    <w:rsid w:val="00BA0709"/>
    <w:rsid w:val="00BA109E"/>
    <w:rsid w:val="00BA120C"/>
    <w:rsid w:val="00BA1800"/>
    <w:rsid w:val="00BA2370"/>
    <w:rsid w:val="00BA2541"/>
    <w:rsid w:val="00BA2861"/>
    <w:rsid w:val="00BA2F46"/>
    <w:rsid w:val="00BA3B96"/>
    <w:rsid w:val="00BA3DF5"/>
    <w:rsid w:val="00BA4180"/>
    <w:rsid w:val="00BA4AE4"/>
    <w:rsid w:val="00BA64D1"/>
    <w:rsid w:val="00BA67E3"/>
    <w:rsid w:val="00BA6E63"/>
    <w:rsid w:val="00BA6F3C"/>
    <w:rsid w:val="00BA7372"/>
    <w:rsid w:val="00BB0196"/>
    <w:rsid w:val="00BB02B1"/>
    <w:rsid w:val="00BB0316"/>
    <w:rsid w:val="00BB041B"/>
    <w:rsid w:val="00BB1778"/>
    <w:rsid w:val="00BB1F2F"/>
    <w:rsid w:val="00BB2360"/>
    <w:rsid w:val="00BB25E3"/>
    <w:rsid w:val="00BB2771"/>
    <w:rsid w:val="00BB2ADF"/>
    <w:rsid w:val="00BB425E"/>
    <w:rsid w:val="00BB720B"/>
    <w:rsid w:val="00BB7ADE"/>
    <w:rsid w:val="00BB7F15"/>
    <w:rsid w:val="00BC08BB"/>
    <w:rsid w:val="00BC0988"/>
    <w:rsid w:val="00BC1454"/>
    <w:rsid w:val="00BC172D"/>
    <w:rsid w:val="00BC1E1F"/>
    <w:rsid w:val="00BC237F"/>
    <w:rsid w:val="00BC263F"/>
    <w:rsid w:val="00BC280F"/>
    <w:rsid w:val="00BC3845"/>
    <w:rsid w:val="00BC43B1"/>
    <w:rsid w:val="00BC4CDE"/>
    <w:rsid w:val="00BC6293"/>
    <w:rsid w:val="00BC67DA"/>
    <w:rsid w:val="00BC68AE"/>
    <w:rsid w:val="00BC6941"/>
    <w:rsid w:val="00BC716A"/>
    <w:rsid w:val="00BC71CC"/>
    <w:rsid w:val="00BC7670"/>
    <w:rsid w:val="00BC78EE"/>
    <w:rsid w:val="00BD1356"/>
    <w:rsid w:val="00BD183F"/>
    <w:rsid w:val="00BD184D"/>
    <w:rsid w:val="00BD2091"/>
    <w:rsid w:val="00BD23B5"/>
    <w:rsid w:val="00BD258B"/>
    <w:rsid w:val="00BD26D7"/>
    <w:rsid w:val="00BD3ECB"/>
    <w:rsid w:val="00BD438B"/>
    <w:rsid w:val="00BD48C6"/>
    <w:rsid w:val="00BD4A1F"/>
    <w:rsid w:val="00BD4C0F"/>
    <w:rsid w:val="00BD62D9"/>
    <w:rsid w:val="00BD63F5"/>
    <w:rsid w:val="00BD76FB"/>
    <w:rsid w:val="00BD779D"/>
    <w:rsid w:val="00BD7909"/>
    <w:rsid w:val="00BD7A70"/>
    <w:rsid w:val="00BD7C99"/>
    <w:rsid w:val="00BE05C9"/>
    <w:rsid w:val="00BE07C2"/>
    <w:rsid w:val="00BE14D0"/>
    <w:rsid w:val="00BE1E17"/>
    <w:rsid w:val="00BE2524"/>
    <w:rsid w:val="00BE2F1B"/>
    <w:rsid w:val="00BE363E"/>
    <w:rsid w:val="00BE3D81"/>
    <w:rsid w:val="00BE4153"/>
    <w:rsid w:val="00BE432B"/>
    <w:rsid w:val="00BE4999"/>
    <w:rsid w:val="00BE58CA"/>
    <w:rsid w:val="00BE5A56"/>
    <w:rsid w:val="00BE5CD8"/>
    <w:rsid w:val="00BE6136"/>
    <w:rsid w:val="00BE6F85"/>
    <w:rsid w:val="00BE7335"/>
    <w:rsid w:val="00BE76B5"/>
    <w:rsid w:val="00BE7BEE"/>
    <w:rsid w:val="00BE7DDE"/>
    <w:rsid w:val="00BE7F15"/>
    <w:rsid w:val="00BF00B8"/>
    <w:rsid w:val="00BF02A4"/>
    <w:rsid w:val="00BF1038"/>
    <w:rsid w:val="00BF13DE"/>
    <w:rsid w:val="00BF1510"/>
    <w:rsid w:val="00BF1686"/>
    <w:rsid w:val="00BF1B4E"/>
    <w:rsid w:val="00BF2160"/>
    <w:rsid w:val="00BF21F3"/>
    <w:rsid w:val="00BF26DB"/>
    <w:rsid w:val="00BF2809"/>
    <w:rsid w:val="00BF2D10"/>
    <w:rsid w:val="00BF2D35"/>
    <w:rsid w:val="00BF2F1E"/>
    <w:rsid w:val="00BF310E"/>
    <w:rsid w:val="00BF3924"/>
    <w:rsid w:val="00BF3961"/>
    <w:rsid w:val="00BF3AAD"/>
    <w:rsid w:val="00BF3E4F"/>
    <w:rsid w:val="00BF453B"/>
    <w:rsid w:val="00BF6972"/>
    <w:rsid w:val="00BF6A59"/>
    <w:rsid w:val="00BF7539"/>
    <w:rsid w:val="00BF7EE5"/>
    <w:rsid w:val="00C0045F"/>
    <w:rsid w:val="00C00663"/>
    <w:rsid w:val="00C009B4"/>
    <w:rsid w:val="00C01AB9"/>
    <w:rsid w:val="00C01DD1"/>
    <w:rsid w:val="00C043D2"/>
    <w:rsid w:val="00C04F88"/>
    <w:rsid w:val="00C056A4"/>
    <w:rsid w:val="00C06202"/>
    <w:rsid w:val="00C0690C"/>
    <w:rsid w:val="00C07374"/>
    <w:rsid w:val="00C0744D"/>
    <w:rsid w:val="00C07536"/>
    <w:rsid w:val="00C078F4"/>
    <w:rsid w:val="00C11A4F"/>
    <w:rsid w:val="00C11A58"/>
    <w:rsid w:val="00C11C7A"/>
    <w:rsid w:val="00C12228"/>
    <w:rsid w:val="00C12B1C"/>
    <w:rsid w:val="00C12D1F"/>
    <w:rsid w:val="00C130BD"/>
    <w:rsid w:val="00C137A2"/>
    <w:rsid w:val="00C13842"/>
    <w:rsid w:val="00C14065"/>
    <w:rsid w:val="00C148D6"/>
    <w:rsid w:val="00C14EF3"/>
    <w:rsid w:val="00C1529F"/>
    <w:rsid w:val="00C16447"/>
    <w:rsid w:val="00C164D4"/>
    <w:rsid w:val="00C17C2C"/>
    <w:rsid w:val="00C200F1"/>
    <w:rsid w:val="00C20536"/>
    <w:rsid w:val="00C207A8"/>
    <w:rsid w:val="00C20D26"/>
    <w:rsid w:val="00C217A4"/>
    <w:rsid w:val="00C217D8"/>
    <w:rsid w:val="00C219D7"/>
    <w:rsid w:val="00C21D3C"/>
    <w:rsid w:val="00C22030"/>
    <w:rsid w:val="00C22043"/>
    <w:rsid w:val="00C226D9"/>
    <w:rsid w:val="00C22D94"/>
    <w:rsid w:val="00C23200"/>
    <w:rsid w:val="00C24E96"/>
    <w:rsid w:val="00C25984"/>
    <w:rsid w:val="00C263E2"/>
    <w:rsid w:val="00C268AA"/>
    <w:rsid w:val="00C27B9E"/>
    <w:rsid w:val="00C27C90"/>
    <w:rsid w:val="00C303A7"/>
    <w:rsid w:val="00C30816"/>
    <w:rsid w:val="00C31076"/>
    <w:rsid w:val="00C31465"/>
    <w:rsid w:val="00C32E6B"/>
    <w:rsid w:val="00C33396"/>
    <w:rsid w:val="00C334B6"/>
    <w:rsid w:val="00C3487C"/>
    <w:rsid w:val="00C349B5"/>
    <w:rsid w:val="00C34B6F"/>
    <w:rsid w:val="00C34BEB"/>
    <w:rsid w:val="00C3533C"/>
    <w:rsid w:val="00C35D27"/>
    <w:rsid w:val="00C364FB"/>
    <w:rsid w:val="00C367BD"/>
    <w:rsid w:val="00C37241"/>
    <w:rsid w:val="00C373B6"/>
    <w:rsid w:val="00C37835"/>
    <w:rsid w:val="00C40E08"/>
    <w:rsid w:val="00C42C03"/>
    <w:rsid w:val="00C434FE"/>
    <w:rsid w:val="00C4360C"/>
    <w:rsid w:val="00C438F1"/>
    <w:rsid w:val="00C43A29"/>
    <w:rsid w:val="00C453F7"/>
    <w:rsid w:val="00C45579"/>
    <w:rsid w:val="00C46236"/>
    <w:rsid w:val="00C467D7"/>
    <w:rsid w:val="00C47378"/>
    <w:rsid w:val="00C47CFC"/>
    <w:rsid w:val="00C47F95"/>
    <w:rsid w:val="00C50128"/>
    <w:rsid w:val="00C5137A"/>
    <w:rsid w:val="00C51512"/>
    <w:rsid w:val="00C515EA"/>
    <w:rsid w:val="00C5191E"/>
    <w:rsid w:val="00C52727"/>
    <w:rsid w:val="00C52AB6"/>
    <w:rsid w:val="00C5301C"/>
    <w:rsid w:val="00C538F6"/>
    <w:rsid w:val="00C539AB"/>
    <w:rsid w:val="00C5478C"/>
    <w:rsid w:val="00C54922"/>
    <w:rsid w:val="00C54C59"/>
    <w:rsid w:val="00C54C7C"/>
    <w:rsid w:val="00C54CDA"/>
    <w:rsid w:val="00C55002"/>
    <w:rsid w:val="00C55176"/>
    <w:rsid w:val="00C567A7"/>
    <w:rsid w:val="00C56821"/>
    <w:rsid w:val="00C56EDD"/>
    <w:rsid w:val="00C615B3"/>
    <w:rsid w:val="00C62041"/>
    <w:rsid w:val="00C6257C"/>
    <w:rsid w:val="00C62AC9"/>
    <w:rsid w:val="00C63109"/>
    <w:rsid w:val="00C6310A"/>
    <w:rsid w:val="00C6356E"/>
    <w:rsid w:val="00C63DEA"/>
    <w:rsid w:val="00C63E26"/>
    <w:rsid w:val="00C641AA"/>
    <w:rsid w:val="00C64308"/>
    <w:rsid w:val="00C64697"/>
    <w:rsid w:val="00C648C5"/>
    <w:rsid w:val="00C649D1"/>
    <w:rsid w:val="00C64B68"/>
    <w:rsid w:val="00C651B8"/>
    <w:rsid w:val="00C654D8"/>
    <w:rsid w:val="00C65889"/>
    <w:rsid w:val="00C659C1"/>
    <w:rsid w:val="00C65B1F"/>
    <w:rsid w:val="00C66BBF"/>
    <w:rsid w:val="00C67141"/>
    <w:rsid w:val="00C67A7C"/>
    <w:rsid w:val="00C67ED6"/>
    <w:rsid w:val="00C71806"/>
    <w:rsid w:val="00C72350"/>
    <w:rsid w:val="00C7235B"/>
    <w:rsid w:val="00C7294A"/>
    <w:rsid w:val="00C733E4"/>
    <w:rsid w:val="00C734FA"/>
    <w:rsid w:val="00C73B4F"/>
    <w:rsid w:val="00C7469E"/>
    <w:rsid w:val="00C75B52"/>
    <w:rsid w:val="00C75BDA"/>
    <w:rsid w:val="00C760CC"/>
    <w:rsid w:val="00C764A5"/>
    <w:rsid w:val="00C76885"/>
    <w:rsid w:val="00C7748A"/>
    <w:rsid w:val="00C77AF1"/>
    <w:rsid w:val="00C77C88"/>
    <w:rsid w:val="00C802DF"/>
    <w:rsid w:val="00C8033D"/>
    <w:rsid w:val="00C813CA"/>
    <w:rsid w:val="00C82357"/>
    <w:rsid w:val="00C8298A"/>
    <w:rsid w:val="00C82C92"/>
    <w:rsid w:val="00C8391B"/>
    <w:rsid w:val="00C83EA7"/>
    <w:rsid w:val="00C83FB0"/>
    <w:rsid w:val="00C83FEA"/>
    <w:rsid w:val="00C843A6"/>
    <w:rsid w:val="00C84A19"/>
    <w:rsid w:val="00C85605"/>
    <w:rsid w:val="00C85AA9"/>
    <w:rsid w:val="00C85FE0"/>
    <w:rsid w:val="00C86411"/>
    <w:rsid w:val="00C867F9"/>
    <w:rsid w:val="00C8688F"/>
    <w:rsid w:val="00C877E0"/>
    <w:rsid w:val="00C87EC9"/>
    <w:rsid w:val="00C905ED"/>
    <w:rsid w:val="00C90C95"/>
    <w:rsid w:val="00C91818"/>
    <w:rsid w:val="00C91DFD"/>
    <w:rsid w:val="00C92040"/>
    <w:rsid w:val="00C92662"/>
    <w:rsid w:val="00C9286E"/>
    <w:rsid w:val="00C92C78"/>
    <w:rsid w:val="00C92FC9"/>
    <w:rsid w:val="00C93D48"/>
    <w:rsid w:val="00C941E1"/>
    <w:rsid w:val="00C94C55"/>
    <w:rsid w:val="00C94E90"/>
    <w:rsid w:val="00C953E7"/>
    <w:rsid w:val="00C955B0"/>
    <w:rsid w:val="00C95CE5"/>
    <w:rsid w:val="00C9758A"/>
    <w:rsid w:val="00C97A2C"/>
    <w:rsid w:val="00C97AE4"/>
    <w:rsid w:val="00CA0286"/>
    <w:rsid w:val="00CA1D8A"/>
    <w:rsid w:val="00CA1EF5"/>
    <w:rsid w:val="00CA2382"/>
    <w:rsid w:val="00CA2B51"/>
    <w:rsid w:val="00CA2F77"/>
    <w:rsid w:val="00CA34B7"/>
    <w:rsid w:val="00CA3651"/>
    <w:rsid w:val="00CA36F1"/>
    <w:rsid w:val="00CA38E6"/>
    <w:rsid w:val="00CA3CFD"/>
    <w:rsid w:val="00CA441D"/>
    <w:rsid w:val="00CA48D0"/>
    <w:rsid w:val="00CA5244"/>
    <w:rsid w:val="00CA552A"/>
    <w:rsid w:val="00CA5BCD"/>
    <w:rsid w:val="00CA5C8F"/>
    <w:rsid w:val="00CA65B5"/>
    <w:rsid w:val="00CA6C71"/>
    <w:rsid w:val="00CA70EA"/>
    <w:rsid w:val="00CA7722"/>
    <w:rsid w:val="00CA7B28"/>
    <w:rsid w:val="00CB0A0F"/>
    <w:rsid w:val="00CB0C11"/>
    <w:rsid w:val="00CB0DD9"/>
    <w:rsid w:val="00CB1583"/>
    <w:rsid w:val="00CB1C1F"/>
    <w:rsid w:val="00CB284C"/>
    <w:rsid w:val="00CB33E2"/>
    <w:rsid w:val="00CB3A52"/>
    <w:rsid w:val="00CB3B09"/>
    <w:rsid w:val="00CB4C25"/>
    <w:rsid w:val="00CB543D"/>
    <w:rsid w:val="00CB55A4"/>
    <w:rsid w:val="00CB58ED"/>
    <w:rsid w:val="00CB59D8"/>
    <w:rsid w:val="00CB5CF8"/>
    <w:rsid w:val="00CB6F87"/>
    <w:rsid w:val="00CB7462"/>
    <w:rsid w:val="00CC17BD"/>
    <w:rsid w:val="00CC1E1B"/>
    <w:rsid w:val="00CC2519"/>
    <w:rsid w:val="00CC265D"/>
    <w:rsid w:val="00CC345C"/>
    <w:rsid w:val="00CC4054"/>
    <w:rsid w:val="00CC50C2"/>
    <w:rsid w:val="00CC686A"/>
    <w:rsid w:val="00CC74D0"/>
    <w:rsid w:val="00CC786C"/>
    <w:rsid w:val="00CD0017"/>
    <w:rsid w:val="00CD08D8"/>
    <w:rsid w:val="00CD0986"/>
    <w:rsid w:val="00CD0C1A"/>
    <w:rsid w:val="00CD1EF1"/>
    <w:rsid w:val="00CD1F7E"/>
    <w:rsid w:val="00CD297C"/>
    <w:rsid w:val="00CD2E8D"/>
    <w:rsid w:val="00CD3209"/>
    <w:rsid w:val="00CD34CC"/>
    <w:rsid w:val="00CD3B30"/>
    <w:rsid w:val="00CD3C1D"/>
    <w:rsid w:val="00CD4BCE"/>
    <w:rsid w:val="00CD4FEB"/>
    <w:rsid w:val="00CD50B2"/>
    <w:rsid w:val="00CD5842"/>
    <w:rsid w:val="00CD5E17"/>
    <w:rsid w:val="00CD5EB3"/>
    <w:rsid w:val="00CD6DC6"/>
    <w:rsid w:val="00CD6E4E"/>
    <w:rsid w:val="00CD7194"/>
    <w:rsid w:val="00CD7A66"/>
    <w:rsid w:val="00CE085D"/>
    <w:rsid w:val="00CE14F4"/>
    <w:rsid w:val="00CE1781"/>
    <w:rsid w:val="00CE1AC4"/>
    <w:rsid w:val="00CE2B49"/>
    <w:rsid w:val="00CE2BA6"/>
    <w:rsid w:val="00CE2DDE"/>
    <w:rsid w:val="00CE2EE4"/>
    <w:rsid w:val="00CE3BD7"/>
    <w:rsid w:val="00CE4230"/>
    <w:rsid w:val="00CE49B5"/>
    <w:rsid w:val="00CE4A9F"/>
    <w:rsid w:val="00CE4E1F"/>
    <w:rsid w:val="00CE542C"/>
    <w:rsid w:val="00CE5BE2"/>
    <w:rsid w:val="00CE6165"/>
    <w:rsid w:val="00CE667E"/>
    <w:rsid w:val="00CE670A"/>
    <w:rsid w:val="00CE6782"/>
    <w:rsid w:val="00CE77C2"/>
    <w:rsid w:val="00CF085A"/>
    <w:rsid w:val="00CF0CA4"/>
    <w:rsid w:val="00CF0DF8"/>
    <w:rsid w:val="00CF0ED1"/>
    <w:rsid w:val="00CF1A14"/>
    <w:rsid w:val="00CF1C5C"/>
    <w:rsid w:val="00CF202D"/>
    <w:rsid w:val="00CF23C4"/>
    <w:rsid w:val="00CF2881"/>
    <w:rsid w:val="00CF3C00"/>
    <w:rsid w:val="00CF4311"/>
    <w:rsid w:val="00CF4B1B"/>
    <w:rsid w:val="00CF596A"/>
    <w:rsid w:val="00CF6030"/>
    <w:rsid w:val="00CF751E"/>
    <w:rsid w:val="00CF764C"/>
    <w:rsid w:val="00CF7B19"/>
    <w:rsid w:val="00CF7F76"/>
    <w:rsid w:val="00D01088"/>
    <w:rsid w:val="00D013B3"/>
    <w:rsid w:val="00D01E9C"/>
    <w:rsid w:val="00D0219C"/>
    <w:rsid w:val="00D02660"/>
    <w:rsid w:val="00D02AE4"/>
    <w:rsid w:val="00D02EBE"/>
    <w:rsid w:val="00D030F4"/>
    <w:rsid w:val="00D03105"/>
    <w:rsid w:val="00D045AD"/>
    <w:rsid w:val="00D049B8"/>
    <w:rsid w:val="00D05B2A"/>
    <w:rsid w:val="00D05C36"/>
    <w:rsid w:val="00D05C3F"/>
    <w:rsid w:val="00D05FF4"/>
    <w:rsid w:val="00D062C1"/>
    <w:rsid w:val="00D06E1D"/>
    <w:rsid w:val="00D074E5"/>
    <w:rsid w:val="00D077ED"/>
    <w:rsid w:val="00D10186"/>
    <w:rsid w:val="00D10647"/>
    <w:rsid w:val="00D10B7A"/>
    <w:rsid w:val="00D10E02"/>
    <w:rsid w:val="00D1125F"/>
    <w:rsid w:val="00D11F49"/>
    <w:rsid w:val="00D12B00"/>
    <w:rsid w:val="00D134A3"/>
    <w:rsid w:val="00D13673"/>
    <w:rsid w:val="00D146EB"/>
    <w:rsid w:val="00D1612C"/>
    <w:rsid w:val="00D16515"/>
    <w:rsid w:val="00D17EFF"/>
    <w:rsid w:val="00D20598"/>
    <w:rsid w:val="00D20BAF"/>
    <w:rsid w:val="00D20BBA"/>
    <w:rsid w:val="00D22093"/>
    <w:rsid w:val="00D222BB"/>
    <w:rsid w:val="00D225D0"/>
    <w:rsid w:val="00D22DBE"/>
    <w:rsid w:val="00D244B3"/>
    <w:rsid w:val="00D245D4"/>
    <w:rsid w:val="00D257EA"/>
    <w:rsid w:val="00D25D27"/>
    <w:rsid w:val="00D2608E"/>
    <w:rsid w:val="00D2649C"/>
    <w:rsid w:val="00D273EF"/>
    <w:rsid w:val="00D27D0D"/>
    <w:rsid w:val="00D304C7"/>
    <w:rsid w:val="00D30643"/>
    <w:rsid w:val="00D31350"/>
    <w:rsid w:val="00D3156D"/>
    <w:rsid w:val="00D318B9"/>
    <w:rsid w:val="00D33621"/>
    <w:rsid w:val="00D33CCC"/>
    <w:rsid w:val="00D33F48"/>
    <w:rsid w:val="00D34134"/>
    <w:rsid w:val="00D3494A"/>
    <w:rsid w:val="00D34BF2"/>
    <w:rsid w:val="00D34C8D"/>
    <w:rsid w:val="00D35140"/>
    <w:rsid w:val="00D351E3"/>
    <w:rsid w:val="00D3563C"/>
    <w:rsid w:val="00D36357"/>
    <w:rsid w:val="00D369A3"/>
    <w:rsid w:val="00D36A29"/>
    <w:rsid w:val="00D374CA"/>
    <w:rsid w:val="00D375FE"/>
    <w:rsid w:val="00D37EB7"/>
    <w:rsid w:val="00D40069"/>
    <w:rsid w:val="00D40A2F"/>
    <w:rsid w:val="00D40BFF"/>
    <w:rsid w:val="00D40C86"/>
    <w:rsid w:val="00D41D21"/>
    <w:rsid w:val="00D41F02"/>
    <w:rsid w:val="00D41FEC"/>
    <w:rsid w:val="00D42130"/>
    <w:rsid w:val="00D42196"/>
    <w:rsid w:val="00D424E2"/>
    <w:rsid w:val="00D42691"/>
    <w:rsid w:val="00D426E8"/>
    <w:rsid w:val="00D43846"/>
    <w:rsid w:val="00D43868"/>
    <w:rsid w:val="00D43913"/>
    <w:rsid w:val="00D44676"/>
    <w:rsid w:val="00D4503D"/>
    <w:rsid w:val="00D46611"/>
    <w:rsid w:val="00D4695F"/>
    <w:rsid w:val="00D471EA"/>
    <w:rsid w:val="00D47362"/>
    <w:rsid w:val="00D47DD8"/>
    <w:rsid w:val="00D47DD9"/>
    <w:rsid w:val="00D502D5"/>
    <w:rsid w:val="00D50840"/>
    <w:rsid w:val="00D50965"/>
    <w:rsid w:val="00D50A02"/>
    <w:rsid w:val="00D50E88"/>
    <w:rsid w:val="00D52050"/>
    <w:rsid w:val="00D52330"/>
    <w:rsid w:val="00D52D1E"/>
    <w:rsid w:val="00D5360C"/>
    <w:rsid w:val="00D53746"/>
    <w:rsid w:val="00D53A6C"/>
    <w:rsid w:val="00D55ADA"/>
    <w:rsid w:val="00D56717"/>
    <w:rsid w:val="00D57550"/>
    <w:rsid w:val="00D60717"/>
    <w:rsid w:val="00D6109B"/>
    <w:rsid w:val="00D6119D"/>
    <w:rsid w:val="00D61A97"/>
    <w:rsid w:val="00D61CAA"/>
    <w:rsid w:val="00D62280"/>
    <w:rsid w:val="00D627FB"/>
    <w:rsid w:val="00D62BE6"/>
    <w:rsid w:val="00D6310A"/>
    <w:rsid w:val="00D63143"/>
    <w:rsid w:val="00D636DA"/>
    <w:rsid w:val="00D63BD6"/>
    <w:rsid w:val="00D642D7"/>
    <w:rsid w:val="00D64329"/>
    <w:rsid w:val="00D6494A"/>
    <w:rsid w:val="00D65036"/>
    <w:rsid w:val="00D652FD"/>
    <w:rsid w:val="00D661B5"/>
    <w:rsid w:val="00D66557"/>
    <w:rsid w:val="00D6656D"/>
    <w:rsid w:val="00D6688D"/>
    <w:rsid w:val="00D66F42"/>
    <w:rsid w:val="00D6713B"/>
    <w:rsid w:val="00D6722C"/>
    <w:rsid w:val="00D702D1"/>
    <w:rsid w:val="00D7041F"/>
    <w:rsid w:val="00D716AF"/>
    <w:rsid w:val="00D7193E"/>
    <w:rsid w:val="00D71EC3"/>
    <w:rsid w:val="00D72699"/>
    <w:rsid w:val="00D72F02"/>
    <w:rsid w:val="00D72FE6"/>
    <w:rsid w:val="00D732A6"/>
    <w:rsid w:val="00D73B6F"/>
    <w:rsid w:val="00D745F5"/>
    <w:rsid w:val="00D748AE"/>
    <w:rsid w:val="00D74F6E"/>
    <w:rsid w:val="00D750F6"/>
    <w:rsid w:val="00D77429"/>
    <w:rsid w:val="00D77751"/>
    <w:rsid w:val="00D803B0"/>
    <w:rsid w:val="00D80770"/>
    <w:rsid w:val="00D80A5C"/>
    <w:rsid w:val="00D80EB7"/>
    <w:rsid w:val="00D81354"/>
    <w:rsid w:val="00D8186A"/>
    <w:rsid w:val="00D8314A"/>
    <w:rsid w:val="00D83224"/>
    <w:rsid w:val="00D83363"/>
    <w:rsid w:val="00D83823"/>
    <w:rsid w:val="00D83954"/>
    <w:rsid w:val="00D83C0A"/>
    <w:rsid w:val="00D843A2"/>
    <w:rsid w:val="00D84924"/>
    <w:rsid w:val="00D84A2A"/>
    <w:rsid w:val="00D85202"/>
    <w:rsid w:val="00D854D4"/>
    <w:rsid w:val="00D85A32"/>
    <w:rsid w:val="00D85C96"/>
    <w:rsid w:val="00D86257"/>
    <w:rsid w:val="00D86938"/>
    <w:rsid w:val="00D87215"/>
    <w:rsid w:val="00D87981"/>
    <w:rsid w:val="00D87B81"/>
    <w:rsid w:val="00D87DA2"/>
    <w:rsid w:val="00D90459"/>
    <w:rsid w:val="00D907E5"/>
    <w:rsid w:val="00D90D0B"/>
    <w:rsid w:val="00D929B2"/>
    <w:rsid w:val="00D93009"/>
    <w:rsid w:val="00D9357B"/>
    <w:rsid w:val="00D939DB"/>
    <w:rsid w:val="00D93BAA"/>
    <w:rsid w:val="00D95405"/>
    <w:rsid w:val="00D95439"/>
    <w:rsid w:val="00D95ED5"/>
    <w:rsid w:val="00D95FAD"/>
    <w:rsid w:val="00D9691A"/>
    <w:rsid w:val="00D973E8"/>
    <w:rsid w:val="00DA0C28"/>
    <w:rsid w:val="00DA1538"/>
    <w:rsid w:val="00DA2A0C"/>
    <w:rsid w:val="00DA3619"/>
    <w:rsid w:val="00DA3A5B"/>
    <w:rsid w:val="00DA3DC4"/>
    <w:rsid w:val="00DA4259"/>
    <w:rsid w:val="00DA4279"/>
    <w:rsid w:val="00DA438D"/>
    <w:rsid w:val="00DA43CE"/>
    <w:rsid w:val="00DA475F"/>
    <w:rsid w:val="00DA5908"/>
    <w:rsid w:val="00DA597B"/>
    <w:rsid w:val="00DA5FFE"/>
    <w:rsid w:val="00DA6C2E"/>
    <w:rsid w:val="00DA7309"/>
    <w:rsid w:val="00DA7610"/>
    <w:rsid w:val="00DA77C2"/>
    <w:rsid w:val="00DB05AF"/>
    <w:rsid w:val="00DB09ED"/>
    <w:rsid w:val="00DB1948"/>
    <w:rsid w:val="00DB2225"/>
    <w:rsid w:val="00DB445C"/>
    <w:rsid w:val="00DB4C3C"/>
    <w:rsid w:val="00DB5605"/>
    <w:rsid w:val="00DB5935"/>
    <w:rsid w:val="00DB659C"/>
    <w:rsid w:val="00DB6899"/>
    <w:rsid w:val="00DB6B01"/>
    <w:rsid w:val="00DB7121"/>
    <w:rsid w:val="00DB7166"/>
    <w:rsid w:val="00DB71D0"/>
    <w:rsid w:val="00DB7B48"/>
    <w:rsid w:val="00DB7E7B"/>
    <w:rsid w:val="00DC163D"/>
    <w:rsid w:val="00DC1AA4"/>
    <w:rsid w:val="00DC353E"/>
    <w:rsid w:val="00DC365F"/>
    <w:rsid w:val="00DC3978"/>
    <w:rsid w:val="00DC3983"/>
    <w:rsid w:val="00DC3F15"/>
    <w:rsid w:val="00DC4184"/>
    <w:rsid w:val="00DC44B9"/>
    <w:rsid w:val="00DC4E30"/>
    <w:rsid w:val="00DC4E6F"/>
    <w:rsid w:val="00DC5300"/>
    <w:rsid w:val="00DC62FD"/>
    <w:rsid w:val="00DC68F8"/>
    <w:rsid w:val="00DC69AD"/>
    <w:rsid w:val="00DD0D17"/>
    <w:rsid w:val="00DD0E75"/>
    <w:rsid w:val="00DD0EF0"/>
    <w:rsid w:val="00DD1130"/>
    <w:rsid w:val="00DD15EC"/>
    <w:rsid w:val="00DD1978"/>
    <w:rsid w:val="00DD1EF8"/>
    <w:rsid w:val="00DD2300"/>
    <w:rsid w:val="00DD24E3"/>
    <w:rsid w:val="00DD2738"/>
    <w:rsid w:val="00DD2BA0"/>
    <w:rsid w:val="00DD2CFE"/>
    <w:rsid w:val="00DD38F5"/>
    <w:rsid w:val="00DD4BD7"/>
    <w:rsid w:val="00DD501E"/>
    <w:rsid w:val="00DD586C"/>
    <w:rsid w:val="00DD607A"/>
    <w:rsid w:val="00DD6197"/>
    <w:rsid w:val="00DD6602"/>
    <w:rsid w:val="00DD6AD4"/>
    <w:rsid w:val="00DD6C35"/>
    <w:rsid w:val="00DD6E0F"/>
    <w:rsid w:val="00DD7EBD"/>
    <w:rsid w:val="00DE0140"/>
    <w:rsid w:val="00DE1DFF"/>
    <w:rsid w:val="00DE25CC"/>
    <w:rsid w:val="00DE263B"/>
    <w:rsid w:val="00DE26D4"/>
    <w:rsid w:val="00DE283E"/>
    <w:rsid w:val="00DE2F43"/>
    <w:rsid w:val="00DE3666"/>
    <w:rsid w:val="00DE3B04"/>
    <w:rsid w:val="00DE3B21"/>
    <w:rsid w:val="00DE3B28"/>
    <w:rsid w:val="00DE3E1D"/>
    <w:rsid w:val="00DE49EF"/>
    <w:rsid w:val="00DE49F3"/>
    <w:rsid w:val="00DE540F"/>
    <w:rsid w:val="00DE7212"/>
    <w:rsid w:val="00DE73EB"/>
    <w:rsid w:val="00DE792F"/>
    <w:rsid w:val="00DF0251"/>
    <w:rsid w:val="00DF0ED4"/>
    <w:rsid w:val="00DF126D"/>
    <w:rsid w:val="00DF1775"/>
    <w:rsid w:val="00DF2251"/>
    <w:rsid w:val="00DF2A19"/>
    <w:rsid w:val="00DF3714"/>
    <w:rsid w:val="00DF38FD"/>
    <w:rsid w:val="00DF4094"/>
    <w:rsid w:val="00DF40DC"/>
    <w:rsid w:val="00DF46A8"/>
    <w:rsid w:val="00DF5043"/>
    <w:rsid w:val="00DF618A"/>
    <w:rsid w:val="00DF6273"/>
    <w:rsid w:val="00DF6AC3"/>
    <w:rsid w:val="00DF7299"/>
    <w:rsid w:val="00DF7889"/>
    <w:rsid w:val="00DF7B0C"/>
    <w:rsid w:val="00E00152"/>
    <w:rsid w:val="00E002FD"/>
    <w:rsid w:val="00E0087E"/>
    <w:rsid w:val="00E0094E"/>
    <w:rsid w:val="00E021C1"/>
    <w:rsid w:val="00E021FF"/>
    <w:rsid w:val="00E024F6"/>
    <w:rsid w:val="00E03289"/>
    <w:rsid w:val="00E0455F"/>
    <w:rsid w:val="00E058AB"/>
    <w:rsid w:val="00E06AB2"/>
    <w:rsid w:val="00E07572"/>
    <w:rsid w:val="00E0766C"/>
    <w:rsid w:val="00E077E0"/>
    <w:rsid w:val="00E07DF9"/>
    <w:rsid w:val="00E100A8"/>
    <w:rsid w:val="00E10128"/>
    <w:rsid w:val="00E104F7"/>
    <w:rsid w:val="00E10D48"/>
    <w:rsid w:val="00E11031"/>
    <w:rsid w:val="00E111E2"/>
    <w:rsid w:val="00E11DA7"/>
    <w:rsid w:val="00E11E8C"/>
    <w:rsid w:val="00E12485"/>
    <w:rsid w:val="00E12789"/>
    <w:rsid w:val="00E12D1C"/>
    <w:rsid w:val="00E12F11"/>
    <w:rsid w:val="00E134CD"/>
    <w:rsid w:val="00E146A7"/>
    <w:rsid w:val="00E1474D"/>
    <w:rsid w:val="00E14857"/>
    <w:rsid w:val="00E16261"/>
    <w:rsid w:val="00E163EF"/>
    <w:rsid w:val="00E16F0C"/>
    <w:rsid w:val="00E16F61"/>
    <w:rsid w:val="00E17362"/>
    <w:rsid w:val="00E174B5"/>
    <w:rsid w:val="00E17B43"/>
    <w:rsid w:val="00E2001D"/>
    <w:rsid w:val="00E203BA"/>
    <w:rsid w:val="00E2057E"/>
    <w:rsid w:val="00E208C6"/>
    <w:rsid w:val="00E2091F"/>
    <w:rsid w:val="00E21E01"/>
    <w:rsid w:val="00E21F25"/>
    <w:rsid w:val="00E222A3"/>
    <w:rsid w:val="00E22388"/>
    <w:rsid w:val="00E22555"/>
    <w:rsid w:val="00E23686"/>
    <w:rsid w:val="00E236A7"/>
    <w:rsid w:val="00E23DE1"/>
    <w:rsid w:val="00E23E9F"/>
    <w:rsid w:val="00E2447B"/>
    <w:rsid w:val="00E249E9"/>
    <w:rsid w:val="00E25538"/>
    <w:rsid w:val="00E25C1C"/>
    <w:rsid w:val="00E25E49"/>
    <w:rsid w:val="00E262C6"/>
    <w:rsid w:val="00E26B9A"/>
    <w:rsid w:val="00E30350"/>
    <w:rsid w:val="00E30C73"/>
    <w:rsid w:val="00E31E8A"/>
    <w:rsid w:val="00E329BA"/>
    <w:rsid w:val="00E3343C"/>
    <w:rsid w:val="00E3350E"/>
    <w:rsid w:val="00E350F7"/>
    <w:rsid w:val="00E35765"/>
    <w:rsid w:val="00E379D7"/>
    <w:rsid w:val="00E37F3F"/>
    <w:rsid w:val="00E4081F"/>
    <w:rsid w:val="00E40F4C"/>
    <w:rsid w:val="00E414E9"/>
    <w:rsid w:val="00E42BC1"/>
    <w:rsid w:val="00E42C43"/>
    <w:rsid w:val="00E43021"/>
    <w:rsid w:val="00E435A9"/>
    <w:rsid w:val="00E43CCD"/>
    <w:rsid w:val="00E43FB6"/>
    <w:rsid w:val="00E448E6"/>
    <w:rsid w:val="00E4604D"/>
    <w:rsid w:val="00E463AE"/>
    <w:rsid w:val="00E4674D"/>
    <w:rsid w:val="00E46E35"/>
    <w:rsid w:val="00E470EA"/>
    <w:rsid w:val="00E47841"/>
    <w:rsid w:val="00E5036E"/>
    <w:rsid w:val="00E508B5"/>
    <w:rsid w:val="00E5183E"/>
    <w:rsid w:val="00E5251F"/>
    <w:rsid w:val="00E52B56"/>
    <w:rsid w:val="00E52E46"/>
    <w:rsid w:val="00E53C16"/>
    <w:rsid w:val="00E54654"/>
    <w:rsid w:val="00E547C4"/>
    <w:rsid w:val="00E548D0"/>
    <w:rsid w:val="00E54914"/>
    <w:rsid w:val="00E54B30"/>
    <w:rsid w:val="00E54CDF"/>
    <w:rsid w:val="00E54DCA"/>
    <w:rsid w:val="00E557A9"/>
    <w:rsid w:val="00E55B5E"/>
    <w:rsid w:val="00E55DF6"/>
    <w:rsid w:val="00E5631A"/>
    <w:rsid w:val="00E56F60"/>
    <w:rsid w:val="00E574CF"/>
    <w:rsid w:val="00E60079"/>
    <w:rsid w:val="00E6008D"/>
    <w:rsid w:val="00E6073F"/>
    <w:rsid w:val="00E60F7A"/>
    <w:rsid w:val="00E60FA0"/>
    <w:rsid w:val="00E613E7"/>
    <w:rsid w:val="00E6171B"/>
    <w:rsid w:val="00E61B61"/>
    <w:rsid w:val="00E61D94"/>
    <w:rsid w:val="00E62113"/>
    <w:rsid w:val="00E62BD7"/>
    <w:rsid w:val="00E63043"/>
    <w:rsid w:val="00E6330A"/>
    <w:rsid w:val="00E63415"/>
    <w:rsid w:val="00E634C7"/>
    <w:rsid w:val="00E63FFA"/>
    <w:rsid w:val="00E64E52"/>
    <w:rsid w:val="00E65224"/>
    <w:rsid w:val="00E65DA9"/>
    <w:rsid w:val="00E662B4"/>
    <w:rsid w:val="00E663F0"/>
    <w:rsid w:val="00E66651"/>
    <w:rsid w:val="00E66C57"/>
    <w:rsid w:val="00E66EFC"/>
    <w:rsid w:val="00E70208"/>
    <w:rsid w:val="00E70CB6"/>
    <w:rsid w:val="00E70DAA"/>
    <w:rsid w:val="00E70EBA"/>
    <w:rsid w:val="00E71687"/>
    <w:rsid w:val="00E726CA"/>
    <w:rsid w:val="00E72BE8"/>
    <w:rsid w:val="00E72D9E"/>
    <w:rsid w:val="00E7674D"/>
    <w:rsid w:val="00E76A7A"/>
    <w:rsid w:val="00E77221"/>
    <w:rsid w:val="00E779EB"/>
    <w:rsid w:val="00E77B12"/>
    <w:rsid w:val="00E8057D"/>
    <w:rsid w:val="00E80AE7"/>
    <w:rsid w:val="00E816DF"/>
    <w:rsid w:val="00E82EB1"/>
    <w:rsid w:val="00E83C75"/>
    <w:rsid w:val="00E84443"/>
    <w:rsid w:val="00E848AE"/>
    <w:rsid w:val="00E84992"/>
    <w:rsid w:val="00E84D19"/>
    <w:rsid w:val="00E85206"/>
    <w:rsid w:val="00E85360"/>
    <w:rsid w:val="00E85AA1"/>
    <w:rsid w:val="00E85B40"/>
    <w:rsid w:val="00E85E87"/>
    <w:rsid w:val="00E864DE"/>
    <w:rsid w:val="00E86DD0"/>
    <w:rsid w:val="00E86EEA"/>
    <w:rsid w:val="00E901BF"/>
    <w:rsid w:val="00E904B4"/>
    <w:rsid w:val="00E9147C"/>
    <w:rsid w:val="00E92AB7"/>
    <w:rsid w:val="00E92E9C"/>
    <w:rsid w:val="00E930C1"/>
    <w:rsid w:val="00E94465"/>
    <w:rsid w:val="00E94574"/>
    <w:rsid w:val="00E94BAE"/>
    <w:rsid w:val="00E94BF9"/>
    <w:rsid w:val="00E95BB3"/>
    <w:rsid w:val="00E96376"/>
    <w:rsid w:val="00E969A0"/>
    <w:rsid w:val="00E96C7C"/>
    <w:rsid w:val="00E970EC"/>
    <w:rsid w:val="00E974DB"/>
    <w:rsid w:val="00E975F5"/>
    <w:rsid w:val="00E97D11"/>
    <w:rsid w:val="00EA03FA"/>
    <w:rsid w:val="00EA11E2"/>
    <w:rsid w:val="00EA16F3"/>
    <w:rsid w:val="00EA222E"/>
    <w:rsid w:val="00EA3058"/>
    <w:rsid w:val="00EA34B1"/>
    <w:rsid w:val="00EA3A48"/>
    <w:rsid w:val="00EA50D2"/>
    <w:rsid w:val="00EA54BE"/>
    <w:rsid w:val="00EA7053"/>
    <w:rsid w:val="00EA7BC7"/>
    <w:rsid w:val="00EA7DB2"/>
    <w:rsid w:val="00EB0291"/>
    <w:rsid w:val="00EB0C2D"/>
    <w:rsid w:val="00EB1070"/>
    <w:rsid w:val="00EB2610"/>
    <w:rsid w:val="00EB2AC8"/>
    <w:rsid w:val="00EB2B9F"/>
    <w:rsid w:val="00EB2F4E"/>
    <w:rsid w:val="00EB3EA0"/>
    <w:rsid w:val="00EB406A"/>
    <w:rsid w:val="00EB416F"/>
    <w:rsid w:val="00EB5353"/>
    <w:rsid w:val="00EB5397"/>
    <w:rsid w:val="00EB550A"/>
    <w:rsid w:val="00EB6481"/>
    <w:rsid w:val="00EB7D0B"/>
    <w:rsid w:val="00EC054A"/>
    <w:rsid w:val="00EC0A84"/>
    <w:rsid w:val="00EC113C"/>
    <w:rsid w:val="00EC12EF"/>
    <w:rsid w:val="00EC15ED"/>
    <w:rsid w:val="00EC1609"/>
    <w:rsid w:val="00EC1B4A"/>
    <w:rsid w:val="00EC2CC9"/>
    <w:rsid w:val="00EC2D12"/>
    <w:rsid w:val="00EC3080"/>
    <w:rsid w:val="00EC3295"/>
    <w:rsid w:val="00EC5454"/>
    <w:rsid w:val="00EC6201"/>
    <w:rsid w:val="00EC692D"/>
    <w:rsid w:val="00EC6E04"/>
    <w:rsid w:val="00EC702B"/>
    <w:rsid w:val="00EC714A"/>
    <w:rsid w:val="00EC763C"/>
    <w:rsid w:val="00EC7EB1"/>
    <w:rsid w:val="00ED10F1"/>
    <w:rsid w:val="00ED119C"/>
    <w:rsid w:val="00ED1412"/>
    <w:rsid w:val="00ED1818"/>
    <w:rsid w:val="00ED3495"/>
    <w:rsid w:val="00ED3540"/>
    <w:rsid w:val="00ED3B89"/>
    <w:rsid w:val="00ED49D7"/>
    <w:rsid w:val="00ED6442"/>
    <w:rsid w:val="00ED644C"/>
    <w:rsid w:val="00ED7885"/>
    <w:rsid w:val="00ED78A4"/>
    <w:rsid w:val="00EE0367"/>
    <w:rsid w:val="00EE1552"/>
    <w:rsid w:val="00EE1623"/>
    <w:rsid w:val="00EE178C"/>
    <w:rsid w:val="00EE1C86"/>
    <w:rsid w:val="00EE2E75"/>
    <w:rsid w:val="00EE314E"/>
    <w:rsid w:val="00EE39A3"/>
    <w:rsid w:val="00EE3A74"/>
    <w:rsid w:val="00EE4384"/>
    <w:rsid w:val="00EE5DFC"/>
    <w:rsid w:val="00EE60BA"/>
    <w:rsid w:val="00EE6381"/>
    <w:rsid w:val="00EE71D3"/>
    <w:rsid w:val="00EE749D"/>
    <w:rsid w:val="00EE776A"/>
    <w:rsid w:val="00EF055F"/>
    <w:rsid w:val="00EF0FE6"/>
    <w:rsid w:val="00EF1319"/>
    <w:rsid w:val="00EF1393"/>
    <w:rsid w:val="00EF1BA4"/>
    <w:rsid w:val="00EF218E"/>
    <w:rsid w:val="00EF30BF"/>
    <w:rsid w:val="00EF3851"/>
    <w:rsid w:val="00EF3A28"/>
    <w:rsid w:val="00EF3CEC"/>
    <w:rsid w:val="00EF3E8F"/>
    <w:rsid w:val="00EF4068"/>
    <w:rsid w:val="00EF435F"/>
    <w:rsid w:val="00EF4ED4"/>
    <w:rsid w:val="00EF5031"/>
    <w:rsid w:val="00EF666C"/>
    <w:rsid w:val="00EF6FB4"/>
    <w:rsid w:val="00EF7066"/>
    <w:rsid w:val="00EF738B"/>
    <w:rsid w:val="00EF754B"/>
    <w:rsid w:val="00EF7CAC"/>
    <w:rsid w:val="00F0041B"/>
    <w:rsid w:val="00F02196"/>
    <w:rsid w:val="00F03139"/>
    <w:rsid w:val="00F0340E"/>
    <w:rsid w:val="00F034BC"/>
    <w:rsid w:val="00F03AC1"/>
    <w:rsid w:val="00F03EFE"/>
    <w:rsid w:val="00F04856"/>
    <w:rsid w:val="00F05426"/>
    <w:rsid w:val="00F05942"/>
    <w:rsid w:val="00F05BBB"/>
    <w:rsid w:val="00F06375"/>
    <w:rsid w:val="00F06426"/>
    <w:rsid w:val="00F06453"/>
    <w:rsid w:val="00F06A78"/>
    <w:rsid w:val="00F0726B"/>
    <w:rsid w:val="00F079AF"/>
    <w:rsid w:val="00F07A94"/>
    <w:rsid w:val="00F10997"/>
    <w:rsid w:val="00F110D9"/>
    <w:rsid w:val="00F11851"/>
    <w:rsid w:val="00F11C10"/>
    <w:rsid w:val="00F11E6D"/>
    <w:rsid w:val="00F12F55"/>
    <w:rsid w:val="00F13516"/>
    <w:rsid w:val="00F13C23"/>
    <w:rsid w:val="00F14173"/>
    <w:rsid w:val="00F142B6"/>
    <w:rsid w:val="00F147EE"/>
    <w:rsid w:val="00F14D0D"/>
    <w:rsid w:val="00F155CC"/>
    <w:rsid w:val="00F15E2B"/>
    <w:rsid w:val="00F16038"/>
    <w:rsid w:val="00F16D1E"/>
    <w:rsid w:val="00F171E0"/>
    <w:rsid w:val="00F17491"/>
    <w:rsid w:val="00F178FB"/>
    <w:rsid w:val="00F20471"/>
    <w:rsid w:val="00F20515"/>
    <w:rsid w:val="00F20FA8"/>
    <w:rsid w:val="00F213BB"/>
    <w:rsid w:val="00F21D67"/>
    <w:rsid w:val="00F21EA2"/>
    <w:rsid w:val="00F22183"/>
    <w:rsid w:val="00F2248C"/>
    <w:rsid w:val="00F22F62"/>
    <w:rsid w:val="00F23675"/>
    <w:rsid w:val="00F248A7"/>
    <w:rsid w:val="00F25D1D"/>
    <w:rsid w:val="00F26F57"/>
    <w:rsid w:val="00F27C6D"/>
    <w:rsid w:val="00F30107"/>
    <w:rsid w:val="00F3082A"/>
    <w:rsid w:val="00F30A93"/>
    <w:rsid w:val="00F31F7E"/>
    <w:rsid w:val="00F3290F"/>
    <w:rsid w:val="00F3313D"/>
    <w:rsid w:val="00F33A8E"/>
    <w:rsid w:val="00F34203"/>
    <w:rsid w:val="00F3429D"/>
    <w:rsid w:val="00F345CF"/>
    <w:rsid w:val="00F349B3"/>
    <w:rsid w:val="00F34F09"/>
    <w:rsid w:val="00F3504C"/>
    <w:rsid w:val="00F3598A"/>
    <w:rsid w:val="00F35C71"/>
    <w:rsid w:val="00F35D7B"/>
    <w:rsid w:val="00F36F64"/>
    <w:rsid w:val="00F37389"/>
    <w:rsid w:val="00F37D7A"/>
    <w:rsid w:val="00F4151B"/>
    <w:rsid w:val="00F41771"/>
    <w:rsid w:val="00F41DF1"/>
    <w:rsid w:val="00F42408"/>
    <w:rsid w:val="00F434AB"/>
    <w:rsid w:val="00F436FF"/>
    <w:rsid w:val="00F43926"/>
    <w:rsid w:val="00F43CB6"/>
    <w:rsid w:val="00F44845"/>
    <w:rsid w:val="00F454F2"/>
    <w:rsid w:val="00F45596"/>
    <w:rsid w:val="00F45621"/>
    <w:rsid w:val="00F45741"/>
    <w:rsid w:val="00F45F9C"/>
    <w:rsid w:val="00F46179"/>
    <w:rsid w:val="00F47B3F"/>
    <w:rsid w:val="00F50131"/>
    <w:rsid w:val="00F506BC"/>
    <w:rsid w:val="00F51AD8"/>
    <w:rsid w:val="00F51AE7"/>
    <w:rsid w:val="00F51C08"/>
    <w:rsid w:val="00F51C62"/>
    <w:rsid w:val="00F52788"/>
    <w:rsid w:val="00F52927"/>
    <w:rsid w:val="00F52D44"/>
    <w:rsid w:val="00F52F45"/>
    <w:rsid w:val="00F53554"/>
    <w:rsid w:val="00F53792"/>
    <w:rsid w:val="00F53863"/>
    <w:rsid w:val="00F53C83"/>
    <w:rsid w:val="00F554E1"/>
    <w:rsid w:val="00F5609F"/>
    <w:rsid w:val="00F56755"/>
    <w:rsid w:val="00F5678B"/>
    <w:rsid w:val="00F56CAB"/>
    <w:rsid w:val="00F57E83"/>
    <w:rsid w:val="00F601D1"/>
    <w:rsid w:val="00F61004"/>
    <w:rsid w:val="00F61A25"/>
    <w:rsid w:val="00F61FD1"/>
    <w:rsid w:val="00F62CCE"/>
    <w:rsid w:val="00F62FC9"/>
    <w:rsid w:val="00F634AD"/>
    <w:rsid w:val="00F641BA"/>
    <w:rsid w:val="00F6504D"/>
    <w:rsid w:val="00F65179"/>
    <w:rsid w:val="00F65398"/>
    <w:rsid w:val="00F6554A"/>
    <w:rsid w:val="00F6582C"/>
    <w:rsid w:val="00F65A85"/>
    <w:rsid w:val="00F66940"/>
    <w:rsid w:val="00F67028"/>
    <w:rsid w:val="00F670B9"/>
    <w:rsid w:val="00F67963"/>
    <w:rsid w:val="00F700A1"/>
    <w:rsid w:val="00F70B5F"/>
    <w:rsid w:val="00F70C7B"/>
    <w:rsid w:val="00F7110B"/>
    <w:rsid w:val="00F71659"/>
    <w:rsid w:val="00F720C0"/>
    <w:rsid w:val="00F72108"/>
    <w:rsid w:val="00F73A29"/>
    <w:rsid w:val="00F73BEB"/>
    <w:rsid w:val="00F74738"/>
    <w:rsid w:val="00F7474F"/>
    <w:rsid w:val="00F7518C"/>
    <w:rsid w:val="00F75C1B"/>
    <w:rsid w:val="00F76276"/>
    <w:rsid w:val="00F765D7"/>
    <w:rsid w:val="00F7759C"/>
    <w:rsid w:val="00F7776E"/>
    <w:rsid w:val="00F80326"/>
    <w:rsid w:val="00F8039F"/>
    <w:rsid w:val="00F80C43"/>
    <w:rsid w:val="00F815ED"/>
    <w:rsid w:val="00F83B6D"/>
    <w:rsid w:val="00F83B8A"/>
    <w:rsid w:val="00F84331"/>
    <w:rsid w:val="00F84388"/>
    <w:rsid w:val="00F84AC0"/>
    <w:rsid w:val="00F85C16"/>
    <w:rsid w:val="00F86126"/>
    <w:rsid w:val="00F8661E"/>
    <w:rsid w:val="00F86693"/>
    <w:rsid w:val="00F86E09"/>
    <w:rsid w:val="00F87285"/>
    <w:rsid w:val="00F90D4A"/>
    <w:rsid w:val="00F9175E"/>
    <w:rsid w:val="00F91BE5"/>
    <w:rsid w:val="00F92167"/>
    <w:rsid w:val="00F9306B"/>
    <w:rsid w:val="00F94167"/>
    <w:rsid w:val="00F952A3"/>
    <w:rsid w:val="00F966A0"/>
    <w:rsid w:val="00F96A55"/>
    <w:rsid w:val="00F96FA9"/>
    <w:rsid w:val="00F96FFF"/>
    <w:rsid w:val="00F97768"/>
    <w:rsid w:val="00FA0DBC"/>
    <w:rsid w:val="00FA1A9E"/>
    <w:rsid w:val="00FA2D07"/>
    <w:rsid w:val="00FA30F9"/>
    <w:rsid w:val="00FA3621"/>
    <w:rsid w:val="00FA3EB0"/>
    <w:rsid w:val="00FA40C7"/>
    <w:rsid w:val="00FA4B69"/>
    <w:rsid w:val="00FA5126"/>
    <w:rsid w:val="00FA51B0"/>
    <w:rsid w:val="00FA6060"/>
    <w:rsid w:val="00FA6F7F"/>
    <w:rsid w:val="00FA7140"/>
    <w:rsid w:val="00FB0068"/>
    <w:rsid w:val="00FB02E8"/>
    <w:rsid w:val="00FB0A8E"/>
    <w:rsid w:val="00FB0C9C"/>
    <w:rsid w:val="00FB160A"/>
    <w:rsid w:val="00FB18AF"/>
    <w:rsid w:val="00FB1CB7"/>
    <w:rsid w:val="00FB21C4"/>
    <w:rsid w:val="00FB2568"/>
    <w:rsid w:val="00FB2B6E"/>
    <w:rsid w:val="00FB2B9E"/>
    <w:rsid w:val="00FB2E7D"/>
    <w:rsid w:val="00FB37B6"/>
    <w:rsid w:val="00FB3B3A"/>
    <w:rsid w:val="00FB3D5C"/>
    <w:rsid w:val="00FB4673"/>
    <w:rsid w:val="00FB498F"/>
    <w:rsid w:val="00FB5327"/>
    <w:rsid w:val="00FB57EA"/>
    <w:rsid w:val="00FB5AE9"/>
    <w:rsid w:val="00FB5E24"/>
    <w:rsid w:val="00FB61D4"/>
    <w:rsid w:val="00FB64CC"/>
    <w:rsid w:val="00FB6507"/>
    <w:rsid w:val="00FB66E6"/>
    <w:rsid w:val="00FB6B68"/>
    <w:rsid w:val="00FB6BB1"/>
    <w:rsid w:val="00FB6DC4"/>
    <w:rsid w:val="00FB71CB"/>
    <w:rsid w:val="00FC07EF"/>
    <w:rsid w:val="00FC136C"/>
    <w:rsid w:val="00FC1643"/>
    <w:rsid w:val="00FC1940"/>
    <w:rsid w:val="00FC24AD"/>
    <w:rsid w:val="00FC5170"/>
    <w:rsid w:val="00FC5D74"/>
    <w:rsid w:val="00FC6230"/>
    <w:rsid w:val="00FC65A1"/>
    <w:rsid w:val="00FC6D45"/>
    <w:rsid w:val="00FC6F70"/>
    <w:rsid w:val="00FC7136"/>
    <w:rsid w:val="00FC7987"/>
    <w:rsid w:val="00FC7E53"/>
    <w:rsid w:val="00FD028A"/>
    <w:rsid w:val="00FD0553"/>
    <w:rsid w:val="00FD0D2C"/>
    <w:rsid w:val="00FD19E6"/>
    <w:rsid w:val="00FD238A"/>
    <w:rsid w:val="00FD2F27"/>
    <w:rsid w:val="00FD30C0"/>
    <w:rsid w:val="00FD35A3"/>
    <w:rsid w:val="00FD3EA9"/>
    <w:rsid w:val="00FD46C9"/>
    <w:rsid w:val="00FD4700"/>
    <w:rsid w:val="00FD4C02"/>
    <w:rsid w:val="00FD5BBE"/>
    <w:rsid w:val="00FD5CA1"/>
    <w:rsid w:val="00FD6D3C"/>
    <w:rsid w:val="00FD77F8"/>
    <w:rsid w:val="00FD7A40"/>
    <w:rsid w:val="00FE1597"/>
    <w:rsid w:val="00FE217C"/>
    <w:rsid w:val="00FE2AD1"/>
    <w:rsid w:val="00FE3439"/>
    <w:rsid w:val="00FE3859"/>
    <w:rsid w:val="00FE5118"/>
    <w:rsid w:val="00FE5A87"/>
    <w:rsid w:val="00FE6285"/>
    <w:rsid w:val="00FE6301"/>
    <w:rsid w:val="00FE6500"/>
    <w:rsid w:val="00FE6C6B"/>
    <w:rsid w:val="00FE72ED"/>
    <w:rsid w:val="00FE78FD"/>
    <w:rsid w:val="00FE7BD5"/>
    <w:rsid w:val="00FF0215"/>
    <w:rsid w:val="00FF0D26"/>
    <w:rsid w:val="00FF0E3F"/>
    <w:rsid w:val="00FF10D8"/>
    <w:rsid w:val="00FF1B9B"/>
    <w:rsid w:val="00FF1CF5"/>
    <w:rsid w:val="00FF2D4B"/>
    <w:rsid w:val="00FF2ED2"/>
    <w:rsid w:val="00FF30D5"/>
    <w:rsid w:val="00FF3635"/>
    <w:rsid w:val="00FF38B7"/>
    <w:rsid w:val="00FF3F6D"/>
    <w:rsid w:val="00FF4331"/>
    <w:rsid w:val="00FF4AB1"/>
    <w:rsid w:val="00FF5263"/>
    <w:rsid w:val="00FF59E7"/>
    <w:rsid w:val="00FF5BF8"/>
    <w:rsid w:val="00FF5E5F"/>
    <w:rsid w:val="00FF6963"/>
    <w:rsid w:val="00FF7327"/>
    <w:rsid w:val="00FF74F5"/>
    <w:rsid w:val="00FF7CA1"/>
    <w:rsid w:val="00FF7F4E"/>
    <w:rsid w:val="4AF6F468"/>
    <w:rsid w:val="4F57D9A2"/>
    <w:rsid w:val="50DE4147"/>
    <w:rsid w:val="6B4F90DA"/>
    <w:rsid w:val="717AE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56CF"/>
    <w:pPr>
      <w:tabs>
        <w:tab w:val="left" w:pos="720"/>
      </w:tabs>
      <w:spacing w:after="0" w:line="480" w:lineRule="atLeast"/>
    </w:pPr>
    <w:rPr>
      <w:rFonts w:cs="Times New Roman"/>
    </w:rPr>
  </w:style>
  <w:style w:type="paragraph" w:styleId="Heading1">
    <w:name w:val="heading 1"/>
    <w:basedOn w:val="Normal"/>
    <w:next w:val="Normal"/>
    <w:link w:val="Heading1Char"/>
    <w:uiPriority w:val="9"/>
    <w:rsid w:val="00CE178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AB4"/>
    <w:pPr>
      <w:tabs>
        <w:tab w:val="center" w:pos="4680"/>
        <w:tab w:val="right" w:pos="9360"/>
      </w:tabs>
      <w:spacing w:line="240" w:lineRule="auto"/>
    </w:pPr>
  </w:style>
  <w:style w:type="character" w:customStyle="1" w:styleId="HeaderChar">
    <w:name w:val="Header Char"/>
    <w:basedOn w:val="DefaultParagraphFont"/>
    <w:link w:val="Header"/>
    <w:uiPriority w:val="99"/>
    <w:rsid w:val="00514AB4"/>
  </w:style>
  <w:style w:type="paragraph" w:styleId="Footer">
    <w:name w:val="footer"/>
    <w:basedOn w:val="Normal"/>
    <w:link w:val="FooterChar"/>
    <w:uiPriority w:val="99"/>
    <w:unhideWhenUsed/>
    <w:rsid w:val="00514AB4"/>
    <w:pPr>
      <w:tabs>
        <w:tab w:val="center" w:pos="4680"/>
        <w:tab w:val="right" w:pos="9360"/>
      </w:tabs>
      <w:spacing w:line="240" w:lineRule="auto"/>
    </w:pPr>
  </w:style>
  <w:style w:type="character" w:customStyle="1" w:styleId="FooterChar">
    <w:name w:val="Footer Char"/>
    <w:basedOn w:val="DefaultParagraphFont"/>
    <w:link w:val="Footer"/>
    <w:uiPriority w:val="99"/>
    <w:rsid w:val="00514AB4"/>
  </w:style>
  <w:style w:type="character" w:styleId="PageNumber">
    <w:name w:val="page number"/>
    <w:basedOn w:val="DefaultParagraphFont"/>
    <w:uiPriority w:val="99"/>
    <w:semiHidden/>
    <w:unhideWhenUsed/>
    <w:rsid w:val="00514AB4"/>
  </w:style>
  <w:style w:type="paragraph" w:styleId="FootnoteText">
    <w:name w:val="footnote text"/>
    <w:link w:val="FootnoteTextChar"/>
    <w:uiPriority w:val="99"/>
    <w:unhideWhenUsed/>
    <w:rsid w:val="005A263C"/>
    <w:pPr>
      <w:spacing w:after="120" w:line="240" w:lineRule="auto"/>
      <w:ind w:firstLine="720"/>
    </w:pPr>
    <w:rPr>
      <w:rFonts w:ascii="Century Schoolbook" w:hAnsi="Century Schoolbook" w:cs="Times New Roman"/>
      <w:szCs w:val="20"/>
    </w:rPr>
  </w:style>
  <w:style w:type="character" w:customStyle="1" w:styleId="FootnoteTextChar">
    <w:name w:val="Footnote Text Char"/>
    <w:basedOn w:val="DefaultParagraphFont"/>
    <w:link w:val="FootnoteText"/>
    <w:uiPriority w:val="99"/>
    <w:rsid w:val="005A263C"/>
    <w:rPr>
      <w:rFonts w:ascii="Century Schoolbook" w:hAnsi="Century Schoolbook" w:cs="Times New Roman"/>
      <w:szCs w:val="20"/>
    </w:rPr>
  </w:style>
  <w:style w:type="paragraph" w:styleId="Title">
    <w:name w:val="Title"/>
    <w:basedOn w:val="Normal"/>
    <w:next w:val="Normal"/>
    <w:link w:val="TitleChar"/>
    <w:uiPriority w:val="10"/>
    <w:rsid w:val="008C703C"/>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703C"/>
    <w:rPr>
      <w:rFonts w:asciiTheme="majorHAnsi" w:eastAsiaTheme="majorEastAsia" w:hAnsiTheme="majorHAnsi" w:cstheme="majorBidi"/>
      <w:spacing w:val="-10"/>
      <w:kern w:val="28"/>
      <w:sz w:val="56"/>
      <w:szCs w:val="56"/>
    </w:rPr>
  </w:style>
  <w:style w:type="character" w:styleId="FootnoteReference">
    <w:name w:val="footnote reference"/>
    <w:basedOn w:val="DefaultParagraphFont"/>
    <w:uiPriority w:val="99"/>
    <w:semiHidden/>
    <w:unhideWhenUsed/>
    <w:rsid w:val="00F52D44"/>
    <w:rPr>
      <w:vertAlign w:val="superscript"/>
    </w:rPr>
  </w:style>
  <w:style w:type="paragraph" w:styleId="BalloonText">
    <w:name w:val="Balloon Text"/>
    <w:basedOn w:val="Normal"/>
    <w:link w:val="BalloonTextChar"/>
    <w:uiPriority w:val="99"/>
    <w:semiHidden/>
    <w:unhideWhenUsed/>
    <w:rsid w:val="00BF2D3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D35"/>
    <w:rPr>
      <w:rFonts w:ascii="Segoe UI" w:hAnsi="Segoe UI" w:cs="Segoe UI"/>
      <w:sz w:val="18"/>
      <w:szCs w:val="18"/>
    </w:rPr>
  </w:style>
  <w:style w:type="paragraph" w:styleId="ListParagraph">
    <w:name w:val="List Paragraph"/>
    <w:basedOn w:val="Normal"/>
    <w:link w:val="ListParagraphChar"/>
    <w:uiPriority w:val="34"/>
    <w:rsid w:val="008A4E4D"/>
    <w:pPr>
      <w:ind w:left="720"/>
      <w:contextualSpacing/>
    </w:pPr>
  </w:style>
  <w:style w:type="character" w:styleId="Strong">
    <w:name w:val="Strong"/>
    <w:basedOn w:val="DefaultParagraphFont"/>
    <w:uiPriority w:val="22"/>
    <w:rsid w:val="004B06E2"/>
    <w:rPr>
      <w:b/>
      <w:bCs/>
    </w:rPr>
  </w:style>
  <w:style w:type="character" w:styleId="CommentReference">
    <w:name w:val="annotation reference"/>
    <w:basedOn w:val="DefaultParagraphFont"/>
    <w:uiPriority w:val="99"/>
    <w:semiHidden/>
    <w:unhideWhenUsed/>
    <w:rsid w:val="00BA3B96"/>
    <w:rPr>
      <w:sz w:val="16"/>
      <w:szCs w:val="16"/>
    </w:rPr>
  </w:style>
  <w:style w:type="paragraph" w:styleId="CommentText">
    <w:name w:val="annotation text"/>
    <w:basedOn w:val="Normal"/>
    <w:link w:val="CommentTextChar"/>
    <w:uiPriority w:val="99"/>
    <w:unhideWhenUsed/>
    <w:rsid w:val="00BA3B96"/>
    <w:pPr>
      <w:spacing w:line="240" w:lineRule="auto"/>
    </w:pPr>
    <w:rPr>
      <w:sz w:val="20"/>
      <w:szCs w:val="20"/>
    </w:rPr>
  </w:style>
  <w:style w:type="character" w:customStyle="1" w:styleId="CommentTextChar">
    <w:name w:val="Comment Text Char"/>
    <w:basedOn w:val="DefaultParagraphFont"/>
    <w:link w:val="CommentText"/>
    <w:uiPriority w:val="99"/>
    <w:rsid w:val="00BA3B96"/>
    <w:rPr>
      <w:rFonts w:cs="Times New Roman"/>
      <w:sz w:val="20"/>
      <w:szCs w:val="20"/>
    </w:rPr>
  </w:style>
  <w:style w:type="paragraph" w:styleId="CommentSubject">
    <w:name w:val="annotation subject"/>
    <w:basedOn w:val="CommentText"/>
    <w:next w:val="CommentText"/>
    <w:link w:val="CommentSubjectChar"/>
    <w:uiPriority w:val="99"/>
    <w:semiHidden/>
    <w:unhideWhenUsed/>
    <w:rsid w:val="00BA3B96"/>
    <w:rPr>
      <w:b/>
      <w:bCs/>
    </w:rPr>
  </w:style>
  <w:style w:type="character" w:customStyle="1" w:styleId="CommentSubjectChar">
    <w:name w:val="Comment Subject Char"/>
    <w:basedOn w:val="CommentTextChar"/>
    <w:link w:val="CommentSubject"/>
    <w:uiPriority w:val="99"/>
    <w:semiHidden/>
    <w:rsid w:val="00BA3B96"/>
    <w:rPr>
      <w:rFonts w:cs="Times New Roman"/>
      <w:b/>
      <w:bCs/>
      <w:sz w:val="20"/>
      <w:szCs w:val="20"/>
    </w:rPr>
  </w:style>
  <w:style w:type="paragraph" w:customStyle="1" w:styleId="Text">
    <w:name w:val="Text"/>
    <w:basedOn w:val="Normal"/>
    <w:link w:val="TextChar"/>
    <w:qFormat/>
    <w:rsid w:val="003923AF"/>
    <w:pPr>
      <w:spacing w:line="360" w:lineRule="auto"/>
      <w:ind w:firstLine="720"/>
    </w:pPr>
    <w:rPr>
      <w:rFonts w:ascii="Century Schoolbook" w:hAnsi="Century Schoolbook"/>
    </w:rPr>
  </w:style>
  <w:style w:type="character" w:customStyle="1" w:styleId="TextChar">
    <w:name w:val="Text Char"/>
    <w:basedOn w:val="DefaultParagraphFont"/>
    <w:link w:val="Text"/>
    <w:rsid w:val="003923AF"/>
    <w:rPr>
      <w:rFonts w:ascii="Century Schoolbook" w:hAnsi="Century Schoolbook" w:cs="Times New Roman"/>
    </w:rPr>
  </w:style>
  <w:style w:type="paragraph" w:customStyle="1" w:styleId="A">
    <w:name w:val="A"/>
    <w:aliases w:val="Subheading"/>
    <w:basedOn w:val="ListParagraph"/>
    <w:link w:val="AChar"/>
    <w:qFormat/>
    <w:rsid w:val="003653CE"/>
    <w:pPr>
      <w:keepNext/>
      <w:numPr>
        <w:numId w:val="5"/>
      </w:numPr>
      <w:spacing w:line="360" w:lineRule="auto"/>
      <w:ind w:hanging="720"/>
    </w:pPr>
    <w:rPr>
      <w:rFonts w:ascii="Century Schoolbook" w:hAnsi="Century Schoolbook"/>
      <w:b/>
      <w:bCs/>
      <w:i/>
    </w:rPr>
  </w:style>
  <w:style w:type="paragraph" w:customStyle="1" w:styleId="Heading">
    <w:name w:val="Heading"/>
    <w:basedOn w:val="Normal"/>
    <w:link w:val="HeadingChar"/>
    <w:qFormat/>
    <w:rsid w:val="004B60F3"/>
    <w:pPr>
      <w:keepNext/>
      <w:spacing w:line="360" w:lineRule="auto"/>
      <w:jc w:val="center"/>
    </w:pPr>
    <w:rPr>
      <w:rFonts w:ascii="Century Schoolbook" w:hAnsi="Century Schoolbook"/>
      <w:b/>
      <w:bCs/>
    </w:rPr>
  </w:style>
  <w:style w:type="character" w:customStyle="1" w:styleId="ListParagraphChar">
    <w:name w:val="List Paragraph Char"/>
    <w:basedOn w:val="DefaultParagraphFont"/>
    <w:link w:val="ListParagraph"/>
    <w:uiPriority w:val="34"/>
    <w:rsid w:val="003653CE"/>
    <w:rPr>
      <w:rFonts w:cs="Times New Roman"/>
    </w:rPr>
  </w:style>
  <w:style w:type="character" w:customStyle="1" w:styleId="AChar">
    <w:name w:val="A Char"/>
    <w:aliases w:val="Subheading Char"/>
    <w:basedOn w:val="ListParagraphChar"/>
    <w:link w:val="A"/>
    <w:rsid w:val="003653CE"/>
    <w:rPr>
      <w:rFonts w:ascii="Century Schoolbook" w:hAnsi="Century Schoolbook" w:cs="Times New Roman"/>
      <w:b/>
      <w:bCs/>
      <w:i/>
    </w:rPr>
  </w:style>
  <w:style w:type="paragraph" w:customStyle="1" w:styleId="ISubheading">
    <w:name w:val="I. Subheading"/>
    <w:basedOn w:val="ListParagraph"/>
    <w:link w:val="ISubheadingChar"/>
    <w:qFormat/>
    <w:rsid w:val="00213E66"/>
    <w:pPr>
      <w:numPr>
        <w:numId w:val="1"/>
      </w:numPr>
      <w:spacing w:line="360" w:lineRule="auto"/>
      <w:ind w:hanging="1080"/>
    </w:pPr>
    <w:rPr>
      <w:rFonts w:ascii="Century Schoolbook" w:hAnsi="Century Schoolbook"/>
      <w:b/>
      <w:bCs/>
      <w:i/>
    </w:rPr>
  </w:style>
  <w:style w:type="character" w:customStyle="1" w:styleId="HeadingChar">
    <w:name w:val="Heading Char"/>
    <w:basedOn w:val="DefaultParagraphFont"/>
    <w:link w:val="Heading"/>
    <w:rsid w:val="004B60F3"/>
    <w:rPr>
      <w:rFonts w:ascii="Century Schoolbook" w:hAnsi="Century Schoolbook" w:cs="Times New Roman"/>
      <w:b/>
      <w:bCs/>
    </w:rPr>
  </w:style>
  <w:style w:type="paragraph" w:customStyle="1" w:styleId="aSubheading">
    <w:name w:val="a. Subheading"/>
    <w:basedOn w:val="ListParagraph"/>
    <w:link w:val="aSubheadingChar"/>
    <w:qFormat/>
    <w:rsid w:val="000306B1"/>
    <w:pPr>
      <w:keepNext/>
      <w:numPr>
        <w:ilvl w:val="1"/>
        <w:numId w:val="1"/>
      </w:numPr>
      <w:spacing w:after="120" w:line="240" w:lineRule="auto"/>
    </w:pPr>
    <w:rPr>
      <w:rFonts w:ascii="Century Schoolbook" w:hAnsi="Century Schoolbook"/>
      <w:b/>
      <w:bCs/>
      <w:i/>
    </w:rPr>
  </w:style>
  <w:style w:type="character" w:customStyle="1" w:styleId="ISubheadingChar">
    <w:name w:val="I. Subheading Char"/>
    <w:basedOn w:val="ListParagraphChar"/>
    <w:link w:val="ISubheading"/>
    <w:rsid w:val="00213E66"/>
    <w:rPr>
      <w:rFonts w:ascii="Century Schoolbook" w:hAnsi="Century Schoolbook" w:cs="Times New Roman"/>
      <w:b/>
      <w:bCs/>
      <w:i/>
    </w:rPr>
  </w:style>
  <w:style w:type="character" w:customStyle="1" w:styleId="aSubheadingChar">
    <w:name w:val="a. Subheading Char"/>
    <w:basedOn w:val="ListParagraphChar"/>
    <w:link w:val="aSubheading"/>
    <w:rsid w:val="000306B1"/>
    <w:rPr>
      <w:rFonts w:ascii="Century Schoolbook" w:hAnsi="Century Schoolbook" w:cs="Times New Roman"/>
      <w:b/>
      <w:bCs/>
      <w:i/>
    </w:rPr>
  </w:style>
  <w:style w:type="character" w:customStyle="1" w:styleId="ssrfcpassagedeactivated">
    <w:name w:val="ss_rfcpassage_deactivated"/>
    <w:basedOn w:val="DefaultParagraphFont"/>
    <w:rsid w:val="00DF7299"/>
  </w:style>
  <w:style w:type="character" w:styleId="Hyperlink">
    <w:name w:val="Hyperlink"/>
    <w:basedOn w:val="DefaultParagraphFont"/>
    <w:uiPriority w:val="99"/>
    <w:unhideWhenUsed/>
    <w:rsid w:val="00DF7299"/>
    <w:rPr>
      <w:color w:val="0000FF"/>
      <w:u w:val="single"/>
    </w:rPr>
  </w:style>
  <w:style w:type="character" w:customStyle="1" w:styleId="ssit">
    <w:name w:val="ss_it"/>
    <w:basedOn w:val="DefaultParagraphFont"/>
    <w:rsid w:val="00DF7299"/>
  </w:style>
  <w:style w:type="character" w:customStyle="1" w:styleId="ssprior">
    <w:name w:val="ss_prior"/>
    <w:basedOn w:val="DefaultParagraphFont"/>
    <w:rsid w:val="00DF7299"/>
  </w:style>
  <w:style w:type="character" w:customStyle="1" w:styleId="ssib">
    <w:name w:val="ss_ib"/>
    <w:basedOn w:val="DefaultParagraphFont"/>
    <w:rsid w:val="00DF7299"/>
  </w:style>
  <w:style w:type="character" w:customStyle="1" w:styleId="ssbf">
    <w:name w:val="ss_bf"/>
    <w:basedOn w:val="DefaultParagraphFont"/>
    <w:rsid w:val="00DF7299"/>
  </w:style>
  <w:style w:type="paragraph" w:styleId="NormalWeb">
    <w:name w:val="Normal (Web)"/>
    <w:basedOn w:val="Normal"/>
    <w:uiPriority w:val="99"/>
    <w:semiHidden/>
    <w:unhideWhenUsed/>
    <w:rsid w:val="009E0F90"/>
    <w:pPr>
      <w:tabs>
        <w:tab w:val="clear" w:pos="720"/>
      </w:tabs>
      <w:spacing w:before="100" w:beforeAutospacing="1" w:after="100" w:afterAutospacing="1" w:line="240" w:lineRule="auto"/>
    </w:pPr>
    <w:rPr>
      <w:rFonts w:eastAsia="Times New Roman"/>
      <w:sz w:val="24"/>
      <w:szCs w:val="24"/>
    </w:rPr>
  </w:style>
  <w:style w:type="character" w:customStyle="1" w:styleId="Heading1Char">
    <w:name w:val="Heading 1 Char"/>
    <w:basedOn w:val="DefaultParagraphFont"/>
    <w:link w:val="Heading1"/>
    <w:uiPriority w:val="9"/>
    <w:rsid w:val="00CE1781"/>
    <w:rPr>
      <w:rFonts w:asciiTheme="majorHAnsi" w:eastAsiaTheme="majorEastAsia" w:hAnsiTheme="majorHAnsi" w:cstheme="majorBidi"/>
      <w:color w:val="2F5496" w:themeColor="accent1" w:themeShade="BF"/>
      <w:sz w:val="32"/>
      <w:szCs w:val="32"/>
    </w:rPr>
  </w:style>
  <w:style w:type="character" w:customStyle="1" w:styleId="sssh">
    <w:name w:val="ss_sh"/>
    <w:basedOn w:val="DefaultParagraphFont"/>
    <w:rsid w:val="008670DC"/>
  </w:style>
  <w:style w:type="character" w:customStyle="1" w:styleId="ssparalabel">
    <w:name w:val="ss_paralabel"/>
    <w:basedOn w:val="DefaultParagraphFont"/>
    <w:rsid w:val="00E86EEA"/>
  </w:style>
  <w:style w:type="character" w:customStyle="1" w:styleId="ssparacontent">
    <w:name w:val="ss_paracontent"/>
    <w:basedOn w:val="DefaultParagraphFont"/>
    <w:rsid w:val="00E86EEA"/>
  </w:style>
  <w:style w:type="character" w:customStyle="1" w:styleId="ssrfcsection">
    <w:name w:val="ss_rfcsection"/>
    <w:basedOn w:val="DefaultParagraphFont"/>
    <w:rsid w:val="00765F28"/>
  </w:style>
  <w:style w:type="character" w:styleId="PlaceholderText">
    <w:name w:val="Placeholder Text"/>
    <w:basedOn w:val="DefaultParagraphFont"/>
    <w:uiPriority w:val="99"/>
    <w:semiHidden/>
    <w:rsid w:val="002A4D6F"/>
    <w:rPr>
      <w:color w:val="808080"/>
    </w:rPr>
  </w:style>
  <w:style w:type="paragraph" w:customStyle="1" w:styleId="AHeading">
    <w:name w:val="A. Heading"/>
    <w:basedOn w:val="ListParagraph"/>
    <w:link w:val="AHeadingChar"/>
    <w:qFormat/>
    <w:rsid w:val="002A4D6F"/>
    <w:pPr>
      <w:keepNext/>
      <w:numPr>
        <w:numId w:val="7"/>
      </w:numPr>
      <w:spacing w:line="360" w:lineRule="auto"/>
    </w:pPr>
    <w:rPr>
      <w:rFonts w:ascii="Century Schoolbook" w:hAnsi="Century Schoolbook"/>
      <w:b/>
      <w:iCs/>
    </w:rPr>
  </w:style>
  <w:style w:type="character" w:customStyle="1" w:styleId="AHeadingChar">
    <w:name w:val="A. Heading Char"/>
    <w:basedOn w:val="ListParagraphChar"/>
    <w:link w:val="AHeading"/>
    <w:rsid w:val="002A4D6F"/>
    <w:rPr>
      <w:rFonts w:ascii="Century Schoolbook" w:hAnsi="Century Schoolbook" w:cs="Times New Roman"/>
      <w:b/>
      <w:iCs/>
    </w:rPr>
  </w:style>
  <w:style w:type="character" w:customStyle="1" w:styleId="UnresolvedMention1">
    <w:name w:val="Unresolved Mention1"/>
    <w:basedOn w:val="DefaultParagraphFont"/>
    <w:uiPriority w:val="99"/>
    <w:semiHidden/>
    <w:unhideWhenUsed/>
    <w:rsid w:val="00EA11E2"/>
    <w:rPr>
      <w:color w:val="605E5C"/>
      <w:shd w:val="clear" w:color="auto" w:fill="E1DFDD"/>
    </w:rPr>
  </w:style>
  <w:style w:type="paragraph" w:styleId="Revision">
    <w:name w:val="Revision"/>
    <w:hidden/>
    <w:uiPriority w:val="99"/>
    <w:semiHidden/>
    <w:rsid w:val="007B731D"/>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3A13A-4ED3-4BCD-92F7-FC5518C68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5645</Words>
  <Characters>29985</Characters>
  <Application>Microsoft Office Word</Application>
  <DocSecurity>0</DocSecurity>
  <Lines>575</Lines>
  <Paragraphs>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35828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2022-08-18T22:18:00Z</dcterms:created>
  <dcterms:modified xsi:type="dcterms:W3CDTF">2022-08-18T22:18:00Z</dcterms:modified>
  <cp:category/>
</cp:coreProperties>
</file>