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DD9CC" w14:textId="5AB7B40A" w:rsidR="004C0F52" w:rsidRPr="007205DD" w:rsidRDefault="003D06AD" w:rsidP="003D06AD">
      <w:pPr>
        <w:spacing w:line="240" w:lineRule="auto"/>
        <w:jc w:val="center"/>
        <w:rPr>
          <w:sz w:val="20"/>
        </w:rPr>
      </w:pPr>
      <w:r w:rsidRPr="007205DD">
        <w:rPr>
          <w:sz w:val="20"/>
        </w:rPr>
        <w:t xml:space="preserve">Filed </w:t>
      </w:r>
      <w:r w:rsidR="00BB7AFD">
        <w:rPr>
          <w:sz w:val="20"/>
        </w:rPr>
        <w:t>6/</w:t>
      </w:r>
      <w:r w:rsidR="00FA54F0">
        <w:rPr>
          <w:sz w:val="20"/>
        </w:rPr>
        <w:t>8</w:t>
      </w:r>
      <w:r w:rsidR="00BB7AFD">
        <w:rPr>
          <w:sz w:val="20"/>
        </w:rPr>
        <w:t>/23</w:t>
      </w:r>
      <w:r w:rsidRPr="003D06AD">
        <w:rPr>
          <w:sz w:val="20"/>
        </w:rPr>
        <w:t>; REVIEW GRANTED.  See Cal. Rules of Court, rules 8.1105 and 8.1115 (and corresponding Comment, par. 2, concerning rule 8.1115(e)(3)).</w:t>
      </w:r>
    </w:p>
    <w:p w14:paraId="59B038A4" w14:textId="77777777" w:rsidR="004C0F52" w:rsidRPr="007205DD" w:rsidRDefault="003D06AD" w:rsidP="004C0F52">
      <w:pPr>
        <w:spacing w:line="240" w:lineRule="auto"/>
        <w:jc w:val="center"/>
        <w:rPr>
          <w:b/>
        </w:rPr>
      </w:pPr>
      <w:r w:rsidRPr="007205DD">
        <w:rPr>
          <w:b/>
        </w:rPr>
        <w:t>CERTIFIED FOR PUBLICATION</w:t>
      </w:r>
    </w:p>
    <w:p w14:paraId="482975B1" w14:textId="77777777" w:rsidR="004C0F52" w:rsidRDefault="004C0F52" w:rsidP="004C0F52">
      <w:pPr>
        <w:spacing w:line="240" w:lineRule="auto"/>
        <w:jc w:val="center"/>
      </w:pPr>
    </w:p>
    <w:p w14:paraId="1D4A7141" w14:textId="2345CF2B" w:rsidR="0006653B" w:rsidRDefault="003D06AD" w:rsidP="0080647E">
      <w:pPr>
        <w:spacing w:line="240" w:lineRule="auto"/>
        <w:jc w:val="center"/>
      </w:pPr>
      <w:r>
        <w:t>IN THE COURT OF APPEAL OF THE STATE OF CALIFORNIA</w:t>
      </w:r>
    </w:p>
    <w:p w14:paraId="40A3AB9A" w14:textId="61FB18C5" w:rsidR="0080647E" w:rsidRDefault="0080647E" w:rsidP="0080647E">
      <w:pPr>
        <w:spacing w:line="240" w:lineRule="auto"/>
        <w:jc w:val="center"/>
      </w:pPr>
    </w:p>
    <w:p w14:paraId="78F237FF" w14:textId="676EA40B" w:rsidR="0080647E" w:rsidRDefault="003D06AD" w:rsidP="0080647E">
      <w:pPr>
        <w:spacing w:line="240" w:lineRule="auto"/>
        <w:jc w:val="center"/>
      </w:pPr>
      <w:r>
        <w:t>FIRST APPELLATE DISTRICT</w:t>
      </w:r>
    </w:p>
    <w:p w14:paraId="1A9818C8" w14:textId="57FB81E1" w:rsidR="0080647E" w:rsidRDefault="0080647E" w:rsidP="0080647E">
      <w:pPr>
        <w:spacing w:line="240" w:lineRule="auto"/>
        <w:jc w:val="center"/>
      </w:pPr>
    </w:p>
    <w:p w14:paraId="66B26AAE" w14:textId="31AF20C3" w:rsidR="0080647E" w:rsidRDefault="003D06AD" w:rsidP="0080647E">
      <w:pPr>
        <w:spacing w:line="240" w:lineRule="auto"/>
        <w:jc w:val="center"/>
      </w:pPr>
      <w:r>
        <w:t>DIVISION FOUR</w:t>
      </w:r>
    </w:p>
    <w:p w14:paraId="2688B9F3" w14:textId="66526256" w:rsidR="0080647E" w:rsidRDefault="0080647E" w:rsidP="0080647E">
      <w:pPr>
        <w:spacing w:line="240" w:lineRule="auto"/>
        <w:jc w:val="center"/>
      </w:pPr>
    </w:p>
    <w:p w14:paraId="01936CE4" w14:textId="0FC50CAC" w:rsidR="0080647E" w:rsidRDefault="0080647E" w:rsidP="0080647E">
      <w:pPr>
        <w:spacing w:line="240" w:lineRule="auto"/>
        <w:jc w:val="center"/>
      </w:pPr>
    </w:p>
    <w:tbl>
      <w:tblPr>
        <w:tblW w:w="0" w:type="auto"/>
        <w:tblLayout w:type="fixed"/>
        <w:tblLook w:val="0000" w:firstRow="0" w:lastRow="0" w:firstColumn="0" w:lastColumn="0" w:noHBand="0" w:noVBand="0"/>
      </w:tblPr>
      <w:tblGrid>
        <w:gridCol w:w="4680"/>
        <w:gridCol w:w="4680"/>
      </w:tblGrid>
      <w:tr w:rsidR="00FA3F9D" w14:paraId="5DCBB5FC" w14:textId="77777777" w:rsidTr="0080647E">
        <w:tc>
          <w:tcPr>
            <w:tcW w:w="4680" w:type="dxa"/>
            <w:tcBorders>
              <w:bottom w:val="single" w:sz="4" w:space="0" w:color="auto"/>
              <w:right w:val="single" w:sz="4" w:space="0" w:color="auto"/>
            </w:tcBorders>
            <w:shd w:val="clear" w:color="auto" w:fill="auto"/>
          </w:tcPr>
          <w:p w14:paraId="48DDDD41" w14:textId="77777777" w:rsidR="00C4676A" w:rsidRDefault="003D06AD" w:rsidP="0080647E">
            <w:pPr>
              <w:spacing w:after="120" w:line="240" w:lineRule="auto"/>
              <w:rPr>
                <w:rFonts w:cs="CenturySchoolbook"/>
              </w:rPr>
            </w:pPr>
            <w:r>
              <w:rPr>
                <w:rFonts w:cs="CenturySchoolbook"/>
              </w:rPr>
              <w:t>MANOHAR RAJU et al.,</w:t>
            </w:r>
          </w:p>
          <w:p w14:paraId="0AB6DCA9" w14:textId="6AD775BD" w:rsidR="0080647E" w:rsidRDefault="003D06AD" w:rsidP="0080647E">
            <w:pPr>
              <w:spacing w:after="120" w:line="240" w:lineRule="auto"/>
            </w:pPr>
            <w:r>
              <w:tab/>
              <w:t>Plaintiff</w:t>
            </w:r>
            <w:r w:rsidR="00CC1C8D">
              <w:t>s</w:t>
            </w:r>
            <w:r>
              <w:t xml:space="preserve"> and Appellant</w:t>
            </w:r>
            <w:r w:rsidR="00CC1C8D">
              <w:t>s</w:t>
            </w:r>
            <w:r>
              <w:t>,</w:t>
            </w:r>
          </w:p>
          <w:p w14:paraId="14268622" w14:textId="77777777" w:rsidR="0080647E" w:rsidRDefault="003D06AD" w:rsidP="0080647E">
            <w:pPr>
              <w:spacing w:after="120" w:line="240" w:lineRule="auto"/>
            </w:pPr>
            <w:r>
              <w:t>v.</w:t>
            </w:r>
          </w:p>
          <w:p w14:paraId="40AA0096" w14:textId="766D5552" w:rsidR="0080647E" w:rsidRPr="00A35914" w:rsidRDefault="003D06AD" w:rsidP="0080647E">
            <w:pPr>
              <w:spacing w:after="120" w:line="240" w:lineRule="auto"/>
            </w:pPr>
            <w:r>
              <w:t xml:space="preserve">THE SUPERIOR COURT OF THE </w:t>
            </w:r>
            <w:r w:rsidR="008D0334">
              <w:t>CITY AND COUNTY OF</w:t>
            </w:r>
            <w:r>
              <w:t xml:space="preserve"> SAN FRANCISCO</w:t>
            </w:r>
            <w:r w:rsidR="0006049C">
              <w:t xml:space="preserve"> </w:t>
            </w:r>
            <w:r>
              <w:t>et al.,</w:t>
            </w:r>
          </w:p>
          <w:p w14:paraId="77738B79" w14:textId="3490CE9A" w:rsidR="0080647E" w:rsidRDefault="003D06AD" w:rsidP="0080647E">
            <w:pPr>
              <w:spacing w:after="120" w:line="240" w:lineRule="auto"/>
            </w:pPr>
            <w:r>
              <w:tab/>
            </w:r>
            <w:r w:rsidR="00D36A0B" w:rsidRPr="00A35914">
              <w:t>Defendant</w:t>
            </w:r>
            <w:r w:rsidR="00D36A0B">
              <w:t>s and Respondents</w:t>
            </w:r>
            <w:r>
              <w:t>.</w:t>
            </w:r>
          </w:p>
        </w:tc>
        <w:tc>
          <w:tcPr>
            <w:tcW w:w="4680" w:type="dxa"/>
            <w:tcBorders>
              <w:left w:val="single" w:sz="4" w:space="0" w:color="auto"/>
            </w:tcBorders>
            <w:shd w:val="clear" w:color="auto" w:fill="auto"/>
          </w:tcPr>
          <w:p w14:paraId="1386CDA9" w14:textId="77777777" w:rsidR="0080647E" w:rsidRDefault="0080647E" w:rsidP="0080647E">
            <w:pPr>
              <w:spacing w:line="240" w:lineRule="auto"/>
            </w:pPr>
          </w:p>
          <w:p w14:paraId="6CBBA108" w14:textId="77777777" w:rsidR="0080647E" w:rsidRDefault="0080647E" w:rsidP="0080647E">
            <w:pPr>
              <w:spacing w:line="240" w:lineRule="auto"/>
            </w:pPr>
          </w:p>
          <w:p w14:paraId="55C88F06" w14:textId="1F365D2F" w:rsidR="0080647E" w:rsidRDefault="003D06AD" w:rsidP="00547EF9">
            <w:pPr>
              <w:tabs>
                <w:tab w:val="clear" w:pos="720"/>
                <w:tab w:val="left" w:pos="342"/>
              </w:tabs>
              <w:spacing w:line="240" w:lineRule="auto"/>
            </w:pPr>
            <w:r>
              <w:tab/>
            </w:r>
            <w:r w:rsidRPr="00A35914">
              <w:t>A16</w:t>
            </w:r>
            <w:r w:rsidR="00676F7C">
              <w:t>4</w:t>
            </w:r>
            <w:r w:rsidR="00705812">
              <w:t>736</w:t>
            </w:r>
          </w:p>
          <w:p w14:paraId="1860A3EE" w14:textId="77777777" w:rsidR="0080647E" w:rsidRDefault="0080647E" w:rsidP="00547EF9">
            <w:pPr>
              <w:tabs>
                <w:tab w:val="clear" w:pos="720"/>
                <w:tab w:val="left" w:pos="342"/>
              </w:tabs>
              <w:spacing w:line="240" w:lineRule="auto"/>
            </w:pPr>
          </w:p>
          <w:p w14:paraId="58ADEF7F" w14:textId="7035264F" w:rsidR="00CC7FEC" w:rsidRDefault="003D06AD" w:rsidP="00547EF9">
            <w:pPr>
              <w:tabs>
                <w:tab w:val="clear" w:pos="720"/>
                <w:tab w:val="left" w:pos="342"/>
              </w:tabs>
              <w:spacing w:line="240" w:lineRule="auto"/>
            </w:pPr>
            <w:r>
              <w:tab/>
            </w:r>
            <w:r w:rsidR="0080647E">
              <w:t>(</w:t>
            </w:r>
            <w:r w:rsidR="00CB3EF2">
              <w:t xml:space="preserve">Contra Costa County </w:t>
            </w:r>
          </w:p>
          <w:p w14:paraId="26BA8D4E" w14:textId="42E197C7" w:rsidR="0080647E" w:rsidRDefault="003D06AD" w:rsidP="003B44CC">
            <w:pPr>
              <w:tabs>
                <w:tab w:val="clear" w:pos="720"/>
                <w:tab w:val="left" w:pos="342"/>
              </w:tabs>
              <w:spacing w:line="240" w:lineRule="auto"/>
              <w:ind w:firstLine="346"/>
            </w:pPr>
            <w:r>
              <w:t>Super. Ct. No. MSRA21-0005)</w:t>
            </w:r>
          </w:p>
        </w:tc>
      </w:tr>
    </w:tbl>
    <w:p w14:paraId="6D5B8629" w14:textId="77777777" w:rsidR="0080647E" w:rsidRDefault="0080647E" w:rsidP="00487763">
      <w:pPr>
        <w:autoSpaceDE w:val="0"/>
        <w:autoSpaceDN w:val="0"/>
        <w:adjustRightInd w:val="0"/>
        <w:spacing w:line="240" w:lineRule="auto"/>
      </w:pPr>
    </w:p>
    <w:p w14:paraId="0BF8DD07" w14:textId="61BBE75B" w:rsidR="0080647E" w:rsidRDefault="003D06AD" w:rsidP="003F5F13">
      <w:pPr>
        <w:autoSpaceDE w:val="0"/>
        <w:autoSpaceDN w:val="0"/>
        <w:adjustRightInd w:val="0"/>
        <w:spacing w:line="360" w:lineRule="auto"/>
        <w:contextualSpacing/>
        <w:rPr>
          <w:rFonts w:cs="CenturySchoolbook"/>
        </w:rPr>
      </w:pPr>
      <w:r w:rsidRPr="0085296A">
        <w:tab/>
      </w:r>
      <w:r w:rsidR="5928D824" w:rsidRPr="4B0E998B">
        <w:rPr>
          <w:rFonts w:cs="CenturySchoolbook"/>
        </w:rPr>
        <w:t xml:space="preserve">Manohar Raju, Donna Doyle, John Dunbar, and Rose Marie Sims appeal a judgment dismissing their taxpayer action against the Superior Court of </w:t>
      </w:r>
      <w:r w:rsidR="14453987">
        <w:rPr>
          <w:rFonts w:cs="CenturySchoolbook"/>
        </w:rPr>
        <w:t xml:space="preserve">the </w:t>
      </w:r>
      <w:r w:rsidR="5928D824" w:rsidRPr="4B0E998B">
        <w:rPr>
          <w:rFonts w:cs="CenturySchoolbook"/>
        </w:rPr>
        <w:t xml:space="preserve">City and County of San Francisco (defendant court), Anne-Christine </w:t>
      </w:r>
      <w:proofErr w:type="spellStart"/>
      <w:r w:rsidR="5928D824" w:rsidRPr="4B0E998B">
        <w:rPr>
          <w:rFonts w:cs="CenturySchoolbook"/>
        </w:rPr>
        <w:t>Massullo</w:t>
      </w:r>
      <w:proofErr w:type="spellEnd"/>
      <w:r w:rsidR="5928D824" w:rsidRPr="4B0E998B">
        <w:rPr>
          <w:rFonts w:cs="CenturySchoolbook"/>
        </w:rPr>
        <w:t xml:space="preserve">, and Mark </w:t>
      </w:r>
      <w:proofErr w:type="spellStart"/>
      <w:r w:rsidR="5928D824" w:rsidRPr="4B0E998B">
        <w:rPr>
          <w:rFonts w:cs="CenturySchoolbook"/>
        </w:rPr>
        <w:t>Culkins</w:t>
      </w:r>
      <w:proofErr w:type="spellEnd"/>
      <w:r w:rsidR="5928D824" w:rsidRPr="4B0E998B">
        <w:rPr>
          <w:rFonts w:cs="CenturySchoolbook"/>
        </w:rPr>
        <w:t xml:space="preserve">, the latter in their official capacities as defendant court’s </w:t>
      </w:r>
      <w:r w:rsidR="79D9EA3A">
        <w:rPr>
          <w:rFonts w:cs="CenturySchoolbook"/>
        </w:rPr>
        <w:t>p</w:t>
      </w:r>
      <w:r w:rsidR="5928D824" w:rsidRPr="4B0E998B">
        <w:rPr>
          <w:rFonts w:cs="CenturySchoolbook"/>
        </w:rPr>
        <w:t xml:space="preserve">residing </w:t>
      </w:r>
      <w:r w:rsidR="79D9EA3A">
        <w:rPr>
          <w:rFonts w:cs="CenturySchoolbook"/>
        </w:rPr>
        <w:t>j</w:t>
      </w:r>
      <w:r w:rsidR="5928D824" w:rsidRPr="4B0E998B">
        <w:rPr>
          <w:rFonts w:cs="CenturySchoolbook"/>
        </w:rPr>
        <w:t xml:space="preserve">udge and </w:t>
      </w:r>
      <w:r w:rsidR="79D9EA3A">
        <w:rPr>
          <w:rFonts w:cs="CenturySchoolbook"/>
        </w:rPr>
        <w:t>i</w:t>
      </w:r>
      <w:r w:rsidR="5928D824" w:rsidRPr="4B0E998B">
        <w:rPr>
          <w:rFonts w:cs="CenturySchoolbook"/>
        </w:rPr>
        <w:t xml:space="preserve">nterim </w:t>
      </w:r>
      <w:r w:rsidR="79D9EA3A">
        <w:rPr>
          <w:rFonts w:cs="CenturySchoolbook"/>
        </w:rPr>
        <w:t>c</w:t>
      </w:r>
      <w:r w:rsidR="5928D824" w:rsidRPr="4B0E998B">
        <w:rPr>
          <w:rFonts w:cs="CenturySchoolbook"/>
        </w:rPr>
        <w:t xml:space="preserve">hief </w:t>
      </w:r>
      <w:r w:rsidR="79D9EA3A">
        <w:rPr>
          <w:rFonts w:cs="CenturySchoolbook"/>
        </w:rPr>
        <w:t>e</w:t>
      </w:r>
      <w:r w:rsidR="5928D824" w:rsidRPr="4B0E998B">
        <w:rPr>
          <w:rFonts w:cs="CenturySchoolbook"/>
        </w:rPr>
        <w:t xml:space="preserve">xecutive </w:t>
      </w:r>
      <w:r w:rsidR="79D9EA3A">
        <w:rPr>
          <w:rFonts w:cs="CenturySchoolbook"/>
        </w:rPr>
        <w:t>o</w:t>
      </w:r>
      <w:r w:rsidR="5928D824" w:rsidRPr="4B0E998B">
        <w:rPr>
          <w:rFonts w:cs="CenturySchoolbook"/>
        </w:rPr>
        <w:t>fficer (CEO).</w:t>
      </w:r>
      <w:r>
        <w:rPr>
          <w:rStyle w:val="FootnoteReference"/>
          <w:rFonts w:cs="CenturySchoolbook"/>
        </w:rPr>
        <w:footnoteReference w:id="2"/>
      </w:r>
      <w:r w:rsidR="5928D824" w:rsidRPr="4B0E998B">
        <w:rPr>
          <w:rFonts w:cs="CenturySchoolbook"/>
        </w:rPr>
        <w:t xml:space="preserve"> At issue in this appeal is plaintiffs</w:t>
      </w:r>
      <w:r w:rsidR="00CD47F7">
        <w:rPr>
          <w:rFonts w:cs="CenturySchoolbook"/>
        </w:rPr>
        <w:t>’</w:t>
      </w:r>
      <w:r w:rsidR="5928D824" w:rsidRPr="4B0E998B">
        <w:rPr>
          <w:rFonts w:cs="CenturySchoolbook"/>
        </w:rPr>
        <w:t xml:space="preserve"> </w:t>
      </w:r>
      <w:r w:rsidR="1A21D9C2">
        <w:rPr>
          <w:rFonts w:cs="CenturySchoolbook"/>
        </w:rPr>
        <w:t>taxpayer</w:t>
      </w:r>
      <w:r w:rsidR="008C15E1">
        <w:rPr>
          <w:rFonts w:cs="CenturySchoolbook"/>
        </w:rPr>
        <w:t>-standing</w:t>
      </w:r>
      <w:r w:rsidR="1A21D9C2">
        <w:rPr>
          <w:rFonts w:cs="CenturySchoolbook"/>
        </w:rPr>
        <w:t xml:space="preserve"> </w:t>
      </w:r>
      <w:r w:rsidR="5928D824" w:rsidRPr="4B0E998B">
        <w:rPr>
          <w:rFonts w:cs="CenturySchoolbook"/>
        </w:rPr>
        <w:t xml:space="preserve">cause of action </w:t>
      </w:r>
      <w:r w:rsidR="5928D824" w:rsidRPr="4B0E998B">
        <w:rPr>
          <w:rFonts w:cs="CenturySchoolbook"/>
          <w:spacing w:val="-2"/>
        </w:rPr>
        <w:t>for declaratory and injunctive relief</w:t>
      </w:r>
      <w:r w:rsidR="291E62CF">
        <w:rPr>
          <w:rFonts w:cs="CenturySchoolbook"/>
        </w:rPr>
        <w:t xml:space="preserve"> </w:t>
      </w:r>
      <w:r w:rsidR="5928D824" w:rsidRPr="4B0E998B">
        <w:rPr>
          <w:rFonts w:cs="CenturySchoolbook"/>
        </w:rPr>
        <w:t xml:space="preserve">to remedy alleged violations of Penal Code </w:t>
      </w:r>
      <w:r w:rsidR="47D73CF7">
        <w:rPr>
          <w:rFonts w:cs="CenturySchoolbook"/>
          <w:spacing w:val="-2"/>
        </w:rPr>
        <w:t xml:space="preserve">provisions </w:t>
      </w:r>
      <w:r w:rsidR="00C33985">
        <w:rPr>
          <w:rFonts w:cs="CenturySchoolbook"/>
          <w:spacing w:val="-2"/>
        </w:rPr>
        <w:t xml:space="preserve">that </w:t>
      </w:r>
      <w:r w:rsidR="7D1D749E">
        <w:rPr>
          <w:rFonts w:cs="CenturySchoolbook"/>
          <w:spacing w:val="-2"/>
        </w:rPr>
        <w:t>impos</w:t>
      </w:r>
      <w:r w:rsidR="61F22686">
        <w:rPr>
          <w:rFonts w:cs="CenturySchoolbook"/>
          <w:spacing w:val="-2"/>
        </w:rPr>
        <w:t>e</w:t>
      </w:r>
      <w:r w:rsidR="7D1D749E">
        <w:rPr>
          <w:rFonts w:cs="CenturySchoolbook"/>
          <w:spacing w:val="-2"/>
        </w:rPr>
        <w:t xml:space="preserve"> </w:t>
      </w:r>
      <w:r w:rsidR="47D73CF7">
        <w:rPr>
          <w:rFonts w:cs="CenturySchoolbook"/>
          <w:spacing w:val="-2"/>
        </w:rPr>
        <w:t xml:space="preserve">a </w:t>
      </w:r>
      <w:r w:rsidR="7D1D749E">
        <w:rPr>
          <w:rFonts w:cs="CenturySchoolbook"/>
          <w:spacing w:val="-2"/>
        </w:rPr>
        <w:t>duty on</w:t>
      </w:r>
      <w:r w:rsidR="7CC8194D">
        <w:rPr>
          <w:rFonts w:cs="CenturySchoolbook"/>
          <w:spacing w:val="-2"/>
        </w:rPr>
        <w:t xml:space="preserve"> the courts </w:t>
      </w:r>
      <w:r w:rsidR="7D1D749E">
        <w:rPr>
          <w:rFonts w:cs="CenturySchoolbook"/>
          <w:spacing w:val="-2"/>
        </w:rPr>
        <w:t xml:space="preserve">(and others) </w:t>
      </w:r>
      <w:r w:rsidR="7CC8194D">
        <w:rPr>
          <w:rFonts w:cs="CenturySchoolbook"/>
          <w:spacing w:val="-2"/>
        </w:rPr>
        <w:t>to expedite criminal proceedings</w:t>
      </w:r>
      <w:r w:rsidR="00BB6150">
        <w:rPr>
          <w:rFonts w:cs="CenturySchoolbook"/>
          <w:spacing w:val="-2"/>
        </w:rPr>
        <w:t>,</w:t>
      </w:r>
      <w:r w:rsidR="437B8557">
        <w:rPr>
          <w:rFonts w:cs="CenturySchoolbook"/>
          <w:spacing w:val="-2"/>
        </w:rPr>
        <w:t xml:space="preserve"> </w:t>
      </w:r>
      <w:r w:rsidR="7CC8194D">
        <w:rPr>
          <w:rFonts w:cs="CenturySchoolbook"/>
          <w:spacing w:val="-2"/>
        </w:rPr>
        <w:t xml:space="preserve">including by prioritizing </w:t>
      </w:r>
      <w:r w:rsidR="00BB6150">
        <w:rPr>
          <w:rFonts w:cs="CenturySchoolbook"/>
          <w:spacing w:val="-2"/>
        </w:rPr>
        <w:t>them</w:t>
      </w:r>
      <w:r w:rsidR="7CC8194D">
        <w:rPr>
          <w:rFonts w:cs="CenturySchoolbook"/>
          <w:spacing w:val="-2"/>
        </w:rPr>
        <w:t xml:space="preserve"> over civil cases</w:t>
      </w:r>
      <w:r w:rsidR="7D1D749E">
        <w:rPr>
          <w:rFonts w:cs="CenturySchoolbook"/>
          <w:spacing w:val="-2"/>
        </w:rPr>
        <w:t xml:space="preserve">, and </w:t>
      </w:r>
      <w:r w:rsidR="534F0E2F" w:rsidRPr="1D2EECFC">
        <w:rPr>
          <w:rFonts w:cs="CenturySchoolbook"/>
        </w:rPr>
        <w:t xml:space="preserve">to </w:t>
      </w:r>
      <w:r w:rsidR="00AD0C10">
        <w:rPr>
          <w:rFonts w:cs="CenturySchoolbook"/>
        </w:rPr>
        <w:t xml:space="preserve">follow </w:t>
      </w:r>
      <w:r w:rsidR="534F0E2F" w:rsidRPr="1D2EECFC">
        <w:rPr>
          <w:rFonts w:cs="CenturySchoolbook"/>
        </w:rPr>
        <w:lastRenderedPageBreak/>
        <w:t>specific procedural steps before a criminal trial may</w:t>
      </w:r>
      <w:r w:rsidR="54FA0A92">
        <w:rPr>
          <w:rFonts w:cs="CenturySchoolbook"/>
          <w:spacing w:val="-2"/>
        </w:rPr>
        <w:t xml:space="preserve"> be continued beyond statutory time limits</w:t>
      </w:r>
      <w:r w:rsidR="5928D824" w:rsidRPr="4B0E998B">
        <w:rPr>
          <w:rFonts w:cs="CenturySchoolbook"/>
        </w:rPr>
        <w:t>.</w:t>
      </w:r>
      <w:r>
        <w:rPr>
          <w:rStyle w:val="FootnoteReference"/>
          <w:rFonts w:cs="CenturySchoolbook"/>
        </w:rPr>
        <w:footnoteReference w:id="3"/>
      </w:r>
      <w:r w:rsidR="5928D824" w:rsidRPr="4B0E998B">
        <w:rPr>
          <w:rFonts w:cs="CenturySchoolbook"/>
        </w:rPr>
        <w:t xml:space="preserve"> </w:t>
      </w:r>
    </w:p>
    <w:p w14:paraId="6543FA2E" w14:textId="5D8ED0F0" w:rsidR="0080647E" w:rsidRDefault="003D06AD" w:rsidP="003F5F13">
      <w:pPr>
        <w:autoSpaceDE w:val="0"/>
        <w:autoSpaceDN w:val="0"/>
        <w:adjustRightInd w:val="0"/>
        <w:spacing w:line="360" w:lineRule="auto"/>
        <w:contextualSpacing/>
        <w:rPr>
          <w:rFonts w:cs="Times New Roman"/>
          <w:color w:val="000000"/>
        </w:rPr>
      </w:pPr>
      <w:r>
        <w:rPr>
          <w:rFonts w:cs="CenturySchoolbook"/>
          <w:szCs w:val="25"/>
        </w:rPr>
        <w:tab/>
      </w:r>
      <w:r w:rsidR="38233926" w:rsidRPr="4B0E998B">
        <w:rPr>
          <w:rFonts w:cs="CenturySchoolbook"/>
        </w:rPr>
        <w:t xml:space="preserve">The trial court sustained the demurrer </w:t>
      </w:r>
      <w:r w:rsidR="00936BA1">
        <w:rPr>
          <w:rFonts w:cs="CenturySchoolbook"/>
        </w:rPr>
        <w:t>pursuant</w:t>
      </w:r>
      <w:r w:rsidR="38233926" w:rsidRPr="4B0E998B">
        <w:rPr>
          <w:rFonts w:cs="CenturySchoolbook"/>
        </w:rPr>
        <w:t xml:space="preserve"> to </w:t>
      </w:r>
      <w:r w:rsidR="38233926" w:rsidRPr="002E12D2">
        <w:rPr>
          <w:rFonts w:cs="CenturySchoolbook"/>
          <w:i/>
        </w:rPr>
        <w:t>Ford v. Superior Court</w:t>
      </w:r>
      <w:r w:rsidR="38233926" w:rsidRPr="0095170C">
        <w:rPr>
          <w:rFonts w:cs="CenturySchoolbook"/>
        </w:rPr>
        <w:t xml:space="preserve"> (1986) 188 Cal.App.3d 737 (</w:t>
      </w:r>
      <w:r w:rsidR="38233926" w:rsidRPr="0095170C">
        <w:rPr>
          <w:rFonts w:cs="CenturySchoolbook"/>
          <w:i/>
        </w:rPr>
        <w:t>Ford</w:t>
      </w:r>
      <w:r w:rsidR="38233926" w:rsidRPr="0095170C">
        <w:rPr>
          <w:rFonts w:cs="CenturySchoolbook"/>
        </w:rPr>
        <w:t>),</w:t>
      </w:r>
      <w:r w:rsidR="38233926">
        <w:rPr>
          <w:rFonts w:cs="Arial"/>
          <w:color w:val="555555"/>
        </w:rPr>
        <w:t xml:space="preserve"> which held</w:t>
      </w:r>
      <w:r w:rsidR="38233926" w:rsidRPr="1D2EECFC">
        <w:rPr>
          <w:rFonts w:cs="CenturySchoolbook"/>
          <w:i/>
          <w:iCs/>
        </w:rPr>
        <w:t xml:space="preserve"> </w:t>
      </w:r>
      <w:r w:rsidR="38233926" w:rsidRPr="4B0E998B">
        <w:rPr>
          <w:rFonts w:cs="CenturySchoolbook"/>
        </w:rPr>
        <w:t xml:space="preserve">that one department of a superior court </w:t>
      </w:r>
      <w:r w:rsidR="437FDEC6">
        <w:rPr>
          <w:rFonts w:cs="CenturySchoolbook"/>
        </w:rPr>
        <w:t>may not</w:t>
      </w:r>
      <w:r w:rsidR="38233926" w:rsidRPr="4B0E998B">
        <w:rPr>
          <w:rFonts w:cs="CenturySchoolbook"/>
        </w:rPr>
        <w:t xml:space="preserve"> restrain the implementation of a judgment entered by another department in a prior action. </w:t>
      </w:r>
      <w:r w:rsidR="38233926" w:rsidRPr="4B0E998B">
        <w:rPr>
          <w:rFonts w:cs="CenturySchoolbook"/>
          <w:spacing w:val="-2"/>
        </w:rPr>
        <w:t xml:space="preserve">As we explain, </w:t>
      </w:r>
      <w:r w:rsidR="38233926" w:rsidRPr="1D2EECFC">
        <w:rPr>
          <w:rFonts w:cs="Times New Roman"/>
          <w:i/>
          <w:iCs/>
          <w:color w:val="000000"/>
          <w:spacing w:val="-2"/>
        </w:rPr>
        <w:t>Ford</w:t>
      </w:r>
      <w:r w:rsidR="38233926" w:rsidRPr="00950C84">
        <w:rPr>
          <w:rFonts w:cs="Times New Roman"/>
          <w:color w:val="000000"/>
          <w:spacing w:val="-2"/>
        </w:rPr>
        <w:t xml:space="preserve"> is not </w:t>
      </w:r>
      <w:r w:rsidR="000142E3">
        <w:rPr>
          <w:rFonts w:cs="Times New Roman"/>
          <w:color w:val="000000"/>
          <w:spacing w:val="-2"/>
        </w:rPr>
        <w:t>relevant to</w:t>
      </w:r>
      <w:r w:rsidR="62D08BF2">
        <w:rPr>
          <w:rFonts w:cs="Times New Roman"/>
          <w:color w:val="000000"/>
          <w:spacing w:val="-2"/>
        </w:rPr>
        <w:t xml:space="preserve"> the taxpayer cause of action</w:t>
      </w:r>
      <w:r w:rsidR="38233926">
        <w:rPr>
          <w:rFonts w:cs="Times New Roman"/>
          <w:color w:val="000000"/>
        </w:rPr>
        <w:t xml:space="preserve">. </w:t>
      </w:r>
      <w:r w:rsidR="38233926" w:rsidRPr="1A4CD68B">
        <w:rPr>
          <w:rFonts w:cs="Times New Roman"/>
          <w:color w:val="000000" w:themeColor="text1"/>
        </w:rPr>
        <w:t>Nor do</w:t>
      </w:r>
      <w:r w:rsidR="38233926">
        <w:rPr>
          <w:rFonts w:cs="Times New Roman"/>
          <w:color w:val="000000"/>
          <w:spacing w:val="-2"/>
        </w:rPr>
        <w:t xml:space="preserve"> d</w:t>
      </w:r>
      <w:r w:rsidR="38233926" w:rsidRPr="009E1BF1">
        <w:rPr>
          <w:rFonts w:cs="Times New Roman"/>
          <w:color w:val="000000"/>
          <w:spacing w:val="-2"/>
        </w:rPr>
        <w:t>efendants</w:t>
      </w:r>
      <w:r w:rsidR="38233926" w:rsidRPr="1A4CD68B">
        <w:rPr>
          <w:rFonts w:cs="Times New Roman"/>
          <w:color w:val="000000" w:themeColor="text1"/>
        </w:rPr>
        <w:t>’</w:t>
      </w:r>
      <w:r w:rsidR="38233926">
        <w:rPr>
          <w:rFonts w:cs="Times New Roman"/>
          <w:color w:val="000000" w:themeColor="text1"/>
        </w:rPr>
        <w:t xml:space="preserve"> alternative </w:t>
      </w:r>
      <w:r w:rsidR="38233926">
        <w:rPr>
          <w:rFonts w:cs="Times New Roman"/>
          <w:color w:val="000000"/>
        </w:rPr>
        <w:t xml:space="preserve">legal </w:t>
      </w:r>
      <w:r w:rsidR="62D08BF2">
        <w:rPr>
          <w:rFonts w:cs="Times New Roman"/>
          <w:color w:val="000000"/>
        </w:rPr>
        <w:t xml:space="preserve">challenges </w:t>
      </w:r>
      <w:r w:rsidR="38233926">
        <w:rPr>
          <w:rFonts w:cs="Times New Roman"/>
          <w:color w:val="000000"/>
        </w:rPr>
        <w:t>permit us to affirm the judgment</w:t>
      </w:r>
      <w:r w:rsidR="38233926" w:rsidRPr="1A4CD68B">
        <w:rPr>
          <w:rFonts w:cs="Times New Roman"/>
          <w:color w:val="000000" w:themeColor="text1"/>
        </w:rPr>
        <w:t>.</w:t>
      </w:r>
      <w:r w:rsidR="38233926">
        <w:rPr>
          <w:rFonts w:cs="Times New Roman"/>
          <w:color w:val="000000"/>
        </w:rPr>
        <w:t xml:space="preserve"> Accordingly, we reverse.</w:t>
      </w:r>
    </w:p>
    <w:p w14:paraId="7BE1B017" w14:textId="044735BF" w:rsidR="0080647E" w:rsidRPr="00A35914" w:rsidRDefault="003D06AD" w:rsidP="003F5F13">
      <w:pPr>
        <w:keepNext/>
        <w:spacing w:line="360" w:lineRule="auto"/>
        <w:contextualSpacing/>
        <w:jc w:val="center"/>
        <w:rPr>
          <w:b/>
        </w:rPr>
      </w:pPr>
      <w:r w:rsidRPr="00A35914">
        <w:rPr>
          <w:b/>
        </w:rPr>
        <w:t xml:space="preserve">Factual </w:t>
      </w:r>
      <w:r w:rsidR="009F54DA">
        <w:rPr>
          <w:b/>
        </w:rPr>
        <w:t>a</w:t>
      </w:r>
      <w:r w:rsidRPr="00A35914">
        <w:rPr>
          <w:b/>
        </w:rPr>
        <w:t>nd Procedural History</w:t>
      </w:r>
      <w:r>
        <w:rPr>
          <w:rStyle w:val="FootnoteReference"/>
          <w:b/>
        </w:rPr>
        <w:footnoteReference w:id="4"/>
      </w:r>
    </w:p>
    <w:p w14:paraId="1C2D6C73" w14:textId="1233C155" w:rsidR="0080647E" w:rsidRPr="00BC3011" w:rsidRDefault="003D06AD" w:rsidP="003F5F13">
      <w:pPr>
        <w:autoSpaceDE w:val="0"/>
        <w:autoSpaceDN w:val="0"/>
        <w:adjustRightInd w:val="0"/>
        <w:spacing w:line="360" w:lineRule="auto"/>
        <w:contextualSpacing/>
      </w:pPr>
      <w:r w:rsidRPr="00BC3011">
        <w:tab/>
      </w:r>
      <w:r w:rsidR="38233926" w:rsidRPr="00BC3011">
        <w:t>The complaint, filed in September 2021, allege</w:t>
      </w:r>
      <w:r w:rsidR="38233926">
        <w:t>d</w:t>
      </w:r>
      <w:r w:rsidR="38233926" w:rsidRPr="00BC3011">
        <w:t xml:space="preserve"> that “San Francisco’s criminal legal system is in a state of crisis</w:t>
      </w:r>
      <w:r w:rsidR="38233926">
        <w:t>,</w:t>
      </w:r>
      <w:r w:rsidR="38233926" w:rsidRPr="00BC3011">
        <w:t xml:space="preserve">” </w:t>
      </w:r>
      <w:r w:rsidR="38233926">
        <w:t xml:space="preserve">as over </w:t>
      </w:r>
      <w:r w:rsidR="38233926" w:rsidRPr="00BC3011">
        <w:t>4</w:t>
      </w:r>
      <w:r w:rsidR="38233926">
        <w:t>00</w:t>
      </w:r>
      <w:r w:rsidR="38233926" w:rsidRPr="00BC3011">
        <w:t xml:space="preserve"> </w:t>
      </w:r>
      <w:r w:rsidR="38233926">
        <w:t xml:space="preserve">criminal defendants </w:t>
      </w:r>
      <w:r w:rsidR="38233926" w:rsidRPr="00BC3011">
        <w:t xml:space="preserve">had </w:t>
      </w:r>
      <w:r w:rsidR="38233926" w:rsidRPr="009F04E6">
        <w:rPr>
          <w:spacing w:val="-2"/>
        </w:rPr>
        <w:t>cases pending</w:t>
      </w:r>
      <w:r w:rsidR="38233926">
        <w:rPr>
          <w:spacing w:val="-2"/>
        </w:rPr>
        <w:t xml:space="preserve"> past </w:t>
      </w:r>
      <w:r w:rsidR="38233926" w:rsidRPr="009F04E6">
        <w:rPr>
          <w:spacing w:val="-2"/>
        </w:rPr>
        <w:t>the</w:t>
      </w:r>
      <w:r w:rsidR="38233926">
        <w:rPr>
          <w:spacing w:val="-2"/>
        </w:rPr>
        <w:t>ir</w:t>
      </w:r>
      <w:r w:rsidR="38233926" w:rsidRPr="009F04E6">
        <w:rPr>
          <w:spacing w:val="-2"/>
        </w:rPr>
        <w:t xml:space="preserve"> statutory deadline for trial.</w:t>
      </w:r>
      <w:r w:rsidR="38233926" w:rsidRPr="00BC3011">
        <w:t xml:space="preserve"> Of </w:t>
      </w:r>
      <w:r w:rsidR="38233926">
        <w:t>the de</w:t>
      </w:r>
      <w:r w:rsidR="00D537C2">
        <w:t>fendants</w:t>
      </w:r>
      <w:r w:rsidR="38233926" w:rsidRPr="00BC3011">
        <w:t xml:space="preserve">, 178 </w:t>
      </w:r>
      <w:r w:rsidR="38233926">
        <w:t>we</w:t>
      </w:r>
      <w:r w:rsidR="38233926" w:rsidRPr="00BC3011">
        <w:t>re in jail, typically locked in cells for 23</w:t>
      </w:r>
      <w:r w:rsidR="38233926">
        <w:t> </w:t>
      </w:r>
      <w:r w:rsidR="38233926" w:rsidRPr="00BC3011">
        <w:t>hours a day;</w:t>
      </w:r>
      <w:r w:rsidR="38233926">
        <w:t xml:space="preserve"> </w:t>
      </w:r>
      <w:r w:rsidR="38233926" w:rsidRPr="00BC3011">
        <w:t>most ha</w:t>
      </w:r>
      <w:r w:rsidR="38233926">
        <w:t>d</w:t>
      </w:r>
      <w:r w:rsidR="38233926" w:rsidRPr="00BC3011">
        <w:t xml:space="preserve"> been </w:t>
      </w:r>
      <w:r w:rsidR="38233926">
        <w:t xml:space="preserve">there </w:t>
      </w:r>
      <w:r w:rsidR="38233926" w:rsidRPr="00BC3011">
        <w:t>for months</w:t>
      </w:r>
      <w:r w:rsidR="78AE6A06" w:rsidRPr="00BC3011">
        <w:t xml:space="preserve"> and</w:t>
      </w:r>
      <w:r w:rsidR="006307C4">
        <w:t xml:space="preserve"> </w:t>
      </w:r>
      <w:r w:rsidR="38233926" w:rsidRPr="00BC3011">
        <w:t>some</w:t>
      </w:r>
      <w:r w:rsidR="6CCFDFDC" w:rsidRPr="00BC3011">
        <w:t>,</w:t>
      </w:r>
      <w:r w:rsidR="38233926" w:rsidRPr="00BC3011">
        <w:t xml:space="preserve"> for over a year. </w:t>
      </w:r>
    </w:p>
    <w:p w14:paraId="15A648A1" w14:textId="1B1D33E9" w:rsidR="0080647E" w:rsidRPr="00BC3011" w:rsidRDefault="003D06AD" w:rsidP="003F5F13">
      <w:pPr>
        <w:autoSpaceDE w:val="0"/>
        <w:autoSpaceDN w:val="0"/>
        <w:adjustRightInd w:val="0"/>
        <w:spacing w:line="360" w:lineRule="auto"/>
        <w:contextualSpacing/>
      </w:pPr>
      <w:r w:rsidRPr="00BC3011">
        <w:tab/>
        <w:t>Pre-pandemic, defendant c</w:t>
      </w:r>
      <w:r>
        <w:t xml:space="preserve">ourt </w:t>
      </w:r>
      <w:r w:rsidRPr="00BC3011">
        <w:t>hel</w:t>
      </w:r>
      <w:r>
        <w:t>d most criminal jury trials in</w:t>
      </w:r>
      <w:r w:rsidRPr="00BC3011">
        <w:t xml:space="preserve"> 12 departments in its Hall of Justice. </w:t>
      </w:r>
      <w:r>
        <w:t xml:space="preserve">The </w:t>
      </w:r>
      <w:r w:rsidRPr="00BC3011">
        <w:t xml:space="preserve">37 departments in </w:t>
      </w:r>
      <w:r>
        <w:t xml:space="preserve">its Civic Center </w:t>
      </w:r>
      <w:r w:rsidR="00D24D4D">
        <w:t>c</w:t>
      </w:r>
      <w:r>
        <w:t>ourthouse (Civic Center)</w:t>
      </w:r>
      <w:r w:rsidRPr="00BC3011">
        <w:t xml:space="preserve"> were devoted </w:t>
      </w:r>
      <w:r>
        <w:t xml:space="preserve">almost </w:t>
      </w:r>
      <w:r w:rsidRPr="00BC3011">
        <w:t>wholly to noncriminal cases</w:t>
      </w:r>
      <w:r w:rsidR="00B16EDB">
        <w:t>.</w:t>
      </w:r>
      <w:r w:rsidRPr="00BC3011">
        <w:t xml:space="preserve"> </w:t>
      </w:r>
      <w:r w:rsidR="00B16EDB">
        <w:t xml:space="preserve">In </w:t>
      </w:r>
      <w:r w:rsidRPr="00BC3011">
        <w:t xml:space="preserve">March 2020, COVID-19 shelter-in-place orders </w:t>
      </w:r>
      <w:r>
        <w:t>led</w:t>
      </w:r>
      <w:r w:rsidRPr="00BC3011">
        <w:t xml:space="preserve"> defendant court </w:t>
      </w:r>
      <w:r>
        <w:t xml:space="preserve">to </w:t>
      </w:r>
      <w:r w:rsidRPr="00BC3011">
        <w:t xml:space="preserve">shut down and continue all jury trials </w:t>
      </w:r>
      <w:r>
        <w:t xml:space="preserve">by </w:t>
      </w:r>
      <w:r w:rsidRPr="00BC3011">
        <w:t>90 days.</w:t>
      </w:r>
    </w:p>
    <w:p w14:paraId="273CFB97" w14:textId="7EB624B1" w:rsidR="0080647E" w:rsidRPr="00BC3011" w:rsidRDefault="003D06AD" w:rsidP="003F5F13">
      <w:pPr>
        <w:autoSpaceDE w:val="0"/>
        <w:autoSpaceDN w:val="0"/>
        <w:adjustRightInd w:val="0"/>
        <w:spacing w:line="360" w:lineRule="auto"/>
        <w:contextualSpacing/>
      </w:pPr>
      <w:r w:rsidRPr="00BC3011">
        <w:tab/>
        <w:t xml:space="preserve">When trials resumed in June 2020, at least 11 courtrooms in the Hall of </w:t>
      </w:r>
      <w:r w:rsidRPr="00BC3011">
        <w:t>Justice were large enough for socially</w:t>
      </w:r>
      <w:r w:rsidR="007F51EB">
        <w:t xml:space="preserve"> </w:t>
      </w:r>
      <w:r w:rsidRPr="00BC3011">
        <w:t xml:space="preserve">distanced jury trials, and defendant </w:t>
      </w:r>
      <w:r w:rsidRPr="00BC3011">
        <w:lastRenderedPageBreak/>
        <w:t>court had the technical capacity to stream video of</w:t>
      </w:r>
      <w:r>
        <w:t xml:space="preserve"> its</w:t>
      </w:r>
      <w:r w:rsidRPr="00BC3011">
        <w:t xml:space="preserve"> trials on the internet.</w:t>
      </w:r>
      <w:r w:rsidR="00B07B49">
        <w:t>‌</w:t>
      </w:r>
      <w:r w:rsidRPr="00BC3011">
        <w:t xml:space="preserve"> </w:t>
      </w:r>
      <w:r>
        <w:t>However, i</w:t>
      </w:r>
      <w:r w:rsidRPr="00BC3011">
        <w:t xml:space="preserve">t reopened only four courtrooms for felony trials, </w:t>
      </w:r>
      <w:r w:rsidR="0073765D">
        <w:t>and</w:t>
      </w:r>
      <w:r w:rsidRPr="00BC3011">
        <w:t xml:space="preserve"> us</w:t>
      </w:r>
      <w:r w:rsidR="0073765D">
        <w:t>ed</w:t>
      </w:r>
      <w:r w:rsidRPr="00BC3011">
        <w:t xml:space="preserve"> four </w:t>
      </w:r>
      <w:r>
        <w:t>more</w:t>
      </w:r>
      <w:r w:rsidRPr="00BC3011">
        <w:t xml:space="preserve"> as “satellites,” st</w:t>
      </w:r>
      <w:r w:rsidRPr="00BC3011">
        <w:t xml:space="preserve">affed by bailiffs, to which it broadcast </w:t>
      </w:r>
      <w:r w:rsidR="005E3946">
        <w:t xml:space="preserve">live </w:t>
      </w:r>
      <w:r w:rsidRPr="00BC3011">
        <w:t xml:space="preserve">video of trials </w:t>
      </w:r>
      <w:r>
        <w:t xml:space="preserve">underway </w:t>
      </w:r>
      <w:r w:rsidRPr="00BC3011">
        <w:t xml:space="preserve">in other courtrooms. The satellite courtrooms often </w:t>
      </w:r>
      <w:r>
        <w:t xml:space="preserve">sat </w:t>
      </w:r>
      <w:r w:rsidRPr="00BC3011">
        <w:t xml:space="preserve">empty. </w:t>
      </w:r>
      <w:r>
        <w:t>S</w:t>
      </w:r>
      <w:r w:rsidRPr="00771D1F">
        <w:rPr>
          <w:spacing w:val="-2"/>
        </w:rPr>
        <w:t>hortage</w:t>
      </w:r>
      <w:r>
        <w:rPr>
          <w:spacing w:val="-2"/>
        </w:rPr>
        <w:t>s</w:t>
      </w:r>
      <w:r w:rsidRPr="00771D1F">
        <w:rPr>
          <w:spacing w:val="-2"/>
        </w:rPr>
        <w:t xml:space="preserve"> of </w:t>
      </w:r>
      <w:r>
        <w:rPr>
          <w:spacing w:val="-2"/>
        </w:rPr>
        <w:t>staff</w:t>
      </w:r>
      <w:r>
        <w:t xml:space="preserve">, not </w:t>
      </w:r>
      <w:r w:rsidRPr="00BC3011">
        <w:t>COVID safety measures</w:t>
      </w:r>
      <w:r>
        <w:t xml:space="preserve">, </w:t>
      </w:r>
      <w:r w:rsidR="00B74865">
        <w:t>prevented the re</w:t>
      </w:r>
      <w:r w:rsidRPr="00BC3011">
        <w:t xml:space="preserve">opening </w:t>
      </w:r>
      <w:r w:rsidR="00B74865">
        <w:t xml:space="preserve">of </w:t>
      </w:r>
      <w:r>
        <w:t xml:space="preserve">more </w:t>
      </w:r>
      <w:r w:rsidRPr="00BC3011">
        <w:t>courtrooms</w:t>
      </w:r>
      <w:r>
        <w:t xml:space="preserve"> for criminal trials.</w:t>
      </w:r>
    </w:p>
    <w:p w14:paraId="698CA50C" w14:textId="5A037FF9" w:rsidR="0080647E" w:rsidRPr="00BC3011" w:rsidRDefault="003D06AD" w:rsidP="003F5F13">
      <w:pPr>
        <w:autoSpaceDE w:val="0"/>
        <w:autoSpaceDN w:val="0"/>
        <w:adjustRightInd w:val="0"/>
        <w:spacing w:line="360" w:lineRule="auto"/>
        <w:contextualSpacing/>
      </w:pPr>
      <w:r w:rsidRPr="00BC3011">
        <w:tab/>
        <w:t>By July 20</w:t>
      </w:r>
      <w:r w:rsidRPr="00BC3011">
        <w:t>20, 135</w:t>
      </w:r>
      <w:r>
        <w:t> </w:t>
      </w:r>
      <w:r w:rsidRPr="00BC3011">
        <w:t xml:space="preserve">criminal cases </w:t>
      </w:r>
      <w:r w:rsidR="00B07B49">
        <w:t xml:space="preserve">were </w:t>
      </w:r>
      <w:r w:rsidRPr="00BC3011">
        <w:t xml:space="preserve">pending past their original statutory trial deadline; </w:t>
      </w:r>
      <w:r w:rsidR="00F55D4C">
        <w:t xml:space="preserve">for </w:t>
      </w:r>
      <w:r w:rsidRPr="00BC3011">
        <w:t>31</w:t>
      </w:r>
      <w:r>
        <w:t xml:space="preserve"> </w:t>
      </w:r>
      <w:r w:rsidRPr="00BC3011">
        <w:t xml:space="preserve">of </w:t>
      </w:r>
      <w:r w:rsidR="005C26D4">
        <w:t>those cases,</w:t>
      </w:r>
      <w:r w:rsidRPr="00BC3011">
        <w:t xml:space="preserve"> the defendants </w:t>
      </w:r>
      <w:r>
        <w:t xml:space="preserve">were </w:t>
      </w:r>
      <w:r w:rsidRPr="00BC3011">
        <w:t>in custody (in</w:t>
      </w:r>
      <w:r w:rsidR="00D4336A">
        <w:t>-</w:t>
      </w:r>
      <w:r w:rsidRPr="00BC3011">
        <w:t xml:space="preserve">custody cases). </w:t>
      </w:r>
    </w:p>
    <w:p w14:paraId="53A4AB5A" w14:textId="05A9E08F" w:rsidR="0080647E" w:rsidRPr="00BC3011" w:rsidRDefault="003D06AD" w:rsidP="003F5F13">
      <w:pPr>
        <w:autoSpaceDE w:val="0"/>
        <w:autoSpaceDN w:val="0"/>
        <w:adjustRightInd w:val="0"/>
        <w:spacing w:line="360" w:lineRule="auto"/>
        <w:contextualSpacing/>
      </w:pPr>
      <w:r w:rsidRPr="00BC3011">
        <w:tab/>
      </w:r>
      <w:bookmarkStart w:id="0" w:name="_Hlk132443402"/>
      <w:r w:rsidR="38233926" w:rsidRPr="00BC3011">
        <w:t xml:space="preserve">In January 2021, </w:t>
      </w:r>
      <w:bookmarkEnd w:id="0"/>
      <w:r w:rsidR="38233926" w:rsidRPr="00BC3011">
        <w:t xml:space="preserve">the Judicial Council allocated funds to courts </w:t>
      </w:r>
      <w:r w:rsidR="38233926">
        <w:t xml:space="preserve">around the state, including defendant court, </w:t>
      </w:r>
      <w:r w:rsidR="38233926" w:rsidRPr="00BC3011">
        <w:t>to address pandemic-driven backlogs.</w:t>
      </w:r>
      <w:r w:rsidR="00F32D1C">
        <w:t xml:space="preserve"> </w:t>
      </w:r>
      <w:r w:rsidR="38233926">
        <w:t>Defendants</w:t>
      </w:r>
      <w:r w:rsidR="38233926" w:rsidRPr="00BC3011">
        <w:t xml:space="preserve"> did not use the funds to open more courtrooms for criminal trials. </w:t>
      </w:r>
      <w:r w:rsidR="509D9960">
        <w:t>A</w:t>
      </w:r>
      <w:r w:rsidR="005C26D4">
        <w:t>round</w:t>
      </w:r>
      <w:r w:rsidR="509D9960">
        <w:t xml:space="preserve"> this time, </w:t>
      </w:r>
      <w:r w:rsidR="2B027806">
        <w:t>then</w:t>
      </w:r>
      <w:r w:rsidR="00842409">
        <w:t xml:space="preserve"> </w:t>
      </w:r>
      <w:r w:rsidR="2B027806">
        <w:t xml:space="preserve">Presiding Judge Samuel K. Feng </w:t>
      </w:r>
      <w:r w:rsidR="21A4FF0C">
        <w:t xml:space="preserve">addressed </w:t>
      </w:r>
      <w:r w:rsidR="2B027806">
        <w:t>the civil bar at a webinar</w:t>
      </w:r>
      <w:r w:rsidR="37862656">
        <w:t>,</w:t>
      </w:r>
      <w:r w:rsidR="2B027806">
        <w:t xml:space="preserve"> </w:t>
      </w:r>
      <w:r w:rsidR="63800E48">
        <w:t>admonish</w:t>
      </w:r>
      <w:r w:rsidR="0097636D">
        <w:t>ing</w:t>
      </w:r>
      <w:r w:rsidR="266C17AB">
        <w:t xml:space="preserve"> </w:t>
      </w:r>
      <w:proofErr w:type="gramStart"/>
      <w:r w:rsidR="0097636D">
        <w:t xml:space="preserve">that </w:t>
      </w:r>
      <w:r w:rsidR="005C26D4">
        <w:t>litigants</w:t>
      </w:r>
      <w:proofErr w:type="gramEnd"/>
      <w:r w:rsidR="005C26D4">
        <w:t xml:space="preserve"> </w:t>
      </w:r>
      <w:r w:rsidR="266C17AB">
        <w:t>had</w:t>
      </w:r>
      <w:r w:rsidR="63800E48">
        <w:t xml:space="preserve"> </w:t>
      </w:r>
      <w:r w:rsidR="41D6F033">
        <w:t>“</w:t>
      </w:r>
      <w:r w:rsidR="6D301955">
        <w:t xml:space="preserve">better </w:t>
      </w:r>
      <w:r w:rsidR="4EFF44F0">
        <w:t xml:space="preserve">get </w:t>
      </w:r>
      <w:r w:rsidR="41D6F033">
        <w:t xml:space="preserve">ready” for </w:t>
      </w:r>
      <w:r w:rsidR="49E215E0">
        <w:t xml:space="preserve">their </w:t>
      </w:r>
      <w:r w:rsidR="1F673768">
        <w:t>(</w:t>
      </w:r>
      <w:r w:rsidR="41D6F033">
        <w:t xml:space="preserve">jury and </w:t>
      </w:r>
      <w:r w:rsidR="4140E61F">
        <w:t>bench</w:t>
      </w:r>
      <w:r w:rsidR="7D8D88B0">
        <w:t>)</w:t>
      </w:r>
      <w:r w:rsidR="4140E61F">
        <w:t xml:space="preserve"> </w:t>
      </w:r>
      <w:r w:rsidR="015DA46D">
        <w:t>trials</w:t>
      </w:r>
      <w:r w:rsidR="41D6F033">
        <w:t xml:space="preserve"> because</w:t>
      </w:r>
      <w:r w:rsidR="17CF1819">
        <w:t xml:space="preserve"> all of</w:t>
      </w:r>
      <w:r w:rsidR="41D6F033">
        <w:t xml:space="preserve"> defendant court</w:t>
      </w:r>
      <w:r w:rsidR="00BE4B21">
        <w:t>’s civil courtrooms were “available” and “equipped”</w:t>
      </w:r>
      <w:r w:rsidR="4D34D9C1">
        <w:t xml:space="preserve"> and the court was “ready to go.”</w:t>
      </w:r>
      <w:r w:rsidR="2B027806">
        <w:t xml:space="preserve"> </w:t>
      </w:r>
      <w:r w:rsidR="4A838E06">
        <w:t>A</w:t>
      </w:r>
      <w:r w:rsidR="0B2DFC6E">
        <w:t>t that time</w:t>
      </w:r>
      <w:r w:rsidR="769F7769">
        <w:t>, defendant court</w:t>
      </w:r>
      <w:r w:rsidR="0B2DFC6E">
        <w:t xml:space="preserve"> </w:t>
      </w:r>
      <w:r w:rsidR="72E08771">
        <w:t xml:space="preserve">had assigned </w:t>
      </w:r>
      <w:r w:rsidR="57D7571F">
        <w:t xml:space="preserve">12 courtrooms </w:t>
      </w:r>
      <w:r w:rsidR="34027BBC">
        <w:t xml:space="preserve">to conduct </w:t>
      </w:r>
      <w:r w:rsidR="290182E6">
        <w:t>ci</w:t>
      </w:r>
      <w:r w:rsidR="57D7571F">
        <w:t xml:space="preserve">vil trials </w:t>
      </w:r>
      <w:r w:rsidR="00BF6D62">
        <w:t xml:space="preserve">and </w:t>
      </w:r>
      <w:r w:rsidR="7D9C3F83">
        <w:t>only four</w:t>
      </w:r>
      <w:r w:rsidR="742E0806">
        <w:t xml:space="preserve"> </w:t>
      </w:r>
      <w:r w:rsidR="00DB4AFC">
        <w:t>t</w:t>
      </w:r>
      <w:r w:rsidR="00F03300">
        <w:t xml:space="preserve">o </w:t>
      </w:r>
      <w:r w:rsidR="0B2DFC6E">
        <w:t xml:space="preserve">criminal </w:t>
      </w:r>
      <w:r w:rsidR="653906C3">
        <w:t>trials</w:t>
      </w:r>
      <w:r w:rsidR="00842409">
        <w:t>.</w:t>
      </w:r>
      <w:r>
        <w:rPr>
          <w:rStyle w:val="FootnoteReference"/>
        </w:rPr>
        <w:footnoteReference w:id="5"/>
      </w:r>
      <w:r w:rsidR="03B043D5">
        <w:t xml:space="preserve"> </w:t>
      </w:r>
      <w:r w:rsidR="007A3C95">
        <w:t>The next month</w:t>
      </w:r>
      <w:r w:rsidR="3F0236B0">
        <w:t xml:space="preserve">, the backlog had increased to 183 felony cases </w:t>
      </w:r>
      <w:r w:rsidR="0036764D">
        <w:t>beyond their statutory</w:t>
      </w:r>
      <w:r w:rsidR="3F0236B0">
        <w:t xml:space="preserve"> deadline</w:t>
      </w:r>
      <w:r w:rsidR="00921CCB">
        <w:t>s</w:t>
      </w:r>
      <w:r w:rsidR="3F0236B0">
        <w:t>, of which 68 were in-custody cases.</w:t>
      </w:r>
    </w:p>
    <w:p w14:paraId="6F4E8E68" w14:textId="10B3F56D" w:rsidR="0080647E" w:rsidRPr="00BC3011" w:rsidRDefault="003D06AD" w:rsidP="003F5F13">
      <w:pPr>
        <w:autoSpaceDE w:val="0"/>
        <w:autoSpaceDN w:val="0"/>
        <w:adjustRightInd w:val="0"/>
        <w:spacing w:line="360" w:lineRule="auto"/>
        <w:contextualSpacing/>
      </w:pPr>
      <w:r w:rsidRPr="00BC3011">
        <w:tab/>
        <w:t>In April 2021</w:t>
      </w:r>
      <w:r w:rsidR="002E12D2">
        <w:t>,</w:t>
      </w:r>
      <w:r w:rsidRPr="00BC3011">
        <w:t xml:space="preserve"> </w:t>
      </w:r>
      <w:r w:rsidRPr="00BC3011">
        <w:t>defendant court began sending “nonviolent misdemeanor” cases</w:t>
      </w:r>
      <w:r>
        <w:t xml:space="preserve"> (a term not defined by California law)</w:t>
      </w:r>
      <w:r w:rsidRPr="00BC3011">
        <w:t xml:space="preserve"> to be </w:t>
      </w:r>
      <w:r>
        <w:t>tried</w:t>
      </w:r>
      <w:r w:rsidRPr="00BC3011">
        <w:t xml:space="preserve"> at Civic Center. </w:t>
      </w:r>
      <w:r>
        <w:t>It</w:t>
      </w:r>
      <w:r w:rsidRPr="00BC3011">
        <w:t xml:space="preserve"> did not send felony, in-custody, or “violent misdemeanor” cases to Civic Center, claiming the courthouse</w:t>
      </w:r>
      <w:r>
        <w:t xml:space="preserve"> lacked </w:t>
      </w:r>
      <w:r w:rsidRPr="00BC3011">
        <w:t>sufficient s</w:t>
      </w:r>
      <w:r w:rsidRPr="00BC3011">
        <w:t xml:space="preserve">ecurity. </w:t>
      </w:r>
    </w:p>
    <w:p w14:paraId="08BD4E4B" w14:textId="095D5E39" w:rsidR="0080647E" w:rsidRPr="00BC3011" w:rsidRDefault="003D06AD" w:rsidP="003F5F13">
      <w:pPr>
        <w:autoSpaceDE w:val="0"/>
        <w:autoSpaceDN w:val="0"/>
        <w:adjustRightInd w:val="0"/>
        <w:spacing w:line="360" w:lineRule="auto"/>
        <w:contextualSpacing/>
      </w:pPr>
      <w:r w:rsidRPr="00BC3011">
        <w:lastRenderedPageBreak/>
        <w:tab/>
        <w:t>In June 2021, public health officials removed all social-distancing requirements.</w:t>
      </w:r>
      <w:r w:rsidR="001D72DC">
        <w:t xml:space="preserve"> </w:t>
      </w:r>
      <w:r w:rsidRPr="00BC3011">
        <w:t xml:space="preserve">On June 28, 2021, defendant court opened </w:t>
      </w:r>
      <w:r w:rsidR="007F6AFB">
        <w:t>nine</w:t>
      </w:r>
      <w:r w:rsidR="007F6AFB" w:rsidRPr="00BC3011">
        <w:t xml:space="preserve"> </w:t>
      </w:r>
      <w:r w:rsidRPr="00BC3011">
        <w:t>departments in the Hall of Justice, or 14</w:t>
      </w:r>
      <w:r w:rsidR="00513297">
        <w:t xml:space="preserve"> percent</w:t>
      </w:r>
      <w:r w:rsidRPr="00BC3011">
        <w:t xml:space="preserve"> of its 65 total departments, for criminal trials—</w:t>
      </w:r>
      <w:r w:rsidR="00513297">
        <w:t>three</w:t>
      </w:r>
      <w:r w:rsidRPr="00BC3011">
        <w:t xml:space="preserve"> for in</w:t>
      </w:r>
      <w:r w:rsidR="003622E1">
        <w:t>-</w:t>
      </w:r>
      <w:r w:rsidRPr="00BC3011">
        <w:t>custo</w:t>
      </w:r>
      <w:r w:rsidRPr="00BC3011">
        <w:t xml:space="preserve">dy felony trials, </w:t>
      </w:r>
      <w:r w:rsidR="00513297">
        <w:t>four</w:t>
      </w:r>
      <w:r w:rsidR="000F4602">
        <w:t xml:space="preserve"> </w:t>
      </w:r>
      <w:r w:rsidRPr="00BC3011">
        <w:t xml:space="preserve">for </w:t>
      </w:r>
      <w:r>
        <w:t>out-of</w:t>
      </w:r>
      <w:r w:rsidRPr="00BC3011">
        <w:t xml:space="preserve">-custody felony trials, and </w:t>
      </w:r>
      <w:r w:rsidR="000F4602">
        <w:t>two</w:t>
      </w:r>
      <w:r w:rsidRPr="00BC3011">
        <w:t xml:space="preserve"> for misdemeanors. It continued </w:t>
      </w:r>
      <w:r>
        <w:t xml:space="preserve">to </w:t>
      </w:r>
      <w:r w:rsidRPr="00BC3011">
        <w:t xml:space="preserve">send a </w:t>
      </w:r>
      <w:r>
        <w:t>few</w:t>
      </w:r>
      <w:r w:rsidRPr="00BC3011">
        <w:t xml:space="preserve"> “nonviolent misdemeanor” trials to Civic Center. </w:t>
      </w:r>
    </w:p>
    <w:p w14:paraId="61715256" w14:textId="482EC5EF" w:rsidR="0080647E" w:rsidRPr="00BC3011" w:rsidRDefault="003D06AD" w:rsidP="003F5F13">
      <w:pPr>
        <w:autoSpaceDE w:val="0"/>
        <w:autoSpaceDN w:val="0"/>
        <w:adjustRightInd w:val="0"/>
        <w:spacing w:line="360" w:lineRule="auto"/>
        <w:contextualSpacing/>
      </w:pPr>
      <w:r w:rsidRPr="00BC3011">
        <w:tab/>
      </w:r>
      <w:r w:rsidR="4C8C6D80">
        <w:t>By June 29, 2021, t</w:t>
      </w:r>
      <w:r w:rsidR="0B928DCA">
        <w:t>he backlog</w:t>
      </w:r>
      <w:r w:rsidR="7413E867">
        <w:t xml:space="preserve"> had</w:t>
      </w:r>
      <w:r w:rsidR="0B928DCA">
        <w:t xml:space="preserve"> </w:t>
      </w:r>
      <w:r w:rsidR="070DE414">
        <w:t>ballooned to</w:t>
      </w:r>
      <w:r w:rsidR="0B928DCA">
        <w:t xml:space="preserve"> </w:t>
      </w:r>
      <w:r w:rsidR="38233926" w:rsidRPr="00BC3011">
        <w:t>416 cases, roughly 125</w:t>
      </w:r>
      <w:r w:rsidR="3F39F7B0">
        <w:t> </w:t>
      </w:r>
      <w:r w:rsidR="38233926" w:rsidRPr="00BC3011">
        <w:t>in</w:t>
      </w:r>
      <w:r w:rsidR="007C59F3">
        <w:t xml:space="preserve"> </w:t>
      </w:r>
      <w:r w:rsidR="38233926" w:rsidRPr="00BC3011">
        <w:t>custody. As of July</w:t>
      </w:r>
      <w:r w:rsidR="0B928DCA">
        <w:t> </w:t>
      </w:r>
      <w:r w:rsidR="00337475">
        <w:t>20</w:t>
      </w:r>
      <w:r w:rsidR="38233926" w:rsidRPr="00BC3011">
        <w:t xml:space="preserve">22, only </w:t>
      </w:r>
      <w:r w:rsidR="00305E4F">
        <w:t>5</w:t>
      </w:r>
      <w:r w:rsidR="72CA5713">
        <w:t xml:space="preserve"> </w:t>
      </w:r>
      <w:r w:rsidR="38233926">
        <w:t>of defendant court’s 65</w:t>
      </w:r>
      <w:r w:rsidR="002C6017">
        <w:t> </w:t>
      </w:r>
      <w:r w:rsidR="38233926" w:rsidRPr="00BC3011">
        <w:t>departments</w:t>
      </w:r>
      <w:r w:rsidR="38233926">
        <w:t xml:space="preserve"> (or </w:t>
      </w:r>
      <w:r w:rsidR="38233926" w:rsidRPr="00BC3011">
        <w:t xml:space="preserve">roughly </w:t>
      </w:r>
      <w:r w:rsidR="004C5E14">
        <w:t xml:space="preserve">seven </w:t>
      </w:r>
      <w:r w:rsidR="72CA5713">
        <w:t>percent</w:t>
      </w:r>
      <w:r w:rsidR="38233926">
        <w:t xml:space="preserve">) </w:t>
      </w:r>
      <w:proofErr w:type="gramStart"/>
      <w:r w:rsidR="38233926">
        <w:t xml:space="preserve">actually </w:t>
      </w:r>
      <w:r w:rsidR="38233926" w:rsidRPr="00BC3011">
        <w:t>were</w:t>
      </w:r>
      <w:proofErr w:type="gramEnd"/>
      <w:r w:rsidR="38233926" w:rsidRPr="00BC3011">
        <w:t xml:space="preserve"> conducting criminal trials. At no </w:t>
      </w:r>
      <w:r w:rsidR="38233926">
        <w:t xml:space="preserve">time </w:t>
      </w:r>
      <w:r w:rsidR="38233926" w:rsidRPr="00BC3011">
        <w:t xml:space="preserve">in July or August 2021 were more than seven of </w:t>
      </w:r>
      <w:r w:rsidR="38233926">
        <w:t xml:space="preserve">its 65 </w:t>
      </w:r>
      <w:r w:rsidR="38233926" w:rsidRPr="00BC3011">
        <w:t>departments</w:t>
      </w:r>
      <w:r w:rsidR="38233926">
        <w:t xml:space="preserve"> </w:t>
      </w:r>
      <w:r w:rsidR="38233926" w:rsidRPr="00BC3011">
        <w:t>(</w:t>
      </w:r>
      <w:r w:rsidR="38233926">
        <w:t>or</w:t>
      </w:r>
      <w:r w:rsidR="38233926" w:rsidRPr="00BC3011">
        <w:t xml:space="preserve"> 11</w:t>
      </w:r>
      <w:r w:rsidR="0B928DCA">
        <w:t> </w:t>
      </w:r>
      <w:r w:rsidR="72CA5713">
        <w:t>percent</w:t>
      </w:r>
      <w:r w:rsidR="38233926" w:rsidRPr="00BC3011">
        <w:t>)</w:t>
      </w:r>
      <w:r w:rsidR="38233926">
        <w:t xml:space="preserve"> </w:t>
      </w:r>
      <w:proofErr w:type="gramStart"/>
      <w:r w:rsidR="38233926">
        <w:t>actually engaged</w:t>
      </w:r>
      <w:proofErr w:type="gramEnd"/>
      <w:r w:rsidR="38233926">
        <w:t xml:space="preserve"> in hearing </w:t>
      </w:r>
      <w:r w:rsidR="38233926" w:rsidRPr="00BC3011">
        <w:t xml:space="preserve">criminal trials. </w:t>
      </w:r>
    </w:p>
    <w:p w14:paraId="4800652C" w14:textId="4C37969D" w:rsidR="00B07B49" w:rsidRDefault="003D06AD" w:rsidP="003F5F13">
      <w:pPr>
        <w:autoSpaceDE w:val="0"/>
        <w:autoSpaceDN w:val="0"/>
        <w:adjustRightInd w:val="0"/>
        <w:spacing w:line="360" w:lineRule="auto"/>
        <w:contextualSpacing/>
        <w:rPr>
          <w:spacing w:val="-2"/>
        </w:rPr>
      </w:pPr>
      <w:r w:rsidRPr="00BC3011">
        <w:tab/>
      </w:r>
      <w:r>
        <w:t xml:space="preserve">Between June 29 and </w:t>
      </w:r>
      <w:r w:rsidRPr="00BC3011">
        <w:t>August</w:t>
      </w:r>
      <w:r w:rsidR="00D011F5">
        <w:t> </w:t>
      </w:r>
      <w:r w:rsidRPr="00BC3011">
        <w:t>30, 2021, defendant court sent out two in</w:t>
      </w:r>
      <w:r w:rsidR="002F28E3">
        <w:noBreakHyphen/>
      </w:r>
      <w:r w:rsidRPr="00BC3011">
        <w:t xml:space="preserve">custody </w:t>
      </w:r>
      <w:r>
        <w:t xml:space="preserve">cases for </w:t>
      </w:r>
      <w:r w:rsidRPr="00BC3011">
        <w:t xml:space="preserve">trial, </w:t>
      </w:r>
      <w:r>
        <w:t xml:space="preserve">while </w:t>
      </w:r>
      <w:r w:rsidRPr="00BC3011">
        <w:t xml:space="preserve">the backlog </w:t>
      </w:r>
      <w:r>
        <w:t>of in-custody cases grew by 3</w:t>
      </w:r>
      <w:r w:rsidR="004C5E14">
        <w:t>1</w:t>
      </w:r>
      <w:r>
        <w:t xml:space="preserve">, to 156 cases. The total backlog rose to </w:t>
      </w:r>
      <w:r w:rsidRPr="00BC3011">
        <w:t>388.</w:t>
      </w:r>
      <w:r w:rsidR="007271C5">
        <w:t xml:space="preserve"> </w:t>
      </w:r>
      <w:r w:rsidR="00305483">
        <w:rPr>
          <w:spacing w:val="-2"/>
        </w:rPr>
        <w:t>N</w:t>
      </w:r>
      <w:r w:rsidR="006C63AA">
        <w:rPr>
          <w:spacing w:val="-2"/>
        </w:rPr>
        <w:t>umerous courtrooms were empty</w:t>
      </w:r>
      <w:r w:rsidR="00D613E5">
        <w:rPr>
          <w:spacing w:val="-2"/>
        </w:rPr>
        <w:t xml:space="preserve"> and unused</w:t>
      </w:r>
      <w:r w:rsidR="006C63AA">
        <w:rPr>
          <w:spacing w:val="-2"/>
        </w:rPr>
        <w:t>, with</w:t>
      </w:r>
      <w:r w:rsidR="00D613E5">
        <w:rPr>
          <w:spacing w:val="-2"/>
        </w:rPr>
        <w:t xml:space="preserve"> their</w:t>
      </w:r>
      <w:r w:rsidR="006C63AA">
        <w:rPr>
          <w:spacing w:val="-2"/>
        </w:rPr>
        <w:t xml:space="preserve"> doors locked</w:t>
      </w:r>
      <w:r w:rsidR="00D613E5">
        <w:rPr>
          <w:spacing w:val="-2"/>
        </w:rPr>
        <w:t xml:space="preserve"> and no indication that any proceedings were being held</w:t>
      </w:r>
      <w:r w:rsidR="009E38CB">
        <w:rPr>
          <w:spacing w:val="-2"/>
        </w:rPr>
        <w:t>.</w:t>
      </w:r>
    </w:p>
    <w:p w14:paraId="537084D5" w14:textId="17F8B799" w:rsidR="0080647E" w:rsidRPr="00771D1F" w:rsidRDefault="003D06AD" w:rsidP="003F5F13">
      <w:pPr>
        <w:autoSpaceDE w:val="0"/>
        <w:autoSpaceDN w:val="0"/>
        <w:adjustRightInd w:val="0"/>
        <w:spacing w:line="360" w:lineRule="auto"/>
        <w:contextualSpacing/>
        <w:rPr>
          <w:rStyle w:val="FootnoteReference"/>
        </w:rPr>
      </w:pPr>
      <w:r>
        <w:rPr>
          <w:spacing w:val="-2"/>
        </w:rPr>
        <w:tab/>
      </w:r>
      <w:r w:rsidR="00FD762C">
        <w:rPr>
          <w:spacing w:val="-2"/>
        </w:rPr>
        <w:t xml:space="preserve">Plaintiffs </w:t>
      </w:r>
      <w:r w:rsidR="507A73F5">
        <w:rPr>
          <w:spacing w:val="-2"/>
        </w:rPr>
        <w:t>acknowledg</w:t>
      </w:r>
      <w:r w:rsidR="00FD762C">
        <w:rPr>
          <w:spacing w:val="-2"/>
        </w:rPr>
        <w:t>e</w:t>
      </w:r>
      <w:r w:rsidR="507A73F5">
        <w:rPr>
          <w:spacing w:val="-2"/>
        </w:rPr>
        <w:t xml:space="preserve"> the pandemic’s</w:t>
      </w:r>
      <w:r w:rsidR="1CE87461">
        <w:rPr>
          <w:spacing w:val="-2"/>
        </w:rPr>
        <w:t xml:space="preserve"> </w:t>
      </w:r>
      <w:r w:rsidR="507A73F5">
        <w:rPr>
          <w:spacing w:val="-2"/>
        </w:rPr>
        <w:t xml:space="preserve">role in </w:t>
      </w:r>
      <w:r w:rsidR="00A61705">
        <w:rPr>
          <w:spacing w:val="-2"/>
        </w:rPr>
        <w:t xml:space="preserve">precipitating </w:t>
      </w:r>
      <w:r w:rsidR="507A73F5">
        <w:rPr>
          <w:spacing w:val="-2"/>
        </w:rPr>
        <w:t xml:space="preserve">the </w:t>
      </w:r>
      <w:proofErr w:type="gramStart"/>
      <w:r w:rsidR="507A73F5">
        <w:rPr>
          <w:spacing w:val="-2"/>
        </w:rPr>
        <w:t xml:space="preserve">backlog, </w:t>
      </w:r>
      <w:r w:rsidR="0018516C">
        <w:rPr>
          <w:spacing w:val="-2"/>
        </w:rPr>
        <w:t>but</w:t>
      </w:r>
      <w:proofErr w:type="gramEnd"/>
      <w:r w:rsidR="38233926">
        <w:rPr>
          <w:spacing w:val="-2"/>
        </w:rPr>
        <w:t xml:space="preserve"> </w:t>
      </w:r>
      <w:r w:rsidR="23165A4D">
        <w:t xml:space="preserve">allege </w:t>
      </w:r>
      <w:r w:rsidR="5E9BC549">
        <w:rPr>
          <w:spacing w:val="-2"/>
        </w:rPr>
        <w:t>that defendants</w:t>
      </w:r>
      <w:r w:rsidR="1E942E75">
        <w:rPr>
          <w:spacing w:val="-2"/>
        </w:rPr>
        <w:t xml:space="preserve"> </w:t>
      </w:r>
      <w:r w:rsidR="5BC7009C">
        <w:rPr>
          <w:spacing w:val="-2"/>
        </w:rPr>
        <w:t xml:space="preserve">unnecessarily </w:t>
      </w:r>
      <w:r w:rsidR="1E942E75">
        <w:rPr>
          <w:spacing w:val="-2"/>
        </w:rPr>
        <w:t>exacerbated</w:t>
      </w:r>
      <w:r w:rsidR="1CE87461">
        <w:rPr>
          <w:spacing w:val="-2"/>
        </w:rPr>
        <w:t xml:space="preserve"> </w:t>
      </w:r>
      <w:r w:rsidR="1E942E75">
        <w:rPr>
          <w:spacing w:val="-2"/>
        </w:rPr>
        <w:t>the backlog</w:t>
      </w:r>
      <w:r w:rsidR="5BC7009C">
        <w:rPr>
          <w:spacing w:val="-2"/>
        </w:rPr>
        <w:t xml:space="preserve"> and prolonged its effects</w:t>
      </w:r>
      <w:r w:rsidR="1E942E75">
        <w:rPr>
          <w:spacing w:val="-2"/>
        </w:rPr>
        <w:t xml:space="preserve"> by failing</w:t>
      </w:r>
      <w:r w:rsidR="5E9BC549">
        <w:rPr>
          <w:spacing w:val="-2"/>
        </w:rPr>
        <w:t xml:space="preserve"> to</w:t>
      </w:r>
      <w:r w:rsidR="0018516C">
        <w:rPr>
          <w:spacing w:val="-2"/>
        </w:rPr>
        <w:t>, inter alia:</w:t>
      </w:r>
      <w:r w:rsidR="5E9BC549">
        <w:rPr>
          <w:spacing w:val="-2"/>
        </w:rPr>
        <w:t xml:space="preserve"> </w:t>
      </w:r>
      <w:r w:rsidR="38AF3CBD">
        <w:rPr>
          <w:spacing w:val="-2"/>
        </w:rPr>
        <w:t>utilize</w:t>
      </w:r>
      <w:r w:rsidR="49802F51">
        <w:rPr>
          <w:spacing w:val="-2"/>
        </w:rPr>
        <w:t xml:space="preserve"> available </w:t>
      </w:r>
      <w:r w:rsidR="052910BC">
        <w:rPr>
          <w:spacing w:val="-2"/>
        </w:rPr>
        <w:t>courtrooms</w:t>
      </w:r>
      <w:r w:rsidR="00D73B25">
        <w:rPr>
          <w:spacing w:val="-2"/>
        </w:rPr>
        <w:t xml:space="preserve"> (both civil and criminal)</w:t>
      </w:r>
      <w:r w:rsidR="2D2A5E4D">
        <w:rPr>
          <w:spacing w:val="-2"/>
        </w:rPr>
        <w:t>,</w:t>
      </w:r>
      <w:r>
        <w:rPr>
          <w:spacing w:val="-2"/>
        </w:rPr>
        <w:t xml:space="preserve"> </w:t>
      </w:r>
      <w:r w:rsidR="08299418">
        <w:rPr>
          <w:spacing w:val="-2"/>
        </w:rPr>
        <w:t>seek out additional resources to help mitigate the backlog</w:t>
      </w:r>
      <w:r w:rsidR="052910BC">
        <w:rPr>
          <w:spacing w:val="-2"/>
        </w:rPr>
        <w:t>,</w:t>
      </w:r>
      <w:r>
        <w:rPr>
          <w:spacing w:val="-2"/>
        </w:rPr>
        <w:t xml:space="preserve"> </w:t>
      </w:r>
      <w:r w:rsidR="00F53B79">
        <w:rPr>
          <w:spacing w:val="-2"/>
        </w:rPr>
        <w:t>prioritize</w:t>
      </w:r>
      <w:r w:rsidR="052910BC">
        <w:rPr>
          <w:spacing w:val="-2"/>
        </w:rPr>
        <w:t xml:space="preserve"> criminal trials,</w:t>
      </w:r>
      <w:r w:rsidR="49802F51">
        <w:rPr>
          <w:spacing w:val="-2"/>
        </w:rPr>
        <w:t xml:space="preserve"> </w:t>
      </w:r>
      <w:r w:rsidR="2FE6635F">
        <w:rPr>
          <w:spacing w:val="-2"/>
        </w:rPr>
        <w:t>or take</w:t>
      </w:r>
      <w:r w:rsidR="49802F51">
        <w:rPr>
          <w:spacing w:val="-2"/>
        </w:rPr>
        <w:t xml:space="preserve"> </w:t>
      </w:r>
      <w:r w:rsidR="1518DC8F">
        <w:rPr>
          <w:spacing w:val="-2"/>
        </w:rPr>
        <w:t>meaningful</w:t>
      </w:r>
      <w:r w:rsidR="49802F51">
        <w:rPr>
          <w:spacing w:val="-2"/>
        </w:rPr>
        <w:t xml:space="preserve"> steps to address</w:t>
      </w:r>
      <w:r w:rsidR="0637EAB6">
        <w:rPr>
          <w:spacing w:val="-2"/>
        </w:rPr>
        <w:t xml:space="preserve"> security issues that purportedly prevented </w:t>
      </w:r>
      <w:r w:rsidR="009E7608">
        <w:rPr>
          <w:spacing w:val="-2"/>
        </w:rPr>
        <w:t>the</w:t>
      </w:r>
      <w:r w:rsidR="00D73B25">
        <w:rPr>
          <w:spacing w:val="-2"/>
        </w:rPr>
        <w:t>m from</w:t>
      </w:r>
      <w:r w:rsidR="009E7608">
        <w:rPr>
          <w:spacing w:val="-2"/>
        </w:rPr>
        <w:t xml:space="preserve"> assign</w:t>
      </w:r>
      <w:r w:rsidR="00D73B25">
        <w:rPr>
          <w:spacing w:val="-2"/>
        </w:rPr>
        <w:t xml:space="preserve">ing </w:t>
      </w:r>
      <w:r w:rsidR="009E7608">
        <w:rPr>
          <w:spacing w:val="-2"/>
        </w:rPr>
        <w:t>criminal trials to Civic Center</w:t>
      </w:r>
      <w:r w:rsidR="00FA308D">
        <w:rPr>
          <w:spacing w:val="-2"/>
        </w:rPr>
        <w:t xml:space="preserve"> </w:t>
      </w:r>
      <w:r w:rsidR="009E7608">
        <w:rPr>
          <w:spacing w:val="-2"/>
        </w:rPr>
        <w:t>courtrooms</w:t>
      </w:r>
      <w:r>
        <w:rPr>
          <w:spacing w:val="-2"/>
        </w:rPr>
        <w:t>.</w:t>
      </w:r>
      <w:r w:rsidR="38233926">
        <w:rPr>
          <w:spacing w:val="-2"/>
        </w:rPr>
        <w:t xml:space="preserve"> </w:t>
      </w:r>
      <w:r w:rsidR="00852AC4">
        <w:rPr>
          <w:spacing w:val="-2"/>
        </w:rPr>
        <w:t>P</w:t>
      </w:r>
      <w:r w:rsidR="00E1772E">
        <w:rPr>
          <w:spacing w:val="-2"/>
        </w:rPr>
        <w:t>laintiffs</w:t>
      </w:r>
      <w:r w:rsidR="00022087">
        <w:rPr>
          <w:spacing w:val="-2"/>
        </w:rPr>
        <w:t xml:space="preserve"> claim defendants improperly failed</w:t>
      </w:r>
      <w:r>
        <w:rPr>
          <w:spacing w:val="-2"/>
        </w:rPr>
        <w:t xml:space="preserve"> </w:t>
      </w:r>
      <w:r w:rsidR="38233926">
        <w:rPr>
          <w:spacing w:val="-2"/>
        </w:rPr>
        <w:t xml:space="preserve">to utilize Civic Center </w:t>
      </w:r>
      <w:r w:rsidR="4C97E852">
        <w:rPr>
          <w:spacing w:val="-2"/>
        </w:rPr>
        <w:t xml:space="preserve">courtrooms </w:t>
      </w:r>
      <w:r w:rsidR="38233926">
        <w:rPr>
          <w:spacing w:val="-2"/>
        </w:rPr>
        <w:t xml:space="preserve">to try </w:t>
      </w:r>
      <w:r w:rsidR="162211F6">
        <w:rPr>
          <w:spacing w:val="-2"/>
        </w:rPr>
        <w:t xml:space="preserve">any </w:t>
      </w:r>
      <w:r w:rsidR="38233926">
        <w:rPr>
          <w:spacing w:val="-2"/>
        </w:rPr>
        <w:t xml:space="preserve">felony, in-custody, or “violent misdemeanor” cases, </w:t>
      </w:r>
      <w:r w:rsidR="004C57DB">
        <w:rPr>
          <w:spacing w:val="-2"/>
        </w:rPr>
        <w:t xml:space="preserve">due to </w:t>
      </w:r>
      <w:r w:rsidR="38233926">
        <w:rPr>
          <w:spacing w:val="-2"/>
        </w:rPr>
        <w:t>purported</w:t>
      </w:r>
      <w:r w:rsidR="0036310A">
        <w:rPr>
          <w:spacing w:val="-2"/>
        </w:rPr>
        <w:t xml:space="preserve"> </w:t>
      </w:r>
      <w:r w:rsidR="38233926">
        <w:rPr>
          <w:spacing w:val="-2"/>
        </w:rPr>
        <w:t>security</w:t>
      </w:r>
      <w:r w:rsidR="004C57DB">
        <w:rPr>
          <w:spacing w:val="-2"/>
        </w:rPr>
        <w:t xml:space="preserve"> concerns, </w:t>
      </w:r>
      <w:r w:rsidR="004A379C">
        <w:rPr>
          <w:spacing w:val="-2"/>
        </w:rPr>
        <w:t xml:space="preserve">despite </w:t>
      </w:r>
      <w:r w:rsidR="38233926">
        <w:rPr>
          <w:spacing w:val="-2"/>
        </w:rPr>
        <w:t>Civic Center</w:t>
      </w:r>
      <w:r w:rsidR="004A379C">
        <w:rPr>
          <w:spacing w:val="-2"/>
        </w:rPr>
        <w:t>’s</w:t>
      </w:r>
      <w:r w:rsidR="0036310A">
        <w:rPr>
          <w:spacing w:val="-2"/>
        </w:rPr>
        <w:t xml:space="preserve"> </w:t>
      </w:r>
      <w:r w:rsidR="38233926" w:rsidRPr="00771D1F">
        <w:rPr>
          <w:spacing w:val="-2"/>
        </w:rPr>
        <w:t>multiple holding cells</w:t>
      </w:r>
      <w:r w:rsidR="38233926">
        <w:rPr>
          <w:spacing w:val="-2"/>
        </w:rPr>
        <w:t xml:space="preserve">, </w:t>
      </w:r>
      <w:r w:rsidR="38233926" w:rsidRPr="00771D1F">
        <w:rPr>
          <w:spacing w:val="-2"/>
        </w:rPr>
        <w:t>airport-style entrance security</w:t>
      </w:r>
      <w:r w:rsidR="2ED47B58">
        <w:rPr>
          <w:spacing w:val="-2"/>
        </w:rPr>
        <w:t>,</w:t>
      </w:r>
      <w:r w:rsidR="38233926" w:rsidRPr="00771D1F">
        <w:rPr>
          <w:spacing w:val="-2"/>
        </w:rPr>
        <w:t xml:space="preserve"> and regular staff</w:t>
      </w:r>
      <w:r w:rsidR="38233926">
        <w:rPr>
          <w:spacing w:val="-2"/>
        </w:rPr>
        <w:t>ing by over 20</w:t>
      </w:r>
      <w:r w:rsidR="00DF4A51">
        <w:rPr>
          <w:spacing w:val="-2"/>
        </w:rPr>
        <w:t xml:space="preserve"> </w:t>
      </w:r>
      <w:r w:rsidR="38233926">
        <w:rPr>
          <w:spacing w:val="-2"/>
        </w:rPr>
        <w:t>s</w:t>
      </w:r>
      <w:r w:rsidR="38233926" w:rsidRPr="00771D1F">
        <w:rPr>
          <w:spacing w:val="-2"/>
        </w:rPr>
        <w:t xml:space="preserve">heriff’s deputies. </w:t>
      </w:r>
      <w:r w:rsidR="38233926">
        <w:rPr>
          <w:spacing w:val="-2"/>
        </w:rPr>
        <w:t xml:space="preserve">Moreover, </w:t>
      </w:r>
      <w:r w:rsidR="00506088">
        <w:rPr>
          <w:spacing w:val="-2"/>
        </w:rPr>
        <w:t>before the pandemic, between</w:t>
      </w:r>
      <w:r w:rsidR="38233926">
        <w:t xml:space="preserve"> </w:t>
      </w:r>
      <w:r w:rsidR="38233926">
        <w:rPr>
          <w:spacing w:val="-2"/>
        </w:rPr>
        <w:t xml:space="preserve">2006–2017, </w:t>
      </w:r>
      <w:r w:rsidR="38233926">
        <w:rPr>
          <w:spacing w:val="-2"/>
        </w:rPr>
        <w:lastRenderedPageBreak/>
        <w:t>defendant c</w:t>
      </w:r>
      <w:r w:rsidR="38233926" w:rsidRPr="00771D1F">
        <w:rPr>
          <w:spacing w:val="-2"/>
        </w:rPr>
        <w:t xml:space="preserve">ourt had safely tried </w:t>
      </w:r>
      <w:r w:rsidR="0067197D">
        <w:rPr>
          <w:spacing w:val="-2"/>
        </w:rPr>
        <w:t xml:space="preserve">without issue </w:t>
      </w:r>
      <w:r w:rsidR="38233926">
        <w:rPr>
          <w:spacing w:val="-2"/>
        </w:rPr>
        <w:t>56</w:t>
      </w:r>
      <w:r w:rsidR="38233926" w:rsidRPr="00771D1F">
        <w:rPr>
          <w:spacing w:val="-2"/>
        </w:rPr>
        <w:t xml:space="preserve"> felony cases </w:t>
      </w:r>
      <w:r w:rsidR="007F7A34">
        <w:rPr>
          <w:spacing w:val="-2"/>
        </w:rPr>
        <w:t>(24</w:t>
      </w:r>
      <w:r w:rsidR="00DF4A51">
        <w:rPr>
          <w:spacing w:val="-2"/>
        </w:rPr>
        <w:t xml:space="preserve"> </w:t>
      </w:r>
      <w:r w:rsidR="007F7A34" w:rsidRPr="00771D1F">
        <w:rPr>
          <w:spacing w:val="-2"/>
        </w:rPr>
        <w:t>in</w:t>
      </w:r>
      <w:r w:rsidR="007F7A34">
        <w:rPr>
          <w:spacing w:val="-2"/>
        </w:rPr>
        <w:t>-</w:t>
      </w:r>
      <w:r w:rsidR="007F7A34" w:rsidRPr="00771D1F">
        <w:rPr>
          <w:spacing w:val="-2"/>
        </w:rPr>
        <w:t>custody</w:t>
      </w:r>
      <w:r w:rsidR="007F7A34">
        <w:rPr>
          <w:spacing w:val="-2"/>
        </w:rPr>
        <w:t>)</w:t>
      </w:r>
      <w:r w:rsidR="007F7A34" w:rsidRPr="00771D1F">
        <w:rPr>
          <w:spacing w:val="-2"/>
        </w:rPr>
        <w:t xml:space="preserve"> </w:t>
      </w:r>
      <w:r w:rsidR="38233926" w:rsidRPr="00771D1F">
        <w:rPr>
          <w:spacing w:val="-2"/>
        </w:rPr>
        <w:t>at Civic Center</w:t>
      </w:r>
      <w:r w:rsidR="38233926">
        <w:rPr>
          <w:spacing w:val="-2"/>
        </w:rPr>
        <w:t xml:space="preserve">; and from 2018 through March 2020, </w:t>
      </w:r>
      <w:r w:rsidR="0B928DCA">
        <w:rPr>
          <w:spacing w:val="-2"/>
        </w:rPr>
        <w:t xml:space="preserve">it </w:t>
      </w:r>
      <w:r w:rsidR="38233926">
        <w:rPr>
          <w:spacing w:val="-2"/>
        </w:rPr>
        <w:t>tried 166</w:t>
      </w:r>
      <w:r w:rsidR="00DF4A51">
        <w:rPr>
          <w:spacing w:val="-2"/>
        </w:rPr>
        <w:t xml:space="preserve"> </w:t>
      </w:r>
      <w:r w:rsidR="38233926">
        <w:rPr>
          <w:spacing w:val="-2"/>
        </w:rPr>
        <w:t>misdemeanor cases there, including 50</w:t>
      </w:r>
      <w:r w:rsidR="00DF4A51">
        <w:rPr>
          <w:spacing w:val="-2"/>
        </w:rPr>
        <w:t xml:space="preserve"> </w:t>
      </w:r>
      <w:r w:rsidR="38233926">
        <w:rPr>
          <w:spacing w:val="-2"/>
        </w:rPr>
        <w:t xml:space="preserve">“violent misdemeanors.” </w:t>
      </w:r>
      <w:r w:rsidR="38233926" w:rsidRPr="00771D1F">
        <w:rPr>
          <w:spacing w:val="-2"/>
        </w:rPr>
        <w:t>And i</w:t>
      </w:r>
      <w:r w:rsidR="38233926">
        <w:rPr>
          <w:spacing w:val="-2"/>
        </w:rPr>
        <w:t>n 2021, a 15</w:t>
      </w:r>
      <w:r w:rsidR="629F9EE8">
        <w:rPr>
          <w:spacing w:val="-2"/>
        </w:rPr>
        <w:t>-</w:t>
      </w:r>
      <w:r w:rsidR="38233926">
        <w:rPr>
          <w:spacing w:val="-2"/>
        </w:rPr>
        <w:t xml:space="preserve">day trial in a </w:t>
      </w:r>
      <w:r w:rsidR="38233926" w:rsidRPr="00771D1F">
        <w:rPr>
          <w:spacing w:val="-2"/>
        </w:rPr>
        <w:t xml:space="preserve">juvenile murder </w:t>
      </w:r>
      <w:r w:rsidR="38233926">
        <w:rPr>
          <w:spacing w:val="-2"/>
        </w:rPr>
        <w:t xml:space="preserve">case deemed </w:t>
      </w:r>
      <w:r w:rsidR="38233926" w:rsidRPr="00771D1F">
        <w:rPr>
          <w:spacing w:val="-2"/>
        </w:rPr>
        <w:t xml:space="preserve">“too risky” </w:t>
      </w:r>
      <w:r w:rsidR="38233926">
        <w:rPr>
          <w:spacing w:val="-2"/>
        </w:rPr>
        <w:t xml:space="preserve">for </w:t>
      </w:r>
      <w:r w:rsidR="38233926" w:rsidRPr="00771D1F">
        <w:rPr>
          <w:spacing w:val="-2"/>
        </w:rPr>
        <w:t xml:space="preserve">the </w:t>
      </w:r>
      <w:r w:rsidR="629F9EE8">
        <w:rPr>
          <w:spacing w:val="-2"/>
        </w:rPr>
        <w:t>j</w:t>
      </w:r>
      <w:r w:rsidR="38233926" w:rsidRPr="00771D1F">
        <w:rPr>
          <w:spacing w:val="-2"/>
        </w:rPr>
        <w:t xml:space="preserve">uvenile </w:t>
      </w:r>
      <w:r w:rsidR="629F9EE8">
        <w:rPr>
          <w:spacing w:val="-2"/>
        </w:rPr>
        <w:t>j</w:t>
      </w:r>
      <w:r w:rsidR="38233926" w:rsidRPr="00771D1F">
        <w:rPr>
          <w:spacing w:val="-2"/>
        </w:rPr>
        <w:t xml:space="preserve">ustice </w:t>
      </w:r>
      <w:r w:rsidR="629F9EE8">
        <w:rPr>
          <w:spacing w:val="-2"/>
        </w:rPr>
        <w:t>c</w:t>
      </w:r>
      <w:r w:rsidR="38233926" w:rsidRPr="00771D1F">
        <w:rPr>
          <w:spacing w:val="-2"/>
        </w:rPr>
        <w:t>enter was tried at Civi</w:t>
      </w:r>
      <w:r w:rsidR="70CF997C">
        <w:rPr>
          <w:spacing w:val="-2"/>
        </w:rPr>
        <w:t>c</w:t>
      </w:r>
      <w:r w:rsidR="38233926" w:rsidRPr="00771D1F">
        <w:rPr>
          <w:spacing w:val="-2"/>
        </w:rPr>
        <w:t xml:space="preserve"> Center.</w:t>
      </w:r>
    </w:p>
    <w:p w14:paraId="1EA4C62F" w14:textId="601B51D6" w:rsidR="0080647E" w:rsidRDefault="003D06AD" w:rsidP="003F5F13">
      <w:pPr>
        <w:autoSpaceDE w:val="0"/>
        <w:autoSpaceDN w:val="0"/>
        <w:adjustRightInd w:val="0"/>
        <w:spacing w:line="360" w:lineRule="auto"/>
        <w:contextualSpacing/>
      </w:pPr>
      <w:r>
        <w:rPr>
          <w:spacing w:val="-2"/>
        </w:rPr>
        <w:tab/>
      </w:r>
      <w:r w:rsidR="7C32226E">
        <w:rPr>
          <w:spacing w:val="-2"/>
        </w:rPr>
        <w:t>D</w:t>
      </w:r>
      <w:r>
        <w:rPr>
          <w:spacing w:val="-2"/>
        </w:rPr>
        <w:t xml:space="preserve">efendants </w:t>
      </w:r>
      <w:r w:rsidR="2D8F9684">
        <w:rPr>
          <w:spacing w:val="-2"/>
        </w:rPr>
        <w:t xml:space="preserve">also exacerbated the backlog by failing to </w:t>
      </w:r>
      <w:r w:rsidR="00B93D0E">
        <w:rPr>
          <w:spacing w:val="-2"/>
        </w:rPr>
        <w:t xml:space="preserve">make meaningful efforts to </w:t>
      </w:r>
      <w:r w:rsidR="4C384102">
        <w:rPr>
          <w:spacing w:val="-2"/>
        </w:rPr>
        <w:t xml:space="preserve">access additional resources, </w:t>
      </w:r>
      <w:r w:rsidR="000F247B">
        <w:rPr>
          <w:spacing w:val="-2"/>
        </w:rPr>
        <w:t>for example,</w:t>
      </w:r>
      <w:r w:rsidR="4C384102">
        <w:rPr>
          <w:spacing w:val="-2"/>
        </w:rPr>
        <w:t xml:space="preserve"> to </w:t>
      </w:r>
      <w:r w:rsidR="000E2CD7">
        <w:rPr>
          <w:spacing w:val="-2"/>
        </w:rPr>
        <w:t>ask</w:t>
      </w:r>
      <w:r>
        <w:rPr>
          <w:spacing w:val="-2"/>
        </w:rPr>
        <w:t xml:space="preserve"> the </w:t>
      </w:r>
      <w:r w:rsidR="000E5B4F">
        <w:rPr>
          <w:spacing w:val="-2"/>
        </w:rPr>
        <w:t>s</w:t>
      </w:r>
      <w:r>
        <w:rPr>
          <w:spacing w:val="-2"/>
        </w:rPr>
        <w:t>heriff to provide additional security to facilitate more</w:t>
      </w:r>
      <w:r w:rsidRPr="00771D1F">
        <w:rPr>
          <w:spacing w:val="-2"/>
        </w:rPr>
        <w:t xml:space="preserve"> trials at Civic</w:t>
      </w:r>
      <w:r w:rsidRPr="00771D1F">
        <w:rPr>
          <w:spacing w:val="-2"/>
        </w:rPr>
        <w:t xml:space="preserve"> Center</w:t>
      </w:r>
      <w:r>
        <w:rPr>
          <w:spacing w:val="-2"/>
        </w:rPr>
        <w:t>,</w:t>
      </w:r>
      <w:r w:rsidRPr="00771D1F">
        <w:rPr>
          <w:spacing w:val="-2"/>
        </w:rPr>
        <w:t xml:space="preserve"> </w:t>
      </w:r>
      <w:r>
        <w:rPr>
          <w:spacing w:val="-2"/>
        </w:rPr>
        <w:t xml:space="preserve">seek </w:t>
      </w:r>
      <w:r w:rsidRPr="00771D1F">
        <w:rPr>
          <w:spacing w:val="-2"/>
        </w:rPr>
        <w:t xml:space="preserve">alternative venues </w:t>
      </w:r>
      <w:r>
        <w:rPr>
          <w:spacing w:val="-2"/>
        </w:rPr>
        <w:t xml:space="preserve">in which to hold trials, request visiting judges to help reduce the backlog, or endeavor to </w:t>
      </w:r>
      <w:r w:rsidRPr="00771D1F">
        <w:rPr>
          <w:spacing w:val="-2"/>
        </w:rPr>
        <w:t xml:space="preserve">hire temporary employees or retrain existing </w:t>
      </w:r>
      <w:r>
        <w:rPr>
          <w:spacing w:val="-2"/>
        </w:rPr>
        <w:t>ones</w:t>
      </w:r>
      <w:r w:rsidRPr="00771D1F">
        <w:rPr>
          <w:spacing w:val="-2"/>
        </w:rPr>
        <w:t xml:space="preserve"> to </w:t>
      </w:r>
      <w:r>
        <w:rPr>
          <w:spacing w:val="-2"/>
        </w:rPr>
        <w:t>remedy its</w:t>
      </w:r>
      <w:r w:rsidRPr="00771D1F">
        <w:rPr>
          <w:spacing w:val="-2"/>
        </w:rPr>
        <w:t xml:space="preserve"> </w:t>
      </w:r>
      <w:r>
        <w:rPr>
          <w:spacing w:val="-2"/>
        </w:rPr>
        <w:t>clerk and court reporter</w:t>
      </w:r>
      <w:r w:rsidRPr="00E46E10">
        <w:rPr>
          <w:spacing w:val="-2"/>
        </w:rPr>
        <w:t xml:space="preserve"> </w:t>
      </w:r>
      <w:r w:rsidRPr="00771D1F">
        <w:rPr>
          <w:spacing w:val="-2"/>
        </w:rPr>
        <w:t>shortage</w:t>
      </w:r>
      <w:r>
        <w:rPr>
          <w:spacing w:val="-2"/>
        </w:rPr>
        <w:t>s</w:t>
      </w:r>
      <w:r w:rsidRPr="00771D1F">
        <w:rPr>
          <w:spacing w:val="-2"/>
        </w:rPr>
        <w:t xml:space="preserve">. </w:t>
      </w:r>
    </w:p>
    <w:p w14:paraId="2898FE7B" w14:textId="6DD2117E" w:rsidR="00833811" w:rsidRDefault="003D06AD" w:rsidP="1D2EECFC">
      <w:pPr>
        <w:autoSpaceDE w:val="0"/>
        <w:autoSpaceDN w:val="0"/>
        <w:adjustRightInd w:val="0"/>
        <w:spacing w:line="360" w:lineRule="auto"/>
        <w:contextualSpacing/>
      </w:pPr>
      <w:r>
        <w:rPr>
          <w:spacing w:val="-2"/>
        </w:rPr>
        <w:tab/>
      </w:r>
      <w:r w:rsidR="120DE21E">
        <w:t>P</w:t>
      </w:r>
      <w:r w:rsidR="2AB81EEB">
        <w:t xml:space="preserve">laintiffs allege that </w:t>
      </w:r>
      <w:r w:rsidR="67CD8FAD">
        <w:rPr>
          <w:spacing w:val="-2"/>
        </w:rPr>
        <w:t>these failures</w:t>
      </w:r>
      <w:r w:rsidR="013C13E2">
        <w:rPr>
          <w:spacing w:val="-2"/>
        </w:rPr>
        <w:t xml:space="preserve"> </w:t>
      </w:r>
      <w:r w:rsidR="00EE7879">
        <w:t>violate</w:t>
      </w:r>
      <w:r>
        <w:rPr>
          <w:spacing w:val="-2"/>
        </w:rPr>
        <w:t xml:space="preserve"> </w:t>
      </w:r>
      <w:r w:rsidR="30F578D7">
        <w:rPr>
          <w:spacing w:val="-2"/>
        </w:rPr>
        <w:t>dut</w:t>
      </w:r>
      <w:r w:rsidR="505796C3">
        <w:rPr>
          <w:spacing w:val="-2"/>
        </w:rPr>
        <w:t xml:space="preserve">ies </w:t>
      </w:r>
      <w:r w:rsidR="5F5F7880">
        <w:t xml:space="preserve">imposed upon </w:t>
      </w:r>
      <w:r w:rsidR="007E1BC9">
        <w:t xml:space="preserve">defendants </w:t>
      </w:r>
      <w:r w:rsidR="5F5F7880">
        <w:t>by</w:t>
      </w:r>
      <w:r w:rsidR="505796C3">
        <w:rPr>
          <w:spacing w:val="-2"/>
        </w:rPr>
        <w:t xml:space="preserve"> Penal Code section 1050, subdivision (a)</w:t>
      </w:r>
      <w:r w:rsidR="004025B8">
        <w:rPr>
          <w:spacing w:val="-2"/>
        </w:rPr>
        <w:t>,</w:t>
      </w:r>
      <w:r>
        <w:rPr>
          <w:rStyle w:val="FootnoteReference"/>
        </w:rPr>
        <w:footnoteReference w:id="6"/>
      </w:r>
      <w:r w:rsidR="7DAFCA39">
        <w:rPr>
          <w:spacing w:val="-2"/>
        </w:rPr>
        <w:t xml:space="preserve"> specifically</w:t>
      </w:r>
      <w:r w:rsidR="1A314F4C">
        <w:t>:</w:t>
      </w:r>
      <w:r w:rsidR="7F56C916">
        <w:rPr>
          <w:spacing w:val="-2"/>
        </w:rPr>
        <w:t xml:space="preserve"> </w:t>
      </w:r>
      <w:r w:rsidR="30F578D7">
        <w:rPr>
          <w:spacing w:val="-2"/>
        </w:rPr>
        <w:t xml:space="preserve">to </w:t>
      </w:r>
      <w:r w:rsidR="013C13E2" w:rsidRPr="00485CC8">
        <w:rPr>
          <w:spacing w:val="-2"/>
        </w:rPr>
        <w:t xml:space="preserve">expedite criminal cases </w:t>
      </w:r>
      <w:r w:rsidR="013C13E2">
        <w:rPr>
          <w:spacing w:val="-2"/>
        </w:rPr>
        <w:t>“</w:t>
      </w:r>
      <w:r w:rsidR="013C13E2" w:rsidRPr="00485CC8">
        <w:rPr>
          <w:spacing w:val="-2"/>
        </w:rPr>
        <w:t>to the greatest degree that is consistent with the ends of justice</w:t>
      </w:r>
      <w:r w:rsidR="013C13E2">
        <w:rPr>
          <w:spacing w:val="-2"/>
        </w:rPr>
        <w:t>” (</w:t>
      </w:r>
      <w:r w:rsidR="008A635E">
        <w:rPr>
          <w:i/>
          <w:iCs/>
          <w:spacing w:val="-2"/>
        </w:rPr>
        <w:t>ibid.</w:t>
      </w:r>
      <w:r w:rsidR="204886B5">
        <w:rPr>
          <w:spacing w:val="-2"/>
        </w:rPr>
        <w:t>)</w:t>
      </w:r>
      <w:r w:rsidR="5D30F963">
        <w:t>;</w:t>
      </w:r>
      <w:r w:rsidR="505796C3">
        <w:rPr>
          <w:spacing w:val="-2"/>
        </w:rPr>
        <w:t xml:space="preserve"> and to</w:t>
      </w:r>
      <w:r w:rsidR="204886B5">
        <w:rPr>
          <w:spacing w:val="-2"/>
        </w:rPr>
        <w:t xml:space="preserve"> give criminal trials “</w:t>
      </w:r>
      <w:r w:rsidR="013C13E2" w:rsidRPr="00485CC8">
        <w:rPr>
          <w:spacing w:val="-2"/>
        </w:rPr>
        <w:t>precedence over</w:t>
      </w:r>
      <w:r w:rsidR="00BE5992">
        <w:rPr>
          <w:spacing w:val="-2"/>
        </w:rPr>
        <w:t xml:space="preserve"> . . . </w:t>
      </w:r>
      <w:r w:rsidR="013C13E2" w:rsidRPr="00485CC8">
        <w:rPr>
          <w:spacing w:val="-2"/>
        </w:rPr>
        <w:t>any civil matters or proceedings</w:t>
      </w:r>
      <w:r w:rsidR="204886B5">
        <w:rPr>
          <w:spacing w:val="-2"/>
        </w:rPr>
        <w:t xml:space="preserve">” </w:t>
      </w:r>
      <w:r w:rsidR="30F578D7">
        <w:rPr>
          <w:spacing w:val="-2"/>
        </w:rPr>
        <w:t>(</w:t>
      </w:r>
      <w:r w:rsidR="30F578D7" w:rsidRPr="3DE41553">
        <w:rPr>
          <w:i/>
          <w:iCs/>
          <w:spacing w:val="-2"/>
        </w:rPr>
        <w:t>i</w:t>
      </w:r>
      <w:r w:rsidR="13F76DB3" w:rsidRPr="3DE41553">
        <w:rPr>
          <w:i/>
          <w:iCs/>
          <w:spacing w:val="-2"/>
        </w:rPr>
        <w:t>bi</w:t>
      </w:r>
      <w:r w:rsidR="30F578D7" w:rsidRPr="3DE41553">
        <w:rPr>
          <w:i/>
          <w:iCs/>
          <w:spacing w:val="-2"/>
        </w:rPr>
        <w:t>d</w:t>
      </w:r>
      <w:r w:rsidR="30F578D7">
        <w:rPr>
          <w:spacing w:val="-2"/>
        </w:rPr>
        <w:t>.)</w:t>
      </w:r>
      <w:r w:rsidR="505796C3">
        <w:rPr>
          <w:spacing w:val="-2"/>
        </w:rPr>
        <w:t>, including by</w:t>
      </w:r>
      <w:r w:rsidR="05A83F8F">
        <w:rPr>
          <w:spacing w:val="-2"/>
        </w:rPr>
        <w:t xml:space="preserve"> </w:t>
      </w:r>
      <w:r w:rsidR="390A4B50">
        <w:rPr>
          <w:spacing w:val="-2"/>
        </w:rPr>
        <w:t xml:space="preserve">organizing its civil and criminal departments and workload </w:t>
      </w:r>
      <w:r w:rsidR="6E0B9BD3">
        <w:rPr>
          <w:spacing w:val="-2"/>
        </w:rPr>
        <w:t xml:space="preserve">so as </w:t>
      </w:r>
      <w:r w:rsidR="13F76DB3">
        <w:rPr>
          <w:spacing w:val="-2"/>
        </w:rPr>
        <w:t xml:space="preserve">not </w:t>
      </w:r>
      <w:r w:rsidR="6E0B9BD3">
        <w:rPr>
          <w:spacing w:val="-2"/>
        </w:rPr>
        <w:t xml:space="preserve">to </w:t>
      </w:r>
      <w:r w:rsidR="390A4B50">
        <w:t>“shortchange the court’s criminal caseload</w:t>
      </w:r>
      <w:r w:rsidR="6E0B9BD3">
        <w:t xml:space="preserve">” </w:t>
      </w:r>
      <w:r w:rsidR="390A4B50">
        <w:t>(</w:t>
      </w:r>
      <w:r w:rsidR="390A4B50" w:rsidRPr="3DE41553">
        <w:rPr>
          <w:i/>
          <w:iCs/>
        </w:rPr>
        <w:t>People v. Engram</w:t>
      </w:r>
      <w:r w:rsidR="390A4B50">
        <w:t xml:space="preserve"> (2010) 50</w:t>
      </w:r>
      <w:r w:rsidR="000A0363">
        <w:t> </w:t>
      </w:r>
      <w:r w:rsidR="390A4B50">
        <w:t>Cal.4th 1131, 1156</w:t>
      </w:r>
      <w:r w:rsidR="35B2E4FC">
        <w:t xml:space="preserve"> (</w:t>
      </w:r>
      <w:r w:rsidR="35B2E4FC" w:rsidRPr="3DE41553">
        <w:rPr>
          <w:i/>
          <w:iCs/>
        </w:rPr>
        <w:t>Engram</w:t>
      </w:r>
      <w:r w:rsidR="35B2E4FC">
        <w:t>)</w:t>
      </w:r>
      <w:r w:rsidR="390A4B50">
        <w:t>)</w:t>
      </w:r>
      <w:r w:rsidR="6E0B9BD3">
        <w:t>.</w:t>
      </w:r>
    </w:p>
    <w:p w14:paraId="3253B4A5" w14:textId="5028AC3C" w:rsidR="0080647E" w:rsidRDefault="003D06AD" w:rsidP="003F5F13">
      <w:pPr>
        <w:autoSpaceDE w:val="0"/>
        <w:autoSpaceDN w:val="0"/>
        <w:adjustRightInd w:val="0"/>
        <w:spacing w:line="360" w:lineRule="auto"/>
        <w:contextualSpacing/>
      </w:pPr>
      <w:r w:rsidRPr="00771D1F">
        <w:rPr>
          <w:spacing w:val="-2"/>
        </w:rPr>
        <w:tab/>
      </w:r>
      <w:r w:rsidR="267274DF">
        <w:t>In addition</w:t>
      </w:r>
      <w:r w:rsidR="38233926">
        <w:rPr>
          <w:spacing w:val="-2"/>
        </w:rPr>
        <w:t>,</w:t>
      </w:r>
      <w:r w:rsidR="4AADD11B">
        <w:rPr>
          <w:spacing w:val="-2"/>
        </w:rPr>
        <w:t xml:space="preserve"> </w:t>
      </w:r>
      <w:r w:rsidR="38233926">
        <w:rPr>
          <w:spacing w:val="-2"/>
        </w:rPr>
        <w:t xml:space="preserve">defendant court </w:t>
      </w:r>
      <w:r w:rsidR="007311E6">
        <w:rPr>
          <w:spacing w:val="-2"/>
        </w:rPr>
        <w:t xml:space="preserve">allegedly </w:t>
      </w:r>
      <w:r w:rsidR="00513445">
        <w:rPr>
          <w:spacing w:val="-2"/>
        </w:rPr>
        <w:t xml:space="preserve">facilitated </w:t>
      </w:r>
      <w:r w:rsidR="0052200E">
        <w:rPr>
          <w:spacing w:val="-2"/>
        </w:rPr>
        <w:t>routine</w:t>
      </w:r>
      <w:r w:rsidR="00513445">
        <w:rPr>
          <w:spacing w:val="-2"/>
        </w:rPr>
        <w:t xml:space="preserve"> </w:t>
      </w:r>
      <w:r w:rsidR="00B94030">
        <w:rPr>
          <w:spacing w:val="-2"/>
        </w:rPr>
        <w:t xml:space="preserve">violations of procedural statutes </w:t>
      </w:r>
      <w:r w:rsidR="007E7D52" w:rsidRPr="009F04E6">
        <w:rPr>
          <w:spacing w:val="-2"/>
        </w:rPr>
        <w:t>(</w:t>
      </w:r>
      <w:r w:rsidR="00DF4A51">
        <w:rPr>
          <w:spacing w:val="-2"/>
        </w:rPr>
        <w:t>§</w:t>
      </w:r>
      <w:r w:rsidR="007E7D52">
        <w:rPr>
          <w:spacing w:val="-2"/>
        </w:rPr>
        <w:t>§ 1049.5, 1050, subds. (b), (</w:t>
      </w:r>
      <w:proofErr w:type="spellStart"/>
      <w:r w:rsidR="007E7D52">
        <w:rPr>
          <w:spacing w:val="-2"/>
        </w:rPr>
        <w:t>i</w:t>
      </w:r>
      <w:proofErr w:type="spellEnd"/>
      <w:r w:rsidR="007E7D52">
        <w:rPr>
          <w:spacing w:val="-2"/>
        </w:rPr>
        <w:t xml:space="preserve">)) </w:t>
      </w:r>
      <w:r w:rsidR="00B94030">
        <w:rPr>
          <w:spacing w:val="-2"/>
        </w:rPr>
        <w:t xml:space="preserve">enacted to </w:t>
      </w:r>
      <w:r w:rsidR="133D8F7F">
        <w:t>promote the timely disposition of criminal cases</w:t>
      </w:r>
      <w:r w:rsidR="007E7D52">
        <w:rPr>
          <w:spacing w:val="-2"/>
        </w:rPr>
        <w:t xml:space="preserve">. These statutes </w:t>
      </w:r>
      <w:r w:rsidR="00F80FEB">
        <w:rPr>
          <w:spacing w:val="-2"/>
        </w:rPr>
        <w:t xml:space="preserve">permit the </w:t>
      </w:r>
      <w:r w:rsidR="38233926">
        <w:rPr>
          <w:spacing w:val="-2"/>
        </w:rPr>
        <w:t>continu</w:t>
      </w:r>
      <w:r w:rsidR="00F80FEB">
        <w:rPr>
          <w:spacing w:val="-2"/>
        </w:rPr>
        <w:t>anc</w:t>
      </w:r>
      <w:r w:rsidR="38233926">
        <w:rPr>
          <w:spacing w:val="-2"/>
        </w:rPr>
        <w:t>e</w:t>
      </w:r>
      <w:r w:rsidR="00F80FEB">
        <w:rPr>
          <w:spacing w:val="-2"/>
        </w:rPr>
        <w:t xml:space="preserve"> of</w:t>
      </w:r>
      <w:r w:rsidR="38233926">
        <w:rPr>
          <w:spacing w:val="-2"/>
        </w:rPr>
        <w:t xml:space="preserve"> felony trials </w:t>
      </w:r>
      <w:r w:rsidR="266DDF3E">
        <w:rPr>
          <w:spacing w:val="-2"/>
        </w:rPr>
        <w:t xml:space="preserve">beyond the statutory </w:t>
      </w:r>
      <w:r w:rsidR="00673A98">
        <w:rPr>
          <w:spacing w:val="-2"/>
        </w:rPr>
        <w:t>trial deadline</w:t>
      </w:r>
      <w:r w:rsidR="266DDF3E">
        <w:rPr>
          <w:spacing w:val="-2"/>
        </w:rPr>
        <w:t xml:space="preserve"> </w:t>
      </w:r>
      <w:r w:rsidR="38233926" w:rsidRPr="00E175E4">
        <w:rPr>
          <w:i/>
          <w:spacing w:val="-2"/>
        </w:rPr>
        <w:t xml:space="preserve">only </w:t>
      </w:r>
      <w:r w:rsidR="38233926">
        <w:rPr>
          <w:spacing w:val="-2"/>
        </w:rPr>
        <w:t>upon an evidentiary showing of the necessity of a continuance, and only for the period proven necessary</w:t>
      </w:r>
      <w:r w:rsidR="00F80FEB">
        <w:rPr>
          <w:spacing w:val="-2"/>
        </w:rPr>
        <w:t>.</w:t>
      </w:r>
      <w:r w:rsidR="38233926">
        <w:rPr>
          <w:spacing w:val="-2"/>
        </w:rPr>
        <w:t xml:space="preserve"> </w:t>
      </w:r>
      <w:r w:rsidR="001B1E32">
        <w:t>However</w:t>
      </w:r>
      <w:r w:rsidR="004D4E55">
        <w:t>, i</w:t>
      </w:r>
      <w:r w:rsidR="34EF4EC4">
        <w:t>nstead of</w:t>
      </w:r>
      <w:r w:rsidR="59185D39">
        <w:rPr>
          <w:spacing w:val="-2"/>
        </w:rPr>
        <w:t xml:space="preserve"> conducting genuine evidentiary hearings and making</w:t>
      </w:r>
      <w:r w:rsidR="4A94DA99">
        <w:t xml:space="preserve"> case-specific</w:t>
      </w:r>
      <w:r w:rsidR="59185D39">
        <w:rPr>
          <w:spacing w:val="-2"/>
        </w:rPr>
        <w:t xml:space="preserve"> factual findings </w:t>
      </w:r>
      <w:r w:rsidR="737A724F">
        <w:t xml:space="preserve">demonstrating good cause for a </w:t>
      </w:r>
      <w:r w:rsidR="737A724F">
        <w:lastRenderedPageBreak/>
        <w:t xml:space="preserve">continuance beyond the statutory </w:t>
      </w:r>
      <w:r w:rsidR="0084251A">
        <w:t>tria</w:t>
      </w:r>
      <w:r w:rsidR="00177AE8">
        <w:t>l deadline</w:t>
      </w:r>
      <w:r w:rsidR="59185D39">
        <w:rPr>
          <w:spacing w:val="-2"/>
        </w:rPr>
        <w:t xml:space="preserve">, as these </w:t>
      </w:r>
      <w:r w:rsidR="0040215F">
        <w:rPr>
          <w:spacing w:val="-2"/>
        </w:rPr>
        <w:t>provisions</w:t>
      </w:r>
      <w:r w:rsidR="515A1D50">
        <w:t xml:space="preserve"> require</w:t>
      </w:r>
      <w:r w:rsidR="59185D39">
        <w:rPr>
          <w:spacing w:val="-2"/>
        </w:rPr>
        <w:t>, j</w:t>
      </w:r>
      <w:r w:rsidR="38233926">
        <w:rPr>
          <w:spacing w:val="-2"/>
        </w:rPr>
        <w:t xml:space="preserve">udges </w:t>
      </w:r>
      <w:r w:rsidR="38233926" w:rsidRPr="00771D1F">
        <w:rPr>
          <w:spacing w:val="-2"/>
        </w:rPr>
        <w:t>routinely continu</w:t>
      </w:r>
      <w:r w:rsidR="00452C8A">
        <w:t>ed</w:t>
      </w:r>
      <w:r w:rsidR="38233926" w:rsidRPr="00771D1F">
        <w:rPr>
          <w:spacing w:val="-2"/>
        </w:rPr>
        <w:t xml:space="preserve"> felony trials </w:t>
      </w:r>
      <w:r w:rsidR="46A3492C">
        <w:rPr>
          <w:spacing w:val="-2"/>
        </w:rPr>
        <w:t xml:space="preserve">months </w:t>
      </w:r>
      <w:r w:rsidR="38233926">
        <w:rPr>
          <w:spacing w:val="-2"/>
        </w:rPr>
        <w:t xml:space="preserve">beyond </w:t>
      </w:r>
      <w:r w:rsidR="38233926" w:rsidRPr="00771D1F">
        <w:rPr>
          <w:spacing w:val="-2"/>
        </w:rPr>
        <w:t>the statutory deadline</w:t>
      </w:r>
      <w:r w:rsidR="40D618B9">
        <w:t xml:space="preserve"> </w:t>
      </w:r>
      <w:r w:rsidR="00966819">
        <w:t>based upon the</w:t>
      </w:r>
      <w:r w:rsidR="009F5AF6">
        <w:t xml:space="preserve"> court’s</w:t>
      </w:r>
      <w:r w:rsidR="00966819">
        <w:t xml:space="preserve"> </w:t>
      </w:r>
      <w:r w:rsidR="40D618B9">
        <w:t>recit</w:t>
      </w:r>
      <w:r w:rsidR="00657FC6">
        <w:t>ation of</w:t>
      </w:r>
      <w:r w:rsidR="40D618B9">
        <w:t xml:space="preserve"> a</w:t>
      </w:r>
      <w:r w:rsidR="38233926" w:rsidRPr="00771D1F">
        <w:rPr>
          <w:spacing w:val="-2"/>
        </w:rPr>
        <w:t xml:space="preserve"> generic</w:t>
      </w:r>
      <w:r w:rsidR="001D2362">
        <w:rPr>
          <w:spacing w:val="-2"/>
        </w:rPr>
        <w:t>, unsworn</w:t>
      </w:r>
      <w:r w:rsidR="38233926" w:rsidRPr="00771D1F">
        <w:rPr>
          <w:spacing w:val="-2"/>
        </w:rPr>
        <w:t xml:space="preserve"> “good cause” script</w:t>
      </w:r>
      <w:r w:rsidR="00E7192B">
        <w:rPr>
          <w:spacing w:val="-2"/>
        </w:rPr>
        <w:t>, by an anonymous author that defendants could not cross examine,</w:t>
      </w:r>
      <w:r w:rsidR="46A3492C">
        <w:rPr>
          <w:spacing w:val="-2"/>
        </w:rPr>
        <w:t xml:space="preserve"> </w:t>
      </w:r>
      <w:r w:rsidR="00644CD5">
        <w:rPr>
          <w:spacing w:val="-2"/>
        </w:rPr>
        <w:t>enumerating</w:t>
      </w:r>
      <w:r w:rsidR="55B16D0D">
        <w:rPr>
          <w:spacing w:val="-2"/>
        </w:rPr>
        <w:t xml:space="preserve"> “facts”</w:t>
      </w:r>
      <w:r w:rsidR="6618FDB5">
        <w:rPr>
          <w:spacing w:val="-2"/>
        </w:rPr>
        <w:t xml:space="preserve"> that </w:t>
      </w:r>
      <w:r w:rsidR="46A3492C">
        <w:rPr>
          <w:spacing w:val="-2"/>
        </w:rPr>
        <w:t>the parties</w:t>
      </w:r>
      <w:r w:rsidR="1EFD796F">
        <w:t xml:space="preserve"> </w:t>
      </w:r>
      <w:r w:rsidR="005843A6">
        <w:t>could not</w:t>
      </w:r>
      <w:r w:rsidR="46A3492C">
        <w:rPr>
          <w:spacing w:val="-2"/>
        </w:rPr>
        <w:t xml:space="preserve"> challenge</w:t>
      </w:r>
      <w:r w:rsidR="38233926" w:rsidRPr="00771D1F">
        <w:rPr>
          <w:spacing w:val="-2"/>
        </w:rPr>
        <w:t xml:space="preserve">. </w:t>
      </w:r>
    </w:p>
    <w:p w14:paraId="5045E0ED" w14:textId="512833C8" w:rsidR="0080647E" w:rsidRDefault="003D06AD" w:rsidP="1D2EECFC">
      <w:pPr>
        <w:spacing w:line="360" w:lineRule="auto"/>
        <w:contextualSpacing/>
        <w:rPr>
          <w:rFonts w:cs="CenturySchoolbook"/>
        </w:rPr>
      </w:pPr>
      <w:r>
        <w:rPr>
          <w:spacing w:val="-2"/>
        </w:rPr>
        <w:tab/>
      </w:r>
      <w:r w:rsidR="7875B006">
        <w:t>Plaintiffs’</w:t>
      </w:r>
      <w:r w:rsidR="6674DF4C" w:rsidRPr="4B0E998B">
        <w:t xml:space="preserve"> taxpayer cause of action</w:t>
      </w:r>
      <w:r w:rsidR="7004484E">
        <w:t>,</w:t>
      </w:r>
      <w:r w:rsidR="6168C2F4">
        <w:t xml:space="preserve"> </w:t>
      </w:r>
      <w:r w:rsidR="006D5F8C">
        <w:t>based upon both</w:t>
      </w:r>
      <w:r w:rsidR="6674DF4C" w:rsidRPr="4B0E998B">
        <w:t xml:space="preserve"> </w:t>
      </w:r>
      <w:r w:rsidR="008E16C3">
        <w:t xml:space="preserve">Code of Civil Procedure </w:t>
      </w:r>
      <w:r w:rsidR="6674DF4C" w:rsidRPr="4B0E998B">
        <w:t>section 526a and the common law doctrine of taxpayer standing identified in</w:t>
      </w:r>
      <w:r w:rsidR="6674DF4C" w:rsidRPr="205F293E">
        <w:rPr>
          <w:rFonts w:cs="CenturySchoolbook"/>
          <w:i/>
          <w:iCs/>
        </w:rPr>
        <w:t xml:space="preserve"> Silver v. Los Angeles </w:t>
      </w:r>
      <w:r w:rsidR="6674DF4C" w:rsidRPr="4B0E998B">
        <w:rPr>
          <w:rFonts w:cs="CenturySchoolbook"/>
        </w:rPr>
        <w:t>(1961) 57 Cal.2d 39 (</w:t>
      </w:r>
      <w:r w:rsidR="6674DF4C" w:rsidRPr="205F293E">
        <w:rPr>
          <w:rFonts w:cs="CenturySchoolbook"/>
          <w:i/>
          <w:iCs/>
        </w:rPr>
        <w:t>Silver</w:t>
      </w:r>
      <w:r w:rsidR="6674DF4C" w:rsidRPr="4B0E998B">
        <w:rPr>
          <w:rFonts w:cs="CenturySchoolbook"/>
        </w:rPr>
        <w:t>)</w:t>
      </w:r>
      <w:r w:rsidR="65C990AA" w:rsidRPr="205F293E">
        <w:rPr>
          <w:rFonts w:cs="CenturySchoolbook"/>
        </w:rPr>
        <w:t>,</w:t>
      </w:r>
      <w:r w:rsidR="54FB692D" w:rsidRPr="4B0E998B">
        <w:rPr>
          <w:rFonts w:cs="CenturySchoolbook"/>
        </w:rPr>
        <w:t xml:space="preserve"> </w:t>
      </w:r>
      <w:r w:rsidR="6674DF4C" w:rsidRPr="4B0E998B">
        <w:rPr>
          <w:rFonts w:cs="CenturySchoolbook"/>
        </w:rPr>
        <w:t>allege</w:t>
      </w:r>
      <w:r w:rsidR="54FB692D">
        <w:rPr>
          <w:rFonts w:cs="CenturySchoolbook"/>
        </w:rPr>
        <w:t>s</w:t>
      </w:r>
      <w:r w:rsidR="6674DF4C" w:rsidRPr="4B0E998B">
        <w:rPr>
          <w:rFonts w:cs="CenturySchoolbook"/>
        </w:rPr>
        <w:t xml:space="preserve"> defendants are “illegally expending, wasting and injuring public funds by performing their duties in violation of . . . sections 686(1), 1049.5 and 1050 [and the speedy trial clauses of the state and federal constitutions].” The failure to prioritize criminal cases caused the public to incur “increased security, staff and facility costs for multiple pretrial court appearances,” increased pretrial-incarceration costs, and “increased costs for the </w:t>
      </w:r>
      <w:r w:rsidR="00E20381">
        <w:rPr>
          <w:rFonts w:cs="CenturySchoolbook"/>
        </w:rPr>
        <w:t>p</w:t>
      </w:r>
      <w:r w:rsidR="6674DF4C" w:rsidRPr="4B0E998B">
        <w:rPr>
          <w:rFonts w:cs="CenturySchoolbook"/>
        </w:rPr>
        <w:t xml:space="preserve">ublic </w:t>
      </w:r>
      <w:r w:rsidR="00E20381">
        <w:rPr>
          <w:rFonts w:cs="CenturySchoolbook"/>
        </w:rPr>
        <w:t>d</w:t>
      </w:r>
      <w:r w:rsidR="6674DF4C" w:rsidRPr="4B0E998B">
        <w:rPr>
          <w:rFonts w:cs="CenturySchoolbook"/>
        </w:rPr>
        <w:t xml:space="preserve">efender, </w:t>
      </w:r>
      <w:r w:rsidR="00E20381">
        <w:rPr>
          <w:rFonts w:cs="CenturySchoolbook"/>
        </w:rPr>
        <w:t>d</w:t>
      </w:r>
      <w:r w:rsidR="6674DF4C" w:rsidRPr="4B0E998B">
        <w:rPr>
          <w:rFonts w:cs="CenturySchoolbook"/>
        </w:rPr>
        <w:t xml:space="preserve">istrict </w:t>
      </w:r>
      <w:r w:rsidR="00E20381">
        <w:rPr>
          <w:rFonts w:cs="CenturySchoolbook"/>
        </w:rPr>
        <w:t>a</w:t>
      </w:r>
      <w:r w:rsidR="6674DF4C" w:rsidRPr="4B0E998B">
        <w:rPr>
          <w:rFonts w:cs="CenturySchoolbook"/>
        </w:rPr>
        <w:t>ttorney, and witnesses employed by [public] agencies.”</w:t>
      </w:r>
      <w:r>
        <w:rPr>
          <w:rStyle w:val="FootnoteReference"/>
        </w:rPr>
        <w:footnoteReference w:id="7"/>
      </w:r>
    </w:p>
    <w:p w14:paraId="23D2CCC6" w14:textId="41AF30B0" w:rsidR="0080647E" w:rsidRPr="00341CFB" w:rsidRDefault="003D06AD" w:rsidP="00256028">
      <w:pPr>
        <w:spacing w:line="360" w:lineRule="auto"/>
        <w:contextualSpacing/>
        <w:rPr>
          <w:rFonts w:cs="CenturySchoolbook"/>
        </w:rPr>
      </w:pPr>
      <w:r>
        <w:rPr>
          <w:rFonts w:cs="CenturySchoolbook"/>
          <w:szCs w:val="25"/>
        </w:rPr>
        <w:tab/>
      </w:r>
      <w:r w:rsidR="6FE7AE09" w:rsidRPr="43CBD6DA">
        <w:rPr>
          <w:rFonts w:cs="CenturySchoolbook"/>
        </w:rPr>
        <w:t xml:space="preserve">In addition to </w:t>
      </w:r>
      <w:r w:rsidR="13BC4BBE" w:rsidRPr="43CBD6DA">
        <w:rPr>
          <w:rFonts w:cs="CenturySchoolbook"/>
        </w:rPr>
        <w:t xml:space="preserve">seeking </w:t>
      </w:r>
      <w:r w:rsidR="19109EC5" w:rsidRPr="3DE41553">
        <w:rPr>
          <w:rFonts w:cs="CenturySchoolbook"/>
        </w:rPr>
        <w:t>the (now abandoned)</w:t>
      </w:r>
      <w:r w:rsidR="6FE7AE09" w:rsidRPr="43CBD6DA">
        <w:rPr>
          <w:rFonts w:cs="CenturySchoolbook"/>
        </w:rPr>
        <w:t xml:space="preserve"> writ of mandate</w:t>
      </w:r>
      <w:r w:rsidR="4C79FAF4" w:rsidRPr="43CBD6DA">
        <w:rPr>
          <w:rFonts w:cs="CenturySchoolbook"/>
        </w:rPr>
        <w:t xml:space="preserve">, </w:t>
      </w:r>
      <w:r w:rsidR="1D378035" w:rsidRPr="43CBD6DA">
        <w:rPr>
          <w:rFonts w:cs="CenturySchoolbook"/>
        </w:rPr>
        <w:t>plaintiffs</w:t>
      </w:r>
      <w:r w:rsidR="6704BBAB" w:rsidRPr="43CBD6DA">
        <w:rPr>
          <w:rFonts w:cs="CenturySchoolbook"/>
        </w:rPr>
        <w:t xml:space="preserve"> </w:t>
      </w:r>
      <w:r w:rsidR="13BC4BBE" w:rsidRPr="43CBD6DA">
        <w:rPr>
          <w:rFonts w:cs="CenturySchoolbook"/>
        </w:rPr>
        <w:t>demand</w:t>
      </w:r>
      <w:r w:rsidR="6704BBAB" w:rsidRPr="43CBD6DA">
        <w:rPr>
          <w:rFonts w:cs="CenturySchoolbook"/>
        </w:rPr>
        <w:t xml:space="preserve"> a permanent injunction requiring all defendants to</w:t>
      </w:r>
      <w:r w:rsidR="241BFB02" w:rsidRPr="43CBD6DA">
        <w:rPr>
          <w:rFonts w:cs="CenturySchoolbook"/>
        </w:rPr>
        <w:t>,</w:t>
      </w:r>
      <w:r w:rsidR="6704BBAB" w:rsidRPr="43CBD6DA">
        <w:rPr>
          <w:rFonts w:cs="CenturySchoolbook"/>
        </w:rPr>
        <w:t xml:space="preserve"> </w:t>
      </w:r>
      <w:r w:rsidR="11F23011" w:rsidRPr="3DE41553">
        <w:rPr>
          <w:rFonts w:cs="CenturySchoolbook"/>
        </w:rPr>
        <w:t xml:space="preserve">inter alia, </w:t>
      </w:r>
      <w:r w:rsidR="7C3973C8" w:rsidRPr="3DE41553">
        <w:rPr>
          <w:rFonts w:cs="CenturySchoolbook"/>
        </w:rPr>
        <w:t xml:space="preserve">give </w:t>
      </w:r>
      <w:r w:rsidR="11F23011" w:rsidRPr="3DE41553">
        <w:rPr>
          <w:rFonts w:cs="CenturySchoolbook"/>
        </w:rPr>
        <w:t>criminal trials</w:t>
      </w:r>
      <w:r w:rsidR="5918444B" w:rsidRPr="3DE41553">
        <w:rPr>
          <w:rFonts w:cs="CenturySchoolbook"/>
        </w:rPr>
        <w:t xml:space="preserve"> priority over non-specialized civil matters</w:t>
      </w:r>
      <w:r w:rsidR="00164720">
        <w:rPr>
          <w:rFonts w:cs="CenturySchoolbook"/>
        </w:rPr>
        <w:t>,</w:t>
      </w:r>
      <w:r>
        <w:rPr>
          <w:rStyle w:val="FootnoteReference"/>
          <w:rFonts w:cs="CenturySchoolbook"/>
        </w:rPr>
        <w:footnoteReference w:id="8"/>
      </w:r>
      <w:r w:rsidR="5B651435" w:rsidRPr="3DE41553">
        <w:rPr>
          <w:rFonts w:cs="CenturySchoolbook"/>
        </w:rPr>
        <w:t xml:space="preserve"> </w:t>
      </w:r>
      <w:r w:rsidR="5918444B" w:rsidRPr="3DE41553">
        <w:rPr>
          <w:rFonts w:cs="CenturySchoolbook"/>
        </w:rPr>
        <w:t xml:space="preserve">to set them without regard </w:t>
      </w:r>
      <w:r w:rsidR="11F23011" w:rsidRPr="3DE41553">
        <w:rPr>
          <w:rFonts w:cs="CenturySchoolbook"/>
        </w:rPr>
        <w:t>to the</w:t>
      </w:r>
      <w:r w:rsidR="337DC5A0" w:rsidRPr="3DE41553">
        <w:rPr>
          <w:rFonts w:cs="CenturySchoolbook"/>
        </w:rPr>
        <w:t xml:space="preserve"> pendency of such civil matters</w:t>
      </w:r>
      <w:r w:rsidR="31077D5D" w:rsidRPr="3DE41553">
        <w:rPr>
          <w:rFonts w:cs="CenturySchoolbook"/>
        </w:rPr>
        <w:t>,</w:t>
      </w:r>
      <w:r w:rsidR="337DC5A0" w:rsidRPr="3DE41553">
        <w:rPr>
          <w:rFonts w:cs="CenturySchoolbook"/>
        </w:rPr>
        <w:t xml:space="preserve"> to make all non-specialized</w:t>
      </w:r>
      <w:r w:rsidR="11F23011" w:rsidRPr="3DE41553">
        <w:rPr>
          <w:rFonts w:cs="CenturySchoolbook"/>
        </w:rPr>
        <w:t xml:space="preserve"> </w:t>
      </w:r>
      <w:r w:rsidR="2AE7AD54" w:rsidRPr="3DE41553">
        <w:rPr>
          <w:rFonts w:cs="CenturySchoolbook"/>
        </w:rPr>
        <w:t>civil courtrooms in Civic Center available for criminal trials</w:t>
      </w:r>
      <w:r w:rsidR="6587073B" w:rsidRPr="3DE41553">
        <w:rPr>
          <w:rFonts w:cs="CenturySchoolbook"/>
        </w:rPr>
        <w:t xml:space="preserve">, and </w:t>
      </w:r>
      <w:r w:rsidR="6587073B" w:rsidRPr="3DE41553">
        <w:rPr>
          <w:rFonts w:cs="CenturySchoolbook"/>
        </w:rPr>
        <w:lastRenderedPageBreak/>
        <w:t>to implement a plan to remediate the backlog</w:t>
      </w:r>
      <w:r w:rsidR="2AE7AD54" w:rsidRPr="3DE41553">
        <w:rPr>
          <w:rFonts w:cs="CenturySchoolbook"/>
        </w:rPr>
        <w:t>.</w:t>
      </w:r>
      <w:r>
        <w:rPr>
          <w:rStyle w:val="FootnoteReference"/>
          <w:rFonts w:cs="CenturySchoolbook"/>
        </w:rPr>
        <w:footnoteReference w:id="9"/>
      </w:r>
      <w:r w:rsidR="2AE7AD54" w:rsidRPr="3DE41553">
        <w:rPr>
          <w:rFonts w:cs="CenturySchoolbook"/>
        </w:rPr>
        <w:t xml:space="preserve"> </w:t>
      </w:r>
      <w:r w:rsidR="005E7FA6">
        <w:rPr>
          <w:rFonts w:cs="CenturySchoolbook"/>
        </w:rPr>
        <w:t>They</w:t>
      </w:r>
      <w:r w:rsidR="35A0C228" w:rsidRPr="3DE41553">
        <w:rPr>
          <w:rFonts w:cs="CenturySchoolbook"/>
        </w:rPr>
        <w:t xml:space="preserve"> also seek </w:t>
      </w:r>
      <w:r w:rsidR="6704BBAB" w:rsidRPr="43CBD6DA">
        <w:rPr>
          <w:rFonts w:cs="CenturySchoolbook"/>
        </w:rPr>
        <w:t xml:space="preserve">a declaration that </w:t>
      </w:r>
      <w:r w:rsidR="571E0CB3" w:rsidRPr="43CBD6DA">
        <w:rPr>
          <w:rFonts w:cs="CenturySchoolbook"/>
        </w:rPr>
        <w:t xml:space="preserve">defendants’ </w:t>
      </w:r>
      <w:r w:rsidR="6704BBAB" w:rsidRPr="43CBD6DA">
        <w:rPr>
          <w:rFonts w:cs="CenturySchoolbook"/>
        </w:rPr>
        <w:t xml:space="preserve">conduct violates the cited statutes and constitutional provisions, which “require </w:t>
      </w:r>
      <w:r w:rsidR="594EE05A" w:rsidRPr="43CBD6DA">
        <w:rPr>
          <w:rFonts w:cs="CenturySchoolbook"/>
        </w:rPr>
        <w:t xml:space="preserve">[defendants] </w:t>
      </w:r>
      <w:r w:rsidR="6704BBAB" w:rsidRPr="43CBD6DA">
        <w:rPr>
          <w:rFonts w:cs="CenturySchoolbook"/>
        </w:rPr>
        <w:t>to act as set forth above</w:t>
      </w:r>
      <w:r w:rsidR="7CC6AD4F" w:rsidRPr="4D0CF3EF">
        <w:rPr>
          <w:rFonts w:cs="CenturySchoolbook"/>
        </w:rPr>
        <w:t>.</w:t>
      </w:r>
      <w:r w:rsidR="6704BBAB" w:rsidRPr="43CBD6DA">
        <w:rPr>
          <w:rFonts w:cs="CenturySchoolbook"/>
        </w:rPr>
        <w:t>”</w:t>
      </w:r>
      <w:r w:rsidR="005764CD" w:rsidRPr="43CBD6DA">
        <w:rPr>
          <w:rFonts w:cs="CenturySchoolbook"/>
        </w:rPr>
        <w:t xml:space="preserve"> </w:t>
      </w:r>
      <w:r w:rsidR="00367659">
        <w:rPr>
          <w:rFonts w:cs="CenturySchoolbook"/>
        </w:rPr>
        <w:t>Plaintiffs</w:t>
      </w:r>
      <w:r w:rsidR="005764CD">
        <w:rPr>
          <w:rFonts w:cs="CenturySchoolbook"/>
        </w:rPr>
        <w:t>, however,</w:t>
      </w:r>
      <w:r w:rsidR="6704BBAB" w:rsidRPr="43CBD6DA">
        <w:rPr>
          <w:rFonts w:cs="CenturySchoolbook"/>
        </w:rPr>
        <w:t xml:space="preserve"> “do not challenge or seek to remedy any order in any </w:t>
      </w:r>
      <w:proofErr w:type="gramStart"/>
      <w:r w:rsidR="6704BBAB" w:rsidRPr="43CBD6DA">
        <w:rPr>
          <w:rFonts w:cs="CenturySchoolbook"/>
        </w:rPr>
        <w:t>particular criminal</w:t>
      </w:r>
      <w:proofErr w:type="gramEnd"/>
      <w:r w:rsidR="6704BBAB" w:rsidRPr="43CBD6DA">
        <w:rPr>
          <w:rFonts w:cs="CenturySchoolbook"/>
        </w:rPr>
        <w:t xml:space="preserve"> case. Nor do they seek dismissal of any case.” </w:t>
      </w:r>
    </w:p>
    <w:p w14:paraId="69069840" w14:textId="0A89C42C" w:rsidR="0080647E" w:rsidRDefault="003D06AD" w:rsidP="003F5F13">
      <w:pPr>
        <w:autoSpaceDE w:val="0"/>
        <w:autoSpaceDN w:val="0"/>
        <w:adjustRightInd w:val="0"/>
        <w:spacing w:line="360" w:lineRule="auto"/>
        <w:contextualSpacing/>
        <w:rPr>
          <w:rFonts w:cs="Arial"/>
          <w:color w:val="555555"/>
        </w:rPr>
      </w:pPr>
      <w:r>
        <w:rPr>
          <w:spacing w:val="-2"/>
        </w:rPr>
        <w:tab/>
      </w:r>
      <w:r w:rsidR="7CC6AD4F">
        <w:rPr>
          <w:spacing w:val="-2"/>
        </w:rPr>
        <w:t>Defendants demurred</w:t>
      </w:r>
      <w:r w:rsidR="75828597">
        <w:rPr>
          <w:spacing w:val="-2"/>
        </w:rPr>
        <w:t>,</w:t>
      </w:r>
      <w:r w:rsidR="00766A7B">
        <w:rPr>
          <w:spacing w:val="-2"/>
        </w:rPr>
        <w:t xml:space="preserve"> </w:t>
      </w:r>
      <w:r w:rsidR="7CC6AD4F">
        <w:rPr>
          <w:spacing w:val="-2"/>
        </w:rPr>
        <w:t>contend</w:t>
      </w:r>
      <w:r w:rsidR="3464041F">
        <w:rPr>
          <w:spacing w:val="-2"/>
        </w:rPr>
        <w:t>ing</w:t>
      </w:r>
      <w:r w:rsidR="6D5CEF18">
        <w:rPr>
          <w:spacing w:val="-2"/>
        </w:rPr>
        <w:t>,</w:t>
      </w:r>
      <w:r w:rsidR="7CC6AD4F">
        <w:rPr>
          <w:spacing w:val="-2"/>
        </w:rPr>
        <w:t xml:space="preserve"> among other things</w:t>
      </w:r>
      <w:r w:rsidR="6D5CEF18">
        <w:rPr>
          <w:spacing w:val="-2"/>
        </w:rPr>
        <w:t>,</w:t>
      </w:r>
      <w:r w:rsidR="7CC6AD4F">
        <w:rPr>
          <w:spacing w:val="-2"/>
        </w:rPr>
        <w:t xml:space="preserve"> that plaintiffs lack taxpayer standing because they </w:t>
      </w:r>
      <w:r w:rsidR="009803DD">
        <w:rPr>
          <w:spacing w:val="-2"/>
        </w:rPr>
        <w:t xml:space="preserve">are </w:t>
      </w:r>
      <w:r w:rsidR="7CC6AD4F">
        <w:rPr>
          <w:spacing w:val="-2"/>
        </w:rPr>
        <w:t>not criminal defendants, who can assert their own speedy trial rights in their own cases</w:t>
      </w:r>
      <w:r w:rsidR="7CC6AD4F">
        <w:rPr>
          <w:rFonts w:cs="Times New Roman"/>
        </w:rPr>
        <w:t xml:space="preserve">. Defendants also purported to demur to </w:t>
      </w:r>
      <w:r w:rsidR="028DE30D">
        <w:rPr>
          <w:rFonts w:cs="Times New Roman"/>
        </w:rPr>
        <w:t xml:space="preserve">plaintiffs’ </w:t>
      </w:r>
      <w:r w:rsidR="000C30A9">
        <w:rPr>
          <w:rFonts w:cs="Times New Roman"/>
        </w:rPr>
        <w:t>requests for i</w:t>
      </w:r>
      <w:r w:rsidR="7CC6AD4F">
        <w:rPr>
          <w:rFonts w:cs="Times New Roman"/>
        </w:rPr>
        <w:t xml:space="preserve">njunctive </w:t>
      </w:r>
      <w:r w:rsidR="000C30A9">
        <w:rPr>
          <w:rFonts w:cs="Times New Roman"/>
        </w:rPr>
        <w:t xml:space="preserve">and declaratory </w:t>
      </w:r>
      <w:r w:rsidR="7CC6AD4F">
        <w:rPr>
          <w:rFonts w:cs="Times New Roman"/>
        </w:rPr>
        <w:t>relief</w:t>
      </w:r>
      <w:r w:rsidR="59D07DF3">
        <w:rPr>
          <w:rFonts w:cs="Times New Roman"/>
        </w:rPr>
        <w:t>.</w:t>
      </w:r>
      <w:r w:rsidR="7CC6AD4F">
        <w:rPr>
          <w:rFonts w:cs="Times New Roman"/>
        </w:rPr>
        <w:t xml:space="preserve"> </w:t>
      </w:r>
      <w:r w:rsidR="2B2D1BB7">
        <w:rPr>
          <w:rFonts w:cs="Times New Roman"/>
        </w:rPr>
        <w:t>Finally,</w:t>
      </w:r>
      <w:r w:rsidRPr="205F293E">
        <w:rPr>
          <w:rFonts w:cs="Times New Roman"/>
        </w:rPr>
        <w:t xml:space="preserve"> </w:t>
      </w:r>
      <w:r w:rsidR="7F5CA344">
        <w:rPr>
          <w:rFonts w:cs="Times New Roman"/>
        </w:rPr>
        <w:t xml:space="preserve">they </w:t>
      </w:r>
      <w:r w:rsidR="39AD64E3">
        <w:rPr>
          <w:rFonts w:cs="Times New Roman"/>
        </w:rPr>
        <w:t xml:space="preserve">argued </w:t>
      </w:r>
      <w:r w:rsidR="7CC6AD4F">
        <w:rPr>
          <w:rFonts w:cs="Times New Roman"/>
        </w:rPr>
        <w:t>that</w:t>
      </w:r>
      <w:r w:rsidR="7E0FA5B5">
        <w:rPr>
          <w:rFonts w:cs="Times New Roman"/>
        </w:rPr>
        <w:t xml:space="preserve"> </w:t>
      </w:r>
      <w:r w:rsidR="2B2D1BB7">
        <w:rPr>
          <w:rFonts w:cs="Times New Roman"/>
        </w:rPr>
        <w:t>plaintiffs</w:t>
      </w:r>
      <w:r w:rsidR="5D42719F">
        <w:rPr>
          <w:rFonts w:cs="Times New Roman"/>
        </w:rPr>
        <w:t>’</w:t>
      </w:r>
      <w:r w:rsidR="1C630F68">
        <w:rPr>
          <w:rFonts w:cs="Times New Roman"/>
        </w:rPr>
        <w:t xml:space="preserve"> decision to </w:t>
      </w:r>
      <w:r w:rsidR="4B3283E1">
        <w:rPr>
          <w:rFonts w:cs="Times New Roman"/>
        </w:rPr>
        <w:t>forgo a r</w:t>
      </w:r>
      <w:r w:rsidR="2B2D1BB7">
        <w:rPr>
          <w:rFonts w:cs="Times New Roman"/>
        </w:rPr>
        <w:t xml:space="preserve">emedy </w:t>
      </w:r>
      <w:r w:rsidR="3EF8F326">
        <w:rPr>
          <w:rFonts w:cs="Times New Roman"/>
        </w:rPr>
        <w:t>in</w:t>
      </w:r>
      <w:r w:rsidR="2B2D1BB7">
        <w:rPr>
          <w:rFonts w:cs="Times New Roman"/>
        </w:rPr>
        <w:t xml:space="preserve"> a</w:t>
      </w:r>
      <w:r w:rsidR="3EF8F326">
        <w:rPr>
          <w:rFonts w:cs="Times New Roman"/>
        </w:rPr>
        <w:t>ny</w:t>
      </w:r>
      <w:r w:rsidR="2B2D1BB7">
        <w:rPr>
          <w:rFonts w:cs="Times New Roman"/>
        </w:rPr>
        <w:t xml:space="preserve"> pending</w:t>
      </w:r>
      <w:r w:rsidR="39AD64E3">
        <w:rPr>
          <w:rFonts w:cs="Times New Roman"/>
        </w:rPr>
        <w:t xml:space="preserve"> (crim</w:t>
      </w:r>
      <w:r w:rsidR="1A167DB3">
        <w:rPr>
          <w:rFonts w:cs="Times New Roman"/>
        </w:rPr>
        <w:t>in</w:t>
      </w:r>
      <w:r w:rsidR="39AD64E3">
        <w:rPr>
          <w:rFonts w:cs="Times New Roman"/>
        </w:rPr>
        <w:t xml:space="preserve">al) </w:t>
      </w:r>
      <w:r w:rsidR="2B2D1BB7">
        <w:rPr>
          <w:rFonts w:cs="Times New Roman"/>
        </w:rPr>
        <w:t>case</w:t>
      </w:r>
      <w:r w:rsidR="1C630F68">
        <w:rPr>
          <w:rFonts w:cs="Times New Roman"/>
        </w:rPr>
        <w:t xml:space="preserve"> </w:t>
      </w:r>
      <w:r w:rsidR="1EF0F3D0">
        <w:rPr>
          <w:rFonts w:cs="Times New Roman"/>
        </w:rPr>
        <w:t>divests this case of any</w:t>
      </w:r>
      <w:r w:rsidR="2B2D1BB7">
        <w:rPr>
          <w:rFonts w:cs="Times New Roman"/>
        </w:rPr>
        <w:t xml:space="preserve"> </w:t>
      </w:r>
      <w:r w:rsidR="1EF0F3D0">
        <w:rPr>
          <w:rFonts w:cs="Times New Roman"/>
        </w:rPr>
        <w:t>“</w:t>
      </w:r>
      <w:r w:rsidR="7CC6AD4F">
        <w:rPr>
          <w:rFonts w:cs="Times New Roman"/>
        </w:rPr>
        <w:t>present controversy</w:t>
      </w:r>
      <w:r w:rsidR="1EF0F3D0">
        <w:rPr>
          <w:rFonts w:cs="Times New Roman"/>
        </w:rPr>
        <w:t>”</w:t>
      </w:r>
      <w:r w:rsidR="39AD64E3">
        <w:rPr>
          <w:rFonts w:cs="Times New Roman"/>
        </w:rPr>
        <w:t xml:space="preserve"> and</w:t>
      </w:r>
      <w:r w:rsidR="1EF0F3D0">
        <w:rPr>
          <w:rFonts w:cs="Times New Roman"/>
        </w:rPr>
        <w:t>,</w:t>
      </w:r>
      <w:r w:rsidR="39AD64E3">
        <w:rPr>
          <w:rFonts w:cs="Times New Roman"/>
        </w:rPr>
        <w:t xml:space="preserve"> thus</w:t>
      </w:r>
      <w:r w:rsidR="1EF0F3D0">
        <w:rPr>
          <w:rFonts w:cs="Times New Roman"/>
        </w:rPr>
        <w:t>, any</w:t>
      </w:r>
      <w:r w:rsidR="39AD64E3">
        <w:rPr>
          <w:rFonts w:cs="Times New Roman"/>
        </w:rPr>
        <w:t xml:space="preserve"> basis for declaratory relief</w:t>
      </w:r>
      <w:r w:rsidR="7CC6AD4F">
        <w:rPr>
          <w:rFonts w:cs="Times New Roman"/>
        </w:rPr>
        <w:t xml:space="preserve">. </w:t>
      </w:r>
    </w:p>
    <w:p w14:paraId="07847970" w14:textId="3D51EC48" w:rsidR="0080647E" w:rsidRDefault="003D06AD" w:rsidP="205F293E">
      <w:pPr>
        <w:autoSpaceDE w:val="0"/>
        <w:autoSpaceDN w:val="0"/>
        <w:adjustRightInd w:val="0"/>
        <w:spacing w:line="360" w:lineRule="auto"/>
        <w:contextualSpacing/>
        <w:rPr>
          <w:rFonts w:cs="Times New Roman"/>
        </w:rPr>
      </w:pPr>
      <w:r>
        <w:rPr>
          <w:rFonts w:cs="Arial"/>
          <w:color w:val="555555"/>
        </w:rPr>
        <w:tab/>
      </w:r>
      <w:r w:rsidR="6674DF4C" w:rsidRPr="00AA4157">
        <w:rPr>
          <w:rFonts w:cs="Times New Roman"/>
        </w:rPr>
        <w:t>The trial court</w:t>
      </w:r>
      <w:r>
        <w:rPr>
          <w:rStyle w:val="FootnoteReference"/>
          <w:rFonts w:cs="Arial"/>
          <w:color w:val="555555"/>
        </w:rPr>
        <w:footnoteReference w:id="10"/>
      </w:r>
      <w:r w:rsidR="6674DF4C">
        <w:rPr>
          <w:rFonts w:cs="Arial"/>
          <w:color w:val="555555"/>
        </w:rPr>
        <w:t xml:space="preserve"> </w:t>
      </w:r>
      <w:r w:rsidR="6674DF4C" w:rsidRPr="00AA4157">
        <w:rPr>
          <w:rFonts w:cs="Times New Roman"/>
        </w:rPr>
        <w:t>sustained the demurrer without leave to amend.</w:t>
      </w:r>
      <w:r w:rsidR="3228FED5">
        <w:rPr>
          <w:rFonts w:cs="Times New Roman"/>
        </w:rPr>
        <w:t xml:space="preserve"> </w:t>
      </w:r>
      <w:r w:rsidR="6674DF4C" w:rsidRPr="00AA4157">
        <w:rPr>
          <w:rFonts w:cs="Times New Roman"/>
        </w:rPr>
        <w:t>Citing precedents</w:t>
      </w:r>
      <w:r w:rsidR="6674DF4C">
        <w:rPr>
          <w:rFonts w:cs="Arial"/>
          <w:color w:val="555555"/>
        </w:rPr>
        <w:t xml:space="preserve"> </w:t>
      </w:r>
      <w:r w:rsidR="6674DF4C" w:rsidRPr="00AA4157">
        <w:rPr>
          <w:rFonts w:cs="Times New Roman"/>
        </w:rPr>
        <w:t xml:space="preserve">holding that one superior court cannot direct a writ </w:t>
      </w:r>
      <w:r w:rsidR="54A08CF8">
        <w:rPr>
          <w:rFonts w:cs="Times New Roman"/>
        </w:rPr>
        <w:t xml:space="preserve">of mandamus </w:t>
      </w:r>
      <w:r w:rsidR="6674DF4C" w:rsidRPr="00AA4157">
        <w:rPr>
          <w:rFonts w:cs="Times New Roman"/>
        </w:rPr>
        <w:t>to another such court (or itself)</w:t>
      </w:r>
      <w:r w:rsidR="00EC1B33">
        <w:rPr>
          <w:rFonts w:cs="Times New Roman"/>
        </w:rPr>
        <w:t>,</w:t>
      </w:r>
      <w:r>
        <w:rPr>
          <w:rStyle w:val="FootnoteReference"/>
          <w:rFonts w:cs="Arial"/>
          <w:color w:val="555555"/>
        </w:rPr>
        <w:footnoteReference w:id="11"/>
      </w:r>
      <w:r w:rsidR="6674DF4C" w:rsidRPr="00AA4157">
        <w:rPr>
          <w:rFonts w:cs="Times New Roman"/>
        </w:rPr>
        <w:t xml:space="preserve"> the trial court ruled that plaintiffs could seek mandamus relief only in the court of appeal.</w:t>
      </w:r>
      <w:r>
        <w:rPr>
          <w:rStyle w:val="FootnoteReference"/>
          <w:rFonts w:cs="Arial"/>
          <w:color w:val="555555"/>
        </w:rPr>
        <w:footnoteReference w:id="12"/>
      </w:r>
      <w:r w:rsidR="6674DF4C" w:rsidRPr="00AA4157">
        <w:rPr>
          <w:rFonts w:cs="Times New Roman"/>
        </w:rPr>
        <w:t xml:space="preserve"> Then,</w:t>
      </w:r>
      <w:r w:rsidRPr="205F293E">
        <w:rPr>
          <w:rFonts w:cs="Times New Roman"/>
        </w:rPr>
        <w:t xml:space="preserve"> </w:t>
      </w:r>
      <w:r w:rsidR="4FE1864E">
        <w:rPr>
          <w:rFonts w:cs="Times New Roman"/>
        </w:rPr>
        <w:t xml:space="preserve">it extended </w:t>
      </w:r>
      <w:r w:rsidR="11318199">
        <w:rPr>
          <w:rFonts w:cs="Times New Roman"/>
        </w:rPr>
        <w:t xml:space="preserve">those </w:t>
      </w:r>
      <w:r w:rsidR="11318199">
        <w:rPr>
          <w:rFonts w:cs="Times New Roman"/>
        </w:rPr>
        <w:lastRenderedPageBreak/>
        <w:t>same</w:t>
      </w:r>
      <w:r w:rsidR="6674DF4C" w:rsidRPr="00AA4157">
        <w:rPr>
          <w:rFonts w:cs="Times New Roman"/>
        </w:rPr>
        <w:t xml:space="preserve"> precedents</w:t>
      </w:r>
      <w:r w:rsidR="2291A2FA">
        <w:rPr>
          <w:rFonts w:cs="Times New Roman"/>
        </w:rPr>
        <w:t xml:space="preserve"> to the remaining claims, reasoning that they</w:t>
      </w:r>
      <w:r w:rsidR="6674DF4C" w:rsidRPr="00AA4157">
        <w:rPr>
          <w:rFonts w:cs="Times New Roman"/>
        </w:rPr>
        <w:t xml:space="preserve"> “do not merely apply in the context of a petition for writ of mandate . . . but hold that as a general matter, one superior court lacks the power to compel or restrain the actions of another superior court</w:t>
      </w:r>
      <w:r w:rsidR="5C734197">
        <w:rPr>
          <w:rFonts w:cs="Times New Roman"/>
        </w:rPr>
        <w:t>.</w:t>
      </w:r>
      <w:r w:rsidR="6674DF4C" w:rsidRPr="00AA4157">
        <w:rPr>
          <w:rFonts w:cs="Times New Roman"/>
        </w:rPr>
        <w:t>”</w:t>
      </w:r>
      <w:r w:rsidR="6674DF4C">
        <w:rPr>
          <w:rFonts w:cs="Times New Roman"/>
        </w:rPr>
        <w:t xml:space="preserve"> </w:t>
      </w:r>
      <w:r w:rsidR="17A33781">
        <w:rPr>
          <w:rFonts w:cs="Times New Roman"/>
        </w:rPr>
        <w:t>On that basis</w:t>
      </w:r>
      <w:r w:rsidR="00EB7D73">
        <w:rPr>
          <w:rFonts w:cs="Times New Roman"/>
        </w:rPr>
        <w:t xml:space="preserve"> alone</w:t>
      </w:r>
      <w:r w:rsidR="12EEA8CB">
        <w:rPr>
          <w:rFonts w:cs="Times New Roman"/>
        </w:rPr>
        <w:t>, the court concluded</w:t>
      </w:r>
      <w:r w:rsidR="38CE9E2D">
        <w:rPr>
          <w:rFonts w:cs="Times New Roman"/>
        </w:rPr>
        <w:t xml:space="preserve"> that its “</w:t>
      </w:r>
      <w:r w:rsidR="6674DF4C" w:rsidRPr="00BE715A">
        <w:rPr>
          <w:rFonts w:cs="Times New Roman"/>
        </w:rPr>
        <w:t xml:space="preserve">lack of authority to issue any relief directed at another superior court judge is fatal to </w:t>
      </w:r>
      <w:r w:rsidR="6674DF4C" w:rsidRPr="00CA0372">
        <w:rPr>
          <w:rFonts w:cs="Times New Roman"/>
          <w:i/>
        </w:rPr>
        <w:t>all</w:t>
      </w:r>
      <w:r w:rsidR="6674DF4C">
        <w:rPr>
          <w:rFonts w:cs="Times New Roman"/>
        </w:rPr>
        <w:t xml:space="preserve"> </w:t>
      </w:r>
      <w:r w:rsidR="6674DF4C" w:rsidRPr="00BE715A">
        <w:rPr>
          <w:rFonts w:cs="Times New Roman"/>
        </w:rPr>
        <w:t xml:space="preserve">of </w:t>
      </w:r>
      <w:r w:rsidR="6674DF4C">
        <w:rPr>
          <w:rFonts w:cs="Times New Roman"/>
        </w:rPr>
        <w:t>[plaintiffs’]</w:t>
      </w:r>
      <w:r w:rsidR="6674DF4C" w:rsidRPr="00BE715A">
        <w:rPr>
          <w:rFonts w:cs="Times New Roman"/>
        </w:rPr>
        <w:t xml:space="preserve"> </w:t>
      </w:r>
      <w:proofErr w:type="gramStart"/>
      <w:r w:rsidR="6674DF4C" w:rsidRPr="00BE715A">
        <w:rPr>
          <w:rFonts w:cs="Times New Roman"/>
        </w:rPr>
        <w:t>claims, and</w:t>
      </w:r>
      <w:proofErr w:type="gramEnd"/>
      <w:r w:rsidR="6674DF4C" w:rsidRPr="00BE715A">
        <w:rPr>
          <w:rFonts w:cs="Times New Roman"/>
        </w:rPr>
        <w:t xml:space="preserve"> cannot be remedied by any amendment</w:t>
      </w:r>
      <w:r w:rsidR="6674DF4C">
        <w:rPr>
          <w:rFonts w:cs="Times New Roman"/>
        </w:rPr>
        <w:t>.”</w:t>
      </w:r>
      <w:r w:rsidR="1DC9B36C">
        <w:rPr>
          <w:rFonts w:cs="Times New Roman"/>
        </w:rPr>
        <w:t xml:space="preserve"> (Italics added.)</w:t>
      </w:r>
      <w:r w:rsidR="6674DF4C">
        <w:rPr>
          <w:rFonts w:cs="Times New Roman"/>
        </w:rPr>
        <w:t xml:space="preserve"> </w:t>
      </w:r>
      <w:r w:rsidR="00D43AE0">
        <w:rPr>
          <w:rFonts w:cs="Times New Roman"/>
        </w:rPr>
        <w:t>T</w:t>
      </w:r>
      <w:r w:rsidR="6674DF4C">
        <w:rPr>
          <w:rFonts w:cs="Times New Roman"/>
        </w:rPr>
        <w:t xml:space="preserve">he court </w:t>
      </w:r>
      <w:r w:rsidR="00D43AE0">
        <w:rPr>
          <w:rFonts w:cs="Times New Roman"/>
        </w:rPr>
        <w:t>sustained the demurrer without leave to amend and</w:t>
      </w:r>
      <w:r w:rsidR="00AB53DF">
        <w:rPr>
          <w:rFonts w:cs="Times New Roman"/>
        </w:rPr>
        <w:t>,</w:t>
      </w:r>
      <w:r w:rsidR="00D43AE0">
        <w:rPr>
          <w:rFonts w:cs="Times New Roman"/>
        </w:rPr>
        <w:t xml:space="preserve"> </w:t>
      </w:r>
      <w:r w:rsidR="00850D4D">
        <w:rPr>
          <w:rFonts w:cs="Times New Roman"/>
        </w:rPr>
        <w:t xml:space="preserve">after </w:t>
      </w:r>
      <w:r w:rsidR="6674DF4C">
        <w:rPr>
          <w:rFonts w:cs="Times New Roman"/>
        </w:rPr>
        <w:t>ent</w:t>
      </w:r>
      <w:r w:rsidR="00850D4D">
        <w:rPr>
          <w:rFonts w:cs="Times New Roman"/>
        </w:rPr>
        <w:t>ry of</w:t>
      </w:r>
      <w:r w:rsidR="6674DF4C">
        <w:rPr>
          <w:rFonts w:cs="Times New Roman"/>
        </w:rPr>
        <w:t xml:space="preserve"> judgment, plaintiffs timely appealed.</w:t>
      </w:r>
    </w:p>
    <w:p w14:paraId="003382B3" w14:textId="45EAE53F" w:rsidR="0080647E" w:rsidRPr="00A35914" w:rsidRDefault="003D06AD" w:rsidP="003F5F13">
      <w:pPr>
        <w:keepNext/>
        <w:spacing w:line="360" w:lineRule="auto"/>
        <w:contextualSpacing/>
        <w:jc w:val="center"/>
        <w:rPr>
          <w:b/>
        </w:rPr>
      </w:pPr>
      <w:r>
        <w:rPr>
          <w:b/>
        </w:rPr>
        <w:t>Standard of Review</w:t>
      </w:r>
    </w:p>
    <w:p w14:paraId="763E9552" w14:textId="52C6CB72" w:rsidR="0080647E" w:rsidRDefault="003D06AD" w:rsidP="205F293E">
      <w:pPr>
        <w:autoSpaceDE w:val="0"/>
        <w:autoSpaceDN w:val="0"/>
        <w:adjustRightInd w:val="0"/>
        <w:spacing w:line="360" w:lineRule="auto"/>
        <w:contextualSpacing/>
        <w:rPr>
          <w:rFonts w:cs="Times New Roman"/>
        </w:rPr>
      </w:pPr>
      <w:r>
        <w:rPr>
          <w:rFonts w:cs="Times New Roman"/>
        </w:rPr>
        <w:tab/>
      </w:r>
      <w:r w:rsidR="6674DF4C">
        <w:rPr>
          <w:rFonts w:cs="Times New Roman"/>
        </w:rPr>
        <w:t>“</w:t>
      </w:r>
      <w:r w:rsidR="6674DF4C" w:rsidRPr="006840B6">
        <w:rPr>
          <w:rFonts w:cs="Times New Roman"/>
        </w:rPr>
        <w:t>We review de novo an order sustaining a</w:t>
      </w:r>
      <w:r w:rsidR="3A638626">
        <w:rPr>
          <w:rFonts w:cs="Times New Roman"/>
        </w:rPr>
        <w:t xml:space="preserve"> </w:t>
      </w:r>
      <w:r w:rsidR="6674DF4C" w:rsidRPr="006840B6">
        <w:rPr>
          <w:rFonts w:cs="Times New Roman"/>
        </w:rPr>
        <w:t>demurrer, assessing whether the complaint states a cause of action. (</w:t>
      </w:r>
      <w:r w:rsidR="6674DF4C" w:rsidRPr="205F293E">
        <w:rPr>
          <w:rFonts w:cs="Times New Roman"/>
          <w:i/>
          <w:iCs/>
        </w:rPr>
        <w:t>Minton v. Dignity Health</w:t>
      </w:r>
      <w:r w:rsidR="6674DF4C" w:rsidRPr="006840B6">
        <w:rPr>
          <w:rFonts w:cs="Times New Roman"/>
        </w:rPr>
        <w:t>,</w:t>
      </w:r>
      <w:r w:rsidR="3A638626">
        <w:rPr>
          <w:rFonts w:cs="Times New Roman"/>
        </w:rPr>
        <w:t xml:space="preserve"> </w:t>
      </w:r>
      <w:r w:rsidR="6674DF4C" w:rsidRPr="205F293E">
        <w:rPr>
          <w:rFonts w:cs="Times New Roman"/>
          <w:i/>
          <w:iCs/>
        </w:rPr>
        <w:t>supra</w:t>
      </w:r>
      <w:r w:rsidR="6674DF4C" w:rsidRPr="006840B6">
        <w:rPr>
          <w:rFonts w:cs="Times New Roman"/>
        </w:rPr>
        <w:t>, 39</w:t>
      </w:r>
      <w:r w:rsidR="0A4AB641">
        <w:rPr>
          <w:rFonts w:cs="Times New Roman"/>
        </w:rPr>
        <w:t> </w:t>
      </w:r>
      <w:r w:rsidR="6674DF4C" w:rsidRPr="006840B6">
        <w:rPr>
          <w:rFonts w:cs="Times New Roman"/>
        </w:rPr>
        <w:t>Cal.App.5th at p. 1161.) We accept all properly pleaded material facts, but not contentions, deductions, or conclusions of fact or law. (</w:t>
      </w:r>
      <w:r w:rsidR="6674DF4C" w:rsidRPr="205F293E">
        <w:rPr>
          <w:rFonts w:cs="Times New Roman"/>
          <w:i/>
          <w:iCs/>
        </w:rPr>
        <w:t>Ibid</w:t>
      </w:r>
      <w:r w:rsidR="6674DF4C" w:rsidRPr="006840B6">
        <w:rPr>
          <w:rFonts w:cs="Times New Roman"/>
        </w:rPr>
        <w:t xml:space="preserve">.) </w:t>
      </w:r>
      <w:r w:rsidR="6674DF4C">
        <w:rPr>
          <w:rFonts w:cs="Times New Roman"/>
        </w:rPr>
        <w:t>‘</w:t>
      </w:r>
      <w:r w:rsidR="6674DF4C" w:rsidRPr="006840B6">
        <w:rPr>
          <w:rFonts w:cs="Times New Roman"/>
        </w:rPr>
        <w:t>We affirm if any ground offered in support of the</w:t>
      </w:r>
      <w:r w:rsidR="0A4AB641">
        <w:rPr>
          <w:rFonts w:cs="Times New Roman"/>
        </w:rPr>
        <w:t xml:space="preserve"> </w:t>
      </w:r>
      <w:r w:rsidR="6674DF4C" w:rsidRPr="006840B6">
        <w:rPr>
          <w:rFonts w:cs="Times New Roman"/>
        </w:rPr>
        <w:t>demurrer</w:t>
      </w:r>
      <w:r w:rsidR="0A4AB641">
        <w:rPr>
          <w:rFonts w:cs="Times New Roman"/>
        </w:rPr>
        <w:t xml:space="preserve"> </w:t>
      </w:r>
      <w:r w:rsidR="6674DF4C" w:rsidRPr="006840B6">
        <w:rPr>
          <w:rFonts w:cs="Times New Roman"/>
        </w:rPr>
        <w:t>was well taken but find error if the plaintiff has stated a cause of action under any possible legal theory. [Citation.] We are not bound by the trial court</w:t>
      </w:r>
      <w:r w:rsidR="6674DF4C">
        <w:rPr>
          <w:rFonts w:cs="Times New Roman"/>
        </w:rPr>
        <w:t>’</w:t>
      </w:r>
      <w:r w:rsidR="6674DF4C" w:rsidRPr="006840B6">
        <w:rPr>
          <w:rFonts w:cs="Times New Roman"/>
        </w:rPr>
        <w:t xml:space="preserve">s stated reasons </w:t>
      </w:r>
      <w:proofErr w:type="gramStart"/>
      <w:r w:rsidR="6674DF4C">
        <w:rPr>
          <w:rFonts w:cs="Times New Roman"/>
        </w:rPr>
        <w:t>. . .</w:t>
      </w:r>
      <w:r w:rsidR="3A638626">
        <w:rPr>
          <w:rFonts w:cs="Times New Roman"/>
        </w:rPr>
        <w:t> </w:t>
      </w:r>
      <w:r w:rsidR="6674DF4C" w:rsidRPr="006840B6">
        <w:rPr>
          <w:rFonts w:cs="Times New Roman"/>
        </w:rPr>
        <w:t>;</w:t>
      </w:r>
      <w:proofErr w:type="gramEnd"/>
      <w:r w:rsidR="6674DF4C" w:rsidRPr="006840B6">
        <w:rPr>
          <w:rFonts w:cs="Times New Roman"/>
        </w:rPr>
        <w:t xml:space="preserve"> we review the ruling, not its rationale.</w:t>
      </w:r>
      <w:r w:rsidR="6674DF4C">
        <w:rPr>
          <w:rFonts w:cs="Times New Roman"/>
        </w:rPr>
        <w:t>’ ” (</w:t>
      </w:r>
      <w:r w:rsidR="6674DF4C" w:rsidRPr="205F293E">
        <w:rPr>
          <w:rFonts w:cs="Times New Roman"/>
          <w:i/>
          <w:iCs/>
        </w:rPr>
        <w:t>Amy</w:t>
      </w:r>
      <w:r w:rsidR="3A6B6C69" w:rsidRPr="205F293E">
        <w:rPr>
          <w:rFonts w:cs="Times New Roman"/>
          <w:i/>
          <w:iCs/>
        </w:rPr>
        <w:t>’</w:t>
      </w:r>
      <w:r w:rsidR="6674DF4C" w:rsidRPr="205F293E">
        <w:rPr>
          <w:rFonts w:cs="Times New Roman"/>
          <w:i/>
          <w:iCs/>
        </w:rPr>
        <w:t>s Kitchen, Inc. v. Fireman</w:t>
      </w:r>
      <w:r w:rsidR="3A6B6C69" w:rsidRPr="205F293E">
        <w:rPr>
          <w:rFonts w:cs="Times New Roman"/>
          <w:i/>
          <w:iCs/>
        </w:rPr>
        <w:t>’</w:t>
      </w:r>
      <w:r w:rsidR="6674DF4C" w:rsidRPr="205F293E">
        <w:rPr>
          <w:rFonts w:cs="Times New Roman"/>
          <w:i/>
          <w:iCs/>
        </w:rPr>
        <w:t>s Fund Ins. Co.</w:t>
      </w:r>
      <w:r w:rsidR="6674DF4C" w:rsidRPr="006840B6">
        <w:rPr>
          <w:rFonts w:cs="Times New Roman"/>
        </w:rPr>
        <w:t xml:space="preserve"> (2022) 83</w:t>
      </w:r>
      <w:r w:rsidR="6674DF4C">
        <w:rPr>
          <w:rFonts w:cs="Times New Roman"/>
        </w:rPr>
        <w:t> </w:t>
      </w:r>
      <w:r w:rsidR="6674DF4C" w:rsidRPr="006840B6">
        <w:rPr>
          <w:rFonts w:cs="Times New Roman"/>
        </w:rPr>
        <w:t>Cal.App.5th 1062, 1067</w:t>
      </w:r>
      <w:r w:rsidR="6674DF4C">
        <w:rPr>
          <w:rFonts w:cs="Times New Roman"/>
        </w:rPr>
        <w:t xml:space="preserve"> (</w:t>
      </w:r>
      <w:r w:rsidR="6674DF4C" w:rsidRPr="205F293E">
        <w:rPr>
          <w:rFonts w:cs="Times New Roman"/>
          <w:i/>
          <w:iCs/>
        </w:rPr>
        <w:t>Amy</w:t>
      </w:r>
      <w:r w:rsidR="3A6B6C69" w:rsidRPr="205F293E">
        <w:rPr>
          <w:rFonts w:cs="Times New Roman"/>
          <w:i/>
          <w:iCs/>
        </w:rPr>
        <w:t>’</w:t>
      </w:r>
      <w:r w:rsidR="6674DF4C" w:rsidRPr="205F293E">
        <w:rPr>
          <w:rFonts w:cs="Times New Roman"/>
          <w:i/>
          <w:iCs/>
        </w:rPr>
        <w:t>s Kitchen</w:t>
      </w:r>
      <w:r w:rsidR="6674DF4C">
        <w:rPr>
          <w:rFonts w:cs="Times New Roman"/>
        </w:rPr>
        <w:t>).)</w:t>
      </w:r>
      <w:r w:rsidR="66519449">
        <w:rPr>
          <w:rFonts w:cs="Times New Roman"/>
        </w:rPr>
        <w:t xml:space="preserve"> </w:t>
      </w:r>
    </w:p>
    <w:p w14:paraId="5329CBAB" w14:textId="3BC6CA1E" w:rsidR="0080647E" w:rsidRDefault="003D06AD" w:rsidP="00A60054">
      <w:pPr>
        <w:autoSpaceDE w:val="0"/>
        <w:autoSpaceDN w:val="0"/>
        <w:adjustRightInd w:val="0"/>
        <w:spacing w:line="360" w:lineRule="auto"/>
        <w:ind w:firstLine="720"/>
        <w:contextualSpacing/>
        <w:rPr>
          <w:rFonts w:cs="Times New Roman"/>
        </w:rPr>
      </w:pPr>
      <w:r w:rsidRPr="3DE41553">
        <w:rPr>
          <w:rFonts w:cs="Times New Roman"/>
        </w:rPr>
        <w:t>We</w:t>
      </w:r>
      <w:r w:rsidR="47677055" w:rsidRPr="3DE41553">
        <w:rPr>
          <w:rFonts w:cs="Times New Roman"/>
        </w:rPr>
        <w:t xml:space="preserve"> also</w:t>
      </w:r>
      <w:r w:rsidRPr="3DE41553">
        <w:rPr>
          <w:rFonts w:cs="Times New Roman"/>
        </w:rPr>
        <w:t xml:space="preserve"> assume the tr</w:t>
      </w:r>
      <w:r w:rsidRPr="3DE41553">
        <w:rPr>
          <w:rFonts w:cs="Times New Roman"/>
        </w:rPr>
        <w:t xml:space="preserve">uth of judicially noticeable facts. </w:t>
      </w:r>
      <w:r w:rsidR="1E9E4AD3" w:rsidRPr="3DE41553">
        <w:rPr>
          <w:rFonts w:cs="Times New Roman"/>
        </w:rPr>
        <w:t>(Code Civ. Proc. §</w:t>
      </w:r>
      <w:r w:rsidR="00E20381">
        <w:rPr>
          <w:rFonts w:cs="Times New Roman"/>
        </w:rPr>
        <w:t> </w:t>
      </w:r>
      <w:r w:rsidR="1E9E4AD3" w:rsidRPr="3DE41553">
        <w:rPr>
          <w:rFonts w:cs="Times New Roman"/>
        </w:rPr>
        <w:t>430.30, subd.</w:t>
      </w:r>
      <w:r w:rsidR="00E20381">
        <w:rPr>
          <w:rFonts w:cs="Times New Roman"/>
        </w:rPr>
        <w:t> </w:t>
      </w:r>
      <w:r w:rsidR="1E9E4AD3" w:rsidRPr="3DE41553">
        <w:rPr>
          <w:rFonts w:cs="Times New Roman"/>
        </w:rPr>
        <w:t>(a).</w:t>
      </w:r>
      <w:r w:rsidR="693F1963" w:rsidRPr="3DE41553">
        <w:rPr>
          <w:rFonts w:cs="Times New Roman"/>
        </w:rPr>
        <w:t>)</w:t>
      </w:r>
      <w:r w:rsidR="1E9E4AD3" w:rsidRPr="3DE41553">
        <w:rPr>
          <w:rFonts w:cs="Times New Roman"/>
        </w:rPr>
        <w:t xml:space="preserve"> </w:t>
      </w:r>
      <w:r w:rsidR="65DBC9E3" w:rsidRPr="3DE41553">
        <w:rPr>
          <w:rFonts w:cs="Times New Roman"/>
        </w:rPr>
        <w:t>D</w:t>
      </w:r>
      <w:r w:rsidRPr="3DE41553">
        <w:rPr>
          <w:rFonts w:cs="Times New Roman"/>
        </w:rPr>
        <w:t xml:space="preserve">efendants request judicial notice of documents from plaintiffs’ mandamus proceeding in this court (see fn. </w:t>
      </w:r>
      <w:r w:rsidR="00950AA4">
        <w:rPr>
          <w:rFonts w:cs="Times New Roman"/>
        </w:rPr>
        <w:t>11</w:t>
      </w:r>
      <w:r w:rsidRPr="3DE41553">
        <w:rPr>
          <w:rFonts w:cs="Times New Roman"/>
        </w:rPr>
        <w:t xml:space="preserve">, </w:t>
      </w:r>
      <w:r w:rsidRPr="00067290">
        <w:rPr>
          <w:rFonts w:cs="Times New Roman"/>
          <w:i/>
        </w:rPr>
        <w:t>ante</w:t>
      </w:r>
      <w:r w:rsidRPr="3DE41553">
        <w:rPr>
          <w:rFonts w:cs="Times New Roman"/>
        </w:rPr>
        <w:t>), and of</w:t>
      </w:r>
      <w:r w:rsidR="6D3BD420" w:rsidRPr="3DE41553">
        <w:rPr>
          <w:rFonts w:cs="Times New Roman"/>
        </w:rPr>
        <w:t xml:space="preserve"> various</w:t>
      </w:r>
      <w:r w:rsidRPr="3DE41553">
        <w:rPr>
          <w:rFonts w:cs="Times New Roman"/>
        </w:rPr>
        <w:t xml:space="preserve"> documents related to motions to dismiss on spee</w:t>
      </w:r>
      <w:r w:rsidRPr="3DE41553">
        <w:rPr>
          <w:rFonts w:cs="Times New Roman"/>
        </w:rPr>
        <w:t>dy-trial grounds filed by specific detainees mentioned in this case</w:t>
      </w:r>
      <w:r w:rsidR="00684083">
        <w:rPr>
          <w:rFonts w:cs="Times New Roman"/>
        </w:rPr>
        <w:t>.</w:t>
      </w:r>
      <w:r w:rsidRPr="3DE41553">
        <w:rPr>
          <w:rFonts w:cs="Times New Roman"/>
        </w:rPr>
        <w:t xml:space="preserve"> Defendants assert that the documents “refute allegations made in [the] complaint” but </w:t>
      </w:r>
      <w:r w:rsidR="1C90D92E" w:rsidRPr="3DE41553">
        <w:rPr>
          <w:rFonts w:cs="Times New Roman"/>
        </w:rPr>
        <w:t xml:space="preserve">they </w:t>
      </w:r>
      <w:r w:rsidR="00E9733C">
        <w:rPr>
          <w:rFonts w:cs="Times New Roman"/>
        </w:rPr>
        <w:t>do not</w:t>
      </w:r>
      <w:r w:rsidR="00E9733C" w:rsidRPr="3DE41553">
        <w:rPr>
          <w:rFonts w:cs="Times New Roman"/>
        </w:rPr>
        <w:t xml:space="preserve"> </w:t>
      </w:r>
      <w:r w:rsidR="1E2851CB" w:rsidRPr="3DE41553">
        <w:rPr>
          <w:rFonts w:cs="Times New Roman"/>
        </w:rPr>
        <w:t xml:space="preserve">request judicial notice of any </w:t>
      </w:r>
      <w:r w:rsidR="21548070" w:rsidRPr="3DE41553">
        <w:rPr>
          <w:rFonts w:cs="Times New Roman"/>
        </w:rPr>
        <w:t xml:space="preserve">specific fact </w:t>
      </w:r>
      <w:r w:rsidR="20D04E4E" w:rsidRPr="3DE41553">
        <w:rPr>
          <w:rFonts w:cs="Times New Roman"/>
        </w:rPr>
        <w:t xml:space="preserve">appearing in </w:t>
      </w:r>
      <w:r w:rsidR="08F718E5" w:rsidRPr="3DE41553">
        <w:rPr>
          <w:rFonts w:cs="Times New Roman"/>
        </w:rPr>
        <w:t xml:space="preserve">a </w:t>
      </w:r>
      <w:r w:rsidR="20D04E4E" w:rsidRPr="3DE41553">
        <w:rPr>
          <w:rFonts w:cs="Times New Roman"/>
        </w:rPr>
        <w:t>judicially</w:t>
      </w:r>
      <w:r w:rsidR="00E4131B">
        <w:rPr>
          <w:rFonts w:cs="Times New Roman"/>
        </w:rPr>
        <w:t xml:space="preserve"> </w:t>
      </w:r>
      <w:r w:rsidR="20D04E4E" w:rsidRPr="3DE41553">
        <w:rPr>
          <w:rFonts w:cs="Times New Roman"/>
        </w:rPr>
        <w:t xml:space="preserve">noticeable </w:t>
      </w:r>
      <w:r w:rsidR="20D04E4E" w:rsidRPr="3DE41553">
        <w:rPr>
          <w:rFonts w:cs="Times New Roman"/>
        </w:rPr>
        <w:lastRenderedPageBreak/>
        <w:t>court document</w:t>
      </w:r>
      <w:r w:rsidR="00E9733C">
        <w:rPr>
          <w:rFonts w:cs="Times New Roman"/>
        </w:rPr>
        <w:t>;</w:t>
      </w:r>
      <w:r w:rsidR="20D04E4E" w:rsidRPr="3DE41553">
        <w:rPr>
          <w:rFonts w:cs="Times New Roman"/>
        </w:rPr>
        <w:t xml:space="preserve"> </w:t>
      </w:r>
      <w:r w:rsidR="7CF69241" w:rsidRPr="3DE41553">
        <w:rPr>
          <w:rFonts w:cs="Times New Roman"/>
        </w:rPr>
        <w:t>n</w:t>
      </w:r>
      <w:r w:rsidR="20D04E4E" w:rsidRPr="3DE41553">
        <w:rPr>
          <w:rFonts w:cs="Times New Roman"/>
        </w:rPr>
        <w:t>or</w:t>
      </w:r>
      <w:r w:rsidR="4B17D79A" w:rsidRPr="3DE41553">
        <w:rPr>
          <w:rFonts w:cs="Times New Roman"/>
        </w:rPr>
        <w:t xml:space="preserve"> </w:t>
      </w:r>
      <w:r w:rsidR="00E9733C">
        <w:rPr>
          <w:rFonts w:cs="Times New Roman"/>
        </w:rPr>
        <w:t>do they</w:t>
      </w:r>
      <w:r w:rsidR="20D04E4E" w:rsidRPr="3DE41553">
        <w:rPr>
          <w:rFonts w:cs="Times New Roman"/>
        </w:rPr>
        <w:t xml:space="preserve"> </w:t>
      </w:r>
      <w:r w:rsidR="5CCD36FC" w:rsidRPr="3DE41553">
        <w:rPr>
          <w:rFonts w:cs="Times New Roman"/>
        </w:rPr>
        <w:t xml:space="preserve">identify </w:t>
      </w:r>
      <w:r w:rsidR="0068775A">
        <w:rPr>
          <w:rFonts w:cs="Times New Roman"/>
        </w:rPr>
        <w:t>the purportedly “refuted”</w:t>
      </w:r>
      <w:r w:rsidR="00E4131B" w:rsidRPr="3DE41553">
        <w:rPr>
          <w:rFonts w:cs="Times New Roman"/>
        </w:rPr>
        <w:t xml:space="preserve"> </w:t>
      </w:r>
      <w:r w:rsidR="5CCD36FC" w:rsidRPr="3DE41553">
        <w:rPr>
          <w:rFonts w:cs="Times New Roman"/>
        </w:rPr>
        <w:t>allegations</w:t>
      </w:r>
      <w:r w:rsidR="0068775A">
        <w:rPr>
          <w:rFonts w:cs="Times New Roman"/>
        </w:rPr>
        <w:t>.</w:t>
      </w:r>
      <w:r>
        <w:rPr>
          <w:rStyle w:val="FootnoteReference"/>
          <w:rFonts w:cs="Times New Roman"/>
        </w:rPr>
        <w:footnoteReference w:id="13"/>
      </w:r>
      <w:r w:rsidR="002E12D2">
        <w:rPr>
          <w:rFonts w:cs="Times New Roman"/>
        </w:rPr>
        <w:t xml:space="preserve"> </w:t>
      </w:r>
      <w:r w:rsidRPr="3DE41553">
        <w:rPr>
          <w:rFonts w:cs="Times New Roman"/>
        </w:rPr>
        <w:t>Defendants also assert that the</w:t>
      </w:r>
      <w:r w:rsidR="37877B16" w:rsidRPr="3DE41553">
        <w:rPr>
          <w:rFonts w:cs="Times New Roman"/>
        </w:rPr>
        <w:t xml:space="preserve"> proffered</w:t>
      </w:r>
      <w:r w:rsidRPr="3DE41553">
        <w:rPr>
          <w:rFonts w:cs="Times New Roman"/>
        </w:rPr>
        <w:t xml:space="preserve"> documents support their arguments about “available and adequate remedies to the individual criminal defendants” but</w:t>
      </w:r>
      <w:r w:rsidR="008E7289">
        <w:rPr>
          <w:rFonts w:cs="Times New Roman"/>
        </w:rPr>
        <w:t xml:space="preserve"> </w:t>
      </w:r>
      <w:r w:rsidR="00F40EE4">
        <w:rPr>
          <w:rFonts w:cs="Times New Roman"/>
        </w:rPr>
        <w:t xml:space="preserve">no examples are needed </w:t>
      </w:r>
      <w:r w:rsidR="0064131A">
        <w:rPr>
          <w:rFonts w:cs="Times New Roman"/>
        </w:rPr>
        <w:t xml:space="preserve">to prove the existence of remedies </w:t>
      </w:r>
      <w:r w:rsidR="008E7289">
        <w:rPr>
          <w:rFonts w:cs="Times New Roman"/>
        </w:rPr>
        <w:t xml:space="preserve">the Penal Code </w:t>
      </w:r>
      <w:r w:rsidR="0064131A">
        <w:rPr>
          <w:rFonts w:cs="Times New Roman"/>
        </w:rPr>
        <w:t xml:space="preserve">expressly </w:t>
      </w:r>
      <w:r w:rsidR="00381A07">
        <w:rPr>
          <w:rFonts w:cs="Times New Roman"/>
        </w:rPr>
        <w:t xml:space="preserve">provides </w:t>
      </w:r>
      <w:r w:rsidR="008E7289">
        <w:rPr>
          <w:rFonts w:cs="Times New Roman"/>
        </w:rPr>
        <w:t>(</w:t>
      </w:r>
      <w:r w:rsidR="00267FDA">
        <w:rPr>
          <w:rFonts w:cs="Times New Roman"/>
        </w:rPr>
        <w:t xml:space="preserve">§ 1382) </w:t>
      </w:r>
      <w:r w:rsidR="008E7289">
        <w:rPr>
          <w:rFonts w:cs="Times New Roman"/>
        </w:rPr>
        <w:t>and</w:t>
      </w:r>
      <w:r w:rsidRPr="3DE41553">
        <w:rPr>
          <w:rFonts w:cs="Times New Roman"/>
        </w:rPr>
        <w:t xml:space="preserve">, as </w:t>
      </w:r>
      <w:r w:rsidR="5F836C99" w:rsidRPr="3DE41553">
        <w:rPr>
          <w:rFonts w:cs="Times New Roman"/>
        </w:rPr>
        <w:t>we explain</w:t>
      </w:r>
      <w:r w:rsidRPr="3DE41553">
        <w:rPr>
          <w:rFonts w:cs="Times New Roman"/>
        </w:rPr>
        <w:t xml:space="preserve"> (see p. </w:t>
      </w:r>
      <w:r w:rsidR="004F603E">
        <w:rPr>
          <w:rFonts w:cs="Times New Roman"/>
        </w:rPr>
        <w:t>3</w:t>
      </w:r>
      <w:r w:rsidR="006A408C">
        <w:rPr>
          <w:rFonts w:cs="Times New Roman"/>
        </w:rPr>
        <w:t>5</w:t>
      </w:r>
      <w:r w:rsidRPr="3DE41553">
        <w:rPr>
          <w:rFonts w:cs="Times New Roman"/>
        </w:rPr>
        <w:t xml:space="preserve">, </w:t>
      </w:r>
      <w:r w:rsidRPr="00067290">
        <w:rPr>
          <w:rFonts w:cs="Times New Roman"/>
          <w:i/>
        </w:rPr>
        <w:t>post</w:t>
      </w:r>
      <w:r w:rsidRPr="3DE41553">
        <w:rPr>
          <w:rFonts w:cs="Times New Roman"/>
        </w:rPr>
        <w:t>)</w:t>
      </w:r>
      <w:r w:rsidR="24623202" w:rsidRPr="3DE41553">
        <w:rPr>
          <w:rFonts w:cs="Times New Roman"/>
        </w:rPr>
        <w:t>, the underlying legal premise is unavailing</w:t>
      </w:r>
      <w:r w:rsidRPr="3DE41553">
        <w:rPr>
          <w:rFonts w:cs="Times New Roman"/>
        </w:rPr>
        <w:t xml:space="preserve">. </w:t>
      </w:r>
      <w:r w:rsidR="2694357D" w:rsidRPr="3DE41553">
        <w:rPr>
          <w:rFonts w:cs="Times New Roman"/>
        </w:rPr>
        <w:t>We therefore deny the request.</w:t>
      </w:r>
    </w:p>
    <w:p w14:paraId="05773345" w14:textId="6E320F6D" w:rsidR="0080647E" w:rsidRDefault="003D06AD" w:rsidP="003F5F13">
      <w:pPr>
        <w:keepNext/>
        <w:spacing w:line="360" w:lineRule="auto"/>
        <w:contextualSpacing/>
        <w:jc w:val="center"/>
        <w:rPr>
          <w:b/>
        </w:rPr>
      </w:pPr>
      <w:r>
        <w:rPr>
          <w:b/>
        </w:rPr>
        <w:t>Analysis</w:t>
      </w:r>
    </w:p>
    <w:p w14:paraId="48F69F41" w14:textId="3CFC5A6E" w:rsidR="0080647E" w:rsidRPr="001B00E9" w:rsidRDefault="003D06AD" w:rsidP="003F5F13">
      <w:pPr>
        <w:autoSpaceDE w:val="0"/>
        <w:autoSpaceDN w:val="0"/>
        <w:adjustRightInd w:val="0"/>
        <w:spacing w:line="360" w:lineRule="auto"/>
        <w:contextualSpacing/>
        <w:rPr>
          <w:rFonts w:cs="Times New Roman"/>
        </w:rPr>
      </w:pPr>
      <w:r>
        <w:rPr>
          <w:rFonts w:cs="Times New Roman"/>
        </w:rPr>
        <w:tab/>
      </w:r>
      <w:r w:rsidRPr="001B00E9">
        <w:rPr>
          <w:rFonts w:cs="Times New Roman"/>
        </w:rPr>
        <w:t>Plaintiffs</w:t>
      </w:r>
      <w:r w:rsidR="004A0053">
        <w:rPr>
          <w:rFonts w:cs="Times New Roman"/>
        </w:rPr>
        <w:t>’</w:t>
      </w:r>
      <w:r w:rsidRPr="001B00E9">
        <w:rPr>
          <w:rFonts w:cs="Times New Roman"/>
        </w:rPr>
        <w:t xml:space="preserve"> </w:t>
      </w:r>
      <w:r w:rsidR="004A0053">
        <w:rPr>
          <w:rFonts w:cs="Times New Roman"/>
        </w:rPr>
        <w:t xml:space="preserve">taxpayer </w:t>
      </w:r>
      <w:r w:rsidRPr="001B00E9">
        <w:rPr>
          <w:rFonts w:cs="Times New Roman"/>
        </w:rPr>
        <w:t xml:space="preserve">cause of action </w:t>
      </w:r>
      <w:r w:rsidR="004A0053">
        <w:rPr>
          <w:rFonts w:cs="Times New Roman"/>
        </w:rPr>
        <w:t>is based up</w:t>
      </w:r>
      <w:r w:rsidRPr="001B00E9">
        <w:rPr>
          <w:rFonts w:cs="Times New Roman"/>
        </w:rPr>
        <w:t xml:space="preserve">on </w:t>
      </w:r>
      <w:r>
        <w:rPr>
          <w:rFonts w:cs="Times New Roman"/>
        </w:rPr>
        <w:t>asserted violations of section</w:t>
      </w:r>
      <w:r w:rsidR="00050CC2">
        <w:rPr>
          <w:rFonts w:cs="Times New Roman"/>
        </w:rPr>
        <w:t> </w:t>
      </w:r>
      <w:r>
        <w:rPr>
          <w:rFonts w:cs="Times New Roman"/>
        </w:rPr>
        <w:t>1050</w:t>
      </w:r>
      <w:r w:rsidR="003C2423" w:rsidRPr="00B21865">
        <w:rPr>
          <w:rFonts w:cs="Times New Roman"/>
        </w:rPr>
        <w:t>(a)</w:t>
      </w:r>
      <w:r>
        <w:rPr>
          <w:rFonts w:cs="Times New Roman"/>
        </w:rPr>
        <w:t xml:space="preserve"> </w:t>
      </w:r>
      <w:r w:rsidRPr="00B21865">
        <w:rPr>
          <w:rFonts w:cs="Times New Roman"/>
        </w:rPr>
        <w:t>(</w:t>
      </w:r>
      <w:r w:rsidR="003C2423" w:rsidRPr="00B21865">
        <w:rPr>
          <w:rFonts w:cs="Times New Roman"/>
        </w:rPr>
        <w:t>imposing a duty to expedite criminal procee</w:t>
      </w:r>
      <w:r w:rsidR="009D0780" w:rsidRPr="00B21865">
        <w:rPr>
          <w:rFonts w:cs="Times New Roman"/>
        </w:rPr>
        <w:t>d</w:t>
      </w:r>
      <w:r w:rsidR="003C2423" w:rsidRPr="00B21865">
        <w:rPr>
          <w:rFonts w:cs="Times New Roman"/>
        </w:rPr>
        <w:t xml:space="preserve">ings, including by giving them priority over civil proceedings, </w:t>
      </w:r>
      <w:r w:rsidR="009D0780" w:rsidRPr="00B21865">
        <w:rPr>
          <w:rFonts w:cs="Times New Roman"/>
        </w:rPr>
        <w:t xml:space="preserve">to the greatest degree </w:t>
      </w:r>
      <w:r w:rsidR="005403D7" w:rsidRPr="00B21865">
        <w:rPr>
          <w:rFonts w:cs="Times New Roman"/>
        </w:rPr>
        <w:t xml:space="preserve">that is </w:t>
      </w:r>
      <w:r w:rsidR="003C2423" w:rsidRPr="00B21865">
        <w:rPr>
          <w:rFonts w:cs="Times New Roman"/>
        </w:rPr>
        <w:t>consistent with the ends of justice</w:t>
      </w:r>
      <w:r w:rsidRPr="00B21865">
        <w:rPr>
          <w:rFonts w:cs="Times New Roman"/>
        </w:rPr>
        <w:t xml:space="preserve">); </w:t>
      </w:r>
      <w:r w:rsidR="00AA2533" w:rsidRPr="00B21865">
        <w:rPr>
          <w:rFonts w:cs="Times New Roman"/>
        </w:rPr>
        <w:t xml:space="preserve">and </w:t>
      </w:r>
      <w:r w:rsidRPr="00B21865">
        <w:rPr>
          <w:rFonts w:cs="Times New Roman"/>
        </w:rPr>
        <w:t>secti</w:t>
      </w:r>
      <w:r w:rsidRPr="00B21865">
        <w:rPr>
          <w:rFonts w:cs="Times New Roman"/>
        </w:rPr>
        <w:t>on</w:t>
      </w:r>
      <w:r w:rsidR="00B6213B" w:rsidRPr="00B21865">
        <w:rPr>
          <w:rFonts w:cs="Times New Roman"/>
        </w:rPr>
        <w:t xml:space="preserve">s 1050, subdivisions (b) </w:t>
      </w:r>
      <w:r w:rsidR="00B21865">
        <w:rPr>
          <w:rFonts w:cs="Times New Roman"/>
        </w:rPr>
        <w:t>through</w:t>
      </w:r>
      <w:r w:rsidR="00B21865" w:rsidRPr="00B21865">
        <w:rPr>
          <w:rFonts w:cs="Times New Roman"/>
        </w:rPr>
        <w:t xml:space="preserve"> </w:t>
      </w:r>
      <w:r w:rsidR="00B6213B" w:rsidRPr="00B21865">
        <w:rPr>
          <w:rFonts w:cs="Times New Roman"/>
        </w:rPr>
        <w:t>(</w:t>
      </w:r>
      <w:proofErr w:type="spellStart"/>
      <w:r w:rsidR="00B6213B" w:rsidRPr="00B21865">
        <w:rPr>
          <w:rFonts w:cs="Times New Roman"/>
        </w:rPr>
        <w:t>i</w:t>
      </w:r>
      <w:proofErr w:type="spellEnd"/>
      <w:r w:rsidR="00B6213B" w:rsidRPr="00B21865">
        <w:rPr>
          <w:rFonts w:cs="Times New Roman"/>
        </w:rPr>
        <w:t>), and</w:t>
      </w:r>
      <w:r w:rsidRPr="00B21865">
        <w:rPr>
          <w:rFonts w:cs="Times New Roman"/>
        </w:rPr>
        <w:t xml:space="preserve"> 1</w:t>
      </w:r>
      <w:r w:rsidR="0069487D" w:rsidRPr="00B21865">
        <w:rPr>
          <w:rFonts w:cs="Times New Roman"/>
        </w:rPr>
        <w:t>0</w:t>
      </w:r>
      <w:r w:rsidRPr="00B21865">
        <w:rPr>
          <w:rFonts w:cs="Times New Roman"/>
        </w:rPr>
        <w:t>49.5 (</w:t>
      </w:r>
      <w:r w:rsidR="00D4102F" w:rsidRPr="00B21865">
        <w:rPr>
          <w:rFonts w:cs="Times New Roman"/>
        </w:rPr>
        <w:t xml:space="preserve">together, </w:t>
      </w:r>
      <w:r w:rsidR="002D670E">
        <w:rPr>
          <w:rFonts w:cs="Times New Roman"/>
        </w:rPr>
        <w:t>requiring</w:t>
      </w:r>
      <w:r w:rsidR="003C2423" w:rsidRPr="00B21865">
        <w:rPr>
          <w:rFonts w:cs="Times New Roman"/>
        </w:rPr>
        <w:t xml:space="preserve"> felony trials </w:t>
      </w:r>
      <w:r w:rsidR="002D670E">
        <w:rPr>
          <w:rFonts w:cs="Times New Roman"/>
        </w:rPr>
        <w:t xml:space="preserve">to commence </w:t>
      </w:r>
      <w:r w:rsidR="003C2423" w:rsidRPr="00B21865">
        <w:rPr>
          <w:rFonts w:cs="Times New Roman"/>
        </w:rPr>
        <w:t>within 60 days of arraignment</w:t>
      </w:r>
      <w:r w:rsidR="00B21865">
        <w:rPr>
          <w:rFonts w:cs="Times New Roman"/>
        </w:rPr>
        <w:t xml:space="preserve">, </w:t>
      </w:r>
      <w:r w:rsidR="002D670E">
        <w:rPr>
          <w:rFonts w:cs="Times New Roman"/>
        </w:rPr>
        <w:t>absent a finding</w:t>
      </w:r>
      <w:r w:rsidR="00B21865">
        <w:rPr>
          <w:rFonts w:cs="Times New Roman"/>
        </w:rPr>
        <w:t xml:space="preserve">, after a hearing, </w:t>
      </w:r>
      <w:r w:rsidR="002D670E">
        <w:rPr>
          <w:rFonts w:cs="Times New Roman"/>
        </w:rPr>
        <w:t xml:space="preserve">of </w:t>
      </w:r>
      <w:r w:rsidR="003C2423" w:rsidRPr="00B21865">
        <w:rPr>
          <w:rFonts w:cs="Times New Roman"/>
        </w:rPr>
        <w:t xml:space="preserve">good cause </w:t>
      </w:r>
      <w:r w:rsidR="00D4102F" w:rsidRPr="00B21865">
        <w:rPr>
          <w:rFonts w:cs="Times New Roman"/>
        </w:rPr>
        <w:t>based upon admissible evidence</w:t>
      </w:r>
      <w:r w:rsidRPr="00B21865">
        <w:rPr>
          <w:rFonts w:cs="Times New Roman"/>
        </w:rPr>
        <w:t>);</w:t>
      </w:r>
      <w:r>
        <w:rPr>
          <w:rFonts w:cs="Times New Roman"/>
        </w:rPr>
        <w:t xml:space="preserve"> </w:t>
      </w:r>
      <w:r w:rsidR="00F32C2B">
        <w:rPr>
          <w:rFonts w:cs="Times New Roman"/>
        </w:rPr>
        <w:t xml:space="preserve">as well as </w:t>
      </w:r>
      <w:r>
        <w:rPr>
          <w:rFonts w:cs="Times New Roman"/>
        </w:rPr>
        <w:t xml:space="preserve">constitutional provisions conferring a right to speedy trial. As we conclude that plaintiffs have stated a cause of action </w:t>
      </w:r>
      <w:r w:rsidR="000D44C8">
        <w:rPr>
          <w:rFonts w:cs="Times New Roman"/>
        </w:rPr>
        <w:t>premised up</w:t>
      </w:r>
      <w:r>
        <w:rPr>
          <w:rFonts w:cs="Times New Roman"/>
        </w:rPr>
        <w:t xml:space="preserve">on </w:t>
      </w:r>
      <w:r w:rsidR="00712CDC">
        <w:rPr>
          <w:rFonts w:cs="Times New Roman"/>
        </w:rPr>
        <w:t>alleged violations of</w:t>
      </w:r>
      <w:r>
        <w:rPr>
          <w:rFonts w:cs="Times New Roman"/>
        </w:rPr>
        <w:t xml:space="preserve"> section 1050</w:t>
      </w:r>
      <w:r w:rsidR="00712CDC">
        <w:rPr>
          <w:rFonts w:cs="Times New Roman"/>
        </w:rPr>
        <w:t>(a)</w:t>
      </w:r>
      <w:r>
        <w:rPr>
          <w:rFonts w:cs="Times New Roman"/>
        </w:rPr>
        <w:t>, we focus on that theory.</w:t>
      </w:r>
    </w:p>
    <w:p w14:paraId="38485B81" w14:textId="30DFF6BB" w:rsidR="0080647E" w:rsidRPr="006840B6" w:rsidRDefault="003D06AD" w:rsidP="003F5F13">
      <w:pPr>
        <w:keepNext/>
        <w:spacing w:line="360" w:lineRule="auto"/>
        <w:ind w:left="720" w:hanging="720"/>
        <w:contextualSpacing/>
        <w:rPr>
          <w:b/>
        </w:rPr>
      </w:pPr>
      <w:r>
        <w:rPr>
          <w:b/>
        </w:rPr>
        <w:t>1.</w:t>
      </w:r>
      <w:r>
        <w:tab/>
      </w:r>
      <w:r w:rsidRPr="00B0646B">
        <w:rPr>
          <w:b/>
          <w:i/>
          <w:iCs/>
        </w:rPr>
        <w:t>Ford</w:t>
      </w:r>
      <w:r w:rsidRPr="00B0646B">
        <w:rPr>
          <w:b/>
        </w:rPr>
        <w:t xml:space="preserve"> Does Not Bar </w:t>
      </w:r>
      <w:r>
        <w:rPr>
          <w:b/>
        </w:rPr>
        <w:t xml:space="preserve">Plaintiffs’ </w:t>
      </w:r>
      <w:r w:rsidRPr="570AEA2B">
        <w:rPr>
          <w:b/>
          <w:bCs/>
        </w:rPr>
        <w:t>Cause of Action</w:t>
      </w:r>
    </w:p>
    <w:p w14:paraId="5F056B7D" w14:textId="45281D6A" w:rsidR="00EA4FC2" w:rsidRDefault="003D06AD" w:rsidP="00F94146">
      <w:pPr>
        <w:autoSpaceDE w:val="0"/>
        <w:autoSpaceDN w:val="0"/>
        <w:adjustRightInd w:val="0"/>
        <w:spacing w:line="360" w:lineRule="auto"/>
        <w:contextualSpacing/>
        <w:rPr>
          <w:rFonts w:cs="Times New Roman"/>
        </w:rPr>
      </w:pPr>
      <w:r>
        <w:rPr>
          <w:rFonts w:cs="Times New Roman"/>
        </w:rPr>
        <w:tab/>
      </w:r>
      <w:r w:rsidR="6674DF4C">
        <w:rPr>
          <w:rFonts w:cs="Times New Roman"/>
        </w:rPr>
        <w:t xml:space="preserve">Defendants contend the trial court correctly relied upon </w:t>
      </w:r>
      <w:r w:rsidR="6674DF4C" w:rsidRPr="205F293E">
        <w:rPr>
          <w:rFonts w:cs="Times New Roman"/>
          <w:i/>
          <w:iCs/>
        </w:rPr>
        <w:t>Ford</w:t>
      </w:r>
      <w:r w:rsidR="2CD8079E" w:rsidRPr="205F293E">
        <w:rPr>
          <w:rFonts w:cs="Times New Roman"/>
          <w:i/>
          <w:iCs/>
        </w:rPr>
        <w:t xml:space="preserve">, </w:t>
      </w:r>
      <w:r w:rsidR="2CD8079E" w:rsidRPr="004A6FE4">
        <w:rPr>
          <w:rFonts w:cs="Times New Roman"/>
          <w:i/>
        </w:rPr>
        <w:t>supra</w:t>
      </w:r>
      <w:r w:rsidR="2CD8079E">
        <w:rPr>
          <w:rFonts w:cs="Times New Roman"/>
        </w:rPr>
        <w:t>,</w:t>
      </w:r>
      <w:r w:rsidR="0844959C" w:rsidRPr="205F293E">
        <w:rPr>
          <w:rFonts w:cs="Times New Roman"/>
          <w:i/>
          <w:iCs/>
        </w:rPr>
        <w:t xml:space="preserve"> </w:t>
      </w:r>
      <w:r w:rsidR="2CD8079E" w:rsidRPr="00B21865">
        <w:rPr>
          <w:rFonts w:cs="Times New Roman"/>
        </w:rPr>
        <w:t>188 Cal.App.3d 737</w:t>
      </w:r>
      <w:r w:rsidR="2CD8079E" w:rsidRPr="205F293E">
        <w:rPr>
          <w:rFonts w:cs="Times New Roman"/>
          <w:i/>
          <w:iCs/>
        </w:rPr>
        <w:t>,</w:t>
      </w:r>
      <w:r w:rsidR="0844959C">
        <w:rPr>
          <w:rFonts w:cs="Times New Roman"/>
        </w:rPr>
        <w:t xml:space="preserve"> </w:t>
      </w:r>
      <w:r w:rsidR="6674DF4C">
        <w:rPr>
          <w:rFonts w:cs="Times New Roman"/>
        </w:rPr>
        <w:t>to sustain their demurrer to the taxpayer cause of action.</w:t>
      </w:r>
      <w:r>
        <w:rPr>
          <w:rStyle w:val="FootnoteReference"/>
          <w:rFonts w:cs="Arial"/>
          <w:color w:val="555555"/>
        </w:rPr>
        <w:footnoteReference w:id="14"/>
      </w:r>
      <w:r w:rsidR="114331B7">
        <w:rPr>
          <w:rFonts w:cs="Times New Roman"/>
        </w:rPr>
        <w:t xml:space="preserve"> </w:t>
      </w:r>
      <w:r w:rsidR="006F2C0E">
        <w:rPr>
          <w:rFonts w:cs="Times New Roman"/>
        </w:rPr>
        <w:t>They</w:t>
      </w:r>
      <w:r w:rsidR="6674DF4C">
        <w:rPr>
          <w:rFonts w:cs="Times New Roman"/>
        </w:rPr>
        <w:t xml:space="preserve"> concede</w:t>
      </w:r>
      <w:r w:rsidR="005F178A">
        <w:rPr>
          <w:rFonts w:cs="Times New Roman"/>
        </w:rPr>
        <w:t xml:space="preserve">, contrary to the trial court’s </w:t>
      </w:r>
      <w:r w:rsidR="4ED0C107" w:rsidRPr="07AFF217">
        <w:rPr>
          <w:rFonts w:cs="Times New Roman"/>
        </w:rPr>
        <w:t>apparent reasoning</w:t>
      </w:r>
      <w:r w:rsidR="005F22E3">
        <w:rPr>
          <w:rFonts w:cs="Times New Roman"/>
        </w:rPr>
        <w:t>,</w:t>
      </w:r>
      <w:r w:rsidR="6674DF4C">
        <w:rPr>
          <w:rFonts w:cs="Times New Roman"/>
        </w:rPr>
        <w:t xml:space="preserve"> </w:t>
      </w:r>
      <w:r w:rsidR="002E12D2">
        <w:rPr>
          <w:rFonts w:cs="Times New Roman"/>
        </w:rPr>
        <w:t>that</w:t>
      </w:r>
      <w:r w:rsidR="6674DF4C">
        <w:rPr>
          <w:rFonts w:cs="Times New Roman"/>
        </w:rPr>
        <w:t xml:space="preserve"> </w:t>
      </w:r>
      <w:r w:rsidR="1825198D" w:rsidRPr="205F293E">
        <w:rPr>
          <w:rFonts w:cs="Times New Roman"/>
          <w:i/>
          <w:iCs/>
        </w:rPr>
        <w:lastRenderedPageBreak/>
        <w:t xml:space="preserve">Ford </w:t>
      </w:r>
      <w:r w:rsidR="2CD8079E">
        <w:rPr>
          <w:rFonts w:cs="Times New Roman"/>
        </w:rPr>
        <w:t>does not hold that a</w:t>
      </w:r>
      <w:r w:rsidR="6674DF4C">
        <w:rPr>
          <w:rFonts w:cs="Times New Roman"/>
        </w:rPr>
        <w:t xml:space="preserve"> </w:t>
      </w:r>
      <w:r w:rsidR="2CD8079E">
        <w:rPr>
          <w:rFonts w:cs="Times New Roman"/>
        </w:rPr>
        <w:t xml:space="preserve">superior court </w:t>
      </w:r>
      <w:r w:rsidR="6674DF4C">
        <w:rPr>
          <w:rFonts w:cs="Times New Roman"/>
        </w:rPr>
        <w:t xml:space="preserve">judge can </w:t>
      </w:r>
      <w:r w:rsidR="114331B7">
        <w:rPr>
          <w:rFonts w:cs="Times New Roman"/>
        </w:rPr>
        <w:t xml:space="preserve">never </w:t>
      </w:r>
      <w:r w:rsidR="6674DF4C">
        <w:rPr>
          <w:rFonts w:cs="Times New Roman"/>
        </w:rPr>
        <w:t>“issue any relief directed at another superior court judge” or “</w:t>
      </w:r>
      <w:r w:rsidR="6674DF4C" w:rsidRPr="00C92717">
        <w:rPr>
          <w:rFonts w:cs="Arial"/>
        </w:rPr>
        <w:t>lacks the power to compel or restrain the actions of another superior court</w:t>
      </w:r>
      <w:r w:rsidR="005F22E3" w:rsidRPr="00C92717">
        <w:rPr>
          <w:rFonts w:cs="Arial"/>
        </w:rPr>
        <w:t>.</w:t>
      </w:r>
      <w:r w:rsidR="6674DF4C">
        <w:rPr>
          <w:rFonts w:cs="Times New Roman"/>
        </w:rPr>
        <w:t xml:space="preserve">” </w:t>
      </w:r>
      <w:r w:rsidR="00D84B15">
        <w:rPr>
          <w:rFonts w:cs="Times New Roman"/>
        </w:rPr>
        <w:t>Nonetheless</w:t>
      </w:r>
      <w:r w:rsidR="00A60DC6">
        <w:rPr>
          <w:rFonts w:cs="Times New Roman"/>
        </w:rPr>
        <w:t>, they</w:t>
      </w:r>
      <w:r w:rsidR="18DF441C">
        <w:rPr>
          <w:rFonts w:cs="Times New Roman"/>
        </w:rPr>
        <w:t xml:space="preserve"> </w:t>
      </w:r>
      <w:r w:rsidR="00AA546B">
        <w:rPr>
          <w:rFonts w:cs="Times New Roman"/>
        </w:rPr>
        <w:t>assert</w:t>
      </w:r>
      <w:r w:rsidR="00392888">
        <w:rPr>
          <w:rFonts w:cs="Times New Roman"/>
        </w:rPr>
        <w:t xml:space="preserve"> that</w:t>
      </w:r>
      <w:r w:rsidR="00C926B8">
        <w:rPr>
          <w:rFonts w:cs="Times New Roman"/>
        </w:rPr>
        <w:t xml:space="preserve">, read </w:t>
      </w:r>
      <w:r w:rsidR="6674DF4C" w:rsidRPr="00C926B8">
        <w:rPr>
          <w:rFonts w:cs="Times New Roman"/>
        </w:rPr>
        <w:t>more</w:t>
      </w:r>
      <w:r w:rsidR="6674DF4C" w:rsidRPr="4B0E998B">
        <w:rPr>
          <w:rFonts w:cs="Times New Roman"/>
        </w:rPr>
        <w:t xml:space="preserve"> narrowly</w:t>
      </w:r>
      <w:r w:rsidR="00C926B8">
        <w:rPr>
          <w:rFonts w:cs="Times New Roman"/>
        </w:rPr>
        <w:t xml:space="preserve">, </w:t>
      </w:r>
      <w:r w:rsidR="00392888">
        <w:rPr>
          <w:rFonts w:cs="Times New Roman"/>
          <w:i/>
          <w:iCs/>
        </w:rPr>
        <w:t xml:space="preserve">Ford </w:t>
      </w:r>
      <w:r w:rsidR="00C926B8">
        <w:rPr>
          <w:rFonts w:cs="Times New Roman"/>
        </w:rPr>
        <w:t>still</w:t>
      </w:r>
      <w:r w:rsidR="6674DF4C" w:rsidRPr="4B0E998B">
        <w:rPr>
          <w:rFonts w:cs="Times New Roman"/>
        </w:rPr>
        <w:t xml:space="preserve"> </w:t>
      </w:r>
      <w:r w:rsidR="6674DF4C">
        <w:rPr>
          <w:rFonts w:cs="Times New Roman"/>
        </w:rPr>
        <w:t>bar</w:t>
      </w:r>
      <w:r w:rsidR="00C926B8">
        <w:rPr>
          <w:rFonts w:cs="Times New Roman"/>
        </w:rPr>
        <w:t>s</w:t>
      </w:r>
      <w:r w:rsidR="6674DF4C">
        <w:rPr>
          <w:rFonts w:cs="Times New Roman"/>
        </w:rPr>
        <w:t xml:space="preserve"> plaintiffs’ taxpayer-standing claim</w:t>
      </w:r>
      <w:r w:rsidR="72F6C2B1">
        <w:rPr>
          <w:rFonts w:cs="Times New Roman"/>
        </w:rPr>
        <w:t>.</w:t>
      </w:r>
      <w:r w:rsidR="2D4B74E8">
        <w:rPr>
          <w:rFonts w:cs="Times New Roman"/>
        </w:rPr>
        <w:t xml:space="preserve"> </w:t>
      </w:r>
      <w:r w:rsidR="00392888">
        <w:rPr>
          <w:rFonts w:cs="Times New Roman"/>
        </w:rPr>
        <w:t>W</w:t>
      </w:r>
      <w:r w:rsidR="00C926B8">
        <w:rPr>
          <w:rFonts w:cs="Times New Roman"/>
        </w:rPr>
        <w:t>e disagree</w:t>
      </w:r>
      <w:r w:rsidR="6674DF4C">
        <w:rPr>
          <w:rFonts w:cs="Times New Roman"/>
        </w:rPr>
        <w:t xml:space="preserve">. </w:t>
      </w:r>
    </w:p>
    <w:p w14:paraId="6ED382DA" w14:textId="1AC0D68A" w:rsidR="00B94EC9" w:rsidRDefault="003D06AD" w:rsidP="00F94146">
      <w:pPr>
        <w:autoSpaceDE w:val="0"/>
        <w:autoSpaceDN w:val="0"/>
        <w:adjustRightInd w:val="0"/>
        <w:spacing w:line="360" w:lineRule="auto"/>
        <w:contextualSpacing/>
        <w:rPr>
          <w:rFonts w:cs="Times New Roman"/>
        </w:rPr>
      </w:pPr>
      <w:r>
        <w:rPr>
          <w:rFonts w:cs="Times New Roman"/>
        </w:rPr>
        <w:tab/>
      </w:r>
      <w:r w:rsidR="0080647E">
        <w:rPr>
          <w:rFonts w:cs="Times New Roman"/>
        </w:rPr>
        <w:t xml:space="preserve">In </w:t>
      </w:r>
      <w:r w:rsidR="0080647E" w:rsidRPr="3DE41553">
        <w:rPr>
          <w:rFonts w:cs="Times New Roman"/>
          <w:i/>
          <w:iCs/>
        </w:rPr>
        <w:t>Ford</w:t>
      </w:r>
      <w:r w:rsidR="0080647E">
        <w:rPr>
          <w:rFonts w:cs="Times New Roman"/>
        </w:rPr>
        <w:t xml:space="preserve">, plaintiffs filed an action seeking </w:t>
      </w:r>
      <w:r w:rsidR="0080647E" w:rsidRPr="4B0E998B">
        <w:rPr>
          <w:rFonts w:cs="Times New Roman"/>
        </w:rPr>
        <w:t>“an order restraining [the court and its clerk] from carrying out and executing the judgment which had been entered by” a different department of the same superior court in a separate action. (</w:t>
      </w:r>
      <w:r w:rsidR="004A6FE4" w:rsidRPr="3DE41553">
        <w:rPr>
          <w:rFonts w:cs="Times New Roman"/>
          <w:i/>
          <w:iCs/>
        </w:rPr>
        <w:t>Ford</w:t>
      </w:r>
      <w:r w:rsidR="004A6FE4">
        <w:rPr>
          <w:rFonts w:cs="Times New Roman"/>
        </w:rPr>
        <w:t xml:space="preserve">, </w:t>
      </w:r>
      <w:r w:rsidR="004A6FE4" w:rsidRPr="004A6FE4">
        <w:rPr>
          <w:rFonts w:cs="Times New Roman"/>
          <w:i/>
          <w:iCs/>
        </w:rPr>
        <w:t>supra</w:t>
      </w:r>
      <w:r w:rsidR="004A6FE4">
        <w:rPr>
          <w:rFonts w:cs="Times New Roman"/>
        </w:rPr>
        <w:t xml:space="preserve">, </w:t>
      </w:r>
      <w:r w:rsidR="00B11326" w:rsidRPr="008D2B41">
        <w:rPr>
          <w:rFonts w:cs="Arial"/>
          <w:color w:val="555555"/>
        </w:rPr>
        <w:t xml:space="preserve">188 Cal.App.3d </w:t>
      </w:r>
      <w:r w:rsidR="0080647E" w:rsidRPr="4B0E998B">
        <w:rPr>
          <w:rFonts w:cs="Times New Roman"/>
        </w:rPr>
        <w:t xml:space="preserve">at p. 741.) The </w:t>
      </w:r>
      <w:r w:rsidR="0080647E" w:rsidRPr="3DE41553">
        <w:rPr>
          <w:rFonts w:cs="Times New Roman"/>
          <w:i/>
          <w:iCs/>
        </w:rPr>
        <w:t>Ford</w:t>
      </w:r>
      <w:r w:rsidR="0080647E" w:rsidRPr="4B0E998B">
        <w:rPr>
          <w:rFonts w:cs="Times New Roman"/>
        </w:rPr>
        <w:t xml:space="preserve"> action was dismissed pursuant to demurrer. (</w:t>
      </w:r>
      <w:r w:rsidR="0080647E" w:rsidRPr="3DE41553">
        <w:rPr>
          <w:rFonts w:cs="Times New Roman"/>
          <w:i/>
          <w:iCs/>
        </w:rPr>
        <w:t>Ibid</w:t>
      </w:r>
      <w:r w:rsidR="0080647E" w:rsidRPr="4B0E998B">
        <w:rPr>
          <w:rFonts w:cs="Times New Roman"/>
        </w:rPr>
        <w:t xml:space="preserve">.) </w:t>
      </w:r>
      <w:r w:rsidR="00866DA3">
        <w:rPr>
          <w:rFonts w:cs="Times New Roman"/>
        </w:rPr>
        <w:t>In a</w:t>
      </w:r>
      <w:r>
        <w:rPr>
          <w:rFonts w:cs="Times New Roman"/>
        </w:rPr>
        <w:t>ffirming the dismissal</w:t>
      </w:r>
      <w:r w:rsidR="0080647E">
        <w:rPr>
          <w:rFonts w:cs="Times New Roman"/>
        </w:rPr>
        <w:t xml:space="preserve">, the Second </w:t>
      </w:r>
      <w:r w:rsidR="000F1EEF">
        <w:rPr>
          <w:rFonts w:cs="Times New Roman"/>
        </w:rPr>
        <w:t xml:space="preserve">Appellate </w:t>
      </w:r>
      <w:r w:rsidR="0080647E">
        <w:rPr>
          <w:rFonts w:cs="Times New Roman"/>
        </w:rPr>
        <w:t xml:space="preserve">District </w:t>
      </w:r>
      <w:r>
        <w:rPr>
          <w:rFonts w:cs="Times New Roman"/>
        </w:rPr>
        <w:t>reasoned</w:t>
      </w:r>
      <w:r w:rsidR="00C907DF">
        <w:rPr>
          <w:rFonts w:cs="Times New Roman"/>
        </w:rPr>
        <w:t>,</w:t>
      </w:r>
      <w:r w:rsidR="0080647E">
        <w:rPr>
          <w:rFonts w:cs="Times New Roman"/>
        </w:rPr>
        <w:t xml:space="preserve"> “</w:t>
      </w:r>
      <w:r w:rsidR="0080647E" w:rsidRPr="00BA1E47">
        <w:rPr>
          <w:rFonts w:cs="Times New Roman"/>
        </w:rPr>
        <w:t xml:space="preserve">The complaint states no cause of action. </w:t>
      </w:r>
      <w:proofErr w:type="gramStart"/>
      <w:r w:rsidR="0080647E" w:rsidRPr="00BA1E47">
        <w:rPr>
          <w:rFonts w:cs="Times New Roman"/>
        </w:rPr>
        <w:t>In reality, it</w:t>
      </w:r>
      <w:proofErr w:type="gramEnd"/>
      <w:r w:rsidR="0080647E" w:rsidRPr="00BA1E47">
        <w:rPr>
          <w:rFonts w:cs="Times New Roman"/>
        </w:rPr>
        <w:t xml:space="preserve"> seeks to have one department of the superior court review and restrain the </w:t>
      </w:r>
      <w:r w:rsidR="0080647E" w:rsidRPr="00F94146">
        <w:rPr>
          <w:rFonts w:cs="Times New Roman"/>
        </w:rPr>
        <w:t>judicial act</w:t>
      </w:r>
      <w:r w:rsidR="0080647E" w:rsidRPr="00334359">
        <w:rPr>
          <w:rFonts w:cs="Times New Roman"/>
        </w:rPr>
        <w:t xml:space="preserve"> </w:t>
      </w:r>
      <w:r w:rsidR="0080647E" w:rsidRPr="00BA1E47">
        <w:rPr>
          <w:rFonts w:cs="Times New Roman"/>
        </w:rPr>
        <w:t>of another department of the superior court. That cannot be done.</w:t>
      </w:r>
      <w:r w:rsidR="0080647E">
        <w:rPr>
          <w:rFonts w:cs="Times New Roman"/>
        </w:rPr>
        <w:t>” (</w:t>
      </w:r>
      <w:r w:rsidR="00087C00" w:rsidRPr="3DE41553">
        <w:rPr>
          <w:rFonts w:cs="Times New Roman"/>
          <w:i/>
          <w:iCs/>
        </w:rPr>
        <w:t>Ibid</w:t>
      </w:r>
      <w:r w:rsidRPr="3DE41553">
        <w:rPr>
          <w:rFonts w:cs="Times New Roman"/>
        </w:rPr>
        <w:t>.</w:t>
      </w:r>
      <w:r w:rsidR="0080647E">
        <w:rPr>
          <w:rFonts w:cs="Times New Roman"/>
        </w:rPr>
        <w:t xml:space="preserve">) </w:t>
      </w:r>
    </w:p>
    <w:p w14:paraId="5FEECE65" w14:textId="511E4337" w:rsidR="0038644F" w:rsidRDefault="003D06AD" w:rsidP="003F5F13">
      <w:pPr>
        <w:autoSpaceDE w:val="0"/>
        <w:autoSpaceDN w:val="0"/>
        <w:adjustRightInd w:val="0"/>
        <w:spacing w:line="360" w:lineRule="auto"/>
        <w:ind w:firstLine="720"/>
        <w:contextualSpacing/>
        <w:rPr>
          <w:rFonts w:cs="Times New Roman"/>
          <w:color w:val="000000" w:themeColor="text1"/>
        </w:rPr>
      </w:pPr>
      <w:r>
        <w:rPr>
          <w:rFonts w:cs="Times New Roman"/>
        </w:rPr>
        <w:t xml:space="preserve">Defendants </w:t>
      </w:r>
      <w:r w:rsidR="00C90460">
        <w:rPr>
          <w:rFonts w:cs="Times New Roman"/>
        </w:rPr>
        <w:t xml:space="preserve">simply stop </w:t>
      </w:r>
      <w:r>
        <w:rPr>
          <w:rFonts w:cs="Times New Roman"/>
        </w:rPr>
        <w:t>here</w:t>
      </w:r>
      <w:r w:rsidR="00C90460">
        <w:rPr>
          <w:rFonts w:cs="Times New Roman"/>
        </w:rPr>
        <w:t>,</w:t>
      </w:r>
      <w:r>
        <w:rPr>
          <w:rFonts w:cs="Times New Roman"/>
        </w:rPr>
        <w:t xml:space="preserve"> contend</w:t>
      </w:r>
      <w:r w:rsidR="00C90460">
        <w:rPr>
          <w:rFonts w:cs="Times New Roman"/>
        </w:rPr>
        <w:t>ing</w:t>
      </w:r>
      <w:r>
        <w:rPr>
          <w:rFonts w:cs="Times New Roman"/>
        </w:rPr>
        <w:t xml:space="preserve"> </w:t>
      </w:r>
      <w:r w:rsidR="799127D4">
        <w:rPr>
          <w:rFonts w:cs="Times New Roman"/>
        </w:rPr>
        <w:t xml:space="preserve">this </w:t>
      </w:r>
      <w:r w:rsidR="00723536">
        <w:rPr>
          <w:rFonts w:cs="Times New Roman"/>
        </w:rPr>
        <w:t xml:space="preserve">general </w:t>
      </w:r>
      <w:proofErr w:type="gramStart"/>
      <w:r w:rsidR="799127D4">
        <w:rPr>
          <w:rFonts w:cs="Times New Roman"/>
        </w:rPr>
        <w:t>principle</w:t>
      </w:r>
      <w:proofErr w:type="gramEnd"/>
      <w:r>
        <w:rPr>
          <w:rFonts w:cs="Times New Roman"/>
        </w:rPr>
        <w:t xml:space="preserve"> </w:t>
      </w:r>
      <w:r w:rsidR="234D4823">
        <w:rPr>
          <w:rFonts w:cs="Times New Roman"/>
        </w:rPr>
        <w:t xml:space="preserve">bars </w:t>
      </w:r>
      <w:r>
        <w:rPr>
          <w:rFonts w:cs="Times New Roman"/>
        </w:rPr>
        <w:t>challenges</w:t>
      </w:r>
      <w:r w:rsidR="78F3F0B0">
        <w:rPr>
          <w:rFonts w:cs="Times New Roman"/>
        </w:rPr>
        <w:t xml:space="preserve"> to</w:t>
      </w:r>
      <w:r w:rsidR="00FA5BE6">
        <w:rPr>
          <w:rFonts w:cs="Times New Roman"/>
        </w:rPr>
        <w:t xml:space="preserve"> any</w:t>
      </w:r>
      <w:r w:rsidR="00E90F53">
        <w:rPr>
          <w:rFonts w:cs="Times New Roman"/>
        </w:rPr>
        <w:t xml:space="preserve"> conduct fairly characterized as</w:t>
      </w:r>
      <w:r>
        <w:rPr>
          <w:rFonts w:cs="Times New Roman"/>
        </w:rPr>
        <w:t xml:space="preserve"> “judicial,” such </w:t>
      </w:r>
      <w:r w:rsidR="00EC376A">
        <w:rPr>
          <w:rFonts w:cs="Times New Roman"/>
        </w:rPr>
        <w:t xml:space="preserve">as </w:t>
      </w:r>
      <w:r w:rsidR="00BA1C95">
        <w:rPr>
          <w:rFonts w:cs="Times New Roman"/>
        </w:rPr>
        <w:t xml:space="preserve">a </w:t>
      </w:r>
      <w:r w:rsidR="00E463CF">
        <w:rPr>
          <w:rFonts w:cs="Times New Roman"/>
        </w:rPr>
        <w:t>presiding or supervising judge</w:t>
      </w:r>
      <w:r w:rsidR="00BA1C95">
        <w:rPr>
          <w:rFonts w:cs="Times New Roman"/>
        </w:rPr>
        <w:t>’</w:t>
      </w:r>
      <w:r w:rsidR="00E463CF">
        <w:rPr>
          <w:rFonts w:cs="Times New Roman"/>
        </w:rPr>
        <w:t xml:space="preserve">s decision </w:t>
      </w:r>
      <w:r w:rsidR="00DD37A8">
        <w:rPr>
          <w:rFonts w:cs="Times New Roman"/>
        </w:rPr>
        <w:t>to</w:t>
      </w:r>
      <w:r w:rsidR="00E463CF">
        <w:rPr>
          <w:rFonts w:cs="Times New Roman"/>
        </w:rPr>
        <w:t xml:space="preserve"> </w:t>
      </w:r>
      <w:r w:rsidR="00D00EEE">
        <w:rPr>
          <w:rFonts w:cs="Times New Roman"/>
        </w:rPr>
        <w:t xml:space="preserve">designate </w:t>
      </w:r>
      <w:r w:rsidR="00DD37A8">
        <w:rPr>
          <w:rFonts w:cs="Times New Roman"/>
        </w:rPr>
        <w:t>particular</w:t>
      </w:r>
      <w:r>
        <w:rPr>
          <w:rFonts w:cs="Times New Roman"/>
        </w:rPr>
        <w:t xml:space="preserve"> departments </w:t>
      </w:r>
      <w:r w:rsidR="00DD37A8">
        <w:rPr>
          <w:rFonts w:cs="Times New Roman"/>
        </w:rPr>
        <w:t xml:space="preserve">for </w:t>
      </w:r>
      <w:r>
        <w:rPr>
          <w:rFonts w:cs="Times New Roman"/>
        </w:rPr>
        <w:t xml:space="preserve">criminal or civil </w:t>
      </w:r>
      <w:r w:rsidR="00DD37A8">
        <w:rPr>
          <w:rFonts w:cs="Times New Roman"/>
        </w:rPr>
        <w:t>trials</w:t>
      </w:r>
      <w:r w:rsidR="00B67436">
        <w:rPr>
          <w:rFonts w:cs="Times New Roman"/>
        </w:rPr>
        <w:t>,</w:t>
      </w:r>
      <w:r w:rsidR="00F915A9">
        <w:rPr>
          <w:rFonts w:cs="Times New Roman"/>
        </w:rPr>
        <w:t xml:space="preserve"> </w:t>
      </w:r>
      <w:r w:rsidR="005E39A8">
        <w:rPr>
          <w:rFonts w:cs="Times New Roman"/>
        </w:rPr>
        <w:t>or t</w:t>
      </w:r>
      <w:r w:rsidR="003C6F4E">
        <w:rPr>
          <w:rFonts w:cs="Times New Roman"/>
        </w:rPr>
        <w:t>o</w:t>
      </w:r>
      <w:r w:rsidR="005E39A8">
        <w:rPr>
          <w:rFonts w:cs="Times New Roman"/>
        </w:rPr>
        <w:t xml:space="preserve"> </w:t>
      </w:r>
      <w:r w:rsidR="003C6F4E">
        <w:rPr>
          <w:rFonts w:cs="Times New Roman"/>
        </w:rPr>
        <w:t xml:space="preserve">distribute </w:t>
      </w:r>
      <w:r w:rsidR="00176471">
        <w:rPr>
          <w:rFonts w:cs="Times New Roman"/>
        </w:rPr>
        <w:t xml:space="preserve">and sanction the use of </w:t>
      </w:r>
      <w:r w:rsidR="002276E3">
        <w:rPr>
          <w:rFonts w:cs="Times New Roman"/>
        </w:rPr>
        <w:t xml:space="preserve">a </w:t>
      </w:r>
      <w:r w:rsidR="005E39A8">
        <w:rPr>
          <w:rFonts w:cs="Times New Roman"/>
        </w:rPr>
        <w:t>standardized “script”</w:t>
      </w:r>
      <w:r w:rsidR="009D5B6F">
        <w:rPr>
          <w:rFonts w:cs="Times New Roman"/>
        </w:rPr>
        <w:t xml:space="preserve"> </w:t>
      </w:r>
      <w:r w:rsidR="00E32727">
        <w:rPr>
          <w:rFonts w:cs="Times New Roman"/>
        </w:rPr>
        <w:t>to facilitate</w:t>
      </w:r>
      <w:r w:rsidR="00097797">
        <w:rPr>
          <w:rFonts w:cs="Times New Roman"/>
        </w:rPr>
        <w:t xml:space="preserve"> </w:t>
      </w:r>
      <w:r w:rsidR="00176471">
        <w:rPr>
          <w:rFonts w:cs="Times New Roman"/>
        </w:rPr>
        <w:t xml:space="preserve">routine </w:t>
      </w:r>
      <w:r w:rsidR="00097797">
        <w:rPr>
          <w:rFonts w:cs="Times New Roman"/>
        </w:rPr>
        <w:t xml:space="preserve">continuances </w:t>
      </w:r>
      <w:r w:rsidR="00723536">
        <w:rPr>
          <w:rFonts w:cs="Times New Roman"/>
        </w:rPr>
        <w:t>beyond the</w:t>
      </w:r>
      <w:r w:rsidR="00176471">
        <w:rPr>
          <w:rFonts w:cs="Times New Roman"/>
        </w:rPr>
        <w:t xml:space="preserve"> statutory last date</w:t>
      </w:r>
      <w:r>
        <w:rPr>
          <w:rFonts w:cs="Times New Roman"/>
        </w:rPr>
        <w:t>.</w:t>
      </w:r>
      <w:r w:rsidRPr="0B0799C1">
        <w:rPr>
          <w:rFonts w:cs="Times New Roman"/>
        </w:rPr>
        <w:t xml:space="preserve"> </w:t>
      </w:r>
      <w:r w:rsidR="07386193" w:rsidRPr="0B0799C1">
        <w:rPr>
          <w:rFonts w:cs="Times New Roman"/>
        </w:rPr>
        <w:t>This argument, however,</w:t>
      </w:r>
      <w:r w:rsidR="2CD55870" w:rsidRPr="0B0799C1">
        <w:rPr>
          <w:rFonts w:cs="Times New Roman"/>
        </w:rPr>
        <w:t xml:space="preserve"> ignores </w:t>
      </w:r>
      <w:r w:rsidR="162958BC" w:rsidRPr="0B0799C1">
        <w:rPr>
          <w:rFonts w:cs="Times New Roman"/>
        </w:rPr>
        <w:t>the procedural posture</w:t>
      </w:r>
      <w:r w:rsidR="49097569" w:rsidRPr="0B0799C1">
        <w:rPr>
          <w:rFonts w:cs="Times New Roman"/>
        </w:rPr>
        <w:t xml:space="preserve"> in </w:t>
      </w:r>
      <w:r w:rsidR="49097569" w:rsidRPr="002911D3">
        <w:rPr>
          <w:rFonts w:cs="Times New Roman"/>
          <w:i/>
        </w:rPr>
        <w:t>Ford</w:t>
      </w:r>
      <w:r w:rsidR="1F3F1C01" w:rsidRPr="3DE41553">
        <w:rPr>
          <w:rFonts w:cs="Times New Roman"/>
          <w:i/>
          <w:iCs/>
        </w:rPr>
        <w:t>,</w:t>
      </w:r>
      <w:r w:rsidR="162958BC" w:rsidRPr="0B0799C1">
        <w:rPr>
          <w:rFonts w:cs="Times New Roman"/>
          <w:color w:val="000000" w:themeColor="text1"/>
        </w:rPr>
        <w:t xml:space="preserve"> </w:t>
      </w:r>
      <w:r w:rsidR="00763366">
        <w:rPr>
          <w:rFonts w:cs="Times New Roman"/>
          <w:color w:val="000000" w:themeColor="text1"/>
        </w:rPr>
        <w:t>in which the plaintiff</w:t>
      </w:r>
      <w:r w:rsidR="00793FEF">
        <w:rPr>
          <w:rFonts w:cs="Times New Roman"/>
          <w:color w:val="000000" w:themeColor="text1"/>
        </w:rPr>
        <w:t xml:space="preserve"> filed suit to challenge a judicial decision</w:t>
      </w:r>
      <w:r w:rsidR="00AD7908">
        <w:rPr>
          <w:rFonts w:cs="Times New Roman"/>
          <w:color w:val="000000" w:themeColor="text1"/>
        </w:rPr>
        <w:t xml:space="preserve"> in an individual case,</w:t>
      </w:r>
      <w:r w:rsidR="00793FEF">
        <w:rPr>
          <w:rFonts w:cs="Times New Roman"/>
          <w:color w:val="000000" w:themeColor="text1"/>
        </w:rPr>
        <w:t xml:space="preserve"> </w:t>
      </w:r>
      <w:r w:rsidRPr="3DE41553">
        <w:rPr>
          <w:rFonts w:cs="Times New Roman"/>
          <w:i/>
          <w:iCs/>
          <w:color w:val="000000" w:themeColor="text1"/>
        </w:rPr>
        <w:t>after</w:t>
      </w:r>
      <w:r w:rsidRPr="0B0799C1">
        <w:rPr>
          <w:rFonts w:cs="Times New Roman"/>
          <w:color w:val="000000" w:themeColor="text1"/>
        </w:rPr>
        <w:t xml:space="preserve"> </w:t>
      </w:r>
      <w:r w:rsidR="00AD7908">
        <w:rPr>
          <w:rFonts w:cs="Times New Roman"/>
          <w:color w:val="000000" w:themeColor="text1"/>
        </w:rPr>
        <w:t xml:space="preserve">it had been </w:t>
      </w:r>
      <w:proofErr w:type="gramStart"/>
      <w:r w:rsidRPr="0B0799C1">
        <w:rPr>
          <w:rFonts w:cs="Times New Roman"/>
          <w:color w:val="000000" w:themeColor="text1"/>
        </w:rPr>
        <w:t>“ ‘</w:t>
      </w:r>
      <w:proofErr w:type="gramEnd"/>
      <w:r w:rsidRPr="0B0799C1">
        <w:rPr>
          <w:rFonts w:cs="Times New Roman"/>
          <w:color w:val="000000" w:themeColor="text1"/>
        </w:rPr>
        <w:t xml:space="preserve">assigned for hearing and </w:t>
      </w:r>
      <w:r w:rsidRPr="0B0799C1">
        <w:rPr>
          <w:rFonts w:cs="Times New Roman"/>
          <w:color w:val="000000" w:themeColor="text1"/>
        </w:rPr>
        <w:t>determination to one department</w:t>
      </w:r>
      <w:r w:rsidR="00525772">
        <w:rPr>
          <w:rFonts w:cs="Times New Roman"/>
          <w:color w:val="000000" w:themeColor="text1"/>
        </w:rPr>
        <w:t>,</w:t>
      </w:r>
      <w:r w:rsidRPr="0B0799C1">
        <w:rPr>
          <w:rFonts w:cs="Times New Roman"/>
          <w:color w:val="000000" w:themeColor="text1"/>
        </w:rPr>
        <w:t xml:space="preserve">’ ” </w:t>
      </w:r>
      <w:r w:rsidR="0059578C">
        <w:rPr>
          <w:rFonts w:cs="Times New Roman"/>
          <w:color w:val="000000" w:themeColor="text1"/>
        </w:rPr>
        <w:t>leading</w:t>
      </w:r>
      <w:r w:rsidR="0014555D">
        <w:rPr>
          <w:rFonts w:cs="Times New Roman"/>
          <w:color w:val="000000" w:themeColor="text1"/>
        </w:rPr>
        <w:t xml:space="preserve"> the court to</w:t>
      </w:r>
      <w:r w:rsidR="66C10C20" w:rsidRPr="0B0799C1">
        <w:rPr>
          <w:rFonts w:cs="Times New Roman"/>
          <w:color w:val="000000" w:themeColor="text1"/>
        </w:rPr>
        <w:t xml:space="preserve"> h</w:t>
      </w:r>
      <w:r w:rsidR="0014555D">
        <w:rPr>
          <w:rFonts w:cs="Times New Roman"/>
          <w:color w:val="000000" w:themeColor="text1"/>
        </w:rPr>
        <w:t>o</w:t>
      </w:r>
      <w:r w:rsidR="66C10C20" w:rsidRPr="0B0799C1">
        <w:rPr>
          <w:rFonts w:cs="Times New Roman"/>
          <w:color w:val="000000" w:themeColor="text1"/>
        </w:rPr>
        <w:t>ld</w:t>
      </w:r>
      <w:r w:rsidR="00D925AD">
        <w:rPr>
          <w:rFonts w:cs="Times New Roman"/>
          <w:color w:val="000000" w:themeColor="text1"/>
        </w:rPr>
        <w:t>:</w:t>
      </w:r>
      <w:r w:rsidRPr="0B0799C1">
        <w:rPr>
          <w:rFonts w:cs="Times New Roman"/>
          <w:color w:val="000000" w:themeColor="text1"/>
        </w:rPr>
        <w:t xml:space="preserve"> “One department of the superior court cannot enjoin, restrain, or otherwise interfere with the judicial act of another department . . . .” (</w:t>
      </w:r>
      <w:r w:rsidRPr="3DE41553">
        <w:rPr>
          <w:rFonts w:cs="Times New Roman"/>
          <w:i/>
          <w:iCs/>
          <w:color w:val="000000" w:themeColor="text1"/>
        </w:rPr>
        <w:t>Id.</w:t>
      </w:r>
      <w:r w:rsidRPr="0B0799C1">
        <w:rPr>
          <w:rFonts w:cs="Times New Roman"/>
          <w:color w:val="000000" w:themeColor="text1"/>
        </w:rPr>
        <w:t xml:space="preserve"> at p</w:t>
      </w:r>
      <w:r w:rsidR="00EE1870">
        <w:rPr>
          <w:rFonts w:cs="Times New Roman"/>
          <w:color w:val="000000" w:themeColor="text1"/>
        </w:rPr>
        <w:t>p</w:t>
      </w:r>
      <w:r w:rsidRPr="0B0799C1">
        <w:rPr>
          <w:rFonts w:cs="Times New Roman"/>
          <w:color w:val="000000" w:themeColor="text1"/>
        </w:rPr>
        <w:t>. </w:t>
      </w:r>
      <w:r w:rsidR="00EE1870">
        <w:rPr>
          <w:rFonts w:cs="Times New Roman"/>
          <w:color w:val="000000" w:themeColor="text1"/>
        </w:rPr>
        <w:t>741</w:t>
      </w:r>
      <w:r w:rsidR="0059578C" w:rsidRPr="0B0799C1">
        <w:rPr>
          <w:rFonts w:cs="Times New Roman"/>
        </w:rPr>
        <w:t>–</w:t>
      </w:r>
      <w:r w:rsidRPr="0B0799C1">
        <w:rPr>
          <w:rFonts w:cs="Times New Roman"/>
          <w:color w:val="000000" w:themeColor="text1"/>
        </w:rPr>
        <w:t>742.) Rather, “[a]</w:t>
      </w:r>
      <w:proofErr w:type="spellStart"/>
      <w:r w:rsidRPr="0B0799C1">
        <w:rPr>
          <w:rFonts w:cs="Times New Roman"/>
          <w:color w:val="000000" w:themeColor="text1"/>
        </w:rPr>
        <w:t>ppellate</w:t>
      </w:r>
      <w:proofErr w:type="spellEnd"/>
      <w:r w:rsidRPr="0B0799C1">
        <w:rPr>
          <w:rFonts w:cs="Times New Roman"/>
          <w:color w:val="000000" w:themeColor="text1"/>
        </w:rPr>
        <w:t xml:space="preserve"> </w:t>
      </w:r>
      <w:r w:rsidRPr="0B0799C1">
        <w:rPr>
          <w:rFonts w:cs="Times New Roman"/>
          <w:color w:val="000000" w:themeColor="text1"/>
        </w:rPr>
        <w:lastRenderedPageBreak/>
        <w:t>jurisdictio</w:t>
      </w:r>
      <w:r w:rsidRPr="0B0799C1">
        <w:rPr>
          <w:rFonts w:cs="Times New Roman"/>
          <w:color w:val="000000" w:themeColor="text1"/>
        </w:rPr>
        <w:t>n to review, revise, or reverse decisions of the superior courts is vested by our Constitution only in the Supreme Court and the Courts of Appeal.” (</w:t>
      </w:r>
      <w:r w:rsidRPr="3DE41553">
        <w:rPr>
          <w:rFonts w:cs="Times New Roman"/>
          <w:i/>
          <w:iCs/>
          <w:color w:val="000000" w:themeColor="text1"/>
        </w:rPr>
        <w:t>I</w:t>
      </w:r>
      <w:r w:rsidR="007B0AD3" w:rsidRPr="3DE41553">
        <w:rPr>
          <w:rFonts w:cs="Times New Roman"/>
          <w:i/>
          <w:iCs/>
          <w:color w:val="000000" w:themeColor="text1"/>
        </w:rPr>
        <w:t>d.</w:t>
      </w:r>
      <w:r w:rsidRPr="4E07C719">
        <w:rPr>
          <w:rFonts w:cs="Times New Roman"/>
          <w:color w:val="000000" w:themeColor="text1"/>
        </w:rPr>
        <w:t xml:space="preserve"> </w:t>
      </w:r>
      <w:r w:rsidRPr="0B0799C1">
        <w:rPr>
          <w:rFonts w:cs="Times New Roman"/>
          <w:color w:val="000000" w:themeColor="text1"/>
        </w:rPr>
        <w:t>at p.</w:t>
      </w:r>
      <w:r w:rsidR="00284570">
        <w:rPr>
          <w:rFonts w:cs="Times New Roman"/>
          <w:color w:val="000000" w:themeColor="text1"/>
        </w:rPr>
        <w:t> </w:t>
      </w:r>
      <w:r w:rsidRPr="0B0799C1">
        <w:rPr>
          <w:rFonts w:cs="Times New Roman"/>
          <w:color w:val="000000" w:themeColor="text1"/>
        </w:rPr>
        <w:t xml:space="preserve">742.) </w:t>
      </w:r>
    </w:p>
    <w:p w14:paraId="75169A90" w14:textId="37D550B2" w:rsidR="0080647E" w:rsidRPr="00A37373" w:rsidRDefault="003D06AD" w:rsidP="003F5F13">
      <w:pPr>
        <w:autoSpaceDE w:val="0"/>
        <w:autoSpaceDN w:val="0"/>
        <w:adjustRightInd w:val="0"/>
        <w:spacing w:line="360" w:lineRule="auto"/>
        <w:ind w:firstLine="720"/>
        <w:contextualSpacing/>
        <w:rPr>
          <w:rFonts w:cs="Times New Roman"/>
          <w:color w:val="000000" w:themeColor="text1"/>
        </w:rPr>
      </w:pPr>
      <w:r>
        <w:rPr>
          <w:rFonts w:cs="Times New Roman"/>
          <w:color w:val="000000" w:themeColor="text1"/>
        </w:rPr>
        <w:t>Here,</w:t>
      </w:r>
      <w:r w:rsidR="00E76752">
        <w:rPr>
          <w:rFonts w:cs="Times New Roman"/>
          <w:color w:val="000000" w:themeColor="text1"/>
        </w:rPr>
        <w:t xml:space="preserve"> </w:t>
      </w:r>
      <w:r w:rsidR="008C5157">
        <w:rPr>
          <w:rFonts w:cs="Times New Roman"/>
          <w:color w:val="000000" w:themeColor="text1"/>
        </w:rPr>
        <w:t xml:space="preserve">as the trial court acknowledged, </w:t>
      </w:r>
      <w:r w:rsidR="00E76752">
        <w:rPr>
          <w:rFonts w:cs="Times New Roman"/>
          <w:color w:val="000000" w:themeColor="text1"/>
        </w:rPr>
        <w:t xml:space="preserve">plaintiffs </w:t>
      </w:r>
      <w:r>
        <w:rPr>
          <w:rFonts w:cs="Times New Roman"/>
          <w:color w:val="000000" w:themeColor="text1"/>
        </w:rPr>
        <w:t>d</w:t>
      </w:r>
      <w:r w:rsidR="00E76752">
        <w:rPr>
          <w:rFonts w:cs="Times New Roman"/>
          <w:color w:val="000000" w:themeColor="text1"/>
        </w:rPr>
        <w:t xml:space="preserve">o not seek to </w:t>
      </w:r>
      <w:r w:rsidR="7E918E99">
        <w:rPr>
          <w:rFonts w:cs="Times New Roman"/>
          <w:color w:val="000000" w:themeColor="text1"/>
        </w:rPr>
        <w:t>review, revise</w:t>
      </w:r>
      <w:r w:rsidR="00187820">
        <w:rPr>
          <w:rFonts w:cs="Times New Roman"/>
          <w:color w:val="000000" w:themeColor="text1"/>
        </w:rPr>
        <w:t>,</w:t>
      </w:r>
      <w:r w:rsidR="7E918E99">
        <w:rPr>
          <w:rFonts w:cs="Times New Roman"/>
          <w:color w:val="000000" w:themeColor="text1"/>
        </w:rPr>
        <w:t xml:space="preserve"> or </w:t>
      </w:r>
      <w:r w:rsidR="00E76752">
        <w:rPr>
          <w:rFonts w:cs="Times New Roman"/>
          <w:color w:val="000000" w:themeColor="text1"/>
        </w:rPr>
        <w:t xml:space="preserve">reverse any </w:t>
      </w:r>
      <w:r w:rsidR="00D70532">
        <w:rPr>
          <w:rFonts w:cs="Times New Roman"/>
          <w:color w:val="000000" w:themeColor="text1"/>
        </w:rPr>
        <w:t xml:space="preserve">decision </w:t>
      </w:r>
      <w:r>
        <w:rPr>
          <w:rFonts w:cs="Times New Roman"/>
          <w:color w:val="000000" w:themeColor="text1"/>
        </w:rPr>
        <w:t>in an individual criminal case</w:t>
      </w:r>
      <w:r w:rsidR="004C5D2C">
        <w:rPr>
          <w:rFonts w:cs="Times New Roman"/>
          <w:color w:val="000000" w:themeColor="text1"/>
        </w:rPr>
        <w:t>.</w:t>
      </w:r>
      <w:r w:rsidR="003E5C01">
        <w:rPr>
          <w:rFonts w:cs="Times New Roman"/>
          <w:color w:val="000000" w:themeColor="text1"/>
        </w:rPr>
        <w:t xml:space="preserve"> Rather, they </w:t>
      </w:r>
      <w:r w:rsidR="00F468F1">
        <w:rPr>
          <w:rFonts w:cs="Times New Roman"/>
          <w:color w:val="000000" w:themeColor="text1"/>
        </w:rPr>
        <w:t>challenge</w:t>
      </w:r>
      <w:r w:rsidR="003E5C01">
        <w:rPr>
          <w:rFonts w:cs="Times New Roman"/>
          <w:color w:val="000000" w:themeColor="text1"/>
        </w:rPr>
        <w:t xml:space="preserve"> </w:t>
      </w:r>
      <w:proofErr w:type="spellStart"/>
      <w:r w:rsidR="00F468F1">
        <w:rPr>
          <w:rFonts w:cs="Times New Roman"/>
          <w:color w:val="000000" w:themeColor="text1"/>
        </w:rPr>
        <w:t>courtwide</w:t>
      </w:r>
      <w:proofErr w:type="spellEnd"/>
      <w:r w:rsidR="00F468F1">
        <w:rPr>
          <w:rFonts w:cs="Times New Roman"/>
          <w:color w:val="000000" w:themeColor="text1"/>
        </w:rPr>
        <w:t xml:space="preserve"> </w:t>
      </w:r>
      <w:r w:rsidR="003E5C01">
        <w:rPr>
          <w:rFonts w:cs="Times New Roman"/>
          <w:color w:val="000000" w:themeColor="text1"/>
        </w:rPr>
        <w:t xml:space="preserve">decisions regarding allocation of </w:t>
      </w:r>
      <w:r w:rsidR="00C94676">
        <w:rPr>
          <w:rFonts w:cs="Times New Roman"/>
          <w:color w:val="000000" w:themeColor="text1"/>
        </w:rPr>
        <w:t>judges</w:t>
      </w:r>
      <w:r w:rsidR="003751A9">
        <w:rPr>
          <w:rFonts w:cs="Times New Roman"/>
          <w:color w:val="000000" w:themeColor="text1"/>
        </w:rPr>
        <w:t>,</w:t>
      </w:r>
      <w:r w:rsidR="00C94676">
        <w:rPr>
          <w:rFonts w:cs="Times New Roman"/>
          <w:color w:val="000000" w:themeColor="text1"/>
        </w:rPr>
        <w:t xml:space="preserve"> </w:t>
      </w:r>
      <w:r w:rsidR="00F468F1">
        <w:rPr>
          <w:rFonts w:cs="Times New Roman"/>
          <w:color w:val="000000" w:themeColor="text1"/>
        </w:rPr>
        <w:t>courtrooms</w:t>
      </w:r>
      <w:r w:rsidR="005078C4">
        <w:rPr>
          <w:rFonts w:cs="Times New Roman"/>
          <w:color w:val="000000" w:themeColor="text1"/>
        </w:rPr>
        <w:t>,</w:t>
      </w:r>
      <w:r w:rsidR="00F468F1">
        <w:rPr>
          <w:rFonts w:cs="Times New Roman"/>
          <w:color w:val="000000" w:themeColor="text1"/>
        </w:rPr>
        <w:t xml:space="preserve"> and other resources</w:t>
      </w:r>
      <w:r w:rsidR="439D0A2F">
        <w:rPr>
          <w:rFonts w:cs="Times New Roman"/>
          <w:color w:val="000000" w:themeColor="text1"/>
        </w:rPr>
        <w:t>, as well as</w:t>
      </w:r>
      <w:r w:rsidRPr="3DE41553">
        <w:rPr>
          <w:rFonts w:cs="Times New Roman"/>
          <w:color w:val="000000" w:themeColor="text1"/>
        </w:rPr>
        <w:t xml:space="preserve"> </w:t>
      </w:r>
      <w:r w:rsidR="000A45DA">
        <w:rPr>
          <w:rFonts w:cs="Times New Roman"/>
          <w:color w:val="000000" w:themeColor="text1"/>
        </w:rPr>
        <w:t xml:space="preserve">the </w:t>
      </w:r>
      <w:r w:rsidR="00FF4050">
        <w:rPr>
          <w:rFonts w:cs="Times New Roman"/>
          <w:color w:val="000000" w:themeColor="text1"/>
        </w:rPr>
        <w:t>creation and circulation</w:t>
      </w:r>
      <w:r w:rsidR="000A45DA">
        <w:rPr>
          <w:rFonts w:cs="Times New Roman"/>
          <w:color w:val="000000" w:themeColor="text1"/>
        </w:rPr>
        <w:t xml:space="preserve"> </w:t>
      </w:r>
      <w:r w:rsidR="00FF4050">
        <w:rPr>
          <w:rFonts w:cs="Times New Roman"/>
          <w:color w:val="000000" w:themeColor="text1"/>
        </w:rPr>
        <w:t xml:space="preserve">to criminal departments </w:t>
      </w:r>
      <w:r w:rsidR="000A45DA">
        <w:rPr>
          <w:rFonts w:cs="Times New Roman"/>
          <w:color w:val="000000" w:themeColor="text1"/>
        </w:rPr>
        <w:t>of a “script”</w:t>
      </w:r>
      <w:r w:rsidR="002016BF">
        <w:rPr>
          <w:rFonts w:cs="Times New Roman"/>
          <w:color w:val="000000" w:themeColor="text1"/>
        </w:rPr>
        <w:t xml:space="preserve"> </w:t>
      </w:r>
      <w:r w:rsidR="00FF4050">
        <w:rPr>
          <w:rFonts w:cs="Times New Roman"/>
          <w:color w:val="000000" w:themeColor="text1"/>
        </w:rPr>
        <w:t>to be utilized in resolving speedy trial motions</w:t>
      </w:r>
      <w:r w:rsidR="003E6CFA">
        <w:rPr>
          <w:rFonts w:cs="Times New Roman"/>
          <w:color w:val="000000" w:themeColor="text1"/>
        </w:rPr>
        <w:t xml:space="preserve"> in lieu of compliance with</w:t>
      </w:r>
      <w:r w:rsidR="00FF4050">
        <w:rPr>
          <w:rFonts w:cs="Times New Roman"/>
          <w:color w:val="000000" w:themeColor="text1"/>
        </w:rPr>
        <w:t xml:space="preserve"> </w:t>
      </w:r>
      <w:proofErr w:type="gramStart"/>
      <w:r w:rsidR="00F04BED">
        <w:rPr>
          <w:rFonts w:cs="Times New Roman"/>
          <w:color w:val="000000" w:themeColor="text1"/>
        </w:rPr>
        <w:t>statutorily-mandated</w:t>
      </w:r>
      <w:proofErr w:type="gramEnd"/>
      <w:r w:rsidR="00F04BED">
        <w:rPr>
          <w:rFonts w:cs="Times New Roman"/>
          <w:color w:val="000000" w:themeColor="text1"/>
        </w:rPr>
        <w:t xml:space="preserve"> procedural </w:t>
      </w:r>
      <w:r w:rsidR="003E6CFA">
        <w:rPr>
          <w:rFonts w:cs="Times New Roman"/>
          <w:color w:val="000000" w:themeColor="text1"/>
        </w:rPr>
        <w:t>requirements</w:t>
      </w:r>
      <w:r w:rsidR="00B82529">
        <w:rPr>
          <w:rFonts w:cs="Times New Roman"/>
          <w:color w:val="000000" w:themeColor="text1"/>
        </w:rPr>
        <w:t>.</w:t>
      </w:r>
    </w:p>
    <w:p w14:paraId="7F348B15" w14:textId="0D858FC3" w:rsidR="0080647E" w:rsidRPr="00FF2FD3" w:rsidRDefault="003D06AD" w:rsidP="3DE41553">
      <w:pPr>
        <w:spacing w:line="360" w:lineRule="auto"/>
        <w:contextualSpacing/>
        <w:rPr>
          <w:rStyle w:val="FootnoteReference"/>
          <w:rFonts w:cs="Times New Roman"/>
          <w:color w:val="000000"/>
        </w:rPr>
      </w:pPr>
      <w:r>
        <w:rPr>
          <w:rFonts w:cs="Times New Roman"/>
          <w:color w:val="000000"/>
        </w:rPr>
        <w:tab/>
      </w:r>
      <w:r w:rsidRPr="3DE41553">
        <w:rPr>
          <w:rFonts w:cs="Times New Roman"/>
          <w:i/>
          <w:iCs/>
          <w:color w:val="000000"/>
        </w:rPr>
        <w:t>Ford</w:t>
      </w:r>
      <w:r w:rsidRPr="00F26CCB">
        <w:rPr>
          <w:rFonts w:cs="Times New Roman"/>
          <w:color w:val="000000"/>
        </w:rPr>
        <w:t xml:space="preserve"> </w:t>
      </w:r>
      <w:r w:rsidR="00A437D0">
        <w:rPr>
          <w:rFonts w:cs="Times New Roman"/>
          <w:color w:val="000000"/>
        </w:rPr>
        <w:t xml:space="preserve">further </w:t>
      </w:r>
      <w:r w:rsidRPr="00F26CCB">
        <w:rPr>
          <w:rFonts w:cs="Times New Roman"/>
          <w:color w:val="000000"/>
        </w:rPr>
        <w:t>observ</w:t>
      </w:r>
      <w:r w:rsidR="004A7AAE">
        <w:rPr>
          <w:rFonts w:cs="Times New Roman"/>
          <w:color w:val="000000"/>
        </w:rPr>
        <w:t>ed</w:t>
      </w:r>
      <w:r>
        <w:rPr>
          <w:rFonts w:cs="Times New Roman"/>
          <w:color w:val="000000"/>
        </w:rPr>
        <w:t xml:space="preserve"> </w:t>
      </w:r>
      <w:r w:rsidRPr="00A37373">
        <w:rPr>
          <w:rFonts w:cs="Times New Roman"/>
          <w:color w:val="000000"/>
        </w:rPr>
        <w:t xml:space="preserve">that </w:t>
      </w:r>
      <w:r>
        <w:rPr>
          <w:rFonts w:cs="Times New Roman"/>
          <w:color w:val="000000"/>
        </w:rPr>
        <w:t xml:space="preserve">the </w:t>
      </w:r>
      <w:r w:rsidRPr="00A37373">
        <w:rPr>
          <w:rFonts w:cs="Times New Roman"/>
          <w:color w:val="000000"/>
        </w:rPr>
        <w:t xml:space="preserve">plaintiffs’ proper remedy was “by way of intervention in the main case, and, in the event of an adverse </w:t>
      </w:r>
      <w:r w:rsidRPr="00A37373">
        <w:rPr>
          <w:rFonts w:cs="Times New Roman"/>
          <w:color w:val="000000"/>
        </w:rPr>
        <w:t>decision there, an appeal to this court.” (</w:t>
      </w:r>
      <w:r w:rsidRPr="3DE41553">
        <w:rPr>
          <w:rFonts w:cs="Times New Roman"/>
          <w:i/>
          <w:iCs/>
          <w:color w:val="000000"/>
        </w:rPr>
        <w:t>Ford</w:t>
      </w:r>
      <w:r w:rsidRPr="00A37373">
        <w:rPr>
          <w:rFonts w:cs="Times New Roman"/>
          <w:color w:val="000000"/>
        </w:rPr>
        <w:t xml:space="preserve">, </w:t>
      </w:r>
      <w:r w:rsidRPr="3DE41553">
        <w:rPr>
          <w:rFonts w:cs="Times New Roman"/>
          <w:i/>
          <w:iCs/>
          <w:color w:val="000000"/>
        </w:rPr>
        <w:t>supra</w:t>
      </w:r>
      <w:r w:rsidRPr="00A37373">
        <w:rPr>
          <w:rFonts w:cs="Times New Roman"/>
          <w:color w:val="000000"/>
        </w:rPr>
        <w:t xml:space="preserve">, </w:t>
      </w:r>
      <w:r w:rsidR="007B0AD3">
        <w:rPr>
          <w:rFonts w:cs="Times New Roman"/>
        </w:rPr>
        <w:t xml:space="preserve">188 Cal.App.3d </w:t>
      </w:r>
      <w:r w:rsidRPr="00A37373">
        <w:rPr>
          <w:rFonts w:cs="Times New Roman"/>
          <w:color w:val="000000"/>
        </w:rPr>
        <w:t xml:space="preserve">at </w:t>
      </w:r>
      <w:r w:rsidR="007B0AD3">
        <w:rPr>
          <w:rFonts w:cs="Times New Roman"/>
          <w:color w:val="000000"/>
        </w:rPr>
        <w:t>p. </w:t>
      </w:r>
      <w:r w:rsidRPr="00A37373">
        <w:rPr>
          <w:rFonts w:cs="Times New Roman"/>
          <w:color w:val="000000"/>
        </w:rPr>
        <w:t>742</w:t>
      </w:r>
      <w:r w:rsidRPr="3DE41553">
        <w:rPr>
          <w:rFonts w:cs="Times New Roman"/>
          <w:i/>
          <w:iCs/>
          <w:color w:val="000000"/>
        </w:rPr>
        <w:t>.</w:t>
      </w:r>
      <w:r w:rsidRPr="00A37373">
        <w:rPr>
          <w:rFonts w:cs="Times New Roman"/>
          <w:color w:val="000000"/>
        </w:rPr>
        <w:t xml:space="preserve">) </w:t>
      </w:r>
      <w:r w:rsidR="7B6B5270">
        <w:rPr>
          <w:rFonts w:cs="Times New Roman"/>
          <w:color w:val="000000" w:themeColor="text1"/>
        </w:rPr>
        <w:t>A</w:t>
      </w:r>
      <w:r w:rsidR="007820BA">
        <w:rPr>
          <w:rFonts w:cs="Times New Roman"/>
          <w:color w:val="000000" w:themeColor="text1"/>
        </w:rPr>
        <w:t xml:space="preserve">s we have explained, </w:t>
      </w:r>
      <w:r w:rsidR="4835D7F8">
        <w:rPr>
          <w:rFonts w:cs="Times New Roman"/>
          <w:color w:val="000000" w:themeColor="text1"/>
        </w:rPr>
        <w:t xml:space="preserve">however, </w:t>
      </w:r>
      <w:r w:rsidRPr="00670F20">
        <w:rPr>
          <w:rFonts w:cs="Times New Roman"/>
          <w:color w:val="000000" w:themeColor="text1"/>
        </w:rPr>
        <w:t>plaintiffs have n</w:t>
      </w:r>
      <w:r w:rsidR="009E55D5">
        <w:rPr>
          <w:rFonts w:cs="Times New Roman"/>
          <w:color w:val="000000" w:themeColor="text1"/>
        </w:rPr>
        <w:t>either the desire nor the</w:t>
      </w:r>
      <w:r w:rsidRPr="00670F20">
        <w:rPr>
          <w:rFonts w:cs="Times New Roman"/>
          <w:color w:val="000000" w:themeColor="text1"/>
        </w:rPr>
        <w:t xml:space="preserve"> ability to intervene in the underlying criminal proceedings</w:t>
      </w:r>
      <w:r w:rsidR="00CA6AF7">
        <w:rPr>
          <w:rFonts w:cs="Times New Roman"/>
          <w:color w:val="000000"/>
        </w:rPr>
        <w:t xml:space="preserve"> and have disavowed any intent</w:t>
      </w:r>
      <w:r w:rsidR="002D493E">
        <w:rPr>
          <w:rFonts w:cs="Times New Roman"/>
          <w:color w:val="000000" w:themeColor="text1"/>
        </w:rPr>
        <w:t xml:space="preserve"> to </w:t>
      </w:r>
      <w:r w:rsidR="003576DB">
        <w:rPr>
          <w:rFonts w:cs="Times New Roman"/>
          <w:color w:val="000000" w:themeColor="text1"/>
        </w:rPr>
        <w:t>modify</w:t>
      </w:r>
      <w:r>
        <w:rPr>
          <w:rFonts w:cs="Times New Roman"/>
          <w:color w:val="000000" w:themeColor="text1"/>
        </w:rPr>
        <w:t xml:space="preserve"> </w:t>
      </w:r>
      <w:r w:rsidR="00403893">
        <w:rPr>
          <w:rFonts w:cs="Times New Roman"/>
          <w:color w:val="000000" w:themeColor="text1"/>
        </w:rPr>
        <w:t xml:space="preserve">any </w:t>
      </w:r>
      <w:r w:rsidRPr="5171E46A">
        <w:rPr>
          <w:rFonts w:cs="Times New Roman"/>
          <w:color w:val="000000" w:themeColor="text1"/>
        </w:rPr>
        <w:t xml:space="preserve">order or judgment entered in </w:t>
      </w:r>
      <w:r w:rsidR="00081ECD">
        <w:rPr>
          <w:rFonts w:cs="Times New Roman"/>
          <w:color w:val="000000" w:themeColor="text1"/>
        </w:rPr>
        <w:t xml:space="preserve">a </w:t>
      </w:r>
      <w:r w:rsidR="003246DB">
        <w:rPr>
          <w:rFonts w:cs="Times New Roman"/>
          <w:color w:val="000000" w:themeColor="text1"/>
        </w:rPr>
        <w:t>criminal</w:t>
      </w:r>
      <w:r w:rsidR="003246DB" w:rsidRPr="5171E46A">
        <w:rPr>
          <w:rFonts w:cs="Times New Roman"/>
          <w:color w:val="000000" w:themeColor="text1"/>
        </w:rPr>
        <w:t xml:space="preserve"> </w:t>
      </w:r>
      <w:r w:rsidRPr="5171E46A">
        <w:rPr>
          <w:rFonts w:cs="Times New Roman"/>
          <w:color w:val="000000" w:themeColor="text1"/>
        </w:rPr>
        <w:t>case</w:t>
      </w:r>
      <w:r>
        <w:rPr>
          <w:rFonts w:cs="Times New Roman"/>
          <w:color w:val="000000"/>
        </w:rPr>
        <w:t xml:space="preserve">. </w:t>
      </w:r>
      <w:r w:rsidR="5150C2CA">
        <w:rPr>
          <w:rFonts w:cs="Times New Roman"/>
          <w:color w:val="000000"/>
        </w:rPr>
        <w:t>And c</w:t>
      </w:r>
      <w:r w:rsidR="5B33BE11">
        <w:rPr>
          <w:rFonts w:cs="Times New Roman"/>
          <w:color w:val="000000"/>
        </w:rPr>
        <w:t>ontrary to defendants’ assertions,</w:t>
      </w:r>
      <w:r w:rsidR="40ECC70E">
        <w:rPr>
          <w:rFonts w:cs="Times New Roman"/>
          <w:color w:val="000000"/>
        </w:rPr>
        <w:t xml:space="preserve"> </w:t>
      </w:r>
      <w:r w:rsidR="5B33BE11">
        <w:rPr>
          <w:rFonts w:cs="Times New Roman"/>
          <w:color w:val="000000"/>
        </w:rPr>
        <w:t>t</w:t>
      </w:r>
      <w:r w:rsidR="49697B66">
        <w:rPr>
          <w:rFonts w:cs="Times New Roman"/>
          <w:color w:val="000000"/>
        </w:rPr>
        <w:t>he</w:t>
      </w:r>
      <w:r w:rsidR="22713D22">
        <w:rPr>
          <w:rFonts w:cs="Times New Roman"/>
          <w:color w:val="000000"/>
        </w:rPr>
        <w:t xml:space="preserve"> sought-after relief </w:t>
      </w:r>
      <w:r w:rsidR="003246DB">
        <w:rPr>
          <w:rFonts w:cs="Times New Roman"/>
          <w:color w:val="000000"/>
        </w:rPr>
        <w:t xml:space="preserve">does not </w:t>
      </w:r>
      <w:r w:rsidR="22713D22">
        <w:rPr>
          <w:rFonts w:cs="Times New Roman"/>
          <w:color w:val="000000"/>
        </w:rPr>
        <w:t>threaten to</w:t>
      </w:r>
      <w:r w:rsidR="22713D22" w:rsidRPr="3DE41553">
        <w:rPr>
          <w:rFonts w:cs="Times New Roman"/>
          <w:color w:val="000000" w:themeColor="text1"/>
        </w:rPr>
        <w:t xml:space="preserve"> upset individual, fact-specific, discretionary decisions </w:t>
      </w:r>
      <w:r w:rsidR="00DD085C">
        <w:rPr>
          <w:rFonts w:cs="Times New Roman"/>
          <w:color w:val="000000" w:themeColor="text1"/>
        </w:rPr>
        <w:t xml:space="preserve">on speedy trial </w:t>
      </w:r>
      <w:r w:rsidR="00512DCF">
        <w:rPr>
          <w:rFonts w:cs="Times New Roman"/>
          <w:color w:val="000000" w:themeColor="text1"/>
        </w:rPr>
        <w:t xml:space="preserve">motions </w:t>
      </w:r>
      <w:r w:rsidR="00A06807">
        <w:rPr>
          <w:rFonts w:cs="Times New Roman"/>
          <w:color w:val="000000" w:themeColor="text1"/>
        </w:rPr>
        <w:t xml:space="preserve">(to continue a trial beyond its statutory “last day” or to dismiss a case </w:t>
      </w:r>
      <w:r w:rsidR="00797846">
        <w:rPr>
          <w:rFonts w:cs="Times New Roman"/>
          <w:color w:val="000000" w:themeColor="text1"/>
        </w:rPr>
        <w:t>for failure show good cause for such continuance)</w:t>
      </w:r>
      <w:r w:rsidR="00512DCF">
        <w:rPr>
          <w:rFonts w:cs="Times New Roman"/>
          <w:color w:val="000000" w:themeColor="text1"/>
        </w:rPr>
        <w:t xml:space="preserve"> </w:t>
      </w:r>
      <w:r w:rsidR="22713D22" w:rsidRPr="3DE41553">
        <w:rPr>
          <w:rFonts w:cs="Times New Roman"/>
          <w:color w:val="000000" w:themeColor="text1"/>
        </w:rPr>
        <w:t>in individual criminal cases</w:t>
      </w:r>
      <w:r w:rsidR="00DD085C">
        <w:rPr>
          <w:rFonts w:cs="Times New Roman"/>
          <w:color w:val="000000" w:themeColor="text1"/>
        </w:rPr>
        <w:t>,</w:t>
      </w:r>
      <w:r w:rsidR="36E8395A" w:rsidRPr="3DE41553">
        <w:rPr>
          <w:rFonts w:cs="Times New Roman"/>
          <w:color w:val="000000" w:themeColor="text1"/>
        </w:rPr>
        <w:t xml:space="preserve"> </w:t>
      </w:r>
      <w:r w:rsidR="3A8630AA" w:rsidRPr="3DE41553">
        <w:rPr>
          <w:rFonts w:cs="Times New Roman"/>
          <w:color w:val="000000" w:themeColor="text1"/>
        </w:rPr>
        <w:t xml:space="preserve">or to </w:t>
      </w:r>
      <w:r w:rsidR="22713D22" w:rsidRPr="3DE41553">
        <w:rPr>
          <w:rFonts w:cs="Times New Roman"/>
          <w:color w:val="000000" w:themeColor="text1"/>
        </w:rPr>
        <w:t xml:space="preserve">alter the well-established procedural and substantive rules governing </w:t>
      </w:r>
      <w:r w:rsidR="00DD085C">
        <w:rPr>
          <w:rFonts w:cs="Times New Roman"/>
          <w:color w:val="000000" w:themeColor="text1"/>
        </w:rPr>
        <w:t xml:space="preserve">such </w:t>
      </w:r>
      <w:r w:rsidR="00A92820">
        <w:rPr>
          <w:rFonts w:cs="Times New Roman"/>
          <w:color w:val="000000" w:themeColor="text1"/>
        </w:rPr>
        <w:t>motions</w:t>
      </w:r>
      <w:r w:rsidR="22713D22" w:rsidRPr="3DE41553">
        <w:rPr>
          <w:rFonts w:cs="Times New Roman"/>
          <w:color w:val="000000" w:themeColor="text1"/>
        </w:rPr>
        <w:t xml:space="preserve">. </w:t>
      </w:r>
      <w:r w:rsidR="00CB5B45">
        <w:rPr>
          <w:rFonts w:cs="Times New Roman"/>
          <w:color w:val="000000"/>
        </w:rPr>
        <w:t>As such, n</w:t>
      </w:r>
      <w:r>
        <w:rPr>
          <w:rFonts w:cs="Times New Roman"/>
          <w:color w:val="000000"/>
        </w:rPr>
        <w:t xml:space="preserve">either </w:t>
      </w:r>
      <w:r w:rsidRPr="53BEE575">
        <w:rPr>
          <w:rFonts w:cs="Times New Roman"/>
          <w:color w:val="000000" w:themeColor="text1"/>
        </w:rPr>
        <w:t xml:space="preserve">the </w:t>
      </w:r>
      <w:r>
        <w:rPr>
          <w:rFonts w:cs="Times New Roman"/>
          <w:color w:val="000000"/>
        </w:rPr>
        <w:t xml:space="preserve">rule nor </w:t>
      </w:r>
      <w:r w:rsidRPr="53BEE575">
        <w:rPr>
          <w:rFonts w:cs="Times New Roman"/>
          <w:color w:val="000000" w:themeColor="text1"/>
        </w:rPr>
        <w:t xml:space="preserve">the </w:t>
      </w:r>
      <w:r>
        <w:rPr>
          <w:rFonts w:cs="Times New Roman"/>
          <w:color w:val="000000"/>
        </w:rPr>
        <w:t xml:space="preserve">underlying rationales </w:t>
      </w:r>
      <w:r w:rsidRPr="53BEE575">
        <w:rPr>
          <w:rFonts w:cs="Times New Roman"/>
          <w:color w:val="000000" w:themeColor="text1"/>
        </w:rPr>
        <w:t xml:space="preserve">of </w:t>
      </w:r>
      <w:r w:rsidRPr="3DE41553">
        <w:rPr>
          <w:rFonts w:cs="Times New Roman"/>
          <w:i/>
          <w:iCs/>
          <w:color w:val="000000" w:themeColor="text1"/>
        </w:rPr>
        <w:t>Ford</w:t>
      </w:r>
      <w:r w:rsidRPr="53BEE575">
        <w:rPr>
          <w:rFonts w:cs="Times New Roman"/>
          <w:color w:val="000000" w:themeColor="text1"/>
        </w:rPr>
        <w:t xml:space="preserve"> </w:t>
      </w:r>
      <w:r>
        <w:rPr>
          <w:rFonts w:cs="Times New Roman"/>
          <w:color w:val="000000"/>
        </w:rPr>
        <w:t>appl</w:t>
      </w:r>
      <w:r w:rsidRPr="53BEE575">
        <w:rPr>
          <w:rFonts w:cs="Times New Roman"/>
          <w:color w:val="000000" w:themeColor="text1"/>
        </w:rPr>
        <w:t>y</w:t>
      </w:r>
      <w:r>
        <w:rPr>
          <w:rFonts w:cs="Times New Roman"/>
          <w:color w:val="000000"/>
        </w:rPr>
        <w:t xml:space="preserve"> to bar </w:t>
      </w:r>
      <w:r w:rsidR="00CB5B45">
        <w:rPr>
          <w:rFonts w:cs="Times New Roman"/>
          <w:color w:val="000000"/>
        </w:rPr>
        <w:t xml:space="preserve">plaintiffs’ </w:t>
      </w:r>
      <w:r>
        <w:rPr>
          <w:rFonts w:cs="Times New Roman"/>
          <w:color w:val="000000"/>
        </w:rPr>
        <w:t>taxpayer cause of action.</w:t>
      </w:r>
    </w:p>
    <w:p w14:paraId="1DC89FBD" w14:textId="528081A5" w:rsidR="0080647E" w:rsidRPr="006840B6" w:rsidRDefault="003D06AD" w:rsidP="003F5F13">
      <w:pPr>
        <w:keepNext/>
        <w:spacing w:line="360" w:lineRule="auto"/>
        <w:ind w:left="720" w:hanging="720"/>
        <w:contextualSpacing/>
        <w:rPr>
          <w:b/>
        </w:rPr>
      </w:pPr>
      <w:r>
        <w:rPr>
          <w:b/>
        </w:rPr>
        <w:t>2.</w:t>
      </w:r>
      <w:r>
        <w:rPr>
          <w:b/>
        </w:rPr>
        <w:tab/>
        <w:t>Defendants’ Alternative Arguments</w:t>
      </w:r>
    </w:p>
    <w:p w14:paraId="34A4D9EC" w14:textId="57E8F02C" w:rsidR="0080647E" w:rsidRPr="007E4073" w:rsidRDefault="003D06AD" w:rsidP="3DE41553">
      <w:pPr>
        <w:shd w:val="clear" w:color="auto" w:fill="FFFFFF" w:themeFill="background1"/>
        <w:spacing w:line="360" w:lineRule="auto"/>
        <w:contextualSpacing/>
        <w:rPr>
          <w:rFonts w:eastAsia="Times New Roman"/>
          <w:color w:val="000000"/>
          <w:sz w:val="24"/>
          <w:szCs w:val="24"/>
        </w:rPr>
      </w:pPr>
      <w:r>
        <w:rPr>
          <w:rFonts w:cs="Times New Roman"/>
          <w:spacing w:val="-2"/>
        </w:rPr>
        <w:tab/>
      </w:r>
      <w:r>
        <w:rPr>
          <w:rFonts w:cs="Times New Roman"/>
          <w:spacing w:val="-2"/>
        </w:rPr>
        <w:t xml:space="preserve">Despite the </w:t>
      </w:r>
      <w:r w:rsidR="004B30A5">
        <w:rPr>
          <w:rFonts w:cs="Times New Roman"/>
          <w:spacing w:val="-2"/>
        </w:rPr>
        <w:t xml:space="preserve">trial </w:t>
      </w:r>
      <w:r>
        <w:rPr>
          <w:rFonts w:cs="Times New Roman"/>
          <w:spacing w:val="-2"/>
        </w:rPr>
        <w:t xml:space="preserve">court’s erroneous </w:t>
      </w:r>
      <w:r w:rsidR="00F37584">
        <w:rPr>
          <w:rFonts w:cs="Times New Roman"/>
          <w:spacing w:val="-2"/>
        </w:rPr>
        <w:t xml:space="preserve">application of </w:t>
      </w:r>
      <w:r w:rsidR="00F37584" w:rsidRPr="00E81453">
        <w:rPr>
          <w:rFonts w:cs="Times New Roman"/>
          <w:i/>
          <w:iCs/>
          <w:spacing w:val="-2"/>
        </w:rPr>
        <w:t>Ford</w:t>
      </w:r>
      <w:r>
        <w:rPr>
          <w:rFonts w:cs="Times New Roman"/>
          <w:spacing w:val="-2"/>
        </w:rPr>
        <w:t xml:space="preserve">, the judgment will not be reversed if </w:t>
      </w:r>
      <w:r w:rsidR="13B5C07D">
        <w:rPr>
          <w:rFonts w:cs="Times New Roman"/>
          <w:spacing w:val="-2"/>
        </w:rPr>
        <w:t xml:space="preserve">we find </w:t>
      </w:r>
      <w:r>
        <w:rPr>
          <w:rFonts w:cs="Times New Roman"/>
          <w:spacing w:val="-2"/>
        </w:rPr>
        <w:t>the demurrer should have been sustained based upon any of d</w:t>
      </w:r>
      <w:r>
        <w:rPr>
          <w:rFonts w:cs="Times New Roman"/>
        </w:rPr>
        <w:t xml:space="preserve">efendants’ </w:t>
      </w:r>
      <w:r>
        <w:rPr>
          <w:rFonts w:cs="Times New Roman"/>
          <w:spacing w:val="-2"/>
        </w:rPr>
        <w:t>alternative “</w:t>
      </w:r>
      <w:r w:rsidRPr="006840B6">
        <w:rPr>
          <w:rFonts w:cs="Times New Roman"/>
        </w:rPr>
        <w:t>ground</w:t>
      </w:r>
      <w:r>
        <w:rPr>
          <w:rFonts w:cs="Times New Roman"/>
        </w:rPr>
        <w:t>[s]</w:t>
      </w:r>
      <w:r w:rsidRPr="006840B6">
        <w:rPr>
          <w:rFonts w:cs="Times New Roman"/>
        </w:rPr>
        <w:t xml:space="preserve"> offered in support of the</w:t>
      </w:r>
      <w:r w:rsidR="008C295E">
        <w:rPr>
          <w:rFonts w:cs="Times New Roman"/>
        </w:rPr>
        <w:t xml:space="preserve"> </w:t>
      </w:r>
      <w:r w:rsidRPr="006840B6">
        <w:rPr>
          <w:rFonts w:cs="Times New Roman"/>
        </w:rPr>
        <w:t>demurrer</w:t>
      </w:r>
      <w:r>
        <w:rPr>
          <w:rFonts w:cs="Times New Roman"/>
          <w:spacing w:val="-2"/>
        </w:rPr>
        <w:t>”</w:t>
      </w:r>
      <w:r w:rsidR="004B30A5">
        <w:rPr>
          <w:rFonts w:cs="Times New Roman"/>
          <w:spacing w:val="-2"/>
        </w:rPr>
        <w:t xml:space="preserve"> and reiterated on appeal.</w:t>
      </w:r>
      <w:r w:rsidRPr="00360742">
        <w:t xml:space="preserve"> </w:t>
      </w:r>
      <w:r w:rsidRPr="007D4DC5">
        <w:t>(</w:t>
      </w:r>
      <w:r w:rsidRPr="3DE41553">
        <w:rPr>
          <w:i/>
          <w:iCs/>
        </w:rPr>
        <w:t>Amy</w:t>
      </w:r>
      <w:r w:rsidR="008C295E" w:rsidRPr="3DE41553">
        <w:rPr>
          <w:i/>
          <w:iCs/>
        </w:rPr>
        <w:t>’</w:t>
      </w:r>
      <w:r w:rsidRPr="3DE41553">
        <w:rPr>
          <w:i/>
          <w:iCs/>
        </w:rPr>
        <w:t>s Kitchen</w:t>
      </w:r>
      <w:r w:rsidRPr="007D4DC5">
        <w:t xml:space="preserve">, </w:t>
      </w:r>
      <w:r w:rsidRPr="00B9221A">
        <w:rPr>
          <w:i/>
          <w:iCs/>
        </w:rPr>
        <w:t>supra</w:t>
      </w:r>
      <w:r w:rsidRPr="007D4DC5">
        <w:t xml:space="preserve">, 83 Cal.App.5th at </w:t>
      </w:r>
      <w:r w:rsidRPr="007D4DC5">
        <w:lastRenderedPageBreak/>
        <w:t>p.</w:t>
      </w:r>
      <w:r>
        <w:t> </w:t>
      </w:r>
      <w:r w:rsidRPr="007D4DC5">
        <w:t>1067.)</w:t>
      </w:r>
      <w:r>
        <w:rPr>
          <w:rFonts w:cs="Times New Roman"/>
          <w:spacing w:val="-2"/>
        </w:rPr>
        <w:t xml:space="preserve"> </w:t>
      </w:r>
      <w:r w:rsidR="00054031">
        <w:rPr>
          <w:rFonts w:cs="Times New Roman"/>
          <w:spacing w:val="-2"/>
        </w:rPr>
        <w:t xml:space="preserve">To evaluate these </w:t>
      </w:r>
      <w:r>
        <w:rPr>
          <w:rFonts w:cs="Times New Roman"/>
          <w:spacing w:val="-2"/>
        </w:rPr>
        <w:t xml:space="preserve">theories, we </w:t>
      </w:r>
      <w:r w:rsidR="00EE5521">
        <w:rPr>
          <w:rFonts w:cs="Times New Roman"/>
          <w:spacing w:val="-2"/>
        </w:rPr>
        <w:t>first</w:t>
      </w:r>
      <w:r>
        <w:rPr>
          <w:rFonts w:cs="Times New Roman"/>
          <w:spacing w:val="-2"/>
        </w:rPr>
        <w:t xml:space="preserve"> examine the two forms of taxpayer standing </w:t>
      </w:r>
      <w:r w:rsidR="00434C47">
        <w:rPr>
          <w:rFonts w:cs="Times New Roman"/>
          <w:spacing w:val="-2"/>
        </w:rPr>
        <w:t xml:space="preserve">and </w:t>
      </w:r>
      <w:r>
        <w:rPr>
          <w:rFonts w:cs="Times New Roman"/>
          <w:spacing w:val="-2"/>
        </w:rPr>
        <w:t xml:space="preserve">the </w:t>
      </w:r>
      <w:r w:rsidR="00DB15CC">
        <w:rPr>
          <w:rFonts w:cs="Times New Roman"/>
          <w:spacing w:val="-2"/>
        </w:rPr>
        <w:t xml:space="preserve">various </w:t>
      </w:r>
      <w:r>
        <w:rPr>
          <w:rFonts w:cs="Times New Roman"/>
          <w:spacing w:val="-2"/>
        </w:rPr>
        <w:t>Penal Code provisions</w:t>
      </w:r>
      <w:r w:rsidR="00DB15CC">
        <w:rPr>
          <w:rFonts w:cs="Times New Roman"/>
          <w:spacing w:val="-2"/>
        </w:rPr>
        <w:t xml:space="preserve"> upon which the taxpayer claim </w:t>
      </w:r>
      <w:r w:rsidR="005213E1">
        <w:rPr>
          <w:rFonts w:cs="Times New Roman"/>
          <w:spacing w:val="-2"/>
        </w:rPr>
        <w:t>is premised.</w:t>
      </w:r>
    </w:p>
    <w:p w14:paraId="3348F86B" w14:textId="738445EA" w:rsidR="0080647E" w:rsidRPr="00684298" w:rsidRDefault="003D06AD" w:rsidP="3DE41553">
      <w:pPr>
        <w:keepNext/>
        <w:autoSpaceDE w:val="0"/>
        <w:autoSpaceDN w:val="0"/>
        <w:adjustRightInd w:val="0"/>
        <w:spacing w:line="360" w:lineRule="auto"/>
        <w:contextualSpacing/>
        <w:rPr>
          <w:rFonts w:cs="Times New Roman"/>
          <w:b/>
          <w:bCs/>
          <w:i/>
          <w:iCs/>
          <w:spacing w:val="-2"/>
        </w:rPr>
      </w:pPr>
      <w:r>
        <w:rPr>
          <w:rFonts w:cs="Times New Roman"/>
          <w:b/>
          <w:bCs/>
          <w:spacing w:val="-2"/>
        </w:rPr>
        <w:tab/>
        <w:t>a.</w:t>
      </w:r>
      <w:r>
        <w:rPr>
          <w:rFonts w:cs="Times New Roman"/>
          <w:b/>
          <w:spacing w:val="-2"/>
        </w:rPr>
        <w:t xml:space="preserve"> </w:t>
      </w:r>
      <w:r w:rsidRPr="3DE41553">
        <w:rPr>
          <w:rFonts w:cs="Times New Roman"/>
          <w:b/>
          <w:bCs/>
          <w:i/>
          <w:iCs/>
          <w:spacing w:val="-2"/>
        </w:rPr>
        <w:t>Taxpayer</w:t>
      </w:r>
      <w:r w:rsidR="00434C47" w:rsidRPr="3DE41553">
        <w:rPr>
          <w:rFonts w:cs="Times New Roman"/>
          <w:b/>
          <w:bCs/>
          <w:i/>
          <w:iCs/>
          <w:spacing w:val="-2"/>
        </w:rPr>
        <w:t xml:space="preserve"> </w:t>
      </w:r>
      <w:r w:rsidRPr="3DE41553">
        <w:rPr>
          <w:rFonts w:cs="Times New Roman"/>
          <w:b/>
          <w:bCs/>
          <w:i/>
          <w:iCs/>
          <w:spacing w:val="-2"/>
        </w:rPr>
        <w:t>Standing</w:t>
      </w:r>
      <w:r w:rsidR="6404F315" w:rsidRPr="3DE41553">
        <w:rPr>
          <w:rFonts w:cs="Times New Roman"/>
          <w:b/>
          <w:bCs/>
          <w:i/>
          <w:iCs/>
          <w:spacing w:val="-2"/>
        </w:rPr>
        <w:t xml:space="preserve"> Claims Against Courts and Judges</w:t>
      </w:r>
    </w:p>
    <w:p w14:paraId="1B34F22A" w14:textId="4F90AEDA" w:rsidR="00434C47" w:rsidRDefault="003D06AD" w:rsidP="3DE41553">
      <w:pPr>
        <w:autoSpaceDE w:val="0"/>
        <w:autoSpaceDN w:val="0"/>
        <w:adjustRightInd w:val="0"/>
        <w:spacing w:line="360" w:lineRule="auto"/>
        <w:contextualSpacing/>
        <w:rPr>
          <w:rFonts w:cs="Arial"/>
          <w:color w:val="555555"/>
        </w:rPr>
      </w:pPr>
      <w:r>
        <w:rPr>
          <w:rFonts w:cs="Times New Roman"/>
          <w:spacing w:val="-2"/>
        </w:rPr>
        <w:tab/>
      </w:r>
      <w:r w:rsidR="25975A6A" w:rsidRPr="4B0E998B">
        <w:rPr>
          <w:rFonts w:cs="CenturySchoolbook"/>
        </w:rPr>
        <w:t>“[A]</w:t>
      </w:r>
      <w:r w:rsidR="00C41093">
        <w:rPr>
          <w:rFonts w:cs="CenturySchoolbook"/>
        </w:rPr>
        <w:t xml:space="preserve"> </w:t>
      </w:r>
      <w:r w:rsidR="25975A6A" w:rsidRPr="4B0E998B">
        <w:rPr>
          <w:rFonts w:cs="CenturySchoolbook"/>
        </w:rPr>
        <w:t xml:space="preserve">taxpayer can </w:t>
      </w:r>
      <w:proofErr w:type="gramStart"/>
      <w:r w:rsidR="25975A6A" w:rsidRPr="4B0E998B">
        <w:rPr>
          <w:rFonts w:cs="CenturySchoolbook"/>
        </w:rPr>
        <w:t>bring suit against</w:t>
      </w:r>
      <w:proofErr w:type="gramEnd"/>
      <w:r w:rsidR="25975A6A" w:rsidRPr="4B0E998B">
        <w:rPr>
          <w:rFonts w:cs="CenturySchoolbook"/>
        </w:rPr>
        <w:t xml:space="preserve"> governmental bodies in California under either of two theories, one statutory, the other based upon the common law. Section 526a </w:t>
      </w:r>
      <w:r w:rsidR="00EA4F81">
        <w:rPr>
          <w:rFonts w:cs="CenturySchoolbook"/>
        </w:rPr>
        <w:t>of the Code of Civil Procedure</w:t>
      </w:r>
      <w:r w:rsidR="4F620645">
        <w:rPr>
          <w:rFonts w:cs="CenturySchoolbook"/>
        </w:rPr>
        <w:t xml:space="preserve"> </w:t>
      </w:r>
      <w:r w:rsidR="25975A6A" w:rsidRPr="4B0E998B">
        <w:rPr>
          <w:rFonts w:cs="CenturySchoolbook"/>
        </w:rPr>
        <w:t xml:space="preserve">provides, in part, that ‘An action to obtain a judgment, restraining and preventing any illegal expenditure of, </w:t>
      </w:r>
      <w:r w:rsidR="25975A6A" w:rsidRPr="797FBB80">
        <w:rPr>
          <w:rFonts w:cs="CenturySchoolbook"/>
          <w:i/>
          <w:iCs/>
        </w:rPr>
        <w:t>waste of</w:t>
      </w:r>
      <w:r w:rsidR="25975A6A" w:rsidRPr="4B0E998B">
        <w:rPr>
          <w:rFonts w:cs="CenturySchoolbook"/>
        </w:rPr>
        <w:t xml:space="preserve">, or injury to, the estate, </w:t>
      </w:r>
      <w:r w:rsidR="25975A6A" w:rsidRPr="797FBB80">
        <w:rPr>
          <w:rFonts w:cs="CenturySchoolbook"/>
          <w:i/>
          <w:iCs/>
        </w:rPr>
        <w:t>funds</w:t>
      </w:r>
      <w:r w:rsidR="25975A6A" w:rsidRPr="4B0E998B">
        <w:rPr>
          <w:rFonts w:cs="CenturySchoolbook"/>
        </w:rPr>
        <w:t xml:space="preserve">, or other property </w:t>
      </w:r>
      <w:r w:rsidR="25975A6A" w:rsidRPr="797FBB80">
        <w:rPr>
          <w:rFonts w:cs="CenturySchoolbook"/>
          <w:i/>
          <w:iCs/>
        </w:rPr>
        <w:t>of a county, town, city or city and county of the state</w:t>
      </w:r>
      <w:r w:rsidR="25975A6A" w:rsidRPr="4B0E998B">
        <w:rPr>
          <w:rFonts w:cs="CenturySchoolbook"/>
        </w:rPr>
        <w:t>,</w:t>
      </w:r>
      <w:r w:rsidR="00C5340F" w:rsidRPr="00C15A43">
        <w:rPr>
          <w:rFonts w:cs="CenturySchoolbook"/>
          <w:vertAlign w:val="superscript"/>
        </w:rPr>
        <w:t>[</w:t>
      </w:r>
      <w:r>
        <w:rPr>
          <w:rStyle w:val="FootnoteReference"/>
          <w:rFonts w:cs="CenturySchoolbook"/>
        </w:rPr>
        <w:footnoteReference w:id="15"/>
      </w:r>
      <w:r w:rsidR="00C5340F" w:rsidRPr="00C15A43">
        <w:rPr>
          <w:rFonts w:cs="CenturySchoolbook"/>
          <w:vertAlign w:val="superscript"/>
        </w:rPr>
        <w:t>]</w:t>
      </w:r>
      <w:r w:rsidR="25975A6A" w:rsidRPr="4B0E998B">
        <w:rPr>
          <w:rFonts w:cs="CenturySchoolbook"/>
        </w:rPr>
        <w:t xml:space="preserve"> may be maintained against any officer thereof, or any agent, or other person, acting in its behalf, either by a citizen resident therein, or by a corporation, who is assessed for and is liable to pay, or, within one year before the commencement of the action, has paid, a tax therein.’ (Italics added.) This provision is to be compared to and contrasted with the common law authority for taxpayer suits, as stated in </w:t>
      </w:r>
      <w:proofErr w:type="gramStart"/>
      <w:r w:rsidR="25975A6A" w:rsidRPr="797FBB80">
        <w:rPr>
          <w:rFonts w:cs="CenturySchoolbook"/>
          <w:i/>
          <w:iCs/>
        </w:rPr>
        <w:t>Silver</w:t>
      </w:r>
      <w:r w:rsidR="25975A6A" w:rsidRPr="4B0E998B">
        <w:rPr>
          <w:rFonts w:cs="CenturySchoolbook"/>
        </w:rPr>
        <w:t>[</w:t>
      </w:r>
      <w:proofErr w:type="gramEnd"/>
      <w:r w:rsidR="25975A6A" w:rsidRPr="4B0E998B">
        <w:rPr>
          <w:rFonts w:cs="CenturySchoolbook"/>
        </w:rPr>
        <w:t xml:space="preserve">, </w:t>
      </w:r>
      <w:r w:rsidR="25975A6A" w:rsidRPr="797FBB80">
        <w:rPr>
          <w:rFonts w:cs="CenturySchoolbook"/>
          <w:i/>
          <w:iCs/>
        </w:rPr>
        <w:t>supra</w:t>
      </w:r>
      <w:r w:rsidR="25975A6A" w:rsidRPr="4B0E998B">
        <w:rPr>
          <w:rFonts w:cs="CenturySchoolbook"/>
        </w:rPr>
        <w:t xml:space="preserve">,] 57 Cal.2d [at pages] 40–41 that a ‘taxpayer in his representative capacity can sue a municipality </w:t>
      </w:r>
      <w:r w:rsidR="25975A6A" w:rsidRPr="00AF2B79">
        <w:rPr>
          <w:rFonts w:cs="CenturySchoolbook"/>
          <w:i/>
          <w:iCs/>
        </w:rPr>
        <w:t xml:space="preserve">only </w:t>
      </w:r>
      <w:r w:rsidR="25975A6A" w:rsidRPr="4B0E998B">
        <w:rPr>
          <w:rFonts w:cs="CenturySchoolbook"/>
        </w:rPr>
        <w:t xml:space="preserve">in cases </w:t>
      </w:r>
      <w:r w:rsidR="25975A6A" w:rsidRPr="00593D51">
        <w:rPr>
          <w:rFonts w:cs="CenturySchoolbook"/>
        </w:rPr>
        <w:t xml:space="preserve">involving </w:t>
      </w:r>
      <w:r w:rsidR="25975A6A" w:rsidRPr="797FBB80">
        <w:rPr>
          <w:rFonts w:cs="CenturySchoolbook"/>
          <w:i/>
          <w:iCs/>
        </w:rPr>
        <w:t>fraud, collusion, ultra vires, or a failure on the part of the governmental body to perform a duty specifically enjoined</w:t>
      </w:r>
      <w:r w:rsidR="25975A6A" w:rsidRPr="00593D51">
        <w:rPr>
          <w:rFonts w:cs="CenturySchoolbook"/>
        </w:rPr>
        <w:t>.’ (Italics added.)</w:t>
      </w:r>
      <w:r w:rsidR="31D30086">
        <w:rPr>
          <w:rFonts w:cs="CenturySchoolbook"/>
        </w:rPr>
        <w:t>”</w:t>
      </w:r>
      <w:r w:rsidR="25975A6A" w:rsidRPr="4B0E998B">
        <w:rPr>
          <w:rFonts w:cs="CenturySchoolbook"/>
        </w:rPr>
        <w:t xml:space="preserve"> </w:t>
      </w:r>
      <w:r w:rsidR="31D30086" w:rsidRPr="00593D51">
        <w:rPr>
          <w:rFonts w:cs="CenturySchoolbook"/>
        </w:rPr>
        <w:t>(</w:t>
      </w:r>
      <w:r w:rsidR="31D30086" w:rsidRPr="797FBB80">
        <w:rPr>
          <w:rFonts w:cs="Arial"/>
          <w:i/>
          <w:iCs/>
        </w:rPr>
        <w:t xml:space="preserve">Los Altos Property </w:t>
      </w:r>
      <w:r w:rsidR="31D30086" w:rsidRPr="797FBB80">
        <w:rPr>
          <w:rFonts w:cs="Arial"/>
          <w:i/>
          <w:iCs/>
          <w:spacing w:val="-2"/>
        </w:rPr>
        <w:t>Owners Assn. v. Hutcheon</w:t>
      </w:r>
      <w:r w:rsidR="31D30086" w:rsidRPr="00DA1D21">
        <w:rPr>
          <w:rFonts w:cs="Arial"/>
          <w:spacing w:val="-2"/>
        </w:rPr>
        <w:t xml:space="preserve"> (1977) 69</w:t>
      </w:r>
      <w:r w:rsidR="7AEC5255" w:rsidRPr="00DA1D21">
        <w:rPr>
          <w:rFonts w:cs="Arial"/>
          <w:spacing w:val="-2"/>
        </w:rPr>
        <w:t> </w:t>
      </w:r>
      <w:r w:rsidR="31D30086" w:rsidRPr="00DA1D21">
        <w:rPr>
          <w:rFonts w:cs="Arial"/>
          <w:spacing w:val="-2"/>
        </w:rPr>
        <w:t>Cal.App.3d 22, 26.)</w:t>
      </w:r>
      <w:r w:rsidR="31D30086" w:rsidRPr="00DA1D21">
        <w:rPr>
          <w:rStyle w:val="FootnoteReference"/>
          <w:rFonts w:cs="Arial"/>
        </w:rPr>
        <w:t xml:space="preserve"> </w:t>
      </w:r>
    </w:p>
    <w:p w14:paraId="74E18F20" w14:textId="7C26469E" w:rsidR="00434C47" w:rsidRDefault="003D06AD" w:rsidP="00B248BF">
      <w:pPr>
        <w:autoSpaceDE w:val="0"/>
        <w:autoSpaceDN w:val="0"/>
        <w:adjustRightInd w:val="0"/>
        <w:spacing w:line="360" w:lineRule="auto"/>
        <w:contextualSpacing/>
        <w:rPr>
          <w:rFonts w:cs="Times New Roman"/>
          <w:color w:val="000000"/>
        </w:rPr>
      </w:pPr>
      <w:r>
        <w:rPr>
          <w:rFonts w:cs="CenturySchoolbook"/>
        </w:rPr>
        <w:tab/>
      </w:r>
      <w:r w:rsidR="1655F2F1">
        <w:rPr>
          <w:rFonts w:cs="CenturySchoolbook"/>
        </w:rPr>
        <w:t>Defendants mainly challenge the sufficiency of plaintiffs</w:t>
      </w:r>
      <w:r w:rsidR="24AD46A9">
        <w:rPr>
          <w:rFonts w:cs="CenturySchoolbook"/>
        </w:rPr>
        <w:t>’</w:t>
      </w:r>
      <w:r w:rsidR="2B1CC7A4">
        <w:rPr>
          <w:rFonts w:cs="CenturySchoolbook"/>
        </w:rPr>
        <w:t xml:space="preserve"> </w:t>
      </w:r>
      <w:r w:rsidR="001261BB">
        <w:rPr>
          <w:rFonts w:cs="CenturySchoolbook"/>
        </w:rPr>
        <w:t>Code of Civil P</w:t>
      </w:r>
      <w:r w:rsidR="00361CA0">
        <w:rPr>
          <w:rFonts w:cs="CenturySchoolbook"/>
        </w:rPr>
        <w:t>roc</w:t>
      </w:r>
      <w:r w:rsidR="001261BB">
        <w:rPr>
          <w:rFonts w:cs="CenturySchoolbook"/>
        </w:rPr>
        <w:t xml:space="preserve">edure </w:t>
      </w:r>
      <w:r w:rsidR="001D2F79">
        <w:rPr>
          <w:rFonts w:cs="CenturySchoolbook"/>
        </w:rPr>
        <w:t xml:space="preserve">section </w:t>
      </w:r>
      <w:r w:rsidR="1655F2F1">
        <w:rPr>
          <w:rFonts w:cs="CenturySchoolbook"/>
        </w:rPr>
        <w:t>526a claim</w:t>
      </w:r>
      <w:r w:rsidR="001261BB">
        <w:rPr>
          <w:rFonts w:cs="CenturySchoolbook"/>
        </w:rPr>
        <w:t xml:space="preserve"> (statutory taxpayer claim)</w:t>
      </w:r>
      <w:r w:rsidR="1655F2F1">
        <w:rPr>
          <w:rFonts w:cs="CenturySchoolbook"/>
        </w:rPr>
        <w:t xml:space="preserve">. First, they </w:t>
      </w:r>
      <w:r w:rsidR="72C4E31D">
        <w:rPr>
          <w:rFonts w:cs="CenturySchoolbook"/>
        </w:rPr>
        <w:t xml:space="preserve">assert </w:t>
      </w:r>
      <w:r w:rsidR="72C4E31D">
        <w:rPr>
          <w:rFonts w:cs="CenturySchoolbook"/>
        </w:rPr>
        <w:lastRenderedPageBreak/>
        <w:t>that they are not subject to a statutory claim because they are not identified in the statute as a covered entity.</w:t>
      </w:r>
      <w:r w:rsidR="7AEC5255">
        <w:rPr>
          <w:rFonts w:cs="CenturySchoolbook"/>
        </w:rPr>
        <w:t xml:space="preserve"> </w:t>
      </w:r>
      <w:r w:rsidR="7D14D67D">
        <w:rPr>
          <w:rFonts w:cs="CenturySchoolbook"/>
        </w:rPr>
        <w:t>This argument is</w:t>
      </w:r>
      <w:r w:rsidR="18518CA7">
        <w:rPr>
          <w:rFonts w:cs="CenturySchoolbook"/>
        </w:rPr>
        <w:t>, frankly,</w:t>
      </w:r>
      <w:r w:rsidR="7D14D67D">
        <w:rPr>
          <w:rFonts w:cs="CenturySchoolbook"/>
        </w:rPr>
        <w:t xml:space="preserve"> specious. </w:t>
      </w:r>
      <w:r w:rsidR="603200E1">
        <w:rPr>
          <w:rFonts w:cs="CenturySchoolbook"/>
        </w:rPr>
        <w:t>A</w:t>
      </w:r>
      <w:r w:rsidR="6F682DE5">
        <w:rPr>
          <w:rFonts w:cs="CenturySchoolbook"/>
        </w:rPr>
        <w:t>lthough</w:t>
      </w:r>
      <w:r w:rsidR="00183E0C">
        <w:rPr>
          <w:rFonts w:cs="CenturySchoolbook"/>
        </w:rPr>
        <w:t xml:space="preserve"> the statute</w:t>
      </w:r>
      <w:r w:rsidR="7AEC5255">
        <w:rPr>
          <w:rFonts w:cs="CenturySchoolbook"/>
        </w:rPr>
        <w:t xml:space="preserve"> “</w:t>
      </w:r>
      <w:r w:rsidR="25975A6A" w:rsidRPr="4B0E998B">
        <w:rPr>
          <w:rFonts w:cs="CenturySchoolbook"/>
        </w:rPr>
        <w:t>on its face, only applies to towns, cities, counties, and cities and counties of the state</w:t>
      </w:r>
      <w:r w:rsidR="00BC7012">
        <w:rPr>
          <w:rFonts w:cs="CenturySchoolbook"/>
        </w:rPr>
        <w:t>,</w:t>
      </w:r>
      <w:r w:rsidR="25975A6A" w:rsidRPr="4B0E998B">
        <w:rPr>
          <w:rFonts w:cs="CenturySchoolbook"/>
        </w:rPr>
        <w:t xml:space="preserve">” </w:t>
      </w:r>
      <w:r w:rsidR="4F2E348B">
        <w:rPr>
          <w:rFonts w:cs="CenturySchoolbook"/>
        </w:rPr>
        <w:t>our c</w:t>
      </w:r>
      <w:r w:rsidR="7AEC5255">
        <w:rPr>
          <w:rFonts w:cs="CenturySchoolbook"/>
        </w:rPr>
        <w:t xml:space="preserve">ourts have </w:t>
      </w:r>
      <w:r w:rsidR="25975A6A" w:rsidRPr="00353D3A">
        <w:rPr>
          <w:rFonts w:cs="CenturySchoolbook"/>
        </w:rPr>
        <w:t xml:space="preserve">“consistently held that </w:t>
      </w:r>
      <w:r w:rsidR="00687F47">
        <w:rPr>
          <w:rFonts w:cs="CenturySchoolbook"/>
        </w:rPr>
        <w:t>the statute</w:t>
      </w:r>
      <w:r w:rsidR="25975A6A" w:rsidRPr="00353D3A">
        <w:rPr>
          <w:rFonts w:cs="CenturySchoolbook"/>
        </w:rPr>
        <w:t xml:space="preserve"> is to be liberally construed” </w:t>
      </w:r>
      <w:r w:rsidR="6BAEE061">
        <w:rPr>
          <w:rFonts w:cs="CenturySchoolbook"/>
        </w:rPr>
        <w:t>to</w:t>
      </w:r>
      <w:r w:rsidR="6BAEE061" w:rsidRPr="00353D3A">
        <w:rPr>
          <w:rFonts w:cs="CenturySchoolbook"/>
        </w:rPr>
        <w:t xml:space="preserve"> </w:t>
      </w:r>
      <w:r w:rsidR="6BAEE061">
        <w:rPr>
          <w:rFonts w:cs="CenturySchoolbook"/>
        </w:rPr>
        <w:t xml:space="preserve">also </w:t>
      </w:r>
      <w:r w:rsidR="7AEC5255">
        <w:rPr>
          <w:rFonts w:cs="CenturySchoolbook"/>
        </w:rPr>
        <w:t>appl</w:t>
      </w:r>
      <w:r w:rsidR="6BAEE061">
        <w:rPr>
          <w:rFonts w:cs="CenturySchoolbook"/>
        </w:rPr>
        <w:t>y</w:t>
      </w:r>
      <w:r w:rsidR="7AEC5255" w:rsidRPr="00353D3A">
        <w:rPr>
          <w:rFonts w:cs="CenturySchoolbook"/>
        </w:rPr>
        <w:t xml:space="preserve"> </w:t>
      </w:r>
      <w:r w:rsidR="25975A6A" w:rsidRPr="00353D3A">
        <w:rPr>
          <w:rFonts w:cs="CenturySchoolbook"/>
        </w:rPr>
        <w:t>to state officials and agencies</w:t>
      </w:r>
      <w:r w:rsidR="1EC3FABD">
        <w:rPr>
          <w:rFonts w:cs="CenturySchoolbook"/>
        </w:rPr>
        <w:t>.</w:t>
      </w:r>
      <w:r w:rsidR="25975A6A" w:rsidRPr="00A1241C">
        <w:rPr>
          <w:rFonts w:cs="CenturySchoolbook"/>
        </w:rPr>
        <w:t xml:space="preserve"> (</w:t>
      </w:r>
      <w:r w:rsidR="003357B4" w:rsidRPr="00A1241C">
        <w:rPr>
          <w:rFonts w:cs="CenturySchoolbook"/>
          <w:i/>
        </w:rPr>
        <w:t>Los Altos</w:t>
      </w:r>
      <w:r w:rsidR="00F64206">
        <w:rPr>
          <w:rFonts w:cs="CenturySchoolbook"/>
          <w:i/>
        </w:rPr>
        <w:t xml:space="preserve"> </w:t>
      </w:r>
      <w:r w:rsidR="00F64206" w:rsidRPr="797FBB80">
        <w:rPr>
          <w:rFonts w:cs="Arial"/>
          <w:i/>
          <w:iCs/>
        </w:rPr>
        <w:t xml:space="preserve">Property </w:t>
      </w:r>
      <w:r w:rsidR="00F64206" w:rsidRPr="797FBB80">
        <w:rPr>
          <w:rFonts w:cs="Arial"/>
          <w:i/>
          <w:iCs/>
          <w:spacing w:val="-2"/>
        </w:rPr>
        <w:t>Owners Assn. v. Hutcheon</w:t>
      </w:r>
      <w:r w:rsidR="003357B4" w:rsidRPr="00A1241C">
        <w:rPr>
          <w:rFonts w:cs="CenturySchoolbook"/>
          <w:i/>
        </w:rPr>
        <w:t xml:space="preserve">, </w:t>
      </w:r>
      <w:r w:rsidR="003357B4" w:rsidRPr="0065488D">
        <w:rPr>
          <w:rFonts w:cs="CenturySchoolbook"/>
          <w:i/>
        </w:rPr>
        <w:t>supra</w:t>
      </w:r>
      <w:r w:rsidR="003357B4" w:rsidRPr="00A1241C">
        <w:rPr>
          <w:rFonts w:cs="CenturySchoolbook"/>
        </w:rPr>
        <w:t>, 69 Cal</w:t>
      </w:r>
      <w:r w:rsidR="25975A6A" w:rsidRPr="00A1241C">
        <w:rPr>
          <w:rFonts w:cs="CenturySchoolbook"/>
        </w:rPr>
        <w:t>.</w:t>
      </w:r>
      <w:r w:rsidR="003357B4" w:rsidRPr="00A1241C">
        <w:rPr>
          <w:rFonts w:cs="CenturySchoolbook"/>
        </w:rPr>
        <w:t>App.3d</w:t>
      </w:r>
      <w:r w:rsidR="25975A6A" w:rsidRPr="00A1241C">
        <w:rPr>
          <w:rFonts w:cs="CenturySchoolbook"/>
        </w:rPr>
        <w:t xml:space="preserve"> at p</w:t>
      </w:r>
      <w:r w:rsidR="00AE0C40">
        <w:rPr>
          <w:rFonts w:cs="CenturySchoolbook"/>
        </w:rPr>
        <w:t>p</w:t>
      </w:r>
      <w:r w:rsidR="25975A6A" w:rsidRPr="00A1241C">
        <w:rPr>
          <w:rFonts w:cs="CenturySchoolbook"/>
        </w:rPr>
        <w:t>. 27</w:t>
      </w:r>
      <w:r w:rsidR="00343050">
        <w:rPr>
          <w:rFonts w:cs="CenturySchoolbook"/>
        </w:rPr>
        <w:t>–</w:t>
      </w:r>
      <w:r w:rsidR="00754D88">
        <w:rPr>
          <w:rFonts w:cs="CenturySchoolbook"/>
        </w:rPr>
        <w:t>28</w:t>
      </w:r>
      <w:r w:rsidR="25975A6A" w:rsidRPr="00A1241C">
        <w:rPr>
          <w:rFonts w:cs="CenturySchoolbook"/>
        </w:rPr>
        <w:t xml:space="preserve"> &amp; </w:t>
      </w:r>
      <w:r w:rsidR="00C05CFA">
        <w:rPr>
          <w:rFonts w:cs="CenturySchoolbook"/>
        </w:rPr>
        <w:t xml:space="preserve">p. 27, </w:t>
      </w:r>
      <w:r w:rsidR="25975A6A" w:rsidRPr="00A1241C">
        <w:rPr>
          <w:rFonts w:cs="CenturySchoolbook"/>
        </w:rPr>
        <w:t>fn.</w:t>
      </w:r>
      <w:r w:rsidR="26233DCD" w:rsidRPr="00A1241C">
        <w:rPr>
          <w:rFonts w:cs="CenturySchoolbook"/>
        </w:rPr>
        <w:t> </w:t>
      </w:r>
      <w:r w:rsidR="25975A6A" w:rsidRPr="00A1241C">
        <w:rPr>
          <w:rFonts w:cs="CenturySchoolbook"/>
        </w:rPr>
        <w:t>5</w:t>
      </w:r>
      <w:r w:rsidR="6163C4ED" w:rsidRPr="00A1241C">
        <w:rPr>
          <w:rFonts w:cs="CenturySchoolbook"/>
        </w:rPr>
        <w:t>,</w:t>
      </w:r>
      <w:r w:rsidR="6163C4ED">
        <w:rPr>
          <w:rFonts w:cs="Arial"/>
          <w:color w:val="555555"/>
          <w:spacing w:val="-2"/>
        </w:rPr>
        <w:t xml:space="preserve"> </w:t>
      </w:r>
      <w:r w:rsidR="6163C4ED" w:rsidRPr="3DE41553">
        <w:t xml:space="preserve">citing </w:t>
      </w:r>
      <w:proofErr w:type="spellStart"/>
      <w:r w:rsidR="6163C4ED" w:rsidRPr="797FBB80">
        <w:rPr>
          <w:i/>
          <w:iCs/>
        </w:rPr>
        <w:t>Stanson</w:t>
      </w:r>
      <w:proofErr w:type="spellEnd"/>
      <w:r w:rsidR="6163C4ED" w:rsidRPr="797FBB80">
        <w:rPr>
          <w:i/>
          <w:iCs/>
        </w:rPr>
        <w:t xml:space="preserve"> v. Mott </w:t>
      </w:r>
      <w:r w:rsidR="6163C4ED" w:rsidRPr="3DE41553">
        <w:t>(1976) 17</w:t>
      </w:r>
      <w:r w:rsidR="00183E0C">
        <w:t> </w:t>
      </w:r>
      <w:r w:rsidR="6163C4ED" w:rsidRPr="3DE41553">
        <w:t xml:space="preserve">Cal.3d 206, 222–223; </w:t>
      </w:r>
      <w:r w:rsidR="6163C4ED" w:rsidRPr="797FBB80">
        <w:rPr>
          <w:i/>
          <w:iCs/>
        </w:rPr>
        <w:t xml:space="preserve">Serrano v. Priest </w:t>
      </w:r>
      <w:r w:rsidR="6163C4ED" w:rsidRPr="3DE41553">
        <w:t xml:space="preserve">(1971) 5 Cal.3d 584, 618, fn. 38; </w:t>
      </w:r>
      <w:r w:rsidR="73E33585" w:rsidRPr="797FBB80">
        <w:rPr>
          <w:i/>
          <w:iCs/>
        </w:rPr>
        <w:t xml:space="preserve">Blair v. Pitchess </w:t>
      </w:r>
      <w:r w:rsidR="73E33585" w:rsidRPr="3DE41553">
        <w:t>(1971) 5 Cal.3d 258, 267–268</w:t>
      </w:r>
      <w:r w:rsidR="559F42F2">
        <w:t xml:space="preserve"> (</w:t>
      </w:r>
      <w:r w:rsidR="559F42F2" w:rsidRPr="00FE06C1">
        <w:rPr>
          <w:i/>
        </w:rPr>
        <w:t>Blair</w:t>
      </w:r>
      <w:r w:rsidR="559F42F2">
        <w:t>)</w:t>
      </w:r>
      <w:r w:rsidR="73E33585" w:rsidRPr="3DE41553">
        <w:t>;</w:t>
      </w:r>
      <w:r w:rsidR="73E33585" w:rsidRPr="797FBB80">
        <w:rPr>
          <w:i/>
          <w:iCs/>
        </w:rPr>
        <w:t xml:space="preserve"> </w:t>
      </w:r>
      <w:hyperlink r:id="rId8" w:anchor="co_pp_sp_226_395" w:history="1">
        <w:r w:rsidR="6163C4ED" w:rsidRPr="797FBB80">
          <w:rPr>
            <w:i/>
            <w:iCs/>
          </w:rPr>
          <w:t>California State Employees’ Assn. v. Williams</w:t>
        </w:r>
        <w:r w:rsidR="6163C4ED" w:rsidRPr="3DE41553">
          <w:t xml:space="preserve"> (1970) 7</w:t>
        </w:r>
        <w:r w:rsidR="00FE06C1">
          <w:t> </w:t>
        </w:r>
        <w:r w:rsidR="6163C4ED" w:rsidRPr="3DE41553">
          <w:t>Cal.App.3d 390, 395</w:t>
        </w:r>
      </w:hyperlink>
      <w:r w:rsidR="756DC33B" w:rsidRPr="006A7DD2">
        <w:rPr>
          <w:szCs w:val="26"/>
        </w:rPr>
        <w:t>.</w:t>
      </w:r>
      <w:r w:rsidR="25975A6A" w:rsidRPr="006A7DD2">
        <w:rPr>
          <w:szCs w:val="26"/>
        </w:rPr>
        <w:t>)</w:t>
      </w:r>
      <w:r w:rsidR="45A3D0F1" w:rsidRPr="006A7DD2">
        <w:rPr>
          <w:szCs w:val="26"/>
        </w:rPr>
        <w:t xml:space="preserve"> </w:t>
      </w:r>
      <w:r w:rsidR="39E98940" w:rsidRPr="1D2EECFC">
        <w:t xml:space="preserve">That </w:t>
      </w:r>
      <w:r w:rsidR="6D3CDC27" w:rsidRPr="1D2EECFC">
        <w:t xml:space="preserve">proposition, </w:t>
      </w:r>
      <w:r w:rsidR="443719EB" w:rsidRPr="1D2EECFC">
        <w:t xml:space="preserve">settled </w:t>
      </w:r>
      <w:r w:rsidR="1F88C1C7" w:rsidRPr="1D2EECFC">
        <w:t>decades</w:t>
      </w:r>
      <w:r w:rsidR="6D3CDC27" w:rsidRPr="1D2EECFC">
        <w:t xml:space="preserve"> ago, remains </w:t>
      </w:r>
      <w:r w:rsidR="6F2CBC34" w:rsidRPr="1D2EECFC">
        <w:t>true</w:t>
      </w:r>
      <w:r w:rsidR="7C3430FA" w:rsidRPr="1D2EECFC">
        <w:t xml:space="preserve"> today</w:t>
      </w:r>
      <w:r w:rsidR="7F84DA4E" w:rsidRPr="006A7DD2">
        <w:rPr>
          <w:szCs w:val="26"/>
        </w:rPr>
        <w:t>.</w:t>
      </w:r>
      <w:r w:rsidR="7A4CC5C8" w:rsidRPr="006A7DD2">
        <w:rPr>
          <w:szCs w:val="26"/>
        </w:rPr>
        <w:t xml:space="preserve"> </w:t>
      </w:r>
      <w:r w:rsidR="000624AC" w:rsidRPr="05D0A8A3">
        <w:rPr>
          <w:szCs w:val="26"/>
        </w:rPr>
        <w:t xml:space="preserve">(See, e.g., </w:t>
      </w:r>
      <w:r w:rsidR="000624AC" w:rsidRPr="05D0A8A3">
        <w:rPr>
          <w:i/>
          <w:iCs/>
          <w:szCs w:val="26"/>
        </w:rPr>
        <w:t>Grosz v. California Dept. of Tax &amp; Fee Admin.</w:t>
      </w:r>
      <w:r w:rsidR="000624AC" w:rsidRPr="4B0E998B">
        <w:rPr>
          <w:szCs w:val="26"/>
        </w:rPr>
        <w:t xml:space="preserve"> (2023) 87</w:t>
      </w:r>
      <w:r w:rsidR="002805BF">
        <w:rPr>
          <w:szCs w:val="26"/>
        </w:rPr>
        <w:t> </w:t>
      </w:r>
      <w:r w:rsidR="000624AC" w:rsidRPr="4B0E998B">
        <w:rPr>
          <w:szCs w:val="26"/>
        </w:rPr>
        <w:t>Cal.App.5th 428, 439</w:t>
      </w:r>
      <w:r w:rsidR="000624AC">
        <w:rPr>
          <w:szCs w:val="26"/>
        </w:rPr>
        <w:t xml:space="preserve"> [applying statute to state agencies and officials].)</w:t>
      </w:r>
      <w:r w:rsidR="00A47ADF">
        <w:rPr>
          <w:szCs w:val="26"/>
        </w:rPr>
        <w:t xml:space="preserve"> </w:t>
      </w:r>
      <w:r w:rsidR="00C0171E">
        <w:rPr>
          <w:szCs w:val="26"/>
        </w:rPr>
        <w:t>F</w:t>
      </w:r>
      <w:r w:rsidR="00665176">
        <w:rPr>
          <w:szCs w:val="26"/>
        </w:rPr>
        <w:t>or this reason, d</w:t>
      </w:r>
      <w:r w:rsidR="7A4CC5C8" w:rsidRPr="006A7DD2">
        <w:rPr>
          <w:szCs w:val="26"/>
        </w:rPr>
        <w:t xml:space="preserve">efendants’ related contention that </w:t>
      </w:r>
      <w:r w:rsidR="7A4CC5C8" w:rsidRPr="797FBB80">
        <w:rPr>
          <w:rFonts w:cs="Times New Roman"/>
          <w:color w:val="000000" w:themeColor="text1"/>
        </w:rPr>
        <w:t>a superior court is “part of the state judicial branch,” not a subagency of a county (</w:t>
      </w:r>
      <w:r w:rsidR="7A4CC5C8" w:rsidRPr="797FBB80">
        <w:rPr>
          <w:i/>
          <w:iCs/>
        </w:rPr>
        <w:t>Jones v. County of Los Angeles</w:t>
      </w:r>
      <w:r w:rsidR="7A4CC5C8">
        <w:t xml:space="preserve"> (2002) 99</w:t>
      </w:r>
      <w:r w:rsidR="002805BF">
        <w:t> </w:t>
      </w:r>
      <w:r w:rsidR="7A4CC5C8">
        <w:t>Cal.App.4th 1039, 1045)</w:t>
      </w:r>
      <w:r w:rsidR="006436B4">
        <w:t>,</w:t>
      </w:r>
      <w:r w:rsidR="7A4CC5C8">
        <w:t xml:space="preserve"> is immaterial</w:t>
      </w:r>
      <w:r w:rsidR="002D6429">
        <w:t>.</w:t>
      </w:r>
    </w:p>
    <w:p w14:paraId="5ED309CF" w14:textId="3D39B3C5" w:rsidR="006F0CB6" w:rsidRPr="002815CC" w:rsidRDefault="003D06AD" w:rsidP="00735F2B">
      <w:pPr>
        <w:autoSpaceDE w:val="0"/>
        <w:autoSpaceDN w:val="0"/>
        <w:adjustRightInd w:val="0"/>
        <w:spacing w:line="360" w:lineRule="auto"/>
        <w:contextualSpacing/>
        <w:rPr>
          <w:rFonts w:eastAsia="Times New Roman" w:cs="Times New Roman"/>
          <w:b/>
          <w:bCs/>
          <w:i/>
          <w:iCs/>
          <w:color w:val="000000"/>
        </w:rPr>
      </w:pPr>
      <w:r>
        <w:rPr>
          <w:rFonts w:cs="Times New Roman"/>
          <w:color w:val="000000"/>
        </w:rPr>
        <w:tab/>
      </w:r>
      <w:r w:rsidR="2AAB0814">
        <w:rPr>
          <w:rFonts w:cs="Times New Roman"/>
          <w:color w:val="000000"/>
        </w:rPr>
        <w:t xml:space="preserve">Defendants </w:t>
      </w:r>
      <w:r w:rsidR="108821FF">
        <w:rPr>
          <w:rFonts w:cs="Times New Roman"/>
          <w:color w:val="000000"/>
        </w:rPr>
        <w:t xml:space="preserve">also </w:t>
      </w:r>
      <w:r w:rsidR="713AD565">
        <w:rPr>
          <w:rFonts w:cs="Times New Roman"/>
          <w:color w:val="000000"/>
        </w:rPr>
        <w:t>argue that there is no</w:t>
      </w:r>
      <w:r w:rsidR="108821FF">
        <w:rPr>
          <w:rFonts w:cs="Times New Roman"/>
          <w:color w:val="000000"/>
        </w:rPr>
        <w:t xml:space="preserve"> </w:t>
      </w:r>
      <w:r w:rsidR="2AAB0814">
        <w:rPr>
          <w:rFonts w:cs="Times New Roman"/>
          <w:color w:val="000000"/>
        </w:rPr>
        <w:t xml:space="preserve">authority </w:t>
      </w:r>
      <w:r w:rsidR="009E4DA2">
        <w:rPr>
          <w:rFonts w:cs="Times New Roman"/>
          <w:color w:val="000000"/>
        </w:rPr>
        <w:t>specifically providing for the assertion of</w:t>
      </w:r>
      <w:r w:rsidR="2AAB0814">
        <w:rPr>
          <w:rFonts w:cs="Times New Roman"/>
          <w:color w:val="000000"/>
        </w:rPr>
        <w:t xml:space="preserve"> </w:t>
      </w:r>
      <w:r w:rsidR="00F60848">
        <w:rPr>
          <w:rFonts w:cs="Times New Roman"/>
          <w:color w:val="000000"/>
        </w:rPr>
        <w:t>statutory taxpayer</w:t>
      </w:r>
      <w:r w:rsidR="2AAB0814">
        <w:rPr>
          <w:rFonts w:cs="Times New Roman"/>
          <w:color w:val="000000"/>
        </w:rPr>
        <w:t xml:space="preserve"> </w:t>
      </w:r>
      <w:r w:rsidR="26C83D75">
        <w:rPr>
          <w:rFonts w:cs="Times New Roman"/>
          <w:color w:val="000000"/>
        </w:rPr>
        <w:t xml:space="preserve">claims </w:t>
      </w:r>
      <w:r w:rsidR="00A20613">
        <w:rPr>
          <w:rFonts w:cs="Times New Roman"/>
          <w:color w:val="000000"/>
        </w:rPr>
        <w:t>against a</w:t>
      </w:r>
      <w:r w:rsidR="2AAB0814">
        <w:rPr>
          <w:rFonts w:cs="Times New Roman"/>
          <w:color w:val="000000"/>
        </w:rPr>
        <w:t xml:space="preserve"> court</w:t>
      </w:r>
      <w:r w:rsidR="79647C0F">
        <w:rPr>
          <w:rFonts w:cs="Times New Roman"/>
          <w:color w:val="000000"/>
        </w:rPr>
        <w:t xml:space="preserve"> </w:t>
      </w:r>
      <w:r w:rsidR="00A20613">
        <w:rPr>
          <w:rFonts w:cs="Times New Roman"/>
          <w:color w:val="000000"/>
        </w:rPr>
        <w:t>or</w:t>
      </w:r>
      <w:r w:rsidR="79647C0F">
        <w:rPr>
          <w:rFonts w:cs="Times New Roman"/>
          <w:color w:val="000000"/>
        </w:rPr>
        <w:t xml:space="preserve"> judge</w:t>
      </w:r>
      <w:r w:rsidR="2AAB0814">
        <w:rPr>
          <w:rFonts w:cs="Times New Roman"/>
          <w:color w:val="000000"/>
        </w:rPr>
        <w:t xml:space="preserve">. However, they have not </w:t>
      </w:r>
      <w:r w:rsidR="6E8ABA38">
        <w:rPr>
          <w:rFonts w:cs="Times New Roman"/>
          <w:color w:val="000000"/>
        </w:rPr>
        <w:t>pointed to any</w:t>
      </w:r>
      <w:r w:rsidR="2AAB0814">
        <w:rPr>
          <w:rFonts w:cs="Times New Roman"/>
          <w:color w:val="000000"/>
        </w:rPr>
        <w:t xml:space="preserve"> policy of </w:t>
      </w:r>
      <w:r w:rsidR="00331372">
        <w:rPr>
          <w:rFonts w:cs="Times New Roman"/>
          <w:color w:val="000000"/>
        </w:rPr>
        <w:t>Code of Civil Procedure</w:t>
      </w:r>
      <w:r w:rsidR="2AAB0814">
        <w:rPr>
          <w:rFonts w:cs="Times New Roman"/>
          <w:color w:val="000000"/>
        </w:rPr>
        <w:t xml:space="preserve"> section 526a, or precedent construing it,</w:t>
      </w:r>
      <w:r w:rsidR="24DE2A64">
        <w:rPr>
          <w:rFonts w:cs="Times New Roman"/>
          <w:color w:val="000000"/>
        </w:rPr>
        <w:t xml:space="preserve"> </w:t>
      </w:r>
      <w:r w:rsidR="6E8ABA38">
        <w:rPr>
          <w:rFonts w:cs="Times New Roman"/>
          <w:color w:val="000000"/>
        </w:rPr>
        <w:t>that would warrant a judicially</w:t>
      </w:r>
      <w:r w:rsidR="008F5829">
        <w:rPr>
          <w:rFonts w:cs="Times New Roman"/>
          <w:color w:val="000000"/>
        </w:rPr>
        <w:t xml:space="preserve"> </w:t>
      </w:r>
      <w:r w:rsidR="6E8ABA38">
        <w:rPr>
          <w:rFonts w:cs="Times New Roman"/>
          <w:color w:val="000000"/>
        </w:rPr>
        <w:t>created exception to the</w:t>
      </w:r>
      <w:r w:rsidR="54F9205A">
        <w:rPr>
          <w:rFonts w:cs="Times New Roman"/>
          <w:color w:val="000000"/>
        </w:rPr>
        <w:t xml:space="preserve"> </w:t>
      </w:r>
      <w:r w:rsidR="0E109674">
        <w:rPr>
          <w:rFonts w:cs="Times New Roman"/>
          <w:color w:val="000000"/>
        </w:rPr>
        <w:t>well-</w:t>
      </w:r>
      <w:r w:rsidR="6E8ABA38">
        <w:rPr>
          <w:rFonts w:cs="Times New Roman"/>
          <w:color w:val="000000"/>
        </w:rPr>
        <w:t xml:space="preserve">established </w:t>
      </w:r>
      <w:r w:rsidR="54F9205A">
        <w:rPr>
          <w:rFonts w:cs="Times New Roman"/>
          <w:color w:val="000000"/>
        </w:rPr>
        <w:t>rule</w:t>
      </w:r>
      <w:r w:rsidR="6308DC32" w:rsidRPr="797FBB80">
        <w:rPr>
          <w:rFonts w:cs="Times New Roman"/>
          <w:color w:val="000000" w:themeColor="text1"/>
        </w:rPr>
        <w:t>,</w:t>
      </w:r>
      <w:r w:rsidR="4A1BEB05">
        <w:rPr>
          <w:rFonts w:cs="Times New Roman"/>
          <w:color w:val="000000"/>
        </w:rPr>
        <w:t xml:space="preserve"> simply because the case involves allegations of unlawful activity by </w:t>
      </w:r>
      <w:r w:rsidR="5E069CD7">
        <w:rPr>
          <w:rFonts w:cs="Times New Roman"/>
          <w:color w:val="000000"/>
        </w:rPr>
        <w:t>a court</w:t>
      </w:r>
      <w:r w:rsidR="0E109674">
        <w:rPr>
          <w:rFonts w:cs="Times New Roman"/>
          <w:color w:val="000000"/>
        </w:rPr>
        <w:t xml:space="preserve"> or judicial officer</w:t>
      </w:r>
      <w:r w:rsidR="2AAB0814">
        <w:rPr>
          <w:rFonts w:cs="Times New Roman"/>
          <w:color w:val="000000"/>
        </w:rPr>
        <w:t>.</w:t>
      </w:r>
      <w:r>
        <w:rPr>
          <w:rStyle w:val="FootnoteReference"/>
          <w:rFonts w:cs="Times New Roman"/>
          <w:color w:val="000000"/>
        </w:rPr>
        <w:footnoteReference w:id="16"/>
      </w:r>
      <w:r w:rsidR="5B63908E" w:rsidRPr="797FBB80">
        <w:rPr>
          <w:rFonts w:eastAsia="Times New Roman" w:cs="Times New Roman"/>
          <w:color w:val="000000" w:themeColor="text1"/>
        </w:rPr>
        <w:t xml:space="preserve"> </w:t>
      </w:r>
      <w:r w:rsidR="003B71B1" w:rsidRPr="07AFF217">
        <w:rPr>
          <w:rFonts w:eastAsia="Century Schoolbook" w:cs="Century Schoolbook"/>
        </w:rPr>
        <w:t xml:space="preserve">(See, </w:t>
      </w:r>
      <w:r w:rsidR="003B71B1" w:rsidRPr="07AFF217">
        <w:rPr>
          <w:rFonts w:eastAsia="Century Schoolbook" w:cs="Century Schoolbook"/>
        </w:rPr>
        <w:lastRenderedPageBreak/>
        <w:t xml:space="preserve">e.g., </w:t>
      </w:r>
      <w:r w:rsidR="00AB4F66" w:rsidRPr="07AFF217">
        <w:rPr>
          <w:rFonts w:eastAsia="Century Schoolbook" w:cs="Century Schoolbook"/>
          <w:i/>
        </w:rPr>
        <w:t>R.S. v. PacifiCare Life &amp; Health Ins. Co.</w:t>
      </w:r>
      <w:r w:rsidR="00AB4F66" w:rsidRPr="07AFF217">
        <w:rPr>
          <w:rFonts w:eastAsia="Century Schoolbook" w:cs="Century Schoolbook"/>
        </w:rPr>
        <w:t xml:space="preserve"> (2011) 194 Cal.App.4th 192, 207 [affirming judgment following demurrer because, “[a]t bottom, appellants seek a public</w:t>
      </w:r>
      <w:r w:rsidR="005D5B42">
        <w:rPr>
          <w:rFonts w:eastAsia="Century Schoolbook" w:cs="Century Schoolbook"/>
        </w:rPr>
        <w:t xml:space="preserve"> </w:t>
      </w:r>
      <w:r w:rsidR="00AB4F66" w:rsidRPr="07AFF217">
        <w:rPr>
          <w:rFonts w:eastAsia="Century Schoolbook" w:cs="Century Schoolbook"/>
        </w:rPr>
        <w:t>policy exception to the [relevant law], but they cite no authority . . .</w:t>
      </w:r>
      <w:r w:rsidR="0065488D">
        <w:rPr>
          <w:rFonts w:eastAsia="Century Schoolbook" w:cs="Century Schoolbook"/>
        </w:rPr>
        <w:t xml:space="preserve"> </w:t>
      </w:r>
      <w:r w:rsidR="00AB4F66" w:rsidRPr="07AFF217">
        <w:rPr>
          <w:rFonts w:eastAsia="Century Schoolbook" w:cs="Century Schoolbook"/>
        </w:rPr>
        <w:t xml:space="preserve">for such an exception”].) </w:t>
      </w:r>
    </w:p>
    <w:p w14:paraId="4390C0D5" w14:textId="18866AA9" w:rsidR="332D15F8" w:rsidRDefault="003D06AD" w:rsidP="00F564B4">
      <w:pPr>
        <w:keepNext/>
        <w:autoSpaceDE w:val="0"/>
        <w:autoSpaceDN w:val="0"/>
        <w:adjustRightInd w:val="0"/>
        <w:spacing w:line="360" w:lineRule="auto"/>
        <w:contextualSpacing/>
        <w:rPr>
          <w:rFonts w:cs="Times New Roman"/>
          <w:b/>
          <w:i/>
        </w:rPr>
      </w:pPr>
      <w:r>
        <w:rPr>
          <w:rFonts w:cs="Times New Roman"/>
          <w:b/>
          <w:bCs/>
        </w:rPr>
        <w:tab/>
        <w:t>b</w:t>
      </w:r>
      <w:r w:rsidR="30D001DB">
        <w:rPr>
          <w:rFonts w:cs="Times New Roman"/>
          <w:b/>
          <w:bCs/>
          <w:spacing w:val="-2"/>
        </w:rPr>
        <w:t xml:space="preserve">. </w:t>
      </w:r>
      <w:r w:rsidR="2206F346" w:rsidRPr="797FBB80">
        <w:rPr>
          <w:rFonts w:cs="Times New Roman"/>
          <w:b/>
          <w:bCs/>
          <w:i/>
          <w:iCs/>
          <w:spacing w:val="-2"/>
        </w:rPr>
        <w:t>The</w:t>
      </w:r>
      <w:r w:rsidR="3DA1E1CF" w:rsidRPr="797FBB80">
        <w:rPr>
          <w:rFonts w:cs="Times New Roman"/>
          <w:b/>
          <w:bCs/>
          <w:i/>
          <w:iCs/>
          <w:spacing w:val="-2"/>
        </w:rPr>
        <w:t xml:space="preserve"> </w:t>
      </w:r>
      <w:r w:rsidR="4B000D9D" w:rsidRPr="797FBB80">
        <w:rPr>
          <w:rFonts w:cs="Times New Roman"/>
          <w:b/>
          <w:bCs/>
          <w:i/>
          <w:iCs/>
          <w:spacing w:val="-2"/>
        </w:rPr>
        <w:t>Courts’</w:t>
      </w:r>
      <w:r w:rsidR="30D001DB" w:rsidRPr="797FBB80">
        <w:rPr>
          <w:rFonts w:cs="Times New Roman"/>
          <w:b/>
          <w:bCs/>
          <w:i/>
          <w:iCs/>
          <w:spacing w:val="-2"/>
        </w:rPr>
        <w:t xml:space="preserve"> Duties to Ensure Speedy Criminal Trials</w:t>
      </w:r>
    </w:p>
    <w:p w14:paraId="5E8BBB6D" w14:textId="7DF5C19F" w:rsidR="00595579" w:rsidRPr="00595579" w:rsidRDefault="003D06AD" w:rsidP="00EB5E30">
      <w:pPr>
        <w:keepNext/>
        <w:autoSpaceDE w:val="0"/>
        <w:autoSpaceDN w:val="0"/>
        <w:adjustRightInd w:val="0"/>
        <w:spacing w:after="120" w:line="240" w:lineRule="auto"/>
        <w:ind w:left="720" w:hanging="720"/>
        <w:rPr>
          <w:rFonts w:cs="Times New Roman"/>
          <w:b/>
          <w:bCs/>
          <w:i/>
          <w:iCs/>
          <w:spacing w:val="-2"/>
        </w:rPr>
      </w:pPr>
      <w:r>
        <w:rPr>
          <w:rFonts w:cs="Times New Roman"/>
          <w:b/>
          <w:bCs/>
          <w:spacing w:val="-2"/>
        </w:rPr>
        <w:tab/>
      </w:r>
      <w:r w:rsidR="00425462">
        <w:rPr>
          <w:rFonts w:cs="Times New Roman"/>
          <w:b/>
          <w:bCs/>
          <w:spacing w:val="-2"/>
        </w:rPr>
        <w:tab/>
      </w:r>
      <w:r w:rsidR="00425462">
        <w:rPr>
          <w:rFonts w:cs="Times New Roman"/>
          <w:b/>
          <w:i/>
          <w:spacing w:val="-2"/>
        </w:rPr>
        <w:t>1</w:t>
      </w:r>
      <w:r>
        <w:rPr>
          <w:rFonts w:cs="Times New Roman"/>
          <w:b/>
          <w:bCs/>
          <w:spacing w:val="-2"/>
        </w:rPr>
        <w:t xml:space="preserve">. </w:t>
      </w:r>
      <w:r w:rsidRPr="00595579">
        <w:rPr>
          <w:rFonts w:cs="Times New Roman"/>
          <w:b/>
          <w:bCs/>
          <w:i/>
          <w:iCs/>
          <w:spacing w:val="-2"/>
        </w:rPr>
        <w:t>Constitutional and Statutory Provisions</w:t>
      </w:r>
    </w:p>
    <w:p w14:paraId="632D62B6" w14:textId="3CF83650" w:rsidR="00BF2446" w:rsidRPr="00D664A1" w:rsidRDefault="003D06AD" w:rsidP="0065488D">
      <w:pPr>
        <w:autoSpaceDE w:val="0"/>
        <w:autoSpaceDN w:val="0"/>
        <w:adjustRightInd w:val="0"/>
        <w:spacing w:line="360" w:lineRule="auto"/>
        <w:contextualSpacing/>
        <w:rPr>
          <w:rFonts w:eastAsia="Times New Roman" w:cs="Times New Roman"/>
          <w:color w:val="000000" w:themeColor="text1"/>
        </w:rPr>
      </w:pPr>
      <w:r>
        <w:rPr>
          <w:rFonts w:eastAsia="Times New Roman" w:cs="Times New Roman"/>
          <w:color w:val="000000" w:themeColor="text1"/>
        </w:rPr>
        <w:tab/>
      </w:r>
      <w:r w:rsidR="30D001DB" w:rsidRPr="07AFF217">
        <w:rPr>
          <w:rFonts w:eastAsia="Times New Roman" w:cs="Times New Roman"/>
          <w:color w:val="000000" w:themeColor="text1"/>
        </w:rPr>
        <w:t xml:space="preserve">The federal and state </w:t>
      </w:r>
      <w:r w:rsidR="3CB32561" w:rsidRPr="07AFF217">
        <w:rPr>
          <w:rFonts w:eastAsia="Times New Roman" w:cs="Times New Roman"/>
          <w:color w:val="000000" w:themeColor="text1"/>
        </w:rPr>
        <w:t>C</w:t>
      </w:r>
      <w:r w:rsidR="30D001DB" w:rsidRPr="07AFF217">
        <w:rPr>
          <w:rFonts w:eastAsia="Times New Roman" w:cs="Times New Roman"/>
          <w:color w:val="000000" w:themeColor="text1"/>
        </w:rPr>
        <w:t xml:space="preserve">onstitutions guarantee a criminal defendant a speedy trial. (U.S. Const., amend. 6; Cal. Const., art. I, § 15.) </w:t>
      </w:r>
      <w:r w:rsidR="7E10CA69" w:rsidRPr="07AFF217">
        <w:rPr>
          <w:rFonts w:eastAsia="Times New Roman" w:cs="Times New Roman"/>
          <w:color w:val="000000" w:themeColor="text1"/>
        </w:rPr>
        <w:t>California law</w:t>
      </w:r>
      <w:r w:rsidR="30D001DB" w:rsidRPr="07AFF217">
        <w:rPr>
          <w:rFonts w:eastAsia="Times New Roman" w:cs="Times New Roman"/>
          <w:color w:val="000000" w:themeColor="text1"/>
        </w:rPr>
        <w:t xml:space="preserve"> implement</w:t>
      </w:r>
      <w:r w:rsidR="7E10CA69" w:rsidRPr="07AFF217">
        <w:rPr>
          <w:rFonts w:eastAsia="Times New Roman" w:cs="Times New Roman"/>
          <w:color w:val="000000" w:themeColor="text1"/>
        </w:rPr>
        <w:t xml:space="preserve">s and protects </w:t>
      </w:r>
      <w:r w:rsidR="7E10CA69" w:rsidRPr="09459565">
        <w:rPr>
          <w:rFonts w:eastAsia="Times New Roman" w:cs="Times New Roman"/>
          <w:color w:val="000000" w:themeColor="text1"/>
        </w:rPr>
        <w:t>th</w:t>
      </w:r>
      <w:r w:rsidR="2D47B0C6" w:rsidRPr="09459565">
        <w:rPr>
          <w:rFonts w:eastAsia="Times New Roman" w:cs="Times New Roman"/>
          <w:color w:val="000000" w:themeColor="text1"/>
        </w:rPr>
        <w:t>at</w:t>
      </w:r>
      <w:r w:rsidR="7E10CA69" w:rsidRPr="07AFF217">
        <w:rPr>
          <w:rFonts w:eastAsia="Times New Roman" w:cs="Times New Roman"/>
          <w:color w:val="000000" w:themeColor="text1"/>
        </w:rPr>
        <w:t xml:space="preserve"> right</w:t>
      </w:r>
      <w:r w:rsidR="25E0FB2B" w:rsidRPr="07AFF217">
        <w:rPr>
          <w:rFonts w:eastAsia="Times New Roman" w:cs="Times New Roman"/>
          <w:color w:val="000000" w:themeColor="text1"/>
        </w:rPr>
        <w:t xml:space="preserve"> </w:t>
      </w:r>
      <w:r w:rsidR="30D001DB" w:rsidRPr="07AFF217">
        <w:rPr>
          <w:rFonts w:eastAsia="Times New Roman" w:cs="Times New Roman"/>
          <w:color w:val="000000" w:themeColor="text1"/>
        </w:rPr>
        <w:t>through, inter alia, section</w:t>
      </w:r>
      <w:r w:rsidR="25975A6A" w:rsidRPr="7FA68319">
        <w:rPr>
          <w:rFonts w:eastAsia="Times New Roman" w:cs="Times New Roman"/>
          <w:color w:val="000000" w:themeColor="text1"/>
        </w:rPr>
        <w:t>s</w:t>
      </w:r>
      <w:r w:rsidR="30D001DB" w:rsidRPr="07AFF217">
        <w:rPr>
          <w:rFonts w:eastAsia="Times New Roman" w:cs="Times New Roman"/>
          <w:color w:val="000000" w:themeColor="text1"/>
        </w:rPr>
        <w:t xml:space="preserve"> 686</w:t>
      </w:r>
      <w:r w:rsidR="00513BEC">
        <w:rPr>
          <w:rFonts w:eastAsia="Times New Roman" w:cs="Times New Roman"/>
          <w:color w:val="000000" w:themeColor="text1"/>
        </w:rPr>
        <w:t xml:space="preserve">, subdivision </w:t>
      </w:r>
      <w:r w:rsidR="30D001DB" w:rsidRPr="07AFF217">
        <w:rPr>
          <w:rFonts w:eastAsia="Times New Roman" w:cs="Times New Roman"/>
          <w:color w:val="000000" w:themeColor="text1"/>
        </w:rPr>
        <w:t>(1) (restating the right)</w:t>
      </w:r>
      <w:r w:rsidR="1775ADAD" w:rsidRPr="07AFF217">
        <w:rPr>
          <w:rFonts w:eastAsia="Times New Roman" w:cs="Times New Roman"/>
          <w:color w:val="000000" w:themeColor="text1"/>
        </w:rPr>
        <w:t xml:space="preserve"> and</w:t>
      </w:r>
      <w:r w:rsidR="4F477785" w:rsidRPr="7FA68319">
        <w:rPr>
          <w:rFonts w:eastAsia="Times New Roman" w:cs="Times New Roman"/>
          <w:color w:val="000000" w:themeColor="text1"/>
        </w:rPr>
        <w:t xml:space="preserve"> </w:t>
      </w:r>
      <w:r w:rsidR="30D001DB" w:rsidRPr="07AFF217">
        <w:rPr>
          <w:rFonts w:eastAsia="Times New Roman" w:cs="Times New Roman"/>
          <w:color w:val="000000" w:themeColor="text1"/>
        </w:rPr>
        <w:t xml:space="preserve">1382 (requiring dismissal, absent </w:t>
      </w:r>
      <w:r w:rsidR="30D001DB" w:rsidRPr="07AFF217">
        <w:rPr>
          <w:rFonts w:eastAsia="Times New Roman" w:cs="Times New Roman"/>
          <w:color w:val="000000" w:themeColor="text1"/>
        </w:rPr>
        <w:lastRenderedPageBreak/>
        <w:t>good cause, of felony cases not tried within 60 days of arraignment, and of misdemeanor cases not tried within 30</w:t>
      </w:r>
      <w:r w:rsidR="00636F75">
        <w:rPr>
          <w:rFonts w:eastAsia="Times New Roman" w:cs="Times New Roman"/>
          <w:color w:val="000000" w:themeColor="text1"/>
        </w:rPr>
        <w:t xml:space="preserve"> </w:t>
      </w:r>
      <w:r w:rsidR="30D001DB" w:rsidRPr="07AFF217">
        <w:rPr>
          <w:rFonts w:eastAsia="Times New Roman" w:cs="Times New Roman"/>
          <w:color w:val="000000" w:themeColor="text1"/>
        </w:rPr>
        <w:t>or 45 days of arraignment or plea, depending on custody status)</w:t>
      </w:r>
      <w:r w:rsidR="1775ADAD" w:rsidRPr="07AFF217">
        <w:rPr>
          <w:rFonts w:eastAsia="Times New Roman" w:cs="Times New Roman"/>
          <w:color w:val="000000" w:themeColor="text1"/>
        </w:rPr>
        <w:t>.</w:t>
      </w:r>
      <w:r w:rsidR="104CB04E" w:rsidRPr="797FBB80">
        <w:rPr>
          <w:rFonts w:eastAsia="Times New Roman" w:cs="Times New Roman"/>
          <w:color w:val="000000" w:themeColor="text1"/>
        </w:rPr>
        <w:t xml:space="preserve"> When a defendant </w:t>
      </w:r>
      <w:r w:rsidR="5719136F" w:rsidRPr="797FBB80">
        <w:rPr>
          <w:rFonts w:eastAsia="Times New Roman" w:cs="Times New Roman"/>
          <w:color w:val="000000" w:themeColor="text1"/>
        </w:rPr>
        <w:t xml:space="preserve">moves to </w:t>
      </w:r>
      <w:r w:rsidR="104CB04E" w:rsidRPr="797FBB80">
        <w:rPr>
          <w:rFonts w:eastAsia="Times New Roman" w:cs="Times New Roman"/>
          <w:color w:val="000000" w:themeColor="text1"/>
        </w:rPr>
        <w:t>dismis</w:t>
      </w:r>
      <w:r w:rsidR="7702B7D5" w:rsidRPr="797FBB80">
        <w:rPr>
          <w:rFonts w:eastAsia="Times New Roman" w:cs="Times New Roman"/>
          <w:color w:val="000000" w:themeColor="text1"/>
        </w:rPr>
        <w:t>s</w:t>
      </w:r>
      <w:r w:rsidR="104CB04E" w:rsidRPr="797FBB80">
        <w:rPr>
          <w:rFonts w:eastAsia="Times New Roman" w:cs="Times New Roman"/>
          <w:color w:val="000000" w:themeColor="text1"/>
        </w:rPr>
        <w:t xml:space="preserve"> pursuant to section</w:t>
      </w:r>
      <w:r>
        <w:rPr>
          <w:rFonts w:eastAsia="Times New Roman" w:cs="Times New Roman"/>
          <w:color w:val="000000" w:themeColor="text1"/>
        </w:rPr>
        <w:t> </w:t>
      </w:r>
      <w:r w:rsidR="104CB04E" w:rsidRPr="797FBB80">
        <w:rPr>
          <w:rFonts w:eastAsia="Times New Roman" w:cs="Times New Roman"/>
          <w:color w:val="000000" w:themeColor="text1"/>
        </w:rPr>
        <w:t xml:space="preserve">1382, the court must determine whether the People have demonstrated “good cause” </w:t>
      </w:r>
      <w:r w:rsidR="75F83B99" w:rsidRPr="797FBB80">
        <w:rPr>
          <w:rFonts w:eastAsia="Times New Roman" w:cs="Times New Roman"/>
          <w:color w:val="000000" w:themeColor="text1"/>
        </w:rPr>
        <w:t>for a continuance of trial beyond the statutory last day</w:t>
      </w:r>
      <w:r w:rsidR="104CB04E" w:rsidRPr="797FBB80">
        <w:rPr>
          <w:rFonts w:eastAsia="Times New Roman" w:cs="Times New Roman"/>
          <w:color w:val="000000" w:themeColor="text1"/>
        </w:rPr>
        <w:t>.</w:t>
      </w:r>
      <w:r w:rsidR="5DA3AD8D" w:rsidRPr="797FBB80">
        <w:rPr>
          <w:rFonts w:eastAsia="Times New Roman" w:cs="Times New Roman"/>
          <w:color w:val="000000" w:themeColor="text1"/>
        </w:rPr>
        <w:t xml:space="preserve"> (</w:t>
      </w:r>
      <w:r w:rsidR="5DA3AD8D" w:rsidRPr="797FBB80">
        <w:rPr>
          <w:rFonts w:eastAsia="Times New Roman" w:cs="Times New Roman"/>
          <w:i/>
          <w:iCs/>
          <w:color w:val="000000" w:themeColor="text1"/>
        </w:rPr>
        <w:t>Engram</w:t>
      </w:r>
      <w:r w:rsidR="5DA3AD8D" w:rsidRPr="797FBB80">
        <w:rPr>
          <w:rFonts w:eastAsia="Times New Roman" w:cs="Times New Roman"/>
          <w:color w:val="000000" w:themeColor="text1"/>
        </w:rPr>
        <w:t xml:space="preserve">, </w:t>
      </w:r>
      <w:r w:rsidR="004456EF" w:rsidRPr="004456EF">
        <w:rPr>
          <w:rFonts w:eastAsia="Times New Roman" w:cs="Times New Roman"/>
          <w:i/>
          <w:iCs/>
          <w:color w:val="000000" w:themeColor="text1"/>
        </w:rPr>
        <w:t>supra</w:t>
      </w:r>
      <w:r w:rsidR="5DA3AD8D" w:rsidRPr="797FBB80">
        <w:rPr>
          <w:rFonts w:eastAsia="Times New Roman" w:cs="Times New Roman"/>
          <w:color w:val="000000" w:themeColor="text1"/>
        </w:rPr>
        <w:t>, 50</w:t>
      </w:r>
      <w:r w:rsidR="00A959A2">
        <w:rPr>
          <w:rFonts w:eastAsia="Times New Roman" w:cs="Times New Roman"/>
          <w:color w:val="000000" w:themeColor="text1"/>
        </w:rPr>
        <w:t> </w:t>
      </w:r>
      <w:r w:rsidR="5DA3AD8D" w:rsidRPr="797FBB80">
        <w:rPr>
          <w:rFonts w:eastAsia="Times New Roman" w:cs="Times New Roman"/>
          <w:color w:val="000000" w:themeColor="text1"/>
        </w:rPr>
        <w:t xml:space="preserve">Cal.4th at </w:t>
      </w:r>
      <w:r>
        <w:rPr>
          <w:rFonts w:eastAsia="Times New Roman" w:cs="Times New Roman"/>
          <w:color w:val="000000" w:themeColor="text1"/>
        </w:rPr>
        <w:t>pp. </w:t>
      </w:r>
      <w:r w:rsidR="5DA3AD8D" w:rsidRPr="797FBB80">
        <w:rPr>
          <w:rFonts w:eastAsia="Times New Roman" w:cs="Times New Roman"/>
          <w:color w:val="000000" w:themeColor="text1"/>
        </w:rPr>
        <w:t>1162</w:t>
      </w:r>
      <w:r>
        <w:rPr>
          <w:rFonts w:eastAsia="Times New Roman" w:cs="Times New Roman"/>
          <w:color w:val="000000" w:themeColor="text1"/>
        </w:rPr>
        <w:t>–</w:t>
      </w:r>
      <w:r w:rsidR="5DA3AD8D" w:rsidRPr="797FBB80">
        <w:rPr>
          <w:rFonts w:eastAsia="Times New Roman" w:cs="Times New Roman"/>
          <w:color w:val="000000" w:themeColor="text1"/>
        </w:rPr>
        <w:t>1163.) Th</w:t>
      </w:r>
      <w:r w:rsidR="009A7803">
        <w:rPr>
          <w:rFonts w:eastAsia="Times New Roman" w:cs="Times New Roman"/>
          <w:color w:val="000000" w:themeColor="text1"/>
        </w:rPr>
        <w:t>e court must consider</w:t>
      </w:r>
      <w:r w:rsidR="104CB04E" w:rsidRPr="797FBB80">
        <w:rPr>
          <w:rFonts w:eastAsia="Times New Roman" w:cs="Times New Roman"/>
          <w:color w:val="000000" w:themeColor="text1"/>
        </w:rPr>
        <w:t xml:space="preserve"> all relevant circumstances of the </w:t>
      </w:r>
      <w:proofErr w:type="gramStart"/>
      <w:r w:rsidR="104CB04E" w:rsidRPr="797FBB80">
        <w:rPr>
          <w:rFonts w:eastAsia="Times New Roman" w:cs="Times New Roman"/>
          <w:color w:val="000000" w:themeColor="text1"/>
        </w:rPr>
        <w:t>particular case</w:t>
      </w:r>
      <w:proofErr w:type="gramEnd"/>
      <w:r w:rsidR="104CB04E" w:rsidRPr="797FBB80">
        <w:rPr>
          <w:rFonts w:eastAsia="Times New Roman" w:cs="Times New Roman"/>
          <w:color w:val="000000" w:themeColor="text1"/>
        </w:rPr>
        <w:t xml:space="preserve">, including the nature and strength of the justification for delay, the duration of the delay, and </w:t>
      </w:r>
      <w:r w:rsidR="00D03994">
        <w:rPr>
          <w:rFonts w:eastAsia="Times New Roman" w:cs="Times New Roman"/>
          <w:color w:val="000000" w:themeColor="text1"/>
        </w:rPr>
        <w:t>the</w:t>
      </w:r>
      <w:r w:rsidR="104CB04E" w:rsidRPr="797FBB80">
        <w:rPr>
          <w:rFonts w:eastAsia="Times New Roman" w:cs="Times New Roman"/>
          <w:color w:val="000000" w:themeColor="text1"/>
        </w:rPr>
        <w:t xml:space="preserve"> prejudice </w:t>
      </w:r>
      <w:r w:rsidR="00AF2DD9">
        <w:rPr>
          <w:rFonts w:eastAsia="Times New Roman" w:cs="Times New Roman"/>
          <w:color w:val="000000" w:themeColor="text1"/>
        </w:rPr>
        <w:t xml:space="preserve">to </w:t>
      </w:r>
      <w:r w:rsidR="104CB04E" w:rsidRPr="797FBB80">
        <w:rPr>
          <w:rFonts w:eastAsia="Times New Roman" w:cs="Times New Roman"/>
          <w:color w:val="000000" w:themeColor="text1"/>
        </w:rPr>
        <w:t xml:space="preserve">defendant or the People </w:t>
      </w:r>
      <w:r w:rsidR="007B6573">
        <w:rPr>
          <w:rFonts w:eastAsia="Times New Roman" w:cs="Times New Roman"/>
          <w:color w:val="000000" w:themeColor="text1"/>
        </w:rPr>
        <w:t>that is likely to</w:t>
      </w:r>
      <w:r w:rsidR="104CB04E" w:rsidRPr="797FBB80">
        <w:rPr>
          <w:rFonts w:eastAsia="Times New Roman" w:cs="Times New Roman"/>
          <w:color w:val="000000" w:themeColor="text1"/>
        </w:rPr>
        <w:t xml:space="preserve"> result </w:t>
      </w:r>
      <w:r w:rsidR="007B6573">
        <w:rPr>
          <w:rFonts w:eastAsia="Times New Roman" w:cs="Times New Roman"/>
          <w:color w:val="000000" w:themeColor="text1"/>
        </w:rPr>
        <w:t>from</w:t>
      </w:r>
      <w:r w:rsidR="104CB04E" w:rsidRPr="797FBB80">
        <w:rPr>
          <w:rFonts w:eastAsia="Times New Roman" w:cs="Times New Roman"/>
          <w:color w:val="000000" w:themeColor="text1"/>
        </w:rPr>
        <w:t xml:space="preserve"> the </w:t>
      </w:r>
      <w:r w:rsidR="007B6573">
        <w:rPr>
          <w:rFonts w:eastAsia="Times New Roman" w:cs="Times New Roman"/>
          <w:color w:val="000000" w:themeColor="text1"/>
        </w:rPr>
        <w:t>delay</w:t>
      </w:r>
      <w:r w:rsidR="104CB04E" w:rsidRPr="797FBB80">
        <w:rPr>
          <w:rFonts w:eastAsia="Times New Roman" w:cs="Times New Roman"/>
          <w:color w:val="000000" w:themeColor="text1"/>
        </w:rPr>
        <w:t>.</w:t>
      </w:r>
      <w:r w:rsidR="3BC29A40" w:rsidRPr="797FBB80">
        <w:rPr>
          <w:rFonts w:eastAsia="Times New Roman" w:cs="Times New Roman"/>
          <w:color w:val="000000" w:themeColor="text1"/>
        </w:rPr>
        <w:t xml:space="preserve"> (</w:t>
      </w:r>
      <w:r w:rsidR="3BC29A40" w:rsidRPr="00B20334">
        <w:rPr>
          <w:rFonts w:eastAsia="Times New Roman" w:cs="Times New Roman"/>
          <w:i/>
          <w:color w:val="000000" w:themeColor="text1"/>
        </w:rPr>
        <w:t>Ibid</w:t>
      </w:r>
      <w:r w:rsidR="3BC29A40" w:rsidRPr="797FBB80">
        <w:rPr>
          <w:rFonts w:eastAsia="Times New Roman" w:cs="Times New Roman"/>
          <w:color w:val="000000" w:themeColor="text1"/>
        </w:rPr>
        <w:t>.)</w:t>
      </w:r>
      <w:r w:rsidR="00BD01F3">
        <w:rPr>
          <w:rFonts w:eastAsia="Times New Roman" w:cs="Times New Roman"/>
          <w:color w:val="000000" w:themeColor="text1"/>
        </w:rPr>
        <w:t xml:space="preserve"> </w:t>
      </w:r>
    </w:p>
    <w:p w14:paraId="77F32964" w14:textId="66E41C46" w:rsidR="00184EAD" w:rsidRDefault="003D06AD" w:rsidP="003F5F13">
      <w:pPr>
        <w:autoSpaceDE w:val="0"/>
        <w:autoSpaceDN w:val="0"/>
        <w:adjustRightInd w:val="0"/>
        <w:spacing w:line="360" w:lineRule="auto"/>
        <w:contextualSpacing/>
        <w:rPr>
          <w:rFonts w:eastAsia="Times New Roman" w:cs="Times New Roman"/>
          <w:color w:val="000000"/>
        </w:rPr>
      </w:pPr>
      <w:r>
        <w:rPr>
          <w:rFonts w:eastAsia="Times New Roman" w:cs="Times New Roman"/>
          <w:color w:val="000000"/>
        </w:rPr>
        <w:tab/>
      </w:r>
      <w:r w:rsidR="238AAC9B">
        <w:rPr>
          <w:rFonts w:eastAsia="Times New Roman" w:cs="Times New Roman"/>
          <w:color w:val="000000"/>
        </w:rPr>
        <w:t xml:space="preserve">Two other statutory provisions </w:t>
      </w:r>
      <w:r w:rsidR="637E9EEB">
        <w:rPr>
          <w:rFonts w:eastAsia="Times New Roman" w:cs="Times New Roman"/>
          <w:color w:val="000000"/>
        </w:rPr>
        <w:t>featur</w:t>
      </w:r>
      <w:r w:rsidR="00982FBF">
        <w:rPr>
          <w:rFonts w:eastAsia="Times New Roman" w:cs="Times New Roman"/>
          <w:color w:val="000000"/>
        </w:rPr>
        <w:t>ing</w:t>
      </w:r>
      <w:r w:rsidR="637E9EEB">
        <w:rPr>
          <w:rFonts w:eastAsia="Times New Roman" w:cs="Times New Roman"/>
          <w:color w:val="000000"/>
        </w:rPr>
        <w:t xml:space="preserve"> prominently in </w:t>
      </w:r>
      <w:r w:rsidR="71B1146B">
        <w:rPr>
          <w:rFonts w:eastAsia="Times New Roman" w:cs="Times New Roman"/>
          <w:color w:val="000000"/>
        </w:rPr>
        <w:t xml:space="preserve">plaintiffs’ taxpayer claim </w:t>
      </w:r>
      <w:r w:rsidR="628E671E">
        <w:rPr>
          <w:rFonts w:eastAsia="Times New Roman" w:cs="Times New Roman"/>
          <w:color w:val="000000"/>
        </w:rPr>
        <w:t>implement</w:t>
      </w:r>
      <w:r w:rsidR="66CF95E7">
        <w:rPr>
          <w:rFonts w:eastAsia="Times New Roman" w:cs="Times New Roman"/>
          <w:color w:val="000000"/>
        </w:rPr>
        <w:t xml:space="preserve"> and </w:t>
      </w:r>
      <w:r w:rsidR="238AAC9B">
        <w:rPr>
          <w:rFonts w:eastAsia="Times New Roman" w:cs="Times New Roman"/>
          <w:color w:val="000000"/>
        </w:rPr>
        <w:t xml:space="preserve">enforce the state’s policy in favor of speedy criminal trials </w:t>
      </w:r>
      <w:r w:rsidR="628E671E">
        <w:rPr>
          <w:rFonts w:eastAsia="Times New Roman" w:cs="Times New Roman"/>
          <w:color w:val="000000"/>
        </w:rPr>
        <w:t>more broadly</w:t>
      </w:r>
      <w:r w:rsidR="2C39EC1B">
        <w:rPr>
          <w:rFonts w:eastAsia="Times New Roman" w:cs="Times New Roman"/>
          <w:color w:val="000000"/>
        </w:rPr>
        <w:t>,</w:t>
      </w:r>
      <w:r w:rsidR="55B18173">
        <w:rPr>
          <w:rFonts w:eastAsia="Times New Roman" w:cs="Times New Roman"/>
          <w:color w:val="000000"/>
        </w:rPr>
        <w:t xml:space="preserve"> </w:t>
      </w:r>
      <w:r w:rsidR="6AEE7E4A">
        <w:rPr>
          <w:rFonts w:eastAsia="Times New Roman" w:cs="Times New Roman"/>
          <w:color w:val="000000"/>
        </w:rPr>
        <w:t xml:space="preserve">to further </w:t>
      </w:r>
      <w:r w:rsidR="238AAC9B">
        <w:rPr>
          <w:rFonts w:eastAsia="Times New Roman" w:cs="Times New Roman"/>
          <w:color w:val="000000"/>
        </w:rPr>
        <w:t xml:space="preserve">the </w:t>
      </w:r>
      <w:r w:rsidR="71CB62C1">
        <w:rPr>
          <w:rFonts w:eastAsia="Times New Roman" w:cs="Times New Roman"/>
          <w:color w:val="000000"/>
        </w:rPr>
        <w:t xml:space="preserve">rights and interests </w:t>
      </w:r>
      <w:r w:rsidR="238AAC9B">
        <w:rPr>
          <w:rFonts w:eastAsia="Times New Roman" w:cs="Times New Roman"/>
          <w:color w:val="000000"/>
        </w:rPr>
        <w:t xml:space="preserve">of </w:t>
      </w:r>
      <w:r w:rsidR="71CB62C1">
        <w:rPr>
          <w:rFonts w:eastAsia="Times New Roman" w:cs="Times New Roman"/>
          <w:color w:val="000000"/>
        </w:rPr>
        <w:t xml:space="preserve">all participants in criminal </w:t>
      </w:r>
      <w:r w:rsidR="00D4563E">
        <w:rPr>
          <w:rFonts w:eastAsia="Times New Roman" w:cs="Times New Roman"/>
          <w:color w:val="000000"/>
        </w:rPr>
        <w:t>cases</w:t>
      </w:r>
      <w:r w:rsidR="71CB62C1">
        <w:rPr>
          <w:rFonts w:eastAsia="Times New Roman" w:cs="Times New Roman"/>
          <w:color w:val="000000"/>
        </w:rPr>
        <w:t xml:space="preserve"> and of </w:t>
      </w:r>
      <w:proofErr w:type="gramStart"/>
      <w:r w:rsidR="238AAC9B">
        <w:rPr>
          <w:rFonts w:eastAsia="Times New Roman" w:cs="Times New Roman"/>
          <w:color w:val="000000"/>
        </w:rPr>
        <w:t>society as a whole</w:t>
      </w:r>
      <w:proofErr w:type="gramEnd"/>
      <w:r w:rsidR="238AAC9B">
        <w:rPr>
          <w:rFonts w:eastAsia="Times New Roman" w:cs="Times New Roman"/>
          <w:color w:val="000000"/>
        </w:rPr>
        <w:t xml:space="preserve">. The first is section 1049.5, </w:t>
      </w:r>
      <w:r w:rsidR="00176A82">
        <w:rPr>
          <w:rFonts w:eastAsia="Times New Roman" w:cs="Times New Roman"/>
          <w:color w:val="000000"/>
        </w:rPr>
        <w:t xml:space="preserve">which requires the court to set felony criminal </w:t>
      </w:r>
      <w:r w:rsidR="002D665A">
        <w:rPr>
          <w:rFonts w:eastAsia="Times New Roman" w:cs="Times New Roman"/>
          <w:color w:val="000000"/>
        </w:rPr>
        <w:t>trials</w:t>
      </w:r>
      <w:r w:rsidR="00176A82">
        <w:rPr>
          <w:rFonts w:eastAsia="Times New Roman" w:cs="Times New Roman"/>
          <w:color w:val="000000"/>
        </w:rPr>
        <w:t xml:space="preserve"> within 60</w:t>
      </w:r>
      <w:r w:rsidR="00924FD8">
        <w:rPr>
          <w:rFonts w:eastAsia="Times New Roman" w:cs="Times New Roman"/>
          <w:color w:val="000000"/>
        </w:rPr>
        <w:t> </w:t>
      </w:r>
      <w:r w:rsidR="00176A82">
        <w:rPr>
          <w:rFonts w:eastAsia="Times New Roman" w:cs="Times New Roman"/>
          <w:color w:val="000000"/>
        </w:rPr>
        <w:t xml:space="preserve">days of </w:t>
      </w:r>
      <w:r w:rsidR="00B937B1">
        <w:rPr>
          <w:rFonts w:eastAsia="Times New Roman" w:cs="Times New Roman"/>
          <w:color w:val="000000"/>
        </w:rPr>
        <w:t>arraignment unless, after a hearing</w:t>
      </w:r>
      <w:r w:rsidR="00484DBB">
        <w:rPr>
          <w:rFonts w:eastAsia="Times New Roman" w:cs="Times New Roman"/>
          <w:color w:val="000000"/>
        </w:rPr>
        <w:t xml:space="preserve"> as set forth in section 1050</w:t>
      </w:r>
      <w:r w:rsidR="00B937B1">
        <w:rPr>
          <w:rFonts w:eastAsia="Times New Roman" w:cs="Times New Roman"/>
          <w:color w:val="000000"/>
        </w:rPr>
        <w:t>, the court finds good cause for a later date.</w:t>
      </w:r>
      <w:r w:rsidR="00484DBB">
        <w:rPr>
          <w:rFonts w:eastAsia="Times New Roman" w:cs="Times New Roman"/>
          <w:color w:val="000000"/>
        </w:rPr>
        <w:t xml:space="preserve"> (§ 1049.5.)</w:t>
      </w:r>
      <w:r>
        <w:rPr>
          <w:rStyle w:val="FootnoteReference"/>
          <w:rFonts w:eastAsia="Times New Roman" w:cs="Times New Roman"/>
          <w:color w:val="000000"/>
        </w:rPr>
        <w:footnoteReference w:id="17"/>
      </w:r>
      <w:r w:rsidR="00B937B1">
        <w:rPr>
          <w:rFonts w:eastAsia="Times New Roman" w:cs="Times New Roman"/>
          <w:color w:val="000000"/>
        </w:rPr>
        <w:t xml:space="preserve"> This provision </w:t>
      </w:r>
      <w:r w:rsidR="00484DBB">
        <w:rPr>
          <w:rFonts w:eastAsia="Times New Roman" w:cs="Times New Roman"/>
          <w:color w:val="000000"/>
        </w:rPr>
        <w:t xml:space="preserve">was </w:t>
      </w:r>
      <w:r w:rsidR="238AAC9B">
        <w:rPr>
          <w:rFonts w:eastAsia="Times New Roman" w:cs="Times New Roman"/>
          <w:color w:val="000000"/>
        </w:rPr>
        <w:t>enacted by the Crime Victims Justice Reform Act, a 1990 initiative measure</w:t>
      </w:r>
      <w:r w:rsidR="1775ADAD">
        <w:rPr>
          <w:rFonts w:eastAsia="Times New Roman" w:cs="Times New Roman"/>
          <w:color w:val="000000"/>
        </w:rPr>
        <w:t xml:space="preserve"> intended </w:t>
      </w:r>
      <w:r w:rsidR="25E0FB2B">
        <w:rPr>
          <w:rFonts w:eastAsia="Times New Roman" w:cs="Times New Roman"/>
          <w:color w:val="000000"/>
        </w:rPr>
        <w:t>“</w:t>
      </w:r>
      <w:r w:rsidR="1775ADAD" w:rsidRPr="00C72DC3">
        <w:rPr>
          <w:rFonts w:eastAsia="Times New Roman" w:cs="Times New Roman"/>
          <w:color w:val="000000"/>
        </w:rPr>
        <w:t xml:space="preserve">to restore balance to our criminal justice system, to create a system in which justice is swift and fair, and to create a system in which violent </w:t>
      </w:r>
      <w:r w:rsidR="1775ADAD" w:rsidRPr="00C72DC3">
        <w:rPr>
          <w:rFonts w:eastAsia="Times New Roman" w:cs="Times New Roman"/>
          <w:color w:val="000000"/>
        </w:rPr>
        <w:lastRenderedPageBreak/>
        <w:t xml:space="preserve">criminals receive just punishment, </w:t>
      </w:r>
      <w:r w:rsidR="25E0FB2B">
        <w:rPr>
          <w:rFonts w:eastAsia="Times New Roman" w:cs="Times New Roman"/>
          <w:color w:val="000000"/>
        </w:rPr>
        <w:t>. . .</w:t>
      </w:r>
      <w:r w:rsidR="1775ADAD" w:rsidRPr="00C72DC3">
        <w:rPr>
          <w:rFonts w:eastAsia="Times New Roman" w:cs="Times New Roman"/>
          <w:color w:val="000000"/>
        </w:rPr>
        <w:t xml:space="preserve"> crime victims and witnesses are treated with care and respect, and </w:t>
      </w:r>
      <w:r w:rsidR="25E0FB2B">
        <w:rPr>
          <w:rFonts w:eastAsia="Times New Roman" w:cs="Times New Roman"/>
          <w:color w:val="000000"/>
        </w:rPr>
        <w:t xml:space="preserve">. . . </w:t>
      </w:r>
      <w:r w:rsidR="1775ADAD" w:rsidRPr="00C72DC3">
        <w:rPr>
          <w:rFonts w:eastAsia="Times New Roman" w:cs="Times New Roman"/>
          <w:color w:val="000000"/>
        </w:rPr>
        <w:t xml:space="preserve">society as a whole can be free from the fear of crime </w:t>
      </w:r>
      <w:r w:rsidR="25E0FB2B">
        <w:rPr>
          <w:rFonts w:eastAsia="Times New Roman" w:cs="Times New Roman"/>
          <w:color w:val="000000"/>
        </w:rPr>
        <w:t>. . . </w:t>
      </w:r>
      <w:r w:rsidR="1775ADAD" w:rsidRPr="00C72DC3">
        <w:rPr>
          <w:rFonts w:eastAsia="Times New Roman" w:cs="Times New Roman"/>
          <w:color w:val="000000"/>
        </w:rPr>
        <w:t>.</w:t>
      </w:r>
      <w:r w:rsidR="1775ADAD">
        <w:rPr>
          <w:rFonts w:eastAsia="Times New Roman" w:cs="Times New Roman"/>
          <w:color w:val="000000"/>
        </w:rPr>
        <w:t>” (Prop. 115, § 1(c), approved by voters on June</w:t>
      </w:r>
      <w:r w:rsidR="0084174A">
        <w:rPr>
          <w:rFonts w:eastAsia="Times New Roman" w:cs="Times New Roman"/>
          <w:color w:val="000000"/>
        </w:rPr>
        <w:t> </w:t>
      </w:r>
      <w:r w:rsidR="1775ADAD">
        <w:rPr>
          <w:rFonts w:eastAsia="Times New Roman" w:cs="Times New Roman"/>
          <w:color w:val="000000"/>
        </w:rPr>
        <w:t xml:space="preserve">5, 1990; see </w:t>
      </w:r>
      <w:r w:rsidR="1775ADAD" w:rsidRPr="797FBB80">
        <w:rPr>
          <w:rFonts w:eastAsia="Times New Roman" w:cs="Times New Roman"/>
          <w:i/>
          <w:iCs/>
          <w:color w:val="000000"/>
        </w:rPr>
        <w:t>id</w:t>
      </w:r>
      <w:r w:rsidR="1775ADAD">
        <w:rPr>
          <w:rFonts w:eastAsia="Times New Roman" w:cs="Times New Roman"/>
          <w:color w:val="000000"/>
        </w:rPr>
        <w:t xml:space="preserve">., § 21 [enacting § 1049.5].) </w:t>
      </w:r>
      <w:r w:rsidR="00A60944">
        <w:rPr>
          <w:rFonts w:eastAsia="Times New Roman" w:cs="Times New Roman"/>
          <w:color w:val="000000"/>
        </w:rPr>
        <w:t>Rather than emphasize defendants’ rights</w:t>
      </w:r>
      <w:r w:rsidR="00212219">
        <w:rPr>
          <w:rFonts w:eastAsia="Times New Roman" w:cs="Times New Roman"/>
          <w:color w:val="000000"/>
        </w:rPr>
        <w:t>,</w:t>
      </w:r>
      <w:r w:rsidR="008E2D81">
        <w:rPr>
          <w:rFonts w:eastAsia="Times New Roman" w:cs="Times New Roman"/>
          <w:color w:val="000000"/>
        </w:rPr>
        <w:t xml:space="preserve"> </w:t>
      </w:r>
      <w:r w:rsidR="00A60944">
        <w:rPr>
          <w:rFonts w:eastAsia="Times New Roman" w:cs="Times New Roman"/>
          <w:color w:val="000000"/>
        </w:rPr>
        <w:t xml:space="preserve">the initiative </w:t>
      </w:r>
      <w:r w:rsidR="0055463E">
        <w:rPr>
          <w:rFonts w:eastAsia="Times New Roman" w:cs="Times New Roman"/>
          <w:color w:val="000000"/>
        </w:rPr>
        <w:t>focuses on</w:t>
      </w:r>
      <w:r w:rsidR="00A60944">
        <w:rPr>
          <w:rFonts w:eastAsia="Times New Roman" w:cs="Times New Roman"/>
          <w:color w:val="000000"/>
        </w:rPr>
        <w:t xml:space="preserve"> s</w:t>
      </w:r>
      <w:r w:rsidR="00507BC6">
        <w:rPr>
          <w:rFonts w:eastAsia="Times New Roman" w:cs="Times New Roman"/>
          <w:color w:val="000000"/>
        </w:rPr>
        <w:t>wift</w:t>
      </w:r>
      <w:r w:rsidR="001A1682">
        <w:rPr>
          <w:rFonts w:eastAsia="Times New Roman" w:cs="Times New Roman"/>
          <w:color w:val="000000"/>
        </w:rPr>
        <w:t>ly</w:t>
      </w:r>
      <w:r w:rsidR="00507BC6">
        <w:rPr>
          <w:rFonts w:eastAsia="Times New Roman" w:cs="Times New Roman"/>
          <w:color w:val="000000"/>
        </w:rPr>
        <w:t xml:space="preserve"> punish</w:t>
      </w:r>
      <w:r w:rsidR="001A1682">
        <w:rPr>
          <w:rFonts w:eastAsia="Times New Roman" w:cs="Times New Roman"/>
          <w:color w:val="000000"/>
        </w:rPr>
        <w:t>ing</w:t>
      </w:r>
      <w:r w:rsidR="00507BC6">
        <w:rPr>
          <w:rFonts w:eastAsia="Times New Roman" w:cs="Times New Roman"/>
          <w:color w:val="000000"/>
        </w:rPr>
        <w:t xml:space="preserve"> “violent criminals</w:t>
      </w:r>
      <w:r w:rsidR="0055463E">
        <w:rPr>
          <w:rFonts w:eastAsia="Times New Roman" w:cs="Times New Roman"/>
          <w:color w:val="000000"/>
        </w:rPr>
        <w:t>,</w:t>
      </w:r>
      <w:r w:rsidR="00507BC6">
        <w:rPr>
          <w:rFonts w:eastAsia="Times New Roman" w:cs="Times New Roman"/>
          <w:color w:val="000000"/>
        </w:rPr>
        <w:t xml:space="preserve">” </w:t>
      </w:r>
      <w:r w:rsidR="00956E2F">
        <w:rPr>
          <w:rFonts w:eastAsia="Times New Roman" w:cs="Times New Roman"/>
          <w:color w:val="000000"/>
        </w:rPr>
        <w:t>protecti</w:t>
      </w:r>
      <w:r w:rsidR="001A1682">
        <w:rPr>
          <w:rFonts w:eastAsia="Times New Roman" w:cs="Times New Roman"/>
          <w:color w:val="000000"/>
        </w:rPr>
        <w:t>ng</w:t>
      </w:r>
      <w:r w:rsidR="6E4CCA05">
        <w:rPr>
          <w:rFonts w:eastAsia="Times New Roman" w:cs="Times New Roman"/>
          <w:color w:val="000000"/>
        </w:rPr>
        <w:t xml:space="preserve"> </w:t>
      </w:r>
      <w:r w:rsidR="17EF86E8">
        <w:rPr>
          <w:rFonts w:eastAsia="Times New Roman" w:cs="Times New Roman"/>
          <w:color w:val="000000"/>
        </w:rPr>
        <w:t>public safety</w:t>
      </w:r>
      <w:r w:rsidR="00690EF0">
        <w:rPr>
          <w:rFonts w:eastAsia="Times New Roman" w:cs="Times New Roman"/>
          <w:color w:val="000000"/>
        </w:rPr>
        <w:t>,</w:t>
      </w:r>
      <w:r w:rsidR="17EF86E8">
        <w:rPr>
          <w:rFonts w:eastAsia="Times New Roman" w:cs="Times New Roman"/>
          <w:color w:val="000000"/>
        </w:rPr>
        <w:t xml:space="preserve"> and </w:t>
      </w:r>
      <w:r w:rsidR="00956E2F">
        <w:rPr>
          <w:rFonts w:eastAsia="Times New Roman" w:cs="Times New Roman"/>
          <w:color w:val="000000"/>
        </w:rPr>
        <w:t xml:space="preserve">fostering </w:t>
      </w:r>
      <w:r w:rsidR="17EF86E8">
        <w:rPr>
          <w:rFonts w:eastAsia="Times New Roman" w:cs="Times New Roman"/>
          <w:color w:val="000000"/>
        </w:rPr>
        <w:t xml:space="preserve">the welfare of </w:t>
      </w:r>
      <w:r w:rsidR="17EF86E8" w:rsidRPr="009D0CF7">
        <w:rPr>
          <w:rFonts w:eastAsia="Times New Roman" w:cs="Times New Roman"/>
          <w:color w:val="000000"/>
        </w:rPr>
        <w:t>victims</w:t>
      </w:r>
      <w:r w:rsidR="60B8F92B">
        <w:rPr>
          <w:rFonts w:eastAsia="Times New Roman" w:cs="Times New Roman"/>
          <w:color w:val="000000"/>
        </w:rPr>
        <w:t xml:space="preserve"> and </w:t>
      </w:r>
      <w:r w:rsidR="60B8F92B" w:rsidRPr="009D0CF7">
        <w:rPr>
          <w:rFonts w:eastAsia="Times New Roman" w:cs="Times New Roman"/>
          <w:color w:val="000000"/>
        </w:rPr>
        <w:t>witnesses</w:t>
      </w:r>
      <w:r w:rsidR="60B8F92B">
        <w:rPr>
          <w:rFonts w:eastAsia="Times New Roman" w:cs="Times New Roman"/>
          <w:color w:val="000000"/>
        </w:rPr>
        <w:t>.</w:t>
      </w:r>
    </w:p>
    <w:p w14:paraId="61B2B49F" w14:textId="406408A0" w:rsidR="00DB0C50" w:rsidRDefault="003D06AD" w:rsidP="00656ABE">
      <w:pPr>
        <w:autoSpaceDE w:val="0"/>
        <w:autoSpaceDN w:val="0"/>
        <w:adjustRightInd w:val="0"/>
        <w:spacing w:line="360" w:lineRule="auto"/>
        <w:contextualSpacing/>
        <w:rPr>
          <w:rFonts w:eastAsia="Times New Roman" w:cs="Times New Roman"/>
          <w:color w:val="000000" w:themeColor="text1"/>
        </w:rPr>
      </w:pPr>
      <w:r>
        <w:rPr>
          <w:rFonts w:eastAsia="Times New Roman" w:cs="Times New Roman"/>
          <w:color w:val="000000"/>
        </w:rPr>
        <w:tab/>
      </w:r>
      <w:r w:rsidR="6607D5D6">
        <w:rPr>
          <w:rFonts w:eastAsia="Times New Roman" w:cs="Times New Roman"/>
          <w:color w:val="000000"/>
        </w:rPr>
        <w:t>The second</w:t>
      </w:r>
      <w:r>
        <w:rPr>
          <w:rFonts w:eastAsia="Times New Roman" w:cs="Times New Roman"/>
          <w:color w:val="000000"/>
        </w:rPr>
        <w:t xml:space="preserve"> </w:t>
      </w:r>
      <w:r w:rsidR="08AC6E3E" w:rsidRPr="797FBB80">
        <w:rPr>
          <w:rFonts w:eastAsia="Times New Roman" w:cs="Times New Roman"/>
          <w:color w:val="000000" w:themeColor="text1"/>
        </w:rPr>
        <w:t>provision</w:t>
      </w:r>
      <w:r w:rsidR="2BFE276F">
        <w:rPr>
          <w:rFonts w:eastAsia="Times New Roman" w:cs="Times New Roman"/>
          <w:color w:val="000000"/>
        </w:rPr>
        <w:t xml:space="preserve"> </w:t>
      </w:r>
      <w:r w:rsidR="6607D5D6">
        <w:rPr>
          <w:rFonts w:eastAsia="Times New Roman" w:cs="Times New Roman"/>
          <w:color w:val="000000"/>
        </w:rPr>
        <w:t>is section 1050</w:t>
      </w:r>
      <w:r w:rsidR="009F2718" w:rsidRPr="797FBB80">
        <w:rPr>
          <w:rFonts w:eastAsia="Times New Roman" w:cs="Times New Roman"/>
          <w:color w:val="000000" w:themeColor="text1"/>
        </w:rPr>
        <w:t>(a)</w:t>
      </w:r>
      <w:r w:rsidR="2F4FA046" w:rsidRPr="797FBB80">
        <w:rPr>
          <w:rFonts w:eastAsia="Times New Roman" w:cs="Times New Roman"/>
          <w:color w:val="000000" w:themeColor="text1"/>
        </w:rPr>
        <w:t>,</w:t>
      </w:r>
      <w:r w:rsidR="4859968F">
        <w:rPr>
          <w:rFonts w:cs="Times New Roman"/>
        </w:rPr>
        <w:t xml:space="preserve"> </w:t>
      </w:r>
      <w:r w:rsidR="351C4B8E" w:rsidRPr="797FBB80">
        <w:rPr>
          <w:rFonts w:cs="Times New Roman"/>
        </w:rPr>
        <w:t>which</w:t>
      </w:r>
      <w:r w:rsidR="0E4CE83C" w:rsidRPr="797FBB80">
        <w:rPr>
          <w:rFonts w:cs="Times New Roman"/>
        </w:rPr>
        <w:t xml:space="preserve"> imposes a “duty [on] all courts and judicial officers [and counsel] . . . to expedite </w:t>
      </w:r>
      <w:r w:rsidR="25047654" w:rsidRPr="797FBB80">
        <w:rPr>
          <w:rFonts w:cs="Times New Roman"/>
        </w:rPr>
        <w:t xml:space="preserve">[criminal] </w:t>
      </w:r>
      <w:r w:rsidR="0E4CE83C" w:rsidRPr="797FBB80">
        <w:rPr>
          <w:rFonts w:cs="Times New Roman"/>
        </w:rPr>
        <w:t>proceedings to the greatest degree that is consistent with the ends of justice.” (</w:t>
      </w:r>
      <w:r w:rsidR="0E4CE83C" w:rsidRPr="797FBB80">
        <w:rPr>
          <w:rFonts w:eastAsia="Times New Roman" w:cs="Times New Roman"/>
          <w:color w:val="000000" w:themeColor="text1"/>
        </w:rPr>
        <w:t>§ 1050(a)</w:t>
      </w:r>
      <w:r w:rsidR="0E4CE83C" w:rsidRPr="797FBB80">
        <w:rPr>
          <w:rFonts w:cs="Times New Roman"/>
          <w:i/>
          <w:iCs/>
        </w:rPr>
        <w:t>.</w:t>
      </w:r>
      <w:r w:rsidR="0E4CE83C" w:rsidRPr="797FBB80">
        <w:rPr>
          <w:rFonts w:cs="Times New Roman"/>
        </w:rPr>
        <w:t xml:space="preserve">) </w:t>
      </w:r>
      <w:r w:rsidR="4B049C12" w:rsidRPr="797FBB80">
        <w:rPr>
          <w:rFonts w:cs="Times New Roman"/>
        </w:rPr>
        <w:t>To that end</w:t>
      </w:r>
      <w:r w:rsidR="0E4CE83C" w:rsidRPr="797FBB80">
        <w:rPr>
          <w:rFonts w:cs="Times New Roman"/>
        </w:rPr>
        <w:t xml:space="preserve">, the provision further commands that criminal cases </w:t>
      </w:r>
      <w:r w:rsidR="009455B2">
        <w:rPr>
          <w:rFonts w:cs="Times New Roman"/>
        </w:rPr>
        <w:t>“</w:t>
      </w:r>
      <w:r w:rsidR="0E4CE83C" w:rsidRPr="797FBB80">
        <w:rPr>
          <w:rFonts w:cs="Times New Roman"/>
        </w:rPr>
        <w:t xml:space="preserve">shall be given precedence </w:t>
      </w:r>
      <w:proofErr w:type="gramStart"/>
      <w:r w:rsidR="0E4CE83C" w:rsidRPr="797FBB80">
        <w:rPr>
          <w:rFonts w:cs="Times New Roman"/>
        </w:rPr>
        <w:t>over, and</w:t>
      </w:r>
      <w:proofErr w:type="gramEnd"/>
      <w:r w:rsidR="0E4CE83C" w:rsidRPr="797FBB80">
        <w:rPr>
          <w:rFonts w:cs="Times New Roman"/>
        </w:rPr>
        <w:t xml:space="preserve"> set for trial and heard without regard to the pendency of, any civil matters or proceedings.”</w:t>
      </w:r>
      <w:r w:rsidR="0E4CE83C" w:rsidRPr="797FBB80">
        <w:rPr>
          <w:rFonts w:eastAsia="Times New Roman" w:cs="Times New Roman"/>
          <w:color w:val="000000" w:themeColor="text1"/>
        </w:rPr>
        <w:t xml:space="preserve"> </w:t>
      </w:r>
      <w:r w:rsidR="337CA479" w:rsidRPr="797FBB80">
        <w:rPr>
          <w:rFonts w:eastAsia="Times New Roman" w:cs="Times New Roman"/>
          <w:color w:val="000000" w:themeColor="text1"/>
        </w:rPr>
        <w:t>(</w:t>
      </w:r>
      <w:r w:rsidR="337CA479" w:rsidRPr="797FBB80">
        <w:rPr>
          <w:rFonts w:eastAsia="Times New Roman" w:cs="Times New Roman"/>
          <w:i/>
          <w:iCs/>
          <w:color w:val="000000" w:themeColor="text1"/>
        </w:rPr>
        <w:t>Ibid.</w:t>
      </w:r>
      <w:r w:rsidR="337CA479" w:rsidRPr="797FBB80">
        <w:rPr>
          <w:rFonts w:eastAsia="Times New Roman" w:cs="Times New Roman"/>
          <w:color w:val="000000" w:themeColor="text1"/>
        </w:rPr>
        <w:t>)</w:t>
      </w:r>
      <w:r w:rsidR="4F279E6C" w:rsidRPr="797FBB80">
        <w:rPr>
          <w:rFonts w:eastAsia="Times New Roman" w:cs="Times New Roman"/>
          <w:color w:val="000000" w:themeColor="text1"/>
        </w:rPr>
        <w:t xml:space="preserve"> As we discuss </w:t>
      </w:r>
      <w:r w:rsidR="2C30BE33" w:rsidRPr="797FBB80">
        <w:rPr>
          <w:rFonts w:eastAsia="Times New Roman" w:cs="Times New Roman"/>
          <w:color w:val="000000" w:themeColor="text1"/>
        </w:rPr>
        <w:t>below</w:t>
      </w:r>
      <w:r w:rsidR="4F279E6C" w:rsidRPr="797FBB80">
        <w:rPr>
          <w:rFonts w:eastAsia="Times New Roman" w:cs="Times New Roman"/>
          <w:color w:val="000000" w:themeColor="text1"/>
        </w:rPr>
        <w:t xml:space="preserve">, </w:t>
      </w:r>
      <w:r w:rsidR="530E6338" w:rsidRPr="797FBB80">
        <w:rPr>
          <w:rFonts w:eastAsia="Times New Roman" w:cs="Times New Roman"/>
          <w:color w:val="000000" w:themeColor="text1"/>
        </w:rPr>
        <w:t xml:space="preserve">while </w:t>
      </w:r>
      <w:r w:rsidR="0D4B5A1D" w:rsidRPr="797FBB80">
        <w:rPr>
          <w:rFonts w:eastAsia="Times New Roman" w:cs="Times New Roman"/>
          <w:color w:val="000000" w:themeColor="text1"/>
        </w:rPr>
        <w:t>this provision has been</w:t>
      </w:r>
      <w:r w:rsidR="623FE735" w:rsidRPr="797FBB80">
        <w:rPr>
          <w:rFonts w:eastAsia="Times New Roman" w:cs="Times New Roman"/>
          <w:color w:val="000000" w:themeColor="text1"/>
        </w:rPr>
        <w:t xml:space="preserve"> </w:t>
      </w:r>
      <w:r w:rsidR="4F279E6C" w:rsidRPr="797FBB80">
        <w:rPr>
          <w:rFonts w:eastAsia="Times New Roman" w:cs="Times New Roman"/>
          <w:color w:val="000000" w:themeColor="text1"/>
        </w:rPr>
        <w:t xml:space="preserve">construed to </w:t>
      </w:r>
      <w:r w:rsidR="28E357E2" w:rsidRPr="797FBB80">
        <w:rPr>
          <w:rFonts w:eastAsia="Times New Roman" w:cs="Times New Roman"/>
          <w:color w:val="000000" w:themeColor="text1"/>
        </w:rPr>
        <w:t xml:space="preserve">permit </w:t>
      </w:r>
      <w:r w:rsidR="5C9B3ADE" w:rsidRPr="797FBB80">
        <w:rPr>
          <w:rFonts w:eastAsia="Times New Roman" w:cs="Times New Roman"/>
          <w:color w:val="000000" w:themeColor="text1"/>
        </w:rPr>
        <w:t xml:space="preserve">superior courts </w:t>
      </w:r>
      <w:r w:rsidR="3815C5D7" w:rsidRPr="797FBB80">
        <w:rPr>
          <w:rFonts w:eastAsia="Times New Roman" w:cs="Times New Roman"/>
          <w:color w:val="000000" w:themeColor="text1"/>
        </w:rPr>
        <w:t xml:space="preserve">some latitude </w:t>
      </w:r>
      <w:r w:rsidR="3221B317" w:rsidRPr="797FBB80">
        <w:rPr>
          <w:rFonts w:eastAsia="Times New Roman" w:cs="Times New Roman"/>
          <w:color w:val="000000" w:themeColor="text1"/>
        </w:rPr>
        <w:t xml:space="preserve">in </w:t>
      </w:r>
      <w:r w:rsidR="28E357E2" w:rsidRPr="797FBB80">
        <w:rPr>
          <w:rFonts w:eastAsia="Times New Roman" w:cs="Times New Roman"/>
          <w:color w:val="000000" w:themeColor="text1"/>
        </w:rPr>
        <w:t>manag</w:t>
      </w:r>
      <w:r w:rsidR="08F982F7" w:rsidRPr="797FBB80">
        <w:rPr>
          <w:rFonts w:eastAsia="Times New Roman" w:cs="Times New Roman"/>
          <w:color w:val="000000" w:themeColor="text1"/>
        </w:rPr>
        <w:t>ing</w:t>
      </w:r>
      <w:r w:rsidR="28E357E2" w:rsidRPr="797FBB80">
        <w:rPr>
          <w:rFonts w:eastAsia="Times New Roman" w:cs="Times New Roman"/>
          <w:color w:val="000000" w:themeColor="text1"/>
        </w:rPr>
        <w:t xml:space="preserve"> their workload</w:t>
      </w:r>
      <w:r w:rsidR="6239AB24" w:rsidRPr="797FBB80">
        <w:rPr>
          <w:rFonts w:eastAsia="Times New Roman" w:cs="Times New Roman"/>
          <w:color w:val="000000" w:themeColor="text1"/>
        </w:rPr>
        <w:t>,</w:t>
      </w:r>
      <w:r w:rsidR="28E357E2" w:rsidRPr="797FBB80">
        <w:rPr>
          <w:rFonts w:eastAsia="Times New Roman" w:cs="Times New Roman"/>
          <w:color w:val="000000" w:themeColor="text1"/>
        </w:rPr>
        <w:t xml:space="preserve"> </w:t>
      </w:r>
      <w:r w:rsidR="572746CA" w:rsidRPr="797FBB80">
        <w:rPr>
          <w:rFonts w:eastAsia="Times New Roman" w:cs="Times New Roman"/>
          <w:color w:val="000000" w:themeColor="text1"/>
        </w:rPr>
        <w:t xml:space="preserve">including </w:t>
      </w:r>
      <w:r w:rsidR="28E357E2" w:rsidRPr="797FBB80">
        <w:rPr>
          <w:rFonts w:eastAsia="Times New Roman" w:cs="Times New Roman"/>
          <w:color w:val="000000" w:themeColor="text1"/>
        </w:rPr>
        <w:t xml:space="preserve">by </w:t>
      </w:r>
      <w:r w:rsidR="00D905BD">
        <w:rPr>
          <w:rFonts w:eastAsia="Times New Roman" w:cs="Times New Roman"/>
          <w:color w:val="000000" w:themeColor="text1"/>
        </w:rPr>
        <w:t>designating</w:t>
      </w:r>
      <w:r w:rsidR="00D905BD" w:rsidRPr="797FBB80">
        <w:rPr>
          <w:rFonts w:eastAsia="Times New Roman" w:cs="Times New Roman"/>
          <w:color w:val="000000" w:themeColor="text1"/>
        </w:rPr>
        <w:t xml:space="preserve"> </w:t>
      </w:r>
      <w:r w:rsidR="28E357E2" w:rsidRPr="797FBB80">
        <w:rPr>
          <w:rFonts w:eastAsia="Times New Roman" w:cs="Times New Roman"/>
          <w:color w:val="000000" w:themeColor="text1"/>
        </w:rPr>
        <w:t xml:space="preserve">specific courtrooms to </w:t>
      </w:r>
      <w:r w:rsidR="00D905BD">
        <w:rPr>
          <w:rFonts w:eastAsia="Times New Roman" w:cs="Times New Roman"/>
          <w:color w:val="000000" w:themeColor="text1"/>
        </w:rPr>
        <w:t>preside over</w:t>
      </w:r>
      <w:r w:rsidR="00D966BA">
        <w:rPr>
          <w:rFonts w:eastAsia="Times New Roman" w:cs="Times New Roman"/>
          <w:color w:val="000000" w:themeColor="text1"/>
        </w:rPr>
        <w:t xml:space="preserve"> </w:t>
      </w:r>
      <w:r w:rsidR="00720347">
        <w:rPr>
          <w:rFonts w:eastAsia="Times New Roman" w:cs="Times New Roman"/>
          <w:color w:val="000000" w:themeColor="text1"/>
        </w:rPr>
        <w:t>particular</w:t>
      </w:r>
      <w:r w:rsidR="00720347" w:rsidRPr="797FBB80">
        <w:rPr>
          <w:rFonts w:eastAsia="Times New Roman" w:cs="Times New Roman"/>
          <w:color w:val="000000" w:themeColor="text1"/>
        </w:rPr>
        <w:t xml:space="preserve"> </w:t>
      </w:r>
      <w:r w:rsidR="12D0C18E" w:rsidRPr="797FBB80">
        <w:rPr>
          <w:rFonts w:eastAsia="Times New Roman" w:cs="Times New Roman"/>
          <w:color w:val="000000" w:themeColor="text1"/>
        </w:rPr>
        <w:t xml:space="preserve">case types, </w:t>
      </w:r>
      <w:r w:rsidR="4CB23BD7" w:rsidRPr="797FBB80">
        <w:rPr>
          <w:rFonts w:eastAsia="Times New Roman" w:cs="Times New Roman"/>
          <w:color w:val="000000" w:themeColor="text1"/>
        </w:rPr>
        <w:t>it imposes the concomitant duty to do so</w:t>
      </w:r>
      <w:r w:rsidR="1028EBE1" w:rsidRPr="797FBB80">
        <w:rPr>
          <w:rFonts w:eastAsia="Times New Roman" w:cs="Times New Roman"/>
          <w:color w:val="000000" w:themeColor="text1"/>
        </w:rPr>
        <w:t xml:space="preserve"> in a manner that </w:t>
      </w:r>
      <w:r w:rsidR="0E78B558" w:rsidRPr="797FBB80">
        <w:rPr>
          <w:rFonts w:eastAsia="Times New Roman" w:cs="Times New Roman"/>
          <w:color w:val="000000" w:themeColor="text1"/>
        </w:rPr>
        <w:t>acknowledges the state interest in expeditious criminal proceed</w:t>
      </w:r>
      <w:r w:rsidR="10793946" w:rsidRPr="797FBB80">
        <w:rPr>
          <w:rFonts w:eastAsia="Times New Roman" w:cs="Times New Roman"/>
          <w:color w:val="000000" w:themeColor="text1"/>
        </w:rPr>
        <w:t>ing</w:t>
      </w:r>
      <w:r w:rsidR="0E78B558" w:rsidRPr="797FBB80">
        <w:rPr>
          <w:rFonts w:eastAsia="Times New Roman" w:cs="Times New Roman"/>
          <w:color w:val="000000" w:themeColor="text1"/>
        </w:rPr>
        <w:t xml:space="preserve">s and does </w:t>
      </w:r>
      <w:r w:rsidR="285F48F6" w:rsidRPr="797FBB80">
        <w:rPr>
          <w:color w:val="000000" w:themeColor="text1"/>
        </w:rPr>
        <w:t xml:space="preserve">not </w:t>
      </w:r>
      <w:r w:rsidR="0D0C3B06" w:rsidRPr="797FBB80">
        <w:rPr>
          <w:color w:val="000000" w:themeColor="text1"/>
        </w:rPr>
        <w:t>“</w:t>
      </w:r>
      <w:r w:rsidR="3A4443E3" w:rsidRPr="797FBB80">
        <w:rPr>
          <w:color w:val="000000" w:themeColor="text1"/>
        </w:rPr>
        <w:t>shortchange the court’s criminal caseload by creating or maintaining a disproportionately large number of civil as compared to criminal departments.</w:t>
      </w:r>
      <w:r w:rsidR="37943125" w:rsidRPr="797FBB80">
        <w:rPr>
          <w:color w:val="000000" w:themeColor="text1"/>
        </w:rPr>
        <w:t>”</w:t>
      </w:r>
      <w:r w:rsidR="7F8626C4" w:rsidRPr="797FBB80">
        <w:rPr>
          <w:color w:val="000000" w:themeColor="text1"/>
        </w:rPr>
        <w:t xml:space="preserve"> (See p</w:t>
      </w:r>
      <w:r w:rsidR="00470475">
        <w:rPr>
          <w:color w:val="000000" w:themeColor="text1"/>
        </w:rPr>
        <w:t>p</w:t>
      </w:r>
      <w:r w:rsidR="7F8626C4" w:rsidRPr="797FBB80">
        <w:rPr>
          <w:color w:val="000000" w:themeColor="text1"/>
        </w:rPr>
        <w:t xml:space="preserve">. </w:t>
      </w:r>
      <w:r w:rsidR="009534E4">
        <w:rPr>
          <w:color w:val="000000" w:themeColor="text1"/>
        </w:rPr>
        <w:t>1</w:t>
      </w:r>
      <w:r w:rsidR="006A408C">
        <w:rPr>
          <w:color w:val="000000" w:themeColor="text1"/>
        </w:rPr>
        <w:t>7</w:t>
      </w:r>
      <w:r w:rsidR="00470475">
        <w:rPr>
          <w:color w:val="000000" w:themeColor="text1"/>
        </w:rPr>
        <w:t>–21</w:t>
      </w:r>
      <w:r w:rsidR="00470475" w:rsidRPr="797FBB80">
        <w:rPr>
          <w:color w:val="000000" w:themeColor="text1"/>
        </w:rPr>
        <w:t>,</w:t>
      </w:r>
      <w:r w:rsidR="7F8626C4" w:rsidRPr="797FBB80">
        <w:rPr>
          <w:color w:val="000000" w:themeColor="text1"/>
        </w:rPr>
        <w:t xml:space="preserve"> </w:t>
      </w:r>
      <w:r w:rsidR="7F8626C4" w:rsidRPr="00636F75">
        <w:rPr>
          <w:i/>
          <w:color w:val="000000" w:themeColor="text1"/>
        </w:rPr>
        <w:t>post</w:t>
      </w:r>
      <w:r w:rsidR="7F8626C4" w:rsidRPr="797FBB80">
        <w:rPr>
          <w:color w:val="000000" w:themeColor="text1"/>
        </w:rPr>
        <w:t>.)</w:t>
      </w:r>
      <w:r w:rsidR="4F279E6C" w:rsidRPr="797FBB80">
        <w:rPr>
          <w:rFonts w:eastAsia="Times New Roman" w:cs="Times New Roman"/>
          <w:color w:val="000000" w:themeColor="text1"/>
        </w:rPr>
        <w:t xml:space="preserve"> </w:t>
      </w:r>
    </w:p>
    <w:p w14:paraId="631DC9CC" w14:textId="18C91D93" w:rsidR="00656ABE" w:rsidRDefault="003D06AD" w:rsidP="00656ABE">
      <w:pPr>
        <w:autoSpaceDE w:val="0"/>
        <w:autoSpaceDN w:val="0"/>
        <w:adjustRightInd w:val="0"/>
        <w:spacing w:line="360" w:lineRule="auto"/>
        <w:contextualSpacing/>
        <w:rPr>
          <w:rFonts w:cs="Times New Roman"/>
        </w:rPr>
      </w:pPr>
      <w:r>
        <w:rPr>
          <w:rFonts w:eastAsia="Times New Roman" w:cs="Times New Roman"/>
          <w:color w:val="000000" w:themeColor="text1"/>
        </w:rPr>
        <w:tab/>
      </w:r>
      <w:r w:rsidR="6E564997" w:rsidRPr="797FBB80">
        <w:rPr>
          <w:rFonts w:cs="Times New Roman"/>
        </w:rPr>
        <w:t>Unlike section</w:t>
      </w:r>
      <w:r w:rsidR="00636F75">
        <w:rPr>
          <w:rFonts w:cs="Times New Roman"/>
        </w:rPr>
        <w:t> </w:t>
      </w:r>
      <w:r w:rsidR="6E564997" w:rsidRPr="797FBB80">
        <w:rPr>
          <w:rFonts w:cs="Times New Roman"/>
        </w:rPr>
        <w:t>1382</w:t>
      </w:r>
      <w:r w:rsidR="75591481" w:rsidRPr="797FBB80">
        <w:rPr>
          <w:rFonts w:cs="Times New Roman"/>
        </w:rPr>
        <w:t>,</w:t>
      </w:r>
      <w:r w:rsidR="2E540D47" w:rsidRPr="797FBB80">
        <w:rPr>
          <w:rFonts w:cs="Times New Roman"/>
        </w:rPr>
        <w:t xml:space="preserve"> </w:t>
      </w:r>
      <w:r w:rsidR="736903B0" w:rsidRPr="797FBB80">
        <w:rPr>
          <w:rFonts w:cs="Times New Roman"/>
        </w:rPr>
        <w:t xml:space="preserve">which was </w:t>
      </w:r>
      <w:r w:rsidR="2E540D47" w:rsidRPr="797FBB80">
        <w:rPr>
          <w:rFonts w:cs="Times New Roman"/>
        </w:rPr>
        <w:t xml:space="preserve">enacted to protect </w:t>
      </w:r>
      <w:r w:rsidR="2E540D47" w:rsidRPr="00AF73DD">
        <w:rPr>
          <w:rFonts w:cs="Times New Roman"/>
          <w:i/>
        </w:rPr>
        <w:t>defendants’</w:t>
      </w:r>
      <w:r w:rsidR="2E540D47" w:rsidRPr="797FBB80">
        <w:rPr>
          <w:rFonts w:cs="Times New Roman"/>
        </w:rPr>
        <w:t xml:space="preserve"> </w:t>
      </w:r>
      <w:r w:rsidR="153DC45F" w:rsidRPr="797FBB80">
        <w:rPr>
          <w:rFonts w:cs="Times New Roman"/>
        </w:rPr>
        <w:t xml:space="preserve">speedy trial </w:t>
      </w:r>
      <w:r w:rsidR="2E540D47" w:rsidRPr="797FBB80">
        <w:rPr>
          <w:rFonts w:cs="Times New Roman"/>
        </w:rPr>
        <w:t xml:space="preserve">rights, </w:t>
      </w:r>
      <w:r w:rsidR="3C94C8DD" w:rsidRPr="797FBB80">
        <w:rPr>
          <w:rFonts w:cs="Times New Roman"/>
        </w:rPr>
        <w:t>section 1050(a)</w:t>
      </w:r>
      <w:r w:rsidR="12F57A61" w:rsidRPr="797FBB80">
        <w:rPr>
          <w:rFonts w:cs="Times New Roman"/>
        </w:rPr>
        <w:t xml:space="preserve"> </w:t>
      </w:r>
      <w:r w:rsidR="4BF7B7A9" w:rsidRPr="797FBB80">
        <w:rPr>
          <w:rFonts w:cs="Times New Roman"/>
        </w:rPr>
        <w:t>acknowledges that the right to “expeditious disposition” of criminal cases inures broadly to “the people, the defendant, and the victims and other witnesses</w:t>
      </w:r>
      <w:r w:rsidR="562E9814" w:rsidRPr="797FBB80">
        <w:rPr>
          <w:rFonts w:cs="Times New Roman"/>
        </w:rPr>
        <w:t>.</w:t>
      </w:r>
      <w:r w:rsidR="4BF7B7A9" w:rsidRPr="797FBB80">
        <w:rPr>
          <w:rFonts w:cs="Times New Roman"/>
        </w:rPr>
        <w:t>”</w:t>
      </w:r>
      <w:r w:rsidR="1457007F" w:rsidRPr="797FBB80">
        <w:rPr>
          <w:rFonts w:cs="Times New Roman"/>
        </w:rPr>
        <w:t xml:space="preserve"> It also</w:t>
      </w:r>
      <w:r w:rsidR="365DA8EB" w:rsidRPr="797FBB80">
        <w:rPr>
          <w:rFonts w:cs="Times New Roman"/>
        </w:rPr>
        <w:t xml:space="preserve"> </w:t>
      </w:r>
      <w:r w:rsidR="6E8E7E59" w:rsidRPr="4A7BB021">
        <w:rPr>
          <w:rFonts w:cs="Times New Roman"/>
        </w:rPr>
        <w:t>“</w:t>
      </w:r>
      <w:r w:rsidR="6E8E7E59" w:rsidRPr="797FBB80">
        <w:rPr>
          <w:rFonts w:cs="Times New Roman"/>
        </w:rPr>
        <w:t>finds” that</w:t>
      </w:r>
      <w:r w:rsidR="13C132AF" w:rsidRPr="797FBB80">
        <w:rPr>
          <w:rFonts w:cs="Times New Roman"/>
        </w:rPr>
        <w:t xml:space="preserve"> excessive </w:t>
      </w:r>
      <w:r w:rsidR="1EEE91FE" w:rsidRPr="004178D9">
        <w:rPr>
          <w:rFonts w:cs="Times New Roman"/>
        </w:rPr>
        <w:t>continuances</w:t>
      </w:r>
      <w:r w:rsidR="00184EAD" w:rsidRPr="797FBB80">
        <w:rPr>
          <w:rFonts w:cs="Times New Roman"/>
        </w:rPr>
        <w:t xml:space="preserve"> </w:t>
      </w:r>
      <w:r w:rsidR="1EEE91FE" w:rsidRPr="004178D9">
        <w:rPr>
          <w:rFonts w:cs="Times New Roman"/>
        </w:rPr>
        <w:t>in criminal courts have “</w:t>
      </w:r>
      <w:r w:rsidR="73719A3D">
        <w:rPr>
          <w:rFonts w:cs="Times New Roman"/>
        </w:rPr>
        <w:t>adverse consequences</w:t>
      </w:r>
      <w:r w:rsidR="420B2668">
        <w:rPr>
          <w:rFonts w:cs="Times New Roman"/>
        </w:rPr>
        <w:t>” not just to defendants, but</w:t>
      </w:r>
      <w:r w:rsidR="73719A3D">
        <w:rPr>
          <w:rFonts w:cs="Times New Roman"/>
        </w:rPr>
        <w:t xml:space="preserve"> </w:t>
      </w:r>
      <w:r w:rsidR="153027E3">
        <w:rPr>
          <w:rFonts w:cs="Times New Roman"/>
        </w:rPr>
        <w:t>“</w:t>
      </w:r>
      <w:r w:rsidR="73719A3D">
        <w:rPr>
          <w:rFonts w:cs="Times New Roman"/>
        </w:rPr>
        <w:t>to the welfare of the people</w:t>
      </w:r>
      <w:r w:rsidR="1EEE91FE">
        <w:rPr>
          <w:rFonts w:cs="Times New Roman"/>
        </w:rPr>
        <w:t>,”</w:t>
      </w:r>
      <w:r w:rsidR="3637042E">
        <w:rPr>
          <w:rFonts w:cs="Times New Roman"/>
        </w:rPr>
        <w:t xml:space="preserve"> </w:t>
      </w:r>
      <w:r w:rsidR="1EEE91FE">
        <w:rPr>
          <w:rFonts w:cs="Times New Roman"/>
        </w:rPr>
        <w:t xml:space="preserve">cause </w:t>
      </w:r>
      <w:r w:rsidR="65CDD3D0" w:rsidRPr="004178D9">
        <w:rPr>
          <w:rFonts w:cs="Times New Roman"/>
        </w:rPr>
        <w:t>“</w:t>
      </w:r>
      <w:r w:rsidR="73719A3D">
        <w:rPr>
          <w:rFonts w:cs="Times New Roman"/>
        </w:rPr>
        <w:t>substantial hardship to victims and other witnesses</w:t>
      </w:r>
      <w:r w:rsidR="1EEE91FE" w:rsidRPr="004178D9">
        <w:rPr>
          <w:rFonts w:cs="Times New Roman"/>
        </w:rPr>
        <w:t xml:space="preserve">,” and </w:t>
      </w:r>
      <w:r w:rsidR="57BF7634" w:rsidRPr="004178D9">
        <w:rPr>
          <w:rFonts w:cs="Times New Roman"/>
        </w:rPr>
        <w:t xml:space="preserve">can </w:t>
      </w:r>
      <w:r w:rsidR="00184EAD" w:rsidRPr="797FBB80">
        <w:rPr>
          <w:rFonts w:cs="Times New Roman"/>
        </w:rPr>
        <w:t xml:space="preserve">lead to </w:t>
      </w:r>
      <w:r w:rsidR="1EEE91FE" w:rsidRPr="004178D9">
        <w:rPr>
          <w:rFonts w:cs="Times New Roman"/>
        </w:rPr>
        <w:t>“</w:t>
      </w:r>
      <w:r w:rsidR="73719A3D">
        <w:rPr>
          <w:rFonts w:cs="Times New Roman"/>
        </w:rPr>
        <w:t>overcrowding and increased expenses of local jails.</w:t>
      </w:r>
      <w:r w:rsidR="1EEE91FE" w:rsidRPr="7FA68319">
        <w:rPr>
          <w:rFonts w:cs="Times New Roman"/>
        </w:rPr>
        <w:t xml:space="preserve">” </w:t>
      </w:r>
    </w:p>
    <w:p w14:paraId="42B1C0D9" w14:textId="1164E3E4" w:rsidR="00970BDB" w:rsidRPr="00DB6074" w:rsidRDefault="003D06AD" w:rsidP="00656ABE">
      <w:pPr>
        <w:autoSpaceDE w:val="0"/>
        <w:autoSpaceDN w:val="0"/>
        <w:adjustRightInd w:val="0"/>
        <w:spacing w:line="360" w:lineRule="auto"/>
        <w:contextualSpacing/>
        <w:rPr>
          <w:rFonts w:eastAsia="Times New Roman" w:cs="Times New Roman"/>
          <w:color w:val="000000"/>
        </w:rPr>
      </w:pPr>
      <w:r>
        <w:rPr>
          <w:rFonts w:eastAsia="Times New Roman" w:cs="Times New Roman"/>
          <w:color w:val="000000" w:themeColor="text1"/>
        </w:rPr>
        <w:lastRenderedPageBreak/>
        <w:tab/>
        <w:t>Finally, a correlating California Rule of Court imposes on the presiding master calendar judge and on the court certain duties designed to reduce delays and minimize section 1382 dismissals. (Cal. Rules of Court, rule 4.115(a) [“To ensur</w:t>
      </w:r>
      <w:r>
        <w:rPr>
          <w:rFonts w:eastAsia="Times New Roman" w:cs="Times New Roman"/>
          <w:color w:val="000000" w:themeColor="text1"/>
        </w:rPr>
        <w:t>e that the court’s policy on continuances is firm and uniformly applied . . . and that cases are tried on a date certain,” a court not operating on direct calendar system must implement a master calendar system, in which the presiding judge of a master cal</w:t>
      </w:r>
      <w:r>
        <w:rPr>
          <w:rFonts w:eastAsia="Times New Roman" w:cs="Times New Roman"/>
          <w:color w:val="000000" w:themeColor="text1"/>
        </w:rPr>
        <w:t xml:space="preserve">endar department must conduct or supervise all arraignments and pretrial hearings and “assign to a trial department any case requiring a trial . . .”]; </w:t>
      </w:r>
      <w:r>
        <w:rPr>
          <w:rFonts w:eastAsia="Times New Roman" w:cs="Times New Roman"/>
          <w:i/>
          <w:iCs/>
          <w:color w:val="000000" w:themeColor="text1"/>
        </w:rPr>
        <w:t>id.,</w:t>
      </w:r>
      <w:r>
        <w:rPr>
          <w:rFonts w:eastAsia="Times New Roman" w:cs="Times New Roman"/>
          <w:color w:val="000000" w:themeColor="text1"/>
        </w:rPr>
        <w:t xml:space="preserve"> rule 4.115(b) [“</w:t>
      </w:r>
      <w:r w:rsidRPr="00D664A1">
        <w:rPr>
          <w:rFonts w:eastAsia="Times New Roman" w:cs="Times New Roman"/>
          <w:color w:val="000000" w:themeColor="text1"/>
        </w:rPr>
        <w:t xml:space="preserve">Active management of trial calendars is necessary to minimize the number of </w:t>
      </w:r>
      <w:r w:rsidRPr="00D664A1">
        <w:rPr>
          <w:rFonts w:eastAsia="Times New Roman" w:cs="Times New Roman"/>
          <w:color w:val="000000" w:themeColor="text1"/>
        </w:rPr>
        <w:t>statutory dismissals</w:t>
      </w:r>
      <w:r>
        <w:rPr>
          <w:rFonts w:eastAsia="Times New Roman" w:cs="Times New Roman"/>
          <w:color w:val="000000" w:themeColor="text1"/>
        </w:rPr>
        <w:t>. . . . </w:t>
      </w:r>
      <w:r w:rsidRPr="00D664A1">
        <w:rPr>
          <w:rFonts w:eastAsia="Times New Roman" w:cs="Times New Roman"/>
          <w:color w:val="000000" w:themeColor="text1"/>
        </w:rPr>
        <w:t>Courts must implement calendar management procedures, in accordance with local conditions and needs, to ensure that criminal cases are assigned to trial departments before the last day permitted for trial under section 1382</w:t>
      </w:r>
      <w:r>
        <w:rPr>
          <w:rFonts w:eastAsia="Times New Roman" w:cs="Times New Roman"/>
          <w:color w:val="000000" w:themeColor="text1"/>
        </w:rPr>
        <w:t>.”].)</w:t>
      </w:r>
    </w:p>
    <w:p w14:paraId="20574A4A" w14:textId="010B4700" w:rsidR="00656ABE" w:rsidRPr="00595579" w:rsidRDefault="003D06AD" w:rsidP="007F31A4">
      <w:pPr>
        <w:keepNext/>
        <w:autoSpaceDE w:val="0"/>
        <w:autoSpaceDN w:val="0"/>
        <w:adjustRightInd w:val="0"/>
        <w:spacing w:line="360" w:lineRule="auto"/>
        <w:contextualSpacing/>
        <w:rPr>
          <w:rFonts w:cs="Times New Roman"/>
          <w:b/>
          <w:bCs/>
          <w:i/>
          <w:iCs/>
        </w:rPr>
      </w:pPr>
      <w:r w:rsidRPr="00595579">
        <w:rPr>
          <w:rFonts w:cs="Times New Roman"/>
          <w:b/>
          <w:bCs/>
        </w:rPr>
        <w:tab/>
      </w:r>
      <w:r w:rsidRPr="00595579">
        <w:rPr>
          <w:rFonts w:cs="Times New Roman"/>
          <w:b/>
          <w:bCs/>
        </w:rPr>
        <w:tab/>
      </w:r>
      <w:r w:rsidR="00425462">
        <w:rPr>
          <w:rFonts w:cs="Times New Roman"/>
          <w:b/>
          <w:i/>
        </w:rPr>
        <w:t>2</w:t>
      </w:r>
      <w:r w:rsidRPr="00595579">
        <w:rPr>
          <w:rFonts w:cs="Times New Roman"/>
          <w:b/>
          <w:bCs/>
        </w:rPr>
        <w:t>. Engram</w:t>
      </w:r>
      <w:r>
        <w:rPr>
          <w:rFonts w:cs="Times New Roman"/>
          <w:b/>
          <w:bCs/>
        </w:rPr>
        <w:t xml:space="preserve"> </w:t>
      </w:r>
      <w:r>
        <w:rPr>
          <w:rFonts w:cs="Times New Roman"/>
          <w:b/>
          <w:bCs/>
          <w:i/>
          <w:iCs/>
        </w:rPr>
        <w:t xml:space="preserve">and the Duty of a Court Under </w:t>
      </w:r>
      <w:r w:rsidRPr="00595579">
        <w:rPr>
          <w:rFonts w:cs="Times New Roman"/>
          <w:b/>
          <w:bCs/>
          <w:i/>
          <w:iCs/>
        </w:rPr>
        <w:t xml:space="preserve">Section 1050(a) </w:t>
      </w:r>
    </w:p>
    <w:p w14:paraId="1A228E62" w14:textId="71AFA4A0" w:rsidR="00595579" w:rsidRPr="00C70ED6" w:rsidRDefault="003D06AD" w:rsidP="003F5F13">
      <w:pPr>
        <w:autoSpaceDE w:val="0"/>
        <w:autoSpaceDN w:val="0"/>
        <w:adjustRightInd w:val="0"/>
        <w:spacing w:line="360" w:lineRule="auto"/>
        <w:contextualSpacing/>
        <w:rPr>
          <w:rFonts w:cs="Times New Roman"/>
        </w:rPr>
      </w:pPr>
      <w:r>
        <w:rPr>
          <w:rFonts w:cs="Times New Roman"/>
        </w:rPr>
        <w:tab/>
      </w:r>
      <w:r w:rsidR="25975A6A">
        <w:rPr>
          <w:rFonts w:cs="Times New Roman"/>
        </w:rPr>
        <w:t>I</w:t>
      </w:r>
      <w:r w:rsidR="25975A6A" w:rsidRPr="006E727E">
        <w:rPr>
          <w:rFonts w:cs="Times New Roman"/>
        </w:rPr>
        <w:t xml:space="preserve">n </w:t>
      </w:r>
      <w:r w:rsidR="25975A6A" w:rsidRPr="797FBB80">
        <w:rPr>
          <w:rFonts w:cs="Times New Roman"/>
          <w:i/>
          <w:iCs/>
        </w:rPr>
        <w:t>Engram</w:t>
      </w:r>
      <w:r w:rsidR="00611F18">
        <w:rPr>
          <w:rFonts w:cs="Times New Roman"/>
        </w:rPr>
        <w:t xml:space="preserve">, </w:t>
      </w:r>
      <w:r w:rsidR="00611F18">
        <w:rPr>
          <w:rFonts w:cs="Times New Roman"/>
          <w:i/>
          <w:iCs/>
        </w:rPr>
        <w:t>supra</w:t>
      </w:r>
      <w:r w:rsidR="00611F18">
        <w:rPr>
          <w:rFonts w:cs="Times New Roman"/>
        </w:rPr>
        <w:t>,</w:t>
      </w:r>
      <w:r w:rsidR="25975A6A">
        <w:rPr>
          <w:rFonts w:cs="Times New Roman"/>
        </w:rPr>
        <w:t xml:space="preserve"> 50 Cal.4</w:t>
      </w:r>
      <w:r w:rsidR="25975A6A" w:rsidRPr="00595579">
        <w:rPr>
          <w:rFonts w:cs="Times New Roman"/>
        </w:rPr>
        <w:t>th</w:t>
      </w:r>
      <w:r w:rsidR="25975A6A">
        <w:rPr>
          <w:rFonts w:cs="Times New Roman"/>
        </w:rPr>
        <w:t xml:space="preserve"> 1131, the</w:t>
      </w:r>
      <w:r w:rsidR="03CE2AB2">
        <w:rPr>
          <w:rFonts w:cs="Times New Roman"/>
        </w:rPr>
        <w:t xml:space="preserve"> Supreme</w:t>
      </w:r>
      <w:r w:rsidR="25975A6A">
        <w:rPr>
          <w:rFonts w:cs="Times New Roman"/>
        </w:rPr>
        <w:t xml:space="preserve"> </w:t>
      </w:r>
      <w:r w:rsidR="03CE2AB2">
        <w:rPr>
          <w:rFonts w:cs="Times New Roman"/>
        </w:rPr>
        <w:t>C</w:t>
      </w:r>
      <w:r w:rsidR="25975A6A" w:rsidRPr="006E727E">
        <w:rPr>
          <w:rFonts w:cs="Times New Roman"/>
        </w:rPr>
        <w:t xml:space="preserve">ourt analyzed </w:t>
      </w:r>
      <w:r w:rsidR="25975A6A">
        <w:rPr>
          <w:rFonts w:cs="Times New Roman"/>
        </w:rPr>
        <w:t>th</w:t>
      </w:r>
      <w:r w:rsidR="54D6E0A4">
        <w:rPr>
          <w:rFonts w:cs="Times New Roman"/>
        </w:rPr>
        <w:t>e</w:t>
      </w:r>
      <w:r w:rsidR="25975A6A">
        <w:rPr>
          <w:rFonts w:cs="Times New Roman"/>
        </w:rPr>
        <w:t xml:space="preserve"> dut</w:t>
      </w:r>
      <w:r w:rsidR="75DBACAF">
        <w:rPr>
          <w:rFonts w:cs="Times New Roman"/>
        </w:rPr>
        <w:t>ies</w:t>
      </w:r>
      <w:r w:rsidR="25975A6A">
        <w:rPr>
          <w:rFonts w:cs="Times New Roman"/>
        </w:rPr>
        <w:t xml:space="preserve"> </w:t>
      </w:r>
      <w:r w:rsidR="75DBACAF">
        <w:rPr>
          <w:rFonts w:cs="Times New Roman"/>
        </w:rPr>
        <w:t>imposed</w:t>
      </w:r>
      <w:r w:rsidR="54D6E0A4">
        <w:rPr>
          <w:rFonts w:cs="Times New Roman"/>
        </w:rPr>
        <w:t xml:space="preserve"> by section 1050(a), </w:t>
      </w:r>
      <w:r w:rsidR="25975A6A">
        <w:rPr>
          <w:rFonts w:cs="Times New Roman"/>
        </w:rPr>
        <w:t xml:space="preserve">and </w:t>
      </w:r>
      <w:r w:rsidR="33ECEB40">
        <w:rPr>
          <w:rFonts w:cs="Times New Roman"/>
        </w:rPr>
        <w:t xml:space="preserve">considered </w:t>
      </w:r>
      <w:r w:rsidR="25975A6A">
        <w:rPr>
          <w:rFonts w:cs="Times New Roman"/>
        </w:rPr>
        <w:t xml:space="preserve">how </w:t>
      </w:r>
      <w:r w:rsidR="33ECEB40">
        <w:rPr>
          <w:rFonts w:cs="Times New Roman"/>
        </w:rPr>
        <w:t>th</w:t>
      </w:r>
      <w:r w:rsidR="00E2285E">
        <w:rPr>
          <w:rFonts w:cs="Times New Roman"/>
        </w:rPr>
        <w:t>ose duties</w:t>
      </w:r>
      <w:r w:rsidR="1F26B465">
        <w:rPr>
          <w:rFonts w:cs="Times New Roman"/>
        </w:rPr>
        <w:t xml:space="preserve"> </w:t>
      </w:r>
      <w:r w:rsidR="25975A6A">
        <w:rPr>
          <w:rFonts w:cs="Times New Roman"/>
        </w:rPr>
        <w:t>interact with a court’s case-specific obligations</w:t>
      </w:r>
      <w:r w:rsidR="39E0E137">
        <w:rPr>
          <w:rFonts w:cs="Times New Roman"/>
        </w:rPr>
        <w:t>, under section 1382,</w:t>
      </w:r>
      <w:r w:rsidR="7DD3AEF5">
        <w:rPr>
          <w:rFonts w:cs="Times New Roman"/>
        </w:rPr>
        <w:t xml:space="preserve"> </w:t>
      </w:r>
      <w:r w:rsidR="0CBD0298">
        <w:rPr>
          <w:rFonts w:cs="Times New Roman"/>
        </w:rPr>
        <w:t xml:space="preserve">to </w:t>
      </w:r>
      <w:r w:rsidR="17F83B4E">
        <w:rPr>
          <w:rFonts w:cs="Times New Roman"/>
        </w:rPr>
        <w:t xml:space="preserve">dismiss a criminal case if not </w:t>
      </w:r>
      <w:r w:rsidR="0CBD0298">
        <w:rPr>
          <w:rFonts w:cs="Times New Roman"/>
        </w:rPr>
        <w:t xml:space="preserve">timely </w:t>
      </w:r>
      <w:r w:rsidR="10C0582F">
        <w:rPr>
          <w:rFonts w:cs="Times New Roman"/>
        </w:rPr>
        <w:t xml:space="preserve">brought to </w:t>
      </w:r>
      <w:r w:rsidR="25975A6A">
        <w:rPr>
          <w:rFonts w:cs="Times New Roman"/>
        </w:rPr>
        <w:t>trial</w:t>
      </w:r>
      <w:r w:rsidR="7DD3AEF5">
        <w:rPr>
          <w:rFonts w:cs="Times New Roman"/>
        </w:rPr>
        <w:t>.</w:t>
      </w:r>
      <w:r w:rsidR="25975A6A">
        <w:rPr>
          <w:rFonts w:cs="Times New Roman"/>
        </w:rPr>
        <w:t xml:space="preserve"> </w:t>
      </w:r>
    </w:p>
    <w:p w14:paraId="0ED6DE27" w14:textId="162A9FCB" w:rsidR="0080647E" w:rsidRPr="006E727E" w:rsidRDefault="003D06AD" w:rsidP="003F5F13">
      <w:pPr>
        <w:autoSpaceDE w:val="0"/>
        <w:autoSpaceDN w:val="0"/>
        <w:adjustRightInd w:val="0"/>
        <w:spacing w:line="360" w:lineRule="auto"/>
        <w:contextualSpacing/>
        <w:rPr>
          <w:rFonts w:cs="Times New Roman"/>
        </w:rPr>
      </w:pPr>
      <w:r>
        <w:rPr>
          <w:rFonts w:cs="Times New Roman"/>
        </w:rPr>
        <w:tab/>
      </w:r>
      <w:r w:rsidR="7BE87353" w:rsidRPr="797FBB80">
        <w:rPr>
          <w:rFonts w:cs="Times New Roman"/>
          <w:i/>
          <w:iCs/>
        </w:rPr>
        <w:t>Engram</w:t>
      </w:r>
      <w:r w:rsidR="7BE87353">
        <w:rPr>
          <w:rFonts w:cs="Times New Roman"/>
        </w:rPr>
        <w:t xml:space="preserve"> </w:t>
      </w:r>
      <w:r w:rsidR="4FA177A7">
        <w:rPr>
          <w:rFonts w:cs="Times New Roman"/>
        </w:rPr>
        <w:t xml:space="preserve">concerned </w:t>
      </w:r>
      <w:r w:rsidR="7BE87353" w:rsidRPr="006E727E">
        <w:rPr>
          <w:rFonts w:cs="Times New Roman"/>
        </w:rPr>
        <w:t xml:space="preserve">a </w:t>
      </w:r>
      <w:r w:rsidR="4FA177A7">
        <w:rPr>
          <w:rFonts w:cs="Times New Roman"/>
        </w:rPr>
        <w:t>trial court’s decision to</w:t>
      </w:r>
      <w:r w:rsidRPr="797FBB80">
        <w:rPr>
          <w:rFonts w:cs="Times New Roman"/>
        </w:rPr>
        <w:t xml:space="preserve"> </w:t>
      </w:r>
      <w:r w:rsidR="7BE87353">
        <w:rPr>
          <w:rFonts w:cs="Times New Roman"/>
        </w:rPr>
        <w:t>dismiss a</w:t>
      </w:r>
      <w:r w:rsidR="4FA177A7">
        <w:rPr>
          <w:rFonts w:cs="Times New Roman"/>
        </w:rPr>
        <w:t>n individual</w:t>
      </w:r>
      <w:r w:rsidR="7BE87353">
        <w:rPr>
          <w:rFonts w:cs="Times New Roman"/>
        </w:rPr>
        <w:t xml:space="preserve"> criminal case</w:t>
      </w:r>
      <w:r w:rsidR="7BE87353" w:rsidRPr="006E727E">
        <w:rPr>
          <w:rFonts w:cs="Times New Roman"/>
        </w:rPr>
        <w:t xml:space="preserve"> in Riverside </w:t>
      </w:r>
      <w:r w:rsidR="00DD45E1">
        <w:rPr>
          <w:rFonts w:cs="Times New Roman"/>
        </w:rPr>
        <w:t>County</w:t>
      </w:r>
      <w:r w:rsidR="7BE87353">
        <w:rPr>
          <w:rFonts w:cs="Times New Roman"/>
        </w:rPr>
        <w:t xml:space="preserve"> Superior Court, which was then experiencing a massive, chronic backlog due to years of</w:t>
      </w:r>
      <w:r w:rsidR="7BE87353" w:rsidRPr="006E727E">
        <w:rPr>
          <w:rFonts w:cs="Times New Roman"/>
        </w:rPr>
        <w:t xml:space="preserve"> inadequate funding </w:t>
      </w:r>
      <w:r w:rsidR="7BE87353" w:rsidRPr="000454B1">
        <w:rPr>
          <w:rFonts w:eastAsia="Calibri" w:cs="Arial"/>
          <w:sz w:val="24"/>
          <w:szCs w:val="24"/>
        </w:rPr>
        <w:t>vis</w:t>
      </w:r>
      <w:r w:rsidR="000454B1" w:rsidRPr="000454B1">
        <w:rPr>
          <w:rFonts w:eastAsia="Calibri" w:cs="Arial"/>
          <w:sz w:val="24"/>
          <w:szCs w:val="24"/>
        </w:rPr>
        <w:t>-à-</w:t>
      </w:r>
      <w:r w:rsidR="7BE87353" w:rsidRPr="000454B1">
        <w:rPr>
          <w:rFonts w:eastAsia="Calibri" w:cs="Arial"/>
          <w:sz w:val="24"/>
          <w:szCs w:val="24"/>
        </w:rPr>
        <w:t>vis</w:t>
      </w:r>
      <w:r w:rsidR="7BE87353" w:rsidRPr="006E727E">
        <w:rPr>
          <w:rFonts w:cs="Times New Roman"/>
        </w:rPr>
        <w:t xml:space="preserve"> the county’s growth. </w:t>
      </w:r>
      <w:r w:rsidR="3DA23FD9">
        <w:rPr>
          <w:rFonts w:cs="Times New Roman"/>
        </w:rPr>
        <w:t xml:space="preserve">A task force </w:t>
      </w:r>
      <w:r w:rsidR="28C988C1">
        <w:rPr>
          <w:rFonts w:cs="Times New Roman"/>
        </w:rPr>
        <w:t xml:space="preserve">had been </w:t>
      </w:r>
      <w:r w:rsidR="3DA23FD9">
        <w:rPr>
          <w:rFonts w:cs="Times New Roman"/>
        </w:rPr>
        <w:t xml:space="preserve">assembled to assess and </w:t>
      </w:r>
      <w:r w:rsidR="62306E1C">
        <w:rPr>
          <w:rFonts w:cs="Times New Roman"/>
        </w:rPr>
        <w:t>assist with the backlog</w:t>
      </w:r>
      <w:r w:rsidRPr="797FBB80">
        <w:rPr>
          <w:rFonts w:cs="Times New Roman"/>
        </w:rPr>
        <w:t>,</w:t>
      </w:r>
      <w:r w:rsidR="338A4360">
        <w:rPr>
          <w:rFonts w:cs="Times New Roman"/>
        </w:rPr>
        <w:t xml:space="preserve"> and</w:t>
      </w:r>
      <w:r w:rsidR="62306E1C">
        <w:rPr>
          <w:rFonts w:cs="Times New Roman"/>
        </w:rPr>
        <w:t xml:space="preserve"> </w:t>
      </w:r>
      <w:r w:rsidR="7BE87353">
        <w:rPr>
          <w:rFonts w:cs="Times New Roman"/>
        </w:rPr>
        <w:t>the court</w:t>
      </w:r>
      <w:r w:rsidR="28C988C1">
        <w:rPr>
          <w:rFonts w:cs="Times New Roman"/>
        </w:rPr>
        <w:t xml:space="preserve"> had</w:t>
      </w:r>
      <w:r w:rsidR="7BE87353">
        <w:rPr>
          <w:rFonts w:cs="Times New Roman"/>
        </w:rPr>
        <w:t xml:space="preserve"> devoted </w:t>
      </w:r>
      <w:r w:rsidR="2E472D97">
        <w:rPr>
          <w:rFonts w:cs="Times New Roman"/>
        </w:rPr>
        <w:t xml:space="preserve">virtually </w:t>
      </w:r>
      <w:proofErr w:type="gramStart"/>
      <w:r w:rsidR="2E472D97">
        <w:rPr>
          <w:rFonts w:cs="Times New Roman"/>
        </w:rPr>
        <w:t>all of</w:t>
      </w:r>
      <w:proofErr w:type="gramEnd"/>
      <w:r w:rsidR="2E472D97">
        <w:rPr>
          <w:rFonts w:cs="Times New Roman"/>
        </w:rPr>
        <w:t xml:space="preserve"> its judges and courtrooms (including </w:t>
      </w:r>
      <w:r w:rsidR="7BE87353">
        <w:rPr>
          <w:rFonts w:cs="Times New Roman"/>
        </w:rPr>
        <w:t xml:space="preserve">every civil department but family law, juvenile, </w:t>
      </w:r>
      <w:r w:rsidR="7BE87353">
        <w:rPr>
          <w:rFonts w:cs="Times New Roman"/>
        </w:rPr>
        <w:lastRenderedPageBreak/>
        <w:t>and probate</w:t>
      </w:r>
      <w:r>
        <w:rPr>
          <w:rStyle w:val="FootnoteReference"/>
          <w:rFonts w:cs="Times New Roman"/>
        </w:rPr>
        <w:footnoteReference w:id="18"/>
      </w:r>
      <w:r w:rsidR="44ACC226">
        <w:rPr>
          <w:rFonts w:cs="Times New Roman"/>
        </w:rPr>
        <w:t>)</w:t>
      </w:r>
      <w:r w:rsidR="7BE87353">
        <w:rPr>
          <w:rFonts w:cs="Times New Roman"/>
        </w:rPr>
        <w:t xml:space="preserve"> to criminal trials</w:t>
      </w:r>
      <w:r w:rsidR="7BE87353" w:rsidRPr="006E727E">
        <w:rPr>
          <w:rFonts w:cs="Times New Roman"/>
        </w:rPr>
        <w:t>. (</w:t>
      </w:r>
      <w:r w:rsidR="7BE87353" w:rsidRPr="797FBB80">
        <w:rPr>
          <w:rFonts w:cs="Times New Roman"/>
          <w:i/>
          <w:iCs/>
        </w:rPr>
        <w:t>Engram</w:t>
      </w:r>
      <w:r w:rsidR="7BE87353">
        <w:rPr>
          <w:rFonts w:cs="Times New Roman"/>
        </w:rPr>
        <w:t xml:space="preserve">, </w:t>
      </w:r>
      <w:r w:rsidR="7BE87353" w:rsidRPr="797FBB80">
        <w:rPr>
          <w:rFonts w:cs="Times New Roman"/>
          <w:i/>
          <w:iCs/>
        </w:rPr>
        <w:t>supra</w:t>
      </w:r>
      <w:r w:rsidR="7BE87353">
        <w:rPr>
          <w:rFonts w:cs="Times New Roman"/>
        </w:rPr>
        <w:t>, 50 Cal.4th</w:t>
      </w:r>
      <w:r w:rsidR="7BE87353" w:rsidRPr="006E727E">
        <w:rPr>
          <w:rFonts w:cs="Times New Roman"/>
        </w:rPr>
        <w:t xml:space="preserve"> at pp.</w:t>
      </w:r>
      <w:r w:rsidR="7BE87353">
        <w:rPr>
          <w:rFonts w:cs="Times New Roman"/>
        </w:rPr>
        <w:t> </w:t>
      </w:r>
      <w:r w:rsidR="7BE87353" w:rsidRPr="006E727E">
        <w:rPr>
          <w:rFonts w:cs="Times New Roman"/>
        </w:rPr>
        <w:t>1136–113</w:t>
      </w:r>
      <w:r w:rsidR="002B6418">
        <w:rPr>
          <w:rFonts w:cs="Times New Roman"/>
        </w:rPr>
        <w:t>7</w:t>
      </w:r>
      <w:r w:rsidR="7BE87353" w:rsidRPr="006E727E">
        <w:rPr>
          <w:rFonts w:cs="Times New Roman"/>
        </w:rPr>
        <w:t xml:space="preserve">.) </w:t>
      </w:r>
      <w:r w:rsidR="7BE87353">
        <w:rPr>
          <w:rFonts w:cs="Times New Roman"/>
        </w:rPr>
        <w:t>O</w:t>
      </w:r>
      <w:r w:rsidR="7BE87353" w:rsidRPr="006E727E">
        <w:rPr>
          <w:rFonts w:cs="Times New Roman"/>
        </w:rPr>
        <w:t xml:space="preserve">n the statutory deadline to </w:t>
      </w:r>
      <w:r w:rsidR="7BE87353">
        <w:rPr>
          <w:rFonts w:cs="Times New Roman"/>
        </w:rPr>
        <w:t>try</w:t>
      </w:r>
      <w:r w:rsidR="7BE87353" w:rsidRPr="006E727E">
        <w:rPr>
          <w:rFonts w:cs="Times New Roman"/>
        </w:rPr>
        <w:t xml:space="preserve"> </w:t>
      </w:r>
      <w:r w:rsidR="7BE87353">
        <w:rPr>
          <w:rFonts w:cs="Times New Roman"/>
        </w:rPr>
        <w:t>Engram</w:t>
      </w:r>
      <w:r w:rsidR="7BE87353" w:rsidRPr="006E727E">
        <w:rPr>
          <w:rFonts w:cs="Times New Roman"/>
        </w:rPr>
        <w:t>’s case, a Riverside County judge found no courtroom available</w:t>
      </w:r>
      <w:r w:rsidR="7BE87353">
        <w:rPr>
          <w:rFonts w:cs="Times New Roman"/>
        </w:rPr>
        <w:t xml:space="preserve"> </w:t>
      </w:r>
      <w:r w:rsidR="4C64BA19">
        <w:rPr>
          <w:rFonts w:cs="Times New Roman"/>
        </w:rPr>
        <w:t xml:space="preserve">(for Engram or </w:t>
      </w:r>
      <w:r w:rsidR="004B3A83">
        <w:rPr>
          <w:rFonts w:cs="Times New Roman"/>
        </w:rPr>
        <w:t xml:space="preserve">for the </w:t>
      </w:r>
      <w:r w:rsidR="4C64BA19">
        <w:rPr>
          <w:rFonts w:cs="Times New Roman"/>
        </w:rPr>
        <w:t xml:space="preserve">defendants in 17 other </w:t>
      </w:r>
      <w:r w:rsidR="4F4430C3">
        <w:rPr>
          <w:rFonts w:cs="Times New Roman"/>
        </w:rPr>
        <w:t xml:space="preserve">“last day” </w:t>
      </w:r>
      <w:r w:rsidR="4C64BA19">
        <w:rPr>
          <w:rFonts w:cs="Times New Roman"/>
        </w:rPr>
        <w:t>cases</w:t>
      </w:r>
      <w:r w:rsidR="0B2F8F21">
        <w:rPr>
          <w:rFonts w:cs="Times New Roman"/>
        </w:rPr>
        <w:t xml:space="preserve"> in which</w:t>
      </w:r>
      <w:r w:rsidR="4F4430C3">
        <w:rPr>
          <w:rFonts w:cs="Times New Roman"/>
        </w:rPr>
        <w:t xml:space="preserve"> defense</w:t>
      </w:r>
      <w:r w:rsidR="0B2F8F21">
        <w:rPr>
          <w:rFonts w:cs="Times New Roman"/>
        </w:rPr>
        <w:t xml:space="preserve"> counsel had declared “ready”</w:t>
      </w:r>
      <w:r w:rsidR="4C64BA19">
        <w:rPr>
          <w:rFonts w:cs="Times New Roman"/>
        </w:rPr>
        <w:t>)</w:t>
      </w:r>
      <w:r w:rsidR="7BE87353">
        <w:rPr>
          <w:rFonts w:cs="Times New Roman"/>
        </w:rPr>
        <w:t xml:space="preserve"> </w:t>
      </w:r>
      <w:r w:rsidR="7BE87353" w:rsidRPr="006E727E">
        <w:rPr>
          <w:rFonts w:cs="Times New Roman"/>
        </w:rPr>
        <w:t xml:space="preserve">and </w:t>
      </w:r>
      <w:r w:rsidR="3CA22979">
        <w:rPr>
          <w:rFonts w:cs="Times New Roman"/>
        </w:rPr>
        <w:t>concluded that th</w:t>
      </w:r>
      <w:r w:rsidR="385B3B58">
        <w:rPr>
          <w:rFonts w:cs="Times New Roman"/>
        </w:rPr>
        <w:t>e lack of courtrooms</w:t>
      </w:r>
      <w:r w:rsidR="3CA22979">
        <w:rPr>
          <w:rFonts w:cs="Times New Roman"/>
        </w:rPr>
        <w:t xml:space="preserve"> did not constitute </w:t>
      </w:r>
      <w:r w:rsidR="385B3B58">
        <w:rPr>
          <w:rFonts w:cs="Times New Roman"/>
        </w:rPr>
        <w:t>“</w:t>
      </w:r>
      <w:r w:rsidR="7BE87353" w:rsidRPr="006E727E">
        <w:rPr>
          <w:rFonts w:cs="Times New Roman"/>
        </w:rPr>
        <w:t>good cause</w:t>
      </w:r>
      <w:r w:rsidR="385B3B58">
        <w:rPr>
          <w:rFonts w:cs="Times New Roman"/>
        </w:rPr>
        <w:t>”</w:t>
      </w:r>
      <w:r w:rsidR="7BE87353" w:rsidRPr="006E727E">
        <w:rPr>
          <w:rFonts w:cs="Times New Roman"/>
        </w:rPr>
        <w:t xml:space="preserve"> to extend the </w:t>
      </w:r>
      <w:r w:rsidR="385B3B58">
        <w:rPr>
          <w:rFonts w:cs="Times New Roman"/>
        </w:rPr>
        <w:t>date to commence trial any further</w:t>
      </w:r>
      <w:r w:rsidRPr="797FBB80">
        <w:rPr>
          <w:rFonts w:cs="Times New Roman"/>
        </w:rPr>
        <w:t>. (</w:t>
      </w:r>
      <w:r w:rsidR="7BE87353" w:rsidRPr="797FBB80">
        <w:rPr>
          <w:rFonts w:cs="Times New Roman"/>
          <w:i/>
          <w:iCs/>
        </w:rPr>
        <w:t>Id</w:t>
      </w:r>
      <w:r w:rsidR="7BE87353">
        <w:rPr>
          <w:rFonts w:cs="Times New Roman"/>
        </w:rPr>
        <w:t xml:space="preserve">. </w:t>
      </w:r>
      <w:r w:rsidR="7BE87353" w:rsidRPr="00F960B0">
        <w:rPr>
          <w:rFonts w:cs="Times New Roman"/>
        </w:rPr>
        <w:t>at</w:t>
      </w:r>
      <w:r w:rsidR="7BE87353" w:rsidRPr="006E727E">
        <w:rPr>
          <w:rFonts w:cs="Times New Roman"/>
        </w:rPr>
        <w:t xml:space="preserve"> pp. 11</w:t>
      </w:r>
      <w:r w:rsidR="00560208">
        <w:rPr>
          <w:rFonts w:cs="Times New Roman"/>
        </w:rPr>
        <w:t>40</w:t>
      </w:r>
      <w:r w:rsidR="7BE87353" w:rsidRPr="006E727E">
        <w:rPr>
          <w:rFonts w:cs="Times New Roman"/>
        </w:rPr>
        <w:t>–11</w:t>
      </w:r>
      <w:r w:rsidR="00695548">
        <w:rPr>
          <w:rFonts w:cs="Times New Roman"/>
        </w:rPr>
        <w:t>43</w:t>
      </w:r>
      <w:r w:rsidR="7BE87353" w:rsidRPr="006E727E">
        <w:rPr>
          <w:rFonts w:cs="Times New Roman"/>
        </w:rPr>
        <w:t xml:space="preserve">.) </w:t>
      </w:r>
      <w:r w:rsidR="7BE87353">
        <w:rPr>
          <w:rFonts w:cs="Times New Roman"/>
        </w:rPr>
        <w:t>To avert dismissal, t</w:t>
      </w:r>
      <w:r w:rsidR="7BE87353" w:rsidRPr="006E727E">
        <w:rPr>
          <w:rFonts w:cs="Times New Roman"/>
        </w:rPr>
        <w:t>he district attorney argued that section 1050</w:t>
      </w:r>
      <w:r w:rsidR="7BE87353">
        <w:rPr>
          <w:rFonts w:cs="Times New Roman"/>
        </w:rPr>
        <w:t>(a)</w:t>
      </w:r>
      <w:r w:rsidR="7BE87353" w:rsidRPr="006E727E">
        <w:rPr>
          <w:rFonts w:cs="Times New Roman"/>
        </w:rPr>
        <w:t xml:space="preserve"> </w:t>
      </w:r>
      <w:r w:rsidR="7BE87353">
        <w:rPr>
          <w:rFonts w:cs="Times New Roman"/>
        </w:rPr>
        <w:t>oblig</w:t>
      </w:r>
      <w:r w:rsidR="7BE87353" w:rsidRPr="006E727E">
        <w:rPr>
          <w:rFonts w:cs="Times New Roman"/>
        </w:rPr>
        <w:t>ed the court</w:t>
      </w:r>
      <w:r w:rsidR="59CB42F5">
        <w:rPr>
          <w:rFonts w:cs="Times New Roman"/>
        </w:rPr>
        <w:t>, before dismissing the case,</w:t>
      </w:r>
      <w:r w:rsidR="7BE87353" w:rsidRPr="006E727E">
        <w:rPr>
          <w:rFonts w:cs="Times New Roman"/>
        </w:rPr>
        <w:t xml:space="preserve"> to </w:t>
      </w:r>
      <w:r w:rsidR="7BE87353">
        <w:rPr>
          <w:rFonts w:cs="Times New Roman"/>
        </w:rPr>
        <w:t xml:space="preserve">consider </w:t>
      </w:r>
      <w:r w:rsidR="59CB42F5">
        <w:rPr>
          <w:rFonts w:cs="Times New Roman"/>
        </w:rPr>
        <w:t>sending the trial to</w:t>
      </w:r>
      <w:r w:rsidR="7BE87353" w:rsidRPr="006E727E">
        <w:rPr>
          <w:rFonts w:cs="Times New Roman"/>
        </w:rPr>
        <w:t xml:space="preserve"> </w:t>
      </w:r>
      <w:r w:rsidR="7AB782A8">
        <w:rPr>
          <w:rFonts w:cs="Times New Roman"/>
        </w:rPr>
        <w:t xml:space="preserve">a </w:t>
      </w:r>
      <w:r w:rsidR="385B3B58">
        <w:rPr>
          <w:rFonts w:cs="Times New Roman"/>
        </w:rPr>
        <w:t>probate, juvenile or family</w:t>
      </w:r>
      <w:r w:rsidR="7BE87353" w:rsidRPr="006E727E">
        <w:rPr>
          <w:rFonts w:cs="Times New Roman"/>
        </w:rPr>
        <w:t xml:space="preserve"> </w:t>
      </w:r>
      <w:r w:rsidR="00CE7F05">
        <w:rPr>
          <w:rFonts w:cs="Times New Roman"/>
        </w:rPr>
        <w:t xml:space="preserve">law </w:t>
      </w:r>
      <w:r w:rsidR="7BE87353" w:rsidRPr="006E727E">
        <w:rPr>
          <w:rFonts w:cs="Times New Roman"/>
        </w:rPr>
        <w:t>department</w:t>
      </w:r>
      <w:r w:rsidR="7BE87353" w:rsidRPr="00F960B0">
        <w:rPr>
          <w:rFonts w:cs="Times New Roman"/>
          <w:spacing w:val="-2"/>
        </w:rPr>
        <w:t xml:space="preserve">, </w:t>
      </w:r>
      <w:r w:rsidR="7BE87353">
        <w:rPr>
          <w:rFonts w:cs="Times New Roman"/>
          <w:spacing w:val="-2"/>
        </w:rPr>
        <w:t xml:space="preserve">and argued </w:t>
      </w:r>
      <w:r w:rsidR="7BE87353" w:rsidRPr="00F960B0">
        <w:rPr>
          <w:rFonts w:cs="Times New Roman"/>
          <w:spacing w:val="-2"/>
        </w:rPr>
        <w:t>in the alternative</w:t>
      </w:r>
      <w:r w:rsidR="7BE87353">
        <w:rPr>
          <w:rFonts w:cs="Times New Roman"/>
          <w:spacing w:val="-2"/>
        </w:rPr>
        <w:t xml:space="preserve"> </w:t>
      </w:r>
      <w:r w:rsidR="7BE87353" w:rsidRPr="00F960B0">
        <w:rPr>
          <w:rFonts w:cs="Times New Roman"/>
          <w:spacing w:val="-2"/>
        </w:rPr>
        <w:t>that if no department</w:t>
      </w:r>
      <w:r w:rsidR="7BE87353" w:rsidRPr="006E727E">
        <w:rPr>
          <w:rFonts w:cs="Times New Roman"/>
        </w:rPr>
        <w:t xml:space="preserve"> was available, that </w:t>
      </w:r>
      <w:r w:rsidR="7BE87353">
        <w:rPr>
          <w:rFonts w:cs="Times New Roman"/>
        </w:rPr>
        <w:t xml:space="preserve">fact was </w:t>
      </w:r>
      <w:r w:rsidR="7BE87353" w:rsidRPr="006E727E">
        <w:rPr>
          <w:rFonts w:cs="Times New Roman"/>
        </w:rPr>
        <w:t xml:space="preserve">good cause </w:t>
      </w:r>
      <w:r w:rsidR="7BE87353">
        <w:rPr>
          <w:rFonts w:cs="Times New Roman"/>
        </w:rPr>
        <w:t xml:space="preserve">for a </w:t>
      </w:r>
      <w:r w:rsidR="7BE87353" w:rsidRPr="006E727E">
        <w:rPr>
          <w:rFonts w:cs="Times New Roman"/>
        </w:rPr>
        <w:t>contin</w:t>
      </w:r>
      <w:r w:rsidR="7BE87353">
        <w:rPr>
          <w:rFonts w:cs="Times New Roman"/>
        </w:rPr>
        <w:t>uance</w:t>
      </w:r>
      <w:r w:rsidR="7BE87353" w:rsidRPr="006E727E">
        <w:rPr>
          <w:rFonts w:cs="Times New Roman"/>
        </w:rPr>
        <w:t>. (</w:t>
      </w:r>
      <w:r w:rsidR="7BE87353" w:rsidRPr="797FBB80">
        <w:rPr>
          <w:rFonts w:cs="Times New Roman"/>
          <w:i/>
          <w:iCs/>
        </w:rPr>
        <w:t xml:space="preserve">Id. </w:t>
      </w:r>
      <w:r w:rsidR="7BE87353" w:rsidRPr="006E727E">
        <w:rPr>
          <w:rFonts w:cs="Times New Roman"/>
        </w:rPr>
        <w:t xml:space="preserve">at p. 1141.) The court rejected </w:t>
      </w:r>
      <w:r w:rsidR="7BE87353">
        <w:rPr>
          <w:rFonts w:cs="Times New Roman"/>
        </w:rPr>
        <w:t>both</w:t>
      </w:r>
      <w:r w:rsidR="7BE87353" w:rsidRPr="006E727E">
        <w:rPr>
          <w:rFonts w:cs="Times New Roman"/>
        </w:rPr>
        <w:t xml:space="preserve"> arguments and</w:t>
      </w:r>
      <w:r w:rsidR="718AA747">
        <w:rPr>
          <w:rFonts w:cs="Times New Roman"/>
        </w:rPr>
        <w:t>, upon motion,</w:t>
      </w:r>
      <w:r w:rsidR="7BE87353" w:rsidRPr="006E727E">
        <w:rPr>
          <w:rFonts w:cs="Times New Roman"/>
        </w:rPr>
        <w:t xml:space="preserve"> dismissed the action</w:t>
      </w:r>
      <w:r w:rsidR="34EDAEB8">
        <w:rPr>
          <w:rFonts w:cs="Times New Roman"/>
        </w:rPr>
        <w:t xml:space="preserve"> pursuant to section 1382</w:t>
      </w:r>
      <w:r w:rsidR="7BE87353" w:rsidRPr="006E727E">
        <w:rPr>
          <w:rFonts w:cs="Times New Roman"/>
        </w:rPr>
        <w:t>. (</w:t>
      </w:r>
      <w:r w:rsidR="7BE87353" w:rsidRPr="797FBB80">
        <w:rPr>
          <w:rFonts w:cs="Times New Roman"/>
          <w:i/>
          <w:iCs/>
        </w:rPr>
        <w:t>Id.</w:t>
      </w:r>
      <w:r w:rsidR="7BE87353" w:rsidRPr="006E727E">
        <w:rPr>
          <w:rFonts w:cs="Times New Roman"/>
        </w:rPr>
        <w:t xml:space="preserve"> at pp. 1141–1144</w:t>
      </w:r>
      <w:r w:rsidR="7BE87353">
        <w:rPr>
          <w:rFonts w:cs="Times New Roman"/>
        </w:rPr>
        <w:t>.</w:t>
      </w:r>
      <w:r w:rsidR="7BE87353" w:rsidRPr="006E727E">
        <w:rPr>
          <w:rFonts w:cs="Times New Roman"/>
        </w:rPr>
        <w:t xml:space="preserve">) </w:t>
      </w:r>
    </w:p>
    <w:p w14:paraId="1DDBE492" w14:textId="0CC9F2FC" w:rsidR="0080647E" w:rsidRPr="00D4319A" w:rsidRDefault="003D06AD" w:rsidP="003F5F13">
      <w:pPr>
        <w:autoSpaceDE w:val="0"/>
        <w:autoSpaceDN w:val="0"/>
        <w:adjustRightInd w:val="0"/>
        <w:spacing w:line="360" w:lineRule="auto"/>
        <w:contextualSpacing/>
        <w:rPr>
          <w:color w:val="000000" w:themeColor="text1"/>
        </w:rPr>
      </w:pPr>
      <w:bookmarkStart w:id="1" w:name="_Hlk132284081"/>
      <w:r w:rsidRPr="006E727E">
        <w:rPr>
          <w:rFonts w:cs="Times New Roman"/>
        </w:rPr>
        <w:tab/>
      </w:r>
      <w:r w:rsidR="25975A6A">
        <w:rPr>
          <w:rFonts w:cs="Times New Roman"/>
        </w:rPr>
        <w:t>The Supreme Court</w:t>
      </w:r>
      <w:r w:rsidR="25141C00">
        <w:rPr>
          <w:rFonts w:cs="Times New Roman"/>
        </w:rPr>
        <w:t xml:space="preserve"> affirmed</w:t>
      </w:r>
      <w:r w:rsidR="015D2CF7">
        <w:rPr>
          <w:rFonts w:cs="Times New Roman"/>
        </w:rPr>
        <w:t>,</w:t>
      </w:r>
      <w:r w:rsidR="25975A6A">
        <w:rPr>
          <w:rFonts w:cs="Times New Roman"/>
        </w:rPr>
        <w:t xml:space="preserve"> </w:t>
      </w:r>
      <w:r w:rsidR="16CF0825">
        <w:rPr>
          <w:rFonts w:cs="Times New Roman"/>
        </w:rPr>
        <w:t xml:space="preserve">observing that </w:t>
      </w:r>
      <w:r w:rsidR="2676AFC5">
        <w:rPr>
          <w:rFonts w:cs="Times New Roman"/>
        </w:rPr>
        <w:t>court and counsel are obligated</w:t>
      </w:r>
      <w:r w:rsidR="56440B5B">
        <w:rPr>
          <w:rFonts w:cs="Times New Roman"/>
        </w:rPr>
        <w:t xml:space="preserve"> </w:t>
      </w:r>
      <w:r w:rsidR="25975A6A" w:rsidRPr="00101906">
        <w:rPr>
          <w:rFonts w:cs="Times New Roman"/>
        </w:rPr>
        <w:t xml:space="preserve">to expedite criminal proceedings </w:t>
      </w:r>
      <w:r w:rsidR="787A9CE7">
        <w:rPr>
          <w:rFonts w:cs="Times New Roman"/>
        </w:rPr>
        <w:t xml:space="preserve">only </w:t>
      </w:r>
      <w:r w:rsidR="25975A6A" w:rsidRPr="00101906">
        <w:rPr>
          <w:rFonts w:cs="Times New Roman"/>
        </w:rPr>
        <w:t xml:space="preserve">“to the greatest degree that is </w:t>
      </w:r>
      <w:r w:rsidR="25975A6A" w:rsidRPr="797FBB80">
        <w:rPr>
          <w:rFonts w:cs="Times New Roman"/>
          <w:i/>
          <w:iCs/>
        </w:rPr>
        <w:t>consistent with the ends of justice</w:t>
      </w:r>
      <w:r w:rsidR="25975A6A" w:rsidRPr="00101906">
        <w:rPr>
          <w:rFonts w:cs="Times New Roman"/>
        </w:rPr>
        <w:t>.”</w:t>
      </w:r>
      <w:r w:rsidR="25975A6A" w:rsidRPr="000F14D1">
        <w:rPr>
          <w:color w:val="000000" w:themeColor="text1"/>
        </w:rPr>
        <w:t xml:space="preserve"> </w:t>
      </w:r>
      <w:r w:rsidR="25975A6A" w:rsidRPr="4B0E998B">
        <w:rPr>
          <w:color w:val="000000" w:themeColor="text1"/>
        </w:rPr>
        <w:t>(</w:t>
      </w:r>
      <w:r w:rsidR="416C2941" w:rsidRPr="797FBB80">
        <w:rPr>
          <w:rFonts w:cs="Times New Roman"/>
          <w:i/>
          <w:iCs/>
        </w:rPr>
        <w:t>Engram</w:t>
      </w:r>
      <w:r w:rsidR="416C2941" w:rsidRPr="797FBB80">
        <w:rPr>
          <w:rFonts w:cs="Times New Roman"/>
        </w:rPr>
        <w:t xml:space="preserve">, </w:t>
      </w:r>
      <w:r w:rsidR="416C2941" w:rsidRPr="797FBB80">
        <w:rPr>
          <w:rFonts w:cs="Times New Roman"/>
          <w:i/>
          <w:iCs/>
        </w:rPr>
        <w:t>supra</w:t>
      </w:r>
      <w:r w:rsidR="416C2941" w:rsidRPr="797FBB80">
        <w:rPr>
          <w:rFonts w:cs="Times New Roman"/>
        </w:rPr>
        <w:t>, 50 Cal.4th at pp. 1153–1156, 115</w:t>
      </w:r>
      <w:r w:rsidR="00804AED">
        <w:rPr>
          <w:rFonts w:cs="Times New Roman"/>
        </w:rPr>
        <w:t>0</w:t>
      </w:r>
      <w:r w:rsidR="25975A6A" w:rsidRPr="4B0E998B">
        <w:rPr>
          <w:color w:val="000000" w:themeColor="text1"/>
        </w:rPr>
        <w:t>, quoting</w:t>
      </w:r>
      <w:r w:rsidR="25975A6A" w:rsidRPr="4B0E998B">
        <w:rPr>
          <w:rFonts w:cs="Times New Roman"/>
        </w:rPr>
        <w:t xml:space="preserve"> § 1050(a), italics added.)</w:t>
      </w:r>
      <w:r w:rsidR="25975A6A">
        <w:rPr>
          <w:rFonts w:cs="Times New Roman"/>
        </w:rPr>
        <w:t xml:space="preserve"> </w:t>
      </w:r>
      <w:r w:rsidR="3B375F7A">
        <w:rPr>
          <w:rFonts w:cs="Times New Roman"/>
        </w:rPr>
        <w:t>I</w:t>
      </w:r>
      <w:r w:rsidR="5A4624C0">
        <w:rPr>
          <w:rFonts w:cs="Times New Roman"/>
        </w:rPr>
        <w:t xml:space="preserve">t held </w:t>
      </w:r>
      <w:r w:rsidR="25975A6A">
        <w:rPr>
          <w:color w:val="000000"/>
          <w:spacing w:val="-2"/>
        </w:rPr>
        <w:t>section 1050(a) c</w:t>
      </w:r>
      <w:r w:rsidR="44B588D7">
        <w:rPr>
          <w:color w:val="000000"/>
          <w:spacing w:val="-2"/>
        </w:rPr>
        <w:t xml:space="preserve">ould </w:t>
      </w:r>
      <w:r w:rsidR="25975A6A">
        <w:rPr>
          <w:color w:val="000000"/>
          <w:spacing w:val="-2"/>
        </w:rPr>
        <w:t xml:space="preserve">not be read </w:t>
      </w:r>
      <w:r w:rsidR="25975A6A">
        <w:rPr>
          <w:color w:val="000000"/>
        </w:rPr>
        <w:t>to create</w:t>
      </w:r>
      <w:r w:rsidR="25975A6A" w:rsidRPr="002E35AC">
        <w:rPr>
          <w:color w:val="000000"/>
        </w:rPr>
        <w:t xml:space="preserve"> </w:t>
      </w:r>
      <w:r w:rsidR="25975A6A">
        <w:rPr>
          <w:color w:val="000000"/>
        </w:rPr>
        <w:t>“</w:t>
      </w:r>
      <w:r w:rsidR="25975A6A" w:rsidRPr="002E35AC">
        <w:rPr>
          <w:color w:val="000000"/>
        </w:rPr>
        <w:t xml:space="preserve">an absolute or inflexible rule mandating such precedence </w:t>
      </w:r>
      <w:r w:rsidR="78BB6911">
        <w:rPr>
          <w:color w:val="000000"/>
        </w:rPr>
        <w:t xml:space="preserve">[for criminal cases] </w:t>
      </w:r>
      <w:r w:rsidR="25975A6A" w:rsidRPr="002E35AC">
        <w:rPr>
          <w:color w:val="000000"/>
        </w:rPr>
        <w:t>under all circumstances</w:t>
      </w:r>
      <w:r w:rsidR="6AF7A9ED" w:rsidRPr="002E35AC">
        <w:rPr>
          <w:color w:val="000000"/>
        </w:rPr>
        <w:t>.</w:t>
      </w:r>
      <w:r w:rsidR="25975A6A">
        <w:rPr>
          <w:color w:val="000000"/>
        </w:rPr>
        <w:t>” (</w:t>
      </w:r>
      <w:r w:rsidR="25975A6A" w:rsidRPr="797FBB80">
        <w:rPr>
          <w:i/>
          <w:iCs/>
          <w:color w:val="000000"/>
        </w:rPr>
        <w:t>Id.</w:t>
      </w:r>
      <w:r w:rsidR="00D0209B">
        <w:rPr>
          <w:i/>
          <w:iCs/>
          <w:color w:val="000000"/>
        </w:rPr>
        <w:t xml:space="preserve"> </w:t>
      </w:r>
      <w:r w:rsidR="00D0209B">
        <w:rPr>
          <w:color w:val="000000"/>
        </w:rPr>
        <w:t>at p. 1151</w:t>
      </w:r>
      <w:r w:rsidR="25975A6A">
        <w:rPr>
          <w:color w:val="000000"/>
        </w:rPr>
        <w:t>.)</w:t>
      </w:r>
      <w:r w:rsidR="00595579">
        <w:rPr>
          <w:color w:val="000000"/>
        </w:rPr>
        <w:t xml:space="preserve"> </w:t>
      </w:r>
      <w:bookmarkEnd w:id="1"/>
      <w:r w:rsidR="00EC682A">
        <w:rPr>
          <w:color w:val="000000"/>
        </w:rPr>
        <w:t>In so doing, th</w:t>
      </w:r>
      <w:r w:rsidR="007E450B">
        <w:rPr>
          <w:color w:val="000000"/>
        </w:rPr>
        <w:t xml:space="preserve">e </w:t>
      </w:r>
      <w:r w:rsidR="00595579">
        <w:rPr>
          <w:color w:val="000000"/>
        </w:rPr>
        <w:t xml:space="preserve">court </w:t>
      </w:r>
      <w:r w:rsidR="7B91AFE7" w:rsidRPr="0005430C">
        <w:rPr>
          <w:color w:val="000000"/>
          <w:spacing w:val="-2"/>
        </w:rPr>
        <w:t xml:space="preserve">rejected the prosecution’s </w:t>
      </w:r>
      <w:r w:rsidR="00A36A37">
        <w:rPr>
          <w:color w:val="000000"/>
          <w:spacing w:val="-2"/>
        </w:rPr>
        <w:t>contention</w:t>
      </w:r>
      <w:r w:rsidR="00A36A37" w:rsidRPr="0005430C">
        <w:rPr>
          <w:color w:val="000000"/>
          <w:spacing w:val="-2"/>
        </w:rPr>
        <w:t xml:space="preserve"> </w:t>
      </w:r>
      <w:r w:rsidR="25975A6A">
        <w:rPr>
          <w:color w:val="000000"/>
          <w:spacing w:val="-2"/>
        </w:rPr>
        <w:t xml:space="preserve">that </w:t>
      </w:r>
      <w:r w:rsidR="25975A6A" w:rsidRPr="00B66606">
        <w:t xml:space="preserve">the </w:t>
      </w:r>
      <w:r w:rsidR="25975A6A">
        <w:t xml:space="preserve">Riverside </w:t>
      </w:r>
      <w:r w:rsidR="25975A6A" w:rsidRPr="00B66606">
        <w:t xml:space="preserve">court could not </w:t>
      </w:r>
      <w:r w:rsidR="25975A6A">
        <w:t xml:space="preserve">categorically </w:t>
      </w:r>
      <w:r w:rsidR="25975A6A" w:rsidRPr="00B66606">
        <w:t xml:space="preserve">exempt </w:t>
      </w:r>
      <w:r w:rsidR="00A36A37">
        <w:t xml:space="preserve">its specialized </w:t>
      </w:r>
      <w:r w:rsidR="004D3E1A">
        <w:t xml:space="preserve">civil </w:t>
      </w:r>
      <w:r w:rsidR="00A36A37">
        <w:t>departments (</w:t>
      </w:r>
      <w:r w:rsidR="25975A6A" w:rsidRPr="00B66606">
        <w:t>family, probate and juvenile</w:t>
      </w:r>
      <w:r w:rsidR="00A36A37">
        <w:t>)</w:t>
      </w:r>
      <w:r w:rsidR="25975A6A" w:rsidRPr="00B66606">
        <w:t xml:space="preserve"> from </w:t>
      </w:r>
      <w:r w:rsidR="25975A6A">
        <w:t xml:space="preserve">trying </w:t>
      </w:r>
      <w:r w:rsidR="25975A6A" w:rsidRPr="00B66606">
        <w:t xml:space="preserve">last-day criminal </w:t>
      </w:r>
      <w:r w:rsidR="25975A6A">
        <w:t>cases</w:t>
      </w:r>
      <w:r w:rsidR="25975A6A" w:rsidRPr="00B66606">
        <w:t xml:space="preserve">, </w:t>
      </w:r>
      <w:r w:rsidR="00A36A37">
        <w:t>and was obligated to</w:t>
      </w:r>
      <w:r w:rsidR="25975A6A">
        <w:t xml:space="preserve"> compare</w:t>
      </w:r>
      <w:r w:rsidR="00A36A37">
        <w:t>,</w:t>
      </w:r>
      <w:r w:rsidR="25975A6A" w:rsidRPr="00B66606">
        <w:t xml:space="preserve"> </w:t>
      </w:r>
      <w:r w:rsidR="25975A6A">
        <w:t>on a case-by-case basis</w:t>
      </w:r>
      <w:r w:rsidR="00A36A37">
        <w:t>,</w:t>
      </w:r>
      <w:r w:rsidR="25975A6A">
        <w:t xml:space="preserve"> </w:t>
      </w:r>
      <w:r w:rsidR="25975A6A" w:rsidRPr="00B66606">
        <w:t xml:space="preserve">the relative urgency of </w:t>
      </w:r>
      <w:r w:rsidR="004D3E1A">
        <w:t>each</w:t>
      </w:r>
      <w:r w:rsidR="25975A6A" w:rsidRPr="00B66606">
        <w:t xml:space="preserve"> criminal trial </w:t>
      </w:r>
      <w:r w:rsidR="00A36A37">
        <w:t>with</w:t>
      </w:r>
      <w:r w:rsidR="00A36A37" w:rsidRPr="00B66606">
        <w:t xml:space="preserve"> </w:t>
      </w:r>
      <w:r w:rsidR="25975A6A" w:rsidRPr="00B66606">
        <w:t>the matter(s) pending in those departments.</w:t>
      </w:r>
      <w:r w:rsidR="25975A6A">
        <w:t xml:space="preserve"> (</w:t>
      </w:r>
      <w:r w:rsidR="25975A6A" w:rsidRPr="797FBB80">
        <w:rPr>
          <w:i/>
          <w:iCs/>
          <w:color w:val="000000"/>
        </w:rPr>
        <w:t>Engram</w:t>
      </w:r>
      <w:r w:rsidR="25975A6A">
        <w:rPr>
          <w:color w:val="000000"/>
        </w:rPr>
        <w:t xml:space="preserve">, </w:t>
      </w:r>
      <w:r w:rsidR="25975A6A" w:rsidRPr="797FBB80">
        <w:rPr>
          <w:i/>
          <w:iCs/>
          <w:color w:val="000000"/>
        </w:rPr>
        <w:t>supra</w:t>
      </w:r>
      <w:r w:rsidR="25975A6A">
        <w:rPr>
          <w:color w:val="000000"/>
        </w:rPr>
        <w:t xml:space="preserve">, 50 Cal.4th </w:t>
      </w:r>
      <w:r w:rsidR="25975A6A">
        <w:t xml:space="preserve">at </w:t>
      </w:r>
      <w:r w:rsidR="0014112A">
        <w:t>p</w:t>
      </w:r>
      <w:r w:rsidR="25975A6A">
        <w:t>p.</w:t>
      </w:r>
      <w:r w:rsidR="00CF36AA">
        <w:t> </w:t>
      </w:r>
      <w:r w:rsidR="25975A6A">
        <w:t>1153</w:t>
      </w:r>
      <w:r w:rsidR="00D450D4">
        <w:t>–</w:t>
      </w:r>
      <w:r w:rsidR="0014112A">
        <w:t>1154</w:t>
      </w:r>
      <w:r w:rsidR="25975A6A">
        <w:t>.)</w:t>
      </w:r>
      <w:r w:rsidR="25975A6A">
        <w:rPr>
          <w:color w:val="000000"/>
        </w:rPr>
        <w:t xml:space="preserve"> </w:t>
      </w:r>
      <w:r w:rsidR="007E450B">
        <w:rPr>
          <w:color w:val="000000"/>
        </w:rPr>
        <w:t>The court</w:t>
      </w:r>
      <w:r w:rsidR="0C4907AE">
        <w:rPr>
          <w:color w:val="000000"/>
        </w:rPr>
        <w:t xml:space="preserve"> reasoned</w:t>
      </w:r>
      <w:r w:rsidR="00A36A37">
        <w:rPr>
          <w:color w:val="000000"/>
        </w:rPr>
        <w:t xml:space="preserve"> that</w:t>
      </w:r>
      <w:r w:rsidR="25975A6A">
        <w:rPr>
          <w:color w:val="000000"/>
        </w:rPr>
        <w:t xml:space="preserve"> section 1050(a) “does not preclude a </w:t>
      </w:r>
      <w:r w:rsidR="25975A6A">
        <w:rPr>
          <w:color w:val="000000"/>
        </w:rPr>
        <w:lastRenderedPageBreak/>
        <w:t xml:space="preserve">trial court . . . </w:t>
      </w:r>
      <w:r w:rsidR="25975A6A" w:rsidRPr="002E35AC">
        <w:rPr>
          <w:color w:val="000000"/>
        </w:rPr>
        <w:t xml:space="preserve">from designating separate departments to handle criminal and civil matters and, </w:t>
      </w:r>
      <w:r w:rsidR="25975A6A" w:rsidRPr="797FBB80">
        <w:rPr>
          <w:i/>
          <w:iCs/>
          <w:color w:val="000000"/>
        </w:rPr>
        <w:t>within reasonable limitations</w:t>
      </w:r>
      <w:r w:rsidR="25975A6A" w:rsidRPr="002E35AC">
        <w:rPr>
          <w:color w:val="000000"/>
        </w:rPr>
        <w:t>, assigning cases for trial only within the appropriate department.</w:t>
      </w:r>
      <w:r w:rsidR="25975A6A">
        <w:rPr>
          <w:color w:val="000000"/>
        </w:rPr>
        <w:t>” (</w:t>
      </w:r>
      <w:r w:rsidR="25975A6A" w:rsidRPr="797FBB80">
        <w:rPr>
          <w:i/>
          <w:iCs/>
          <w:color w:val="000000"/>
        </w:rPr>
        <w:t>Id.</w:t>
      </w:r>
      <w:r w:rsidR="25975A6A">
        <w:rPr>
          <w:color w:val="000000"/>
        </w:rPr>
        <w:t xml:space="preserve"> at p. 1154, italics added.) </w:t>
      </w:r>
      <w:r w:rsidR="00FE22B8">
        <w:rPr>
          <w:color w:val="000000" w:themeColor="text1"/>
        </w:rPr>
        <w:t>T</w:t>
      </w:r>
      <w:r w:rsidR="25975A6A" w:rsidRPr="1B5E7FE8">
        <w:rPr>
          <w:color w:val="000000" w:themeColor="text1"/>
        </w:rPr>
        <w:t>hose “reasonable limitations</w:t>
      </w:r>
      <w:r w:rsidR="001A4176">
        <w:rPr>
          <w:color w:val="000000" w:themeColor="text1"/>
        </w:rPr>
        <w:t>,</w:t>
      </w:r>
      <w:r w:rsidR="25975A6A" w:rsidRPr="1B5E7FE8">
        <w:rPr>
          <w:color w:val="000000" w:themeColor="text1"/>
        </w:rPr>
        <w:t>”</w:t>
      </w:r>
      <w:r w:rsidR="001A4176">
        <w:rPr>
          <w:color w:val="000000" w:themeColor="text1"/>
        </w:rPr>
        <w:t xml:space="preserve"> under applicable precedents,</w:t>
      </w:r>
      <w:r w:rsidR="25975A6A" w:rsidRPr="1B5E7FE8">
        <w:rPr>
          <w:color w:val="000000" w:themeColor="text1"/>
        </w:rPr>
        <w:t xml:space="preserve"> “require a trial court to organize its civil and criminal departments and workload in a manner that (1) </w:t>
      </w:r>
      <w:r w:rsidR="25975A6A">
        <w:t xml:space="preserve">acknowledges the important state interest in the expeditious resolution of criminal proceedings as reflected in </w:t>
      </w:r>
      <w:r w:rsidR="25975A6A" w:rsidRPr="1A68BE70">
        <w:rPr>
          <w:color w:val="000000" w:themeColor="text1"/>
        </w:rPr>
        <w:t>section 1050,</w:t>
      </w:r>
      <w:r w:rsidR="25975A6A" w:rsidRPr="05D0A8A3">
        <w:rPr>
          <w:color w:val="000000" w:themeColor="text1"/>
        </w:rPr>
        <w:t xml:space="preserve"> and (2)</w:t>
      </w:r>
      <w:r w:rsidR="00573D93">
        <w:rPr>
          <w:color w:val="000000" w:themeColor="text1"/>
        </w:rPr>
        <w:t> </w:t>
      </w:r>
      <w:r w:rsidR="25975A6A" w:rsidRPr="05D0A8A3">
        <w:rPr>
          <w:color w:val="000000" w:themeColor="text1"/>
        </w:rPr>
        <w:t>does not shortchange the court</w:t>
      </w:r>
      <w:r w:rsidR="25975A6A" w:rsidRPr="1B5E7FE8">
        <w:rPr>
          <w:color w:val="000000" w:themeColor="text1"/>
        </w:rPr>
        <w:t>’s criminal caseload by creating or maintaining a disproportionately large number of civil as compared to criminal departments.” (</w:t>
      </w:r>
      <w:r w:rsidR="25975A6A" w:rsidRPr="797FBB80">
        <w:rPr>
          <w:i/>
          <w:iCs/>
          <w:color w:val="000000" w:themeColor="text1"/>
        </w:rPr>
        <w:t>Engram</w:t>
      </w:r>
      <w:r w:rsidR="25975A6A" w:rsidRPr="1B5E7FE8">
        <w:rPr>
          <w:color w:val="000000" w:themeColor="text1"/>
        </w:rPr>
        <w:t xml:space="preserve">, </w:t>
      </w:r>
      <w:r w:rsidR="25975A6A" w:rsidRPr="797FBB80">
        <w:rPr>
          <w:i/>
          <w:iCs/>
          <w:color w:val="000000" w:themeColor="text1"/>
        </w:rPr>
        <w:t>supra</w:t>
      </w:r>
      <w:r w:rsidR="25975A6A" w:rsidRPr="1B5E7FE8">
        <w:rPr>
          <w:color w:val="000000" w:themeColor="text1"/>
        </w:rPr>
        <w:t>, 50 Cal.4th at p</w:t>
      </w:r>
      <w:r w:rsidR="009F1939">
        <w:rPr>
          <w:color w:val="000000" w:themeColor="text1"/>
        </w:rPr>
        <w:t>p</w:t>
      </w:r>
      <w:r w:rsidR="25975A6A" w:rsidRPr="1B5E7FE8">
        <w:rPr>
          <w:color w:val="000000" w:themeColor="text1"/>
        </w:rPr>
        <w:t>. 1156</w:t>
      </w:r>
      <w:r w:rsidR="00D450D4">
        <w:rPr>
          <w:color w:val="000000" w:themeColor="text1"/>
        </w:rPr>
        <w:t>–</w:t>
      </w:r>
      <w:r w:rsidR="009F1939">
        <w:rPr>
          <w:color w:val="000000" w:themeColor="text1"/>
        </w:rPr>
        <w:t>1157</w:t>
      </w:r>
      <w:r w:rsidR="25975A6A" w:rsidRPr="1B5E7FE8">
        <w:rPr>
          <w:color w:val="000000" w:themeColor="text1"/>
        </w:rPr>
        <w:t xml:space="preserve"> </w:t>
      </w:r>
      <w:r w:rsidR="002502C0">
        <w:rPr>
          <w:color w:val="000000" w:themeColor="text1"/>
        </w:rPr>
        <w:t>[</w:t>
      </w:r>
      <w:r w:rsidR="25975A6A" w:rsidRPr="1B5E7FE8">
        <w:rPr>
          <w:color w:val="000000" w:themeColor="text1"/>
        </w:rPr>
        <w:t>citing authorities</w:t>
      </w:r>
      <w:r w:rsidR="002502C0">
        <w:rPr>
          <w:color w:val="000000" w:themeColor="text1"/>
        </w:rPr>
        <w:t>]</w:t>
      </w:r>
      <w:r w:rsidR="25975A6A" w:rsidRPr="1B5E7FE8">
        <w:rPr>
          <w:color w:val="000000" w:themeColor="text1"/>
        </w:rPr>
        <w:t xml:space="preserve">.) </w:t>
      </w:r>
    </w:p>
    <w:p w14:paraId="2893A155" w14:textId="191619D0" w:rsidR="00320598" w:rsidRPr="005C147C" w:rsidRDefault="003D06AD" w:rsidP="003F5F13">
      <w:pPr>
        <w:autoSpaceDE w:val="0"/>
        <w:autoSpaceDN w:val="0"/>
        <w:adjustRightInd w:val="0"/>
        <w:spacing w:line="360" w:lineRule="auto"/>
        <w:contextualSpacing/>
        <w:rPr>
          <w:color w:val="000000"/>
        </w:rPr>
      </w:pPr>
      <w:r>
        <w:rPr>
          <w:color w:val="000000"/>
        </w:rPr>
        <w:tab/>
      </w:r>
      <w:r w:rsidR="26D337B4">
        <w:rPr>
          <w:color w:val="000000"/>
        </w:rPr>
        <w:t xml:space="preserve">In </w:t>
      </w:r>
      <w:r w:rsidR="0252D8FC">
        <w:rPr>
          <w:color w:val="000000"/>
        </w:rPr>
        <w:t>one of those precedents</w:t>
      </w:r>
      <w:r w:rsidR="7BE87353">
        <w:rPr>
          <w:color w:val="000000"/>
        </w:rPr>
        <w:t xml:space="preserve">, </w:t>
      </w:r>
      <w:r w:rsidR="26D337B4">
        <w:rPr>
          <w:color w:val="000000"/>
        </w:rPr>
        <w:t xml:space="preserve">this court </w:t>
      </w:r>
      <w:r w:rsidR="000D759F">
        <w:rPr>
          <w:color w:val="000000"/>
        </w:rPr>
        <w:t xml:space="preserve">suggested </w:t>
      </w:r>
      <w:r w:rsidR="7BE87353">
        <w:rPr>
          <w:color w:val="000000"/>
        </w:rPr>
        <w:t xml:space="preserve">70 years ago that defendant court had violated section 1050(a) despite devoting a somewhat </w:t>
      </w:r>
      <w:r w:rsidR="7BE87353" w:rsidRPr="797FBB80">
        <w:rPr>
          <w:i/>
          <w:iCs/>
          <w:color w:val="000000"/>
        </w:rPr>
        <w:t>higher</w:t>
      </w:r>
      <w:r w:rsidR="7BE87353">
        <w:rPr>
          <w:color w:val="000000"/>
        </w:rPr>
        <w:t xml:space="preserve"> percentage of its departments to criminal trials than it</w:t>
      </w:r>
      <w:r w:rsidR="0BEC62C1" w:rsidRPr="797FBB80">
        <w:rPr>
          <w:color w:val="000000" w:themeColor="text1"/>
        </w:rPr>
        <w:t xml:space="preserve"> allegedly</w:t>
      </w:r>
      <w:r w:rsidR="7BE87353">
        <w:rPr>
          <w:color w:val="000000"/>
        </w:rPr>
        <w:t xml:space="preserve"> did in 2021. </w:t>
      </w:r>
      <w:r w:rsidR="7BE87353" w:rsidRPr="00F518B7">
        <w:t>(</w:t>
      </w:r>
      <w:r w:rsidR="7BE87353" w:rsidRPr="797FBB80">
        <w:rPr>
          <w:i/>
          <w:iCs/>
        </w:rPr>
        <w:t xml:space="preserve">People v. Echols </w:t>
      </w:r>
      <w:r w:rsidR="7BE87353">
        <w:t xml:space="preserve">(1954) </w:t>
      </w:r>
      <w:r w:rsidR="7BE87353" w:rsidRPr="00F518B7">
        <w:t>125</w:t>
      </w:r>
      <w:r w:rsidR="7BE87353">
        <w:t> </w:t>
      </w:r>
      <w:r w:rsidR="7BE87353" w:rsidRPr="00F518B7">
        <w:t>Cal.App.2d 810</w:t>
      </w:r>
      <w:r w:rsidR="00A874A9">
        <w:t xml:space="preserve"> (</w:t>
      </w:r>
      <w:r w:rsidR="00A874A9">
        <w:rPr>
          <w:i/>
          <w:iCs/>
        </w:rPr>
        <w:t>Echols</w:t>
      </w:r>
      <w:r w:rsidR="00A874A9">
        <w:t>)</w:t>
      </w:r>
      <w:r w:rsidR="003B734B">
        <w:t xml:space="preserve">, disapproved on another ground in </w:t>
      </w:r>
      <w:r w:rsidR="003B734B">
        <w:rPr>
          <w:i/>
          <w:iCs/>
        </w:rPr>
        <w:t>People v. Wilson</w:t>
      </w:r>
      <w:r w:rsidR="003B734B">
        <w:t xml:space="preserve"> (1963) 60 Cal.2d 139, 152</w:t>
      </w:r>
      <w:r w:rsidR="7BE87353">
        <w:t>.)</w:t>
      </w:r>
      <w:r>
        <w:rPr>
          <w:rStyle w:val="FootnoteReference"/>
          <w:color w:val="000000" w:themeColor="text1"/>
        </w:rPr>
        <w:footnoteReference w:id="19"/>
      </w:r>
      <w:r w:rsidR="7BE87353">
        <w:t xml:space="preserve"> </w:t>
      </w:r>
      <w:r w:rsidR="7BE87353" w:rsidRPr="002E35AC">
        <w:rPr>
          <w:color w:val="000000"/>
        </w:rPr>
        <w:t xml:space="preserve">There, “the trial court found good cause to continue </w:t>
      </w:r>
      <w:r w:rsidR="26D337B4">
        <w:rPr>
          <w:color w:val="000000"/>
        </w:rPr>
        <w:t xml:space="preserve">[a] </w:t>
      </w:r>
      <w:r w:rsidR="7BE87353" w:rsidRPr="002E35AC">
        <w:rPr>
          <w:color w:val="000000"/>
        </w:rPr>
        <w:t xml:space="preserve">trial beyond the statutory period on numerous occasions, based solely upon the circumstance that </w:t>
      </w:r>
      <w:r w:rsidR="7BE87353" w:rsidRPr="797FBB80">
        <w:rPr>
          <w:i/>
          <w:iCs/>
          <w:color w:val="000000"/>
        </w:rPr>
        <w:t>in the particular criminal trial department to which the defendants’ case initially had been assigned</w:t>
      </w:r>
      <w:r w:rsidR="7BE87353" w:rsidRPr="002E35AC">
        <w:rPr>
          <w:color w:val="000000"/>
        </w:rPr>
        <w:t xml:space="preserve"> there were older cases that were then in trial or </w:t>
      </w:r>
      <w:r w:rsidR="7BE87353">
        <w:rPr>
          <w:color w:val="000000"/>
        </w:rPr>
        <w:t>[</w:t>
      </w:r>
      <w:r w:rsidR="7BE87353" w:rsidRPr="002E35AC">
        <w:rPr>
          <w:color w:val="000000"/>
        </w:rPr>
        <w:t>scheduled for trial</w:t>
      </w:r>
      <w:r w:rsidR="7BE87353">
        <w:rPr>
          <w:color w:val="000000"/>
        </w:rPr>
        <w:t>]</w:t>
      </w:r>
      <w:r w:rsidR="7BE87353" w:rsidRPr="002E35AC">
        <w:rPr>
          <w:color w:val="000000"/>
        </w:rPr>
        <w:t>.</w:t>
      </w:r>
      <w:r w:rsidR="26D337B4">
        <w:rPr>
          <w:color w:val="000000"/>
        </w:rPr>
        <w:t>” (</w:t>
      </w:r>
      <w:r w:rsidR="26D337B4" w:rsidRPr="797FBB80">
        <w:rPr>
          <w:i/>
          <w:iCs/>
          <w:color w:val="000000"/>
        </w:rPr>
        <w:t>Engram</w:t>
      </w:r>
      <w:r w:rsidR="26D337B4">
        <w:rPr>
          <w:color w:val="000000"/>
        </w:rPr>
        <w:t>, s</w:t>
      </w:r>
      <w:r w:rsidR="26D337B4" w:rsidRPr="797FBB80">
        <w:rPr>
          <w:i/>
          <w:iCs/>
          <w:color w:val="000000"/>
        </w:rPr>
        <w:t>upra</w:t>
      </w:r>
      <w:r w:rsidR="26D337B4">
        <w:rPr>
          <w:color w:val="000000"/>
        </w:rPr>
        <w:t>, 50 Cal.4</w:t>
      </w:r>
      <w:r w:rsidR="26D337B4" w:rsidRPr="003871DD">
        <w:rPr>
          <w:color w:val="000000"/>
        </w:rPr>
        <w:t>th</w:t>
      </w:r>
      <w:r w:rsidR="26D337B4">
        <w:rPr>
          <w:color w:val="000000"/>
        </w:rPr>
        <w:t xml:space="preserve"> at p. 1156.)</w:t>
      </w:r>
      <w:r w:rsidR="26D337B4" w:rsidRPr="797FBB80">
        <w:rPr>
          <w:i/>
          <w:iCs/>
          <w:color w:val="000000"/>
        </w:rPr>
        <w:t xml:space="preserve"> </w:t>
      </w:r>
      <w:r w:rsidR="00E5505D">
        <w:rPr>
          <w:color w:val="000000"/>
        </w:rPr>
        <w:t xml:space="preserve">The </w:t>
      </w:r>
      <w:r w:rsidR="00E5505D">
        <w:rPr>
          <w:i/>
          <w:iCs/>
          <w:color w:val="000000"/>
        </w:rPr>
        <w:t>Echols</w:t>
      </w:r>
      <w:r w:rsidR="26D337B4">
        <w:rPr>
          <w:i/>
          <w:color w:val="000000"/>
        </w:rPr>
        <w:t xml:space="preserve"> </w:t>
      </w:r>
      <w:r w:rsidR="26D337B4">
        <w:rPr>
          <w:color w:val="000000"/>
        </w:rPr>
        <w:t xml:space="preserve">court </w:t>
      </w:r>
      <w:r w:rsidR="00E5505D">
        <w:rPr>
          <w:color w:val="000000"/>
        </w:rPr>
        <w:t>noted</w:t>
      </w:r>
      <w:r w:rsidR="000525C6">
        <w:rPr>
          <w:color w:val="000000"/>
        </w:rPr>
        <w:t xml:space="preserve"> the absence of any</w:t>
      </w:r>
      <w:r w:rsidR="26D337B4">
        <w:rPr>
          <w:color w:val="000000"/>
        </w:rPr>
        <w:t xml:space="preserve"> showing why the case “</w:t>
      </w:r>
      <w:r w:rsidR="7BE87353" w:rsidRPr="002E35AC">
        <w:rPr>
          <w:color w:val="000000"/>
        </w:rPr>
        <w:t xml:space="preserve">could not have been </w:t>
      </w:r>
      <w:r w:rsidR="7BE87353" w:rsidRPr="009B3A5B">
        <w:rPr>
          <w:color w:val="000000"/>
          <w:spacing w:val="-2"/>
        </w:rPr>
        <w:t>tried in one of the other criminal departments</w:t>
      </w:r>
      <w:r w:rsidR="26D337B4">
        <w:rPr>
          <w:color w:val="000000"/>
          <w:spacing w:val="-2"/>
        </w:rPr>
        <w:t xml:space="preserve">” </w:t>
      </w:r>
      <w:r w:rsidR="00D2229E">
        <w:rPr>
          <w:color w:val="000000"/>
          <w:spacing w:val="-2"/>
        </w:rPr>
        <w:t xml:space="preserve">and added that, even assuming they all were </w:t>
      </w:r>
      <w:r w:rsidR="00D2229E">
        <w:rPr>
          <w:color w:val="000000"/>
          <w:spacing w:val="-2"/>
        </w:rPr>
        <w:lastRenderedPageBreak/>
        <w:t xml:space="preserve">busy, </w:t>
      </w:r>
      <w:r w:rsidR="007B6028">
        <w:rPr>
          <w:color w:val="000000"/>
        </w:rPr>
        <w:t>defendant court then had 23 departments, of which only four (or 17</w:t>
      </w:r>
      <w:r w:rsidR="001A5556">
        <w:rPr>
          <w:color w:val="000000"/>
        </w:rPr>
        <w:t> </w:t>
      </w:r>
      <w:r w:rsidR="00F2188A">
        <w:rPr>
          <w:color w:val="000000"/>
        </w:rPr>
        <w:t>percent</w:t>
      </w:r>
      <w:r w:rsidR="007B6028">
        <w:rPr>
          <w:color w:val="000000"/>
        </w:rPr>
        <w:t>) were devoted to criminal trials, and</w:t>
      </w:r>
      <w:r w:rsidR="007B6028">
        <w:rPr>
          <w:color w:val="000000"/>
          <w:spacing w:val="-2"/>
        </w:rPr>
        <w:t xml:space="preserve"> </w:t>
      </w:r>
      <w:r w:rsidR="26D337B4">
        <w:rPr>
          <w:color w:val="000000"/>
          <w:spacing w:val="-2"/>
        </w:rPr>
        <w:t>“</w:t>
      </w:r>
      <w:r w:rsidR="7BE87353" w:rsidRPr="002E35AC">
        <w:rPr>
          <w:color w:val="000000"/>
        </w:rPr>
        <w:t xml:space="preserve">more departments could be assigned criminal </w:t>
      </w:r>
      <w:bookmarkStart w:id="2" w:name="co_pp_sp_4645_254_1"/>
      <w:bookmarkEnd w:id="2"/>
      <w:r w:rsidR="7BE87353" w:rsidRPr="002E35AC">
        <w:rPr>
          <w:color w:val="000000"/>
        </w:rPr>
        <w:t>cases</w:t>
      </w:r>
      <w:r w:rsidR="7BE87353" w:rsidRPr="00BF4643">
        <w:rPr>
          <w:color w:val="000000"/>
        </w:rPr>
        <w:t>.”</w:t>
      </w:r>
      <w:r w:rsidR="7BE87353">
        <w:rPr>
          <w:color w:val="000000"/>
        </w:rPr>
        <w:t xml:space="preserve"> (</w:t>
      </w:r>
      <w:r w:rsidR="7BE87353" w:rsidRPr="797FBB80">
        <w:rPr>
          <w:i/>
          <w:iCs/>
          <w:color w:val="000000"/>
        </w:rPr>
        <w:t>Echols</w:t>
      </w:r>
      <w:r w:rsidR="7BE87353">
        <w:rPr>
          <w:color w:val="000000"/>
        </w:rPr>
        <w:t xml:space="preserve">, </w:t>
      </w:r>
      <w:r w:rsidR="7BE87353" w:rsidRPr="797FBB80">
        <w:rPr>
          <w:i/>
          <w:iCs/>
          <w:color w:val="000000"/>
        </w:rPr>
        <w:t>supra</w:t>
      </w:r>
      <w:r w:rsidR="7BE87353">
        <w:rPr>
          <w:color w:val="000000"/>
        </w:rPr>
        <w:t>, at pp. 815–817.)</w:t>
      </w:r>
      <w:r w:rsidR="00AE033F">
        <w:rPr>
          <w:color w:val="000000"/>
        </w:rPr>
        <w:t xml:space="preserve"> </w:t>
      </w:r>
      <w:proofErr w:type="gramStart"/>
      <w:r w:rsidR="008D3AD2">
        <w:rPr>
          <w:color w:val="000000"/>
        </w:rPr>
        <w:t>“</w:t>
      </w:r>
      <w:r w:rsidR="006A050E">
        <w:rPr>
          <w:color w:val="000000"/>
        </w:rPr>
        <w:t> ‘</w:t>
      </w:r>
      <w:proofErr w:type="gramEnd"/>
      <w:r w:rsidR="002E607C" w:rsidRPr="002E607C">
        <w:rPr>
          <w:color w:val="000000"/>
        </w:rPr>
        <w:t>To comply with the provision contained in section 1050</w:t>
      </w:r>
      <w:r w:rsidR="006A050E">
        <w:rPr>
          <w:color w:val="000000"/>
        </w:rPr>
        <w:t xml:space="preserve"> . . . </w:t>
      </w:r>
      <w:r w:rsidR="002E607C" w:rsidRPr="002E607C">
        <w:rPr>
          <w:color w:val="000000"/>
        </w:rPr>
        <w:t xml:space="preserve">that criminal matters should be given precedence over civil matters and to enable defendants in criminal actions to have the speedy trials </w:t>
      </w:r>
      <w:r w:rsidR="006A050E">
        <w:rPr>
          <w:color w:val="000000"/>
        </w:rPr>
        <w:t xml:space="preserve">. . . </w:t>
      </w:r>
      <w:r w:rsidR="002E607C" w:rsidRPr="002E607C">
        <w:rPr>
          <w:color w:val="000000"/>
        </w:rPr>
        <w:t>guaranteed by the Constitution, a greater number of judges should have been assigned to departments handling criminal matters.</w:t>
      </w:r>
      <w:r w:rsidR="006A050E">
        <w:rPr>
          <w:color w:val="000000"/>
        </w:rPr>
        <w:t>’ ”</w:t>
      </w:r>
      <w:r w:rsidR="002E607C" w:rsidRPr="002E607C">
        <w:rPr>
          <w:color w:val="000000"/>
        </w:rPr>
        <w:t xml:space="preserve"> </w:t>
      </w:r>
      <w:r w:rsidR="00FC0133">
        <w:rPr>
          <w:color w:val="000000"/>
        </w:rPr>
        <w:t>(</w:t>
      </w:r>
      <w:r w:rsidR="00FC0133">
        <w:rPr>
          <w:i/>
          <w:iCs/>
          <w:color w:val="000000"/>
        </w:rPr>
        <w:t>Id.</w:t>
      </w:r>
      <w:r w:rsidR="00FC0133">
        <w:rPr>
          <w:color w:val="000000"/>
        </w:rPr>
        <w:t xml:space="preserve"> at p. 816.)</w:t>
      </w:r>
      <w:r w:rsidR="0024067D">
        <w:rPr>
          <w:color w:val="000000"/>
        </w:rPr>
        <w:t xml:space="preserve"> </w:t>
      </w:r>
      <w:r w:rsidR="00B428EC">
        <w:rPr>
          <w:color w:val="000000"/>
        </w:rPr>
        <w:t xml:space="preserve">In a mandamus proceeding resolved </w:t>
      </w:r>
      <w:r w:rsidR="00CD40B2">
        <w:rPr>
          <w:color w:val="000000"/>
        </w:rPr>
        <w:t xml:space="preserve">a </w:t>
      </w:r>
      <w:r w:rsidR="00B428EC">
        <w:rPr>
          <w:color w:val="000000"/>
        </w:rPr>
        <w:t xml:space="preserve">week </w:t>
      </w:r>
      <w:r w:rsidR="00183A73">
        <w:rPr>
          <w:color w:val="000000"/>
        </w:rPr>
        <w:t xml:space="preserve">before </w:t>
      </w:r>
      <w:r w:rsidR="00B428EC">
        <w:rPr>
          <w:i/>
          <w:iCs/>
          <w:color w:val="000000"/>
        </w:rPr>
        <w:t>Echols</w:t>
      </w:r>
      <w:r w:rsidR="00B428EC">
        <w:rPr>
          <w:color w:val="000000"/>
        </w:rPr>
        <w:t>, this court issued a writ compel</w:t>
      </w:r>
      <w:r w:rsidR="001C7070">
        <w:rPr>
          <w:color w:val="000000"/>
        </w:rPr>
        <w:t>ling</w:t>
      </w:r>
      <w:r w:rsidR="00B428EC">
        <w:rPr>
          <w:color w:val="000000"/>
        </w:rPr>
        <w:t xml:space="preserve"> defendant court to dismiss a case pursuant to section 1382</w:t>
      </w:r>
      <w:r w:rsidR="001C7070">
        <w:rPr>
          <w:color w:val="000000"/>
        </w:rPr>
        <w:t>, while</w:t>
      </w:r>
      <w:r w:rsidR="00B428EC">
        <w:rPr>
          <w:color w:val="000000"/>
        </w:rPr>
        <w:t xml:space="preserve"> paraphras</w:t>
      </w:r>
      <w:r w:rsidR="001C7070">
        <w:rPr>
          <w:color w:val="000000"/>
        </w:rPr>
        <w:t>ing</w:t>
      </w:r>
      <w:r w:rsidR="00B428EC">
        <w:rPr>
          <w:color w:val="000000"/>
        </w:rPr>
        <w:t xml:space="preserve"> a</w:t>
      </w:r>
      <w:r w:rsidR="001C7070">
        <w:rPr>
          <w:color w:val="000000"/>
        </w:rPr>
        <w:t>n</w:t>
      </w:r>
      <w:r w:rsidR="00B428EC">
        <w:rPr>
          <w:color w:val="000000"/>
        </w:rPr>
        <w:t xml:space="preserve"> opinion to similar effect by the Second District:</w:t>
      </w:r>
      <w:r w:rsidR="00B428EC" w:rsidRPr="00B428EC">
        <w:rPr>
          <w:color w:val="000000"/>
        </w:rPr>
        <w:t xml:space="preserve"> </w:t>
      </w:r>
      <w:r w:rsidR="00B428EC">
        <w:rPr>
          <w:color w:val="000000"/>
        </w:rPr>
        <w:t>“</w:t>
      </w:r>
      <w:r w:rsidR="00B428EC" w:rsidRPr="007E48F7">
        <w:rPr>
          <w:color w:val="000000"/>
        </w:rPr>
        <w:t xml:space="preserve">To comply with the provision contained in section 1050 </w:t>
      </w:r>
      <w:r w:rsidR="00B428EC">
        <w:rPr>
          <w:color w:val="000000"/>
        </w:rPr>
        <w:t xml:space="preserve">. . . </w:t>
      </w:r>
      <w:r w:rsidR="00B428EC" w:rsidRPr="007E48F7">
        <w:rPr>
          <w:color w:val="000000"/>
        </w:rPr>
        <w:t xml:space="preserve">that criminal matters should be given precedence over civil matters and to enable defendants </w:t>
      </w:r>
      <w:r w:rsidR="00B428EC">
        <w:rPr>
          <w:color w:val="000000"/>
        </w:rPr>
        <w:t xml:space="preserve">. . . </w:t>
      </w:r>
      <w:r w:rsidR="00B428EC" w:rsidRPr="007E48F7">
        <w:rPr>
          <w:color w:val="000000"/>
        </w:rPr>
        <w:t xml:space="preserve">to have the speedy trials </w:t>
      </w:r>
      <w:r w:rsidR="00B428EC">
        <w:rPr>
          <w:color w:val="000000"/>
        </w:rPr>
        <w:t xml:space="preserve">. . . </w:t>
      </w:r>
      <w:r w:rsidR="00B428EC" w:rsidRPr="007E48F7">
        <w:rPr>
          <w:color w:val="000000"/>
        </w:rPr>
        <w:t xml:space="preserve">guaranteed by the Constitution, a greater number of judges should have been assigned to departments handling criminal matters. There are </w:t>
      </w:r>
      <w:r w:rsidR="00137946">
        <w:rPr>
          <w:color w:val="000000"/>
        </w:rPr>
        <w:t>22</w:t>
      </w:r>
      <w:r w:rsidR="00B428EC" w:rsidRPr="007E48F7">
        <w:rPr>
          <w:color w:val="000000"/>
        </w:rPr>
        <w:t xml:space="preserve"> judges in </w:t>
      </w:r>
      <w:r w:rsidR="00B428EC">
        <w:rPr>
          <w:color w:val="000000"/>
        </w:rPr>
        <w:t>[</w:t>
      </w:r>
      <w:r w:rsidR="00137946">
        <w:rPr>
          <w:color w:val="000000"/>
        </w:rPr>
        <w:t>defenda</w:t>
      </w:r>
      <w:r w:rsidR="00B428EC">
        <w:rPr>
          <w:color w:val="000000"/>
        </w:rPr>
        <w:t>nt court]</w:t>
      </w:r>
      <w:r w:rsidR="00B428EC" w:rsidRPr="007E48F7">
        <w:rPr>
          <w:color w:val="000000"/>
        </w:rPr>
        <w:t xml:space="preserve">, and the showing that </w:t>
      </w:r>
      <w:proofErr w:type="gramStart"/>
      <w:r w:rsidR="00B428EC" w:rsidRPr="007E48F7">
        <w:rPr>
          <w:color w:val="000000"/>
        </w:rPr>
        <w:t>a large number of</w:t>
      </w:r>
      <w:proofErr w:type="gramEnd"/>
      <w:r w:rsidR="00B428EC" w:rsidRPr="007E48F7">
        <w:rPr>
          <w:color w:val="000000"/>
        </w:rPr>
        <w:t xml:space="preserve"> civil cases were pending does not excuse the failure to assign a sufficient number of judges to handle criminal matters</w:t>
      </w:r>
      <w:r w:rsidR="00B428EC">
        <w:rPr>
          <w:color w:val="000000" w:themeColor="text1"/>
        </w:rPr>
        <w:t>.”</w:t>
      </w:r>
      <w:r w:rsidR="005C147C">
        <w:rPr>
          <w:color w:val="000000" w:themeColor="text1"/>
        </w:rPr>
        <w:t xml:space="preserve"> (</w:t>
      </w:r>
      <w:r w:rsidR="005C147C">
        <w:rPr>
          <w:i/>
          <w:iCs/>
          <w:color w:val="000000" w:themeColor="text1"/>
        </w:rPr>
        <w:t xml:space="preserve">Sigle v. Superior Court </w:t>
      </w:r>
      <w:r w:rsidR="005C147C">
        <w:rPr>
          <w:color w:val="000000" w:themeColor="text1"/>
        </w:rPr>
        <w:t>(1954) 125</w:t>
      </w:r>
      <w:r w:rsidR="00530062">
        <w:rPr>
          <w:color w:val="000000" w:themeColor="text1"/>
        </w:rPr>
        <w:t> </w:t>
      </w:r>
      <w:r w:rsidR="005C147C">
        <w:rPr>
          <w:color w:val="000000" w:themeColor="text1"/>
        </w:rPr>
        <w:t xml:space="preserve">Cal.App.2d 747, 748–749, </w:t>
      </w:r>
      <w:r w:rsidR="00C17A18">
        <w:rPr>
          <w:color w:val="000000" w:themeColor="text1"/>
        </w:rPr>
        <w:t>cit</w:t>
      </w:r>
      <w:r w:rsidR="005C147C">
        <w:rPr>
          <w:color w:val="000000" w:themeColor="text1"/>
        </w:rPr>
        <w:t xml:space="preserve">ing </w:t>
      </w:r>
      <w:r w:rsidR="005C147C">
        <w:rPr>
          <w:i/>
          <w:iCs/>
          <w:color w:val="000000" w:themeColor="text1"/>
        </w:rPr>
        <w:t xml:space="preserve">Dearth v. Superior Court </w:t>
      </w:r>
      <w:r w:rsidR="005C147C">
        <w:rPr>
          <w:color w:val="000000" w:themeColor="text1"/>
        </w:rPr>
        <w:t xml:space="preserve">(1940) </w:t>
      </w:r>
      <w:r w:rsidR="003B4A43">
        <w:rPr>
          <w:color w:val="000000" w:themeColor="text1"/>
        </w:rPr>
        <w:t>40 Cal.App.2d 56, 59.)</w:t>
      </w:r>
    </w:p>
    <w:p w14:paraId="13CC1674" w14:textId="0AB36D7B" w:rsidR="008A40D9" w:rsidRDefault="003D06AD" w:rsidP="003F5F13">
      <w:pPr>
        <w:autoSpaceDE w:val="0"/>
        <w:autoSpaceDN w:val="0"/>
        <w:adjustRightInd w:val="0"/>
        <w:spacing w:line="360" w:lineRule="auto"/>
        <w:contextualSpacing/>
      </w:pPr>
      <w:r>
        <w:rPr>
          <w:color w:val="000000"/>
        </w:rPr>
        <w:tab/>
      </w:r>
      <w:r w:rsidR="25975A6A">
        <w:rPr>
          <w:color w:val="000000"/>
        </w:rPr>
        <w:t xml:space="preserve">The </w:t>
      </w:r>
      <w:r w:rsidR="25975A6A" w:rsidRPr="797FBB80">
        <w:rPr>
          <w:i/>
          <w:iCs/>
          <w:color w:val="000000"/>
        </w:rPr>
        <w:t>Engram</w:t>
      </w:r>
      <w:r w:rsidR="25975A6A">
        <w:rPr>
          <w:color w:val="000000"/>
        </w:rPr>
        <w:t xml:space="preserve"> court found that, unlike the trial courts in </w:t>
      </w:r>
      <w:r w:rsidR="25975A6A" w:rsidRPr="797FBB80">
        <w:rPr>
          <w:i/>
          <w:iCs/>
          <w:color w:val="000000"/>
        </w:rPr>
        <w:t>Echols</w:t>
      </w:r>
      <w:r w:rsidR="00BE1AF8">
        <w:rPr>
          <w:color w:val="000000"/>
        </w:rPr>
        <w:t xml:space="preserve">, </w:t>
      </w:r>
      <w:r w:rsidR="00BE1AF8">
        <w:rPr>
          <w:i/>
          <w:iCs/>
          <w:color w:val="000000"/>
        </w:rPr>
        <w:t>Dearth</w:t>
      </w:r>
      <w:r w:rsidR="00BE1AF8">
        <w:rPr>
          <w:color w:val="000000"/>
        </w:rPr>
        <w:t>,</w:t>
      </w:r>
      <w:r w:rsidR="25975A6A">
        <w:rPr>
          <w:color w:val="000000"/>
        </w:rPr>
        <w:t xml:space="preserve"> </w:t>
      </w:r>
      <w:r w:rsidR="00917D77" w:rsidRPr="00247680">
        <w:rPr>
          <w:i/>
          <w:iCs/>
          <w:color w:val="000000"/>
        </w:rPr>
        <w:t>Sigle</w:t>
      </w:r>
      <w:r w:rsidR="00917D77">
        <w:rPr>
          <w:color w:val="000000"/>
        </w:rPr>
        <w:t xml:space="preserve">, </w:t>
      </w:r>
      <w:r w:rsidR="25975A6A">
        <w:rPr>
          <w:color w:val="000000"/>
        </w:rPr>
        <w:t xml:space="preserve">and </w:t>
      </w:r>
      <w:r w:rsidR="00BE1AF8">
        <w:rPr>
          <w:color w:val="000000"/>
        </w:rPr>
        <w:t>a</w:t>
      </w:r>
      <w:r w:rsidR="00522E08">
        <w:rPr>
          <w:color w:val="000000"/>
        </w:rPr>
        <w:t>nother</w:t>
      </w:r>
      <w:r w:rsidR="00BE1AF8">
        <w:rPr>
          <w:color w:val="000000"/>
        </w:rPr>
        <w:t xml:space="preserve"> </w:t>
      </w:r>
      <w:r w:rsidR="25975A6A">
        <w:rPr>
          <w:color w:val="000000"/>
        </w:rPr>
        <w:t>similar case</w:t>
      </w:r>
      <w:r w:rsidR="00172126">
        <w:rPr>
          <w:color w:val="000000"/>
        </w:rPr>
        <w:t>,</w:t>
      </w:r>
      <w:r>
        <w:rPr>
          <w:rStyle w:val="FootnoteReference"/>
          <w:color w:val="000000"/>
        </w:rPr>
        <w:footnoteReference w:id="20"/>
      </w:r>
      <w:r w:rsidR="25975A6A">
        <w:rPr>
          <w:color w:val="000000"/>
        </w:rPr>
        <w:t xml:space="preserve"> </w:t>
      </w:r>
      <w:r w:rsidR="25975A6A" w:rsidRPr="002E35AC">
        <w:rPr>
          <w:color w:val="000000"/>
        </w:rPr>
        <w:t xml:space="preserve">the Riverside </w:t>
      </w:r>
      <w:r w:rsidR="25975A6A">
        <w:rPr>
          <w:color w:val="000000"/>
        </w:rPr>
        <w:t>c</w:t>
      </w:r>
      <w:r w:rsidR="25975A6A" w:rsidRPr="002E35AC">
        <w:rPr>
          <w:color w:val="000000"/>
        </w:rPr>
        <w:t xml:space="preserve">ourt </w:t>
      </w:r>
      <w:r w:rsidR="25975A6A">
        <w:rPr>
          <w:color w:val="000000"/>
        </w:rPr>
        <w:t>had not “</w:t>
      </w:r>
      <w:r w:rsidR="25975A6A" w:rsidRPr="002E35AC">
        <w:rPr>
          <w:color w:val="000000"/>
        </w:rPr>
        <w:t xml:space="preserve">shortchanged </w:t>
      </w:r>
      <w:r w:rsidR="25975A6A" w:rsidRPr="002E35AC">
        <w:rPr>
          <w:color w:val="000000"/>
        </w:rPr>
        <w:lastRenderedPageBreak/>
        <w:t>criminal cases by reserving an unreasonably high number or proportion of judges or courtrooms exclusively for the trial of civil matters</w:t>
      </w:r>
      <w:r w:rsidR="25975A6A">
        <w:rPr>
          <w:color w:val="000000"/>
        </w:rPr>
        <w:t>”; rather, it had “</w:t>
      </w:r>
      <w:r w:rsidR="25975A6A" w:rsidRPr="002E35AC">
        <w:rPr>
          <w:color w:val="000000"/>
        </w:rPr>
        <w:t>continually granted substantial precedence to criminal cases over civil cases, utilizing virtually all of the court</w:t>
      </w:r>
      <w:r w:rsidR="25975A6A">
        <w:rPr>
          <w:color w:val="000000"/>
        </w:rPr>
        <w:t>’</w:t>
      </w:r>
      <w:r w:rsidR="25975A6A" w:rsidRPr="002E35AC">
        <w:rPr>
          <w:color w:val="000000"/>
        </w:rPr>
        <w:t>s ordinary civil department judges and courtrooms for the trial of criminal cases.</w:t>
      </w:r>
      <w:r w:rsidR="25975A6A">
        <w:rPr>
          <w:color w:val="000000"/>
        </w:rPr>
        <w:t>” (</w:t>
      </w:r>
      <w:r w:rsidR="1F19D4B5" w:rsidRPr="797FBB80">
        <w:rPr>
          <w:i/>
          <w:iCs/>
          <w:color w:val="000000"/>
        </w:rPr>
        <w:t xml:space="preserve">Engram, supra, </w:t>
      </w:r>
      <w:r w:rsidR="00D46545">
        <w:rPr>
          <w:color w:val="000000"/>
        </w:rPr>
        <w:t xml:space="preserve">50 Cal.4th </w:t>
      </w:r>
      <w:r w:rsidR="25975A6A">
        <w:rPr>
          <w:color w:val="000000"/>
        </w:rPr>
        <w:t>at p. 1157.)</w:t>
      </w:r>
    </w:p>
    <w:p w14:paraId="7F93AB3F" w14:textId="78737443" w:rsidR="0080647E" w:rsidRDefault="003D06AD" w:rsidP="003F5F13">
      <w:pPr>
        <w:autoSpaceDE w:val="0"/>
        <w:autoSpaceDN w:val="0"/>
        <w:adjustRightInd w:val="0"/>
        <w:spacing w:line="360" w:lineRule="auto"/>
        <w:contextualSpacing/>
        <w:rPr>
          <w:color w:val="000000"/>
        </w:rPr>
      </w:pPr>
      <w:r>
        <w:tab/>
      </w:r>
      <w:r w:rsidR="00976933">
        <w:t>T</w:t>
      </w:r>
      <w:r w:rsidR="0B249FAD">
        <w:t xml:space="preserve">he </w:t>
      </w:r>
      <w:r w:rsidR="0B249FAD" w:rsidRPr="797FBB80">
        <w:rPr>
          <w:i/>
          <w:iCs/>
        </w:rPr>
        <w:t xml:space="preserve">Engram </w:t>
      </w:r>
      <w:r w:rsidR="0B249FAD">
        <w:t>court</w:t>
      </w:r>
      <w:r w:rsidR="5446F1B0">
        <w:t xml:space="preserve"> </w:t>
      </w:r>
      <w:r w:rsidR="4FF82FA6">
        <w:t>also</w:t>
      </w:r>
      <w:r w:rsidR="0579D94F">
        <w:t xml:space="preserve"> </w:t>
      </w:r>
      <w:r w:rsidR="25975A6A">
        <w:rPr>
          <w:color w:val="000000"/>
        </w:rPr>
        <w:t>criticized</w:t>
      </w:r>
      <w:r w:rsidR="73A5B280">
        <w:rPr>
          <w:color w:val="000000"/>
        </w:rPr>
        <w:t xml:space="preserve"> </w:t>
      </w:r>
      <w:r w:rsidR="001236D4">
        <w:rPr>
          <w:color w:val="000000"/>
        </w:rPr>
        <w:t xml:space="preserve">other </w:t>
      </w:r>
      <w:r w:rsidR="25975A6A">
        <w:rPr>
          <w:color w:val="000000"/>
        </w:rPr>
        <w:t xml:space="preserve">decisions for </w:t>
      </w:r>
      <w:r w:rsidR="610FD9E3">
        <w:rPr>
          <w:color w:val="000000"/>
        </w:rPr>
        <w:t xml:space="preserve">their </w:t>
      </w:r>
      <w:r w:rsidR="25975A6A">
        <w:rPr>
          <w:color w:val="000000"/>
        </w:rPr>
        <w:t>“</w:t>
      </w:r>
      <w:r w:rsidR="25975A6A" w:rsidRPr="002E35AC">
        <w:rPr>
          <w:color w:val="000000"/>
        </w:rPr>
        <w:t>fail[</w:t>
      </w:r>
      <w:proofErr w:type="spellStart"/>
      <w:r w:rsidR="0FBFD8BB" w:rsidRPr="002E35AC">
        <w:rPr>
          <w:color w:val="000000"/>
        </w:rPr>
        <w:t>ure</w:t>
      </w:r>
      <w:proofErr w:type="spellEnd"/>
      <w:r w:rsidR="25975A6A" w:rsidRPr="002E35AC">
        <w:rPr>
          <w:color w:val="000000"/>
        </w:rPr>
        <w:t xml:space="preserve">] to recognize that the question whether a trial court’s policies and practices with regard to the processing of criminal and civil matters violate the provisions of </w:t>
      </w:r>
      <w:r w:rsidR="25975A6A" w:rsidRPr="007044F5">
        <w:rPr>
          <w:color w:val="000000"/>
        </w:rPr>
        <w:t>section 1050</w:t>
      </w:r>
      <w:r w:rsidR="25975A6A" w:rsidRPr="002E35AC">
        <w:rPr>
          <w:color w:val="000000"/>
        </w:rPr>
        <w:t xml:space="preserve"> is </w:t>
      </w:r>
      <w:r w:rsidR="25975A6A" w:rsidRPr="001579FD">
        <w:rPr>
          <w:i/>
          <w:color w:val="000000"/>
        </w:rPr>
        <w:t>separate and distinct</w:t>
      </w:r>
      <w:r w:rsidR="25975A6A" w:rsidRPr="002E35AC">
        <w:rPr>
          <w:color w:val="000000"/>
        </w:rPr>
        <w:t xml:space="preserve"> from the </w:t>
      </w:r>
      <w:r w:rsidR="25975A6A" w:rsidRPr="00A25524">
        <w:rPr>
          <w:color w:val="000000"/>
          <w:spacing w:val="-2"/>
        </w:rPr>
        <w:t>question whether good cause exists to delay a criminal defendant’s</w:t>
      </w:r>
      <w:r w:rsidR="25975A6A" w:rsidRPr="002E35AC">
        <w:rPr>
          <w:color w:val="000000"/>
        </w:rPr>
        <w:t xml:space="preserve"> trial for purposes of the statutory speedy-trial provisions of </w:t>
      </w:r>
      <w:r w:rsidR="25975A6A" w:rsidRPr="004B5087">
        <w:rPr>
          <w:color w:val="000000"/>
        </w:rPr>
        <w:t>section 1382</w:t>
      </w:r>
      <w:r w:rsidR="25975A6A" w:rsidRPr="002E35AC">
        <w:rPr>
          <w:color w:val="000000"/>
        </w:rPr>
        <w:t>.</w:t>
      </w:r>
      <w:r w:rsidR="25975A6A">
        <w:rPr>
          <w:color w:val="000000"/>
        </w:rPr>
        <w:t>” (</w:t>
      </w:r>
      <w:r w:rsidR="34CC8366" w:rsidRPr="797FBB80">
        <w:rPr>
          <w:i/>
          <w:iCs/>
          <w:color w:val="000000"/>
        </w:rPr>
        <w:t xml:space="preserve">Engram, supra, </w:t>
      </w:r>
      <w:r w:rsidR="002428FE">
        <w:rPr>
          <w:color w:val="000000"/>
        </w:rPr>
        <w:t xml:space="preserve">50 Cal.4th </w:t>
      </w:r>
      <w:r w:rsidR="25975A6A">
        <w:rPr>
          <w:color w:val="000000"/>
        </w:rPr>
        <w:t>at p. 1160</w:t>
      </w:r>
      <w:r w:rsidR="3565B218" w:rsidRPr="797FBB80">
        <w:rPr>
          <w:color w:val="000000" w:themeColor="text1"/>
        </w:rPr>
        <w:t>, italics added</w:t>
      </w:r>
      <w:r w:rsidR="25975A6A">
        <w:rPr>
          <w:color w:val="000000"/>
        </w:rPr>
        <w:t>.) “[E]</w:t>
      </w:r>
      <w:proofErr w:type="spellStart"/>
      <w:r w:rsidR="25975A6A" w:rsidRPr="002E35AC">
        <w:rPr>
          <w:color w:val="000000"/>
        </w:rPr>
        <w:t>ven</w:t>
      </w:r>
      <w:proofErr w:type="spellEnd"/>
      <w:r w:rsidR="3C803195">
        <w:rPr>
          <w:color w:val="000000"/>
        </w:rPr>
        <w:t xml:space="preserve"> . . .</w:t>
      </w:r>
      <w:r w:rsidR="25975A6A" w:rsidRPr="002E35AC">
        <w:rPr>
          <w:color w:val="000000"/>
        </w:rPr>
        <w:t xml:space="preserve"> when there is adequate justification for the trial court’s decision not to preempt the trial of a civil matter in favor of a last-day criminal proceeding</w:t>
      </w:r>
      <w:r w:rsidR="3E2B21B4">
        <w:rPr>
          <w:color w:val="000000"/>
        </w:rPr>
        <w:t>,</w:t>
      </w:r>
      <w:r w:rsidR="0FD2EAEF">
        <w:rPr>
          <w:color w:val="000000"/>
        </w:rPr>
        <w:t>”</w:t>
      </w:r>
      <w:r w:rsidR="50CE6DDB">
        <w:rPr>
          <w:color w:val="000000"/>
        </w:rPr>
        <w:t xml:space="preserve"> </w:t>
      </w:r>
      <w:r w:rsidR="0B744C0A">
        <w:rPr>
          <w:color w:val="000000"/>
        </w:rPr>
        <w:t>that is</w:t>
      </w:r>
      <w:r w:rsidR="25975A6A" w:rsidRPr="002E35AC">
        <w:rPr>
          <w:color w:val="000000"/>
        </w:rPr>
        <w:t>, no violation of section 1050</w:t>
      </w:r>
      <w:r w:rsidR="71ECB5D6">
        <w:rPr>
          <w:color w:val="000000"/>
        </w:rPr>
        <w:t xml:space="preserve">, </w:t>
      </w:r>
      <w:r w:rsidR="25975A6A" w:rsidRPr="002E35AC">
        <w:rPr>
          <w:color w:val="000000"/>
        </w:rPr>
        <w:t xml:space="preserve">“it still may be the case that the lack of a number of judges or courtrooms sufficient to try the criminal case within the presumptive statutory period will not constitute good cause for purposes of </w:t>
      </w:r>
      <w:r w:rsidR="25975A6A">
        <w:rPr>
          <w:color w:val="000000"/>
        </w:rPr>
        <w:t xml:space="preserve">section 1382 </w:t>
      </w:r>
      <w:r w:rsidR="25975A6A" w:rsidRPr="002E35AC">
        <w:rPr>
          <w:color w:val="000000"/>
        </w:rPr>
        <w:t>and thus will not be an appropriate basis for refusing to dismiss the criminal proceeding under</w:t>
      </w:r>
      <w:r w:rsidR="25975A6A">
        <w:rPr>
          <w:color w:val="000000"/>
        </w:rPr>
        <w:t xml:space="preserve"> section 1382</w:t>
      </w:r>
      <w:r w:rsidR="25975A6A" w:rsidRPr="002E35AC">
        <w:rPr>
          <w:color w:val="000000"/>
        </w:rPr>
        <w:t>.</w:t>
      </w:r>
      <w:r w:rsidR="25975A6A">
        <w:rPr>
          <w:color w:val="000000"/>
        </w:rPr>
        <w:t>” (</w:t>
      </w:r>
      <w:r w:rsidR="39882279" w:rsidRPr="797FBB80">
        <w:rPr>
          <w:i/>
          <w:iCs/>
          <w:color w:val="000000"/>
        </w:rPr>
        <w:t>Ibid</w:t>
      </w:r>
      <w:r w:rsidR="25975A6A">
        <w:rPr>
          <w:color w:val="000000"/>
        </w:rPr>
        <w:t>.)</w:t>
      </w:r>
      <w:r w:rsidR="0B249FAD">
        <w:rPr>
          <w:color w:val="000000"/>
        </w:rPr>
        <w:t xml:space="preserve"> </w:t>
      </w:r>
      <w:r w:rsidR="39882279">
        <w:rPr>
          <w:color w:val="000000"/>
        </w:rPr>
        <w:t>A</w:t>
      </w:r>
      <w:r w:rsidR="0B249FAD">
        <w:rPr>
          <w:color w:val="000000"/>
        </w:rPr>
        <w:t xml:space="preserve">s discussed below (see pp. </w:t>
      </w:r>
      <w:r w:rsidR="00145BD4">
        <w:rPr>
          <w:color w:val="000000"/>
        </w:rPr>
        <w:t>3</w:t>
      </w:r>
      <w:r w:rsidR="00717944">
        <w:rPr>
          <w:color w:val="000000"/>
        </w:rPr>
        <w:t>2</w:t>
      </w:r>
      <w:r w:rsidR="00145BD4">
        <w:rPr>
          <w:color w:val="000000"/>
        </w:rPr>
        <w:t>–35,</w:t>
      </w:r>
      <w:r w:rsidR="0B249FAD">
        <w:rPr>
          <w:color w:val="000000"/>
        </w:rPr>
        <w:t xml:space="preserve"> </w:t>
      </w:r>
      <w:r w:rsidR="0B249FAD" w:rsidRPr="797FBB80">
        <w:rPr>
          <w:i/>
          <w:iCs/>
          <w:color w:val="000000"/>
        </w:rPr>
        <w:t>post</w:t>
      </w:r>
      <w:r w:rsidR="0B249FAD">
        <w:rPr>
          <w:color w:val="000000"/>
        </w:rPr>
        <w:t>), defendants</w:t>
      </w:r>
      <w:r w:rsidR="39882279">
        <w:rPr>
          <w:color w:val="000000"/>
        </w:rPr>
        <w:t xml:space="preserve"> similarly </w:t>
      </w:r>
      <w:r w:rsidR="0B249FAD">
        <w:rPr>
          <w:color w:val="000000"/>
        </w:rPr>
        <w:t>conflat</w:t>
      </w:r>
      <w:r w:rsidR="39882279">
        <w:rPr>
          <w:color w:val="000000"/>
        </w:rPr>
        <w:t xml:space="preserve">e </w:t>
      </w:r>
      <w:r w:rsidR="0B249FAD">
        <w:rPr>
          <w:color w:val="000000"/>
        </w:rPr>
        <w:t>the</w:t>
      </w:r>
      <w:r w:rsidR="00617EE0">
        <w:rPr>
          <w:color w:val="000000"/>
        </w:rPr>
        <w:t>se</w:t>
      </w:r>
      <w:r w:rsidR="0B249FAD">
        <w:rPr>
          <w:color w:val="000000"/>
        </w:rPr>
        <w:t xml:space="preserve"> </w:t>
      </w:r>
      <w:r w:rsidR="0C9CB9D8" w:rsidRPr="797FBB80">
        <w:rPr>
          <w:color w:val="000000" w:themeColor="text1"/>
        </w:rPr>
        <w:t>inquir</w:t>
      </w:r>
      <w:r w:rsidR="00617EE0">
        <w:rPr>
          <w:color w:val="000000" w:themeColor="text1"/>
        </w:rPr>
        <w:t>ies</w:t>
      </w:r>
      <w:r w:rsidR="0B249FAD">
        <w:rPr>
          <w:color w:val="000000"/>
        </w:rPr>
        <w:t>.</w:t>
      </w:r>
    </w:p>
    <w:p w14:paraId="5F1D9F99" w14:textId="4A992628" w:rsidR="0080647E" w:rsidRDefault="003D06AD" w:rsidP="003F5F13">
      <w:pPr>
        <w:autoSpaceDE w:val="0"/>
        <w:autoSpaceDN w:val="0"/>
        <w:adjustRightInd w:val="0"/>
        <w:spacing w:line="360" w:lineRule="auto"/>
        <w:contextualSpacing/>
        <w:rPr>
          <w:color w:val="000000"/>
        </w:rPr>
      </w:pPr>
      <w:r>
        <w:rPr>
          <w:color w:val="000000"/>
        </w:rPr>
        <w:tab/>
      </w:r>
      <w:r w:rsidR="25975A6A">
        <w:rPr>
          <w:color w:val="000000"/>
        </w:rPr>
        <w:t xml:space="preserve">The </w:t>
      </w:r>
      <w:r w:rsidR="25975A6A" w:rsidRPr="797FBB80">
        <w:rPr>
          <w:i/>
          <w:iCs/>
          <w:color w:val="000000"/>
        </w:rPr>
        <w:t xml:space="preserve">Engram </w:t>
      </w:r>
      <w:r w:rsidR="25975A6A">
        <w:rPr>
          <w:color w:val="000000"/>
        </w:rPr>
        <w:t xml:space="preserve">court then rejected the district attorney’s argument </w:t>
      </w:r>
      <w:r w:rsidR="25975A6A" w:rsidRPr="00184658">
        <w:rPr>
          <w:color w:val="000000"/>
          <w:spacing w:val="-2"/>
        </w:rPr>
        <w:t xml:space="preserve">that the </w:t>
      </w:r>
      <w:r w:rsidR="25975A6A">
        <w:rPr>
          <w:color w:val="000000"/>
          <w:spacing w:val="-2"/>
        </w:rPr>
        <w:t xml:space="preserve">lack </w:t>
      </w:r>
      <w:r w:rsidR="25975A6A" w:rsidRPr="00184658">
        <w:rPr>
          <w:color w:val="000000"/>
          <w:spacing w:val="-2"/>
        </w:rPr>
        <w:t>of an available courtroom</w:t>
      </w:r>
      <w:r w:rsidR="25975A6A">
        <w:rPr>
          <w:color w:val="000000"/>
        </w:rPr>
        <w:t xml:space="preserve"> constituted good cause under section 1382 to </w:t>
      </w:r>
      <w:r w:rsidR="45DA7959">
        <w:rPr>
          <w:color w:val="000000"/>
        </w:rPr>
        <w:t xml:space="preserve">delay </w:t>
      </w:r>
      <w:r w:rsidR="25975A6A">
        <w:rPr>
          <w:color w:val="000000"/>
        </w:rPr>
        <w:t>the trial. (</w:t>
      </w:r>
      <w:r w:rsidR="49D1E772" w:rsidRPr="797FBB80">
        <w:rPr>
          <w:i/>
          <w:iCs/>
          <w:color w:val="000000"/>
        </w:rPr>
        <w:t>Engram, supra</w:t>
      </w:r>
      <w:r w:rsidR="49D1E772">
        <w:rPr>
          <w:color w:val="000000"/>
        </w:rPr>
        <w:t xml:space="preserve">, </w:t>
      </w:r>
      <w:r w:rsidR="25975A6A">
        <w:rPr>
          <w:color w:val="000000"/>
        </w:rPr>
        <w:t>50 Cal.4th at pp. 1162–1165.) While the Riverside court</w:t>
      </w:r>
      <w:r w:rsidR="7A5EC3EA">
        <w:rPr>
          <w:color w:val="000000"/>
        </w:rPr>
        <w:t>’s organizational and workload policies</w:t>
      </w:r>
      <w:r w:rsidR="25975A6A">
        <w:rPr>
          <w:color w:val="000000"/>
        </w:rPr>
        <w:t xml:space="preserve"> had not violated </w:t>
      </w:r>
      <w:r w:rsidR="25975A6A">
        <w:rPr>
          <w:color w:val="000000"/>
        </w:rPr>
        <w:lastRenderedPageBreak/>
        <w:t xml:space="preserve">section 1050(a), the </w:t>
      </w:r>
      <w:r w:rsidR="0B210DBB">
        <w:rPr>
          <w:color w:val="000000"/>
        </w:rPr>
        <w:t>inability to commence trial</w:t>
      </w:r>
      <w:r w:rsidR="25975A6A">
        <w:rPr>
          <w:color w:val="000000"/>
        </w:rPr>
        <w:t xml:space="preserve"> was </w:t>
      </w:r>
      <w:r w:rsidR="00A52DE0">
        <w:rPr>
          <w:color w:val="000000"/>
        </w:rPr>
        <w:t xml:space="preserve">nonetheless </w:t>
      </w:r>
      <w:r w:rsidR="25975A6A">
        <w:rPr>
          <w:color w:val="000000"/>
        </w:rPr>
        <w:t>attributable to the state</w:t>
      </w:r>
      <w:r w:rsidR="00A52DE0">
        <w:rPr>
          <w:color w:val="000000"/>
        </w:rPr>
        <w:t>’s failure to supply</w:t>
      </w:r>
      <w:r w:rsidR="2E061862">
        <w:rPr>
          <w:color w:val="000000"/>
        </w:rPr>
        <w:t xml:space="preserve"> </w:t>
      </w:r>
      <w:r w:rsidR="25975A6A">
        <w:rPr>
          <w:color w:val="000000"/>
        </w:rPr>
        <w:t xml:space="preserve">sufficient </w:t>
      </w:r>
      <w:r w:rsidR="4F8B234B">
        <w:rPr>
          <w:color w:val="000000"/>
        </w:rPr>
        <w:t xml:space="preserve">judges and courtrooms </w:t>
      </w:r>
      <w:r w:rsidR="25975A6A">
        <w:rPr>
          <w:color w:val="000000"/>
        </w:rPr>
        <w:t>to timely try criminal cases. (</w:t>
      </w:r>
      <w:r w:rsidR="25975A6A" w:rsidRPr="797FBB80">
        <w:rPr>
          <w:i/>
          <w:iCs/>
          <w:color w:val="000000"/>
        </w:rPr>
        <w:t>Id.</w:t>
      </w:r>
      <w:r w:rsidR="25975A6A">
        <w:rPr>
          <w:color w:val="000000"/>
        </w:rPr>
        <w:t xml:space="preserve"> at pp. 116</w:t>
      </w:r>
      <w:r w:rsidR="5FBADE63">
        <w:rPr>
          <w:color w:val="000000"/>
        </w:rPr>
        <w:t>4</w:t>
      </w:r>
      <w:r w:rsidR="25975A6A">
        <w:rPr>
          <w:color w:val="000000"/>
        </w:rPr>
        <w:t>–116</w:t>
      </w:r>
      <w:r w:rsidR="5FBADE63">
        <w:rPr>
          <w:color w:val="000000"/>
        </w:rPr>
        <w:t>5</w:t>
      </w:r>
      <w:r w:rsidR="25975A6A">
        <w:rPr>
          <w:color w:val="000000"/>
        </w:rPr>
        <w:t>.)</w:t>
      </w:r>
      <w:r w:rsidR="0ECC6424">
        <w:rPr>
          <w:color w:val="000000"/>
        </w:rPr>
        <w:t xml:space="preserve"> </w:t>
      </w:r>
      <w:r w:rsidR="51E8315D">
        <w:rPr>
          <w:color w:val="000000"/>
        </w:rPr>
        <w:t xml:space="preserve">While </w:t>
      </w:r>
      <w:r w:rsidR="30D1C120">
        <w:rPr>
          <w:color w:val="000000"/>
        </w:rPr>
        <w:t>this</w:t>
      </w:r>
      <w:r w:rsidR="0ECC6424" w:rsidRPr="002E35AC">
        <w:rPr>
          <w:color w:val="000000"/>
        </w:rPr>
        <w:t xml:space="preserve"> </w:t>
      </w:r>
      <w:r w:rsidR="25975A6A">
        <w:rPr>
          <w:color w:val="000000"/>
        </w:rPr>
        <w:t>“</w:t>
      </w:r>
      <w:r w:rsidR="25975A6A" w:rsidRPr="002E35AC">
        <w:rPr>
          <w:color w:val="000000"/>
        </w:rPr>
        <w:t>might constitute good cause to</w:t>
      </w:r>
      <w:r w:rsidR="25975A6A" w:rsidRPr="000146D1">
        <w:rPr>
          <w:color w:val="000000"/>
          <w:spacing w:val="-2"/>
        </w:rPr>
        <w:t xml:space="preserve"> justify the delay of trial under section 1382 in ‘exceptional circumstances,</w:t>
      </w:r>
      <w:proofErr w:type="gramStart"/>
      <w:r w:rsidR="25975A6A" w:rsidRPr="000146D1">
        <w:rPr>
          <w:color w:val="000000"/>
          <w:spacing w:val="-2"/>
        </w:rPr>
        <w:t>’</w:t>
      </w:r>
      <w:r w:rsidR="0418FBEA" w:rsidRPr="000146D1">
        <w:rPr>
          <w:color w:val="000000"/>
          <w:spacing w:val="-2"/>
        </w:rPr>
        <w:t> </w:t>
      </w:r>
      <w:r w:rsidR="25975A6A" w:rsidRPr="000146D1">
        <w:rPr>
          <w:color w:val="000000"/>
          <w:spacing w:val="-2"/>
        </w:rPr>
        <w:t>”</w:t>
      </w:r>
      <w:proofErr w:type="gramEnd"/>
      <w:r w:rsidR="25975A6A">
        <w:rPr>
          <w:color w:val="000000"/>
          <w:spacing w:val="-2"/>
        </w:rPr>
        <w:t xml:space="preserve"> </w:t>
      </w:r>
      <w:r w:rsidR="1C62C8E9">
        <w:rPr>
          <w:color w:val="000000"/>
          <w:spacing w:val="-2"/>
        </w:rPr>
        <w:t>(</w:t>
      </w:r>
      <w:r w:rsidR="43700BC9">
        <w:rPr>
          <w:color w:val="000000"/>
          <w:spacing w:val="-2"/>
        </w:rPr>
        <w:t>which it described as</w:t>
      </w:r>
      <w:r w:rsidR="6665A25A">
        <w:rPr>
          <w:color w:val="000000"/>
          <w:spacing w:val="-2"/>
        </w:rPr>
        <w:t xml:space="preserve"> “unique, nonrecurring events</w:t>
      </w:r>
      <w:r w:rsidR="6ECDC846">
        <w:rPr>
          <w:color w:val="000000"/>
          <w:spacing w:val="-2"/>
        </w:rPr>
        <w:t xml:space="preserve">” </w:t>
      </w:r>
      <w:r w:rsidR="6043083D">
        <w:rPr>
          <w:color w:val="000000"/>
          <w:spacing w:val="-2"/>
        </w:rPr>
        <w:t xml:space="preserve">that </w:t>
      </w:r>
      <w:r w:rsidR="6ECDC846">
        <w:rPr>
          <w:color w:val="000000"/>
          <w:spacing w:val="-2"/>
        </w:rPr>
        <w:t>produce “an inordinate number of cases”)</w:t>
      </w:r>
      <w:r w:rsidR="79AF21DC">
        <w:rPr>
          <w:color w:val="000000"/>
          <w:spacing w:val="-2"/>
        </w:rPr>
        <w:t>,</w:t>
      </w:r>
      <w:r w:rsidR="25975A6A">
        <w:rPr>
          <w:color w:val="000000"/>
        </w:rPr>
        <w:t xml:space="preserve"> </w:t>
      </w:r>
      <w:r w:rsidR="0579D94F">
        <w:rPr>
          <w:color w:val="000000"/>
        </w:rPr>
        <w:t xml:space="preserve">the Supreme Court </w:t>
      </w:r>
      <w:r w:rsidR="25975A6A">
        <w:rPr>
          <w:color w:val="000000"/>
        </w:rPr>
        <w:t>concluded</w:t>
      </w:r>
      <w:r w:rsidR="56DD7E7D">
        <w:rPr>
          <w:color w:val="000000"/>
        </w:rPr>
        <w:t xml:space="preserve"> that</w:t>
      </w:r>
      <w:r w:rsidR="25975A6A">
        <w:rPr>
          <w:color w:val="000000"/>
        </w:rPr>
        <w:t xml:space="preserve"> “</w:t>
      </w:r>
      <w:r w:rsidR="25975A6A" w:rsidRPr="002E35AC">
        <w:rPr>
          <w:color w:val="000000"/>
        </w:rPr>
        <w:t xml:space="preserve">delay arising out of </w:t>
      </w:r>
      <w:r w:rsidR="25975A6A" w:rsidRPr="000079E9">
        <w:rPr>
          <w:i/>
          <w:color w:val="000000"/>
        </w:rPr>
        <w:t>chronic</w:t>
      </w:r>
      <w:r w:rsidR="25975A6A" w:rsidRPr="002E35AC">
        <w:rPr>
          <w:color w:val="000000"/>
        </w:rPr>
        <w:t xml:space="preserve"> congestion of a court’s trial docket cannot be excused</w:t>
      </w:r>
      <w:r w:rsidR="25975A6A">
        <w:rPr>
          <w:color w:val="000000"/>
        </w:rPr>
        <w:t>.” (</w:t>
      </w:r>
      <w:r w:rsidR="25975A6A" w:rsidRPr="797FBB80">
        <w:rPr>
          <w:i/>
          <w:iCs/>
          <w:color w:val="000000"/>
        </w:rPr>
        <w:t>Id.</w:t>
      </w:r>
      <w:r w:rsidR="25975A6A">
        <w:rPr>
          <w:color w:val="000000"/>
        </w:rPr>
        <w:t xml:space="preserve"> at </w:t>
      </w:r>
      <w:r w:rsidR="000629E2">
        <w:rPr>
          <w:color w:val="000000"/>
        </w:rPr>
        <w:t>p</w:t>
      </w:r>
      <w:r w:rsidR="25975A6A">
        <w:rPr>
          <w:color w:val="000000"/>
        </w:rPr>
        <w:t>p. 1163</w:t>
      </w:r>
      <w:r w:rsidR="07EBFD67">
        <w:rPr>
          <w:color w:val="000000"/>
        </w:rPr>
        <w:t>–</w:t>
      </w:r>
      <w:r w:rsidR="644B978B">
        <w:rPr>
          <w:color w:val="000000"/>
        </w:rPr>
        <w:t>1164</w:t>
      </w:r>
      <w:r w:rsidR="6ECDC846">
        <w:rPr>
          <w:color w:val="000000"/>
        </w:rPr>
        <w:t xml:space="preserve"> &amp; fn.</w:t>
      </w:r>
      <w:r w:rsidR="644B978B">
        <w:rPr>
          <w:color w:val="000000"/>
        </w:rPr>
        <w:t>12</w:t>
      </w:r>
      <w:r w:rsidR="2F6985D3">
        <w:rPr>
          <w:color w:val="000000"/>
        </w:rPr>
        <w:t xml:space="preserve">, citing </w:t>
      </w:r>
      <w:r w:rsidR="2F6985D3" w:rsidRPr="0087556E">
        <w:rPr>
          <w:i/>
          <w:color w:val="000000" w:themeColor="text1"/>
        </w:rPr>
        <w:t>People v. Johnson</w:t>
      </w:r>
      <w:r w:rsidR="2F6985D3" w:rsidRPr="797FBB80">
        <w:rPr>
          <w:color w:val="000000" w:themeColor="text1"/>
        </w:rPr>
        <w:t xml:space="preserve"> (1980) 26</w:t>
      </w:r>
      <w:r w:rsidR="0059161E">
        <w:rPr>
          <w:color w:val="000000" w:themeColor="text1"/>
        </w:rPr>
        <w:t> </w:t>
      </w:r>
      <w:r w:rsidR="2F6985D3" w:rsidRPr="797FBB80">
        <w:rPr>
          <w:color w:val="000000" w:themeColor="text1"/>
        </w:rPr>
        <w:t>Cal.3d 557, 571</w:t>
      </w:r>
      <w:r w:rsidR="0059161E">
        <w:rPr>
          <w:color w:val="000000" w:themeColor="text1"/>
        </w:rPr>
        <w:t>–</w:t>
      </w:r>
      <w:r w:rsidR="2F6985D3" w:rsidRPr="797FBB80">
        <w:rPr>
          <w:color w:val="000000" w:themeColor="text1"/>
        </w:rPr>
        <w:t>572</w:t>
      </w:r>
      <w:r w:rsidR="00435411">
        <w:rPr>
          <w:color w:val="000000" w:themeColor="text1"/>
        </w:rPr>
        <w:t>, italics added</w:t>
      </w:r>
      <w:r w:rsidR="25975A6A">
        <w:rPr>
          <w:color w:val="000000"/>
        </w:rPr>
        <w:t>.)</w:t>
      </w:r>
      <w:r>
        <w:rPr>
          <w:rStyle w:val="FootnoteReference"/>
          <w:color w:val="000000" w:themeColor="text1"/>
        </w:rPr>
        <w:footnoteReference w:id="21"/>
      </w:r>
      <w:r w:rsidR="25975A6A">
        <w:rPr>
          <w:color w:val="000000"/>
        </w:rPr>
        <w:t xml:space="preserve"> </w:t>
      </w:r>
    </w:p>
    <w:p w14:paraId="21CEF7D2" w14:textId="1A938BA1" w:rsidR="003F2F4C" w:rsidRDefault="003D06AD" w:rsidP="00417C6C">
      <w:pPr>
        <w:keepNext/>
        <w:autoSpaceDE w:val="0"/>
        <w:autoSpaceDN w:val="0"/>
        <w:adjustRightInd w:val="0"/>
        <w:spacing w:after="120" w:line="240" w:lineRule="auto"/>
        <w:ind w:left="1440" w:hanging="1440"/>
        <w:rPr>
          <w:b/>
          <w:bCs/>
          <w:color w:val="000000"/>
        </w:rPr>
      </w:pPr>
      <w:r>
        <w:rPr>
          <w:color w:val="000000"/>
        </w:rPr>
        <w:tab/>
      </w:r>
      <w:r>
        <w:rPr>
          <w:color w:val="000000"/>
        </w:rPr>
        <w:tab/>
      </w:r>
      <w:r w:rsidR="00A1341D">
        <w:rPr>
          <w:b/>
          <w:bCs/>
          <w:i/>
          <w:iCs/>
          <w:color w:val="000000"/>
        </w:rPr>
        <w:t>3</w:t>
      </w:r>
      <w:r w:rsidR="00A23BF6" w:rsidRPr="00B95651">
        <w:rPr>
          <w:b/>
          <w:bCs/>
          <w:i/>
          <w:iCs/>
          <w:color w:val="000000"/>
        </w:rPr>
        <w:t>.</w:t>
      </w:r>
      <w:r>
        <w:rPr>
          <w:color w:val="000000"/>
        </w:rPr>
        <w:t xml:space="preserve"> </w:t>
      </w:r>
      <w:r>
        <w:rPr>
          <w:b/>
          <w:bCs/>
          <w:i/>
          <w:iCs/>
          <w:color w:val="000000"/>
        </w:rPr>
        <w:t xml:space="preserve">Recent Decisions Assessing </w:t>
      </w:r>
      <w:r w:rsidR="00062749">
        <w:rPr>
          <w:b/>
          <w:bCs/>
          <w:i/>
          <w:iCs/>
          <w:color w:val="000000"/>
        </w:rPr>
        <w:t xml:space="preserve">Case-Specific </w:t>
      </w:r>
      <w:r>
        <w:rPr>
          <w:b/>
          <w:bCs/>
          <w:i/>
          <w:iCs/>
          <w:color w:val="000000"/>
        </w:rPr>
        <w:t xml:space="preserve">Section 1382 Rulings </w:t>
      </w:r>
      <w:proofErr w:type="gramStart"/>
      <w:r>
        <w:rPr>
          <w:b/>
          <w:bCs/>
          <w:i/>
          <w:iCs/>
          <w:color w:val="000000"/>
        </w:rPr>
        <w:t>in Light of</w:t>
      </w:r>
      <w:proofErr w:type="gramEnd"/>
      <w:r>
        <w:rPr>
          <w:b/>
          <w:bCs/>
          <w:i/>
          <w:iCs/>
          <w:color w:val="000000"/>
        </w:rPr>
        <w:t xml:space="preserve"> </w:t>
      </w:r>
      <w:r>
        <w:rPr>
          <w:b/>
          <w:bCs/>
          <w:color w:val="000000"/>
        </w:rPr>
        <w:t>Engram</w:t>
      </w:r>
    </w:p>
    <w:p w14:paraId="4E737A95" w14:textId="715E3435" w:rsidR="00346114" w:rsidRDefault="003D06AD" w:rsidP="797FBB80">
      <w:pPr>
        <w:autoSpaceDE w:val="0"/>
        <w:autoSpaceDN w:val="0"/>
        <w:adjustRightInd w:val="0"/>
        <w:spacing w:line="360" w:lineRule="auto"/>
        <w:rPr>
          <w:color w:val="000000" w:themeColor="text1"/>
        </w:rPr>
      </w:pPr>
      <w:r>
        <w:rPr>
          <w:color w:val="000000"/>
        </w:rPr>
        <w:tab/>
      </w:r>
      <w:r w:rsidR="577C8447">
        <w:rPr>
          <w:color w:val="000000"/>
        </w:rPr>
        <w:t>Defendants cite two recent</w:t>
      </w:r>
      <w:r w:rsidR="2269A1C7">
        <w:rPr>
          <w:color w:val="000000"/>
        </w:rPr>
        <w:t xml:space="preserve"> decisions</w:t>
      </w:r>
      <w:r w:rsidR="1076F51B">
        <w:rPr>
          <w:color w:val="000000"/>
        </w:rPr>
        <w:t xml:space="preserve"> </w:t>
      </w:r>
      <w:r w:rsidR="00696256">
        <w:rPr>
          <w:color w:val="000000"/>
        </w:rPr>
        <w:t>denying</w:t>
      </w:r>
      <w:r w:rsidR="00696256">
        <w:rPr>
          <w:rFonts w:cs="Times New Roman"/>
        </w:rPr>
        <w:t xml:space="preserve"> </w:t>
      </w:r>
      <w:r w:rsidR="1076F51B">
        <w:rPr>
          <w:rFonts w:cs="Times New Roman"/>
        </w:rPr>
        <w:t xml:space="preserve">mandamus </w:t>
      </w:r>
      <w:r w:rsidR="651AB6D7">
        <w:rPr>
          <w:rFonts w:cs="Times New Roman"/>
        </w:rPr>
        <w:t xml:space="preserve">petitions </w:t>
      </w:r>
      <w:r w:rsidR="1B5EEBAA">
        <w:rPr>
          <w:rFonts w:cs="Times New Roman"/>
        </w:rPr>
        <w:t xml:space="preserve">filed </w:t>
      </w:r>
      <w:r w:rsidR="1076F51B">
        <w:rPr>
          <w:rFonts w:cs="Times New Roman"/>
        </w:rPr>
        <w:t xml:space="preserve">by criminal defendants </w:t>
      </w:r>
      <w:r w:rsidR="10662325">
        <w:rPr>
          <w:rFonts w:cs="Times New Roman"/>
        </w:rPr>
        <w:t>seeking</w:t>
      </w:r>
      <w:r w:rsidR="1076F51B">
        <w:rPr>
          <w:rFonts w:cs="Times New Roman"/>
        </w:rPr>
        <w:t xml:space="preserve"> dismiss</w:t>
      </w:r>
      <w:r w:rsidR="7F4FA8E8">
        <w:rPr>
          <w:rFonts w:cs="Times New Roman"/>
        </w:rPr>
        <w:t>al of</w:t>
      </w:r>
      <w:r w:rsidR="1076F51B">
        <w:rPr>
          <w:rFonts w:cs="Times New Roman"/>
        </w:rPr>
        <w:t xml:space="preserve"> their </w:t>
      </w:r>
      <w:r w:rsidR="3C2DE704">
        <w:rPr>
          <w:rFonts w:cs="Times New Roman"/>
        </w:rPr>
        <w:t xml:space="preserve">individual </w:t>
      </w:r>
      <w:r w:rsidR="1076F51B">
        <w:rPr>
          <w:rFonts w:cs="Times New Roman"/>
        </w:rPr>
        <w:t xml:space="preserve">cases </w:t>
      </w:r>
      <w:r w:rsidR="3C2DE704">
        <w:rPr>
          <w:rFonts w:cs="Times New Roman"/>
        </w:rPr>
        <w:t xml:space="preserve">under </w:t>
      </w:r>
      <w:r w:rsidR="1076F51B">
        <w:rPr>
          <w:rFonts w:cs="Times New Roman"/>
        </w:rPr>
        <w:t>section 1382</w:t>
      </w:r>
      <w:r w:rsidR="10662325">
        <w:rPr>
          <w:rFonts w:cs="Times New Roman"/>
        </w:rPr>
        <w:t xml:space="preserve">. </w:t>
      </w:r>
      <w:r w:rsidR="5547ED42" w:rsidRPr="797FBB80">
        <w:rPr>
          <w:color w:val="000000" w:themeColor="text1"/>
        </w:rPr>
        <w:t xml:space="preserve">In </w:t>
      </w:r>
      <w:r w:rsidR="5547ED42" w:rsidRPr="797FBB80">
        <w:rPr>
          <w:i/>
          <w:iCs/>
          <w:color w:val="000000" w:themeColor="text1"/>
        </w:rPr>
        <w:t>Hernandez-Valenzuela</w:t>
      </w:r>
      <w:r w:rsidR="00E76189" w:rsidRPr="797FBB80">
        <w:rPr>
          <w:rFonts w:cs="Times New Roman"/>
          <w:i/>
          <w:iCs/>
        </w:rPr>
        <w:t xml:space="preserve"> v. Superior Court</w:t>
      </w:r>
      <w:r w:rsidR="00E76189" w:rsidRPr="205F293E">
        <w:rPr>
          <w:rFonts w:cs="Times New Roman"/>
        </w:rPr>
        <w:t xml:space="preserve"> (2022) 75</w:t>
      </w:r>
      <w:r w:rsidR="0059161E">
        <w:rPr>
          <w:rFonts w:cs="Times New Roman"/>
        </w:rPr>
        <w:t> </w:t>
      </w:r>
      <w:r w:rsidR="00E76189" w:rsidRPr="205F293E">
        <w:rPr>
          <w:rFonts w:cs="Times New Roman"/>
        </w:rPr>
        <w:t>Cal.App.5th 1108 (</w:t>
      </w:r>
      <w:r w:rsidR="00E76189" w:rsidRPr="797FBB80">
        <w:rPr>
          <w:rFonts w:cs="Times New Roman"/>
          <w:i/>
          <w:iCs/>
        </w:rPr>
        <w:t>Hernandez-Valenzuela</w:t>
      </w:r>
      <w:r w:rsidR="00E76189">
        <w:rPr>
          <w:rFonts w:cs="Times New Roman"/>
        </w:rPr>
        <w:t>)</w:t>
      </w:r>
      <w:r w:rsidR="5547ED42" w:rsidRPr="797FBB80">
        <w:rPr>
          <w:rFonts w:cs="Times New Roman"/>
        </w:rPr>
        <w:t xml:space="preserve">, our colleagues in Division Three </w:t>
      </w:r>
      <w:r w:rsidR="10C5DBC2" w:rsidRPr="008D0651">
        <w:rPr>
          <w:rFonts w:cs="Times New Roman"/>
          <w:spacing w:val="-2"/>
        </w:rPr>
        <w:t>considered</w:t>
      </w:r>
      <w:r w:rsidR="651AB6D7" w:rsidRPr="008D0651">
        <w:rPr>
          <w:rFonts w:cs="Times New Roman"/>
          <w:spacing w:val="-2"/>
        </w:rPr>
        <w:t xml:space="preserve"> </w:t>
      </w:r>
      <w:r w:rsidR="2D811A7A" w:rsidRPr="008D0651">
        <w:rPr>
          <w:rFonts w:cs="Times New Roman"/>
          <w:spacing w:val="-2"/>
        </w:rPr>
        <w:t>defendant</w:t>
      </w:r>
      <w:r w:rsidR="7A58CB93" w:rsidRPr="008D0651">
        <w:rPr>
          <w:rFonts w:cs="Times New Roman"/>
          <w:spacing w:val="-2"/>
        </w:rPr>
        <w:t>s’</w:t>
      </w:r>
      <w:r w:rsidR="2D811A7A">
        <w:rPr>
          <w:rFonts w:cs="Times New Roman"/>
        </w:rPr>
        <w:t xml:space="preserve"> </w:t>
      </w:r>
      <w:r w:rsidR="4484816E">
        <w:rPr>
          <w:rFonts w:cs="Times New Roman"/>
        </w:rPr>
        <w:t>response</w:t>
      </w:r>
      <w:r w:rsidR="2D811A7A">
        <w:rPr>
          <w:rFonts w:cs="Times New Roman"/>
        </w:rPr>
        <w:t xml:space="preserve"> to </w:t>
      </w:r>
      <w:r w:rsidR="651AB6D7">
        <w:rPr>
          <w:rFonts w:cs="Times New Roman"/>
        </w:rPr>
        <w:t xml:space="preserve">the </w:t>
      </w:r>
      <w:r w:rsidR="4484816E">
        <w:rPr>
          <w:rFonts w:cs="Times New Roman"/>
        </w:rPr>
        <w:t xml:space="preserve">pandemic and </w:t>
      </w:r>
      <w:r w:rsidR="2D811A7A">
        <w:rPr>
          <w:rFonts w:cs="Times New Roman"/>
        </w:rPr>
        <w:t xml:space="preserve">efforts to reduce </w:t>
      </w:r>
      <w:r w:rsidR="651AB6D7">
        <w:rPr>
          <w:rFonts w:cs="Times New Roman"/>
        </w:rPr>
        <w:t>the backlog</w:t>
      </w:r>
      <w:r w:rsidR="2D811A7A">
        <w:rPr>
          <w:rFonts w:cs="Times New Roman"/>
        </w:rPr>
        <w:t xml:space="preserve"> in the same </w:t>
      </w:r>
      <w:proofErr w:type="gramStart"/>
      <w:r w:rsidR="000D2AC6">
        <w:rPr>
          <w:rFonts w:cs="Times New Roman"/>
        </w:rPr>
        <w:t>period of time</w:t>
      </w:r>
      <w:proofErr w:type="gramEnd"/>
      <w:r w:rsidR="000D2AC6">
        <w:rPr>
          <w:rFonts w:cs="Times New Roman"/>
        </w:rPr>
        <w:t xml:space="preserve"> </w:t>
      </w:r>
      <w:r w:rsidR="00233AAD">
        <w:rPr>
          <w:rFonts w:cs="Times New Roman"/>
        </w:rPr>
        <w:t xml:space="preserve">at issue in </w:t>
      </w:r>
      <w:r w:rsidR="64D94E5C">
        <w:rPr>
          <w:rFonts w:cs="Times New Roman"/>
        </w:rPr>
        <w:t>this case</w:t>
      </w:r>
      <w:r w:rsidR="3C2DE704">
        <w:rPr>
          <w:rFonts w:cs="Times New Roman"/>
        </w:rPr>
        <w:t>.</w:t>
      </w:r>
      <w:r w:rsidR="02A12655">
        <w:rPr>
          <w:rFonts w:cs="Times New Roman"/>
        </w:rPr>
        <w:t xml:space="preserve"> </w:t>
      </w:r>
      <w:r w:rsidR="2D811A7A">
        <w:rPr>
          <w:rFonts w:cs="Times New Roman"/>
        </w:rPr>
        <w:t>(</w:t>
      </w:r>
      <w:r w:rsidR="3C2DE704" w:rsidRPr="797FBB80">
        <w:rPr>
          <w:rFonts w:cs="Times New Roman"/>
          <w:i/>
          <w:iCs/>
        </w:rPr>
        <w:t>Id.</w:t>
      </w:r>
      <w:r w:rsidR="02A12655">
        <w:rPr>
          <w:rFonts w:cs="Times New Roman"/>
        </w:rPr>
        <w:t xml:space="preserve"> a</w:t>
      </w:r>
      <w:r w:rsidR="2D811A7A">
        <w:rPr>
          <w:rFonts w:cs="Times New Roman"/>
        </w:rPr>
        <w:t xml:space="preserve">t </w:t>
      </w:r>
      <w:r w:rsidR="02A12655">
        <w:rPr>
          <w:rFonts w:cs="Times New Roman"/>
        </w:rPr>
        <w:t>pp. </w:t>
      </w:r>
      <w:r w:rsidR="2D811A7A">
        <w:rPr>
          <w:rFonts w:cs="Times New Roman"/>
        </w:rPr>
        <w:t>1117–1120</w:t>
      </w:r>
      <w:r w:rsidR="3C2DE704">
        <w:rPr>
          <w:rFonts w:cs="Times New Roman"/>
        </w:rPr>
        <w:t>.</w:t>
      </w:r>
      <w:r w:rsidR="2D811A7A">
        <w:rPr>
          <w:rFonts w:cs="Times New Roman"/>
        </w:rPr>
        <w:t>)</w:t>
      </w:r>
      <w:r w:rsidR="006D0C5B">
        <w:rPr>
          <w:rFonts w:cs="Times New Roman"/>
        </w:rPr>
        <w:t xml:space="preserve"> </w:t>
      </w:r>
      <w:r w:rsidR="00614B76">
        <w:rPr>
          <w:rFonts w:cs="Times New Roman"/>
          <w:i/>
          <w:iCs/>
        </w:rPr>
        <w:t>Hernandez-Valenzuela</w:t>
      </w:r>
      <w:r w:rsidR="271B07C9" w:rsidRPr="45CEE248">
        <w:rPr>
          <w:rFonts w:cs="Times New Roman"/>
          <w:i/>
        </w:rPr>
        <w:t xml:space="preserve"> </w:t>
      </w:r>
      <w:r w:rsidR="651AB6D7">
        <w:rPr>
          <w:rFonts w:cs="Times New Roman"/>
        </w:rPr>
        <w:t>differed</w:t>
      </w:r>
      <w:r w:rsidR="271B07C9">
        <w:rPr>
          <w:rFonts w:cs="Times New Roman"/>
        </w:rPr>
        <w:t xml:space="preserve"> from this appeal</w:t>
      </w:r>
      <w:r w:rsidR="314CB62E">
        <w:rPr>
          <w:rFonts w:cs="Times New Roman"/>
        </w:rPr>
        <w:t>, however,</w:t>
      </w:r>
      <w:r w:rsidR="271B07C9">
        <w:rPr>
          <w:rFonts w:cs="Times New Roman"/>
        </w:rPr>
        <w:t xml:space="preserve"> in two </w:t>
      </w:r>
      <w:r w:rsidR="02A12655">
        <w:rPr>
          <w:rFonts w:cs="Times New Roman"/>
        </w:rPr>
        <w:t>fundamental</w:t>
      </w:r>
      <w:r w:rsidR="271B07C9">
        <w:rPr>
          <w:rFonts w:cs="Times New Roman"/>
        </w:rPr>
        <w:t xml:space="preserve"> ways</w:t>
      </w:r>
      <w:r w:rsidR="201D68AC">
        <w:rPr>
          <w:rFonts w:cs="Times New Roman"/>
        </w:rPr>
        <w:t>.</w:t>
      </w:r>
      <w:r w:rsidR="00BA3EDE">
        <w:rPr>
          <w:rFonts w:cs="Times New Roman"/>
        </w:rPr>
        <w:t xml:space="preserve"> </w:t>
      </w:r>
      <w:r w:rsidR="765BFC1D">
        <w:rPr>
          <w:rFonts w:cs="Times New Roman"/>
        </w:rPr>
        <w:t>First,</w:t>
      </w:r>
      <w:r w:rsidR="00417C6C">
        <w:rPr>
          <w:rFonts w:cs="Times New Roman"/>
        </w:rPr>
        <w:t xml:space="preserve"> </w:t>
      </w:r>
      <w:r w:rsidR="651AB6D7">
        <w:rPr>
          <w:rFonts w:cs="Times New Roman"/>
        </w:rPr>
        <w:t xml:space="preserve">Division Three </w:t>
      </w:r>
      <w:r w:rsidR="3C2DE704">
        <w:rPr>
          <w:rFonts w:cs="Times New Roman"/>
        </w:rPr>
        <w:t>ha</w:t>
      </w:r>
      <w:r w:rsidR="651AB6D7">
        <w:rPr>
          <w:rFonts w:cs="Times New Roman"/>
        </w:rPr>
        <w:t>d</w:t>
      </w:r>
      <w:r w:rsidR="2D811A7A">
        <w:rPr>
          <w:rFonts w:cs="Times New Roman"/>
        </w:rPr>
        <w:t xml:space="preserve"> </w:t>
      </w:r>
      <w:r w:rsidR="3C2DE704">
        <w:rPr>
          <w:rFonts w:cs="Times New Roman"/>
        </w:rPr>
        <w:t xml:space="preserve">before it </w:t>
      </w:r>
      <w:r w:rsidR="2D811A7A">
        <w:rPr>
          <w:rFonts w:cs="Times New Roman"/>
        </w:rPr>
        <w:t>an evidentiary record</w:t>
      </w:r>
      <w:r w:rsidR="651AB6D7">
        <w:rPr>
          <w:rFonts w:cs="Times New Roman"/>
        </w:rPr>
        <w:t xml:space="preserve"> enabling it to resolve factual disputes</w:t>
      </w:r>
      <w:r w:rsidR="296D4894">
        <w:rPr>
          <w:rFonts w:cs="Times New Roman"/>
        </w:rPr>
        <w:t xml:space="preserve"> </w:t>
      </w:r>
      <w:r w:rsidR="0D5E6212">
        <w:rPr>
          <w:rFonts w:cs="Times New Roman"/>
        </w:rPr>
        <w:t>going to the question of</w:t>
      </w:r>
      <w:r w:rsidR="1CA683C3">
        <w:rPr>
          <w:rFonts w:cs="Times New Roman"/>
        </w:rPr>
        <w:t xml:space="preserve"> good cause</w:t>
      </w:r>
      <w:r w:rsidR="11A9AD99">
        <w:rPr>
          <w:rFonts w:cs="Times New Roman"/>
        </w:rPr>
        <w:t xml:space="preserve"> for </w:t>
      </w:r>
      <w:r w:rsidR="11A9AD99">
        <w:rPr>
          <w:rFonts w:cs="Times New Roman"/>
        </w:rPr>
        <w:lastRenderedPageBreak/>
        <w:t>delay</w:t>
      </w:r>
      <w:r w:rsidR="12ED97FB">
        <w:rPr>
          <w:rFonts w:cs="Times New Roman"/>
        </w:rPr>
        <w:t>.</w:t>
      </w:r>
      <w:r w:rsidR="68639B33">
        <w:rPr>
          <w:rFonts w:cs="Times New Roman"/>
        </w:rPr>
        <w:t xml:space="preserve"> Here, our only inquiry is the sufficiency of the pleadings.</w:t>
      </w:r>
      <w:r w:rsidR="00AF4E8E">
        <w:rPr>
          <w:rFonts w:cs="Times New Roman"/>
        </w:rPr>
        <w:t xml:space="preserve"> </w:t>
      </w:r>
      <w:r w:rsidR="65864FE6">
        <w:rPr>
          <w:rFonts w:cs="Times New Roman"/>
        </w:rPr>
        <w:t xml:space="preserve">Second, in </w:t>
      </w:r>
      <w:r w:rsidR="65864FE6" w:rsidRPr="00A54025">
        <w:rPr>
          <w:rFonts w:cs="Times New Roman"/>
          <w:i/>
        </w:rPr>
        <w:t>Hernandez-Valenzuela</w:t>
      </w:r>
      <w:r w:rsidR="65864FE6">
        <w:rPr>
          <w:rFonts w:cs="Times New Roman"/>
        </w:rPr>
        <w:t xml:space="preserve">, </w:t>
      </w:r>
      <w:r w:rsidR="651AB6D7">
        <w:rPr>
          <w:rFonts w:cs="Times New Roman"/>
        </w:rPr>
        <w:t xml:space="preserve">the dispositive question was </w:t>
      </w:r>
      <w:r w:rsidR="651AB6D7" w:rsidRPr="006442F2">
        <w:rPr>
          <w:rFonts w:cs="Times New Roman"/>
        </w:rPr>
        <w:t>not</w:t>
      </w:r>
      <w:r w:rsidR="651AB6D7">
        <w:rPr>
          <w:rFonts w:cs="Times New Roman"/>
        </w:rPr>
        <w:t xml:space="preserve"> </w:t>
      </w:r>
      <w:r w:rsidR="4AF53E17">
        <w:rPr>
          <w:rFonts w:cs="Times New Roman"/>
        </w:rPr>
        <w:t xml:space="preserve">simply </w:t>
      </w:r>
      <w:r w:rsidR="651AB6D7">
        <w:rPr>
          <w:rFonts w:cs="Times New Roman"/>
        </w:rPr>
        <w:t xml:space="preserve">whether defendant court had discharged its duty </w:t>
      </w:r>
      <w:r w:rsidR="271B07C9">
        <w:rPr>
          <w:rFonts w:cs="Times New Roman"/>
        </w:rPr>
        <w:t>under section 1</w:t>
      </w:r>
      <w:r w:rsidR="00150CF7">
        <w:rPr>
          <w:rFonts w:cs="Times New Roman"/>
        </w:rPr>
        <w:t>0</w:t>
      </w:r>
      <w:r w:rsidR="271B07C9">
        <w:rPr>
          <w:rFonts w:cs="Times New Roman"/>
        </w:rPr>
        <w:t xml:space="preserve">50(a) to </w:t>
      </w:r>
      <w:r w:rsidR="33A48973">
        <w:rPr>
          <w:rFonts w:cs="Times New Roman"/>
        </w:rPr>
        <w:t xml:space="preserve">avoid </w:t>
      </w:r>
      <w:r w:rsidR="271B07C9">
        <w:rPr>
          <w:rFonts w:cs="Times New Roman"/>
        </w:rPr>
        <w:t>“</w:t>
      </w:r>
      <w:proofErr w:type="spellStart"/>
      <w:r w:rsidR="651AB6D7" w:rsidRPr="05D0A8A3">
        <w:rPr>
          <w:color w:val="000000" w:themeColor="text1"/>
        </w:rPr>
        <w:t>shortchang</w:t>
      </w:r>
      <w:proofErr w:type="spellEnd"/>
      <w:r w:rsidR="33A48973">
        <w:rPr>
          <w:color w:val="000000" w:themeColor="text1"/>
        </w:rPr>
        <w:t>[</w:t>
      </w:r>
      <w:proofErr w:type="spellStart"/>
      <w:r w:rsidR="33A48973">
        <w:rPr>
          <w:color w:val="000000" w:themeColor="text1"/>
        </w:rPr>
        <w:t>ing</w:t>
      </w:r>
      <w:proofErr w:type="spellEnd"/>
      <w:r w:rsidR="33A48973">
        <w:rPr>
          <w:color w:val="000000" w:themeColor="text1"/>
        </w:rPr>
        <w:t>]</w:t>
      </w:r>
      <w:r w:rsidR="651AB6D7" w:rsidRPr="05D0A8A3">
        <w:rPr>
          <w:color w:val="000000" w:themeColor="text1"/>
        </w:rPr>
        <w:t xml:space="preserve"> the court</w:t>
      </w:r>
      <w:r w:rsidR="651AB6D7" w:rsidRPr="1B5E7FE8">
        <w:rPr>
          <w:color w:val="000000" w:themeColor="text1"/>
        </w:rPr>
        <w:t>’s criminal caseload by creating or maintaining a disproportionately large number of civil as compared to criminal departments</w:t>
      </w:r>
      <w:r w:rsidR="359ED09E" w:rsidRPr="1B5E7FE8">
        <w:rPr>
          <w:color w:val="000000" w:themeColor="text1"/>
        </w:rPr>
        <w:t>.</w:t>
      </w:r>
      <w:r w:rsidR="651AB6D7" w:rsidRPr="1B5E7FE8">
        <w:rPr>
          <w:color w:val="000000" w:themeColor="text1"/>
        </w:rPr>
        <w:t>”</w:t>
      </w:r>
      <w:r w:rsidR="271B07C9">
        <w:rPr>
          <w:color w:val="000000" w:themeColor="text1"/>
        </w:rPr>
        <w:t xml:space="preserve"> (</w:t>
      </w:r>
      <w:r w:rsidR="271B07C9" w:rsidRPr="797FBB80">
        <w:rPr>
          <w:i/>
          <w:iCs/>
          <w:color w:val="000000" w:themeColor="text1"/>
        </w:rPr>
        <w:t>Engram</w:t>
      </w:r>
      <w:r w:rsidR="271B07C9">
        <w:rPr>
          <w:color w:val="000000" w:themeColor="text1"/>
        </w:rPr>
        <w:t xml:space="preserve">, </w:t>
      </w:r>
      <w:r w:rsidR="271B07C9" w:rsidRPr="797FBB80">
        <w:rPr>
          <w:i/>
          <w:iCs/>
          <w:color w:val="000000" w:themeColor="text1"/>
        </w:rPr>
        <w:t>supra</w:t>
      </w:r>
      <w:r w:rsidR="271B07C9">
        <w:rPr>
          <w:color w:val="000000" w:themeColor="text1"/>
        </w:rPr>
        <w:t>, 50</w:t>
      </w:r>
      <w:r w:rsidR="00AF4E8E">
        <w:rPr>
          <w:color w:val="000000" w:themeColor="text1"/>
        </w:rPr>
        <w:t> </w:t>
      </w:r>
      <w:r w:rsidR="271B07C9">
        <w:rPr>
          <w:color w:val="000000" w:themeColor="text1"/>
        </w:rPr>
        <w:t>Cal.4</w:t>
      </w:r>
      <w:r w:rsidR="271B07C9" w:rsidRPr="002771E5">
        <w:rPr>
          <w:color w:val="000000" w:themeColor="text1"/>
        </w:rPr>
        <w:t>th</w:t>
      </w:r>
      <w:r w:rsidR="271B07C9">
        <w:rPr>
          <w:color w:val="000000" w:themeColor="text1"/>
        </w:rPr>
        <w:t xml:space="preserve"> at p. 1156</w:t>
      </w:r>
      <w:r w:rsidR="001B06C3">
        <w:rPr>
          <w:color w:val="000000" w:themeColor="text1"/>
        </w:rPr>
        <w:t>.</w:t>
      </w:r>
      <w:r w:rsidR="271B07C9">
        <w:rPr>
          <w:color w:val="000000" w:themeColor="text1"/>
        </w:rPr>
        <w:t>)</w:t>
      </w:r>
      <w:r w:rsidRPr="797FBB80">
        <w:rPr>
          <w:color w:val="000000" w:themeColor="text1"/>
        </w:rPr>
        <w:t xml:space="preserve"> </w:t>
      </w:r>
      <w:r w:rsidR="1D8F2347">
        <w:rPr>
          <w:color w:val="000000" w:themeColor="text1"/>
        </w:rPr>
        <w:t xml:space="preserve">Rather, the inquiry </w:t>
      </w:r>
      <w:r w:rsidR="220A08D1">
        <w:rPr>
          <w:color w:val="000000" w:themeColor="text1"/>
        </w:rPr>
        <w:t xml:space="preserve">was whether the trial court, in continuing defendants’ trials beyond their statutory last dates, abused its discretion, an analysis which </w:t>
      </w:r>
      <w:r w:rsidR="1D8F2347">
        <w:rPr>
          <w:color w:val="000000" w:themeColor="text1"/>
        </w:rPr>
        <w:t xml:space="preserve">turned on </w:t>
      </w:r>
      <w:r w:rsidR="750282F5">
        <w:rPr>
          <w:color w:val="000000" w:themeColor="text1"/>
        </w:rPr>
        <w:t xml:space="preserve">a </w:t>
      </w:r>
      <w:r w:rsidR="29B1AD4C">
        <w:rPr>
          <w:color w:val="000000" w:themeColor="text1"/>
        </w:rPr>
        <w:t xml:space="preserve">consideration </w:t>
      </w:r>
      <w:r w:rsidR="750282F5">
        <w:rPr>
          <w:color w:val="000000" w:themeColor="text1"/>
        </w:rPr>
        <w:t xml:space="preserve">of all relevant </w:t>
      </w:r>
      <w:r w:rsidR="368945B3">
        <w:rPr>
          <w:color w:val="000000" w:themeColor="text1"/>
        </w:rPr>
        <w:t>circumstances</w:t>
      </w:r>
      <w:r w:rsidR="00A54025">
        <w:rPr>
          <w:color w:val="000000" w:themeColor="text1"/>
        </w:rPr>
        <w:t xml:space="preserve"> </w:t>
      </w:r>
      <w:r w:rsidR="00A54025" w:rsidRPr="00823D39">
        <w:rPr>
          <w:i/>
          <w:color w:val="000000" w:themeColor="text1"/>
        </w:rPr>
        <w:t>in the specific cases at issue</w:t>
      </w:r>
      <w:r w:rsidR="368945B3">
        <w:rPr>
          <w:color w:val="000000" w:themeColor="text1"/>
        </w:rPr>
        <w:t xml:space="preserve">, </w:t>
      </w:r>
      <w:r w:rsidR="750282F5">
        <w:rPr>
          <w:color w:val="000000" w:themeColor="text1"/>
        </w:rPr>
        <w:t xml:space="preserve">including not only the nature and strength of the reason </w:t>
      </w:r>
      <w:r w:rsidR="583EADCC">
        <w:rPr>
          <w:color w:val="000000" w:themeColor="text1"/>
        </w:rPr>
        <w:t>for</w:t>
      </w:r>
      <w:r w:rsidR="750282F5">
        <w:rPr>
          <w:color w:val="000000" w:themeColor="text1"/>
        </w:rPr>
        <w:t xml:space="preserve"> </w:t>
      </w:r>
      <w:r w:rsidR="00A110AB">
        <w:rPr>
          <w:color w:val="000000" w:themeColor="text1"/>
        </w:rPr>
        <w:t xml:space="preserve">the </w:t>
      </w:r>
      <w:r w:rsidR="750282F5">
        <w:rPr>
          <w:color w:val="000000" w:themeColor="text1"/>
        </w:rPr>
        <w:t xml:space="preserve">delay, but also </w:t>
      </w:r>
      <w:r w:rsidR="31821837">
        <w:rPr>
          <w:color w:val="000000" w:themeColor="text1"/>
        </w:rPr>
        <w:t xml:space="preserve">the </w:t>
      </w:r>
      <w:r w:rsidR="00345067">
        <w:rPr>
          <w:color w:val="000000" w:themeColor="text1"/>
        </w:rPr>
        <w:t>extent</w:t>
      </w:r>
      <w:r w:rsidR="31821837">
        <w:rPr>
          <w:color w:val="000000" w:themeColor="text1"/>
        </w:rPr>
        <w:t xml:space="preserve"> of </w:t>
      </w:r>
      <w:r w:rsidR="00DD24A8">
        <w:rPr>
          <w:color w:val="000000" w:themeColor="text1"/>
        </w:rPr>
        <w:t xml:space="preserve">the </w:t>
      </w:r>
      <w:r w:rsidR="31821837">
        <w:rPr>
          <w:color w:val="000000" w:themeColor="text1"/>
        </w:rPr>
        <w:t xml:space="preserve">delay beyond </w:t>
      </w:r>
      <w:r w:rsidR="47EB14E5">
        <w:rPr>
          <w:color w:val="000000" w:themeColor="text1"/>
        </w:rPr>
        <w:t xml:space="preserve">each defendant’s </w:t>
      </w:r>
      <w:r w:rsidR="31821837">
        <w:rPr>
          <w:color w:val="000000" w:themeColor="text1"/>
        </w:rPr>
        <w:t>st</w:t>
      </w:r>
      <w:r w:rsidR="701F2823">
        <w:rPr>
          <w:color w:val="000000" w:themeColor="text1"/>
        </w:rPr>
        <w:t xml:space="preserve">atutory last date, and </w:t>
      </w:r>
      <w:r w:rsidR="00D03994">
        <w:rPr>
          <w:color w:val="000000" w:themeColor="text1"/>
        </w:rPr>
        <w:t>the</w:t>
      </w:r>
      <w:r w:rsidR="72873853">
        <w:rPr>
          <w:color w:val="000000" w:themeColor="text1"/>
        </w:rPr>
        <w:t xml:space="preserve"> </w:t>
      </w:r>
      <w:r w:rsidR="701F2823">
        <w:rPr>
          <w:color w:val="000000" w:themeColor="text1"/>
        </w:rPr>
        <w:t>prejudic</w:t>
      </w:r>
      <w:r w:rsidR="559FC698">
        <w:rPr>
          <w:color w:val="000000" w:themeColor="text1"/>
        </w:rPr>
        <w:t xml:space="preserve">e a party would </w:t>
      </w:r>
      <w:r w:rsidR="00774A47">
        <w:rPr>
          <w:color w:val="000000" w:themeColor="text1"/>
        </w:rPr>
        <w:t xml:space="preserve">likely </w:t>
      </w:r>
      <w:r w:rsidR="559FC698">
        <w:rPr>
          <w:color w:val="000000" w:themeColor="text1"/>
        </w:rPr>
        <w:t xml:space="preserve">suffer by virtue of </w:t>
      </w:r>
      <w:r w:rsidR="00A110AB">
        <w:rPr>
          <w:color w:val="000000" w:themeColor="text1"/>
        </w:rPr>
        <w:t>the delay</w:t>
      </w:r>
      <w:r w:rsidR="49174035">
        <w:rPr>
          <w:color w:val="000000" w:themeColor="text1"/>
        </w:rPr>
        <w:t>.</w:t>
      </w:r>
      <w:r w:rsidR="7A58CB93">
        <w:rPr>
          <w:color w:val="000000" w:themeColor="text1"/>
        </w:rPr>
        <w:t xml:space="preserve"> </w:t>
      </w:r>
      <w:r w:rsidR="271B07C9">
        <w:rPr>
          <w:color w:val="000000" w:themeColor="text1"/>
        </w:rPr>
        <w:t>(</w:t>
      </w:r>
      <w:r w:rsidR="271B07C9" w:rsidRPr="797FBB80">
        <w:rPr>
          <w:i/>
          <w:iCs/>
          <w:color w:val="000000" w:themeColor="text1"/>
        </w:rPr>
        <w:t>Hernandez-Valenzuela</w:t>
      </w:r>
      <w:r w:rsidR="271B07C9">
        <w:rPr>
          <w:color w:val="000000" w:themeColor="text1"/>
        </w:rPr>
        <w:t>, at p. 11</w:t>
      </w:r>
      <w:r w:rsidR="02A12655">
        <w:rPr>
          <w:color w:val="000000" w:themeColor="text1"/>
        </w:rPr>
        <w:t>24</w:t>
      </w:r>
      <w:r w:rsidR="002F1008">
        <w:rPr>
          <w:color w:val="000000" w:themeColor="text1"/>
        </w:rPr>
        <w:t>; s</w:t>
      </w:r>
      <w:r w:rsidR="271B07C9">
        <w:rPr>
          <w:color w:val="000000" w:themeColor="text1"/>
        </w:rPr>
        <w:t>ee</w:t>
      </w:r>
      <w:r w:rsidR="3A022EEF">
        <w:rPr>
          <w:color w:val="000000" w:themeColor="text1"/>
        </w:rPr>
        <w:t xml:space="preserve"> also</w:t>
      </w:r>
      <w:r w:rsidR="271B07C9">
        <w:rPr>
          <w:color w:val="000000" w:themeColor="text1"/>
        </w:rPr>
        <w:t xml:space="preserve"> </w:t>
      </w:r>
      <w:r w:rsidR="271B07C9" w:rsidRPr="797FBB80">
        <w:rPr>
          <w:i/>
          <w:iCs/>
          <w:color w:val="000000" w:themeColor="text1"/>
        </w:rPr>
        <w:t>Engram</w:t>
      </w:r>
      <w:r w:rsidR="271B07C9">
        <w:rPr>
          <w:color w:val="000000" w:themeColor="text1"/>
        </w:rPr>
        <w:t xml:space="preserve">, </w:t>
      </w:r>
      <w:r w:rsidR="271B07C9" w:rsidRPr="797FBB80">
        <w:rPr>
          <w:i/>
          <w:iCs/>
          <w:color w:val="000000" w:themeColor="text1"/>
        </w:rPr>
        <w:t>supra</w:t>
      </w:r>
      <w:r w:rsidR="271B07C9">
        <w:rPr>
          <w:color w:val="000000" w:themeColor="text1"/>
        </w:rPr>
        <w:t>, at p.</w:t>
      </w:r>
      <w:r w:rsidR="002448C7">
        <w:rPr>
          <w:color w:val="000000" w:themeColor="text1"/>
        </w:rPr>
        <w:t> </w:t>
      </w:r>
      <w:r w:rsidR="271B07C9">
        <w:rPr>
          <w:color w:val="000000" w:themeColor="text1"/>
        </w:rPr>
        <w:t>1160 [</w:t>
      </w:r>
      <w:r w:rsidR="79421581">
        <w:rPr>
          <w:color w:val="000000" w:themeColor="text1"/>
        </w:rPr>
        <w:t xml:space="preserve">observing that these two questions are </w:t>
      </w:r>
      <w:r w:rsidR="7A58CB93">
        <w:rPr>
          <w:color w:val="000000" w:themeColor="text1"/>
        </w:rPr>
        <w:t>“</w:t>
      </w:r>
      <w:r w:rsidR="271B07C9" w:rsidRPr="002E35AC">
        <w:rPr>
          <w:color w:val="000000"/>
        </w:rPr>
        <w:t>separate and distinct</w:t>
      </w:r>
      <w:r w:rsidR="271B07C9">
        <w:rPr>
          <w:color w:val="000000" w:themeColor="text1"/>
        </w:rPr>
        <w:t>”].)</w:t>
      </w:r>
      <w:r w:rsidR="7A58CB93">
        <w:rPr>
          <w:color w:val="000000" w:themeColor="text1"/>
        </w:rPr>
        <w:t xml:space="preserve"> </w:t>
      </w:r>
    </w:p>
    <w:p w14:paraId="3C4173EF" w14:textId="7E22C873" w:rsidR="00996BF4" w:rsidRDefault="003D06AD" w:rsidP="797FBB80">
      <w:pPr>
        <w:autoSpaceDE w:val="0"/>
        <w:autoSpaceDN w:val="0"/>
        <w:adjustRightInd w:val="0"/>
        <w:spacing w:line="360" w:lineRule="auto"/>
        <w:rPr>
          <w:color w:val="000000" w:themeColor="text1"/>
        </w:rPr>
      </w:pPr>
      <w:r>
        <w:rPr>
          <w:color w:val="000000" w:themeColor="text1"/>
        </w:rPr>
        <w:tab/>
      </w:r>
      <w:r w:rsidR="543C5828">
        <w:rPr>
          <w:color w:val="000000" w:themeColor="text1"/>
        </w:rPr>
        <w:t xml:space="preserve">Having considered the evidence, </w:t>
      </w:r>
      <w:r w:rsidR="5523EF05">
        <w:rPr>
          <w:color w:val="000000" w:themeColor="text1"/>
        </w:rPr>
        <w:t>a divided panel held</w:t>
      </w:r>
      <w:r w:rsidR="7A58CB93">
        <w:rPr>
          <w:color w:val="000000" w:themeColor="text1"/>
        </w:rPr>
        <w:t xml:space="preserve"> </w:t>
      </w:r>
      <w:r w:rsidR="5381C201">
        <w:rPr>
          <w:color w:val="000000" w:themeColor="text1"/>
        </w:rPr>
        <w:t xml:space="preserve">that although </w:t>
      </w:r>
      <w:r w:rsidR="5381C201" w:rsidRPr="797FBB80">
        <w:rPr>
          <w:color w:val="000000" w:themeColor="text1"/>
        </w:rPr>
        <w:t xml:space="preserve">defendant court’s failure to utilize courtrooms was “startling and troubling,” </w:t>
      </w:r>
      <w:r w:rsidR="70598C6E" w:rsidRPr="797FBB80">
        <w:rPr>
          <w:color w:val="000000" w:themeColor="text1"/>
        </w:rPr>
        <w:t>it was not unreasonable that</w:t>
      </w:r>
      <w:r w:rsidR="002D50C4">
        <w:rPr>
          <w:color w:val="000000" w:themeColor="text1"/>
        </w:rPr>
        <w:t>,</w:t>
      </w:r>
      <w:r w:rsidR="70598C6E" w:rsidRPr="797FBB80">
        <w:rPr>
          <w:color w:val="000000" w:themeColor="text1"/>
        </w:rPr>
        <w:t xml:space="preserve"> by the </w:t>
      </w:r>
      <w:r w:rsidR="002D50C4">
        <w:rPr>
          <w:color w:val="000000" w:themeColor="text1"/>
        </w:rPr>
        <w:t>f</w:t>
      </w:r>
      <w:r w:rsidR="70598C6E" w:rsidRPr="797FBB80">
        <w:rPr>
          <w:color w:val="000000" w:themeColor="text1"/>
        </w:rPr>
        <w:t xml:space="preserve">all of 2021, the backlog </w:t>
      </w:r>
      <w:r w:rsidR="003D53DD">
        <w:rPr>
          <w:color w:val="000000" w:themeColor="text1"/>
        </w:rPr>
        <w:t>persist</w:t>
      </w:r>
      <w:r w:rsidR="70598C6E" w:rsidRPr="797FBB80">
        <w:rPr>
          <w:color w:val="000000" w:themeColor="text1"/>
        </w:rPr>
        <w:t>ed</w:t>
      </w:r>
      <w:r w:rsidR="002819EC">
        <w:rPr>
          <w:color w:val="000000" w:themeColor="text1"/>
        </w:rPr>
        <w:t xml:space="preserve"> despite defendants’ efforts</w:t>
      </w:r>
      <w:r w:rsidR="002D50C4">
        <w:rPr>
          <w:color w:val="000000" w:themeColor="text1"/>
        </w:rPr>
        <w:t>;</w:t>
      </w:r>
      <w:r w:rsidR="70598C6E" w:rsidRPr="797FBB80">
        <w:rPr>
          <w:color w:val="000000" w:themeColor="text1"/>
        </w:rPr>
        <w:t xml:space="preserve"> </w:t>
      </w:r>
      <w:r w:rsidR="37251E5C" w:rsidRPr="797FBB80">
        <w:rPr>
          <w:color w:val="000000" w:themeColor="text1"/>
        </w:rPr>
        <w:t xml:space="preserve">and that the length of the delay of each defendant’s trial was short, relative to the delays in </w:t>
      </w:r>
      <w:r w:rsidR="37251E5C" w:rsidRPr="002D50C4">
        <w:rPr>
          <w:i/>
          <w:color w:val="000000" w:themeColor="text1"/>
        </w:rPr>
        <w:t>Engram</w:t>
      </w:r>
      <w:r w:rsidR="00F473A3">
        <w:rPr>
          <w:color w:val="000000" w:themeColor="text1"/>
        </w:rPr>
        <w:t>. T</w:t>
      </w:r>
      <w:r w:rsidR="37251E5C" w:rsidRPr="797FBB80">
        <w:rPr>
          <w:color w:val="000000" w:themeColor="text1"/>
        </w:rPr>
        <w:t>hus</w:t>
      </w:r>
      <w:r w:rsidR="00F64F9F">
        <w:rPr>
          <w:color w:val="000000" w:themeColor="text1"/>
        </w:rPr>
        <w:t>,</w:t>
      </w:r>
      <w:r w:rsidR="70598C6E" w:rsidRPr="797FBB80">
        <w:rPr>
          <w:color w:val="000000" w:themeColor="text1"/>
        </w:rPr>
        <w:t xml:space="preserve"> </w:t>
      </w:r>
      <w:r w:rsidR="7A58CB93">
        <w:rPr>
          <w:color w:val="000000" w:themeColor="text1"/>
        </w:rPr>
        <w:t>the</w:t>
      </w:r>
      <w:r w:rsidR="57BC54C5">
        <w:rPr>
          <w:color w:val="000000" w:themeColor="text1"/>
        </w:rPr>
        <w:t>re was no</w:t>
      </w:r>
      <w:r w:rsidR="7A58CB93">
        <w:rPr>
          <w:color w:val="000000" w:themeColor="text1"/>
        </w:rPr>
        <w:t xml:space="preserve"> abuse</w:t>
      </w:r>
      <w:r w:rsidR="57BC54C5">
        <w:rPr>
          <w:color w:val="000000" w:themeColor="text1"/>
        </w:rPr>
        <w:t xml:space="preserve"> of</w:t>
      </w:r>
      <w:r w:rsidR="7A58CB93">
        <w:rPr>
          <w:color w:val="000000" w:themeColor="text1"/>
        </w:rPr>
        <w:t xml:space="preserve"> discretion in finding good cause </w:t>
      </w:r>
      <w:r w:rsidR="57BC54C5">
        <w:rPr>
          <w:color w:val="000000" w:themeColor="text1"/>
        </w:rPr>
        <w:t xml:space="preserve">to </w:t>
      </w:r>
      <w:r w:rsidR="7A58CB93">
        <w:rPr>
          <w:color w:val="000000" w:themeColor="text1"/>
        </w:rPr>
        <w:t>continu</w:t>
      </w:r>
      <w:r w:rsidR="57BC54C5">
        <w:rPr>
          <w:color w:val="000000" w:themeColor="text1"/>
        </w:rPr>
        <w:t>e</w:t>
      </w:r>
      <w:r w:rsidR="7EB867E6">
        <w:rPr>
          <w:color w:val="000000" w:themeColor="text1"/>
        </w:rPr>
        <w:t xml:space="preserve"> </w:t>
      </w:r>
      <w:r w:rsidR="7EBC758B">
        <w:rPr>
          <w:color w:val="000000" w:themeColor="text1"/>
        </w:rPr>
        <w:t>petitioners’</w:t>
      </w:r>
      <w:r w:rsidR="7EB867E6">
        <w:rPr>
          <w:color w:val="000000" w:themeColor="text1"/>
        </w:rPr>
        <w:t xml:space="preserve"> trials</w:t>
      </w:r>
      <w:r w:rsidR="084E7E0A">
        <w:rPr>
          <w:color w:val="000000" w:themeColor="text1"/>
        </w:rPr>
        <w:t>.</w:t>
      </w:r>
      <w:r w:rsidR="7A58CB93">
        <w:rPr>
          <w:color w:val="000000" w:themeColor="text1"/>
        </w:rPr>
        <w:t xml:space="preserve"> </w:t>
      </w:r>
      <w:r w:rsidR="6C6210ED">
        <w:rPr>
          <w:color w:val="000000" w:themeColor="text1"/>
        </w:rPr>
        <w:t>(</w:t>
      </w:r>
      <w:r w:rsidR="53CA4BD0" w:rsidRPr="797FBB80">
        <w:rPr>
          <w:i/>
          <w:iCs/>
          <w:color w:val="000000" w:themeColor="text1"/>
        </w:rPr>
        <w:t>Hernandez-Valenzuela</w:t>
      </w:r>
      <w:r w:rsidR="53CA4BD0" w:rsidRPr="797FBB80">
        <w:rPr>
          <w:color w:val="000000" w:themeColor="text1"/>
        </w:rPr>
        <w:t xml:space="preserve">, </w:t>
      </w:r>
      <w:r w:rsidR="53CA4BD0" w:rsidRPr="797FBB80">
        <w:rPr>
          <w:i/>
          <w:iCs/>
          <w:color w:val="000000" w:themeColor="text1"/>
        </w:rPr>
        <w:t>supra</w:t>
      </w:r>
      <w:r w:rsidR="53CA4BD0" w:rsidRPr="797FBB80">
        <w:rPr>
          <w:color w:val="000000" w:themeColor="text1"/>
        </w:rPr>
        <w:t>, 75 Cal.App.5th at p</w:t>
      </w:r>
      <w:r w:rsidR="003A6A98">
        <w:rPr>
          <w:color w:val="000000" w:themeColor="text1"/>
        </w:rPr>
        <w:t>p</w:t>
      </w:r>
      <w:r w:rsidR="53CA4BD0" w:rsidRPr="797FBB80">
        <w:rPr>
          <w:color w:val="000000" w:themeColor="text1"/>
        </w:rPr>
        <w:t>.</w:t>
      </w:r>
      <w:r w:rsidR="00BB2573">
        <w:rPr>
          <w:color w:val="000000" w:themeColor="text1"/>
        </w:rPr>
        <w:t> </w:t>
      </w:r>
      <w:r w:rsidR="6C6210ED">
        <w:rPr>
          <w:color w:val="000000" w:themeColor="text1"/>
        </w:rPr>
        <w:t>11</w:t>
      </w:r>
      <w:r w:rsidR="084E7E0A">
        <w:rPr>
          <w:color w:val="000000" w:themeColor="text1"/>
        </w:rPr>
        <w:t>27</w:t>
      </w:r>
      <w:r w:rsidR="6FC19D5B">
        <w:rPr>
          <w:color w:val="000000" w:themeColor="text1"/>
        </w:rPr>
        <w:t>, 1131</w:t>
      </w:r>
      <w:r w:rsidR="00613707">
        <w:rPr>
          <w:color w:val="000000" w:themeColor="text1"/>
        </w:rPr>
        <w:t>–</w:t>
      </w:r>
      <w:r w:rsidR="00D709B1">
        <w:rPr>
          <w:color w:val="000000" w:themeColor="text1"/>
        </w:rPr>
        <w:t>1132</w:t>
      </w:r>
      <w:r w:rsidR="45D09DAA">
        <w:rPr>
          <w:color w:val="000000" w:themeColor="text1"/>
        </w:rPr>
        <w:t>.</w:t>
      </w:r>
      <w:r w:rsidR="6C6210ED">
        <w:rPr>
          <w:color w:val="000000" w:themeColor="text1"/>
        </w:rPr>
        <w:t>)</w:t>
      </w:r>
      <w:r>
        <w:rPr>
          <w:color w:val="000000" w:themeColor="text1"/>
        </w:rPr>
        <w:t xml:space="preserve"> </w:t>
      </w:r>
    </w:p>
    <w:p w14:paraId="026BEE75" w14:textId="1555CE9C" w:rsidR="00781541" w:rsidRDefault="003D06AD" w:rsidP="797FBB80">
      <w:pPr>
        <w:autoSpaceDE w:val="0"/>
        <w:autoSpaceDN w:val="0"/>
        <w:adjustRightInd w:val="0"/>
        <w:spacing w:line="360" w:lineRule="auto"/>
        <w:rPr>
          <w:i/>
          <w:iCs/>
          <w:color w:val="000000" w:themeColor="text1"/>
        </w:rPr>
      </w:pPr>
      <w:r>
        <w:rPr>
          <w:color w:val="000000" w:themeColor="text1"/>
        </w:rPr>
        <w:tab/>
      </w:r>
      <w:r w:rsidR="6C6210ED">
        <w:rPr>
          <w:color w:val="000000" w:themeColor="text1"/>
        </w:rPr>
        <w:t xml:space="preserve">A </w:t>
      </w:r>
      <w:r w:rsidR="0D9EA35F">
        <w:rPr>
          <w:color w:val="000000" w:themeColor="text1"/>
        </w:rPr>
        <w:t>vigorous</w:t>
      </w:r>
      <w:r w:rsidR="6C6210ED">
        <w:rPr>
          <w:color w:val="000000" w:themeColor="text1"/>
        </w:rPr>
        <w:t xml:space="preserve"> dissent conclud</w:t>
      </w:r>
      <w:r w:rsidR="0F27A886">
        <w:rPr>
          <w:color w:val="000000" w:themeColor="text1"/>
        </w:rPr>
        <w:t>ed</w:t>
      </w:r>
      <w:r w:rsidR="6C6210ED">
        <w:rPr>
          <w:color w:val="000000" w:themeColor="text1"/>
        </w:rPr>
        <w:t xml:space="preserve"> that the good</w:t>
      </w:r>
      <w:r w:rsidR="3B27A110">
        <w:rPr>
          <w:color w:val="000000" w:themeColor="text1"/>
        </w:rPr>
        <w:t>-</w:t>
      </w:r>
      <w:r w:rsidR="6C6210ED">
        <w:rPr>
          <w:color w:val="000000" w:themeColor="text1"/>
        </w:rPr>
        <w:t xml:space="preserve">cause findings </w:t>
      </w:r>
      <w:r w:rsidR="589E62D2" w:rsidRPr="002D04D0">
        <w:rPr>
          <w:i/>
          <w:color w:val="000000" w:themeColor="text1"/>
        </w:rPr>
        <w:t>did</w:t>
      </w:r>
      <w:r w:rsidR="589E62D2">
        <w:rPr>
          <w:color w:val="000000" w:themeColor="text1"/>
        </w:rPr>
        <w:t xml:space="preserve"> constitute </w:t>
      </w:r>
      <w:r w:rsidR="4EDC59FC">
        <w:rPr>
          <w:color w:val="000000" w:themeColor="text1"/>
        </w:rPr>
        <w:t>an</w:t>
      </w:r>
      <w:r w:rsidR="589E62D2">
        <w:rPr>
          <w:color w:val="000000" w:themeColor="text1"/>
        </w:rPr>
        <w:t xml:space="preserve"> </w:t>
      </w:r>
      <w:r w:rsidR="6C6210ED">
        <w:rPr>
          <w:color w:val="000000" w:themeColor="text1"/>
        </w:rPr>
        <w:t>abuse of discretion</w:t>
      </w:r>
      <w:r w:rsidR="3B27A110">
        <w:rPr>
          <w:color w:val="000000" w:themeColor="text1"/>
        </w:rPr>
        <w:t>. (</w:t>
      </w:r>
      <w:r w:rsidR="00E37CFB" w:rsidRPr="797FBB80">
        <w:rPr>
          <w:i/>
          <w:iCs/>
          <w:color w:val="000000" w:themeColor="text1"/>
        </w:rPr>
        <w:t>Hernandez-Valenzuela</w:t>
      </w:r>
      <w:r w:rsidR="00E37CFB" w:rsidRPr="797FBB80">
        <w:rPr>
          <w:color w:val="000000" w:themeColor="text1"/>
        </w:rPr>
        <w:t xml:space="preserve">, </w:t>
      </w:r>
      <w:r w:rsidR="00E37CFB" w:rsidRPr="797FBB80">
        <w:rPr>
          <w:i/>
          <w:iCs/>
          <w:color w:val="000000" w:themeColor="text1"/>
        </w:rPr>
        <w:t>supra</w:t>
      </w:r>
      <w:r w:rsidR="00E37CFB" w:rsidRPr="797FBB80">
        <w:rPr>
          <w:color w:val="000000" w:themeColor="text1"/>
        </w:rPr>
        <w:t>, 75 Cal.App.5th</w:t>
      </w:r>
      <w:r w:rsidR="3B27A110">
        <w:rPr>
          <w:color w:val="000000" w:themeColor="text1"/>
        </w:rPr>
        <w:t xml:space="preserve"> at p.</w:t>
      </w:r>
      <w:r w:rsidR="02A12655">
        <w:rPr>
          <w:color w:val="000000" w:themeColor="text1"/>
        </w:rPr>
        <w:t> 1136</w:t>
      </w:r>
      <w:r w:rsidR="0042116D">
        <w:rPr>
          <w:color w:val="000000" w:themeColor="text1"/>
        </w:rPr>
        <w:t xml:space="preserve"> </w:t>
      </w:r>
      <w:r w:rsidR="02A12655">
        <w:rPr>
          <w:color w:val="000000" w:themeColor="text1"/>
        </w:rPr>
        <w:t xml:space="preserve">(dis. </w:t>
      </w:r>
      <w:proofErr w:type="spellStart"/>
      <w:r w:rsidR="02A12655">
        <w:rPr>
          <w:color w:val="000000" w:themeColor="text1"/>
        </w:rPr>
        <w:t>opn</w:t>
      </w:r>
      <w:proofErr w:type="spellEnd"/>
      <w:r w:rsidR="02A12655">
        <w:rPr>
          <w:color w:val="000000" w:themeColor="text1"/>
        </w:rPr>
        <w:t xml:space="preserve">. of </w:t>
      </w:r>
      <w:proofErr w:type="spellStart"/>
      <w:r w:rsidR="02A12655">
        <w:rPr>
          <w:color w:val="000000" w:themeColor="text1"/>
        </w:rPr>
        <w:t>Tucher</w:t>
      </w:r>
      <w:proofErr w:type="spellEnd"/>
      <w:r w:rsidR="02A12655">
        <w:rPr>
          <w:color w:val="000000" w:themeColor="text1"/>
        </w:rPr>
        <w:t>, P.</w:t>
      </w:r>
      <w:r w:rsidR="00AF1EEC">
        <w:rPr>
          <w:color w:val="000000" w:themeColor="text1"/>
        </w:rPr>
        <w:t> </w:t>
      </w:r>
      <w:r w:rsidR="02A12655">
        <w:rPr>
          <w:color w:val="000000" w:themeColor="text1"/>
        </w:rPr>
        <w:t>J.)</w:t>
      </w:r>
      <w:r w:rsidR="002A0AF9">
        <w:rPr>
          <w:color w:val="000000" w:themeColor="text1"/>
        </w:rPr>
        <w:t>.</w:t>
      </w:r>
      <w:r w:rsidR="3B27A110">
        <w:rPr>
          <w:color w:val="000000" w:themeColor="text1"/>
        </w:rPr>
        <w:t>)</w:t>
      </w:r>
      <w:r w:rsidR="6C6210ED">
        <w:rPr>
          <w:color w:val="000000" w:themeColor="text1"/>
        </w:rPr>
        <w:t xml:space="preserve"> </w:t>
      </w:r>
      <w:r w:rsidR="3B27A110">
        <w:rPr>
          <w:color w:val="000000" w:themeColor="text1"/>
        </w:rPr>
        <w:t>T</w:t>
      </w:r>
      <w:r w:rsidR="6C6210ED">
        <w:rPr>
          <w:color w:val="000000" w:themeColor="text1"/>
        </w:rPr>
        <w:t xml:space="preserve">he People had not borne their burden of proving </w:t>
      </w:r>
      <w:r w:rsidR="003D53DD">
        <w:rPr>
          <w:color w:val="000000" w:themeColor="text1"/>
        </w:rPr>
        <w:t>good cause to delay trial</w:t>
      </w:r>
      <w:r w:rsidR="00B27C67">
        <w:rPr>
          <w:color w:val="000000" w:themeColor="text1"/>
        </w:rPr>
        <w:t xml:space="preserve"> beyond the statutory last day</w:t>
      </w:r>
      <w:r w:rsidR="006D0C5B">
        <w:rPr>
          <w:color w:val="000000" w:themeColor="text1"/>
        </w:rPr>
        <w:t>. (</w:t>
      </w:r>
      <w:r w:rsidR="006D0C5B" w:rsidRPr="797FBB80">
        <w:rPr>
          <w:i/>
          <w:iCs/>
          <w:color w:val="000000" w:themeColor="text1"/>
        </w:rPr>
        <w:t>Id.</w:t>
      </w:r>
      <w:r w:rsidR="006D0C5B">
        <w:rPr>
          <w:color w:val="000000" w:themeColor="text1"/>
        </w:rPr>
        <w:t xml:space="preserve"> at p.</w:t>
      </w:r>
      <w:r w:rsidR="00BC3554">
        <w:rPr>
          <w:color w:val="000000" w:themeColor="text1"/>
        </w:rPr>
        <w:t> </w:t>
      </w:r>
      <w:r w:rsidR="006D0C5B">
        <w:rPr>
          <w:color w:val="000000" w:themeColor="text1"/>
        </w:rPr>
        <w:t>1142.) W</w:t>
      </w:r>
      <w:r w:rsidR="02A12655">
        <w:rPr>
          <w:color w:val="000000" w:themeColor="text1"/>
        </w:rPr>
        <w:t>hile the existence of a backlog</w:t>
      </w:r>
      <w:r w:rsidRPr="797FBB80">
        <w:rPr>
          <w:color w:val="000000" w:themeColor="text1"/>
        </w:rPr>
        <w:t xml:space="preserve"> when trials resumed</w:t>
      </w:r>
      <w:r w:rsidR="02A12655">
        <w:rPr>
          <w:color w:val="000000" w:themeColor="text1"/>
        </w:rPr>
        <w:t xml:space="preserve"> in June 2021 had been inevitable,</w:t>
      </w:r>
      <w:r w:rsidR="6C6210ED">
        <w:rPr>
          <w:color w:val="000000" w:themeColor="text1"/>
        </w:rPr>
        <w:t xml:space="preserve"> </w:t>
      </w:r>
      <w:r w:rsidR="3B27A110">
        <w:rPr>
          <w:color w:val="000000" w:themeColor="text1"/>
        </w:rPr>
        <w:t>the</w:t>
      </w:r>
      <w:r w:rsidR="006D0C5B">
        <w:rPr>
          <w:color w:val="000000" w:themeColor="text1"/>
        </w:rPr>
        <w:t xml:space="preserve"> court had not “</w:t>
      </w:r>
      <w:r w:rsidR="006D0C5B" w:rsidRPr="00633934">
        <w:rPr>
          <w:color w:val="000000" w:themeColor="text1"/>
        </w:rPr>
        <w:t>react</w:t>
      </w:r>
      <w:r w:rsidR="006D0C5B">
        <w:rPr>
          <w:color w:val="000000" w:themeColor="text1"/>
        </w:rPr>
        <w:t>[ed]</w:t>
      </w:r>
      <w:r w:rsidR="006D0C5B" w:rsidRPr="00633934">
        <w:rPr>
          <w:color w:val="000000" w:themeColor="text1"/>
        </w:rPr>
        <w:t xml:space="preserve"> with </w:t>
      </w:r>
      <w:r w:rsidR="006D0C5B" w:rsidRPr="00633934">
        <w:rPr>
          <w:color w:val="000000" w:themeColor="text1"/>
        </w:rPr>
        <w:lastRenderedPageBreak/>
        <w:t>urgency</w:t>
      </w:r>
      <w:r w:rsidR="006D0C5B">
        <w:rPr>
          <w:color w:val="000000" w:themeColor="text1"/>
        </w:rPr>
        <w:t xml:space="preserve">” </w:t>
      </w:r>
      <w:r w:rsidR="5278AA0E">
        <w:rPr>
          <w:color w:val="000000" w:themeColor="text1"/>
        </w:rPr>
        <w:t xml:space="preserve">or implemented </w:t>
      </w:r>
      <w:r w:rsidR="6961A148">
        <w:rPr>
          <w:color w:val="000000" w:themeColor="text1"/>
        </w:rPr>
        <w:t xml:space="preserve">obvious, </w:t>
      </w:r>
      <w:r w:rsidR="5278AA0E">
        <w:rPr>
          <w:color w:val="000000" w:themeColor="text1"/>
        </w:rPr>
        <w:t>common</w:t>
      </w:r>
      <w:r w:rsidR="00F236A1">
        <w:rPr>
          <w:color w:val="000000" w:themeColor="text1"/>
        </w:rPr>
        <w:t>-</w:t>
      </w:r>
      <w:r w:rsidR="5278AA0E">
        <w:rPr>
          <w:color w:val="000000" w:themeColor="text1"/>
        </w:rPr>
        <w:t xml:space="preserve">sense measures to address the backlog, instead </w:t>
      </w:r>
      <w:r w:rsidR="006D0C5B">
        <w:rPr>
          <w:color w:val="000000" w:themeColor="text1"/>
        </w:rPr>
        <w:t>“</w:t>
      </w:r>
      <w:r w:rsidR="006D0C5B" w:rsidRPr="00633934">
        <w:rPr>
          <w:color w:val="000000" w:themeColor="text1"/>
        </w:rPr>
        <w:t>allow</w:t>
      </w:r>
      <w:r w:rsidR="2FFE4088" w:rsidRPr="00633934">
        <w:rPr>
          <w:color w:val="000000" w:themeColor="text1"/>
        </w:rPr>
        <w:t>[</w:t>
      </w:r>
      <w:proofErr w:type="spellStart"/>
      <w:r w:rsidR="2FFE4088" w:rsidRPr="00633934">
        <w:rPr>
          <w:color w:val="000000" w:themeColor="text1"/>
        </w:rPr>
        <w:t>ing</w:t>
      </w:r>
      <w:proofErr w:type="spellEnd"/>
      <w:r w:rsidR="2FFE4088" w:rsidRPr="00633934">
        <w:rPr>
          <w:color w:val="000000" w:themeColor="text1"/>
        </w:rPr>
        <w:t>]</w:t>
      </w:r>
      <w:r w:rsidR="006D0C5B" w:rsidRPr="00633934">
        <w:rPr>
          <w:color w:val="000000" w:themeColor="text1"/>
        </w:rPr>
        <w:t xml:space="preserve"> the trial departments at the Hall of Justice to limp along at half strength</w:t>
      </w:r>
      <w:r w:rsidR="006D0C5B">
        <w:rPr>
          <w:color w:val="000000" w:themeColor="text1"/>
        </w:rPr>
        <w:t xml:space="preserve">,” </w:t>
      </w:r>
      <w:r w:rsidR="03D4C3CA">
        <w:rPr>
          <w:color w:val="000000" w:themeColor="text1"/>
        </w:rPr>
        <w:t xml:space="preserve">so </w:t>
      </w:r>
      <w:r w:rsidR="53CD81FB">
        <w:rPr>
          <w:color w:val="000000" w:themeColor="text1"/>
        </w:rPr>
        <w:t>“</w:t>
      </w:r>
      <w:r w:rsidR="006D0C5B">
        <w:rPr>
          <w:color w:val="000000" w:themeColor="text1"/>
        </w:rPr>
        <w:t>that the backlog of felony cases actually grew.”</w:t>
      </w:r>
      <w:r w:rsidR="006D0C5B" w:rsidRPr="00633934">
        <w:rPr>
          <w:color w:val="000000" w:themeColor="text1"/>
        </w:rPr>
        <w:t xml:space="preserve"> </w:t>
      </w:r>
      <w:r w:rsidR="006D0C5B">
        <w:rPr>
          <w:color w:val="000000" w:themeColor="text1"/>
        </w:rPr>
        <w:t>(</w:t>
      </w:r>
      <w:r w:rsidR="006D0C5B" w:rsidRPr="797FBB80">
        <w:rPr>
          <w:i/>
          <w:iCs/>
          <w:color w:val="000000" w:themeColor="text1"/>
        </w:rPr>
        <w:t>Id.</w:t>
      </w:r>
      <w:r w:rsidR="006D0C5B">
        <w:rPr>
          <w:color w:val="000000" w:themeColor="text1"/>
        </w:rPr>
        <w:t xml:space="preserve"> at p. 1138</w:t>
      </w:r>
      <w:r w:rsidR="444721DC">
        <w:rPr>
          <w:color w:val="000000" w:themeColor="text1"/>
        </w:rPr>
        <w:t>, 1141</w:t>
      </w:r>
      <w:r w:rsidR="00430879">
        <w:rPr>
          <w:color w:val="000000" w:themeColor="text1"/>
        </w:rPr>
        <w:t>–</w:t>
      </w:r>
      <w:r w:rsidR="444721DC">
        <w:rPr>
          <w:color w:val="000000" w:themeColor="text1"/>
        </w:rPr>
        <w:t>42.</w:t>
      </w:r>
      <w:r w:rsidR="006D0C5B">
        <w:rPr>
          <w:color w:val="000000" w:themeColor="text1"/>
        </w:rPr>
        <w:t xml:space="preserve">) </w:t>
      </w:r>
      <w:r w:rsidR="00DE5CBD">
        <w:rPr>
          <w:color w:val="000000" w:themeColor="text1"/>
        </w:rPr>
        <w:t>Further,</w:t>
      </w:r>
      <w:r w:rsidR="006009FF">
        <w:t xml:space="preserve"> </w:t>
      </w:r>
      <w:r w:rsidR="00AF0FCA">
        <w:t>the decision to delay petitioners’ trials plainly inflicted “significant” prejudice on petitioners, in part due to their prolonged pretrial incarceration under additional restrictions necessitated by the pandemic</w:t>
      </w:r>
      <w:r w:rsidR="006009FF">
        <w:t>.</w:t>
      </w:r>
      <w:r w:rsidR="00AF0FCA">
        <w:t xml:space="preserve"> (</w:t>
      </w:r>
      <w:r w:rsidR="006009FF">
        <w:rPr>
          <w:i/>
          <w:iCs/>
        </w:rPr>
        <w:t>Id.</w:t>
      </w:r>
      <w:r w:rsidR="00AF0FCA">
        <w:t xml:space="preserve"> at p.</w:t>
      </w:r>
      <w:r w:rsidR="00BD35F0">
        <w:t> </w:t>
      </w:r>
      <w:r w:rsidR="00AF0FCA">
        <w:t>1140</w:t>
      </w:r>
      <w:r w:rsidR="0027016A">
        <w:t xml:space="preserve"> &amp; fn.</w:t>
      </w:r>
      <w:r w:rsidR="00BD35F0">
        <w:t> </w:t>
      </w:r>
      <w:r w:rsidR="0027016A">
        <w:t>4</w:t>
      </w:r>
      <w:r w:rsidR="006009FF">
        <w:t>.</w:t>
      </w:r>
      <w:r w:rsidR="00AF0FCA">
        <w:t>)</w:t>
      </w:r>
      <w:r>
        <w:rPr>
          <w:rStyle w:val="FootnoteReference"/>
          <w:color w:val="000000" w:themeColor="text1"/>
        </w:rPr>
        <w:footnoteReference w:id="22"/>
      </w:r>
    </w:p>
    <w:p w14:paraId="6B17EBFC" w14:textId="0BBC8AC3" w:rsidR="00430EED" w:rsidRDefault="003D06AD" w:rsidP="00826C87">
      <w:pPr>
        <w:autoSpaceDE w:val="0"/>
        <w:autoSpaceDN w:val="0"/>
        <w:adjustRightInd w:val="0"/>
        <w:spacing w:line="360" w:lineRule="auto"/>
        <w:rPr>
          <w:color w:val="000000" w:themeColor="text1"/>
        </w:rPr>
      </w:pPr>
      <w:r>
        <w:rPr>
          <w:i/>
          <w:iCs/>
          <w:color w:val="000000" w:themeColor="text1"/>
        </w:rPr>
        <w:tab/>
      </w:r>
      <w:r w:rsidR="00C531CA">
        <w:rPr>
          <w:color w:val="000000" w:themeColor="text1"/>
        </w:rPr>
        <w:t>R</w:t>
      </w:r>
      <w:r w:rsidR="00355712">
        <w:rPr>
          <w:color w:val="000000" w:themeColor="text1"/>
        </w:rPr>
        <w:t>ecently</w:t>
      </w:r>
      <w:r w:rsidRPr="797FBB80">
        <w:rPr>
          <w:color w:val="000000" w:themeColor="text1"/>
        </w:rPr>
        <w:t xml:space="preserve">, </w:t>
      </w:r>
      <w:r w:rsidR="19AB8279">
        <w:rPr>
          <w:color w:val="000000" w:themeColor="text1"/>
        </w:rPr>
        <w:t xml:space="preserve">Division One </w:t>
      </w:r>
      <w:r w:rsidR="57A77EA9">
        <w:rPr>
          <w:color w:val="000000" w:themeColor="text1"/>
        </w:rPr>
        <w:t>den</w:t>
      </w:r>
      <w:r w:rsidR="19AB8279">
        <w:rPr>
          <w:color w:val="000000" w:themeColor="text1"/>
        </w:rPr>
        <w:t>ied</w:t>
      </w:r>
      <w:r w:rsidR="57A77EA9">
        <w:rPr>
          <w:color w:val="000000" w:themeColor="text1"/>
        </w:rPr>
        <w:t xml:space="preserve"> two </w:t>
      </w:r>
      <w:r w:rsidR="1427430B">
        <w:rPr>
          <w:color w:val="000000" w:themeColor="text1"/>
        </w:rPr>
        <w:t xml:space="preserve">more </w:t>
      </w:r>
      <w:r w:rsidR="57A77EA9">
        <w:rPr>
          <w:color w:val="000000" w:themeColor="text1"/>
        </w:rPr>
        <w:t xml:space="preserve">mandamus petitions alleging that </w:t>
      </w:r>
      <w:r w:rsidR="00CD5E7F">
        <w:rPr>
          <w:color w:val="000000" w:themeColor="text1"/>
        </w:rPr>
        <w:t xml:space="preserve">judges </w:t>
      </w:r>
      <w:r w:rsidR="00D70A6A">
        <w:rPr>
          <w:color w:val="000000" w:themeColor="text1"/>
        </w:rPr>
        <w:t xml:space="preserve">of </w:t>
      </w:r>
      <w:r w:rsidR="57A77EA9">
        <w:rPr>
          <w:color w:val="000000" w:themeColor="text1"/>
        </w:rPr>
        <w:t xml:space="preserve">defendant court abused </w:t>
      </w:r>
      <w:r w:rsidR="00D70A6A">
        <w:rPr>
          <w:color w:val="000000" w:themeColor="text1"/>
        </w:rPr>
        <w:t>their</w:t>
      </w:r>
      <w:r w:rsidR="57A77EA9">
        <w:rPr>
          <w:color w:val="000000" w:themeColor="text1"/>
        </w:rPr>
        <w:t xml:space="preserve"> discretion in finding good cause</w:t>
      </w:r>
      <w:r w:rsidR="19AB8279">
        <w:rPr>
          <w:color w:val="000000" w:themeColor="text1"/>
        </w:rPr>
        <w:t xml:space="preserve"> </w:t>
      </w:r>
      <w:r w:rsidR="57A77EA9">
        <w:rPr>
          <w:color w:val="000000" w:themeColor="text1"/>
        </w:rPr>
        <w:t xml:space="preserve">to continue </w:t>
      </w:r>
      <w:r w:rsidR="1ADBCCE8">
        <w:rPr>
          <w:color w:val="000000" w:themeColor="text1"/>
        </w:rPr>
        <w:t>petitioners’</w:t>
      </w:r>
      <w:r w:rsidR="57A77EA9">
        <w:rPr>
          <w:color w:val="000000" w:themeColor="text1"/>
        </w:rPr>
        <w:t xml:space="preserve"> trials</w:t>
      </w:r>
      <w:r w:rsidR="00AD29E9">
        <w:rPr>
          <w:color w:val="000000" w:themeColor="text1"/>
        </w:rPr>
        <w:t xml:space="preserve"> beyond their statutory last day</w:t>
      </w:r>
      <w:r w:rsidR="002C77DA">
        <w:rPr>
          <w:color w:val="000000" w:themeColor="text1"/>
        </w:rPr>
        <w:t xml:space="preserve"> and declining to grant petitioner</w:t>
      </w:r>
      <w:r w:rsidR="0083322B">
        <w:rPr>
          <w:color w:val="000000" w:themeColor="text1"/>
        </w:rPr>
        <w:t>s</w:t>
      </w:r>
      <w:r w:rsidR="002C77DA">
        <w:rPr>
          <w:color w:val="000000" w:themeColor="text1"/>
        </w:rPr>
        <w:t>’ section 1382 motions to dismiss</w:t>
      </w:r>
      <w:r w:rsidR="57A77EA9">
        <w:rPr>
          <w:color w:val="000000" w:themeColor="text1"/>
        </w:rPr>
        <w:t>. (</w:t>
      </w:r>
      <w:r w:rsidR="1ADBCCE8" w:rsidRPr="797FBB80">
        <w:rPr>
          <w:i/>
          <w:iCs/>
          <w:color w:val="000000" w:themeColor="text1"/>
        </w:rPr>
        <w:t>Estrada v. Superior Court</w:t>
      </w:r>
      <w:r w:rsidR="00CA684A">
        <w:rPr>
          <w:color w:val="000000" w:themeColor="text1"/>
        </w:rPr>
        <w:t xml:space="preserve"> (2023)</w:t>
      </w:r>
      <w:r w:rsidR="1ADBCCE8">
        <w:rPr>
          <w:color w:val="000000" w:themeColor="text1"/>
        </w:rPr>
        <w:t xml:space="preserve"> 88</w:t>
      </w:r>
      <w:r w:rsidR="00C10597">
        <w:rPr>
          <w:color w:val="000000" w:themeColor="text1"/>
        </w:rPr>
        <w:t> </w:t>
      </w:r>
      <w:r w:rsidR="1ADBCCE8">
        <w:rPr>
          <w:color w:val="000000" w:themeColor="text1"/>
        </w:rPr>
        <w:t>Cal.App.5th 1096,</w:t>
      </w:r>
      <w:r w:rsidR="1ADBCCE8" w:rsidRPr="003A696A">
        <w:rPr>
          <w:color w:val="000000" w:themeColor="text1"/>
        </w:rPr>
        <w:t xml:space="preserve"> </w:t>
      </w:r>
      <w:r w:rsidR="1ADBCCE8">
        <w:rPr>
          <w:color w:val="000000" w:themeColor="text1"/>
        </w:rPr>
        <w:t>11</w:t>
      </w:r>
      <w:r w:rsidR="003637D9">
        <w:rPr>
          <w:color w:val="000000" w:themeColor="text1"/>
        </w:rPr>
        <w:t>0</w:t>
      </w:r>
      <w:r w:rsidR="1ADBCCE8">
        <w:rPr>
          <w:color w:val="000000" w:themeColor="text1"/>
        </w:rPr>
        <w:t>1</w:t>
      </w:r>
      <w:r w:rsidR="007477FF">
        <w:rPr>
          <w:color w:val="000000" w:themeColor="text1"/>
        </w:rPr>
        <w:t xml:space="preserve"> (</w:t>
      </w:r>
      <w:r w:rsidR="007477FF">
        <w:rPr>
          <w:i/>
          <w:iCs/>
          <w:color w:val="000000" w:themeColor="text1"/>
        </w:rPr>
        <w:t>Estrada</w:t>
      </w:r>
      <w:r w:rsidR="007477FF">
        <w:rPr>
          <w:color w:val="000000" w:themeColor="text1"/>
        </w:rPr>
        <w:t>)</w:t>
      </w:r>
      <w:r w:rsidR="57A77EA9">
        <w:rPr>
          <w:color w:val="000000" w:themeColor="text1"/>
        </w:rPr>
        <w:t xml:space="preserve">.) </w:t>
      </w:r>
      <w:r w:rsidR="00BD4FBF">
        <w:rPr>
          <w:color w:val="000000" w:themeColor="text1"/>
        </w:rPr>
        <w:t>After summarizing</w:t>
      </w:r>
      <w:r w:rsidR="106260E1">
        <w:rPr>
          <w:color w:val="000000" w:themeColor="text1"/>
        </w:rPr>
        <w:t xml:space="preserve"> </w:t>
      </w:r>
      <w:r w:rsidR="106260E1" w:rsidRPr="797FBB80">
        <w:rPr>
          <w:i/>
          <w:iCs/>
          <w:color w:val="000000" w:themeColor="text1"/>
        </w:rPr>
        <w:t>Hernandez-Valenzuela</w:t>
      </w:r>
      <w:r w:rsidR="00BD4FBF">
        <w:rPr>
          <w:color w:val="000000" w:themeColor="text1"/>
        </w:rPr>
        <w:t>’s</w:t>
      </w:r>
      <w:r w:rsidR="106260E1">
        <w:rPr>
          <w:color w:val="000000" w:themeColor="text1"/>
        </w:rPr>
        <w:t xml:space="preserve"> majority opinion (</w:t>
      </w:r>
      <w:r w:rsidR="106260E1" w:rsidRPr="797FBB80">
        <w:rPr>
          <w:i/>
          <w:iCs/>
          <w:color w:val="000000" w:themeColor="text1"/>
        </w:rPr>
        <w:t>id.</w:t>
      </w:r>
      <w:r w:rsidR="106260E1">
        <w:rPr>
          <w:color w:val="000000" w:themeColor="text1"/>
        </w:rPr>
        <w:t xml:space="preserve"> at pp. 1101–1103, 1106–1112), Division One </w:t>
      </w:r>
      <w:r w:rsidR="1ADBCCE8">
        <w:rPr>
          <w:color w:val="000000" w:themeColor="text1"/>
        </w:rPr>
        <w:t>found</w:t>
      </w:r>
      <w:r w:rsidR="106260E1">
        <w:rPr>
          <w:color w:val="000000" w:themeColor="text1"/>
        </w:rPr>
        <w:t>—</w:t>
      </w:r>
      <w:r w:rsidR="1427430B">
        <w:rPr>
          <w:color w:val="000000" w:themeColor="text1"/>
        </w:rPr>
        <w:t xml:space="preserve">again </w:t>
      </w:r>
      <w:r w:rsidR="106260E1">
        <w:rPr>
          <w:color w:val="000000" w:themeColor="text1"/>
        </w:rPr>
        <w:t xml:space="preserve">based on an evidentiary record—that </w:t>
      </w:r>
      <w:r w:rsidR="42A6C00D">
        <w:rPr>
          <w:color w:val="000000" w:themeColor="text1"/>
        </w:rPr>
        <w:t xml:space="preserve">in 2022 </w:t>
      </w:r>
      <w:r w:rsidR="106260E1">
        <w:rPr>
          <w:color w:val="000000" w:themeColor="text1"/>
        </w:rPr>
        <w:t>defendants had made some progress</w:t>
      </w:r>
      <w:r w:rsidRPr="797FBB80">
        <w:rPr>
          <w:color w:val="000000" w:themeColor="text1"/>
        </w:rPr>
        <w:t xml:space="preserve"> in </w:t>
      </w:r>
      <w:r w:rsidR="106260E1">
        <w:rPr>
          <w:color w:val="000000" w:themeColor="text1"/>
        </w:rPr>
        <w:t xml:space="preserve">reducing the backlog, increased the </w:t>
      </w:r>
      <w:r w:rsidR="1ADBCCE8">
        <w:rPr>
          <w:color w:val="000000" w:themeColor="text1"/>
        </w:rPr>
        <w:t xml:space="preserve">percentage </w:t>
      </w:r>
      <w:r w:rsidR="106260E1">
        <w:rPr>
          <w:color w:val="000000" w:themeColor="text1"/>
        </w:rPr>
        <w:t xml:space="preserve">of Hall of Justice courtrooms </w:t>
      </w:r>
      <w:proofErr w:type="gramStart"/>
      <w:r w:rsidR="1ADBCCE8">
        <w:rPr>
          <w:color w:val="000000" w:themeColor="text1"/>
        </w:rPr>
        <w:t>actually in</w:t>
      </w:r>
      <w:proofErr w:type="gramEnd"/>
      <w:r w:rsidR="1ADBCCE8">
        <w:rPr>
          <w:color w:val="000000" w:themeColor="text1"/>
        </w:rPr>
        <w:t xml:space="preserve"> use </w:t>
      </w:r>
      <w:r w:rsidR="106260E1">
        <w:rPr>
          <w:color w:val="000000" w:themeColor="text1"/>
        </w:rPr>
        <w:t>from roughly 30</w:t>
      </w:r>
      <w:r w:rsidR="00637E5D">
        <w:rPr>
          <w:color w:val="000000" w:themeColor="text1"/>
        </w:rPr>
        <w:t xml:space="preserve"> percent</w:t>
      </w:r>
      <w:r w:rsidR="106260E1">
        <w:rPr>
          <w:color w:val="000000" w:themeColor="text1"/>
        </w:rPr>
        <w:t xml:space="preserve"> to 73</w:t>
      </w:r>
      <w:r w:rsidR="00C25250">
        <w:rPr>
          <w:color w:val="000000" w:themeColor="text1"/>
        </w:rPr>
        <w:t> </w:t>
      </w:r>
      <w:r w:rsidR="00637E5D">
        <w:rPr>
          <w:color w:val="000000" w:themeColor="text1"/>
        </w:rPr>
        <w:t>percent</w:t>
      </w:r>
      <w:r w:rsidR="106260E1">
        <w:rPr>
          <w:color w:val="000000" w:themeColor="text1"/>
        </w:rPr>
        <w:t xml:space="preserve">, and </w:t>
      </w:r>
      <w:r w:rsidR="6022C771">
        <w:rPr>
          <w:color w:val="000000" w:themeColor="text1"/>
        </w:rPr>
        <w:t xml:space="preserve">implemented many of </w:t>
      </w:r>
      <w:r w:rsidR="19AB8279">
        <w:rPr>
          <w:color w:val="000000" w:themeColor="text1"/>
        </w:rPr>
        <w:t xml:space="preserve">the </w:t>
      </w:r>
      <w:r w:rsidR="00903CAB">
        <w:rPr>
          <w:color w:val="000000" w:themeColor="text1"/>
        </w:rPr>
        <w:t xml:space="preserve">remedial </w:t>
      </w:r>
      <w:r w:rsidR="19AB8279">
        <w:rPr>
          <w:color w:val="000000" w:themeColor="text1"/>
        </w:rPr>
        <w:t>measures proposed</w:t>
      </w:r>
      <w:r w:rsidR="00903CAB">
        <w:rPr>
          <w:color w:val="000000" w:themeColor="text1"/>
        </w:rPr>
        <w:t xml:space="preserve"> </w:t>
      </w:r>
      <w:r w:rsidR="19AB8279">
        <w:rPr>
          <w:color w:val="000000" w:themeColor="text1"/>
        </w:rPr>
        <w:t xml:space="preserve">in </w:t>
      </w:r>
      <w:r w:rsidR="6022C771" w:rsidRPr="797FBB80">
        <w:rPr>
          <w:i/>
          <w:iCs/>
          <w:color w:val="000000" w:themeColor="text1"/>
        </w:rPr>
        <w:t>Hernandez-Valenzuela</w:t>
      </w:r>
      <w:r w:rsidR="1ADBCCE8">
        <w:rPr>
          <w:color w:val="000000" w:themeColor="text1"/>
        </w:rPr>
        <w:t>.</w:t>
      </w:r>
      <w:r>
        <w:rPr>
          <w:rStyle w:val="FootnoteReference"/>
          <w:color w:val="000000" w:themeColor="text1"/>
        </w:rPr>
        <w:footnoteReference w:id="23"/>
      </w:r>
      <w:r w:rsidR="6022C771">
        <w:rPr>
          <w:color w:val="000000" w:themeColor="text1"/>
        </w:rPr>
        <w:t xml:space="preserve"> </w:t>
      </w:r>
      <w:r w:rsidR="106260E1">
        <w:rPr>
          <w:color w:val="000000" w:themeColor="text1"/>
        </w:rPr>
        <w:t>(</w:t>
      </w:r>
      <w:r w:rsidR="00386AAD">
        <w:rPr>
          <w:i/>
          <w:iCs/>
          <w:color w:val="000000" w:themeColor="text1"/>
        </w:rPr>
        <w:t>Id</w:t>
      </w:r>
      <w:r w:rsidR="00E15F19">
        <w:rPr>
          <w:i/>
          <w:iCs/>
          <w:color w:val="000000" w:themeColor="text1"/>
        </w:rPr>
        <w:t>.</w:t>
      </w:r>
      <w:r w:rsidR="00B86DB9">
        <w:rPr>
          <w:i/>
          <w:iCs/>
          <w:color w:val="000000" w:themeColor="text1"/>
        </w:rPr>
        <w:t xml:space="preserve"> </w:t>
      </w:r>
      <w:r w:rsidR="106260E1">
        <w:rPr>
          <w:color w:val="000000" w:themeColor="text1"/>
        </w:rPr>
        <w:t xml:space="preserve">at </w:t>
      </w:r>
      <w:r w:rsidR="6022C771">
        <w:rPr>
          <w:color w:val="000000" w:themeColor="text1"/>
        </w:rPr>
        <w:t xml:space="preserve">pp. 1112–1115, </w:t>
      </w:r>
      <w:r w:rsidR="106260E1">
        <w:rPr>
          <w:color w:val="000000" w:themeColor="text1"/>
        </w:rPr>
        <w:t>1122</w:t>
      </w:r>
      <w:r w:rsidR="00BB6D96">
        <w:rPr>
          <w:color w:val="000000" w:themeColor="text1"/>
        </w:rPr>
        <w:t>–1123</w:t>
      </w:r>
      <w:r w:rsidR="6022C771">
        <w:rPr>
          <w:color w:val="000000" w:themeColor="text1"/>
        </w:rPr>
        <w:t xml:space="preserve">.) </w:t>
      </w:r>
      <w:r w:rsidR="003515D5">
        <w:rPr>
          <w:color w:val="000000" w:themeColor="text1"/>
        </w:rPr>
        <w:t xml:space="preserve">After “considering the totality of the circumstances,” </w:t>
      </w:r>
      <w:r w:rsidR="00634F3E">
        <w:rPr>
          <w:color w:val="000000" w:themeColor="text1"/>
        </w:rPr>
        <w:t>it found</w:t>
      </w:r>
      <w:r w:rsidR="00FC06B3">
        <w:rPr>
          <w:color w:val="000000" w:themeColor="text1"/>
        </w:rPr>
        <w:t xml:space="preserve"> </w:t>
      </w:r>
      <w:r w:rsidR="005D2EF8">
        <w:rPr>
          <w:color w:val="000000" w:themeColor="text1"/>
        </w:rPr>
        <w:t xml:space="preserve">that petitioners’ </w:t>
      </w:r>
      <w:r w:rsidR="00FC06B3">
        <w:rPr>
          <w:color w:val="000000" w:themeColor="text1"/>
        </w:rPr>
        <w:t xml:space="preserve">cases were delayed </w:t>
      </w:r>
      <w:r w:rsidR="1ADBCCE8">
        <w:rPr>
          <w:color w:val="000000" w:themeColor="text1"/>
        </w:rPr>
        <w:t xml:space="preserve">due to </w:t>
      </w:r>
      <w:r w:rsidR="00FC06B3">
        <w:rPr>
          <w:color w:val="000000" w:themeColor="text1"/>
        </w:rPr>
        <w:t xml:space="preserve">“the </w:t>
      </w:r>
      <w:r w:rsidR="00E03150">
        <w:rPr>
          <w:color w:val="000000" w:themeColor="text1"/>
        </w:rPr>
        <w:t xml:space="preserve">continuing </w:t>
      </w:r>
      <w:r w:rsidR="00FC06B3">
        <w:rPr>
          <w:color w:val="000000" w:themeColor="text1"/>
        </w:rPr>
        <w:t>sequelae</w:t>
      </w:r>
      <w:r w:rsidR="00E03150">
        <w:rPr>
          <w:color w:val="000000" w:themeColor="text1"/>
        </w:rPr>
        <w:t xml:space="preserve"> of the </w:t>
      </w:r>
      <w:proofErr w:type="spellStart"/>
      <w:r w:rsidR="00E03150">
        <w:rPr>
          <w:color w:val="000000" w:themeColor="text1"/>
        </w:rPr>
        <w:t>COVD</w:t>
      </w:r>
      <w:r w:rsidR="00AD208F">
        <w:rPr>
          <w:color w:val="000000" w:themeColor="text1"/>
        </w:rPr>
        <w:noBreakHyphen/>
      </w:r>
      <w:r w:rsidR="00E03150">
        <w:rPr>
          <w:color w:val="000000" w:themeColor="text1"/>
        </w:rPr>
        <w:t>19</w:t>
      </w:r>
      <w:proofErr w:type="spellEnd"/>
      <w:r w:rsidR="00E03150">
        <w:rPr>
          <w:color w:val="000000" w:themeColor="text1"/>
        </w:rPr>
        <w:t xml:space="preserve"> </w:t>
      </w:r>
      <w:r w:rsidR="1ADBCCE8">
        <w:rPr>
          <w:color w:val="000000" w:themeColor="text1"/>
        </w:rPr>
        <w:t>pandemic</w:t>
      </w:r>
      <w:r w:rsidR="00B33CF4">
        <w:rPr>
          <w:color w:val="000000" w:themeColor="text1"/>
        </w:rPr>
        <w:t>”</w:t>
      </w:r>
      <w:r w:rsidR="0057676E">
        <w:rPr>
          <w:color w:val="000000" w:themeColor="text1"/>
        </w:rPr>
        <w:t xml:space="preserve"> </w:t>
      </w:r>
      <w:r w:rsidR="00221BEE">
        <w:rPr>
          <w:color w:val="000000" w:themeColor="text1"/>
        </w:rPr>
        <w:t xml:space="preserve">and, </w:t>
      </w:r>
      <w:r w:rsidR="00221BEE">
        <w:rPr>
          <w:color w:val="000000" w:themeColor="text1"/>
        </w:rPr>
        <w:lastRenderedPageBreak/>
        <w:t xml:space="preserve">as such, there was no abuse of discretion in finding good cause to continue </w:t>
      </w:r>
      <w:r w:rsidR="00634F3E">
        <w:rPr>
          <w:color w:val="000000" w:themeColor="text1"/>
        </w:rPr>
        <w:t>petitioners’</w:t>
      </w:r>
      <w:r w:rsidR="00221BEE">
        <w:rPr>
          <w:color w:val="000000" w:themeColor="text1"/>
        </w:rPr>
        <w:t xml:space="preserve"> trials or in declining to dismiss the cases</w:t>
      </w:r>
      <w:r w:rsidR="00634F3E">
        <w:rPr>
          <w:color w:val="000000" w:themeColor="text1"/>
        </w:rPr>
        <w:t>.</w:t>
      </w:r>
      <w:r w:rsidR="1ADBCCE8">
        <w:rPr>
          <w:color w:val="000000" w:themeColor="text1"/>
        </w:rPr>
        <w:t xml:space="preserve"> </w:t>
      </w:r>
      <w:r w:rsidR="4481E505">
        <w:rPr>
          <w:color w:val="000000" w:themeColor="text1"/>
        </w:rPr>
        <w:t>(</w:t>
      </w:r>
      <w:r w:rsidR="4481E505" w:rsidRPr="797FBB80">
        <w:rPr>
          <w:i/>
          <w:iCs/>
          <w:color w:val="000000" w:themeColor="text1"/>
        </w:rPr>
        <w:t>Id.</w:t>
      </w:r>
      <w:r w:rsidR="4481E505">
        <w:rPr>
          <w:color w:val="000000" w:themeColor="text1"/>
        </w:rPr>
        <w:t xml:space="preserve"> at pp.</w:t>
      </w:r>
      <w:r w:rsidR="00851F6C">
        <w:rPr>
          <w:color w:val="000000" w:themeColor="text1"/>
        </w:rPr>
        <w:t> </w:t>
      </w:r>
      <w:r w:rsidR="2D3596D8">
        <w:rPr>
          <w:color w:val="000000" w:themeColor="text1"/>
        </w:rPr>
        <w:t>1117–1118, 1121</w:t>
      </w:r>
      <w:r w:rsidR="001D4BE5">
        <w:rPr>
          <w:color w:val="000000" w:themeColor="text1"/>
        </w:rPr>
        <w:t>, 1124</w:t>
      </w:r>
      <w:r w:rsidR="2D3596D8">
        <w:rPr>
          <w:color w:val="000000" w:themeColor="text1"/>
        </w:rPr>
        <w:t xml:space="preserve">.) </w:t>
      </w:r>
    </w:p>
    <w:p w14:paraId="0E2C4014" w14:textId="0E3433BA" w:rsidR="00A6064F" w:rsidRPr="00A33197" w:rsidRDefault="003D06AD" w:rsidP="00131128">
      <w:pPr>
        <w:autoSpaceDE w:val="0"/>
        <w:autoSpaceDN w:val="0"/>
        <w:adjustRightInd w:val="0"/>
        <w:spacing w:line="360" w:lineRule="auto"/>
        <w:contextualSpacing/>
        <w:rPr>
          <w:i/>
          <w:iCs/>
          <w:color w:val="000000" w:themeColor="text1"/>
        </w:rPr>
      </w:pPr>
      <w:r>
        <w:rPr>
          <w:color w:val="000000" w:themeColor="text1"/>
        </w:rPr>
        <w:tab/>
      </w:r>
      <w:r w:rsidR="33B7701C">
        <w:rPr>
          <w:color w:val="000000" w:themeColor="text1"/>
        </w:rPr>
        <w:t xml:space="preserve">Defendants do not contend that </w:t>
      </w:r>
      <w:r w:rsidR="00841811">
        <w:rPr>
          <w:color w:val="000000" w:themeColor="text1"/>
        </w:rPr>
        <w:t xml:space="preserve">either of </w:t>
      </w:r>
      <w:r w:rsidR="00D47C51">
        <w:rPr>
          <w:color w:val="000000" w:themeColor="text1"/>
        </w:rPr>
        <w:t xml:space="preserve">these cases </w:t>
      </w:r>
      <w:r w:rsidR="00B861F9">
        <w:rPr>
          <w:color w:val="000000" w:themeColor="text1"/>
        </w:rPr>
        <w:t>has</w:t>
      </w:r>
      <w:r w:rsidR="33B7701C">
        <w:rPr>
          <w:color w:val="000000" w:themeColor="text1"/>
        </w:rPr>
        <w:t xml:space="preserve"> preclusive effect</w:t>
      </w:r>
      <w:r w:rsidR="00000466">
        <w:rPr>
          <w:color w:val="000000" w:themeColor="text1"/>
        </w:rPr>
        <w:t xml:space="preserve"> or establishes </w:t>
      </w:r>
      <w:r w:rsidR="00A54A3C">
        <w:rPr>
          <w:color w:val="000000" w:themeColor="text1"/>
        </w:rPr>
        <w:t>some</w:t>
      </w:r>
      <w:r w:rsidR="00000466">
        <w:rPr>
          <w:color w:val="000000" w:themeColor="text1"/>
        </w:rPr>
        <w:t xml:space="preserve"> legal principle that</w:t>
      </w:r>
      <w:r w:rsidR="007E72E1">
        <w:rPr>
          <w:color w:val="000000" w:themeColor="text1"/>
        </w:rPr>
        <w:t xml:space="preserve"> would b</w:t>
      </w:r>
      <w:r w:rsidR="00685D23">
        <w:rPr>
          <w:color w:val="000000" w:themeColor="text1"/>
        </w:rPr>
        <w:t>ar</w:t>
      </w:r>
      <w:r w:rsidR="7420C914" w:rsidRPr="797FBB80">
        <w:rPr>
          <w:color w:val="000000" w:themeColor="text1"/>
        </w:rPr>
        <w:t xml:space="preserve"> plaintiffs’ claims as a matter of law</w:t>
      </w:r>
      <w:r w:rsidR="01CA0351">
        <w:rPr>
          <w:color w:val="000000" w:themeColor="text1"/>
        </w:rPr>
        <w:t>. N</w:t>
      </w:r>
      <w:r w:rsidR="02C59AF8" w:rsidRPr="797FBB80">
        <w:rPr>
          <w:color w:val="000000" w:themeColor="text1"/>
        </w:rPr>
        <w:t xml:space="preserve">or </w:t>
      </w:r>
      <w:r w:rsidR="01CA0351">
        <w:rPr>
          <w:color w:val="000000" w:themeColor="text1"/>
        </w:rPr>
        <w:t>do they</w:t>
      </w:r>
      <w:r w:rsidR="33B7701C">
        <w:rPr>
          <w:color w:val="000000" w:themeColor="text1"/>
        </w:rPr>
        <w:t xml:space="preserve"> suggest we could take judicial notice of the truth of any fact</w:t>
      </w:r>
      <w:r w:rsidR="0262FE15" w:rsidRPr="797FBB80">
        <w:rPr>
          <w:color w:val="000000" w:themeColor="text1"/>
        </w:rPr>
        <w:t xml:space="preserve">ual findings in those cases </w:t>
      </w:r>
      <w:r w:rsidR="00273A2C">
        <w:rPr>
          <w:color w:val="000000" w:themeColor="text1"/>
        </w:rPr>
        <w:t>in a way that</w:t>
      </w:r>
      <w:r w:rsidR="0262FE15" w:rsidRPr="797FBB80">
        <w:rPr>
          <w:color w:val="000000" w:themeColor="text1"/>
        </w:rPr>
        <w:t xml:space="preserve"> would somehow render plaintiffs’ claims insufficiently pleaded.</w:t>
      </w:r>
      <w:r w:rsidR="1B639608" w:rsidRPr="797FBB80">
        <w:rPr>
          <w:color w:val="000000" w:themeColor="text1"/>
        </w:rPr>
        <w:t xml:space="preserve"> </w:t>
      </w:r>
      <w:r w:rsidR="315078E8">
        <w:rPr>
          <w:color w:val="000000" w:themeColor="text1"/>
        </w:rPr>
        <w:t xml:space="preserve">As </w:t>
      </w:r>
      <w:r w:rsidR="00CB1DA2">
        <w:rPr>
          <w:color w:val="000000" w:themeColor="text1"/>
        </w:rPr>
        <w:t xml:space="preserve">such </w:t>
      </w:r>
      <w:r w:rsidR="315078E8">
        <w:rPr>
          <w:color w:val="000000" w:themeColor="text1"/>
        </w:rPr>
        <w:t>t</w:t>
      </w:r>
      <w:r w:rsidR="46B44220" w:rsidRPr="797FBB80">
        <w:rPr>
          <w:color w:val="000000" w:themeColor="text1"/>
        </w:rPr>
        <w:t>he</w:t>
      </w:r>
      <w:r w:rsidR="1ADF11F8" w:rsidRPr="797FBB80">
        <w:rPr>
          <w:color w:val="000000" w:themeColor="text1"/>
        </w:rPr>
        <w:t>se</w:t>
      </w:r>
      <w:r w:rsidR="46B44220" w:rsidRPr="797FBB80">
        <w:rPr>
          <w:color w:val="000000" w:themeColor="text1"/>
        </w:rPr>
        <w:t xml:space="preserve"> opinions</w:t>
      </w:r>
      <w:r w:rsidR="469DB4C9" w:rsidRPr="797FBB80">
        <w:rPr>
          <w:color w:val="000000" w:themeColor="text1"/>
        </w:rPr>
        <w:t xml:space="preserve"> are</w:t>
      </w:r>
      <w:r w:rsidRPr="797FBB80">
        <w:rPr>
          <w:color w:val="000000" w:themeColor="text1"/>
        </w:rPr>
        <w:t xml:space="preserve"> </w:t>
      </w:r>
      <w:r w:rsidR="46B44220" w:rsidRPr="7FA68319">
        <w:rPr>
          <w:color w:val="000000" w:themeColor="text1"/>
        </w:rPr>
        <w:t>relevant, at best, as background.</w:t>
      </w:r>
    </w:p>
    <w:p w14:paraId="0750647C" w14:textId="7950DEB1" w:rsidR="007A67EA" w:rsidRPr="007A67EA" w:rsidRDefault="003D06AD" w:rsidP="00A1341D">
      <w:pPr>
        <w:keepNext/>
        <w:spacing w:after="120" w:line="240" w:lineRule="auto"/>
        <w:ind w:left="1080" w:hanging="1080"/>
        <w:rPr>
          <w:rFonts w:cs="Times New Roman"/>
          <w:b/>
          <w:bCs/>
        </w:rPr>
      </w:pPr>
      <w:r>
        <w:rPr>
          <w:rFonts w:cs="Times New Roman"/>
          <w:b/>
          <w:bCs/>
          <w:i/>
          <w:iCs/>
        </w:rPr>
        <w:tab/>
        <w:t>c</w:t>
      </w:r>
      <w:r w:rsidR="25975A6A" w:rsidRPr="006E727E">
        <w:rPr>
          <w:rFonts w:cs="Times New Roman"/>
          <w:b/>
          <w:bCs/>
        </w:rPr>
        <w:t>.</w:t>
      </w:r>
      <w:r w:rsidR="00EB05C6">
        <w:rPr>
          <w:rFonts w:cs="Times New Roman"/>
          <w:b/>
          <w:bCs/>
        </w:rPr>
        <w:t xml:space="preserve"> </w:t>
      </w:r>
      <w:r w:rsidR="1427430B" w:rsidRPr="797FBB80">
        <w:rPr>
          <w:rFonts w:cs="Times New Roman"/>
          <w:b/>
          <w:bCs/>
          <w:i/>
          <w:iCs/>
        </w:rPr>
        <w:t xml:space="preserve">The Complaint </w:t>
      </w:r>
      <w:r w:rsidR="3972240D" w:rsidRPr="797FBB80">
        <w:rPr>
          <w:rFonts w:cs="Times New Roman"/>
          <w:b/>
          <w:bCs/>
          <w:i/>
          <w:iCs/>
        </w:rPr>
        <w:t xml:space="preserve">Sufficiently </w:t>
      </w:r>
      <w:r w:rsidR="1427430B" w:rsidRPr="797FBB80">
        <w:rPr>
          <w:rFonts w:cs="Times New Roman"/>
          <w:b/>
          <w:bCs/>
          <w:i/>
          <w:iCs/>
        </w:rPr>
        <w:t>Alleges</w:t>
      </w:r>
      <w:r w:rsidR="010917F3" w:rsidRPr="797FBB80">
        <w:rPr>
          <w:rFonts w:cs="Times New Roman"/>
          <w:b/>
          <w:bCs/>
          <w:i/>
          <w:iCs/>
        </w:rPr>
        <w:t xml:space="preserve"> a Common Law Taxpayer</w:t>
      </w:r>
      <w:r w:rsidR="00EB05C6">
        <w:rPr>
          <w:rFonts w:cs="Times New Roman"/>
          <w:b/>
          <w:bCs/>
          <w:i/>
          <w:iCs/>
        </w:rPr>
        <w:t> </w:t>
      </w:r>
      <w:r w:rsidR="010917F3" w:rsidRPr="797FBB80">
        <w:rPr>
          <w:rFonts w:cs="Times New Roman"/>
          <w:b/>
          <w:bCs/>
          <w:i/>
          <w:iCs/>
        </w:rPr>
        <w:t>Claim</w:t>
      </w:r>
    </w:p>
    <w:p w14:paraId="6525EFFD" w14:textId="3197BDE9" w:rsidR="41E423C7" w:rsidRPr="00EE0E88" w:rsidRDefault="003D06AD" w:rsidP="1880F1BD">
      <w:pPr>
        <w:autoSpaceDE w:val="0"/>
        <w:autoSpaceDN w:val="0"/>
        <w:adjustRightInd w:val="0"/>
        <w:spacing w:line="360" w:lineRule="auto"/>
        <w:ind w:firstLine="720"/>
        <w:contextualSpacing/>
        <w:rPr>
          <w:rFonts w:cs="Times New Roman"/>
        </w:rPr>
      </w:pPr>
      <w:r>
        <w:rPr>
          <w:rFonts w:cs="Times New Roman"/>
        </w:rPr>
        <w:t xml:space="preserve">While </w:t>
      </w:r>
      <w:r w:rsidRPr="09459565">
        <w:t xml:space="preserve">conceding that they are subject to common law taxpayer-standing actions, </w:t>
      </w:r>
      <w:r>
        <w:rPr>
          <w:rFonts w:cs="Times New Roman"/>
          <w:color w:val="000000"/>
        </w:rPr>
        <w:t>d</w:t>
      </w:r>
      <w:r w:rsidR="7BE87353">
        <w:rPr>
          <w:rFonts w:cs="Times New Roman"/>
          <w:color w:val="000000"/>
        </w:rPr>
        <w:t xml:space="preserve">efendants </w:t>
      </w:r>
      <w:r w:rsidR="137532E9">
        <w:rPr>
          <w:rFonts w:cs="Times New Roman"/>
          <w:color w:val="000000"/>
        </w:rPr>
        <w:t xml:space="preserve">contend </w:t>
      </w:r>
      <w:r w:rsidR="7BE87353">
        <w:rPr>
          <w:rFonts w:cs="Times New Roman"/>
          <w:color w:val="000000"/>
        </w:rPr>
        <w:t xml:space="preserve">that plaintiffs </w:t>
      </w:r>
      <w:r w:rsidR="0C5B2AFC">
        <w:rPr>
          <w:rFonts w:cs="Times New Roman"/>
          <w:color w:val="000000"/>
        </w:rPr>
        <w:t xml:space="preserve">have </w:t>
      </w:r>
      <w:r w:rsidR="2714F6E2">
        <w:rPr>
          <w:rFonts w:cs="Times New Roman"/>
          <w:color w:val="000000"/>
        </w:rPr>
        <w:t>not</w:t>
      </w:r>
      <w:r w:rsidR="52B68E74">
        <w:rPr>
          <w:rFonts w:cs="Times New Roman"/>
          <w:color w:val="000000"/>
        </w:rPr>
        <w:t xml:space="preserve"> </w:t>
      </w:r>
      <w:r w:rsidR="3FA308C5">
        <w:rPr>
          <w:rFonts w:cs="Times New Roman"/>
          <w:color w:val="000000"/>
        </w:rPr>
        <w:t>plead</w:t>
      </w:r>
      <w:r w:rsidR="52B68E74">
        <w:rPr>
          <w:rFonts w:cs="Times New Roman"/>
          <w:color w:val="000000"/>
        </w:rPr>
        <w:t>ed</w:t>
      </w:r>
      <w:r w:rsidR="7BE87353">
        <w:rPr>
          <w:rFonts w:cs="Times New Roman"/>
          <w:color w:val="000000"/>
        </w:rPr>
        <w:t xml:space="preserve"> </w:t>
      </w:r>
      <w:r w:rsidR="537957EA">
        <w:rPr>
          <w:rFonts w:cs="Times New Roman"/>
          <w:color w:val="000000"/>
        </w:rPr>
        <w:t>the</w:t>
      </w:r>
      <w:r w:rsidR="5F5F3C7A">
        <w:rPr>
          <w:rFonts w:cs="Times New Roman"/>
          <w:color w:val="000000"/>
        </w:rPr>
        <w:t xml:space="preserve"> </w:t>
      </w:r>
      <w:r w:rsidR="0329DD9D">
        <w:rPr>
          <w:rFonts w:cs="Times New Roman"/>
          <w:color w:val="000000"/>
        </w:rPr>
        <w:t xml:space="preserve">necessary </w:t>
      </w:r>
      <w:r w:rsidR="66917AAE">
        <w:rPr>
          <w:rFonts w:cs="Times New Roman"/>
          <w:color w:val="000000"/>
        </w:rPr>
        <w:t xml:space="preserve">facts </w:t>
      </w:r>
      <w:r w:rsidR="4A63CBCA">
        <w:rPr>
          <w:rFonts w:cs="Times New Roman"/>
          <w:color w:val="000000"/>
        </w:rPr>
        <w:t>to esta</w:t>
      </w:r>
      <w:r w:rsidR="5B7C1F2E">
        <w:rPr>
          <w:rFonts w:cs="Times New Roman"/>
          <w:color w:val="000000"/>
        </w:rPr>
        <w:t xml:space="preserve">blish </w:t>
      </w:r>
      <w:r>
        <w:rPr>
          <w:rFonts w:cs="Times New Roman"/>
          <w:color w:val="000000"/>
        </w:rPr>
        <w:t>such a claim</w:t>
      </w:r>
      <w:r w:rsidR="7BE87353">
        <w:rPr>
          <w:rFonts w:cs="Times New Roman"/>
          <w:color w:val="000000"/>
        </w:rPr>
        <w:t>—</w:t>
      </w:r>
      <w:r w:rsidR="737E1914">
        <w:rPr>
          <w:rFonts w:cs="Times New Roman"/>
          <w:color w:val="000000"/>
        </w:rPr>
        <w:t>that is</w:t>
      </w:r>
      <w:r w:rsidR="7BE87353">
        <w:rPr>
          <w:rFonts w:cs="Times New Roman"/>
          <w:color w:val="000000"/>
        </w:rPr>
        <w:t>, facts showing “</w:t>
      </w:r>
      <w:r w:rsidR="7BE87353" w:rsidRPr="4B0E998B">
        <w:rPr>
          <w:rFonts w:cs="CenturySchoolbook"/>
        </w:rPr>
        <w:t>fraud, collusion, ultra vires, or a failure on the part of the governmental body to perform a duty specifically enjoined.” (</w:t>
      </w:r>
      <w:r w:rsidR="7BE87353" w:rsidRPr="797FBB80">
        <w:rPr>
          <w:rFonts w:cs="CenturySchoolbook"/>
          <w:i/>
          <w:iCs/>
        </w:rPr>
        <w:t>Silver</w:t>
      </w:r>
      <w:r w:rsidR="7BE87353" w:rsidRPr="4B0E998B">
        <w:rPr>
          <w:rFonts w:cs="CenturySchoolbook"/>
        </w:rPr>
        <w:t xml:space="preserve">, </w:t>
      </w:r>
      <w:r w:rsidR="7BE87353" w:rsidRPr="797FBB80">
        <w:rPr>
          <w:rFonts w:cs="CenturySchoolbook"/>
          <w:i/>
          <w:iCs/>
        </w:rPr>
        <w:t>supra</w:t>
      </w:r>
      <w:r w:rsidR="7BE87353" w:rsidRPr="4B0E998B">
        <w:rPr>
          <w:rFonts w:cs="CenturySchoolbook"/>
        </w:rPr>
        <w:t xml:space="preserve">, 57 Cal.2d at pp. 40–41.) </w:t>
      </w:r>
      <w:r w:rsidR="0C5B2AFC">
        <w:rPr>
          <w:rFonts w:cs="CenturySchoolbook"/>
        </w:rPr>
        <w:t>I</w:t>
      </w:r>
      <w:r w:rsidR="59E73342">
        <w:rPr>
          <w:rFonts w:cs="CenturySchoolbook"/>
        </w:rPr>
        <w:t>n our view</w:t>
      </w:r>
      <w:r w:rsidR="69324889">
        <w:rPr>
          <w:rFonts w:cs="CenturySchoolbook"/>
        </w:rPr>
        <w:t>, h</w:t>
      </w:r>
      <w:r w:rsidR="0C5B2AFC">
        <w:rPr>
          <w:rFonts w:cs="CenturySchoolbook"/>
        </w:rPr>
        <w:t>owever, plaintiffs’</w:t>
      </w:r>
      <w:r w:rsidR="7BE87353" w:rsidRPr="4B0E998B">
        <w:rPr>
          <w:rFonts w:cs="CenturySchoolbook"/>
        </w:rPr>
        <w:t xml:space="preserve"> factual allegations, if proven, could </w:t>
      </w:r>
      <w:r w:rsidR="69324889">
        <w:rPr>
          <w:rFonts w:cs="CenturySchoolbook"/>
        </w:rPr>
        <w:t>lead a trier of fact to conclude that</w:t>
      </w:r>
      <w:r w:rsidR="7BE87353" w:rsidRPr="4B0E998B">
        <w:rPr>
          <w:rFonts w:cs="CenturySchoolbook"/>
        </w:rPr>
        <w:t xml:space="preserve"> </w:t>
      </w:r>
      <w:r w:rsidR="00A355CD">
        <w:rPr>
          <w:rFonts w:cs="CenturySchoolbook"/>
        </w:rPr>
        <w:t>one or more defendants</w:t>
      </w:r>
      <w:r w:rsidR="69324889">
        <w:rPr>
          <w:rFonts w:cs="CenturySchoolbook"/>
        </w:rPr>
        <w:t xml:space="preserve"> failed</w:t>
      </w:r>
      <w:r w:rsidR="7BE87353" w:rsidRPr="4B0E998B">
        <w:rPr>
          <w:rFonts w:cs="CenturySchoolbook"/>
        </w:rPr>
        <w:t xml:space="preserve"> “to </w:t>
      </w:r>
      <w:r w:rsidR="7BE87353" w:rsidRPr="4B0E998B">
        <w:rPr>
          <w:rFonts w:cs="CenturySchoolbook"/>
          <w:spacing w:val="-2"/>
        </w:rPr>
        <w:t>perform a duty specifically enjoined” (</w:t>
      </w:r>
      <w:r w:rsidR="00E3624C">
        <w:rPr>
          <w:rFonts w:cs="CenturySchoolbook"/>
          <w:i/>
          <w:iCs/>
          <w:spacing w:val="-2"/>
        </w:rPr>
        <w:t>i</w:t>
      </w:r>
      <w:r w:rsidR="003B035D" w:rsidRPr="003B035D">
        <w:rPr>
          <w:rFonts w:cs="CenturySchoolbook"/>
          <w:i/>
          <w:iCs/>
          <w:spacing w:val="-2"/>
        </w:rPr>
        <w:t>bid</w:t>
      </w:r>
      <w:r w:rsidR="003B035D">
        <w:rPr>
          <w:rFonts w:cs="CenturySchoolbook"/>
          <w:spacing w:val="-2"/>
        </w:rPr>
        <w:t>.</w:t>
      </w:r>
      <w:r w:rsidR="7BE87353" w:rsidRPr="4B0E998B">
        <w:rPr>
          <w:rFonts w:cs="CenturySchoolbook"/>
          <w:spacing w:val="-2"/>
        </w:rPr>
        <w:t>)</w:t>
      </w:r>
      <w:r w:rsidR="7BE87353" w:rsidRPr="4B0E998B">
        <w:rPr>
          <w:rFonts w:cs="Times New Roman"/>
        </w:rPr>
        <w:t>—that is, the duty to ensure that criminal cases are given precedence over, and set for trial regardless of the pendency of, civil matters</w:t>
      </w:r>
      <w:r w:rsidR="20CD8506">
        <w:rPr>
          <w:rFonts w:cs="Times New Roman"/>
        </w:rPr>
        <w:t xml:space="preserve"> “</w:t>
      </w:r>
      <w:r w:rsidR="755A21BB">
        <w:rPr>
          <w:rFonts w:cs="Times New Roman"/>
        </w:rPr>
        <w:t xml:space="preserve">to the greatest </w:t>
      </w:r>
      <w:r w:rsidR="0015003D">
        <w:rPr>
          <w:rFonts w:cs="Times New Roman"/>
        </w:rPr>
        <w:t>degree</w:t>
      </w:r>
      <w:r w:rsidR="755A21BB">
        <w:rPr>
          <w:rFonts w:cs="Times New Roman"/>
        </w:rPr>
        <w:t xml:space="preserve"> </w:t>
      </w:r>
      <w:r w:rsidR="00182D7B">
        <w:rPr>
          <w:rFonts w:cs="Times New Roman"/>
        </w:rPr>
        <w:t>that is</w:t>
      </w:r>
      <w:r w:rsidR="755A21BB">
        <w:rPr>
          <w:rFonts w:cs="Times New Roman"/>
        </w:rPr>
        <w:t xml:space="preserve"> consistent with the ends of justice”</w:t>
      </w:r>
      <w:r w:rsidR="7BE87353" w:rsidRPr="00101906">
        <w:rPr>
          <w:rFonts w:cs="Times New Roman"/>
        </w:rPr>
        <w:t xml:space="preserve"> (</w:t>
      </w:r>
      <w:r w:rsidR="7BE87353">
        <w:rPr>
          <w:rFonts w:cs="Times New Roman"/>
        </w:rPr>
        <w:t>§ 1050(a)</w:t>
      </w:r>
      <w:r w:rsidR="7BE87353" w:rsidRPr="00101906">
        <w:rPr>
          <w:rFonts w:cs="Times New Roman"/>
        </w:rPr>
        <w:t>)</w:t>
      </w:r>
      <w:r w:rsidR="7BE87353">
        <w:rPr>
          <w:rFonts w:cs="Times New Roman"/>
        </w:rPr>
        <w:t xml:space="preserve">. As </w:t>
      </w:r>
      <w:r w:rsidR="7BE87353">
        <w:rPr>
          <w:rFonts w:cs="Times New Roman"/>
          <w:spacing w:val="-2"/>
        </w:rPr>
        <w:t xml:space="preserve">discussed </w:t>
      </w:r>
      <w:r w:rsidR="00C63DE3">
        <w:rPr>
          <w:rFonts w:cs="Times New Roman"/>
          <w:spacing w:val="-2"/>
        </w:rPr>
        <w:t>below</w:t>
      </w:r>
      <w:r w:rsidR="7BE87353" w:rsidRPr="00A23586">
        <w:rPr>
          <w:rFonts w:cs="Times New Roman"/>
          <w:spacing w:val="-2"/>
        </w:rPr>
        <w:t xml:space="preserve">, </w:t>
      </w:r>
      <w:r w:rsidR="7BE87353">
        <w:rPr>
          <w:rFonts w:cs="Times New Roman"/>
        </w:rPr>
        <w:t>while this duty is not</w:t>
      </w:r>
      <w:r w:rsidR="7BE87353" w:rsidRPr="05D0A8A3">
        <w:rPr>
          <w:rFonts w:cs="Times New Roman"/>
        </w:rPr>
        <w:t xml:space="preserve"> </w:t>
      </w:r>
      <w:r w:rsidR="7BE87353">
        <w:rPr>
          <w:rFonts w:cs="Times New Roman"/>
        </w:rPr>
        <w:t xml:space="preserve">absolute or inflexible, </w:t>
      </w:r>
      <w:r w:rsidR="0D58A2C5">
        <w:rPr>
          <w:rFonts w:cs="Times New Roman"/>
        </w:rPr>
        <w:t xml:space="preserve">it </w:t>
      </w:r>
      <w:r w:rsidR="7540D833">
        <w:rPr>
          <w:rFonts w:cs="Times New Roman"/>
        </w:rPr>
        <w:t xml:space="preserve">requires </w:t>
      </w:r>
      <w:r w:rsidR="69324889">
        <w:rPr>
          <w:rFonts w:cs="Times New Roman"/>
        </w:rPr>
        <w:t>all</w:t>
      </w:r>
      <w:r w:rsidR="7540D833">
        <w:rPr>
          <w:rFonts w:cs="Times New Roman"/>
        </w:rPr>
        <w:t xml:space="preserve"> courts</w:t>
      </w:r>
      <w:r w:rsidR="2E343D37">
        <w:rPr>
          <w:rFonts w:cs="Times New Roman"/>
        </w:rPr>
        <w:t xml:space="preserve"> </w:t>
      </w:r>
      <w:r w:rsidR="7BE87353">
        <w:rPr>
          <w:rFonts w:cs="Times New Roman"/>
        </w:rPr>
        <w:t>to “</w:t>
      </w:r>
      <w:r w:rsidR="7BE87353" w:rsidRPr="4B0E998B">
        <w:rPr>
          <w:color w:val="000000" w:themeColor="text1"/>
        </w:rPr>
        <w:t xml:space="preserve">organize </w:t>
      </w:r>
      <w:r w:rsidR="2E343D37">
        <w:rPr>
          <w:color w:val="000000" w:themeColor="text1"/>
        </w:rPr>
        <w:t>[their]</w:t>
      </w:r>
      <w:r w:rsidR="2E343D37" w:rsidRPr="4B0E998B">
        <w:rPr>
          <w:color w:val="000000" w:themeColor="text1"/>
        </w:rPr>
        <w:t xml:space="preserve"> </w:t>
      </w:r>
      <w:r w:rsidR="7BE87353" w:rsidRPr="4B0E998B">
        <w:rPr>
          <w:color w:val="000000" w:themeColor="text1"/>
        </w:rPr>
        <w:t>civil and criminal departments and workload in a manner that (1) acknowledges the important state interest in the expeditious resolution of criminal proceedings as reflected in</w:t>
      </w:r>
      <w:r w:rsidR="010F28D2">
        <w:rPr>
          <w:color w:val="000000" w:themeColor="text1"/>
        </w:rPr>
        <w:t xml:space="preserve"> section 1050</w:t>
      </w:r>
      <w:r w:rsidR="7BE87353" w:rsidRPr="4B0E998B">
        <w:rPr>
          <w:color w:val="000000" w:themeColor="text1"/>
        </w:rPr>
        <w:t>, and (2)</w:t>
      </w:r>
      <w:r w:rsidR="00EC4B2E">
        <w:rPr>
          <w:color w:val="000000" w:themeColor="text1"/>
        </w:rPr>
        <w:t> </w:t>
      </w:r>
      <w:r w:rsidR="7BE87353" w:rsidRPr="4B0E998B">
        <w:rPr>
          <w:color w:val="000000" w:themeColor="text1"/>
        </w:rPr>
        <w:t>does not shortchange the court’s criminal caseload by creating or maintaining a disproportionately large number of civil as compared to criminal departments.” (</w:t>
      </w:r>
      <w:r w:rsidR="7BE87353" w:rsidRPr="797FBB80">
        <w:rPr>
          <w:i/>
          <w:iCs/>
          <w:color w:val="000000" w:themeColor="text1"/>
        </w:rPr>
        <w:t>Engram</w:t>
      </w:r>
      <w:r w:rsidR="7BE87353" w:rsidRPr="4B0E998B">
        <w:rPr>
          <w:color w:val="000000" w:themeColor="text1"/>
        </w:rPr>
        <w:t xml:space="preserve">, </w:t>
      </w:r>
      <w:r w:rsidR="7BE87353" w:rsidRPr="797FBB80">
        <w:rPr>
          <w:i/>
          <w:iCs/>
          <w:color w:val="000000" w:themeColor="text1"/>
        </w:rPr>
        <w:t>supra</w:t>
      </w:r>
      <w:r w:rsidR="7BE87353" w:rsidRPr="4B0E998B">
        <w:rPr>
          <w:color w:val="000000" w:themeColor="text1"/>
        </w:rPr>
        <w:t xml:space="preserve">, </w:t>
      </w:r>
      <w:r w:rsidR="001D770E" w:rsidRPr="00EC4B2E">
        <w:t>50</w:t>
      </w:r>
      <w:r w:rsidR="00EC4B2E">
        <w:t> </w:t>
      </w:r>
      <w:r w:rsidR="001D770E" w:rsidRPr="00EC4B2E">
        <w:t>Cal</w:t>
      </w:r>
      <w:r w:rsidR="001D770E">
        <w:rPr>
          <w:color w:val="000000" w:themeColor="text1"/>
        </w:rPr>
        <w:t xml:space="preserve">.4th </w:t>
      </w:r>
      <w:r w:rsidR="7BE87353" w:rsidRPr="4B0E998B">
        <w:rPr>
          <w:color w:val="000000" w:themeColor="text1"/>
        </w:rPr>
        <w:t>at p. 1156</w:t>
      </w:r>
      <w:r w:rsidR="7BE87353">
        <w:rPr>
          <w:color w:val="000000" w:themeColor="text1"/>
        </w:rPr>
        <w:t xml:space="preserve">; </w:t>
      </w:r>
      <w:r w:rsidR="7BE87353">
        <w:rPr>
          <w:rFonts w:cs="Times New Roman"/>
        </w:rPr>
        <w:t>see pp. </w:t>
      </w:r>
      <w:r w:rsidR="00923537">
        <w:rPr>
          <w:rFonts w:cs="Times New Roman"/>
        </w:rPr>
        <w:t>17</w:t>
      </w:r>
      <w:r w:rsidR="7BE87353">
        <w:rPr>
          <w:rFonts w:cs="Times New Roman"/>
        </w:rPr>
        <w:t>–2</w:t>
      </w:r>
      <w:r w:rsidR="00923537">
        <w:rPr>
          <w:rFonts w:cs="Times New Roman"/>
        </w:rPr>
        <w:t>2</w:t>
      </w:r>
      <w:r w:rsidR="7BE87353">
        <w:rPr>
          <w:rFonts w:cs="Times New Roman"/>
        </w:rPr>
        <w:t xml:space="preserve">, </w:t>
      </w:r>
      <w:r w:rsidR="7BE87353" w:rsidRPr="797FBB80">
        <w:rPr>
          <w:rFonts w:cs="Times New Roman"/>
          <w:i/>
          <w:iCs/>
        </w:rPr>
        <w:lastRenderedPageBreak/>
        <w:t>ante</w:t>
      </w:r>
      <w:r w:rsidR="7BE87353" w:rsidRPr="00D61F86">
        <w:rPr>
          <w:rFonts w:cs="Times New Roman"/>
        </w:rPr>
        <w:t>.)</w:t>
      </w:r>
      <w:r w:rsidRPr="00D61F86">
        <w:rPr>
          <w:rFonts w:cs="Times New Roman"/>
        </w:rPr>
        <w:t xml:space="preserve"> </w:t>
      </w:r>
      <w:r w:rsidR="000909F6">
        <w:t>T</w:t>
      </w:r>
      <w:r>
        <w:t>he facts alleged, if p</w:t>
      </w:r>
      <w:r w:rsidR="56F9A6E2">
        <w:t xml:space="preserve">roven, could </w:t>
      </w:r>
      <w:r w:rsidR="00F32DCD">
        <w:t xml:space="preserve">lead a trier of fact to </w:t>
      </w:r>
      <w:r w:rsidR="00B5029C">
        <w:t>find</w:t>
      </w:r>
      <w:r w:rsidR="00F32DCD">
        <w:t xml:space="preserve"> </w:t>
      </w:r>
      <w:r w:rsidR="56F9A6E2">
        <w:t>that</w:t>
      </w:r>
      <w:r w:rsidR="0045503C">
        <w:t>,</w:t>
      </w:r>
      <w:r w:rsidR="56F9A6E2">
        <w:t xml:space="preserve"> </w:t>
      </w:r>
      <w:r w:rsidR="008226AE">
        <w:t>many months into</w:t>
      </w:r>
      <w:r w:rsidR="00D15E9D">
        <w:t xml:space="preserve"> the pandemic</w:t>
      </w:r>
      <w:r w:rsidR="00416772">
        <w:t xml:space="preserve">, </w:t>
      </w:r>
      <w:r w:rsidR="56F9A6E2">
        <w:t xml:space="preserve">defendants failed to take </w:t>
      </w:r>
      <w:r w:rsidR="00EE0E88">
        <w:t>feasible,</w:t>
      </w:r>
      <w:r w:rsidR="56F9A6E2">
        <w:t xml:space="preserve"> common</w:t>
      </w:r>
      <w:r w:rsidR="005C5879">
        <w:t>-</w:t>
      </w:r>
      <w:r w:rsidR="56F9A6E2">
        <w:t>sense me</w:t>
      </w:r>
      <w:r w:rsidR="00BF28A6">
        <w:t>a</w:t>
      </w:r>
      <w:r w:rsidR="56F9A6E2">
        <w:t xml:space="preserve">sures to devote adequate resources to </w:t>
      </w:r>
      <w:r w:rsidR="265705C1">
        <w:t>criminal trials</w:t>
      </w:r>
      <w:r w:rsidR="00475949">
        <w:t>,</w:t>
      </w:r>
      <w:r w:rsidR="007905B4">
        <w:t xml:space="preserve"> </w:t>
      </w:r>
      <w:r w:rsidR="009C1DB2">
        <w:t>and thus failed</w:t>
      </w:r>
      <w:r w:rsidR="007905B4">
        <w:t xml:space="preserve"> to </w:t>
      </w:r>
      <w:r w:rsidR="00DB5D41">
        <w:t xml:space="preserve">adequately </w:t>
      </w:r>
      <w:r w:rsidR="007905B4">
        <w:t xml:space="preserve">prioritize </w:t>
      </w:r>
      <w:r w:rsidR="00DB5D41">
        <w:t>criminal cases</w:t>
      </w:r>
      <w:r w:rsidR="007905B4">
        <w:t xml:space="preserve"> over civil matters</w:t>
      </w:r>
      <w:r w:rsidR="265705C1">
        <w:t xml:space="preserve">, </w:t>
      </w:r>
      <w:r w:rsidR="009C1DB2">
        <w:t>in ways that</w:t>
      </w:r>
      <w:r w:rsidR="00857CD5">
        <w:t xml:space="preserve"> </w:t>
      </w:r>
      <w:r w:rsidR="00DB5D41">
        <w:t>exacerbat</w:t>
      </w:r>
      <w:r w:rsidR="00857CD5">
        <w:t>ed</w:t>
      </w:r>
      <w:r w:rsidR="00DB5D41">
        <w:t xml:space="preserve"> the backlog and</w:t>
      </w:r>
      <w:r w:rsidR="00046A59">
        <w:t xml:space="preserve"> </w:t>
      </w:r>
      <w:r w:rsidR="00B53206">
        <w:t>“shortchang</w:t>
      </w:r>
      <w:r w:rsidR="00857CD5">
        <w:t>ed</w:t>
      </w:r>
      <w:r w:rsidR="007905B4">
        <w:t>” defendant court’s criminal caseload</w:t>
      </w:r>
      <w:r w:rsidR="00DB5D41">
        <w:t>.</w:t>
      </w:r>
      <w:r w:rsidR="00B53206">
        <w:t xml:space="preserve"> </w:t>
      </w:r>
      <w:r w:rsidR="00DB5D41">
        <w:t>Thus, plaintiffs</w:t>
      </w:r>
      <w:r w:rsidR="56F9A6E2">
        <w:t xml:space="preserve"> </w:t>
      </w:r>
      <w:r>
        <w:t>“</w:t>
      </w:r>
      <w:proofErr w:type="gramStart"/>
      <w:r>
        <w:t>state</w:t>
      </w:r>
      <w:r>
        <w:t>[</w:t>
      </w:r>
      <w:proofErr w:type="gramEnd"/>
      <w:r>
        <w:t>] a cause of action under [a] possible legal theory</w:t>
      </w:r>
      <w:r w:rsidR="7ECC7080">
        <w:t>.</w:t>
      </w:r>
      <w:r>
        <w:t xml:space="preserve">” </w:t>
      </w:r>
      <w:r w:rsidR="4D898E41">
        <w:t>(</w:t>
      </w:r>
      <w:r w:rsidR="4D898E41" w:rsidRPr="797FBB80">
        <w:rPr>
          <w:i/>
          <w:iCs/>
        </w:rPr>
        <w:t>Amy’s Kitchen</w:t>
      </w:r>
      <w:r w:rsidR="4D898E41">
        <w:t xml:space="preserve">, </w:t>
      </w:r>
      <w:r w:rsidR="4D898E41" w:rsidRPr="797FBB80">
        <w:rPr>
          <w:i/>
          <w:iCs/>
        </w:rPr>
        <w:t>supra</w:t>
      </w:r>
      <w:r w:rsidR="4D898E41">
        <w:t>, 83 Cal.App.5th at p. 1067.)</w:t>
      </w:r>
    </w:p>
    <w:p w14:paraId="725A8277" w14:textId="7E5BBC79" w:rsidR="00122DC0" w:rsidRDefault="003D06AD" w:rsidP="797FBB80">
      <w:pPr>
        <w:autoSpaceDE w:val="0"/>
        <w:autoSpaceDN w:val="0"/>
        <w:adjustRightInd w:val="0"/>
        <w:spacing w:line="360" w:lineRule="auto"/>
        <w:contextualSpacing/>
        <w:rPr>
          <w:rFonts w:eastAsia="Century Schoolbook" w:cs="Century Schoolbook"/>
        </w:rPr>
      </w:pPr>
      <w:r>
        <w:rPr>
          <w:rFonts w:cs="Times New Roman"/>
        </w:rPr>
        <w:tab/>
      </w:r>
      <w:r w:rsidR="006E76DD">
        <w:rPr>
          <w:rFonts w:cs="Times New Roman"/>
        </w:rPr>
        <w:t>Citing subdivision (</w:t>
      </w:r>
      <w:r w:rsidR="006E76DD">
        <w:rPr>
          <w:rFonts w:cs="Times New Roman"/>
          <w:i/>
          <w:iCs/>
        </w:rPr>
        <w:t>l</w:t>
      </w:r>
      <w:r w:rsidR="006E76DD">
        <w:rPr>
          <w:rFonts w:cs="Times New Roman"/>
        </w:rPr>
        <w:t>) of section 1050,</w:t>
      </w:r>
      <w:r w:rsidR="006E76DD">
        <w:rPr>
          <w:rFonts w:cs="Times New Roman"/>
          <w:i/>
          <w:iCs/>
        </w:rPr>
        <w:t xml:space="preserve"> </w:t>
      </w:r>
      <w:r w:rsidR="006E76DD">
        <w:rPr>
          <w:rFonts w:cs="Times New Roman"/>
        </w:rPr>
        <w:t>d</w:t>
      </w:r>
      <w:r w:rsidR="32F0BEEE">
        <w:rPr>
          <w:rFonts w:cs="Times New Roman"/>
        </w:rPr>
        <w:t xml:space="preserve">efendants contend </w:t>
      </w:r>
      <w:r w:rsidR="13DCD4AE">
        <w:rPr>
          <w:rFonts w:cs="Times New Roman"/>
        </w:rPr>
        <w:t>that</w:t>
      </w:r>
      <w:r w:rsidR="09349C00">
        <w:rPr>
          <w:rFonts w:cs="Times New Roman"/>
        </w:rPr>
        <w:t xml:space="preserve"> </w:t>
      </w:r>
      <w:r w:rsidR="13DCD4AE">
        <w:rPr>
          <w:rFonts w:cs="Times New Roman"/>
        </w:rPr>
        <w:t>th</w:t>
      </w:r>
      <w:r w:rsidR="006E76DD">
        <w:rPr>
          <w:rFonts w:cs="Times New Roman"/>
        </w:rPr>
        <w:t>e</w:t>
      </w:r>
      <w:r w:rsidR="13DCD4AE">
        <w:rPr>
          <w:rFonts w:cs="Times New Roman"/>
        </w:rPr>
        <w:t xml:space="preserve"> duty </w:t>
      </w:r>
      <w:r w:rsidR="006E76DD">
        <w:rPr>
          <w:rFonts w:cs="Times New Roman"/>
        </w:rPr>
        <w:t xml:space="preserve">imposed by section 1050(a) </w:t>
      </w:r>
      <w:r w:rsidR="00684838">
        <w:rPr>
          <w:rFonts w:cs="Times New Roman"/>
        </w:rPr>
        <w:t xml:space="preserve">cannot serve as a basis for common law taxpayer relief because the duty </w:t>
      </w:r>
      <w:r w:rsidR="13DCD4AE">
        <w:rPr>
          <w:rFonts w:cs="Times New Roman"/>
        </w:rPr>
        <w:t>is “directory</w:t>
      </w:r>
      <w:r w:rsidR="5F19AF7E">
        <w:rPr>
          <w:rFonts w:cs="Times New Roman"/>
        </w:rPr>
        <w:t xml:space="preserve">” </w:t>
      </w:r>
      <w:r w:rsidR="09349C00">
        <w:rPr>
          <w:rFonts w:cs="Times New Roman"/>
        </w:rPr>
        <w:t>only</w:t>
      </w:r>
      <w:r w:rsidR="32F0BEEE">
        <w:rPr>
          <w:rFonts w:cs="Times New Roman"/>
        </w:rPr>
        <w:t>, not mandatory,</w:t>
      </w:r>
      <w:r w:rsidR="3CC69AB5">
        <w:rPr>
          <w:rFonts w:cs="Times New Roman"/>
        </w:rPr>
        <w:t xml:space="preserve"> and thus </w:t>
      </w:r>
      <w:r w:rsidR="32F0BEEE">
        <w:rPr>
          <w:rFonts w:cs="Times New Roman"/>
        </w:rPr>
        <w:t>there is</w:t>
      </w:r>
      <w:r w:rsidR="09349C00">
        <w:rPr>
          <w:rFonts w:cs="Times New Roman"/>
        </w:rPr>
        <w:t xml:space="preserve"> no </w:t>
      </w:r>
      <w:r w:rsidR="7540D833">
        <w:rPr>
          <w:rFonts w:cs="Times New Roman"/>
        </w:rPr>
        <w:t>“duty specifically enjoined</w:t>
      </w:r>
      <w:r w:rsidR="6CDA4AF1">
        <w:rPr>
          <w:rFonts w:cs="Times New Roman"/>
        </w:rPr>
        <w:t>”</w:t>
      </w:r>
      <w:r w:rsidR="09349C00">
        <w:rPr>
          <w:rFonts w:cs="Times New Roman"/>
        </w:rPr>
        <w:t xml:space="preserve"> </w:t>
      </w:r>
      <w:r w:rsidR="37948FE2">
        <w:rPr>
          <w:rFonts w:cs="Times New Roman"/>
        </w:rPr>
        <w:t>upon them</w:t>
      </w:r>
      <w:r w:rsidR="4639DF3E">
        <w:rPr>
          <w:rFonts w:cs="Times New Roman"/>
        </w:rPr>
        <w:t>.</w:t>
      </w:r>
      <w:r w:rsidR="6CDA4AF1">
        <w:rPr>
          <w:rFonts w:cs="Times New Roman"/>
        </w:rPr>
        <w:t xml:space="preserve"> </w:t>
      </w:r>
      <w:r w:rsidR="00A66F9F">
        <w:rPr>
          <w:rFonts w:cs="Times New Roman"/>
        </w:rPr>
        <w:t>(See § 1050, subd.</w:t>
      </w:r>
      <w:r w:rsidR="00C07B3F">
        <w:rPr>
          <w:rFonts w:cs="Times New Roman"/>
        </w:rPr>
        <w:t> </w:t>
      </w:r>
      <w:r w:rsidR="00A66F9F">
        <w:rPr>
          <w:rFonts w:cs="Times New Roman"/>
        </w:rPr>
        <w:t>(</w:t>
      </w:r>
      <w:r w:rsidR="00A66F9F" w:rsidRPr="00A66F9F">
        <w:rPr>
          <w:rFonts w:cs="Times New Roman"/>
          <w:i/>
          <w:iCs/>
        </w:rPr>
        <w:t>l</w:t>
      </w:r>
      <w:r w:rsidR="00A66F9F">
        <w:rPr>
          <w:rFonts w:cs="Times New Roman"/>
        </w:rPr>
        <w:t>) [</w:t>
      </w:r>
      <w:r w:rsidR="00FE0CF6" w:rsidRPr="00035085">
        <w:rPr>
          <w:rFonts w:cs="Times New Roman"/>
        </w:rPr>
        <w:t>“This section is directory only and does not mandate dismissal of an action by its terms”].)</w:t>
      </w:r>
      <w:r w:rsidR="00A66F9F">
        <w:rPr>
          <w:rFonts w:cs="Times New Roman"/>
        </w:rPr>
        <w:t xml:space="preserve"> </w:t>
      </w:r>
      <w:r w:rsidR="00706FD5">
        <w:rPr>
          <w:rFonts w:cs="Times New Roman"/>
        </w:rPr>
        <w:t xml:space="preserve">This very argument </w:t>
      </w:r>
      <w:r w:rsidR="1BD18366">
        <w:rPr>
          <w:rFonts w:cs="Times New Roman"/>
        </w:rPr>
        <w:t>wa</w:t>
      </w:r>
      <w:r w:rsidR="50FFCA3D">
        <w:rPr>
          <w:rFonts w:cs="Times New Roman"/>
        </w:rPr>
        <w:t>s refuted</w:t>
      </w:r>
      <w:r w:rsidR="55D459B9">
        <w:rPr>
          <w:rFonts w:cs="Times New Roman"/>
        </w:rPr>
        <w:t>, however,</w:t>
      </w:r>
      <w:r w:rsidR="50FFCA3D">
        <w:rPr>
          <w:rFonts w:cs="Times New Roman"/>
        </w:rPr>
        <w:t xml:space="preserve"> </w:t>
      </w:r>
      <w:r w:rsidR="2760F8E3">
        <w:rPr>
          <w:rFonts w:cs="Times New Roman"/>
        </w:rPr>
        <w:t xml:space="preserve">in </w:t>
      </w:r>
      <w:r w:rsidR="6CB68186" w:rsidRPr="00EE0E88">
        <w:rPr>
          <w:rFonts w:cs="Times New Roman"/>
          <w:i/>
        </w:rPr>
        <w:t>Engram</w:t>
      </w:r>
      <w:r w:rsidR="6CB68186">
        <w:rPr>
          <w:rFonts w:cs="Times New Roman"/>
        </w:rPr>
        <w:t>,</w:t>
      </w:r>
      <w:r w:rsidR="7EB8C56F">
        <w:rPr>
          <w:rFonts w:cs="Times New Roman"/>
        </w:rPr>
        <w:t xml:space="preserve"> in which the </w:t>
      </w:r>
      <w:r w:rsidR="6CB68186">
        <w:t xml:space="preserve">court </w:t>
      </w:r>
      <w:r w:rsidR="00F80B11">
        <w:t xml:space="preserve">explained </w:t>
      </w:r>
      <w:r w:rsidR="6CB68186">
        <w:t xml:space="preserve">that </w:t>
      </w:r>
      <w:r w:rsidR="000944E6">
        <w:t xml:space="preserve">the term </w:t>
      </w:r>
      <w:r w:rsidR="5BB8072C">
        <w:t xml:space="preserve">“directory” </w:t>
      </w:r>
      <w:r w:rsidR="000944E6">
        <w:t>as used in subdivision (</w:t>
      </w:r>
      <w:r w:rsidR="000944E6" w:rsidRPr="000944E6">
        <w:rPr>
          <w:i/>
          <w:iCs/>
        </w:rPr>
        <w:t>l</w:t>
      </w:r>
      <w:r w:rsidR="000944E6">
        <w:t>)</w:t>
      </w:r>
      <w:r w:rsidR="5BB8072C">
        <w:t xml:space="preserve"> </w:t>
      </w:r>
      <w:r w:rsidR="44180251">
        <w:t>d</w:t>
      </w:r>
      <w:r w:rsidR="6CB68186">
        <w:t xml:space="preserve">oes not mean—as it can in other </w:t>
      </w:r>
      <w:r w:rsidR="006E76DD">
        <w:t xml:space="preserve">legal </w:t>
      </w:r>
      <w:r w:rsidR="6CB68186">
        <w:t xml:space="preserve">contexts—that “the sentence in section 1050 granting precedence to criminal cases over civil cases is . . . merely directive rather than compulsory,” but simply that the statute does not mandate </w:t>
      </w:r>
      <w:r w:rsidR="6CB68186" w:rsidRPr="00E74A95">
        <w:rPr>
          <w:i/>
        </w:rPr>
        <w:t>dismissal</w:t>
      </w:r>
      <w:r w:rsidR="6CB68186">
        <w:t xml:space="preserve"> of a case as a remedy for a violation. (</w:t>
      </w:r>
      <w:r w:rsidR="73B0752D" w:rsidRPr="797FBB80">
        <w:rPr>
          <w:i/>
          <w:iCs/>
        </w:rPr>
        <w:t>Engram</w:t>
      </w:r>
      <w:r w:rsidR="73B0752D">
        <w:t xml:space="preserve">, </w:t>
      </w:r>
      <w:r w:rsidR="73B0752D" w:rsidRPr="797FBB80">
        <w:rPr>
          <w:i/>
          <w:iCs/>
        </w:rPr>
        <w:t>supra</w:t>
      </w:r>
      <w:r w:rsidR="73B0752D">
        <w:t>, 50 Cal.4th at p. 1151 &amp; fn.</w:t>
      </w:r>
      <w:r w:rsidR="006C08E2">
        <w:t> </w:t>
      </w:r>
      <w:r w:rsidR="73B0752D">
        <w:t>8, citing § 1050, subd.</w:t>
      </w:r>
      <w:r w:rsidR="006C08E2">
        <w:t> </w:t>
      </w:r>
      <w:r w:rsidR="73B0752D">
        <w:t>(</w:t>
      </w:r>
      <w:r w:rsidR="73B0752D" w:rsidRPr="797FBB80">
        <w:rPr>
          <w:i/>
          <w:iCs/>
        </w:rPr>
        <w:t>l</w:t>
      </w:r>
      <w:r w:rsidR="73B0752D">
        <w:t>)</w:t>
      </w:r>
      <w:r w:rsidR="127A721C" w:rsidRPr="797FBB80">
        <w:rPr>
          <w:rFonts w:cs="Times New Roman"/>
        </w:rPr>
        <w:t>.</w:t>
      </w:r>
      <w:r w:rsidR="6CB68186">
        <w:t>)</w:t>
      </w:r>
      <w:r w:rsidR="12270EAF">
        <w:rPr>
          <w:rFonts w:cs="Times New Roman"/>
        </w:rPr>
        <w:t xml:space="preserve"> </w:t>
      </w:r>
      <w:r w:rsidR="35618419">
        <w:rPr>
          <w:rFonts w:cs="Times New Roman"/>
        </w:rPr>
        <w:t>Indeed, section</w:t>
      </w:r>
      <w:r w:rsidR="006C08E2">
        <w:rPr>
          <w:rFonts w:cs="Times New Roman"/>
        </w:rPr>
        <w:t> </w:t>
      </w:r>
      <w:r w:rsidR="35618419">
        <w:rPr>
          <w:rFonts w:cs="Times New Roman"/>
        </w:rPr>
        <w:t xml:space="preserve">1050 </w:t>
      </w:r>
      <w:r w:rsidR="35618419">
        <w:t xml:space="preserve">observes that </w:t>
      </w:r>
      <w:r w:rsidR="00BDF121">
        <w:t xml:space="preserve">the remedy of dismissal </w:t>
      </w:r>
      <w:r w:rsidR="35618419">
        <w:t>is provided for in section</w:t>
      </w:r>
      <w:r w:rsidR="006C08E2">
        <w:t> </w:t>
      </w:r>
      <w:r w:rsidR="35618419">
        <w:t xml:space="preserve">1382. </w:t>
      </w:r>
      <w:r w:rsidR="00E325A4">
        <w:t>(</w:t>
      </w:r>
      <w:r w:rsidR="35618419">
        <w:t>§</w:t>
      </w:r>
      <w:r w:rsidR="00B66D8C">
        <w:t> </w:t>
      </w:r>
      <w:r w:rsidR="35618419">
        <w:t>1050, subd.</w:t>
      </w:r>
      <w:r w:rsidR="006C08E2">
        <w:t> </w:t>
      </w:r>
      <w:r w:rsidR="35618419">
        <w:t>(j).</w:t>
      </w:r>
      <w:r w:rsidR="00E325A4">
        <w:t>)</w:t>
      </w:r>
      <w:r w:rsidR="35618419">
        <w:rPr>
          <w:rFonts w:cs="Times New Roman"/>
        </w:rPr>
        <w:t xml:space="preserve"> </w:t>
      </w:r>
      <w:r w:rsidR="12270EAF">
        <w:rPr>
          <w:rFonts w:cs="Times New Roman"/>
        </w:rPr>
        <w:t>The dut</w:t>
      </w:r>
      <w:r w:rsidR="00FD3147">
        <w:rPr>
          <w:rFonts w:cs="Times New Roman"/>
        </w:rPr>
        <w:t>y</w:t>
      </w:r>
      <w:r w:rsidR="12270EAF">
        <w:rPr>
          <w:rFonts w:cs="Times New Roman"/>
        </w:rPr>
        <w:t xml:space="preserve"> imposed by </w:t>
      </w:r>
      <w:r w:rsidR="00C260DA">
        <w:rPr>
          <w:rFonts w:cs="Times New Roman"/>
        </w:rPr>
        <w:t>section </w:t>
      </w:r>
      <w:r w:rsidR="12270EAF">
        <w:rPr>
          <w:rFonts w:cs="Times New Roman"/>
        </w:rPr>
        <w:t xml:space="preserve">1050(a) </w:t>
      </w:r>
      <w:r w:rsidR="00FD3147">
        <w:rPr>
          <w:rFonts w:cs="Times New Roman"/>
        </w:rPr>
        <w:t xml:space="preserve">is </w:t>
      </w:r>
      <w:r w:rsidR="12270EAF">
        <w:rPr>
          <w:rFonts w:cs="Times New Roman"/>
        </w:rPr>
        <w:t>in fact mandatory.</w:t>
      </w:r>
      <w:r>
        <w:rPr>
          <w:rStyle w:val="FootnoteReference"/>
          <w:rFonts w:cs="Times New Roman"/>
        </w:rPr>
        <w:footnoteReference w:id="24"/>
      </w:r>
    </w:p>
    <w:p w14:paraId="6212DAA4" w14:textId="021550D3" w:rsidR="0080647E" w:rsidRPr="007A67EA" w:rsidRDefault="003D06AD" w:rsidP="00BE3BF5">
      <w:pPr>
        <w:autoSpaceDE w:val="0"/>
        <w:autoSpaceDN w:val="0"/>
        <w:adjustRightInd w:val="0"/>
        <w:spacing w:line="360" w:lineRule="auto"/>
        <w:contextualSpacing/>
        <w:rPr>
          <w:color w:val="000000" w:themeColor="text1"/>
        </w:rPr>
      </w:pPr>
      <w:r>
        <w:rPr>
          <w:rFonts w:cs="Times New Roman"/>
        </w:rPr>
        <w:lastRenderedPageBreak/>
        <w:tab/>
      </w:r>
      <w:r w:rsidR="004172E0">
        <w:rPr>
          <w:rFonts w:cs="Times New Roman"/>
        </w:rPr>
        <w:t xml:space="preserve">Plaintiffs </w:t>
      </w:r>
      <w:r w:rsidR="137532E9">
        <w:rPr>
          <w:rFonts w:cs="Times New Roman"/>
        </w:rPr>
        <w:t>alleg</w:t>
      </w:r>
      <w:r w:rsidR="004172E0">
        <w:rPr>
          <w:rFonts w:cs="Times New Roman"/>
        </w:rPr>
        <w:t>e</w:t>
      </w:r>
      <w:r w:rsidR="0D9D3115" w:rsidRPr="797FBB80">
        <w:rPr>
          <w:rFonts w:cs="Times New Roman"/>
        </w:rPr>
        <w:t xml:space="preserve"> </w:t>
      </w:r>
      <w:r w:rsidR="00617E41">
        <w:rPr>
          <w:rFonts w:cs="Times New Roman"/>
        </w:rPr>
        <w:t>tha</w:t>
      </w:r>
      <w:r w:rsidR="006B221A">
        <w:rPr>
          <w:rFonts w:cs="Times New Roman"/>
        </w:rPr>
        <w:t>t</w:t>
      </w:r>
      <w:r w:rsidR="00617E41" w:rsidRPr="797FBB80">
        <w:rPr>
          <w:rFonts w:cs="Times New Roman"/>
        </w:rPr>
        <w:t xml:space="preserve"> </w:t>
      </w:r>
      <w:r w:rsidR="137532E9">
        <w:rPr>
          <w:rFonts w:cs="Times New Roman"/>
        </w:rPr>
        <w:t>defendants maintain</w:t>
      </w:r>
      <w:r w:rsidR="4B8267CC">
        <w:rPr>
          <w:rFonts w:cs="Times New Roman"/>
        </w:rPr>
        <w:t>ed</w:t>
      </w:r>
      <w:r w:rsidR="137532E9">
        <w:rPr>
          <w:rFonts w:cs="Times New Roman"/>
        </w:rPr>
        <w:t xml:space="preserve"> a disproportionately large number of civil departments</w:t>
      </w:r>
      <w:r w:rsidR="6EA1D43C">
        <w:rPr>
          <w:rFonts w:cs="Times New Roman"/>
        </w:rPr>
        <w:t xml:space="preserve"> in the face of a mounting backlog</w:t>
      </w:r>
      <w:r w:rsidR="4B8267CC">
        <w:rPr>
          <w:rFonts w:cs="Times New Roman"/>
        </w:rPr>
        <w:t xml:space="preserve"> of criminal trials</w:t>
      </w:r>
      <w:r w:rsidR="137532E9">
        <w:rPr>
          <w:rFonts w:cs="Times New Roman"/>
        </w:rPr>
        <w:t xml:space="preserve"> </w:t>
      </w:r>
      <w:r w:rsidR="0D9D3115" w:rsidRPr="797FBB80">
        <w:rPr>
          <w:rFonts w:cs="Times New Roman"/>
        </w:rPr>
        <w:t>and</w:t>
      </w:r>
      <w:r w:rsidR="137532E9">
        <w:rPr>
          <w:rFonts w:cs="Times New Roman"/>
        </w:rPr>
        <w:t xml:space="preserve"> fail</w:t>
      </w:r>
      <w:r w:rsidR="0D9D3115" w:rsidRPr="797FBB80">
        <w:rPr>
          <w:rFonts w:cs="Times New Roman"/>
        </w:rPr>
        <w:t>ed</w:t>
      </w:r>
      <w:r w:rsidR="137532E9">
        <w:rPr>
          <w:rFonts w:cs="Times New Roman"/>
        </w:rPr>
        <w:t xml:space="preserve"> to devote </w:t>
      </w:r>
      <w:r w:rsidR="3BE98932">
        <w:rPr>
          <w:rFonts w:cs="Times New Roman"/>
        </w:rPr>
        <w:t xml:space="preserve">sufficient </w:t>
      </w:r>
      <w:r w:rsidR="137532E9">
        <w:rPr>
          <w:rFonts w:cs="Times New Roman"/>
        </w:rPr>
        <w:t xml:space="preserve">resources to </w:t>
      </w:r>
      <w:r w:rsidR="00D23AE0">
        <w:rPr>
          <w:rFonts w:cs="Times New Roman"/>
        </w:rPr>
        <w:t xml:space="preserve">staff and operate </w:t>
      </w:r>
      <w:r w:rsidR="137532E9">
        <w:rPr>
          <w:rFonts w:cs="Times New Roman"/>
        </w:rPr>
        <w:t xml:space="preserve">the </w:t>
      </w:r>
      <w:r w:rsidR="13AD5404">
        <w:rPr>
          <w:rFonts w:cs="Times New Roman"/>
        </w:rPr>
        <w:t xml:space="preserve">small </w:t>
      </w:r>
      <w:r w:rsidR="53EA1DF3">
        <w:rPr>
          <w:rFonts w:cs="Times New Roman"/>
        </w:rPr>
        <w:t xml:space="preserve">fraction of departments </w:t>
      </w:r>
      <w:r w:rsidR="00355D41">
        <w:rPr>
          <w:rFonts w:cs="Times New Roman"/>
        </w:rPr>
        <w:t xml:space="preserve">they </w:t>
      </w:r>
      <w:r w:rsidR="00B45D41">
        <w:rPr>
          <w:rFonts w:cs="Times New Roman"/>
          <w:i/>
          <w:iCs/>
        </w:rPr>
        <w:t xml:space="preserve">did </w:t>
      </w:r>
      <w:r w:rsidR="53EA1DF3" w:rsidRPr="00E74954">
        <w:rPr>
          <w:rFonts w:cs="Times New Roman"/>
        </w:rPr>
        <w:t>devote</w:t>
      </w:r>
      <w:r w:rsidR="53EA1DF3">
        <w:rPr>
          <w:rFonts w:cs="Times New Roman"/>
        </w:rPr>
        <w:t xml:space="preserve"> to </w:t>
      </w:r>
      <w:r w:rsidR="137532E9">
        <w:rPr>
          <w:rFonts w:cs="Times New Roman"/>
        </w:rPr>
        <w:t xml:space="preserve">criminal </w:t>
      </w:r>
      <w:r w:rsidR="53EA1DF3">
        <w:rPr>
          <w:rFonts w:cs="Times New Roman"/>
        </w:rPr>
        <w:t>trials</w:t>
      </w:r>
      <w:r w:rsidR="137532E9">
        <w:rPr>
          <w:rFonts w:cs="Times New Roman"/>
        </w:rPr>
        <w:t xml:space="preserve">, </w:t>
      </w:r>
      <w:r w:rsidR="42ECE05D">
        <w:rPr>
          <w:rFonts w:cs="Times New Roman"/>
        </w:rPr>
        <w:t>causi</w:t>
      </w:r>
      <w:r w:rsidR="1AEF29F0">
        <w:rPr>
          <w:rFonts w:cs="Times New Roman"/>
        </w:rPr>
        <w:t xml:space="preserve">ng </w:t>
      </w:r>
      <w:r w:rsidR="40C317E4">
        <w:rPr>
          <w:rFonts w:cs="Times New Roman"/>
        </w:rPr>
        <w:t>a significant number of criminal cases to be continued months past their statutory “last date” for trial</w:t>
      </w:r>
      <w:r w:rsidR="004172E0">
        <w:rPr>
          <w:rFonts w:cs="Times New Roman"/>
        </w:rPr>
        <w:t>. They</w:t>
      </w:r>
      <w:r w:rsidR="137532E9">
        <w:rPr>
          <w:rFonts w:cs="Times New Roman"/>
        </w:rPr>
        <w:t xml:space="preserve"> have</w:t>
      </w:r>
      <w:r w:rsidR="004172E0">
        <w:rPr>
          <w:rFonts w:cs="Times New Roman"/>
        </w:rPr>
        <w:t xml:space="preserve"> therefore</w:t>
      </w:r>
      <w:r w:rsidR="137532E9">
        <w:rPr>
          <w:rFonts w:cs="Times New Roman"/>
        </w:rPr>
        <w:t xml:space="preserve"> pleaded</w:t>
      </w:r>
      <w:r w:rsidR="2AB222EC">
        <w:rPr>
          <w:rFonts w:cs="Times New Roman"/>
        </w:rPr>
        <w:t xml:space="preserve"> </w:t>
      </w:r>
      <w:r w:rsidR="7FE391D0">
        <w:rPr>
          <w:rFonts w:cs="Times New Roman"/>
        </w:rPr>
        <w:t>a prima facie case</w:t>
      </w:r>
      <w:r w:rsidR="2AB222EC">
        <w:rPr>
          <w:rFonts w:cs="Times New Roman"/>
        </w:rPr>
        <w:t xml:space="preserve"> that defendants shortchanged the court’s criminal caseload </w:t>
      </w:r>
      <w:r w:rsidR="0D9D3115" w:rsidRPr="797FBB80">
        <w:rPr>
          <w:rFonts w:cs="Times New Roman"/>
        </w:rPr>
        <w:t>in violation of</w:t>
      </w:r>
      <w:r w:rsidR="137532E9">
        <w:rPr>
          <w:rFonts w:cs="Times New Roman"/>
        </w:rPr>
        <w:t xml:space="preserve"> “a duty specifically enjoined” on </w:t>
      </w:r>
      <w:r w:rsidR="00D23AE0">
        <w:rPr>
          <w:rFonts w:cs="Times New Roman"/>
        </w:rPr>
        <w:t xml:space="preserve">them </w:t>
      </w:r>
      <w:r w:rsidR="137532E9">
        <w:rPr>
          <w:rFonts w:cs="Times New Roman"/>
        </w:rPr>
        <w:t>by section</w:t>
      </w:r>
      <w:r w:rsidR="009060B6">
        <w:rPr>
          <w:rFonts w:cs="Times New Roman"/>
        </w:rPr>
        <w:t> </w:t>
      </w:r>
      <w:r w:rsidR="137532E9">
        <w:rPr>
          <w:rFonts w:cs="Times New Roman"/>
        </w:rPr>
        <w:t>1050(a).</w:t>
      </w:r>
    </w:p>
    <w:p w14:paraId="651BBCB2" w14:textId="6B6DF9BF" w:rsidR="00547091" w:rsidRPr="00B164CC" w:rsidRDefault="003D06AD" w:rsidP="00F60848">
      <w:pPr>
        <w:keepNext/>
        <w:autoSpaceDE w:val="0"/>
        <w:autoSpaceDN w:val="0"/>
        <w:adjustRightInd w:val="0"/>
        <w:spacing w:after="120" w:line="240" w:lineRule="auto"/>
        <w:ind w:left="720" w:hanging="720"/>
        <w:rPr>
          <w:rFonts w:cs="Times New Roman"/>
          <w:b/>
          <w:bCs/>
          <w:i/>
          <w:iCs/>
        </w:rPr>
      </w:pPr>
      <w:r>
        <w:rPr>
          <w:rFonts w:cs="Times New Roman"/>
          <w:b/>
          <w:bCs/>
          <w:i/>
          <w:iCs/>
        </w:rPr>
        <w:tab/>
      </w:r>
      <w:r w:rsidR="00EB05C6">
        <w:rPr>
          <w:rFonts w:cs="Times New Roman"/>
          <w:b/>
          <w:bCs/>
          <w:i/>
          <w:iCs/>
        </w:rPr>
        <w:t>d</w:t>
      </w:r>
      <w:r w:rsidR="5DA8CA54" w:rsidRPr="797FBB80">
        <w:rPr>
          <w:rFonts w:cs="Times New Roman"/>
          <w:b/>
          <w:bCs/>
          <w:i/>
          <w:iCs/>
        </w:rPr>
        <w:t>. The Complaint Sufficiently Alleges a</w:t>
      </w:r>
      <w:r w:rsidRPr="797FBB80">
        <w:rPr>
          <w:rFonts w:cs="Times New Roman"/>
          <w:b/>
          <w:bCs/>
          <w:i/>
          <w:iCs/>
        </w:rPr>
        <w:t xml:space="preserve"> </w:t>
      </w:r>
      <w:r w:rsidR="00F60848">
        <w:rPr>
          <w:rFonts w:cs="Times New Roman"/>
          <w:b/>
          <w:bCs/>
          <w:i/>
          <w:iCs/>
        </w:rPr>
        <w:t>Statutory Taxpayer</w:t>
      </w:r>
      <w:r w:rsidR="2612A061" w:rsidRPr="797FBB80">
        <w:rPr>
          <w:rFonts w:cs="Times New Roman"/>
          <w:b/>
          <w:bCs/>
          <w:i/>
          <w:iCs/>
        </w:rPr>
        <w:t xml:space="preserve"> </w:t>
      </w:r>
      <w:r w:rsidR="05F9DCA5" w:rsidRPr="797FBB80">
        <w:rPr>
          <w:rFonts w:cs="Times New Roman"/>
          <w:b/>
          <w:bCs/>
          <w:i/>
          <w:iCs/>
        </w:rPr>
        <w:t>Claim</w:t>
      </w:r>
    </w:p>
    <w:p w14:paraId="085AA3FE" w14:textId="108C0621" w:rsidR="0080647E" w:rsidRDefault="003D06AD" w:rsidP="003F5F13">
      <w:pPr>
        <w:autoSpaceDE w:val="0"/>
        <w:autoSpaceDN w:val="0"/>
        <w:adjustRightInd w:val="0"/>
        <w:spacing w:line="360" w:lineRule="auto"/>
        <w:contextualSpacing/>
        <w:rPr>
          <w:rFonts w:cs="Times New Roman"/>
        </w:rPr>
      </w:pPr>
      <w:r>
        <w:rPr>
          <w:rFonts w:cs="Times New Roman"/>
        </w:rPr>
        <w:tab/>
      </w:r>
      <w:r w:rsidR="5082AC07">
        <w:rPr>
          <w:rFonts w:cs="Times New Roman"/>
        </w:rPr>
        <w:t xml:space="preserve">Defendants </w:t>
      </w:r>
      <w:r w:rsidR="2F4D1032">
        <w:rPr>
          <w:rFonts w:cs="Times New Roman"/>
        </w:rPr>
        <w:t xml:space="preserve">also </w:t>
      </w:r>
      <w:r w:rsidR="00F751FF">
        <w:rPr>
          <w:rFonts w:cs="Times New Roman"/>
        </w:rPr>
        <w:t>challenge the adequacy of</w:t>
      </w:r>
      <w:r w:rsidR="25975A6A">
        <w:rPr>
          <w:rFonts w:cs="Times New Roman"/>
        </w:rPr>
        <w:t xml:space="preserve"> </w:t>
      </w:r>
      <w:r w:rsidR="00F751FF">
        <w:rPr>
          <w:rFonts w:cs="Times New Roman"/>
        </w:rPr>
        <w:t xml:space="preserve">plaintiffs’ </w:t>
      </w:r>
      <w:r w:rsidR="00F751FF" w:rsidRPr="00AE3099">
        <w:rPr>
          <w:rFonts w:cs="Times New Roman"/>
          <w:i/>
        </w:rPr>
        <w:t>statutory</w:t>
      </w:r>
      <w:r w:rsidR="00F751FF">
        <w:rPr>
          <w:rFonts w:cs="Times New Roman"/>
        </w:rPr>
        <w:t xml:space="preserve"> </w:t>
      </w:r>
      <w:r w:rsidR="33505A92">
        <w:rPr>
          <w:rFonts w:cs="Times New Roman"/>
        </w:rPr>
        <w:t xml:space="preserve">taxpayer-standing </w:t>
      </w:r>
      <w:r w:rsidR="25975A6A">
        <w:rPr>
          <w:rFonts w:cs="Times New Roman"/>
        </w:rPr>
        <w:t xml:space="preserve">cause of action. While not dispositive of this appeal, given our holding </w:t>
      </w:r>
      <w:r w:rsidR="60D30CBA" w:rsidRPr="797FBB80">
        <w:rPr>
          <w:rFonts w:cs="Times New Roman"/>
        </w:rPr>
        <w:t xml:space="preserve">that </w:t>
      </w:r>
      <w:r w:rsidR="00340F72">
        <w:rPr>
          <w:rFonts w:cs="Times New Roman"/>
        </w:rPr>
        <w:t>p</w:t>
      </w:r>
      <w:r w:rsidR="60D30CBA" w:rsidRPr="797FBB80">
        <w:rPr>
          <w:rFonts w:cs="Times New Roman"/>
        </w:rPr>
        <w:t>laintiffs have adequately pleaded a</w:t>
      </w:r>
      <w:r w:rsidR="25975A6A">
        <w:rPr>
          <w:rFonts w:cs="Times New Roman"/>
        </w:rPr>
        <w:t xml:space="preserve"> common law </w:t>
      </w:r>
      <w:r w:rsidR="60D30CBA" w:rsidRPr="797FBB80">
        <w:rPr>
          <w:rFonts w:cs="Times New Roman"/>
        </w:rPr>
        <w:t>claim</w:t>
      </w:r>
      <w:r w:rsidR="25975A6A">
        <w:rPr>
          <w:rFonts w:cs="Times New Roman"/>
        </w:rPr>
        <w:t>, we exercise our discretion to provide guidance on remand.</w:t>
      </w:r>
    </w:p>
    <w:p w14:paraId="6CAA504D" w14:textId="0E6CD319" w:rsidR="00E321DF" w:rsidRPr="00EB05C6" w:rsidRDefault="003D06AD" w:rsidP="005B6366">
      <w:pPr>
        <w:keepNext/>
        <w:spacing w:after="120" w:line="240" w:lineRule="auto"/>
        <w:ind w:left="1440" w:hanging="1440"/>
        <w:rPr>
          <w:rFonts w:eastAsia="Calibri" w:cs="Arial"/>
          <w:b/>
          <w:bCs/>
          <w:szCs w:val="26"/>
        </w:rPr>
      </w:pPr>
      <w:r>
        <w:rPr>
          <w:rFonts w:cs="Times New Roman"/>
          <w:b/>
          <w:i/>
        </w:rPr>
        <w:tab/>
      </w:r>
      <w:r>
        <w:rPr>
          <w:rFonts w:cs="Times New Roman"/>
          <w:b/>
          <w:i/>
        </w:rPr>
        <w:tab/>
        <w:t xml:space="preserve">1. </w:t>
      </w:r>
      <w:r w:rsidR="3437F97E" w:rsidRPr="00EB05C6">
        <w:rPr>
          <w:rFonts w:cs="Times New Roman"/>
          <w:b/>
          <w:i/>
        </w:rPr>
        <w:t>Plaintiffs</w:t>
      </w:r>
      <w:r w:rsidR="3437F97E" w:rsidRPr="00EB05C6">
        <w:rPr>
          <w:rFonts w:cs="Times New Roman"/>
          <w:b/>
          <w:bCs/>
          <w:i/>
          <w:iCs/>
        </w:rPr>
        <w:t xml:space="preserve"> Have Pleaded “Waste” or “Illegal Expenditure” of Public Funds</w:t>
      </w:r>
    </w:p>
    <w:p w14:paraId="7EDE0D0E" w14:textId="6F64D15F" w:rsidR="0080647E" w:rsidRDefault="003D06AD" w:rsidP="007A67EA">
      <w:pPr>
        <w:autoSpaceDE w:val="0"/>
        <w:autoSpaceDN w:val="0"/>
        <w:adjustRightInd w:val="0"/>
        <w:spacing w:line="360" w:lineRule="auto"/>
        <w:contextualSpacing/>
      </w:pPr>
      <w:r>
        <w:rPr>
          <w:rFonts w:cs="Times New Roman"/>
        </w:rPr>
        <w:tab/>
      </w:r>
      <w:r w:rsidR="00331372">
        <w:rPr>
          <w:rFonts w:cs="Times New Roman"/>
        </w:rPr>
        <w:t>Code of Civil Procedure s</w:t>
      </w:r>
      <w:r w:rsidR="25975A6A">
        <w:rPr>
          <w:rFonts w:cs="Times New Roman"/>
        </w:rPr>
        <w:t>ection 526a</w:t>
      </w:r>
      <w:r w:rsidR="00F33294">
        <w:rPr>
          <w:rFonts w:cs="Times New Roman"/>
        </w:rPr>
        <w:t>, subdivision (a)</w:t>
      </w:r>
      <w:r w:rsidR="25975A6A" w:rsidRPr="4B0E998B">
        <w:rPr>
          <w:rFonts w:cs="CenturySchoolbook"/>
        </w:rPr>
        <w:t xml:space="preserve"> permits actions to restrain “any illegal expenditure of, waste of, or injury to, the estate, funds, or other property</w:t>
      </w:r>
      <w:r w:rsidR="25975A6A" w:rsidRPr="05D0A8A3">
        <w:rPr>
          <w:rFonts w:cs="CenturySchoolbook"/>
        </w:rPr>
        <w:t>” of a covered public agency.</w:t>
      </w:r>
      <w:r w:rsidR="25975A6A" w:rsidRPr="4B0E998B">
        <w:rPr>
          <w:rFonts w:cs="CenturySchoolbook"/>
        </w:rPr>
        <w:t xml:space="preserve"> </w:t>
      </w:r>
      <w:r w:rsidR="25975A6A">
        <w:rPr>
          <w:rFonts w:cs="Times New Roman"/>
          <w:color w:val="000000"/>
        </w:rPr>
        <w:t xml:space="preserve">Defendants deny that plaintiffs </w:t>
      </w:r>
      <w:r w:rsidR="25975A6A">
        <w:rPr>
          <w:rFonts w:cs="Times New Roman"/>
          <w:color w:val="000000"/>
        </w:rPr>
        <w:lastRenderedPageBreak/>
        <w:t xml:space="preserve">have pleaded “waste.” </w:t>
      </w:r>
      <w:r w:rsidR="25975A6A" w:rsidRPr="2DBE3B38">
        <w:rPr>
          <w:rFonts w:cs="Times New Roman"/>
          <w:color w:val="000000" w:themeColor="text1"/>
        </w:rPr>
        <w:t>Initially</w:t>
      </w:r>
      <w:r w:rsidR="25975A6A">
        <w:rPr>
          <w:rFonts w:cs="Times New Roman"/>
          <w:color w:val="000000"/>
        </w:rPr>
        <w:t xml:space="preserve">, they argue plaintiffs allege only expenditures by </w:t>
      </w:r>
      <w:r w:rsidR="25975A6A" w:rsidRPr="797FBB80">
        <w:rPr>
          <w:rFonts w:cs="Times New Roman"/>
          <w:i/>
          <w:iCs/>
          <w:color w:val="000000"/>
        </w:rPr>
        <w:t>other</w:t>
      </w:r>
      <w:r w:rsidR="25975A6A">
        <w:rPr>
          <w:rFonts w:cs="Times New Roman"/>
          <w:color w:val="000000"/>
        </w:rPr>
        <w:t xml:space="preserve"> entities occasioned by defendant court’s backlog and resultant continuances. </w:t>
      </w:r>
      <w:r w:rsidR="25975A6A" w:rsidRPr="4D00544E">
        <w:rPr>
          <w:rFonts w:eastAsia="Times New Roman" w:cs="Times New Roman"/>
          <w:color w:val="000000" w:themeColor="text1"/>
        </w:rPr>
        <w:t>However,</w:t>
      </w:r>
      <w:r w:rsidR="3824CD81" w:rsidRPr="4D00544E">
        <w:rPr>
          <w:rFonts w:eastAsia="Times New Roman" w:cs="Times New Roman"/>
          <w:color w:val="000000" w:themeColor="text1"/>
        </w:rPr>
        <w:t xml:space="preserve"> plaintiffs </w:t>
      </w:r>
      <w:r w:rsidR="00C37FA0">
        <w:rPr>
          <w:rFonts w:eastAsia="Times New Roman" w:cs="Times New Roman"/>
          <w:color w:val="000000" w:themeColor="text1"/>
        </w:rPr>
        <w:t>allege</w:t>
      </w:r>
      <w:r w:rsidR="00C37FA0" w:rsidRPr="4D00544E">
        <w:rPr>
          <w:rFonts w:eastAsia="Times New Roman" w:cs="Times New Roman"/>
          <w:color w:val="000000" w:themeColor="text1"/>
        </w:rPr>
        <w:t xml:space="preserve"> </w:t>
      </w:r>
      <w:r w:rsidR="3824CD81" w:rsidRPr="4D00544E">
        <w:rPr>
          <w:rFonts w:eastAsia="Times New Roman" w:cs="Times New Roman"/>
          <w:color w:val="000000" w:themeColor="text1"/>
        </w:rPr>
        <w:t>that defendants’ failure to prioritize criminal cases has caused, inter alia, “increased security, staff and facility costs for multiple pretrial court appearances.”</w:t>
      </w:r>
      <w:r w:rsidR="25975A6A">
        <w:rPr>
          <w:rFonts w:eastAsia="Times New Roman" w:cs="Times New Roman"/>
          <w:color w:val="000000"/>
        </w:rPr>
        <w:t xml:space="preserve"> </w:t>
      </w:r>
      <w:r w:rsidR="00554F52">
        <w:rPr>
          <w:rFonts w:eastAsia="Times New Roman" w:cs="Times New Roman"/>
          <w:color w:val="000000"/>
        </w:rPr>
        <w:t>I</w:t>
      </w:r>
      <w:r w:rsidR="006E3098">
        <w:rPr>
          <w:rFonts w:eastAsia="Times New Roman" w:cs="Times New Roman"/>
          <w:color w:val="000000"/>
        </w:rPr>
        <w:t xml:space="preserve">n </w:t>
      </w:r>
      <w:r w:rsidR="451C99AE">
        <w:rPr>
          <w:rFonts w:eastAsia="Times New Roman" w:cs="Times New Roman"/>
          <w:color w:val="000000"/>
        </w:rPr>
        <w:t xml:space="preserve">any event, </w:t>
      </w:r>
      <w:r w:rsidR="00331372">
        <w:rPr>
          <w:rFonts w:eastAsia="Times New Roman" w:cs="Times New Roman"/>
          <w:color w:val="000000"/>
        </w:rPr>
        <w:t>Code of Civil Procedure</w:t>
      </w:r>
      <w:r w:rsidR="451C99AE">
        <w:rPr>
          <w:rFonts w:eastAsia="Times New Roman" w:cs="Times New Roman"/>
          <w:color w:val="000000"/>
        </w:rPr>
        <w:t xml:space="preserve"> </w:t>
      </w:r>
      <w:r w:rsidR="25975A6A">
        <w:rPr>
          <w:rFonts w:eastAsia="Times New Roman" w:cs="Times New Roman"/>
          <w:color w:val="000000"/>
        </w:rPr>
        <w:t>section 526a permits challenges to “illegal expenditure” of public funds</w:t>
      </w:r>
      <w:r w:rsidR="25975A6A" w:rsidRPr="4D00544E">
        <w:rPr>
          <w:rFonts w:eastAsia="Times New Roman" w:cs="Times New Roman"/>
          <w:color w:val="000000" w:themeColor="text1"/>
        </w:rPr>
        <w:t xml:space="preserve">, regardless of </w:t>
      </w:r>
      <w:r w:rsidR="25975A6A">
        <w:t>the</w:t>
      </w:r>
      <w:r w:rsidR="00BD57C3">
        <w:t>ir</w:t>
      </w:r>
      <w:r w:rsidR="25975A6A">
        <w:t xml:space="preserve"> amount or </w:t>
      </w:r>
      <w:r w:rsidR="6B693A50">
        <w:t>whether “</w:t>
      </w:r>
      <w:r w:rsidR="25975A6A">
        <w:t xml:space="preserve">the illegal procedures actually permit a </w:t>
      </w:r>
      <w:r w:rsidR="25975A6A" w:rsidRPr="00242118">
        <w:rPr>
          <w:i/>
        </w:rPr>
        <w:t>saving</w:t>
      </w:r>
      <w:r w:rsidR="25975A6A">
        <w:t xml:space="preserve"> of tax funds</w:t>
      </w:r>
      <w:r w:rsidR="2A4C2899">
        <w:t>.</w:t>
      </w:r>
      <w:r w:rsidR="25975A6A">
        <w:t>” (</w:t>
      </w:r>
      <w:proofErr w:type="spellStart"/>
      <w:r w:rsidR="25975A6A" w:rsidRPr="797FBB80">
        <w:rPr>
          <w:i/>
          <w:iCs/>
        </w:rPr>
        <w:t>Wirin</w:t>
      </w:r>
      <w:proofErr w:type="spellEnd"/>
      <w:r w:rsidR="25975A6A" w:rsidRPr="797FBB80">
        <w:rPr>
          <w:i/>
          <w:iCs/>
        </w:rPr>
        <w:t xml:space="preserve"> v. Parker</w:t>
      </w:r>
      <w:r w:rsidR="25975A6A">
        <w:t xml:space="preserve"> (1957) 48 Cal.2d 890</w:t>
      </w:r>
      <w:r w:rsidR="25975A6A" w:rsidRPr="797FBB80">
        <w:rPr>
          <w:i/>
          <w:iCs/>
        </w:rPr>
        <w:t xml:space="preserve">, </w:t>
      </w:r>
      <w:r w:rsidR="25975A6A">
        <w:t>894</w:t>
      </w:r>
      <w:r w:rsidR="5AB33C42">
        <w:t>, italics added</w:t>
      </w:r>
      <w:r w:rsidR="25975A6A">
        <w:t>.)</w:t>
      </w:r>
    </w:p>
    <w:p w14:paraId="27A7D390" w14:textId="2A3DFB11" w:rsidR="0080647E" w:rsidRDefault="003D06AD" w:rsidP="797FBB80">
      <w:pPr>
        <w:autoSpaceDE w:val="0"/>
        <w:autoSpaceDN w:val="0"/>
        <w:adjustRightInd w:val="0"/>
        <w:spacing w:line="360" w:lineRule="auto"/>
        <w:contextualSpacing/>
      </w:pPr>
      <w:r>
        <w:tab/>
      </w:r>
      <w:r w:rsidR="00D6157D">
        <w:t>Indeed</w:t>
      </w:r>
      <w:r w:rsidR="25975A6A">
        <w:t>, a</w:t>
      </w:r>
      <w:r w:rsidR="25975A6A" w:rsidRPr="5276B3B3">
        <w:rPr>
          <w:rFonts w:eastAsia="Times New Roman" w:cs="Times New Roman"/>
          <w:color w:val="000000" w:themeColor="text1"/>
        </w:rPr>
        <w:t>mple precedent</w:t>
      </w:r>
      <w:r w:rsidR="25975A6A" w:rsidRPr="73D41AE1">
        <w:rPr>
          <w:rFonts w:eastAsia="Times New Roman" w:cs="Times New Roman"/>
          <w:color w:val="000000" w:themeColor="text1"/>
        </w:rPr>
        <w:t xml:space="preserve"> </w:t>
      </w:r>
      <w:r w:rsidR="25975A6A" w:rsidRPr="1398C0D9">
        <w:rPr>
          <w:rFonts w:eastAsia="Times New Roman" w:cs="Times New Roman"/>
          <w:color w:val="000000" w:themeColor="text1"/>
        </w:rPr>
        <w:t>permits the</w:t>
      </w:r>
      <w:r w:rsidR="25975A6A" w:rsidRPr="5276B3B3">
        <w:rPr>
          <w:rFonts w:eastAsia="Times New Roman" w:cs="Times New Roman"/>
          <w:color w:val="000000" w:themeColor="text1"/>
        </w:rPr>
        <w:t xml:space="preserve"> use </w:t>
      </w:r>
      <w:r w:rsidR="25975A6A" w:rsidRPr="1398C0D9">
        <w:rPr>
          <w:rFonts w:eastAsia="Times New Roman" w:cs="Times New Roman"/>
          <w:color w:val="000000" w:themeColor="text1"/>
        </w:rPr>
        <w:t xml:space="preserve">of </w:t>
      </w:r>
      <w:r w:rsidR="00331372">
        <w:rPr>
          <w:rFonts w:eastAsia="Times New Roman" w:cs="Times New Roman"/>
          <w:color w:val="000000" w:themeColor="text1"/>
        </w:rPr>
        <w:t xml:space="preserve">Code of Civil Procedure </w:t>
      </w:r>
      <w:r w:rsidR="25975A6A" w:rsidRPr="5276B3B3">
        <w:rPr>
          <w:rFonts w:eastAsia="Times New Roman" w:cs="Times New Roman"/>
          <w:color w:val="000000" w:themeColor="text1"/>
        </w:rPr>
        <w:t>section</w:t>
      </w:r>
      <w:r w:rsidR="00F5400A">
        <w:rPr>
          <w:rFonts w:eastAsia="Times New Roman" w:cs="Times New Roman"/>
          <w:color w:val="000000" w:themeColor="text1"/>
        </w:rPr>
        <w:t> </w:t>
      </w:r>
      <w:r w:rsidR="25975A6A" w:rsidRPr="5276B3B3">
        <w:rPr>
          <w:rFonts w:eastAsia="Times New Roman" w:cs="Times New Roman"/>
          <w:color w:val="000000" w:themeColor="text1"/>
        </w:rPr>
        <w:t xml:space="preserve">526a to challenge an agency’s expenditure of funds for activity </w:t>
      </w:r>
      <w:r w:rsidR="00F70EC9">
        <w:rPr>
          <w:rFonts w:eastAsia="Times New Roman" w:cs="Times New Roman"/>
          <w:color w:val="000000" w:themeColor="text1"/>
        </w:rPr>
        <w:t>carried out in a manner violative of</w:t>
      </w:r>
      <w:r w:rsidR="25975A6A" w:rsidRPr="5276B3B3">
        <w:rPr>
          <w:rFonts w:eastAsia="Times New Roman" w:cs="Times New Roman"/>
          <w:color w:val="000000" w:themeColor="text1"/>
        </w:rPr>
        <w:t xml:space="preserve"> constitutional or statutory provisions</w:t>
      </w:r>
      <w:r w:rsidR="25975A6A" w:rsidRPr="1398C0D9">
        <w:rPr>
          <w:rFonts w:eastAsia="Times New Roman" w:cs="Times New Roman"/>
          <w:color w:val="000000" w:themeColor="text1"/>
        </w:rPr>
        <w:t xml:space="preserve">, </w:t>
      </w:r>
      <w:r w:rsidR="25975A6A">
        <w:rPr>
          <w:rFonts w:eastAsia="Times New Roman" w:cs="Times New Roman"/>
          <w:color w:val="000000" w:themeColor="text1"/>
        </w:rPr>
        <w:t>even if the expenditure also produce</w:t>
      </w:r>
      <w:r w:rsidR="426445CB" w:rsidRPr="797FBB80">
        <w:rPr>
          <w:rFonts w:eastAsia="Times New Roman" w:cs="Times New Roman"/>
          <w:color w:val="000000" w:themeColor="text1"/>
        </w:rPr>
        <w:t>s</w:t>
      </w:r>
      <w:r w:rsidR="25975A6A">
        <w:rPr>
          <w:rFonts w:eastAsia="Times New Roman" w:cs="Times New Roman"/>
          <w:color w:val="000000" w:themeColor="text1"/>
        </w:rPr>
        <w:t xml:space="preserve"> some public benefit</w:t>
      </w:r>
      <w:r w:rsidR="25975A6A" w:rsidRPr="0F05C169">
        <w:rPr>
          <w:rFonts w:eastAsia="Times New Roman" w:cs="Times New Roman"/>
          <w:color w:val="000000" w:themeColor="text1"/>
        </w:rPr>
        <w:t>.</w:t>
      </w:r>
      <w:r w:rsidR="25975A6A">
        <w:rPr>
          <w:rFonts w:eastAsia="Times New Roman" w:cs="Times New Roman"/>
          <w:color w:val="000000"/>
        </w:rPr>
        <w:t xml:space="preserve"> (See, e.g., </w:t>
      </w:r>
      <w:r w:rsidR="25975A6A" w:rsidRPr="797FBB80">
        <w:rPr>
          <w:rFonts w:eastAsia="Times New Roman" w:cs="Times New Roman"/>
          <w:i/>
          <w:iCs/>
          <w:color w:val="000000"/>
        </w:rPr>
        <w:t>Blair</w:t>
      </w:r>
      <w:r w:rsidR="0DC8126A" w:rsidRPr="006B5487">
        <w:rPr>
          <w:rFonts w:eastAsia="Times New Roman" w:cs="Times New Roman"/>
          <w:i/>
          <w:color w:val="000000" w:themeColor="text1"/>
        </w:rPr>
        <w:t>, supra,</w:t>
      </w:r>
      <w:r w:rsidRPr="797FBB80">
        <w:rPr>
          <w:rFonts w:eastAsia="Times New Roman" w:cs="Times New Roman"/>
          <w:i/>
          <w:iCs/>
          <w:color w:val="000000" w:themeColor="text1"/>
        </w:rPr>
        <w:t xml:space="preserve"> </w:t>
      </w:r>
      <w:r w:rsidR="25975A6A" w:rsidRPr="4B0E998B">
        <w:rPr>
          <w:rFonts w:eastAsia="Times New Roman" w:cs="Times New Roman"/>
          <w:color w:val="000000"/>
        </w:rPr>
        <w:t>5</w:t>
      </w:r>
      <w:r w:rsidR="006B5487">
        <w:rPr>
          <w:rFonts w:eastAsia="Times New Roman" w:cs="Times New Roman"/>
          <w:color w:val="000000"/>
        </w:rPr>
        <w:t> </w:t>
      </w:r>
      <w:r w:rsidR="25975A6A" w:rsidRPr="4B0E998B">
        <w:rPr>
          <w:rFonts w:eastAsia="Times New Roman" w:cs="Times New Roman"/>
          <w:color w:val="000000"/>
        </w:rPr>
        <w:t xml:space="preserve">Cal.3d </w:t>
      </w:r>
      <w:r w:rsidR="57E3F6B0" w:rsidRPr="4B0E998B">
        <w:rPr>
          <w:rFonts w:eastAsia="Times New Roman" w:cs="Times New Roman"/>
          <w:color w:val="000000"/>
        </w:rPr>
        <w:t>at pp.</w:t>
      </w:r>
      <w:r w:rsidR="00F5400A">
        <w:rPr>
          <w:rFonts w:eastAsia="Times New Roman" w:cs="Times New Roman"/>
          <w:color w:val="000000"/>
        </w:rPr>
        <w:t> </w:t>
      </w:r>
      <w:r w:rsidR="25975A6A" w:rsidRPr="4B0E998B">
        <w:rPr>
          <w:rFonts w:eastAsia="Times New Roman" w:cs="Times New Roman"/>
          <w:color w:val="000000"/>
        </w:rPr>
        <w:t>2</w:t>
      </w:r>
      <w:r w:rsidR="00A42DBD">
        <w:rPr>
          <w:rFonts w:eastAsia="Times New Roman" w:cs="Times New Roman"/>
          <w:color w:val="000000"/>
        </w:rPr>
        <w:t>6</w:t>
      </w:r>
      <w:r w:rsidR="005275FE">
        <w:rPr>
          <w:rFonts w:eastAsia="Times New Roman" w:cs="Times New Roman"/>
          <w:color w:val="000000"/>
        </w:rPr>
        <w:t>7</w:t>
      </w:r>
      <w:r w:rsidR="12B009B4">
        <w:rPr>
          <w:rFonts w:eastAsia="Times New Roman" w:cs="Times New Roman"/>
          <w:color w:val="000000"/>
        </w:rPr>
        <w:t>–</w:t>
      </w:r>
      <w:r w:rsidR="25975A6A" w:rsidRPr="4B0E998B">
        <w:rPr>
          <w:rFonts w:eastAsia="Times New Roman" w:cs="Times New Roman"/>
          <w:color w:val="000000"/>
        </w:rPr>
        <w:t>2</w:t>
      </w:r>
      <w:r w:rsidR="00A42DBD">
        <w:rPr>
          <w:rFonts w:eastAsia="Times New Roman" w:cs="Times New Roman"/>
          <w:color w:val="000000"/>
        </w:rPr>
        <w:t>6</w:t>
      </w:r>
      <w:r w:rsidR="25975A6A" w:rsidRPr="4B0E998B">
        <w:rPr>
          <w:rFonts w:eastAsia="Times New Roman" w:cs="Times New Roman"/>
          <w:color w:val="000000"/>
        </w:rPr>
        <w:t>9 [</w:t>
      </w:r>
      <w:r w:rsidR="00331372">
        <w:rPr>
          <w:rFonts w:eastAsia="Times New Roman" w:cs="Times New Roman"/>
          <w:color w:val="000000"/>
        </w:rPr>
        <w:t xml:space="preserve">authorizing statutory </w:t>
      </w:r>
      <w:r w:rsidR="25975A6A" w:rsidRPr="4D00544E">
        <w:rPr>
          <w:rFonts w:eastAsia="Times New Roman" w:cs="Times New Roman"/>
          <w:color w:val="000000" w:themeColor="text1"/>
        </w:rPr>
        <w:t xml:space="preserve">taxpayer </w:t>
      </w:r>
      <w:r w:rsidR="25975A6A" w:rsidRPr="4B0E998B">
        <w:rPr>
          <w:rFonts w:eastAsia="Times New Roman" w:cs="Times New Roman"/>
          <w:color w:val="000000"/>
        </w:rPr>
        <w:t xml:space="preserve">challenge </w:t>
      </w:r>
      <w:r w:rsidR="25975A6A" w:rsidRPr="4D00544E">
        <w:rPr>
          <w:rFonts w:eastAsia="Times New Roman" w:cs="Times New Roman"/>
          <w:color w:val="000000" w:themeColor="text1"/>
        </w:rPr>
        <w:t xml:space="preserve">to </w:t>
      </w:r>
      <w:r w:rsidR="25975A6A" w:rsidRPr="4B0E998B">
        <w:rPr>
          <w:rFonts w:eastAsia="Times New Roman" w:cs="Times New Roman"/>
          <w:color w:val="000000"/>
          <w:spacing w:val="-2"/>
        </w:rPr>
        <w:t>constitutionality of “claim and delivery</w:t>
      </w:r>
      <w:r w:rsidR="25975A6A" w:rsidRPr="4B0E998B">
        <w:rPr>
          <w:rFonts w:eastAsia="Times New Roman" w:cs="Times New Roman"/>
          <w:color w:val="000000"/>
        </w:rPr>
        <w:t xml:space="preserve"> law”</w:t>
      </w:r>
      <w:r w:rsidR="25975A6A">
        <w:rPr>
          <w:rFonts w:eastAsia="Times New Roman" w:cs="Times New Roman"/>
          <w:color w:val="000000"/>
        </w:rPr>
        <w:t xml:space="preserve"> </w:t>
      </w:r>
      <w:r w:rsidR="25975A6A" w:rsidRPr="4D00544E">
        <w:rPr>
          <w:rFonts w:eastAsia="Times New Roman" w:cs="Times New Roman"/>
          <w:color w:val="000000" w:themeColor="text1"/>
        </w:rPr>
        <w:t>permitting pre-adjudication seizure of</w:t>
      </w:r>
      <w:r w:rsidR="25975A6A" w:rsidRPr="4B0E998B">
        <w:rPr>
          <w:rFonts w:eastAsia="Times New Roman" w:cs="Times New Roman"/>
          <w:color w:val="000000"/>
        </w:rPr>
        <w:t xml:space="preserve"> property; </w:t>
      </w:r>
      <w:r w:rsidR="25975A6A">
        <w:rPr>
          <w:rFonts w:eastAsia="Times New Roman" w:cs="Times New Roman"/>
          <w:color w:val="000000"/>
        </w:rPr>
        <w:t>i</w:t>
      </w:r>
      <w:r w:rsidR="25975A6A" w:rsidRPr="4B0E998B">
        <w:rPr>
          <w:rFonts w:eastAsia="Times New Roman" w:cs="Times New Roman"/>
          <w:color w:val="000000"/>
        </w:rPr>
        <w:t xml:space="preserve">f law were unconstitutional, “then county officials may be enjoined from spending their time carrying out its provisions”]; </w:t>
      </w:r>
      <w:proofErr w:type="spellStart"/>
      <w:r w:rsidR="25975A6A" w:rsidRPr="797FBB80">
        <w:rPr>
          <w:rFonts w:eastAsia="Times New Roman" w:cs="Times New Roman"/>
          <w:i/>
          <w:iCs/>
          <w:color w:val="000000"/>
        </w:rPr>
        <w:t>Wirin</w:t>
      </w:r>
      <w:proofErr w:type="spellEnd"/>
      <w:r w:rsidR="00293EA7">
        <w:rPr>
          <w:rFonts w:eastAsia="Times New Roman" w:cs="Times New Roman"/>
          <w:i/>
          <w:iCs/>
          <w:color w:val="000000"/>
        </w:rPr>
        <w:t xml:space="preserve"> </w:t>
      </w:r>
      <w:r w:rsidR="00293EA7" w:rsidRPr="797FBB80">
        <w:rPr>
          <w:i/>
          <w:iCs/>
        </w:rPr>
        <w:t>v. Parker</w:t>
      </w:r>
      <w:r w:rsidR="25975A6A">
        <w:rPr>
          <w:rFonts w:eastAsia="Times New Roman" w:cs="Times New Roman"/>
          <w:color w:val="000000"/>
        </w:rPr>
        <w:t xml:space="preserve">, </w:t>
      </w:r>
      <w:r w:rsidR="25975A6A" w:rsidRPr="797FBB80">
        <w:rPr>
          <w:rFonts w:eastAsia="Times New Roman" w:cs="Times New Roman"/>
          <w:i/>
          <w:iCs/>
          <w:color w:val="000000"/>
        </w:rPr>
        <w:t>supra</w:t>
      </w:r>
      <w:r w:rsidR="25975A6A">
        <w:rPr>
          <w:rFonts w:eastAsia="Times New Roman" w:cs="Times New Roman"/>
          <w:color w:val="000000"/>
        </w:rPr>
        <w:t>, 48</w:t>
      </w:r>
      <w:r w:rsidR="00D400A8">
        <w:rPr>
          <w:rFonts w:eastAsia="Times New Roman" w:cs="Times New Roman"/>
          <w:color w:val="000000"/>
        </w:rPr>
        <w:t> </w:t>
      </w:r>
      <w:r w:rsidR="25975A6A">
        <w:rPr>
          <w:rFonts w:eastAsia="Times New Roman" w:cs="Times New Roman"/>
          <w:color w:val="000000"/>
        </w:rPr>
        <w:t>Cal.2d at p</w:t>
      </w:r>
      <w:r w:rsidR="009E1990">
        <w:rPr>
          <w:rFonts w:eastAsia="Times New Roman" w:cs="Times New Roman"/>
          <w:color w:val="000000"/>
        </w:rPr>
        <w:t>p</w:t>
      </w:r>
      <w:r w:rsidR="25975A6A">
        <w:rPr>
          <w:rFonts w:eastAsia="Times New Roman" w:cs="Times New Roman"/>
          <w:color w:val="000000"/>
        </w:rPr>
        <w:t>.</w:t>
      </w:r>
      <w:r w:rsidR="00F5400A">
        <w:rPr>
          <w:rFonts w:eastAsia="Times New Roman" w:cs="Times New Roman"/>
          <w:color w:val="000000"/>
        </w:rPr>
        <w:t> </w:t>
      </w:r>
      <w:r w:rsidR="009E1990">
        <w:rPr>
          <w:rFonts w:eastAsia="Times New Roman" w:cs="Times New Roman"/>
          <w:color w:val="000000"/>
        </w:rPr>
        <w:t>891,</w:t>
      </w:r>
      <w:r w:rsidR="25975A6A">
        <w:rPr>
          <w:rFonts w:eastAsia="Times New Roman" w:cs="Times New Roman"/>
          <w:color w:val="000000"/>
        </w:rPr>
        <w:t xml:space="preserve"> 894 [authoriz</w:t>
      </w:r>
      <w:r w:rsidR="00331372">
        <w:rPr>
          <w:rFonts w:eastAsia="Times New Roman" w:cs="Times New Roman"/>
          <w:color w:val="000000"/>
        </w:rPr>
        <w:t>ing statutory</w:t>
      </w:r>
      <w:r w:rsidR="25975A6A">
        <w:rPr>
          <w:rFonts w:eastAsia="Times New Roman" w:cs="Times New Roman"/>
          <w:color w:val="000000"/>
        </w:rPr>
        <w:t xml:space="preserve"> taxpayer challenge </w:t>
      </w:r>
      <w:r w:rsidR="25975A6A" w:rsidRPr="4D00544E">
        <w:rPr>
          <w:rFonts w:eastAsia="Times New Roman" w:cs="Times New Roman"/>
          <w:color w:val="000000" w:themeColor="text1"/>
        </w:rPr>
        <w:t xml:space="preserve">to </w:t>
      </w:r>
      <w:r w:rsidR="25975A6A">
        <w:rPr>
          <w:rFonts w:eastAsia="Times New Roman" w:cs="Times New Roman"/>
          <w:color w:val="000000"/>
        </w:rPr>
        <w:t>police chief</w:t>
      </w:r>
      <w:r w:rsidR="25975A6A" w:rsidRPr="00475814">
        <w:rPr>
          <w:rFonts w:eastAsia="Times New Roman" w:cs="Times New Roman"/>
          <w:color w:val="000000"/>
          <w:spacing w:val="10"/>
          <w:kern w:val="20"/>
        </w:rPr>
        <w:t>’</w:t>
      </w:r>
      <w:r w:rsidR="25975A6A">
        <w:rPr>
          <w:rFonts w:eastAsia="Times New Roman" w:cs="Times New Roman"/>
          <w:color w:val="000000"/>
        </w:rPr>
        <w:t xml:space="preserve">s operation of </w:t>
      </w:r>
      <w:r w:rsidR="25975A6A" w:rsidRPr="73D41AE1">
        <w:rPr>
          <w:rFonts w:eastAsia="Times New Roman" w:cs="Times New Roman"/>
          <w:color w:val="000000" w:themeColor="text1"/>
        </w:rPr>
        <w:t xml:space="preserve">hidden-microphone </w:t>
      </w:r>
      <w:r w:rsidR="25975A6A">
        <w:rPr>
          <w:rFonts w:eastAsia="Times New Roman" w:cs="Times New Roman"/>
          <w:color w:val="000000"/>
        </w:rPr>
        <w:t xml:space="preserve">surveillance program </w:t>
      </w:r>
      <w:r w:rsidR="25975A6A" w:rsidRPr="4D00544E">
        <w:rPr>
          <w:rFonts w:eastAsia="Times New Roman" w:cs="Times New Roman"/>
          <w:color w:val="000000" w:themeColor="text1"/>
        </w:rPr>
        <w:t>for</w:t>
      </w:r>
      <w:r w:rsidR="25975A6A" w:rsidRPr="2DBE3B38">
        <w:rPr>
          <w:rFonts w:eastAsia="Times New Roman" w:cs="Times New Roman"/>
          <w:color w:val="000000" w:themeColor="text1"/>
        </w:rPr>
        <w:t xml:space="preserve"> “injunction against the expenditure of public funds in violation of . . .</w:t>
      </w:r>
      <w:r w:rsidR="25975A6A">
        <w:rPr>
          <w:rFonts w:eastAsia="Times New Roman" w:cs="Times New Roman"/>
          <w:color w:val="000000"/>
        </w:rPr>
        <w:t xml:space="preserve"> constitutional guarantees”]; </w:t>
      </w:r>
      <w:r w:rsidR="25975A6A" w:rsidRPr="797FBB80">
        <w:rPr>
          <w:i/>
          <w:iCs/>
        </w:rPr>
        <w:t>People for Ethical Operation of Prosecutors and Law Enforcement v. Spitzer</w:t>
      </w:r>
      <w:r w:rsidR="25975A6A">
        <w:t xml:space="preserve"> (2020) 53</w:t>
      </w:r>
      <w:r w:rsidR="00F5400A">
        <w:t> </w:t>
      </w:r>
      <w:r w:rsidR="25975A6A">
        <w:t>Cal.App.5th 391, 395–396, 401–402 (</w:t>
      </w:r>
      <w:r w:rsidR="25975A6A" w:rsidRPr="797FBB80">
        <w:rPr>
          <w:i/>
          <w:iCs/>
        </w:rPr>
        <w:t>Spitzer</w:t>
      </w:r>
      <w:r w:rsidR="25975A6A">
        <w:t>) [</w:t>
      </w:r>
      <w:r w:rsidR="00331372">
        <w:t xml:space="preserve">authorizing statutory </w:t>
      </w:r>
      <w:r w:rsidR="25975A6A">
        <w:t xml:space="preserve">taxpayer suit </w:t>
      </w:r>
      <w:r w:rsidR="00331372">
        <w:t xml:space="preserve">“to enforce constitutional duties” by </w:t>
      </w:r>
      <w:r w:rsidR="25975A6A">
        <w:t>restrain</w:t>
      </w:r>
      <w:r w:rsidR="00331372">
        <w:t>ing</w:t>
      </w:r>
      <w:r w:rsidR="25975A6A">
        <w:t xml:space="preserve"> district attorney and sheriff’s operation of confidential informant program, which allegedly elicited confessions by violating detainees’</w:t>
      </w:r>
      <w:r w:rsidR="25975A6A" w:rsidRPr="00AB1514">
        <w:t xml:space="preserve"> </w:t>
      </w:r>
      <w:r w:rsidR="25975A6A">
        <w:t xml:space="preserve">constitutional rights, as expenditures on unlawful program could amount to waste]; </w:t>
      </w:r>
      <w:r w:rsidR="25975A6A" w:rsidRPr="797FBB80">
        <w:rPr>
          <w:rFonts w:eastAsia="Times New Roman" w:cs="Times New Roman"/>
          <w:i/>
          <w:iCs/>
          <w:color w:val="000000"/>
        </w:rPr>
        <w:t xml:space="preserve">California DUI Lawyers Assn. v. California Department of </w:t>
      </w:r>
      <w:r w:rsidR="25975A6A" w:rsidRPr="797FBB80">
        <w:rPr>
          <w:rFonts w:eastAsia="Times New Roman" w:cs="Times New Roman"/>
          <w:i/>
          <w:iCs/>
          <w:color w:val="000000"/>
        </w:rPr>
        <w:lastRenderedPageBreak/>
        <w:t>Motor Vehicles</w:t>
      </w:r>
      <w:r w:rsidR="25975A6A" w:rsidRPr="4B0E998B">
        <w:rPr>
          <w:rFonts w:eastAsia="Times New Roman" w:cs="Times New Roman"/>
          <w:color w:val="000000"/>
        </w:rPr>
        <w:t xml:space="preserve"> (2018) 20 Cal.App.5th 1247, 1251 [taxpayers could challenge operation of license-revocation hearing program</w:t>
      </w:r>
      <w:r w:rsidR="007875B4">
        <w:rPr>
          <w:rFonts w:eastAsia="Times New Roman" w:cs="Times New Roman"/>
          <w:color w:val="000000"/>
        </w:rPr>
        <w:t xml:space="preserve"> conducted in a manner that allegedly violated due process</w:t>
      </w:r>
      <w:r w:rsidR="25975A6A" w:rsidRPr="4B0E998B">
        <w:rPr>
          <w:rFonts w:eastAsia="Times New Roman" w:cs="Times New Roman"/>
          <w:color w:val="000000"/>
        </w:rPr>
        <w:t>].)</w:t>
      </w:r>
      <w:r w:rsidR="6CEF167B">
        <w:rPr>
          <w:rFonts w:eastAsia="Times New Roman" w:cs="Times New Roman"/>
          <w:color w:val="000000"/>
        </w:rPr>
        <w:t xml:space="preserve"> </w:t>
      </w:r>
      <w:r w:rsidR="1459B836" w:rsidRPr="00083DF0">
        <w:rPr>
          <w:rFonts w:eastAsia="Times New Roman" w:cs="Times New Roman"/>
          <w:i/>
          <w:color w:val="000000"/>
        </w:rPr>
        <w:t>In other words, no depletion of funds is required where the complained-of activity is itself unlawful.</w:t>
      </w:r>
      <w:r w:rsidR="1459B836">
        <w:rPr>
          <w:rFonts w:eastAsia="Times New Roman" w:cs="Times New Roman"/>
          <w:color w:val="000000"/>
        </w:rPr>
        <w:t xml:space="preserve"> </w:t>
      </w:r>
      <w:r w:rsidR="1459B836">
        <w:t xml:space="preserve">“[T]he mere expenditure of the </w:t>
      </w:r>
      <w:r w:rsidR="1459B836" w:rsidRPr="797FBB80">
        <w:rPr>
          <w:i/>
          <w:iCs/>
        </w:rPr>
        <w:t>time</w:t>
      </w:r>
      <w:r w:rsidR="1459B836">
        <w:t xml:space="preserve"> of [public employee</w:t>
      </w:r>
      <w:r w:rsidR="43629928">
        <w:t>s]</w:t>
      </w:r>
      <w:r w:rsidR="1459B836">
        <w:t xml:space="preserve"> is a sufficient expenditure of public funds to be subject to injunction under </w:t>
      </w:r>
      <w:r w:rsidR="00183E0C">
        <w:t xml:space="preserve">[Code of Civil Procedure] </w:t>
      </w:r>
      <w:r w:rsidR="1459B836">
        <w:t>section</w:t>
      </w:r>
      <w:r w:rsidR="00EE13C0">
        <w:t> </w:t>
      </w:r>
      <w:r w:rsidR="1459B836">
        <w:t>526a.” (</w:t>
      </w:r>
      <w:r w:rsidR="1459B836" w:rsidRPr="797FBB80">
        <w:rPr>
          <w:i/>
          <w:iCs/>
        </w:rPr>
        <w:t>Blair</w:t>
      </w:r>
      <w:r w:rsidR="1459B836">
        <w:t xml:space="preserve">, </w:t>
      </w:r>
      <w:r w:rsidR="1459B836" w:rsidRPr="00417C6C">
        <w:rPr>
          <w:i/>
        </w:rPr>
        <w:t>supra</w:t>
      </w:r>
      <w:r w:rsidR="1459B836">
        <w:t>, 5</w:t>
      </w:r>
      <w:r w:rsidR="009A7C95">
        <w:t> </w:t>
      </w:r>
      <w:r w:rsidR="1459B836">
        <w:t>Cal.3d 258, 28</w:t>
      </w:r>
      <w:r w:rsidR="006008AC">
        <w:t>5</w:t>
      </w:r>
      <w:r w:rsidR="1459B836">
        <w:t xml:space="preserve">, </w:t>
      </w:r>
      <w:r w:rsidR="00BE1111">
        <w:t>fn.</w:t>
      </w:r>
      <w:r w:rsidR="009A7C95">
        <w:t> </w:t>
      </w:r>
      <w:r w:rsidR="00BE1111">
        <w:t xml:space="preserve">21, </w:t>
      </w:r>
      <w:r w:rsidR="1459B836">
        <w:t>italics added.)</w:t>
      </w:r>
      <w:r w:rsidR="6732857C">
        <w:t xml:space="preserve"> </w:t>
      </w:r>
      <w:r w:rsidR="00A913AC">
        <w:t>H</w:t>
      </w:r>
      <w:r w:rsidR="6732857C">
        <w:t>av</w:t>
      </w:r>
      <w:r w:rsidR="00A913AC">
        <w:t>ing</w:t>
      </w:r>
      <w:r w:rsidR="6732857C">
        <w:t xml:space="preserve"> alleged that defendants </w:t>
      </w:r>
      <w:r w:rsidR="59092D82">
        <w:t xml:space="preserve">have </w:t>
      </w:r>
      <w:r w:rsidR="5406A283">
        <w:t>organized</w:t>
      </w:r>
      <w:r w:rsidR="6732857C">
        <w:t xml:space="preserve"> the court</w:t>
      </w:r>
      <w:r w:rsidR="666034F6">
        <w:t xml:space="preserve">’s workload in a manner which </w:t>
      </w:r>
      <w:r w:rsidR="6732857C">
        <w:t>violates section</w:t>
      </w:r>
      <w:r w:rsidR="009A7C95">
        <w:t> </w:t>
      </w:r>
      <w:r w:rsidR="6732857C">
        <w:t>1050</w:t>
      </w:r>
      <w:r w:rsidR="012B21F4">
        <w:t xml:space="preserve">(a), </w:t>
      </w:r>
      <w:r w:rsidR="2B7E6EC0">
        <w:t xml:space="preserve">plaintiffs </w:t>
      </w:r>
      <w:r w:rsidR="72262A13">
        <w:t xml:space="preserve">have </w:t>
      </w:r>
      <w:r w:rsidR="00A913AC">
        <w:t xml:space="preserve">stated a </w:t>
      </w:r>
      <w:r w:rsidR="00056878">
        <w:t xml:space="preserve">statutory taxpayer </w:t>
      </w:r>
      <w:r w:rsidR="00A913AC">
        <w:t xml:space="preserve">claim for </w:t>
      </w:r>
      <w:r w:rsidR="72262A13">
        <w:t>“waste.”</w:t>
      </w:r>
    </w:p>
    <w:p w14:paraId="133028E7" w14:textId="6128182E" w:rsidR="00E321DF" w:rsidRPr="007B48BC" w:rsidRDefault="003D06AD" w:rsidP="007B48BC">
      <w:pPr>
        <w:keepNext/>
        <w:autoSpaceDE w:val="0"/>
        <w:autoSpaceDN w:val="0"/>
        <w:adjustRightInd w:val="0"/>
        <w:spacing w:after="120" w:line="240" w:lineRule="auto"/>
        <w:ind w:left="1440" w:hanging="1440"/>
        <w:rPr>
          <w:rFonts w:eastAsia="Calibri" w:cs="Arial"/>
          <w:b/>
          <w:bCs/>
          <w:szCs w:val="26"/>
        </w:rPr>
      </w:pPr>
      <w:r>
        <w:rPr>
          <w:rFonts w:cs="Times New Roman"/>
          <w:b/>
          <w:bCs/>
          <w:i/>
          <w:iCs/>
        </w:rPr>
        <w:tab/>
      </w:r>
      <w:r>
        <w:rPr>
          <w:rFonts w:cs="Times New Roman"/>
          <w:b/>
          <w:bCs/>
          <w:i/>
          <w:iCs/>
        </w:rPr>
        <w:tab/>
        <w:t xml:space="preserve">2. </w:t>
      </w:r>
      <w:r w:rsidR="3437F97E" w:rsidRPr="007B48BC">
        <w:rPr>
          <w:rFonts w:cs="Times New Roman"/>
          <w:b/>
          <w:bCs/>
          <w:i/>
          <w:iCs/>
        </w:rPr>
        <w:t xml:space="preserve">Plaintiffs Do Not </w:t>
      </w:r>
      <w:r w:rsidR="2F67A774" w:rsidRPr="007B48BC">
        <w:rPr>
          <w:rFonts w:cs="Times New Roman"/>
          <w:b/>
          <w:bCs/>
          <w:i/>
          <w:iCs/>
        </w:rPr>
        <w:t xml:space="preserve">Impermissibly </w:t>
      </w:r>
      <w:r w:rsidR="3437F97E" w:rsidRPr="007B48BC">
        <w:rPr>
          <w:rFonts w:cs="Times New Roman"/>
          <w:b/>
          <w:bCs/>
          <w:i/>
          <w:iCs/>
        </w:rPr>
        <w:t xml:space="preserve">Challenge a Discretionary Act </w:t>
      </w:r>
    </w:p>
    <w:p w14:paraId="0B723AD9" w14:textId="49B04F6A" w:rsidR="007A67EA" w:rsidRDefault="003D06AD" w:rsidP="007A67EA">
      <w:pPr>
        <w:autoSpaceDE w:val="0"/>
        <w:autoSpaceDN w:val="0"/>
        <w:adjustRightInd w:val="0"/>
        <w:spacing w:line="360" w:lineRule="auto"/>
        <w:contextualSpacing/>
      </w:pPr>
      <w:r>
        <w:rPr>
          <w:color w:val="000000"/>
        </w:rPr>
        <w:tab/>
      </w:r>
      <w:r w:rsidR="7BE87353">
        <w:rPr>
          <w:color w:val="000000"/>
        </w:rPr>
        <w:t>Defendants also</w:t>
      </w:r>
      <w:r w:rsidR="303B4519">
        <w:rPr>
          <w:color w:val="000000"/>
        </w:rPr>
        <w:t xml:space="preserve"> </w:t>
      </w:r>
      <w:r w:rsidR="7C7EA655">
        <w:rPr>
          <w:rFonts w:eastAsia="Times New Roman" w:cs="Times New Roman"/>
          <w:color w:val="000000"/>
        </w:rPr>
        <w:t>contend</w:t>
      </w:r>
      <w:r w:rsidR="7BE87353">
        <w:rPr>
          <w:rFonts w:eastAsia="Times New Roman" w:cs="Times New Roman"/>
          <w:color w:val="000000"/>
        </w:rPr>
        <w:t xml:space="preserve"> </w:t>
      </w:r>
      <w:r w:rsidR="00F60848">
        <w:rPr>
          <w:rFonts w:eastAsia="Times New Roman" w:cs="Times New Roman"/>
          <w:color w:val="000000"/>
          <w:spacing w:val="-2"/>
        </w:rPr>
        <w:t>statutory taxpayer</w:t>
      </w:r>
      <w:r w:rsidR="7BE87353" w:rsidRPr="00C73D3F">
        <w:rPr>
          <w:rFonts w:eastAsia="Times New Roman" w:cs="Times New Roman"/>
          <w:color w:val="000000"/>
          <w:spacing w:val="-2"/>
        </w:rPr>
        <w:t xml:space="preserve"> claims </w:t>
      </w:r>
      <w:r w:rsidR="11466DC9" w:rsidRPr="00C73D3F">
        <w:rPr>
          <w:rFonts w:eastAsia="Times New Roman" w:cs="Times New Roman"/>
          <w:color w:val="000000"/>
          <w:spacing w:val="-2"/>
        </w:rPr>
        <w:t xml:space="preserve">may not be </w:t>
      </w:r>
      <w:r w:rsidR="7BE87353" w:rsidRPr="00C73D3F">
        <w:rPr>
          <w:rFonts w:eastAsia="Times New Roman" w:cs="Times New Roman"/>
          <w:color w:val="000000"/>
          <w:spacing w:val="-2"/>
        </w:rPr>
        <w:t xml:space="preserve">based on </w:t>
      </w:r>
      <w:r w:rsidR="7BE87353" w:rsidRPr="00C73D3F">
        <w:rPr>
          <w:rFonts w:cs="Times New Roman"/>
          <w:color w:val="000000"/>
          <w:spacing w:val="-2"/>
        </w:rPr>
        <w:t>“</w:t>
      </w:r>
      <w:r w:rsidR="7BE87353" w:rsidRPr="00C73D3F">
        <w:rPr>
          <w:rFonts w:eastAsia="Times New Roman" w:cs="Times New Roman"/>
          <w:color w:val="000000"/>
          <w:spacing w:val="-2"/>
        </w:rPr>
        <w:t>alleged mistake[s] by public officials</w:t>
      </w:r>
      <w:r w:rsidR="7BE87353" w:rsidRPr="00FF2EF2">
        <w:rPr>
          <w:rFonts w:eastAsia="Times New Roman" w:cs="Times New Roman"/>
          <w:color w:val="000000"/>
        </w:rPr>
        <w:t xml:space="preserve"> in matters involving the exercise of judgment or wide discretion</w:t>
      </w:r>
      <w:r w:rsidR="7BE87353">
        <w:rPr>
          <w:rFonts w:eastAsia="Times New Roman" w:cs="Times New Roman"/>
          <w:color w:val="000000"/>
        </w:rPr>
        <w:t>.” (</w:t>
      </w:r>
      <w:r w:rsidR="009E6BC4" w:rsidRPr="797FBB80">
        <w:rPr>
          <w:i/>
          <w:iCs/>
        </w:rPr>
        <w:t xml:space="preserve">Sundance v. Municipal Court </w:t>
      </w:r>
      <w:r w:rsidR="009E6BC4">
        <w:t xml:space="preserve">(1986) 42 Cal.3d 1101, </w:t>
      </w:r>
      <w:r w:rsidR="7BE87353">
        <w:t>1138</w:t>
      </w:r>
      <w:r w:rsidR="009E6BC4">
        <w:t xml:space="preserve"> (</w:t>
      </w:r>
      <w:r w:rsidR="009E6BC4" w:rsidRPr="797FBB80">
        <w:rPr>
          <w:i/>
          <w:iCs/>
        </w:rPr>
        <w:t>Sundance</w:t>
      </w:r>
      <w:r w:rsidR="009E6BC4">
        <w:t>)</w:t>
      </w:r>
      <w:r w:rsidR="7BE87353">
        <w:t>.)</w:t>
      </w:r>
      <w:r w:rsidR="137532E9" w:rsidRPr="4B0E998B">
        <w:rPr>
          <w:rFonts w:eastAsia="Times New Roman" w:cs="Times New Roman"/>
          <w:color w:val="000000"/>
        </w:rPr>
        <w:t xml:space="preserve"> </w:t>
      </w:r>
      <w:r w:rsidR="137532E9" w:rsidRPr="797FBB80">
        <w:rPr>
          <w:rFonts w:eastAsia="Times New Roman" w:cs="Times New Roman"/>
          <w:i/>
          <w:iCs/>
          <w:color w:val="000000"/>
        </w:rPr>
        <w:t>Sundance</w:t>
      </w:r>
      <w:r w:rsidR="137532E9" w:rsidRPr="4B0E998B">
        <w:rPr>
          <w:rFonts w:eastAsia="Times New Roman" w:cs="Times New Roman"/>
          <w:color w:val="000000"/>
        </w:rPr>
        <w:t xml:space="preserve"> involved a challenge to the enforcement of a public intoxication statute as a waste of public funds</w:t>
      </w:r>
      <w:r w:rsidR="135D9A4B">
        <w:rPr>
          <w:rFonts w:eastAsia="Times New Roman" w:cs="Times New Roman"/>
          <w:color w:val="000000"/>
        </w:rPr>
        <w:t>,</w:t>
      </w:r>
      <w:r w:rsidR="137532E9">
        <w:rPr>
          <w:rFonts w:eastAsia="Times New Roman" w:cs="Times New Roman"/>
          <w:color w:val="000000"/>
        </w:rPr>
        <w:t xml:space="preserve"> given proof that an alternative, treatment-based civil approach would more efficiently remedy the societal harms at issue</w:t>
      </w:r>
      <w:r w:rsidR="137532E9" w:rsidRPr="4B0E998B">
        <w:rPr>
          <w:rFonts w:eastAsia="Times New Roman" w:cs="Times New Roman"/>
          <w:color w:val="000000"/>
        </w:rPr>
        <w:t xml:space="preserve">. </w:t>
      </w:r>
      <w:r w:rsidR="34D8A7EE">
        <w:rPr>
          <w:rFonts w:eastAsia="Times New Roman" w:cs="Times New Roman"/>
          <w:color w:val="000000"/>
        </w:rPr>
        <w:t>(</w:t>
      </w:r>
      <w:r w:rsidR="34D8A7EE" w:rsidRPr="797FBB80">
        <w:rPr>
          <w:rFonts w:eastAsia="Times New Roman" w:cs="Times New Roman"/>
          <w:i/>
          <w:iCs/>
          <w:color w:val="000000"/>
        </w:rPr>
        <w:t>Id.</w:t>
      </w:r>
      <w:r w:rsidR="34D8A7EE">
        <w:rPr>
          <w:rFonts w:eastAsia="Times New Roman" w:cs="Times New Roman"/>
          <w:color w:val="000000"/>
        </w:rPr>
        <w:t xml:space="preserve"> at pp.</w:t>
      </w:r>
      <w:r w:rsidR="009A7C95">
        <w:rPr>
          <w:rFonts w:eastAsia="Times New Roman" w:cs="Times New Roman"/>
          <w:color w:val="000000"/>
          <w:spacing w:val="-2"/>
        </w:rPr>
        <w:t> </w:t>
      </w:r>
      <w:r w:rsidR="34D8A7EE" w:rsidRPr="4B0E998B">
        <w:rPr>
          <w:rFonts w:eastAsia="Times New Roman" w:cs="Times New Roman"/>
          <w:color w:val="000000"/>
          <w:spacing w:val="-2"/>
        </w:rPr>
        <w:t>1108–111</w:t>
      </w:r>
      <w:r w:rsidR="34D8A7EE">
        <w:rPr>
          <w:rFonts w:eastAsia="Times New Roman" w:cs="Times New Roman"/>
          <w:color w:val="000000"/>
          <w:spacing w:val="-2"/>
        </w:rPr>
        <w:t>6.</w:t>
      </w:r>
      <w:r w:rsidR="34D8A7EE">
        <w:rPr>
          <w:rFonts w:eastAsia="Times New Roman" w:cs="Times New Roman"/>
          <w:color w:val="000000"/>
        </w:rPr>
        <w:t xml:space="preserve">) </w:t>
      </w:r>
      <w:r w:rsidR="137532E9" w:rsidRPr="4B0E998B">
        <w:rPr>
          <w:rFonts w:eastAsia="Times New Roman" w:cs="Times New Roman"/>
          <w:color w:val="000000"/>
        </w:rPr>
        <w:t xml:space="preserve">The Supreme Court </w:t>
      </w:r>
      <w:r w:rsidR="137532E9" w:rsidRPr="2D5BC4F1">
        <w:rPr>
          <w:rFonts w:eastAsia="Times New Roman" w:cs="Times New Roman"/>
          <w:color w:val="000000" w:themeColor="text1"/>
        </w:rPr>
        <w:t>held</w:t>
      </w:r>
      <w:r w:rsidR="137532E9" w:rsidRPr="4B0E998B">
        <w:rPr>
          <w:rFonts w:eastAsia="Times New Roman" w:cs="Times New Roman"/>
          <w:color w:val="000000"/>
        </w:rPr>
        <w:t xml:space="preserve"> </w:t>
      </w:r>
      <w:r w:rsidR="137532E9" w:rsidRPr="2D5BC4F1">
        <w:rPr>
          <w:rFonts w:eastAsia="Times New Roman" w:cs="Times New Roman"/>
          <w:color w:val="000000" w:themeColor="text1"/>
        </w:rPr>
        <w:t xml:space="preserve">that </w:t>
      </w:r>
      <w:r w:rsidR="00331372">
        <w:rPr>
          <w:rFonts w:eastAsia="Times New Roman" w:cs="Times New Roman"/>
          <w:color w:val="000000" w:themeColor="text1"/>
        </w:rPr>
        <w:t>Code of Civil Procedure</w:t>
      </w:r>
      <w:r w:rsidR="137532E9" w:rsidRPr="2D5BC4F1">
        <w:rPr>
          <w:rFonts w:eastAsia="Times New Roman" w:cs="Times New Roman"/>
          <w:color w:val="000000" w:themeColor="text1"/>
        </w:rPr>
        <w:t xml:space="preserve"> </w:t>
      </w:r>
      <w:r w:rsidR="137532E9">
        <w:rPr>
          <w:rFonts w:eastAsia="Times New Roman" w:cs="Times New Roman"/>
          <w:color w:val="000000" w:themeColor="text1"/>
        </w:rPr>
        <w:t>section</w:t>
      </w:r>
      <w:r w:rsidR="009A7C95">
        <w:rPr>
          <w:rFonts w:eastAsia="Times New Roman" w:cs="Times New Roman"/>
          <w:color w:val="000000" w:themeColor="text1"/>
        </w:rPr>
        <w:t> </w:t>
      </w:r>
      <w:r w:rsidR="137532E9" w:rsidRPr="4B0E998B">
        <w:rPr>
          <w:rFonts w:eastAsia="Times New Roman" w:cs="Times New Roman"/>
          <w:color w:val="000000"/>
        </w:rPr>
        <w:t xml:space="preserve">526a </w:t>
      </w:r>
      <w:r w:rsidR="137532E9" w:rsidRPr="522D0A5F">
        <w:rPr>
          <w:rFonts w:eastAsia="Times New Roman" w:cs="Times New Roman"/>
          <w:color w:val="000000" w:themeColor="text1"/>
        </w:rPr>
        <w:t>may not be utilized to</w:t>
      </w:r>
      <w:r w:rsidR="137532E9" w:rsidRPr="4B0E998B">
        <w:rPr>
          <w:rFonts w:eastAsia="Times New Roman" w:cs="Times New Roman"/>
          <w:color w:val="000000"/>
        </w:rPr>
        <w:t xml:space="preserve"> enjoin expenditures merely because they are unwise, re</w:t>
      </w:r>
      <w:r w:rsidR="137532E9">
        <w:rPr>
          <w:rFonts w:eastAsia="Times New Roman" w:cs="Times New Roman"/>
          <w:color w:val="000000"/>
        </w:rPr>
        <w:t>f</w:t>
      </w:r>
      <w:r w:rsidR="137532E9" w:rsidRPr="4B0E998B">
        <w:rPr>
          <w:rFonts w:eastAsia="Times New Roman" w:cs="Times New Roman"/>
          <w:color w:val="000000"/>
        </w:rPr>
        <w:t xml:space="preserve">lect poor policy, or do not produce </w:t>
      </w:r>
      <w:r w:rsidR="137532E9" w:rsidRPr="00487EEA">
        <w:rPr>
          <w:rFonts w:eastAsia="Times New Roman" w:cs="Times New Roman"/>
          <w:color w:val="000000"/>
        </w:rPr>
        <w:t>sufficient</w:t>
      </w:r>
      <w:r w:rsidR="137532E9" w:rsidRPr="4B0E998B">
        <w:rPr>
          <w:rFonts w:eastAsia="Times New Roman" w:cs="Times New Roman"/>
          <w:color w:val="000000"/>
        </w:rPr>
        <w:t xml:space="preserve"> benefit. (</w:t>
      </w:r>
      <w:r w:rsidR="34D8A7EE" w:rsidRPr="797FBB80">
        <w:rPr>
          <w:rFonts w:eastAsia="Times New Roman" w:cs="Times New Roman"/>
          <w:i/>
          <w:iCs/>
          <w:color w:val="000000"/>
        </w:rPr>
        <w:t>Id.</w:t>
      </w:r>
      <w:r w:rsidR="137532E9">
        <w:rPr>
          <w:rFonts w:eastAsia="Times New Roman" w:cs="Times New Roman"/>
          <w:color w:val="000000"/>
        </w:rPr>
        <w:t xml:space="preserve"> at p</w:t>
      </w:r>
      <w:r w:rsidR="000E2758">
        <w:rPr>
          <w:rFonts w:eastAsia="Times New Roman" w:cs="Times New Roman"/>
          <w:color w:val="000000"/>
        </w:rPr>
        <w:t>p</w:t>
      </w:r>
      <w:r w:rsidR="137532E9">
        <w:rPr>
          <w:rFonts w:eastAsia="Times New Roman" w:cs="Times New Roman"/>
          <w:color w:val="000000"/>
        </w:rPr>
        <w:t>. 1138</w:t>
      </w:r>
      <w:r w:rsidR="00797C77">
        <w:rPr>
          <w:rFonts w:eastAsia="Times New Roman" w:cs="Times New Roman"/>
          <w:color w:val="000000"/>
        </w:rPr>
        <w:t>–</w:t>
      </w:r>
      <w:r w:rsidR="000E2758">
        <w:rPr>
          <w:rFonts w:eastAsia="Times New Roman" w:cs="Times New Roman"/>
          <w:color w:val="000000"/>
        </w:rPr>
        <w:t>1139</w:t>
      </w:r>
      <w:r w:rsidR="137532E9">
        <w:rPr>
          <w:rFonts w:eastAsia="Times New Roman" w:cs="Times New Roman"/>
          <w:color w:val="000000"/>
        </w:rPr>
        <w:t>.</w:t>
      </w:r>
      <w:r w:rsidR="137532E9" w:rsidRPr="4B0E998B">
        <w:rPr>
          <w:rFonts w:eastAsia="Times New Roman" w:cs="Times New Roman"/>
          <w:color w:val="000000"/>
        </w:rPr>
        <w:t xml:space="preserve">) </w:t>
      </w:r>
      <w:r w:rsidR="137532E9">
        <w:rPr>
          <w:rFonts w:eastAsia="Times New Roman" w:cs="Times New Roman"/>
          <w:color w:val="000000"/>
        </w:rPr>
        <w:t>E</w:t>
      </w:r>
      <w:r w:rsidR="137532E9" w:rsidRPr="00FF2EF2">
        <w:rPr>
          <w:rFonts w:eastAsia="Times New Roman" w:cs="Times New Roman"/>
          <w:color w:val="000000"/>
        </w:rPr>
        <w:t xml:space="preserve">nforcement of the </w:t>
      </w:r>
      <w:r w:rsidR="137532E9">
        <w:rPr>
          <w:rFonts w:eastAsia="Times New Roman" w:cs="Times New Roman"/>
          <w:color w:val="000000"/>
        </w:rPr>
        <w:t xml:space="preserve">criminal statute </w:t>
      </w:r>
      <w:r w:rsidR="137532E9" w:rsidRPr="00FF2EF2">
        <w:rPr>
          <w:rFonts w:eastAsia="Times New Roman" w:cs="Times New Roman"/>
          <w:color w:val="000000"/>
        </w:rPr>
        <w:t xml:space="preserve">at issue could not be considered </w:t>
      </w:r>
      <w:r w:rsidR="137532E9">
        <w:rPr>
          <w:rFonts w:eastAsia="Times New Roman" w:cs="Times New Roman"/>
          <w:color w:val="000000"/>
        </w:rPr>
        <w:t>“</w:t>
      </w:r>
      <w:r w:rsidR="137532E9" w:rsidRPr="00FF2EF2">
        <w:rPr>
          <w:rFonts w:eastAsia="Times New Roman" w:cs="Times New Roman"/>
          <w:color w:val="000000"/>
        </w:rPr>
        <w:t>waste</w:t>
      </w:r>
      <w:r w:rsidR="137532E9">
        <w:rPr>
          <w:rFonts w:eastAsia="Times New Roman" w:cs="Times New Roman"/>
          <w:color w:val="000000"/>
        </w:rPr>
        <w:t>” because the allegations and findings “</w:t>
      </w:r>
      <w:r w:rsidR="137532E9" w:rsidRPr="00053647">
        <w:rPr>
          <w:rFonts w:eastAsia="Times New Roman" w:cs="Times New Roman"/>
          <w:color w:val="000000"/>
          <w:spacing w:val="-2"/>
        </w:rPr>
        <w:t>do not indicate that criminal enforcement</w:t>
      </w:r>
      <w:r w:rsidR="137532E9" w:rsidRPr="00FF2EF2">
        <w:rPr>
          <w:rFonts w:eastAsia="Times New Roman" w:cs="Times New Roman"/>
          <w:color w:val="000000"/>
        </w:rPr>
        <w:t xml:space="preserve"> of </w:t>
      </w:r>
      <w:r w:rsidR="137532E9">
        <w:rPr>
          <w:rFonts w:eastAsia="Times New Roman" w:cs="Times New Roman"/>
          <w:color w:val="000000"/>
        </w:rPr>
        <w:t xml:space="preserve">[the statute] </w:t>
      </w:r>
      <w:r w:rsidR="137532E9" w:rsidRPr="00FF2EF2">
        <w:rPr>
          <w:rFonts w:eastAsia="Times New Roman" w:cs="Times New Roman"/>
          <w:color w:val="000000"/>
        </w:rPr>
        <w:t>provides no public benefit</w:t>
      </w:r>
      <w:r w:rsidR="137532E9">
        <w:rPr>
          <w:rFonts w:eastAsia="Times New Roman" w:cs="Times New Roman"/>
          <w:color w:val="000000"/>
        </w:rPr>
        <w:t>,” but “</w:t>
      </w:r>
      <w:r w:rsidR="137532E9" w:rsidRPr="00FF2EF2">
        <w:rPr>
          <w:rFonts w:eastAsia="Times New Roman" w:cs="Times New Roman"/>
          <w:color w:val="000000"/>
        </w:rPr>
        <w:t>only that the civil detoxification alternative would be a more prudent allocation of funds.</w:t>
      </w:r>
      <w:r w:rsidR="137532E9">
        <w:rPr>
          <w:rFonts w:eastAsia="Times New Roman" w:cs="Times New Roman"/>
          <w:color w:val="000000"/>
        </w:rPr>
        <w:t>” (</w:t>
      </w:r>
      <w:r w:rsidR="34D8A7EE" w:rsidRPr="797FBB80">
        <w:rPr>
          <w:rFonts w:eastAsia="Times New Roman" w:cs="Times New Roman"/>
          <w:i/>
          <w:iCs/>
          <w:color w:val="000000"/>
        </w:rPr>
        <w:t xml:space="preserve">Id. </w:t>
      </w:r>
      <w:r w:rsidR="137532E9">
        <w:rPr>
          <w:rFonts w:eastAsia="Times New Roman" w:cs="Times New Roman"/>
          <w:color w:val="000000"/>
        </w:rPr>
        <w:t>at p.</w:t>
      </w:r>
      <w:r w:rsidR="00201AE8">
        <w:rPr>
          <w:rFonts w:eastAsia="Times New Roman" w:cs="Times New Roman"/>
          <w:color w:val="000000"/>
        </w:rPr>
        <w:t> </w:t>
      </w:r>
      <w:r w:rsidR="137532E9">
        <w:rPr>
          <w:rFonts w:eastAsia="Times New Roman" w:cs="Times New Roman"/>
          <w:color w:val="000000"/>
        </w:rPr>
        <w:t>1139.)</w:t>
      </w:r>
      <w:r w:rsidRPr="00FF2EF2">
        <w:rPr>
          <w:rFonts w:eastAsia="Times New Roman" w:cs="Times New Roman"/>
          <w:color w:val="000000"/>
        </w:rPr>
        <w:t xml:space="preserve"> </w:t>
      </w:r>
      <w:r w:rsidR="137532E9">
        <w:rPr>
          <w:rFonts w:eastAsia="Times New Roman" w:cs="Times New Roman"/>
          <w:color w:val="000000"/>
        </w:rPr>
        <w:t>“</w:t>
      </w:r>
      <w:r w:rsidR="137532E9" w:rsidRPr="00FF2EF2">
        <w:rPr>
          <w:rFonts w:eastAsia="Times New Roman" w:cs="Times New Roman"/>
          <w:color w:val="000000"/>
        </w:rPr>
        <w:t>Therefore, the County</w:t>
      </w:r>
      <w:r w:rsidR="137532E9">
        <w:rPr>
          <w:rFonts w:eastAsia="Times New Roman" w:cs="Times New Roman"/>
          <w:color w:val="000000"/>
        </w:rPr>
        <w:t>’</w:t>
      </w:r>
      <w:r w:rsidR="137532E9" w:rsidRPr="00FF2EF2">
        <w:rPr>
          <w:rFonts w:eastAsia="Times New Roman" w:cs="Times New Roman"/>
          <w:color w:val="000000"/>
        </w:rPr>
        <w:t xml:space="preserve">s decision to continue arresting and detaining chronic alcoholics does not constitute waste, but merely an ‘alleged mistake by public </w:t>
      </w:r>
      <w:r w:rsidR="137532E9" w:rsidRPr="00FF2EF2">
        <w:rPr>
          <w:rFonts w:eastAsia="Times New Roman" w:cs="Times New Roman"/>
          <w:color w:val="000000"/>
        </w:rPr>
        <w:lastRenderedPageBreak/>
        <w:t>officials in matters involving the exercise of judgment or wide discretion.’ [Citation.] This court should not interfere with the County</w:t>
      </w:r>
      <w:r w:rsidR="137532E9">
        <w:rPr>
          <w:rFonts w:eastAsia="Times New Roman" w:cs="Times New Roman"/>
          <w:color w:val="000000"/>
        </w:rPr>
        <w:t>’</w:t>
      </w:r>
      <w:r w:rsidR="137532E9" w:rsidRPr="00FF2EF2">
        <w:rPr>
          <w:rFonts w:eastAsia="Times New Roman" w:cs="Times New Roman"/>
          <w:color w:val="000000"/>
        </w:rPr>
        <w:t>s legislative judgment on the ground that the County</w:t>
      </w:r>
      <w:r w:rsidR="137532E9">
        <w:rPr>
          <w:rFonts w:eastAsia="Times New Roman" w:cs="Times New Roman"/>
          <w:color w:val="000000"/>
        </w:rPr>
        <w:t>’</w:t>
      </w:r>
      <w:r w:rsidR="137532E9" w:rsidRPr="00FF2EF2">
        <w:rPr>
          <w:rFonts w:eastAsia="Times New Roman" w:cs="Times New Roman"/>
          <w:color w:val="000000"/>
        </w:rPr>
        <w:t>s funds could be spent more efficiently.</w:t>
      </w:r>
      <w:r w:rsidR="137532E9" w:rsidRPr="4B0E998B">
        <w:rPr>
          <w:rFonts w:eastAsia="Times New Roman" w:cs="Times New Roman"/>
          <w:color w:val="000000"/>
        </w:rPr>
        <w:t>” (</w:t>
      </w:r>
      <w:r w:rsidR="34D8A7EE" w:rsidRPr="797FBB80">
        <w:rPr>
          <w:rFonts w:eastAsia="Times New Roman" w:cs="Times New Roman"/>
          <w:i/>
          <w:iCs/>
          <w:color w:val="000000"/>
        </w:rPr>
        <w:t>Ibid</w:t>
      </w:r>
      <w:r w:rsidR="137532E9">
        <w:rPr>
          <w:rFonts w:eastAsia="Times New Roman" w:cs="Times New Roman"/>
          <w:color w:val="000000"/>
          <w:spacing w:val="-2"/>
        </w:rPr>
        <w:t>.</w:t>
      </w:r>
      <w:r w:rsidR="137532E9">
        <w:rPr>
          <w:rFonts w:eastAsia="Times New Roman" w:cs="Times New Roman"/>
          <w:color w:val="000000"/>
        </w:rPr>
        <w:t>)</w:t>
      </w:r>
    </w:p>
    <w:p w14:paraId="6C6C105B" w14:textId="06150A74" w:rsidR="0080647E" w:rsidRDefault="003D06AD" w:rsidP="006B34F3">
      <w:pPr>
        <w:autoSpaceDE w:val="0"/>
        <w:autoSpaceDN w:val="0"/>
        <w:adjustRightInd w:val="0"/>
        <w:spacing w:line="360" w:lineRule="auto"/>
        <w:contextualSpacing/>
        <w:rPr>
          <w:rFonts w:eastAsia="Times New Roman" w:cs="Times New Roman"/>
          <w:color w:val="000000"/>
        </w:rPr>
      </w:pPr>
      <w:r>
        <w:tab/>
      </w:r>
      <w:r w:rsidR="009C502E">
        <w:t>D</w:t>
      </w:r>
      <w:r w:rsidR="007876C9">
        <w:t>efendants</w:t>
      </w:r>
      <w:r w:rsidR="009C502E">
        <w:t>, however,</w:t>
      </w:r>
      <w:r w:rsidR="007876C9">
        <w:t xml:space="preserve"> fail to address </w:t>
      </w:r>
      <w:r w:rsidR="00B870E0">
        <w:t>the separation-of-powers</w:t>
      </w:r>
      <w:r w:rsidR="000E553C">
        <w:t xml:space="preserve"> </w:t>
      </w:r>
      <w:r w:rsidR="00076159">
        <w:t xml:space="preserve">rationale </w:t>
      </w:r>
      <w:r w:rsidR="000E553C">
        <w:t>for</w:t>
      </w:r>
      <w:r w:rsidR="00B870E0">
        <w:t xml:space="preserve"> </w:t>
      </w:r>
      <w:r w:rsidR="00390D6E">
        <w:t xml:space="preserve">the holding of </w:t>
      </w:r>
      <w:r w:rsidR="1C0E90DF" w:rsidRPr="797FBB80">
        <w:rPr>
          <w:i/>
          <w:iCs/>
        </w:rPr>
        <w:t>Sundance</w:t>
      </w:r>
      <w:r w:rsidR="1C0E90DF">
        <w:rPr>
          <w:rFonts w:eastAsia="Times New Roman" w:cs="Times New Roman"/>
          <w:color w:val="000000"/>
        </w:rPr>
        <w:t xml:space="preserve">, </w:t>
      </w:r>
      <w:r w:rsidR="6351087B">
        <w:rPr>
          <w:rFonts w:eastAsia="Times New Roman" w:cs="Times New Roman"/>
          <w:color w:val="000000"/>
        </w:rPr>
        <w:t xml:space="preserve">which </w:t>
      </w:r>
      <w:r w:rsidR="7BE87353">
        <w:rPr>
          <w:rFonts w:eastAsia="Times New Roman" w:cs="Times New Roman"/>
          <w:color w:val="000000"/>
        </w:rPr>
        <w:t>prohibit</w:t>
      </w:r>
      <w:r w:rsidR="6351087B">
        <w:rPr>
          <w:rFonts w:eastAsia="Times New Roman" w:cs="Times New Roman"/>
          <w:color w:val="000000"/>
        </w:rPr>
        <w:t>s</w:t>
      </w:r>
      <w:r w:rsidR="7BE87353">
        <w:rPr>
          <w:rFonts w:eastAsia="Times New Roman" w:cs="Times New Roman"/>
          <w:color w:val="000000"/>
        </w:rPr>
        <w:t xml:space="preserve"> the use of </w:t>
      </w:r>
      <w:r w:rsidR="00331372">
        <w:rPr>
          <w:rFonts w:eastAsia="Times New Roman" w:cs="Times New Roman"/>
          <w:color w:val="000000"/>
        </w:rPr>
        <w:t xml:space="preserve">Code of Civil Procedure </w:t>
      </w:r>
      <w:r w:rsidR="7BE87353" w:rsidRPr="00450094">
        <w:rPr>
          <w:rFonts w:eastAsia="Times New Roman" w:cs="Times New Roman"/>
          <w:color w:val="000000"/>
        </w:rPr>
        <w:t>section</w:t>
      </w:r>
      <w:r w:rsidR="00201AE8">
        <w:rPr>
          <w:rFonts w:eastAsia="Times New Roman" w:cs="Times New Roman"/>
          <w:color w:val="000000"/>
        </w:rPr>
        <w:t> </w:t>
      </w:r>
      <w:r w:rsidR="7BE87353" w:rsidRPr="00450094">
        <w:rPr>
          <w:rFonts w:eastAsia="Times New Roman" w:cs="Times New Roman"/>
          <w:color w:val="000000"/>
        </w:rPr>
        <w:t xml:space="preserve">526a </w:t>
      </w:r>
      <w:r w:rsidR="7BE87353">
        <w:rPr>
          <w:rFonts w:eastAsia="Times New Roman" w:cs="Times New Roman"/>
          <w:color w:val="000000"/>
        </w:rPr>
        <w:t>“</w:t>
      </w:r>
      <w:r w:rsidR="7BE87353" w:rsidRPr="00450094">
        <w:rPr>
          <w:rFonts w:eastAsia="Times New Roman" w:cs="Times New Roman"/>
          <w:color w:val="000000"/>
        </w:rPr>
        <w:t xml:space="preserve">to invade, supersede, or even intrude upon the discretion invested in the </w:t>
      </w:r>
      <w:r w:rsidR="7BE87353" w:rsidRPr="797FBB80">
        <w:rPr>
          <w:rFonts w:eastAsia="Times New Roman" w:cs="Times New Roman"/>
          <w:i/>
          <w:iCs/>
          <w:color w:val="000000"/>
        </w:rPr>
        <w:t>legislative and executive</w:t>
      </w:r>
      <w:r w:rsidR="7BE87353" w:rsidRPr="00450094">
        <w:rPr>
          <w:rFonts w:eastAsia="Times New Roman" w:cs="Times New Roman"/>
          <w:color w:val="000000"/>
        </w:rPr>
        <w:t xml:space="preserve"> branches</w:t>
      </w:r>
      <w:r w:rsidR="7BE87353">
        <w:rPr>
          <w:rFonts w:eastAsia="Times New Roman" w:cs="Times New Roman"/>
          <w:color w:val="000000"/>
        </w:rPr>
        <w:t xml:space="preserve">.” </w:t>
      </w:r>
      <w:r w:rsidR="004B3557" w:rsidRPr="4B0E998B">
        <w:rPr>
          <w:rFonts w:eastAsia="Times New Roman" w:cs="Times New Roman"/>
          <w:color w:val="000000"/>
        </w:rPr>
        <w:t>(</w:t>
      </w:r>
      <w:r w:rsidR="004B3557" w:rsidRPr="797FBB80">
        <w:rPr>
          <w:rFonts w:eastAsia="Times New Roman" w:cs="Times New Roman"/>
          <w:i/>
          <w:iCs/>
          <w:color w:val="000000"/>
        </w:rPr>
        <w:t>Humane Society of the United States v. State Bd. of Equalization</w:t>
      </w:r>
      <w:r w:rsidR="004B3557" w:rsidRPr="0079737E">
        <w:rPr>
          <w:rFonts w:eastAsia="Times New Roman" w:cs="Times New Roman"/>
          <w:color w:val="000000"/>
        </w:rPr>
        <w:t xml:space="preserve"> (2007) 152</w:t>
      </w:r>
      <w:r w:rsidR="00201AE8">
        <w:rPr>
          <w:rFonts w:eastAsia="Times New Roman" w:cs="Times New Roman"/>
          <w:color w:val="000000"/>
        </w:rPr>
        <w:t> </w:t>
      </w:r>
      <w:r w:rsidR="004B3557" w:rsidRPr="0079737E">
        <w:rPr>
          <w:rFonts w:eastAsia="Times New Roman" w:cs="Times New Roman"/>
          <w:color w:val="000000"/>
        </w:rPr>
        <w:t>Cal.App.4th 349, 35</w:t>
      </w:r>
      <w:r w:rsidR="004B3557">
        <w:rPr>
          <w:rFonts w:eastAsia="Times New Roman" w:cs="Times New Roman"/>
          <w:color w:val="000000"/>
        </w:rPr>
        <w:t>6</w:t>
      </w:r>
      <w:r w:rsidR="004B3557" w:rsidRPr="0079737E">
        <w:rPr>
          <w:rFonts w:eastAsia="Times New Roman" w:cs="Times New Roman"/>
          <w:color w:val="000000"/>
        </w:rPr>
        <w:t>–</w:t>
      </w:r>
      <w:r w:rsidR="7BE87353">
        <w:rPr>
          <w:rFonts w:eastAsia="Times New Roman" w:cs="Times New Roman"/>
          <w:color w:val="000000"/>
        </w:rPr>
        <w:t>358</w:t>
      </w:r>
      <w:r w:rsidR="135D9A4B">
        <w:rPr>
          <w:rFonts w:eastAsia="Times New Roman" w:cs="Times New Roman"/>
          <w:color w:val="000000"/>
        </w:rPr>
        <w:t>, italics added</w:t>
      </w:r>
      <w:r w:rsidR="7BE87353">
        <w:rPr>
          <w:rFonts w:eastAsia="Times New Roman" w:cs="Times New Roman"/>
          <w:color w:val="000000"/>
        </w:rPr>
        <w:t xml:space="preserve">; accord, </w:t>
      </w:r>
      <w:r w:rsidR="7BE87353" w:rsidRPr="797FBB80">
        <w:rPr>
          <w:rFonts w:eastAsia="Times New Roman" w:cs="Times New Roman"/>
          <w:i/>
          <w:iCs/>
          <w:color w:val="000000"/>
        </w:rPr>
        <w:t>Daily Journal Corp. v. County of Los Angeles</w:t>
      </w:r>
      <w:r w:rsidR="7BE87353" w:rsidRPr="4B0E998B">
        <w:rPr>
          <w:rFonts w:eastAsia="Times New Roman" w:cs="Times New Roman"/>
          <w:color w:val="000000"/>
        </w:rPr>
        <w:t xml:space="preserve"> (2009) 172</w:t>
      </w:r>
      <w:r w:rsidR="00D957CA">
        <w:rPr>
          <w:rFonts w:eastAsia="Times New Roman" w:cs="Times New Roman"/>
          <w:color w:val="000000"/>
        </w:rPr>
        <w:t> </w:t>
      </w:r>
      <w:r w:rsidR="7BE87353" w:rsidRPr="4B0E998B">
        <w:rPr>
          <w:rFonts w:eastAsia="Times New Roman" w:cs="Times New Roman"/>
          <w:color w:val="000000"/>
        </w:rPr>
        <w:t xml:space="preserve">Cal.App.4th 1550, 1558 [“the limitations inherent in </w:t>
      </w:r>
      <w:r w:rsidR="00183E0C">
        <w:rPr>
          <w:rFonts w:eastAsia="Times New Roman" w:cs="Times New Roman"/>
          <w:color w:val="000000"/>
        </w:rPr>
        <w:t xml:space="preserve">[Code of Civil Procedure] </w:t>
      </w:r>
      <w:r w:rsidR="7BE87353" w:rsidRPr="4B0E998B">
        <w:rPr>
          <w:rFonts w:eastAsia="Times New Roman" w:cs="Times New Roman"/>
          <w:color w:val="000000"/>
        </w:rPr>
        <w:t>section</w:t>
      </w:r>
      <w:r w:rsidR="00201AE8">
        <w:rPr>
          <w:rFonts w:eastAsia="Times New Roman" w:cs="Times New Roman"/>
          <w:color w:val="000000"/>
        </w:rPr>
        <w:t> </w:t>
      </w:r>
      <w:r w:rsidR="7BE87353" w:rsidRPr="4B0E998B">
        <w:rPr>
          <w:rFonts w:eastAsia="Times New Roman" w:cs="Times New Roman"/>
          <w:color w:val="000000"/>
        </w:rPr>
        <w:t>526a actions are founded in the separation of powers principle of our tripartite system of government”]</w:t>
      </w:r>
      <w:r w:rsidR="7BE87353">
        <w:rPr>
          <w:rFonts w:eastAsia="Times New Roman" w:cs="Times New Roman"/>
          <w:color w:val="000000"/>
        </w:rPr>
        <w:t>.)</w:t>
      </w:r>
      <w:r w:rsidR="0068614E">
        <w:rPr>
          <w:rFonts w:eastAsia="Times New Roman" w:cs="Times New Roman"/>
          <w:color w:val="000000"/>
        </w:rPr>
        <w:t xml:space="preserve"> </w:t>
      </w:r>
      <w:r w:rsidR="00390D6E">
        <w:rPr>
          <w:rFonts w:eastAsia="Times New Roman" w:cs="Times New Roman"/>
          <w:color w:val="000000"/>
        </w:rPr>
        <w:t>This</w:t>
      </w:r>
      <w:r w:rsidR="0068614E">
        <w:rPr>
          <w:rFonts w:eastAsia="Times New Roman" w:cs="Times New Roman"/>
          <w:color w:val="000000"/>
        </w:rPr>
        <w:t xml:space="preserve"> </w:t>
      </w:r>
      <w:r w:rsidR="007A0460">
        <w:rPr>
          <w:rFonts w:eastAsia="Times New Roman" w:cs="Times New Roman"/>
          <w:color w:val="000000"/>
        </w:rPr>
        <w:t>omission</w:t>
      </w:r>
      <w:r w:rsidR="0068614E">
        <w:rPr>
          <w:rFonts w:eastAsia="Times New Roman" w:cs="Times New Roman"/>
          <w:color w:val="000000"/>
        </w:rPr>
        <w:t xml:space="preserve"> is surprising, given</w:t>
      </w:r>
      <w:r w:rsidR="007A0460">
        <w:rPr>
          <w:rFonts w:eastAsia="Times New Roman" w:cs="Times New Roman"/>
          <w:color w:val="000000"/>
        </w:rPr>
        <w:t xml:space="preserve"> their</w:t>
      </w:r>
      <w:r w:rsidR="00D8074E">
        <w:rPr>
          <w:rFonts w:eastAsia="Times New Roman" w:cs="Times New Roman"/>
          <w:color w:val="000000"/>
        </w:rPr>
        <w:t xml:space="preserve"> </w:t>
      </w:r>
      <w:r w:rsidR="00C56C59">
        <w:rPr>
          <w:rFonts w:eastAsia="Times New Roman" w:cs="Times New Roman"/>
          <w:color w:val="000000"/>
        </w:rPr>
        <w:t>acknowledgment that</w:t>
      </w:r>
      <w:r w:rsidR="009B5932">
        <w:rPr>
          <w:rFonts w:eastAsia="Times New Roman" w:cs="Times New Roman"/>
          <w:color w:val="000000"/>
        </w:rPr>
        <w:t xml:space="preserve"> </w:t>
      </w:r>
      <w:r w:rsidR="009B5932" w:rsidRPr="00B92A8E">
        <w:rPr>
          <w:rFonts w:eastAsia="Times New Roman" w:cs="Times New Roman"/>
          <w:i/>
          <w:color w:val="000000"/>
        </w:rPr>
        <w:t>Sundance</w:t>
      </w:r>
      <w:r w:rsidR="009B5932">
        <w:rPr>
          <w:rFonts w:eastAsia="Times New Roman" w:cs="Times New Roman"/>
          <w:color w:val="000000"/>
        </w:rPr>
        <w:t xml:space="preserve"> precludes</w:t>
      </w:r>
      <w:r w:rsidR="006B34F3">
        <w:rPr>
          <w:rFonts w:eastAsia="Times New Roman" w:cs="Times New Roman"/>
          <w:color w:val="000000"/>
        </w:rPr>
        <w:t xml:space="preserve"> </w:t>
      </w:r>
      <w:r w:rsidR="00331372">
        <w:rPr>
          <w:rFonts w:eastAsia="Times New Roman" w:cs="Times New Roman"/>
          <w:color w:val="000000"/>
        </w:rPr>
        <w:t xml:space="preserve">statutory taxpayer claims </w:t>
      </w:r>
      <w:r w:rsidR="00183E0C">
        <w:rPr>
          <w:rFonts w:eastAsia="Times New Roman" w:cs="Times New Roman"/>
          <w:color w:val="000000"/>
        </w:rPr>
        <w:t xml:space="preserve">challenging </w:t>
      </w:r>
      <w:proofErr w:type="gramStart"/>
      <w:r w:rsidR="006B34F3">
        <w:rPr>
          <w:rFonts w:eastAsia="Times New Roman" w:cs="Times New Roman"/>
          <w:color w:val="000000"/>
        </w:rPr>
        <w:t>“</w:t>
      </w:r>
      <w:r w:rsidR="00211E24">
        <w:rPr>
          <w:rFonts w:eastAsia="Times New Roman" w:cs="Times New Roman"/>
          <w:color w:val="000000"/>
        </w:rPr>
        <w:t> </w:t>
      </w:r>
      <w:r w:rsidR="006B34F3" w:rsidRPr="006B34F3">
        <w:rPr>
          <w:rFonts w:eastAsia="Times New Roman" w:cs="Times New Roman"/>
          <w:color w:val="000000"/>
        </w:rPr>
        <w:t>‘</w:t>
      </w:r>
      <w:proofErr w:type="gramEnd"/>
      <w:r w:rsidR="006B34F3" w:rsidRPr="006B34F3">
        <w:rPr>
          <w:rFonts w:eastAsia="Times New Roman" w:cs="Times New Roman"/>
          <w:color w:val="000000"/>
        </w:rPr>
        <w:t>the exercise of the discretion of either the legislative or executive branches of government</w:t>
      </w:r>
      <w:r w:rsidR="00211E24">
        <w:rPr>
          <w:rFonts w:eastAsia="Times New Roman" w:cs="Times New Roman"/>
          <w:color w:val="000000"/>
        </w:rPr>
        <w:t>,</w:t>
      </w:r>
      <w:r w:rsidR="006B34F3" w:rsidRPr="006B34F3">
        <w:rPr>
          <w:rFonts w:eastAsia="Times New Roman" w:cs="Times New Roman"/>
          <w:color w:val="000000"/>
        </w:rPr>
        <w:t>’</w:t>
      </w:r>
      <w:r w:rsidR="00211E24">
        <w:rPr>
          <w:rFonts w:eastAsia="Times New Roman" w:cs="Times New Roman"/>
          <w:color w:val="000000"/>
        </w:rPr>
        <w:t> </w:t>
      </w:r>
      <w:r w:rsidR="00FD0A3B">
        <w:rPr>
          <w:rFonts w:eastAsia="Times New Roman" w:cs="Times New Roman"/>
          <w:color w:val="000000"/>
        </w:rPr>
        <w:t>”</w:t>
      </w:r>
      <w:r w:rsidR="00F94C96">
        <w:rPr>
          <w:rFonts w:eastAsia="Times New Roman" w:cs="Times New Roman"/>
          <w:color w:val="000000"/>
        </w:rPr>
        <w:t xml:space="preserve"> </w:t>
      </w:r>
      <w:r w:rsidR="00781B6F">
        <w:rPr>
          <w:rFonts w:eastAsia="Times New Roman" w:cs="Times New Roman"/>
          <w:color w:val="000000"/>
        </w:rPr>
        <w:t>(</w:t>
      </w:r>
      <w:r w:rsidR="0060739E">
        <w:rPr>
          <w:rFonts w:eastAsia="Times New Roman" w:cs="Times New Roman"/>
          <w:color w:val="000000"/>
        </w:rPr>
        <w:t>quoting</w:t>
      </w:r>
      <w:r w:rsidR="00B95B74">
        <w:rPr>
          <w:rFonts w:eastAsia="Times New Roman" w:cs="Times New Roman"/>
          <w:color w:val="000000"/>
        </w:rPr>
        <w:t xml:space="preserve"> </w:t>
      </w:r>
      <w:r w:rsidR="0060739E" w:rsidRPr="797FBB80">
        <w:rPr>
          <w:rFonts w:eastAsia="Times New Roman" w:cs="Times New Roman"/>
          <w:i/>
          <w:iCs/>
          <w:color w:val="000000"/>
        </w:rPr>
        <w:t xml:space="preserve">Schmid v. </w:t>
      </w:r>
      <w:r w:rsidR="0060739E" w:rsidRPr="009C68B8">
        <w:rPr>
          <w:rFonts w:eastAsia="Times New Roman" w:cs="Times New Roman"/>
          <w:i/>
        </w:rPr>
        <w:t xml:space="preserve">City and County of San </w:t>
      </w:r>
      <w:r w:rsidR="0060739E" w:rsidRPr="797FBB80">
        <w:rPr>
          <w:rFonts w:eastAsia="Times New Roman" w:cs="Times New Roman"/>
          <w:i/>
          <w:iCs/>
          <w:color w:val="000000"/>
        </w:rPr>
        <w:t>Francisco</w:t>
      </w:r>
      <w:r w:rsidR="0060739E" w:rsidRPr="00423A54">
        <w:rPr>
          <w:rFonts w:eastAsia="Times New Roman" w:cs="Times New Roman"/>
          <w:color w:val="000000"/>
        </w:rPr>
        <w:t xml:space="preserve"> (2021) 60</w:t>
      </w:r>
      <w:r w:rsidR="0060739E" w:rsidRPr="00877AAD">
        <w:rPr>
          <w:rFonts w:eastAsia="Times New Roman" w:cs="Times New Roman"/>
          <w:color w:val="000000"/>
        </w:rPr>
        <w:t> </w:t>
      </w:r>
      <w:r w:rsidR="0060739E" w:rsidRPr="00423A54">
        <w:rPr>
          <w:rFonts w:eastAsia="Times New Roman" w:cs="Times New Roman"/>
          <w:color w:val="000000"/>
        </w:rPr>
        <w:t>Cal.App.5th 470, 495–496</w:t>
      </w:r>
      <w:r w:rsidR="0060739E">
        <w:rPr>
          <w:rFonts w:eastAsia="Times New Roman" w:cs="Times New Roman"/>
          <w:color w:val="000000"/>
        </w:rPr>
        <w:t xml:space="preserve"> (</w:t>
      </w:r>
      <w:r w:rsidR="0060739E" w:rsidRPr="797FBB80">
        <w:rPr>
          <w:rFonts w:eastAsia="Times New Roman" w:cs="Times New Roman"/>
          <w:i/>
          <w:iCs/>
          <w:color w:val="000000"/>
        </w:rPr>
        <w:t>Schmid</w:t>
      </w:r>
      <w:r w:rsidR="0060739E">
        <w:rPr>
          <w:rFonts w:eastAsia="Times New Roman" w:cs="Times New Roman"/>
          <w:color w:val="000000"/>
        </w:rPr>
        <w:t>)</w:t>
      </w:r>
      <w:r w:rsidR="00C05676">
        <w:rPr>
          <w:rFonts w:eastAsia="Times New Roman" w:cs="Times New Roman"/>
          <w:color w:val="000000"/>
        </w:rPr>
        <w:t>)</w:t>
      </w:r>
      <w:r w:rsidR="00473D55">
        <w:rPr>
          <w:rFonts w:eastAsia="Times New Roman" w:cs="Times New Roman"/>
          <w:color w:val="000000"/>
        </w:rPr>
        <w:t>.</w:t>
      </w:r>
      <w:r>
        <w:rPr>
          <w:rStyle w:val="FootnoteReference"/>
          <w:rFonts w:eastAsia="Times New Roman" w:cs="Times New Roman"/>
          <w:color w:val="000000" w:themeColor="text1"/>
        </w:rPr>
        <w:footnoteReference w:id="25"/>
      </w:r>
      <w:r w:rsidR="7BE87353">
        <w:rPr>
          <w:rFonts w:eastAsia="Times New Roman" w:cs="Times New Roman"/>
          <w:color w:val="000000"/>
        </w:rPr>
        <w:t xml:space="preserve"> </w:t>
      </w:r>
    </w:p>
    <w:p w14:paraId="021403A1" w14:textId="2790B935" w:rsidR="002E2088" w:rsidRDefault="003D06AD" w:rsidP="003F5F13">
      <w:pPr>
        <w:autoSpaceDE w:val="0"/>
        <w:autoSpaceDN w:val="0"/>
        <w:adjustRightInd w:val="0"/>
        <w:spacing w:line="360" w:lineRule="auto"/>
        <w:contextualSpacing/>
        <w:rPr>
          <w:rFonts w:eastAsia="Times New Roman" w:cs="Times New Roman"/>
          <w:color w:val="000000" w:themeColor="text1"/>
        </w:rPr>
      </w:pPr>
      <w:r>
        <w:rPr>
          <w:rFonts w:eastAsia="Times New Roman" w:cs="Times New Roman"/>
          <w:color w:val="000000"/>
        </w:rPr>
        <w:tab/>
      </w:r>
      <w:r w:rsidR="25975A6A" w:rsidRPr="05D0A8A3">
        <w:rPr>
          <w:rFonts w:eastAsia="Times New Roman" w:cs="Times New Roman"/>
          <w:color w:val="000000" w:themeColor="text1"/>
        </w:rPr>
        <w:t>D</w:t>
      </w:r>
      <w:r w:rsidR="25975A6A" w:rsidRPr="4B0E998B">
        <w:rPr>
          <w:rFonts w:eastAsia="Times New Roman" w:cs="Times New Roman"/>
          <w:color w:val="000000"/>
          <w:spacing w:val="-2"/>
        </w:rPr>
        <w:t>efendants</w:t>
      </w:r>
      <w:r w:rsidR="25975A6A">
        <w:rPr>
          <w:rFonts w:eastAsia="Times New Roman" w:cs="Times New Roman"/>
          <w:color w:val="000000"/>
          <w:spacing w:val="-2"/>
        </w:rPr>
        <w:t xml:space="preserve"> </w:t>
      </w:r>
      <w:r w:rsidR="00527861">
        <w:rPr>
          <w:rFonts w:eastAsia="Times New Roman" w:cs="Times New Roman"/>
          <w:color w:val="000000"/>
          <w:spacing w:val="-2"/>
        </w:rPr>
        <w:t xml:space="preserve">also </w:t>
      </w:r>
      <w:r w:rsidR="001479FA">
        <w:rPr>
          <w:rFonts w:eastAsia="Times New Roman" w:cs="Times New Roman"/>
          <w:color w:val="000000" w:themeColor="text1"/>
        </w:rPr>
        <w:t>cite authorities holding</w:t>
      </w:r>
      <w:r w:rsidR="009D4D68">
        <w:rPr>
          <w:rFonts w:eastAsia="Times New Roman" w:cs="Times New Roman"/>
          <w:color w:val="000000" w:themeColor="text1"/>
        </w:rPr>
        <w:t xml:space="preserve"> </w:t>
      </w:r>
      <w:r w:rsidR="00FB13B5">
        <w:rPr>
          <w:rFonts w:eastAsia="Times New Roman" w:cs="Times New Roman"/>
          <w:color w:val="000000" w:themeColor="text1"/>
        </w:rPr>
        <w:t>that</w:t>
      </w:r>
      <w:r w:rsidR="3DC30C70">
        <w:rPr>
          <w:rFonts w:eastAsia="Times New Roman" w:cs="Times New Roman"/>
          <w:color w:val="000000" w:themeColor="text1"/>
        </w:rPr>
        <w:t xml:space="preserve"> </w:t>
      </w:r>
      <w:r w:rsidR="3DC30C70">
        <w:rPr>
          <w:rFonts w:eastAsia="Times New Roman" w:cs="Times New Roman"/>
          <w:color w:val="000000"/>
        </w:rPr>
        <w:t xml:space="preserve">a public entity’s </w:t>
      </w:r>
      <w:r w:rsidR="25975A6A">
        <w:rPr>
          <w:rFonts w:eastAsia="Times New Roman" w:cs="Times New Roman"/>
          <w:color w:val="000000"/>
        </w:rPr>
        <w:t>“</w:t>
      </w:r>
      <w:r w:rsidR="3DC30C70">
        <w:rPr>
          <w:rFonts w:eastAsia="Times New Roman" w:cs="Times New Roman"/>
          <w:color w:val="000000"/>
        </w:rPr>
        <w:t xml:space="preserve">exercise of </w:t>
      </w:r>
      <w:r w:rsidR="25975A6A">
        <w:rPr>
          <w:rFonts w:eastAsia="Times New Roman" w:cs="Times New Roman"/>
          <w:color w:val="000000"/>
        </w:rPr>
        <w:t>discretion</w:t>
      </w:r>
      <w:r w:rsidR="3DC30C70">
        <w:rPr>
          <w:rFonts w:eastAsia="Times New Roman" w:cs="Times New Roman"/>
          <w:color w:val="000000"/>
        </w:rPr>
        <w:t xml:space="preserve"> </w:t>
      </w:r>
      <w:r w:rsidR="25975A6A">
        <w:rPr>
          <w:rFonts w:eastAsia="Times New Roman" w:cs="Times New Roman"/>
          <w:color w:val="000000"/>
        </w:rPr>
        <w:t xml:space="preserve">. . . </w:t>
      </w:r>
      <w:r w:rsidR="3DC30C70">
        <w:rPr>
          <w:rFonts w:eastAsia="Times New Roman" w:cs="Times New Roman"/>
          <w:color w:val="000000"/>
        </w:rPr>
        <w:t xml:space="preserve">cannot provide the foundation for </w:t>
      </w:r>
      <w:r w:rsidR="25975A6A">
        <w:rPr>
          <w:rFonts w:eastAsia="Times New Roman" w:cs="Times New Roman"/>
          <w:color w:val="000000"/>
        </w:rPr>
        <w:t xml:space="preserve">taxpayer </w:t>
      </w:r>
      <w:r w:rsidR="3DC30C70">
        <w:rPr>
          <w:rFonts w:eastAsia="Times New Roman" w:cs="Times New Roman"/>
          <w:color w:val="000000"/>
        </w:rPr>
        <w:t>claims</w:t>
      </w:r>
      <w:r w:rsidR="12B009B4">
        <w:rPr>
          <w:rFonts w:eastAsia="Times New Roman" w:cs="Times New Roman"/>
          <w:color w:val="000000"/>
        </w:rPr>
        <w:t>.</w:t>
      </w:r>
      <w:r w:rsidR="25975A6A">
        <w:rPr>
          <w:rFonts w:eastAsia="Times New Roman" w:cs="Times New Roman"/>
          <w:color w:val="000000"/>
        </w:rPr>
        <w:t>” (</w:t>
      </w:r>
      <w:r w:rsidR="12B009B4">
        <w:rPr>
          <w:rFonts w:eastAsia="Times New Roman" w:cs="Times New Roman"/>
          <w:color w:val="000000"/>
        </w:rPr>
        <w:t xml:space="preserve">See </w:t>
      </w:r>
      <w:r w:rsidR="25975A6A" w:rsidRPr="797FBB80">
        <w:rPr>
          <w:rFonts w:eastAsia="Times New Roman" w:cs="Times New Roman"/>
          <w:i/>
          <w:iCs/>
          <w:color w:val="000000"/>
        </w:rPr>
        <w:t>Chodosh v. Commission on Judicial Performance</w:t>
      </w:r>
      <w:r w:rsidR="25975A6A" w:rsidRPr="4B0E998B">
        <w:rPr>
          <w:rFonts w:eastAsia="Times New Roman" w:cs="Times New Roman"/>
          <w:color w:val="000000"/>
        </w:rPr>
        <w:t xml:space="preserve"> (2022) 81 Cal.App.5th 248</w:t>
      </w:r>
      <w:r w:rsidR="003D3554">
        <w:rPr>
          <w:rFonts w:eastAsia="Times New Roman" w:cs="Times New Roman"/>
          <w:color w:val="000000"/>
        </w:rPr>
        <w:t>, 267</w:t>
      </w:r>
      <w:r w:rsidR="00902668">
        <w:rPr>
          <w:rFonts w:eastAsia="Times New Roman" w:cs="Times New Roman"/>
          <w:color w:val="000000"/>
        </w:rPr>
        <w:t>–</w:t>
      </w:r>
      <w:r w:rsidR="004A1CA1">
        <w:rPr>
          <w:rFonts w:eastAsia="Times New Roman" w:cs="Times New Roman"/>
          <w:color w:val="000000"/>
        </w:rPr>
        <w:t>269</w:t>
      </w:r>
      <w:r w:rsidR="25975A6A" w:rsidRPr="4B0E998B">
        <w:rPr>
          <w:rFonts w:eastAsia="Times New Roman" w:cs="Times New Roman"/>
          <w:color w:val="000000"/>
        </w:rPr>
        <w:t xml:space="preserve"> (</w:t>
      </w:r>
      <w:r w:rsidR="25975A6A" w:rsidRPr="797FBB80">
        <w:rPr>
          <w:rFonts w:eastAsia="Times New Roman" w:cs="Times New Roman"/>
          <w:i/>
          <w:iCs/>
          <w:color w:val="000000"/>
        </w:rPr>
        <w:t>Chodosh</w:t>
      </w:r>
      <w:r w:rsidR="25975A6A" w:rsidRPr="4B0E998B">
        <w:rPr>
          <w:rFonts w:eastAsia="Times New Roman" w:cs="Times New Roman"/>
          <w:color w:val="000000"/>
        </w:rPr>
        <w:t xml:space="preserve">); </w:t>
      </w:r>
      <w:r w:rsidR="25975A6A" w:rsidRPr="797FBB80">
        <w:rPr>
          <w:rFonts w:eastAsia="Times New Roman" w:cs="Times New Roman"/>
          <w:i/>
          <w:iCs/>
          <w:color w:val="000000"/>
        </w:rPr>
        <w:t>Schmid</w:t>
      </w:r>
      <w:r w:rsidR="00C05676">
        <w:rPr>
          <w:rFonts w:eastAsia="Times New Roman" w:cs="Times New Roman"/>
          <w:i/>
          <w:iCs/>
          <w:color w:val="000000"/>
        </w:rPr>
        <w:t xml:space="preserve">, </w:t>
      </w:r>
      <w:r w:rsidR="00C05676" w:rsidRPr="00C83930">
        <w:rPr>
          <w:rFonts w:eastAsia="Times New Roman" w:cs="Times New Roman"/>
          <w:i/>
          <w:color w:val="000000"/>
        </w:rPr>
        <w:t>supra,</w:t>
      </w:r>
      <w:r w:rsidR="25975A6A" w:rsidRPr="797FBB80">
        <w:rPr>
          <w:rFonts w:eastAsia="Times New Roman" w:cs="Times New Roman"/>
          <w:i/>
          <w:iCs/>
          <w:color w:val="000000"/>
        </w:rPr>
        <w:t xml:space="preserve"> </w:t>
      </w:r>
      <w:r w:rsidR="25975A6A" w:rsidRPr="00423A54">
        <w:rPr>
          <w:rFonts w:eastAsia="Times New Roman" w:cs="Times New Roman"/>
          <w:color w:val="000000"/>
        </w:rPr>
        <w:t>60</w:t>
      </w:r>
      <w:r w:rsidR="25975A6A" w:rsidRPr="00877AAD">
        <w:rPr>
          <w:rFonts w:eastAsia="Times New Roman" w:cs="Times New Roman"/>
          <w:color w:val="000000"/>
        </w:rPr>
        <w:t> </w:t>
      </w:r>
      <w:r w:rsidR="25975A6A" w:rsidRPr="00423A54">
        <w:rPr>
          <w:rFonts w:eastAsia="Times New Roman" w:cs="Times New Roman"/>
          <w:color w:val="000000"/>
        </w:rPr>
        <w:t xml:space="preserve">Cal.App.5th </w:t>
      </w:r>
      <w:r w:rsidR="000E553C">
        <w:rPr>
          <w:rFonts w:eastAsia="Times New Roman" w:cs="Times New Roman"/>
          <w:color w:val="000000"/>
        </w:rPr>
        <w:t>at pp.</w:t>
      </w:r>
      <w:r w:rsidR="00201AE8">
        <w:rPr>
          <w:rFonts w:eastAsia="Times New Roman" w:cs="Times New Roman"/>
          <w:color w:val="000000"/>
        </w:rPr>
        <w:t> </w:t>
      </w:r>
      <w:r w:rsidR="25975A6A" w:rsidRPr="00423A54">
        <w:rPr>
          <w:rFonts w:eastAsia="Times New Roman" w:cs="Times New Roman"/>
          <w:color w:val="000000"/>
        </w:rPr>
        <w:t>495–496</w:t>
      </w:r>
      <w:r w:rsidR="25975A6A">
        <w:rPr>
          <w:rFonts w:eastAsia="Times New Roman" w:cs="Times New Roman"/>
          <w:color w:val="000000"/>
        </w:rPr>
        <w:t xml:space="preserve">; </w:t>
      </w:r>
      <w:r w:rsidR="25975A6A" w:rsidRPr="797FBB80">
        <w:rPr>
          <w:rFonts w:eastAsia="Times New Roman" w:cs="Times New Roman"/>
          <w:i/>
          <w:iCs/>
          <w:color w:val="000000"/>
        </w:rPr>
        <w:t>San Bernadino</w:t>
      </w:r>
      <w:r w:rsidR="25975A6A">
        <w:rPr>
          <w:rFonts w:eastAsia="Times New Roman" w:cs="Times New Roman"/>
          <w:color w:val="000000"/>
        </w:rPr>
        <w:t xml:space="preserve"> </w:t>
      </w:r>
      <w:r w:rsidR="25975A6A" w:rsidRPr="797FBB80">
        <w:rPr>
          <w:i/>
          <w:iCs/>
        </w:rPr>
        <w:t xml:space="preserve">County v. Superior Court </w:t>
      </w:r>
      <w:r w:rsidR="25975A6A">
        <w:t>(2015) 239 Cal.App.4th 679 (</w:t>
      </w:r>
      <w:r w:rsidR="25975A6A" w:rsidRPr="797FBB80">
        <w:rPr>
          <w:i/>
          <w:iCs/>
        </w:rPr>
        <w:t>San Bernadino</w:t>
      </w:r>
      <w:r w:rsidR="25975A6A">
        <w:t xml:space="preserve">).) </w:t>
      </w:r>
      <w:r w:rsidR="68B406A4">
        <w:t xml:space="preserve">In </w:t>
      </w:r>
      <w:r w:rsidR="03ABCBE0">
        <w:t>appl</w:t>
      </w:r>
      <w:r w:rsidR="68B406A4">
        <w:t>ying</w:t>
      </w:r>
      <w:r w:rsidR="00C05161">
        <w:t xml:space="preserve"> </w:t>
      </w:r>
      <w:r w:rsidR="009D4D68">
        <w:t>this</w:t>
      </w:r>
      <w:r w:rsidR="008F2691">
        <w:t xml:space="preserve"> </w:t>
      </w:r>
      <w:r w:rsidR="00C05161">
        <w:t>principle</w:t>
      </w:r>
      <w:r w:rsidR="008F2691">
        <w:t xml:space="preserve"> </w:t>
      </w:r>
      <w:r w:rsidR="009D4D68">
        <w:t>to plaintiffs’ claim</w:t>
      </w:r>
      <w:r w:rsidR="00A66A7B">
        <w:t xml:space="preserve">s, however, </w:t>
      </w:r>
      <w:r w:rsidR="00C05161">
        <w:t xml:space="preserve">defendants </w:t>
      </w:r>
      <w:r w:rsidR="775F8FC7">
        <w:t>mischaracteriz</w:t>
      </w:r>
      <w:r w:rsidR="00C05161">
        <w:t>e</w:t>
      </w:r>
      <w:r w:rsidR="113D9020">
        <w:t xml:space="preserve"> the type of “discretion” that removes </w:t>
      </w:r>
      <w:r w:rsidR="113D9020">
        <w:lastRenderedPageBreak/>
        <w:t xml:space="preserve">governmental conduct from the ambit of </w:t>
      </w:r>
      <w:r w:rsidR="00183E0C">
        <w:t xml:space="preserve">Code of Civil Procedure </w:t>
      </w:r>
      <w:r w:rsidR="113D9020">
        <w:t>section</w:t>
      </w:r>
      <w:r w:rsidR="00201AE8">
        <w:t> </w:t>
      </w:r>
      <w:r w:rsidR="113D9020">
        <w:t xml:space="preserve">526a. The rule is that </w:t>
      </w:r>
      <w:proofErr w:type="gramStart"/>
      <w:r w:rsidR="25975A6A">
        <w:t>“</w:t>
      </w:r>
      <w:r w:rsidR="7C6FCF0E">
        <w:t> </w:t>
      </w:r>
      <w:r w:rsidR="25975A6A">
        <w:t>‘</w:t>
      </w:r>
      <w:proofErr w:type="gramEnd"/>
      <w:r w:rsidR="25975A6A">
        <w:t>[t]</w:t>
      </w:r>
      <w:proofErr w:type="spellStart"/>
      <w:r w:rsidR="25975A6A">
        <w:t>axpayer</w:t>
      </w:r>
      <w:proofErr w:type="spellEnd"/>
      <w:r w:rsidR="25975A6A">
        <w:t xml:space="preserve"> suits are authorized only if the government body has a duty to act and has refused to do so. If it has discretion and chooses not to act, the courts may not interfere with that decision.</w:t>
      </w:r>
      <w:proofErr w:type="gramStart"/>
      <w:r w:rsidR="25975A6A">
        <w:t>’ ”</w:t>
      </w:r>
      <w:proofErr w:type="gramEnd"/>
      <w:r w:rsidR="25975A6A">
        <w:t xml:space="preserve"> (</w:t>
      </w:r>
      <w:r w:rsidR="25975A6A" w:rsidRPr="797FBB80">
        <w:rPr>
          <w:i/>
          <w:iCs/>
        </w:rPr>
        <w:t>San Bernadino</w:t>
      </w:r>
      <w:r w:rsidR="25975A6A">
        <w:t>, at p. 686</w:t>
      </w:r>
      <w:r w:rsidR="113D9020">
        <w:t xml:space="preserve">; accord, e.g., </w:t>
      </w:r>
      <w:r w:rsidR="113D9020" w:rsidRPr="797FBB80">
        <w:rPr>
          <w:rFonts w:eastAsia="Times New Roman" w:cs="Times New Roman"/>
          <w:i/>
          <w:iCs/>
          <w:color w:val="000000" w:themeColor="text1"/>
        </w:rPr>
        <w:t>California Assn. for Safety Education v. Brown</w:t>
      </w:r>
      <w:r w:rsidR="005C1848">
        <w:rPr>
          <w:rFonts w:eastAsia="Times New Roman" w:cs="Times New Roman"/>
          <w:color w:val="000000" w:themeColor="text1"/>
        </w:rPr>
        <w:t xml:space="preserve"> (1994)</w:t>
      </w:r>
      <w:r w:rsidR="113D9020" w:rsidRPr="008F309E">
        <w:rPr>
          <w:rFonts w:eastAsia="Times New Roman" w:cs="Times New Roman"/>
          <w:color w:val="000000" w:themeColor="text1"/>
        </w:rPr>
        <w:t xml:space="preserve"> 30</w:t>
      </w:r>
      <w:r w:rsidR="7C6FCF0E">
        <w:rPr>
          <w:rFonts w:eastAsia="Times New Roman" w:cs="Times New Roman"/>
          <w:color w:val="000000" w:themeColor="text1"/>
        </w:rPr>
        <w:t> </w:t>
      </w:r>
      <w:r w:rsidR="113D9020" w:rsidRPr="008F309E">
        <w:rPr>
          <w:rFonts w:eastAsia="Times New Roman" w:cs="Times New Roman"/>
          <w:color w:val="000000" w:themeColor="text1"/>
        </w:rPr>
        <w:t>Cal.App.4</w:t>
      </w:r>
      <w:r w:rsidR="113D9020" w:rsidRPr="00C91D6D">
        <w:rPr>
          <w:rFonts w:eastAsia="Times New Roman" w:cs="Times New Roman"/>
          <w:color w:val="000000" w:themeColor="text1"/>
        </w:rPr>
        <w:t>th</w:t>
      </w:r>
      <w:r w:rsidR="113D9020" w:rsidRPr="008F309E">
        <w:rPr>
          <w:rFonts w:eastAsia="Times New Roman" w:cs="Times New Roman"/>
          <w:color w:val="000000" w:themeColor="text1"/>
        </w:rPr>
        <w:t xml:space="preserve"> </w:t>
      </w:r>
      <w:r w:rsidR="005C1848">
        <w:rPr>
          <w:rFonts w:eastAsia="Times New Roman" w:cs="Times New Roman"/>
          <w:color w:val="000000" w:themeColor="text1"/>
        </w:rPr>
        <w:t>1264,</w:t>
      </w:r>
      <w:r w:rsidR="00B71F22">
        <w:rPr>
          <w:rFonts w:eastAsia="Times New Roman" w:cs="Times New Roman"/>
          <w:color w:val="000000" w:themeColor="text1"/>
        </w:rPr>
        <w:t xml:space="preserve"> </w:t>
      </w:r>
      <w:r w:rsidR="113D9020" w:rsidRPr="008F309E">
        <w:rPr>
          <w:rFonts w:eastAsia="Times New Roman" w:cs="Times New Roman"/>
          <w:color w:val="000000" w:themeColor="text1"/>
        </w:rPr>
        <w:t>1281</w:t>
      </w:r>
      <w:r w:rsidR="25975A6A">
        <w:t xml:space="preserve">.) </w:t>
      </w:r>
      <w:r w:rsidR="25BC2C2A">
        <w:t xml:space="preserve">Where </w:t>
      </w:r>
      <w:r w:rsidR="007C06D3">
        <w:t xml:space="preserve">the </w:t>
      </w:r>
      <w:r w:rsidR="7F43A37E">
        <w:t xml:space="preserve">government has a </w:t>
      </w:r>
      <w:r w:rsidR="7F43A37E" w:rsidRPr="00C05161">
        <w:rPr>
          <w:i/>
        </w:rPr>
        <w:t>duty</w:t>
      </w:r>
      <w:r w:rsidR="7F43A37E">
        <w:t xml:space="preserve"> to act, </w:t>
      </w:r>
      <w:r w:rsidR="7E5ED218" w:rsidRPr="797FBB80">
        <w:rPr>
          <w:i/>
          <w:iCs/>
        </w:rPr>
        <w:t xml:space="preserve">Sundance </w:t>
      </w:r>
      <w:r w:rsidR="7F43A37E">
        <w:t>does not</w:t>
      </w:r>
      <w:r>
        <w:t xml:space="preserve"> </w:t>
      </w:r>
      <w:r w:rsidR="721B7F66">
        <w:t xml:space="preserve">preclude a </w:t>
      </w:r>
      <w:r w:rsidR="00F60848">
        <w:t>statutory taxpayer</w:t>
      </w:r>
      <w:r w:rsidR="721B7F66">
        <w:t xml:space="preserve"> claim</w:t>
      </w:r>
      <w:r w:rsidR="7F43A37E">
        <w:t xml:space="preserve"> merely because </w:t>
      </w:r>
      <w:r w:rsidR="00890605">
        <w:t>fulfil</w:t>
      </w:r>
      <w:r w:rsidR="00017BB0">
        <w:t>l</w:t>
      </w:r>
      <w:r w:rsidR="00890605">
        <w:t>ing</w:t>
      </w:r>
      <w:r w:rsidR="7E5ED218">
        <w:t xml:space="preserve"> </w:t>
      </w:r>
      <w:r w:rsidR="7F43A37E">
        <w:t xml:space="preserve">the </w:t>
      </w:r>
      <w:r w:rsidR="00890605">
        <w:t>duty</w:t>
      </w:r>
      <w:r w:rsidR="7F43A37E">
        <w:t xml:space="preserve"> involves some exercise of discretion</w:t>
      </w:r>
      <w:r w:rsidR="12B009B4">
        <w:t>.</w:t>
      </w:r>
      <w:r w:rsidR="7F43A37E">
        <w:t xml:space="preserve"> </w:t>
      </w:r>
    </w:p>
    <w:p w14:paraId="19D1B769" w14:textId="64C6CCA3" w:rsidR="004A0A4A" w:rsidRPr="00D01D60" w:rsidRDefault="003D06AD" w:rsidP="004A0A4A">
      <w:pPr>
        <w:autoSpaceDE w:val="0"/>
        <w:autoSpaceDN w:val="0"/>
        <w:adjustRightInd w:val="0"/>
        <w:spacing w:line="360" w:lineRule="auto"/>
        <w:contextualSpacing/>
        <w:rPr>
          <w:color w:val="000000" w:themeColor="text1"/>
        </w:rPr>
      </w:pPr>
      <w:r>
        <w:rPr>
          <w:rFonts w:eastAsia="Times New Roman" w:cs="Times New Roman"/>
          <w:color w:val="000000" w:themeColor="text1"/>
        </w:rPr>
        <w:tab/>
      </w:r>
      <w:r w:rsidR="7BE87353" w:rsidRPr="797FBB80">
        <w:rPr>
          <w:rFonts w:eastAsia="Times New Roman" w:cs="Times New Roman"/>
          <w:i/>
          <w:iCs/>
          <w:color w:val="000000"/>
        </w:rPr>
        <w:t>Chodosh, Schmid</w:t>
      </w:r>
      <w:r w:rsidR="7BE87353">
        <w:rPr>
          <w:rFonts w:eastAsia="Times New Roman" w:cs="Times New Roman"/>
          <w:color w:val="000000"/>
        </w:rPr>
        <w:t xml:space="preserve">, and </w:t>
      </w:r>
      <w:r w:rsidR="7BE87353" w:rsidRPr="797FBB80">
        <w:rPr>
          <w:rFonts w:eastAsia="Times New Roman" w:cs="Times New Roman"/>
          <w:i/>
          <w:iCs/>
          <w:color w:val="000000"/>
        </w:rPr>
        <w:t>San Bernardino</w:t>
      </w:r>
      <w:r w:rsidR="7BE87353">
        <w:rPr>
          <w:rFonts w:eastAsia="Times New Roman" w:cs="Times New Roman"/>
          <w:color w:val="000000"/>
        </w:rPr>
        <w:t xml:space="preserve"> </w:t>
      </w:r>
      <w:r w:rsidR="008637FD">
        <w:rPr>
          <w:rFonts w:eastAsia="Times New Roman" w:cs="Times New Roman"/>
          <w:color w:val="000000"/>
        </w:rPr>
        <w:t>are inapposite, here, as</w:t>
      </w:r>
      <w:r w:rsidR="7BE87353">
        <w:rPr>
          <w:rFonts w:eastAsia="Times New Roman" w:cs="Times New Roman"/>
          <w:color w:val="000000"/>
        </w:rPr>
        <w:t xml:space="preserve"> </w:t>
      </w:r>
      <w:r w:rsidR="05C4D3A4">
        <w:rPr>
          <w:rFonts w:eastAsia="Times New Roman" w:cs="Times New Roman"/>
          <w:color w:val="000000" w:themeColor="text1"/>
        </w:rPr>
        <w:t>each barred</w:t>
      </w:r>
      <w:r w:rsidR="7F43A37E" w:rsidRPr="7FA68319">
        <w:rPr>
          <w:rFonts w:eastAsia="Times New Roman" w:cs="Times New Roman"/>
          <w:color w:val="000000" w:themeColor="text1"/>
        </w:rPr>
        <w:t xml:space="preserve"> a</w:t>
      </w:r>
      <w:r w:rsidR="05C4D3A4">
        <w:rPr>
          <w:rFonts w:eastAsia="Times New Roman" w:cs="Times New Roman"/>
          <w:color w:val="000000" w:themeColor="text1"/>
        </w:rPr>
        <w:t xml:space="preserve"> taxpayer challenge</w:t>
      </w:r>
      <w:r w:rsidR="7BE87353">
        <w:rPr>
          <w:rFonts w:eastAsia="Times New Roman" w:cs="Times New Roman"/>
          <w:color w:val="000000" w:themeColor="text1"/>
        </w:rPr>
        <w:t xml:space="preserve"> </w:t>
      </w:r>
      <w:r w:rsidR="05C4D3A4">
        <w:rPr>
          <w:rFonts w:eastAsia="Times New Roman" w:cs="Times New Roman"/>
          <w:color w:val="000000" w:themeColor="text1"/>
        </w:rPr>
        <w:t xml:space="preserve">to </w:t>
      </w:r>
      <w:r w:rsidR="7BE87353">
        <w:rPr>
          <w:rFonts w:eastAsia="Times New Roman" w:cs="Times New Roman"/>
          <w:color w:val="000000"/>
        </w:rPr>
        <w:t xml:space="preserve">an official’s policy decision </w:t>
      </w:r>
      <w:proofErr w:type="gramStart"/>
      <w:r w:rsidR="7BE87353">
        <w:rPr>
          <w:rFonts w:eastAsia="Times New Roman" w:cs="Times New Roman"/>
          <w:color w:val="000000"/>
        </w:rPr>
        <w:t xml:space="preserve">whether </w:t>
      </w:r>
      <w:r w:rsidR="05C4D3A4">
        <w:rPr>
          <w:rFonts w:eastAsia="Times New Roman" w:cs="Times New Roman"/>
          <w:color w:val="000000"/>
        </w:rPr>
        <w:t>or not</w:t>
      </w:r>
      <w:proofErr w:type="gramEnd"/>
      <w:r w:rsidR="05C4D3A4">
        <w:rPr>
          <w:rFonts w:eastAsia="Times New Roman" w:cs="Times New Roman"/>
          <w:color w:val="000000"/>
        </w:rPr>
        <w:t xml:space="preserve"> </w:t>
      </w:r>
      <w:r w:rsidR="7BE87353">
        <w:rPr>
          <w:rFonts w:eastAsia="Times New Roman" w:cs="Times New Roman"/>
          <w:color w:val="000000"/>
        </w:rPr>
        <w:t xml:space="preserve">to perform a </w:t>
      </w:r>
      <w:r w:rsidR="7BE87353" w:rsidRPr="797FBB80">
        <w:rPr>
          <w:rFonts w:eastAsia="Times New Roman" w:cs="Times New Roman"/>
          <w:i/>
          <w:iCs/>
          <w:color w:val="000000"/>
        </w:rPr>
        <w:t>discretionary</w:t>
      </w:r>
      <w:r w:rsidR="7BE87353">
        <w:rPr>
          <w:rFonts w:eastAsia="Times New Roman" w:cs="Times New Roman"/>
          <w:color w:val="000000"/>
        </w:rPr>
        <w:t xml:space="preserve"> act, not a failure to discharge a </w:t>
      </w:r>
      <w:r w:rsidR="05C4D3A4">
        <w:rPr>
          <w:rFonts w:eastAsia="Times New Roman" w:cs="Times New Roman"/>
          <w:color w:val="000000"/>
        </w:rPr>
        <w:t>mandatory duty</w:t>
      </w:r>
      <w:r w:rsidR="24A90408">
        <w:rPr>
          <w:rFonts w:eastAsia="Times New Roman" w:cs="Times New Roman"/>
          <w:color w:val="000000"/>
        </w:rPr>
        <w:t xml:space="preserve"> that involve</w:t>
      </w:r>
      <w:r w:rsidR="11B8E82B">
        <w:rPr>
          <w:rFonts w:eastAsia="Times New Roman" w:cs="Times New Roman"/>
          <w:color w:val="000000"/>
        </w:rPr>
        <w:t>d</w:t>
      </w:r>
      <w:r w:rsidR="24A90408">
        <w:rPr>
          <w:rFonts w:eastAsia="Times New Roman" w:cs="Times New Roman"/>
          <w:color w:val="000000"/>
        </w:rPr>
        <w:t xml:space="preserve"> some discretion in the manner of perform</w:t>
      </w:r>
      <w:r w:rsidR="4297437C" w:rsidRPr="797FBB80">
        <w:rPr>
          <w:rFonts w:eastAsia="Times New Roman" w:cs="Times New Roman"/>
          <w:color w:val="000000" w:themeColor="text1"/>
        </w:rPr>
        <w:t>ance</w:t>
      </w:r>
      <w:r w:rsidR="05C4D3A4">
        <w:rPr>
          <w:rFonts w:eastAsia="Times New Roman" w:cs="Times New Roman"/>
          <w:color w:val="000000"/>
        </w:rPr>
        <w:t>.</w:t>
      </w:r>
      <w:r w:rsidR="7BE87353">
        <w:rPr>
          <w:rFonts w:eastAsia="Times New Roman" w:cs="Times New Roman"/>
          <w:color w:val="000000"/>
        </w:rPr>
        <w:t xml:space="preserve"> In </w:t>
      </w:r>
      <w:r w:rsidR="135D9A4B" w:rsidRPr="797FBB80">
        <w:rPr>
          <w:rFonts w:eastAsia="Times New Roman" w:cs="Times New Roman"/>
          <w:i/>
          <w:iCs/>
          <w:color w:val="000000"/>
        </w:rPr>
        <w:t>San Bernadino</w:t>
      </w:r>
      <w:r w:rsidR="135D9A4B">
        <w:rPr>
          <w:rFonts w:eastAsia="Times New Roman" w:cs="Times New Roman"/>
          <w:color w:val="000000"/>
        </w:rPr>
        <w:t xml:space="preserve">, the “discretionary act” </w:t>
      </w:r>
      <w:r w:rsidR="11B8E82B">
        <w:rPr>
          <w:rFonts w:eastAsia="Times New Roman" w:cs="Times New Roman"/>
          <w:color w:val="000000"/>
        </w:rPr>
        <w:t xml:space="preserve">that </w:t>
      </w:r>
      <w:r w:rsidR="6950268A">
        <w:rPr>
          <w:rFonts w:eastAsia="Times New Roman" w:cs="Times New Roman"/>
          <w:color w:val="000000"/>
        </w:rPr>
        <w:t xml:space="preserve">the court held to be </w:t>
      </w:r>
      <w:r w:rsidR="24A90408">
        <w:rPr>
          <w:rFonts w:eastAsia="Times New Roman" w:cs="Times New Roman"/>
          <w:color w:val="000000"/>
        </w:rPr>
        <w:t xml:space="preserve">beyond the reach of </w:t>
      </w:r>
      <w:r w:rsidR="135D9A4B">
        <w:rPr>
          <w:rFonts w:eastAsia="Times New Roman" w:cs="Times New Roman"/>
          <w:color w:val="000000"/>
        </w:rPr>
        <w:t xml:space="preserve">a taxpayer-standing </w:t>
      </w:r>
      <w:r w:rsidR="05C4D3A4">
        <w:rPr>
          <w:rFonts w:eastAsia="Times New Roman" w:cs="Times New Roman"/>
          <w:color w:val="000000"/>
        </w:rPr>
        <w:t>action</w:t>
      </w:r>
      <w:r w:rsidR="135D9A4B">
        <w:rPr>
          <w:rFonts w:eastAsia="Times New Roman" w:cs="Times New Roman"/>
          <w:color w:val="000000"/>
        </w:rPr>
        <w:t xml:space="preserve"> was </w:t>
      </w:r>
      <w:proofErr w:type="gramStart"/>
      <w:r w:rsidR="6BF407EC" w:rsidRPr="1D2EECFC">
        <w:rPr>
          <w:rFonts w:cs="Times New Roman"/>
          <w:color w:val="000000" w:themeColor="text1"/>
        </w:rPr>
        <w:t>“ ‘</w:t>
      </w:r>
      <w:proofErr w:type="gramEnd"/>
      <w:r w:rsidR="6BF407EC" w:rsidRPr="1D2EECFC">
        <w:rPr>
          <w:rFonts w:cs="Times New Roman"/>
          <w:color w:val="000000" w:themeColor="text1"/>
        </w:rPr>
        <w:t>a government entity’s decision whether to pursue a legal claim</w:t>
      </w:r>
      <w:r w:rsidR="07C9DF38" w:rsidRPr="797FBB80">
        <w:rPr>
          <w:rFonts w:cs="Times New Roman"/>
          <w:color w:val="000000" w:themeColor="text1"/>
        </w:rPr>
        <w:t>.</w:t>
      </w:r>
      <w:r w:rsidR="6BF407EC" w:rsidRPr="1D2EECFC">
        <w:rPr>
          <w:rFonts w:cs="Times New Roman"/>
          <w:color w:val="000000" w:themeColor="text1"/>
        </w:rPr>
        <w:t>’ ” (</w:t>
      </w:r>
      <w:r w:rsidR="6BF407EC" w:rsidRPr="797FBB80">
        <w:rPr>
          <w:rFonts w:cs="Times New Roman"/>
          <w:i/>
          <w:iCs/>
          <w:color w:val="000000" w:themeColor="text1"/>
        </w:rPr>
        <w:t>San Bernadino</w:t>
      </w:r>
      <w:r w:rsidR="6BF407EC" w:rsidRPr="1D2EECFC">
        <w:rPr>
          <w:rFonts w:cs="Times New Roman"/>
          <w:color w:val="000000" w:themeColor="text1"/>
        </w:rPr>
        <w:t xml:space="preserve">, </w:t>
      </w:r>
      <w:r w:rsidR="6BF407EC" w:rsidRPr="797FBB80">
        <w:rPr>
          <w:rFonts w:cs="Times New Roman"/>
          <w:i/>
          <w:iCs/>
          <w:color w:val="000000" w:themeColor="text1"/>
        </w:rPr>
        <w:t>supra</w:t>
      </w:r>
      <w:r w:rsidR="6BF407EC" w:rsidRPr="1D2EECFC">
        <w:rPr>
          <w:rFonts w:cs="Times New Roman"/>
          <w:color w:val="000000" w:themeColor="text1"/>
        </w:rPr>
        <w:t xml:space="preserve">, </w:t>
      </w:r>
      <w:r w:rsidR="00C64BF4" w:rsidRPr="7DC83EE6">
        <w:rPr>
          <w:bdr w:val="none" w:sz="0" w:space="0" w:color="auto" w:frame="1"/>
        </w:rPr>
        <w:t xml:space="preserve">239 Cal.App.4th </w:t>
      </w:r>
      <w:r w:rsidR="6BF407EC" w:rsidRPr="1D2EECFC">
        <w:rPr>
          <w:rFonts w:cs="Times New Roman"/>
          <w:color w:val="000000" w:themeColor="text1"/>
        </w:rPr>
        <w:t>at p. 686</w:t>
      </w:r>
      <w:r w:rsidR="603156FA" w:rsidRPr="797FBB80">
        <w:rPr>
          <w:rFonts w:cs="Times New Roman"/>
          <w:color w:val="000000" w:themeColor="text1"/>
        </w:rPr>
        <w:t>.</w:t>
      </w:r>
      <w:r w:rsidR="6BF407EC" w:rsidRPr="1D2EECFC">
        <w:rPr>
          <w:rFonts w:cs="Times New Roman"/>
          <w:color w:val="000000" w:themeColor="text1"/>
        </w:rPr>
        <w:t>)</w:t>
      </w:r>
      <w:r w:rsidR="6BF407EC">
        <w:rPr>
          <w:rFonts w:eastAsia="Times New Roman" w:cs="Times New Roman"/>
          <w:color w:val="000000"/>
        </w:rPr>
        <w:t xml:space="preserve"> In </w:t>
      </w:r>
      <w:r w:rsidR="7BE87353">
        <w:rPr>
          <w:rFonts w:eastAsia="Times New Roman" w:cs="Times New Roman"/>
          <w:color w:val="000000"/>
        </w:rPr>
        <w:t xml:space="preserve">so holding, </w:t>
      </w:r>
      <w:r w:rsidR="7BE87353" w:rsidRPr="797FBB80">
        <w:rPr>
          <w:rFonts w:eastAsia="Times New Roman" w:cs="Times New Roman"/>
          <w:i/>
          <w:iCs/>
          <w:color w:val="000000"/>
        </w:rPr>
        <w:t>San Bernadino</w:t>
      </w:r>
      <w:r w:rsidR="7BE87353" w:rsidRPr="4B0E998B">
        <w:rPr>
          <w:rFonts w:eastAsia="Times New Roman" w:cs="Times New Roman"/>
          <w:color w:val="000000"/>
        </w:rPr>
        <w:t xml:space="preserve"> </w:t>
      </w:r>
      <w:r w:rsidR="7BE87353" w:rsidRPr="4D00544E">
        <w:rPr>
          <w:rFonts w:eastAsia="Times New Roman" w:cs="Times New Roman"/>
          <w:color w:val="000000" w:themeColor="text1"/>
        </w:rPr>
        <w:t>cited</w:t>
      </w:r>
      <w:r w:rsidR="05C4D3A4">
        <w:rPr>
          <w:rFonts w:eastAsia="Times New Roman" w:cs="Times New Roman"/>
          <w:color w:val="000000" w:themeColor="text1"/>
        </w:rPr>
        <w:t>, as an exception that proved the rule,</w:t>
      </w:r>
      <w:r w:rsidR="7BE87353" w:rsidRPr="4D00544E">
        <w:rPr>
          <w:rFonts w:eastAsia="Times New Roman" w:cs="Times New Roman"/>
          <w:color w:val="000000" w:themeColor="text1"/>
        </w:rPr>
        <w:t xml:space="preserve"> </w:t>
      </w:r>
      <w:r w:rsidR="05C4D3A4">
        <w:rPr>
          <w:rFonts w:eastAsia="Times New Roman" w:cs="Times New Roman"/>
          <w:color w:val="000000" w:themeColor="text1"/>
        </w:rPr>
        <w:t>cas</w:t>
      </w:r>
      <w:r w:rsidR="05C4D3A4" w:rsidRPr="4D00544E">
        <w:rPr>
          <w:rFonts w:eastAsia="Times New Roman" w:cs="Times New Roman"/>
          <w:color w:val="000000" w:themeColor="text1"/>
        </w:rPr>
        <w:t xml:space="preserve">es </w:t>
      </w:r>
      <w:r w:rsidR="7BE87353" w:rsidRPr="4D00544E">
        <w:rPr>
          <w:rFonts w:eastAsia="Times New Roman" w:cs="Times New Roman"/>
          <w:color w:val="000000" w:themeColor="text1"/>
        </w:rPr>
        <w:t>in which</w:t>
      </w:r>
      <w:r w:rsidR="7BE87353" w:rsidRPr="4B0E998B">
        <w:rPr>
          <w:rFonts w:eastAsia="Times New Roman" w:cs="Times New Roman"/>
          <w:color w:val="000000"/>
        </w:rPr>
        <w:t xml:space="preserve"> </w:t>
      </w:r>
      <w:r w:rsidR="009B15D9">
        <w:rPr>
          <w:rFonts w:eastAsia="Times New Roman" w:cs="Times New Roman"/>
          <w:color w:val="000000"/>
        </w:rPr>
        <w:t xml:space="preserve">plaintiffs </w:t>
      </w:r>
      <w:r w:rsidR="7BE87353" w:rsidRPr="797FBB80">
        <w:rPr>
          <w:rFonts w:eastAsia="Times New Roman" w:cs="Times New Roman"/>
          <w:i/>
          <w:iCs/>
          <w:color w:val="000000" w:themeColor="text1"/>
        </w:rPr>
        <w:t>properly</w:t>
      </w:r>
      <w:r w:rsidR="7BE87353" w:rsidRPr="4D00544E">
        <w:rPr>
          <w:rFonts w:eastAsia="Times New Roman" w:cs="Times New Roman"/>
          <w:color w:val="000000" w:themeColor="text1"/>
        </w:rPr>
        <w:t xml:space="preserve"> </w:t>
      </w:r>
      <w:r w:rsidR="7BE87353" w:rsidRPr="0B0799C1">
        <w:rPr>
          <w:rFonts w:eastAsia="Times New Roman" w:cs="Times New Roman"/>
          <w:color w:val="000000" w:themeColor="text1"/>
        </w:rPr>
        <w:t>premised</w:t>
      </w:r>
      <w:r w:rsidR="7BE87353" w:rsidRPr="7DC83EE6">
        <w:rPr>
          <w:rFonts w:eastAsia="Times New Roman" w:cs="Times New Roman"/>
          <w:color w:val="000000" w:themeColor="text1"/>
        </w:rPr>
        <w:t xml:space="preserve"> </w:t>
      </w:r>
      <w:r w:rsidR="009B15D9">
        <w:rPr>
          <w:rFonts w:eastAsia="Times New Roman" w:cs="Times New Roman"/>
          <w:color w:val="000000" w:themeColor="text1"/>
        </w:rPr>
        <w:t xml:space="preserve">taxpayer </w:t>
      </w:r>
      <w:r w:rsidR="05C4D3A4">
        <w:rPr>
          <w:rFonts w:eastAsia="Times New Roman" w:cs="Times New Roman"/>
          <w:color w:val="000000" w:themeColor="text1"/>
        </w:rPr>
        <w:t xml:space="preserve">actions </w:t>
      </w:r>
      <w:r w:rsidR="7BE87353" w:rsidRPr="7DC83EE6">
        <w:rPr>
          <w:rFonts w:eastAsia="Times New Roman" w:cs="Times New Roman"/>
          <w:color w:val="000000" w:themeColor="text1"/>
        </w:rPr>
        <w:t xml:space="preserve">upon </w:t>
      </w:r>
      <w:r w:rsidR="6BF407EC">
        <w:rPr>
          <w:rFonts w:eastAsia="Times New Roman" w:cs="Times New Roman"/>
          <w:color w:val="000000" w:themeColor="text1"/>
        </w:rPr>
        <w:t xml:space="preserve">a public </w:t>
      </w:r>
      <w:r w:rsidR="05C4D3A4">
        <w:rPr>
          <w:rFonts w:eastAsia="Times New Roman" w:cs="Times New Roman"/>
          <w:color w:val="000000" w:themeColor="text1"/>
        </w:rPr>
        <w:t xml:space="preserve">body </w:t>
      </w:r>
      <w:r w:rsidR="6BF407EC">
        <w:rPr>
          <w:rFonts w:eastAsia="Times New Roman" w:cs="Times New Roman"/>
          <w:color w:val="000000" w:themeColor="text1"/>
        </w:rPr>
        <w:t>or official</w:t>
      </w:r>
      <w:r w:rsidR="05C4D3A4">
        <w:rPr>
          <w:rFonts w:eastAsia="Times New Roman" w:cs="Times New Roman"/>
          <w:color w:val="000000" w:themeColor="text1"/>
        </w:rPr>
        <w:t>’s</w:t>
      </w:r>
      <w:r w:rsidR="6BF407EC">
        <w:rPr>
          <w:rFonts w:eastAsia="Times New Roman" w:cs="Times New Roman"/>
          <w:color w:val="000000" w:themeColor="text1"/>
        </w:rPr>
        <w:t xml:space="preserve"> </w:t>
      </w:r>
      <w:r w:rsidR="7BE87353">
        <w:rPr>
          <w:rFonts w:eastAsia="Times New Roman" w:cs="Times New Roman"/>
          <w:color w:val="000000" w:themeColor="text1"/>
        </w:rPr>
        <w:t xml:space="preserve">failure to pursue </w:t>
      </w:r>
      <w:r w:rsidR="6BF407EC">
        <w:rPr>
          <w:rFonts w:eastAsia="Times New Roman" w:cs="Times New Roman"/>
          <w:color w:val="000000" w:themeColor="text1"/>
        </w:rPr>
        <w:t xml:space="preserve">a </w:t>
      </w:r>
      <w:r w:rsidR="7BE87353">
        <w:rPr>
          <w:rFonts w:eastAsia="Times New Roman" w:cs="Times New Roman"/>
          <w:color w:val="000000" w:themeColor="text1"/>
        </w:rPr>
        <w:t xml:space="preserve">legal </w:t>
      </w:r>
      <w:r w:rsidR="6BF407EC">
        <w:rPr>
          <w:rFonts w:eastAsia="Times New Roman" w:cs="Times New Roman"/>
          <w:color w:val="000000" w:themeColor="text1"/>
        </w:rPr>
        <w:t>claim</w:t>
      </w:r>
      <w:r w:rsidR="7BE87353" w:rsidRPr="7DC83EE6">
        <w:rPr>
          <w:rFonts w:eastAsia="Times New Roman" w:cs="Times New Roman"/>
          <w:color w:val="000000" w:themeColor="text1"/>
        </w:rPr>
        <w:t xml:space="preserve"> </w:t>
      </w:r>
      <w:r w:rsidR="24A90408">
        <w:rPr>
          <w:rFonts w:eastAsia="Times New Roman" w:cs="Times New Roman"/>
          <w:color w:val="000000" w:themeColor="text1"/>
        </w:rPr>
        <w:t xml:space="preserve">in circumstances in which </w:t>
      </w:r>
      <w:r w:rsidR="6BF407EC">
        <w:rPr>
          <w:rFonts w:eastAsia="Times New Roman" w:cs="Times New Roman"/>
          <w:color w:val="000000" w:themeColor="text1"/>
        </w:rPr>
        <w:t xml:space="preserve">the </w:t>
      </w:r>
      <w:r w:rsidR="7BE87353" w:rsidRPr="7DC83EE6">
        <w:rPr>
          <w:rFonts w:eastAsia="Times New Roman" w:cs="Times New Roman"/>
          <w:color w:val="000000" w:themeColor="text1"/>
        </w:rPr>
        <w:t>defendant</w:t>
      </w:r>
      <w:r w:rsidR="7BE87353">
        <w:rPr>
          <w:rFonts w:eastAsia="Times New Roman" w:cs="Times New Roman"/>
          <w:color w:val="000000" w:themeColor="text1"/>
        </w:rPr>
        <w:t xml:space="preserve"> had a </w:t>
      </w:r>
      <w:r w:rsidR="7BE87353" w:rsidRPr="4D00544E">
        <w:rPr>
          <w:rFonts w:eastAsia="Times New Roman" w:cs="Times New Roman"/>
          <w:color w:val="000000" w:themeColor="text1"/>
        </w:rPr>
        <w:t xml:space="preserve">mandatory </w:t>
      </w:r>
      <w:r w:rsidR="7BE87353" w:rsidRPr="4B0E998B">
        <w:rPr>
          <w:rFonts w:eastAsia="Times New Roman" w:cs="Times New Roman"/>
          <w:color w:val="000000"/>
        </w:rPr>
        <w:t>duty</w:t>
      </w:r>
      <w:r w:rsidR="7BE87353">
        <w:rPr>
          <w:rFonts w:eastAsia="Times New Roman" w:cs="Times New Roman"/>
          <w:color w:val="000000"/>
        </w:rPr>
        <w:t xml:space="preserve"> to </w:t>
      </w:r>
      <w:r w:rsidR="05C4D3A4">
        <w:rPr>
          <w:rFonts w:eastAsia="Times New Roman" w:cs="Times New Roman"/>
          <w:color w:val="000000"/>
        </w:rPr>
        <w:t>pursue</w:t>
      </w:r>
      <w:r w:rsidR="24A90408">
        <w:rPr>
          <w:rFonts w:eastAsia="Times New Roman" w:cs="Times New Roman"/>
          <w:color w:val="000000"/>
        </w:rPr>
        <w:t xml:space="preserve"> the claim</w:t>
      </w:r>
      <w:r w:rsidR="7BE87353" w:rsidRPr="4B0E998B">
        <w:rPr>
          <w:rFonts w:eastAsia="Times New Roman" w:cs="Times New Roman"/>
          <w:color w:val="000000"/>
        </w:rPr>
        <w:t>. (</w:t>
      </w:r>
      <w:r w:rsidR="7BE87353" w:rsidRPr="797FBB80">
        <w:rPr>
          <w:rFonts w:eastAsia="Times New Roman" w:cs="Times New Roman"/>
          <w:i/>
          <w:iCs/>
          <w:color w:val="000000" w:themeColor="text1"/>
          <w:bdr w:val="none" w:sz="0" w:space="0" w:color="auto" w:frame="1"/>
        </w:rPr>
        <w:t>San Bernadino</w:t>
      </w:r>
      <w:r w:rsidR="7BE87353" w:rsidRPr="4B0E998B">
        <w:rPr>
          <w:rFonts w:eastAsia="Times New Roman" w:cs="Times New Roman"/>
          <w:color w:val="000000"/>
        </w:rPr>
        <w:t>,</w:t>
      </w:r>
      <w:r w:rsidR="7BE87353" w:rsidRPr="7DC83EE6">
        <w:rPr>
          <w:rFonts w:eastAsia="Times New Roman" w:cs="Times New Roman"/>
          <w:color w:val="000000" w:themeColor="text1"/>
          <w:bdr w:val="none" w:sz="0" w:space="0" w:color="auto" w:frame="1"/>
        </w:rPr>
        <w:t xml:space="preserve"> </w:t>
      </w:r>
      <w:r w:rsidR="7BE87353" w:rsidRPr="4B0E998B">
        <w:rPr>
          <w:rFonts w:eastAsia="Times New Roman" w:cs="Times New Roman"/>
          <w:color w:val="000000"/>
        </w:rPr>
        <w:t>at p.</w:t>
      </w:r>
      <w:r w:rsidR="7BE87353" w:rsidRPr="4B0E998B">
        <w:rPr>
          <w:rFonts w:eastAsia="Times New Roman" w:cs="Times New Roman"/>
          <w:color w:val="000000" w:themeColor="text1"/>
        </w:rPr>
        <w:t xml:space="preserve"> 687, quoting </w:t>
      </w:r>
      <w:r w:rsidR="7BE87353" w:rsidRPr="00180A2A">
        <w:rPr>
          <w:rFonts w:eastAsia="Times New Roman" w:cs="Times New Roman"/>
          <w:i/>
        </w:rPr>
        <w:t xml:space="preserve">Schaefer v. </w:t>
      </w:r>
      <w:proofErr w:type="spellStart"/>
      <w:r w:rsidR="7BE87353" w:rsidRPr="00180A2A">
        <w:rPr>
          <w:rFonts w:eastAsia="Times New Roman" w:cs="Times New Roman"/>
          <w:i/>
        </w:rPr>
        <w:t>Berinstein</w:t>
      </w:r>
      <w:proofErr w:type="spellEnd"/>
      <w:r w:rsidR="7BE87353" w:rsidRPr="00180A2A">
        <w:rPr>
          <w:rFonts w:eastAsia="Times New Roman" w:cs="Times New Roman"/>
        </w:rPr>
        <w:t xml:space="preserve"> </w:t>
      </w:r>
      <w:r w:rsidR="7BE87353" w:rsidRPr="004175F6">
        <w:rPr>
          <w:rFonts w:eastAsia="Times New Roman" w:cs="Times New Roman"/>
        </w:rPr>
        <w:t>(1956) 140</w:t>
      </w:r>
      <w:r w:rsidR="05C4D3A4" w:rsidRPr="004175F6">
        <w:rPr>
          <w:rFonts w:eastAsia="Times New Roman" w:cs="Times New Roman"/>
        </w:rPr>
        <w:t> </w:t>
      </w:r>
      <w:r w:rsidR="7BE87353" w:rsidRPr="004175F6">
        <w:rPr>
          <w:rFonts w:eastAsia="Times New Roman" w:cs="Times New Roman"/>
        </w:rPr>
        <w:t>Cal.App.2d</w:t>
      </w:r>
      <w:r w:rsidR="7BE87353" w:rsidRPr="004175F6">
        <w:rPr>
          <w:rFonts w:eastAsia="Times New Roman" w:cs="Times New Roman"/>
          <w:i/>
        </w:rPr>
        <w:t xml:space="preserve"> </w:t>
      </w:r>
      <w:r w:rsidR="7BE87353" w:rsidRPr="004175F6">
        <w:rPr>
          <w:rFonts w:eastAsia="Times New Roman" w:cs="Times New Roman"/>
        </w:rPr>
        <w:t>278, 292</w:t>
      </w:r>
      <w:r w:rsidR="009F692A" w:rsidRPr="004175F6">
        <w:rPr>
          <w:rFonts w:eastAsia="Times New Roman" w:cs="Times New Roman"/>
        </w:rPr>
        <w:t>–</w:t>
      </w:r>
      <w:r w:rsidR="00D314EE" w:rsidRPr="004175F6">
        <w:rPr>
          <w:rFonts w:eastAsia="Times New Roman" w:cs="Times New Roman"/>
        </w:rPr>
        <w:t>293</w:t>
      </w:r>
      <w:r w:rsidR="7BE87353" w:rsidRPr="004175F6">
        <w:rPr>
          <w:rFonts w:eastAsia="Times New Roman" w:cs="Times New Roman"/>
        </w:rPr>
        <w:t xml:space="preserve"> </w:t>
      </w:r>
      <w:r w:rsidR="7BE87353" w:rsidRPr="4B0E998B">
        <w:rPr>
          <w:rFonts w:eastAsia="Times New Roman" w:cs="Times New Roman"/>
          <w:color w:val="000000" w:themeColor="text1"/>
        </w:rPr>
        <w:t xml:space="preserve">[action may proceed against city officials for failure to declare certain transactions void where city charter provision </w:t>
      </w:r>
      <w:r w:rsidR="7BE87353" w:rsidRPr="0B0799C1">
        <w:rPr>
          <w:rFonts w:eastAsia="Times New Roman" w:cs="Times New Roman"/>
          <w:color w:val="000000" w:themeColor="text1"/>
        </w:rPr>
        <w:t>requir</w:t>
      </w:r>
      <w:r w:rsidR="05C4D3A4">
        <w:rPr>
          <w:rFonts w:eastAsia="Times New Roman" w:cs="Times New Roman"/>
          <w:color w:val="000000" w:themeColor="text1"/>
        </w:rPr>
        <w:t xml:space="preserve">ed </w:t>
      </w:r>
      <w:r w:rsidR="7BE87353" w:rsidRPr="4B0E998B">
        <w:rPr>
          <w:rFonts w:eastAsia="Times New Roman" w:cs="Times New Roman"/>
          <w:color w:val="000000" w:themeColor="text1"/>
        </w:rPr>
        <w:t>city council to declare such transactions void]</w:t>
      </w:r>
      <w:r w:rsidR="51C4988A">
        <w:rPr>
          <w:rFonts w:eastAsia="Times New Roman" w:cs="Times New Roman"/>
          <w:color w:val="000000" w:themeColor="text1"/>
        </w:rPr>
        <w:t>;</w:t>
      </w:r>
      <w:r w:rsidR="7BE87353" w:rsidRPr="4B0E998B">
        <w:rPr>
          <w:rFonts w:eastAsia="Times New Roman" w:cs="Times New Roman"/>
          <w:color w:val="000000"/>
        </w:rPr>
        <w:t xml:space="preserve"> </w:t>
      </w:r>
      <w:r w:rsidR="7BE87353" w:rsidRPr="005B24FB">
        <w:rPr>
          <w:rFonts w:eastAsia="Times New Roman" w:cs="Times New Roman"/>
          <w:i/>
        </w:rPr>
        <w:t>Miller v. McKinnon</w:t>
      </w:r>
      <w:r w:rsidR="7BE87353" w:rsidRPr="005B24FB">
        <w:rPr>
          <w:rFonts w:eastAsia="Times New Roman" w:cs="Times New Roman"/>
        </w:rPr>
        <w:t xml:space="preserve"> </w:t>
      </w:r>
      <w:r w:rsidR="7BE87353">
        <w:rPr>
          <w:rFonts w:eastAsia="Times New Roman" w:cs="Times New Roman"/>
          <w:color w:val="3D3D3D"/>
        </w:rPr>
        <w:t>(1942</w:t>
      </w:r>
      <w:r w:rsidR="7BE87353" w:rsidRPr="7DC83EE6">
        <w:rPr>
          <w:rFonts w:eastAsia="Times New Roman" w:cs="Times New Roman"/>
          <w:color w:val="3D3D3D"/>
        </w:rPr>
        <w:t>)</w:t>
      </w:r>
      <w:r w:rsidR="7BE87353" w:rsidRPr="4B0E998B">
        <w:rPr>
          <w:rFonts w:eastAsia="Times New Roman" w:cs="Times New Roman"/>
          <w:color w:val="000000" w:themeColor="text1"/>
        </w:rPr>
        <w:t xml:space="preserve"> 20</w:t>
      </w:r>
      <w:r w:rsidR="6BF407EC">
        <w:rPr>
          <w:rFonts w:eastAsia="Times New Roman" w:cs="Times New Roman"/>
          <w:color w:val="000000" w:themeColor="text1"/>
        </w:rPr>
        <w:t> </w:t>
      </w:r>
      <w:r w:rsidR="7BE87353" w:rsidRPr="4B0E998B">
        <w:rPr>
          <w:rFonts w:eastAsia="Times New Roman" w:cs="Times New Roman"/>
          <w:color w:val="000000" w:themeColor="text1"/>
        </w:rPr>
        <w:t xml:space="preserve">Cal.2d </w:t>
      </w:r>
      <w:r w:rsidR="7BE87353">
        <w:rPr>
          <w:rFonts w:eastAsia="Times New Roman" w:cs="Times New Roman"/>
          <w:color w:val="000000" w:themeColor="text1"/>
        </w:rPr>
        <w:t xml:space="preserve">83, </w:t>
      </w:r>
      <w:r w:rsidR="7BE87353" w:rsidRPr="4B0E998B">
        <w:rPr>
          <w:rFonts w:eastAsia="Times New Roman" w:cs="Times New Roman"/>
          <w:color w:val="000000" w:themeColor="text1"/>
        </w:rPr>
        <w:t xml:space="preserve">86–87, 95 </w:t>
      </w:r>
      <w:r w:rsidR="7BE87353" w:rsidRPr="7DC83EE6">
        <w:rPr>
          <w:rFonts w:eastAsia="Times New Roman" w:cs="Times New Roman"/>
          <w:color w:val="000000" w:themeColor="text1"/>
        </w:rPr>
        <w:t xml:space="preserve">[taxpayer action may be premised upon failure </w:t>
      </w:r>
      <w:r w:rsidR="007C0B8B">
        <w:rPr>
          <w:rFonts w:eastAsia="Times New Roman" w:cs="Times New Roman"/>
          <w:color w:val="000000" w:themeColor="text1"/>
        </w:rPr>
        <w:t xml:space="preserve">of county district attorney </w:t>
      </w:r>
      <w:r w:rsidR="7BE87353" w:rsidRPr="7DC83EE6">
        <w:rPr>
          <w:rFonts w:eastAsia="Times New Roman" w:cs="Times New Roman"/>
          <w:color w:val="000000" w:themeColor="text1"/>
        </w:rPr>
        <w:t xml:space="preserve">to comply with statute that </w:t>
      </w:r>
      <w:r w:rsidR="7BE87353" w:rsidRPr="4B0E998B">
        <w:rPr>
          <w:rFonts w:eastAsia="Times New Roman" w:cs="Times New Roman"/>
          <w:color w:val="000000" w:themeColor="text1"/>
        </w:rPr>
        <w:t>“</w:t>
      </w:r>
      <w:r w:rsidR="00E67F1F">
        <w:rPr>
          <w:rFonts w:eastAsia="Times New Roman" w:cs="Times New Roman"/>
          <w:color w:val="000000" w:themeColor="text1"/>
        </w:rPr>
        <w:t> </w:t>
      </w:r>
      <w:r w:rsidR="00C80DF6">
        <w:rPr>
          <w:rFonts w:eastAsia="Times New Roman" w:cs="Times New Roman"/>
          <w:color w:val="000000" w:themeColor="text1"/>
        </w:rPr>
        <w:t>‘</w:t>
      </w:r>
      <w:r w:rsidR="7BE87353" w:rsidRPr="4B0E998B">
        <w:rPr>
          <w:rFonts w:eastAsia="Times New Roman" w:cs="Times New Roman"/>
          <w:color w:val="000000"/>
        </w:rPr>
        <w:t>made</w:t>
      </w:r>
      <w:r w:rsidR="00B331D5">
        <w:rPr>
          <w:rFonts w:eastAsia="Times New Roman" w:cs="Times New Roman"/>
          <w:color w:val="000000"/>
        </w:rPr>
        <w:t xml:space="preserve"> </w:t>
      </w:r>
      <w:r w:rsidR="00C80DF6">
        <w:rPr>
          <w:rFonts w:eastAsia="Times New Roman" w:cs="Times New Roman"/>
          <w:color w:val="000000"/>
        </w:rPr>
        <w:t>his</w:t>
      </w:r>
      <w:r w:rsidR="7BE87353" w:rsidRPr="4B0E998B">
        <w:rPr>
          <w:rFonts w:eastAsia="Times New Roman" w:cs="Times New Roman"/>
          <w:color w:val="000000"/>
        </w:rPr>
        <w:t xml:space="preserve"> imperative duty</w:t>
      </w:r>
      <w:r w:rsidR="00C80DF6">
        <w:rPr>
          <w:rFonts w:eastAsia="Times New Roman" w:cs="Times New Roman"/>
          <w:color w:val="000000"/>
        </w:rPr>
        <w:t>,</w:t>
      </w:r>
      <w:r w:rsidR="7BE87353" w:rsidRPr="4B0E998B">
        <w:rPr>
          <w:rFonts w:eastAsia="Times New Roman" w:cs="Times New Roman"/>
          <w:color w:val="000000"/>
        </w:rPr>
        <w:t xml:space="preserve"> to institute suit</w:t>
      </w:r>
      <w:r w:rsidR="00D22B0C">
        <w:rPr>
          <w:rFonts w:eastAsia="Times New Roman" w:cs="Times New Roman"/>
          <w:color w:val="000000"/>
        </w:rPr>
        <w:t xml:space="preserve">, in the </w:t>
      </w:r>
      <w:r w:rsidR="00D22B0C">
        <w:rPr>
          <w:rFonts w:eastAsia="Times New Roman" w:cs="Times New Roman"/>
          <w:color w:val="000000"/>
        </w:rPr>
        <w:lastRenderedPageBreak/>
        <w:t>name of the county</w:t>
      </w:r>
      <w:r w:rsidR="7BE87353" w:rsidRPr="4B0E998B">
        <w:rPr>
          <w:rFonts w:eastAsia="Times New Roman" w:cs="Times New Roman"/>
          <w:color w:val="000000"/>
        </w:rPr>
        <w:t>’</w:t>
      </w:r>
      <w:r w:rsidR="43F177BA">
        <w:rPr>
          <w:rFonts w:eastAsia="Times New Roman" w:cs="Times New Roman"/>
          <w:color w:val="000000"/>
        </w:rPr>
        <w:t> </w:t>
      </w:r>
      <w:r w:rsidR="7BE87353" w:rsidRPr="4E07C719">
        <w:rPr>
          <w:rFonts w:eastAsia="Times New Roman" w:cs="Times New Roman"/>
          <w:color w:val="000000" w:themeColor="text1"/>
        </w:rPr>
        <w:t>”].)</w:t>
      </w:r>
      <w:r>
        <w:rPr>
          <w:rStyle w:val="FootnoteReference"/>
        </w:rPr>
        <w:footnoteReference w:id="26"/>
      </w:r>
      <w:r w:rsidR="006F633B" w:rsidRPr="07AFF217">
        <w:rPr>
          <w:rFonts w:eastAsia="Times New Roman" w:cs="Times New Roman"/>
          <w:color w:val="000000"/>
        </w:rPr>
        <w:t xml:space="preserve"> </w:t>
      </w:r>
      <w:r w:rsidR="7BE87353" w:rsidRPr="4B0E998B">
        <w:rPr>
          <w:rFonts w:eastAsia="Times New Roman" w:cs="Times New Roman"/>
          <w:color w:val="000000"/>
        </w:rPr>
        <w:t xml:space="preserve">Here, defendants do not enjoy discretion to </w:t>
      </w:r>
      <w:r w:rsidR="00FE09B4">
        <w:rPr>
          <w:rFonts w:eastAsia="Times New Roman" w:cs="Times New Roman"/>
          <w:color w:val="000000"/>
        </w:rPr>
        <w:t>decide</w:t>
      </w:r>
      <w:r w:rsidR="00FE09B4" w:rsidRPr="4B0E998B">
        <w:rPr>
          <w:rFonts w:eastAsia="Times New Roman" w:cs="Times New Roman"/>
          <w:color w:val="000000"/>
        </w:rPr>
        <w:t xml:space="preserve"> </w:t>
      </w:r>
      <w:r w:rsidR="7BE87353" w:rsidRPr="4B0E998B">
        <w:rPr>
          <w:rFonts w:eastAsia="Times New Roman" w:cs="Times New Roman"/>
          <w:color w:val="000000"/>
        </w:rPr>
        <w:t>whether</w:t>
      </w:r>
      <w:r w:rsidR="05C4D3A4">
        <w:rPr>
          <w:rFonts w:eastAsia="Times New Roman" w:cs="Times New Roman"/>
          <w:color w:val="000000"/>
        </w:rPr>
        <w:t xml:space="preserve"> t</w:t>
      </w:r>
      <w:r w:rsidR="0045549B">
        <w:rPr>
          <w:rFonts w:eastAsia="Times New Roman" w:cs="Times New Roman"/>
          <w:color w:val="000000"/>
        </w:rPr>
        <w:t>o</w:t>
      </w:r>
      <w:r w:rsidR="7BE87353" w:rsidRPr="4B0E998B">
        <w:rPr>
          <w:rFonts w:eastAsia="Times New Roman" w:cs="Times New Roman"/>
          <w:color w:val="000000"/>
        </w:rPr>
        <w:t xml:space="preserve"> devote sufficient resources to criminal departments to ensure speedy trials in criminal cases</w:t>
      </w:r>
      <w:r w:rsidR="24A90408">
        <w:rPr>
          <w:rFonts w:eastAsia="Times New Roman" w:cs="Times New Roman"/>
          <w:color w:val="000000"/>
        </w:rPr>
        <w:t>. S</w:t>
      </w:r>
      <w:r w:rsidR="7BE87353" w:rsidRPr="4B0E998B">
        <w:rPr>
          <w:rFonts w:eastAsia="Times New Roman" w:cs="Times New Roman"/>
          <w:color w:val="000000"/>
        </w:rPr>
        <w:t>ection</w:t>
      </w:r>
      <w:r w:rsidR="00B71F22">
        <w:rPr>
          <w:rFonts w:eastAsia="Times New Roman" w:cs="Times New Roman"/>
          <w:color w:val="000000"/>
        </w:rPr>
        <w:t> </w:t>
      </w:r>
      <w:r w:rsidR="7BE87353" w:rsidRPr="4B0E998B">
        <w:rPr>
          <w:rFonts w:eastAsia="Times New Roman" w:cs="Times New Roman"/>
          <w:color w:val="000000"/>
        </w:rPr>
        <w:t xml:space="preserve">1050(a)—like the city charter in </w:t>
      </w:r>
      <w:r w:rsidR="7BE87353" w:rsidRPr="00986A91">
        <w:rPr>
          <w:rFonts w:eastAsia="Times New Roman" w:cs="Times New Roman"/>
          <w:i/>
          <w:bdr w:val="none" w:sz="0" w:space="0" w:color="auto" w:frame="1"/>
        </w:rPr>
        <w:t xml:space="preserve">Schaefer v. </w:t>
      </w:r>
      <w:proofErr w:type="spellStart"/>
      <w:r w:rsidR="7BE87353" w:rsidRPr="00986A91">
        <w:rPr>
          <w:rFonts w:eastAsia="Times New Roman" w:cs="Times New Roman"/>
          <w:i/>
          <w:bdr w:val="none" w:sz="0" w:space="0" w:color="auto" w:frame="1"/>
        </w:rPr>
        <w:t>Berinstein</w:t>
      </w:r>
      <w:proofErr w:type="spellEnd"/>
      <w:r w:rsidR="7BE87353" w:rsidRPr="00986A91">
        <w:rPr>
          <w:rFonts w:eastAsia="Times New Roman" w:cs="Times New Roman"/>
          <w:bdr w:val="none" w:sz="0" w:space="0" w:color="auto" w:frame="1"/>
        </w:rPr>
        <w:t xml:space="preserve">, </w:t>
      </w:r>
      <w:r w:rsidR="7BE87353" w:rsidRPr="00986A91">
        <w:rPr>
          <w:rFonts w:eastAsia="Times New Roman" w:cs="Times New Roman"/>
          <w:i/>
          <w:bdr w:val="none" w:sz="0" w:space="0" w:color="auto" w:frame="1"/>
        </w:rPr>
        <w:t>supra</w:t>
      </w:r>
      <w:r w:rsidR="7BE87353" w:rsidRPr="00986A91">
        <w:rPr>
          <w:rFonts w:eastAsia="Times New Roman" w:cs="Times New Roman"/>
          <w:bdr w:val="none" w:sz="0" w:space="0" w:color="auto" w:frame="1"/>
        </w:rPr>
        <w:t>,</w:t>
      </w:r>
      <w:r w:rsidR="7BE87353" w:rsidRPr="00986A91">
        <w:rPr>
          <w:rFonts w:eastAsia="Times New Roman" w:cs="Times New Roman"/>
        </w:rPr>
        <w:t xml:space="preserve"> </w:t>
      </w:r>
      <w:r w:rsidR="7BE87353" w:rsidRPr="4B0E998B">
        <w:rPr>
          <w:rFonts w:eastAsia="Times New Roman" w:cs="Times New Roman"/>
          <w:color w:val="000000"/>
        </w:rPr>
        <w:t xml:space="preserve">and the statute in </w:t>
      </w:r>
      <w:r w:rsidR="7BE87353" w:rsidRPr="797FBB80">
        <w:rPr>
          <w:rFonts w:eastAsia="Times New Roman" w:cs="Times New Roman"/>
          <w:i/>
          <w:iCs/>
          <w:color w:val="000000"/>
        </w:rPr>
        <w:t xml:space="preserve">Miller v. </w:t>
      </w:r>
      <w:r w:rsidR="7BE87353" w:rsidRPr="00986A91">
        <w:rPr>
          <w:rFonts w:eastAsia="Times New Roman" w:cs="Times New Roman"/>
          <w:i/>
        </w:rPr>
        <w:t>McKinnon, supra</w:t>
      </w:r>
      <w:r w:rsidR="7BE87353" w:rsidRPr="797FBB80">
        <w:rPr>
          <w:rFonts w:eastAsia="Times New Roman" w:cs="Times New Roman"/>
          <w:i/>
          <w:iCs/>
          <w:color w:val="000000"/>
        </w:rPr>
        <w:t>—</w:t>
      </w:r>
      <w:r w:rsidR="7BE87353" w:rsidRPr="4D00544E">
        <w:rPr>
          <w:rFonts w:cs="Times New Roman"/>
        </w:rPr>
        <w:t xml:space="preserve">requires </w:t>
      </w:r>
      <w:r w:rsidR="7BE87353">
        <w:rPr>
          <w:rFonts w:cs="Times New Roman"/>
        </w:rPr>
        <w:t>them</w:t>
      </w:r>
      <w:r w:rsidR="7BE87353" w:rsidRPr="008B2BB7">
        <w:rPr>
          <w:rFonts w:cs="Times New Roman"/>
          <w:spacing w:val="-2"/>
        </w:rPr>
        <w:t xml:space="preserve"> </w:t>
      </w:r>
      <w:r w:rsidR="7BE87353" w:rsidRPr="4D00544E">
        <w:rPr>
          <w:rFonts w:cs="Times New Roman"/>
        </w:rPr>
        <w:t>to do so</w:t>
      </w:r>
      <w:r w:rsidR="7BE87353">
        <w:rPr>
          <w:rFonts w:cs="Times New Roman"/>
          <w:spacing w:val="-2"/>
        </w:rPr>
        <w:t>.</w:t>
      </w:r>
      <w:r w:rsidR="7BE87353">
        <w:rPr>
          <w:color w:val="000000"/>
        </w:rPr>
        <w:t xml:space="preserve"> (</w:t>
      </w:r>
      <w:r w:rsidR="7BE87353" w:rsidRPr="797FBB80">
        <w:rPr>
          <w:i/>
          <w:iCs/>
          <w:color w:val="000000"/>
        </w:rPr>
        <w:t>Engram</w:t>
      </w:r>
      <w:r w:rsidR="7BE87353">
        <w:rPr>
          <w:color w:val="000000"/>
        </w:rPr>
        <w:t xml:space="preserve">, </w:t>
      </w:r>
      <w:r w:rsidR="7BE87353" w:rsidRPr="797FBB80">
        <w:rPr>
          <w:i/>
          <w:iCs/>
          <w:color w:val="000000"/>
        </w:rPr>
        <w:t>supra</w:t>
      </w:r>
      <w:r w:rsidR="7BE87353">
        <w:rPr>
          <w:color w:val="000000"/>
        </w:rPr>
        <w:t>, 50 Cal.4th at p.</w:t>
      </w:r>
      <w:r w:rsidR="00F60E72">
        <w:rPr>
          <w:color w:val="000000"/>
        </w:rPr>
        <w:t> </w:t>
      </w:r>
      <w:r w:rsidR="7BE87353">
        <w:rPr>
          <w:color w:val="000000"/>
        </w:rPr>
        <w:t>11</w:t>
      </w:r>
      <w:r w:rsidR="00063D3B">
        <w:rPr>
          <w:color w:val="000000"/>
        </w:rPr>
        <w:t>5</w:t>
      </w:r>
      <w:r w:rsidR="7BE87353">
        <w:rPr>
          <w:color w:val="000000"/>
        </w:rPr>
        <w:t>1.)</w:t>
      </w:r>
      <w:r w:rsidR="7BE87353" w:rsidRPr="4D00544E">
        <w:rPr>
          <w:color w:val="000000" w:themeColor="text1"/>
        </w:rPr>
        <w:t xml:space="preserve"> </w:t>
      </w:r>
      <w:r w:rsidR="7BE87353">
        <w:rPr>
          <w:color w:val="000000"/>
        </w:rPr>
        <w:t xml:space="preserve">While </w:t>
      </w:r>
      <w:r w:rsidR="00A06CA3" w:rsidRPr="0004266C">
        <w:rPr>
          <w:color w:val="000000"/>
        </w:rPr>
        <w:t>carrying out</w:t>
      </w:r>
      <w:r w:rsidR="00A06CA3">
        <w:rPr>
          <w:color w:val="000000"/>
        </w:rPr>
        <w:t xml:space="preserve"> </w:t>
      </w:r>
      <w:r w:rsidR="7BE87353">
        <w:rPr>
          <w:color w:val="000000"/>
        </w:rPr>
        <w:t xml:space="preserve">this duty </w:t>
      </w:r>
      <w:r w:rsidR="005861F5">
        <w:rPr>
          <w:color w:val="000000"/>
        </w:rPr>
        <w:t xml:space="preserve">may </w:t>
      </w:r>
      <w:r w:rsidR="24A90408">
        <w:rPr>
          <w:color w:val="000000"/>
        </w:rPr>
        <w:t>require</w:t>
      </w:r>
      <w:r w:rsidR="7BE87353">
        <w:rPr>
          <w:color w:val="000000"/>
        </w:rPr>
        <w:t xml:space="preserve"> </w:t>
      </w:r>
      <w:r w:rsidR="008308AE">
        <w:rPr>
          <w:color w:val="000000"/>
        </w:rPr>
        <w:t>the exercise of judgment on issues such as</w:t>
      </w:r>
      <w:r w:rsidR="7BE87353" w:rsidRPr="4D00544E">
        <w:rPr>
          <w:color w:val="000000" w:themeColor="text1"/>
        </w:rPr>
        <w:t xml:space="preserve"> </w:t>
      </w:r>
      <w:r w:rsidR="7BE87353">
        <w:rPr>
          <w:color w:val="000000"/>
        </w:rPr>
        <w:t>resource</w:t>
      </w:r>
      <w:r w:rsidR="7BE87353">
        <w:rPr>
          <w:color w:val="000000" w:themeColor="text1"/>
        </w:rPr>
        <w:t xml:space="preserve"> </w:t>
      </w:r>
      <w:r w:rsidR="7BE87353">
        <w:rPr>
          <w:color w:val="000000"/>
        </w:rPr>
        <w:t>allocation</w:t>
      </w:r>
      <w:r w:rsidR="51C4988A">
        <w:rPr>
          <w:color w:val="000000"/>
        </w:rPr>
        <w:t>,</w:t>
      </w:r>
      <w:r w:rsidR="006C122E">
        <w:rPr>
          <w:color w:val="000000"/>
        </w:rPr>
        <w:t xml:space="preserve"> rendering it an inappropriate subject of mandamus relief</w:t>
      </w:r>
      <w:r w:rsidR="00A30326">
        <w:rPr>
          <w:color w:val="000000"/>
        </w:rPr>
        <w:t>,</w:t>
      </w:r>
      <w:r>
        <w:rPr>
          <w:rStyle w:val="FootnoteReference"/>
          <w:color w:val="000000" w:themeColor="text1"/>
        </w:rPr>
        <w:footnoteReference w:id="27"/>
      </w:r>
      <w:r w:rsidR="7BE87353">
        <w:rPr>
          <w:color w:val="000000"/>
        </w:rPr>
        <w:t xml:space="preserve"> that does not confer on defendants </w:t>
      </w:r>
      <w:r w:rsidR="7BE87353" w:rsidRPr="4D00544E">
        <w:rPr>
          <w:color w:val="000000" w:themeColor="text1"/>
        </w:rPr>
        <w:t xml:space="preserve">any </w:t>
      </w:r>
      <w:r w:rsidR="7BE87353">
        <w:rPr>
          <w:color w:val="000000"/>
        </w:rPr>
        <w:t xml:space="preserve">discretion to choose </w:t>
      </w:r>
      <w:proofErr w:type="gramStart"/>
      <w:r w:rsidR="7BE87353">
        <w:rPr>
          <w:color w:val="000000"/>
        </w:rPr>
        <w:t xml:space="preserve">whether </w:t>
      </w:r>
      <w:r w:rsidR="7BE87353" w:rsidRPr="05D0A8A3">
        <w:rPr>
          <w:color w:val="000000" w:themeColor="text1"/>
        </w:rPr>
        <w:t>or not</w:t>
      </w:r>
      <w:proofErr w:type="gramEnd"/>
      <w:r w:rsidR="7BE87353" w:rsidRPr="05D0A8A3">
        <w:rPr>
          <w:color w:val="000000" w:themeColor="text1"/>
        </w:rPr>
        <w:t xml:space="preserve"> </w:t>
      </w:r>
      <w:r w:rsidR="7BE87353">
        <w:rPr>
          <w:color w:val="000000"/>
        </w:rPr>
        <w:t xml:space="preserve">to satisfy </w:t>
      </w:r>
      <w:r w:rsidR="12A7EF13" w:rsidRPr="797FBB80">
        <w:rPr>
          <w:color w:val="000000" w:themeColor="text1"/>
        </w:rPr>
        <w:t>th</w:t>
      </w:r>
      <w:r w:rsidR="003C46C4">
        <w:rPr>
          <w:color w:val="000000" w:themeColor="text1"/>
        </w:rPr>
        <w:t>is</w:t>
      </w:r>
      <w:r w:rsidR="12A7EF13" w:rsidRPr="797FBB80">
        <w:rPr>
          <w:color w:val="000000" w:themeColor="text1"/>
        </w:rPr>
        <w:t xml:space="preserve"> dut</w:t>
      </w:r>
      <w:r w:rsidR="00236857">
        <w:rPr>
          <w:color w:val="000000" w:themeColor="text1"/>
        </w:rPr>
        <w:t>y</w:t>
      </w:r>
      <w:r w:rsidR="7BE87353" w:rsidRPr="4D00544E">
        <w:rPr>
          <w:color w:val="000000" w:themeColor="text1"/>
        </w:rPr>
        <w:t>.</w:t>
      </w:r>
      <w:r w:rsidR="5894CE61">
        <w:rPr>
          <w:color w:val="000000" w:themeColor="text1"/>
        </w:rPr>
        <w:t xml:space="preserve"> </w:t>
      </w:r>
    </w:p>
    <w:p w14:paraId="210FACBE" w14:textId="00CA85EE" w:rsidR="00E321DF" w:rsidRPr="00041BEF" w:rsidRDefault="003D06AD" w:rsidP="00426D57">
      <w:pPr>
        <w:autoSpaceDE w:val="0"/>
        <w:autoSpaceDN w:val="0"/>
        <w:adjustRightInd w:val="0"/>
        <w:spacing w:after="120" w:line="240" w:lineRule="auto"/>
        <w:ind w:left="1440" w:hanging="1440"/>
        <w:rPr>
          <w:rFonts w:cs="Times New Roman"/>
          <w:b/>
        </w:rPr>
      </w:pPr>
      <w:r>
        <w:rPr>
          <w:rFonts w:cs="Times New Roman"/>
          <w:b/>
          <w:bCs/>
          <w:i/>
          <w:iCs/>
        </w:rPr>
        <w:tab/>
      </w:r>
      <w:r>
        <w:rPr>
          <w:rFonts w:cs="Times New Roman"/>
          <w:b/>
          <w:bCs/>
          <w:i/>
          <w:iCs/>
        </w:rPr>
        <w:tab/>
        <w:t>3</w:t>
      </w:r>
      <w:r w:rsidR="413E773E" w:rsidRPr="797FBB80">
        <w:rPr>
          <w:rFonts w:cs="Times New Roman"/>
          <w:b/>
          <w:bCs/>
          <w:i/>
          <w:iCs/>
        </w:rPr>
        <w:t>.</w:t>
      </w:r>
      <w:r w:rsidR="0053288F">
        <w:rPr>
          <w:rFonts w:cs="Times New Roman"/>
          <w:b/>
          <w:i/>
        </w:rPr>
        <w:t xml:space="preserve"> </w:t>
      </w:r>
      <w:r w:rsidR="3437F97E" w:rsidRPr="797FBB80">
        <w:rPr>
          <w:rFonts w:cs="Times New Roman"/>
          <w:b/>
          <w:bCs/>
          <w:i/>
          <w:iCs/>
        </w:rPr>
        <w:t xml:space="preserve">Plaintiffs’ </w:t>
      </w:r>
      <w:r w:rsidR="00BF4CA9">
        <w:rPr>
          <w:rFonts w:cs="Times New Roman"/>
          <w:b/>
          <w:bCs/>
          <w:i/>
          <w:iCs/>
        </w:rPr>
        <w:t>Taxpayer</w:t>
      </w:r>
      <w:r w:rsidR="3437F97E" w:rsidRPr="797FBB80">
        <w:rPr>
          <w:rFonts w:cs="Times New Roman"/>
          <w:b/>
          <w:bCs/>
          <w:i/>
          <w:iCs/>
        </w:rPr>
        <w:t xml:space="preserve"> Claim Is Distinct from </w:t>
      </w:r>
      <w:r w:rsidR="006D1E57">
        <w:rPr>
          <w:rFonts w:cs="Times New Roman"/>
          <w:b/>
          <w:bCs/>
          <w:i/>
          <w:iCs/>
        </w:rPr>
        <w:t xml:space="preserve">Individual Defendants’ </w:t>
      </w:r>
      <w:r w:rsidR="004C2B70">
        <w:rPr>
          <w:rFonts w:cs="Times New Roman"/>
          <w:b/>
          <w:bCs/>
          <w:i/>
          <w:iCs/>
        </w:rPr>
        <w:t>Motions</w:t>
      </w:r>
      <w:r w:rsidR="006D1E57">
        <w:rPr>
          <w:rFonts w:cs="Times New Roman"/>
          <w:b/>
          <w:bCs/>
          <w:i/>
          <w:iCs/>
        </w:rPr>
        <w:t xml:space="preserve"> </w:t>
      </w:r>
      <w:r w:rsidR="004C2B70">
        <w:rPr>
          <w:rFonts w:cs="Times New Roman"/>
          <w:b/>
          <w:bCs/>
          <w:i/>
          <w:iCs/>
        </w:rPr>
        <w:t xml:space="preserve">under </w:t>
      </w:r>
      <w:r w:rsidR="3437F97E" w:rsidRPr="797FBB80">
        <w:rPr>
          <w:rFonts w:cs="Times New Roman"/>
          <w:b/>
          <w:bCs/>
          <w:i/>
          <w:iCs/>
        </w:rPr>
        <w:t>Section</w:t>
      </w:r>
      <w:r w:rsidR="004C2B70">
        <w:rPr>
          <w:rFonts w:cs="Times New Roman"/>
          <w:b/>
          <w:bCs/>
          <w:i/>
          <w:iCs/>
        </w:rPr>
        <w:t>s</w:t>
      </w:r>
      <w:r w:rsidR="3437F97E" w:rsidRPr="797FBB80">
        <w:rPr>
          <w:rFonts w:cs="Times New Roman"/>
          <w:b/>
          <w:bCs/>
          <w:i/>
          <w:iCs/>
        </w:rPr>
        <w:t xml:space="preserve"> </w:t>
      </w:r>
      <w:r w:rsidR="00733C40">
        <w:rPr>
          <w:rFonts w:cs="Times New Roman"/>
          <w:b/>
          <w:bCs/>
          <w:i/>
          <w:iCs/>
        </w:rPr>
        <w:t xml:space="preserve">1049.5 and </w:t>
      </w:r>
      <w:r w:rsidR="3437F97E" w:rsidRPr="797FBB80">
        <w:rPr>
          <w:rFonts w:cs="Times New Roman"/>
          <w:b/>
          <w:bCs/>
          <w:i/>
          <w:iCs/>
        </w:rPr>
        <w:t>1382</w:t>
      </w:r>
    </w:p>
    <w:p w14:paraId="1CB76C4E" w14:textId="3C3BE552" w:rsidR="006478D4" w:rsidRDefault="003D06AD" w:rsidP="003F5F13">
      <w:pPr>
        <w:autoSpaceDE w:val="0"/>
        <w:autoSpaceDN w:val="0"/>
        <w:adjustRightInd w:val="0"/>
        <w:spacing w:line="360" w:lineRule="auto"/>
        <w:contextualSpacing/>
      </w:pPr>
      <w:r>
        <w:rPr>
          <w:color w:val="000000"/>
        </w:rPr>
        <w:tab/>
      </w:r>
      <w:r w:rsidR="25975A6A">
        <w:rPr>
          <w:color w:val="000000"/>
        </w:rPr>
        <w:t xml:space="preserve">Defendants also assert that if the cause of action is permitted to proceed, the relief sought here </w:t>
      </w:r>
      <w:r w:rsidR="25975A6A" w:rsidRPr="4D00544E">
        <w:rPr>
          <w:color w:val="000000" w:themeColor="text1"/>
        </w:rPr>
        <w:t xml:space="preserve">threatens to </w:t>
      </w:r>
      <w:r w:rsidR="25975A6A">
        <w:rPr>
          <w:color w:val="000000"/>
        </w:rPr>
        <w:t>“</w:t>
      </w:r>
      <w:r w:rsidR="25975A6A">
        <w:t>intersect with</w:t>
      </w:r>
      <w:r w:rsidR="25975A6A">
        <w:rPr>
          <w:color w:val="000000"/>
        </w:rPr>
        <w:t xml:space="preserve">” rulings on speedy trial motions in specific cases. </w:t>
      </w:r>
      <w:r w:rsidR="25975A6A" w:rsidRPr="4D00544E">
        <w:rPr>
          <w:color w:val="000000" w:themeColor="text1"/>
        </w:rPr>
        <w:t xml:space="preserve">They </w:t>
      </w:r>
      <w:r w:rsidR="25975A6A">
        <w:rPr>
          <w:color w:val="000000"/>
        </w:rPr>
        <w:t>predict that judges will “</w:t>
      </w:r>
      <w:r w:rsidR="25975A6A">
        <w:t xml:space="preserve">either be </w:t>
      </w:r>
      <w:r w:rsidR="25975A6A" w:rsidRPr="007A69DD">
        <w:rPr>
          <w:spacing w:val="-2"/>
        </w:rPr>
        <w:lastRenderedPageBreak/>
        <w:t>precluded from making a ‘good cause’ finding under circumstances</w:t>
      </w:r>
      <w:r w:rsidR="25975A6A">
        <w:t xml:space="preserve"> presented in their individual actions or violate an order in [this] action that . . . a criminal defendant’s speedy trial rights already have been abrogated.”</w:t>
      </w:r>
      <w:r w:rsidR="196DC0D4">
        <w:t xml:space="preserve"> </w:t>
      </w:r>
      <w:r w:rsidR="25975A6A">
        <w:t>However, plaintiffs’ complaint dis</w:t>
      </w:r>
      <w:r w:rsidR="006143F6">
        <w:t>claim</w:t>
      </w:r>
      <w:r w:rsidR="25975A6A">
        <w:t xml:space="preserve">s any request for relief affecting </w:t>
      </w:r>
      <w:proofErr w:type="gramStart"/>
      <w:r w:rsidR="6285B2CF">
        <w:t xml:space="preserve">particular </w:t>
      </w:r>
      <w:r w:rsidR="25975A6A">
        <w:t>cases</w:t>
      </w:r>
      <w:proofErr w:type="gramEnd"/>
      <w:r w:rsidR="25975A6A">
        <w:t xml:space="preserve"> and, as </w:t>
      </w:r>
      <w:r w:rsidR="3437F97E">
        <w:t>the Sup</w:t>
      </w:r>
      <w:r w:rsidR="2DC9E27D">
        <w:t>r</w:t>
      </w:r>
      <w:r w:rsidR="3437F97E">
        <w:t xml:space="preserve">eme Court held in </w:t>
      </w:r>
      <w:r w:rsidR="3437F97E" w:rsidRPr="797FBB80">
        <w:rPr>
          <w:i/>
          <w:iCs/>
        </w:rPr>
        <w:t>Engram</w:t>
      </w:r>
      <w:r w:rsidR="25975A6A">
        <w:t>,</w:t>
      </w:r>
      <w:r w:rsidR="25975A6A" w:rsidRPr="003A2F23">
        <w:rPr>
          <w:color w:val="000000"/>
        </w:rPr>
        <w:t xml:space="preserve"> </w:t>
      </w:r>
      <w:r w:rsidR="25975A6A" w:rsidRPr="004B5087">
        <w:rPr>
          <w:color w:val="000000"/>
        </w:rPr>
        <w:t xml:space="preserve">the </w:t>
      </w:r>
      <w:r w:rsidR="3437F97E">
        <w:rPr>
          <w:color w:val="000000"/>
        </w:rPr>
        <w:t>case-specific</w:t>
      </w:r>
      <w:r w:rsidR="160C3908">
        <w:rPr>
          <w:color w:val="000000"/>
        </w:rPr>
        <w:t>, discretionary</w:t>
      </w:r>
      <w:r w:rsidR="2AAE7AFF">
        <w:rPr>
          <w:color w:val="000000"/>
        </w:rPr>
        <w:t>,</w:t>
      </w:r>
      <w:r w:rsidR="3437F97E">
        <w:rPr>
          <w:color w:val="000000"/>
        </w:rPr>
        <w:t xml:space="preserve"> </w:t>
      </w:r>
      <w:r w:rsidR="25975A6A" w:rsidRPr="004B5087">
        <w:rPr>
          <w:color w:val="000000"/>
        </w:rPr>
        <w:t>“good cause for delay” determination under section</w:t>
      </w:r>
      <w:r w:rsidR="3437F97E">
        <w:rPr>
          <w:color w:val="000000"/>
        </w:rPr>
        <w:t> </w:t>
      </w:r>
      <w:r w:rsidR="25975A6A" w:rsidRPr="004B5087">
        <w:rPr>
          <w:color w:val="000000"/>
        </w:rPr>
        <w:t xml:space="preserve">1382 is distinct from the </w:t>
      </w:r>
      <w:r w:rsidR="3437F97E">
        <w:rPr>
          <w:color w:val="000000"/>
        </w:rPr>
        <w:t xml:space="preserve">general </w:t>
      </w:r>
      <w:r w:rsidR="25975A6A" w:rsidRPr="004B5087">
        <w:rPr>
          <w:color w:val="000000"/>
        </w:rPr>
        <w:t xml:space="preserve">question of whether defendants </w:t>
      </w:r>
      <w:r w:rsidR="3712C34C" w:rsidRPr="004B5087">
        <w:rPr>
          <w:color w:val="000000"/>
        </w:rPr>
        <w:t>have complied with a mandatory duty imposed by</w:t>
      </w:r>
      <w:r w:rsidR="25975A6A">
        <w:rPr>
          <w:color w:val="000000"/>
        </w:rPr>
        <w:t xml:space="preserve"> </w:t>
      </w:r>
      <w:r w:rsidR="00347D53">
        <w:rPr>
          <w:color w:val="000000"/>
        </w:rPr>
        <w:t>section </w:t>
      </w:r>
      <w:r w:rsidR="25975A6A" w:rsidRPr="004B5087">
        <w:rPr>
          <w:color w:val="000000"/>
        </w:rPr>
        <w:t>1050(a)</w:t>
      </w:r>
      <w:r w:rsidR="25975A6A" w:rsidRPr="002E35AC">
        <w:rPr>
          <w:color w:val="000000"/>
        </w:rPr>
        <w:t>.</w:t>
      </w:r>
      <w:r w:rsidR="25975A6A">
        <w:rPr>
          <w:color w:val="000000"/>
        </w:rPr>
        <w:t xml:space="preserve"> (</w:t>
      </w:r>
      <w:r w:rsidR="00EA605F" w:rsidRPr="797FBB80">
        <w:rPr>
          <w:i/>
          <w:iCs/>
        </w:rPr>
        <w:t>Engram</w:t>
      </w:r>
      <w:r w:rsidR="00EA605F">
        <w:t>,</w:t>
      </w:r>
      <w:r w:rsidR="00EA605F" w:rsidRPr="003A2F23">
        <w:rPr>
          <w:color w:val="000000"/>
        </w:rPr>
        <w:t xml:space="preserve"> </w:t>
      </w:r>
      <w:r w:rsidR="004A3171">
        <w:rPr>
          <w:i/>
          <w:iCs/>
          <w:color w:val="000000"/>
        </w:rPr>
        <w:t>supra</w:t>
      </w:r>
      <w:r w:rsidR="004A3171">
        <w:rPr>
          <w:color w:val="000000"/>
        </w:rPr>
        <w:t xml:space="preserve">, </w:t>
      </w:r>
      <w:r w:rsidR="25975A6A">
        <w:rPr>
          <w:color w:val="000000"/>
        </w:rPr>
        <w:t>50</w:t>
      </w:r>
      <w:r w:rsidR="25B35E4B">
        <w:rPr>
          <w:color w:val="000000"/>
        </w:rPr>
        <w:t> </w:t>
      </w:r>
      <w:r w:rsidR="25975A6A">
        <w:rPr>
          <w:color w:val="000000"/>
        </w:rPr>
        <w:t>Cal.4th at p. 1160.)</w:t>
      </w:r>
      <w:r w:rsidR="25975A6A">
        <w:t xml:space="preserve"> </w:t>
      </w:r>
      <w:r w:rsidR="3437F97E">
        <w:t xml:space="preserve">Defendants evidently do not accept that aspect of </w:t>
      </w:r>
      <w:r w:rsidR="3437F97E" w:rsidRPr="797FBB80">
        <w:rPr>
          <w:i/>
          <w:iCs/>
        </w:rPr>
        <w:t>Engram</w:t>
      </w:r>
      <w:r w:rsidR="3437F97E">
        <w:t xml:space="preserve">, but we are not at liberty to treat the questions </w:t>
      </w:r>
      <w:r>
        <w:t xml:space="preserve">as </w:t>
      </w:r>
      <w:r w:rsidR="49EDC0E7">
        <w:t>interchangeabl</w:t>
      </w:r>
      <w:r w:rsidR="009E605C">
        <w:t>e</w:t>
      </w:r>
      <w:r w:rsidR="3437F97E">
        <w:t xml:space="preserve">. </w:t>
      </w:r>
    </w:p>
    <w:p w14:paraId="26A6ABD8" w14:textId="108655C7" w:rsidR="006478D4" w:rsidRDefault="003D06AD" w:rsidP="006B75D2">
      <w:pPr>
        <w:autoSpaceDE w:val="0"/>
        <w:autoSpaceDN w:val="0"/>
        <w:adjustRightInd w:val="0"/>
        <w:spacing w:line="360" w:lineRule="auto"/>
        <w:contextualSpacing/>
      </w:pPr>
      <w:r>
        <w:tab/>
      </w:r>
      <w:r w:rsidR="3437F97E">
        <w:t>Nor have d</w:t>
      </w:r>
      <w:r w:rsidR="25975A6A">
        <w:t xml:space="preserve">efendants shown how a judgment </w:t>
      </w:r>
      <w:r w:rsidR="6AA80712">
        <w:t>declarin</w:t>
      </w:r>
      <w:r w:rsidR="5403E5E6">
        <w:t xml:space="preserve">g </w:t>
      </w:r>
      <w:proofErr w:type="spellStart"/>
      <w:r w:rsidR="25975A6A">
        <w:t>courtwide</w:t>
      </w:r>
      <w:proofErr w:type="spellEnd"/>
      <w:r w:rsidR="25975A6A">
        <w:t xml:space="preserve"> polic</w:t>
      </w:r>
      <w:r w:rsidR="740FE1A8">
        <w:t>y decisions</w:t>
      </w:r>
      <w:r w:rsidR="25975A6A">
        <w:t xml:space="preserve"> </w:t>
      </w:r>
      <w:r w:rsidR="365672E4">
        <w:t>to be</w:t>
      </w:r>
      <w:r w:rsidR="053C4643">
        <w:t xml:space="preserve"> in violation of </w:t>
      </w:r>
      <w:r w:rsidR="2847C1ED">
        <w:t xml:space="preserve">duties imposed </w:t>
      </w:r>
      <w:r w:rsidR="365672E4">
        <w:t xml:space="preserve">on the court </w:t>
      </w:r>
      <w:r w:rsidR="2847C1ED">
        <w:t xml:space="preserve">by </w:t>
      </w:r>
      <w:r w:rsidR="00A0500A">
        <w:t>section</w:t>
      </w:r>
      <w:r w:rsidR="00126C49">
        <w:t> </w:t>
      </w:r>
      <w:r w:rsidR="2847C1ED">
        <w:t>1050(a)</w:t>
      </w:r>
      <w:r w:rsidR="61E762EE">
        <w:t xml:space="preserve"> </w:t>
      </w:r>
      <w:r w:rsidR="25975A6A">
        <w:t>would interfere with</w:t>
      </w:r>
      <w:r w:rsidR="365672E4">
        <w:t xml:space="preserve"> or predetermine</w:t>
      </w:r>
      <w:r w:rsidR="25975A6A">
        <w:t xml:space="preserve"> rulings on </w:t>
      </w:r>
      <w:r w:rsidR="005B516B">
        <w:t>speedy trial motions</w:t>
      </w:r>
      <w:r w:rsidR="5D17574E">
        <w:t xml:space="preserve"> </w:t>
      </w:r>
      <w:r w:rsidR="25975A6A">
        <w:t xml:space="preserve">in individual </w:t>
      </w:r>
      <w:r w:rsidR="009D4F64">
        <w:t xml:space="preserve">criminal </w:t>
      </w:r>
      <w:r w:rsidR="25975A6A">
        <w:t>cases.</w:t>
      </w:r>
      <w:r w:rsidR="0080647E">
        <w:t xml:space="preserve"> </w:t>
      </w:r>
      <w:r w:rsidR="00A22593">
        <w:t xml:space="preserve">Such a finding would be, at most, one of several considerations in </w:t>
      </w:r>
      <w:r w:rsidR="00501CE2">
        <w:t>resolving</w:t>
      </w:r>
      <w:r w:rsidR="00A22593">
        <w:t xml:space="preserve"> such a motion. </w:t>
      </w:r>
      <w:r w:rsidR="27AB2126">
        <w:t xml:space="preserve">The prosecution still could show good cause for delay </w:t>
      </w:r>
      <w:proofErr w:type="gramStart"/>
      <w:r w:rsidR="27AB2126">
        <w:t>in a given</w:t>
      </w:r>
      <w:proofErr w:type="gramEnd"/>
      <w:r w:rsidR="27AB2126">
        <w:t xml:space="preserve"> defendant’s case</w:t>
      </w:r>
      <w:r w:rsidR="317333B5">
        <w:t>,</w:t>
      </w:r>
      <w:r w:rsidR="27AB2126">
        <w:t xml:space="preserve"> based on the </w:t>
      </w:r>
      <w:r w:rsidR="505DC4C6">
        <w:t xml:space="preserve">specific </w:t>
      </w:r>
      <w:r w:rsidR="27AB2126">
        <w:t xml:space="preserve">facts and history </w:t>
      </w:r>
      <w:r w:rsidR="007A63A8">
        <w:t>specific to</w:t>
      </w:r>
      <w:r w:rsidR="27AB2126">
        <w:t xml:space="preserve"> </w:t>
      </w:r>
      <w:r w:rsidR="27AB2126" w:rsidRPr="0031752D">
        <w:t>that case</w:t>
      </w:r>
      <w:r w:rsidR="3EABE344" w:rsidRPr="09459565">
        <w:rPr>
          <w:i/>
          <w:iCs/>
        </w:rPr>
        <w:t xml:space="preserve"> </w:t>
      </w:r>
      <w:r w:rsidR="59DC234A">
        <w:t>(</w:t>
      </w:r>
      <w:r w:rsidR="31A02F30">
        <w:t>other</w:t>
      </w:r>
      <w:r w:rsidR="59DC234A">
        <w:t xml:space="preserve"> factors </w:t>
      </w:r>
      <w:r w:rsidR="31A02F30">
        <w:t xml:space="preserve">contributing to the delay, </w:t>
      </w:r>
      <w:r w:rsidR="59DC234A">
        <w:t>the length of the delay</w:t>
      </w:r>
      <w:r w:rsidR="238A3072">
        <w:t xml:space="preserve">, </w:t>
      </w:r>
      <w:r w:rsidR="59DC234A">
        <w:t>and prejudice</w:t>
      </w:r>
      <w:r w:rsidR="65794B61">
        <w:t>, or lack thereof,</w:t>
      </w:r>
      <w:r w:rsidR="59DC234A">
        <w:t xml:space="preserve"> caused by any continuance) which </w:t>
      </w:r>
      <w:r w:rsidR="006124B0">
        <w:t>would</w:t>
      </w:r>
      <w:r w:rsidR="004D3D10">
        <w:t xml:space="preserve"> not </w:t>
      </w:r>
      <w:r w:rsidR="006124B0">
        <w:t xml:space="preserve">be </w:t>
      </w:r>
      <w:r w:rsidR="268DBC28">
        <w:t>the same facts</w:t>
      </w:r>
      <w:r w:rsidR="000A153C">
        <w:t xml:space="preserve"> considered in connection with the</w:t>
      </w:r>
      <w:r w:rsidR="00F903E9">
        <w:t xml:space="preserve"> </w:t>
      </w:r>
      <w:r w:rsidR="00B13E61">
        <w:t xml:space="preserve">section </w:t>
      </w:r>
      <w:r w:rsidR="59DC234A">
        <w:t xml:space="preserve">1050(a) </w:t>
      </w:r>
      <w:r w:rsidR="000A153C">
        <w:t xml:space="preserve">taxpayer </w:t>
      </w:r>
      <w:r w:rsidR="003E66CE">
        <w:t>claim</w:t>
      </w:r>
      <w:r w:rsidR="00BD7A07">
        <w:t xml:space="preserve"> </w:t>
      </w:r>
      <w:r w:rsidR="003A1A10">
        <w:t xml:space="preserve">in this </w:t>
      </w:r>
      <w:r w:rsidR="00BD7A07">
        <w:t>case</w:t>
      </w:r>
      <w:r w:rsidR="59DC234A">
        <w:t>.</w:t>
      </w:r>
    </w:p>
    <w:p w14:paraId="54E6D020" w14:textId="3630D30C" w:rsidR="0080647E" w:rsidRDefault="003D06AD" w:rsidP="003F5F13">
      <w:pPr>
        <w:autoSpaceDE w:val="0"/>
        <w:autoSpaceDN w:val="0"/>
        <w:adjustRightInd w:val="0"/>
        <w:spacing w:line="360" w:lineRule="auto"/>
        <w:contextualSpacing/>
      </w:pPr>
      <w:r>
        <w:tab/>
      </w:r>
      <w:r w:rsidR="25B35E4B">
        <w:t xml:space="preserve">Defendants </w:t>
      </w:r>
      <w:r w:rsidR="0007617D">
        <w:t xml:space="preserve">also </w:t>
      </w:r>
      <w:r w:rsidR="6630A0B1">
        <w:t xml:space="preserve">take the position </w:t>
      </w:r>
      <w:r w:rsidR="25B35E4B">
        <w:t xml:space="preserve">that </w:t>
      </w:r>
      <w:r w:rsidR="66091647">
        <w:t>enforcement of</w:t>
      </w:r>
      <w:r w:rsidR="25B35E4B">
        <w:t xml:space="preserve"> </w:t>
      </w:r>
      <w:r w:rsidR="1446C530">
        <w:t xml:space="preserve">the </w:t>
      </w:r>
      <w:r w:rsidR="25B35E4B">
        <w:t xml:space="preserve">speedy trial </w:t>
      </w:r>
      <w:r w:rsidR="78BE9B60">
        <w:t xml:space="preserve">provisions </w:t>
      </w:r>
      <w:r w:rsidR="25B35E4B">
        <w:t xml:space="preserve">can </w:t>
      </w:r>
      <w:r w:rsidR="1306B43D">
        <w:t>occur</w:t>
      </w:r>
      <w:r w:rsidR="25B35E4B">
        <w:t xml:space="preserve"> only in defendants’ individual </w:t>
      </w:r>
      <w:r w:rsidR="1618818A">
        <w:t>criminal</w:t>
      </w:r>
      <w:r w:rsidR="25B35E4B">
        <w:t xml:space="preserve"> cases</w:t>
      </w:r>
      <w:r w:rsidR="52C253E5">
        <w:t xml:space="preserve">. </w:t>
      </w:r>
      <w:r w:rsidR="03F95609">
        <w:t>A</w:t>
      </w:r>
      <w:r w:rsidR="53749A00">
        <w:t>t</w:t>
      </w:r>
      <w:r w:rsidR="25B35E4B">
        <w:t xml:space="preserve"> oral argument, they went so far as to </w:t>
      </w:r>
      <w:r w:rsidR="58A683E9">
        <w:t>argue</w:t>
      </w:r>
      <w:r w:rsidR="53749A00">
        <w:t xml:space="preserve"> </w:t>
      </w:r>
      <w:r w:rsidR="25B35E4B">
        <w:t xml:space="preserve">that </w:t>
      </w:r>
      <w:r w:rsidR="19E2724F">
        <w:t xml:space="preserve">even </w:t>
      </w:r>
      <w:r w:rsidR="00516C5F">
        <w:t>a clear</w:t>
      </w:r>
      <w:r w:rsidR="7A53FD81">
        <w:t xml:space="preserve"> violation of the duty to prioritize criminal matters</w:t>
      </w:r>
      <w:r w:rsidR="00DB53C7">
        <w:t xml:space="preserve">—for example, </w:t>
      </w:r>
      <w:r w:rsidR="0F01E1FA">
        <w:t xml:space="preserve">a decision </w:t>
      </w:r>
      <w:r w:rsidR="00DB53C7">
        <w:t>to conduct criminal trials only every other year—</w:t>
      </w:r>
      <w:r w:rsidR="19E2724F">
        <w:t xml:space="preserve">could not be challenged by taxpayers, but only by </w:t>
      </w:r>
      <w:r w:rsidR="7DBFCAF5">
        <w:t>directly</w:t>
      </w:r>
      <w:r w:rsidR="00F44029">
        <w:t xml:space="preserve"> </w:t>
      </w:r>
      <w:r w:rsidR="7DBFCAF5">
        <w:t xml:space="preserve">impacted </w:t>
      </w:r>
      <w:r w:rsidR="19E2724F">
        <w:t>criminal defendants</w:t>
      </w:r>
      <w:r w:rsidR="00BD5BDD">
        <w:t xml:space="preserve"> in their individual cases</w:t>
      </w:r>
      <w:r w:rsidR="19E2724F">
        <w:t xml:space="preserve">. </w:t>
      </w:r>
      <w:r w:rsidR="64DE3AC1">
        <w:t>D</w:t>
      </w:r>
      <w:r w:rsidR="19E2724F">
        <w:t xml:space="preserve">efendants </w:t>
      </w:r>
      <w:r w:rsidR="25B35E4B">
        <w:t>cite</w:t>
      </w:r>
      <w:r w:rsidR="7BEB1A84">
        <w:t>d</w:t>
      </w:r>
      <w:r w:rsidR="25B35E4B">
        <w:t xml:space="preserve"> no authority for this </w:t>
      </w:r>
      <w:r w:rsidR="19E2724F">
        <w:t xml:space="preserve">extreme </w:t>
      </w:r>
      <w:r w:rsidR="19E2724F" w:rsidRPr="004E4B14">
        <w:t>ipse dixit</w:t>
      </w:r>
      <w:r w:rsidR="6EC5AEE6">
        <w:t xml:space="preserve">, which </w:t>
      </w:r>
      <w:r w:rsidR="00B75252">
        <w:t xml:space="preserve">contravenes </w:t>
      </w:r>
      <w:r w:rsidR="6EC5AEE6">
        <w:lastRenderedPageBreak/>
        <w:t xml:space="preserve">the </w:t>
      </w:r>
      <w:r w:rsidR="66F262AD">
        <w:t>express</w:t>
      </w:r>
      <w:r w:rsidR="1571237E">
        <w:t xml:space="preserve"> </w:t>
      </w:r>
      <w:r w:rsidR="6EC5AEE6">
        <w:t>purpose of</w:t>
      </w:r>
      <w:r w:rsidR="25B35E4B">
        <w:t xml:space="preserve"> </w:t>
      </w:r>
      <w:r w:rsidR="004E7748">
        <w:t>section</w:t>
      </w:r>
      <w:r w:rsidR="00EC1117">
        <w:t xml:space="preserve"> </w:t>
      </w:r>
      <w:r w:rsidR="25B35E4B">
        <w:t xml:space="preserve">1050(a) to </w:t>
      </w:r>
      <w:r w:rsidR="3437F97E">
        <w:t xml:space="preserve">protect </w:t>
      </w:r>
      <w:r w:rsidR="001C6F24">
        <w:t xml:space="preserve">not only </w:t>
      </w:r>
      <w:r w:rsidR="25B35E4B">
        <w:t>the rights of criminal defendants</w:t>
      </w:r>
      <w:r w:rsidR="07AFE309">
        <w:t>, but the right of</w:t>
      </w:r>
      <w:r w:rsidR="19E2724F">
        <w:t xml:space="preserve"> </w:t>
      </w:r>
      <w:r w:rsidR="19E2724F">
        <w:rPr>
          <w:rFonts w:cs="Times New Roman"/>
        </w:rPr>
        <w:t>“</w:t>
      </w:r>
      <w:r w:rsidR="19E2724F" w:rsidRPr="004178D9">
        <w:rPr>
          <w:rFonts w:cs="Times New Roman"/>
        </w:rPr>
        <w:t>the people, the defendant, and the victims and other witnesses</w:t>
      </w:r>
      <w:r w:rsidR="004A3171">
        <w:rPr>
          <w:rFonts w:cs="Times New Roman"/>
        </w:rPr>
        <w:t xml:space="preserve"> . . . </w:t>
      </w:r>
      <w:r w:rsidR="19E2724F" w:rsidRPr="004178D9">
        <w:rPr>
          <w:rFonts w:cs="Times New Roman"/>
        </w:rPr>
        <w:t>to an expeditious disposition</w:t>
      </w:r>
      <w:r w:rsidR="1C1475CA" w:rsidRPr="004178D9">
        <w:rPr>
          <w:rFonts w:cs="Times New Roman"/>
        </w:rPr>
        <w:t>” of criminal cases.</w:t>
      </w:r>
      <w:r w:rsidR="19E2724F">
        <w:rPr>
          <w:rFonts w:cs="Times New Roman"/>
        </w:rPr>
        <w:t xml:space="preserve"> (§ 1050(a).) </w:t>
      </w:r>
      <w:r w:rsidR="60572033">
        <w:rPr>
          <w:rFonts w:cs="Times New Roman"/>
        </w:rPr>
        <w:t>This argument also flies in the face of the evident</w:t>
      </w:r>
      <w:r w:rsidR="001E22F6">
        <w:rPr>
          <w:rFonts w:cs="Times New Roman"/>
        </w:rPr>
        <w:t xml:space="preserve"> intent </w:t>
      </w:r>
      <w:r w:rsidR="60572033">
        <w:rPr>
          <w:rFonts w:cs="Times New Roman"/>
        </w:rPr>
        <w:t>of section 1050(a)</w:t>
      </w:r>
      <w:r w:rsidR="001E22F6">
        <w:rPr>
          <w:rFonts w:cs="Times New Roman"/>
        </w:rPr>
        <w:t xml:space="preserve"> to</w:t>
      </w:r>
      <w:r w:rsidR="31ECAF35" w:rsidRPr="6AF82BEE">
        <w:rPr>
          <w:rFonts w:cs="Times New Roman"/>
        </w:rPr>
        <w:t xml:space="preserve"> </w:t>
      </w:r>
      <w:r w:rsidR="55FE6ADD" w:rsidRPr="6DE7B551">
        <w:rPr>
          <w:rFonts w:cs="Times New Roman"/>
        </w:rPr>
        <w:t>mitigate</w:t>
      </w:r>
      <w:r w:rsidR="31ECAF35" w:rsidRPr="6AF82BEE">
        <w:rPr>
          <w:rFonts w:cs="Times New Roman"/>
        </w:rPr>
        <w:t xml:space="preserve"> </w:t>
      </w:r>
      <w:r w:rsidR="1775F50E" w:rsidRPr="437C071A">
        <w:rPr>
          <w:rFonts w:cs="Times New Roman"/>
        </w:rPr>
        <w:t>an array of</w:t>
      </w:r>
      <w:r w:rsidR="765B148A" w:rsidRPr="076AB505">
        <w:rPr>
          <w:rFonts w:cs="Times New Roman"/>
        </w:rPr>
        <w:t xml:space="preserve"> </w:t>
      </w:r>
      <w:r w:rsidR="2E2DE784" w:rsidRPr="5A2E0C83">
        <w:rPr>
          <w:rFonts w:cs="Times New Roman"/>
        </w:rPr>
        <w:t>“</w:t>
      </w:r>
      <w:r w:rsidR="71DCF39D" w:rsidRPr="1934B2BF">
        <w:rPr>
          <w:rFonts w:cs="Times New Roman"/>
        </w:rPr>
        <w:t xml:space="preserve">adverse consequences” </w:t>
      </w:r>
      <w:r w:rsidR="00DD4FA6">
        <w:rPr>
          <w:rFonts w:cs="Times New Roman"/>
        </w:rPr>
        <w:t>caused by</w:t>
      </w:r>
      <w:r w:rsidR="00DD4FA6" w:rsidRPr="1934B2BF">
        <w:rPr>
          <w:rFonts w:cs="Times New Roman"/>
        </w:rPr>
        <w:t xml:space="preserve"> </w:t>
      </w:r>
      <w:r w:rsidR="71DCF39D" w:rsidRPr="1934B2BF">
        <w:rPr>
          <w:rFonts w:cs="Times New Roman"/>
        </w:rPr>
        <w:t>trial delays</w:t>
      </w:r>
      <w:r w:rsidR="3E33C749" w:rsidRPr="6DE7B551">
        <w:rPr>
          <w:rFonts w:cs="Times New Roman"/>
        </w:rPr>
        <w:t>, including</w:t>
      </w:r>
      <w:r w:rsidR="7C8E7B95" w:rsidRPr="5CBB99EA">
        <w:rPr>
          <w:rFonts w:cs="Times New Roman"/>
        </w:rPr>
        <w:t xml:space="preserve"> </w:t>
      </w:r>
      <w:r w:rsidR="4AE38254" w:rsidRPr="5CBB99EA">
        <w:rPr>
          <w:rFonts w:cs="Times New Roman"/>
        </w:rPr>
        <w:t xml:space="preserve">not just </w:t>
      </w:r>
      <w:r w:rsidR="7C8E7B95" w:rsidRPr="5CBB99EA">
        <w:rPr>
          <w:rFonts w:cs="Times New Roman"/>
        </w:rPr>
        <w:t xml:space="preserve">hardships </w:t>
      </w:r>
      <w:r w:rsidR="1F4974B3" w:rsidRPr="6AF82BEE">
        <w:rPr>
          <w:rFonts w:cs="Times New Roman"/>
        </w:rPr>
        <w:t xml:space="preserve">experienced by </w:t>
      </w:r>
      <w:r w:rsidR="00797061">
        <w:rPr>
          <w:rFonts w:cs="Times New Roman"/>
        </w:rPr>
        <w:t>the participants in</w:t>
      </w:r>
      <w:r w:rsidR="434BBF69" w:rsidRPr="5CBB99EA">
        <w:rPr>
          <w:rFonts w:cs="Times New Roman"/>
        </w:rPr>
        <w:t xml:space="preserve"> individual criminal cases</w:t>
      </w:r>
      <w:r w:rsidR="22768759" w:rsidRPr="0ACFE92F">
        <w:rPr>
          <w:rFonts w:cs="Times New Roman"/>
        </w:rPr>
        <w:t xml:space="preserve">, </w:t>
      </w:r>
      <w:r w:rsidR="04F8D97A" w:rsidRPr="6DE7B551">
        <w:rPr>
          <w:rFonts w:cs="Times New Roman"/>
        </w:rPr>
        <w:t>but also broader social ills, including</w:t>
      </w:r>
      <w:r w:rsidR="114A7B89" w:rsidRPr="36E75FC6">
        <w:rPr>
          <w:rFonts w:cs="Times New Roman"/>
        </w:rPr>
        <w:t xml:space="preserve"> </w:t>
      </w:r>
      <w:r w:rsidR="34F788B3" w:rsidRPr="00F019B0">
        <w:rPr>
          <w:rFonts w:cs="Times New Roman"/>
          <w:i/>
        </w:rPr>
        <w:t xml:space="preserve">undesirable impacts on </w:t>
      </w:r>
      <w:r w:rsidR="05027DB0" w:rsidRPr="00F019B0">
        <w:rPr>
          <w:rFonts w:cs="Times New Roman"/>
          <w:i/>
        </w:rPr>
        <w:t>the</w:t>
      </w:r>
      <w:r w:rsidR="39C8E070" w:rsidRPr="00F019B0">
        <w:rPr>
          <w:rFonts w:cs="Times New Roman"/>
          <w:i/>
        </w:rPr>
        <w:t xml:space="preserve"> </w:t>
      </w:r>
      <w:r w:rsidR="05027DB0" w:rsidRPr="00F019B0">
        <w:rPr>
          <w:rFonts w:cs="Times New Roman"/>
          <w:i/>
        </w:rPr>
        <w:t xml:space="preserve">public health and </w:t>
      </w:r>
      <w:proofErr w:type="spellStart"/>
      <w:r w:rsidR="05027DB0" w:rsidRPr="00F019B0">
        <w:rPr>
          <w:rFonts w:cs="Times New Roman"/>
          <w:i/>
        </w:rPr>
        <w:t>fisc</w:t>
      </w:r>
      <w:proofErr w:type="spellEnd"/>
      <w:r w:rsidR="3116EC42" w:rsidRPr="09459565">
        <w:rPr>
          <w:rFonts w:cs="Times New Roman"/>
          <w:i/>
          <w:iCs/>
        </w:rPr>
        <w:t>.</w:t>
      </w:r>
      <w:r w:rsidR="05027DB0" w:rsidRPr="73B71499">
        <w:rPr>
          <w:rFonts w:cs="Times New Roman"/>
        </w:rPr>
        <w:t xml:space="preserve"> </w:t>
      </w:r>
      <w:r w:rsidR="50DE728A" w:rsidRPr="09459565">
        <w:rPr>
          <w:rFonts w:cs="Times New Roman"/>
        </w:rPr>
        <w:t>(</w:t>
      </w:r>
      <w:r w:rsidR="50DE728A" w:rsidRPr="09459565">
        <w:rPr>
          <w:rFonts w:cs="Times New Roman"/>
          <w:i/>
          <w:iCs/>
        </w:rPr>
        <w:t>Ibid</w:t>
      </w:r>
      <w:r w:rsidR="50DE728A" w:rsidRPr="09459565">
        <w:rPr>
          <w:rFonts w:cs="Times New Roman"/>
        </w:rPr>
        <w:t>. [</w:t>
      </w:r>
      <w:r w:rsidR="18E2E9A0" w:rsidRPr="09459565">
        <w:rPr>
          <w:rFonts w:cs="Times New Roman"/>
        </w:rPr>
        <w:t xml:space="preserve">observing that </w:t>
      </w:r>
      <w:r w:rsidR="00AB230B">
        <w:rPr>
          <w:rFonts w:cs="Times New Roman"/>
        </w:rPr>
        <w:t>“</w:t>
      </w:r>
      <w:r w:rsidR="15DF3964" w:rsidRPr="09459565">
        <w:rPr>
          <w:rFonts w:cs="Times New Roman"/>
        </w:rPr>
        <w:t>excessive continuances” contribute</w:t>
      </w:r>
      <w:r w:rsidR="05027DB0" w:rsidRPr="73B71499">
        <w:rPr>
          <w:rFonts w:cs="Times New Roman"/>
        </w:rPr>
        <w:t xml:space="preserve"> </w:t>
      </w:r>
      <w:r w:rsidR="2EF8EB1F" w:rsidRPr="73B71499">
        <w:rPr>
          <w:rFonts w:cs="Times New Roman"/>
        </w:rPr>
        <w:t>to</w:t>
      </w:r>
      <w:r w:rsidR="05027DB0" w:rsidRPr="73B71499">
        <w:rPr>
          <w:rFonts w:cs="Times New Roman"/>
        </w:rPr>
        <w:t xml:space="preserve"> </w:t>
      </w:r>
      <w:r w:rsidR="39C8E070" w:rsidRPr="797FBB80">
        <w:rPr>
          <w:rFonts w:cs="Times New Roman"/>
        </w:rPr>
        <w:t>“</w:t>
      </w:r>
      <w:r w:rsidR="630A1E38" w:rsidRPr="797FBB80">
        <w:rPr>
          <w:rFonts w:cs="Times New Roman"/>
        </w:rPr>
        <w:t xml:space="preserve">overcrowding and </w:t>
      </w:r>
      <w:r w:rsidR="2DDCB4F1" w:rsidRPr="797FBB80">
        <w:rPr>
          <w:rFonts w:cs="Times New Roman"/>
        </w:rPr>
        <w:t>increase</w:t>
      </w:r>
      <w:r w:rsidR="4CF047BE" w:rsidRPr="797FBB80">
        <w:rPr>
          <w:rFonts w:cs="Times New Roman"/>
        </w:rPr>
        <w:t>d</w:t>
      </w:r>
      <w:r w:rsidR="2DDCB4F1" w:rsidRPr="797FBB80">
        <w:rPr>
          <w:rFonts w:cs="Times New Roman"/>
        </w:rPr>
        <w:t xml:space="preserve"> expenses on local jails</w:t>
      </w:r>
      <w:r w:rsidR="2B3B807A" w:rsidRPr="797FBB80">
        <w:rPr>
          <w:rFonts w:cs="Times New Roman"/>
        </w:rPr>
        <w:t>”</w:t>
      </w:r>
      <w:r w:rsidR="46DA037B" w:rsidRPr="797FBB80">
        <w:rPr>
          <w:rFonts w:cs="Times New Roman"/>
        </w:rPr>
        <w:t>].)</w:t>
      </w:r>
      <w:r w:rsidR="2DDCB4F1" w:rsidRPr="797FBB80">
        <w:rPr>
          <w:rFonts w:cs="Times New Roman"/>
        </w:rPr>
        <w:t xml:space="preserve"> </w:t>
      </w:r>
      <w:r w:rsidR="00EE554A">
        <w:rPr>
          <w:rFonts w:cs="Times New Roman"/>
        </w:rPr>
        <w:t>I</w:t>
      </w:r>
      <w:r w:rsidR="00A855A0">
        <w:rPr>
          <w:rFonts w:cs="Times New Roman"/>
        </w:rPr>
        <w:t xml:space="preserve">t </w:t>
      </w:r>
      <w:r w:rsidR="00EE554A">
        <w:rPr>
          <w:rFonts w:cs="Times New Roman"/>
        </w:rPr>
        <w:t>would</w:t>
      </w:r>
      <w:r w:rsidR="00A855A0">
        <w:rPr>
          <w:rFonts w:cs="Times New Roman"/>
        </w:rPr>
        <w:t xml:space="preserve"> therefore </w:t>
      </w:r>
      <w:r w:rsidR="007A2D4D">
        <w:rPr>
          <w:rFonts w:cs="Times New Roman"/>
        </w:rPr>
        <w:t>undermine</w:t>
      </w:r>
      <w:r w:rsidR="00EE554A">
        <w:rPr>
          <w:rFonts w:cs="Times New Roman"/>
        </w:rPr>
        <w:t xml:space="preserve"> the </w:t>
      </w:r>
      <w:r w:rsidR="4E4106BB" w:rsidRPr="1FD3C7C6">
        <w:rPr>
          <w:rFonts w:cs="Times New Roman"/>
        </w:rPr>
        <w:t>legislative intent</w:t>
      </w:r>
      <w:r w:rsidR="19E2724F">
        <w:rPr>
          <w:rFonts w:cs="Times New Roman"/>
        </w:rPr>
        <w:t xml:space="preserve"> </w:t>
      </w:r>
      <w:r w:rsidR="00565D14">
        <w:rPr>
          <w:rFonts w:cs="Times New Roman"/>
        </w:rPr>
        <w:t>behind section</w:t>
      </w:r>
      <w:r w:rsidR="000C685B">
        <w:rPr>
          <w:rFonts w:cs="Times New Roman"/>
        </w:rPr>
        <w:t> </w:t>
      </w:r>
      <w:r w:rsidR="00565D14">
        <w:rPr>
          <w:rFonts w:cs="Times New Roman"/>
        </w:rPr>
        <w:t xml:space="preserve">1050(a) </w:t>
      </w:r>
      <w:r w:rsidR="69B88B3E">
        <w:rPr>
          <w:rFonts w:cs="Times New Roman"/>
        </w:rPr>
        <w:t xml:space="preserve">to </w:t>
      </w:r>
      <w:r w:rsidR="000E205C">
        <w:rPr>
          <w:rFonts w:cs="Times New Roman"/>
        </w:rPr>
        <w:t>bar</w:t>
      </w:r>
      <w:r w:rsidR="69B88B3E">
        <w:rPr>
          <w:rFonts w:cs="Times New Roman"/>
        </w:rPr>
        <w:t xml:space="preserve"> </w:t>
      </w:r>
      <w:r w:rsidR="12B216EB" w:rsidRPr="797FBB80">
        <w:rPr>
          <w:rFonts w:cs="Times New Roman"/>
        </w:rPr>
        <w:t>taxpayers</w:t>
      </w:r>
      <w:r w:rsidR="6D683A42" w:rsidRPr="797FBB80">
        <w:rPr>
          <w:rFonts w:cs="Times New Roman"/>
        </w:rPr>
        <w:t xml:space="preserve"> </w:t>
      </w:r>
      <w:r w:rsidR="000E205C">
        <w:rPr>
          <w:rFonts w:cs="Times New Roman"/>
        </w:rPr>
        <w:t xml:space="preserve">from </w:t>
      </w:r>
      <w:r w:rsidR="6D683A42" w:rsidRPr="797FBB80">
        <w:rPr>
          <w:rFonts w:cs="Times New Roman"/>
        </w:rPr>
        <w:t>enforc</w:t>
      </w:r>
      <w:r w:rsidR="000E205C">
        <w:rPr>
          <w:rFonts w:cs="Times New Roman"/>
        </w:rPr>
        <w:t>ing</w:t>
      </w:r>
      <w:r w:rsidR="6D683A42" w:rsidRPr="797FBB80">
        <w:rPr>
          <w:rFonts w:cs="Times New Roman"/>
        </w:rPr>
        <w:t xml:space="preserve"> </w:t>
      </w:r>
      <w:r w:rsidR="4D1F9A2F" w:rsidRPr="797FBB80">
        <w:rPr>
          <w:rFonts w:cs="Times New Roman"/>
        </w:rPr>
        <w:t>the duties “enjoined upon” defendants</w:t>
      </w:r>
      <w:r w:rsidR="00E10841">
        <w:rPr>
          <w:rFonts w:cs="Times New Roman"/>
        </w:rPr>
        <w:t xml:space="preserve"> </w:t>
      </w:r>
      <w:r w:rsidR="00476BE1" w:rsidRPr="797FBB80">
        <w:rPr>
          <w:rFonts w:cs="Times New Roman"/>
        </w:rPr>
        <w:t xml:space="preserve">by </w:t>
      </w:r>
      <w:r w:rsidR="00476BE1">
        <w:rPr>
          <w:rFonts w:cs="Times New Roman"/>
        </w:rPr>
        <w:t>that provision</w:t>
      </w:r>
      <w:r w:rsidR="00E10841">
        <w:rPr>
          <w:rFonts w:cs="Times New Roman"/>
        </w:rPr>
        <w:t xml:space="preserve"> for the benefit of all segments of society</w:t>
      </w:r>
      <w:r w:rsidR="19E2724F">
        <w:rPr>
          <w:rFonts w:cs="Times New Roman"/>
        </w:rPr>
        <w:t>.</w:t>
      </w:r>
      <w:r>
        <w:rPr>
          <w:rStyle w:val="FootnoteReference"/>
        </w:rPr>
        <w:footnoteReference w:id="28"/>
      </w:r>
      <w:r w:rsidRPr="797FBB80">
        <w:rPr>
          <w:rFonts w:cs="Times New Roman"/>
        </w:rPr>
        <w:t xml:space="preserve"> </w:t>
      </w:r>
    </w:p>
    <w:p w14:paraId="35CB40B4" w14:textId="3960C5AD" w:rsidR="0080647E" w:rsidRDefault="003D06AD" w:rsidP="003F5F13">
      <w:pPr>
        <w:autoSpaceDE w:val="0"/>
        <w:autoSpaceDN w:val="0"/>
        <w:adjustRightInd w:val="0"/>
        <w:spacing w:line="360" w:lineRule="auto"/>
        <w:contextualSpacing/>
      </w:pPr>
      <w:r>
        <w:lastRenderedPageBreak/>
        <w:tab/>
      </w:r>
      <w:r w:rsidR="7BE87353">
        <w:t xml:space="preserve">Finally, </w:t>
      </w:r>
      <w:r w:rsidR="0C20677E">
        <w:t xml:space="preserve">like the trial court, we reject </w:t>
      </w:r>
      <w:r w:rsidR="7BE87353">
        <w:t>defendants</w:t>
      </w:r>
      <w:r w:rsidR="3A88EC95">
        <w:t xml:space="preserve">’ related </w:t>
      </w:r>
      <w:r w:rsidR="7BE87353">
        <w:t>argu</w:t>
      </w:r>
      <w:r w:rsidR="3A88EC95">
        <w:t>ment</w:t>
      </w:r>
      <w:r w:rsidR="7BE87353">
        <w:t xml:space="preserve"> that plaintiffs lack </w:t>
      </w:r>
      <w:r w:rsidR="3A88EC95">
        <w:t xml:space="preserve">taxpayer </w:t>
      </w:r>
      <w:r w:rsidR="7BE87353">
        <w:t xml:space="preserve">standing </w:t>
      </w:r>
      <w:r w:rsidR="3A88EC95">
        <w:t xml:space="preserve">because criminal defendants may assert their own </w:t>
      </w:r>
      <w:r w:rsidR="7BE87353" w:rsidRPr="00C13A02">
        <w:t>speedy trial rights</w:t>
      </w:r>
      <w:r w:rsidR="7BE87353">
        <w:t xml:space="preserve">. </w:t>
      </w:r>
      <w:r w:rsidR="00647C0C">
        <w:t>It is</w:t>
      </w:r>
      <w:r w:rsidR="00A14F82">
        <w:t xml:space="preserve"> plainly </w:t>
      </w:r>
      <w:r w:rsidR="00647C0C">
        <w:t xml:space="preserve">without merit. </w:t>
      </w:r>
      <w:r w:rsidR="7BE87353">
        <w:t xml:space="preserve">(See </w:t>
      </w:r>
      <w:r w:rsidR="7BE87353" w:rsidRPr="797FBB80">
        <w:rPr>
          <w:i/>
          <w:iCs/>
        </w:rPr>
        <w:t>Spitzer</w:t>
      </w:r>
      <w:r w:rsidR="7BE87353">
        <w:t xml:space="preserve">, </w:t>
      </w:r>
      <w:r w:rsidR="7BE87353" w:rsidRPr="797FBB80">
        <w:rPr>
          <w:i/>
          <w:iCs/>
        </w:rPr>
        <w:t>supra</w:t>
      </w:r>
      <w:r w:rsidR="7BE87353">
        <w:t>, 53 Cal.App.5th at pp. 406–407</w:t>
      </w:r>
      <w:r w:rsidR="11761622">
        <w:t xml:space="preserve"> </w:t>
      </w:r>
      <w:r w:rsidR="7BE87353">
        <w:t>[</w:t>
      </w:r>
      <w:r w:rsidR="7BE87353" w:rsidRPr="007A69DD">
        <w:t>“ ‘</w:t>
      </w:r>
      <w:r w:rsidR="7BE87353" w:rsidRPr="00380E59">
        <w:rPr>
          <w:spacing w:val="-2"/>
        </w:rPr>
        <w:t xml:space="preserve">taxpayers may maintain an action under </w:t>
      </w:r>
      <w:r w:rsidR="00183E0C">
        <w:rPr>
          <w:spacing w:val="-2"/>
        </w:rPr>
        <w:t xml:space="preserve">[Code of Civil Procedure] </w:t>
      </w:r>
      <w:r w:rsidR="7BE87353" w:rsidRPr="00380E59">
        <w:rPr>
          <w:spacing w:val="-2"/>
        </w:rPr>
        <w:t xml:space="preserve">section 526a to challenge an illegal expenditure of funds even though persons </w:t>
      </w:r>
      <w:r w:rsidR="7BE87353" w:rsidRPr="007A69DD">
        <w:t>directly affected by the expenditure also have</w:t>
      </w:r>
      <w:r w:rsidR="7BE87353">
        <w:t xml:space="preserve"> standing to sue’ ”</w:t>
      </w:r>
      <w:r w:rsidR="11761622">
        <w:t>]</w:t>
      </w:r>
      <w:r w:rsidR="7BE87353" w:rsidRPr="4B0E998B">
        <w:t xml:space="preserve">; accord, </w:t>
      </w:r>
      <w:r w:rsidR="7BE87353" w:rsidRPr="797FBB80">
        <w:rPr>
          <w:i/>
          <w:iCs/>
        </w:rPr>
        <w:t>Van Atta v. Scott</w:t>
      </w:r>
      <w:r w:rsidR="7BE87353">
        <w:t xml:space="preserve"> (1980) 27</w:t>
      </w:r>
      <w:r w:rsidR="003B78F1">
        <w:t> </w:t>
      </w:r>
      <w:r w:rsidR="7BE87353">
        <w:t xml:space="preserve">Cal.3d 424, </w:t>
      </w:r>
      <w:r w:rsidR="005206F4">
        <w:t>447</w:t>
      </w:r>
      <w:r w:rsidR="00B212F0">
        <w:t>–</w:t>
      </w:r>
      <w:r w:rsidR="7BE87353">
        <w:t>448</w:t>
      </w:r>
      <w:r w:rsidR="7BE87353" w:rsidRPr="00B51C71">
        <w:t xml:space="preserve"> &amp; fn.</w:t>
      </w:r>
      <w:r w:rsidR="008D1805">
        <w:t> </w:t>
      </w:r>
      <w:r w:rsidR="7BE87353" w:rsidRPr="00B51C71">
        <w:t>21 [</w:t>
      </w:r>
      <w:r w:rsidR="007B49C4">
        <w:t>c</w:t>
      </w:r>
      <w:r w:rsidR="00272003">
        <w:t xml:space="preserve">iting seven precedents, </w:t>
      </w:r>
      <w:r w:rsidR="7BE87353" w:rsidRPr="00B51C71">
        <w:t>“</w:t>
      </w:r>
      <w:r w:rsidR="7BE87353">
        <w:t>Numerous decisions have affirmed a taxpayer</w:t>
      </w:r>
      <w:r w:rsidR="7BE87353" w:rsidRPr="00B51C71">
        <w:t>’</w:t>
      </w:r>
      <w:r w:rsidR="7BE87353">
        <w:t>s standing to sue despite the existence of potential plaintiffs who might also have had standing to challenge the subject actions or statutes”].)</w:t>
      </w:r>
      <w:r>
        <w:rPr>
          <w:rStyle w:val="FootnoteReference"/>
          <w:rFonts w:cs="Times New Roman"/>
        </w:rPr>
        <w:footnoteReference w:id="29"/>
      </w:r>
      <w:r w:rsidR="00CD2DD3">
        <w:t xml:space="preserve"> </w:t>
      </w:r>
    </w:p>
    <w:p w14:paraId="5572A4D5" w14:textId="44514CD7" w:rsidR="0080647E" w:rsidRPr="006840B6" w:rsidRDefault="003D06AD" w:rsidP="007C20E2">
      <w:pPr>
        <w:keepNext/>
        <w:spacing w:after="120" w:line="240" w:lineRule="auto"/>
        <w:ind w:left="360" w:hanging="360"/>
        <w:rPr>
          <w:b/>
          <w:bCs/>
        </w:rPr>
      </w:pPr>
      <w:r>
        <w:rPr>
          <w:b/>
          <w:bCs/>
        </w:rPr>
        <w:tab/>
      </w:r>
      <w:r>
        <w:rPr>
          <w:b/>
          <w:bCs/>
        </w:rPr>
        <w:tab/>
        <w:t>e</w:t>
      </w:r>
      <w:r w:rsidR="6CF03191" w:rsidRPr="797FBB80">
        <w:rPr>
          <w:b/>
          <w:bCs/>
        </w:rPr>
        <w:t>. Defendants’ Challenge</w:t>
      </w:r>
      <w:r w:rsidR="611E157F" w:rsidRPr="797FBB80">
        <w:rPr>
          <w:b/>
          <w:bCs/>
        </w:rPr>
        <w:t>s</w:t>
      </w:r>
      <w:r w:rsidR="6CF03191" w:rsidRPr="797FBB80">
        <w:rPr>
          <w:b/>
          <w:bCs/>
        </w:rPr>
        <w:t xml:space="preserve"> to </w:t>
      </w:r>
      <w:r w:rsidR="00110F48">
        <w:rPr>
          <w:b/>
          <w:bCs/>
        </w:rPr>
        <w:t xml:space="preserve">the </w:t>
      </w:r>
      <w:r w:rsidR="00CA7906">
        <w:rPr>
          <w:b/>
          <w:bCs/>
        </w:rPr>
        <w:t>Sought-After</w:t>
      </w:r>
      <w:r w:rsidR="6CF03191" w:rsidRPr="797FBB80">
        <w:rPr>
          <w:b/>
          <w:bCs/>
        </w:rPr>
        <w:t xml:space="preserve"> Relief</w:t>
      </w:r>
      <w:r w:rsidR="00E53D1F">
        <w:rPr>
          <w:b/>
          <w:bCs/>
        </w:rPr>
        <w:t xml:space="preserve"> Lack</w:t>
      </w:r>
      <w:r w:rsidR="001A5E1F">
        <w:rPr>
          <w:b/>
          <w:bCs/>
        </w:rPr>
        <w:t xml:space="preserve"> </w:t>
      </w:r>
      <w:r w:rsidR="00E53D1F">
        <w:rPr>
          <w:b/>
          <w:bCs/>
        </w:rPr>
        <w:t>Merit</w:t>
      </w:r>
    </w:p>
    <w:p w14:paraId="754FA00E" w14:textId="502CE2BF" w:rsidR="0080647E" w:rsidRPr="006840B6" w:rsidRDefault="003D06AD" w:rsidP="00C76497">
      <w:pPr>
        <w:spacing w:line="360" w:lineRule="auto"/>
        <w:contextualSpacing/>
        <w:rPr>
          <w:rFonts w:eastAsia="Times New Roman" w:cs="Times New Roman"/>
          <w:color w:val="000000" w:themeColor="text1"/>
        </w:rPr>
      </w:pPr>
      <w:r>
        <w:rPr>
          <w:rFonts w:cs="Times New Roman"/>
        </w:rPr>
        <w:tab/>
      </w:r>
      <w:r w:rsidR="27A14971" w:rsidRPr="3DE41553">
        <w:rPr>
          <w:rFonts w:cs="Times New Roman"/>
        </w:rPr>
        <w:t xml:space="preserve">Defendants also contend that the trial court erred in declining to consider </w:t>
      </w:r>
      <w:r w:rsidR="15582A69" w:rsidRPr="3DE41553">
        <w:rPr>
          <w:rFonts w:cs="Times New Roman"/>
        </w:rPr>
        <w:t>their</w:t>
      </w:r>
      <w:r w:rsidR="15582A69" w:rsidRPr="797FBB80">
        <w:rPr>
          <w:rFonts w:cs="Times New Roman"/>
        </w:rPr>
        <w:t xml:space="preserve"> </w:t>
      </w:r>
      <w:r w:rsidR="27A14971" w:rsidRPr="3DE41553">
        <w:rPr>
          <w:rFonts w:cs="Times New Roman"/>
        </w:rPr>
        <w:t xml:space="preserve">challenge to </w:t>
      </w:r>
      <w:r w:rsidR="413287A6" w:rsidRPr="3DE41553">
        <w:rPr>
          <w:rFonts w:cs="Times New Roman"/>
        </w:rPr>
        <w:t xml:space="preserve">certain types of </w:t>
      </w:r>
      <w:r w:rsidR="27A14971" w:rsidRPr="3DE41553">
        <w:rPr>
          <w:rFonts w:cs="Times New Roman"/>
        </w:rPr>
        <w:t xml:space="preserve">relief </w:t>
      </w:r>
      <w:r w:rsidR="02ED5AA5" w:rsidRPr="3DE41553">
        <w:rPr>
          <w:rFonts w:cs="Times New Roman"/>
        </w:rPr>
        <w:t>because</w:t>
      </w:r>
      <w:r w:rsidR="723FBCFA" w:rsidRPr="797FBB80">
        <w:rPr>
          <w:rFonts w:cs="Times New Roman"/>
        </w:rPr>
        <w:t xml:space="preserve"> </w:t>
      </w:r>
      <w:r w:rsidR="27A14971" w:rsidRPr="3DE41553">
        <w:rPr>
          <w:rFonts w:cs="Times New Roman"/>
        </w:rPr>
        <w:t xml:space="preserve">a demurrer </w:t>
      </w:r>
      <w:r w:rsidR="6EE4858A" w:rsidRPr="3DE41553">
        <w:rPr>
          <w:rFonts w:cs="Times New Roman"/>
        </w:rPr>
        <w:t xml:space="preserve">does </w:t>
      </w:r>
      <w:r w:rsidR="27A14971" w:rsidRPr="3DE41553">
        <w:rPr>
          <w:rFonts w:cs="Times New Roman"/>
        </w:rPr>
        <w:t>not</w:t>
      </w:r>
      <w:r w:rsidR="55555692" w:rsidRPr="797FBB80">
        <w:rPr>
          <w:rFonts w:cs="Times New Roman"/>
        </w:rPr>
        <w:t xml:space="preserve"> lie</w:t>
      </w:r>
      <w:r w:rsidR="27A14971" w:rsidRPr="3DE41553">
        <w:rPr>
          <w:rFonts w:cs="Times New Roman"/>
        </w:rPr>
        <w:t xml:space="preserve"> to a form of relief</w:t>
      </w:r>
      <w:r w:rsidR="07C514ED" w:rsidRPr="797FBB80">
        <w:rPr>
          <w:rFonts w:cs="Times New Roman"/>
        </w:rPr>
        <w:t>, only a cause of action</w:t>
      </w:r>
      <w:r w:rsidR="27A14971" w:rsidRPr="3DE41553">
        <w:rPr>
          <w:rFonts w:eastAsia="Times New Roman" w:cs="Times New Roman"/>
          <w:color w:val="000000" w:themeColor="text1"/>
        </w:rPr>
        <w:t xml:space="preserve">. Defendants assert that because they demonstrated that </w:t>
      </w:r>
      <w:r w:rsidR="27A14971" w:rsidRPr="797FBB80">
        <w:rPr>
          <w:rFonts w:eastAsia="Times New Roman" w:cs="Times New Roman"/>
          <w:i/>
          <w:iCs/>
          <w:color w:val="000000" w:themeColor="text1"/>
        </w:rPr>
        <w:t>every</w:t>
      </w:r>
      <w:r w:rsidR="27A14971" w:rsidRPr="3DE41553">
        <w:rPr>
          <w:rFonts w:eastAsia="Times New Roman" w:cs="Times New Roman"/>
          <w:color w:val="000000" w:themeColor="text1"/>
        </w:rPr>
        <w:t xml:space="preserve"> form of relief sought in the complaint seeks is </w:t>
      </w:r>
      <w:r w:rsidR="27A14971" w:rsidRPr="3DE41553">
        <w:rPr>
          <w:rFonts w:eastAsia="Times New Roman" w:cs="Times New Roman"/>
          <w:color w:val="000000" w:themeColor="text1"/>
        </w:rPr>
        <w:lastRenderedPageBreak/>
        <w:t xml:space="preserve">barred by law, the demurrer should be sustained. As we explain, defendants have made </w:t>
      </w:r>
      <w:r w:rsidR="00CD5E41">
        <w:rPr>
          <w:rFonts w:eastAsia="Times New Roman" w:cs="Times New Roman"/>
          <w:color w:val="000000" w:themeColor="text1"/>
        </w:rPr>
        <w:t>no such</w:t>
      </w:r>
      <w:r w:rsidR="00CD5E41" w:rsidRPr="3DE41553">
        <w:rPr>
          <w:rFonts w:eastAsia="Times New Roman" w:cs="Times New Roman"/>
          <w:color w:val="000000" w:themeColor="text1"/>
        </w:rPr>
        <w:t xml:space="preserve"> </w:t>
      </w:r>
      <w:r w:rsidR="27A14971" w:rsidRPr="3DE41553">
        <w:rPr>
          <w:rFonts w:eastAsia="Times New Roman" w:cs="Times New Roman"/>
          <w:color w:val="000000" w:themeColor="text1"/>
        </w:rPr>
        <w:t>showing.</w:t>
      </w:r>
      <w:r>
        <w:rPr>
          <w:rStyle w:val="FootnoteReference"/>
          <w:rFonts w:eastAsia="Times New Roman" w:cs="Times New Roman"/>
          <w:color w:val="000000" w:themeColor="text1"/>
        </w:rPr>
        <w:footnoteReference w:id="30"/>
      </w:r>
    </w:p>
    <w:p w14:paraId="76931E9C" w14:textId="536DBE2D" w:rsidR="00871749" w:rsidRDefault="003D06AD" w:rsidP="00E27FA2">
      <w:pPr>
        <w:spacing w:line="360" w:lineRule="auto"/>
        <w:contextualSpacing/>
        <w:rPr>
          <w:rFonts w:eastAsia="Times New Roman" w:cs="Times New Roman"/>
          <w:color w:val="000000" w:themeColor="text1"/>
        </w:rPr>
      </w:pPr>
      <w:r>
        <w:tab/>
      </w:r>
      <w:r w:rsidR="00CD5E41">
        <w:t>First, d</w:t>
      </w:r>
      <w:r w:rsidR="5651CA7D" w:rsidRPr="797FBB80">
        <w:rPr>
          <w:rFonts w:eastAsia="Times New Roman" w:cs="Times New Roman"/>
          <w:color w:val="000000" w:themeColor="text1"/>
        </w:rPr>
        <w:t xml:space="preserve">efendants </w:t>
      </w:r>
      <w:r w:rsidR="6CF03191" w:rsidRPr="797FBB80">
        <w:rPr>
          <w:rFonts w:eastAsia="Times New Roman" w:cs="Times New Roman"/>
          <w:color w:val="000000" w:themeColor="text1"/>
        </w:rPr>
        <w:t>contend</w:t>
      </w:r>
      <w:r w:rsidR="2E4C8DFC" w:rsidRPr="797FBB80">
        <w:rPr>
          <w:rFonts w:eastAsia="Times New Roman" w:cs="Times New Roman"/>
          <w:color w:val="000000" w:themeColor="text1"/>
        </w:rPr>
        <w:t xml:space="preserve"> declaratory relief is not available because</w:t>
      </w:r>
      <w:r w:rsidR="6CF03191" w:rsidRPr="797FBB80">
        <w:rPr>
          <w:rFonts w:eastAsia="Times New Roman" w:cs="Times New Roman"/>
          <w:color w:val="000000" w:themeColor="text1"/>
        </w:rPr>
        <w:t xml:space="preserve"> </w:t>
      </w:r>
      <w:r w:rsidR="7343734F" w:rsidRPr="797FBB80">
        <w:rPr>
          <w:rFonts w:eastAsia="Times New Roman" w:cs="Times New Roman"/>
          <w:color w:val="000000" w:themeColor="text1"/>
        </w:rPr>
        <w:t xml:space="preserve">this case presents </w:t>
      </w:r>
      <w:r w:rsidR="6CF03191" w:rsidRPr="797FBB80">
        <w:rPr>
          <w:rFonts w:eastAsia="Times New Roman" w:cs="Times New Roman"/>
          <w:color w:val="000000" w:themeColor="text1"/>
        </w:rPr>
        <w:t xml:space="preserve">“no actual controversy upon which declaratory relief can be granted” as required by Code of Civil Procedure </w:t>
      </w:r>
      <w:r w:rsidR="004B741C">
        <w:rPr>
          <w:rFonts w:eastAsia="Times New Roman" w:cs="Times New Roman"/>
          <w:color w:val="000000" w:themeColor="text1"/>
        </w:rPr>
        <w:t>section</w:t>
      </w:r>
      <w:r w:rsidR="6CF03191" w:rsidRPr="797FBB80">
        <w:rPr>
          <w:rFonts w:eastAsia="Times New Roman" w:cs="Times New Roman"/>
          <w:color w:val="000000" w:themeColor="text1"/>
        </w:rPr>
        <w:t xml:space="preserve">1060. </w:t>
      </w:r>
      <w:r w:rsidR="74DAF2B0" w:rsidRPr="797FBB80">
        <w:rPr>
          <w:rFonts w:eastAsia="Times New Roman" w:cs="Times New Roman"/>
          <w:color w:val="000000" w:themeColor="text1"/>
        </w:rPr>
        <w:t>They</w:t>
      </w:r>
      <w:r w:rsidR="05EEA3A4" w:rsidRPr="797FBB80">
        <w:rPr>
          <w:rFonts w:eastAsia="Times New Roman" w:cs="Times New Roman"/>
          <w:color w:val="000000" w:themeColor="text1"/>
        </w:rPr>
        <w:t xml:space="preserve"> </w:t>
      </w:r>
      <w:r w:rsidR="6CF03191" w:rsidRPr="797FBB80">
        <w:rPr>
          <w:rFonts w:eastAsia="Times New Roman" w:cs="Times New Roman"/>
          <w:color w:val="000000" w:themeColor="text1"/>
        </w:rPr>
        <w:t>do not</w:t>
      </w:r>
      <w:r w:rsidR="26E68648" w:rsidRPr="797FBB80">
        <w:rPr>
          <w:rFonts w:eastAsia="Times New Roman" w:cs="Times New Roman"/>
          <w:color w:val="000000" w:themeColor="text1"/>
        </w:rPr>
        <w:t xml:space="preserve">, however, </w:t>
      </w:r>
      <w:r w:rsidR="43E8BD43" w:rsidRPr="797FBB80">
        <w:rPr>
          <w:rFonts w:eastAsia="Times New Roman" w:cs="Times New Roman"/>
          <w:color w:val="000000" w:themeColor="text1"/>
        </w:rPr>
        <w:t>clearly develop this argument, which we su</w:t>
      </w:r>
      <w:r w:rsidR="00A826BE">
        <w:rPr>
          <w:rFonts w:eastAsia="Times New Roman" w:cs="Times New Roman"/>
          <w:color w:val="000000" w:themeColor="text1"/>
        </w:rPr>
        <w:t>rmise</w:t>
      </w:r>
      <w:r w:rsidR="43E8BD43" w:rsidRPr="797FBB80">
        <w:rPr>
          <w:rFonts w:eastAsia="Times New Roman" w:cs="Times New Roman"/>
          <w:color w:val="000000" w:themeColor="text1"/>
        </w:rPr>
        <w:t xml:space="preserve"> </w:t>
      </w:r>
      <w:r w:rsidR="6CF03191" w:rsidRPr="797FBB80">
        <w:rPr>
          <w:rFonts w:eastAsia="Times New Roman" w:cs="Times New Roman"/>
          <w:color w:val="000000" w:themeColor="text1"/>
        </w:rPr>
        <w:t xml:space="preserve">rests upon </w:t>
      </w:r>
      <w:r w:rsidR="00706B70">
        <w:rPr>
          <w:rFonts w:eastAsia="Times New Roman" w:cs="Times New Roman"/>
          <w:color w:val="000000" w:themeColor="text1"/>
        </w:rPr>
        <w:t xml:space="preserve">the </w:t>
      </w:r>
      <w:r w:rsidR="17F362FE" w:rsidRPr="797FBB80">
        <w:rPr>
          <w:rFonts w:eastAsia="Times New Roman" w:cs="Times New Roman"/>
          <w:color w:val="000000" w:themeColor="text1"/>
        </w:rPr>
        <w:t xml:space="preserve">plaintiffs’ </w:t>
      </w:r>
      <w:r w:rsidR="004F213A">
        <w:rPr>
          <w:rFonts w:eastAsia="Times New Roman" w:cs="Times New Roman"/>
          <w:color w:val="000000" w:themeColor="text1"/>
        </w:rPr>
        <w:t>disclaim</w:t>
      </w:r>
      <w:r w:rsidR="00154534">
        <w:rPr>
          <w:rFonts w:eastAsia="Times New Roman" w:cs="Times New Roman"/>
          <w:color w:val="000000" w:themeColor="text1"/>
        </w:rPr>
        <w:t>er of</w:t>
      </w:r>
      <w:r w:rsidR="004F213A">
        <w:rPr>
          <w:rFonts w:eastAsia="Times New Roman" w:cs="Times New Roman"/>
          <w:color w:val="000000" w:themeColor="text1"/>
        </w:rPr>
        <w:t xml:space="preserve"> any intent to</w:t>
      </w:r>
      <w:r w:rsidR="6CF03191" w:rsidRPr="797FBB80">
        <w:rPr>
          <w:rFonts w:eastAsia="Times New Roman" w:cs="Times New Roman"/>
          <w:color w:val="000000" w:themeColor="text1"/>
        </w:rPr>
        <w:t xml:space="preserve"> challenge specific speedy-trial rulings in individual criminal cases</w:t>
      </w:r>
      <w:r w:rsidR="00EE4A25">
        <w:rPr>
          <w:rFonts w:eastAsia="Times New Roman" w:cs="Times New Roman"/>
          <w:color w:val="000000" w:themeColor="text1"/>
        </w:rPr>
        <w:t>; or</w:t>
      </w:r>
      <w:r w:rsidR="00706B70">
        <w:rPr>
          <w:rFonts w:eastAsia="Times New Roman" w:cs="Times New Roman"/>
          <w:color w:val="000000" w:themeColor="text1"/>
        </w:rPr>
        <w:t xml:space="preserve"> upon</w:t>
      </w:r>
      <w:r w:rsidR="6CF03191" w:rsidRPr="797FBB80">
        <w:rPr>
          <w:rFonts w:eastAsia="Times New Roman" w:cs="Times New Roman"/>
          <w:color w:val="000000" w:themeColor="text1"/>
        </w:rPr>
        <w:t xml:space="preserve"> </w:t>
      </w:r>
      <w:r w:rsidR="51DD7D41" w:rsidRPr="797FBB80">
        <w:rPr>
          <w:rFonts w:eastAsia="Times New Roman" w:cs="Times New Roman"/>
          <w:color w:val="000000" w:themeColor="text1"/>
        </w:rPr>
        <w:t>plaintiffs’</w:t>
      </w:r>
      <w:r w:rsidR="6CF03191" w:rsidRPr="797FBB80">
        <w:rPr>
          <w:rFonts w:eastAsia="Times New Roman" w:cs="Times New Roman"/>
          <w:color w:val="000000" w:themeColor="text1"/>
        </w:rPr>
        <w:t xml:space="preserve"> lack of a direct, personal interest in those rulings (as opposed to their general interest, as taxpayers, in ensuring the lawful and complete performance of the court’s duties). </w:t>
      </w:r>
    </w:p>
    <w:p w14:paraId="3EE1E7A7" w14:textId="0316DB43" w:rsidR="0080647E" w:rsidRPr="006840B6" w:rsidRDefault="003D06AD" w:rsidP="00E27FA2">
      <w:pPr>
        <w:spacing w:line="360" w:lineRule="auto"/>
        <w:contextualSpacing/>
        <w:rPr>
          <w:rFonts w:eastAsia="Times New Roman" w:cs="Times New Roman"/>
          <w:color w:val="000000" w:themeColor="text1"/>
        </w:rPr>
      </w:pPr>
      <w:r>
        <w:rPr>
          <w:rFonts w:eastAsia="Times New Roman" w:cs="Times New Roman"/>
          <w:color w:val="000000" w:themeColor="text1"/>
        </w:rPr>
        <w:tab/>
      </w:r>
      <w:r w:rsidR="00D16C46">
        <w:t xml:space="preserve">Such an </w:t>
      </w:r>
      <w:r w:rsidR="00EC0CE8">
        <w:t xml:space="preserve">argument reflects a fundamental misunderstanding of the taxpayer standing doctrine, </w:t>
      </w:r>
      <w:r w:rsidR="007D7327">
        <w:t>which</w:t>
      </w:r>
      <w:r w:rsidR="00EC0CE8">
        <w:t xml:space="preserve"> </w:t>
      </w:r>
      <w:r w:rsidR="00F948BB">
        <w:t>exists to enable citizens who have not suffered</w:t>
      </w:r>
      <w:r w:rsidR="00EC0CE8">
        <w:t xml:space="preserve"> particularized</w:t>
      </w:r>
      <w:r w:rsidR="00F948BB">
        <w:t xml:space="preserve"> </w:t>
      </w:r>
      <w:r w:rsidR="00EC0CE8">
        <w:t xml:space="preserve">injury </w:t>
      </w:r>
      <w:r w:rsidR="00F948BB">
        <w:t>to nonetheless</w:t>
      </w:r>
      <w:r w:rsidR="00EC0CE8">
        <w:t xml:space="preserve"> enforc</w:t>
      </w:r>
      <w:r w:rsidR="00F948BB">
        <w:t>e</w:t>
      </w:r>
      <w:r w:rsidR="00EC0CE8">
        <w:t xml:space="preserve"> legal duties protecting the general public: “ ‘As a general principle, standing to invoke the judicial process’ ” requires that a plaintiff have “ </w:t>
      </w:r>
      <w:r w:rsidR="0074655B">
        <w:t>‘</w:t>
      </w:r>
      <w:r w:rsidR="00EC0CE8">
        <w:t xml:space="preserve">suffered or is about to suffer an injury,’ ” but “the concept of standing . . . has been considerably relaxed by </w:t>
      </w:r>
      <w:r w:rsidR="00183E0C">
        <w:t xml:space="preserve">[Code of Civil Procedure] </w:t>
      </w:r>
      <w:r w:rsidR="00EC0CE8">
        <w:t>section 526a,” under which “ </w:t>
      </w:r>
      <w:r w:rsidR="00C163C6">
        <w:t>‘ </w:t>
      </w:r>
      <w:r w:rsidR="00EC0CE8">
        <w:t>“no showing of special damage to the particular taxpayer [is] necessary” ’ for the taxpayer to prevent injury to the public.” (</w:t>
      </w:r>
      <w:proofErr w:type="spellStart"/>
      <w:r w:rsidR="00EC0CE8" w:rsidRPr="008D6CDF">
        <w:rPr>
          <w:i/>
          <w:iCs/>
        </w:rPr>
        <w:t>Chiatello</w:t>
      </w:r>
      <w:proofErr w:type="spellEnd"/>
      <w:r w:rsidR="00EC0CE8" w:rsidRPr="008D6CDF">
        <w:rPr>
          <w:i/>
          <w:iCs/>
        </w:rPr>
        <w:t xml:space="preserve"> v. City and County of San Francisco</w:t>
      </w:r>
      <w:r w:rsidR="00C053BF">
        <w:rPr>
          <w:i/>
          <w:iCs/>
        </w:rPr>
        <w:t xml:space="preserve"> </w:t>
      </w:r>
      <w:r w:rsidR="00C053BF">
        <w:t>(2010)</w:t>
      </w:r>
      <w:r w:rsidR="00EC0CE8">
        <w:t xml:space="preserve"> 189 Cal.App.4th </w:t>
      </w:r>
      <w:r w:rsidR="00C053BF">
        <w:t xml:space="preserve">472, </w:t>
      </w:r>
      <w:r w:rsidR="00EC0CE8">
        <w:t>480–482.)</w:t>
      </w:r>
      <w:r w:rsidR="00D47F24">
        <w:t xml:space="preserve"> </w:t>
      </w:r>
      <w:r w:rsidR="4E726DAD" w:rsidRPr="797FBB80">
        <w:rPr>
          <w:rFonts w:eastAsia="Times New Roman" w:cs="Times New Roman"/>
          <w:color w:val="000000" w:themeColor="text1"/>
        </w:rPr>
        <w:t xml:space="preserve">It is </w:t>
      </w:r>
      <w:r w:rsidR="00D47F24">
        <w:rPr>
          <w:rFonts w:eastAsia="Times New Roman" w:cs="Times New Roman"/>
          <w:color w:val="000000" w:themeColor="text1"/>
        </w:rPr>
        <w:t xml:space="preserve">thus </w:t>
      </w:r>
      <w:r w:rsidR="6CF03191" w:rsidRPr="797FBB80">
        <w:rPr>
          <w:rFonts w:eastAsia="Times New Roman" w:cs="Times New Roman"/>
          <w:color w:val="000000" w:themeColor="text1"/>
        </w:rPr>
        <w:t>well</w:t>
      </w:r>
      <w:r w:rsidR="00EF565B">
        <w:rPr>
          <w:rFonts w:eastAsia="Times New Roman" w:cs="Times New Roman"/>
          <w:color w:val="000000" w:themeColor="text1"/>
        </w:rPr>
        <w:t xml:space="preserve"> </w:t>
      </w:r>
      <w:r w:rsidR="6CF03191" w:rsidRPr="797FBB80">
        <w:rPr>
          <w:rFonts w:eastAsia="Times New Roman" w:cs="Times New Roman"/>
          <w:color w:val="000000" w:themeColor="text1"/>
        </w:rPr>
        <w:t xml:space="preserve">recognized that so long as a plaintiff alleges a </w:t>
      </w:r>
      <w:r w:rsidR="00F60848">
        <w:rPr>
          <w:rFonts w:eastAsia="Times New Roman" w:cs="Times New Roman"/>
          <w:color w:val="000000" w:themeColor="text1"/>
        </w:rPr>
        <w:t>statutory taxpayer</w:t>
      </w:r>
      <w:r w:rsidR="6CF03191" w:rsidRPr="797FBB80">
        <w:rPr>
          <w:rFonts w:eastAsia="Times New Roman" w:cs="Times New Roman"/>
          <w:color w:val="000000" w:themeColor="text1"/>
        </w:rPr>
        <w:t xml:space="preserve"> claim, the action “presents a true case or controversy.” (</w:t>
      </w:r>
      <w:r w:rsidR="6CF03191" w:rsidRPr="797FBB80">
        <w:rPr>
          <w:rFonts w:eastAsia="Times New Roman" w:cs="Times New Roman"/>
          <w:i/>
          <w:iCs/>
          <w:color w:val="000000" w:themeColor="text1"/>
        </w:rPr>
        <w:t>Blair</w:t>
      </w:r>
      <w:r w:rsidR="6CF03191" w:rsidRPr="797FBB80">
        <w:rPr>
          <w:rFonts w:eastAsia="Times New Roman" w:cs="Times New Roman"/>
          <w:color w:val="000000" w:themeColor="text1"/>
        </w:rPr>
        <w:t xml:space="preserve">, </w:t>
      </w:r>
      <w:r w:rsidR="6CF03191" w:rsidRPr="008C22E4">
        <w:rPr>
          <w:rFonts w:eastAsia="Times New Roman" w:cs="Times New Roman"/>
          <w:i/>
          <w:color w:val="000000" w:themeColor="text1"/>
        </w:rPr>
        <w:t>supra</w:t>
      </w:r>
      <w:r w:rsidR="6CF03191" w:rsidRPr="797FBB80">
        <w:rPr>
          <w:rFonts w:eastAsia="Times New Roman" w:cs="Times New Roman"/>
          <w:color w:val="000000" w:themeColor="text1"/>
        </w:rPr>
        <w:t>, 5</w:t>
      </w:r>
      <w:r w:rsidR="00DD0532">
        <w:rPr>
          <w:rFonts w:eastAsia="Times New Roman" w:cs="Times New Roman"/>
          <w:color w:val="000000" w:themeColor="text1"/>
        </w:rPr>
        <w:t> </w:t>
      </w:r>
      <w:r w:rsidR="6CF03191" w:rsidRPr="797FBB80">
        <w:rPr>
          <w:rFonts w:eastAsia="Times New Roman" w:cs="Times New Roman"/>
          <w:color w:val="000000" w:themeColor="text1"/>
        </w:rPr>
        <w:t>Cal.3d at p.</w:t>
      </w:r>
      <w:r w:rsidR="00C163C6">
        <w:rPr>
          <w:rFonts w:eastAsia="Times New Roman" w:cs="Times New Roman"/>
          <w:color w:val="000000" w:themeColor="text1"/>
        </w:rPr>
        <w:t> </w:t>
      </w:r>
      <w:r w:rsidR="6CF03191" w:rsidRPr="797FBB80">
        <w:rPr>
          <w:rFonts w:eastAsia="Times New Roman" w:cs="Times New Roman"/>
          <w:color w:val="000000" w:themeColor="text1"/>
        </w:rPr>
        <w:t xml:space="preserve">269 [in case involving </w:t>
      </w:r>
      <w:r w:rsidR="6CF03191" w:rsidRPr="797FBB80">
        <w:rPr>
          <w:rFonts w:eastAsia="Times New Roman" w:cs="Times New Roman"/>
          <w:color w:val="000000" w:themeColor="text1"/>
        </w:rPr>
        <w:lastRenderedPageBreak/>
        <w:t>demand for injunctive relief, observing “[</w:t>
      </w:r>
      <w:proofErr w:type="spellStart"/>
      <w:r w:rsidR="6CF03191" w:rsidRPr="797FBB80">
        <w:rPr>
          <w:rFonts w:eastAsia="Times New Roman" w:cs="Times New Roman"/>
          <w:color w:val="000000" w:themeColor="text1"/>
        </w:rPr>
        <w:t>i</w:t>
      </w:r>
      <w:proofErr w:type="spellEnd"/>
      <w:r w:rsidR="6CF03191" w:rsidRPr="797FBB80">
        <w:rPr>
          <w:rFonts w:eastAsia="Times New Roman" w:cs="Times New Roman"/>
          <w:color w:val="000000" w:themeColor="text1"/>
        </w:rPr>
        <w:t>]f we were to hold that [</w:t>
      </w:r>
      <w:r w:rsidR="00183E0C">
        <w:rPr>
          <w:rFonts w:eastAsia="Times New Roman" w:cs="Times New Roman"/>
          <w:color w:val="000000" w:themeColor="text1"/>
        </w:rPr>
        <w:t>statutory taxpayer actions</w:t>
      </w:r>
      <w:r w:rsidR="6CF03191" w:rsidRPr="797FBB80">
        <w:rPr>
          <w:rFonts w:eastAsia="Times New Roman" w:cs="Times New Roman"/>
          <w:color w:val="000000" w:themeColor="text1"/>
        </w:rPr>
        <w:t xml:space="preserve">] did not present a true case or controversy unless the plaintiff and the defendant each had a special, personal interest in the outcome, we would drastically curtail their usefulness as a check on illegal government activity”]; </w:t>
      </w:r>
      <w:proofErr w:type="spellStart"/>
      <w:r w:rsidR="6CF03191" w:rsidRPr="797FBB80">
        <w:rPr>
          <w:rFonts w:eastAsia="Times New Roman" w:cs="Times New Roman"/>
          <w:i/>
          <w:iCs/>
          <w:color w:val="000000" w:themeColor="text1"/>
        </w:rPr>
        <w:t>Kawaichi</w:t>
      </w:r>
      <w:proofErr w:type="spellEnd"/>
      <w:r w:rsidR="6CF03191" w:rsidRPr="797FBB80">
        <w:rPr>
          <w:rFonts w:eastAsia="Times New Roman" w:cs="Times New Roman"/>
          <w:color w:val="000000" w:themeColor="text1"/>
        </w:rPr>
        <w:t xml:space="preserve">, </w:t>
      </w:r>
      <w:r w:rsidR="6CF03191" w:rsidRPr="0074655B">
        <w:rPr>
          <w:rFonts w:eastAsia="Times New Roman" w:cs="Times New Roman"/>
          <w:i/>
          <w:color w:val="000000" w:themeColor="text1"/>
        </w:rPr>
        <w:t>supra</w:t>
      </w:r>
      <w:r w:rsidR="6CF03191" w:rsidRPr="797FBB80">
        <w:rPr>
          <w:rFonts w:eastAsia="Times New Roman" w:cs="Times New Roman"/>
          <w:color w:val="000000" w:themeColor="text1"/>
        </w:rPr>
        <w:t>, 53</w:t>
      </w:r>
      <w:r w:rsidR="00EF565B">
        <w:rPr>
          <w:rFonts w:eastAsia="Times New Roman" w:cs="Times New Roman"/>
          <w:color w:val="000000" w:themeColor="text1"/>
        </w:rPr>
        <w:t> </w:t>
      </w:r>
      <w:r w:rsidR="6CF03191" w:rsidRPr="797FBB80">
        <w:rPr>
          <w:rFonts w:eastAsia="Times New Roman" w:cs="Times New Roman"/>
          <w:color w:val="000000" w:themeColor="text1"/>
        </w:rPr>
        <w:t>Cal.App.3d at p.</w:t>
      </w:r>
      <w:r w:rsidR="005F54BC">
        <w:rPr>
          <w:rFonts w:eastAsia="Times New Roman" w:cs="Times New Roman"/>
          <w:color w:val="000000" w:themeColor="text1"/>
        </w:rPr>
        <w:t> </w:t>
      </w:r>
      <w:r w:rsidR="6CF03191" w:rsidRPr="797FBB80">
        <w:rPr>
          <w:rFonts w:eastAsia="Times New Roman" w:cs="Times New Roman"/>
          <w:color w:val="000000" w:themeColor="text1"/>
        </w:rPr>
        <w:t>46</w:t>
      </w:r>
      <w:r w:rsidR="00270E98">
        <w:rPr>
          <w:rFonts w:eastAsia="Times New Roman" w:cs="Times New Roman"/>
          <w:color w:val="000000" w:themeColor="text1"/>
        </w:rPr>
        <w:t>3</w:t>
      </w:r>
      <w:r w:rsidR="005F3C4E">
        <w:rPr>
          <w:rFonts w:eastAsia="Times New Roman" w:cs="Times New Roman"/>
          <w:color w:val="000000" w:themeColor="text1"/>
        </w:rPr>
        <w:t>,</w:t>
      </w:r>
      <w:r w:rsidR="6CF03191" w:rsidRPr="797FBB80">
        <w:rPr>
          <w:rFonts w:eastAsia="Times New Roman" w:cs="Times New Roman"/>
          <w:color w:val="000000" w:themeColor="text1"/>
        </w:rPr>
        <w:t xml:space="preserve"> fn.</w:t>
      </w:r>
      <w:r w:rsidR="005F54BC">
        <w:rPr>
          <w:rFonts w:eastAsia="Times New Roman" w:cs="Times New Roman"/>
          <w:color w:val="000000" w:themeColor="text1"/>
        </w:rPr>
        <w:t> </w:t>
      </w:r>
      <w:r w:rsidR="6CF03191" w:rsidRPr="797FBB80">
        <w:rPr>
          <w:rFonts w:eastAsia="Times New Roman" w:cs="Times New Roman"/>
          <w:color w:val="000000" w:themeColor="text1"/>
        </w:rPr>
        <w:t xml:space="preserve">2 [applying same principle to declaratory relief].) </w:t>
      </w:r>
    </w:p>
    <w:p w14:paraId="0E7AF00D" w14:textId="3FB78CE8" w:rsidR="0080647E" w:rsidRPr="006840B6" w:rsidRDefault="003D06AD" w:rsidP="3DE41553">
      <w:pPr>
        <w:spacing w:line="360" w:lineRule="auto"/>
        <w:contextualSpacing/>
        <w:rPr>
          <w:rFonts w:eastAsia="Times New Roman" w:cs="Times New Roman"/>
          <w:color w:val="000000" w:themeColor="text1"/>
        </w:rPr>
      </w:pPr>
      <w:r>
        <w:tab/>
      </w:r>
      <w:r w:rsidR="371C967C" w:rsidRPr="3DE41553">
        <w:rPr>
          <w:rFonts w:eastAsia="Times New Roman" w:cs="Times New Roman"/>
          <w:color w:val="000000" w:themeColor="text1"/>
        </w:rPr>
        <w:t xml:space="preserve">Defendants </w:t>
      </w:r>
      <w:r w:rsidR="00CB0982">
        <w:rPr>
          <w:rFonts w:eastAsia="Times New Roman" w:cs="Times New Roman"/>
          <w:color w:val="000000" w:themeColor="text1"/>
        </w:rPr>
        <w:t>also contend</w:t>
      </w:r>
      <w:r w:rsidR="371C967C" w:rsidRPr="3DE41553">
        <w:rPr>
          <w:rFonts w:eastAsia="Times New Roman" w:cs="Times New Roman"/>
          <w:color w:val="000000" w:themeColor="text1"/>
        </w:rPr>
        <w:t xml:space="preserve"> declaratory relief </w:t>
      </w:r>
      <w:r w:rsidR="178B2F94" w:rsidRPr="3DE41553">
        <w:rPr>
          <w:rFonts w:eastAsia="Times New Roman" w:cs="Times New Roman"/>
          <w:color w:val="000000" w:themeColor="text1"/>
        </w:rPr>
        <w:t xml:space="preserve">is not available </w:t>
      </w:r>
      <w:r w:rsidR="371C967C" w:rsidRPr="3DE41553">
        <w:rPr>
          <w:rFonts w:eastAsia="Times New Roman" w:cs="Times New Roman"/>
          <w:color w:val="000000" w:themeColor="text1"/>
        </w:rPr>
        <w:t xml:space="preserve">to settle the “rights of third parties,” citing </w:t>
      </w:r>
      <w:proofErr w:type="spellStart"/>
      <w:r w:rsidR="371C967C" w:rsidRPr="3DE41553">
        <w:rPr>
          <w:rFonts w:eastAsia="Times New Roman" w:cs="Times New Roman"/>
          <w:i/>
          <w:iCs/>
          <w:color w:val="000000" w:themeColor="text1"/>
        </w:rPr>
        <w:t>Connerly</w:t>
      </w:r>
      <w:proofErr w:type="spellEnd"/>
      <w:r w:rsidR="371C967C" w:rsidRPr="3DE41553">
        <w:rPr>
          <w:rFonts w:eastAsia="Times New Roman" w:cs="Times New Roman"/>
          <w:i/>
          <w:iCs/>
          <w:color w:val="000000" w:themeColor="text1"/>
        </w:rPr>
        <w:t xml:space="preserve"> v. Schwarzenegger</w:t>
      </w:r>
      <w:r w:rsidR="371C967C" w:rsidRPr="3DE41553">
        <w:rPr>
          <w:rFonts w:eastAsia="Times New Roman" w:cs="Times New Roman"/>
          <w:color w:val="000000" w:themeColor="text1"/>
        </w:rPr>
        <w:t xml:space="preserve"> (2007) 146</w:t>
      </w:r>
      <w:r w:rsidR="00CE7A19">
        <w:rPr>
          <w:rFonts w:eastAsia="Times New Roman" w:cs="Times New Roman"/>
          <w:color w:val="000000" w:themeColor="text1"/>
        </w:rPr>
        <w:t> </w:t>
      </w:r>
      <w:r w:rsidR="371C967C" w:rsidRPr="3DE41553">
        <w:rPr>
          <w:rFonts w:eastAsia="Times New Roman" w:cs="Times New Roman"/>
          <w:color w:val="000000" w:themeColor="text1"/>
        </w:rPr>
        <w:t>Cal.App.4th 739 (</w:t>
      </w:r>
      <w:proofErr w:type="spellStart"/>
      <w:r w:rsidR="371C967C" w:rsidRPr="3DE41553">
        <w:rPr>
          <w:rFonts w:eastAsia="Times New Roman" w:cs="Times New Roman"/>
          <w:i/>
          <w:iCs/>
          <w:color w:val="000000" w:themeColor="text1"/>
        </w:rPr>
        <w:t>Connerly</w:t>
      </w:r>
      <w:proofErr w:type="spellEnd"/>
      <w:r w:rsidR="371C967C" w:rsidRPr="3DE41553">
        <w:rPr>
          <w:rFonts w:eastAsia="Times New Roman" w:cs="Times New Roman"/>
          <w:color w:val="000000" w:themeColor="text1"/>
        </w:rPr>
        <w:t xml:space="preserve">). In </w:t>
      </w:r>
      <w:proofErr w:type="spellStart"/>
      <w:r w:rsidR="009B2B77" w:rsidRPr="00D02BA2">
        <w:rPr>
          <w:rFonts w:eastAsia="Times New Roman" w:cs="Times New Roman"/>
          <w:i/>
          <w:iCs/>
          <w:color w:val="000000" w:themeColor="text1"/>
        </w:rPr>
        <w:t>Connerly</w:t>
      </w:r>
      <w:proofErr w:type="spellEnd"/>
      <w:r w:rsidR="371C967C" w:rsidRPr="3DE41553">
        <w:rPr>
          <w:rFonts w:eastAsia="Times New Roman" w:cs="Times New Roman"/>
          <w:color w:val="000000" w:themeColor="text1"/>
        </w:rPr>
        <w:t>, plaintiff sought to preclude enforcement of a provision which barred private parties from filing suit to challenge certain anti-discrimination measures. (</w:t>
      </w:r>
      <w:r w:rsidR="0074655B">
        <w:rPr>
          <w:rFonts w:eastAsia="Times New Roman" w:cs="Times New Roman"/>
          <w:i/>
          <w:iCs/>
          <w:color w:val="000000" w:themeColor="text1"/>
        </w:rPr>
        <w:t>Id.</w:t>
      </w:r>
      <w:r w:rsidR="371C967C" w:rsidRPr="3DE41553">
        <w:rPr>
          <w:rFonts w:eastAsia="Times New Roman" w:cs="Times New Roman"/>
          <w:color w:val="000000" w:themeColor="text1"/>
        </w:rPr>
        <w:t xml:space="preserve"> at p.</w:t>
      </w:r>
      <w:r w:rsidR="00D7258F">
        <w:rPr>
          <w:rFonts w:eastAsia="Times New Roman" w:cs="Times New Roman"/>
          <w:color w:val="000000" w:themeColor="text1"/>
        </w:rPr>
        <w:t> </w:t>
      </w:r>
      <w:r w:rsidR="371C967C" w:rsidRPr="3DE41553">
        <w:rPr>
          <w:rFonts w:eastAsia="Times New Roman" w:cs="Times New Roman"/>
          <w:color w:val="000000" w:themeColor="text1"/>
        </w:rPr>
        <w:t>74</w:t>
      </w:r>
      <w:r w:rsidR="008F1661">
        <w:rPr>
          <w:rFonts w:eastAsia="Times New Roman" w:cs="Times New Roman"/>
          <w:color w:val="000000" w:themeColor="text1"/>
        </w:rPr>
        <w:t>2</w:t>
      </w:r>
      <w:r w:rsidR="371C967C" w:rsidRPr="3DE41553">
        <w:rPr>
          <w:rFonts w:eastAsia="Times New Roman" w:cs="Times New Roman"/>
          <w:color w:val="000000" w:themeColor="text1"/>
        </w:rPr>
        <w:t>.) The court held declaratory relief was unavailable against the Governor and Attorney General because they had no control over private persons’ ability to file suit. (</w:t>
      </w:r>
      <w:r w:rsidR="371C967C" w:rsidRPr="3DE41553">
        <w:rPr>
          <w:rFonts w:eastAsia="Times New Roman" w:cs="Times New Roman"/>
          <w:i/>
          <w:iCs/>
          <w:color w:val="000000" w:themeColor="text1"/>
        </w:rPr>
        <w:t>Id</w:t>
      </w:r>
      <w:r w:rsidR="371C967C" w:rsidRPr="3DE41553">
        <w:rPr>
          <w:rFonts w:eastAsia="Times New Roman" w:cs="Times New Roman"/>
          <w:color w:val="000000" w:themeColor="text1"/>
        </w:rPr>
        <w:t>.</w:t>
      </w:r>
      <w:r w:rsidR="003B6E63">
        <w:rPr>
          <w:rFonts w:eastAsia="Times New Roman" w:cs="Times New Roman"/>
          <w:color w:val="000000" w:themeColor="text1"/>
        </w:rPr>
        <w:t xml:space="preserve"> at pp.</w:t>
      </w:r>
      <w:r w:rsidR="00D15CFA">
        <w:rPr>
          <w:rFonts w:eastAsia="Times New Roman" w:cs="Times New Roman"/>
          <w:color w:val="000000" w:themeColor="text1"/>
        </w:rPr>
        <w:t> </w:t>
      </w:r>
      <w:r w:rsidR="003B6E63">
        <w:rPr>
          <w:rFonts w:eastAsia="Times New Roman" w:cs="Times New Roman"/>
          <w:color w:val="000000" w:themeColor="text1"/>
        </w:rPr>
        <w:t>742</w:t>
      </w:r>
      <w:r w:rsidR="00D06DAF">
        <w:rPr>
          <w:rFonts w:eastAsia="Times New Roman" w:cs="Times New Roman"/>
          <w:color w:val="000000" w:themeColor="text1"/>
        </w:rPr>
        <w:t>–</w:t>
      </w:r>
      <w:r w:rsidR="003B6E63">
        <w:rPr>
          <w:rFonts w:eastAsia="Times New Roman" w:cs="Times New Roman"/>
          <w:color w:val="000000" w:themeColor="text1"/>
        </w:rPr>
        <w:t>743.</w:t>
      </w:r>
      <w:r w:rsidR="371C967C" w:rsidRPr="3DE41553">
        <w:rPr>
          <w:rFonts w:eastAsia="Times New Roman" w:cs="Times New Roman"/>
          <w:color w:val="000000" w:themeColor="text1"/>
        </w:rPr>
        <w:t xml:space="preserve">) Here, plaintiffs seek </w:t>
      </w:r>
      <w:r w:rsidR="730B4610" w:rsidRPr="3DE41553">
        <w:rPr>
          <w:rFonts w:eastAsia="Times New Roman" w:cs="Times New Roman"/>
          <w:color w:val="000000" w:themeColor="text1"/>
        </w:rPr>
        <w:t xml:space="preserve">a </w:t>
      </w:r>
      <w:r w:rsidR="371C967C" w:rsidRPr="3DE41553">
        <w:rPr>
          <w:rFonts w:eastAsia="Times New Roman" w:cs="Times New Roman"/>
          <w:color w:val="000000" w:themeColor="text1"/>
        </w:rPr>
        <w:t xml:space="preserve">declaratory </w:t>
      </w:r>
      <w:r w:rsidR="5AE03256" w:rsidRPr="3DE41553">
        <w:rPr>
          <w:rFonts w:eastAsia="Times New Roman" w:cs="Times New Roman"/>
          <w:color w:val="000000" w:themeColor="text1"/>
        </w:rPr>
        <w:t xml:space="preserve">judgment </w:t>
      </w:r>
      <w:r w:rsidR="50EA716A" w:rsidRPr="3DE41553">
        <w:rPr>
          <w:rFonts w:eastAsia="Times New Roman" w:cs="Times New Roman"/>
          <w:color w:val="000000" w:themeColor="text1"/>
        </w:rPr>
        <w:t xml:space="preserve">as to whether </w:t>
      </w:r>
      <w:r w:rsidR="371C967C" w:rsidRPr="00A63B9A">
        <w:rPr>
          <w:rFonts w:eastAsia="Times New Roman" w:cs="Times New Roman"/>
          <w:i/>
          <w:color w:val="000000" w:themeColor="text1"/>
        </w:rPr>
        <w:t>defendants’</w:t>
      </w:r>
      <w:r w:rsidR="371C967C" w:rsidRPr="3DE41553">
        <w:rPr>
          <w:rFonts w:eastAsia="Times New Roman" w:cs="Times New Roman"/>
          <w:color w:val="000000" w:themeColor="text1"/>
        </w:rPr>
        <w:t xml:space="preserve"> </w:t>
      </w:r>
      <w:r w:rsidR="00E07326" w:rsidRPr="005F7020">
        <w:rPr>
          <w:rFonts w:eastAsia="Times New Roman" w:cs="Times New Roman"/>
          <w:i/>
          <w:color w:val="000000" w:themeColor="text1"/>
        </w:rPr>
        <w:t>own</w:t>
      </w:r>
      <w:r w:rsidR="00E07326">
        <w:rPr>
          <w:rFonts w:eastAsia="Times New Roman" w:cs="Times New Roman"/>
          <w:color w:val="000000" w:themeColor="text1"/>
        </w:rPr>
        <w:t xml:space="preserve"> </w:t>
      </w:r>
      <w:r w:rsidR="00E07326" w:rsidRPr="001343BE">
        <w:rPr>
          <w:rFonts w:eastAsia="Times New Roman" w:cs="Times New Roman"/>
          <w:i/>
          <w:color w:val="000000" w:themeColor="text1"/>
        </w:rPr>
        <w:t xml:space="preserve">resource-allocation </w:t>
      </w:r>
      <w:r w:rsidR="371C967C" w:rsidRPr="001343BE">
        <w:rPr>
          <w:rFonts w:eastAsia="Times New Roman" w:cs="Times New Roman"/>
          <w:i/>
          <w:color w:val="000000" w:themeColor="text1"/>
        </w:rPr>
        <w:t>decisions</w:t>
      </w:r>
      <w:r w:rsidR="371C967C" w:rsidRPr="3DE41553">
        <w:rPr>
          <w:rFonts w:eastAsia="Times New Roman" w:cs="Times New Roman"/>
          <w:color w:val="000000" w:themeColor="text1"/>
        </w:rPr>
        <w:t xml:space="preserve"> satisf</w:t>
      </w:r>
      <w:r w:rsidR="47CD7B97" w:rsidRPr="3DE41553">
        <w:rPr>
          <w:rFonts w:eastAsia="Times New Roman" w:cs="Times New Roman"/>
          <w:color w:val="000000" w:themeColor="text1"/>
        </w:rPr>
        <w:t>ie</w:t>
      </w:r>
      <w:r w:rsidR="00E07326">
        <w:rPr>
          <w:rFonts w:eastAsia="Times New Roman" w:cs="Times New Roman"/>
          <w:color w:val="000000" w:themeColor="text1"/>
        </w:rPr>
        <w:t>d</w:t>
      </w:r>
      <w:r w:rsidR="47CD7B97" w:rsidRPr="3DE41553">
        <w:rPr>
          <w:rFonts w:eastAsia="Times New Roman" w:cs="Times New Roman"/>
          <w:color w:val="000000" w:themeColor="text1"/>
        </w:rPr>
        <w:t xml:space="preserve"> duties expressly imposed upon them under,</w:t>
      </w:r>
      <w:r w:rsidR="371C967C" w:rsidRPr="3DE41553">
        <w:rPr>
          <w:rFonts w:eastAsia="Times New Roman" w:cs="Times New Roman"/>
          <w:color w:val="000000" w:themeColor="text1"/>
        </w:rPr>
        <w:t xml:space="preserve"> inter alia, section</w:t>
      </w:r>
      <w:r w:rsidR="00D7258F">
        <w:rPr>
          <w:rFonts w:eastAsia="Times New Roman" w:cs="Times New Roman"/>
          <w:color w:val="000000" w:themeColor="text1"/>
        </w:rPr>
        <w:t> </w:t>
      </w:r>
      <w:r w:rsidR="371C967C" w:rsidRPr="3DE41553">
        <w:rPr>
          <w:rFonts w:eastAsia="Times New Roman" w:cs="Times New Roman"/>
          <w:color w:val="000000" w:themeColor="text1"/>
        </w:rPr>
        <w:t>1050(a)</w:t>
      </w:r>
      <w:r w:rsidR="001257F7">
        <w:rPr>
          <w:rFonts w:eastAsia="Times New Roman" w:cs="Times New Roman"/>
          <w:color w:val="000000" w:themeColor="text1"/>
        </w:rPr>
        <w:t xml:space="preserve"> or</w:t>
      </w:r>
      <w:r w:rsidR="00D64F89">
        <w:rPr>
          <w:rFonts w:eastAsia="Times New Roman" w:cs="Times New Roman"/>
          <w:color w:val="000000" w:themeColor="text1"/>
        </w:rPr>
        <w:t>,</w:t>
      </w:r>
      <w:r w:rsidR="001257F7">
        <w:rPr>
          <w:rFonts w:eastAsia="Times New Roman" w:cs="Times New Roman"/>
          <w:color w:val="000000" w:themeColor="text1"/>
        </w:rPr>
        <w:t xml:space="preserve"> </w:t>
      </w:r>
      <w:r w:rsidR="00DA49B5">
        <w:rPr>
          <w:rFonts w:eastAsia="Times New Roman" w:cs="Times New Roman"/>
          <w:color w:val="000000" w:themeColor="text1"/>
        </w:rPr>
        <w:t>as we discuss</w:t>
      </w:r>
      <w:r w:rsidR="004C7029">
        <w:rPr>
          <w:rFonts w:eastAsia="Times New Roman" w:cs="Times New Roman"/>
          <w:color w:val="000000" w:themeColor="text1"/>
        </w:rPr>
        <w:t xml:space="preserve"> below (see pp.</w:t>
      </w:r>
      <w:r w:rsidR="00D7258F">
        <w:rPr>
          <w:rFonts w:eastAsia="Times New Roman" w:cs="Times New Roman"/>
          <w:color w:val="000000" w:themeColor="text1"/>
        </w:rPr>
        <w:t> </w:t>
      </w:r>
      <w:r w:rsidR="00214868">
        <w:rPr>
          <w:rFonts w:eastAsia="Times New Roman" w:cs="Times New Roman"/>
          <w:color w:val="000000" w:themeColor="text1"/>
        </w:rPr>
        <w:t>39–40</w:t>
      </w:r>
      <w:r w:rsidR="00DA49B5">
        <w:rPr>
          <w:rFonts w:eastAsia="Times New Roman" w:cs="Times New Roman"/>
          <w:color w:val="000000" w:themeColor="text1"/>
        </w:rPr>
        <w:t xml:space="preserve">, </w:t>
      </w:r>
      <w:r w:rsidR="00DA49B5" w:rsidRPr="00FB67EB">
        <w:rPr>
          <w:rFonts w:eastAsia="Times New Roman" w:cs="Times New Roman"/>
          <w:i/>
          <w:color w:val="000000" w:themeColor="text1"/>
        </w:rPr>
        <w:t>post</w:t>
      </w:r>
      <w:r w:rsidR="00DA49B5">
        <w:rPr>
          <w:rFonts w:eastAsia="Times New Roman" w:cs="Times New Roman"/>
          <w:color w:val="000000" w:themeColor="text1"/>
        </w:rPr>
        <w:t>)</w:t>
      </w:r>
      <w:r w:rsidR="00EE384F">
        <w:rPr>
          <w:rFonts w:eastAsia="Times New Roman" w:cs="Times New Roman"/>
          <w:color w:val="000000" w:themeColor="text1"/>
        </w:rPr>
        <w:t>,</w:t>
      </w:r>
      <w:r w:rsidR="00DA49B5">
        <w:rPr>
          <w:rFonts w:eastAsia="Times New Roman" w:cs="Times New Roman"/>
          <w:color w:val="000000" w:themeColor="text1"/>
        </w:rPr>
        <w:t xml:space="preserve"> </w:t>
      </w:r>
      <w:r w:rsidR="001257F7">
        <w:rPr>
          <w:rFonts w:eastAsia="Times New Roman" w:cs="Times New Roman"/>
          <w:color w:val="000000" w:themeColor="text1"/>
        </w:rPr>
        <w:t xml:space="preserve">whether the </w:t>
      </w:r>
      <w:r w:rsidR="00A71083">
        <w:rPr>
          <w:rFonts w:eastAsia="Times New Roman" w:cs="Times New Roman"/>
          <w:color w:val="000000" w:themeColor="text1"/>
        </w:rPr>
        <w:t>distribution</w:t>
      </w:r>
      <w:r w:rsidR="001257F7">
        <w:rPr>
          <w:rFonts w:eastAsia="Times New Roman" w:cs="Times New Roman"/>
          <w:color w:val="000000" w:themeColor="text1"/>
        </w:rPr>
        <w:t xml:space="preserve"> of a “generic script” to </w:t>
      </w:r>
      <w:r w:rsidR="00A71083">
        <w:rPr>
          <w:rFonts w:eastAsia="Times New Roman" w:cs="Times New Roman"/>
          <w:color w:val="000000" w:themeColor="text1"/>
        </w:rPr>
        <w:t xml:space="preserve">facilitate </w:t>
      </w:r>
      <w:r w:rsidR="001257F7">
        <w:rPr>
          <w:rFonts w:eastAsia="Times New Roman" w:cs="Times New Roman"/>
          <w:color w:val="000000" w:themeColor="text1"/>
        </w:rPr>
        <w:t xml:space="preserve">“good cause” </w:t>
      </w:r>
      <w:r w:rsidR="00331993">
        <w:rPr>
          <w:rFonts w:eastAsia="Times New Roman" w:cs="Times New Roman"/>
          <w:color w:val="000000" w:themeColor="text1"/>
        </w:rPr>
        <w:t>findings without a bona fide hearing violated the requirements of section</w:t>
      </w:r>
      <w:r w:rsidR="00D7258F">
        <w:rPr>
          <w:rFonts w:eastAsia="Times New Roman" w:cs="Times New Roman"/>
          <w:color w:val="000000" w:themeColor="text1"/>
        </w:rPr>
        <w:t> </w:t>
      </w:r>
      <w:r w:rsidR="00331993">
        <w:rPr>
          <w:rFonts w:eastAsia="Times New Roman" w:cs="Times New Roman"/>
          <w:color w:val="000000" w:themeColor="text1"/>
        </w:rPr>
        <w:t>1049.5 and 1050(b)</w:t>
      </w:r>
      <w:r w:rsidR="00FB67EB">
        <w:rPr>
          <w:rFonts w:eastAsia="Times New Roman" w:cs="Times New Roman"/>
          <w:color w:val="000000" w:themeColor="text1"/>
        </w:rPr>
        <w:t>–</w:t>
      </w:r>
      <w:r w:rsidR="00331993">
        <w:rPr>
          <w:rFonts w:eastAsia="Times New Roman" w:cs="Times New Roman"/>
          <w:color w:val="000000" w:themeColor="text1"/>
        </w:rPr>
        <w:t>(</w:t>
      </w:r>
      <w:proofErr w:type="spellStart"/>
      <w:r w:rsidR="00331993">
        <w:rPr>
          <w:rFonts w:eastAsia="Times New Roman" w:cs="Times New Roman"/>
          <w:color w:val="000000" w:themeColor="text1"/>
        </w:rPr>
        <w:t>i</w:t>
      </w:r>
      <w:proofErr w:type="spellEnd"/>
      <w:r w:rsidR="00331993">
        <w:rPr>
          <w:rFonts w:eastAsia="Times New Roman" w:cs="Times New Roman"/>
          <w:color w:val="000000" w:themeColor="text1"/>
        </w:rPr>
        <w:t>).</w:t>
      </w:r>
    </w:p>
    <w:p w14:paraId="322FB24A" w14:textId="6C51C754" w:rsidR="0080647E" w:rsidRPr="006840B6" w:rsidRDefault="003D06AD" w:rsidP="797FBB80">
      <w:pPr>
        <w:spacing w:line="360" w:lineRule="auto"/>
        <w:ind w:firstLine="720"/>
        <w:contextualSpacing/>
        <w:rPr>
          <w:rFonts w:eastAsia="Times New Roman" w:cs="Times New Roman"/>
          <w:i/>
          <w:iCs/>
          <w:color w:val="000000" w:themeColor="text1"/>
        </w:rPr>
      </w:pPr>
      <w:r w:rsidRPr="797FBB80">
        <w:rPr>
          <w:rFonts w:eastAsia="Times New Roman" w:cs="Times New Roman"/>
          <w:color w:val="000000" w:themeColor="text1"/>
        </w:rPr>
        <w:t xml:space="preserve">Having concluded </w:t>
      </w:r>
      <w:r w:rsidR="2F061046" w:rsidRPr="797FBB80">
        <w:rPr>
          <w:rFonts w:eastAsia="Times New Roman" w:cs="Times New Roman"/>
          <w:color w:val="000000" w:themeColor="text1"/>
        </w:rPr>
        <w:t>that plaintiffs have ad</w:t>
      </w:r>
      <w:r w:rsidR="15B851B1" w:rsidRPr="797FBB80">
        <w:rPr>
          <w:rFonts w:eastAsia="Times New Roman" w:cs="Times New Roman"/>
          <w:color w:val="000000" w:themeColor="text1"/>
        </w:rPr>
        <w:t>e</w:t>
      </w:r>
      <w:r w:rsidR="2F061046" w:rsidRPr="797FBB80">
        <w:rPr>
          <w:rFonts w:eastAsia="Times New Roman" w:cs="Times New Roman"/>
          <w:color w:val="000000" w:themeColor="text1"/>
        </w:rPr>
        <w:t xml:space="preserve">quately pleaded a right to declaratory relief, we </w:t>
      </w:r>
      <w:r w:rsidR="45A1FCAE" w:rsidRPr="797FBB80">
        <w:rPr>
          <w:rFonts w:eastAsia="Times New Roman" w:cs="Times New Roman"/>
          <w:color w:val="000000" w:themeColor="text1"/>
        </w:rPr>
        <w:t xml:space="preserve">need not </w:t>
      </w:r>
      <w:r w:rsidR="2F061046" w:rsidRPr="797FBB80">
        <w:rPr>
          <w:rFonts w:eastAsia="Times New Roman" w:cs="Times New Roman"/>
          <w:color w:val="000000" w:themeColor="text1"/>
        </w:rPr>
        <w:t>address defendants’ challenges to injunctive relief</w:t>
      </w:r>
      <w:r w:rsidR="5674CF05" w:rsidRPr="797FBB80">
        <w:rPr>
          <w:rFonts w:eastAsia="Times New Roman" w:cs="Times New Roman"/>
          <w:color w:val="000000" w:themeColor="text1"/>
        </w:rPr>
        <w:t>, but observe as follows:</w:t>
      </w:r>
      <w:r w:rsidR="2F061046" w:rsidRPr="797FBB80">
        <w:rPr>
          <w:rFonts w:eastAsia="Times New Roman" w:cs="Times New Roman"/>
          <w:color w:val="000000" w:themeColor="text1"/>
        </w:rPr>
        <w:t xml:space="preserve"> </w:t>
      </w:r>
      <w:r w:rsidR="19F1315E" w:rsidRPr="797FBB80">
        <w:rPr>
          <w:rFonts w:eastAsia="Times New Roman" w:cs="Times New Roman"/>
          <w:color w:val="000000" w:themeColor="text1"/>
        </w:rPr>
        <w:t xml:space="preserve">First, </w:t>
      </w:r>
      <w:r w:rsidR="2F061046" w:rsidRPr="797FBB80">
        <w:rPr>
          <w:rFonts w:eastAsia="Times New Roman" w:cs="Times New Roman"/>
          <w:color w:val="000000" w:themeColor="text1"/>
        </w:rPr>
        <w:t>defe</w:t>
      </w:r>
      <w:r w:rsidR="60240CD7" w:rsidRPr="797FBB80">
        <w:rPr>
          <w:rFonts w:eastAsia="Times New Roman" w:cs="Times New Roman"/>
          <w:color w:val="000000" w:themeColor="text1"/>
        </w:rPr>
        <w:t>ndants</w:t>
      </w:r>
      <w:r w:rsidR="00687785">
        <w:rPr>
          <w:rFonts w:eastAsia="Times New Roman" w:cs="Times New Roman"/>
          <w:color w:val="000000" w:themeColor="text1"/>
        </w:rPr>
        <w:t xml:space="preserve"> erroneously</w:t>
      </w:r>
      <w:r w:rsidR="60240CD7" w:rsidRPr="797FBB80">
        <w:rPr>
          <w:rFonts w:eastAsia="Times New Roman" w:cs="Times New Roman"/>
          <w:color w:val="000000" w:themeColor="text1"/>
        </w:rPr>
        <w:t xml:space="preserve"> conten</w:t>
      </w:r>
      <w:r w:rsidR="00687785">
        <w:rPr>
          <w:rFonts w:eastAsia="Times New Roman" w:cs="Times New Roman"/>
          <w:color w:val="000000" w:themeColor="text1"/>
        </w:rPr>
        <w:t>d</w:t>
      </w:r>
      <w:r w:rsidR="60240CD7" w:rsidRPr="797FBB80">
        <w:rPr>
          <w:rFonts w:eastAsia="Times New Roman" w:cs="Times New Roman"/>
          <w:color w:val="000000" w:themeColor="text1"/>
        </w:rPr>
        <w:t xml:space="preserve"> that plaintiffs must demonstrate</w:t>
      </w:r>
      <w:r w:rsidRPr="797FBB80">
        <w:rPr>
          <w:rFonts w:eastAsia="Times New Roman" w:cs="Times New Roman"/>
          <w:color w:val="000000" w:themeColor="text1"/>
        </w:rPr>
        <w:t xml:space="preserve"> particularized</w:t>
      </w:r>
      <w:r w:rsidR="01E261AB" w:rsidRPr="797FBB80">
        <w:rPr>
          <w:rFonts w:eastAsia="Times New Roman" w:cs="Times New Roman"/>
          <w:color w:val="000000" w:themeColor="text1"/>
        </w:rPr>
        <w:t>, individual</w:t>
      </w:r>
      <w:r w:rsidRPr="797FBB80">
        <w:rPr>
          <w:rFonts w:eastAsia="Times New Roman" w:cs="Times New Roman"/>
          <w:color w:val="000000" w:themeColor="text1"/>
        </w:rPr>
        <w:t xml:space="preserve"> injury</w:t>
      </w:r>
      <w:r w:rsidR="06178E08" w:rsidRPr="797FBB80">
        <w:rPr>
          <w:rFonts w:eastAsia="Times New Roman" w:cs="Times New Roman"/>
          <w:color w:val="000000" w:themeColor="text1"/>
        </w:rPr>
        <w:t xml:space="preserve"> to themselves </w:t>
      </w:r>
      <w:r w:rsidR="009C68C5">
        <w:rPr>
          <w:rFonts w:eastAsia="Times New Roman" w:cs="Times New Roman"/>
          <w:color w:val="000000" w:themeColor="text1"/>
        </w:rPr>
        <w:t>to obtain</w:t>
      </w:r>
      <w:r w:rsidR="4F83F0FC" w:rsidRPr="797FBB80">
        <w:rPr>
          <w:rFonts w:eastAsia="Times New Roman" w:cs="Times New Roman"/>
          <w:color w:val="000000" w:themeColor="text1"/>
        </w:rPr>
        <w:t xml:space="preserve"> injunctive relief</w:t>
      </w:r>
      <w:r w:rsidR="009C68C5">
        <w:rPr>
          <w:rFonts w:eastAsia="Times New Roman" w:cs="Times New Roman"/>
          <w:color w:val="000000" w:themeColor="text1"/>
        </w:rPr>
        <w:t xml:space="preserve"> under </w:t>
      </w:r>
      <w:r w:rsidR="00183E0C">
        <w:rPr>
          <w:rFonts w:eastAsia="Times New Roman" w:cs="Times New Roman"/>
          <w:color w:val="000000" w:themeColor="text1"/>
        </w:rPr>
        <w:t xml:space="preserve">Code of Civil Procedure </w:t>
      </w:r>
      <w:r w:rsidR="009C68C5">
        <w:rPr>
          <w:rFonts w:eastAsia="Times New Roman" w:cs="Times New Roman"/>
          <w:color w:val="000000" w:themeColor="text1"/>
        </w:rPr>
        <w:t>section</w:t>
      </w:r>
      <w:r w:rsidR="00D7258F">
        <w:rPr>
          <w:rFonts w:eastAsia="Times New Roman" w:cs="Times New Roman"/>
          <w:color w:val="000000" w:themeColor="text1"/>
        </w:rPr>
        <w:t> </w:t>
      </w:r>
      <w:r w:rsidR="009C68C5">
        <w:rPr>
          <w:rFonts w:eastAsia="Times New Roman" w:cs="Times New Roman"/>
          <w:color w:val="000000" w:themeColor="text1"/>
        </w:rPr>
        <w:t>526a</w:t>
      </w:r>
      <w:r w:rsidR="0D951C89" w:rsidRPr="797FBB80">
        <w:rPr>
          <w:rFonts w:eastAsia="Times New Roman" w:cs="Times New Roman"/>
          <w:color w:val="000000" w:themeColor="text1"/>
        </w:rPr>
        <w:t>.</w:t>
      </w:r>
      <w:r w:rsidR="06AB83C9" w:rsidRPr="797FBB80">
        <w:rPr>
          <w:rFonts w:eastAsia="Times New Roman" w:cs="Times New Roman"/>
          <w:color w:val="000000" w:themeColor="text1"/>
        </w:rPr>
        <w:t xml:space="preserve"> As was stated unequivocally in </w:t>
      </w:r>
      <w:r w:rsidR="06AB83C9" w:rsidRPr="00746176">
        <w:rPr>
          <w:rFonts w:eastAsia="Times New Roman" w:cs="Times New Roman"/>
          <w:i/>
          <w:color w:val="000000" w:themeColor="text1"/>
        </w:rPr>
        <w:t>Blair</w:t>
      </w:r>
      <w:r w:rsidR="06AB83C9" w:rsidRPr="797FBB80">
        <w:rPr>
          <w:rFonts w:eastAsia="Times New Roman" w:cs="Times New Roman"/>
          <w:color w:val="000000" w:themeColor="text1"/>
        </w:rPr>
        <w:t xml:space="preserve">, </w:t>
      </w:r>
      <w:proofErr w:type="gramStart"/>
      <w:r w:rsidR="06AB83C9" w:rsidRPr="797FBB80">
        <w:rPr>
          <w:rFonts w:eastAsia="Times New Roman" w:cs="Times New Roman"/>
          <w:color w:val="000000" w:themeColor="text1"/>
        </w:rPr>
        <w:t>“</w:t>
      </w:r>
      <w:r w:rsidR="00FB67EB">
        <w:rPr>
          <w:rFonts w:eastAsia="Times New Roman" w:cs="Times New Roman"/>
          <w:color w:val="000000" w:themeColor="text1"/>
        </w:rPr>
        <w:t> </w:t>
      </w:r>
      <w:r w:rsidR="06AB83C9" w:rsidRPr="797FBB80">
        <w:rPr>
          <w:rFonts w:eastAsia="Times New Roman" w:cs="Times New Roman"/>
          <w:color w:val="000000" w:themeColor="text1"/>
        </w:rPr>
        <w:t>[</w:t>
      </w:r>
      <w:proofErr w:type="gramEnd"/>
      <w:r w:rsidR="06AB83C9" w:rsidRPr="797FBB80">
        <w:rPr>
          <w:rFonts w:eastAsia="Times New Roman" w:cs="Times New Roman"/>
          <w:color w:val="000000" w:themeColor="text1"/>
        </w:rPr>
        <w:t xml:space="preserve">I]t has never been the rule in this state that the parties in suits under </w:t>
      </w:r>
      <w:r w:rsidR="00183E0C">
        <w:rPr>
          <w:rFonts w:eastAsia="Times New Roman" w:cs="Times New Roman"/>
          <w:color w:val="000000" w:themeColor="text1"/>
        </w:rPr>
        <w:t xml:space="preserve">[Code of Civil Procedure] </w:t>
      </w:r>
      <w:r w:rsidR="06AB83C9" w:rsidRPr="797FBB80">
        <w:rPr>
          <w:rFonts w:eastAsia="Times New Roman" w:cs="Times New Roman"/>
          <w:color w:val="000000" w:themeColor="text1"/>
        </w:rPr>
        <w:t xml:space="preserve">section 526a must have a personal interest in the litigation. We specifically stated in </w:t>
      </w:r>
      <w:r w:rsidR="06AB83C9" w:rsidRPr="00746176">
        <w:rPr>
          <w:rFonts w:eastAsia="Times New Roman" w:cs="Times New Roman"/>
          <w:i/>
          <w:color w:val="000000" w:themeColor="text1"/>
        </w:rPr>
        <w:t>Crowe v. Boyle</w:t>
      </w:r>
      <w:r w:rsidR="009B5010">
        <w:rPr>
          <w:rFonts w:eastAsia="Times New Roman" w:cs="Times New Roman"/>
          <w:i/>
          <w:color w:val="000000" w:themeColor="text1"/>
        </w:rPr>
        <w:t xml:space="preserve"> </w:t>
      </w:r>
      <w:r w:rsidR="009B5010">
        <w:rPr>
          <w:rFonts w:eastAsia="Times New Roman" w:cs="Times New Roman"/>
          <w:iCs/>
          <w:color w:val="000000" w:themeColor="text1"/>
        </w:rPr>
        <w:lastRenderedPageBreak/>
        <w:t>[(1920)]</w:t>
      </w:r>
      <w:r w:rsidR="06AB83C9" w:rsidRPr="797FBB80">
        <w:rPr>
          <w:rFonts w:eastAsia="Times New Roman" w:cs="Times New Roman"/>
          <w:color w:val="000000" w:themeColor="text1"/>
        </w:rPr>
        <w:t xml:space="preserve"> 184</w:t>
      </w:r>
      <w:r w:rsidR="00961C84">
        <w:rPr>
          <w:rFonts w:eastAsia="Times New Roman" w:cs="Times New Roman"/>
          <w:color w:val="000000" w:themeColor="text1"/>
        </w:rPr>
        <w:t> </w:t>
      </w:r>
      <w:r w:rsidR="06AB83C9" w:rsidRPr="797FBB80">
        <w:rPr>
          <w:rFonts w:eastAsia="Times New Roman" w:cs="Times New Roman"/>
          <w:color w:val="000000" w:themeColor="text1"/>
        </w:rPr>
        <w:t xml:space="preserve">Cal. 117, 152 that </w:t>
      </w:r>
      <w:r w:rsidR="004514B5">
        <w:rPr>
          <w:rFonts w:eastAsia="Times New Roman" w:cs="Times New Roman"/>
          <w:color w:val="000000" w:themeColor="text1"/>
        </w:rPr>
        <w:t>‘</w:t>
      </w:r>
      <w:r w:rsidR="06AB83C9" w:rsidRPr="797FBB80">
        <w:rPr>
          <w:rFonts w:eastAsia="Times New Roman" w:cs="Times New Roman"/>
          <w:color w:val="000000" w:themeColor="text1"/>
        </w:rPr>
        <w:t>no showing of special damage to the particular taxpayer has been held necessary.</w:t>
      </w:r>
      <w:proofErr w:type="gramStart"/>
      <w:r w:rsidR="00FA26EF">
        <w:rPr>
          <w:rFonts w:eastAsia="Times New Roman" w:cs="Times New Roman"/>
          <w:color w:val="000000" w:themeColor="text1"/>
        </w:rPr>
        <w:t>’</w:t>
      </w:r>
      <w:r w:rsidR="00C15F0F">
        <w:rPr>
          <w:rFonts w:eastAsia="Times New Roman" w:cs="Times New Roman"/>
          <w:color w:val="000000" w:themeColor="text1"/>
        </w:rPr>
        <w:t> </w:t>
      </w:r>
      <w:r w:rsidR="06AB83C9" w:rsidRPr="797FBB80">
        <w:rPr>
          <w:rFonts w:eastAsia="Times New Roman" w:cs="Times New Roman"/>
          <w:color w:val="000000" w:themeColor="text1"/>
        </w:rPr>
        <w:t>”</w:t>
      </w:r>
      <w:proofErr w:type="gramEnd"/>
      <w:r w:rsidR="30DEE586" w:rsidRPr="797FBB80">
        <w:rPr>
          <w:rFonts w:eastAsia="Times New Roman" w:cs="Times New Roman"/>
          <w:color w:val="000000" w:themeColor="text1"/>
        </w:rPr>
        <w:t xml:space="preserve"> (</w:t>
      </w:r>
      <w:r w:rsidR="30DEE586" w:rsidRPr="797FBB80">
        <w:rPr>
          <w:rFonts w:eastAsia="Times New Roman" w:cs="Times New Roman"/>
          <w:i/>
          <w:iCs/>
          <w:color w:val="000000" w:themeColor="text1"/>
        </w:rPr>
        <w:t xml:space="preserve">Blair, </w:t>
      </w:r>
      <w:r w:rsidR="30DEE586" w:rsidRPr="00C15F0F">
        <w:rPr>
          <w:rFonts w:eastAsia="Times New Roman" w:cs="Times New Roman"/>
          <w:i/>
          <w:color w:val="000000" w:themeColor="text1"/>
        </w:rPr>
        <w:t>supra</w:t>
      </w:r>
      <w:r w:rsidR="30DEE586" w:rsidRPr="797FBB80">
        <w:rPr>
          <w:rFonts w:eastAsia="Times New Roman" w:cs="Times New Roman"/>
          <w:i/>
          <w:iCs/>
          <w:color w:val="000000" w:themeColor="text1"/>
        </w:rPr>
        <w:t xml:space="preserve">, </w:t>
      </w:r>
      <w:r w:rsidR="30DEE586" w:rsidRPr="008D6CDF">
        <w:rPr>
          <w:rFonts w:eastAsia="Times New Roman" w:cs="Times New Roman"/>
          <w:color w:val="000000" w:themeColor="text1"/>
        </w:rPr>
        <w:t>5</w:t>
      </w:r>
      <w:r w:rsidR="001A47A0">
        <w:rPr>
          <w:rFonts w:eastAsia="Times New Roman" w:cs="Times New Roman"/>
          <w:color w:val="000000" w:themeColor="text1"/>
        </w:rPr>
        <w:t> </w:t>
      </w:r>
      <w:r w:rsidR="30DEE586" w:rsidRPr="008D6CDF">
        <w:rPr>
          <w:rFonts w:eastAsia="Times New Roman" w:cs="Times New Roman"/>
          <w:color w:val="000000" w:themeColor="text1"/>
        </w:rPr>
        <w:t xml:space="preserve">Cal.3d </w:t>
      </w:r>
      <w:r w:rsidR="003F0440">
        <w:rPr>
          <w:rFonts w:eastAsia="Times New Roman" w:cs="Times New Roman"/>
          <w:color w:val="000000" w:themeColor="text1"/>
        </w:rPr>
        <w:t>at pp. </w:t>
      </w:r>
      <w:r w:rsidR="30DEE586" w:rsidRPr="008D6CDF">
        <w:rPr>
          <w:rFonts w:eastAsia="Times New Roman" w:cs="Times New Roman"/>
          <w:color w:val="000000" w:themeColor="text1"/>
        </w:rPr>
        <w:t>269–</w:t>
      </w:r>
      <w:r w:rsidR="5977DB1C" w:rsidRPr="797FBB80">
        <w:rPr>
          <w:rFonts w:eastAsia="Times New Roman" w:cs="Times New Roman"/>
          <w:color w:val="000000" w:themeColor="text1"/>
        </w:rPr>
        <w:t>2</w:t>
      </w:r>
      <w:r w:rsidR="30DEE586" w:rsidRPr="008D6CDF">
        <w:rPr>
          <w:rFonts w:eastAsia="Times New Roman" w:cs="Times New Roman"/>
          <w:color w:val="000000" w:themeColor="text1"/>
        </w:rPr>
        <w:t>70</w:t>
      </w:r>
      <w:r w:rsidR="63C93045">
        <w:t>.</w:t>
      </w:r>
      <w:r w:rsidR="30DEE586" w:rsidRPr="008D6CDF">
        <w:rPr>
          <w:rFonts w:eastAsia="Times New Roman" w:cs="Times New Roman"/>
          <w:color w:val="000000" w:themeColor="text1"/>
        </w:rPr>
        <w:t>)</w:t>
      </w:r>
    </w:p>
    <w:p w14:paraId="5DEA28B8" w14:textId="3E50B698" w:rsidR="0080647E" w:rsidRPr="006840B6" w:rsidRDefault="003D06AD" w:rsidP="3DE41553">
      <w:pPr>
        <w:spacing w:line="360" w:lineRule="auto"/>
        <w:ind w:firstLine="720"/>
        <w:contextualSpacing/>
        <w:rPr>
          <w:rFonts w:eastAsia="Times New Roman" w:cs="Times New Roman"/>
          <w:color w:val="000000" w:themeColor="text1"/>
        </w:rPr>
      </w:pPr>
      <w:r>
        <w:rPr>
          <w:rFonts w:cs="Times New Roman"/>
          <w:color w:val="000000" w:themeColor="text1"/>
        </w:rPr>
        <w:t>Second, d</w:t>
      </w:r>
      <w:r w:rsidR="21E88D07" w:rsidRPr="797FBB80">
        <w:rPr>
          <w:rFonts w:cs="Times New Roman"/>
          <w:color w:val="000000" w:themeColor="text1"/>
        </w:rPr>
        <w:t>efendants</w:t>
      </w:r>
      <w:r w:rsidR="00843DCC">
        <w:rPr>
          <w:rFonts w:cs="Times New Roman"/>
          <w:color w:val="000000" w:themeColor="text1"/>
        </w:rPr>
        <w:t xml:space="preserve"> </w:t>
      </w:r>
      <w:r w:rsidR="00002CCD">
        <w:rPr>
          <w:rFonts w:cs="Times New Roman"/>
          <w:color w:val="000000" w:themeColor="text1"/>
        </w:rPr>
        <w:t>claim</w:t>
      </w:r>
      <w:r w:rsidR="00843DCC">
        <w:rPr>
          <w:rFonts w:cs="Times New Roman"/>
          <w:color w:val="000000" w:themeColor="text1"/>
        </w:rPr>
        <w:t xml:space="preserve"> that </w:t>
      </w:r>
      <w:proofErr w:type="spellStart"/>
      <w:r w:rsidR="5EBAF8F1" w:rsidRPr="797FBB80">
        <w:rPr>
          <w:rFonts w:eastAsia="Times New Roman" w:cs="Times New Roman"/>
          <w:i/>
          <w:iCs/>
          <w:color w:val="000000" w:themeColor="text1"/>
        </w:rPr>
        <w:t>Connerly</w:t>
      </w:r>
      <w:proofErr w:type="spellEnd"/>
      <w:r w:rsidR="247E763F" w:rsidRPr="797FBB80">
        <w:rPr>
          <w:rFonts w:eastAsia="Times New Roman" w:cs="Times New Roman"/>
          <w:color w:val="000000" w:themeColor="text1"/>
        </w:rPr>
        <w:t xml:space="preserve"> held</w:t>
      </w:r>
      <w:r w:rsidR="35A8A141" w:rsidRPr="797FBB80">
        <w:rPr>
          <w:rFonts w:eastAsia="Times New Roman" w:cs="Times New Roman"/>
          <w:color w:val="000000" w:themeColor="text1"/>
        </w:rPr>
        <w:t xml:space="preserve"> that </w:t>
      </w:r>
      <w:r w:rsidR="5EBAF8F1" w:rsidRPr="797FBB80">
        <w:rPr>
          <w:rFonts w:eastAsia="Times New Roman" w:cs="Times New Roman"/>
          <w:color w:val="000000" w:themeColor="text1"/>
        </w:rPr>
        <w:t>“[w]</w:t>
      </w:r>
      <w:proofErr w:type="spellStart"/>
      <w:r w:rsidR="5EBAF8F1" w:rsidRPr="797FBB80">
        <w:rPr>
          <w:rFonts w:eastAsia="Times New Roman" w:cs="Times New Roman"/>
          <w:color w:val="000000" w:themeColor="text1"/>
        </w:rPr>
        <w:t>ithout</w:t>
      </w:r>
      <w:proofErr w:type="spellEnd"/>
      <w:r w:rsidR="5EBAF8F1" w:rsidRPr="797FBB80">
        <w:rPr>
          <w:rFonts w:eastAsia="Times New Roman" w:cs="Times New Roman"/>
          <w:color w:val="000000" w:themeColor="text1"/>
        </w:rPr>
        <w:t xml:space="preserve"> a threat of present or future injury, no injunction can lie</w:t>
      </w:r>
      <w:r w:rsidR="393DA227" w:rsidRPr="797FBB80">
        <w:rPr>
          <w:rFonts w:eastAsia="Times New Roman" w:cs="Times New Roman"/>
          <w:color w:val="000000" w:themeColor="text1"/>
        </w:rPr>
        <w:t>.</w:t>
      </w:r>
      <w:r w:rsidR="5EBAF8F1" w:rsidRPr="797FBB80">
        <w:rPr>
          <w:rFonts w:eastAsia="Times New Roman" w:cs="Times New Roman"/>
          <w:color w:val="000000" w:themeColor="text1"/>
        </w:rPr>
        <w:t>” (</w:t>
      </w:r>
      <w:proofErr w:type="spellStart"/>
      <w:r w:rsidR="00E94B7E" w:rsidRPr="797FBB80">
        <w:rPr>
          <w:rFonts w:eastAsia="Times New Roman" w:cs="Times New Roman"/>
          <w:i/>
          <w:iCs/>
          <w:color w:val="000000" w:themeColor="text1"/>
        </w:rPr>
        <w:t>Connerly</w:t>
      </w:r>
      <w:proofErr w:type="spellEnd"/>
      <w:r w:rsidR="00E94B7E">
        <w:rPr>
          <w:rFonts w:eastAsia="Times New Roman" w:cs="Times New Roman"/>
          <w:i/>
          <w:iCs/>
          <w:color w:val="000000" w:themeColor="text1"/>
        </w:rPr>
        <w:t>, supra,</w:t>
      </w:r>
      <w:r w:rsidR="00E94B7E" w:rsidRPr="797FBB80">
        <w:rPr>
          <w:rFonts w:eastAsia="Times New Roman" w:cs="Times New Roman"/>
          <w:color w:val="000000" w:themeColor="text1"/>
        </w:rPr>
        <w:t xml:space="preserve"> </w:t>
      </w:r>
      <w:r w:rsidR="5EBAF8F1" w:rsidRPr="797FBB80">
        <w:rPr>
          <w:rFonts w:eastAsia="Times New Roman" w:cs="Times New Roman"/>
          <w:color w:val="000000" w:themeColor="text1"/>
        </w:rPr>
        <w:t>146 Cal.App.4th at p. </w:t>
      </w:r>
      <w:r w:rsidR="008B4FE6">
        <w:rPr>
          <w:rFonts w:eastAsia="Times New Roman" w:cs="Times New Roman"/>
          <w:color w:val="000000" w:themeColor="text1"/>
        </w:rPr>
        <w:t>7</w:t>
      </w:r>
      <w:r w:rsidR="5EBAF8F1" w:rsidRPr="797FBB80">
        <w:rPr>
          <w:rFonts w:eastAsia="Times New Roman" w:cs="Times New Roman"/>
          <w:color w:val="000000" w:themeColor="text1"/>
        </w:rPr>
        <w:t>51)</w:t>
      </w:r>
      <w:r w:rsidR="259FB0A5" w:rsidRPr="797FBB80">
        <w:rPr>
          <w:rFonts w:eastAsia="Times New Roman" w:cs="Times New Roman"/>
          <w:color w:val="000000" w:themeColor="text1"/>
        </w:rPr>
        <w:t xml:space="preserve"> </w:t>
      </w:r>
      <w:r w:rsidR="5A46ED86" w:rsidRPr="797FBB80">
        <w:rPr>
          <w:rFonts w:eastAsia="Times New Roman" w:cs="Times New Roman"/>
          <w:color w:val="000000" w:themeColor="text1"/>
        </w:rPr>
        <w:t>This selective quotation</w:t>
      </w:r>
      <w:r w:rsidR="00002CCD">
        <w:rPr>
          <w:rFonts w:eastAsia="Times New Roman" w:cs="Times New Roman"/>
          <w:color w:val="000000" w:themeColor="text1"/>
        </w:rPr>
        <w:t>, however,</w:t>
      </w:r>
      <w:r w:rsidR="5A46ED86" w:rsidRPr="797FBB80">
        <w:rPr>
          <w:rFonts w:eastAsia="Times New Roman" w:cs="Times New Roman"/>
          <w:color w:val="000000" w:themeColor="text1"/>
        </w:rPr>
        <w:t xml:space="preserve"> is outright misleading. </w:t>
      </w:r>
      <w:r w:rsidR="5EBAF8F1" w:rsidRPr="797FBB80">
        <w:rPr>
          <w:rFonts w:eastAsia="Times New Roman" w:cs="Times New Roman"/>
          <w:color w:val="000000" w:themeColor="text1"/>
        </w:rPr>
        <w:t xml:space="preserve">In fact, the Third Appellate District </w:t>
      </w:r>
      <w:r w:rsidR="00EA6040">
        <w:rPr>
          <w:rFonts w:eastAsia="Times New Roman" w:cs="Times New Roman"/>
          <w:color w:val="000000" w:themeColor="text1"/>
        </w:rPr>
        <w:t>held that</w:t>
      </w:r>
      <w:r w:rsidR="00EA6040" w:rsidRPr="797FBB80">
        <w:rPr>
          <w:rFonts w:eastAsia="Times New Roman" w:cs="Times New Roman"/>
          <w:color w:val="000000" w:themeColor="text1"/>
        </w:rPr>
        <w:t xml:space="preserve"> </w:t>
      </w:r>
      <w:r w:rsidR="5EBAF8F1" w:rsidRPr="797FBB80">
        <w:rPr>
          <w:rFonts w:eastAsia="Times New Roman" w:cs="Times New Roman"/>
          <w:color w:val="000000" w:themeColor="text1"/>
        </w:rPr>
        <w:t xml:space="preserve">the general rule </w:t>
      </w:r>
      <w:r w:rsidR="00EA6040">
        <w:rPr>
          <w:rFonts w:eastAsia="Times New Roman" w:cs="Times New Roman"/>
          <w:color w:val="000000" w:themeColor="text1"/>
        </w:rPr>
        <w:t>(</w:t>
      </w:r>
      <w:r w:rsidR="00DB078D">
        <w:rPr>
          <w:rFonts w:eastAsia="Times New Roman" w:cs="Times New Roman"/>
          <w:color w:val="000000" w:themeColor="text1"/>
        </w:rPr>
        <w:t xml:space="preserve">requiring a party to show </w:t>
      </w:r>
      <w:r w:rsidR="00812262">
        <w:rPr>
          <w:rFonts w:eastAsia="Times New Roman" w:cs="Times New Roman"/>
          <w:color w:val="000000" w:themeColor="text1"/>
        </w:rPr>
        <w:t>particularized injury to obtain an injunction)</w:t>
      </w:r>
      <w:r w:rsidR="00DB078D" w:rsidRPr="797FBB80">
        <w:rPr>
          <w:rFonts w:eastAsia="Times New Roman" w:cs="Times New Roman"/>
          <w:color w:val="000000" w:themeColor="text1"/>
        </w:rPr>
        <w:t xml:space="preserve"> </w:t>
      </w:r>
      <w:r w:rsidR="5EBAF8F1" w:rsidRPr="797FBB80">
        <w:rPr>
          <w:rFonts w:eastAsia="Times New Roman" w:cs="Times New Roman"/>
          <w:i/>
          <w:iCs/>
          <w:color w:val="000000" w:themeColor="text1"/>
        </w:rPr>
        <w:t>does not apply</w:t>
      </w:r>
      <w:r w:rsidR="5EBAF8F1" w:rsidRPr="797FBB80">
        <w:rPr>
          <w:rFonts w:eastAsia="Times New Roman" w:cs="Times New Roman"/>
          <w:color w:val="000000" w:themeColor="text1"/>
        </w:rPr>
        <w:t xml:space="preserve"> in a </w:t>
      </w:r>
      <w:r w:rsidR="00183E0C">
        <w:rPr>
          <w:rFonts w:eastAsia="Times New Roman" w:cs="Times New Roman"/>
          <w:color w:val="000000" w:themeColor="text1"/>
        </w:rPr>
        <w:t>statutory taxpayer</w:t>
      </w:r>
      <w:r w:rsidR="5EBAF8F1" w:rsidRPr="797FBB80">
        <w:rPr>
          <w:rFonts w:eastAsia="Times New Roman" w:cs="Times New Roman"/>
          <w:color w:val="000000" w:themeColor="text1"/>
        </w:rPr>
        <w:t xml:space="preserve"> action,</w:t>
      </w:r>
      <w:r w:rsidR="5EBAF8F1" w:rsidRPr="797FBB80">
        <w:rPr>
          <w:rFonts w:eastAsia="Times New Roman" w:cs="Times New Roman"/>
          <w:i/>
          <w:iCs/>
          <w:color w:val="000000" w:themeColor="text1"/>
        </w:rPr>
        <w:t xml:space="preserve"> “</w:t>
      </w:r>
      <w:r w:rsidR="5EBAF8F1" w:rsidRPr="797FBB80">
        <w:rPr>
          <w:rFonts w:eastAsia="Times New Roman" w:cs="Times New Roman"/>
          <w:color w:val="000000" w:themeColor="text1"/>
        </w:rPr>
        <w:t>which allows a taxpayer the right to bring an action</w:t>
      </w:r>
      <w:r w:rsidR="5EBAF8F1" w:rsidRPr="797FBB80">
        <w:rPr>
          <w:rFonts w:eastAsia="Times New Roman" w:cs="Times New Roman"/>
          <w:i/>
          <w:iCs/>
          <w:color w:val="000000" w:themeColor="text1"/>
        </w:rPr>
        <w:t xml:space="preserve"> to restrain </w:t>
      </w:r>
      <w:r w:rsidR="5EBAF8F1" w:rsidRPr="797FBB80">
        <w:rPr>
          <w:rFonts w:eastAsia="Times New Roman" w:cs="Times New Roman"/>
          <w:color w:val="000000" w:themeColor="text1"/>
        </w:rPr>
        <w:t>an illegal expenditure of public money</w:t>
      </w:r>
      <w:r w:rsidR="5EBAF8F1" w:rsidRPr="797FBB80">
        <w:rPr>
          <w:rFonts w:eastAsia="Times New Roman" w:cs="Times New Roman"/>
          <w:i/>
          <w:iCs/>
          <w:color w:val="000000" w:themeColor="text1"/>
        </w:rPr>
        <w:t xml:space="preserve"> without a showing of special injury.</w:t>
      </w:r>
      <w:r w:rsidR="5EBAF8F1" w:rsidRPr="00526A75">
        <w:rPr>
          <w:rFonts w:eastAsia="Times New Roman" w:cs="Times New Roman"/>
          <w:color w:val="000000" w:themeColor="text1"/>
        </w:rPr>
        <w:t xml:space="preserve">” </w:t>
      </w:r>
      <w:r w:rsidR="5EBAF8F1" w:rsidRPr="797FBB80">
        <w:rPr>
          <w:rFonts w:eastAsia="Times New Roman" w:cs="Times New Roman"/>
          <w:color w:val="000000" w:themeColor="text1"/>
        </w:rPr>
        <w:t>(</w:t>
      </w:r>
      <w:r w:rsidR="5EBAF8F1" w:rsidRPr="797FBB80">
        <w:rPr>
          <w:rFonts w:eastAsia="Times New Roman" w:cs="Times New Roman"/>
          <w:i/>
          <w:iCs/>
          <w:color w:val="000000" w:themeColor="text1"/>
        </w:rPr>
        <w:t xml:space="preserve">Id. </w:t>
      </w:r>
      <w:r w:rsidR="5EBAF8F1" w:rsidRPr="797FBB80">
        <w:rPr>
          <w:rFonts w:eastAsia="Times New Roman" w:cs="Times New Roman"/>
          <w:color w:val="000000" w:themeColor="text1"/>
        </w:rPr>
        <w:t>at p.</w:t>
      </w:r>
      <w:r w:rsidR="0036112D">
        <w:rPr>
          <w:rFonts w:eastAsia="Times New Roman" w:cs="Times New Roman"/>
          <w:color w:val="000000" w:themeColor="text1"/>
        </w:rPr>
        <w:t> </w:t>
      </w:r>
      <w:r w:rsidR="5EBAF8F1" w:rsidRPr="797FBB80">
        <w:rPr>
          <w:rFonts w:eastAsia="Times New Roman" w:cs="Times New Roman"/>
          <w:color w:val="000000" w:themeColor="text1"/>
        </w:rPr>
        <w:t>749, italics added.</w:t>
      </w:r>
      <w:r w:rsidR="0036112D">
        <w:rPr>
          <w:rFonts w:eastAsia="Times New Roman" w:cs="Times New Roman"/>
          <w:color w:val="000000" w:themeColor="text1"/>
        </w:rPr>
        <w:t>)</w:t>
      </w:r>
      <w:r>
        <w:rPr>
          <w:rStyle w:val="FootnoteReference"/>
          <w:rFonts w:eastAsia="Times New Roman" w:cs="Times New Roman"/>
          <w:color w:val="000000" w:themeColor="text1"/>
        </w:rPr>
        <w:footnoteReference w:id="31"/>
      </w:r>
    </w:p>
    <w:p w14:paraId="6AC5D70E" w14:textId="2F6A3D92" w:rsidR="0080647E" w:rsidRPr="006840B6" w:rsidRDefault="003D06AD" w:rsidP="3DE41553">
      <w:pPr>
        <w:spacing w:line="360" w:lineRule="auto"/>
        <w:ind w:firstLine="720"/>
        <w:contextualSpacing/>
      </w:pPr>
      <w:r w:rsidRPr="3DE41553">
        <w:rPr>
          <w:rFonts w:cs="Times New Roman"/>
          <w:color w:val="000000" w:themeColor="text1"/>
        </w:rPr>
        <w:t xml:space="preserve">Defendants similarly </w:t>
      </w:r>
      <w:r w:rsidR="6F0EFF08" w:rsidRPr="3DE41553">
        <w:rPr>
          <w:rFonts w:cs="Times New Roman"/>
          <w:color w:val="000000" w:themeColor="text1"/>
        </w:rPr>
        <w:t>mischaracterize</w:t>
      </w:r>
      <w:r w:rsidR="1747CEA9" w:rsidRPr="3DE41553">
        <w:rPr>
          <w:rFonts w:cs="Times New Roman"/>
          <w:color w:val="000000" w:themeColor="text1"/>
        </w:rPr>
        <w:t xml:space="preserve"> the holding of</w:t>
      </w:r>
      <w:r w:rsidR="6F0EFF08" w:rsidRPr="3DE41553">
        <w:rPr>
          <w:rFonts w:cs="Times New Roman"/>
          <w:color w:val="000000" w:themeColor="text1"/>
        </w:rPr>
        <w:t xml:space="preserve"> </w:t>
      </w:r>
      <w:r w:rsidR="371C967C" w:rsidRPr="3DE41553">
        <w:rPr>
          <w:rFonts w:cs="Times New Roman"/>
          <w:i/>
          <w:iCs/>
          <w:color w:val="000000" w:themeColor="text1"/>
        </w:rPr>
        <w:t>White v. Davis</w:t>
      </w:r>
      <w:r w:rsidR="371C967C" w:rsidRPr="3DE41553">
        <w:rPr>
          <w:rFonts w:cs="Times New Roman"/>
          <w:color w:val="000000" w:themeColor="text1"/>
        </w:rPr>
        <w:t xml:space="preserve"> (2003) 30 Cal.4th 528</w:t>
      </w:r>
      <w:r w:rsidR="5117A73E" w:rsidRPr="3DE41553">
        <w:rPr>
          <w:rFonts w:cs="Times New Roman"/>
          <w:color w:val="000000" w:themeColor="text1"/>
        </w:rPr>
        <w:t>. In that case</w:t>
      </w:r>
      <w:r w:rsidR="371C967C" w:rsidRPr="3DE41553">
        <w:rPr>
          <w:rFonts w:cs="Times New Roman"/>
          <w:color w:val="000000" w:themeColor="text1"/>
        </w:rPr>
        <w:t xml:space="preserve">, the Supreme Court held that “a taxpayer’s general interest in not having public funds spent unlawfully </w:t>
      </w:r>
      <w:proofErr w:type="gramStart"/>
      <w:r w:rsidR="371C967C" w:rsidRPr="3DE41553">
        <w:rPr>
          <w:rFonts w:cs="Times New Roman"/>
          <w:color w:val="000000" w:themeColor="text1"/>
        </w:rPr>
        <w:t>. . . ,</w:t>
      </w:r>
      <w:proofErr w:type="gramEnd"/>
      <w:r w:rsidR="371C967C" w:rsidRPr="3DE41553">
        <w:rPr>
          <w:rFonts w:cs="Times New Roman"/>
          <w:color w:val="000000" w:themeColor="text1"/>
        </w:rPr>
        <w:t xml:space="preserve"> </w:t>
      </w:r>
      <w:r w:rsidR="371C967C" w:rsidRPr="3DE41553">
        <w:rPr>
          <w:rFonts w:cs="Times New Roman"/>
          <w:i/>
          <w:iCs/>
          <w:color w:val="000000" w:themeColor="text1"/>
        </w:rPr>
        <w:t>while sufficient to</w:t>
      </w:r>
      <w:r w:rsidR="371C967C" w:rsidRPr="3DE41553">
        <w:rPr>
          <w:rFonts w:cs="Times New Roman"/>
          <w:color w:val="000000" w:themeColor="text1"/>
        </w:rPr>
        <w:t xml:space="preserve"> </w:t>
      </w:r>
      <w:r w:rsidR="371C967C" w:rsidRPr="3DE41553">
        <w:rPr>
          <w:rFonts w:cs="Times New Roman"/>
          <w:i/>
          <w:iCs/>
          <w:color w:val="000000" w:themeColor="text1"/>
        </w:rPr>
        <w:t>afford standing to</w:t>
      </w:r>
      <w:r w:rsidR="371C967C" w:rsidRPr="3DE41553">
        <w:rPr>
          <w:rFonts w:cs="Times New Roman"/>
          <w:color w:val="000000" w:themeColor="text1"/>
        </w:rPr>
        <w:t xml:space="preserve"> bring a taxpayer</w:t>
      </w:r>
      <w:r w:rsidR="00FB67EB">
        <w:rPr>
          <w:rFonts w:cs="Times New Roman"/>
          <w:color w:val="000000" w:themeColor="text1"/>
        </w:rPr>
        <w:t xml:space="preserve"> </w:t>
      </w:r>
      <w:r w:rsidR="371C967C" w:rsidRPr="3DE41553">
        <w:rPr>
          <w:rFonts w:cs="Times New Roman"/>
          <w:color w:val="000000" w:themeColor="text1"/>
        </w:rPr>
        <w:t xml:space="preserve">action under </w:t>
      </w:r>
      <w:r w:rsidR="00183E0C">
        <w:rPr>
          <w:rFonts w:cs="Times New Roman"/>
          <w:color w:val="000000" w:themeColor="text1"/>
        </w:rPr>
        <w:t>Code of Civil Procedure</w:t>
      </w:r>
      <w:r w:rsidR="371C967C" w:rsidRPr="3DE41553">
        <w:rPr>
          <w:rFonts w:cs="Times New Roman"/>
          <w:color w:val="000000" w:themeColor="text1"/>
        </w:rPr>
        <w:t xml:space="preserve"> section 526a </w:t>
      </w:r>
      <w:r w:rsidR="371C967C" w:rsidRPr="3DE41553">
        <w:rPr>
          <w:rFonts w:cs="Times New Roman"/>
          <w:i/>
          <w:iCs/>
          <w:color w:val="000000" w:themeColor="text1"/>
        </w:rPr>
        <w:t>and</w:t>
      </w:r>
      <w:r w:rsidR="371C967C" w:rsidRPr="3DE41553">
        <w:rPr>
          <w:rFonts w:cs="Times New Roman"/>
          <w:color w:val="000000" w:themeColor="text1"/>
        </w:rPr>
        <w:t xml:space="preserve"> </w:t>
      </w:r>
      <w:r w:rsidR="371C967C" w:rsidRPr="3DE41553">
        <w:rPr>
          <w:rFonts w:cs="Times New Roman"/>
          <w:i/>
          <w:iCs/>
          <w:color w:val="000000" w:themeColor="text1"/>
        </w:rPr>
        <w:t xml:space="preserve">to obtain a permanent injunction </w:t>
      </w:r>
      <w:r w:rsidR="371C967C" w:rsidRPr="3DE41553">
        <w:rPr>
          <w:rFonts w:cs="Times New Roman"/>
          <w:color w:val="000000" w:themeColor="text1"/>
        </w:rPr>
        <w:t xml:space="preserve">after a full adjudication on the merits, ordinarily does not in itself constitute the type of irreparable harm that warrants the granting of </w:t>
      </w:r>
      <w:r w:rsidR="371C967C" w:rsidRPr="3DE41553">
        <w:rPr>
          <w:rFonts w:cs="Times New Roman"/>
          <w:i/>
          <w:iCs/>
          <w:color w:val="000000" w:themeColor="text1"/>
        </w:rPr>
        <w:t>preliminary</w:t>
      </w:r>
      <w:r w:rsidR="371C967C" w:rsidRPr="3DE41553">
        <w:rPr>
          <w:rFonts w:cs="Times New Roman"/>
          <w:color w:val="000000" w:themeColor="text1"/>
        </w:rPr>
        <w:t xml:space="preserve"> injunctive relief.” </w:t>
      </w:r>
      <w:r w:rsidR="371C967C" w:rsidRPr="3DE41553">
        <w:rPr>
          <w:rFonts w:cs="Times New Roman"/>
          <w:color w:val="000000" w:themeColor="text1"/>
        </w:rPr>
        <w:lastRenderedPageBreak/>
        <w:t>(</w:t>
      </w:r>
      <w:r w:rsidR="371C967C" w:rsidRPr="3DE41553">
        <w:rPr>
          <w:rFonts w:cs="Times New Roman"/>
          <w:i/>
          <w:iCs/>
          <w:color w:val="000000" w:themeColor="text1"/>
        </w:rPr>
        <w:t>Id.</w:t>
      </w:r>
      <w:r w:rsidR="371C967C" w:rsidRPr="3DE41553">
        <w:rPr>
          <w:rFonts w:cs="Times New Roman"/>
          <w:color w:val="000000" w:themeColor="text1"/>
        </w:rPr>
        <w:t xml:space="preserve"> at pp. 556–557, italics added.)</w:t>
      </w:r>
      <w:r w:rsidR="25323E5B" w:rsidRPr="3DE41553">
        <w:rPr>
          <w:rFonts w:cs="Times New Roman"/>
          <w:color w:val="000000" w:themeColor="text1"/>
        </w:rPr>
        <w:t xml:space="preserve"> </w:t>
      </w:r>
      <w:r w:rsidR="6CBAE141" w:rsidRPr="3DE41553">
        <w:rPr>
          <w:rFonts w:cs="Times New Roman"/>
          <w:color w:val="000000" w:themeColor="text1"/>
        </w:rPr>
        <w:t>Neither of these cases preclude injunctive relief on the facts pleaded in plaintiffs</w:t>
      </w:r>
      <w:r w:rsidR="00BE4142">
        <w:rPr>
          <w:rFonts w:cs="Times New Roman"/>
          <w:color w:val="000000" w:themeColor="text1"/>
        </w:rPr>
        <w:t>’</w:t>
      </w:r>
      <w:r w:rsidR="6CBAE141" w:rsidRPr="3DE41553">
        <w:rPr>
          <w:rFonts w:cs="Times New Roman"/>
          <w:color w:val="000000" w:themeColor="text1"/>
        </w:rPr>
        <w:t xml:space="preserve"> complaint.</w:t>
      </w:r>
    </w:p>
    <w:p w14:paraId="21CEC948" w14:textId="279D74E2" w:rsidR="0080647E" w:rsidRPr="006840B6" w:rsidRDefault="003D06AD" w:rsidP="3DE41553">
      <w:pPr>
        <w:spacing w:line="360" w:lineRule="auto"/>
        <w:ind w:firstLine="720"/>
        <w:contextualSpacing/>
        <w:rPr>
          <w:rStyle w:val="FootnoteReference"/>
          <w:rFonts w:eastAsia="Times New Roman" w:cs="Times New Roman"/>
          <w:color w:val="000000" w:themeColor="text1"/>
        </w:rPr>
      </w:pPr>
      <w:r w:rsidRPr="3DE41553">
        <w:rPr>
          <w:rFonts w:eastAsia="Times New Roman" w:cs="Times New Roman"/>
          <w:color w:val="000000" w:themeColor="text1"/>
        </w:rPr>
        <w:t>Finally, d</w:t>
      </w:r>
      <w:r w:rsidR="371C967C" w:rsidRPr="3DE41553">
        <w:rPr>
          <w:rFonts w:eastAsia="Times New Roman" w:cs="Times New Roman"/>
          <w:color w:val="000000" w:themeColor="text1"/>
        </w:rPr>
        <w:t>efendants</w:t>
      </w:r>
      <w:r w:rsidR="7D0CFB65" w:rsidRPr="3DE41553">
        <w:rPr>
          <w:rFonts w:eastAsia="Times New Roman" w:cs="Times New Roman"/>
          <w:color w:val="000000" w:themeColor="text1"/>
        </w:rPr>
        <w:t xml:space="preserve"> </w:t>
      </w:r>
      <w:r w:rsidR="371C967C" w:rsidRPr="3DE41553">
        <w:rPr>
          <w:rFonts w:eastAsia="Times New Roman" w:cs="Times New Roman"/>
          <w:color w:val="000000" w:themeColor="text1"/>
        </w:rPr>
        <w:t xml:space="preserve">assert that injunctive relief </w:t>
      </w:r>
      <w:r w:rsidR="371C967C">
        <w:t>is unavailable “because courtroom utilization implicates security concerns for which the San Francisco Sheriff has responsibility.” Even if this</w:t>
      </w:r>
      <w:r w:rsidR="00345258">
        <w:t xml:space="preserve"> </w:t>
      </w:r>
      <w:r w:rsidR="371C967C">
        <w:t xml:space="preserve">might ultimately limit the scope of </w:t>
      </w:r>
      <w:r w:rsidR="29A68B97">
        <w:t xml:space="preserve">available </w:t>
      </w:r>
      <w:r w:rsidR="371C967C">
        <w:t>relief, defendants do not show that</w:t>
      </w:r>
      <w:r w:rsidR="00345258">
        <w:t xml:space="preserve">, </w:t>
      </w:r>
      <w:r w:rsidR="371C967C">
        <w:t xml:space="preserve">as a matter of law, the court </w:t>
      </w:r>
      <w:r w:rsidR="00345258">
        <w:t xml:space="preserve">will be unable </w:t>
      </w:r>
      <w:r w:rsidR="371C967C">
        <w:t>to fashion effective</w:t>
      </w:r>
      <w:r w:rsidR="69BF80D3">
        <w:t xml:space="preserve"> </w:t>
      </w:r>
      <w:r w:rsidR="371C967C">
        <w:t>relief in the sheriff’s absence.</w:t>
      </w:r>
    </w:p>
    <w:p w14:paraId="517E1481" w14:textId="70FE4C62" w:rsidR="0080647E" w:rsidRPr="006840B6" w:rsidRDefault="003D06AD" w:rsidP="005B51EA">
      <w:pPr>
        <w:keepNext/>
        <w:spacing w:after="120" w:line="240" w:lineRule="auto"/>
        <w:ind w:left="1080" w:hanging="360"/>
        <w:rPr>
          <w:b/>
          <w:bCs/>
        </w:rPr>
      </w:pPr>
      <w:r>
        <w:rPr>
          <w:b/>
          <w:bCs/>
        </w:rPr>
        <w:t>f</w:t>
      </w:r>
      <w:r w:rsidR="25975A6A" w:rsidRPr="797FBB80">
        <w:rPr>
          <w:b/>
          <w:bCs/>
        </w:rPr>
        <w:t>.</w:t>
      </w:r>
      <w:r w:rsidR="371C967C">
        <w:tab/>
      </w:r>
      <w:r w:rsidR="25975A6A" w:rsidRPr="797FBB80">
        <w:rPr>
          <w:b/>
          <w:bCs/>
        </w:rPr>
        <w:t>Claims Based on Section</w:t>
      </w:r>
      <w:r w:rsidR="00C40898">
        <w:rPr>
          <w:b/>
          <w:bCs/>
        </w:rPr>
        <w:t>s</w:t>
      </w:r>
      <w:r w:rsidR="25975A6A" w:rsidRPr="797FBB80">
        <w:rPr>
          <w:b/>
          <w:bCs/>
        </w:rPr>
        <w:t xml:space="preserve"> 1049.5</w:t>
      </w:r>
      <w:r w:rsidR="00C40898">
        <w:rPr>
          <w:b/>
          <w:bCs/>
        </w:rPr>
        <w:t>, 1050(b)</w:t>
      </w:r>
      <w:r w:rsidR="00790629">
        <w:rPr>
          <w:b/>
          <w:bCs/>
        </w:rPr>
        <w:t>–</w:t>
      </w:r>
      <w:r w:rsidR="00C40898">
        <w:rPr>
          <w:b/>
          <w:bCs/>
        </w:rPr>
        <w:t>(</w:t>
      </w:r>
      <w:proofErr w:type="spellStart"/>
      <w:r w:rsidR="00C40898">
        <w:rPr>
          <w:b/>
          <w:bCs/>
        </w:rPr>
        <w:t>i</w:t>
      </w:r>
      <w:proofErr w:type="spellEnd"/>
      <w:r w:rsidR="00C40898">
        <w:rPr>
          <w:b/>
          <w:bCs/>
        </w:rPr>
        <w:t>)</w:t>
      </w:r>
      <w:r w:rsidR="25975A6A" w:rsidRPr="797FBB80">
        <w:rPr>
          <w:b/>
          <w:bCs/>
        </w:rPr>
        <w:t xml:space="preserve"> and the Constitution</w:t>
      </w:r>
    </w:p>
    <w:p w14:paraId="6CE56DE8" w14:textId="0E858D42" w:rsidR="0080647E" w:rsidRDefault="003D06AD" w:rsidP="003F5F13">
      <w:pPr>
        <w:autoSpaceDE w:val="0"/>
        <w:autoSpaceDN w:val="0"/>
        <w:adjustRightInd w:val="0"/>
        <w:spacing w:line="360" w:lineRule="auto"/>
        <w:contextualSpacing/>
      </w:pPr>
      <w:r>
        <w:tab/>
        <w:t>Although the viability of the section</w:t>
      </w:r>
      <w:r w:rsidR="00796986">
        <w:t> </w:t>
      </w:r>
      <w:r>
        <w:t xml:space="preserve">1050(a) theory compels reversal of the judgment, </w:t>
      </w:r>
      <w:r w:rsidR="00D97996">
        <w:t xml:space="preserve">to provide guidance on remand, </w:t>
      </w:r>
      <w:r>
        <w:t xml:space="preserve">we briefly assess </w:t>
      </w:r>
      <w:r w:rsidR="00D97996">
        <w:t>plaintiffs’ other theories of recovery, namely, that</w:t>
      </w:r>
      <w:r w:rsidR="00D97996" w:rsidRPr="00035771">
        <w:rPr>
          <w:spacing w:val="-2"/>
        </w:rPr>
        <w:t xml:space="preserve"> defendants</w:t>
      </w:r>
      <w:r w:rsidR="00D97996">
        <w:rPr>
          <w:spacing w:val="-2"/>
        </w:rPr>
        <w:t xml:space="preserve"> </w:t>
      </w:r>
      <w:r w:rsidR="00D97996" w:rsidRPr="00035771">
        <w:rPr>
          <w:spacing w:val="-2"/>
        </w:rPr>
        <w:t>violat</w:t>
      </w:r>
      <w:r w:rsidR="00D97996">
        <w:rPr>
          <w:spacing w:val="-2"/>
        </w:rPr>
        <w:t>ed</w:t>
      </w:r>
      <w:r w:rsidR="00D97996" w:rsidRPr="00035771">
        <w:rPr>
          <w:spacing w:val="-2"/>
        </w:rPr>
        <w:t xml:space="preserve"> duties enjoined</w:t>
      </w:r>
      <w:r w:rsidR="00D97996">
        <w:t xml:space="preserve"> by section 1049.5 and constitutional speedy-trial provisions.</w:t>
      </w:r>
    </w:p>
    <w:p w14:paraId="38B63D57" w14:textId="55A9F2F4" w:rsidR="0080647E" w:rsidRPr="0031765F" w:rsidRDefault="003D06AD" w:rsidP="003F5F13">
      <w:pPr>
        <w:autoSpaceDE w:val="0"/>
        <w:autoSpaceDN w:val="0"/>
        <w:adjustRightInd w:val="0"/>
        <w:spacing w:line="360" w:lineRule="auto"/>
        <w:contextualSpacing/>
        <w:rPr>
          <w:rFonts w:eastAsia="Times New Roman" w:cs="Times New Roman"/>
          <w:color w:val="000000" w:themeColor="text1"/>
        </w:rPr>
      </w:pPr>
      <w:r>
        <w:tab/>
        <w:t xml:space="preserve">Section 1049.5 requires a court in a felony case to </w:t>
      </w:r>
      <w:r w:rsidRPr="003C0868">
        <w:t xml:space="preserve">set a </w:t>
      </w:r>
      <w:r>
        <w:t xml:space="preserve">trial </w:t>
      </w:r>
      <w:r w:rsidRPr="003C0868">
        <w:t>date within 60 days</w:t>
      </w:r>
      <w:r>
        <w:t xml:space="preserve"> </w:t>
      </w:r>
      <w:r w:rsidRPr="003C0868">
        <w:t xml:space="preserve">of the defendant’s arraignment </w:t>
      </w:r>
      <w:r>
        <w:t>“</w:t>
      </w:r>
      <w:r w:rsidRPr="003C0868">
        <w:t>unless, upon a</w:t>
      </w:r>
      <w:r>
        <w:t xml:space="preserve"> </w:t>
      </w:r>
      <w:r w:rsidRPr="003C0868">
        <w:t>showing of good cause as prescrib</w:t>
      </w:r>
      <w:r w:rsidRPr="003C0868">
        <w:t xml:space="preserve">ed in </w:t>
      </w:r>
      <w:r w:rsidR="004D63F1">
        <w:t>s</w:t>
      </w:r>
      <w:r w:rsidRPr="003C0868">
        <w:t>ection 1050, the court</w:t>
      </w:r>
      <w:r>
        <w:t xml:space="preserve"> </w:t>
      </w:r>
      <w:r w:rsidRPr="003C0868">
        <w:t>lengthens the time</w:t>
      </w:r>
      <w:r>
        <w:t xml:space="preserve">,” and </w:t>
      </w:r>
      <w:r w:rsidRPr="003239CB">
        <w:t>in such a case requires the court to “state on the record the facts proved that justify its finding.”</w:t>
      </w:r>
      <w:r w:rsidRPr="003C0868">
        <w:t xml:space="preserve"> (§ 1049.5.)</w:t>
      </w:r>
      <w:r>
        <w:t xml:space="preserve"> </w:t>
      </w:r>
      <w:r w:rsidRPr="003239CB">
        <w:t>S</w:t>
      </w:r>
      <w:r>
        <w:t>ection</w:t>
      </w:r>
      <w:r w:rsidR="00796986">
        <w:t> </w:t>
      </w:r>
      <w:r>
        <w:t>1050, subdivisions</w:t>
      </w:r>
      <w:r w:rsidR="00796986">
        <w:t> </w:t>
      </w:r>
      <w:r>
        <w:t>(b)</w:t>
      </w:r>
      <w:r w:rsidR="008C6742">
        <w:t xml:space="preserve"> to </w:t>
      </w:r>
      <w:r>
        <w:t>(</w:t>
      </w:r>
      <w:proofErr w:type="spellStart"/>
      <w:r>
        <w:t>i</w:t>
      </w:r>
      <w:proofErr w:type="spellEnd"/>
      <w:r>
        <w:t xml:space="preserve">), which govern continuance motions, require </w:t>
      </w:r>
      <w:r w:rsidRPr="0031765F">
        <w:t>specif</w:t>
      </w:r>
      <w:r w:rsidRPr="0031765F">
        <w:t>ic evidentiary support, both in the movant’s request (§ 1050, subd.</w:t>
      </w:r>
      <w:r w:rsidR="00796986">
        <w:t> </w:t>
      </w:r>
      <w:r w:rsidRPr="0031765F">
        <w:t>(b))</w:t>
      </w:r>
      <w:r>
        <w:t xml:space="preserve"> and,</w:t>
      </w:r>
      <w:r>
        <w:rPr>
          <w:rFonts w:eastAsia="Times New Roman" w:cs="Times New Roman"/>
          <w:color w:val="000000"/>
        </w:rPr>
        <w:t xml:space="preserve"> if the request is granted, in the court’s order on the record (</w:t>
      </w:r>
      <w:r w:rsidR="00914C76" w:rsidRPr="0031765F">
        <w:t>§ 1050,</w:t>
      </w:r>
      <w:r w:rsidRPr="4B0E998B">
        <w:rPr>
          <w:rFonts w:eastAsia="Times New Roman" w:cs="Times New Roman"/>
          <w:color w:val="000000"/>
        </w:rPr>
        <w:t xml:space="preserve"> subd.</w:t>
      </w:r>
      <w:r w:rsidR="00796986">
        <w:rPr>
          <w:rFonts w:eastAsia="Times New Roman" w:cs="Times New Roman"/>
          <w:color w:val="000000"/>
        </w:rPr>
        <w:t> </w:t>
      </w:r>
      <w:r w:rsidRPr="4B0E998B">
        <w:rPr>
          <w:rFonts w:eastAsia="Times New Roman" w:cs="Times New Roman"/>
          <w:color w:val="000000"/>
        </w:rPr>
        <w:t>(f</w:t>
      </w:r>
      <w:r>
        <w:rPr>
          <w:rFonts w:eastAsia="Times New Roman" w:cs="Times New Roman"/>
          <w:color w:val="000000"/>
        </w:rPr>
        <w:t xml:space="preserve">)). </w:t>
      </w:r>
    </w:p>
    <w:p w14:paraId="425C0759" w14:textId="080BCA95" w:rsidR="0080647E" w:rsidRPr="0031765F" w:rsidRDefault="003D06AD" w:rsidP="003F5F13">
      <w:pPr>
        <w:autoSpaceDE w:val="0"/>
        <w:autoSpaceDN w:val="0"/>
        <w:adjustRightInd w:val="0"/>
        <w:spacing w:line="360" w:lineRule="auto"/>
        <w:ind w:firstLine="720"/>
        <w:contextualSpacing/>
        <w:rPr>
          <w:rFonts w:eastAsia="Times New Roman" w:cs="Times New Roman"/>
          <w:color w:val="000000"/>
        </w:rPr>
      </w:pPr>
      <w:r>
        <w:rPr>
          <w:rFonts w:eastAsia="Times New Roman" w:cs="Times New Roman"/>
          <w:color w:val="000000"/>
        </w:rPr>
        <w:t>Plaintiffs allege that, “instead of convening the hearings</w:t>
      </w:r>
      <w:r w:rsidRPr="0031765F">
        <w:rPr>
          <w:rFonts w:eastAsia="Times New Roman" w:cs="Times New Roman"/>
          <w:color w:val="000000"/>
        </w:rPr>
        <w:t xml:space="preserve">” required by </w:t>
      </w:r>
      <w:r>
        <w:rPr>
          <w:rFonts w:eastAsia="Times New Roman" w:cs="Times New Roman"/>
          <w:color w:val="000000"/>
        </w:rPr>
        <w:t>sections</w:t>
      </w:r>
      <w:r w:rsidRPr="0031765F">
        <w:rPr>
          <w:rFonts w:eastAsia="Times New Roman" w:cs="Times New Roman"/>
          <w:color w:val="000000"/>
        </w:rPr>
        <w:t xml:space="preserve"> </w:t>
      </w:r>
      <w:r>
        <w:rPr>
          <w:rFonts w:eastAsia="Times New Roman" w:cs="Times New Roman"/>
          <w:color w:val="000000"/>
        </w:rPr>
        <w:t>1049.5</w:t>
      </w:r>
      <w:r w:rsidR="00886A79">
        <w:rPr>
          <w:rFonts w:eastAsia="Times New Roman" w:cs="Times New Roman"/>
          <w:color w:val="000000"/>
        </w:rPr>
        <w:t xml:space="preserve"> and</w:t>
      </w:r>
      <w:r w:rsidR="00810B73">
        <w:rPr>
          <w:rFonts w:eastAsia="Times New Roman" w:cs="Times New Roman"/>
          <w:color w:val="000000"/>
        </w:rPr>
        <w:t xml:space="preserve"> </w:t>
      </w:r>
      <w:r>
        <w:rPr>
          <w:rFonts w:eastAsia="Times New Roman" w:cs="Times New Roman"/>
          <w:color w:val="000000"/>
        </w:rPr>
        <w:t xml:space="preserve">1050 and </w:t>
      </w:r>
      <w:r w:rsidRPr="0031765F">
        <w:rPr>
          <w:rFonts w:eastAsia="Times New Roman" w:cs="Times New Roman"/>
          <w:color w:val="000000"/>
        </w:rPr>
        <w:t>“</w:t>
      </w:r>
      <w:r>
        <w:rPr>
          <w:rFonts w:eastAsia="Times New Roman" w:cs="Times New Roman"/>
          <w:color w:val="000000"/>
        </w:rPr>
        <w:t>resting its good cause determination</w:t>
      </w:r>
      <w:r w:rsidRPr="0031765F">
        <w:rPr>
          <w:rFonts w:eastAsia="Times New Roman" w:cs="Times New Roman"/>
          <w:color w:val="000000"/>
        </w:rPr>
        <w:t xml:space="preserve"> </w:t>
      </w:r>
      <w:r>
        <w:rPr>
          <w:rFonts w:eastAsia="Times New Roman" w:cs="Times New Roman"/>
          <w:color w:val="000000"/>
        </w:rPr>
        <w:t>on affidavits and declarations,</w:t>
      </w:r>
      <w:r w:rsidRPr="0031765F">
        <w:rPr>
          <w:rFonts w:eastAsia="Times New Roman" w:cs="Times New Roman"/>
          <w:color w:val="000000"/>
        </w:rPr>
        <w:t>” defendant court “</w:t>
      </w:r>
      <w:r>
        <w:rPr>
          <w:rFonts w:eastAsia="Times New Roman" w:cs="Times New Roman"/>
          <w:color w:val="000000"/>
        </w:rPr>
        <w:t>routinely continues felony trials</w:t>
      </w:r>
      <w:r w:rsidRPr="0031765F">
        <w:rPr>
          <w:rFonts w:eastAsia="Times New Roman" w:cs="Times New Roman"/>
          <w:color w:val="000000"/>
        </w:rPr>
        <w:t xml:space="preserve"> </w:t>
      </w:r>
      <w:r>
        <w:rPr>
          <w:rFonts w:eastAsia="Times New Roman" w:cs="Times New Roman"/>
          <w:color w:val="000000"/>
        </w:rPr>
        <w:t xml:space="preserve">for months at a time, relying only on a generic </w:t>
      </w:r>
      <w:r w:rsidRPr="0031765F">
        <w:rPr>
          <w:rFonts w:eastAsia="Times New Roman" w:cs="Times New Roman"/>
          <w:color w:val="000000"/>
        </w:rPr>
        <w:t>‘</w:t>
      </w:r>
      <w:r>
        <w:rPr>
          <w:rFonts w:eastAsia="Times New Roman" w:cs="Times New Roman"/>
          <w:color w:val="000000"/>
        </w:rPr>
        <w:t>good cause</w:t>
      </w:r>
      <w:r w:rsidRPr="0031765F">
        <w:rPr>
          <w:rFonts w:eastAsia="Times New Roman" w:cs="Times New Roman"/>
          <w:color w:val="000000"/>
        </w:rPr>
        <w:t xml:space="preserve">’ </w:t>
      </w:r>
      <w:r>
        <w:rPr>
          <w:rFonts w:eastAsia="Times New Roman" w:cs="Times New Roman"/>
          <w:color w:val="000000"/>
        </w:rPr>
        <w:t>script.</w:t>
      </w:r>
      <w:r w:rsidRPr="0031765F">
        <w:rPr>
          <w:rFonts w:eastAsia="Times New Roman" w:cs="Times New Roman"/>
          <w:color w:val="000000"/>
        </w:rPr>
        <w:t>”</w:t>
      </w:r>
      <w:r>
        <w:rPr>
          <w:rFonts w:eastAsia="Times New Roman" w:cs="Times New Roman"/>
          <w:color w:val="000000"/>
        </w:rPr>
        <w:t xml:space="preserve"> </w:t>
      </w:r>
      <w:r w:rsidR="00501506">
        <w:rPr>
          <w:rFonts w:eastAsia="Times New Roman" w:cs="Times New Roman"/>
          <w:color w:val="000000"/>
        </w:rPr>
        <w:t xml:space="preserve">This would appear to state a second, substantive basis for a taxpayer claim. </w:t>
      </w:r>
      <w:r w:rsidR="0004784F">
        <w:rPr>
          <w:rFonts w:eastAsia="Times New Roman" w:cs="Times New Roman"/>
          <w:color w:val="000000"/>
        </w:rPr>
        <w:t xml:space="preserve">Although individual </w:t>
      </w:r>
      <w:r w:rsidR="004907B0">
        <w:rPr>
          <w:rFonts w:eastAsia="Times New Roman" w:cs="Times New Roman"/>
          <w:color w:val="000000"/>
        </w:rPr>
        <w:t>judges</w:t>
      </w:r>
      <w:r w:rsidR="0004784F">
        <w:rPr>
          <w:rFonts w:eastAsia="Times New Roman" w:cs="Times New Roman"/>
          <w:color w:val="000000"/>
        </w:rPr>
        <w:t xml:space="preserve"> </w:t>
      </w:r>
      <w:r w:rsidR="0017078B">
        <w:rPr>
          <w:rFonts w:eastAsia="Times New Roman" w:cs="Times New Roman"/>
          <w:color w:val="000000"/>
        </w:rPr>
        <w:t>rule on speedy trial motions</w:t>
      </w:r>
      <w:r w:rsidR="00545CD3">
        <w:rPr>
          <w:rFonts w:eastAsia="Times New Roman" w:cs="Times New Roman"/>
          <w:color w:val="000000"/>
        </w:rPr>
        <w:t xml:space="preserve"> pursuant to sections 1049.5 and 1050</w:t>
      </w:r>
      <w:r w:rsidR="00E14C04">
        <w:rPr>
          <w:rFonts w:eastAsia="Times New Roman" w:cs="Times New Roman"/>
          <w:color w:val="000000"/>
        </w:rPr>
        <w:t xml:space="preserve"> in </w:t>
      </w:r>
      <w:r w:rsidR="0017078B">
        <w:rPr>
          <w:rFonts w:eastAsia="Times New Roman" w:cs="Times New Roman"/>
          <w:color w:val="000000"/>
        </w:rPr>
        <w:t xml:space="preserve">individual </w:t>
      </w:r>
      <w:r w:rsidR="00E14C04">
        <w:rPr>
          <w:rFonts w:eastAsia="Times New Roman" w:cs="Times New Roman"/>
          <w:color w:val="000000"/>
        </w:rPr>
        <w:t xml:space="preserve">criminal cases, </w:t>
      </w:r>
      <w:r w:rsidR="006B3497">
        <w:rPr>
          <w:rFonts w:eastAsia="Times New Roman" w:cs="Times New Roman"/>
          <w:color w:val="000000"/>
        </w:rPr>
        <w:t xml:space="preserve">plaintiffs’ claim focuses on </w:t>
      </w:r>
      <w:r w:rsidR="005534EE">
        <w:rPr>
          <w:rFonts w:eastAsia="Times New Roman" w:cs="Times New Roman"/>
          <w:color w:val="000000"/>
        </w:rPr>
        <w:t xml:space="preserve">the </w:t>
      </w:r>
      <w:r w:rsidR="005534EE">
        <w:rPr>
          <w:rFonts w:eastAsia="Times New Roman" w:cs="Times New Roman"/>
          <w:color w:val="000000"/>
        </w:rPr>
        <w:lastRenderedPageBreak/>
        <w:t xml:space="preserve">role of defendant court and the defendant presiding judge in </w:t>
      </w:r>
      <w:r w:rsidR="00B72D49">
        <w:rPr>
          <w:rFonts w:eastAsia="Times New Roman" w:cs="Times New Roman"/>
          <w:color w:val="000000"/>
        </w:rPr>
        <w:t xml:space="preserve">structuring and </w:t>
      </w:r>
      <w:r w:rsidR="001A434A">
        <w:rPr>
          <w:rFonts w:eastAsia="Times New Roman" w:cs="Times New Roman"/>
          <w:color w:val="000000"/>
        </w:rPr>
        <w:t xml:space="preserve">supervising </w:t>
      </w:r>
      <w:r w:rsidR="00B72D49">
        <w:rPr>
          <w:rFonts w:eastAsia="Times New Roman" w:cs="Times New Roman"/>
          <w:color w:val="000000"/>
        </w:rPr>
        <w:t>that process. (Cf. Cal. Rules of Court, rule</w:t>
      </w:r>
      <w:r w:rsidR="007D3EB1">
        <w:rPr>
          <w:rFonts w:eastAsia="Times New Roman" w:cs="Times New Roman"/>
          <w:color w:val="000000"/>
        </w:rPr>
        <w:t> </w:t>
      </w:r>
      <w:r w:rsidR="00B72D49">
        <w:rPr>
          <w:rFonts w:eastAsia="Times New Roman" w:cs="Times New Roman"/>
          <w:color w:val="000000"/>
        </w:rPr>
        <w:t>4.115</w:t>
      </w:r>
      <w:r w:rsidR="00C961FE">
        <w:rPr>
          <w:rFonts w:eastAsia="Times New Roman" w:cs="Times New Roman"/>
          <w:color w:val="000000"/>
        </w:rPr>
        <w:t>.</w:t>
      </w:r>
      <w:r w:rsidR="00720076">
        <w:rPr>
          <w:rFonts w:eastAsia="Times New Roman" w:cs="Times New Roman"/>
          <w:color w:val="000000"/>
        </w:rPr>
        <w:t xml:space="preserve">) </w:t>
      </w:r>
      <w:r w:rsidR="00501506">
        <w:t xml:space="preserve">If plaintiffs can prove defendants disseminated to defendant court’s </w:t>
      </w:r>
      <w:r w:rsidR="004907B0">
        <w:t>judge</w:t>
      </w:r>
      <w:r w:rsidR="00501506">
        <w:t>s</w:t>
      </w:r>
      <w:r w:rsidR="006B4FF8">
        <w:t xml:space="preserve"> </w:t>
      </w:r>
      <w:r w:rsidR="00501506">
        <w:t>a generic continuance “script”</w:t>
      </w:r>
      <w:r w:rsidR="008B3184">
        <w:t xml:space="preserve"> </w:t>
      </w:r>
      <w:r w:rsidR="008E3BFB">
        <w:t>for use</w:t>
      </w:r>
      <w:r w:rsidR="00501506">
        <w:t xml:space="preserve"> </w:t>
      </w:r>
      <w:r w:rsidR="00501506" w:rsidRPr="71612094">
        <w:rPr>
          <w:i/>
          <w:iCs/>
        </w:rPr>
        <w:t>in lieu of</w:t>
      </w:r>
      <w:r w:rsidR="00501506">
        <w:t xml:space="preserve"> </w:t>
      </w:r>
      <w:r w:rsidR="008B3184">
        <w:t xml:space="preserve">(not merely in aid of) </w:t>
      </w:r>
      <w:r w:rsidR="00501506">
        <w:t>compliance with the procedural requirements of sections</w:t>
      </w:r>
      <w:r w:rsidR="007D3EB1">
        <w:t> </w:t>
      </w:r>
      <w:r w:rsidR="00501506">
        <w:t>1382, 1049.5 and 1050(b)</w:t>
      </w:r>
      <w:r w:rsidR="006C320B">
        <w:t xml:space="preserve"> to</w:t>
      </w:r>
      <w:r w:rsidR="007D3EB1">
        <w:t> </w:t>
      </w:r>
      <w:r w:rsidR="00501506">
        <w:t>(</w:t>
      </w:r>
      <w:proofErr w:type="spellStart"/>
      <w:r w:rsidR="00501506">
        <w:t>i</w:t>
      </w:r>
      <w:proofErr w:type="spellEnd"/>
      <w:r w:rsidR="00501506">
        <w:t xml:space="preserve">), they may </w:t>
      </w:r>
      <w:r w:rsidR="00DF43C6">
        <w:t xml:space="preserve">prove </w:t>
      </w:r>
      <w:r w:rsidR="00463F73">
        <w:t>defendants</w:t>
      </w:r>
      <w:r w:rsidR="00EA7A78">
        <w:t xml:space="preserve"> </w:t>
      </w:r>
      <w:r w:rsidR="00E77437">
        <w:t xml:space="preserve">violated </w:t>
      </w:r>
      <w:r w:rsidR="00404652">
        <w:t xml:space="preserve">independent duties to enact policies and practices </w:t>
      </w:r>
      <w:r w:rsidR="00CB1367">
        <w:t xml:space="preserve">designed to avoid delays and statutory dismissals, and instead actively </w:t>
      </w:r>
      <w:r w:rsidR="6C1C1059">
        <w:t xml:space="preserve">facilitated and sanctioned </w:t>
      </w:r>
      <w:r w:rsidR="1BC8CE04">
        <w:t xml:space="preserve">the violation, </w:t>
      </w:r>
      <w:proofErr w:type="spellStart"/>
      <w:r w:rsidR="1BC8CE04" w:rsidRPr="71612094">
        <w:rPr>
          <w:i/>
          <w:iCs/>
        </w:rPr>
        <w:t>en</w:t>
      </w:r>
      <w:proofErr w:type="spellEnd"/>
      <w:r w:rsidR="1BC8CE04" w:rsidRPr="71612094">
        <w:rPr>
          <w:i/>
          <w:iCs/>
        </w:rPr>
        <w:t xml:space="preserve"> masse</w:t>
      </w:r>
      <w:r w:rsidR="1BC8CE04">
        <w:t xml:space="preserve">, of </w:t>
      </w:r>
      <w:r w:rsidR="00CB1367">
        <w:t>underlying</w:t>
      </w:r>
      <w:r w:rsidR="1BC8CE04">
        <w:t xml:space="preserve"> </w:t>
      </w:r>
      <w:r w:rsidR="00974480">
        <w:t xml:space="preserve">statutory </w:t>
      </w:r>
      <w:r w:rsidR="00F73A43">
        <w:t xml:space="preserve">procedural </w:t>
      </w:r>
      <w:r w:rsidR="1BC8CE04">
        <w:t>requirements</w:t>
      </w:r>
      <w:r w:rsidR="00F73A43">
        <w:t xml:space="preserve"> governing speedy trial motions</w:t>
      </w:r>
      <w:r w:rsidR="00501506">
        <w:t>.</w:t>
      </w:r>
      <w:r>
        <w:rPr>
          <w:rStyle w:val="FootnoteReference"/>
          <w:sz w:val="24"/>
          <w:szCs w:val="24"/>
        </w:rPr>
        <w:footnoteReference w:id="32"/>
      </w:r>
      <w:r w:rsidR="00745EA7">
        <w:t xml:space="preserve"> </w:t>
      </w:r>
    </w:p>
    <w:p w14:paraId="1DA45BD2" w14:textId="27393346" w:rsidR="0080647E" w:rsidRDefault="003D06AD" w:rsidP="003F5F13">
      <w:pPr>
        <w:autoSpaceDE w:val="0"/>
        <w:autoSpaceDN w:val="0"/>
        <w:adjustRightInd w:val="0"/>
        <w:spacing w:line="360" w:lineRule="auto"/>
        <w:contextualSpacing/>
      </w:pPr>
      <w:r>
        <w:rPr>
          <w:rFonts w:eastAsia="Times New Roman" w:cs="Times New Roman"/>
          <w:color w:val="000000"/>
        </w:rPr>
        <w:tab/>
      </w:r>
      <w:r w:rsidR="25975A6A">
        <w:rPr>
          <w:rFonts w:eastAsia="Times New Roman" w:cs="Times New Roman"/>
          <w:color w:val="000000"/>
        </w:rPr>
        <w:t>Unlike plaintiffs’ section 1050(a)</w:t>
      </w:r>
      <w:r w:rsidR="009E5382">
        <w:rPr>
          <w:rFonts w:eastAsia="Times New Roman" w:cs="Times New Roman"/>
          <w:color w:val="000000"/>
        </w:rPr>
        <w:t xml:space="preserve"> theory of liability</w:t>
      </w:r>
      <w:r w:rsidR="25975A6A">
        <w:rPr>
          <w:rFonts w:eastAsia="Times New Roman" w:cs="Times New Roman"/>
          <w:color w:val="000000"/>
        </w:rPr>
        <w:t xml:space="preserve">, this theory implicitly </w:t>
      </w:r>
      <w:r w:rsidR="25975A6A" w:rsidRPr="00034551">
        <w:rPr>
          <w:rFonts w:eastAsia="Times New Roman" w:cs="Times New Roman"/>
          <w:color w:val="000000"/>
        </w:rPr>
        <w:t>challenges</w:t>
      </w:r>
      <w:r w:rsidR="604B7A79" w:rsidRPr="4B0E998B">
        <w:rPr>
          <w:rFonts w:cs="CenturySchoolbook"/>
        </w:rPr>
        <w:t>,</w:t>
      </w:r>
      <w:r w:rsidR="00B761EB">
        <w:rPr>
          <w:rFonts w:cs="CenturySchoolbook"/>
        </w:rPr>
        <w:t xml:space="preserve"> </w:t>
      </w:r>
      <w:r w:rsidR="04253686" w:rsidRPr="4B0E998B">
        <w:rPr>
          <w:rFonts w:cs="CenturySchoolbook"/>
        </w:rPr>
        <w:t xml:space="preserve">if not </w:t>
      </w:r>
      <w:r w:rsidR="25975A6A">
        <w:rPr>
          <w:rFonts w:eastAsia="Times New Roman" w:cs="Times New Roman"/>
          <w:color w:val="000000"/>
        </w:rPr>
        <w:t>the merits of trial judges’ rulings in various individual criminal cases</w:t>
      </w:r>
      <w:r w:rsidR="11F83FB9">
        <w:rPr>
          <w:rFonts w:eastAsia="Times New Roman" w:cs="Times New Roman"/>
          <w:color w:val="000000"/>
        </w:rPr>
        <w:t xml:space="preserve">, </w:t>
      </w:r>
      <w:r w:rsidR="0028132B">
        <w:rPr>
          <w:rFonts w:eastAsia="Times New Roman" w:cs="Times New Roman"/>
          <w:color w:val="000000"/>
        </w:rPr>
        <w:t xml:space="preserve">then </w:t>
      </w:r>
      <w:r w:rsidR="11F83FB9">
        <w:rPr>
          <w:rFonts w:eastAsia="Times New Roman" w:cs="Times New Roman"/>
          <w:color w:val="000000"/>
        </w:rPr>
        <w:t xml:space="preserve">the procedural </w:t>
      </w:r>
      <w:r w:rsidR="1FD5E218">
        <w:rPr>
          <w:rFonts w:eastAsia="Times New Roman" w:cs="Times New Roman"/>
          <w:color w:val="000000"/>
        </w:rPr>
        <w:t xml:space="preserve">foundation </w:t>
      </w:r>
      <w:r w:rsidR="11F83FB9">
        <w:rPr>
          <w:rFonts w:eastAsia="Times New Roman" w:cs="Times New Roman"/>
          <w:color w:val="000000"/>
        </w:rPr>
        <w:t>f</w:t>
      </w:r>
      <w:r w:rsidR="00244CDC">
        <w:rPr>
          <w:rFonts w:eastAsia="Times New Roman" w:cs="Times New Roman"/>
          <w:color w:val="000000"/>
        </w:rPr>
        <w:t>or</w:t>
      </w:r>
      <w:r w:rsidR="11F83FB9">
        <w:rPr>
          <w:rFonts w:eastAsia="Times New Roman" w:cs="Times New Roman"/>
          <w:color w:val="000000"/>
        </w:rPr>
        <w:t xml:space="preserve"> </w:t>
      </w:r>
      <w:r w:rsidR="1889C947">
        <w:rPr>
          <w:rFonts w:eastAsia="Times New Roman" w:cs="Times New Roman"/>
          <w:color w:val="000000"/>
        </w:rPr>
        <w:t>th</w:t>
      </w:r>
      <w:r w:rsidR="681FA8DC">
        <w:rPr>
          <w:rFonts w:eastAsia="Times New Roman" w:cs="Times New Roman"/>
          <w:color w:val="000000"/>
        </w:rPr>
        <w:t>os</w:t>
      </w:r>
      <w:r w:rsidR="1889C947">
        <w:rPr>
          <w:rFonts w:eastAsia="Times New Roman" w:cs="Times New Roman"/>
          <w:color w:val="000000"/>
        </w:rPr>
        <w:t>e determinations</w:t>
      </w:r>
      <w:r w:rsidR="25975A6A">
        <w:rPr>
          <w:rFonts w:eastAsia="Times New Roman" w:cs="Times New Roman"/>
          <w:color w:val="000000"/>
        </w:rPr>
        <w:t xml:space="preserve">. </w:t>
      </w:r>
      <w:r w:rsidR="00605725">
        <w:rPr>
          <w:rFonts w:eastAsia="Times New Roman" w:cs="Times New Roman"/>
          <w:color w:val="000000"/>
        </w:rPr>
        <w:t>Further, although</w:t>
      </w:r>
      <w:r w:rsidR="7D82931A">
        <w:rPr>
          <w:rFonts w:eastAsia="Times New Roman" w:cs="Times New Roman"/>
          <w:color w:val="000000"/>
        </w:rPr>
        <w:t xml:space="preserve"> p</w:t>
      </w:r>
      <w:r w:rsidR="25975A6A">
        <w:rPr>
          <w:rFonts w:eastAsia="Times New Roman" w:cs="Times New Roman"/>
          <w:color w:val="000000"/>
        </w:rPr>
        <w:t xml:space="preserve">laintiffs </w:t>
      </w:r>
      <w:r w:rsidR="00D31C0D">
        <w:rPr>
          <w:rFonts w:eastAsia="Times New Roman" w:cs="Times New Roman"/>
          <w:color w:val="000000"/>
        </w:rPr>
        <w:t>disclaim</w:t>
      </w:r>
      <w:r w:rsidR="25975A6A">
        <w:rPr>
          <w:rFonts w:eastAsia="Times New Roman" w:cs="Times New Roman"/>
          <w:color w:val="000000"/>
        </w:rPr>
        <w:t xml:space="preserve"> any </w:t>
      </w:r>
      <w:r w:rsidR="00D31C0D">
        <w:rPr>
          <w:rFonts w:eastAsia="Times New Roman" w:cs="Times New Roman"/>
          <w:color w:val="000000"/>
        </w:rPr>
        <w:t>request for</w:t>
      </w:r>
      <w:r w:rsidR="008A16AA">
        <w:rPr>
          <w:rFonts w:eastAsia="Times New Roman" w:cs="Times New Roman"/>
          <w:color w:val="000000"/>
        </w:rPr>
        <w:t xml:space="preserve"> </w:t>
      </w:r>
      <w:r w:rsidR="00020276">
        <w:rPr>
          <w:rFonts w:eastAsia="Times New Roman" w:cs="Times New Roman"/>
          <w:color w:val="000000"/>
        </w:rPr>
        <w:t>relief in any individual criminal case</w:t>
      </w:r>
      <w:r w:rsidR="00293EA7">
        <w:rPr>
          <w:rFonts w:eastAsia="Times New Roman" w:cs="Times New Roman"/>
          <w:color w:val="000000"/>
        </w:rPr>
        <w:t>,</w:t>
      </w:r>
      <w:r w:rsidR="25975A6A" w:rsidRPr="4B0E998B">
        <w:rPr>
          <w:rFonts w:cs="CenturySchoolbook"/>
        </w:rPr>
        <w:t xml:space="preserve"> </w:t>
      </w:r>
      <w:r w:rsidR="25975A6A">
        <w:rPr>
          <w:rFonts w:cs="CenturySchoolbook"/>
        </w:rPr>
        <w:t xml:space="preserve">criminal defendants </w:t>
      </w:r>
      <w:r w:rsidR="55CCEB02">
        <w:rPr>
          <w:rFonts w:cs="CenturySchoolbook"/>
        </w:rPr>
        <w:t>in pending cases (</w:t>
      </w:r>
      <w:r w:rsidR="00214641">
        <w:rPr>
          <w:rFonts w:cs="CenturySchoolbook"/>
        </w:rPr>
        <w:t>i.e</w:t>
      </w:r>
      <w:r w:rsidR="55CCEB02">
        <w:rPr>
          <w:rFonts w:cs="CenturySchoolbook"/>
        </w:rPr>
        <w:t xml:space="preserve">., </w:t>
      </w:r>
      <w:r w:rsidR="00214641">
        <w:rPr>
          <w:rFonts w:cs="CenturySchoolbook"/>
        </w:rPr>
        <w:t>those in which</w:t>
      </w:r>
      <w:r w:rsidR="55CCEB02">
        <w:rPr>
          <w:rFonts w:cs="CenturySchoolbook"/>
        </w:rPr>
        <w:t xml:space="preserve"> the trial court relied solely upon its recitation of the generic script in </w:t>
      </w:r>
      <w:r w:rsidR="6968467A">
        <w:rPr>
          <w:rFonts w:cs="CenturySchoolbook"/>
        </w:rPr>
        <w:t>denying a motion to dismiss under section 1382</w:t>
      </w:r>
      <w:r w:rsidR="55CCEB02">
        <w:rPr>
          <w:rFonts w:cs="CenturySchoolbook"/>
        </w:rPr>
        <w:t xml:space="preserve">) </w:t>
      </w:r>
      <w:r w:rsidR="25975A6A">
        <w:rPr>
          <w:rFonts w:cs="CenturySchoolbook"/>
        </w:rPr>
        <w:t xml:space="preserve">could </w:t>
      </w:r>
      <w:r w:rsidR="00020276">
        <w:rPr>
          <w:rFonts w:cs="CenturySchoolbook"/>
        </w:rPr>
        <w:t>conceivably</w:t>
      </w:r>
      <w:r w:rsidR="00020276" w:rsidRPr="4D00544E">
        <w:rPr>
          <w:rFonts w:cs="CenturySchoolbook"/>
        </w:rPr>
        <w:t xml:space="preserve"> </w:t>
      </w:r>
      <w:r w:rsidR="25975A6A">
        <w:rPr>
          <w:rFonts w:cs="CenturySchoolbook"/>
        </w:rPr>
        <w:t xml:space="preserve">seek to rely on </w:t>
      </w:r>
      <w:r w:rsidR="25975A6A" w:rsidRPr="4B0E998B">
        <w:rPr>
          <w:rFonts w:cs="CenturySchoolbook"/>
        </w:rPr>
        <w:t xml:space="preserve">findings or orders in </w:t>
      </w:r>
      <w:r w:rsidR="25975A6A" w:rsidRPr="00E810E9">
        <w:rPr>
          <w:rFonts w:cs="CenturySchoolbook"/>
        </w:rPr>
        <w:t>this</w:t>
      </w:r>
      <w:r w:rsidR="25975A6A" w:rsidRPr="4B0E998B">
        <w:rPr>
          <w:rFonts w:cs="CenturySchoolbook"/>
        </w:rPr>
        <w:t xml:space="preserve"> action </w:t>
      </w:r>
      <w:r w:rsidR="25975A6A">
        <w:rPr>
          <w:rFonts w:cs="CenturySchoolbook"/>
        </w:rPr>
        <w:t xml:space="preserve">to </w:t>
      </w:r>
      <w:r w:rsidR="00020276">
        <w:rPr>
          <w:rFonts w:cs="CenturySchoolbook"/>
        </w:rPr>
        <w:t>obtain</w:t>
      </w:r>
      <w:r w:rsidR="25975A6A" w:rsidRPr="4B0E998B">
        <w:rPr>
          <w:rFonts w:cs="CenturySchoolbook"/>
        </w:rPr>
        <w:t xml:space="preserve"> new or different rulings in </w:t>
      </w:r>
      <w:r w:rsidR="2695FEBE" w:rsidRPr="4B0E998B">
        <w:rPr>
          <w:rFonts w:cs="CenturySchoolbook"/>
        </w:rPr>
        <w:t>their</w:t>
      </w:r>
      <w:r w:rsidR="25975A6A" w:rsidRPr="4B0E998B">
        <w:rPr>
          <w:rFonts w:cs="CenturySchoolbook"/>
        </w:rPr>
        <w:t xml:space="preserve"> criminal cases.</w:t>
      </w:r>
      <w:r w:rsidR="00847363">
        <w:rPr>
          <w:rFonts w:cs="CenturySchoolbook"/>
        </w:rPr>
        <w:t xml:space="preserve"> </w:t>
      </w:r>
      <w:r w:rsidR="00E56E9E">
        <w:rPr>
          <w:rFonts w:cs="CenturySchoolbook"/>
        </w:rPr>
        <w:t xml:space="preserve">It is well-established, however, that </w:t>
      </w:r>
      <w:r w:rsidR="002B583C">
        <w:rPr>
          <w:rFonts w:cs="CenturySchoolbook"/>
        </w:rPr>
        <w:t xml:space="preserve">neither of </w:t>
      </w:r>
      <w:r w:rsidR="00E56E9E">
        <w:rPr>
          <w:rFonts w:cs="CenturySchoolbook"/>
        </w:rPr>
        <w:t xml:space="preserve">these </w:t>
      </w:r>
      <w:r w:rsidR="002B583C">
        <w:rPr>
          <w:rFonts w:cs="CenturySchoolbook"/>
        </w:rPr>
        <w:t>circumstances preclude a</w:t>
      </w:r>
      <w:r w:rsidR="00E56E9E">
        <w:rPr>
          <w:rFonts w:cs="CenturySchoolbook"/>
        </w:rPr>
        <w:t xml:space="preserve"> </w:t>
      </w:r>
      <w:r w:rsidR="25975A6A" w:rsidRPr="4B0E998B">
        <w:rPr>
          <w:rFonts w:cs="CenturySchoolbook"/>
        </w:rPr>
        <w:t>taxpayer standing</w:t>
      </w:r>
      <w:r w:rsidR="002B583C">
        <w:rPr>
          <w:rFonts w:cs="CenturySchoolbook"/>
        </w:rPr>
        <w:t xml:space="preserve"> </w:t>
      </w:r>
      <w:r w:rsidR="00D534ED">
        <w:rPr>
          <w:rFonts w:cs="CenturySchoolbook"/>
        </w:rPr>
        <w:t>claim</w:t>
      </w:r>
      <w:r w:rsidR="003D0D09">
        <w:rPr>
          <w:rFonts w:cs="CenturySchoolbook"/>
        </w:rPr>
        <w:t xml:space="preserve">. In </w:t>
      </w:r>
      <w:proofErr w:type="spellStart"/>
      <w:r w:rsidR="25975A6A" w:rsidRPr="797FBB80">
        <w:rPr>
          <w:i/>
          <w:iCs/>
        </w:rPr>
        <w:t>Wirin</w:t>
      </w:r>
      <w:proofErr w:type="spellEnd"/>
      <w:r w:rsidR="00293EA7" w:rsidRPr="00293EA7">
        <w:rPr>
          <w:i/>
          <w:iCs/>
        </w:rPr>
        <w:t xml:space="preserve"> </w:t>
      </w:r>
      <w:r w:rsidR="00293EA7" w:rsidRPr="797FBB80">
        <w:rPr>
          <w:i/>
          <w:iCs/>
        </w:rPr>
        <w:t>v. Parker</w:t>
      </w:r>
      <w:r w:rsidR="25975A6A">
        <w:rPr>
          <w:i/>
        </w:rPr>
        <w:t>,</w:t>
      </w:r>
      <w:r w:rsidR="25975A6A">
        <w:t xml:space="preserve"> </w:t>
      </w:r>
      <w:r w:rsidR="25975A6A" w:rsidRPr="797FBB80">
        <w:rPr>
          <w:i/>
          <w:iCs/>
        </w:rPr>
        <w:t>supra</w:t>
      </w:r>
      <w:r w:rsidR="25975A6A">
        <w:t xml:space="preserve">, </w:t>
      </w:r>
      <w:r w:rsidR="25975A6A" w:rsidRPr="00494413">
        <w:lastRenderedPageBreak/>
        <w:t>48</w:t>
      </w:r>
      <w:r w:rsidR="25975A6A">
        <w:t xml:space="preserve"> Cal.2d 890 (surveillance program alleged to violate Fourth Amendment), </w:t>
      </w:r>
      <w:r w:rsidR="25975A6A" w:rsidRPr="797FBB80">
        <w:rPr>
          <w:rFonts w:cs="CenturySchoolbook"/>
          <w:i/>
          <w:iCs/>
        </w:rPr>
        <w:t>Spitzer</w:t>
      </w:r>
      <w:r w:rsidR="25975A6A" w:rsidRPr="4B0E998B">
        <w:rPr>
          <w:rFonts w:cs="CenturySchoolbook"/>
        </w:rPr>
        <w:t xml:space="preserve">, </w:t>
      </w:r>
      <w:r w:rsidR="25975A6A" w:rsidRPr="797FBB80">
        <w:rPr>
          <w:rFonts w:cs="CenturySchoolbook"/>
          <w:i/>
          <w:iCs/>
        </w:rPr>
        <w:t>supra</w:t>
      </w:r>
      <w:r w:rsidR="25975A6A" w:rsidRPr="4B0E998B">
        <w:rPr>
          <w:rFonts w:cs="CenturySchoolbook"/>
        </w:rPr>
        <w:t>,</w:t>
      </w:r>
      <w:r w:rsidR="25975A6A" w:rsidRPr="797FBB80">
        <w:rPr>
          <w:rFonts w:cs="CenturySchoolbook"/>
          <w:i/>
          <w:iCs/>
        </w:rPr>
        <w:t xml:space="preserve"> </w:t>
      </w:r>
      <w:r w:rsidR="25975A6A">
        <w:t xml:space="preserve">53 Cal.App.5th 391 (confidential informant program alleged to elicit confessions in violation of constitutional rights), </w:t>
      </w:r>
      <w:r w:rsidR="007C4CE2">
        <w:t xml:space="preserve">and </w:t>
      </w:r>
      <w:r w:rsidR="25975A6A" w:rsidRPr="797FBB80">
        <w:rPr>
          <w:i/>
          <w:iCs/>
        </w:rPr>
        <w:t>Van Atta</w:t>
      </w:r>
      <w:r w:rsidR="25975A6A">
        <w:t xml:space="preserve">, </w:t>
      </w:r>
      <w:r w:rsidR="25975A6A" w:rsidRPr="797FBB80">
        <w:rPr>
          <w:i/>
          <w:iCs/>
        </w:rPr>
        <w:t>supra</w:t>
      </w:r>
      <w:r w:rsidR="25975A6A">
        <w:t>, 27 Cal.3d 424 (pretrial-release program alleged to deny due process of law)</w:t>
      </w:r>
      <w:r w:rsidR="005610D7">
        <w:t>,</w:t>
      </w:r>
      <w:r w:rsidR="0089501E">
        <w:t xml:space="preserve"> </w:t>
      </w:r>
      <w:r w:rsidR="25975A6A">
        <w:t>courts affirmed taxpayers’ ability to challenge the constitutionality of an alleged policy or pattern of official conduct</w:t>
      </w:r>
      <w:r w:rsidR="2D124475">
        <w:t>,</w:t>
      </w:r>
      <w:r w:rsidR="25975A6A">
        <w:t xml:space="preserve"> even though the challenges might </w:t>
      </w:r>
      <w:r w:rsidR="003D79A4">
        <w:t xml:space="preserve">implicitly </w:t>
      </w:r>
      <w:r w:rsidR="25975A6A">
        <w:t xml:space="preserve">undermine the propriety of past rulings or provide a basis to seek future relief in specific cases. </w:t>
      </w:r>
    </w:p>
    <w:p w14:paraId="58A45F56" w14:textId="4020B56B" w:rsidR="00BC0B43" w:rsidRDefault="003D06AD" w:rsidP="001F698B">
      <w:pPr>
        <w:autoSpaceDE w:val="0"/>
        <w:autoSpaceDN w:val="0"/>
        <w:adjustRightInd w:val="0"/>
        <w:spacing w:line="360" w:lineRule="auto"/>
        <w:contextualSpacing/>
      </w:pPr>
      <w:r>
        <w:tab/>
      </w:r>
      <w:r w:rsidR="25975A6A" w:rsidRPr="4D00544E">
        <w:t xml:space="preserve">In </w:t>
      </w:r>
      <w:r w:rsidR="25975A6A" w:rsidRPr="797FBB80">
        <w:rPr>
          <w:i/>
          <w:iCs/>
        </w:rPr>
        <w:t xml:space="preserve">Spitzer, </w:t>
      </w:r>
      <w:r w:rsidR="25975A6A">
        <w:t xml:space="preserve">the defendants </w:t>
      </w:r>
      <w:r w:rsidR="00DE792B">
        <w:t>challenged</w:t>
      </w:r>
      <w:r w:rsidR="25975A6A">
        <w:t xml:space="preserve"> a taxpayer suit to enjoin a confidential-informant (CI) program that allegedly elicited confessions by unconstitutional means “because it will interfere with other pending criminal cases and thus fall afoul of the rule of exclusive concurrent jurisdiction.” (</w:t>
      </w:r>
      <w:r w:rsidR="25975A6A" w:rsidRPr="797FBB80">
        <w:rPr>
          <w:i/>
          <w:iCs/>
        </w:rPr>
        <w:t>Spitzer</w:t>
      </w:r>
      <w:r w:rsidR="25975A6A">
        <w:t xml:space="preserve">, </w:t>
      </w:r>
      <w:r w:rsidR="25975A6A" w:rsidRPr="797FBB80">
        <w:rPr>
          <w:i/>
          <w:iCs/>
        </w:rPr>
        <w:t>supra</w:t>
      </w:r>
      <w:r w:rsidR="25975A6A">
        <w:t>,</w:t>
      </w:r>
      <w:r w:rsidR="25975A6A" w:rsidRPr="797FBB80">
        <w:rPr>
          <w:i/>
          <w:iCs/>
        </w:rPr>
        <w:t xml:space="preserve"> </w:t>
      </w:r>
      <w:r w:rsidR="25975A6A">
        <w:t xml:space="preserve">53 Cal.App.5th at p. 405.) Rejecting that claim, the Fourth </w:t>
      </w:r>
      <w:r w:rsidR="00803E07">
        <w:t>Appellate</w:t>
      </w:r>
      <w:r w:rsidR="25975A6A">
        <w:t xml:space="preserve"> District noted that the court in the taxpayer action “</w:t>
      </w:r>
      <w:r w:rsidR="25975A6A" w:rsidRPr="005E6FE4">
        <w:t>will not be required to make a ruling</w:t>
      </w:r>
      <w:r w:rsidR="25975A6A">
        <w:t xml:space="preserve"> [regarding any specific confession or criminal case]</w:t>
      </w:r>
      <w:r w:rsidR="25975A6A" w:rsidRPr="005E6FE4">
        <w:t xml:space="preserve"> in a way that poses a risk of inconsistent directives</w:t>
      </w:r>
      <w:r w:rsidR="25975A6A">
        <w:t>.” (</w:t>
      </w:r>
      <w:r w:rsidR="25975A6A" w:rsidRPr="797FBB80">
        <w:rPr>
          <w:i/>
          <w:iCs/>
        </w:rPr>
        <w:t>I</w:t>
      </w:r>
      <w:r w:rsidR="00EF5FD6">
        <w:rPr>
          <w:i/>
          <w:iCs/>
        </w:rPr>
        <w:t>bi</w:t>
      </w:r>
      <w:r w:rsidR="25975A6A" w:rsidRPr="797FBB80">
        <w:rPr>
          <w:i/>
          <w:iCs/>
        </w:rPr>
        <w:t>d</w:t>
      </w:r>
      <w:r w:rsidR="25975A6A" w:rsidRPr="4D00544E">
        <w:t>.) But even if</w:t>
      </w:r>
      <w:r w:rsidR="25975A6A" w:rsidRPr="003C0565">
        <w:t xml:space="preserve"> </w:t>
      </w:r>
      <w:r w:rsidR="25975A6A">
        <w:t>“</w:t>
      </w:r>
      <w:r w:rsidR="25975A6A" w:rsidRPr="003C0565">
        <w:t xml:space="preserve">two departments </w:t>
      </w:r>
      <w:r w:rsidR="25975A6A">
        <w:t xml:space="preserve">. . . </w:t>
      </w:r>
      <w:r w:rsidR="25975A6A" w:rsidRPr="003C0565">
        <w:t>may form different legal opinions about the legality of the CI program</w:t>
      </w:r>
      <w:r w:rsidR="25975A6A">
        <w:t xml:space="preserve"> . . .</w:t>
      </w:r>
      <w:r w:rsidR="25975A6A" w:rsidRPr="003C0565">
        <w:t xml:space="preserve"> </w:t>
      </w:r>
      <w:r w:rsidR="00027F50">
        <w:t xml:space="preserve">[,] </w:t>
      </w:r>
      <w:r w:rsidR="25975A6A" w:rsidRPr="003C0565">
        <w:t xml:space="preserve">that sort of risk is inherent in judicial systems, like ours, that do not adhere to horizontal stare decisis. That is not a sufficient basis to deny plaintiffs standing </w:t>
      </w:r>
      <w:proofErr w:type="gramStart"/>
      <w:r w:rsidR="25975A6A">
        <w:t>. . . </w:t>
      </w:r>
      <w:r w:rsidR="25975A6A" w:rsidRPr="003C0565">
        <w:t>.</w:t>
      </w:r>
      <w:proofErr w:type="gramEnd"/>
      <w:r w:rsidR="25975A6A">
        <w:t>” (</w:t>
      </w:r>
      <w:r w:rsidR="25975A6A" w:rsidRPr="797FBB80">
        <w:rPr>
          <w:i/>
          <w:iCs/>
        </w:rPr>
        <w:t>Spitzer</w:t>
      </w:r>
      <w:r w:rsidR="25975A6A">
        <w:t xml:space="preserve">, </w:t>
      </w:r>
      <w:r w:rsidR="25975A6A" w:rsidRPr="797FBB80">
        <w:rPr>
          <w:i/>
          <w:iCs/>
        </w:rPr>
        <w:t>supra</w:t>
      </w:r>
      <w:r w:rsidR="25975A6A">
        <w:t>, 53 Cal.App.5th at p</w:t>
      </w:r>
      <w:r w:rsidR="00CB3EF2">
        <w:t>p</w:t>
      </w:r>
      <w:r w:rsidR="25975A6A">
        <w:t xml:space="preserve">. 406–407, citing </w:t>
      </w:r>
      <w:r w:rsidR="25975A6A" w:rsidRPr="797FBB80">
        <w:rPr>
          <w:i/>
          <w:iCs/>
        </w:rPr>
        <w:t>Van Atta</w:t>
      </w:r>
      <w:r w:rsidR="25975A6A">
        <w:t xml:space="preserve">, </w:t>
      </w:r>
      <w:r w:rsidR="25975A6A" w:rsidRPr="797FBB80">
        <w:rPr>
          <w:i/>
          <w:iCs/>
        </w:rPr>
        <w:t>supra</w:t>
      </w:r>
      <w:r w:rsidR="25975A6A">
        <w:t>, 27</w:t>
      </w:r>
      <w:r w:rsidR="00AF57F7">
        <w:t> </w:t>
      </w:r>
      <w:r w:rsidR="25975A6A">
        <w:t>Cal.3d 424</w:t>
      </w:r>
      <w:r w:rsidR="4CA5FBF9">
        <w:t xml:space="preserve"> </w:t>
      </w:r>
      <w:r w:rsidR="25975A6A">
        <w:t>[permitting taxpayer suit challenging pretrial release system].) We agree.</w:t>
      </w:r>
      <w:r>
        <w:rPr>
          <w:rStyle w:val="FootnoteReference"/>
        </w:rPr>
        <w:footnoteReference w:id="33"/>
      </w:r>
      <w:r w:rsidR="00A61865">
        <w:t xml:space="preserve"> </w:t>
      </w:r>
    </w:p>
    <w:p w14:paraId="26D2133C" w14:textId="707A72DA" w:rsidR="00AF0895" w:rsidRDefault="003D06AD" w:rsidP="006A408C">
      <w:pPr>
        <w:autoSpaceDE w:val="0"/>
        <w:autoSpaceDN w:val="0"/>
        <w:adjustRightInd w:val="0"/>
        <w:spacing w:line="360" w:lineRule="auto"/>
        <w:contextualSpacing/>
      </w:pPr>
      <w:r>
        <w:lastRenderedPageBreak/>
        <w:tab/>
        <w:t>In any event, as we hav</w:t>
      </w:r>
      <w:r>
        <w:t>e noted throughout, the complaint expressly disclaims any intent to “c</w:t>
      </w:r>
      <w:r w:rsidR="00317BFF">
        <w:t xml:space="preserve">hallenge or seek to remedy any order in </w:t>
      </w:r>
      <w:proofErr w:type="gramStart"/>
      <w:r w:rsidR="00317BFF">
        <w:t>any</w:t>
      </w:r>
      <w:proofErr w:type="gramEnd"/>
      <w:r w:rsidR="00317BFF">
        <w:t xml:space="preserve"> </w:t>
      </w:r>
    </w:p>
    <w:p w14:paraId="450AB63D" w14:textId="7246F280" w:rsidR="006361AC" w:rsidRPr="007B57F1" w:rsidRDefault="003D06AD" w:rsidP="006361AC">
      <w:pPr>
        <w:autoSpaceDE w:val="0"/>
        <w:autoSpaceDN w:val="0"/>
        <w:adjustRightInd w:val="0"/>
        <w:spacing w:line="360" w:lineRule="auto"/>
        <w:contextualSpacing/>
      </w:pPr>
      <w:proofErr w:type="gramStart"/>
      <w:r>
        <w:t>particular criminal</w:t>
      </w:r>
      <w:proofErr w:type="gramEnd"/>
      <w:r>
        <w:t xml:space="preserve"> case” or</w:t>
      </w:r>
      <w:r w:rsidR="00437D17">
        <w:t xml:space="preserve"> to “seek dismissal of</w:t>
      </w:r>
      <w:r w:rsidR="004719E3">
        <w:t xml:space="preserve"> any case.”</w:t>
      </w:r>
      <w:r w:rsidR="0080647E">
        <w:t xml:space="preserve"> On remand, we trust the trial court will manage the proceedings accordingly.</w:t>
      </w:r>
      <w:r w:rsidR="00A61865">
        <w:rPr>
          <w:rStyle w:val="FootnoteReference"/>
        </w:rPr>
        <w:t xml:space="preserve"> </w:t>
      </w:r>
    </w:p>
    <w:p w14:paraId="7D63BDDD" w14:textId="77777777" w:rsidR="0080647E" w:rsidRDefault="003D06AD" w:rsidP="003F5F13">
      <w:pPr>
        <w:keepNext/>
        <w:spacing w:line="360" w:lineRule="auto"/>
        <w:contextualSpacing/>
        <w:jc w:val="center"/>
        <w:rPr>
          <w:b/>
        </w:rPr>
      </w:pPr>
      <w:r>
        <w:rPr>
          <w:b/>
        </w:rPr>
        <w:t>D</w:t>
      </w:r>
      <w:r>
        <w:rPr>
          <w:b/>
        </w:rPr>
        <w:t>isposition</w:t>
      </w:r>
    </w:p>
    <w:p w14:paraId="7677C802" w14:textId="59567302" w:rsidR="0080647E" w:rsidRDefault="003D06AD" w:rsidP="003F5F13">
      <w:pPr>
        <w:autoSpaceDE w:val="0"/>
        <w:autoSpaceDN w:val="0"/>
        <w:adjustRightInd w:val="0"/>
        <w:spacing w:line="360" w:lineRule="auto"/>
        <w:contextualSpacing/>
      </w:pPr>
      <w:r>
        <w:rPr>
          <w:rFonts w:cs="Times New Roman"/>
        </w:rPr>
        <w:tab/>
        <w:t xml:space="preserve">The judgment of dismissal is </w:t>
      </w:r>
      <w:proofErr w:type="gramStart"/>
      <w:r>
        <w:rPr>
          <w:rFonts w:cs="Times New Roman"/>
        </w:rPr>
        <w:t>reversed</w:t>
      </w:r>
      <w:proofErr w:type="gramEnd"/>
      <w:r>
        <w:rPr>
          <w:rFonts w:cs="Times New Roman"/>
        </w:rPr>
        <w:t xml:space="preserve"> and the matter is remanded for further proceedings consistent with this opinion.</w:t>
      </w:r>
      <w:r w:rsidR="001F04FE">
        <w:rPr>
          <w:rFonts w:cs="Times New Roman"/>
        </w:rPr>
        <w:t xml:space="preserve"> </w:t>
      </w:r>
      <w:r w:rsidR="00DF26D4">
        <w:rPr>
          <w:rFonts w:cs="Times New Roman"/>
        </w:rPr>
        <w:t xml:space="preserve">Plaintiffs shall recover their costs on appeal. </w:t>
      </w:r>
    </w:p>
    <w:p w14:paraId="4C402A5C" w14:textId="3E0BA093" w:rsidR="00704A5B" w:rsidRDefault="003D06AD">
      <w:pPr>
        <w:tabs>
          <w:tab w:val="left" w:pos="6120"/>
        </w:tabs>
        <w:spacing w:before="240" w:line="240" w:lineRule="auto"/>
      </w:pPr>
      <w:r>
        <w:tab/>
      </w:r>
      <w:r>
        <w:tab/>
        <w:t>WHITMAN, J.</w:t>
      </w:r>
      <w:r>
        <w:rPr>
          <w:rStyle w:val="FootnoteReference"/>
        </w:rPr>
        <w:footnoteReference w:customMarkFollows="1" w:id="34"/>
        <w:t>*</w:t>
      </w:r>
    </w:p>
    <w:p w14:paraId="54A5E782" w14:textId="77777777" w:rsidR="00704A5B" w:rsidRDefault="003D06AD">
      <w:pPr>
        <w:tabs>
          <w:tab w:val="left" w:pos="1620"/>
        </w:tabs>
        <w:spacing w:before="240" w:after="240" w:line="240" w:lineRule="auto"/>
      </w:pPr>
      <w:r>
        <w:t>WE CONCUR:</w:t>
      </w:r>
    </w:p>
    <w:p w14:paraId="7BAF4921" w14:textId="0EB7DBAC" w:rsidR="00704A5B" w:rsidRDefault="003D06AD">
      <w:pPr>
        <w:tabs>
          <w:tab w:val="left" w:pos="1620"/>
        </w:tabs>
        <w:spacing w:line="240" w:lineRule="auto"/>
      </w:pPr>
      <w:r>
        <w:t>STREETER,</w:t>
      </w:r>
      <w:r w:rsidR="00AD3FBC">
        <w:t xml:space="preserve"> Acting P. </w:t>
      </w:r>
      <w:r>
        <w:t>J.</w:t>
      </w:r>
    </w:p>
    <w:p w14:paraId="0E956E34" w14:textId="77777777" w:rsidR="00704A5B" w:rsidRDefault="003D06AD">
      <w:pPr>
        <w:tabs>
          <w:tab w:val="left" w:pos="1620"/>
        </w:tabs>
        <w:spacing w:line="240" w:lineRule="auto"/>
      </w:pPr>
      <w:r>
        <w:t>GOLDMAN, J.</w:t>
      </w:r>
    </w:p>
    <w:p w14:paraId="7CA92C75" w14:textId="77777777" w:rsidR="00CB1850" w:rsidRDefault="00CB1850" w:rsidP="003F5F13">
      <w:pPr>
        <w:autoSpaceDE w:val="0"/>
        <w:autoSpaceDN w:val="0"/>
        <w:adjustRightInd w:val="0"/>
        <w:spacing w:line="360" w:lineRule="auto"/>
        <w:contextualSpacing/>
        <w:sectPr w:rsidR="00CB1850" w:rsidSect="0080647E">
          <w:footerReference w:type="even" r:id="rId9"/>
          <w:footerReference w:type="default" r:id="rId10"/>
          <w:footerReference w:type="first" r:id="rId11"/>
          <w:pgSz w:w="12240" w:h="15840"/>
          <w:pgMar w:top="1440" w:right="1440" w:bottom="1440" w:left="1440" w:header="720" w:footer="720" w:gutter="0"/>
          <w:cols w:space="720"/>
          <w:docGrid w:linePitch="360"/>
        </w:sectPr>
      </w:pPr>
    </w:p>
    <w:p w14:paraId="7C622790" w14:textId="12A9711C" w:rsidR="00EA2F79" w:rsidRDefault="003D06AD" w:rsidP="00EA2F79">
      <w:r>
        <w:lastRenderedPageBreak/>
        <w:t>Trial Court:</w:t>
      </w:r>
      <w:r>
        <w:tab/>
      </w:r>
      <w:r>
        <w:tab/>
        <w:t xml:space="preserve">Superior Court of California, County of </w:t>
      </w:r>
      <w:r w:rsidR="001C77D3">
        <w:t>Contra Costa</w:t>
      </w:r>
    </w:p>
    <w:p w14:paraId="56F85195" w14:textId="77777777" w:rsidR="00DD104E" w:rsidRDefault="00DD104E" w:rsidP="00464B64">
      <w:pPr>
        <w:spacing w:line="240" w:lineRule="auto"/>
      </w:pPr>
    </w:p>
    <w:p w14:paraId="7C79D506" w14:textId="41F4FB45" w:rsidR="00440196" w:rsidRDefault="003D06AD" w:rsidP="00435AD1">
      <w:pPr>
        <w:spacing w:line="240" w:lineRule="atLeast"/>
      </w:pPr>
      <w:r>
        <w:t>Trial Judge:</w:t>
      </w:r>
      <w:r>
        <w:tab/>
        <w:t>Hon</w:t>
      </w:r>
      <w:r w:rsidR="00DD104E">
        <w:t>. E</w:t>
      </w:r>
      <w:r w:rsidR="00E554A3">
        <w:t>dward</w:t>
      </w:r>
      <w:r w:rsidR="00C1440F">
        <w:t> G.</w:t>
      </w:r>
      <w:r w:rsidR="00E554A3">
        <w:t xml:space="preserve"> Weil</w:t>
      </w:r>
    </w:p>
    <w:p w14:paraId="7D4BCA02" w14:textId="77777777" w:rsidR="00DD104E" w:rsidRDefault="00DD104E" w:rsidP="00464B64">
      <w:pPr>
        <w:spacing w:line="240" w:lineRule="auto"/>
      </w:pPr>
    </w:p>
    <w:p w14:paraId="4E39C2AB" w14:textId="7000F8EA" w:rsidR="00EA2F79" w:rsidRDefault="003D06AD" w:rsidP="00435AD1">
      <w:pPr>
        <w:spacing w:line="240" w:lineRule="auto"/>
        <w:ind w:left="2160" w:hanging="2160"/>
      </w:pPr>
      <w:r>
        <w:t>Counsel:</w:t>
      </w:r>
      <w:r>
        <w:tab/>
      </w:r>
      <w:r w:rsidR="00B62903">
        <w:t>Ol</w:t>
      </w:r>
      <w:r w:rsidR="009611E9">
        <w:t>ivier</w:t>
      </w:r>
      <w:r w:rsidR="00EE2D00">
        <w:t xml:space="preserve"> &amp; Schreiber</w:t>
      </w:r>
      <w:r w:rsidR="000844A8">
        <w:t xml:space="preserve">, </w:t>
      </w:r>
      <w:r w:rsidR="000E4626">
        <w:t>Monique Olivier</w:t>
      </w:r>
      <w:r w:rsidR="001930F6">
        <w:t xml:space="preserve">, </w:t>
      </w:r>
      <w:r w:rsidR="000E4626">
        <w:t xml:space="preserve">Christian </w:t>
      </w:r>
      <w:r w:rsidR="00A2588F">
        <w:t>Schreiber</w:t>
      </w:r>
      <w:r w:rsidR="00EE79D6">
        <w:t xml:space="preserve">; </w:t>
      </w:r>
      <w:r w:rsidR="0098063E">
        <w:t>Miller Shah</w:t>
      </w:r>
      <w:r w:rsidR="009A1B8F">
        <w:t xml:space="preserve">, </w:t>
      </w:r>
      <w:r w:rsidR="00CA5B2A">
        <w:t>James</w:t>
      </w:r>
      <w:r w:rsidR="00D86D96">
        <w:t> </w:t>
      </w:r>
      <w:r w:rsidR="00CA5B2A">
        <w:t>E. Miller</w:t>
      </w:r>
      <w:r w:rsidR="001F79D4">
        <w:t xml:space="preserve"> and </w:t>
      </w:r>
      <w:r w:rsidR="00BE265C">
        <w:t>Casey</w:t>
      </w:r>
      <w:r w:rsidR="009D7E3B">
        <w:t> </w:t>
      </w:r>
      <w:r w:rsidR="00BE265C">
        <w:t xml:space="preserve">T. </w:t>
      </w:r>
      <w:r w:rsidR="005D4D14">
        <w:t>Yamasaki</w:t>
      </w:r>
      <w:r w:rsidR="00696B56">
        <w:t xml:space="preserve"> for</w:t>
      </w:r>
      <w:r w:rsidR="0066307F">
        <w:t xml:space="preserve"> </w:t>
      </w:r>
      <w:r>
        <w:t>Plaintiffs and Appellants.</w:t>
      </w:r>
    </w:p>
    <w:p w14:paraId="18EDED4B" w14:textId="77777777" w:rsidR="00EA2F79" w:rsidRDefault="00EA2F79" w:rsidP="00EA2F79">
      <w:pPr>
        <w:spacing w:line="240" w:lineRule="auto"/>
        <w:ind w:left="2160"/>
      </w:pPr>
    </w:p>
    <w:p w14:paraId="7AB5218C" w14:textId="4C50977A" w:rsidR="00EA2F79" w:rsidRPr="00EB603A" w:rsidRDefault="003D06AD" w:rsidP="00EA2F79">
      <w:pPr>
        <w:spacing w:line="240" w:lineRule="auto"/>
        <w:ind w:left="2160"/>
      </w:pPr>
      <w:r>
        <w:t xml:space="preserve">Clyde </w:t>
      </w:r>
      <w:r w:rsidR="00F27FF9">
        <w:t>&amp;</w:t>
      </w:r>
      <w:r w:rsidR="00A66389">
        <w:t xml:space="preserve"> </w:t>
      </w:r>
      <w:r w:rsidR="00F27FF9">
        <w:t>Co</w:t>
      </w:r>
      <w:r w:rsidR="007A4DE5">
        <w:t xml:space="preserve">, </w:t>
      </w:r>
      <w:r w:rsidR="007D04F2">
        <w:t>Alison</w:t>
      </w:r>
      <w:r w:rsidR="00D86D96">
        <w:t> </w:t>
      </w:r>
      <w:r w:rsidR="007D04F2">
        <w:t xml:space="preserve">K. </w:t>
      </w:r>
      <w:proofErr w:type="spellStart"/>
      <w:r w:rsidR="007D04F2">
        <w:t>Beanum</w:t>
      </w:r>
      <w:proofErr w:type="spellEnd"/>
      <w:r w:rsidR="00C84C7C">
        <w:t>, Douglas</w:t>
      </w:r>
      <w:r w:rsidR="00D86D96">
        <w:t> </w:t>
      </w:r>
      <w:r w:rsidR="00C84C7C">
        <w:t>J.</w:t>
      </w:r>
      <w:r w:rsidR="00D86D96">
        <w:t xml:space="preserve"> </w:t>
      </w:r>
      <w:proofErr w:type="spellStart"/>
      <w:r w:rsidR="00C84C7C">
        <w:t>Collodel</w:t>
      </w:r>
      <w:proofErr w:type="spellEnd"/>
      <w:r w:rsidR="0039798D">
        <w:t>, and Kevin</w:t>
      </w:r>
      <w:r w:rsidR="006F7078">
        <w:t> </w:t>
      </w:r>
      <w:r w:rsidR="0039798D">
        <w:t>R. Sutherland</w:t>
      </w:r>
      <w:r w:rsidR="00C21931">
        <w:t xml:space="preserve"> for</w:t>
      </w:r>
      <w:r w:rsidR="001E232D">
        <w:t xml:space="preserve"> </w:t>
      </w:r>
      <w:r>
        <w:t>Defendant</w:t>
      </w:r>
      <w:r w:rsidR="00131E0D">
        <w:t>s</w:t>
      </w:r>
      <w:r>
        <w:t xml:space="preserve"> and Respondent</w:t>
      </w:r>
      <w:r w:rsidR="00131E0D">
        <w:t>s</w:t>
      </w:r>
      <w:r>
        <w:t>.</w:t>
      </w:r>
    </w:p>
    <w:p w14:paraId="32815BE8" w14:textId="5C758539" w:rsidR="000B544A" w:rsidRDefault="000B544A" w:rsidP="003F5F13">
      <w:pPr>
        <w:autoSpaceDE w:val="0"/>
        <w:autoSpaceDN w:val="0"/>
        <w:adjustRightInd w:val="0"/>
        <w:spacing w:line="360" w:lineRule="auto"/>
        <w:contextualSpacing/>
      </w:pPr>
    </w:p>
    <w:sectPr w:rsidR="000B544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8FB2" w14:textId="77777777" w:rsidR="00000000" w:rsidRDefault="003D06AD">
      <w:pPr>
        <w:spacing w:line="240" w:lineRule="auto"/>
      </w:pPr>
      <w:r>
        <w:separator/>
      </w:r>
    </w:p>
  </w:endnote>
  <w:endnote w:type="continuationSeparator" w:id="0">
    <w:p w14:paraId="549FF26E" w14:textId="77777777" w:rsidR="00000000" w:rsidRDefault="003D06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Schoolbook">
    <w:altName w:val="Calibri"/>
    <w:charset w:val="00"/>
    <w:family w:val="roman"/>
    <w:pitch w:val="default"/>
    <w:sig w:usb0="00000003" w:usb1="00000000" w:usb2="00000000" w:usb3="00000000" w:csb0="00000001" w:csb1="00000000"/>
  </w:font>
  <w:font w:name="Calibri,Italic">
    <w:altName w:val="Calibri"/>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C45D" w14:textId="2E558832" w:rsidR="0080647E" w:rsidRDefault="003D06A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6154927" w14:textId="75A6314F" w:rsidR="0080647E" w:rsidRDefault="003D06A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660AEFB" w14:textId="77777777" w:rsidR="0080647E" w:rsidRDefault="00806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2B18" w14:textId="6B2272D4" w:rsidR="0080647E" w:rsidRDefault="003D06AD" w:rsidP="0080647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43</w:t>
    </w:r>
    <w:r>
      <w:rPr>
        <w:rStyle w:val="PageNumber"/>
      </w:rPr>
      <w:fldChar w:fldCharType="end"/>
    </w:r>
  </w:p>
  <w:p w14:paraId="4D12A05F" w14:textId="77777777" w:rsidR="0080647E" w:rsidRDefault="008064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4055" w14:textId="0C7CE040" w:rsidR="00CB1850" w:rsidRPr="008F538D" w:rsidRDefault="003D06AD">
    <w:pPr>
      <w:pStyle w:val="Footer"/>
      <w:rPr>
        <w:sz w:val="18"/>
        <w:szCs w:val="18"/>
      </w:rPr>
    </w:pPr>
    <w:r w:rsidRPr="008F538D">
      <w:rPr>
        <w:i/>
        <w:iCs/>
        <w:sz w:val="18"/>
        <w:szCs w:val="18"/>
      </w:rPr>
      <w:t>Raju et al. v. The Superior Court of California</w:t>
    </w:r>
    <w:r w:rsidR="004C55E3" w:rsidRPr="008F538D">
      <w:rPr>
        <w:i/>
        <w:iCs/>
        <w:sz w:val="18"/>
        <w:szCs w:val="18"/>
      </w:rPr>
      <w:t xml:space="preserve"> for the City and County of San Francisco</w:t>
    </w:r>
    <w:r w:rsidR="00143EF6" w:rsidRPr="008F538D">
      <w:rPr>
        <w:i/>
        <w:iCs/>
        <w:sz w:val="18"/>
        <w:szCs w:val="18"/>
      </w:rPr>
      <w:t xml:space="preserve"> et</w:t>
    </w:r>
    <w:r w:rsidR="00BF7B8B" w:rsidRPr="008F538D">
      <w:rPr>
        <w:i/>
        <w:iCs/>
        <w:sz w:val="18"/>
        <w:szCs w:val="18"/>
      </w:rPr>
      <w:t xml:space="preserve"> al</w:t>
    </w:r>
    <w:r w:rsidR="001E503A" w:rsidRPr="008F538D">
      <w:rPr>
        <w:i/>
        <w:iCs/>
        <w:sz w:val="18"/>
        <w:szCs w:val="18"/>
      </w:rPr>
      <w:t>.</w:t>
    </w:r>
    <w:r w:rsidR="004C55E3" w:rsidRPr="008F538D">
      <w:rPr>
        <w:sz w:val="18"/>
        <w:szCs w:val="18"/>
      </w:rPr>
      <w:t xml:space="preserve"> – A164736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914A" w14:textId="77777777" w:rsidR="008127E7" w:rsidRDefault="003D06AD" w:rsidP="0080647E">
      <w:pPr>
        <w:spacing w:line="240" w:lineRule="auto"/>
      </w:pPr>
      <w:r>
        <w:separator/>
      </w:r>
    </w:p>
  </w:footnote>
  <w:footnote w:type="continuationSeparator" w:id="0">
    <w:p w14:paraId="7AD016A6" w14:textId="77777777" w:rsidR="008127E7" w:rsidRDefault="003D06AD" w:rsidP="0080647E">
      <w:pPr>
        <w:spacing w:line="240" w:lineRule="auto"/>
      </w:pPr>
      <w:r>
        <w:continuationSeparator/>
      </w:r>
    </w:p>
  </w:footnote>
  <w:footnote w:type="continuationNotice" w:id="1">
    <w:p w14:paraId="1034C238" w14:textId="77777777" w:rsidR="008127E7" w:rsidRDefault="008127E7">
      <w:pPr>
        <w:spacing w:line="240" w:lineRule="auto"/>
      </w:pPr>
    </w:p>
  </w:footnote>
  <w:footnote w:id="2">
    <w:p w14:paraId="0619AD3C" w14:textId="4D3B9011" w:rsidR="0080647E" w:rsidRPr="00733734" w:rsidRDefault="003D06AD" w:rsidP="00E50CDF">
      <w:pPr>
        <w:pStyle w:val="FootnoteText"/>
        <w:spacing w:after="120"/>
        <w:rPr>
          <w:szCs w:val="26"/>
        </w:rPr>
      </w:pPr>
      <w:r w:rsidRPr="00733734">
        <w:rPr>
          <w:szCs w:val="26"/>
        </w:rPr>
        <w:tab/>
      </w:r>
      <w:r w:rsidRPr="00733734">
        <w:rPr>
          <w:rStyle w:val="FootnoteReference"/>
          <w:szCs w:val="26"/>
        </w:rPr>
        <w:footnoteRef/>
      </w:r>
      <w:r w:rsidRPr="00733734">
        <w:rPr>
          <w:szCs w:val="26"/>
        </w:rPr>
        <w:t xml:space="preserve"> Plaintiffs </w:t>
      </w:r>
      <w:r>
        <w:rPr>
          <w:szCs w:val="26"/>
        </w:rPr>
        <w:t>initial</w:t>
      </w:r>
      <w:r w:rsidR="00AA4B52">
        <w:rPr>
          <w:szCs w:val="26"/>
        </w:rPr>
        <w:t xml:space="preserve">ly </w:t>
      </w:r>
      <w:r w:rsidRPr="00733734">
        <w:rPr>
          <w:szCs w:val="26"/>
        </w:rPr>
        <w:t xml:space="preserve">named </w:t>
      </w:r>
      <w:r w:rsidR="00777A5A">
        <w:rPr>
          <w:szCs w:val="26"/>
        </w:rPr>
        <w:t xml:space="preserve">as defendants </w:t>
      </w:r>
      <w:r w:rsidRPr="00733734">
        <w:rPr>
          <w:szCs w:val="26"/>
        </w:rPr>
        <w:t>then</w:t>
      </w:r>
      <w:r w:rsidR="003E7ED6">
        <w:rPr>
          <w:szCs w:val="26"/>
        </w:rPr>
        <w:t xml:space="preserve"> </w:t>
      </w:r>
      <w:r w:rsidRPr="00733734">
        <w:rPr>
          <w:szCs w:val="26"/>
        </w:rPr>
        <w:t xml:space="preserve">Presiding Judge </w:t>
      </w:r>
      <w:r w:rsidRPr="00733734">
        <w:rPr>
          <w:rFonts w:cs="CenturySchoolbook"/>
          <w:szCs w:val="26"/>
        </w:rPr>
        <w:t>Samuel</w:t>
      </w:r>
      <w:r w:rsidR="00BD156F">
        <w:rPr>
          <w:rFonts w:cs="CenturySchoolbook"/>
          <w:szCs w:val="26"/>
        </w:rPr>
        <w:t> </w:t>
      </w:r>
      <w:r w:rsidRPr="00733734">
        <w:rPr>
          <w:rFonts w:cs="CenturySchoolbook"/>
          <w:szCs w:val="26"/>
        </w:rPr>
        <w:t>K. Feng and then</w:t>
      </w:r>
      <w:r w:rsidR="002A566A">
        <w:rPr>
          <w:rFonts w:cs="CenturySchoolbook"/>
          <w:szCs w:val="26"/>
        </w:rPr>
        <w:t xml:space="preserve"> </w:t>
      </w:r>
      <w:r w:rsidRPr="00733734">
        <w:rPr>
          <w:rFonts w:cs="CenturySchoolbook"/>
          <w:szCs w:val="26"/>
        </w:rPr>
        <w:t xml:space="preserve">CEO T. Michael Yuen in their official capacities. While this appeal was pending, this court granted a motion </w:t>
      </w:r>
      <w:r>
        <w:rPr>
          <w:rFonts w:cs="CenturySchoolbook"/>
          <w:szCs w:val="26"/>
        </w:rPr>
        <w:t xml:space="preserve">to </w:t>
      </w:r>
      <w:r w:rsidRPr="00733734">
        <w:rPr>
          <w:rFonts w:cs="CenturySchoolbook"/>
          <w:szCs w:val="26"/>
        </w:rPr>
        <w:t xml:space="preserve">substitute current Presiding </w:t>
      </w:r>
      <w:r w:rsidRPr="00733734">
        <w:rPr>
          <w:rFonts w:cs="CenturySchoolbook"/>
          <w:szCs w:val="26"/>
        </w:rPr>
        <w:t xml:space="preserve">Judge </w:t>
      </w:r>
      <w:proofErr w:type="spellStart"/>
      <w:r w:rsidRPr="00733734">
        <w:rPr>
          <w:rFonts w:cs="CenturySchoolbook"/>
          <w:szCs w:val="26"/>
        </w:rPr>
        <w:t>Massullo</w:t>
      </w:r>
      <w:proofErr w:type="spellEnd"/>
      <w:r w:rsidRPr="00733734">
        <w:rPr>
          <w:rFonts w:cs="CenturySchoolbook"/>
          <w:szCs w:val="26"/>
        </w:rPr>
        <w:t xml:space="preserve"> and current Interim CEO </w:t>
      </w:r>
      <w:proofErr w:type="spellStart"/>
      <w:r w:rsidRPr="00733734">
        <w:rPr>
          <w:rFonts w:cs="CenturySchoolbook"/>
          <w:szCs w:val="26"/>
        </w:rPr>
        <w:t>Culkins</w:t>
      </w:r>
      <w:proofErr w:type="spellEnd"/>
      <w:r w:rsidRPr="00733734">
        <w:rPr>
          <w:rFonts w:cs="CenturySchoolbook"/>
          <w:szCs w:val="26"/>
        </w:rPr>
        <w:t>, in their official capacities, as nominal defendants. (See</w:t>
      </w:r>
      <w:r>
        <w:rPr>
          <w:rFonts w:cs="CenturySchoolbook"/>
          <w:szCs w:val="26"/>
        </w:rPr>
        <w:t xml:space="preserve"> </w:t>
      </w:r>
      <w:r w:rsidRPr="00733734">
        <w:rPr>
          <w:rFonts w:cs="CenturySchoolbook"/>
          <w:szCs w:val="26"/>
        </w:rPr>
        <w:t>Cal</w:t>
      </w:r>
      <w:r w:rsidR="00E50CDF">
        <w:rPr>
          <w:rFonts w:cs="CenturySchoolbook"/>
          <w:szCs w:val="26"/>
        </w:rPr>
        <w:t>.</w:t>
      </w:r>
      <w:r w:rsidRPr="00733734">
        <w:rPr>
          <w:rFonts w:cs="CenturySchoolbook"/>
          <w:szCs w:val="26"/>
        </w:rPr>
        <w:t xml:space="preserve"> Rules of Court, rule</w:t>
      </w:r>
      <w:r w:rsidR="00146A03">
        <w:rPr>
          <w:rFonts w:cs="CenturySchoolbook"/>
          <w:szCs w:val="26"/>
        </w:rPr>
        <w:t> </w:t>
      </w:r>
      <w:r w:rsidRPr="00733734">
        <w:rPr>
          <w:rFonts w:cs="CenturySchoolbook"/>
          <w:szCs w:val="26"/>
        </w:rPr>
        <w:t xml:space="preserve">8.36.) </w:t>
      </w:r>
    </w:p>
  </w:footnote>
  <w:footnote w:id="3">
    <w:p w14:paraId="22178062" w14:textId="71AC7569" w:rsidR="0080647E" w:rsidRPr="0085296A" w:rsidRDefault="003D06AD" w:rsidP="00E50CDF">
      <w:pPr>
        <w:pStyle w:val="FootnoteText"/>
        <w:spacing w:after="120"/>
        <w:rPr>
          <w:szCs w:val="26"/>
        </w:rPr>
      </w:pPr>
      <w:r w:rsidRPr="0085296A">
        <w:tab/>
      </w:r>
      <w:r w:rsidRPr="2ED00FE3">
        <w:rPr>
          <w:rStyle w:val="FootnoteReference"/>
          <w:szCs w:val="26"/>
        </w:rPr>
        <w:footnoteRef/>
      </w:r>
      <w:r w:rsidRPr="2ED00FE3">
        <w:rPr>
          <w:szCs w:val="26"/>
        </w:rPr>
        <w:t xml:space="preserve"> </w:t>
      </w:r>
      <w:r w:rsidR="00F41058">
        <w:rPr>
          <w:szCs w:val="26"/>
        </w:rPr>
        <w:t>Although</w:t>
      </w:r>
      <w:r w:rsidRPr="2ED00FE3">
        <w:rPr>
          <w:szCs w:val="26"/>
        </w:rPr>
        <w:t xml:space="preserve"> Raju </w:t>
      </w:r>
      <w:r w:rsidR="00F41058">
        <w:rPr>
          <w:szCs w:val="26"/>
        </w:rPr>
        <w:t>is not listed</w:t>
      </w:r>
      <w:r w:rsidRPr="2ED00FE3">
        <w:rPr>
          <w:szCs w:val="26"/>
        </w:rPr>
        <w:t xml:space="preserve"> as a plaintiff only </w:t>
      </w:r>
      <w:r w:rsidRPr="2ED00FE3">
        <w:rPr>
          <w:spacing w:val="-2"/>
          <w:szCs w:val="26"/>
        </w:rPr>
        <w:t>on the taxpayer-standing</w:t>
      </w:r>
      <w:r w:rsidRPr="2ED00FE3">
        <w:rPr>
          <w:szCs w:val="26"/>
        </w:rPr>
        <w:t xml:space="preserve"> cause of action</w:t>
      </w:r>
      <w:r w:rsidR="00F41058">
        <w:rPr>
          <w:szCs w:val="26"/>
        </w:rPr>
        <w:t>,</w:t>
      </w:r>
      <w:r w:rsidRPr="2ED00FE3">
        <w:rPr>
          <w:szCs w:val="26"/>
        </w:rPr>
        <w:t xml:space="preserve"> he </w:t>
      </w:r>
      <w:r w:rsidR="00F41058">
        <w:rPr>
          <w:szCs w:val="26"/>
        </w:rPr>
        <w:t>asserts</w:t>
      </w:r>
      <w:r w:rsidR="00F41058" w:rsidRPr="2ED00FE3">
        <w:rPr>
          <w:szCs w:val="26"/>
        </w:rPr>
        <w:t xml:space="preserve"> </w:t>
      </w:r>
      <w:r w:rsidRPr="2ED00FE3">
        <w:rPr>
          <w:szCs w:val="26"/>
        </w:rPr>
        <w:t xml:space="preserve">that he would have </w:t>
      </w:r>
      <w:proofErr w:type="gramStart"/>
      <w:r w:rsidRPr="2ED00FE3">
        <w:rPr>
          <w:szCs w:val="26"/>
        </w:rPr>
        <w:t>standing</w:t>
      </w:r>
      <w:proofErr w:type="gramEnd"/>
      <w:r w:rsidRPr="2ED00FE3">
        <w:rPr>
          <w:szCs w:val="26"/>
        </w:rPr>
        <w:t xml:space="preserve"> to join the taxpayer action </w:t>
      </w:r>
      <w:r w:rsidRPr="2ED00FE3">
        <w:rPr>
          <w:spacing w:val="-2"/>
          <w:szCs w:val="26"/>
        </w:rPr>
        <w:t xml:space="preserve">and will seek leave to do so on remand. </w:t>
      </w:r>
      <w:r w:rsidRPr="2ED00FE3">
        <w:rPr>
          <w:szCs w:val="26"/>
        </w:rPr>
        <w:t xml:space="preserve">As </w:t>
      </w:r>
      <w:r w:rsidRPr="490EE589">
        <w:rPr>
          <w:szCs w:val="26"/>
        </w:rPr>
        <w:t xml:space="preserve">the </w:t>
      </w:r>
      <w:r w:rsidRPr="2ED00FE3">
        <w:rPr>
          <w:spacing w:val="-2"/>
          <w:szCs w:val="26"/>
        </w:rPr>
        <w:t>other appellants plainly have standing to appeal</w:t>
      </w:r>
      <w:r w:rsidRPr="2ED00FE3">
        <w:rPr>
          <w:szCs w:val="26"/>
        </w:rPr>
        <w:t xml:space="preserve">, </w:t>
      </w:r>
      <w:r w:rsidRPr="0E5941BA">
        <w:rPr>
          <w:szCs w:val="26"/>
        </w:rPr>
        <w:t xml:space="preserve">we need not address the </w:t>
      </w:r>
      <w:r w:rsidRPr="572A1C73">
        <w:rPr>
          <w:szCs w:val="26"/>
        </w:rPr>
        <w:t>issue</w:t>
      </w:r>
      <w:r w:rsidRPr="2ED00FE3">
        <w:rPr>
          <w:szCs w:val="26"/>
        </w:rPr>
        <w:t xml:space="preserve">. </w:t>
      </w:r>
    </w:p>
  </w:footnote>
  <w:footnote w:id="4">
    <w:p w14:paraId="7AA5022B" w14:textId="46EF7181" w:rsidR="0080647E" w:rsidRPr="00C01542" w:rsidRDefault="003D06AD" w:rsidP="0080647E">
      <w:pPr>
        <w:pStyle w:val="FootnoteText"/>
        <w:spacing w:after="120"/>
        <w:rPr>
          <w:szCs w:val="26"/>
        </w:rPr>
      </w:pPr>
      <w:r w:rsidRPr="003D0C39">
        <w:tab/>
      </w:r>
      <w:r w:rsidRPr="003D0C39">
        <w:rPr>
          <w:rStyle w:val="FootnoteReference"/>
        </w:rPr>
        <w:footnoteRef/>
      </w:r>
      <w:r w:rsidRPr="003D0C39">
        <w:t xml:space="preserve"> </w:t>
      </w:r>
      <w:r w:rsidR="007C1D95">
        <w:rPr>
          <w:szCs w:val="26"/>
        </w:rPr>
        <w:t>As</w:t>
      </w:r>
      <w:r w:rsidRPr="00C01542">
        <w:rPr>
          <w:szCs w:val="26"/>
        </w:rPr>
        <w:t xml:space="preserve"> the judgment of dismissal followed an order sustaining a demurrer</w:t>
      </w:r>
      <w:r>
        <w:rPr>
          <w:szCs w:val="26"/>
        </w:rPr>
        <w:t xml:space="preserve"> without leave to amend</w:t>
      </w:r>
      <w:r w:rsidRPr="00C01542">
        <w:rPr>
          <w:szCs w:val="26"/>
        </w:rPr>
        <w:t>, we accept as true all facts properly alleged in the complaint. (</w:t>
      </w:r>
      <w:r w:rsidRPr="00C01542">
        <w:rPr>
          <w:i/>
          <w:iCs/>
          <w:szCs w:val="26"/>
        </w:rPr>
        <w:t xml:space="preserve">Minton v. Dignity Health </w:t>
      </w:r>
      <w:r w:rsidRPr="00C01542">
        <w:rPr>
          <w:szCs w:val="26"/>
        </w:rPr>
        <w:t>(2019) 39 Cal.App.5th 1155, 1161.)</w:t>
      </w:r>
    </w:p>
  </w:footnote>
  <w:footnote w:id="5">
    <w:p w14:paraId="7CE5EF53" w14:textId="00212526" w:rsidR="00842409" w:rsidRDefault="003D06AD" w:rsidP="00691218">
      <w:pPr>
        <w:pStyle w:val="FootnoteText"/>
        <w:spacing w:after="120"/>
      </w:pPr>
      <w:r>
        <w:tab/>
      </w:r>
      <w:r w:rsidRPr="1D2EECFC">
        <w:rPr>
          <w:rStyle w:val="FootnoteReference"/>
        </w:rPr>
        <w:footnoteRef/>
      </w:r>
      <w:r>
        <w:t xml:space="preserve"> Defendant court continued to designate an additional four courtrooms as “satellites” for remote viewing </w:t>
      </w:r>
      <w:r>
        <w:t xml:space="preserve">of criminal trials. </w:t>
      </w:r>
    </w:p>
  </w:footnote>
  <w:footnote w:id="6">
    <w:p w14:paraId="1B1A5FF9" w14:textId="18DD9A8C" w:rsidR="00E20381" w:rsidRDefault="003D06AD" w:rsidP="00E20381">
      <w:pPr>
        <w:pStyle w:val="FootnoteText"/>
        <w:ind w:firstLine="720"/>
      </w:pPr>
      <w:r w:rsidRPr="1D2EECFC">
        <w:rPr>
          <w:rStyle w:val="FootnoteReference"/>
        </w:rPr>
        <w:footnoteRef/>
      </w:r>
      <w:r>
        <w:t xml:space="preserve"> </w:t>
      </w:r>
      <w:r w:rsidR="00CE49F7" w:rsidRPr="00182CC7">
        <w:rPr>
          <w:szCs w:val="26"/>
        </w:rPr>
        <w:t>All u</w:t>
      </w:r>
      <w:r w:rsidRPr="00182CC7">
        <w:rPr>
          <w:szCs w:val="26"/>
        </w:rPr>
        <w:t>ndesignated statutory citations are to the Penal Code.</w:t>
      </w:r>
      <w:r w:rsidR="00953237" w:rsidRPr="00182CC7">
        <w:rPr>
          <w:szCs w:val="26"/>
        </w:rPr>
        <w:t xml:space="preserve"> </w:t>
      </w:r>
      <w:r w:rsidR="00B34FBD" w:rsidRPr="00182CC7">
        <w:rPr>
          <w:szCs w:val="26"/>
        </w:rPr>
        <w:t>For brevity</w:t>
      </w:r>
      <w:r w:rsidR="004D3D90" w:rsidRPr="00182CC7">
        <w:rPr>
          <w:szCs w:val="26"/>
        </w:rPr>
        <w:t>,</w:t>
      </w:r>
      <w:r w:rsidR="00B34FBD" w:rsidRPr="00182CC7">
        <w:rPr>
          <w:szCs w:val="26"/>
        </w:rPr>
        <w:t xml:space="preserve"> </w:t>
      </w:r>
      <w:r w:rsidR="0035157B" w:rsidRPr="00182CC7">
        <w:rPr>
          <w:szCs w:val="26"/>
        </w:rPr>
        <w:t>w</w:t>
      </w:r>
      <w:r w:rsidR="00953237" w:rsidRPr="00182CC7">
        <w:rPr>
          <w:szCs w:val="26"/>
        </w:rPr>
        <w:t xml:space="preserve">e refer to </w:t>
      </w:r>
      <w:r w:rsidR="00881017" w:rsidRPr="00182CC7">
        <w:rPr>
          <w:szCs w:val="26"/>
        </w:rPr>
        <w:t xml:space="preserve">subdivision (a) of section </w:t>
      </w:r>
      <w:r w:rsidR="003E378C" w:rsidRPr="00182CC7">
        <w:rPr>
          <w:szCs w:val="26"/>
        </w:rPr>
        <w:t xml:space="preserve">1050 </w:t>
      </w:r>
      <w:r w:rsidR="00881017" w:rsidRPr="00182CC7">
        <w:rPr>
          <w:szCs w:val="26"/>
        </w:rPr>
        <w:t>as section 1050(a).</w:t>
      </w:r>
    </w:p>
  </w:footnote>
  <w:footnote w:id="7">
    <w:p w14:paraId="0E6D92E0" w14:textId="70E53A1E" w:rsidR="1D2EECFC" w:rsidRDefault="003D06AD" w:rsidP="00620388">
      <w:pPr>
        <w:spacing w:after="120" w:line="240" w:lineRule="auto"/>
      </w:pPr>
      <w:r>
        <w:tab/>
      </w:r>
      <w:r w:rsidRPr="1D2EECFC">
        <w:rPr>
          <w:rStyle w:val="FootnoteReference"/>
        </w:rPr>
        <w:footnoteRef/>
      </w:r>
      <w:r w:rsidR="205F293E">
        <w:t xml:space="preserve"> </w:t>
      </w:r>
      <w:r w:rsidR="007346B5">
        <w:t>On</w:t>
      </w:r>
      <w:r w:rsidR="205F293E">
        <w:t xml:space="preserve"> demurrer, the trial court dismissed plaintiffs’ remaining causes of action for a writ of mandate (Code Civ. Proc., § 1085, subd. (a)) to compel defendants to comply with assertedly ministerial duties to devote more resources to holding criminal trials, as well as a civil cause of action purportedly arising directly under the speedy trial clause (Cal. Const., art. I, § 15). Plaintiffs </w:t>
      </w:r>
      <w:r w:rsidR="00831D47">
        <w:t>do not appeal from</w:t>
      </w:r>
      <w:r w:rsidR="205F293E">
        <w:t xml:space="preserve"> </w:t>
      </w:r>
      <w:r w:rsidR="00386DDB">
        <w:t>this aspect of the order</w:t>
      </w:r>
      <w:r w:rsidR="205F293E">
        <w:t>.</w:t>
      </w:r>
    </w:p>
  </w:footnote>
  <w:footnote w:id="8">
    <w:p w14:paraId="59EE80B5" w14:textId="3F13F213" w:rsidR="43CBD6DA" w:rsidRDefault="003D06AD" w:rsidP="00620388">
      <w:pPr>
        <w:spacing w:after="120" w:line="240" w:lineRule="auto"/>
      </w:pPr>
      <w:r>
        <w:tab/>
      </w:r>
      <w:r w:rsidRPr="43CBD6DA">
        <w:rPr>
          <w:rStyle w:val="FootnoteReference"/>
        </w:rPr>
        <w:footnoteRef/>
      </w:r>
      <w:r>
        <w:t xml:space="preserve"> We assume</w:t>
      </w:r>
      <w:r w:rsidR="00367659">
        <w:t xml:space="preserve"> </w:t>
      </w:r>
      <w:r w:rsidR="001E0FBB">
        <w:t>that by</w:t>
      </w:r>
      <w:r>
        <w:t xml:space="preserve"> </w:t>
      </w:r>
      <w:r w:rsidR="001E0FBB">
        <w:t>“</w:t>
      </w:r>
      <w:r>
        <w:t>specialized</w:t>
      </w:r>
      <w:r w:rsidR="001E0FBB">
        <w:t>”</w:t>
      </w:r>
      <w:r>
        <w:t xml:space="preserve"> </w:t>
      </w:r>
      <w:r w:rsidR="00367659">
        <w:t>civil matters</w:t>
      </w:r>
      <w:r>
        <w:t xml:space="preserve"> </w:t>
      </w:r>
      <w:r w:rsidR="001E0FBB">
        <w:t xml:space="preserve">plaintiffs </w:t>
      </w:r>
      <w:r w:rsidR="00367659">
        <w:t>mean</w:t>
      </w:r>
      <w:r>
        <w:t xml:space="preserve"> probate, juven</w:t>
      </w:r>
      <w:r>
        <w:t>ile justice, juvenile dependency, and family law</w:t>
      </w:r>
      <w:r w:rsidR="00367659">
        <w:t xml:space="preserve"> proceedings</w:t>
      </w:r>
      <w:r>
        <w:t>.</w:t>
      </w:r>
    </w:p>
  </w:footnote>
  <w:footnote w:id="9">
    <w:p w14:paraId="4151A53E" w14:textId="17DCB3A2" w:rsidR="005764CD" w:rsidRPr="003F3127" w:rsidRDefault="003D06AD" w:rsidP="005764CD">
      <w:pPr>
        <w:spacing w:after="120" w:line="240" w:lineRule="auto"/>
      </w:pPr>
      <w:r>
        <w:tab/>
      </w:r>
      <w:r>
        <w:rPr>
          <w:rStyle w:val="FootnoteReference"/>
        </w:rPr>
        <w:footnoteRef/>
      </w:r>
      <w:r>
        <w:t xml:space="preserve"> </w:t>
      </w:r>
      <w:r w:rsidR="003F3127">
        <w:t>H</w:t>
      </w:r>
      <w:r w:rsidRPr="001E0FBB">
        <w:t xml:space="preserve">owever, plaintiffs’ counsel clarified at oral argument that with respect to the taxpayer cause of action, plaintiffs primarily seek declaratory relief and will seek injunctive relief </w:t>
      </w:r>
      <w:r w:rsidR="00A125C6" w:rsidRPr="001E0FBB">
        <w:t xml:space="preserve">only </w:t>
      </w:r>
      <w:r w:rsidRPr="001E0FBB">
        <w:t>“i</w:t>
      </w:r>
      <w:r w:rsidRPr="001E0FBB">
        <w:t>f necessary.”</w:t>
      </w:r>
      <w:r w:rsidR="00A125C6">
        <w:t xml:space="preserve"> (See fn. 2</w:t>
      </w:r>
      <w:r w:rsidR="00D72FD2">
        <w:t>9</w:t>
      </w:r>
      <w:r w:rsidR="00A125C6">
        <w:t xml:space="preserve">, </w:t>
      </w:r>
      <w:r w:rsidR="00A125C6">
        <w:rPr>
          <w:i/>
          <w:iCs/>
        </w:rPr>
        <w:t>post</w:t>
      </w:r>
      <w:r w:rsidR="003F3127">
        <w:t>.)</w:t>
      </w:r>
    </w:p>
  </w:footnote>
  <w:footnote w:id="10">
    <w:p w14:paraId="7F022F02" w14:textId="24F39167" w:rsidR="0080647E" w:rsidRPr="00477A29" w:rsidRDefault="003D06AD" w:rsidP="0080647E">
      <w:pPr>
        <w:pStyle w:val="FootnoteText"/>
        <w:spacing w:after="120"/>
      </w:pPr>
      <w:r>
        <w:tab/>
      </w:r>
      <w:r w:rsidRPr="00477A29">
        <w:rPr>
          <w:rStyle w:val="FootnoteReference"/>
        </w:rPr>
        <w:footnoteRef/>
      </w:r>
      <w:r w:rsidRPr="00477A29">
        <w:t xml:space="preserve"> </w:t>
      </w:r>
      <w:r w:rsidRPr="00477A29">
        <w:rPr>
          <w:rFonts w:cs="CenturySchoolbook"/>
          <w:szCs w:val="25"/>
        </w:rPr>
        <w:t>All judges of defendant court disqualified themselves</w:t>
      </w:r>
      <w:r w:rsidR="0078695D">
        <w:rPr>
          <w:rFonts w:cs="CenturySchoolbook"/>
          <w:szCs w:val="25"/>
        </w:rPr>
        <w:t xml:space="preserve"> and</w:t>
      </w:r>
      <w:r w:rsidR="00041C5F">
        <w:rPr>
          <w:rFonts w:cs="CenturySchoolbook"/>
          <w:szCs w:val="25"/>
        </w:rPr>
        <w:t xml:space="preserve"> </w:t>
      </w:r>
      <w:r w:rsidR="00C0293B">
        <w:rPr>
          <w:rFonts w:cs="CenturySchoolbook"/>
          <w:szCs w:val="25"/>
        </w:rPr>
        <w:t>this case was</w:t>
      </w:r>
      <w:r w:rsidRPr="00477A29">
        <w:rPr>
          <w:rFonts w:cs="CenturySchoolbook"/>
          <w:szCs w:val="25"/>
        </w:rPr>
        <w:t xml:space="preserve"> assigned </w:t>
      </w:r>
      <w:r w:rsidR="00041C5F">
        <w:rPr>
          <w:rFonts w:cs="CenturySchoolbook"/>
          <w:szCs w:val="25"/>
        </w:rPr>
        <w:t>to</w:t>
      </w:r>
      <w:r w:rsidRPr="00477A29">
        <w:rPr>
          <w:rFonts w:cs="CenturySchoolbook"/>
          <w:szCs w:val="25"/>
        </w:rPr>
        <w:t xml:space="preserve"> a judge of Contra Costa County Superior Court.</w:t>
      </w:r>
    </w:p>
  </w:footnote>
  <w:footnote w:id="11">
    <w:p w14:paraId="4A36E292" w14:textId="77777777" w:rsidR="00EC1B33" w:rsidRDefault="003D06AD" w:rsidP="00EC1B33">
      <w:pPr>
        <w:pStyle w:val="FootnoteText"/>
        <w:spacing w:after="120"/>
        <w:rPr>
          <w:rFonts w:cs="Calibri"/>
        </w:rPr>
      </w:pPr>
      <w:r>
        <w:rPr>
          <w:szCs w:val="26"/>
        </w:rPr>
        <w:tab/>
      </w:r>
      <w:r w:rsidRPr="0B0799C1">
        <w:rPr>
          <w:rStyle w:val="FootnoteReference"/>
        </w:rPr>
        <w:footnoteRef/>
      </w:r>
      <w:r w:rsidRPr="0B0799C1">
        <w:rPr>
          <w:szCs w:val="26"/>
        </w:rPr>
        <w:t xml:space="preserve"> See</w:t>
      </w:r>
      <w:r w:rsidRPr="0B0799C1">
        <w:rPr>
          <w:rFonts w:cs="Calibri"/>
          <w:szCs w:val="26"/>
        </w:rPr>
        <w:t xml:space="preserve"> </w:t>
      </w:r>
      <w:r w:rsidRPr="00C622D0">
        <w:rPr>
          <w:rFonts w:cs="Calibri"/>
          <w:i/>
          <w:szCs w:val="26"/>
        </w:rPr>
        <w:t>Ford</w:t>
      </w:r>
      <w:r w:rsidRPr="0B0799C1">
        <w:rPr>
          <w:rFonts w:cs="Calibri"/>
          <w:szCs w:val="26"/>
        </w:rPr>
        <w:t xml:space="preserve">, </w:t>
      </w:r>
      <w:r w:rsidRPr="008D6C30">
        <w:rPr>
          <w:rFonts w:cs="Calibri"/>
          <w:i/>
          <w:iCs/>
          <w:szCs w:val="26"/>
        </w:rPr>
        <w:t>supra</w:t>
      </w:r>
      <w:r w:rsidRPr="0B0799C1">
        <w:rPr>
          <w:rFonts w:cs="Calibri"/>
          <w:szCs w:val="26"/>
        </w:rPr>
        <w:t xml:space="preserve">, 188 Cal.App.3d at page 742; </w:t>
      </w:r>
      <w:r w:rsidRPr="0B0799C1">
        <w:rPr>
          <w:rFonts w:cs="Calibri,Italic"/>
          <w:i/>
          <w:iCs/>
          <w:szCs w:val="26"/>
        </w:rPr>
        <w:t xml:space="preserve">Haldane v. Superior Court of Los </w:t>
      </w:r>
      <w:r w:rsidRPr="0B0799C1">
        <w:rPr>
          <w:rFonts w:cs="Calibri,Italic"/>
          <w:i/>
          <w:iCs/>
          <w:szCs w:val="26"/>
        </w:rPr>
        <w:t>Angeles</w:t>
      </w:r>
      <w:r w:rsidRPr="0B0799C1">
        <w:rPr>
          <w:rFonts w:cs="Calibri,Italic"/>
          <w:i/>
          <w:iCs/>
        </w:rPr>
        <w:t xml:space="preserve"> </w:t>
      </w:r>
      <w:r w:rsidRPr="0B0799C1">
        <w:rPr>
          <w:rFonts w:cs="Calibri,Italic"/>
          <w:i/>
          <w:iCs/>
          <w:szCs w:val="26"/>
        </w:rPr>
        <w:t xml:space="preserve">County </w:t>
      </w:r>
      <w:r w:rsidRPr="0B0799C1">
        <w:rPr>
          <w:rFonts w:cs="Calibri"/>
          <w:szCs w:val="26"/>
        </w:rPr>
        <w:t>(1963) 221</w:t>
      </w:r>
      <w:r w:rsidRPr="0B0799C1">
        <w:rPr>
          <w:rFonts w:cs="Calibri"/>
        </w:rPr>
        <w:t> </w:t>
      </w:r>
      <w:r w:rsidRPr="0B0799C1">
        <w:rPr>
          <w:rFonts w:cs="Calibri"/>
          <w:szCs w:val="26"/>
        </w:rPr>
        <w:t>Cal.App.2d 483, 485</w:t>
      </w:r>
      <w:r w:rsidRPr="0B0799C1">
        <w:rPr>
          <w:rFonts w:cs="Calibri"/>
        </w:rPr>
        <w:t>–</w:t>
      </w:r>
      <w:r w:rsidRPr="0B0799C1">
        <w:rPr>
          <w:rFonts w:cs="Calibri"/>
          <w:szCs w:val="26"/>
        </w:rPr>
        <w:t xml:space="preserve">486; </w:t>
      </w:r>
      <w:r w:rsidRPr="0B0799C1">
        <w:rPr>
          <w:rFonts w:cs="Calibri,Italic"/>
          <w:i/>
          <w:iCs/>
          <w:szCs w:val="26"/>
        </w:rPr>
        <w:t xml:space="preserve">People v. Davis </w:t>
      </w:r>
      <w:r w:rsidRPr="0B0799C1">
        <w:rPr>
          <w:rFonts w:cs="Calibri"/>
          <w:szCs w:val="26"/>
        </w:rPr>
        <w:t>(2014) 226</w:t>
      </w:r>
      <w:r w:rsidRPr="0B0799C1">
        <w:rPr>
          <w:rFonts w:cs="Calibri"/>
        </w:rPr>
        <w:t> </w:t>
      </w:r>
      <w:r w:rsidRPr="0B0799C1">
        <w:rPr>
          <w:rFonts w:cs="Calibri"/>
          <w:szCs w:val="26"/>
        </w:rPr>
        <w:t xml:space="preserve">Cal.App.4th 1353, 1371; </w:t>
      </w:r>
      <w:r w:rsidRPr="0B0799C1">
        <w:rPr>
          <w:rFonts w:cs="Calibri,Italic"/>
          <w:i/>
          <w:iCs/>
          <w:szCs w:val="26"/>
        </w:rPr>
        <w:t>Alvarez v.</w:t>
      </w:r>
      <w:r w:rsidRPr="0B0799C1">
        <w:rPr>
          <w:rFonts w:cs="Calibri,Italic"/>
          <w:i/>
          <w:iCs/>
        </w:rPr>
        <w:t xml:space="preserve"> </w:t>
      </w:r>
      <w:r w:rsidRPr="0B0799C1">
        <w:rPr>
          <w:rFonts w:cs="Calibri,Italic"/>
          <w:i/>
          <w:iCs/>
          <w:szCs w:val="26"/>
        </w:rPr>
        <w:t>Superior Court</w:t>
      </w:r>
      <w:r w:rsidRPr="0B0799C1">
        <w:rPr>
          <w:rFonts w:ascii="Calibri,Italic" w:hAnsi="Calibri,Italic" w:cs="Calibri,Italic"/>
          <w:i/>
          <w:iCs/>
          <w:sz w:val="25"/>
          <w:szCs w:val="25"/>
        </w:rPr>
        <w:t xml:space="preserve"> </w:t>
      </w:r>
      <w:r w:rsidRPr="0B0799C1">
        <w:rPr>
          <w:rFonts w:cs="Calibri"/>
          <w:szCs w:val="26"/>
        </w:rPr>
        <w:t>(2010) 183 Cal.App.4th 969, 983</w:t>
      </w:r>
      <w:r w:rsidRPr="0B0799C1">
        <w:rPr>
          <w:rFonts w:cs="Calibri"/>
        </w:rPr>
        <w:t>.</w:t>
      </w:r>
    </w:p>
  </w:footnote>
  <w:footnote w:id="12">
    <w:p w14:paraId="4B6FA4F8" w14:textId="0509283F" w:rsidR="0080647E" w:rsidRPr="00A079C5" w:rsidRDefault="003D06AD" w:rsidP="205F293E">
      <w:pPr>
        <w:autoSpaceDE w:val="0"/>
        <w:autoSpaceDN w:val="0"/>
        <w:adjustRightInd w:val="0"/>
        <w:spacing w:after="120" w:line="240" w:lineRule="auto"/>
        <w:rPr>
          <w:i/>
          <w:iCs/>
        </w:rPr>
      </w:pPr>
      <w:r>
        <w:tab/>
      </w:r>
      <w:r w:rsidRPr="4B0E998B">
        <w:rPr>
          <w:rStyle w:val="FootnoteReference"/>
        </w:rPr>
        <w:footnoteRef/>
      </w:r>
      <w:r w:rsidR="205F293E" w:rsidRPr="4B0E998B">
        <w:t xml:space="preserve"> Plaintiffs later filed such a petition invoking this court’s original jurisdiction, which </w:t>
      </w:r>
      <w:r w:rsidR="205F293E">
        <w:t>we</w:t>
      </w:r>
      <w:r w:rsidR="205F293E" w:rsidRPr="4B0E998B">
        <w:t xml:space="preserve"> summarily denied. Defendants seek judicial notice of this petition and this court’s order, but do not argue that such a denial </w:t>
      </w:r>
      <w:r w:rsidR="205F293E">
        <w:t>can have</w:t>
      </w:r>
      <w:r w:rsidR="205F293E" w:rsidRPr="4B0E998B">
        <w:t xml:space="preserve"> any preclusive effect. Nor can they. (</w:t>
      </w:r>
      <w:proofErr w:type="spellStart"/>
      <w:r w:rsidR="205F293E" w:rsidRPr="205F293E">
        <w:rPr>
          <w:i/>
          <w:iCs/>
        </w:rPr>
        <w:t>Kowis</w:t>
      </w:r>
      <w:proofErr w:type="spellEnd"/>
      <w:r w:rsidR="205F293E" w:rsidRPr="205F293E">
        <w:rPr>
          <w:i/>
          <w:iCs/>
        </w:rPr>
        <w:t xml:space="preserve"> v. Howard </w:t>
      </w:r>
      <w:r w:rsidR="205F293E" w:rsidRPr="4B0E998B">
        <w:t xml:space="preserve">(1992) 3 Cal.4th 888, 899; </w:t>
      </w:r>
      <w:r w:rsidR="205F293E" w:rsidRPr="205F293E">
        <w:rPr>
          <w:i/>
          <w:iCs/>
        </w:rPr>
        <w:t>Franchise Tax Bd. Limited Liability Corp. Tax Refund Cases</w:t>
      </w:r>
      <w:r w:rsidR="205F293E" w:rsidRPr="4B0E998B">
        <w:t xml:space="preserve"> (2018) 25</w:t>
      </w:r>
      <w:r w:rsidR="205F293E">
        <w:t> </w:t>
      </w:r>
      <w:r w:rsidR="205F293E" w:rsidRPr="4B0E998B">
        <w:t>Cal.App.5th 369, 387, fn. 7.)</w:t>
      </w:r>
      <w:r w:rsidR="205F293E">
        <w:t xml:space="preserve"> </w:t>
      </w:r>
    </w:p>
  </w:footnote>
  <w:footnote w:id="13">
    <w:p w14:paraId="7C370E47" w14:textId="118C5690" w:rsidR="205F293E" w:rsidRDefault="003D06AD" w:rsidP="008D6C30">
      <w:pPr>
        <w:pStyle w:val="FootnoteText"/>
        <w:spacing w:after="120"/>
      </w:pPr>
      <w:r>
        <w:tab/>
      </w:r>
      <w:r w:rsidRPr="205F293E">
        <w:rPr>
          <w:rStyle w:val="FootnoteReference"/>
        </w:rPr>
        <w:footnoteRef/>
      </w:r>
      <w:r w:rsidR="3DE41553">
        <w:t xml:space="preserve"> Defendants have also failed to provide legal authority, and we are aware of none, authorizing us to take judicial notice of the </w:t>
      </w:r>
      <w:r w:rsidR="004D275D">
        <w:t>truth of</w:t>
      </w:r>
      <w:r w:rsidR="3DE41553">
        <w:t xml:space="preserve"> facts recited in otherwise judicially noticeable documents. (</w:t>
      </w:r>
      <w:r w:rsidR="3DE41553" w:rsidRPr="00CE1DC4">
        <w:rPr>
          <w:i/>
        </w:rPr>
        <w:t xml:space="preserve">Johnson &amp; Johnson v. Superior </w:t>
      </w:r>
      <w:r>
        <w:rPr>
          <w:i/>
          <w:iCs/>
        </w:rPr>
        <w:t>Court</w:t>
      </w:r>
      <w:r w:rsidR="3DE41553">
        <w:t xml:space="preserve"> (2011) 192 Cal.App.4th 757, 768.)</w:t>
      </w:r>
    </w:p>
  </w:footnote>
  <w:footnote w:id="14">
    <w:p w14:paraId="6E9FF9EE" w14:textId="24310BD0" w:rsidR="0080647E" w:rsidRPr="00FE3FCE" w:rsidRDefault="003D06AD" w:rsidP="0080647E">
      <w:pPr>
        <w:pStyle w:val="FootnoteText"/>
        <w:spacing w:after="120"/>
        <w:rPr>
          <w:szCs w:val="26"/>
        </w:rPr>
      </w:pPr>
      <w:r w:rsidRPr="00FE3FCE">
        <w:tab/>
      </w:r>
      <w:r w:rsidRPr="4B0E998B">
        <w:rPr>
          <w:rStyle w:val="FootnoteReference"/>
          <w:szCs w:val="26"/>
        </w:rPr>
        <w:footnoteRef/>
      </w:r>
      <w:r w:rsidRPr="4B0E998B">
        <w:rPr>
          <w:szCs w:val="26"/>
        </w:rPr>
        <w:t xml:space="preserve"> While the court referred to four mandamus cases (see </w:t>
      </w:r>
      <w:r w:rsidR="00525772">
        <w:rPr>
          <w:szCs w:val="26"/>
        </w:rPr>
        <w:t>f</w:t>
      </w:r>
      <w:r w:rsidRPr="4B0E998B">
        <w:rPr>
          <w:szCs w:val="26"/>
        </w:rPr>
        <w:t>n.</w:t>
      </w:r>
      <w:r w:rsidR="009667E9">
        <w:rPr>
          <w:szCs w:val="26"/>
        </w:rPr>
        <w:t xml:space="preserve"> </w:t>
      </w:r>
      <w:r w:rsidR="009B1242">
        <w:rPr>
          <w:szCs w:val="26"/>
        </w:rPr>
        <w:t>10</w:t>
      </w:r>
      <w:r w:rsidRPr="4B0E998B">
        <w:rPr>
          <w:szCs w:val="26"/>
        </w:rPr>
        <w:t xml:space="preserve">, </w:t>
      </w:r>
      <w:r w:rsidRPr="4B0E998B">
        <w:rPr>
          <w:i/>
          <w:iCs/>
          <w:szCs w:val="26"/>
        </w:rPr>
        <w:t>ante</w:t>
      </w:r>
      <w:r w:rsidRPr="4B0E998B">
        <w:rPr>
          <w:szCs w:val="26"/>
        </w:rPr>
        <w:t>)</w:t>
      </w:r>
      <w:r>
        <w:rPr>
          <w:szCs w:val="26"/>
        </w:rPr>
        <w:t xml:space="preserve"> in asserting tha</w:t>
      </w:r>
      <w:r>
        <w:rPr>
          <w:szCs w:val="26"/>
        </w:rPr>
        <w:t>t the taxpayer-standing cause of action</w:t>
      </w:r>
      <w:r w:rsidR="00ED328A">
        <w:rPr>
          <w:szCs w:val="26"/>
        </w:rPr>
        <w:t xml:space="preserve"> was likewise barred</w:t>
      </w:r>
      <w:r w:rsidRPr="4B0E998B">
        <w:rPr>
          <w:szCs w:val="26"/>
        </w:rPr>
        <w:t xml:space="preserve">, defendants </w:t>
      </w:r>
      <w:r w:rsidR="00A80C0D">
        <w:rPr>
          <w:szCs w:val="26"/>
        </w:rPr>
        <w:t xml:space="preserve">on appeal </w:t>
      </w:r>
      <w:r w:rsidRPr="4B0E998B">
        <w:rPr>
          <w:szCs w:val="26"/>
        </w:rPr>
        <w:t xml:space="preserve">rely solely on </w:t>
      </w:r>
      <w:r w:rsidRPr="0000099B">
        <w:rPr>
          <w:i/>
          <w:iCs/>
          <w:szCs w:val="26"/>
        </w:rPr>
        <w:t>Ford</w:t>
      </w:r>
      <w:r w:rsidRPr="4B0E998B">
        <w:rPr>
          <w:szCs w:val="26"/>
        </w:rPr>
        <w:t xml:space="preserve">, </w:t>
      </w:r>
      <w:r w:rsidR="00ED328A">
        <w:rPr>
          <w:szCs w:val="26"/>
        </w:rPr>
        <w:t>implicitly</w:t>
      </w:r>
      <w:r w:rsidR="00ED328A" w:rsidRPr="4B0E998B">
        <w:rPr>
          <w:szCs w:val="26"/>
        </w:rPr>
        <w:t xml:space="preserve"> </w:t>
      </w:r>
      <w:r w:rsidRPr="4B0E998B">
        <w:rPr>
          <w:szCs w:val="26"/>
        </w:rPr>
        <w:t xml:space="preserve">conceding that the other three </w:t>
      </w:r>
      <w:r w:rsidR="002325A7">
        <w:rPr>
          <w:szCs w:val="26"/>
        </w:rPr>
        <w:t>are inapposite</w:t>
      </w:r>
      <w:r w:rsidRPr="4B0E998B">
        <w:rPr>
          <w:szCs w:val="26"/>
        </w:rPr>
        <w:t>. We agree.</w:t>
      </w:r>
    </w:p>
  </w:footnote>
  <w:footnote w:id="15">
    <w:p w14:paraId="3978B164" w14:textId="119BB0DB" w:rsidR="001C037C" w:rsidRPr="001C037C" w:rsidRDefault="003D06AD" w:rsidP="00C15A43">
      <w:pPr>
        <w:pStyle w:val="NormalWeb"/>
        <w:shd w:val="clear" w:color="auto" w:fill="FFFFFF"/>
        <w:spacing w:before="0" w:beforeAutospacing="0" w:after="0" w:afterAutospacing="0"/>
        <w:ind w:firstLine="720"/>
        <w:rPr>
          <w:rFonts w:ascii="Century Schoolbook" w:hAnsi="Century Schoolbook" w:cs="Segoe UI"/>
          <w:color w:val="333333"/>
          <w:sz w:val="26"/>
          <w:szCs w:val="18"/>
        </w:rPr>
      </w:pPr>
      <w:r w:rsidRPr="001C037C">
        <w:rPr>
          <w:rStyle w:val="FootnoteReference"/>
          <w:rFonts w:ascii="Century Schoolbook" w:hAnsi="Century Schoolbook"/>
          <w:sz w:val="26"/>
        </w:rPr>
        <w:footnoteRef/>
      </w:r>
      <w:r w:rsidRPr="001C037C">
        <w:rPr>
          <w:rFonts w:ascii="Century Schoolbook" w:hAnsi="Century Schoolbook"/>
          <w:sz w:val="26"/>
        </w:rPr>
        <w:t xml:space="preserve"> </w:t>
      </w:r>
      <w:r w:rsidRPr="001C037C">
        <w:rPr>
          <w:rFonts w:ascii="Century Schoolbook" w:hAnsi="Century Schoolbook"/>
          <w:sz w:val="26"/>
          <w:szCs w:val="26"/>
        </w:rPr>
        <w:t xml:space="preserve">The Legislature amended the statute in 2018, replacing the original list of </w:t>
      </w:r>
      <w:r w:rsidRPr="001C037C">
        <w:rPr>
          <w:rFonts w:ascii="Century Schoolbook" w:hAnsi="Century Schoolbook"/>
          <w:sz w:val="26"/>
          <w:szCs w:val="26"/>
        </w:rPr>
        <w:t xml:space="preserve">local entities with the phrase “local agency,” and defining that term to mean “a city, town, county, or city and county, or a district, public authority, or any other political subdivision in the state.” (Stats. 2018, </w:t>
      </w:r>
      <w:proofErr w:type="spellStart"/>
      <w:r w:rsidRPr="001C037C">
        <w:rPr>
          <w:rFonts w:ascii="Century Schoolbook" w:hAnsi="Century Schoolbook"/>
          <w:sz w:val="26"/>
          <w:szCs w:val="26"/>
        </w:rPr>
        <w:t>ch.</w:t>
      </w:r>
      <w:proofErr w:type="spellEnd"/>
      <w:r w:rsidRPr="001C037C">
        <w:rPr>
          <w:rFonts w:ascii="Century Schoolbook" w:hAnsi="Century Schoolbook"/>
          <w:sz w:val="26"/>
          <w:szCs w:val="26"/>
        </w:rPr>
        <w:t> 319, § 1.) Defendants do not conte</w:t>
      </w:r>
      <w:r w:rsidRPr="001C037C">
        <w:rPr>
          <w:rFonts w:ascii="Century Schoolbook" w:hAnsi="Century Schoolbook"/>
          <w:sz w:val="26"/>
          <w:szCs w:val="26"/>
        </w:rPr>
        <w:t>nd that the 2018 amendment narrowed the statute’s scope as determined by prior caselaw.</w:t>
      </w:r>
    </w:p>
  </w:footnote>
  <w:footnote w:id="16">
    <w:p w14:paraId="04A913F4" w14:textId="587A4419" w:rsidR="00EF0588" w:rsidRDefault="003D06AD" w:rsidP="00DD3B44">
      <w:pPr>
        <w:pStyle w:val="FootnoteText"/>
      </w:pPr>
      <w:r w:rsidRPr="007F60E1">
        <w:rPr>
          <w:szCs w:val="26"/>
        </w:rPr>
        <w:tab/>
      </w:r>
      <w:r w:rsidRPr="797FBB80">
        <w:rPr>
          <w:rStyle w:val="FootnoteReference"/>
        </w:rPr>
        <w:footnoteRef/>
      </w:r>
      <w:r w:rsidR="797FBB80" w:rsidRPr="007F60E1">
        <w:rPr>
          <w:szCs w:val="26"/>
        </w:rPr>
        <w:t xml:space="preserve"> </w:t>
      </w:r>
      <w:r w:rsidR="797FBB80" w:rsidRPr="797FBB80">
        <w:t xml:space="preserve">The </w:t>
      </w:r>
      <w:proofErr w:type="gramStart"/>
      <w:r w:rsidR="797FBB80" w:rsidRPr="797FBB80">
        <w:t>parties</w:t>
      </w:r>
      <w:proofErr w:type="gramEnd"/>
      <w:r w:rsidR="797FBB80" w:rsidRPr="797FBB80">
        <w:t xml:space="preserve"> debate whether dicta in </w:t>
      </w:r>
      <w:r w:rsidR="797FBB80" w:rsidRPr="797FBB80">
        <w:rPr>
          <w:i/>
          <w:iCs/>
        </w:rPr>
        <w:t>Van Atta</w:t>
      </w:r>
      <w:r w:rsidR="00CE65B7">
        <w:rPr>
          <w:i/>
          <w:iCs/>
        </w:rPr>
        <w:t xml:space="preserve"> v. Scott</w:t>
      </w:r>
      <w:r w:rsidR="797FBB80" w:rsidRPr="797FBB80">
        <w:t xml:space="preserve"> (1980) 27 Cal.3d 424 (</w:t>
      </w:r>
      <w:r w:rsidR="797FBB80" w:rsidRPr="797FBB80">
        <w:rPr>
          <w:i/>
          <w:iCs/>
        </w:rPr>
        <w:t>Van Atta</w:t>
      </w:r>
      <w:r w:rsidR="797FBB80" w:rsidRPr="797FBB80">
        <w:t>)</w:t>
      </w:r>
      <w:r w:rsidR="009F1BC6">
        <w:t xml:space="preserve"> (</w:t>
      </w:r>
      <w:proofErr w:type="spellStart"/>
      <w:r w:rsidR="009F1BC6">
        <w:t>plur</w:t>
      </w:r>
      <w:proofErr w:type="spellEnd"/>
      <w:r w:rsidR="009F1BC6">
        <w:t xml:space="preserve">. </w:t>
      </w:r>
      <w:proofErr w:type="spellStart"/>
      <w:r w:rsidR="009F1BC6">
        <w:t>opn</w:t>
      </w:r>
      <w:proofErr w:type="spellEnd"/>
      <w:r w:rsidR="009F1BC6">
        <w:t>.)</w:t>
      </w:r>
      <w:r w:rsidR="00795602">
        <w:t xml:space="preserve">, </w:t>
      </w:r>
      <w:r w:rsidR="00795602">
        <w:rPr>
          <w:rFonts w:ascii="Source Sans Pro" w:hAnsi="Source Sans Pro"/>
          <w:color w:val="3D3D3D"/>
          <w:shd w:val="clear" w:color="auto" w:fill="FFFFFF"/>
        </w:rPr>
        <w:t>u</w:t>
      </w:r>
      <w:r w:rsidR="00795602" w:rsidRPr="00E1686E">
        <w:t>ndercut by subsequent change in Cal.</w:t>
      </w:r>
      <w:r w:rsidR="00795602">
        <w:t> </w:t>
      </w:r>
      <w:r w:rsidR="00795602" w:rsidRPr="00E1686E">
        <w:t>Const. as stated in </w:t>
      </w:r>
      <w:hyperlink r:id="rId1" w:anchor="co_pp_sp_4040_1143" w:history="1">
        <w:r w:rsidR="00795602" w:rsidRPr="00E1686E">
          <w:rPr>
            <w:i/>
            <w:iCs/>
          </w:rPr>
          <w:t>In re York</w:t>
        </w:r>
        <w:r w:rsidR="00795602" w:rsidRPr="00E1686E">
          <w:t> (1995) 9 Cal.4th 1133, 1143, fn. 7</w:t>
        </w:r>
      </w:hyperlink>
      <w:r w:rsidR="00D2629C">
        <w:t>,</w:t>
      </w:r>
      <w:r w:rsidR="797FBB80" w:rsidRPr="797FBB80">
        <w:t xml:space="preserve"> implicitly permits </w:t>
      </w:r>
      <w:r w:rsidR="00331372">
        <w:t>statutory</w:t>
      </w:r>
      <w:r w:rsidR="797FBB80" w:rsidRPr="797FBB80">
        <w:t xml:space="preserve"> taxpayer </w:t>
      </w:r>
      <w:r w:rsidR="00331372">
        <w:t>claims</w:t>
      </w:r>
      <w:r w:rsidR="797FBB80" w:rsidRPr="797FBB80">
        <w:t xml:space="preserve"> against courts. </w:t>
      </w:r>
      <w:r w:rsidR="797FBB80" w:rsidRPr="797FBB80">
        <w:rPr>
          <w:i/>
          <w:iCs/>
        </w:rPr>
        <w:t xml:space="preserve">Van Atta </w:t>
      </w:r>
      <w:r w:rsidR="797FBB80" w:rsidRPr="797FBB80">
        <w:t xml:space="preserve">addressed a </w:t>
      </w:r>
      <w:r w:rsidR="00331372">
        <w:t>statutory taxpayer claim</w:t>
      </w:r>
      <w:r w:rsidR="797FBB80" w:rsidRPr="797FBB80">
        <w:t xml:space="preserve"> against San Francisco’s police chief and sheriff (but no court or judge) challenging a pretrial release program. (</w:t>
      </w:r>
      <w:r w:rsidR="797FBB80" w:rsidRPr="797FBB80">
        <w:rPr>
          <w:i/>
          <w:iCs/>
        </w:rPr>
        <w:t>Id.</w:t>
      </w:r>
      <w:r w:rsidR="797FBB80" w:rsidRPr="797FBB80">
        <w:t xml:space="preserve"> at p. 433.) The defendants</w:t>
      </w:r>
      <w:r w:rsidR="797FBB80" w:rsidRPr="797FBB80">
        <w:rPr>
          <w:i/>
          <w:iCs/>
        </w:rPr>
        <w:t xml:space="preserve"> </w:t>
      </w:r>
      <w:r w:rsidR="797FBB80" w:rsidRPr="797FBB80">
        <w:t xml:space="preserve">cited two opinions rejecting taxpayer-standing actions against judges, </w:t>
      </w:r>
      <w:r w:rsidR="797FBB80" w:rsidRPr="797FBB80">
        <w:rPr>
          <w:i/>
          <w:iCs/>
        </w:rPr>
        <w:t>Di Suvero v. County of Los Angeles</w:t>
      </w:r>
      <w:r w:rsidR="797FBB80" w:rsidRPr="797FBB80">
        <w:t xml:space="preserve"> (1977) 73 Cal.App.3d 718 (</w:t>
      </w:r>
      <w:r w:rsidR="797FBB80" w:rsidRPr="797FBB80">
        <w:rPr>
          <w:i/>
          <w:iCs/>
        </w:rPr>
        <w:t>Di Suvero</w:t>
      </w:r>
      <w:r w:rsidR="797FBB80" w:rsidRPr="797FBB80">
        <w:t xml:space="preserve">) and </w:t>
      </w:r>
      <w:r w:rsidR="797FBB80" w:rsidRPr="797FBB80">
        <w:rPr>
          <w:i/>
          <w:iCs/>
        </w:rPr>
        <w:t xml:space="preserve">Gould v. People </w:t>
      </w:r>
      <w:r w:rsidR="797FBB80" w:rsidRPr="797FBB80">
        <w:t>(1976) 56 Cal.App.3d 909 (</w:t>
      </w:r>
      <w:r w:rsidR="797FBB80" w:rsidRPr="797FBB80">
        <w:rPr>
          <w:i/>
          <w:iCs/>
        </w:rPr>
        <w:t>Gould</w:t>
      </w:r>
      <w:r w:rsidR="797FBB80" w:rsidRPr="797FBB80">
        <w:t>), for the proposition that the existence of directly affected persons who may challenge an allegedly illegal act bars taxpayer standing. (</w:t>
      </w:r>
      <w:r w:rsidR="797FBB80" w:rsidRPr="797FBB80">
        <w:rPr>
          <w:i/>
          <w:iCs/>
        </w:rPr>
        <w:t xml:space="preserve">Van Atta, </w:t>
      </w:r>
      <w:r w:rsidR="797FBB80" w:rsidRPr="797FBB80">
        <w:t>at p.</w:t>
      </w:r>
      <w:r w:rsidR="00EE4A88">
        <w:t> </w:t>
      </w:r>
      <w:r w:rsidR="797FBB80" w:rsidRPr="797FBB80">
        <w:t xml:space="preserve">448.) The </w:t>
      </w:r>
      <w:r w:rsidR="797FBB80" w:rsidRPr="797FBB80">
        <w:rPr>
          <w:i/>
          <w:iCs/>
        </w:rPr>
        <w:t>Van Atta</w:t>
      </w:r>
      <w:r w:rsidR="797FBB80" w:rsidRPr="797FBB80">
        <w:t xml:space="preserve"> court </w:t>
      </w:r>
      <w:r w:rsidR="00066892">
        <w:t>disapproved</w:t>
      </w:r>
      <w:r w:rsidR="797FBB80" w:rsidRPr="797FBB80">
        <w:t xml:space="preserve"> </w:t>
      </w:r>
      <w:r w:rsidR="797FBB80" w:rsidRPr="797FBB80">
        <w:rPr>
          <w:i/>
          <w:iCs/>
        </w:rPr>
        <w:t xml:space="preserve">Di Suvero </w:t>
      </w:r>
      <w:r w:rsidR="797FBB80" w:rsidRPr="797FBB80">
        <w:t xml:space="preserve">and </w:t>
      </w:r>
      <w:r w:rsidR="797FBB80" w:rsidRPr="797FBB80">
        <w:rPr>
          <w:i/>
          <w:iCs/>
        </w:rPr>
        <w:t xml:space="preserve">Gould </w:t>
      </w:r>
      <w:r w:rsidR="797FBB80" w:rsidRPr="797FBB80">
        <w:t xml:space="preserve">insofar as </w:t>
      </w:r>
      <w:r w:rsidR="00066892">
        <w:t>they</w:t>
      </w:r>
      <w:r w:rsidR="797FBB80" w:rsidRPr="797FBB80">
        <w:t xml:space="preserve"> supported that proposition</w:t>
      </w:r>
      <w:r w:rsidR="797FBB80" w:rsidRPr="797FBB80">
        <w:rPr>
          <w:i/>
          <w:iCs/>
        </w:rPr>
        <w:t>.</w:t>
      </w:r>
      <w:r w:rsidR="797FBB80">
        <w:rPr>
          <w:szCs w:val="26"/>
        </w:rPr>
        <w:t xml:space="preserve"> (</w:t>
      </w:r>
      <w:r w:rsidR="797FBB80" w:rsidRPr="797FBB80">
        <w:rPr>
          <w:i/>
          <w:iCs/>
        </w:rPr>
        <w:t>Id.</w:t>
      </w:r>
      <w:r w:rsidR="797FBB80" w:rsidRPr="797FBB80">
        <w:t xml:space="preserve"> at p. 449.) </w:t>
      </w:r>
      <w:r w:rsidR="00F20BD2">
        <w:t xml:space="preserve">Under </w:t>
      </w:r>
      <w:r w:rsidR="00233951">
        <w:t>a</w:t>
      </w:r>
      <w:r w:rsidR="00F72CFE">
        <w:t xml:space="preserve"> p</w:t>
      </w:r>
      <w:r w:rsidR="00203274">
        <w:t>art</w:t>
      </w:r>
      <w:r w:rsidR="00F72CFE">
        <w:t xml:space="preserve"> of </w:t>
      </w:r>
      <w:r w:rsidR="00F72CFE">
        <w:rPr>
          <w:i/>
          <w:iCs/>
        </w:rPr>
        <w:t>Gould</w:t>
      </w:r>
      <w:r w:rsidR="00203274">
        <w:t>’s holding</w:t>
      </w:r>
      <w:r w:rsidR="00F72CFE">
        <w:rPr>
          <w:i/>
          <w:iCs/>
        </w:rPr>
        <w:t xml:space="preserve"> </w:t>
      </w:r>
      <w:r w:rsidR="00F72CFE">
        <w:t xml:space="preserve">approved in </w:t>
      </w:r>
      <w:r w:rsidR="00F72CFE">
        <w:rPr>
          <w:i/>
          <w:iCs/>
        </w:rPr>
        <w:t>Van Atta</w:t>
      </w:r>
      <w:r w:rsidR="00F72CFE">
        <w:t xml:space="preserve">, </w:t>
      </w:r>
      <w:r w:rsidR="00881EAD">
        <w:t xml:space="preserve">dismissal is proper </w:t>
      </w:r>
      <w:r w:rsidR="00F26C7A">
        <w:t>if a</w:t>
      </w:r>
      <w:r w:rsidR="00881EAD">
        <w:t xml:space="preserve"> litigant </w:t>
      </w:r>
      <w:proofErr w:type="gramStart"/>
      <w:r w:rsidR="00881EAD">
        <w:t>“ </w:t>
      </w:r>
      <w:r w:rsidR="005055B9">
        <w:t>‘</w:t>
      </w:r>
      <w:proofErr w:type="gramEnd"/>
      <w:r w:rsidR="005E33F1">
        <w:t>[</w:t>
      </w:r>
      <w:r w:rsidR="005055B9" w:rsidRPr="00056DA4">
        <w:t>files] a collateral action against a judge under the guise of a taxpayer</w:t>
      </w:r>
      <w:r w:rsidR="005055B9">
        <w:t>’</w:t>
      </w:r>
      <w:r w:rsidR="005055B9" w:rsidRPr="00056DA4">
        <w:t xml:space="preserve">s suit contesting the outcome of any civil or criminal action in which he </w:t>
      </w:r>
      <w:r w:rsidR="00FC25A3">
        <w:t>[</w:t>
      </w:r>
      <w:r w:rsidR="005055B9" w:rsidRPr="00056DA4">
        <w:t>believes] the trial court ruled erroneously</w:t>
      </w:r>
      <w:r w:rsidR="005055B9">
        <w:t>.’ ”</w:t>
      </w:r>
      <w:r w:rsidR="005055B9" w:rsidRPr="00056DA4">
        <w:t xml:space="preserve"> </w:t>
      </w:r>
      <w:r w:rsidR="005055B9">
        <w:t>(</w:t>
      </w:r>
      <w:r w:rsidR="005055B9">
        <w:rPr>
          <w:i/>
          <w:iCs/>
        </w:rPr>
        <w:t>Van Atta</w:t>
      </w:r>
      <w:r w:rsidR="005055B9">
        <w:t>, at p.</w:t>
      </w:r>
      <w:r w:rsidR="008F35E4">
        <w:t> </w:t>
      </w:r>
      <w:r w:rsidR="005055B9">
        <w:t xml:space="preserve">448.) </w:t>
      </w:r>
    </w:p>
    <w:p w14:paraId="0F831BA2" w14:textId="6D605797" w:rsidR="00D53B51" w:rsidRPr="00F103B4" w:rsidRDefault="003D06AD" w:rsidP="006A3362">
      <w:pPr>
        <w:pStyle w:val="FootnoteText"/>
        <w:spacing w:after="120"/>
      </w:pPr>
      <w:r>
        <w:tab/>
      </w:r>
      <w:r w:rsidR="00EF0588">
        <w:t>P</w:t>
      </w:r>
      <w:r w:rsidR="09459565" w:rsidRPr="797FBB80">
        <w:rPr>
          <w:spacing w:val="-2"/>
        </w:rPr>
        <w:t>laintiffs</w:t>
      </w:r>
      <w:r w:rsidR="797FBB80" w:rsidRPr="797FBB80">
        <w:rPr>
          <w:spacing w:val="-2"/>
        </w:rPr>
        <w:t xml:space="preserve"> argue that</w:t>
      </w:r>
      <w:r w:rsidR="00987B1C">
        <w:rPr>
          <w:spacing w:val="-2"/>
        </w:rPr>
        <w:t xml:space="preserve"> if a </w:t>
      </w:r>
      <w:r w:rsidR="00183E0C">
        <w:rPr>
          <w:spacing w:val="-2"/>
        </w:rPr>
        <w:t>statutory taxpayer</w:t>
      </w:r>
      <w:r w:rsidR="00987B1C">
        <w:rPr>
          <w:spacing w:val="-2"/>
        </w:rPr>
        <w:t xml:space="preserve"> action against a court or judge does </w:t>
      </w:r>
      <w:r w:rsidR="00987B1C" w:rsidRPr="00EC4E53">
        <w:rPr>
          <w:i/>
          <w:iCs/>
          <w:spacing w:val="-2"/>
        </w:rPr>
        <w:t>not</w:t>
      </w:r>
      <w:r w:rsidR="00987B1C">
        <w:rPr>
          <w:spacing w:val="-2"/>
        </w:rPr>
        <w:t xml:space="preserve"> amount to </w:t>
      </w:r>
      <w:r w:rsidR="007E3B40">
        <w:rPr>
          <w:spacing w:val="-2"/>
        </w:rPr>
        <w:t xml:space="preserve">such </w:t>
      </w:r>
      <w:r w:rsidR="00987B1C">
        <w:rPr>
          <w:spacing w:val="-2"/>
        </w:rPr>
        <w:t>a disguised collateral attack</w:t>
      </w:r>
      <w:r w:rsidR="00F97243">
        <w:rPr>
          <w:spacing w:val="-2"/>
        </w:rPr>
        <w:t xml:space="preserve"> on </w:t>
      </w:r>
      <w:r w:rsidR="00DC28F8">
        <w:rPr>
          <w:spacing w:val="-2"/>
        </w:rPr>
        <w:t>a ruling in an individual case,</w:t>
      </w:r>
      <w:r w:rsidR="797FBB80" w:rsidRPr="797FBB80">
        <w:rPr>
          <w:spacing w:val="-2"/>
        </w:rPr>
        <w:t xml:space="preserve"> </w:t>
      </w:r>
      <w:r w:rsidR="797FBB80" w:rsidRPr="797FBB80">
        <w:rPr>
          <w:i/>
          <w:iCs/>
          <w:spacing w:val="-2"/>
        </w:rPr>
        <w:t xml:space="preserve">Van </w:t>
      </w:r>
      <w:r w:rsidR="09459565" w:rsidRPr="09459565">
        <w:rPr>
          <w:i/>
          <w:iCs/>
          <w:spacing w:val="-2"/>
        </w:rPr>
        <w:t>Atta</w:t>
      </w:r>
      <w:r w:rsidR="797FBB80" w:rsidRPr="797FBB80">
        <w:t xml:space="preserve"> “strongly signals the </w:t>
      </w:r>
      <w:r w:rsidR="797FBB80" w:rsidRPr="797FBB80">
        <w:rPr>
          <w:spacing w:val="-2"/>
        </w:rPr>
        <w:t>viability” of</w:t>
      </w:r>
      <w:r w:rsidR="007E3B40">
        <w:rPr>
          <w:spacing w:val="-2"/>
        </w:rPr>
        <w:t xml:space="preserve"> such an action</w:t>
      </w:r>
      <w:r w:rsidR="00E77D60">
        <w:rPr>
          <w:spacing w:val="-2"/>
        </w:rPr>
        <w:t>,</w:t>
      </w:r>
      <w:r w:rsidR="797FBB80" w:rsidRPr="797FBB80">
        <w:rPr>
          <w:spacing w:val="-2"/>
        </w:rPr>
        <w:t xml:space="preserve"> </w:t>
      </w:r>
      <w:r w:rsidR="00304C67">
        <w:rPr>
          <w:spacing w:val="-2"/>
        </w:rPr>
        <w:t>in dicta that</w:t>
      </w:r>
      <w:r w:rsidR="00304C67" w:rsidRPr="797FBB80">
        <w:rPr>
          <w:spacing w:val="-2"/>
        </w:rPr>
        <w:t xml:space="preserve"> </w:t>
      </w:r>
      <w:r w:rsidR="797FBB80" w:rsidRPr="797FBB80">
        <w:rPr>
          <w:spacing w:val="-2"/>
        </w:rPr>
        <w:t>should be heeded.</w:t>
      </w:r>
      <w:r w:rsidR="797FBB80" w:rsidRPr="797FBB80">
        <w:t xml:space="preserve"> Were we to consider dicta, we might also note that </w:t>
      </w:r>
      <w:r w:rsidR="797FBB80">
        <w:t xml:space="preserve">Division </w:t>
      </w:r>
      <w:r w:rsidR="00AD4D07">
        <w:t>Two</w:t>
      </w:r>
      <w:r w:rsidR="797FBB80">
        <w:t xml:space="preserve"> of this court cited with approval a lower court’s conclusion that, “defendant judges and sheriff are proper candidates for an injunction under </w:t>
      </w:r>
      <w:r w:rsidR="00DF2098">
        <w:t>. . .</w:t>
      </w:r>
      <w:r w:rsidR="797FBB80">
        <w:t xml:space="preserve"> [Code Civ. Proc., §</w:t>
      </w:r>
      <w:r w:rsidR="00DF2098">
        <w:t> </w:t>
      </w:r>
      <w:r w:rsidR="797FBB80">
        <w:t xml:space="preserve">526a], since these officers are the instrumentalities bringing about the allegedly illegal expenditure of funds through the enforcement of </w:t>
      </w:r>
      <w:r w:rsidR="00722204">
        <w:t xml:space="preserve">[certain] </w:t>
      </w:r>
      <w:r w:rsidR="797FBB80">
        <w:t>allegedly unconstitutional provisions of the Penal Code.” (</w:t>
      </w:r>
      <w:proofErr w:type="spellStart"/>
      <w:r w:rsidR="797FBB80" w:rsidRPr="797FBB80">
        <w:rPr>
          <w:i/>
          <w:iCs/>
        </w:rPr>
        <w:t>Kawaichi</w:t>
      </w:r>
      <w:proofErr w:type="spellEnd"/>
      <w:r w:rsidR="797FBB80" w:rsidRPr="797FBB80">
        <w:rPr>
          <w:i/>
          <w:iCs/>
        </w:rPr>
        <w:t xml:space="preserve"> v. Madigan</w:t>
      </w:r>
      <w:r w:rsidR="797FBB80">
        <w:t xml:space="preserve"> (1975) 53</w:t>
      </w:r>
      <w:r w:rsidR="005C4E62">
        <w:t> </w:t>
      </w:r>
      <w:r w:rsidR="797FBB80">
        <w:t>Cal.App.3d 461, 464</w:t>
      </w:r>
      <w:r w:rsidR="00322090">
        <w:t>,</w:t>
      </w:r>
      <w:r w:rsidR="797FBB80">
        <w:t xml:space="preserve"> fn.</w:t>
      </w:r>
      <w:r w:rsidR="005C4E62">
        <w:t> </w:t>
      </w:r>
      <w:r w:rsidR="797FBB80">
        <w:t xml:space="preserve">2, disapproved on other grounds by </w:t>
      </w:r>
      <w:r w:rsidR="797FBB80" w:rsidRPr="797FBB80">
        <w:rPr>
          <w:i/>
          <w:iCs/>
        </w:rPr>
        <w:t>Van Atta</w:t>
      </w:r>
      <w:r w:rsidR="0027752B">
        <w:t xml:space="preserve">, </w:t>
      </w:r>
      <w:r w:rsidR="0027752B">
        <w:rPr>
          <w:i/>
          <w:iCs/>
        </w:rPr>
        <w:t>supra</w:t>
      </w:r>
      <w:r w:rsidR="0027752B">
        <w:t>,</w:t>
      </w:r>
      <w:r w:rsidR="797FBB80" w:rsidRPr="797FBB80">
        <w:rPr>
          <w:i/>
          <w:iCs/>
        </w:rPr>
        <w:t xml:space="preserve"> </w:t>
      </w:r>
      <w:r w:rsidR="797FBB80">
        <w:t>27</w:t>
      </w:r>
      <w:r w:rsidR="005C4E62">
        <w:t> </w:t>
      </w:r>
      <w:r w:rsidR="797FBB80">
        <w:t xml:space="preserve">Cal.3d </w:t>
      </w:r>
      <w:r w:rsidR="00AC29C3">
        <w:t>at p.</w:t>
      </w:r>
      <w:r w:rsidR="005C4E62">
        <w:t> </w:t>
      </w:r>
      <w:r w:rsidR="00AC29C3">
        <w:t>446, fn.</w:t>
      </w:r>
      <w:r w:rsidR="005C4E62">
        <w:t> </w:t>
      </w:r>
      <w:r w:rsidR="00AC29C3">
        <w:t>19</w:t>
      </w:r>
      <w:r w:rsidR="797FBB80">
        <w:t xml:space="preserve">.) </w:t>
      </w:r>
      <w:r w:rsidR="00F40AAC">
        <w:rPr>
          <w:spacing w:val="-2"/>
        </w:rPr>
        <w:t>However</w:t>
      </w:r>
      <w:r w:rsidR="797FBB80" w:rsidRPr="797FBB80">
        <w:rPr>
          <w:spacing w:val="-2"/>
        </w:rPr>
        <w:t xml:space="preserve">, </w:t>
      </w:r>
      <w:r w:rsidR="00B6145A">
        <w:rPr>
          <w:spacing w:val="-2"/>
        </w:rPr>
        <w:t xml:space="preserve">given defendants’ failure to identify </w:t>
      </w:r>
      <w:r w:rsidR="797FBB80" w:rsidRPr="797FBB80">
        <w:rPr>
          <w:spacing w:val="-2"/>
        </w:rPr>
        <w:t>authority barring such actions as a matter</w:t>
      </w:r>
      <w:r w:rsidR="797FBB80" w:rsidRPr="797FBB80">
        <w:t xml:space="preserve"> of law</w:t>
      </w:r>
      <w:r w:rsidR="00B6145A">
        <w:t>,</w:t>
      </w:r>
      <w:r w:rsidR="797FBB80" w:rsidRPr="797FBB80">
        <w:t xml:space="preserve"> or a compelling reason to create </w:t>
      </w:r>
      <w:r w:rsidR="00223769">
        <w:t xml:space="preserve">a </w:t>
      </w:r>
      <w:r w:rsidR="797FBB80" w:rsidRPr="797FBB80">
        <w:t xml:space="preserve">new rule to that effect, we need not decide how much weight, if any, </w:t>
      </w:r>
      <w:r w:rsidR="00DA338A">
        <w:t>we should</w:t>
      </w:r>
      <w:r w:rsidR="797FBB80" w:rsidRPr="797FBB80">
        <w:t xml:space="preserve"> give t</w:t>
      </w:r>
      <w:r w:rsidR="00DA338A">
        <w:t>o</w:t>
      </w:r>
      <w:r w:rsidR="797FBB80" w:rsidRPr="797FBB80">
        <w:t xml:space="preserve"> dicta in</w:t>
      </w:r>
      <w:r w:rsidR="797FBB80">
        <w:rPr>
          <w:szCs w:val="26"/>
        </w:rPr>
        <w:t xml:space="preserve"> these cases.</w:t>
      </w:r>
    </w:p>
  </w:footnote>
  <w:footnote w:id="17">
    <w:p w14:paraId="4723D5EA" w14:textId="71D5A2EC" w:rsidR="00D3431B" w:rsidRDefault="003D06AD" w:rsidP="00557D1F">
      <w:pPr>
        <w:pStyle w:val="FootnoteText"/>
        <w:spacing w:after="120"/>
      </w:pPr>
      <w:r>
        <w:tab/>
      </w:r>
      <w:r>
        <w:rPr>
          <w:rStyle w:val="FootnoteReference"/>
        </w:rPr>
        <w:footnoteRef/>
      </w:r>
      <w:r>
        <w:t xml:space="preserve"> </w:t>
      </w:r>
      <w:r>
        <w:rPr>
          <w:rFonts w:eastAsia="Times New Roman" w:cs="Times New Roman"/>
          <w:color w:val="000000"/>
        </w:rPr>
        <w:t>Subdivisions</w:t>
      </w:r>
      <w:r w:rsidR="00CA3BC2">
        <w:rPr>
          <w:rFonts w:eastAsia="Times New Roman" w:cs="Times New Roman"/>
          <w:color w:val="000000"/>
        </w:rPr>
        <w:t> </w:t>
      </w:r>
      <w:r>
        <w:rPr>
          <w:rFonts w:eastAsia="Times New Roman" w:cs="Times New Roman"/>
          <w:color w:val="000000"/>
        </w:rPr>
        <w:t>(b)</w:t>
      </w:r>
      <w:r w:rsidR="00537E60">
        <w:rPr>
          <w:rFonts w:eastAsia="Times New Roman" w:cs="Times New Roman"/>
          <w:color w:val="000000"/>
        </w:rPr>
        <w:t xml:space="preserve"> </w:t>
      </w:r>
      <w:r w:rsidR="001F0E0D">
        <w:rPr>
          <w:rFonts w:eastAsia="Times New Roman" w:cs="Times New Roman"/>
          <w:color w:val="000000"/>
        </w:rPr>
        <w:t xml:space="preserve">to </w:t>
      </w:r>
      <w:r>
        <w:rPr>
          <w:rFonts w:eastAsia="Times New Roman" w:cs="Times New Roman"/>
          <w:color w:val="000000"/>
        </w:rPr>
        <w:t>(</w:t>
      </w:r>
      <w:proofErr w:type="spellStart"/>
      <w:r>
        <w:rPr>
          <w:rFonts w:eastAsia="Times New Roman" w:cs="Times New Roman"/>
          <w:color w:val="000000"/>
        </w:rPr>
        <w:t>i</w:t>
      </w:r>
      <w:proofErr w:type="spellEnd"/>
      <w:r>
        <w:rPr>
          <w:rFonts w:eastAsia="Times New Roman" w:cs="Times New Roman"/>
          <w:color w:val="000000"/>
        </w:rPr>
        <w:t xml:space="preserve">) of section 1050 set forth rules </w:t>
      </w:r>
      <w:r w:rsidRPr="00557D1F">
        <w:t>g</w:t>
      </w:r>
      <w:r w:rsidR="00982FBF">
        <w:t>overning</w:t>
      </w:r>
      <w:r>
        <w:rPr>
          <w:rFonts w:eastAsia="Times New Roman" w:cs="Times New Roman"/>
          <w:color w:val="000000"/>
        </w:rPr>
        <w:t xml:space="preserve"> motions to continue criminal hearings</w:t>
      </w:r>
      <w:r w:rsidRPr="7FA68319">
        <w:rPr>
          <w:rFonts w:eastAsia="Times New Roman" w:cs="Times New Roman"/>
          <w:color w:val="000000" w:themeColor="text1"/>
        </w:rPr>
        <w:t xml:space="preserve">, including </w:t>
      </w:r>
      <w:r>
        <w:rPr>
          <w:rFonts w:eastAsia="Times New Roman" w:cs="Times New Roman"/>
          <w:color w:val="000000"/>
        </w:rPr>
        <w:t xml:space="preserve">trials. </w:t>
      </w:r>
      <w:r w:rsidR="00982FBF">
        <w:rPr>
          <w:rFonts w:eastAsia="Times New Roman" w:cs="Times New Roman"/>
          <w:color w:val="000000"/>
        </w:rPr>
        <w:t>Such motions</w:t>
      </w:r>
      <w:r>
        <w:rPr>
          <w:rFonts w:eastAsia="Times New Roman" w:cs="Times New Roman"/>
          <w:color w:val="000000"/>
        </w:rPr>
        <w:t xml:space="preserve"> (</w:t>
      </w:r>
      <w:r w:rsidR="009D66EA">
        <w:rPr>
          <w:rFonts w:eastAsia="Times New Roman" w:cs="Times New Roman"/>
          <w:color w:val="000000"/>
        </w:rPr>
        <w:t>§</w:t>
      </w:r>
      <w:r w:rsidR="00CA3BC2">
        <w:t> </w:t>
      </w:r>
      <w:r w:rsidR="009D66EA">
        <w:rPr>
          <w:rFonts w:eastAsia="Times New Roman" w:cs="Times New Roman"/>
          <w:color w:val="000000"/>
        </w:rPr>
        <w:t>1050</w:t>
      </w:r>
      <w:r>
        <w:rPr>
          <w:rFonts w:eastAsia="Times New Roman" w:cs="Times New Roman"/>
          <w:color w:val="000000"/>
        </w:rPr>
        <w:t>, subds.</w:t>
      </w:r>
      <w:r w:rsidR="00CA3BC2">
        <w:rPr>
          <w:rFonts w:eastAsia="Times New Roman" w:cs="Times New Roman"/>
          <w:color w:val="000000"/>
        </w:rPr>
        <w:t> </w:t>
      </w:r>
      <w:r>
        <w:rPr>
          <w:rFonts w:eastAsia="Times New Roman" w:cs="Times New Roman"/>
          <w:color w:val="000000"/>
        </w:rPr>
        <w:t>(b)–(d)) “</w:t>
      </w:r>
      <w:r w:rsidRPr="00297997">
        <w:rPr>
          <w:rFonts w:eastAsia="Times New Roman" w:cs="Times New Roman"/>
          <w:color w:val="000000"/>
        </w:rPr>
        <w:t xml:space="preserve">shall be </w:t>
      </w:r>
      <w:r w:rsidRPr="00297997">
        <w:rPr>
          <w:rFonts w:eastAsia="Times New Roman" w:cs="Times New Roman"/>
          <w:color w:val="000000"/>
        </w:rPr>
        <w:t>granted only upon a showing of good cause</w:t>
      </w:r>
      <w:r>
        <w:rPr>
          <w:rFonts w:eastAsia="Times New Roman" w:cs="Times New Roman"/>
          <w:color w:val="000000"/>
        </w:rPr>
        <w:t>,” and, at the end of a hearing on such a motion, a court “s</w:t>
      </w:r>
      <w:r w:rsidRPr="00297997">
        <w:rPr>
          <w:rFonts w:eastAsia="Times New Roman" w:cs="Times New Roman"/>
          <w:color w:val="000000"/>
        </w:rPr>
        <w:t>hall make a finding whether good cause has been shown</w:t>
      </w:r>
      <w:r>
        <w:rPr>
          <w:rFonts w:eastAsia="Times New Roman" w:cs="Times New Roman"/>
          <w:color w:val="000000"/>
        </w:rPr>
        <w:t>” and, if so, “</w:t>
      </w:r>
      <w:r w:rsidRPr="00297997">
        <w:rPr>
          <w:rFonts w:eastAsia="Times New Roman" w:cs="Times New Roman"/>
          <w:color w:val="000000"/>
        </w:rPr>
        <w:t>shall state on the record the facts proved that justify its finding</w:t>
      </w:r>
      <w:r>
        <w:rPr>
          <w:rFonts w:eastAsia="Times New Roman" w:cs="Times New Roman"/>
          <w:color w:val="000000"/>
        </w:rPr>
        <w:t>” (</w:t>
      </w:r>
      <w:r w:rsidR="003B1928">
        <w:rPr>
          <w:rFonts w:eastAsia="Times New Roman" w:cs="Times New Roman"/>
          <w:i/>
          <w:iCs/>
          <w:color w:val="000000"/>
        </w:rPr>
        <w:t>i</w:t>
      </w:r>
      <w:r w:rsidRPr="7FA68319">
        <w:rPr>
          <w:rFonts w:eastAsia="Times New Roman" w:cs="Times New Roman"/>
          <w:i/>
          <w:iCs/>
          <w:color w:val="000000"/>
        </w:rPr>
        <w:t>d.</w:t>
      </w:r>
      <w:r>
        <w:rPr>
          <w:rFonts w:eastAsia="Times New Roman" w:cs="Times New Roman"/>
          <w:color w:val="000000"/>
        </w:rPr>
        <w:t>, subds. (e) &amp;</w:t>
      </w:r>
      <w:r>
        <w:rPr>
          <w:rFonts w:eastAsia="Times New Roman" w:cs="Times New Roman"/>
          <w:color w:val="000000"/>
        </w:rPr>
        <w:t xml:space="preserve"> (f))</w:t>
      </w:r>
      <w:r w:rsidR="003B1928">
        <w:rPr>
          <w:rFonts w:eastAsia="Times New Roman" w:cs="Times New Roman"/>
          <w:color w:val="000000"/>
        </w:rPr>
        <w:t>.</w:t>
      </w:r>
      <w:r>
        <w:rPr>
          <w:rFonts w:eastAsia="Times New Roman" w:cs="Times New Roman"/>
          <w:color w:val="000000"/>
        </w:rPr>
        <w:t xml:space="preserve"> Continuances are limited to a duration “</w:t>
      </w:r>
      <w:r w:rsidRPr="00297997">
        <w:rPr>
          <w:rFonts w:eastAsia="Times New Roman" w:cs="Times New Roman"/>
          <w:color w:val="000000"/>
        </w:rPr>
        <w:t>shown to be necessary by the evidence considered at the hearing</w:t>
      </w:r>
      <w:r w:rsidR="00217122">
        <w:rPr>
          <w:rFonts w:eastAsia="Times New Roman" w:cs="Times New Roman"/>
          <w:color w:val="000000"/>
        </w:rPr>
        <w:t>,</w:t>
      </w:r>
      <w:r>
        <w:rPr>
          <w:rFonts w:eastAsia="Times New Roman" w:cs="Times New Roman"/>
          <w:color w:val="000000"/>
        </w:rPr>
        <w:t>” and</w:t>
      </w:r>
      <w:r w:rsidR="00DE12A4">
        <w:rPr>
          <w:rFonts w:eastAsia="Times New Roman" w:cs="Times New Roman"/>
          <w:color w:val="000000"/>
        </w:rPr>
        <w:t>,</w:t>
      </w:r>
      <w:r>
        <w:rPr>
          <w:rFonts w:eastAsia="Times New Roman" w:cs="Times New Roman"/>
          <w:color w:val="000000"/>
        </w:rPr>
        <w:t xml:space="preserve"> </w:t>
      </w:r>
      <w:r w:rsidR="00DE12A4">
        <w:rPr>
          <w:rFonts w:eastAsia="Times New Roman" w:cs="Times New Roman"/>
          <w:color w:val="000000"/>
        </w:rPr>
        <w:t xml:space="preserve">when granted, </w:t>
      </w:r>
      <w:r w:rsidR="00E43DEE">
        <w:rPr>
          <w:rFonts w:eastAsia="Times New Roman" w:cs="Times New Roman"/>
          <w:color w:val="000000"/>
        </w:rPr>
        <w:t>“</w:t>
      </w:r>
      <w:r w:rsidR="00DE12A4">
        <w:rPr>
          <w:rFonts w:eastAsia="Times New Roman" w:cs="Times New Roman"/>
          <w:color w:val="000000"/>
        </w:rPr>
        <w:t xml:space="preserve">the court shall </w:t>
      </w:r>
      <w:r w:rsidR="001C0CB8">
        <w:rPr>
          <w:rFonts w:eastAsia="Times New Roman" w:cs="Times New Roman"/>
          <w:color w:val="000000"/>
        </w:rPr>
        <w:t xml:space="preserve">state on the record the facts proved that justify the length of the continuance </w:t>
      </w:r>
      <w:proofErr w:type="gramStart"/>
      <w:r w:rsidR="001C0CB8">
        <w:rPr>
          <w:rFonts w:eastAsia="Times New Roman" w:cs="Times New Roman"/>
          <w:color w:val="000000"/>
        </w:rPr>
        <w:t>. . . .</w:t>
      </w:r>
      <w:proofErr w:type="gramEnd"/>
      <w:r w:rsidR="001C0CB8">
        <w:rPr>
          <w:rFonts w:eastAsia="Times New Roman" w:cs="Times New Roman"/>
          <w:color w:val="000000"/>
        </w:rPr>
        <w:t>”</w:t>
      </w:r>
      <w:r>
        <w:rPr>
          <w:rFonts w:eastAsia="Times New Roman" w:cs="Times New Roman"/>
          <w:color w:val="000000"/>
        </w:rPr>
        <w:t xml:space="preserve"> (</w:t>
      </w:r>
      <w:r w:rsidRPr="7FA68319">
        <w:rPr>
          <w:rFonts w:eastAsia="Times New Roman" w:cs="Times New Roman"/>
          <w:i/>
          <w:iCs/>
          <w:color w:val="000000"/>
        </w:rPr>
        <w:t>Id.</w:t>
      </w:r>
      <w:r>
        <w:rPr>
          <w:rFonts w:eastAsia="Times New Roman" w:cs="Times New Roman"/>
          <w:color w:val="000000"/>
        </w:rPr>
        <w:t xml:space="preserve">, subd. </w:t>
      </w:r>
      <w:r>
        <w:rPr>
          <w:rFonts w:eastAsia="Times New Roman" w:cs="Times New Roman"/>
          <w:color w:val="000000"/>
        </w:rPr>
        <w:t>(</w:t>
      </w:r>
      <w:proofErr w:type="spellStart"/>
      <w:r>
        <w:rPr>
          <w:rFonts w:eastAsia="Times New Roman" w:cs="Times New Roman"/>
          <w:color w:val="000000"/>
        </w:rPr>
        <w:t>i</w:t>
      </w:r>
      <w:proofErr w:type="spellEnd"/>
      <w:r>
        <w:rPr>
          <w:rFonts w:eastAsia="Times New Roman" w:cs="Times New Roman"/>
          <w:color w:val="000000"/>
        </w:rPr>
        <w:t>).)</w:t>
      </w:r>
    </w:p>
  </w:footnote>
  <w:footnote w:id="18">
    <w:p w14:paraId="20E8C8CC" w14:textId="606233EE" w:rsidR="00EB107E" w:rsidRPr="00F629BB" w:rsidRDefault="003D06AD" w:rsidP="00EB107E">
      <w:pPr>
        <w:pStyle w:val="FootnoteText"/>
        <w:spacing w:after="120"/>
      </w:pPr>
      <w:r w:rsidRPr="00F629BB">
        <w:tab/>
      </w:r>
      <w:r w:rsidRPr="00F629BB">
        <w:rPr>
          <w:rStyle w:val="FootnoteReference"/>
        </w:rPr>
        <w:footnoteRef/>
      </w:r>
      <w:r w:rsidRPr="00F629BB">
        <w:t xml:space="preserve"> </w:t>
      </w:r>
      <w:r>
        <w:t>Other civil matters were tried b</w:t>
      </w:r>
      <w:r w:rsidRPr="00F629BB">
        <w:t xml:space="preserve">y out-of-county judges temporarily assigned </w:t>
      </w:r>
      <w:r>
        <w:t xml:space="preserve">to </w:t>
      </w:r>
      <w:r w:rsidRPr="00F629BB">
        <w:t>a facility at an elementary school</w:t>
      </w:r>
      <w:r>
        <w:t xml:space="preserve">, which lacked </w:t>
      </w:r>
      <w:r w:rsidRPr="00F629BB">
        <w:t xml:space="preserve">adequate security </w:t>
      </w:r>
      <w:r>
        <w:t xml:space="preserve">for </w:t>
      </w:r>
      <w:r w:rsidRPr="00F629BB">
        <w:t>criminal trials</w:t>
      </w:r>
      <w:r>
        <w:t>, and by one judge whom the district attorney had blanket-challenged in criminal c</w:t>
      </w:r>
      <w:r>
        <w:t>ases.</w:t>
      </w:r>
      <w:r w:rsidRPr="00F629BB">
        <w:t xml:space="preserve"> (</w:t>
      </w:r>
      <w:r w:rsidRPr="00F629BB">
        <w:rPr>
          <w:i/>
          <w:iCs/>
        </w:rPr>
        <w:t>Engram</w:t>
      </w:r>
      <w:r w:rsidRPr="00F629BB">
        <w:t xml:space="preserve">, </w:t>
      </w:r>
      <w:r w:rsidRPr="00F629BB">
        <w:rPr>
          <w:i/>
          <w:iCs/>
        </w:rPr>
        <w:t>supra</w:t>
      </w:r>
      <w:r w:rsidRPr="00F629BB">
        <w:t xml:space="preserve">, </w:t>
      </w:r>
      <w:r>
        <w:t xml:space="preserve">50 Cal.4th </w:t>
      </w:r>
      <w:r w:rsidRPr="00F629BB">
        <w:t>at p</w:t>
      </w:r>
      <w:r>
        <w:t>p</w:t>
      </w:r>
      <w:r w:rsidRPr="00F629BB">
        <w:t>.</w:t>
      </w:r>
      <w:r>
        <w:t> </w:t>
      </w:r>
      <w:r w:rsidRPr="00F629BB">
        <w:t>1144</w:t>
      </w:r>
      <w:r>
        <w:t>, 1158</w:t>
      </w:r>
      <w:r w:rsidRPr="00F629BB">
        <w:t xml:space="preserve">.) </w:t>
      </w:r>
    </w:p>
  </w:footnote>
  <w:footnote w:id="19">
    <w:p w14:paraId="68BAFAA5" w14:textId="0F6C0897" w:rsidR="0080647E" w:rsidRDefault="003D06AD" w:rsidP="00E67857">
      <w:pPr>
        <w:pStyle w:val="FootnoteText"/>
        <w:spacing w:after="120"/>
        <w:rPr>
          <w:color w:val="000000" w:themeColor="text1"/>
          <w:szCs w:val="26"/>
        </w:rPr>
      </w:pPr>
      <w:r>
        <w:tab/>
      </w:r>
      <w:r w:rsidRPr="4E07C719">
        <w:rPr>
          <w:rStyle w:val="FootnoteReference"/>
        </w:rPr>
        <w:footnoteRef/>
      </w:r>
      <w:r>
        <w:t xml:space="preserve"> </w:t>
      </w:r>
      <w:r w:rsidRPr="4E07C719">
        <w:rPr>
          <w:color w:val="000000" w:themeColor="text1"/>
          <w:szCs w:val="26"/>
        </w:rPr>
        <w:t xml:space="preserve">In </w:t>
      </w:r>
      <w:r w:rsidRPr="0027752B">
        <w:rPr>
          <w:i/>
          <w:color w:val="000000" w:themeColor="text1"/>
          <w:szCs w:val="26"/>
        </w:rPr>
        <w:t>Echols</w:t>
      </w:r>
      <w:r w:rsidRPr="4E07C719">
        <w:rPr>
          <w:color w:val="000000" w:themeColor="text1"/>
          <w:szCs w:val="26"/>
        </w:rPr>
        <w:t>, defendant court had devoted 17</w:t>
      </w:r>
      <w:r w:rsidR="00E67857">
        <w:rPr>
          <w:color w:val="000000" w:themeColor="text1"/>
          <w:szCs w:val="26"/>
        </w:rPr>
        <w:t xml:space="preserve"> percent</w:t>
      </w:r>
      <w:r w:rsidRPr="4E07C719">
        <w:rPr>
          <w:color w:val="000000" w:themeColor="text1"/>
          <w:szCs w:val="26"/>
        </w:rPr>
        <w:t xml:space="preserve"> of its departments to criminal matters</w:t>
      </w:r>
      <w:r w:rsidR="004952D6">
        <w:rPr>
          <w:color w:val="000000" w:themeColor="text1"/>
          <w:szCs w:val="26"/>
        </w:rPr>
        <w:t xml:space="preserve"> (</w:t>
      </w:r>
      <w:r w:rsidR="00E22302">
        <w:rPr>
          <w:i/>
          <w:iCs/>
          <w:color w:val="000000" w:themeColor="text1"/>
          <w:szCs w:val="26"/>
        </w:rPr>
        <w:t>Echols</w:t>
      </w:r>
      <w:r w:rsidR="00E22302">
        <w:rPr>
          <w:color w:val="000000" w:themeColor="text1"/>
          <w:szCs w:val="26"/>
        </w:rPr>
        <w:t xml:space="preserve">, </w:t>
      </w:r>
      <w:r w:rsidR="00E22302">
        <w:rPr>
          <w:i/>
          <w:iCs/>
          <w:color w:val="000000" w:themeColor="text1"/>
          <w:szCs w:val="26"/>
        </w:rPr>
        <w:t>supra</w:t>
      </w:r>
      <w:r w:rsidR="00E22302">
        <w:rPr>
          <w:color w:val="000000" w:themeColor="text1"/>
          <w:szCs w:val="26"/>
        </w:rPr>
        <w:t>, 125 Cal.App.2d</w:t>
      </w:r>
      <w:r w:rsidR="0026257E">
        <w:rPr>
          <w:color w:val="000000" w:themeColor="text1"/>
          <w:szCs w:val="26"/>
        </w:rPr>
        <w:t xml:space="preserve"> at pp. 815-816)</w:t>
      </w:r>
      <w:r w:rsidRPr="4E07C719">
        <w:rPr>
          <w:color w:val="000000" w:themeColor="text1"/>
          <w:szCs w:val="26"/>
        </w:rPr>
        <w:t>; by comparison, in 2021, it nominally devoted only 14</w:t>
      </w:r>
      <w:r w:rsidR="00297C18">
        <w:rPr>
          <w:color w:val="000000" w:themeColor="text1"/>
          <w:szCs w:val="26"/>
        </w:rPr>
        <w:t> </w:t>
      </w:r>
      <w:r w:rsidR="007E6523">
        <w:rPr>
          <w:color w:val="000000" w:themeColor="text1"/>
          <w:szCs w:val="26"/>
        </w:rPr>
        <w:t>percent</w:t>
      </w:r>
      <w:r w:rsidRPr="4E07C719">
        <w:rPr>
          <w:color w:val="000000" w:themeColor="text1"/>
          <w:szCs w:val="26"/>
        </w:rPr>
        <w:t xml:space="preserve"> of its courtrooms to, and </w:t>
      </w:r>
      <w:proofErr w:type="gramStart"/>
      <w:r w:rsidRPr="4E07C719">
        <w:rPr>
          <w:color w:val="000000" w:themeColor="text1"/>
          <w:szCs w:val="26"/>
        </w:rPr>
        <w:t>actually used</w:t>
      </w:r>
      <w:proofErr w:type="gramEnd"/>
      <w:r w:rsidRPr="4E07C719">
        <w:rPr>
          <w:color w:val="000000" w:themeColor="text1"/>
          <w:szCs w:val="26"/>
        </w:rPr>
        <w:t xml:space="preserve"> only 8</w:t>
      </w:r>
      <w:r w:rsidR="00A86CE6">
        <w:rPr>
          <w:color w:val="000000" w:themeColor="text1"/>
          <w:szCs w:val="26"/>
        </w:rPr>
        <w:t xml:space="preserve"> to </w:t>
      </w:r>
      <w:r w:rsidRPr="4E07C719">
        <w:rPr>
          <w:color w:val="000000" w:themeColor="text1"/>
          <w:szCs w:val="26"/>
        </w:rPr>
        <w:t>11</w:t>
      </w:r>
      <w:r w:rsidR="00E67857">
        <w:rPr>
          <w:color w:val="000000" w:themeColor="text1"/>
          <w:szCs w:val="26"/>
        </w:rPr>
        <w:t xml:space="preserve"> percent</w:t>
      </w:r>
      <w:r w:rsidRPr="4E07C719">
        <w:rPr>
          <w:color w:val="000000" w:themeColor="text1"/>
          <w:szCs w:val="26"/>
        </w:rPr>
        <w:t xml:space="preserve"> of its courtrooms for conducting such trials.</w:t>
      </w:r>
      <w:r w:rsidR="00340B88">
        <w:rPr>
          <w:color w:val="000000" w:themeColor="text1"/>
          <w:szCs w:val="26"/>
        </w:rPr>
        <w:t xml:space="preserve"> </w:t>
      </w:r>
    </w:p>
  </w:footnote>
  <w:footnote w:id="20">
    <w:p w14:paraId="05664634" w14:textId="2F4239D4" w:rsidR="00401B97" w:rsidRPr="003C4A53" w:rsidRDefault="003D06AD" w:rsidP="00401B97">
      <w:pPr>
        <w:pStyle w:val="FootnoteText"/>
        <w:spacing w:after="120"/>
      </w:pPr>
      <w:r>
        <w:tab/>
      </w:r>
      <w:r w:rsidRPr="003C4A53">
        <w:rPr>
          <w:rStyle w:val="FootnoteReference"/>
        </w:rPr>
        <w:footnoteRef/>
      </w:r>
      <w:r w:rsidRPr="003C4A53">
        <w:t xml:space="preserve"> </w:t>
      </w:r>
      <w:r w:rsidR="00846A00">
        <w:t xml:space="preserve">Along with </w:t>
      </w:r>
      <w:r w:rsidR="00846A00">
        <w:rPr>
          <w:i/>
          <w:iCs/>
        </w:rPr>
        <w:t xml:space="preserve">Echols </w:t>
      </w:r>
      <w:r w:rsidR="00846A00">
        <w:t xml:space="preserve">and </w:t>
      </w:r>
      <w:r w:rsidR="00846A00">
        <w:rPr>
          <w:i/>
          <w:iCs/>
        </w:rPr>
        <w:t>Dearth</w:t>
      </w:r>
      <w:r w:rsidR="003802BE">
        <w:rPr>
          <w:i/>
          <w:iCs/>
          <w:u w:val="single"/>
        </w:rPr>
        <w:t>,</w:t>
      </w:r>
      <w:r w:rsidR="00846A00">
        <w:rPr>
          <w:i/>
          <w:iCs/>
        </w:rPr>
        <w:t xml:space="preserve"> </w:t>
      </w:r>
      <w:r w:rsidRPr="003C4A53">
        <w:rPr>
          <w:i/>
          <w:iCs/>
          <w:color w:val="000000"/>
        </w:rPr>
        <w:t>Engram</w:t>
      </w:r>
      <w:r w:rsidRPr="003C4A53">
        <w:rPr>
          <w:color w:val="000000"/>
        </w:rPr>
        <w:t xml:space="preserve"> </w:t>
      </w:r>
      <w:r>
        <w:rPr>
          <w:color w:val="000000"/>
        </w:rPr>
        <w:t>discuss</w:t>
      </w:r>
      <w:r w:rsidRPr="003C4A53">
        <w:rPr>
          <w:color w:val="000000"/>
        </w:rPr>
        <w:t xml:space="preserve">ed </w:t>
      </w:r>
      <w:r w:rsidR="003802BE">
        <w:rPr>
          <w:color w:val="000000"/>
        </w:rPr>
        <w:t>an</w:t>
      </w:r>
      <w:r>
        <w:rPr>
          <w:color w:val="000000"/>
        </w:rPr>
        <w:t>other</w:t>
      </w:r>
      <w:r w:rsidRPr="003C4A53">
        <w:rPr>
          <w:color w:val="000000"/>
        </w:rPr>
        <w:t xml:space="preserve"> opinion of similar vintage</w:t>
      </w:r>
      <w:r w:rsidR="00BE74B7">
        <w:rPr>
          <w:color w:val="000000"/>
        </w:rPr>
        <w:t xml:space="preserve">, noting that </w:t>
      </w:r>
      <w:proofErr w:type="gramStart"/>
      <w:r w:rsidR="00BE74B7">
        <w:rPr>
          <w:color w:val="000000"/>
        </w:rPr>
        <w:t>all of</w:t>
      </w:r>
      <w:proofErr w:type="gramEnd"/>
      <w:r w:rsidR="00BE74B7">
        <w:rPr>
          <w:color w:val="000000"/>
        </w:rPr>
        <w:t xml:space="preserve"> those precedents </w:t>
      </w:r>
      <w:r w:rsidR="00CF38CD">
        <w:rPr>
          <w:color w:val="000000"/>
        </w:rPr>
        <w:t>“</w:t>
      </w:r>
      <w:r w:rsidR="00CF38CD" w:rsidRPr="002E35AC">
        <w:rPr>
          <w:color w:val="000000"/>
          <w:szCs w:val="26"/>
        </w:rPr>
        <w:t xml:space="preserve">demonstrate that </w:t>
      </w:r>
      <w:r w:rsidR="00CF38CD" w:rsidRPr="0091338E">
        <w:rPr>
          <w:color w:val="000000"/>
          <w:szCs w:val="26"/>
        </w:rPr>
        <w:t xml:space="preserve">a superior court may run afoul of section 1050 if it shortchanges criminal matters and does not devote a reasonable </w:t>
      </w:r>
      <w:bookmarkStart w:id="3" w:name="co_pp_sp_4040_1138_1"/>
      <w:bookmarkEnd w:id="3"/>
      <w:r w:rsidR="00CF38CD" w:rsidRPr="0091338E">
        <w:rPr>
          <w:color w:val="000000"/>
          <w:szCs w:val="26"/>
        </w:rPr>
        <w:t>proportion of its resources to the trial of criminal cases</w:t>
      </w:r>
      <w:r w:rsidR="00BA176D">
        <w:rPr>
          <w:color w:val="000000"/>
          <w:szCs w:val="26"/>
        </w:rPr>
        <w:t>.</w:t>
      </w:r>
      <w:r w:rsidR="00CF38CD">
        <w:rPr>
          <w:color w:val="000000"/>
          <w:szCs w:val="26"/>
        </w:rPr>
        <w:t>” (</w:t>
      </w:r>
      <w:r w:rsidR="00CF38CD" w:rsidRPr="00ED7E2F">
        <w:rPr>
          <w:i/>
          <w:iCs/>
          <w:color w:val="000000"/>
          <w:szCs w:val="26"/>
        </w:rPr>
        <w:t>Engram, supra</w:t>
      </w:r>
      <w:r w:rsidR="00CF38CD" w:rsidRPr="00ED7E2F">
        <w:rPr>
          <w:color w:val="000000"/>
          <w:szCs w:val="26"/>
        </w:rPr>
        <w:t xml:space="preserve">, </w:t>
      </w:r>
      <w:r w:rsidR="00856A9B" w:rsidRPr="00ED7E2F">
        <w:rPr>
          <w:color w:val="000000"/>
          <w:szCs w:val="26"/>
        </w:rPr>
        <w:t>50 Cal.4th at p</w:t>
      </w:r>
      <w:r w:rsidR="009273C0">
        <w:rPr>
          <w:color w:val="000000"/>
          <w:szCs w:val="26"/>
        </w:rPr>
        <w:t>p</w:t>
      </w:r>
      <w:r w:rsidR="00856A9B" w:rsidRPr="00ED7E2F">
        <w:rPr>
          <w:color w:val="000000"/>
          <w:szCs w:val="26"/>
        </w:rPr>
        <w:t>.</w:t>
      </w:r>
      <w:r w:rsidR="00930EDD" w:rsidRPr="00ED7E2F">
        <w:rPr>
          <w:color w:val="000000"/>
          <w:szCs w:val="26"/>
        </w:rPr>
        <w:t> 1137–1138</w:t>
      </w:r>
      <w:r w:rsidR="00BA176D" w:rsidRPr="00ED7E2F">
        <w:rPr>
          <w:color w:val="000000"/>
          <w:szCs w:val="26"/>
        </w:rPr>
        <w:t>; see</w:t>
      </w:r>
      <w:r w:rsidR="00ED7E2F" w:rsidRPr="00ED7E2F">
        <w:rPr>
          <w:color w:val="000000"/>
          <w:szCs w:val="26"/>
        </w:rPr>
        <w:t xml:space="preserve"> also</w:t>
      </w:r>
      <w:r w:rsidR="00BA176D" w:rsidRPr="00ED7E2F">
        <w:rPr>
          <w:color w:val="000000"/>
          <w:szCs w:val="26"/>
        </w:rPr>
        <w:t xml:space="preserve"> </w:t>
      </w:r>
      <w:r w:rsidR="00BA176D" w:rsidRPr="00ED7E2F">
        <w:rPr>
          <w:i/>
          <w:iCs/>
          <w:color w:val="000000"/>
          <w:szCs w:val="26"/>
        </w:rPr>
        <w:t>id.</w:t>
      </w:r>
      <w:r w:rsidR="00BA176D" w:rsidRPr="00ED7E2F">
        <w:rPr>
          <w:color w:val="000000"/>
          <w:szCs w:val="26"/>
        </w:rPr>
        <w:t xml:space="preserve"> </w:t>
      </w:r>
      <w:r w:rsidRPr="00ED7E2F">
        <w:rPr>
          <w:color w:val="000000"/>
          <w:spacing w:val="-2"/>
        </w:rPr>
        <w:t>at p. 1157,</w:t>
      </w:r>
      <w:r w:rsidRPr="003C4A53">
        <w:rPr>
          <w:color w:val="000000"/>
        </w:rPr>
        <w:t xml:space="preserve"> discussin</w:t>
      </w:r>
      <w:r w:rsidRPr="003C4A53">
        <w:rPr>
          <w:color w:val="000000"/>
        </w:rPr>
        <w:t xml:space="preserve">g </w:t>
      </w:r>
      <w:r w:rsidRPr="003C4A53">
        <w:rPr>
          <w:i/>
          <w:iCs/>
          <w:color w:val="000000"/>
        </w:rPr>
        <w:t>Stewart v. Superior Court</w:t>
      </w:r>
      <w:r w:rsidRPr="003C4A53">
        <w:rPr>
          <w:color w:val="000000"/>
        </w:rPr>
        <w:t xml:space="preserve"> (1955) 132</w:t>
      </w:r>
      <w:r w:rsidR="00BA176D">
        <w:rPr>
          <w:color w:val="000000"/>
        </w:rPr>
        <w:t> </w:t>
      </w:r>
      <w:r w:rsidRPr="003C4A53">
        <w:rPr>
          <w:color w:val="000000"/>
        </w:rPr>
        <w:t>Cal.App.2d 536</w:t>
      </w:r>
      <w:r w:rsidR="000403F1">
        <w:rPr>
          <w:color w:val="000000"/>
        </w:rPr>
        <w:t xml:space="preserve"> [</w:t>
      </w:r>
      <w:r w:rsidR="00FC6696">
        <w:rPr>
          <w:color w:val="000000"/>
        </w:rPr>
        <w:t xml:space="preserve">court </w:t>
      </w:r>
      <w:r w:rsidR="007866CA">
        <w:rPr>
          <w:color w:val="000000"/>
        </w:rPr>
        <w:t>violat</w:t>
      </w:r>
      <w:r w:rsidR="00FC6696">
        <w:rPr>
          <w:color w:val="000000"/>
        </w:rPr>
        <w:t xml:space="preserve">ed </w:t>
      </w:r>
      <w:r w:rsidR="007866CA">
        <w:rPr>
          <w:color w:val="000000"/>
        </w:rPr>
        <w:t>section 1050(a)</w:t>
      </w:r>
      <w:r w:rsidR="00FC6696">
        <w:rPr>
          <w:color w:val="000000"/>
        </w:rPr>
        <w:t xml:space="preserve"> by assigning only </w:t>
      </w:r>
      <w:r w:rsidR="00FC6696" w:rsidRPr="00BE74B7">
        <w:t>8</w:t>
      </w:r>
      <w:r w:rsidR="00BE74B7">
        <w:t> </w:t>
      </w:r>
      <w:r w:rsidR="00FC6696" w:rsidRPr="00BE74B7">
        <w:t>of</w:t>
      </w:r>
      <w:r w:rsidR="00FC6696">
        <w:rPr>
          <w:color w:val="000000"/>
        </w:rPr>
        <w:t xml:space="preserve"> 59 </w:t>
      </w:r>
      <w:r w:rsidR="000F5B4E">
        <w:rPr>
          <w:color w:val="000000"/>
        </w:rPr>
        <w:t>judges to criminal trials</w:t>
      </w:r>
      <w:r w:rsidR="00744557">
        <w:rPr>
          <w:color w:val="000000"/>
        </w:rPr>
        <w:t xml:space="preserve"> and sending 29 civil cases to trial on </w:t>
      </w:r>
      <w:r w:rsidR="00A4505D">
        <w:rPr>
          <w:color w:val="000000"/>
        </w:rPr>
        <w:t xml:space="preserve">the </w:t>
      </w:r>
      <w:r w:rsidR="00744557">
        <w:rPr>
          <w:color w:val="000000"/>
        </w:rPr>
        <w:t>date</w:t>
      </w:r>
      <w:r w:rsidR="00B0785B">
        <w:rPr>
          <w:color w:val="000000"/>
        </w:rPr>
        <w:t>s</w:t>
      </w:r>
      <w:r w:rsidR="00744557">
        <w:rPr>
          <w:color w:val="000000"/>
        </w:rPr>
        <w:t xml:space="preserve"> </w:t>
      </w:r>
      <w:r w:rsidR="004F2041">
        <w:rPr>
          <w:color w:val="000000"/>
        </w:rPr>
        <w:t xml:space="preserve">it continued </w:t>
      </w:r>
      <w:r w:rsidR="00744557">
        <w:rPr>
          <w:color w:val="000000"/>
        </w:rPr>
        <w:t xml:space="preserve">defendant’s </w:t>
      </w:r>
      <w:r w:rsidR="004F2041">
        <w:rPr>
          <w:color w:val="000000"/>
        </w:rPr>
        <w:t>criminal trial</w:t>
      </w:r>
      <w:r w:rsidR="008E1447">
        <w:rPr>
          <w:color w:val="000000"/>
        </w:rPr>
        <w:t>]</w:t>
      </w:r>
      <w:r w:rsidR="009273C0">
        <w:rPr>
          <w:color w:val="000000"/>
        </w:rPr>
        <w:t xml:space="preserve"> </w:t>
      </w:r>
      <w:r w:rsidRPr="003C4A53">
        <w:rPr>
          <w:color w:val="000000"/>
        </w:rPr>
        <w:t xml:space="preserve">and </w:t>
      </w:r>
      <w:r w:rsidRPr="003C4A53">
        <w:rPr>
          <w:i/>
          <w:iCs/>
          <w:color w:val="000000"/>
        </w:rPr>
        <w:t xml:space="preserve">Dearth v. </w:t>
      </w:r>
      <w:r w:rsidRPr="003C4A53">
        <w:rPr>
          <w:i/>
          <w:iCs/>
          <w:color w:val="000000"/>
        </w:rPr>
        <w:t>Superior Court</w:t>
      </w:r>
      <w:r w:rsidR="003B4A43">
        <w:rPr>
          <w:color w:val="000000"/>
        </w:rPr>
        <w:t xml:space="preserve">, </w:t>
      </w:r>
      <w:r w:rsidR="003B4A43">
        <w:rPr>
          <w:i/>
          <w:iCs/>
          <w:color w:val="000000"/>
        </w:rPr>
        <w:t>supra</w:t>
      </w:r>
      <w:r w:rsidR="003B4A43">
        <w:rPr>
          <w:color w:val="000000"/>
        </w:rPr>
        <w:t>,</w:t>
      </w:r>
      <w:r w:rsidRPr="003C4A53">
        <w:rPr>
          <w:color w:val="000000"/>
        </w:rPr>
        <w:t xml:space="preserve"> 40 Cal.App.2d </w:t>
      </w:r>
      <w:r w:rsidR="003B4A43">
        <w:rPr>
          <w:color w:val="000000"/>
        </w:rPr>
        <w:t>at p. </w:t>
      </w:r>
      <w:r w:rsidR="00727BC4">
        <w:rPr>
          <w:color w:val="000000"/>
        </w:rPr>
        <w:t>59</w:t>
      </w:r>
      <w:r w:rsidRPr="003C4A53">
        <w:rPr>
          <w:color w:val="000000"/>
        </w:rPr>
        <w:t>.)</w:t>
      </w:r>
    </w:p>
  </w:footnote>
  <w:footnote w:id="21">
    <w:p w14:paraId="3876FD90" w14:textId="25F5EC51" w:rsidR="797FBB80" w:rsidRDefault="003D06AD" w:rsidP="797FBB80">
      <w:pPr>
        <w:spacing w:line="320" w:lineRule="exact"/>
        <w:rPr>
          <w:rFonts w:eastAsiaTheme="minorEastAsia"/>
          <w:szCs w:val="26"/>
        </w:rPr>
      </w:pPr>
      <w:r>
        <w:t xml:space="preserve"> </w:t>
      </w:r>
      <w:r w:rsidR="00C5751F">
        <w:tab/>
      </w:r>
      <w:r w:rsidRPr="797FBB80">
        <w:rPr>
          <w:rStyle w:val="FootnoteReference"/>
        </w:rPr>
        <w:footnoteRef/>
      </w:r>
      <w:r>
        <w:t xml:space="preserve"> In </w:t>
      </w:r>
      <w:r w:rsidRPr="00C5751F">
        <w:rPr>
          <w:i/>
        </w:rPr>
        <w:t>Johnson</w:t>
      </w:r>
      <w:r>
        <w:t xml:space="preserve">, the court also distinguished between predictable, chronic causes for delay, on one hand, versus </w:t>
      </w:r>
      <w:r w:rsidRPr="797FBB80">
        <w:rPr>
          <w:color w:val="000000" w:themeColor="text1"/>
        </w:rPr>
        <w:t>“</w:t>
      </w:r>
      <w:r>
        <w:t xml:space="preserve">unforeseen events,” such as sudden illness, on the other; and held that </w:t>
      </w:r>
      <w:r w:rsidRPr="797FBB80">
        <w:rPr>
          <w:color w:val="000000" w:themeColor="text1"/>
        </w:rPr>
        <w:t>“</w:t>
      </w:r>
      <w:r>
        <w:t xml:space="preserve">exceptional circumstances” which could justify a delay of trial do not </w:t>
      </w:r>
      <w:r>
        <w:t xml:space="preserve">include routine </w:t>
      </w:r>
      <w:proofErr w:type="spellStart"/>
      <w:r>
        <w:t>overassignment</w:t>
      </w:r>
      <w:proofErr w:type="spellEnd"/>
      <w:r>
        <w:t xml:space="preserve"> of cases to public defender</w:t>
      </w:r>
      <w:r w:rsidR="00456E70">
        <w:t>s</w:t>
      </w:r>
      <w:r w:rsidR="00A819C5">
        <w:t>,</w:t>
      </w:r>
      <w:r>
        <w:t xml:space="preserve"> which would </w:t>
      </w:r>
      <w:r w:rsidRPr="797FBB80">
        <w:rPr>
          <w:color w:val="000000" w:themeColor="text1"/>
        </w:rPr>
        <w:t>“</w:t>
      </w:r>
      <w:r w:rsidRPr="797FBB80">
        <w:t>foreseeably</w:t>
      </w:r>
      <w:r>
        <w:t xml:space="preserve"> </w:t>
      </w:r>
      <w:r w:rsidR="00AE057D">
        <w:t>.</w:t>
      </w:r>
      <w:r w:rsidR="000205E1">
        <w:t> </w:t>
      </w:r>
      <w:r w:rsidR="00AE057D">
        <w:t>.</w:t>
      </w:r>
      <w:r w:rsidR="000205E1">
        <w:t> </w:t>
      </w:r>
      <w:r w:rsidR="00AE057D">
        <w:t>.</w:t>
      </w:r>
      <w:r>
        <w:t xml:space="preserve"> result in </w:t>
      </w:r>
      <w:r w:rsidR="003B1900">
        <w:t xml:space="preserve">the </w:t>
      </w:r>
      <w:r>
        <w:t>delays</w:t>
      </w:r>
      <w:r w:rsidR="003B1900">
        <w:t xml:space="preserve"> of trials</w:t>
      </w:r>
      <w:r>
        <w:t>.</w:t>
      </w:r>
      <w:r w:rsidR="00867BD2">
        <w:t>”</w:t>
      </w:r>
      <w:r>
        <w:t xml:space="preserve"> (</w:t>
      </w:r>
      <w:r w:rsidR="00D96E5E" w:rsidRPr="00C5751F">
        <w:rPr>
          <w:i/>
        </w:rPr>
        <w:t>Johnson</w:t>
      </w:r>
      <w:r w:rsidR="00D96E5E">
        <w:t xml:space="preserve">, </w:t>
      </w:r>
      <w:r w:rsidR="00D96E5E" w:rsidRPr="00D96E5E">
        <w:rPr>
          <w:i/>
          <w:iCs/>
        </w:rPr>
        <w:t>supra</w:t>
      </w:r>
      <w:r w:rsidR="00D96E5E">
        <w:t xml:space="preserve">, </w:t>
      </w:r>
      <w:r>
        <w:t>26</w:t>
      </w:r>
      <w:r w:rsidR="000205E1">
        <w:t> </w:t>
      </w:r>
      <w:r>
        <w:t xml:space="preserve">Cal.3d at </w:t>
      </w:r>
      <w:r w:rsidR="00F643D0">
        <w:t>pp. </w:t>
      </w:r>
      <w:r>
        <w:t>570</w:t>
      </w:r>
      <w:r w:rsidR="00F643D0">
        <w:t>–</w:t>
      </w:r>
      <w:r>
        <w:t xml:space="preserve">572.) Similarly, </w:t>
      </w:r>
      <w:r w:rsidR="008D43BD">
        <w:t>the Supreme Court</w:t>
      </w:r>
      <w:r>
        <w:t xml:space="preserve"> has observed that </w:t>
      </w:r>
      <w:r w:rsidR="008D43BD">
        <w:t>a trial</w:t>
      </w:r>
      <w:r>
        <w:t xml:space="preserve"> court’s failure to prepare for a</w:t>
      </w:r>
      <w:r>
        <w:t>nd address predictable obstacles cannot support a good cause finding for continuance</w:t>
      </w:r>
      <w:r w:rsidR="00DA7023">
        <w:t>,</w:t>
      </w:r>
      <w:r>
        <w:t xml:space="preserve"> rather than dismissal. (</w:t>
      </w:r>
      <w:r w:rsidRPr="008D43BD">
        <w:rPr>
          <w:rFonts w:eastAsiaTheme="minorEastAsia"/>
          <w:i/>
          <w:szCs w:val="26"/>
        </w:rPr>
        <w:t xml:space="preserve">People v. </w:t>
      </w:r>
      <w:proofErr w:type="spellStart"/>
      <w:r w:rsidRPr="008D43BD">
        <w:rPr>
          <w:rFonts w:eastAsiaTheme="minorEastAsia"/>
          <w:i/>
          <w:szCs w:val="26"/>
        </w:rPr>
        <w:t>Hajjaj</w:t>
      </w:r>
      <w:proofErr w:type="spellEnd"/>
      <w:r w:rsidRPr="008D43BD">
        <w:rPr>
          <w:rFonts w:eastAsiaTheme="minorEastAsia"/>
          <w:szCs w:val="26"/>
        </w:rPr>
        <w:t xml:space="preserve"> (2010) 50</w:t>
      </w:r>
      <w:r w:rsidR="000205E1">
        <w:rPr>
          <w:rFonts w:eastAsiaTheme="minorEastAsia"/>
          <w:szCs w:val="26"/>
        </w:rPr>
        <w:t> </w:t>
      </w:r>
      <w:r w:rsidRPr="008D43BD">
        <w:rPr>
          <w:rFonts w:eastAsiaTheme="minorEastAsia"/>
          <w:szCs w:val="26"/>
        </w:rPr>
        <w:t>Cal.4th 1184, 1201</w:t>
      </w:r>
      <w:r w:rsidR="00C151CE">
        <w:rPr>
          <w:rFonts w:eastAsiaTheme="minorEastAsia"/>
          <w:szCs w:val="26"/>
        </w:rPr>
        <w:t>–</w:t>
      </w:r>
      <w:r w:rsidR="0097661B">
        <w:rPr>
          <w:rFonts w:eastAsiaTheme="minorEastAsia"/>
          <w:szCs w:val="26"/>
        </w:rPr>
        <w:t>1202</w:t>
      </w:r>
      <w:r w:rsidRPr="008D43BD">
        <w:rPr>
          <w:rFonts w:eastAsiaTheme="minorEastAsia"/>
          <w:szCs w:val="26"/>
        </w:rPr>
        <w:t>.</w:t>
      </w:r>
      <w:r w:rsidRPr="797FBB80">
        <w:rPr>
          <w:rFonts w:eastAsiaTheme="minorEastAsia"/>
          <w:szCs w:val="26"/>
        </w:rPr>
        <w:t>) Rather, court administrators must plan for these contingencies. (</w:t>
      </w:r>
      <w:r w:rsidRPr="008D43BD">
        <w:rPr>
          <w:rFonts w:eastAsiaTheme="minorEastAsia"/>
          <w:i/>
          <w:szCs w:val="26"/>
        </w:rPr>
        <w:t>Id</w:t>
      </w:r>
      <w:r w:rsidRPr="797FBB80">
        <w:rPr>
          <w:rFonts w:eastAsiaTheme="minorEastAsia"/>
          <w:szCs w:val="26"/>
        </w:rPr>
        <w:t>.</w:t>
      </w:r>
      <w:r w:rsidR="009260B4">
        <w:rPr>
          <w:rFonts w:eastAsiaTheme="minorEastAsia"/>
          <w:szCs w:val="26"/>
        </w:rPr>
        <w:t xml:space="preserve"> at p.</w:t>
      </w:r>
      <w:r w:rsidR="00C151CE">
        <w:rPr>
          <w:rFonts w:eastAsiaTheme="minorEastAsia"/>
          <w:szCs w:val="26"/>
        </w:rPr>
        <w:t> </w:t>
      </w:r>
      <w:r w:rsidR="009260B4">
        <w:rPr>
          <w:rFonts w:eastAsiaTheme="minorEastAsia"/>
          <w:szCs w:val="26"/>
        </w:rPr>
        <w:t>1201</w:t>
      </w:r>
      <w:r w:rsidR="0077201F">
        <w:rPr>
          <w:rFonts w:eastAsiaTheme="minorEastAsia"/>
          <w:szCs w:val="26"/>
        </w:rPr>
        <w:t>.</w:t>
      </w:r>
      <w:r w:rsidRPr="797FBB80">
        <w:rPr>
          <w:rFonts w:eastAsiaTheme="minorEastAsia"/>
          <w:szCs w:val="26"/>
        </w:rPr>
        <w:t>)</w:t>
      </w:r>
    </w:p>
  </w:footnote>
  <w:footnote w:id="22">
    <w:p w14:paraId="0DDB5E01" w14:textId="29E9F3F7" w:rsidR="004B2B4B" w:rsidRDefault="003D06AD" w:rsidP="00131128">
      <w:pPr>
        <w:pStyle w:val="FootnoteText"/>
        <w:spacing w:after="120"/>
      </w:pPr>
      <w:r>
        <w:tab/>
      </w:r>
      <w:r w:rsidRPr="797FBB80">
        <w:rPr>
          <w:rStyle w:val="FootnoteReference"/>
        </w:rPr>
        <w:footnoteRef/>
      </w:r>
      <w:r>
        <w:t xml:space="preserve"> Unlike the dissent, the majority opinion did not address the prejudice occasioned by the trial court’s decisions to continue petitioners’ trials beyond their statutory last dates or explain how that factor weighed in the analysis. </w:t>
      </w:r>
    </w:p>
  </w:footnote>
  <w:footnote w:id="23">
    <w:p w14:paraId="28295D21" w14:textId="7612742A" w:rsidR="00DB46BF" w:rsidRDefault="003D06AD" w:rsidP="00131128">
      <w:pPr>
        <w:pStyle w:val="FootnoteText"/>
      </w:pPr>
      <w:r>
        <w:tab/>
      </w:r>
      <w:r>
        <w:rPr>
          <w:rStyle w:val="FootnoteReference"/>
        </w:rPr>
        <w:footnoteRef/>
      </w:r>
      <w:r>
        <w:t xml:space="preserve"> </w:t>
      </w:r>
      <w:r w:rsidR="007B450B">
        <w:t xml:space="preserve">Not only was </w:t>
      </w:r>
      <w:r w:rsidR="007B450B" w:rsidRPr="00D523AC">
        <w:rPr>
          <w:i/>
          <w:iCs/>
        </w:rPr>
        <w:t>Estrada</w:t>
      </w:r>
      <w:r w:rsidR="007B450B">
        <w:t xml:space="preserve"> decided </w:t>
      </w:r>
      <w:r w:rsidR="008625D6">
        <w:t xml:space="preserve">based upon </w:t>
      </w:r>
      <w:r w:rsidR="00340352">
        <w:t xml:space="preserve">markedly improved </w:t>
      </w:r>
      <w:r w:rsidR="00BF7809">
        <w:t>courtroom</w:t>
      </w:r>
      <w:r w:rsidR="00A80C0D">
        <w:t>-</w:t>
      </w:r>
      <w:r w:rsidR="00BF7809">
        <w:t xml:space="preserve">utilization </w:t>
      </w:r>
      <w:r w:rsidR="00340352">
        <w:t xml:space="preserve">rates </w:t>
      </w:r>
      <w:r w:rsidR="00BF7809">
        <w:t>since the timeframe addressed in</w:t>
      </w:r>
      <w:r w:rsidR="008625D6">
        <w:t xml:space="preserve"> </w:t>
      </w:r>
      <w:r w:rsidR="008625D6" w:rsidRPr="00D523AC">
        <w:rPr>
          <w:i/>
          <w:iCs/>
        </w:rPr>
        <w:t>Hernandez-Valenzuela</w:t>
      </w:r>
      <w:r w:rsidR="008625D6">
        <w:t xml:space="preserve">, </w:t>
      </w:r>
      <w:proofErr w:type="gramStart"/>
      <w:r w:rsidR="001B4E55">
        <w:t xml:space="preserve">the </w:t>
      </w:r>
      <w:r w:rsidRPr="00D523AC">
        <w:rPr>
          <w:i/>
          <w:iCs/>
          <w:color w:val="000000" w:themeColor="text1"/>
        </w:rPr>
        <w:t>Estrada</w:t>
      </w:r>
      <w:r>
        <w:rPr>
          <w:color w:val="000000" w:themeColor="text1"/>
        </w:rPr>
        <w:t xml:space="preserve"> </w:t>
      </w:r>
      <w:r w:rsidR="001B4E55">
        <w:rPr>
          <w:color w:val="000000" w:themeColor="text1"/>
        </w:rPr>
        <w:t>petition</w:t>
      </w:r>
      <w:r w:rsidR="00706CF4">
        <w:rPr>
          <w:color w:val="000000" w:themeColor="text1"/>
        </w:rPr>
        <w:t>ers</w:t>
      </w:r>
      <w:r w:rsidR="001B4E55">
        <w:rPr>
          <w:color w:val="000000" w:themeColor="text1"/>
        </w:rPr>
        <w:t xml:space="preserve"> </w:t>
      </w:r>
      <w:r>
        <w:rPr>
          <w:color w:val="000000" w:themeColor="text1"/>
        </w:rPr>
        <w:t>did</w:t>
      </w:r>
      <w:proofErr w:type="gramEnd"/>
      <w:r>
        <w:rPr>
          <w:color w:val="000000" w:themeColor="text1"/>
        </w:rPr>
        <w:t xml:space="preserve"> not</w:t>
      </w:r>
      <w:r w:rsidR="00340352">
        <w:rPr>
          <w:color w:val="000000" w:themeColor="text1"/>
        </w:rPr>
        <w:t xml:space="preserve"> (unlike plaintiffs here)</w:t>
      </w:r>
      <w:r>
        <w:rPr>
          <w:color w:val="000000" w:themeColor="text1"/>
        </w:rPr>
        <w:t xml:space="preserve"> </w:t>
      </w:r>
      <w:r w:rsidR="00A12469">
        <w:rPr>
          <w:color w:val="000000" w:themeColor="text1"/>
        </w:rPr>
        <w:t xml:space="preserve">attribute the backlog to </w:t>
      </w:r>
      <w:r>
        <w:rPr>
          <w:color w:val="000000" w:themeColor="text1"/>
        </w:rPr>
        <w:t xml:space="preserve">defendants’ failure to </w:t>
      </w:r>
      <w:r w:rsidR="00A12469">
        <w:rPr>
          <w:color w:val="000000" w:themeColor="text1"/>
        </w:rPr>
        <w:t xml:space="preserve">try criminal cases at </w:t>
      </w:r>
      <w:r>
        <w:rPr>
          <w:color w:val="000000" w:themeColor="text1"/>
        </w:rPr>
        <w:t>Civic Ce</w:t>
      </w:r>
      <w:r>
        <w:rPr>
          <w:color w:val="000000" w:themeColor="text1"/>
        </w:rPr>
        <w:t>nter.</w:t>
      </w:r>
      <w:r w:rsidR="007B450B">
        <w:rPr>
          <w:color w:val="000000" w:themeColor="text1"/>
        </w:rPr>
        <w:t xml:space="preserve"> (</w:t>
      </w:r>
      <w:r w:rsidR="000F23AB">
        <w:rPr>
          <w:i/>
          <w:iCs/>
          <w:color w:val="000000" w:themeColor="text1"/>
        </w:rPr>
        <w:t xml:space="preserve">Estrada, supra, </w:t>
      </w:r>
      <w:r w:rsidR="007B450B">
        <w:rPr>
          <w:color w:val="000000" w:themeColor="text1"/>
        </w:rPr>
        <w:t>88</w:t>
      </w:r>
      <w:r w:rsidR="00AB5400">
        <w:rPr>
          <w:color w:val="000000" w:themeColor="text1"/>
        </w:rPr>
        <w:t> </w:t>
      </w:r>
      <w:r w:rsidR="007B450B">
        <w:rPr>
          <w:color w:val="000000" w:themeColor="text1"/>
        </w:rPr>
        <w:t>Cal.App.5th</w:t>
      </w:r>
      <w:r w:rsidR="008625D6">
        <w:rPr>
          <w:color w:val="000000" w:themeColor="text1"/>
        </w:rPr>
        <w:t xml:space="preserve"> at p.</w:t>
      </w:r>
      <w:r w:rsidR="00AB5400">
        <w:rPr>
          <w:color w:val="000000" w:themeColor="text1"/>
        </w:rPr>
        <w:t> </w:t>
      </w:r>
      <w:r w:rsidR="001B4E55">
        <w:rPr>
          <w:color w:val="000000" w:themeColor="text1"/>
        </w:rPr>
        <w:t>1115</w:t>
      </w:r>
      <w:r w:rsidR="008625D6">
        <w:rPr>
          <w:color w:val="000000" w:themeColor="text1"/>
        </w:rPr>
        <w:t>.)</w:t>
      </w:r>
      <w:r w:rsidR="000439AE">
        <w:rPr>
          <w:color w:val="000000" w:themeColor="text1"/>
        </w:rPr>
        <w:t xml:space="preserve"> </w:t>
      </w:r>
      <w:r w:rsidR="001B4E55">
        <w:rPr>
          <w:color w:val="000000" w:themeColor="text1"/>
        </w:rPr>
        <w:t xml:space="preserve">Rather, </w:t>
      </w:r>
      <w:r w:rsidR="006026CF">
        <w:rPr>
          <w:color w:val="000000" w:themeColor="text1"/>
        </w:rPr>
        <w:t xml:space="preserve">they blamed </w:t>
      </w:r>
      <w:r w:rsidR="00B55693">
        <w:rPr>
          <w:color w:val="000000" w:themeColor="text1"/>
        </w:rPr>
        <w:t>judicial vacations and a “remarkably inefficient</w:t>
      </w:r>
      <w:r w:rsidR="00BF7809">
        <w:rPr>
          <w:color w:val="000000" w:themeColor="text1"/>
        </w:rPr>
        <w:t xml:space="preserve"> trial assignment system.”</w:t>
      </w:r>
      <w:r w:rsidR="000439AE">
        <w:rPr>
          <w:color w:val="000000" w:themeColor="text1"/>
        </w:rPr>
        <w:t xml:space="preserve"> (</w:t>
      </w:r>
      <w:r w:rsidR="000439AE" w:rsidRPr="00D523AC">
        <w:rPr>
          <w:i/>
          <w:iCs/>
          <w:color w:val="000000" w:themeColor="text1"/>
        </w:rPr>
        <w:t>Id</w:t>
      </w:r>
      <w:r w:rsidR="000439AE">
        <w:rPr>
          <w:color w:val="000000" w:themeColor="text1"/>
        </w:rPr>
        <w:t xml:space="preserve">. at </w:t>
      </w:r>
      <w:r w:rsidR="003E6AB2">
        <w:rPr>
          <w:color w:val="000000" w:themeColor="text1"/>
        </w:rPr>
        <w:t>p. </w:t>
      </w:r>
      <w:r w:rsidR="000439AE">
        <w:rPr>
          <w:color w:val="000000" w:themeColor="text1"/>
        </w:rPr>
        <w:t>1112.)</w:t>
      </w:r>
    </w:p>
  </w:footnote>
  <w:footnote w:id="24">
    <w:p w14:paraId="68A5CE95" w14:textId="157C40EE" w:rsidR="0000612C" w:rsidRPr="00F634D1" w:rsidRDefault="003D06AD" w:rsidP="00417C6C">
      <w:pPr>
        <w:pStyle w:val="FootnoteText"/>
        <w:spacing w:after="120"/>
        <w:rPr>
          <w:rFonts w:cs="Times New Roman"/>
        </w:rPr>
      </w:pPr>
      <w:r>
        <w:tab/>
      </w:r>
      <w:r>
        <w:rPr>
          <w:rStyle w:val="FootnoteReference"/>
        </w:rPr>
        <w:footnoteRef/>
      </w:r>
      <w:r>
        <w:t xml:space="preserve"> In </w:t>
      </w:r>
      <w:r w:rsidRPr="797FBB80">
        <w:rPr>
          <w:rFonts w:cs="Times New Roman"/>
          <w:i/>
          <w:iCs/>
        </w:rPr>
        <w:t>People v. Brown</w:t>
      </w:r>
      <w:r w:rsidRPr="797FBB80">
        <w:rPr>
          <w:rFonts w:cs="Times New Roman"/>
        </w:rPr>
        <w:t xml:space="preserve"> (2023) 14</w:t>
      </w:r>
      <w:r w:rsidR="00C260DA">
        <w:rPr>
          <w:rFonts w:cs="Times New Roman"/>
        </w:rPr>
        <w:t> </w:t>
      </w:r>
      <w:r w:rsidRPr="797FBB80">
        <w:rPr>
          <w:rFonts w:cs="Times New Roman"/>
        </w:rPr>
        <w:t xml:space="preserve">Cal.5th 530, </w:t>
      </w:r>
      <w:r>
        <w:rPr>
          <w:rFonts w:cs="Times New Roman"/>
        </w:rPr>
        <w:t xml:space="preserve">the Supreme Court analyzed </w:t>
      </w:r>
      <w:r>
        <w:rPr>
          <w:rFonts w:cs="Times New Roman"/>
        </w:rPr>
        <w:t>subdivision</w:t>
      </w:r>
      <w:r w:rsidR="00C260DA">
        <w:rPr>
          <w:rFonts w:cs="Times New Roman"/>
        </w:rPr>
        <w:t> </w:t>
      </w:r>
      <w:r>
        <w:rPr>
          <w:rFonts w:cs="Times New Roman"/>
        </w:rPr>
        <w:t>(e) of section</w:t>
      </w:r>
      <w:r w:rsidR="00C260DA">
        <w:rPr>
          <w:rFonts w:cs="Times New Roman"/>
        </w:rPr>
        <w:t> </w:t>
      </w:r>
      <w:r>
        <w:rPr>
          <w:rFonts w:cs="Times New Roman"/>
        </w:rPr>
        <w:t>1050, one of the provisions governing requests for continuances in specific cases (§ 1050, subds.</w:t>
      </w:r>
      <w:r w:rsidR="00C260DA">
        <w:rPr>
          <w:rFonts w:cs="Times New Roman"/>
        </w:rPr>
        <w:t> </w:t>
      </w:r>
      <w:r>
        <w:rPr>
          <w:rFonts w:cs="Times New Roman"/>
        </w:rPr>
        <w:t>(b)–(</w:t>
      </w:r>
      <w:proofErr w:type="spellStart"/>
      <w:r>
        <w:rPr>
          <w:rFonts w:cs="Times New Roman"/>
        </w:rPr>
        <w:t>i</w:t>
      </w:r>
      <w:proofErr w:type="spellEnd"/>
      <w:r>
        <w:rPr>
          <w:rFonts w:cs="Times New Roman"/>
        </w:rPr>
        <w:t>)), which states that “[c]</w:t>
      </w:r>
      <w:proofErr w:type="spellStart"/>
      <w:r w:rsidRPr="003506FE">
        <w:rPr>
          <w:rFonts w:cs="Times New Roman"/>
        </w:rPr>
        <w:t>ontinuances</w:t>
      </w:r>
      <w:proofErr w:type="spellEnd"/>
      <w:r w:rsidRPr="003506FE">
        <w:rPr>
          <w:rFonts w:cs="Times New Roman"/>
        </w:rPr>
        <w:t xml:space="preserve"> shall be granted only upon a showing of good cause</w:t>
      </w:r>
      <w:r>
        <w:rPr>
          <w:rFonts w:cs="Times New Roman"/>
        </w:rPr>
        <w:t>.” The question was whether</w:t>
      </w:r>
      <w:r w:rsidR="00E113F6">
        <w:rPr>
          <w:rFonts w:cs="Times New Roman"/>
        </w:rPr>
        <w:t>, when</w:t>
      </w:r>
      <w:r>
        <w:rPr>
          <w:rFonts w:cs="Times New Roman"/>
        </w:rPr>
        <w:t xml:space="preserve"> “go</w:t>
      </w:r>
      <w:r>
        <w:rPr>
          <w:rFonts w:cs="Times New Roman"/>
        </w:rPr>
        <w:t>od cause”</w:t>
      </w:r>
      <w:r w:rsidR="00E113F6">
        <w:rPr>
          <w:rFonts w:cs="Times New Roman"/>
        </w:rPr>
        <w:t xml:space="preserve"> for a continuance is not shown, the court must deny</w:t>
      </w:r>
      <w:r>
        <w:rPr>
          <w:rFonts w:cs="Times New Roman"/>
        </w:rPr>
        <w:t xml:space="preserve"> a continuance </w:t>
      </w:r>
      <w:r w:rsidR="00E113F6">
        <w:rPr>
          <w:rFonts w:cs="Times New Roman"/>
        </w:rPr>
        <w:t xml:space="preserve">even when that </w:t>
      </w:r>
      <w:r>
        <w:rPr>
          <w:rFonts w:cs="Times New Roman"/>
        </w:rPr>
        <w:t>will foreseeably result in dismissal of the action. (14</w:t>
      </w:r>
      <w:r w:rsidR="00C260DA">
        <w:rPr>
          <w:rFonts w:cs="Times New Roman"/>
        </w:rPr>
        <w:t> </w:t>
      </w:r>
      <w:r>
        <w:rPr>
          <w:rFonts w:cs="Times New Roman"/>
        </w:rPr>
        <w:t>Cal.5th</w:t>
      </w:r>
      <w:r>
        <w:rPr>
          <w:rFonts w:cs="Times New Roman"/>
          <w:i/>
          <w:iCs/>
        </w:rPr>
        <w:t xml:space="preserve"> </w:t>
      </w:r>
      <w:r>
        <w:rPr>
          <w:rFonts w:cs="Times New Roman"/>
        </w:rPr>
        <w:t>at pp.</w:t>
      </w:r>
      <w:r w:rsidR="00C260DA">
        <w:rPr>
          <w:rFonts w:cs="Times New Roman"/>
        </w:rPr>
        <w:t> </w:t>
      </w:r>
      <w:r>
        <w:rPr>
          <w:rFonts w:cs="Times New Roman"/>
        </w:rPr>
        <w:t xml:space="preserve">533–534, 537.) Consistent with </w:t>
      </w:r>
      <w:r w:rsidRPr="00537537">
        <w:rPr>
          <w:rFonts w:cs="Times New Roman"/>
          <w:i/>
        </w:rPr>
        <w:t>Engram</w:t>
      </w:r>
      <w:r>
        <w:rPr>
          <w:rFonts w:cs="Times New Roman"/>
        </w:rPr>
        <w:t>, the court cited subdivision</w:t>
      </w:r>
      <w:r w:rsidR="007E3054">
        <w:rPr>
          <w:rFonts w:cs="Times New Roman"/>
        </w:rPr>
        <w:t> </w:t>
      </w:r>
      <w:r>
        <w:rPr>
          <w:rFonts w:cs="Times New Roman"/>
        </w:rPr>
        <w:t>(</w:t>
      </w:r>
      <w:r>
        <w:rPr>
          <w:rFonts w:cs="Times New Roman"/>
          <w:i/>
          <w:iCs/>
        </w:rPr>
        <w:t>l</w:t>
      </w:r>
      <w:r>
        <w:rPr>
          <w:rFonts w:cs="Times New Roman"/>
        </w:rPr>
        <w:t xml:space="preserve">), describing </w:t>
      </w:r>
      <w:r>
        <w:rPr>
          <w:rFonts w:cs="Times New Roman"/>
        </w:rPr>
        <w:t>section</w:t>
      </w:r>
      <w:r w:rsidR="00C260DA">
        <w:rPr>
          <w:rFonts w:cs="Times New Roman"/>
        </w:rPr>
        <w:t> </w:t>
      </w:r>
      <w:r>
        <w:rPr>
          <w:rFonts w:cs="Times New Roman"/>
        </w:rPr>
        <w:t>1050 as “directory,” and reasoned that subdivision</w:t>
      </w:r>
      <w:r w:rsidR="007E3054">
        <w:rPr>
          <w:rFonts w:cs="Times New Roman"/>
        </w:rPr>
        <w:t> </w:t>
      </w:r>
      <w:r>
        <w:rPr>
          <w:rFonts w:cs="Times New Roman"/>
        </w:rPr>
        <w:t xml:space="preserve">(e) does not </w:t>
      </w:r>
      <w:r w:rsidRPr="00EF606D">
        <w:rPr>
          <w:rFonts w:cs="Times New Roman"/>
        </w:rPr>
        <w:t>require</w:t>
      </w:r>
      <w:r>
        <w:rPr>
          <w:rFonts w:cs="Times New Roman"/>
        </w:rPr>
        <w:t xml:space="preserve"> </w:t>
      </w:r>
      <w:r w:rsidR="00EF606D">
        <w:rPr>
          <w:rFonts w:cs="Times New Roman"/>
        </w:rPr>
        <w:t>denial</w:t>
      </w:r>
      <w:r w:rsidR="00B37D08">
        <w:rPr>
          <w:rFonts w:cs="Times New Roman"/>
        </w:rPr>
        <w:t xml:space="preserve"> where it</w:t>
      </w:r>
      <w:r>
        <w:rPr>
          <w:rFonts w:cs="Times New Roman"/>
        </w:rPr>
        <w:t xml:space="preserve"> would result in dismissal, since subdivision</w:t>
      </w:r>
      <w:r w:rsidR="007E3054">
        <w:rPr>
          <w:rFonts w:cs="Times New Roman"/>
        </w:rPr>
        <w:t> </w:t>
      </w:r>
      <w:r>
        <w:rPr>
          <w:rFonts w:cs="Times New Roman"/>
        </w:rPr>
        <w:t>(</w:t>
      </w:r>
      <w:r w:rsidRPr="009E0CCF">
        <w:rPr>
          <w:rFonts w:cs="Times New Roman"/>
          <w:i/>
          <w:iCs/>
        </w:rPr>
        <w:t>l</w:t>
      </w:r>
      <w:r>
        <w:rPr>
          <w:rFonts w:cs="Times New Roman"/>
        </w:rPr>
        <w:t>) specifies that section</w:t>
      </w:r>
      <w:r w:rsidR="00DC37C8">
        <w:rPr>
          <w:rFonts w:cs="Times New Roman"/>
        </w:rPr>
        <w:t> </w:t>
      </w:r>
      <w:r>
        <w:rPr>
          <w:rFonts w:cs="Times New Roman"/>
        </w:rPr>
        <w:t xml:space="preserve">1050 does not mandate </w:t>
      </w:r>
      <w:r w:rsidRPr="00D01382">
        <w:rPr>
          <w:rFonts w:cs="Times New Roman"/>
        </w:rPr>
        <w:t>dismissal</w:t>
      </w:r>
      <w:r>
        <w:rPr>
          <w:rFonts w:cs="Times New Roman"/>
        </w:rPr>
        <w:t xml:space="preserve"> as a remedy for a violation. (</w:t>
      </w:r>
      <w:r>
        <w:rPr>
          <w:rFonts w:cs="Times New Roman"/>
          <w:i/>
          <w:iCs/>
        </w:rPr>
        <w:t>Id.</w:t>
      </w:r>
      <w:r>
        <w:rPr>
          <w:rFonts w:cs="Times New Roman"/>
        </w:rPr>
        <w:t xml:space="preserve"> at p. 538.) The court </w:t>
      </w:r>
      <w:r>
        <w:rPr>
          <w:rFonts w:cs="Times New Roman"/>
        </w:rPr>
        <w:t xml:space="preserve">quoted with approval the passage in </w:t>
      </w:r>
      <w:r>
        <w:rPr>
          <w:rFonts w:cs="Times New Roman"/>
          <w:i/>
          <w:iCs/>
        </w:rPr>
        <w:t xml:space="preserve">Engram </w:t>
      </w:r>
      <w:r>
        <w:rPr>
          <w:rFonts w:cs="Times New Roman"/>
        </w:rPr>
        <w:t>distinguishing the two senses of the term “directory” (</w:t>
      </w:r>
      <w:r>
        <w:rPr>
          <w:rFonts w:cs="Times New Roman"/>
          <w:i/>
          <w:iCs/>
        </w:rPr>
        <w:t>ibid.</w:t>
      </w:r>
      <w:r>
        <w:rPr>
          <w:rFonts w:cs="Times New Roman"/>
        </w:rPr>
        <w:t>, fn.</w:t>
      </w:r>
      <w:r w:rsidR="00DC37C8">
        <w:rPr>
          <w:rFonts w:cs="Times New Roman"/>
        </w:rPr>
        <w:t> </w:t>
      </w:r>
      <w:r>
        <w:rPr>
          <w:rFonts w:cs="Times New Roman"/>
        </w:rPr>
        <w:t xml:space="preserve">3, quoting </w:t>
      </w:r>
      <w:r>
        <w:rPr>
          <w:rFonts w:cs="Times New Roman"/>
          <w:i/>
          <w:iCs/>
        </w:rPr>
        <w:t>Engram</w:t>
      </w:r>
      <w:r>
        <w:rPr>
          <w:rFonts w:cs="Times New Roman"/>
        </w:rPr>
        <w:t xml:space="preserve">, </w:t>
      </w:r>
      <w:r>
        <w:rPr>
          <w:rFonts w:cs="Times New Roman"/>
          <w:i/>
          <w:iCs/>
        </w:rPr>
        <w:t>supra</w:t>
      </w:r>
      <w:r>
        <w:rPr>
          <w:rFonts w:cs="Times New Roman"/>
        </w:rPr>
        <w:t>, 50</w:t>
      </w:r>
      <w:r w:rsidR="00DC37C8">
        <w:rPr>
          <w:rFonts w:cs="Times New Roman"/>
        </w:rPr>
        <w:t> </w:t>
      </w:r>
      <w:r>
        <w:rPr>
          <w:rFonts w:cs="Times New Roman"/>
        </w:rPr>
        <w:t>Cal.4th at p. 1148, fn.</w:t>
      </w:r>
      <w:r w:rsidR="00DC37C8">
        <w:rPr>
          <w:rFonts w:cs="Times New Roman"/>
        </w:rPr>
        <w:t> </w:t>
      </w:r>
      <w:r>
        <w:rPr>
          <w:rFonts w:cs="Times New Roman"/>
        </w:rPr>
        <w:t xml:space="preserve">7), and did not call into question </w:t>
      </w:r>
      <w:r>
        <w:rPr>
          <w:rFonts w:cs="Times New Roman"/>
          <w:i/>
          <w:iCs/>
        </w:rPr>
        <w:t>Engram</w:t>
      </w:r>
      <w:r>
        <w:rPr>
          <w:rFonts w:cs="Times New Roman"/>
        </w:rPr>
        <w:t>’s</w:t>
      </w:r>
      <w:r>
        <w:rPr>
          <w:rFonts w:cs="Times New Roman"/>
          <w:i/>
          <w:iCs/>
        </w:rPr>
        <w:t xml:space="preserve"> </w:t>
      </w:r>
      <w:r>
        <w:rPr>
          <w:rFonts w:cs="Times New Roman"/>
        </w:rPr>
        <w:t>holding that the duty set forth in subdivision</w:t>
      </w:r>
      <w:r w:rsidR="00DC37C8">
        <w:rPr>
          <w:rFonts w:cs="Times New Roman"/>
        </w:rPr>
        <w:t> </w:t>
      </w:r>
      <w:r>
        <w:rPr>
          <w:rFonts w:cs="Times New Roman"/>
        </w:rPr>
        <w:t>(a)</w:t>
      </w:r>
      <w:r>
        <w:rPr>
          <w:rFonts w:cs="Times New Roman"/>
        </w:rPr>
        <w:t xml:space="preserve"> to give criminal cases calendar priority over civil cases “t</w:t>
      </w:r>
      <w:r w:rsidRPr="00E34078">
        <w:rPr>
          <w:rFonts w:cs="Times New Roman"/>
        </w:rPr>
        <w:t xml:space="preserve">o the greatest degree that is consistent with the ends of justice” is mandatory in the sense of compulsory, and directory in the sense that section 1050 does not mandate dismissal as a </w:t>
      </w:r>
      <w:r>
        <w:rPr>
          <w:rFonts w:cs="Times New Roman"/>
        </w:rPr>
        <w:t>remedy</w:t>
      </w:r>
      <w:r w:rsidRPr="00E34078">
        <w:rPr>
          <w:rFonts w:cs="Times New Roman"/>
        </w:rPr>
        <w:t xml:space="preserve"> for</w:t>
      </w:r>
      <w:r w:rsidRPr="00E34078">
        <w:rPr>
          <w:rFonts w:cs="Times New Roman"/>
        </w:rPr>
        <w:t xml:space="preserve"> a violation.</w:t>
      </w:r>
      <w:r>
        <w:rPr>
          <w:rFonts w:cs="Times New Roman"/>
        </w:rPr>
        <w:t xml:space="preserve"> (</w:t>
      </w:r>
      <w:r>
        <w:rPr>
          <w:rFonts w:cs="Times New Roman"/>
          <w:i/>
          <w:iCs/>
        </w:rPr>
        <w:t>Engram</w:t>
      </w:r>
      <w:r>
        <w:rPr>
          <w:rFonts w:cs="Times New Roman"/>
        </w:rPr>
        <w:t xml:space="preserve">, at p. 1151.) </w:t>
      </w:r>
    </w:p>
  </w:footnote>
  <w:footnote w:id="25">
    <w:p w14:paraId="02ED5735" w14:textId="1A575D17" w:rsidR="0080647E" w:rsidRPr="00C91D6D" w:rsidRDefault="003D06AD" w:rsidP="001068F9">
      <w:pPr>
        <w:pStyle w:val="FootnoteText"/>
        <w:spacing w:after="120"/>
      </w:pPr>
      <w:r>
        <w:tab/>
      </w:r>
      <w:r w:rsidRPr="4B0E998B">
        <w:rPr>
          <w:rStyle w:val="FootnoteReference"/>
        </w:rPr>
        <w:footnoteRef/>
      </w:r>
      <w:r w:rsidR="797FBB80">
        <w:t xml:space="preserve"> </w:t>
      </w:r>
      <w:r w:rsidR="00FF33CB">
        <w:t>N</w:t>
      </w:r>
      <w:r w:rsidR="797FBB80" w:rsidRPr="797FBB80">
        <w:t xml:space="preserve">one of </w:t>
      </w:r>
      <w:r w:rsidR="00FF0544">
        <w:t>defendants’</w:t>
      </w:r>
      <w:r w:rsidR="797FBB80" w:rsidRPr="797FBB80">
        <w:t xml:space="preserve"> precedents extend </w:t>
      </w:r>
      <w:r w:rsidR="00EC6650">
        <w:t>the</w:t>
      </w:r>
      <w:r w:rsidR="797FBB80" w:rsidRPr="797FBB80">
        <w:t xml:space="preserve"> </w:t>
      </w:r>
      <w:r w:rsidR="797FBB80" w:rsidRPr="797FBB80">
        <w:rPr>
          <w:i/>
          <w:iCs/>
        </w:rPr>
        <w:t>Sundance</w:t>
      </w:r>
      <w:r w:rsidR="797FBB80" w:rsidRPr="797FBB80">
        <w:t xml:space="preserve"> </w:t>
      </w:r>
      <w:r w:rsidR="00EC6650">
        <w:t>rule, grounded in</w:t>
      </w:r>
      <w:r w:rsidR="797FBB80" w:rsidRPr="797FBB80">
        <w:t xml:space="preserve"> separation</w:t>
      </w:r>
      <w:r w:rsidR="797FBB80">
        <w:rPr>
          <w:szCs w:val="26"/>
        </w:rPr>
        <w:t xml:space="preserve"> </w:t>
      </w:r>
      <w:r w:rsidR="797FBB80" w:rsidRPr="797FBB80">
        <w:t>of</w:t>
      </w:r>
      <w:r w:rsidR="797FBB80">
        <w:rPr>
          <w:szCs w:val="26"/>
        </w:rPr>
        <w:t xml:space="preserve"> </w:t>
      </w:r>
      <w:r w:rsidR="797FBB80" w:rsidRPr="797FBB80">
        <w:t>powers</w:t>
      </w:r>
      <w:r w:rsidR="00EC6650">
        <w:t>,</w:t>
      </w:r>
      <w:r w:rsidR="797FBB80" w:rsidRPr="797FBB80">
        <w:t xml:space="preserve"> to a taxpayer action challenging </w:t>
      </w:r>
      <w:r w:rsidR="797FBB80" w:rsidRPr="008E5125">
        <w:rPr>
          <w:i/>
        </w:rPr>
        <w:t>judicial</w:t>
      </w:r>
      <w:r w:rsidR="797FBB80" w:rsidRPr="797FBB80">
        <w:t xml:space="preserve"> acts. </w:t>
      </w:r>
    </w:p>
  </w:footnote>
  <w:footnote w:id="26">
    <w:p w14:paraId="777169DE" w14:textId="7D99267B" w:rsidR="797FBB80" w:rsidRDefault="003D06AD" w:rsidP="00F60E72">
      <w:pPr>
        <w:pStyle w:val="FootnoteText"/>
        <w:spacing w:after="120"/>
        <w:rPr>
          <w:rFonts w:cs="Times New Roman"/>
          <w:color w:val="000000" w:themeColor="text1"/>
        </w:rPr>
      </w:pPr>
      <w:r>
        <w:tab/>
      </w:r>
      <w:r w:rsidRPr="797FBB80">
        <w:rPr>
          <w:rStyle w:val="FootnoteReference"/>
        </w:rPr>
        <w:footnoteRef/>
      </w:r>
      <w:r>
        <w:t xml:space="preserve"> </w:t>
      </w:r>
      <w:r w:rsidRPr="797FBB80">
        <w:rPr>
          <w:rFonts w:cs="Times New Roman"/>
          <w:color w:val="000000" w:themeColor="text1"/>
        </w:rPr>
        <w:t xml:space="preserve">In the other cases defendants cite, courts denied taxpayers </w:t>
      </w:r>
      <w:r w:rsidRPr="797FBB80">
        <w:rPr>
          <w:rFonts w:cs="Times New Roman"/>
          <w:color w:val="000000" w:themeColor="text1"/>
        </w:rPr>
        <w:t>standing to challenge a commission’s exercise of discretion “in deciding whether to report information concerning possible criminal conduct by judges to prosecutors” (</w:t>
      </w:r>
      <w:r w:rsidRPr="797FBB80">
        <w:rPr>
          <w:rFonts w:cs="Times New Roman"/>
          <w:i/>
          <w:iCs/>
          <w:color w:val="000000" w:themeColor="text1"/>
        </w:rPr>
        <w:t>Chodosh</w:t>
      </w:r>
      <w:r w:rsidRPr="797FBB80">
        <w:rPr>
          <w:rFonts w:cs="Times New Roman"/>
          <w:color w:val="000000" w:themeColor="text1"/>
        </w:rPr>
        <w:t xml:space="preserve">, </w:t>
      </w:r>
      <w:r w:rsidRPr="797FBB80">
        <w:rPr>
          <w:rFonts w:cs="Times New Roman"/>
          <w:i/>
          <w:iCs/>
          <w:color w:val="000000" w:themeColor="text1"/>
        </w:rPr>
        <w:t>supra</w:t>
      </w:r>
      <w:r w:rsidRPr="797FBB80">
        <w:rPr>
          <w:rFonts w:cs="Times New Roman"/>
          <w:color w:val="000000" w:themeColor="text1"/>
        </w:rPr>
        <w:t xml:space="preserve">, </w:t>
      </w:r>
      <w:r w:rsidR="00614002" w:rsidRPr="4B0E998B">
        <w:rPr>
          <w:rFonts w:eastAsia="Times New Roman" w:cs="Times New Roman"/>
          <w:color w:val="000000"/>
        </w:rPr>
        <w:t xml:space="preserve">81 Cal.App.5th </w:t>
      </w:r>
      <w:r w:rsidRPr="797FBB80">
        <w:rPr>
          <w:rFonts w:cs="Times New Roman"/>
          <w:color w:val="000000" w:themeColor="text1"/>
        </w:rPr>
        <w:t>at p. 268) and an arts commissioner’s exercise of “discret</w:t>
      </w:r>
      <w:r w:rsidRPr="797FBB80">
        <w:rPr>
          <w:rFonts w:cs="Times New Roman"/>
          <w:color w:val="000000" w:themeColor="text1"/>
        </w:rPr>
        <w:t>ion to remove works of art [from city land] that did not fit the Commission’s vision” (</w:t>
      </w:r>
      <w:r w:rsidRPr="797FBB80">
        <w:rPr>
          <w:rFonts w:cs="Times New Roman"/>
          <w:i/>
          <w:iCs/>
          <w:color w:val="000000" w:themeColor="text1"/>
        </w:rPr>
        <w:t>Schmid, supra</w:t>
      </w:r>
      <w:r w:rsidRPr="797FBB80">
        <w:rPr>
          <w:rFonts w:cs="Times New Roman"/>
          <w:color w:val="000000" w:themeColor="text1"/>
        </w:rPr>
        <w:t xml:space="preserve">, </w:t>
      </w:r>
      <w:r w:rsidR="00D37648" w:rsidRPr="00423A54">
        <w:rPr>
          <w:rFonts w:eastAsia="Times New Roman" w:cs="Times New Roman"/>
          <w:color w:val="000000"/>
        </w:rPr>
        <w:t>60</w:t>
      </w:r>
      <w:r w:rsidR="00D37648" w:rsidRPr="00877AAD">
        <w:rPr>
          <w:rFonts w:eastAsia="Times New Roman" w:cs="Times New Roman"/>
          <w:color w:val="000000"/>
        </w:rPr>
        <w:t> </w:t>
      </w:r>
      <w:r w:rsidR="00D37648" w:rsidRPr="00423A54">
        <w:rPr>
          <w:rFonts w:eastAsia="Times New Roman" w:cs="Times New Roman"/>
          <w:color w:val="000000"/>
        </w:rPr>
        <w:t xml:space="preserve">Cal.App.5th </w:t>
      </w:r>
      <w:r w:rsidRPr="797FBB80">
        <w:rPr>
          <w:rFonts w:cs="Times New Roman"/>
          <w:color w:val="000000" w:themeColor="text1"/>
        </w:rPr>
        <w:t xml:space="preserve">at p. 496). In those cases, too, the official </w:t>
      </w:r>
      <w:r w:rsidR="00324D5E">
        <w:rPr>
          <w:rFonts w:cs="Times New Roman"/>
          <w:color w:val="000000" w:themeColor="text1"/>
        </w:rPr>
        <w:t>enjoyed</w:t>
      </w:r>
      <w:r w:rsidR="00324D5E" w:rsidRPr="797FBB80">
        <w:rPr>
          <w:rFonts w:cs="Times New Roman"/>
          <w:color w:val="000000" w:themeColor="text1"/>
        </w:rPr>
        <w:t xml:space="preserve"> </w:t>
      </w:r>
      <w:r w:rsidRPr="797FBB80">
        <w:rPr>
          <w:rFonts w:cs="Times New Roman"/>
          <w:color w:val="000000" w:themeColor="text1"/>
        </w:rPr>
        <w:t xml:space="preserve">discretion to choose, on policy grounds, </w:t>
      </w:r>
      <w:proofErr w:type="gramStart"/>
      <w:r w:rsidRPr="797FBB80">
        <w:rPr>
          <w:rFonts w:cs="Times New Roman"/>
          <w:color w:val="000000" w:themeColor="text1"/>
        </w:rPr>
        <w:t>whether or not</w:t>
      </w:r>
      <w:proofErr w:type="gramEnd"/>
      <w:r w:rsidRPr="797FBB80">
        <w:rPr>
          <w:rFonts w:cs="Times New Roman"/>
          <w:color w:val="000000" w:themeColor="text1"/>
        </w:rPr>
        <w:t xml:space="preserve"> to perform the act</w:t>
      </w:r>
      <w:r w:rsidR="00324D5E">
        <w:rPr>
          <w:rFonts w:cs="Times New Roman"/>
          <w:color w:val="000000" w:themeColor="text1"/>
        </w:rPr>
        <w:t xml:space="preserve"> at issue</w:t>
      </w:r>
      <w:r w:rsidRPr="797FBB80">
        <w:rPr>
          <w:rFonts w:cs="Times New Roman"/>
          <w:color w:val="000000" w:themeColor="text1"/>
        </w:rPr>
        <w:t xml:space="preserve">, </w:t>
      </w:r>
      <w:r w:rsidR="00324D5E">
        <w:rPr>
          <w:rFonts w:cs="Times New Roman"/>
          <w:color w:val="000000" w:themeColor="text1"/>
        </w:rPr>
        <w:t xml:space="preserve">and </w:t>
      </w:r>
      <w:r w:rsidR="00324D5E" w:rsidRPr="00375B48">
        <w:rPr>
          <w:rFonts w:cs="Times New Roman"/>
          <w:i/>
          <w:color w:val="000000" w:themeColor="text1"/>
        </w:rPr>
        <w:t>that choice</w:t>
      </w:r>
      <w:r w:rsidR="00324D5E">
        <w:rPr>
          <w:rFonts w:cs="Times New Roman"/>
          <w:color w:val="000000" w:themeColor="text1"/>
        </w:rPr>
        <w:t xml:space="preserve"> </w:t>
      </w:r>
      <w:r w:rsidR="00161A8A">
        <w:rPr>
          <w:rFonts w:cs="Times New Roman"/>
          <w:color w:val="000000" w:themeColor="text1"/>
        </w:rPr>
        <w:t xml:space="preserve">(not the manner in which </w:t>
      </w:r>
      <w:r w:rsidR="006C77E7">
        <w:rPr>
          <w:rFonts w:cs="Times New Roman"/>
          <w:color w:val="000000" w:themeColor="text1"/>
        </w:rPr>
        <w:t>it</w:t>
      </w:r>
      <w:r w:rsidR="00161A8A">
        <w:rPr>
          <w:rFonts w:cs="Times New Roman"/>
          <w:color w:val="000000" w:themeColor="text1"/>
        </w:rPr>
        <w:t xml:space="preserve"> was carried out) </w:t>
      </w:r>
      <w:r w:rsidR="00324D5E">
        <w:rPr>
          <w:rFonts w:cs="Times New Roman"/>
          <w:color w:val="000000" w:themeColor="text1"/>
        </w:rPr>
        <w:t xml:space="preserve">was held </w:t>
      </w:r>
      <w:r w:rsidR="00463046">
        <w:rPr>
          <w:rFonts w:cs="Times New Roman"/>
          <w:color w:val="000000" w:themeColor="text1"/>
        </w:rPr>
        <w:t>immune</w:t>
      </w:r>
      <w:r w:rsidR="00324D5E">
        <w:rPr>
          <w:rFonts w:cs="Times New Roman"/>
          <w:color w:val="000000" w:themeColor="text1"/>
        </w:rPr>
        <w:t xml:space="preserve"> to taxpayer challenge.</w:t>
      </w:r>
    </w:p>
  </w:footnote>
  <w:footnote w:id="27">
    <w:p w14:paraId="54F76774" w14:textId="6B8BC620" w:rsidR="0080647E" w:rsidRDefault="003D06AD" w:rsidP="003B1917">
      <w:pPr>
        <w:pStyle w:val="FootnoteText"/>
        <w:spacing w:after="120"/>
        <w:rPr>
          <w:szCs w:val="26"/>
        </w:rPr>
      </w:pPr>
      <w:r>
        <w:rPr>
          <w:szCs w:val="26"/>
        </w:rPr>
        <w:tab/>
      </w:r>
      <w:r w:rsidRPr="4B0E998B">
        <w:rPr>
          <w:rStyle w:val="FootnoteReference"/>
          <w:szCs w:val="26"/>
        </w:rPr>
        <w:footnoteRef/>
      </w:r>
      <w:r w:rsidRPr="4B0E998B">
        <w:rPr>
          <w:szCs w:val="26"/>
        </w:rPr>
        <w:t xml:space="preserve"> That</w:t>
      </w:r>
      <w:r w:rsidR="008A7896">
        <w:rPr>
          <w:szCs w:val="26"/>
        </w:rPr>
        <w:t xml:space="preserve"> </w:t>
      </w:r>
      <w:r w:rsidR="00F26575">
        <w:rPr>
          <w:szCs w:val="26"/>
        </w:rPr>
        <w:t>exercise of judgment</w:t>
      </w:r>
      <w:r w:rsidR="00C730B2">
        <w:rPr>
          <w:szCs w:val="26"/>
        </w:rPr>
        <w:t xml:space="preserve">, which was recognized in </w:t>
      </w:r>
      <w:r w:rsidR="00C730B2" w:rsidRPr="00E368C9">
        <w:rPr>
          <w:i/>
          <w:szCs w:val="26"/>
        </w:rPr>
        <w:t>Engram</w:t>
      </w:r>
      <w:r w:rsidR="003309FB">
        <w:rPr>
          <w:i/>
          <w:szCs w:val="26"/>
        </w:rPr>
        <w:t>, supra,</w:t>
      </w:r>
      <w:r w:rsidR="003309FB">
        <w:rPr>
          <w:szCs w:val="26"/>
        </w:rPr>
        <w:t xml:space="preserve"> </w:t>
      </w:r>
      <w:r w:rsidR="002E56E9">
        <w:rPr>
          <w:szCs w:val="26"/>
        </w:rPr>
        <w:t>50</w:t>
      </w:r>
      <w:r w:rsidR="00126C49">
        <w:rPr>
          <w:szCs w:val="26"/>
        </w:rPr>
        <w:t> </w:t>
      </w:r>
      <w:r w:rsidR="002E56E9">
        <w:rPr>
          <w:szCs w:val="26"/>
        </w:rPr>
        <w:t>Cal.4th at p</w:t>
      </w:r>
      <w:r w:rsidR="003309FB">
        <w:rPr>
          <w:szCs w:val="26"/>
        </w:rPr>
        <w:t>age</w:t>
      </w:r>
      <w:r w:rsidR="00126C49">
        <w:rPr>
          <w:szCs w:val="26"/>
        </w:rPr>
        <w:t> </w:t>
      </w:r>
      <w:r w:rsidR="002E56E9">
        <w:rPr>
          <w:szCs w:val="26"/>
        </w:rPr>
        <w:t>1146,</w:t>
      </w:r>
      <w:r w:rsidRPr="4B0E998B">
        <w:rPr>
          <w:szCs w:val="26"/>
        </w:rPr>
        <w:t xml:space="preserve"> is why the trial court</w:t>
      </w:r>
      <w:r w:rsidR="008A7896">
        <w:rPr>
          <w:szCs w:val="26"/>
        </w:rPr>
        <w:t>, in this case,</w:t>
      </w:r>
      <w:r w:rsidRPr="4B0E998B">
        <w:rPr>
          <w:szCs w:val="26"/>
        </w:rPr>
        <w:t xml:space="preserve"> relied on </w:t>
      </w:r>
      <w:r w:rsidRPr="4B0E998B">
        <w:rPr>
          <w:i/>
          <w:iCs/>
          <w:szCs w:val="26"/>
        </w:rPr>
        <w:t xml:space="preserve">Engram </w:t>
      </w:r>
      <w:r w:rsidRPr="4B0E998B">
        <w:rPr>
          <w:szCs w:val="26"/>
        </w:rPr>
        <w:t xml:space="preserve">to hold that a trial court’s duty to </w:t>
      </w:r>
      <w:r w:rsidR="001C1644">
        <w:rPr>
          <w:szCs w:val="26"/>
        </w:rPr>
        <w:t>allocate courtrooms</w:t>
      </w:r>
      <w:r w:rsidRPr="4B0E998B">
        <w:rPr>
          <w:rFonts w:cs="Times New Roman"/>
        </w:rPr>
        <w:t xml:space="preserve"> </w:t>
      </w:r>
      <w:r w:rsidR="001C1644">
        <w:rPr>
          <w:rFonts w:cs="Times New Roman"/>
        </w:rPr>
        <w:t>“</w:t>
      </w:r>
      <w:r w:rsidRPr="4B0E998B">
        <w:rPr>
          <w:rFonts w:cs="Times New Roman"/>
          <w:szCs w:val="26"/>
        </w:rPr>
        <w:t xml:space="preserve">is a matter of discretion” that is “anything but </w:t>
      </w:r>
      <w:r w:rsidRPr="4B0E998B">
        <w:rPr>
          <w:rFonts w:cs="Times New Roman"/>
        </w:rPr>
        <w:t>‘</w:t>
      </w:r>
      <w:r w:rsidRPr="4B0E998B">
        <w:rPr>
          <w:rFonts w:cs="Times New Roman"/>
          <w:szCs w:val="26"/>
        </w:rPr>
        <w:t>ministerial</w:t>
      </w:r>
      <w:proofErr w:type="gramStart"/>
      <w:r w:rsidRPr="4B0E998B">
        <w:rPr>
          <w:rFonts w:cs="Times New Roman"/>
        </w:rPr>
        <w:t>’</w:t>
      </w:r>
      <w:r w:rsidR="00DC5A63">
        <w:rPr>
          <w:rFonts w:cs="Times New Roman"/>
        </w:rPr>
        <w:t> </w:t>
      </w:r>
      <w:r w:rsidRPr="4B0E998B">
        <w:rPr>
          <w:rFonts w:cs="Times New Roman"/>
        </w:rPr>
        <w:t>”</w:t>
      </w:r>
      <w:proofErr w:type="gramEnd"/>
      <w:r w:rsidRPr="4B0E998B">
        <w:rPr>
          <w:rFonts w:cs="Times New Roman"/>
        </w:rPr>
        <w:t xml:space="preserve"> </w:t>
      </w:r>
      <w:r w:rsidRPr="4B0E998B">
        <w:rPr>
          <w:szCs w:val="26"/>
        </w:rPr>
        <w:t xml:space="preserve">in the sense </w:t>
      </w:r>
      <w:r w:rsidRPr="00F850D3">
        <w:rPr>
          <w:i/>
          <w:szCs w:val="26"/>
        </w:rPr>
        <w:t>required for mandamus relief</w:t>
      </w:r>
      <w:r w:rsidRPr="4B0E998B">
        <w:rPr>
          <w:szCs w:val="26"/>
        </w:rPr>
        <w:t xml:space="preserve">. </w:t>
      </w:r>
      <w:r w:rsidRPr="4B0E998B">
        <w:rPr>
          <w:color w:val="000000" w:themeColor="text1"/>
          <w:szCs w:val="26"/>
        </w:rPr>
        <w:t>(</w:t>
      </w:r>
      <w:r w:rsidRPr="4B0E998B">
        <w:rPr>
          <w:szCs w:val="26"/>
        </w:rPr>
        <w:t>See</w:t>
      </w:r>
      <w:r w:rsidRPr="4B0E998B">
        <w:rPr>
          <w:color w:val="000000" w:themeColor="text1"/>
          <w:szCs w:val="26"/>
        </w:rPr>
        <w:t xml:space="preserve"> </w:t>
      </w:r>
      <w:r w:rsidRPr="4B0E998B">
        <w:rPr>
          <w:i/>
          <w:iCs/>
          <w:color w:val="000000" w:themeColor="text1"/>
          <w:szCs w:val="26"/>
        </w:rPr>
        <w:t>County of San Diego v. State of California</w:t>
      </w:r>
      <w:r w:rsidRPr="4B0E998B">
        <w:rPr>
          <w:color w:val="000000" w:themeColor="text1"/>
          <w:szCs w:val="26"/>
        </w:rPr>
        <w:t xml:space="preserve"> (2008) 164</w:t>
      </w:r>
      <w:r w:rsidR="00084209">
        <w:rPr>
          <w:color w:val="000000" w:themeColor="text1"/>
          <w:szCs w:val="26"/>
        </w:rPr>
        <w:t> </w:t>
      </w:r>
      <w:r w:rsidRPr="4B0E998B">
        <w:rPr>
          <w:color w:val="000000" w:themeColor="text1"/>
          <w:szCs w:val="26"/>
        </w:rPr>
        <w:t xml:space="preserve">Cal.App.4th 580, 593 </w:t>
      </w:r>
      <w:r w:rsidRPr="4B0E998B">
        <w:rPr>
          <w:color w:val="000000" w:themeColor="text1"/>
          <w:szCs w:val="26"/>
        </w:rPr>
        <w:t>[ministerial duty is one that must be “performed in a prescribed manner under the mandate of legal authority without the exercise of discretion or judgment”].)</w:t>
      </w:r>
      <w:r w:rsidR="002E2088">
        <w:rPr>
          <w:color w:val="000000" w:themeColor="text1"/>
          <w:szCs w:val="26"/>
        </w:rPr>
        <w:t xml:space="preserve"> The fact that the duty is not ministerial, as </w:t>
      </w:r>
      <w:r w:rsidR="00C438BA">
        <w:rPr>
          <w:color w:val="000000" w:themeColor="text1"/>
          <w:szCs w:val="26"/>
        </w:rPr>
        <w:t xml:space="preserve">would </w:t>
      </w:r>
      <w:r w:rsidR="002E2088">
        <w:rPr>
          <w:color w:val="000000" w:themeColor="text1"/>
          <w:szCs w:val="26"/>
        </w:rPr>
        <w:t xml:space="preserve">support a writ of mandate, does not mean it is not mandatory. </w:t>
      </w:r>
    </w:p>
  </w:footnote>
  <w:footnote w:id="28">
    <w:p w14:paraId="0700D256" w14:textId="6BEA254B" w:rsidR="00F55003" w:rsidRDefault="003D06AD" w:rsidP="00E27FA2">
      <w:pPr>
        <w:pStyle w:val="FootnoteText"/>
        <w:spacing w:after="120" w:line="259" w:lineRule="auto"/>
      </w:pPr>
      <w:r>
        <w:tab/>
      </w:r>
      <w:r w:rsidRPr="797FBB80">
        <w:rPr>
          <w:rStyle w:val="FootnoteReference"/>
        </w:rPr>
        <w:footnoteRef/>
      </w:r>
      <w:r>
        <w:t xml:space="preserve"> Defendants also</w:t>
      </w:r>
      <w:r w:rsidR="000930E6">
        <w:t xml:space="preserve"> seem to</w:t>
      </w:r>
      <w:r>
        <w:t xml:space="preserve"> suggest that the mere existence of many cases that have passed their “last date” for trial</w:t>
      </w:r>
      <w:r w:rsidR="00047299">
        <w:t>,</w:t>
      </w:r>
      <w:r>
        <w:t xml:space="preserve"> itself</w:t>
      </w:r>
      <w:r w:rsidR="00047299">
        <w:t>, cannot</w:t>
      </w:r>
      <w:r>
        <w:t xml:space="preserve"> prove </w:t>
      </w:r>
      <w:r w:rsidR="00085980">
        <w:t>that</w:t>
      </w:r>
      <w:r>
        <w:t xml:space="preserve"> defendants shortchanged the criminal caseload in violation of section</w:t>
      </w:r>
      <w:r w:rsidR="00084209">
        <w:t> </w:t>
      </w:r>
      <w:r>
        <w:t>1050(a)</w:t>
      </w:r>
      <w:r w:rsidR="00002BA3">
        <w:t xml:space="preserve"> without</w:t>
      </w:r>
      <w:r>
        <w:t xml:space="preserve"> an inq</w:t>
      </w:r>
      <w:r>
        <w:t>uiry into the individualized</w:t>
      </w:r>
      <w:r w:rsidR="00047299">
        <w:t xml:space="preserve"> </w:t>
      </w:r>
      <w:r>
        <w:t xml:space="preserve">circumstances of every such case, to determine whether there was </w:t>
      </w:r>
      <w:r w:rsidR="009E1F57">
        <w:t xml:space="preserve">no </w:t>
      </w:r>
      <w:r>
        <w:t xml:space="preserve">good cause for delay. </w:t>
      </w:r>
      <w:r w:rsidR="00C84E82">
        <w:t>There is some irony in this argument, given</w:t>
      </w:r>
      <w:r w:rsidR="00FC3A22">
        <w:t xml:space="preserve"> plaintiffs</w:t>
      </w:r>
      <w:r w:rsidR="00A21D3F">
        <w:t>’</w:t>
      </w:r>
      <w:r w:rsidR="00FC3A22">
        <w:t xml:space="preserve"> alleg</w:t>
      </w:r>
      <w:r w:rsidR="00A21D3F">
        <w:t>ation (which we must credit)</w:t>
      </w:r>
      <w:r w:rsidR="00FC3A22">
        <w:t xml:space="preserve"> that defendants</w:t>
      </w:r>
      <w:r w:rsidR="0039191A">
        <w:t xml:space="preserve"> systematic</w:t>
      </w:r>
      <w:r w:rsidR="000222B6">
        <w:t>ally</w:t>
      </w:r>
      <w:r w:rsidR="0039191A">
        <w:t xml:space="preserve"> bypass</w:t>
      </w:r>
      <w:r w:rsidR="000222B6">
        <w:t>ed</w:t>
      </w:r>
      <w:r w:rsidR="0039191A">
        <w:t xml:space="preserve"> this</w:t>
      </w:r>
      <w:r w:rsidR="00C84E82">
        <w:t xml:space="preserve"> very</w:t>
      </w:r>
      <w:r w:rsidR="0039191A">
        <w:t xml:space="preserve"> same inquiry by developing and circulating a “good cause”</w:t>
      </w:r>
      <w:r w:rsidR="00FC3A22">
        <w:t xml:space="preserve"> </w:t>
      </w:r>
      <w:r w:rsidR="0039191A">
        <w:t>script to utilize as the sole basis for numerous continuances</w:t>
      </w:r>
      <w:r w:rsidR="004A4F5B">
        <w:t>. More</w:t>
      </w:r>
      <w:r w:rsidR="009747B2">
        <w:t xml:space="preserve"> importantly</w:t>
      </w:r>
      <w:r w:rsidR="004A4F5B">
        <w:t xml:space="preserve">, </w:t>
      </w:r>
      <w:r w:rsidR="0039191A">
        <w:t>a</w:t>
      </w:r>
      <w:r>
        <w:t xml:space="preserve">s we have noted, </w:t>
      </w:r>
      <w:r w:rsidR="00085980">
        <w:t xml:space="preserve">defendants conflate two </w:t>
      </w:r>
      <w:r w:rsidR="00D62EFC">
        <w:t xml:space="preserve">analyses </w:t>
      </w:r>
      <w:r w:rsidR="00085980">
        <w:t>which are conceptually and legally</w:t>
      </w:r>
      <w:r>
        <w:t xml:space="preserve"> distinct (</w:t>
      </w:r>
      <w:r w:rsidRPr="00B227CE">
        <w:rPr>
          <w:i/>
          <w:iCs/>
        </w:rPr>
        <w:t>Engram</w:t>
      </w:r>
      <w:r>
        <w:t xml:space="preserve">, </w:t>
      </w:r>
      <w:r w:rsidR="009B61A0">
        <w:rPr>
          <w:i/>
          <w:iCs/>
        </w:rPr>
        <w:t xml:space="preserve">supra, </w:t>
      </w:r>
      <w:r>
        <w:rPr>
          <w:color w:val="000000"/>
        </w:rPr>
        <w:t>50 Cal.4th at p. 1160</w:t>
      </w:r>
      <w:r w:rsidR="00B15E15">
        <w:t>)</w:t>
      </w:r>
      <w:r w:rsidR="006D257D">
        <w:t xml:space="preserve"> (see p.</w:t>
      </w:r>
      <w:r w:rsidR="00084209">
        <w:t> </w:t>
      </w:r>
      <w:r w:rsidR="007102AB">
        <w:t xml:space="preserve">21, </w:t>
      </w:r>
      <w:r w:rsidR="007102AB">
        <w:rPr>
          <w:i/>
          <w:iCs/>
        </w:rPr>
        <w:t>ante</w:t>
      </w:r>
      <w:r w:rsidR="007102AB">
        <w:t>)</w:t>
      </w:r>
      <w:r w:rsidR="005947CC">
        <w:t>,</w:t>
      </w:r>
      <w:r w:rsidR="00B15E15">
        <w:t xml:space="preserve"> </w:t>
      </w:r>
      <w:r w:rsidR="00350E1D">
        <w:t>and</w:t>
      </w:r>
      <w:r w:rsidR="006D5C9B">
        <w:t xml:space="preserve"> s</w:t>
      </w:r>
      <w:r w:rsidR="00DC0344">
        <w:t>ection</w:t>
      </w:r>
      <w:r w:rsidR="00084209">
        <w:t> </w:t>
      </w:r>
      <w:r w:rsidR="00DC0344">
        <w:t>1050(a) protect</w:t>
      </w:r>
      <w:r w:rsidR="005947CC">
        <w:t>s</w:t>
      </w:r>
      <w:r w:rsidR="00DC0344">
        <w:t xml:space="preserve"> rights and interests </w:t>
      </w:r>
      <w:r w:rsidR="00D62EFC">
        <w:t>of the public</w:t>
      </w:r>
      <w:r w:rsidR="004F576C">
        <w:t xml:space="preserve">, </w:t>
      </w:r>
      <w:r w:rsidR="000A427C">
        <w:t>in addition to</w:t>
      </w:r>
      <w:r w:rsidR="00DC0344">
        <w:t xml:space="preserve"> those of</w:t>
      </w:r>
      <w:r w:rsidR="00B15E15">
        <w:t xml:space="preserve"> </w:t>
      </w:r>
      <w:r w:rsidR="00DC0344">
        <w:t>individual criminal defendants (</w:t>
      </w:r>
      <w:r w:rsidR="004B474D">
        <w:t>s</w:t>
      </w:r>
      <w:r w:rsidR="00DC0344">
        <w:t>ee p</w:t>
      </w:r>
      <w:r w:rsidR="00592E1E">
        <w:t>p</w:t>
      </w:r>
      <w:r w:rsidR="00DC0344">
        <w:t>.</w:t>
      </w:r>
      <w:r w:rsidR="00DC56C0">
        <w:t> </w:t>
      </w:r>
      <w:r w:rsidR="000762A1">
        <w:t>1</w:t>
      </w:r>
      <w:r w:rsidR="00592E1E">
        <w:t>5</w:t>
      </w:r>
      <w:r w:rsidR="00592E1E">
        <w:rPr>
          <w:rFonts w:eastAsia="Times New Roman" w:cs="Times New Roman"/>
          <w:color w:val="000000" w:themeColor="text1"/>
        </w:rPr>
        <w:t>–16</w:t>
      </w:r>
      <w:r w:rsidR="000762A1">
        <w:t>,</w:t>
      </w:r>
      <w:r w:rsidR="00DC0344">
        <w:t xml:space="preserve"> </w:t>
      </w:r>
      <w:r w:rsidR="00DC0344" w:rsidRPr="009B61A0">
        <w:rPr>
          <w:i/>
        </w:rPr>
        <w:t>ante</w:t>
      </w:r>
      <w:r w:rsidR="00DC0344">
        <w:t>)</w:t>
      </w:r>
      <w:r w:rsidR="004B474D">
        <w:t>.</w:t>
      </w:r>
      <w:r w:rsidR="001F1F05">
        <w:t xml:space="preserve"> Finally, w</w:t>
      </w:r>
      <w:r w:rsidR="005E5B2D">
        <w:t xml:space="preserve">e also </w:t>
      </w:r>
      <w:r w:rsidR="009817D1">
        <w:t>consider that</w:t>
      </w:r>
      <w:r>
        <w:t xml:space="preserve"> once a case has reached its statutory “last date,” </w:t>
      </w:r>
      <w:r w:rsidR="004B467D">
        <w:t xml:space="preserve">the </w:t>
      </w:r>
      <w:r>
        <w:t xml:space="preserve">time to commence trial can be extended (or a motion to dismiss denied) </w:t>
      </w:r>
      <w:r w:rsidR="00B36CF8">
        <w:t xml:space="preserve">only </w:t>
      </w:r>
      <w:r>
        <w:t>upon an affirmative showing of good cause. (§§</w:t>
      </w:r>
      <w:r w:rsidR="00B36CF8">
        <w:t> </w:t>
      </w:r>
      <w:r>
        <w:t xml:space="preserve">1049.5, 1382.) In other words, </w:t>
      </w:r>
      <w:r w:rsidR="00094C63">
        <w:t>even in an individual case</w:t>
      </w:r>
      <w:r>
        <w:t xml:space="preserve">, </w:t>
      </w:r>
      <w:r w:rsidR="00EB59FB">
        <w:t xml:space="preserve">the </w:t>
      </w:r>
      <w:r w:rsidR="004B467D">
        <w:t xml:space="preserve">court </w:t>
      </w:r>
      <w:r w:rsidRPr="00A34A18">
        <w:t>presume</w:t>
      </w:r>
      <w:r w:rsidR="004B467D" w:rsidRPr="00A34A18">
        <w:t>s</w:t>
      </w:r>
      <w:r>
        <w:t xml:space="preserve"> there is a speedy trial violation unless the People can demonstrate otherwise.</w:t>
      </w:r>
      <w:r w:rsidR="004B467D">
        <w:t xml:space="preserve"> </w:t>
      </w:r>
      <w:r w:rsidR="00DB1317">
        <w:t>(See also Cal. Rules of Court</w:t>
      </w:r>
      <w:r w:rsidR="00B86DB9">
        <w:t>,</w:t>
      </w:r>
      <w:r w:rsidR="00DB1317">
        <w:t xml:space="preserve"> rule</w:t>
      </w:r>
      <w:r w:rsidR="00051588">
        <w:t> </w:t>
      </w:r>
      <w:r w:rsidR="00DB1317">
        <w:t>4.113 [</w:t>
      </w:r>
      <w:r w:rsidR="00AD6669">
        <w:t xml:space="preserve">motion to continue trial of criminal case will be denied unless moving party “presents affirmative proof in open court that the ends of justice require a continuance”].) </w:t>
      </w:r>
      <w:r w:rsidR="00535FD3">
        <w:t>In some instances, then</w:t>
      </w:r>
      <w:r w:rsidR="004B467D">
        <w:t xml:space="preserve">, </w:t>
      </w:r>
      <w:r w:rsidR="0087324E">
        <w:t xml:space="preserve">a speedy trial violation </w:t>
      </w:r>
      <w:r w:rsidR="00535FD3">
        <w:t xml:space="preserve">could </w:t>
      </w:r>
      <w:r w:rsidR="0087324E">
        <w:t xml:space="preserve">be found </w:t>
      </w:r>
      <w:r w:rsidR="0087324E" w:rsidRPr="00BB7AD4">
        <w:t>without</w:t>
      </w:r>
      <w:r w:rsidR="0087324E">
        <w:t xml:space="preserve"> </w:t>
      </w:r>
      <w:r w:rsidR="00F97CD1">
        <w:t xml:space="preserve">any </w:t>
      </w:r>
      <w:r w:rsidR="0087324E">
        <w:t>inquiry into case-specific circumstances.</w:t>
      </w:r>
      <w:r w:rsidR="003365A0">
        <w:t xml:space="preserve"> </w:t>
      </w:r>
    </w:p>
  </w:footnote>
  <w:footnote w:id="29">
    <w:p w14:paraId="6EF137FD" w14:textId="67D847CF" w:rsidR="0080647E" w:rsidRDefault="003D06AD" w:rsidP="205F293E">
      <w:pPr>
        <w:autoSpaceDE w:val="0"/>
        <w:autoSpaceDN w:val="0"/>
        <w:adjustRightInd w:val="0"/>
        <w:spacing w:after="120" w:line="240" w:lineRule="auto"/>
      </w:pPr>
      <w:r>
        <w:tab/>
      </w:r>
      <w:r>
        <w:rPr>
          <w:rStyle w:val="FootnoteReference"/>
        </w:rPr>
        <w:footnoteRef/>
      </w:r>
      <w:r w:rsidR="205F293E">
        <w:t xml:space="preserve"> As they did below, defendants cite </w:t>
      </w:r>
      <w:r w:rsidR="205F293E" w:rsidRPr="205F293E">
        <w:rPr>
          <w:rFonts w:cs="Times New Roman"/>
          <w:i/>
          <w:iCs/>
        </w:rPr>
        <w:t xml:space="preserve">Dix v. Superior Court </w:t>
      </w:r>
      <w:r w:rsidR="205F293E" w:rsidRPr="205F293E">
        <w:rPr>
          <w:rFonts w:cs="Times New Roman"/>
        </w:rPr>
        <w:t>(1991) 53</w:t>
      </w:r>
      <w:r w:rsidR="00A41DB1">
        <w:rPr>
          <w:rFonts w:cs="Times New Roman"/>
        </w:rPr>
        <w:t> </w:t>
      </w:r>
      <w:r w:rsidR="205F293E" w:rsidRPr="205F293E">
        <w:rPr>
          <w:rFonts w:cs="Times New Roman"/>
        </w:rPr>
        <w:t>Cal.3d 442 (</w:t>
      </w:r>
      <w:r w:rsidR="205F293E" w:rsidRPr="205F293E">
        <w:rPr>
          <w:rFonts w:cs="Times New Roman"/>
          <w:i/>
          <w:iCs/>
        </w:rPr>
        <w:t>Dix</w:t>
      </w:r>
      <w:r w:rsidR="205F293E" w:rsidRPr="205F293E">
        <w:rPr>
          <w:rFonts w:cs="Times New Roman"/>
        </w:rPr>
        <w:t>), for the proposition that nonparties lack standing to challenge rulings in individual criminal cases.</w:t>
      </w:r>
      <w:r w:rsidR="205F293E" w:rsidRPr="205F293E">
        <w:rPr>
          <w:rFonts w:cs="Times New Roman"/>
          <w:i/>
          <w:iCs/>
        </w:rPr>
        <w:t xml:space="preserve"> </w:t>
      </w:r>
      <w:r w:rsidR="205F293E" w:rsidRPr="00486018">
        <w:rPr>
          <w:rFonts w:cs="Times New Roman"/>
          <w:i/>
          <w:spacing w:val="-2"/>
        </w:rPr>
        <w:t>Dix</w:t>
      </w:r>
      <w:r w:rsidR="205F293E">
        <w:rPr>
          <w:rFonts w:cs="Times New Roman"/>
          <w:spacing w:val="-2"/>
        </w:rPr>
        <w:t xml:space="preserve"> held that a crime victim</w:t>
      </w:r>
      <w:r w:rsidR="205F293E" w:rsidRPr="009C37EE">
        <w:rPr>
          <w:rFonts w:cs="Times New Roman"/>
          <w:spacing w:val="-2"/>
        </w:rPr>
        <w:t xml:space="preserve"> </w:t>
      </w:r>
      <w:r w:rsidR="205F293E">
        <w:rPr>
          <w:rFonts w:cs="Times New Roman"/>
          <w:spacing w:val="-2"/>
        </w:rPr>
        <w:t>lack</w:t>
      </w:r>
      <w:r w:rsidR="205F293E" w:rsidRPr="009C37EE">
        <w:rPr>
          <w:rFonts w:cs="Times New Roman"/>
          <w:spacing w:val="-2"/>
        </w:rPr>
        <w:t xml:space="preserve">ed </w:t>
      </w:r>
      <w:r w:rsidR="205F293E">
        <w:rPr>
          <w:rFonts w:cs="Times New Roman"/>
        </w:rPr>
        <w:t>standing</w:t>
      </w:r>
      <w:r w:rsidR="205F293E" w:rsidRPr="00C13A02">
        <w:rPr>
          <w:rFonts w:cs="Times New Roman"/>
          <w:spacing w:val="-2"/>
        </w:rPr>
        <w:t xml:space="preserve"> to seek a writ of mandate to </w:t>
      </w:r>
      <w:r w:rsidR="205F293E" w:rsidRPr="205F293E">
        <w:rPr>
          <w:rFonts w:cs="Times New Roman"/>
          <w:spacing w:val="-2"/>
        </w:rPr>
        <w:t>stop a court from resentencing the defendant. (</w:t>
      </w:r>
      <w:r w:rsidR="205F293E" w:rsidRPr="205F293E">
        <w:rPr>
          <w:rFonts w:cs="Times New Roman"/>
          <w:i/>
          <w:iCs/>
          <w:spacing w:val="-2"/>
        </w:rPr>
        <w:t>Id.</w:t>
      </w:r>
      <w:r w:rsidR="205F293E">
        <w:rPr>
          <w:rFonts w:cs="Times New Roman"/>
        </w:rPr>
        <w:t xml:space="preserve"> at pp.</w:t>
      </w:r>
      <w:r w:rsidR="00E32522">
        <w:rPr>
          <w:rFonts w:cs="Times New Roman"/>
        </w:rPr>
        <w:t> </w:t>
      </w:r>
      <w:r w:rsidR="205F293E">
        <w:rPr>
          <w:rFonts w:cs="Times New Roman"/>
        </w:rPr>
        <w:t>447–450.)</w:t>
      </w:r>
      <w:r w:rsidR="205F293E" w:rsidRPr="205F293E">
        <w:rPr>
          <w:rFonts w:cs="Times New Roman"/>
        </w:rPr>
        <w:t xml:space="preserve"> </w:t>
      </w:r>
      <w:r w:rsidR="205F293E" w:rsidRPr="205F293E">
        <w:rPr>
          <w:rFonts w:cs="Times New Roman"/>
          <w:i/>
          <w:iCs/>
        </w:rPr>
        <w:t>Dix i</w:t>
      </w:r>
      <w:r w:rsidR="205F293E">
        <w:rPr>
          <w:rFonts w:cs="Times New Roman"/>
        </w:rPr>
        <w:t xml:space="preserve">s plainly </w:t>
      </w:r>
      <w:r w:rsidR="205F293E" w:rsidRPr="005C50E2">
        <w:rPr>
          <w:rFonts w:cs="Times New Roman"/>
        </w:rPr>
        <w:t>irrelevant, as the trial court explained, “</w:t>
      </w:r>
      <w:r w:rsidR="205F293E" w:rsidRPr="000B172B">
        <w:rPr>
          <w:rFonts w:cs="Times New Roman"/>
          <w:spacing w:val="-2"/>
        </w:rPr>
        <w:t>because it involved an effort . . .</w:t>
      </w:r>
      <w:r w:rsidR="205F293E">
        <w:rPr>
          <w:rFonts w:cs="Times New Roman"/>
          <w:spacing w:val="-2"/>
        </w:rPr>
        <w:t xml:space="preserve"> to compel a particular outcome in a </w:t>
      </w:r>
      <w:r w:rsidR="205F293E" w:rsidRPr="000B172B">
        <w:rPr>
          <w:rFonts w:cs="Times New Roman"/>
          <w:spacing w:val="-2"/>
        </w:rPr>
        <w:t xml:space="preserve">[specific] </w:t>
      </w:r>
      <w:r w:rsidR="205F293E" w:rsidRPr="005C50E2">
        <w:rPr>
          <w:rFonts w:cs="Times New Roman"/>
        </w:rPr>
        <w:t>criminal</w:t>
      </w:r>
      <w:r w:rsidR="205F293E">
        <w:rPr>
          <w:rFonts w:cs="Times New Roman"/>
        </w:rPr>
        <w:t xml:space="preserve"> case, which</w:t>
      </w:r>
      <w:r w:rsidR="205F293E" w:rsidRPr="005C50E2">
        <w:rPr>
          <w:rFonts w:cs="Times New Roman"/>
        </w:rPr>
        <w:t xml:space="preserve"> [plaintiffs] specifically foreswear</w:t>
      </w:r>
      <w:r w:rsidR="205F293E">
        <w:rPr>
          <w:rFonts w:cs="Times New Roman"/>
        </w:rPr>
        <w:t>.”</w:t>
      </w:r>
      <w:r w:rsidR="205F293E" w:rsidRPr="205F293E">
        <w:rPr>
          <w:rFonts w:cs="Times New Roman"/>
        </w:rPr>
        <w:t xml:space="preserve"> (See </w:t>
      </w:r>
      <w:r w:rsidR="00486018">
        <w:rPr>
          <w:rFonts w:cs="Times New Roman"/>
          <w:i/>
          <w:iCs/>
        </w:rPr>
        <w:t xml:space="preserve">id. </w:t>
      </w:r>
      <w:r w:rsidR="205F293E" w:rsidRPr="00BD52F0">
        <w:rPr>
          <w:rFonts w:cs="Times New Roman"/>
        </w:rPr>
        <w:t>at p. 454</w:t>
      </w:r>
      <w:r w:rsidR="00EE4418">
        <w:rPr>
          <w:rFonts w:cs="Times New Roman"/>
        </w:rPr>
        <w:t>, fn.</w:t>
      </w:r>
      <w:r w:rsidR="00A911B3">
        <w:rPr>
          <w:rFonts w:cs="Times New Roman"/>
        </w:rPr>
        <w:t> </w:t>
      </w:r>
      <w:r w:rsidR="00EE4418">
        <w:rPr>
          <w:rFonts w:cs="Times New Roman"/>
        </w:rPr>
        <w:t>7</w:t>
      </w:r>
      <w:r w:rsidR="205F293E" w:rsidRPr="00BD52F0">
        <w:rPr>
          <w:rFonts w:cs="Times New Roman"/>
        </w:rPr>
        <w:t xml:space="preserve"> [“</w:t>
      </w:r>
      <w:r w:rsidR="205F293E">
        <w:rPr>
          <w:rFonts w:cs="Times New Roman"/>
        </w:rPr>
        <w:t>nothing we say here affects</w:t>
      </w:r>
      <w:r w:rsidR="205F293E" w:rsidRPr="205F293E">
        <w:rPr>
          <w:rFonts w:cs="Times New Roman"/>
        </w:rPr>
        <w:t xml:space="preserve"> </w:t>
      </w:r>
      <w:r w:rsidR="205F293E" w:rsidRPr="205F293E">
        <w:rPr>
          <w:rFonts w:cs="Times New Roman"/>
          <w:i/>
          <w:iCs/>
        </w:rPr>
        <w:t>independent</w:t>
      </w:r>
      <w:r w:rsidR="205F293E" w:rsidRPr="00BD52F0">
        <w:rPr>
          <w:rFonts w:cs="Times New Roman"/>
        </w:rPr>
        <w:t xml:space="preserve"> </w:t>
      </w:r>
      <w:r w:rsidR="205F293E">
        <w:rPr>
          <w:rFonts w:cs="Times New Roman"/>
        </w:rPr>
        <w:t>citizen-taxpayer actions raising criminal justice issues</w:t>
      </w:r>
      <w:r w:rsidR="205F293E" w:rsidRPr="205F293E">
        <w:rPr>
          <w:rFonts w:cs="Times New Roman"/>
        </w:rPr>
        <w:t>”].)</w:t>
      </w:r>
    </w:p>
  </w:footnote>
  <w:footnote w:id="30">
    <w:p w14:paraId="1F8AA060" w14:textId="4E16A375" w:rsidR="3DE41553" w:rsidRDefault="003D06AD" w:rsidP="00C163C6">
      <w:pPr>
        <w:pStyle w:val="FootnoteText"/>
        <w:spacing w:after="120"/>
      </w:pPr>
      <w:r>
        <w:tab/>
      </w:r>
      <w:r w:rsidRPr="3DE41553">
        <w:rPr>
          <w:rStyle w:val="FootnoteReference"/>
        </w:rPr>
        <w:footnoteRef/>
      </w:r>
      <w:r w:rsidR="797FBB80">
        <w:t xml:space="preserve"> While injunctive relief features prominently in the complaint and defendants’ responding brief on appeal, </w:t>
      </w:r>
      <w:r w:rsidR="00561886">
        <w:t>at oral argument</w:t>
      </w:r>
      <w:r w:rsidR="797FBB80">
        <w:t xml:space="preserve"> </w:t>
      </w:r>
      <w:r w:rsidR="0052315D">
        <w:t xml:space="preserve">plaintiffs’ counsel explained </w:t>
      </w:r>
      <w:r w:rsidR="797FBB80">
        <w:t xml:space="preserve">that plaintiffs primarily seek </w:t>
      </w:r>
      <w:r w:rsidR="797FBB80" w:rsidRPr="00752F63">
        <w:rPr>
          <w:i/>
        </w:rPr>
        <w:t>declaratory</w:t>
      </w:r>
      <w:r w:rsidR="797FBB80">
        <w:t xml:space="preserve"> relief</w:t>
      </w:r>
      <w:r w:rsidR="00855FF6">
        <w:t xml:space="preserve"> and</w:t>
      </w:r>
      <w:r w:rsidR="797FBB80">
        <w:t xml:space="preserve"> will seek injunctive relief </w:t>
      </w:r>
      <w:r w:rsidR="00B15684">
        <w:t xml:space="preserve">only </w:t>
      </w:r>
      <w:r w:rsidR="797FBB80">
        <w:t>“if necessary” (</w:t>
      </w:r>
      <w:r w:rsidR="004C33E5">
        <w:t>presumably</w:t>
      </w:r>
      <w:r w:rsidR="797FBB80">
        <w:t xml:space="preserve">, if defendants were to fail to comply with any resulting declaratory judgment). Thus, we focus </w:t>
      </w:r>
      <w:r w:rsidR="00154534">
        <w:t xml:space="preserve">primarily </w:t>
      </w:r>
      <w:r w:rsidR="797FBB80">
        <w:t xml:space="preserve">on </w:t>
      </w:r>
      <w:r w:rsidR="00154534">
        <w:t xml:space="preserve">the </w:t>
      </w:r>
      <w:r w:rsidR="797FBB80">
        <w:t>demand for declaratory judgment.</w:t>
      </w:r>
    </w:p>
  </w:footnote>
  <w:footnote w:id="31">
    <w:p w14:paraId="5DA50678" w14:textId="3A70E79B" w:rsidR="3DE41553" w:rsidRDefault="003D06AD" w:rsidP="00C05EEC">
      <w:pPr>
        <w:spacing w:after="120" w:line="240" w:lineRule="auto"/>
        <w:contextualSpacing/>
        <w:rPr>
          <w:rFonts w:eastAsia="Times New Roman" w:cs="Times New Roman"/>
          <w:color w:val="000000" w:themeColor="text1"/>
        </w:rPr>
      </w:pPr>
      <w:r>
        <w:tab/>
      </w:r>
      <w:r w:rsidRPr="3DE41553">
        <w:rPr>
          <w:rStyle w:val="FootnoteReference"/>
        </w:rPr>
        <w:footnoteRef/>
      </w:r>
      <w:r>
        <w:t xml:space="preserve"> The plaintiff in </w:t>
      </w:r>
      <w:proofErr w:type="spellStart"/>
      <w:r w:rsidRPr="3DE41553">
        <w:rPr>
          <w:i/>
          <w:iCs/>
        </w:rPr>
        <w:t>Connerly</w:t>
      </w:r>
      <w:proofErr w:type="spellEnd"/>
      <w:r>
        <w:t xml:space="preserve"> </w:t>
      </w:r>
      <w:r w:rsidRPr="3DE41553">
        <w:rPr>
          <w:rFonts w:eastAsia="Times New Roman" w:cs="Times New Roman"/>
          <w:color w:val="000000" w:themeColor="text1"/>
        </w:rPr>
        <w:t xml:space="preserve">sought a declaration that a statute was unconstitutional and an injunction to bar </w:t>
      </w:r>
      <w:r w:rsidR="00E94B7E">
        <w:rPr>
          <w:rFonts w:eastAsia="Times New Roman" w:cs="Times New Roman"/>
          <w:color w:val="000000" w:themeColor="text1"/>
        </w:rPr>
        <w:t>s</w:t>
      </w:r>
      <w:r w:rsidRPr="3DE41553">
        <w:rPr>
          <w:rFonts w:eastAsia="Times New Roman" w:cs="Times New Roman"/>
          <w:color w:val="000000" w:themeColor="text1"/>
        </w:rPr>
        <w:t>tate officers from enforcing it. (</w:t>
      </w:r>
      <w:proofErr w:type="spellStart"/>
      <w:r>
        <w:rPr>
          <w:rFonts w:eastAsia="Times New Roman" w:cs="Times New Roman"/>
          <w:i/>
          <w:iCs/>
          <w:color w:val="000000" w:themeColor="text1"/>
        </w:rPr>
        <w:t>Connerly</w:t>
      </w:r>
      <w:proofErr w:type="spellEnd"/>
      <w:r>
        <w:rPr>
          <w:rFonts w:eastAsia="Times New Roman" w:cs="Times New Roman"/>
          <w:i/>
          <w:iCs/>
          <w:color w:val="000000" w:themeColor="text1"/>
        </w:rPr>
        <w:t xml:space="preserve">, supra, </w:t>
      </w:r>
      <w:r w:rsidRPr="797FBB80">
        <w:rPr>
          <w:rFonts w:eastAsia="Times New Roman" w:cs="Times New Roman"/>
          <w:color w:val="000000" w:themeColor="text1"/>
        </w:rPr>
        <w:t xml:space="preserve">146 Cal.App.4th </w:t>
      </w:r>
      <w:r w:rsidRPr="3DE41553">
        <w:rPr>
          <w:rFonts w:eastAsia="Times New Roman" w:cs="Times New Roman"/>
          <w:color w:val="000000" w:themeColor="text1"/>
        </w:rPr>
        <w:t xml:space="preserve">at p. 742.) While the case was pending, a </w:t>
      </w:r>
      <w:r w:rsidR="00060560">
        <w:rPr>
          <w:rFonts w:eastAsia="Times New Roman" w:cs="Times New Roman"/>
          <w:color w:val="000000" w:themeColor="text1"/>
        </w:rPr>
        <w:t xml:space="preserve">final decision </w:t>
      </w:r>
      <w:r w:rsidRPr="3DE41553">
        <w:rPr>
          <w:rFonts w:eastAsia="Times New Roman" w:cs="Times New Roman"/>
          <w:color w:val="000000" w:themeColor="text1"/>
        </w:rPr>
        <w:t>in another case h</w:t>
      </w:r>
      <w:r w:rsidRPr="3DE41553">
        <w:rPr>
          <w:rFonts w:eastAsia="Times New Roman" w:cs="Times New Roman"/>
          <w:color w:val="000000" w:themeColor="text1"/>
        </w:rPr>
        <w:t xml:space="preserve">eld the statute unconstitutional, </w:t>
      </w:r>
      <w:r w:rsidR="00060560">
        <w:rPr>
          <w:rFonts w:eastAsia="Times New Roman" w:cs="Times New Roman"/>
          <w:color w:val="000000" w:themeColor="text1"/>
        </w:rPr>
        <w:t>making it</w:t>
      </w:r>
      <w:r w:rsidR="0047731A">
        <w:rPr>
          <w:rFonts w:eastAsia="Times New Roman" w:cs="Times New Roman"/>
          <w:color w:val="000000" w:themeColor="text1"/>
        </w:rPr>
        <w:t xml:space="preserve"> </w:t>
      </w:r>
      <w:r w:rsidR="00602538">
        <w:rPr>
          <w:rFonts w:eastAsia="Times New Roman" w:cs="Times New Roman"/>
          <w:color w:val="000000" w:themeColor="text1"/>
        </w:rPr>
        <w:t>“</w:t>
      </w:r>
      <w:r w:rsidRPr="3DE41553">
        <w:rPr>
          <w:rFonts w:eastAsia="Times New Roman" w:cs="Times New Roman"/>
          <w:color w:val="000000" w:themeColor="text1"/>
        </w:rPr>
        <w:t>for all purposes, invalid and unenforceable.” (</w:t>
      </w:r>
      <w:r w:rsidRPr="3DE41553">
        <w:rPr>
          <w:rFonts w:eastAsia="Times New Roman" w:cs="Times New Roman"/>
          <w:i/>
          <w:iCs/>
          <w:color w:val="000000" w:themeColor="text1"/>
        </w:rPr>
        <w:t>Ibid.</w:t>
      </w:r>
      <w:r w:rsidRPr="3DE41553">
        <w:rPr>
          <w:rFonts w:eastAsia="Times New Roman" w:cs="Times New Roman"/>
          <w:color w:val="000000" w:themeColor="text1"/>
        </w:rPr>
        <w:t xml:space="preserve">) </w:t>
      </w:r>
      <w:proofErr w:type="spellStart"/>
      <w:r w:rsidRPr="3DE41553">
        <w:rPr>
          <w:rFonts w:eastAsia="Times New Roman" w:cs="Times New Roman"/>
          <w:i/>
          <w:iCs/>
          <w:color w:val="000000" w:themeColor="text1"/>
        </w:rPr>
        <w:t>Connerly</w:t>
      </w:r>
      <w:proofErr w:type="spellEnd"/>
      <w:r w:rsidRPr="3DE41553">
        <w:rPr>
          <w:rFonts w:eastAsia="Times New Roman" w:cs="Times New Roman"/>
          <w:i/>
          <w:iCs/>
          <w:color w:val="000000" w:themeColor="text1"/>
        </w:rPr>
        <w:t xml:space="preserve"> </w:t>
      </w:r>
      <w:r w:rsidRPr="3DE41553">
        <w:rPr>
          <w:rFonts w:eastAsia="Times New Roman" w:cs="Times New Roman"/>
          <w:color w:val="000000" w:themeColor="text1"/>
        </w:rPr>
        <w:t>held that</w:t>
      </w:r>
      <w:r w:rsidR="00AC3696">
        <w:rPr>
          <w:rFonts w:eastAsia="Times New Roman" w:cs="Times New Roman"/>
          <w:color w:val="000000" w:themeColor="text1"/>
        </w:rPr>
        <w:t>, at that point, the</w:t>
      </w:r>
      <w:r w:rsidRPr="3DE41553">
        <w:rPr>
          <w:rFonts w:eastAsia="Times New Roman" w:cs="Times New Roman"/>
          <w:color w:val="000000" w:themeColor="text1"/>
        </w:rPr>
        <w:t xml:space="preserve"> plaintiff </w:t>
      </w:r>
      <w:r w:rsidR="00AC3696">
        <w:rPr>
          <w:rFonts w:eastAsia="Times New Roman" w:cs="Times New Roman"/>
          <w:color w:val="000000" w:themeColor="text1"/>
        </w:rPr>
        <w:t xml:space="preserve">ceased to have </w:t>
      </w:r>
      <w:r w:rsidRPr="3DE41553">
        <w:rPr>
          <w:rFonts w:eastAsia="Times New Roman" w:cs="Times New Roman"/>
          <w:color w:val="000000" w:themeColor="text1"/>
        </w:rPr>
        <w:t xml:space="preserve">taxpayer standing and </w:t>
      </w:r>
      <w:r w:rsidR="008445CD">
        <w:rPr>
          <w:rFonts w:eastAsia="Times New Roman" w:cs="Times New Roman"/>
          <w:color w:val="000000" w:themeColor="text1"/>
        </w:rPr>
        <w:t>could no</w:t>
      </w:r>
      <w:r w:rsidR="000B440D">
        <w:rPr>
          <w:rFonts w:eastAsia="Times New Roman" w:cs="Times New Roman"/>
          <w:color w:val="000000" w:themeColor="text1"/>
        </w:rPr>
        <w:t xml:space="preserve"> longer</w:t>
      </w:r>
      <w:r w:rsidR="008445CD">
        <w:rPr>
          <w:rFonts w:eastAsia="Times New Roman" w:cs="Times New Roman"/>
          <w:color w:val="000000" w:themeColor="text1"/>
        </w:rPr>
        <w:t xml:space="preserve"> pursue </w:t>
      </w:r>
      <w:r w:rsidRPr="3DE41553">
        <w:rPr>
          <w:rFonts w:eastAsia="Times New Roman" w:cs="Times New Roman"/>
          <w:color w:val="000000" w:themeColor="text1"/>
        </w:rPr>
        <w:t>an injunction—</w:t>
      </w:r>
      <w:r w:rsidR="008445CD">
        <w:rPr>
          <w:rFonts w:eastAsia="Times New Roman" w:cs="Times New Roman"/>
          <w:color w:val="000000" w:themeColor="text1"/>
        </w:rPr>
        <w:t xml:space="preserve">not </w:t>
      </w:r>
      <w:r w:rsidR="00444953">
        <w:rPr>
          <w:rFonts w:eastAsia="Times New Roman" w:cs="Times New Roman"/>
          <w:color w:val="000000" w:themeColor="text1"/>
        </w:rPr>
        <w:t xml:space="preserve">for lack of </w:t>
      </w:r>
      <w:r w:rsidR="00946970">
        <w:rPr>
          <w:rFonts w:eastAsia="Times New Roman" w:cs="Times New Roman"/>
          <w:color w:val="000000" w:themeColor="text1"/>
        </w:rPr>
        <w:t xml:space="preserve">particularized injury to himself, </w:t>
      </w:r>
      <w:r w:rsidRPr="3DE41553">
        <w:rPr>
          <w:rFonts w:eastAsia="Times New Roman" w:cs="Times New Roman"/>
          <w:color w:val="000000" w:themeColor="text1"/>
        </w:rPr>
        <w:t xml:space="preserve">but because he </w:t>
      </w:r>
      <w:r w:rsidR="00D70525">
        <w:rPr>
          <w:rFonts w:eastAsia="Times New Roman" w:cs="Times New Roman"/>
          <w:color w:val="000000" w:themeColor="text1"/>
        </w:rPr>
        <w:t xml:space="preserve">could not </w:t>
      </w:r>
      <w:r w:rsidRPr="3DE41553">
        <w:rPr>
          <w:rFonts w:eastAsia="Times New Roman" w:cs="Times New Roman"/>
          <w:color w:val="000000" w:themeColor="text1"/>
        </w:rPr>
        <w:t>allege that defendants planned to waste public funds trying to enforce a statute that had already been declared void. (</w:t>
      </w:r>
      <w:r w:rsidRPr="3DE41553">
        <w:rPr>
          <w:rFonts w:eastAsia="Times New Roman" w:cs="Times New Roman"/>
          <w:i/>
          <w:iCs/>
          <w:color w:val="000000" w:themeColor="text1"/>
        </w:rPr>
        <w:t>Id.</w:t>
      </w:r>
      <w:r w:rsidRPr="3DE41553">
        <w:rPr>
          <w:rFonts w:eastAsia="Times New Roman" w:cs="Times New Roman"/>
          <w:color w:val="000000" w:themeColor="text1"/>
        </w:rPr>
        <w:t xml:space="preserve"> at pp.</w:t>
      </w:r>
      <w:r>
        <w:rPr>
          <w:rFonts w:eastAsia="Times New Roman" w:cs="Times New Roman"/>
          <w:color w:val="000000" w:themeColor="text1"/>
        </w:rPr>
        <w:t> </w:t>
      </w:r>
      <w:r w:rsidRPr="3DE41553">
        <w:rPr>
          <w:rFonts w:eastAsia="Times New Roman" w:cs="Times New Roman"/>
          <w:color w:val="000000" w:themeColor="text1"/>
        </w:rPr>
        <w:t>749–75</w:t>
      </w:r>
      <w:r w:rsidR="008470F8">
        <w:rPr>
          <w:rFonts w:eastAsia="Times New Roman" w:cs="Times New Roman"/>
          <w:color w:val="000000" w:themeColor="text1"/>
        </w:rPr>
        <w:t>1</w:t>
      </w:r>
      <w:r w:rsidRPr="3DE41553">
        <w:rPr>
          <w:rFonts w:eastAsia="Times New Roman" w:cs="Times New Roman"/>
          <w:color w:val="000000" w:themeColor="text1"/>
        </w:rPr>
        <w:t xml:space="preserve">.) </w:t>
      </w:r>
      <w:r w:rsidR="006425BD">
        <w:rPr>
          <w:rFonts w:eastAsia="Times New Roman" w:cs="Times New Roman"/>
          <w:color w:val="000000" w:themeColor="text1"/>
        </w:rPr>
        <w:t>Thus</w:t>
      </w:r>
      <w:r w:rsidRPr="3DE41553">
        <w:rPr>
          <w:rFonts w:eastAsia="Times New Roman" w:cs="Times New Roman"/>
          <w:color w:val="000000" w:themeColor="text1"/>
        </w:rPr>
        <w:t xml:space="preserve">, he could no longer allege a threat of injury </w:t>
      </w:r>
      <w:proofErr w:type="gramStart"/>
      <w:r w:rsidRPr="3DE41553">
        <w:rPr>
          <w:rFonts w:eastAsia="Times New Roman" w:cs="Times New Roman"/>
          <w:color w:val="000000" w:themeColor="text1"/>
        </w:rPr>
        <w:t>“ ‘</w:t>
      </w:r>
      <w:proofErr w:type="gramEnd"/>
      <w:r w:rsidRPr="3DE41553">
        <w:rPr>
          <w:rFonts w:eastAsia="Times New Roman" w:cs="Times New Roman"/>
          <w:color w:val="000000" w:themeColor="text1"/>
        </w:rPr>
        <w:t xml:space="preserve">to </w:t>
      </w:r>
      <w:r w:rsidRPr="3DE41553">
        <w:rPr>
          <w:rFonts w:eastAsia="Times New Roman" w:cs="Times New Roman"/>
          <w:color w:val="000000" w:themeColor="text1"/>
        </w:rPr>
        <w:t xml:space="preserve">the public </w:t>
      </w:r>
      <w:proofErr w:type="spellStart"/>
      <w:r w:rsidRPr="3DE41553">
        <w:rPr>
          <w:rFonts w:eastAsia="Times New Roman" w:cs="Times New Roman"/>
          <w:color w:val="000000" w:themeColor="text1"/>
        </w:rPr>
        <w:t>fisc</w:t>
      </w:r>
      <w:proofErr w:type="spellEnd"/>
      <w:r w:rsidRPr="3DE41553">
        <w:rPr>
          <w:rFonts w:eastAsia="Times New Roman" w:cs="Times New Roman"/>
          <w:color w:val="000000" w:themeColor="text1"/>
        </w:rPr>
        <w:t>.’ ” (</w:t>
      </w:r>
      <w:r w:rsidRPr="3DE41553">
        <w:rPr>
          <w:rFonts w:eastAsia="Times New Roman" w:cs="Times New Roman"/>
          <w:i/>
          <w:iCs/>
          <w:color w:val="000000" w:themeColor="text1"/>
        </w:rPr>
        <w:t>Id.</w:t>
      </w:r>
      <w:r w:rsidRPr="3DE41553">
        <w:rPr>
          <w:rFonts w:eastAsia="Times New Roman" w:cs="Times New Roman"/>
          <w:color w:val="000000" w:themeColor="text1"/>
        </w:rPr>
        <w:t xml:space="preserve"> at p.</w:t>
      </w:r>
      <w:r w:rsidR="00796986">
        <w:rPr>
          <w:rFonts w:eastAsia="Times New Roman" w:cs="Times New Roman"/>
          <w:color w:val="000000" w:themeColor="text1"/>
        </w:rPr>
        <w:t> </w:t>
      </w:r>
      <w:r w:rsidRPr="3DE41553">
        <w:rPr>
          <w:rFonts w:eastAsia="Times New Roman" w:cs="Times New Roman"/>
          <w:color w:val="000000" w:themeColor="text1"/>
        </w:rPr>
        <w:t>749</w:t>
      </w:r>
      <w:r w:rsidR="00255EEB">
        <w:rPr>
          <w:rFonts w:eastAsia="Times New Roman" w:cs="Times New Roman"/>
          <w:color w:val="000000" w:themeColor="text1"/>
        </w:rPr>
        <w:t>, italics omitted</w:t>
      </w:r>
      <w:r>
        <w:rPr>
          <w:rFonts w:eastAsia="Times New Roman" w:cs="Times New Roman"/>
          <w:color w:val="000000" w:themeColor="text1"/>
        </w:rPr>
        <w:t>.</w:t>
      </w:r>
      <w:r w:rsidRPr="3DE41553">
        <w:rPr>
          <w:rFonts w:eastAsia="Times New Roman" w:cs="Times New Roman"/>
          <w:color w:val="000000" w:themeColor="text1"/>
        </w:rPr>
        <w:t xml:space="preserve">) </w:t>
      </w:r>
    </w:p>
  </w:footnote>
  <w:footnote w:id="32">
    <w:p w14:paraId="3F9829C1" w14:textId="55E3D139" w:rsidR="007B3D61" w:rsidRDefault="003D06AD" w:rsidP="000514C4">
      <w:pPr>
        <w:pStyle w:val="FootnoteText"/>
        <w:spacing w:after="120"/>
      </w:pPr>
      <w:r>
        <w:tab/>
      </w:r>
      <w:r>
        <w:rPr>
          <w:rStyle w:val="FootnoteReference"/>
        </w:rPr>
        <w:footnoteRef/>
      </w:r>
      <w:r>
        <w:t xml:space="preserve"> </w:t>
      </w:r>
      <w:r w:rsidR="0012052B">
        <w:t>W</w:t>
      </w:r>
      <w:r>
        <w:t xml:space="preserve">e are aware of the recent observation by our colleagues </w:t>
      </w:r>
      <w:r w:rsidR="00F9564E">
        <w:t>in Division One that</w:t>
      </w:r>
      <w:r w:rsidR="00DE0356">
        <w:t>, “[g]</w:t>
      </w:r>
      <w:proofErr w:type="spellStart"/>
      <w:r w:rsidR="00DE0356" w:rsidRPr="00DE0356">
        <w:t>iven</w:t>
      </w:r>
      <w:proofErr w:type="spellEnd"/>
      <w:r w:rsidR="00DE0356" w:rsidRPr="00DE0356">
        <w:t xml:space="preserve"> the hundreds of cases in which defendants had not waived time, a boilerplate order setting forth the background of the COVID</w:t>
      </w:r>
      <w:r w:rsidR="00B51A8C">
        <w:noBreakHyphen/>
      </w:r>
      <w:r w:rsidR="00DE0356" w:rsidRPr="00DE0356">
        <w:t xml:space="preserve">19 pandemic and </w:t>
      </w:r>
      <w:r w:rsidR="00B51A8C">
        <w:t>[defendant]</w:t>
      </w:r>
      <w:r w:rsidR="00DE0356" w:rsidRPr="00DE0356">
        <w:t xml:space="preserve"> court</w:t>
      </w:r>
      <w:r w:rsidR="00B51A8C">
        <w:t>’</w:t>
      </w:r>
      <w:r w:rsidR="00DE0356" w:rsidRPr="00DE0356">
        <w:t>s response was not only within the trial court</w:t>
      </w:r>
      <w:r w:rsidR="00B51A8C">
        <w:t>’</w:t>
      </w:r>
      <w:r w:rsidR="00DE0356" w:rsidRPr="00DE0356">
        <w:t>s discretion, but a time-efficient way of addressing motions to dismiss.</w:t>
      </w:r>
      <w:r w:rsidR="00B51A8C">
        <w:t>” (</w:t>
      </w:r>
      <w:r w:rsidR="00B51A8C">
        <w:rPr>
          <w:i/>
          <w:iCs/>
        </w:rPr>
        <w:t>Estrada</w:t>
      </w:r>
      <w:r w:rsidR="00B51A8C">
        <w:t xml:space="preserve">, </w:t>
      </w:r>
      <w:r w:rsidR="00B51A8C">
        <w:rPr>
          <w:i/>
          <w:iCs/>
        </w:rPr>
        <w:t>supra</w:t>
      </w:r>
      <w:r w:rsidR="00B51A8C">
        <w:t xml:space="preserve">, </w:t>
      </w:r>
      <w:r w:rsidR="00661B58">
        <w:t>88</w:t>
      </w:r>
      <w:r w:rsidR="00893150">
        <w:t> </w:t>
      </w:r>
      <w:r w:rsidR="00661B58">
        <w:t>Cal.App.5th at p.</w:t>
      </w:r>
      <w:r w:rsidR="00893150">
        <w:t> </w:t>
      </w:r>
      <w:r w:rsidR="00661B58">
        <w:t>1118.) We agree that</w:t>
      </w:r>
      <w:r w:rsidR="00A83A78">
        <w:t xml:space="preserve"> it is permissible to </w:t>
      </w:r>
      <w:r w:rsidR="005F47FB">
        <w:t>utilize</w:t>
      </w:r>
      <w:r w:rsidR="00603B44">
        <w:t>,</w:t>
      </w:r>
      <w:r w:rsidR="00661B58">
        <w:t xml:space="preserve"> in orders </w:t>
      </w:r>
      <w:r w:rsidR="009C2EBC">
        <w:t xml:space="preserve">resolving </w:t>
      </w:r>
      <w:r w:rsidR="00661B58">
        <w:t>motions</w:t>
      </w:r>
      <w:r w:rsidR="009C2EBC">
        <w:t xml:space="preserve"> </w:t>
      </w:r>
      <w:r w:rsidR="0071328F">
        <w:t xml:space="preserve">to dismiss, </w:t>
      </w:r>
      <w:r w:rsidR="00603B44">
        <w:t xml:space="preserve">boilerplate language reflecting </w:t>
      </w:r>
      <w:r w:rsidR="00910F18">
        <w:t>general</w:t>
      </w:r>
      <w:r w:rsidR="00806D0E">
        <w:t>,</w:t>
      </w:r>
      <w:r w:rsidR="00603B44">
        <w:t xml:space="preserve"> </w:t>
      </w:r>
      <w:r w:rsidR="00806D0E">
        <w:t xml:space="preserve">judicially noticeable </w:t>
      </w:r>
      <w:r w:rsidR="00603B44">
        <w:t xml:space="preserve">facts </w:t>
      </w:r>
      <w:r w:rsidR="005F47FB">
        <w:t xml:space="preserve">regarding </w:t>
      </w:r>
      <w:r w:rsidR="00603B44">
        <w:t>the pandemic and the court’s response</w:t>
      </w:r>
      <w:r w:rsidR="002E3A91">
        <w:t xml:space="preserve">. However, </w:t>
      </w:r>
      <w:r w:rsidR="00CB205D">
        <w:t xml:space="preserve">we do not read </w:t>
      </w:r>
      <w:r w:rsidR="00CB205D">
        <w:rPr>
          <w:i/>
          <w:iCs/>
        </w:rPr>
        <w:t xml:space="preserve">Estrada </w:t>
      </w:r>
      <w:r w:rsidR="00CB205D">
        <w:t xml:space="preserve">to </w:t>
      </w:r>
      <w:r w:rsidR="00D94BEE">
        <w:t xml:space="preserve">endorse </w:t>
      </w:r>
      <w:r w:rsidR="003F3096">
        <w:t>a</w:t>
      </w:r>
      <w:r w:rsidR="00D94BEE">
        <w:t xml:space="preserve"> </w:t>
      </w:r>
      <w:r w:rsidR="00DD20F6">
        <w:t>trial court’</w:t>
      </w:r>
      <w:r w:rsidR="003F3096">
        <w:t>s</w:t>
      </w:r>
      <w:r w:rsidR="00DD20F6">
        <w:t xml:space="preserve"> </w:t>
      </w:r>
      <w:r w:rsidR="00D94BEE">
        <w:t xml:space="preserve">use of a generic script </w:t>
      </w:r>
      <w:r w:rsidR="00DA0685">
        <w:t>to avoid</w:t>
      </w:r>
      <w:r w:rsidR="00964DE7">
        <w:t xml:space="preserve"> </w:t>
      </w:r>
      <w:r w:rsidR="00DD20F6">
        <w:t xml:space="preserve">fulfilling </w:t>
      </w:r>
      <w:r w:rsidR="003F3096">
        <w:t>its</w:t>
      </w:r>
      <w:r w:rsidR="00DD20F6">
        <w:t xml:space="preserve"> </w:t>
      </w:r>
      <w:r w:rsidR="00030DD5">
        <w:t>statutory</w:t>
      </w:r>
      <w:r w:rsidR="00964DE7">
        <w:t xml:space="preserve"> duties to </w:t>
      </w:r>
      <w:r w:rsidR="00093FE9">
        <w:t>receive</w:t>
      </w:r>
      <w:r w:rsidR="00964DE7">
        <w:t>,</w:t>
      </w:r>
      <w:r w:rsidR="00093FE9">
        <w:t xml:space="preserve"> consider</w:t>
      </w:r>
      <w:r w:rsidR="00964DE7">
        <w:t>, and base its ruling on</w:t>
      </w:r>
      <w:r w:rsidR="00093FE9">
        <w:t xml:space="preserve"> </w:t>
      </w:r>
      <w:r w:rsidR="00337756">
        <w:t>case-specific facts and evidence</w:t>
      </w:r>
      <w:r w:rsidR="00A63FB4">
        <w:t xml:space="preserve"> (§ 105</w:t>
      </w:r>
      <w:r w:rsidR="007C2818">
        <w:t>0, subds.</w:t>
      </w:r>
      <w:r w:rsidR="00AF0895">
        <w:t> </w:t>
      </w:r>
      <w:r w:rsidR="007C2818">
        <w:t>(b)–(</w:t>
      </w:r>
      <w:proofErr w:type="spellStart"/>
      <w:r w:rsidR="007C2818">
        <w:t>i</w:t>
      </w:r>
      <w:proofErr w:type="spellEnd"/>
      <w:r w:rsidR="007C2818">
        <w:t>))</w:t>
      </w:r>
      <w:r w:rsidR="00FE339A">
        <w:t>.</w:t>
      </w:r>
      <w:r w:rsidR="000014AD">
        <w:t xml:space="preserve"> </w:t>
      </w:r>
    </w:p>
  </w:footnote>
  <w:footnote w:id="33">
    <w:p w14:paraId="7A809452" w14:textId="76942EAB" w:rsidR="00A61865" w:rsidRDefault="003D06AD" w:rsidP="000514C4">
      <w:pPr>
        <w:pStyle w:val="FootnoteText"/>
        <w:spacing w:after="120"/>
      </w:pPr>
      <w:r>
        <w:tab/>
      </w:r>
      <w:r>
        <w:rPr>
          <w:rStyle w:val="FootnoteReference"/>
        </w:rPr>
        <w:footnoteRef/>
      </w:r>
      <w:r>
        <w:t xml:space="preserve"> Plaintiffs have not </w:t>
      </w:r>
      <w:r w:rsidR="00E23067">
        <w:t>shown how</w:t>
      </w:r>
      <w:r>
        <w:t xml:space="preserve"> they can prove violations of the constitutional provisions guaranteeing criminal defendants’ rights to a speedy trial in a way that is distinct from their theories grounded in sections 1050(a) and 1049.5 and</w:t>
      </w:r>
      <w:r w:rsidR="00E23067">
        <w:t xml:space="preserve"> </w:t>
      </w:r>
      <w:r>
        <w:t xml:space="preserve">will not entail challenging the rulings in </w:t>
      </w:r>
      <w:r w:rsidR="00FC78B4">
        <w:t xml:space="preserve">individual criminal </w:t>
      </w:r>
      <w:r>
        <w:t xml:space="preserve">cases. </w:t>
      </w:r>
      <w:r w:rsidR="00FC78B4">
        <w:t xml:space="preserve">However, </w:t>
      </w:r>
      <w:r w:rsidR="00BF38DF">
        <w:t>because</w:t>
      </w:r>
      <w:r w:rsidR="00F44F7A">
        <w:t xml:space="preserve"> </w:t>
      </w:r>
      <w:r>
        <w:t xml:space="preserve">their complaint states a cause of action </w:t>
      </w:r>
      <w:r w:rsidR="00FC78B4">
        <w:t xml:space="preserve">under </w:t>
      </w:r>
      <w:r w:rsidR="00603A2D">
        <w:t>other legal theories, we must reverse the judgment dismissing that cause of action.</w:t>
      </w:r>
      <w:r>
        <w:t xml:space="preserve"> (</w:t>
      </w:r>
      <w:r w:rsidRPr="797FBB80">
        <w:rPr>
          <w:i/>
          <w:iCs/>
        </w:rPr>
        <w:t>Amy’s Kitchen</w:t>
      </w:r>
      <w:r>
        <w:t xml:space="preserve">, </w:t>
      </w:r>
      <w:r w:rsidRPr="797FBB80">
        <w:rPr>
          <w:i/>
          <w:iCs/>
        </w:rPr>
        <w:t>supra</w:t>
      </w:r>
      <w:r>
        <w:t>, 83 Cal.App.5th at p. 1067</w:t>
      </w:r>
      <w:r w:rsidR="00603A2D">
        <w:t>.)</w:t>
      </w:r>
      <w:r>
        <w:t xml:space="preserve"> </w:t>
      </w:r>
    </w:p>
  </w:footnote>
  <w:footnote w:id="34">
    <w:p w14:paraId="5F1C018A" w14:textId="29F07395" w:rsidR="00331423" w:rsidRDefault="003D06AD">
      <w:pPr>
        <w:pStyle w:val="FootnoteText"/>
      </w:pPr>
      <w:r>
        <w:rPr>
          <w:rStyle w:val="FootnoteReference"/>
        </w:rPr>
        <w:t>*</w:t>
      </w:r>
      <w:r>
        <w:t xml:space="preserve"> </w:t>
      </w:r>
      <w:r w:rsidR="00F03084">
        <w:t>Ju</w:t>
      </w:r>
      <w:r w:rsidR="003B3774">
        <w:t xml:space="preserve">dge of the Superior Court of California, County of Alameda, assigned by the Chief Justice pursuant to </w:t>
      </w:r>
      <w:r w:rsidR="007415F6">
        <w:t>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C22C6"/>
    <w:multiLevelType w:val="hybridMultilevel"/>
    <w:tmpl w:val="69A08078"/>
    <w:lvl w:ilvl="0" w:tplc="7F5C9100">
      <w:start w:val="1"/>
      <w:numFmt w:val="lowerLetter"/>
      <w:lvlText w:val="%1."/>
      <w:lvlJc w:val="left"/>
      <w:pPr>
        <w:ind w:left="2520" w:hanging="360"/>
      </w:pPr>
      <w:rPr>
        <w:rFonts w:hint="default"/>
      </w:rPr>
    </w:lvl>
    <w:lvl w:ilvl="1" w:tplc="1DF0E56C" w:tentative="1">
      <w:start w:val="1"/>
      <w:numFmt w:val="lowerLetter"/>
      <w:lvlText w:val="%2."/>
      <w:lvlJc w:val="left"/>
      <w:pPr>
        <w:ind w:left="3240" w:hanging="360"/>
      </w:pPr>
    </w:lvl>
    <w:lvl w:ilvl="2" w:tplc="22DCCCD4" w:tentative="1">
      <w:start w:val="1"/>
      <w:numFmt w:val="lowerRoman"/>
      <w:lvlText w:val="%3."/>
      <w:lvlJc w:val="right"/>
      <w:pPr>
        <w:ind w:left="3960" w:hanging="180"/>
      </w:pPr>
    </w:lvl>
    <w:lvl w:ilvl="3" w:tplc="6A8CF7A2" w:tentative="1">
      <w:start w:val="1"/>
      <w:numFmt w:val="decimal"/>
      <w:lvlText w:val="%4."/>
      <w:lvlJc w:val="left"/>
      <w:pPr>
        <w:ind w:left="4680" w:hanging="360"/>
      </w:pPr>
    </w:lvl>
    <w:lvl w:ilvl="4" w:tplc="C1320CDA" w:tentative="1">
      <w:start w:val="1"/>
      <w:numFmt w:val="lowerLetter"/>
      <w:lvlText w:val="%5."/>
      <w:lvlJc w:val="left"/>
      <w:pPr>
        <w:ind w:left="5400" w:hanging="360"/>
      </w:pPr>
    </w:lvl>
    <w:lvl w:ilvl="5" w:tplc="44060D4A" w:tentative="1">
      <w:start w:val="1"/>
      <w:numFmt w:val="lowerRoman"/>
      <w:lvlText w:val="%6."/>
      <w:lvlJc w:val="right"/>
      <w:pPr>
        <w:ind w:left="6120" w:hanging="180"/>
      </w:pPr>
    </w:lvl>
    <w:lvl w:ilvl="6" w:tplc="1BBA373C" w:tentative="1">
      <w:start w:val="1"/>
      <w:numFmt w:val="decimal"/>
      <w:lvlText w:val="%7."/>
      <w:lvlJc w:val="left"/>
      <w:pPr>
        <w:ind w:left="6840" w:hanging="360"/>
      </w:pPr>
    </w:lvl>
    <w:lvl w:ilvl="7" w:tplc="89D8B958" w:tentative="1">
      <w:start w:val="1"/>
      <w:numFmt w:val="lowerLetter"/>
      <w:lvlText w:val="%8."/>
      <w:lvlJc w:val="left"/>
      <w:pPr>
        <w:ind w:left="7560" w:hanging="360"/>
      </w:pPr>
    </w:lvl>
    <w:lvl w:ilvl="8" w:tplc="D6480F22" w:tentative="1">
      <w:start w:val="1"/>
      <w:numFmt w:val="lowerRoman"/>
      <w:lvlText w:val="%9."/>
      <w:lvlJc w:val="right"/>
      <w:pPr>
        <w:ind w:left="8280" w:hanging="180"/>
      </w:pPr>
    </w:lvl>
  </w:abstractNum>
  <w:abstractNum w:abstractNumId="1" w15:restartNumberingAfterBreak="0">
    <w:nsid w:val="5DDC1CAF"/>
    <w:multiLevelType w:val="hybridMultilevel"/>
    <w:tmpl w:val="7D2467B0"/>
    <w:lvl w:ilvl="0" w:tplc="423A3DAE">
      <w:start w:val="2"/>
      <w:numFmt w:val="lowerRoman"/>
      <w:lvlText w:val="%1."/>
      <w:lvlJc w:val="left"/>
      <w:pPr>
        <w:ind w:left="2880" w:hanging="720"/>
      </w:pPr>
      <w:rPr>
        <w:rFonts w:hint="default"/>
        <w:i/>
      </w:rPr>
    </w:lvl>
    <w:lvl w:ilvl="1" w:tplc="CE9A6EC4" w:tentative="1">
      <w:start w:val="1"/>
      <w:numFmt w:val="lowerLetter"/>
      <w:lvlText w:val="%2."/>
      <w:lvlJc w:val="left"/>
      <w:pPr>
        <w:ind w:left="3240" w:hanging="360"/>
      </w:pPr>
    </w:lvl>
    <w:lvl w:ilvl="2" w:tplc="EDD46230" w:tentative="1">
      <w:start w:val="1"/>
      <w:numFmt w:val="lowerRoman"/>
      <w:lvlText w:val="%3."/>
      <w:lvlJc w:val="right"/>
      <w:pPr>
        <w:ind w:left="3960" w:hanging="180"/>
      </w:pPr>
    </w:lvl>
    <w:lvl w:ilvl="3" w:tplc="37984706" w:tentative="1">
      <w:start w:val="1"/>
      <w:numFmt w:val="decimal"/>
      <w:lvlText w:val="%4."/>
      <w:lvlJc w:val="left"/>
      <w:pPr>
        <w:ind w:left="4680" w:hanging="360"/>
      </w:pPr>
    </w:lvl>
    <w:lvl w:ilvl="4" w:tplc="1B829DF2" w:tentative="1">
      <w:start w:val="1"/>
      <w:numFmt w:val="lowerLetter"/>
      <w:lvlText w:val="%5."/>
      <w:lvlJc w:val="left"/>
      <w:pPr>
        <w:ind w:left="5400" w:hanging="360"/>
      </w:pPr>
    </w:lvl>
    <w:lvl w:ilvl="5" w:tplc="EFC864F0" w:tentative="1">
      <w:start w:val="1"/>
      <w:numFmt w:val="lowerRoman"/>
      <w:lvlText w:val="%6."/>
      <w:lvlJc w:val="right"/>
      <w:pPr>
        <w:ind w:left="6120" w:hanging="180"/>
      </w:pPr>
    </w:lvl>
    <w:lvl w:ilvl="6" w:tplc="AD646A3A" w:tentative="1">
      <w:start w:val="1"/>
      <w:numFmt w:val="decimal"/>
      <w:lvlText w:val="%7."/>
      <w:lvlJc w:val="left"/>
      <w:pPr>
        <w:ind w:left="6840" w:hanging="360"/>
      </w:pPr>
    </w:lvl>
    <w:lvl w:ilvl="7" w:tplc="C80CEDB0" w:tentative="1">
      <w:start w:val="1"/>
      <w:numFmt w:val="lowerLetter"/>
      <w:lvlText w:val="%8."/>
      <w:lvlJc w:val="left"/>
      <w:pPr>
        <w:ind w:left="7560" w:hanging="360"/>
      </w:pPr>
    </w:lvl>
    <w:lvl w:ilvl="8" w:tplc="17A2FA1A" w:tentative="1">
      <w:start w:val="1"/>
      <w:numFmt w:val="lowerRoman"/>
      <w:lvlText w:val="%9."/>
      <w:lvlJc w:val="right"/>
      <w:pPr>
        <w:ind w:left="8280" w:hanging="180"/>
      </w:pPr>
    </w:lvl>
  </w:abstractNum>
  <w:abstractNum w:abstractNumId="2" w15:restartNumberingAfterBreak="0">
    <w:nsid w:val="78C92708"/>
    <w:multiLevelType w:val="hybridMultilevel"/>
    <w:tmpl w:val="25D4BB4E"/>
    <w:lvl w:ilvl="0" w:tplc="D6E47498">
      <w:start w:val="1"/>
      <w:numFmt w:val="lowerLetter"/>
      <w:lvlText w:val="%1."/>
      <w:lvlJc w:val="left"/>
      <w:pPr>
        <w:ind w:left="720" w:hanging="360"/>
      </w:pPr>
    </w:lvl>
    <w:lvl w:ilvl="1" w:tplc="66924CC6">
      <w:start w:val="1"/>
      <w:numFmt w:val="lowerLetter"/>
      <w:lvlText w:val="%2."/>
      <w:lvlJc w:val="left"/>
      <w:pPr>
        <w:ind w:left="1440" w:hanging="360"/>
      </w:pPr>
    </w:lvl>
    <w:lvl w:ilvl="2" w:tplc="CAA6C830">
      <w:start w:val="1"/>
      <w:numFmt w:val="lowerRoman"/>
      <w:lvlText w:val="%3."/>
      <w:lvlJc w:val="right"/>
      <w:pPr>
        <w:ind w:left="2160" w:hanging="180"/>
      </w:pPr>
    </w:lvl>
    <w:lvl w:ilvl="3" w:tplc="6E0E6B5A">
      <w:start w:val="1"/>
      <w:numFmt w:val="decimal"/>
      <w:lvlText w:val="%4."/>
      <w:lvlJc w:val="left"/>
      <w:pPr>
        <w:ind w:left="2880" w:hanging="360"/>
      </w:pPr>
    </w:lvl>
    <w:lvl w:ilvl="4" w:tplc="C4A6C5AA">
      <w:start w:val="1"/>
      <w:numFmt w:val="lowerLetter"/>
      <w:lvlText w:val="%5."/>
      <w:lvlJc w:val="left"/>
      <w:pPr>
        <w:ind w:left="3600" w:hanging="360"/>
      </w:pPr>
    </w:lvl>
    <w:lvl w:ilvl="5" w:tplc="943664EE">
      <w:start w:val="1"/>
      <w:numFmt w:val="lowerRoman"/>
      <w:lvlText w:val="%6."/>
      <w:lvlJc w:val="right"/>
      <w:pPr>
        <w:ind w:left="4320" w:hanging="180"/>
      </w:pPr>
    </w:lvl>
    <w:lvl w:ilvl="6" w:tplc="625AA39C">
      <w:start w:val="1"/>
      <w:numFmt w:val="decimal"/>
      <w:lvlText w:val="%7."/>
      <w:lvlJc w:val="left"/>
      <w:pPr>
        <w:ind w:left="5040" w:hanging="360"/>
      </w:pPr>
    </w:lvl>
    <w:lvl w:ilvl="7" w:tplc="0F162F4A">
      <w:start w:val="1"/>
      <w:numFmt w:val="lowerLetter"/>
      <w:lvlText w:val="%8."/>
      <w:lvlJc w:val="left"/>
      <w:pPr>
        <w:ind w:left="5760" w:hanging="360"/>
      </w:pPr>
    </w:lvl>
    <w:lvl w:ilvl="8" w:tplc="AB6032EE">
      <w:start w:val="1"/>
      <w:numFmt w:val="lowerRoman"/>
      <w:lvlText w:val="%9."/>
      <w:lvlJc w:val="right"/>
      <w:pPr>
        <w:ind w:left="6480" w:hanging="180"/>
      </w:pPr>
    </w:lvl>
  </w:abstractNum>
  <w:abstractNum w:abstractNumId="3" w15:restartNumberingAfterBreak="0">
    <w:nsid w:val="7A9C7A76"/>
    <w:multiLevelType w:val="hybridMultilevel"/>
    <w:tmpl w:val="86305224"/>
    <w:lvl w:ilvl="0" w:tplc="B5A65286">
      <w:start w:val="1"/>
      <w:numFmt w:val="lowerLetter"/>
      <w:lvlText w:val="%1."/>
      <w:lvlJc w:val="left"/>
      <w:pPr>
        <w:ind w:left="2520" w:hanging="360"/>
      </w:pPr>
      <w:rPr>
        <w:rFonts w:hint="default"/>
      </w:rPr>
    </w:lvl>
    <w:lvl w:ilvl="1" w:tplc="5830905A" w:tentative="1">
      <w:start w:val="1"/>
      <w:numFmt w:val="lowerLetter"/>
      <w:lvlText w:val="%2."/>
      <w:lvlJc w:val="left"/>
      <w:pPr>
        <w:ind w:left="3240" w:hanging="360"/>
      </w:pPr>
    </w:lvl>
    <w:lvl w:ilvl="2" w:tplc="3C805A7C" w:tentative="1">
      <w:start w:val="1"/>
      <w:numFmt w:val="lowerRoman"/>
      <w:lvlText w:val="%3."/>
      <w:lvlJc w:val="right"/>
      <w:pPr>
        <w:ind w:left="3960" w:hanging="180"/>
      </w:pPr>
    </w:lvl>
    <w:lvl w:ilvl="3" w:tplc="E4449956" w:tentative="1">
      <w:start w:val="1"/>
      <w:numFmt w:val="decimal"/>
      <w:lvlText w:val="%4."/>
      <w:lvlJc w:val="left"/>
      <w:pPr>
        <w:ind w:left="4680" w:hanging="360"/>
      </w:pPr>
    </w:lvl>
    <w:lvl w:ilvl="4" w:tplc="E3F852F8" w:tentative="1">
      <w:start w:val="1"/>
      <w:numFmt w:val="lowerLetter"/>
      <w:lvlText w:val="%5."/>
      <w:lvlJc w:val="left"/>
      <w:pPr>
        <w:ind w:left="5400" w:hanging="360"/>
      </w:pPr>
    </w:lvl>
    <w:lvl w:ilvl="5" w:tplc="6B24CD42" w:tentative="1">
      <w:start w:val="1"/>
      <w:numFmt w:val="lowerRoman"/>
      <w:lvlText w:val="%6."/>
      <w:lvlJc w:val="right"/>
      <w:pPr>
        <w:ind w:left="6120" w:hanging="180"/>
      </w:pPr>
    </w:lvl>
    <w:lvl w:ilvl="6" w:tplc="09985C38" w:tentative="1">
      <w:start w:val="1"/>
      <w:numFmt w:val="decimal"/>
      <w:lvlText w:val="%7."/>
      <w:lvlJc w:val="left"/>
      <w:pPr>
        <w:ind w:left="6840" w:hanging="360"/>
      </w:pPr>
    </w:lvl>
    <w:lvl w:ilvl="7" w:tplc="2788EE28" w:tentative="1">
      <w:start w:val="1"/>
      <w:numFmt w:val="lowerLetter"/>
      <w:lvlText w:val="%8."/>
      <w:lvlJc w:val="left"/>
      <w:pPr>
        <w:ind w:left="7560" w:hanging="360"/>
      </w:pPr>
    </w:lvl>
    <w:lvl w:ilvl="8" w:tplc="20D4E376" w:tentative="1">
      <w:start w:val="1"/>
      <w:numFmt w:val="lowerRoman"/>
      <w:lvlText w:val="%9."/>
      <w:lvlJc w:val="right"/>
      <w:pPr>
        <w:ind w:left="8280" w:hanging="180"/>
      </w:pPr>
    </w:lvl>
  </w:abstractNum>
  <w:abstractNum w:abstractNumId="4" w15:restartNumberingAfterBreak="0">
    <w:nsid w:val="7E222AB3"/>
    <w:multiLevelType w:val="hybridMultilevel"/>
    <w:tmpl w:val="C840D2D6"/>
    <w:lvl w:ilvl="0" w:tplc="A73E9152">
      <w:start w:val="1"/>
      <w:numFmt w:val="lowerLetter"/>
      <w:lvlText w:val="%1."/>
      <w:lvlJc w:val="left"/>
      <w:pPr>
        <w:ind w:left="2520" w:hanging="360"/>
      </w:pPr>
      <w:rPr>
        <w:rFonts w:hint="default"/>
      </w:rPr>
    </w:lvl>
    <w:lvl w:ilvl="1" w:tplc="7F5EB090" w:tentative="1">
      <w:start w:val="1"/>
      <w:numFmt w:val="lowerLetter"/>
      <w:lvlText w:val="%2."/>
      <w:lvlJc w:val="left"/>
      <w:pPr>
        <w:ind w:left="3240" w:hanging="360"/>
      </w:pPr>
    </w:lvl>
    <w:lvl w:ilvl="2" w:tplc="1EFE3838" w:tentative="1">
      <w:start w:val="1"/>
      <w:numFmt w:val="lowerRoman"/>
      <w:lvlText w:val="%3."/>
      <w:lvlJc w:val="right"/>
      <w:pPr>
        <w:ind w:left="3960" w:hanging="180"/>
      </w:pPr>
    </w:lvl>
    <w:lvl w:ilvl="3" w:tplc="4956E53E" w:tentative="1">
      <w:start w:val="1"/>
      <w:numFmt w:val="decimal"/>
      <w:lvlText w:val="%4."/>
      <w:lvlJc w:val="left"/>
      <w:pPr>
        <w:ind w:left="4680" w:hanging="360"/>
      </w:pPr>
    </w:lvl>
    <w:lvl w:ilvl="4" w:tplc="248C57C4" w:tentative="1">
      <w:start w:val="1"/>
      <w:numFmt w:val="lowerLetter"/>
      <w:lvlText w:val="%5."/>
      <w:lvlJc w:val="left"/>
      <w:pPr>
        <w:ind w:left="5400" w:hanging="360"/>
      </w:pPr>
    </w:lvl>
    <w:lvl w:ilvl="5" w:tplc="5A6C3972" w:tentative="1">
      <w:start w:val="1"/>
      <w:numFmt w:val="lowerRoman"/>
      <w:lvlText w:val="%6."/>
      <w:lvlJc w:val="right"/>
      <w:pPr>
        <w:ind w:left="6120" w:hanging="180"/>
      </w:pPr>
    </w:lvl>
    <w:lvl w:ilvl="6" w:tplc="44025570" w:tentative="1">
      <w:start w:val="1"/>
      <w:numFmt w:val="decimal"/>
      <w:lvlText w:val="%7."/>
      <w:lvlJc w:val="left"/>
      <w:pPr>
        <w:ind w:left="6840" w:hanging="360"/>
      </w:pPr>
    </w:lvl>
    <w:lvl w:ilvl="7" w:tplc="13A0508A" w:tentative="1">
      <w:start w:val="1"/>
      <w:numFmt w:val="lowerLetter"/>
      <w:lvlText w:val="%8."/>
      <w:lvlJc w:val="left"/>
      <w:pPr>
        <w:ind w:left="7560" w:hanging="360"/>
      </w:pPr>
    </w:lvl>
    <w:lvl w:ilvl="8" w:tplc="2B70E826" w:tentative="1">
      <w:start w:val="1"/>
      <w:numFmt w:val="lowerRoman"/>
      <w:lvlText w:val="%9."/>
      <w:lvlJc w:val="right"/>
      <w:pPr>
        <w:ind w:left="8280" w:hanging="180"/>
      </w:pPr>
    </w:lvl>
  </w:abstractNum>
  <w:num w:numId="1" w16cid:durableId="935985347">
    <w:abstractNumId w:val="2"/>
  </w:num>
  <w:num w:numId="2" w16cid:durableId="2147160923">
    <w:abstractNumId w:val="4"/>
  </w:num>
  <w:num w:numId="3" w16cid:durableId="1038049444">
    <w:abstractNumId w:val="3"/>
  </w:num>
  <w:num w:numId="4" w16cid:durableId="2142376888">
    <w:abstractNumId w:val="0"/>
  </w:num>
  <w:num w:numId="5" w16cid:durableId="390078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7E"/>
    <w:rsid w:val="00000466"/>
    <w:rsid w:val="000006D4"/>
    <w:rsid w:val="0000099B"/>
    <w:rsid w:val="00000A58"/>
    <w:rsid w:val="000014AD"/>
    <w:rsid w:val="00001A75"/>
    <w:rsid w:val="00002161"/>
    <w:rsid w:val="00002BA3"/>
    <w:rsid w:val="00002CCD"/>
    <w:rsid w:val="00002EC6"/>
    <w:rsid w:val="00002EEA"/>
    <w:rsid w:val="00003047"/>
    <w:rsid w:val="00003221"/>
    <w:rsid w:val="0000332C"/>
    <w:rsid w:val="000038E4"/>
    <w:rsid w:val="0000531C"/>
    <w:rsid w:val="000053B8"/>
    <w:rsid w:val="00005580"/>
    <w:rsid w:val="0000612C"/>
    <w:rsid w:val="000065CF"/>
    <w:rsid w:val="000065F4"/>
    <w:rsid w:val="000067D1"/>
    <w:rsid w:val="00006D4E"/>
    <w:rsid w:val="000071A8"/>
    <w:rsid w:val="000071D8"/>
    <w:rsid w:val="000079E9"/>
    <w:rsid w:val="00010E06"/>
    <w:rsid w:val="0001117B"/>
    <w:rsid w:val="000111B7"/>
    <w:rsid w:val="00011479"/>
    <w:rsid w:val="00011C1D"/>
    <w:rsid w:val="00011E90"/>
    <w:rsid w:val="00012625"/>
    <w:rsid w:val="00012B22"/>
    <w:rsid w:val="00012C12"/>
    <w:rsid w:val="000135C3"/>
    <w:rsid w:val="00013C6E"/>
    <w:rsid w:val="00013F6D"/>
    <w:rsid w:val="000142D8"/>
    <w:rsid w:val="000142E3"/>
    <w:rsid w:val="000143AE"/>
    <w:rsid w:val="0001448D"/>
    <w:rsid w:val="000146D1"/>
    <w:rsid w:val="00014889"/>
    <w:rsid w:val="000153A0"/>
    <w:rsid w:val="00015891"/>
    <w:rsid w:val="0001705B"/>
    <w:rsid w:val="000176EE"/>
    <w:rsid w:val="00017A9C"/>
    <w:rsid w:val="00017BB0"/>
    <w:rsid w:val="00020167"/>
    <w:rsid w:val="00020276"/>
    <w:rsid w:val="00020357"/>
    <w:rsid w:val="00020587"/>
    <w:rsid w:val="000205E1"/>
    <w:rsid w:val="000208B6"/>
    <w:rsid w:val="00020F75"/>
    <w:rsid w:val="00021462"/>
    <w:rsid w:val="000214C8"/>
    <w:rsid w:val="00022087"/>
    <w:rsid w:val="000222B6"/>
    <w:rsid w:val="00022855"/>
    <w:rsid w:val="00022904"/>
    <w:rsid w:val="0002290E"/>
    <w:rsid w:val="00022FAC"/>
    <w:rsid w:val="00023554"/>
    <w:rsid w:val="0002385D"/>
    <w:rsid w:val="000239BF"/>
    <w:rsid w:val="00024497"/>
    <w:rsid w:val="00024811"/>
    <w:rsid w:val="00024B31"/>
    <w:rsid w:val="00024CFB"/>
    <w:rsid w:val="00025C67"/>
    <w:rsid w:val="00026057"/>
    <w:rsid w:val="00027F50"/>
    <w:rsid w:val="000303C4"/>
    <w:rsid w:val="00030784"/>
    <w:rsid w:val="0003082A"/>
    <w:rsid w:val="00030DD5"/>
    <w:rsid w:val="0003180F"/>
    <w:rsid w:val="00031DA0"/>
    <w:rsid w:val="000320E4"/>
    <w:rsid w:val="0003267A"/>
    <w:rsid w:val="0003378B"/>
    <w:rsid w:val="00034551"/>
    <w:rsid w:val="00034853"/>
    <w:rsid w:val="00034C85"/>
    <w:rsid w:val="00034D9E"/>
    <w:rsid w:val="00035085"/>
    <w:rsid w:val="000354D6"/>
    <w:rsid w:val="00035683"/>
    <w:rsid w:val="00035771"/>
    <w:rsid w:val="00035899"/>
    <w:rsid w:val="00035B0A"/>
    <w:rsid w:val="000363B4"/>
    <w:rsid w:val="0003715B"/>
    <w:rsid w:val="000401D8"/>
    <w:rsid w:val="000403F1"/>
    <w:rsid w:val="000408E3"/>
    <w:rsid w:val="000415BA"/>
    <w:rsid w:val="00041BEF"/>
    <w:rsid w:val="00041C5F"/>
    <w:rsid w:val="00041DC9"/>
    <w:rsid w:val="0004259A"/>
    <w:rsid w:val="0004266C"/>
    <w:rsid w:val="0004374B"/>
    <w:rsid w:val="0004374D"/>
    <w:rsid w:val="000439AE"/>
    <w:rsid w:val="00043B33"/>
    <w:rsid w:val="00043D4F"/>
    <w:rsid w:val="00044CAB"/>
    <w:rsid w:val="000454B1"/>
    <w:rsid w:val="00045B92"/>
    <w:rsid w:val="00045E67"/>
    <w:rsid w:val="00045EB1"/>
    <w:rsid w:val="00045F37"/>
    <w:rsid w:val="0004634F"/>
    <w:rsid w:val="000465AB"/>
    <w:rsid w:val="00046747"/>
    <w:rsid w:val="00046945"/>
    <w:rsid w:val="00046A59"/>
    <w:rsid w:val="00047299"/>
    <w:rsid w:val="0004767F"/>
    <w:rsid w:val="0004784F"/>
    <w:rsid w:val="00047AC2"/>
    <w:rsid w:val="00050107"/>
    <w:rsid w:val="0005087C"/>
    <w:rsid w:val="000508CE"/>
    <w:rsid w:val="00050CC2"/>
    <w:rsid w:val="0005106D"/>
    <w:rsid w:val="00051126"/>
    <w:rsid w:val="000514C4"/>
    <w:rsid w:val="00051588"/>
    <w:rsid w:val="00051D7E"/>
    <w:rsid w:val="00051E09"/>
    <w:rsid w:val="0005246C"/>
    <w:rsid w:val="000525C6"/>
    <w:rsid w:val="00052DAD"/>
    <w:rsid w:val="00053647"/>
    <w:rsid w:val="00054031"/>
    <w:rsid w:val="00054157"/>
    <w:rsid w:val="0005430C"/>
    <w:rsid w:val="00054B15"/>
    <w:rsid w:val="0005561D"/>
    <w:rsid w:val="00055715"/>
    <w:rsid w:val="00055C0F"/>
    <w:rsid w:val="00055CEA"/>
    <w:rsid w:val="0005615A"/>
    <w:rsid w:val="00056878"/>
    <w:rsid w:val="00056BFB"/>
    <w:rsid w:val="00056DA4"/>
    <w:rsid w:val="000575A4"/>
    <w:rsid w:val="00057600"/>
    <w:rsid w:val="0005788A"/>
    <w:rsid w:val="0006049C"/>
    <w:rsid w:val="00060541"/>
    <w:rsid w:val="00060560"/>
    <w:rsid w:val="000611F7"/>
    <w:rsid w:val="00061569"/>
    <w:rsid w:val="00062204"/>
    <w:rsid w:val="000624AC"/>
    <w:rsid w:val="0006257A"/>
    <w:rsid w:val="00062749"/>
    <w:rsid w:val="000629E2"/>
    <w:rsid w:val="00062B48"/>
    <w:rsid w:val="00063401"/>
    <w:rsid w:val="00063D3B"/>
    <w:rsid w:val="00063DB0"/>
    <w:rsid w:val="00063E5E"/>
    <w:rsid w:val="0006411B"/>
    <w:rsid w:val="000645BE"/>
    <w:rsid w:val="00064CDA"/>
    <w:rsid w:val="00065103"/>
    <w:rsid w:val="00065313"/>
    <w:rsid w:val="00065917"/>
    <w:rsid w:val="00065D08"/>
    <w:rsid w:val="0006653B"/>
    <w:rsid w:val="00066892"/>
    <w:rsid w:val="00066E29"/>
    <w:rsid w:val="00067290"/>
    <w:rsid w:val="00071027"/>
    <w:rsid w:val="00071DC3"/>
    <w:rsid w:val="00072C38"/>
    <w:rsid w:val="00073044"/>
    <w:rsid w:val="000733DE"/>
    <w:rsid w:val="000740C7"/>
    <w:rsid w:val="000740F2"/>
    <w:rsid w:val="000747CA"/>
    <w:rsid w:val="000747E0"/>
    <w:rsid w:val="00074AAE"/>
    <w:rsid w:val="000756A4"/>
    <w:rsid w:val="000758ED"/>
    <w:rsid w:val="00076159"/>
    <w:rsid w:val="0007617D"/>
    <w:rsid w:val="000762A1"/>
    <w:rsid w:val="00076B71"/>
    <w:rsid w:val="000777FD"/>
    <w:rsid w:val="00077B36"/>
    <w:rsid w:val="000804FB"/>
    <w:rsid w:val="0008084A"/>
    <w:rsid w:val="00080EBC"/>
    <w:rsid w:val="000814F5"/>
    <w:rsid w:val="00081CEB"/>
    <w:rsid w:val="00081ECD"/>
    <w:rsid w:val="0008313B"/>
    <w:rsid w:val="00083285"/>
    <w:rsid w:val="00083DF0"/>
    <w:rsid w:val="00084209"/>
    <w:rsid w:val="000844A8"/>
    <w:rsid w:val="00084CF7"/>
    <w:rsid w:val="00084F99"/>
    <w:rsid w:val="000852A9"/>
    <w:rsid w:val="00085980"/>
    <w:rsid w:val="00085CBD"/>
    <w:rsid w:val="00085CF1"/>
    <w:rsid w:val="00085DEB"/>
    <w:rsid w:val="00085FF6"/>
    <w:rsid w:val="00086F6C"/>
    <w:rsid w:val="0008704C"/>
    <w:rsid w:val="0008781E"/>
    <w:rsid w:val="000878A1"/>
    <w:rsid w:val="00087C00"/>
    <w:rsid w:val="0009050C"/>
    <w:rsid w:val="000905EE"/>
    <w:rsid w:val="000907B8"/>
    <w:rsid w:val="000909F6"/>
    <w:rsid w:val="00091450"/>
    <w:rsid w:val="00091BEA"/>
    <w:rsid w:val="000920C0"/>
    <w:rsid w:val="00092E22"/>
    <w:rsid w:val="00093078"/>
    <w:rsid w:val="000930E6"/>
    <w:rsid w:val="0009313C"/>
    <w:rsid w:val="000933ED"/>
    <w:rsid w:val="00093FE9"/>
    <w:rsid w:val="000944E6"/>
    <w:rsid w:val="00094C63"/>
    <w:rsid w:val="000969E6"/>
    <w:rsid w:val="00096D1C"/>
    <w:rsid w:val="0009768B"/>
    <w:rsid w:val="00097797"/>
    <w:rsid w:val="000A0209"/>
    <w:rsid w:val="000A0363"/>
    <w:rsid w:val="000A153C"/>
    <w:rsid w:val="000A2C93"/>
    <w:rsid w:val="000A2F5A"/>
    <w:rsid w:val="000A3079"/>
    <w:rsid w:val="000A32E7"/>
    <w:rsid w:val="000A33B1"/>
    <w:rsid w:val="000A33ED"/>
    <w:rsid w:val="000A35A5"/>
    <w:rsid w:val="000A3E5D"/>
    <w:rsid w:val="000A3EE0"/>
    <w:rsid w:val="000A427C"/>
    <w:rsid w:val="000A45DA"/>
    <w:rsid w:val="000A5089"/>
    <w:rsid w:val="000A623E"/>
    <w:rsid w:val="000A67C5"/>
    <w:rsid w:val="000A6BCE"/>
    <w:rsid w:val="000A6ECB"/>
    <w:rsid w:val="000A75A5"/>
    <w:rsid w:val="000A7CA6"/>
    <w:rsid w:val="000B12A3"/>
    <w:rsid w:val="000B172B"/>
    <w:rsid w:val="000B185C"/>
    <w:rsid w:val="000B1B4D"/>
    <w:rsid w:val="000B1C34"/>
    <w:rsid w:val="000B24F1"/>
    <w:rsid w:val="000B25D0"/>
    <w:rsid w:val="000B2D8F"/>
    <w:rsid w:val="000B3024"/>
    <w:rsid w:val="000B3472"/>
    <w:rsid w:val="000B440D"/>
    <w:rsid w:val="000B4783"/>
    <w:rsid w:val="000B4EDB"/>
    <w:rsid w:val="000B4EDF"/>
    <w:rsid w:val="000B513A"/>
    <w:rsid w:val="000B51AE"/>
    <w:rsid w:val="000B544A"/>
    <w:rsid w:val="000B58CA"/>
    <w:rsid w:val="000B7320"/>
    <w:rsid w:val="000B7F7A"/>
    <w:rsid w:val="000C0805"/>
    <w:rsid w:val="000C0B14"/>
    <w:rsid w:val="000C195E"/>
    <w:rsid w:val="000C2132"/>
    <w:rsid w:val="000C2BA1"/>
    <w:rsid w:val="000C30A9"/>
    <w:rsid w:val="000C388A"/>
    <w:rsid w:val="000C3E79"/>
    <w:rsid w:val="000C41FB"/>
    <w:rsid w:val="000C4A79"/>
    <w:rsid w:val="000C4C0F"/>
    <w:rsid w:val="000C50AF"/>
    <w:rsid w:val="000C50BA"/>
    <w:rsid w:val="000C54A6"/>
    <w:rsid w:val="000C5C7F"/>
    <w:rsid w:val="000C5EEC"/>
    <w:rsid w:val="000C5F75"/>
    <w:rsid w:val="000C685B"/>
    <w:rsid w:val="000C6CAC"/>
    <w:rsid w:val="000C6F56"/>
    <w:rsid w:val="000C7230"/>
    <w:rsid w:val="000C7435"/>
    <w:rsid w:val="000C774E"/>
    <w:rsid w:val="000C7F6D"/>
    <w:rsid w:val="000D05B7"/>
    <w:rsid w:val="000D0A66"/>
    <w:rsid w:val="000D0D54"/>
    <w:rsid w:val="000D0E99"/>
    <w:rsid w:val="000D150C"/>
    <w:rsid w:val="000D1818"/>
    <w:rsid w:val="000D19AB"/>
    <w:rsid w:val="000D234A"/>
    <w:rsid w:val="000D291D"/>
    <w:rsid w:val="000D2AC6"/>
    <w:rsid w:val="000D2B8D"/>
    <w:rsid w:val="000D2ED6"/>
    <w:rsid w:val="000D30F1"/>
    <w:rsid w:val="000D3150"/>
    <w:rsid w:val="000D35E5"/>
    <w:rsid w:val="000D38A5"/>
    <w:rsid w:val="000D3E09"/>
    <w:rsid w:val="000D3E55"/>
    <w:rsid w:val="000D44C8"/>
    <w:rsid w:val="000D4762"/>
    <w:rsid w:val="000D4E1B"/>
    <w:rsid w:val="000D5F2E"/>
    <w:rsid w:val="000D63F2"/>
    <w:rsid w:val="000D696B"/>
    <w:rsid w:val="000D750F"/>
    <w:rsid w:val="000D759F"/>
    <w:rsid w:val="000D75FD"/>
    <w:rsid w:val="000D7B0D"/>
    <w:rsid w:val="000E08D6"/>
    <w:rsid w:val="000E0CF8"/>
    <w:rsid w:val="000E1676"/>
    <w:rsid w:val="000E205C"/>
    <w:rsid w:val="000E2123"/>
    <w:rsid w:val="000E2758"/>
    <w:rsid w:val="000E27D3"/>
    <w:rsid w:val="000E27F1"/>
    <w:rsid w:val="000E2CD7"/>
    <w:rsid w:val="000E2F9B"/>
    <w:rsid w:val="000E2FB8"/>
    <w:rsid w:val="000E3186"/>
    <w:rsid w:val="000E3249"/>
    <w:rsid w:val="000E34E8"/>
    <w:rsid w:val="000E41DB"/>
    <w:rsid w:val="000E4626"/>
    <w:rsid w:val="000E4D00"/>
    <w:rsid w:val="000E553C"/>
    <w:rsid w:val="000E5B4F"/>
    <w:rsid w:val="000E67F1"/>
    <w:rsid w:val="000E7032"/>
    <w:rsid w:val="000E7158"/>
    <w:rsid w:val="000E73DB"/>
    <w:rsid w:val="000E7B81"/>
    <w:rsid w:val="000E7ED3"/>
    <w:rsid w:val="000F01C9"/>
    <w:rsid w:val="000F0EB4"/>
    <w:rsid w:val="000F14D1"/>
    <w:rsid w:val="000F16DB"/>
    <w:rsid w:val="000F1EEF"/>
    <w:rsid w:val="000F23AB"/>
    <w:rsid w:val="000F247B"/>
    <w:rsid w:val="000F2D20"/>
    <w:rsid w:val="000F3413"/>
    <w:rsid w:val="000F3E31"/>
    <w:rsid w:val="000F3F2C"/>
    <w:rsid w:val="000F4108"/>
    <w:rsid w:val="000F4306"/>
    <w:rsid w:val="000F4602"/>
    <w:rsid w:val="000F4B98"/>
    <w:rsid w:val="000F50DA"/>
    <w:rsid w:val="000F543F"/>
    <w:rsid w:val="000F5B4E"/>
    <w:rsid w:val="000F5D27"/>
    <w:rsid w:val="000F6384"/>
    <w:rsid w:val="000F66C3"/>
    <w:rsid w:val="00100440"/>
    <w:rsid w:val="0010076F"/>
    <w:rsid w:val="00100E97"/>
    <w:rsid w:val="00100F11"/>
    <w:rsid w:val="00100FA3"/>
    <w:rsid w:val="00101887"/>
    <w:rsid w:val="00101906"/>
    <w:rsid w:val="00101FB4"/>
    <w:rsid w:val="00101FF3"/>
    <w:rsid w:val="0010218A"/>
    <w:rsid w:val="00102485"/>
    <w:rsid w:val="00102764"/>
    <w:rsid w:val="00103A34"/>
    <w:rsid w:val="00103B8E"/>
    <w:rsid w:val="00103C44"/>
    <w:rsid w:val="00103C4D"/>
    <w:rsid w:val="00104326"/>
    <w:rsid w:val="0010486F"/>
    <w:rsid w:val="001050A0"/>
    <w:rsid w:val="001055F8"/>
    <w:rsid w:val="001068F9"/>
    <w:rsid w:val="00106B42"/>
    <w:rsid w:val="00107D85"/>
    <w:rsid w:val="00110F48"/>
    <w:rsid w:val="00111388"/>
    <w:rsid w:val="00111976"/>
    <w:rsid w:val="00112132"/>
    <w:rsid w:val="0011223B"/>
    <w:rsid w:val="0011281D"/>
    <w:rsid w:val="00112EB7"/>
    <w:rsid w:val="0011377E"/>
    <w:rsid w:val="00113905"/>
    <w:rsid w:val="00113F53"/>
    <w:rsid w:val="00114082"/>
    <w:rsid w:val="00114433"/>
    <w:rsid w:val="00114956"/>
    <w:rsid w:val="00114E24"/>
    <w:rsid w:val="0011511E"/>
    <w:rsid w:val="00115245"/>
    <w:rsid w:val="00115253"/>
    <w:rsid w:val="0011693C"/>
    <w:rsid w:val="001172A4"/>
    <w:rsid w:val="00117484"/>
    <w:rsid w:val="00117543"/>
    <w:rsid w:val="00117B29"/>
    <w:rsid w:val="00117BE2"/>
    <w:rsid w:val="00117C42"/>
    <w:rsid w:val="0012030E"/>
    <w:rsid w:val="0012042C"/>
    <w:rsid w:val="0012052B"/>
    <w:rsid w:val="00121526"/>
    <w:rsid w:val="00121D75"/>
    <w:rsid w:val="00122DC0"/>
    <w:rsid w:val="001236D4"/>
    <w:rsid w:val="001236DE"/>
    <w:rsid w:val="00124B13"/>
    <w:rsid w:val="00125055"/>
    <w:rsid w:val="0012575F"/>
    <w:rsid w:val="001257F7"/>
    <w:rsid w:val="001258DB"/>
    <w:rsid w:val="00125D60"/>
    <w:rsid w:val="001261BB"/>
    <w:rsid w:val="00126C49"/>
    <w:rsid w:val="001275C5"/>
    <w:rsid w:val="00130097"/>
    <w:rsid w:val="00130670"/>
    <w:rsid w:val="001309C6"/>
    <w:rsid w:val="00130CC6"/>
    <w:rsid w:val="00131128"/>
    <w:rsid w:val="00131392"/>
    <w:rsid w:val="0013146B"/>
    <w:rsid w:val="00131BC9"/>
    <w:rsid w:val="00131E0D"/>
    <w:rsid w:val="00133230"/>
    <w:rsid w:val="00133D0E"/>
    <w:rsid w:val="00133F0C"/>
    <w:rsid w:val="00134118"/>
    <w:rsid w:val="001343BE"/>
    <w:rsid w:val="001344CD"/>
    <w:rsid w:val="0013467F"/>
    <w:rsid w:val="00134816"/>
    <w:rsid w:val="00134D10"/>
    <w:rsid w:val="001358B5"/>
    <w:rsid w:val="00135CBC"/>
    <w:rsid w:val="00136324"/>
    <w:rsid w:val="00136469"/>
    <w:rsid w:val="001364E8"/>
    <w:rsid w:val="00136E4B"/>
    <w:rsid w:val="00136EE5"/>
    <w:rsid w:val="00136F07"/>
    <w:rsid w:val="001374C7"/>
    <w:rsid w:val="00137946"/>
    <w:rsid w:val="0014112A"/>
    <w:rsid w:val="00141C4A"/>
    <w:rsid w:val="00142533"/>
    <w:rsid w:val="00142910"/>
    <w:rsid w:val="00142AD6"/>
    <w:rsid w:val="001431A2"/>
    <w:rsid w:val="001431EB"/>
    <w:rsid w:val="00143EF6"/>
    <w:rsid w:val="00144008"/>
    <w:rsid w:val="00144049"/>
    <w:rsid w:val="001449FE"/>
    <w:rsid w:val="00144F71"/>
    <w:rsid w:val="00145208"/>
    <w:rsid w:val="0014555D"/>
    <w:rsid w:val="00145AFE"/>
    <w:rsid w:val="00145BD4"/>
    <w:rsid w:val="00145E89"/>
    <w:rsid w:val="00146893"/>
    <w:rsid w:val="00146900"/>
    <w:rsid w:val="00146A03"/>
    <w:rsid w:val="00146AFA"/>
    <w:rsid w:val="00146C0F"/>
    <w:rsid w:val="00147690"/>
    <w:rsid w:val="001479FA"/>
    <w:rsid w:val="00147AAD"/>
    <w:rsid w:val="00147C50"/>
    <w:rsid w:val="0015003D"/>
    <w:rsid w:val="001502E9"/>
    <w:rsid w:val="0015043F"/>
    <w:rsid w:val="00150A3B"/>
    <w:rsid w:val="00150CF7"/>
    <w:rsid w:val="00150EF8"/>
    <w:rsid w:val="001510C7"/>
    <w:rsid w:val="001518F6"/>
    <w:rsid w:val="00152199"/>
    <w:rsid w:val="001522DD"/>
    <w:rsid w:val="00154058"/>
    <w:rsid w:val="00154189"/>
    <w:rsid w:val="00154534"/>
    <w:rsid w:val="0015482C"/>
    <w:rsid w:val="0015586F"/>
    <w:rsid w:val="00155BA6"/>
    <w:rsid w:val="00155D33"/>
    <w:rsid w:val="0015621C"/>
    <w:rsid w:val="00157541"/>
    <w:rsid w:val="00157622"/>
    <w:rsid w:val="001579FD"/>
    <w:rsid w:val="00157AC6"/>
    <w:rsid w:val="00160018"/>
    <w:rsid w:val="0016028D"/>
    <w:rsid w:val="001603FE"/>
    <w:rsid w:val="00161335"/>
    <w:rsid w:val="001614FE"/>
    <w:rsid w:val="00161A8A"/>
    <w:rsid w:val="00161EA1"/>
    <w:rsid w:val="00161FF0"/>
    <w:rsid w:val="001620B2"/>
    <w:rsid w:val="001623EB"/>
    <w:rsid w:val="00162422"/>
    <w:rsid w:val="0016283B"/>
    <w:rsid w:val="00163944"/>
    <w:rsid w:val="00163DBB"/>
    <w:rsid w:val="00164720"/>
    <w:rsid w:val="001651F6"/>
    <w:rsid w:val="00165481"/>
    <w:rsid w:val="00165F87"/>
    <w:rsid w:val="00166836"/>
    <w:rsid w:val="00166A5F"/>
    <w:rsid w:val="00166A9E"/>
    <w:rsid w:val="00166B78"/>
    <w:rsid w:val="0016740E"/>
    <w:rsid w:val="00167429"/>
    <w:rsid w:val="001676AB"/>
    <w:rsid w:val="0016776D"/>
    <w:rsid w:val="00167923"/>
    <w:rsid w:val="00167CCF"/>
    <w:rsid w:val="00167CD3"/>
    <w:rsid w:val="0017078B"/>
    <w:rsid w:val="00170F6A"/>
    <w:rsid w:val="0017132C"/>
    <w:rsid w:val="00171720"/>
    <w:rsid w:val="00171CAF"/>
    <w:rsid w:val="00172126"/>
    <w:rsid w:val="001748A1"/>
    <w:rsid w:val="001754C9"/>
    <w:rsid w:val="001759CA"/>
    <w:rsid w:val="00176471"/>
    <w:rsid w:val="00176A82"/>
    <w:rsid w:val="00176B1E"/>
    <w:rsid w:val="00176F2D"/>
    <w:rsid w:val="00177980"/>
    <w:rsid w:val="00177AE8"/>
    <w:rsid w:val="0018033D"/>
    <w:rsid w:val="00180A2A"/>
    <w:rsid w:val="00180EFC"/>
    <w:rsid w:val="0018147A"/>
    <w:rsid w:val="0018196A"/>
    <w:rsid w:val="00181A6C"/>
    <w:rsid w:val="00181DA7"/>
    <w:rsid w:val="001825BC"/>
    <w:rsid w:val="001828DE"/>
    <w:rsid w:val="00182B26"/>
    <w:rsid w:val="00182CC7"/>
    <w:rsid w:val="00182D7B"/>
    <w:rsid w:val="0018335F"/>
    <w:rsid w:val="00183A73"/>
    <w:rsid w:val="00183A82"/>
    <w:rsid w:val="00183E0C"/>
    <w:rsid w:val="00184658"/>
    <w:rsid w:val="00184AB4"/>
    <w:rsid w:val="00184EAD"/>
    <w:rsid w:val="00184F01"/>
    <w:rsid w:val="0018516C"/>
    <w:rsid w:val="00185511"/>
    <w:rsid w:val="00185B40"/>
    <w:rsid w:val="001866F5"/>
    <w:rsid w:val="00187820"/>
    <w:rsid w:val="001878A8"/>
    <w:rsid w:val="001903D6"/>
    <w:rsid w:val="00191BA4"/>
    <w:rsid w:val="00192746"/>
    <w:rsid w:val="001930F6"/>
    <w:rsid w:val="00194DF9"/>
    <w:rsid w:val="001951B2"/>
    <w:rsid w:val="001951DC"/>
    <w:rsid w:val="001951F9"/>
    <w:rsid w:val="001952B4"/>
    <w:rsid w:val="00195BD3"/>
    <w:rsid w:val="00196440"/>
    <w:rsid w:val="001964F0"/>
    <w:rsid w:val="00196C62"/>
    <w:rsid w:val="00196F15"/>
    <w:rsid w:val="001A09B5"/>
    <w:rsid w:val="001A11B7"/>
    <w:rsid w:val="001A1644"/>
    <w:rsid w:val="001A1682"/>
    <w:rsid w:val="001A1AA3"/>
    <w:rsid w:val="001A1BFA"/>
    <w:rsid w:val="001A1D77"/>
    <w:rsid w:val="001A270F"/>
    <w:rsid w:val="001A31F4"/>
    <w:rsid w:val="001A4176"/>
    <w:rsid w:val="001A434A"/>
    <w:rsid w:val="001A43D7"/>
    <w:rsid w:val="001A47A0"/>
    <w:rsid w:val="001A48B3"/>
    <w:rsid w:val="001A48B4"/>
    <w:rsid w:val="001A4D11"/>
    <w:rsid w:val="001A4DE6"/>
    <w:rsid w:val="001A54F8"/>
    <w:rsid w:val="001A5556"/>
    <w:rsid w:val="001A5C54"/>
    <w:rsid w:val="001A5E1F"/>
    <w:rsid w:val="001A6DF6"/>
    <w:rsid w:val="001A7E5B"/>
    <w:rsid w:val="001B00E9"/>
    <w:rsid w:val="001B03F3"/>
    <w:rsid w:val="001B0585"/>
    <w:rsid w:val="001B06C3"/>
    <w:rsid w:val="001B06F2"/>
    <w:rsid w:val="001B0B34"/>
    <w:rsid w:val="001B0DCF"/>
    <w:rsid w:val="001B0E7F"/>
    <w:rsid w:val="001B12A6"/>
    <w:rsid w:val="001B12C6"/>
    <w:rsid w:val="001B1304"/>
    <w:rsid w:val="001B156C"/>
    <w:rsid w:val="001B1752"/>
    <w:rsid w:val="001B1E32"/>
    <w:rsid w:val="001B257D"/>
    <w:rsid w:val="001B3167"/>
    <w:rsid w:val="001B3F5E"/>
    <w:rsid w:val="001B4477"/>
    <w:rsid w:val="001B4570"/>
    <w:rsid w:val="001B4674"/>
    <w:rsid w:val="001B4D3E"/>
    <w:rsid w:val="001B4E55"/>
    <w:rsid w:val="001B623D"/>
    <w:rsid w:val="001B732A"/>
    <w:rsid w:val="001B7B23"/>
    <w:rsid w:val="001C0131"/>
    <w:rsid w:val="001C037C"/>
    <w:rsid w:val="001C0CB8"/>
    <w:rsid w:val="001C117B"/>
    <w:rsid w:val="001C1303"/>
    <w:rsid w:val="001C1644"/>
    <w:rsid w:val="001C166B"/>
    <w:rsid w:val="001C1844"/>
    <w:rsid w:val="001C1FBC"/>
    <w:rsid w:val="001C1FFE"/>
    <w:rsid w:val="001C2DA4"/>
    <w:rsid w:val="001C2F6B"/>
    <w:rsid w:val="001C3437"/>
    <w:rsid w:val="001C3DDA"/>
    <w:rsid w:val="001C4387"/>
    <w:rsid w:val="001C58E1"/>
    <w:rsid w:val="001C614E"/>
    <w:rsid w:val="001C6451"/>
    <w:rsid w:val="001C650B"/>
    <w:rsid w:val="001C6F24"/>
    <w:rsid w:val="001C6F74"/>
    <w:rsid w:val="001C7070"/>
    <w:rsid w:val="001C741C"/>
    <w:rsid w:val="001C77D3"/>
    <w:rsid w:val="001C7EBC"/>
    <w:rsid w:val="001C7F2C"/>
    <w:rsid w:val="001D1308"/>
    <w:rsid w:val="001D2362"/>
    <w:rsid w:val="001D24F7"/>
    <w:rsid w:val="001D2F79"/>
    <w:rsid w:val="001D346D"/>
    <w:rsid w:val="001D353D"/>
    <w:rsid w:val="001D389F"/>
    <w:rsid w:val="001D39FC"/>
    <w:rsid w:val="001D43EC"/>
    <w:rsid w:val="001D49C7"/>
    <w:rsid w:val="001D4BE5"/>
    <w:rsid w:val="001D4DF8"/>
    <w:rsid w:val="001D54C9"/>
    <w:rsid w:val="001D58CD"/>
    <w:rsid w:val="001D6528"/>
    <w:rsid w:val="001D70A7"/>
    <w:rsid w:val="001D711A"/>
    <w:rsid w:val="001D72DC"/>
    <w:rsid w:val="001D7688"/>
    <w:rsid w:val="001D770E"/>
    <w:rsid w:val="001D7F33"/>
    <w:rsid w:val="001E061E"/>
    <w:rsid w:val="001E065A"/>
    <w:rsid w:val="001E0F21"/>
    <w:rsid w:val="001E0FBB"/>
    <w:rsid w:val="001E1FF7"/>
    <w:rsid w:val="001E2060"/>
    <w:rsid w:val="001E22F6"/>
    <w:rsid w:val="001E232D"/>
    <w:rsid w:val="001E26AC"/>
    <w:rsid w:val="001E29EF"/>
    <w:rsid w:val="001E33CC"/>
    <w:rsid w:val="001E36B5"/>
    <w:rsid w:val="001E39DD"/>
    <w:rsid w:val="001E3B19"/>
    <w:rsid w:val="001E4170"/>
    <w:rsid w:val="001E503A"/>
    <w:rsid w:val="001E52CA"/>
    <w:rsid w:val="001E52F3"/>
    <w:rsid w:val="001E5704"/>
    <w:rsid w:val="001E5855"/>
    <w:rsid w:val="001E5A4C"/>
    <w:rsid w:val="001E5CEE"/>
    <w:rsid w:val="001E643E"/>
    <w:rsid w:val="001E7018"/>
    <w:rsid w:val="001E7065"/>
    <w:rsid w:val="001E7B4F"/>
    <w:rsid w:val="001E7DB9"/>
    <w:rsid w:val="001E7DFE"/>
    <w:rsid w:val="001E7E69"/>
    <w:rsid w:val="001E7F41"/>
    <w:rsid w:val="001F03DB"/>
    <w:rsid w:val="001F04FE"/>
    <w:rsid w:val="001F08C0"/>
    <w:rsid w:val="001F0E0D"/>
    <w:rsid w:val="001F19E5"/>
    <w:rsid w:val="001F1CA5"/>
    <w:rsid w:val="001F1F05"/>
    <w:rsid w:val="001F2147"/>
    <w:rsid w:val="001F2DC5"/>
    <w:rsid w:val="001F30DF"/>
    <w:rsid w:val="001F359E"/>
    <w:rsid w:val="001F3715"/>
    <w:rsid w:val="001F3823"/>
    <w:rsid w:val="001F4AB2"/>
    <w:rsid w:val="001F5102"/>
    <w:rsid w:val="001F5397"/>
    <w:rsid w:val="001F53BA"/>
    <w:rsid w:val="001F54B4"/>
    <w:rsid w:val="001F56BC"/>
    <w:rsid w:val="001F5C68"/>
    <w:rsid w:val="001F62FA"/>
    <w:rsid w:val="001F642B"/>
    <w:rsid w:val="001F698B"/>
    <w:rsid w:val="001F6D2A"/>
    <w:rsid w:val="001F79D4"/>
    <w:rsid w:val="0020088D"/>
    <w:rsid w:val="002016BF"/>
    <w:rsid w:val="00201AE8"/>
    <w:rsid w:val="002025A4"/>
    <w:rsid w:val="00202C21"/>
    <w:rsid w:val="00203077"/>
    <w:rsid w:val="00203274"/>
    <w:rsid w:val="0020397F"/>
    <w:rsid w:val="00203A80"/>
    <w:rsid w:val="002049C7"/>
    <w:rsid w:val="00205199"/>
    <w:rsid w:val="0020531F"/>
    <w:rsid w:val="0020559B"/>
    <w:rsid w:val="0020581C"/>
    <w:rsid w:val="00205A8A"/>
    <w:rsid w:val="00205BCA"/>
    <w:rsid w:val="0020602D"/>
    <w:rsid w:val="002061CD"/>
    <w:rsid w:val="002062CF"/>
    <w:rsid w:val="002063EA"/>
    <w:rsid w:val="00206416"/>
    <w:rsid w:val="0020679A"/>
    <w:rsid w:val="0020687E"/>
    <w:rsid w:val="002073B2"/>
    <w:rsid w:val="00207EDD"/>
    <w:rsid w:val="002103BB"/>
    <w:rsid w:val="002104CB"/>
    <w:rsid w:val="00210630"/>
    <w:rsid w:val="00210B41"/>
    <w:rsid w:val="002116F1"/>
    <w:rsid w:val="00211A15"/>
    <w:rsid w:val="00211D47"/>
    <w:rsid w:val="00211E24"/>
    <w:rsid w:val="00212150"/>
    <w:rsid w:val="00212219"/>
    <w:rsid w:val="00212233"/>
    <w:rsid w:val="00212BF2"/>
    <w:rsid w:val="0021312E"/>
    <w:rsid w:val="00213297"/>
    <w:rsid w:val="00213749"/>
    <w:rsid w:val="00213AE2"/>
    <w:rsid w:val="00213BFC"/>
    <w:rsid w:val="00213E64"/>
    <w:rsid w:val="00213F3E"/>
    <w:rsid w:val="00214030"/>
    <w:rsid w:val="00214641"/>
    <w:rsid w:val="00214868"/>
    <w:rsid w:val="00214876"/>
    <w:rsid w:val="002156A4"/>
    <w:rsid w:val="00215E6C"/>
    <w:rsid w:val="00217122"/>
    <w:rsid w:val="002171E1"/>
    <w:rsid w:val="0021791A"/>
    <w:rsid w:val="00220173"/>
    <w:rsid w:val="002204D7"/>
    <w:rsid w:val="0022060B"/>
    <w:rsid w:val="00220DE8"/>
    <w:rsid w:val="00220F7B"/>
    <w:rsid w:val="00220FA9"/>
    <w:rsid w:val="0022109A"/>
    <w:rsid w:val="00221838"/>
    <w:rsid w:val="00221AC7"/>
    <w:rsid w:val="00221AD9"/>
    <w:rsid w:val="00221BE8"/>
    <w:rsid w:val="00221BEE"/>
    <w:rsid w:val="00221C32"/>
    <w:rsid w:val="00222139"/>
    <w:rsid w:val="0022230B"/>
    <w:rsid w:val="0022260E"/>
    <w:rsid w:val="00222724"/>
    <w:rsid w:val="00222810"/>
    <w:rsid w:val="002228D4"/>
    <w:rsid w:val="002229D6"/>
    <w:rsid w:val="00222C11"/>
    <w:rsid w:val="00222F90"/>
    <w:rsid w:val="002235E6"/>
    <w:rsid w:val="00223769"/>
    <w:rsid w:val="0022494D"/>
    <w:rsid w:val="00224984"/>
    <w:rsid w:val="002250BB"/>
    <w:rsid w:val="002256C4"/>
    <w:rsid w:val="00225723"/>
    <w:rsid w:val="00225DAA"/>
    <w:rsid w:val="00226D7E"/>
    <w:rsid w:val="00227001"/>
    <w:rsid w:val="00227135"/>
    <w:rsid w:val="002276E3"/>
    <w:rsid w:val="00227875"/>
    <w:rsid w:val="00230668"/>
    <w:rsid w:val="00231100"/>
    <w:rsid w:val="0023197E"/>
    <w:rsid w:val="00231B66"/>
    <w:rsid w:val="00231F2F"/>
    <w:rsid w:val="002325A7"/>
    <w:rsid w:val="00233951"/>
    <w:rsid w:val="00233AAD"/>
    <w:rsid w:val="002341E4"/>
    <w:rsid w:val="002356F2"/>
    <w:rsid w:val="00236030"/>
    <w:rsid w:val="00236055"/>
    <w:rsid w:val="00236089"/>
    <w:rsid w:val="00236240"/>
    <w:rsid w:val="002362EB"/>
    <w:rsid w:val="002362F8"/>
    <w:rsid w:val="00236857"/>
    <w:rsid w:val="002371EE"/>
    <w:rsid w:val="00237900"/>
    <w:rsid w:val="00237E49"/>
    <w:rsid w:val="0024067D"/>
    <w:rsid w:val="002406C5"/>
    <w:rsid w:val="00240C53"/>
    <w:rsid w:val="00240F1F"/>
    <w:rsid w:val="00240FAF"/>
    <w:rsid w:val="002410AC"/>
    <w:rsid w:val="002411A6"/>
    <w:rsid w:val="002415C0"/>
    <w:rsid w:val="0024205C"/>
    <w:rsid w:val="00242118"/>
    <w:rsid w:val="002428FE"/>
    <w:rsid w:val="0024307D"/>
    <w:rsid w:val="00243551"/>
    <w:rsid w:val="00243A0D"/>
    <w:rsid w:val="00243A98"/>
    <w:rsid w:val="00243F7B"/>
    <w:rsid w:val="00243FA4"/>
    <w:rsid w:val="00243FB1"/>
    <w:rsid w:val="00244063"/>
    <w:rsid w:val="0024469B"/>
    <w:rsid w:val="002447F1"/>
    <w:rsid w:val="002448C7"/>
    <w:rsid w:val="00244CDC"/>
    <w:rsid w:val="002451DB"/>
    <w:rsid w:val="00245622"/>
    <w:rsid w:val="002457A6"/>
    <w:rsid w:val="00245F9F"/>
    <w:rsid w:val="00246105"/>
    <w:rsid w:val="00246290"/>
    <w:rsid w:val="0024665D"/>
    <w:rsid w:val="00246CE1"/>
    <w:rsid w:val="00247100"/>
    <w:rsid w:val="00247190"/>
    <w:rsid w:val="002471A4"/>
    <w:rsid w:val="00247310"/>
    <w:rsid w:val="00247680"/>
    <w:rsid w:val="00247A49"/>
    <w:rsid w:val="00247D5F"/>
    <w:rsid w:val="00247D61"/>
    <w:rsid w:val="002502C0"/>
    <w:rsid w:val="002505B3"/>
    <w:rsid w:val="00250B8D"/>
    <w:rsid w:val="002511D0"/>
    <w:rsid w:val="002514E8"/>
    <w:rsid w:val="00251513"/>
    <w:rsid w:val="00251DE1"/>
    <w:rsid w:val="00251F96"/>
    <w:rsid w:val="00253B8C"/>
    <w:rsid w:val="002543A7"/>
    <w:rsid w:val="00254E6D"/>
    <w:rsid w:val="002553A2"/>
    <w:rsid w:val="00255C6A"/>
    <w:rsid w:val="00255EEB"/>
    <w:rsid w:val="00255F84"/>
    <w:rsid w:val="00256028"/>
    <w:rsid w:val="00256390"/>
    <w:rsid w:val="0025645F"/>
    <w:rsid w:val="002574B7"/>
    <w:rsid w:val="0025753E"/>
    <w:rsid w:val="00260362"/>
    <w:rsid w:val="0026051E"/>
    <w:rsid w:val="00260D55"/>
    <w:rsid w:val="00261678"/>
    <w:rsid w:val="002616EF"/>
    <w:rsid w:val="00261738"/>
    <w:rsid w:val="0026257E"/>
    <w:rsid w:val="0026287B"/>
    <w:rsid w:val="00262D06"/>
    <w:rsid w:val="0026338F"/>
    <w:rsid w:val="00264C30"/>
    <w:rsid w:val="00264E56"/>
    <w:rsid w:val="00265243"/>
    <w:rsid w:val="00265D2B"/>
    <w:rsid w:val="0026684E"/>
    <w:rsid w:val="002668DC"/>
    <w:rsid w:val="00266B62"/>
    <w:rsid w:val="00266F6E"/>
    <w:rsid w:val="00266FD6"/>
    <w:rsid w:val="002670B2"/>
    <w:rsid w:val="002672E8"/>
    <w:rsid w:val="0026758A"/>
    <w:rsid w:val="002675B4"/>
    <w:rsid w:val="00267FDA"/>
    <w:rsid w:val="0027016A"/>
    <w:rsid w:val="0027032D"/>
    <w:rsid w:val="0027034B"/>
    <w:rsid w:val="002706CC"/>
    <w:rsid w:val="00270731"/>
    <w:rsid w:val="00270966"/>
    <w:rsid w:val="00270BCD"/>
    <w:rsid w:val="00270E98"/>
    <w:rsid w:val="00271021"/>
    <w:rsid w:val="002710DF"/>
    <w:rsid w:val="00271397"/>
    <w:rsid w:val="002714DB"/>
    <w:rsid w:val="00271C44"/>
    <w:rsid w:val="00272003"/>
    <w:rsid w:val="002725AA"/>
    <w:rsid w:val="0027271A"/>
    <w:rsid w:val="00272A02"/>
    <w:rsid w:val="00272A49"/>
    <w:rsid w:val="00272ECC"/>
    <w:rsid w:val="00273187"/>
    <w:rsid w:val="00273737"/>
    <w:rsid w:val="00273A2C"/>
    <w:rsid w:val="00273DEF"/>
    <w:rsid w:val="002746E9"/>
    <w:rsid w:val="0027556C"/>
    <w:rsid w:val="002759AB"/>
    <w:rsid w:val="0027607B"/>
    <w:rsid w:val="00276C55"/>
    <w:rsid w:val="00276C96"/>
    <w:rsid w:val="002771E5"/>
    <w:rsid w:val="002772C7"/>
    <w:rsid w:val="0027752B"/>
    <w:rsid w:val="002776D9"/>
    <w:rsid w:val="00277D0E"/>
    <w:rsid w:val="00280455"/>
    <w:rsid w:val="002805BF"/>
    <w:rsid w:val="0028132B"/>
    <w:rsid w:val="002815CC"/>
    <w:rsid w:val="00281750"/>
    <w:rsid w:val="002817CA"/>
    <w:rsid w:val="002819EC"/>
    <w:rsid w:val="0028238C"/>
    <w:rsid w:val="0028258C"/>
    <w:rsid w:val="00282D10"/>
    <w:rsid w:val="00283177"/>
    <w:rsid w:val="00284434"/>
    <w:rsid w:val="00284435"/>
    <w:rsid w:val="0028446B"/>
    <w:rsid w:val="00284570"/>
    <w:rsid w:val="00284683"/>
    <w:rsid w:val="00284954"/>
    <w:rsid w:val="00285D0C"/>
    <w:rsid w:val="00286479"/>
    <w:rsid w:val="002869E0"/>
    <w:rsid w:val="00287072"/>
    <w:rsid w:val="002872BA"/>
    <w:rsid w:val="00287356"/>
    <w:rsid w:val="00287D16"/>
    <w:rsid w:val="00290208"/>
    <w:rsid w:val="0029028A"/>
    <w:rsid w:val="002911D3"/>
    <w:rsid w:val="0029139D"/>
    <w:rsid w:val="00291E7F"/>
    <w:rsid w:val="00292467"/>
    <w:rsid w:val="00292A0E"/>
    <w:rsid w:val="00293174"/>
    <w:rsid w:val="00293238"/>
    <w:rsid w:val="00293A91"/>
    <w:rsid w:val="00293EA7"/>
    <w:rsid w:val="002944AE"/>
    <w:rsid w:val="00294C8F"/>
    <w:rsid w:val="00295086"/>
    <w:rsid w:val="00295CDE"/>
    <w:rsid w:val="00295E62"/>
    <w:rsid w:val="002960AF"/>
    <w:rsid w:val="00296C76"/>
    <w:rsid w:val="00296E44"/>
    <w:rsid w:val="00296FD8"/>
    <w:rsid w:val="002970DD"/>
    <w:rsid w:val="00297997"/>
    <w:rsid w:val="00297A20"/>
    <w:rsid w:val="00297C18"/>
    <w:rsid w:val="002A0AF9"/>
    <w:rsid w:val="002A0BB4"/>
    <w:rsid w:val="002A102E"/>
    <w:rsid w:val="002A1490"/>
    <w:rsid w:val="002A1551"/>
    <w:rsid w:val="002A1798"/>
    <w:rsid w:val="002A17E8"/>
    <w:rsid w:val="002A189C"/>
    <w:rsid w:val="002A1F8B"/>
    <w:rsid w:val="002A2CD7"/>
    <w:rsid w:val="002A3C41"/>
    <w:rsid w:val="002A47BF"/>
    <w:rsid w:val="002A4F44"/>
    <w:rsid w:val="002A566A"/>
    <w:rsid w:val="002A67D8"/>
    <w:rsid w:val="002A68F0"/>
    <w:rsid w:val="002A6BB8"/>
    <w:rsid w:val="002A6FD2"/>
    <w:rsid w:val="002B0FEB"/>
    <w:rsid w:val="002B1296"/>
    <w:rsid w:val="002B14F6"/>
    <w:rsid w:val="002B1B2D"/>
    <w:rsid w:val="002B1C76"/>
    <w:rsid w:val="002B24B5"/>
    <w:rsid w:val="002B2540"/>
    <w:rsid w:val="002B2AE3"/>
    <w:rsid w:val="002B30DD"/>
    <w:rsid w:val="002B3205"/>
    <w:rsid w:val="002B32A8"/>
    <w:rsid w:val="002B3573"/>
    <w:rsid w:val="002B39D3"/>
    <w:rsid w:val="002B40B5"/>
    <w:rsid w:val="002B5386"/>
    <w:rsid w:val="002B583C"/>
    <w:rsid w:val="002B5C5B"/>
    <w:rsid w:val="002B632C"/>
    <w:rsid w:val="002B6379"/>
    <w:rsid w:val="002B6418"/>
    <w:rsid w:val="002B69F2"/>
    <w:rsid w:val="002B712B"/>
    <w:rsid w:val="002B7B3D"/>
    <w:rsid w:val="002C0244"/>
    <w:rsid w:val="002C05B7"/>
    <w:rsid w:val="002C09B3"/>
    <w:rsid w:val="002C09F6"/>
    <w:rsid w:val="002C0BEE"/>
    <w:rsid w:val="002C0E89"/>
    <w:rsid w:val="002C1052"/>
    <w:rsid w:val="002C1882"/>
    <w:rsid w:val="002C1BB2"/>
    <w:rsid w:val="002C2205"/>
    <w:rsid w:val="002C2A66"/>
    <w:rsid w:val="002C309C"/>
    <w:rsid w:val="002C3696"/>
    <w:rsid w:val="002C5406"/>
    <w:rsid w:val="002C6017"/>
    <w:rsid w:val="002C6A1E"/>
    <w:rsid w:val="002C6B8A"/>
    <w:rsid w:val="002C7218"/>
    <w:rsid w:val="002C72B4"/>
    <w:rsid w:val="002C72CB"/>
    <w:rsid w:val="002C77DA"/>
    <w:rsid w:val="002D038E"/>
    <w:rsid w:val="002D04D0"/>
    <w:rsid w:val="002D0918"/>
    <w:rsid w:val="002D13E9"/>
    <w:rsid w:val="002D186D"/>
    <w:rsid w:val="002D19FD"/>
    <w:rsid w:val="002D2117"/>
    <w:rsid w:val="002D2613"/>
    <w:rsid w:val="002D3C94"/>
    <w:rsid w:val="002D493E"/>
    <w:rsid w:val="002D50C4"/>
    <w:rsid w:val="002D5760"/>
    <w:rsid w:val="002D58C7"/>
    <w:rsid w:val="002D61BA"/>
    <w:rsid w:val="002D6232"/>
    <w:rsid w:val="002D6429"/>
    <w:rsid w:val="002D64B5"/>
    <w:rsid w:val="002D6579"/>
    <w:rsid w:val="002D665A"/>
    <w:rsid w:val="002D66A0"/>
    <w:rsid w:val="002D670E"/>
    <w:rsid w:val="002D6891"/>
    <w:rsid w:val="002D68FC"/>
    <w:rsid w:val="002D74BF"/>
    <w:rsid w:val="002D78CA"/>
    <w:rsid w:val="002E07C0"/>
    <w:rsid w:val="002E0E74"/>
    <w:rsid w:val="002E102D"/>
    <w:rsid w:val="002E12D2"/>
    <w:rsid w:val="002E1E48"/>
    <w:rsid w:val="002E2088"/>
    <w:rsid w:val="002E2ECA"/>
    <w:rsid w:val="002E3399"/>
    <w:rsid w:val="002E35AC"/>
    <w:rsid w:val="002E3A91"/>
    <w:rsid w:val="002E3F90"/>
    <w:rsid w:val="002E4654"/>
    <w:rsid w:val="002E56E9"/>
    <w:rsid w:val="002E5A4A"/>
    <w:rsid w:val="002E5E1B"/>
    <w:rsid w:val="002E607C"/>
    <w:rsid w:val="002E656C"/>
    <w:rsid w:val="002E6EC9"/>
    <w:rsid w:val="002F1008"/>
    <w:rsid w:val="002F10BA"/>
    <w:rsid w:val="002F11E2"/>
    <w:rsid w:val="002F1D40"/>
    <w:rsid w:val="002F1E2E"/>
    <w:rsid w:val="002F2070"/>
    <w:rsid w:val="002F233A"/>
    <w:rsid w:val="002F2639"/>
    <w:rsid w:val="002F28E3"/>
    <w:rsid w:val="002F4282"/>
    <w:rsid w:val="002F4AAE"/>
    <w:rsid w:val="002F6013"/>
    <w:rsid w:val="002F6295"/>
    <w:rsid w:val="002F6328"/>
    <w:rsid w:val="002F6FA0"/>
    <w:rsid w:val="002F731F"/>
    <w:rsid w:val="00300503"/>
    <w:rsid w:val="003012FF"/>
    <w:rsid w:val="0030132B"/>
    <w:rsid w:val="00302AFA"/>
    <w:rsid w:val="00302D79"/>
    <w:rsid w:val="003035E3"/>
    <w:rsid w:val="0030381E"/>
    <w:rsid w:val="003038AB"/>
    <w:rsid w:val="003041BB"/>
    <w:rsid w:val="00304620"/>
    <w:rsid w:val="0030498E"/>
    <w:rsid w:val="00304C67"/>
    <w:rsid w:val="00304FB7"/>
    <w:rsid w:val="0030540F"/>
    <w:rsid w:val="00305483"/>
    <w:rsid w:val="003057DC"/>
    <w:rsid w:val="003058D0"/>
    <w:rsid w:val="00305A23"/>
    <w:rsid w:val="00305E4F"/>
    <w:rsid w:val="00305ED8"/>
    <w:rsid w:val="0030668A"/>
    <w:rsid w:val="003066F7"/>
    <w:rsid w:val="00306E30"/>
    <w:rsid w:val="00306E36"/>
    <w:rsid w:val="00307610"/>
    <w:rsid w:val="0030773C"/>
    <w:rsid w:val="0031197B"/>
    <w:rsid w:val="00311A06"/>
    <w:rsid w:val="00311F4A"/>
    <w:rsid w:val="00311FBE"/>
    <w:rsid w:val="003132D5"/>
    <w:rsid w:val="0031379C"/>
    <w:rsid w:val="0031437D"/>
    <w:rsid w:val="00314540"/>
    <w:rsid w:val="0031493D"/>
    <w:rsid w:val="00315494"/>
    <w:rsid w:val="003159A3"/>
    <w:rsid w:val="00315B3C"/>
    <w:rsid w:val="00315BAE"/>
    <w:rsid w:val="00315E41"/>
    <w:rsid w:val="0031694A"/>
    <w:rsid w:val="00316C1D"/>
    <w:rsid w:val="0031752D"/>
    <w:rsid w:val="0031765F"/>
    <w:rsid w:val="00317BFF"/>
    <w:rsid w:val="00317CC7"/>
    <w:rsid w:val="00320598"/>
    <w:rsid w:val="0032067F"/>
    <w:rsid w:val="00322090"/>
    <w:rsid w:val="0032216B"/>
    <w:rsid w:val="0032224C"/>
    <w:rsid w:val="00322285"/>
    <w:rsid w:val="0032259A"/>
    <w:rsid w:val="003225AD"/>
    <w:rsid w:val="00322608"/>
    <w:rsid w:val="00323299"/>
    <w:rsid w:val="003239A5"/>
    <w:rsid w:val="003239CB"/>
    <w:rsid w:val="00323E74"/>
    <w:rsid w:val="003246DB"/>
    <w:rsid w:val="00324D5E"/>
    <w:rsid w:val="00324E54"/>
    <w:rsid w:val="0032559F"/>
    <w:rsid w:val="00325684"/>
    <w:rsid w:val="0032579D"/>
    <w:rsid w:val="00325ECD"/>
    <w:rsid w:val="0032602B"/>
    <w:rsid w:val="0032709F"/>
    <w:rsid w:val="00327955"/>
    <w:rsid w:val="003309FB"/>
    <w:rsid w:val="00331372"/>
    <w:rsid w:val="00331423"/>
    <w:rsid w:val="00331993"/>
    <w:rsid w:val="003332B0"/>
    <w:rsid w:val="00333ADA"/>
    <w:rsid w:val="00334005"/>
    <w:rsid w:val="00334359"/>
    <w:rsid w:val="0033441C"/>
    <w:rsid w:val="00334620"/>
    <w:rsid w:val="003352A9"/>
    <w:rsid w:val="00335541"/>
    <w:rsid w:val="003357B4"/>
    <w:rsid w:val="003358B1"/>
    <w:rsid w:val="00335978"/>
    <w:rsid w:val="00336109"/>
    <w:rsid w:val="003365A0"/>
    <w:rsid w:val="00337194"/>
    <w:rsid w:val="00337475"/>
    <w:rsid w:val="00337756"/>
    <w:rsid w:val="00337B14"/>
    <w:rsid w:val="00340139"/>
    <w:rsid w:val="003402E2"/>
    <w:rsid w:val="00340352"/>
    <w:rsid w:val="00340B88"/>
    <w:rsid w:val="00340F72"/>
    <w:rsid w:val="00341333"/>
    <w:rsid w:val="00341B0B"/>
    <w:rsid w:val="00341CFB"/>
    <w:rsid w:val="003421E9"/>
    <w:rsid w:val="00343050"/>
    <w:rsid w:val="00343C1B"/>
    <w:rsid w:val="00343EFF"/>
    <w:rsid w:val="00345067"/>
    <w:rsid w:val="00345258"/>
    <w:rsid w:val="003452E2"/>
    <w:rsid w:val="003453A1"/>
    <w:rsid w:val="003454B6"/>
    <w:rsid w:val="00345A0C"/>
    <w:rsid w:val="00345ECC"/>
    <w:rsid w:val="00346005"/>
    <w:rsid w:val="00346114"/>
    <w:rsid w:val="0034646E"/>
    <w:rsid w:val="003472A1"/>
    <w:rsid w:val="0034742A"/>
    <w:rsid w:val="003476A5"/>
    <w:rsid w:val="00347B86"/>
    <w:rsid w:val="00347D53"/>
    <w:rsid w:val="00347E50"/>
    <w:rsid w:val="00347FBC"/>
    <w:rsid w:val="00350185"/>
    <w:rsid w:val="003502C4"/>
    <w:rsid w:val="00350585"/>
    <w:rsid w:val="003506C1"/>
    <w:rsid w:val="003506FE"/>
    <w:rsid w:val="003507CF"/>
    <w:rsid w:val="00350B79"/>
    <w:rsid w:val="00350E1D"/>
    <w:rsid w:val="0035106F"/>
    <w:rsid w:val="00351250"/>
    <w:rsid w:val="0035157B"/>
    <w:rsid w:val="003515D5"/>
    <w:rsid w:val="00351893"/>
    <w:rsid w:val="00352BD0"/>
    <w:rsid w:val="00353D3A"/>
    <w:rsid w:val="00354138"/>
    <w:rsid w:val="003543FB"/>
    <w:rsid w:val="00354863"/>
    <w:rsid w:val="0035488C"/>
    <w:rsid w:val="00355031"/>
    <w:rsid w:val="00355712"/>
    <w:rsid w:val="00355A57"/>
    <w:rsid w:val="00355BBB"/>
    <w:rsid w:val="00355D41"/>
    <w:rsid w:val="0035636C"/>
    <w:rsid w:val="003566F0"/>
    <w:rsid w:val="003566F8"/>
    <w:rsid w:val="00357083"/>
    <w:rsid w:val="0035739F"/>
    <w:rsid w:val="0035761E"/>
    <w:rsid w:val="003576DB"/>
    <w:rsid w:val="00357C20"/>
    <w:rsid w:val="00360194"/>
    <w:rsid w:val="00360432"/>
    <w:rsid w:val="003606C1"/>
    <w:rsid w:val="00360742"/>
    <w:rsid w:val="00360744"/>
    <w:rsid w:val="00360E89"/>
    <w:rsid w:val="00360F9C"/>
    <w:rsid w:val="0036112D"/>
    <w:rsid w:val="00361C49"/>
    <w:rsid w:val="00361CA0"/>
    <w:rsid w:val="003622E1"/>
    <w:rsid w:val="00362345"/>
    <w:rsid w:val="00362993"/>
    <w:rsid w:val="00362DEF"/>
    <w:rsid w:val="0036310A"/>
    <w:rsid w:val="003637D9"/>
    <w:rsid w:val="003651A6"/>
    <w:rsid w:val="00365E09"/>
    <w:rsid w:val="00366412"/>
    <w:rsid w:val="003665D4"/>
    <w:rsid w:val="00366779"/>
    <w:rsid w:val="003670C2"/>
    <w:rsid w:val="0036764D"/>
    <w:rsid w:val="00367659"/>
    <w:rsid w:val="00370533"/>
    <w:rsid w:val="00370731"/>
    <w:rsid w:val="00370B73"/>
    <w:rsid w:val="00370D7F"/>
    <w:rsid w:val="003718D1"/>
    <w:rsid w:val="003721A3"/>
    <w:rsid w:val="0037282B"/>
    <w:rsid w:val="0037293F"/>
    <w:rsid w:val="00372DCA"/>
    <w:rsid w:val="00373201"/>
    <w:rsid w:val="003733A1"/>
    <w:rsid w:val="003739B2"/>
    <w:rsid w:val="003741DF"/>
    <w:rsid w:val="00375018"/>
    <w:rsid w:val="003750DE"/>
    <w:rsid w:val="003751A9"/>
    <w:rsid w:val="003756FD"/>
    <w:rsid w:val="003757E4"/>
    <w:rsid w:val="00375ABF"/>
    <w:rsid w:val="00375B48"/>
    <w:rsid w:val="00375F5A"/>
    <w:rsid w:val="00377398"/>
    <w:rsid w:val="003776AC"/>
    <w:rsid w:val="00377AEA"/>
    <w:rsid w:val="00377B02"/>
    <w:rsid w:val="003802BE"/>
    <w:rsid w:val="003807A5"/>
    <w:rsid w:val="00380E59"/>
    <w:rsid w:val="003816F5"/>
    <w:rsid w:val="00381A07"/>
    <w:rsid w:val="0038287A"/>
    <w:rsid w:val="00382E32"/>
    <w:rsid w:val="00383741"/>
    <w:rsid w:val="0038401A"/>
    <w:rsid w:val="0038410A"/>
    <w:rsid w:val="003847A0"/>
    <w:rsid w:val="00384BBE"/>
    <w:rsid w:val="00384C96"/>
    <w:rsid w:val="00384D1F"/>
    <w:rsid w:val="003850E9"/>
    <w:rsid w:val="00385C63"/>
    <w:rsid w:val="00385DB3"/>
    <w:rsid w:val="00385F8F"/>
    <w:rsid w:val="0038644F"/>
    <w:rsid w:val="00386777"/>
    <w:rsid w:val="00386AAD"/>
    <w:rsid w:val="00386DDB"/>
    <w:rsid w:val="00386F2F"/>
    <w:rsid w:val="003871DD"/>
    <w:rsid w:val="003875E9"/>
    <w:rsid w:val="0039020F"/>
    <w:rsid w:val="00390BF6"/>
    <w:rsid w:val="00390D6E"/>
    <w:rsid w:val="0039191A"/>
    <w:rsid w:val="00392888"/>
    <w:rsid w:val="00393A8C"/>
    <w:rsid w:val="00393D5D"/>
    <w:rsid w:val="00393DA5"/>
    <w:rsid w:val="00394034"/>
    <w:rsid w:val="00394061"/>
    <w:rsid w:val="0039485D"/>
    <w:rsid w:val="00394A32"/>
    <w:rsid w:val="003967A4"/>
    <w:rsid w:val="00396A5A"/>
    <w:rsid w:val="00396AC8"/>
    <w:rsid w:val="00396C78"/>
    <w:rsid w:val="00396CBD"/>
    <w:rsid w:val="003971FB"/>
    <w:rsid w:val="00397665"/>
    <w:rsid w:val="003978F2"/>
    <w:rsid w:val="0039798D"/>
    <w:rsid w:val="00397F07"/>
    <w:rsid w:val="00397F73"/>
    <w:rsid w:val="003A07E4"/>
    <w:rsid w:val="003A07F5"/>
    <w:rsid w:val="003A117C"/>
    <w:rsid w:val="003A16CD"/>
    <w:rsid w:val="003A18EE"/>
    <w:rsid w:val="003A1A10"/>
    <w:rsid w:val="003A1CEC"/>
    <w:rsid w:val="003A290B"/>
    <w:rsid w:val="003A2F23"/>
    <w:rsid w:val="003A3C04"/>
    <w:rsid w:val="003A3E90"/>
    <w:rsid w:val="003A444F"/>
    <w:rsid w:val="003A4D29"/>
    <w:rsid w:val="003A519C"/>
    <w:rsid w:val="003A5390"/>
    <w:rsid w:val="003A5615"/>
    <w:rsid w:val="003A5731"/>
    <w:rsid w:val="003A5AD6"/>
    <w:rsid w:val="003A5C7C"/>
    <w:rsid w:val="003A5E19"/>
    <w:rsid w:val="003A65F3"/>
    <w:rsid w:val="003A696A"/>
    <w:rsid w:val="003A6A98"/>
    <w:rsid w:val="003A6B8F"/>
    <w:rsid w:val="003A7154"/>
    <w:rsid w:val="003A7519"/>
    <w:rsid w:val="003A7529"/>
    <w:rsid w:val="003A7ABD"/>
    <w:rsid w:val="003A7CFC"/>
    <w:rsid w:val="003A7F71"/>
    <w:rsid w:val="003B035D"/>
    <w:rsid w:val="003B04B5"/>
    <w:rsid w:val="003B05DA"/>
    <w:rsid w:val="003B0B15"/>
    <w:rsid w:val="003B0BEB"/>
    <w:rsid w:val="003B0E79"/>
    <w:rsid w:val="003B1683"/>
    <w:rsid w:val="003B1716"/>
    <w:rsid w:val="003B1900"/>
    <w:rsid w:val="003B1917"/>
    <w:rsid w:val="003B1928"/>
    <w:rsid w:val="003B24A2"/>
    <w:rsid w:val="003B2642"/>
    <w:rsid w:val="003B27F7"/>
    <w:rsid w:val="003B2CE9"/>
    <w:rsid w:val="003B3256"/>
    <w:rsid w:val="003B3321"/>
    <w:rsid w:val="003B3774"/>
    <w:rsid w:val="003B3B32"/>
    <w:rsid w:val="003B3DF8"/>
    <w:rsid w:val="003B433B"/>
    <w:rsid w:val="003B44C3"/>
    <w:rsid w:val="003B44CC"/>
    <w:rsid w:val="003B46B4"/>
    <w:rsid w:val="003B484C"/>
    <w:rsid w:val="003B4A43"/>
    <w:rsid w:val="003B4FD9"/>
    <w:rsid w:val="003B5324"/>
    <w:rsid w:val="003B5F0C"/>
    <w:rsid w:val="003B69DC"/>
    <w:rsid w:val="003B6D23"/>
    <w:rsid w:val="003B6E63"/>
    <w:rsid w:val="003B70DF"/>
    <w:rsid w:val="003B71B1"/>
    <w:rsid w:val="003B734B"/>
    <w:rsid w:val="003B762A"/>
    <w:rsid w:val="003B78F1"/>
    <w:rsid w:val="003C0200"/>
    <w:rsid w:val="003C0565"/>
    <w:rsid w:val="003C0660"/>
    <w:rsid w:val="003C0733"/>
    <w:rsid w:val="003C0868"/>
    <w:rsid w:val="003C0E55"/>
    <w:rsid w:val="003C0FF0"/>
    <w:rsid w:val="003C2423"/>
    <w:rsid w:val="003C2840"/>
    <w:rsid w:val="003C2CC5"/>
    <w:rsid w:val="003C3028"/>
    <w:rsid w:val="003C3872"/>
    <w:rsid w:val="003C399A"/>
    <w:rsid w:val="003C3DD9"/>
    <w:rsid w:val="003C4116"/>
    <w:rsid w:val="003C46C4"/>
    <w:rsid w:val="003C4A53"/>
    <w:rsid w:val="003C582D"/>
    <w:rsid w:val="003C5E55"/>
    <w:rsid w:val="003C6B90"/>
    <w:rsid w:val="003C6F4E"/>
    <w:rsid w:val="003C7B22"/>
    <w:rsid w:val="003D0408"/>
    <w:rsid w:val="003D06AD"/>
    <w:rsid w:val="003D0C39"/>
    <w:rsid w:val="003D0D09"/>
    <w:rsid w:val="003D0D13"/>
    <w:rsid w:val="003D128E"/>
    <w:rsid w:val="003D16B2"/>
    <w:rsid w:val="003D1963"/>
    <w:rsid w:val="003D20A0"/>
    <w:rsid w:val="003D2C21"/>
    <w:rsid w:val="003D3216"/>
    <w:rsid w:val="003D3297"/>
    <w:rsid w:val="003D3442"/>
    <w:rsid w:val="003D3554"/>
    <w:rsid w:val="003D4122"/>
    <w:rsid w:val="003D45C8"/>
    <w:rsid w:val="003D47FB"/>
    <w:rsid w:val="003D4DBD"/>
    <w:rsid w:val="003D4E04"/>
    <w:rsid w:val="003D53DD"/>
    <w:rsid w:val="003D5982"/>
    <w:rsid w:val="003D5A2C"/>
    <w:rsid w:val="003D6566"/>
    <w:rsid w:val="003D6960"/>
    <w:rsid w:val="003D6FFB"/>
    <w:rsid w:val="003D79A4"/>
    <w:rsid w:val="003D7BD2"/>
    <w:rsid w:val="003E026D"/>
    <w:rsid w:val="003E124F"/>
    <w:rsid w:val="003E1551"/>
    <w:rsid w:val="003E18CF"/>
    <w:rsid w:val="003E1A5F"/>
    <w:rsid w:val="003E2194"/>
    <w:rsid w:val="003E247F"/>
    <w:rsid w:val="003E251B"/>
    <w:rsid w:val="003E2925"/>
    <w:rsid w:val="003E2B8E"/>
    <w:rsid w:val="003E2F37"/>
    <w:rsid w:val="003E378C"/>
    <w:rsid w:val="003E3901"/>
    <w:rsid w:val="003E3DE9"/>
    <w:rsid w:val="003E3E7B"/>
    <w:rsid w:val="003E4414"/>
    <w:rsid w:val="003E44B3"/>
    <w:rsid w:val="003E4EDF"/>
    <w:rsid w:val="003E50D4"/>
    <w:rsid w:val="003E55A8"/>
    <w:rsid w:val="003E5B05"/>
    <w:rsid w:val="003E5C01"/>
    <w:rsid w:val="003E66CE"/>
    <w:rsid w:val="003E6817"/>
    <w:rsid w:val="003E6AB2"/>
    <w:rsid w:val="003E6CFA"/>
    <w:rsid w:val="003E7003"/>
    <w:rsid w:val="003E786D"/>
    <w:rsid w:val="003E7ED6"/>
    <w:rsid w:val="003F028B"/>
    <w:rsid w:val="003F0440"/>
    <w:rsid w:val="003F070F"/>
    <w:rsid w:val="003F09B3"/>
    <w:rsid w:val="003F12CE"/>
    <w:rsid w:val="003F1FA1"/>
    <w:rsid w:val="003F23CC"/>
    <w:rsid w:val="003F2424"/>
    <w:rsid w:val="003F25DE"/>
    <w:rsid w:val="003F2F37"/>
    <w:rsid w:val="003F2F4C"/>
    <w:rsid w:val="003F3096"/>
    <w:rsid w:val="003F30CD"/>
    <w:rsid w:val="003F3127"/>
    <w:rsid w:val="003F315F"/>
    <w:rsid w:val="003F3192"/>
    <w:rsid w:val="003F31DC"/>
    <w:rsid w:val="003F31F4"/>
    <w:rsid w:val="003F3672"/>
    <w:rsid w:val="003F3B91"/>
    <w:rsid w:val="003F5353"/>
    <w:rsid w:val="003F5842"/>
    <w:rsid w:val="003F5E7F"/>
    <w:rsid w:val="003F5F13"/>
    <w:rsid w:val="003F62DF"/>
    <w:rsid w:val="003F6996"/>
    <w:rsid w:val="003F6BAA"/>
    <w:rsid w:val="003F6D0A"/>
    <w:rsid w:val="003F73A9"/>
    <w:rsid w:val="003F7643"/>
    <w:rsid w:val="00400095"/>
    <w:rsid w:val="0040024E"/>
    <w:rsid w:val="00400BDC"/>
    <w:rsid w:val="00401497"/>
    <w:rsid w:val="00401A98"/>
    <w:rsid w:val="00401B97"/>
    <w:rsid w:val="0040215F"/>
    <w:rsid w:val="00402468"/>
    <w:rsid w:val="004025B8"/>
    <w:rsid w:val="00402AB8"/>
    <w:rsid w:val="00402CFF"/>
    <w:rsid w:val="00402D24"/>
    <w:rsid w:val="00402E22"/>
    <w:rsid w:val="0040354E"/>
    <w:rsid w:val="00403703"/>
    <w:rsid w:val="00403893"/>
    <w:rsid w:val="00404652"/>
    <w:rsid w:val="00404BC5"/>
    <w:rsid w:val="00404D9B"/>
    <w:rsid w:val="00405ADA"/>
    <w:rsid w:val="00405C19"/>
    <w:rsid w:val="0040611C"/>
    <w:rsid w:val="004068C8"/>
    <w:rsid w:val="004068E7"/>
    <w:rsid w:val="004072C0"/>
    <w:rsid w:val="00407F29"/>
    <w:rsid w:val="00410D4C"/>
    <w:rsid w:val="00410D82"/>
    <w:rsid w:val="00411705"/>
    <w:rsid w:val="00411E9E"/>
    <w:rsid w:val="00412C8C"/>
    <w:rsid w:val="0041329A"/>
    <w:rsid w:val="004132B7"/>
    <w:rsid w:val="004134A9"/>
    <w:rsid w:val="004136EA"/>
    <w:rsid w:val="00414347"/>
    <w:rsid w:val="004143FC"/>
    <w:rsid w:val="00414BA4"/>
    <w:rsid w:val="0041516B"/>
    <w:rsid w:val="004154DF"/>
    <w:rsid w:val="004155C7"/>
    <w:rsid w:val="00416233"/>
    <w:rsid w:val="00416772"/>
    <w:rsid w:val="004168EC"/>
    <w:rsid w:val="00416AA1"/>
    <w:rsid w:val="00416E2E"/>
    <w:rsid w:val="004172E0"/>
    <w:rsid w:val="0041735B"/>
    <w:rsid w:val="0041757E"/>
    <w:rsid w:val="004175F6"/>
    <w:rsid w:val="0041782A"/>
    <w:rsid w:val="004178D9"/>
    <w:rsid w:val="00417C27"/>
    <w:rsid w:val="00417C6C"/>
    <w:rsid w:val="0042010E"/>
    <w:rsid w:val="004206FF"/>
    <w:rsid w:val="0042073F"/>
    <w:rsid w:val="00420FFB"/>
    <w:rsid w:val="0042116D"/>
    <w:rsid w:val="0042136C"/>
    <w:rsid w:val="004216A1"/>
    <w:rsid w:val="004219F0"/>
    <w:rsid w:val="00421B9B"/>
    <w:rsid w:val="00421CB6"/>
    <w:rsid w:val="00421F98"/>
    <w:rsid w:val="00422314"/>
    <w:rsid w:val="004226DD"/>
    <w:rsid w:val="00422DA8"/>
    <w:rsid w:val="004231E9"/>
    <w:rsid w:val="00423A54"/>
    <w:rsid w:val="00423F98"/>
    <w:rsid w:val="004246A9"/>
    <w:rsid w:val="004247B7"/>
    <w:rsid w:val="004248C5"/>
    <w:rsid w:val="0042491C"/>
    <w:rsid w:val="00424B62"/>
    <w:rsid w:val="00425401"/>
    <w:rsid w:val="00425462"/>
    <w:rsid w:val="004257A1"/>
    <w:rsid w:val="00425B75"/>
    <w:rsid w:val="00425EF4"/>
    <w:rsid w:val="004260E9"/>
    <w:rsid w:val="004260ED"/>
    <w:rsid w:val="00426D57"/>
    <w:rsid w:val="00427027"/>
    <w:rsid w:val="0042713E"/>
    <w:rsid w:val="00427324"/>
    <w:rsid w:val="00430879"/>
    <w:rsid w:val="00430D6D"/>
    <w:rsid w:val="00430EED"/>
    <w:rsid w:val="004317BD"/>
    <w:rsid w:val="00431919"/>
    <w:rsid w:val="00431A11"/>
    <w:rsid w:val="00432870"/>
    <w:rsid w:val="00433404"/>
    <w:rsid w:val="00433DF3"/>
    <w:rsid w:val="00434008"/>
    <w:rsid w:val="00434BB0"/>
    <w:rsid w:val="00434C47"/>
    <w:rsid w:val="00434D7F"/>
    <w:rsid w:val="00435068"/>
    <w:rsid w:val="004352EC"/>
    <w:rsid w:val="004353AB"/>
    <w:rsid w:val="00435411"/>
    <w:rsid w:val="00435AD1"/>
    <w:rsid w:val="00435AF3"/>
    <w:rsid w:val="00436421"/>
    <w:rsid w:val="004367E9"/>
    <w:rsid w:val="00436815"/>
    <w:rsid w:val="00436D69"/>
    <w:rsid w:val="004370EC"/>
    <w:rsid w:val="00437774"/>
    <w:rsid w:val="00437D17"/>
    <w:rsid w:val="00440196"/>
    <w:rsid w:val="00440B1E"/>
    <w:rsid w:val="00440F1B"/>
    <w:rsid w:val="00440F58"/>
    <w:rsid w:val="00441028"/>
    <w:rsid w:val="0044111F"/>
    <w:rsid w:val="00442185"/>
    <w:rsid w:val="0044254E"/>
    <w:rsid w:val="00442773"/>
    <w:rsid w:val="00442DAB"/>
    <w:rsid w:val="00443EBB"/>
    <w:rsid w:val="00444953"/>
    <w:rsid w:val="004449C6"/>
    <w:rsid w:val="00444AD2"/>
    <w:rsid w:val="00445133"/>
    <w:rsid w:val="004456EF"/>
    <w:rsid w:val="00445DEB"/>
    <w:rsid w:val="0044661B"/>
    <w:rsid w:val="00446670"/>
    <w:rsid w:val="004466FD"/>
    <w:rsid w:val="00446E93"/>
    <w:rsid w:val="0044758E"/>
    <w:rsid w:val="004479C2"/>
    <w:rsid w:val="0044B930"/>
    <w:rsid w:val="00450094"/>
    <w:rsid w:val="00450157"/>
    <w:rsid w:val="0045041A"/>
    <w:rsid w:val="0045064C"/>
    <w:rsid w:val="00450CF2"/>
    <w:rsid w:val="004511D7"/>
    <w:rsid w:val="0045129E"/>
    <w:rsid w:val="004514B5"/>
    <w:rsid w:val="00451E51"/>
    <w:rsid w:val="00452707"/>
    <w:rsid w:val="00452BEA"/>
    <w:rsid w:val="00452C34"/>
    <w:rsid w:val="00452C8A"/>
    <w:rsid w:val="004534D1"/>
    <w:rsid w:val="00453DDB"/>
    <w:rsid w:val="00454625"/>
    <w:rsid w:val="004546C5"/>
    <w:rsid w:val="00454A0C"/>
    <w:rsid w:val="00454ABE"/>
    <w:rsid w:val="0045503C"/>
    <w:rsid w:val="0045549B"/>
    <w:rsid w:val="004558F2"/>
    <w:rsid w:val="00455A21"/>
    <w:rsid w:val="004560E3"/>
    <w:rsid w:val="00456CF6"/>
    <w:rsid w:val="00456E70"/>
    <w:rsid w:val="0045793B"/>
    <w:rsid w:val="0046000F"/>
    <w:rsid w:val="00460F59"/>
    <w:rsid w:val="004613D3"/>
    <w:rsid w:val="004616BA"/>
    <w:rsid w:val="00461900"/>
    <w:rsid w:val="004628A7"/>
    <w:rsid w:val="00462DE9"/>
    <w:rsid w:val="00462F95"/>
    <w:rsid w:val="00463046"/>
    <w:rsid w:val="004636CE"/>
    <w:rsid w:val="00463F73"/>
    <w:rsid w:val="004649DB"/>
    <w:rsid w:val="00464A9B"/>
    <w:rsid w:val="00464B64"/>
    <w:rsid w:val="00464FE2"/>
    <w:rsid w:val="00465110"/>
    <w:rsid w:val="004651B1"/>
    <w:rsid w:val="004658E7"/>
    <w:rsid w:val="0046664C"/>
    <w:rsid w:val="00466898"/>
    <w:rsid w:val="0046699C"/>
    <w:rsid w:val="00470475"/>
    <w:rsid w:val="00470777"/>
    <w:rsid w:val="00471054"/>
    <w:rsid w:val="004719E3"/>
    <w:rsid w:val="00471BAA"/>
    <w:rsid w:val="00472281"/>
    <w:rsid w:val="004723D9"/>
    <w:rsid w:val="0047261B"/>
    <w:rsid w:val="00472686"/>
    <w:rsid w:val="00472A43"/>
    <w:rsid w:val="00472C46"/>
    <w:rsid w:val="00472EEC"/>
    <w:rsid w:val="00473300"/>
    <w:rsid w:val="00473432"/>
    <w:rsid w:val="004735A0"/>
    <w:rsid w:val="00473A47"/>
    <w:rsid w:val="00473D19"/>
    <w:rsid w:val="00473D55"/>
    <w:rsid w:val="004749FC"/>
    <w:rsid w:val="00474C43"/>
    <w:rsid w:val="00474CA2"/>
    <w:rsid w:val="00474CD4"/>
    <w:rsid w:val="00474D1B"/>
    <w:rsid w:val="004757CC"/>
    <w:rsid w:val="00475814"/>
    <w:rsid w:val="0047584F"/>
    <w:rsid w:val="00475949"/>
    <w:rsid w:val="00475C68"/>
    <w:rsid w:val="00475F13"/>
    <w:rsid w:val="00476551"/>
    <w:rsid w:val="00476A53"/>
    <w:rsid w:val="00476BE1"/>
    <w:rsid w:val="0047731A"/>
    <w:rsid w:val="004773A8"/>
    <w:rsid w:val="004773B3"/>
    <w:rsid w:val="00477A29"/>
    <w:rsid w:val="00477C9E"/>
    <w:rsid w:val="00477FCC"/>
    <w:rsid w:val="00480BBA"/>
    <w:rsid w:val="00481086"/>
    <w:rsid w:val="00481311"/>
    <w:rsid w:val="00482803"/>
    <w:rsid w:val="004835D3"/>
    <w:rsid w:val="004836C0"/>
    <w:rsid w:val="00483991"/>
    <w:rsid w:val="00483A24"/>
    <w:rsid w:val="00483C5C"/>
    <w:rsid w:val="00484A1A"/>
    <w:rsid w:val="00484DBB"/>
    <w:rsid w:val="00485648"/>
    <w:rsid w:val="00485ABD"/>
    <w:rsid w:val="00485CC8"/>
    <w:rsid w:val="00486018"/>
    <w:rsid w:val="0048637C"/>
    <w:rsid w:val="004863C4"/>
    <w:rsid w:val="00486F91"/>
    <w:rsid w:val="00487763"/>
    <w:rsid w:val="0048798A"/>
    <w:rsid w:val="00487EEA"/>
    <w:rsid w:val="004901AC"/>
    <w:rsid w:val="004905B7"/>
    <w:rsid w:val="004907B0"/>
    <w:rsid w:val="004908C5"/>
    <w:rsid w:val="0049202A"/>
    <w:rsid w:val="004926AD"/>
    <w:rsid w:val="00492B21"/>
    <w:rsid w:val="00492CB5"/>
    <w:rsid w:val="004938E1"/>
    <w:rsid w:val="00494413"/>
    <w:rsid w:val="0049490A"/>
    <w:rsid w:val="00494AB5"/>
    <w:rsid w:val="00494B26"/>
    <w:rsid w:val="00494BFD"/>
    <w:rsid w:val="00494CD4"/>
    <w:rsid w:val="00494D80"/>
    <w:rsid w:val="004952D6"/>
    <w:rsid w:val="0049553D"/>
    <w:rsid w:val="004958F9"/>
    <w:rsid w:val="004979BF"/>
    <w:rsid w:val="004A0053"/>
    <w:rsid w:val="004A06D6"/>
    <w:rsid w:val="004A07E5"/>
    <w:rsid w:val="004A0880"/>
    <w:rsid w:val="004A0A4A"/>
    <w:rsid w:val="004A0FAD"/>
    <w:rsid w:val="004A132E"/>
    <w:rsid w:val="004A1CA1"/>
    <w:rsid w:val="004A271E"/>
    <w:rsid w:val="004A2ADE"/>
    <w:rsid w:val="004A2EF4"/>
    <w:rsid w:val="004A306C"/>
    <w:rsid w:val="004A3171"/>
    <w:rsid w:val="004A379C"/>
    <w:rsid w:val="004A3A5E"/>
    <w:rsid w:val="004A3B5B"/>
    <w:rsid w:val="004A419B"/>
    <w:rsid w:val="004A4BA0"/>
    <w:rsid w:val="004A4F5B"/>
    <w:rsid w:val="004A4F88"/>
    <w:rsid w:val="004A5249"/>
    <w:rsid w:val="004A5513"/>
    <w:rsid w:val="004A5F51"/>
    <w:rsid w:val="004A656E"/>
    <w:rsid w:val="004A68FA"/>
    <w:rsid w:val="004A6FE4"/>
    <w:rsid w:val="004A7159"/>
    <w:rsid w:val="004A7402"/>
    <w:rsid w:val="004A7559"/>
    <w:rsid w:val="004A7AAE"/>
    <w:rsid w:val="004A7C8C"/>
    <w:rsid w:val="004A7CB8"/>
    <w:rsid w:val="004A7CCC"/>
    <w:rsid w:val="004B0819"/>
    <w:rsid w:val="004B1957"/>
    <w:rsid w:val="004B2675"/>
    <w:rsid w:val="004B2B4B"/>
    <w:rsid w:val="004B2BEE"/>
    <w:rsid w:val="004B2EF8"/>
    <w:rsid w:val="004B30A5"/>
    <w:rsid w:val="004B31D0"/>
    <w:rsid w:val="004B3557"/>
    <w:rsid w:val="004B3A83"/>
    <w:rsid w:val="004B3EF8"/>
    <w:rsid w:val="004B467D"/>
    <w:rsid w:val="004B474D"/>
    <w:rsid w:val="004B4953"/>
    <w:rsid w:val="004B4F68"/>
    <w:rsid w:val="004B5087"/>
    <w:rsid w:val="004B5F57"/>
    <w:rsid w:val="004B6907"/>
    <w:rsid w:val="004B6BAE"/>
    <w:rsid w:val="004B6E0C"/>
    <w:rsid w:val="004B7178"/>
    <w:rsid w:val="004B741C"/>
    <w:rsid w:val="004B749F"/>
    <w:rsid w:val="004B77E7"/>
    <w:rsid w:val="004B7F2C"/>
    <w:rsid w:val="004C0030"/>
    <w:rsid w:val="004C0A27"/>
    <w:rsid w:val="004C0B58"/>
    <w:rsid w:val="004C0F52"/>
    <w:rsid w:val="004C131F"/>
    <w:rsid w:val="004C16D9"/>
    <w:rsid w:val="004C1701"/>
    <w:rsid w:val="004C17DD"/>
    <w:rsid w:val="004C180D"/>
    <w:rsid w:val="004C1851"/>
    <w:rsid w:val="004C1885"/>
    <w:rsid w:val="004C1AB8"/>
    <w:rsid w:val="004C22F2"/>
    <w:rsid w:val="004C25E3"/>
    <w:rsid w:val="004C2713"/>
    <w:rsid w:val="004C278C"/>
    <w:rsid w:val="004C28AA"/>
    <w:rsid w:val="004C2999"/>
    <w:rsid w:val="004C2B70"/>
    <w:rsid w:val="004C2FE8"/>
    <w:rsid w:val="004C322E"/>
    <w:rsid w:val="004C33E5"/>
    <w:rsid w:val="004C3559"/>
    <w:rsid w:val="004C4045"/>
    <w:rsid w:val="004C4323"/>
    <w:rsid w:val="004C4EE2"/>
    <w:rsid w:val="004C5060"/>
    <w:rsid w:val="004C556B"/>
    <w:rsid w:val="004C55E3"/>
    <w:rsid w:val="004C57DB"/>
    <w:rsid w:val="004C5A2B"/>
    <w:rsid w:val="004C5D2C"/>
    <w:rsid w:val="004C5D6A"/>
    <w:rsid w:val="004C5E14"/>
    <w:rsid w:val="004C7029"/>
    <w:rsid w:val="004C76F1"/>
    <w:rsid w:val="004D0313"/>
    <w:rsid w:val="004D0488"/>
    <w:rsid w:val="004D111B"/>
    <w:rsid w:val="004D2266"/>
    <w:rsid w:val="004D25E5"/>
    <w:rsid w:val="004D275D"/>
    <w:rsid w:val="004D2BAF"/>
    <w:rsid w:val="004D2EDF"/>
    <w:rsid w:val="004D32EE"/>
    <w:rsid w:val="004D371B"/>
    <w:rsid w:val="004D3763"/>
    <w:rsid w:val="004D3A4D"/>
    <w:rsid w:val="004D3D10"/>
    <w:rsid w:val="004D3D90"/>
    <w:rsid w:val="004D3E1A"/>
    <w:rsid w:val="004D3E74"/>
    <w:rsid w:val="004D49E2"/>
    <w:rsid w:val="004D4E55"/>
    <w:rsid w:val="004D5C00"/>
    <w:rsid w:val="004D63F1"/>
    <w:rsid w:val="004D7539"/>
    <w:rsid w:val="004D7748"/>
    <w:rsid w:val="004D7980"/>
    <w:rsid w:val="004E007E"/>
    <w:rsid w:val="004E06E0"/>
    <w:rsid w:val="004E1450"/>
    <w:rsid w:val="004E184E"/>
    <w:rsid w:val="004E369D"/>
    <w:rsid w:val="004E3DD1"/>
    <w:rsid w:val="004E3E7E"/>
    <w:rsid w:val="004E40DE"/>
    <w:rsid w:val="004E45AA"/>
    <w:rsid w:val="004E4644"/>
    <w:rsid w:val="004E4874"/>
    <w:rsid w:val="004E4B14"/>
    <w:rsid w:val="004E51E5"/>
    <w:rsid w:val="004E5473"/>
    <w:rsid w:val="004E5941"/>
    <w:rsid w:val="004E5C10"/>
    <w:rsid w:val="004E5E18"/>
    <w:rsid w:val="004E68EE"/>
    <w:rsid w:val="004E7047"/>
    <w:rsid w:val="004E7748"/>
    <w:rsid w:val="004F0167"/>
    <w:rsid w:val="004F05DF"/>
    <w:rsid w:val="004F10AB"/>
    <w:rsid w:val="004F1796"/>
    <w:rsid w:val="004F2041"/>
    <w:rsid w:val="004F212E"/>
    <w:rsid w:val="004F213A"/>
    <w:rsid w:val="004F268A"/>
    <w:rsid w:val="004F31EB"/>
    <w:rsid w:val="004F343F"/>
    <w:rsid w:val="004F3737"/>
    <w:rsid w:val="004F397F"/>
    <w:rsid w:val="004F429D"/>
    <w:rsid w:val="004F4787"/>
    <w:rsid w:val="004F4CE1"/>
    <w:rsid w:val="004F576C"/>
    <w:rsid w:val="004F5842"/>
    <w:rsid w:val="004F5B03"/>
    <w:rsid w:val="004F603E"/>
    <w:rsid w:val="004F63B5"/>
    <w:rsid w:val="004F65EA"/>
    <w:rsid w:val="004F6935"/>
    <w:rsid w:val="004F7034"/>
    <w:rsid w:val="004F7062"/>
    <w:rsid w:val="00500260"/>
    <w:rsid w:val="00501219"/>
    <w:rsid w:val="00501506"/>
    <w:rsid w:val="00501CE2"/>
    <w:rsid w:val="00501DBB"/>
    <w:rsid w:val="005033C0"/>
    <w:rsid w:val="005038D5"/>
    <w:rsid w:val="0050418C"/>
    <w:rsid w:val="00504245"/>
    <w:rsid w:val="0050483A"/>
    <w:rsid w:val="005055B9"/>
    <w:rsid w:val="00505799"/>
    <w:rsid w:val="005057F7"/>
    <w:rsid w:val="00505913"/>
    <w:rsid w:val="00505DFD"/>
    <w:rsid w:val="00505ED3"/>
    <w:rsid w:val="00505F37"/>
    <w:rsid w:val="00506088"/>
    <w:rsid w:val="0050638C"/>
    <w:rsid w:val="005063F8"/>
    <w:rsid w:val="005065EF"/>
    <w:rsid w:val="00506711"/>
    <w:rsid w:val="00506781"/>
    <w:rsid w:val="00507069"/>
    <w:rsid w:val="005078C4"/>
    <w:rsid w:val="00507A8A"/>
    <w:rsid w:val="00507BC6"/>
    <w:rsid w:val="00507BEB"/>
    <w:rsid w:val="00507ED5"/>
    <w:rsid w:val="005109B3"/>
    <w:rsid w:val="005109DF"/>
    <w:rsid w:val="00510F3B"/>
    <w:rsid w:val="00512022"/>
    <w:rsid w:val="00512098"/>
    <w:rsid w:val="005121C0"/>
    <w:rsid w:val="00512230"/>
    <w:rsid w:val="005124FB"/>
    <w:rsid w:val="00512BB0"/>
    <w:rsid w:val="00512DCF"/>
    <w:rsid w:val="00513297"/>
    <w:rsid w:val="00513445"/>
    <w:rsid w:val="00513726"/>
    <w:rsid w:val="00513AB0"/>
    <w:rsid w:val="00513BEC"/>
    <w:rsid w:val="00513CAD"/>
    <w:rsid w:val="00513CFE"/>
    <w:rsid w:val="00513E7F"/>
    <w:rsid w:val="0051416D"/>
    <w:rsid w:val="005141AA"/>
    <w:rsid w:val="00514B3D"/>
    <w:rsid w:val="00515622"/>
    <w:rsid w:val="00515901"/>
    <w:rsid w:val="005159B8"/>
    <w:rsid w:val="00516178"/>
    <w:rsid w:val="0051653F"/>
    <w:rsid w:val="0051662F"/>
    <w:rsid w:val="0051683F"/>
    <w:rsid w:val="00516AC4"/>
    <w:rsid w:val="00516C5F"/>
    <w:rsid w:val="00516D49"/>
    <w:rsid w:val="0051728F"/>
    <w:rsid w:val="00520227"/>
    <w:rsid w:val="005206E1"/>
    <w:rsid w:val="005206F4"/>
    <w:rsid w:val="00520783"/>
    <w:rsid w:val="00520B20"/>
    <w:rsid w:val="005213E1"/>
    <w:rsid w:val="0052200E"/>
    <w:rsid w:val="00522328"/>
    <w:rsid w:val="0052246B"/>
    <w:rsid w:val="00522666"/>
    <w:rsid w:val="00522E08"/>
    <w:rsid w:val="0052315D"/>
    <w:rsid w:val="005238AE"/>
    <w:rsid w:val="0052460A"/>
    <w:rsid w:val="00524EB0"/>
    <w:rsid w:val="00525772"/>
    <w:rsid w:val="005258E9"/>
    <w:rsid w:val="00525EA2"/>
    <w:rsid w:val="005266D8"/>
    <w:rsid w:val="00526A75"/>
    <w:rsid w:val="00526E2C"/>
    <w:rsid w:val="0052723A"/>
    <w:rsid w:val="005275FE"/>
    <w:rsid w:val="0052784C"/>
    <w:rsid w:val="00527861"/>
    <w:rsid w:val="00527A6D"/>
    <w:rsid w:val="00527D9F"/>
    <w:rsid w:val="00530062"/>
    <w:rsid w:val="005307BF"/>
    <w:rsid w:val="005307CD"/>
    <w:rsid w:val="00530898"/>
    <w:rsid w:val="00530CB8"/>
    <w:rsid w:val="00530D07"/>
    <w:rsid w:val="00531476"/>
    <w:rsid w:val="00531740"/>
    <w:rsid w:val="00532745"/>
    <w:rsid w:val="0053288F"/>
    <w:rsid w:val="00532923"/>
    <w:rsid w:val="00533F9D"/>
    <w:rsid w:val="00534968"/>
    <w:rsid w:val="00534ECB"/>
    <w:rsid w:val="005350D3"/>
    <w:rsid w:val="00535FD3"/>
    <w:rsid w:val="00536088"/>
    <w:rsid w:val="005365AA"/>
    <w:rsid w:val="00536703"/>
    <w:rsid w:val="00537537"/>
    <w:rsid w:val="00537E60"/>
    <w:rsid w:val="00537FCE"/>
    <w:rsid w:val="005400D6"/>
    <w:rsid w:val="005403D7"/>
    <w:rsid w:val="00541160"/>
    <w:rsid w:val="00541460"/>
    <w:rsid w:val="0054292E"/>
    <w:rsid w:val="00542D0D"/>
    <w:rsid w:val="0054305B"/>
    <w:rsid w:val="005434E2"/>
    <w:rsid w:val="00543A92"/>
    <w:rsid w:val="00543B7B"/>
    <w:rsid w:val="0054416D"/>
    <w:rsid w:val="00544292"/>
    <w:rsid w:val="005442DB"/>
    <w:rsid w:val="0054497A"/>
    <w:rsid w:val="00544B62"/>
    <w:rsid w:val="0054526A"/>
    <w:rsid w:val="0054581F"/>
    <w:rsid w:val="005458E3"/>
    <w:rsid w:val="00545CD3"/>
    <w:rsid w:val="005468A6"/>
    <w:rsid w:val="00546D54"/>
    <w:rsid w:val="00546F25"/>
    <w:rsid w:val="00547091"/>
    <w:rsid w:val="005473ED"/>
    <w:rsid w:val="00547983"/>
    <w:rsid w:val="00547DF4"/>
    <w:rsid w:val="00547EF9"/>
    <w:rsid w:val="0055034F"/>
    <w:rsid w:val="005505D5"/>
    <w:rsid w:val="005507A5"/>
    <w:rsid w:val="0055192F"/>
    <w:rsid w:val="00551AE8"/>
    <w:rsid w:val="00552339"/>
    <w:rsid w:val="00552494"/>
    <w:rsid w:val="005526B5"/>
    <w:rsid w:val="00552815"/>
    <w:rsid w:val="00552D31"/>
    <w:rsid w:val="00552F87"/>
    <w:rsid w:val="00553417"/>
    <w:rsid w:val="005534EE"/>
    <w:rsid w:val="00553AC7"/>
    <w:rsid w:val="00553EBB"/>
    <w:rsid w:val="00553F41"/>
    <w:rsid w:val="005545F5"/>
    <w:rsid w:val="0055463E"/>
    <w:rsid w:val="00554B2C"/>
    <w:rsid w:val="00554D05"/>
    <w:rsid w:val="00554F52"/>
    <w:rsid w:val="005553CF"/>
    <w:rsid w:val="00555787"/>
    <w:rsid w:val="00555847"/>
    <w:rsid w:val="005560F4"/>
    <w:rsid w:val="005561A9"/>
    <w:rsid w:val="00556FCB"/>
    <w:rsid w:val="005571D9"/>
    <w:rsid w:val="0055728B"/>
    <w:rsid w:val="00557C47"/>
    <w:rsid w:val="00557D1F"/>
    <w:rsid w:val="00560208"/>
    <w:rsid w:val="005605D6"/>
    <w:rsid w:val="00560825"/>
    <w:rsid w:val="00560C3A"/>
    <w:rsid w:val="005610D7"/>
    <w:rsid w:val="00561886"/>
    <w:rsid w:val="005624C2"/>
    <w:rsid w:val="00562DB5"/>
    <w:rsid w:val="00562DF0"/>
    <w:rsid w:val="00563193"/>
    <w:rsid w:val="00563DFC"/>
    <w:rsid w:val="00564894"/>
    <w:rsid w:val="00564C3A"/>
    <w:rsid w:val="00565019"/>
    <w:rsid w:val="005659CA"/>
    <w:rsid w:val="00565D14"/>
    <w:rsid w:val="005660A3"/>
    <w:rsid w:val="005661E2"/>
    <w:rsid w:val="0056623C"/>
    <w:rsid w:val="00566841"/>
    <w:rsid w:val="00566ACA"/>
    <w:rsid w:val="00566B16"/>
    <w:rsid w:val="00566F69"/>
    <w:rsid w:val="00566F6D"/>
    <w:rsid w:val="005674CD"/>
    <w:rsid w:val="00567651"/>
    <w:rsid w:val="00567974"/>
    <w:rsid w:val="0057138C"/>
    <w:rsid w:val="005714C3"/>
    <w:rsid w:val="00571D1C"/>
    <w:rsid w:val="005738F9"/>
    <w:rsid w:val="00573D93"/>
    <w:rsid w:val="005741B7"/>
    <w:rsid w:val="0057504F"/>
    <w:rsid w:val="00575949"/>
    <w:rsid w:val="00575DA7"/>
    <w:rsid w:val="00575DD9"/>
    <w:rsid w:val="00576177"/>
    <w:rsid w:val="005764AE"/>
    <w:rsid w:val="005764CD"/>
    <w:rsid w:val="0057676E"/>
    <w:rsid w:val="0057742A"/>
    <w:rsid w:val="005774FC"/>
    <w:rsid w:val="0057C5C1"/>
    <w:rsid w:val="00580209"/>
    <w:rsid w:val="005802F2"/>
    <w:rsid w:val="0058046C"/>
    <w:rsid w:val="00580EF5"/>
    <w:rsid w:val="00580F58"/>
    <w:rsid w:val="00581472"/>
    <w:rsid w:val="00581B95"/>
    <w:rsid w:val="005823EC"/>
    <w:rsid w:val="005828A9"/>
    <w:rsid w:val="00582B58"/>
    <w:rsid w:val="00582C07"/>
    <w:rsid w:val="0058319E"/>
    <w:rsid w:val="005840F6"/>
    <w:rsid w:val="005843A6"/>
    <w:rsid w:val="00584912"/>
    <w:rsid w:val="0058524D"/>
    <w:rsid w:val="0058564E"/>
    <w:rsid w:val="00585CBB"/>
    <w:rsid w:val="005861AA"/>
    <w:rsid w:val="005861F5"/>
    <w:rsid w:val="00586BD3"/>
    <w:rsid w:val="00586C9F"/>
    <w:rsid w:val="005900DF"/>
    <w:rsid w:val="005901A7"/>
    <w:rsid w:val="00590416"/>
    <w:rsid w:val="005904EE"/>
    <w:rsid w:val="00590B01"/>
    <w:rsid w:val="00590C93"/>
    <w:rsid w:val="00590F90"/>
    <w:rsid w:val="00591202"/>
    <w:rsid w:val="0059161E"/>
    <w:rsid w:val="00592CA2"/>
    <w:rsid w:val="00592E1E"/>
    <w:rsid w:val="0059310C"/>
    <w:rsid w:val="0059314A"/>
    <w:rsid w:val="005936F5"/>
    <w:rsid w:val="00593D51"/>
    <w:rsid w:val="005944F6"/>
    <w:rsid w:val="005947CC"/>
    <w:rsid w:val="00594BC8"/>
    <w:rsid w:val="00595579"/>
    <w:rsid w:val="0059578C"/>
    <w:rsid w:val="0059612B"/>
    <w:rsid w:val="005964C5"/>
    <w:rsid w:val="0059716E"/>
    <w:rsid w:val="005977C3"/>
    <w:rsid w:val="005978CF"/>
    <w:rsid w:val="00597CBF"/>
    <w:rsid w:val="005A031C"/>
    <w:rsid w:val="005A0705"/>
    <w:rsid w:val="005A0DEA"/>
    <w:rsid w:val="005A0FC9"/>
    <w:rsid w:val="005A1041"/>
    <w:rsid w:val="005A120F"/>
    <w:rsid w:val="005A13A5"/>
    <w:rsid w:val="005A17B8"/>
    <w:rsid w:val="005A266C"/>
    <w:rsid w:val="005A27C8"/>
    <w:rsid w:val="005A29D1"/>
    <w:rsid w:val="005A2A90"/>
    <w:rsid w:val="005A2B8D"/>
    <w:rsid w:val="005A2C3E"/>
    <w:rsid w:val="005A388A"/>
    <w:rsid w:val="005A3C62"/>
    <w:rsid w:val="005A3EE9"/>
    <w:rsid w:val="005A4203"/>
    <w:rsid w:val="005A531E"/>
    <w:rsid w:val="005A5B56"/>
    <w:rsid w:val="005A5F62"/>
    <w:rsid w:val="005A6613"/>
    <w:rsid w:val="005A6ADD"/>
    <w:rsid w:val="005A7208"/>
    <w:rsid w:val="005A74AA"/>
    <w:rsid w:val="005A7AFD"/>
    <w:rsid w:val="005A7F37"/>
    <w:rsid w:val="005B00AD"/>
    <w:rsid w:val="005B0671"/>
    <w:rsid w:val="005B12C4"/>
    <w:rsid w:val="005B13E6"/>
    <w:rsid w:val="005B1ACC"/>
    <w:rsid w:val="005B2226"/>
    <w:rsid w:val="005B24FB"/>
    <w:rsid w:val="005B27B8"/>
    <w:rsid w:val="005B27DB"/>
    <w:rsid w:val="005B3A9A"/>
    <w:rsid w:val="005B3ACA"/>
    <w:rsid w:val="005B3DFF"/>
    <w:rsid w:val="005B4623"/>
    <w:rsid w:val="005B4C40"/>
    <w:rsid w:val="005B516B"/>
    <w:rsid w:val="005B51EA"/>
    <w:rsid w:val="005B6366"/>
    <w:rsid w:val="005B648F"/>
    <w:rsid w:val="005B67A3"/>
    <w:rsid w:val="005B7C22"/>
    <w:rsid w:val="005B7C67"/>
    <w:rsid w:val="005C014C"/>
    <w:rsid w:val="005C147C"/>
    <w:rsid w:val="005C14F2"/>
    <w:rsid w:val="005C1848"/>
    <w:rsid w:val="005C1B67"/>
    <w:rsid w:val="005C26D4"/>
    <w:rsid w:val="005C2AB7"/>
    <w:rsid w:val="005C2BE3"/>
    <w:rsid w:val="005C2CBF"/>
    <w:rsid w:val="005C371A"/>
    <w:rsid w:val="005C3A63"/>
    <w:rsid w:val="005C3FBA"/>
    <w:rsid w:val="005C441B"/>
    <w:rsid w:val="005C4E62"/>
    <w:rsid w:val="005C50E2"/>
    <w:rsid w:val="005C54DC"/>
    <w:rsid w:val="005C572C"/>
    <w:rsid w:val="005C5879"/>
    <w:rsid w:val="005C66F9"/>
    <w:rsid w:val="005C6CC2"/>
    <w:rsid w:val="005C6E84"/>
    <w:rsid w:val="005C72DD"/>
    <w:rsid w:val="005C750A"/>
    <w:rsid w:val="005C76FC"/>
    <w:rsid w:val="005C7E6C"/>
    <w:rsid w:val="005D0ACF"/>
    <w:rsid w:val="005D1BC7"/>
    <w:rsid w:val="005D2324"/>
    <w:rsid w:val="005D26CF"/>
    <w:rsid w:val="005D2E96"/>
    <w:rsid w:val="005D2EF8"/>
    <w:rsid w:val="005D3093"/>
    <w:rsid w:val="005D30CB"/>
    <w:rsid w:val="005D32E8"/>
    <w:rsid w:val="005D3B2D"/>
    <w:rsid w:val="005D401C"/>
    <w:rsid w:val="005D4D14"/>
    <w:rsid w:val="005D5918"/>
    <w:rsid w:val="005D5B42"/>
    <w:rsid w:val="005D5BB5"/>
    <w:rsid w:val="005D65B3"/>
    <w:rsid w:val="005D6FF4"/>
    <w:rsid w:val="005D764C"/>
    <w:rsid w:val="005D7734"/>
    <w:rsid w:val="005D773F"/>
    <w:rsid w:val="005E016C"/>
    <w:rsid w:val="005E0693"/>
    <w:rsid w:val="005E0921"/>
    <w:rsid w:val="005E0AFD"/>
    <w:rsid w:val="005E117D"/>
    <w:rsid w:val="005E1D69"/>
    <w:rsid w:val="005E217E"/>
    <w:rsid w:val="005E24DE"/>
    <w:rsid w:val="005E2A7F"/>
    <w:rsid w:val="005E2E54"/>
    <w:rsid w:val="005E31D1"/>
    <w:rsid w:val="005E33F1"/>
    <w:rsid w:val="005E34B0"/>
    <w:rsid w:val="005E3559"/>
    <w:rsid w:val="005E3593"/>
    <w:rsid w:val="005E3946"/>
    <w:rsid w:val="005E39A8"/>
    <w:rsid w:val="005E4587"/>
    <w:rsid w:val="005E48A0"/>
    <w:rsid w:val="005E544D"/>
    <w:rsid w:val="005E5B2D"/>
    <w:rsid w:val="005E60B5"/>
    <w:rsid w:val="005E65A7"/>
    <w:rsid w:val="005E6787"/>
    <w:rsid w:val="005E6FE4"/>
    <w:rsid w:val="005E709D"/>
    <w:rsid w:val="005E7FA6"/>
    <w:rsid w:val="005F060B"/>
    <w:rsid w:val="005F178A"/>
    <w:rsid w:val="005F1ABD"/>
    <w:rsid w:val="005F1E81"/>
    <w:rsid w:val="005F22E3"/>
    <w:rsid w:val="005F268A"/>
    <w:rsid w:val="005F2F98"/>
    <w:rsid w:val="005F3A20"/>
    <w:rsid w:val="005F3C4E"/>
    <w:rsid w:val="005F44DF"/>
    <w:rsid w:val="005F44F2"/>
    <w:rsid w:val="005F450B"/>
    <w:rsid w:val="005F4768"/>
    <w:rsid w:val="005F47FB"/>
    <w:rsid w:val="005F4B18"/>
    <w:rsid w:val="005F54BC"/>
    <w:rsid w:val="005F5803"/>
    <w:rsid w:val="005F5908"/>
    <w:rsid w:val="005F6214"/>
    <w:rsid w:val="005F64D5"/>
    <w:rsid w:val="005F6790"/>
    <w:rsid w:val="005F7020"/>
    <w:rsid w:val="005F74F4"/>
    <w:rsid w:val="005F77EE"/>
    <w:rsid w:val="006008AC"/>
    <w:rsid w:val="006009FF"/>
    <w:rsid w:val="00600E46"/>
    <w:rsid w:val="0060117D"/>
    <w:rsid w:val="00601461"/>
    <w:rsid w:val="0060169E"/>
    <w:rsid w:val="006018EF"/>
    <w:rsid w:val="00601D69"/>
    <w:rsid w:val="00602538"/>
    <w:rsid w:val="0060254B"/>
    <w:rsid w:val="006026CF"/>
    <w:rsid w:val="006031C6"/>
    <w:rsid w:val="00603A2D"/>
    <w:rsid w:val="00603B44"/>
    <w:rsid w:val="00603D06"/>
    <w:rsid w:val="00604525"/>
    <w:rsid w:val="00604A40"/>
    <w:rsid w:val="00604A76"/>
    <w:rsid w:val="00604B0D"/>
    <w:rsid w:val="00604D50"/>
    <w:rsid w:val="00605725"/>
    <w:rsid w:val="00605D66"/>
    <w:rsid w:val="00606612"/>
    <w:rsid w:val="006069D2"/>
    <w:rsid w:val="00606C89"/>
    <w:rsid w:val="00607172"/>
    <w:rsid w:val="0060739E"/>
    <w:rsid w:val="00610051"/>
    <w:rsid w:val="006100CB"/>
    <w:rsid w:val="00610175"/>
    <w:rsid w:val="00611EE4"/>
    <w:rsid w:val="00611F18"/>
    <w:rsid w:val="00612212"/>
    <w:rsid w:val="00612226"/>
    <w:rsid w:val="006124B0"/>
    <w:rsid w:val="00613539"/>
    <w:rsid w:val="00613579"/>
    <w:rsid w:val="00613707"/>
    <w:rsid w:val="00614002"/>
    <w:rsid w:val="006143F6"/>
    <w:rsid w:val="00614B39"/>
    <w:rsid w:val="00614B76"/>
    <w:rsid w:val="00614B8C"/>
    <w:rsid w:val="00615099"/>
    <w:rsid w:val="0061518C"/>
    <w:rsid w:val="006155E4"/>
    <w:rsid w:val="006162F2"/>
    <w:rsid w:val="006169F7"/>
    <w:rsid w:val="00617A14"/>
    <w:rsid w:val="00617D1E"/>
    <w:rsid w:val="00617E41"/>
    <w:rsid w:val="00617EC1"/>
    <w:rsid w:val="00617EE0"/>
    <w:rsid w:val="00620388"/>
    <w:rsid w:val="00621ED2"/>
    <w:rsid w:val="0062254E"/>
    <w:rsid w:val="0062289C"/>
    <w:rsid w:val="00622CA4"/>
    <w:rsid w:val="00622D11"/>
    <w:rsid w:val="00622EDE"/>
    <w:rsid w:val="0062307C"/>
    <w:rsid w:val="00623456"/>
    <w:rsid w:val="0062389C"/>
    <w:rsid w:val="00623B20"/>
    <w:rsid w:val="0062405E"/>
    <w:rsid w:val="006249F0"/>
    <w:rsid w:val="00624E65"/>
    <w:rsid w:val="006252B1"/>
    <w:rsid w:val="00625958"/>
    <w:rsid w:val="006266C0"/>
    <w:rsid w:val="00626F30"/>
    <w:rsid w:val="0062751A"/>
    <w:rsid w:val="00627730"/>
    <w:rsid w:val="006279BB"/>
    <w:rsid w:val="006307C4"/>
    <w:rsid w:val="00631A2D"/>
    <w:rsid w:val="00631CFC"/>
    <w:rsid w:val="0063225C"/>
    <w:rsid w:val="006329CB"/>
    <w:rsid w:val="00632EC0"/>
    <w:rsid w:val="00633934"/>
    <w:rsid w:val="006339FD"/>
    <w:rsid w:val="00633D34"/>
    <w:rsid w:val="006343F0"/>
    <w:rsid w:val="0063492B"/>
    <w:rsid w:val="0063495B"/>
    <w:rsid w:val="00634F3E"/>
    <w:rsid w:val="00635290"/>
    <w:rsid w:val="00635A0A"/>
    <w:rsid w:val="00635C78"/>
    <w:rsid w:val="006361AC"/>
    <w:rsid w:val="00636677"/>
    <w:rsid w:val="006366EB"/>
    <w:rsid w:val="0063697D"/>
    <w:rsid w:val="00636F75"/>
    <w:rsid w:val="00637670"/>
    <w:rsid w:val="00637B34"/>
    <w:rsid w:val="00637E5D"/>
    <w:rsid w:val="00637ED4"/>
    <w:rsid w:val="00640A39"/>
    <w:rsid w:val="0064131A"/>
    <w:rsid w:val="006425BD"/>
    <w:rsid w:val="00643151"/>
    <w:rsid w:val="0064322B"/>
    <w:rsid w:val="0064332B"/>
    <w:rsid w:val="006433DD"/>
    <w:rsid w:val="006435F8"/>
    <w:rsid w:val="006436B4"/>
    <w:rsid w:val="00643806"/>
    <w:rsid w:val="0064383F"/>
    <w:rsid w:val="006442F2"/>
    <w:rsid w:val="00644585"/>
    <w:rsid w:val="00644CD5"/>
    <w:rsid w:val="00645417"/>
    <w:rsid w:val="00645C48"/>
    <w:rsid w:val="00646019"/>
    <w:rsid w:val="00646850"/>
    <w:rsid w:val="00647082"/>
    <w:rsid w:val="006470BA"/>
    <w:rsid w:val="006478D4"/>
    <w:rsid w:val="00647C0C"/>
    <w:rsid w:val="00647F7B"/>
    <w:rsid w:val="006502FE"/>
    <w:rsid w:val="00650552"/>
    <w:rsid w:val="00650F10"/>
    <w:rsid w:val="00651863"/>
    <w:rsid w:val="006518E0"/>
    <w:rsid w:val="00651979"/>
    <w:rsid w:val="00651C35"/>
    <w:rsid w:val="006524B4"/>
    <w:rsid w:val="006525AB"/>
    <w:rsid w:val="00652D27"/>
    <w:rsid w:val="00652D5D"/>
    <w:rsid w:val="00653B1B"/>
    <w:rsid w:val="0065408F"/>
    <w:rsid w:val="0065488D"/>
    <w:rsid w:val="006550C5"/>
    <w:rsid w:val="00655A8D"/>
    <w:rsid w:val="00655EAC"/>
    <w:rsid w:val="00656386"/>
    <w:rsid w:val="00656ABE"/>
    <w:rsid w:val="00656ECC"/>
    <w:rsid w:val="006572B9"/>
    <w:rsid w:val="00657745"/>
    <w:rsid w:val="00657A06"/>
    <w:rsid w:val="00657AD5"/>
    <w:rsid w:val="00657FC6"/>
    <w:rsid w:val="00661B58"/>
    <w:rsid w:val="0066261E"/>
    <w:rsid w:val="00662C1A"/>
    <w:rsid w:val="00662D51"/>
    <w:rsid w:val="00662D5A"/>
    <w:rsid w:val="0066307F"/>
    <w:rsid w:val="006637FB"/>
    <w:rsid w:val="00664020"/>
    <w:rsid w:val="00664C1B"/>
    <w:rsid w:val="00664DBD"/>
    <w:rsid w:val="00665176"/>
    <w:rsid w:val="006654A2"/>
    <w:rsid w:val="006657B5"/>
    <w:rsid w:val="00666CC8"/>
    <w:rsid w:val="006705EF"/>
    <w:rsid w:val="00670F20"/>
    <w:rsid w:val="00671315"/>
    <w:rsid w:val="006715E1"/>
    <w:rsid w:val="006717CD"/>
    <w:rsid w:val="0067197D"/>
    <w:rsid w:val="00671FA8"/>
    <w:rsid w:val="00672339"/>
    <w:rsid w:val="00672F3E"/>
    <w:rsid w:val="00673700"/>
    <w:rsid w:val="00673A98"/>
    <w:rsid w:val="00673BD4"/>
    <w:rsid w:val="00673F2D"/>
    <w:rsid w:val="00674499"/>
    <w:rsid w:val="006744BE"/>
    <w:rsid w:val="0067466F"/>
    <w:rsid w:val="006751D2"/>
    <w:rsid w:val="0067576F"/>
    <w:rsid w:val="00675EE1"/>
    <w:rsid w:val="00676C23"/>
    <w:rsid w:val="00676E8C"/>
    <w:rsid w:val="00676F7C"/>
    <w:rsid w:val="00677604"/>
    <w:rsid w:val="0067774A"/>
    <w:rsid w:val="00677797"/>
    <w:rsid w:val="00677E62"/>
    <w:rsid w:val="00677FA8"/>
    <w:rsid w:val="00680557"/>
    <w:rsid w:val="006805BB"/>
    <w:rsid w:val="00680729"/>
    <w:rsid w:val="0068091C"/>
    <w:rsid w:val="00681002"/>
    <w:rsid w:val="006823A7"/>
    <w:rsid w:val="006825F6"/>
    <w:rsid w:val="00682FE2"/>
    <w:rsid w:val="0068321D"/>
    <w:rsid w:val="00684083"/>
    <w:rsid w:val="006840B6"/>
    <w:rsid w:val="00684298"/>
    <w:rsid w:val="00684838"/>
    <w:rsid w:val="00685148"/>
    <w:rsid w:val="0068548F"/>
    <w:rsid w:val="00685CD2"/>
    <w:rsid w:val="00685D23"/>
    <w:rsid w:val="00685F5C"/>
    <w:rsid w:val="00685F95"/>
    <w:rsid w:val="0068614E"/>
    <w:rsid w:val="00686946"/>
    <w:rsid w:val="00686949"/>
    <w:rsid w:val="006876E7"/>
    <w:rsid w:val="0068775A"/>
    <w:rsid w:val="00687785"/>
    <w:rsid w:val="00687918"/>
    <w:rsid w:val="00687F21"/>
    <w:rsid w:val="00687F47"/>
    <w:rsid w:val="006909AC"/>
    <w:rsid w:val="00690D1B"/>
    <w:rsid w:val="00690EF0"/>
    <w:rsid w:val="00691218"/>
    <w:rsid w:val="00692358"/>
    <w:rsid w:val="006933D7"/>
    <w:rsid w:val="0069370A"/>
    <w:rsid w:val="00693FDC"/>
    <w:rsid w:val="00693FE6"/>
    <w:rsid w:val="006941F5"/>
    <w:rsid w:val="0069487D"/>
    <w:rsid w:val="006950AE"/>
    <w:rsid w:val="006954CC"/>
    <w:rsid w:val="00695548"/>
    <w:rsid w:val="00695767"/>
    <w:rsid w:val="006957AD"/>
    <w:rsid w:val="00695A58"/>
    <w:rsid w:val="00695F0D"/>
    <w:rsid w:val="006960B9"/>
    <w:rsid w:val="00696256"/>
    <w:rsid w:val="00696504"/>
    <w:rsid w:val="00696B22"/>
    <w:rsid w:val="00696B56"/>
    <w:rsid w:val="006970B0"/>
    <w:rsid w:val="006973B9"/>
    <w:rsid w:val="00697A39"/>
    <w:rsid w:val="00697C0B"/>
    <w:rsid w:val="00697F29"/>
    <w:rsid w:val="006A0492"/>
    <w:rsid w:val="006A050E"/>
    <w:rsid w:val="006A0E5A"/>
    <w:rsid w:val="006A1C5C"/>
    <w:rsid w:val="006A1D8F"/>
    <w:rsid w:val="006A21B9"/>
    <w:rsid w:val="006A2203"/>
    <w:rsid w:val="006A2378"/>
    <w:rsid w:val="006A2807"/>
    <w:rsid w:val="006A2F16"/>
    <w:rsid w:val="006A2F17"/>
    <w:rsid w:val="006A3362"/>
    <w:rsid w:val="006A34BC"/>
    <w:rsid w:val="006A3699"/>
    <w:rsid w:val="006A3B8F"/>
    <w:rsid w:val="006A3C8A"/>
    <w:rsid w:val="006A408C"/>
    <w:rsid w:val="006A5075"/>
    <w:rsid w:val="006A55D6"/>
    <w:rsid w:val="006A6A03"/>
    <w:rsid w:val="006A6FEF"/>
    <w:rsid w:val="006A715C"/>
    <w:rsid w:val="006A799E"/>
    <w:rsid w:val="006A7DD2"/>
    <w:rsid w:val="006B0619"/>
    <w:rsid w:val="006B06BC"/>
    <w:rsid w:val="006B0728"/>
    <w:rsid w:val="006B0982"/>
    <w:rsid w:val="006B0BDA"/>
    <w:rsid w:val="006B1739"/>
    <w:rsid w:val="006B1D49"/>
    <w:rsid w:val="006B221A"/>
    <w:rsid w:val="006B251D"/>
    <w:rsid w:val="006B289B"/>
    <w:rsid w:val="006B33F6"/>
    <w:rsid w:val="006B3497"/>
    <w:rsid w:val="006B34F3"/>
    <w:rsid w:val="006B400E"/>
    <w:rsid w:val="006B4DD4"/>
    <w:rsid w:val="006B4EF2"/>
    <w:rsid w:val="006B4FF8"/>
    <w:rsid w:val="006B4FF9"/>
    <w:rsid w:val="006B5487"/>
    <w:rsid w:val="006B55E7"/>
    <w:rsid w:val="006B6A45"/>
    <w:rsid w:val="006B6CBD"/>
    <w:rsid w:val="006B75D2"/>
    <w:rsid w:val="006B7A0B"/>
    <w:rsid w:val="006B7F61"/>
    <w:rsid w:val="006C046B"/>
    <w:rsid w:val="006C07D5"/>
    <w:rsid w:val="006C08E2"/>
    <w:rsid w:val="006C122E"/>
    <w:rsid w:val="006C180E"/>
    <w:rsid w:val="006C1C6D"/>
    <w:rsid w:val="006C202F"/>
    <w:rsid w:val="006C21F4"/>
    <w:rsid w:val="006C22D8"/>
    <w:rsid w:val="006C2B0E"/>
    <w:rsid w:val="006C3035"/>
    <w:rsid w:val="006C320B"/>
    <w:rsid w:val="006C35FF"/>
    <w:rsid w:val="006C3701"/>
    <w:rsid w:val="006C536E"/>
    <w:rsid w:val="006C5748"/>
    <w:rsid w:val="006C5830"/>
    <w:rsid w:val="006C58CE"/>
    <w:rsid w:val="006C63AA"/>
    <w:rsid w:val="006C77E7"/>
    <w:rsid w:val="006C79A3"/>
    <w:rsid w:val="006C7D93"/>
    <w:rsid w:val="006D04E4"/>
    <w:rsid w:val="006D0C5B"/>
    <w:rsid w:val="006D0E70"/>
    <w:rsid w:val="006D1B80"/>
    <w:rsid w:val="006D1E57"/>
    <w:rsid w:val="006D1F2A"/>
    <w:rsid w:val="006D2158"/>
    <w:rsid w:val="006D257D"/>
    <w:rsid w:val="006D2588"/>
    <w:rsid w:val="006D31D0"/>
    <w:rsid w:val="006D419E"/>
    <w:rsid w:val="006D43E5"/>
    <w:rsid w:val="006D5C9B"/>
    <w:rsid w:val="006D5F8C"/>
    <w:rsid w:val="006D6EB1"/>
    <w:rsid w:val="006D72FF"/>
    <w:rsid w:val="006E053D"/>
    <w:rsid w:val="006E0624"/>
    <w:rsid w:val="006E0E55"/>
    <w:rsid w:val="006E1138"/>
    <w:rsid w:val="006E13F7"/>
    <w:rsid w:val="006E1D01"/>
    <w:rsid w:val="006E1D1B"/>
    <w:rsid w:val="006E2210"/>
    <w:rsid w:val="006E27ED"/>
    <w:rsid w:val="006E3098"/>
    <w:rsid w:val="006E330F"/>
    <w:rsid w:val="006E4155"/>
    <w:rsid w:val="006E5355"/>
    <w:rsid w:val="006E6D86"/>
    <w:rsid w:val="006E6E23"/>
    <w:rsid w:val="006E727E"/>
    <w:rsid w:val="006E75C8"/>
    <w:rsid w:val="006E76DD"/>
    <w:rsid w:val="006E76E3"/>
    <w:rsid w:val="006E78B3"/>
    <w:rsid w:val="006E7D32"/>
    <w:rsid w:val="006F00F8"/>
    <w:rsid w:val="006F07DB"/>
    <w:rsid w:val="006F0CB6"/>
    <w:rsid w:val="006F1246"/>
    <w:rsid w:val="006F167E"/>
    <w:rsid w:val="006F184A"/>
    <w:rsid w:val="006F1AF7"/>
    <w:rsid w:val="006F1BE7"/>
    <w:rsid w:val="006F1C65"/>
    <w:rsid w:val="006F20F7"/>
    <w:rsid w:val="006F234F"/>
    <w:rsid w:val="006F2902"/>
    <w:rsid w:val="006F2AC1"/>
    <w:rsid w:val="006F2B97"/>
    <w:rsid w:val="006F2C0E"/>
    <w:rsid w:val="006F2E86"/>
    <w:rsid w:val="006F3390"/>
    <w:rsid w:val="006F379F"/>
    <w:rsid w:val="006F45CF"/>
    <w:rsid w:val="006F4E19"/>
    <w:rsid w:val="006F570D"/>
    <w:rsid w:val="006F5F17"/>
    <w:rsid w:val="006F633B"/>
    <w:rsid w:val="006F63E8"/>
    <w:rsid w:val="006F6863"/>
    <w:rsid w:val="006F68E9"/>
    <w:rsid w:val="006F6D41"/>
    <w:rsid w:val="006F7078"/>
    <w:rsid w:val="006F70F2"/>
    <w:rsid w:val="006F7125"/>
    <w:rsid w:val="006F74FF"/>
    <w:rsid w:val="006F7B15"/>
    <w:rsid w:val="00700051"/>
    <w:rsid w:val="00700253"/>
    <w:rsid w:val="007004B1"/>
    <w:rsid w:val="00700BB6"/>
    <w:rsid w:val="007012C8"/>
    <w:rsid w:val="00701AC4"/>
    <w:rsid w:val="00702B48"/>
    <w:rsid w:val="00702F65"/>
    <w:rsid w:val="007037F8"/>
    <w:rsid w:val="00703C91"/>
    <w:rsid w:val="00703CCB"/>
    <w:rsid w:val="0070408C"/>
    <w:rsid w:val="007044F5"/>
    <w:rsid w:val="00704A5B"/>
    <w:rsid w:val="00704B71"/>
    <w:rsid w:val="00705301"/>
    <w:rsid w:val="00705339"/>
    <w:rsid w:val="0070539E"/>
    <w:rsid w:val="00705812"/>
    <w:rsid w:val="00705D6B"/>
    <w:rsid w:val="00706B70"/>
    <w:rsid w:val="00706CA2"/>
    <w:rsid w:val="00706CF4"/>
    <w:rsid w:val="00706D39"/>
    <w:rsid w:val="00706FD5"/>
    <w:rsid w:val="007074C8"/>
    <w:rsid w:val="00707600"/>
    <w:rsid w:val="007078BE"/>
    <w:rsid w:val="007102AB"/>
    <w:rsid w:val="00710DE3"/>
    <w:rsid w:val="00711152"/>
    <w:rsid w:val="00711BC2"/>
    <w:rsid w:val="00711C27"/>
    <w:rsid w:val="007124D5"/>
    <w:rsid w:val="00712CBA"/>
    <w:rsid w:val="00712CDC"/>
    <w:rsid w:val="007130B9"/>
    <w:rsid w:val="0071328F"/>
    <w:rsid w:val="00713CA3"/>
    <w:rsid w:val="007145CA"/>
    <w:rsid w:val="007147E1"/>
    <w:rsid w:val="0071600F"/>
    <w:rsid w:val="007164B6"/>
    <w:rsid w:val="007177F1"/>
    <w:rsid w:val="00717944"/>
    <w:rsid w:val="007179AF"/>
    <w:rsid w:val="00720076"/>
    <w:rsid w:val="007201A5"/>
    <w:rsid w:val="00720347"/>
    <w:rsid w:val="00720500"/>
    <w:rsid w:val="007205DD"/>
    <w:rsid w:val="00720DB2"/>
    <w:rsid w:val="00721097"/>
    <w:rsid w:val="00721B8E"/>
    <w:rsid w:val="00722204"/>
    <w:rsid w:val="0072237F"/>
    <w:rsid w:val="007226EF"/>
    <w:rsid w:val="007227F1"/>
    <w:rsid w:val="00722E2A"/>
    <w:rsid w:val="00723536"/>
    <w:rsid w:val="00723CF4"/>
    <w:rsid w:val="00725C5F"/>
    <w:rsid w:val="00725DA7"/>
    <w:rsid w:val="00725DAE"/>
    <w:rsid w:val="00726051"/>
    <w:rsid w:val="00726354"/>
    <w:rsid w:val="00726357"/>
    <w:rsid w:val="00726E52"/>
    <w:rsid w:val="00726EB7"/>
    <w:rsid w:val="007271C5"/>
    <w:rsid w:val="00727337"/>
    <w:rsid w:val="00727795"/>
    <w:rsid w:val="007279BA"/>
    <w:rsid w:val="00727A14"/>
    <w:rsid w:val="00727BC4"/>
    <w:rsid w:val="0073027F"/>
    <w:rsid w:val="0073060B"/>
    <w:rsid w:val="00730F03"/>
    <w:rsid w:val="00730FB0"/>
    <w:rsid w:val="007311E6"/>
    <w:rsid w:val="007321D8"/>
    <w:rsid w:val="00732DC5"/>
    <w:rsid w:val="00733199"/>
    <w:rsid w:val="0073367D"/>
    <w:rsid w:val="00733734"/>
    <w:rsid w:val="00733C40"/>
    <w:rsid w:val="00734607"/>
    <w:rsid w:val="007346B5"/>
    <w:rsid w:val="00734964"/>
    <w:rsid w:val="00734C6D"/>
    <w:rsid w:val="00735089"/>
    <w:rsid w:val="00735204"/>
    <w:rsid w:val="007353A1"/>
    <w:rsid w:val="00735F2B"/>
    <w:rsid w:val="00737140"/>
    <w:rsid w:val="0073734F"/>
    <w:rsid w:val="007373DC"/>
    <w:rsid w:val="007374C9"/>
    <w:rsid w:val="0073761C"/>
    <w:rsid w:val="0073765D"/>
    <w:rsid w:val="007376F6"/>
    <w:rsid w:val="0073786F"/>
    <w:rsid w:val="00740537"/>
    <w:rsid w:val="007405B6"/>
    <w:rsid w:val="007409A7"/>
    <w:rsid w:val="00740AED"/>
    <w:rsid w:val="00740B35"/>
    <w:rsid w:val="00740CE5"/>
    <w:rsid w:val="00741542"/>
    <w:rsid w:val="007415F6"/>
    <w:rsid w:val="00742ABF"/>
    <w:rsid w:val="00743329"/>
    <w:rsid w:val="0074335B"/>
    <w:rsid w:val="00744227"/>
    <w:rsid w:val="00744557"/>
    <w:rsid w:val="007445B8"/>
    <w:rsid w:val="00744618"/>
    <w:rsid w:val="0074530A"/>
    <w:rsid w:val="0074569D"/>
    <w:rsid w:val="00745B76"/>
    <w:rsid w:val="00745EA7"/>
    <w:rsid w:val="00746176"/>
    <w:rsid w:val="00746224"/>
    <w:rsid w:val="0074655B"/>
    <w:rsid w:val="0074665E"/>
    <w:rsid w:val="00746AA5"/>
    <w:rsid w:val="00746D2F"/>
    <w:rsid w:val="007477FF"/>
    <w:rsid w:val="00747DED"/>
    <w:rsid w:val="0075070C"/>
    <w:rsid w:val="00750723"/>
    <w:rsid w:val="00750A80"/>
    <w:rsid w:val="00750E2D"/>
    <w:rsid w:val="007510B2"/>
    <w:rsid w:val="00751452"/>
    <w:rsid w:val="00751658"/>
    <w:rsid w:val="00751E53"/>
    <w:rsid w:val="007527A4"/>
    <w:rsid w:val="00752F63"/>
    <w:rsid w:val="00753127"/>
    <w:rsid w:val="00753AC6"/>
    <w:rsid w:val="00753E1B"/>
    <w:rsid w:val="00754753"/>
    <w:rsid w:val="00754943"/>
    <w:rsid w:val="00754D88"/>
    <w:rsid w:val="007556A9"/>
    <w:rsid w:val="00755BD4"/>
    <w:rsid w:val="00757747"/>
    <w:rsid w:val="007577DF"/>
    <w:rsid w:val="00757A08"/>
    <w:rsid w:val="007600E4"/>
    <w:rsid w:val="0076038A"/>
    <w:rsid w:val="00760760"/>
    <w:rsid w:val="00761722"/>
    <w:rsid w:val="007618EB"/>
    <w:rsid w:val="00761E5A"/>
    <w:rsid w:val="00762266"/>
    <w:rsid w:val="00762AB0"/>
    <w:rsid w:val="00762C6E"/>
    <w:rsid w:val="00763346"/>
    <w:rsid w:val="00763366"/>
    <w:rsid w:val="00763451"/>
    <w:rsid w:val="00763828"/>
    <w:rsid w:val="00763AFA"/>
    <w:rsid w:val="00764FF8"/>
    <w:rsid w:val="00765050"/>
    <w:rsid w:val="00765A4B"/>
    <w:rsid w:val="00765B7B"/>
    <w:rsid w:val="00766A7B"/>
    <w:rsid w:val="00766D8C"/>
    <w:rsid w:val="0076733F"/>
    <w:rsid w:val="00767B52"/>
    <w:rsid w:val="007701CD"/>
    <w:rsid w:val="00770D3C"/>
    <w:rsid w:val="0077168F"/>
    <w:rsid w:val="007717D6"/>
    <w:rsid w:val="00771D1F"/>
    <w:rsid w:val="0077201F"/>
    <w:rsid w:val="007727C9"/>
    <w:rsid w:val="007728BA"/>
    <w:rsid w:val="00772CDD"/>
    <w:rsid w:val="00772D5F"/>
    <w:rsid w:val="00773D49"/>
    <w:rsid w:val="00773DDC"/>
    <w:rsid w:val="007742B1"/>
    <w:rsid w:val="00774673"/>
    <w:rsid w:val="00774A0F"/>
    <w:rsid w:val="00774A47"/>
    <w:rsid w:val="00775346"/>
    <w:rsid w:val="0077538B"/>
    <w:rsid w:val="007754B2"/>
    <w:rsid w:val="007754DD"/>
    <w:rsid w:val="00775808"/>
    <w:rsid w:val="007768C6"/>
    <w:rsid w:val="00777025"/>
    <w:rsid w:val="0077749F"/>
    <w:rsid w:val="007776A2"/>
    <w:rsid w:val="00777A5A"/>
    <w:rsid w:val="00780015"/>
    <w:rsid w:val="0078013B"/>
    <w:rsid w:val="007807C5"/>
    <w:rsid w:val="00780D99"/>
    <w:rsid w:val="00781541"/>
    <w:rsid w:val="00781771"/>
    <w:rsid w:val="00781B3D"/>
    <w:rsid w:val="00781B6F"/>
    <w:rsid w:val="00781BE0"/>
    <w:rsid w:val="00781F9F"/>
    <w:rsid w:val="007820BA"/>
    <w:rsid w:val="00782658"/>
    <w:rsid w:val="0078278C"/>
    <w:rsid w:val="007830B1"/>
    <w:rsid w:val="0078314B"/>
    <w:rsid w:val="007837E2"/>
    <w:rsid w:val="007837F7"/>
    <w:rsid w:val="00783D99"/>
    <w:rsid w:val="00784782"/>
    <w:rsid w:val="007849F6"/>
    <w:rsid w:val="00784A24"/>
    <w:rsid w:val="0078507B"/>
    <w:rsid w:val="00785EC0"/>
    <w:rsid w:val="007866CA"/>
    <w:rsid w:val="00786755"/>
    <w:rsid w:val="0078695D"/>
    <w:rsid w:val="007875B4"/>
    <w:rsid w:val="007876C9"/>
    <w:rsid w:val="00787C77"/>
    <w:rsid w:val="00787D69"/>
    <w:rsid w:val="00790572"/>
    <w:rsid w:val="007905B4"/>
    <w:rsid w:val="00790629"/>
    <w:rsid w:val="00790992"/>
    <w:rsid w:val="00790AB6"/>
    <w:rsid w:val="00790B1B"/>
    <w:rsid w:val="00790C28"/>
    <w:rsid w:val="00791128"/>
    <w:rsid w:val="00791F02"/>
    <w:rsid w:val="0079234A"/>
    <w:rsid w:val="007926D0"/>
    <w:rsid w:val="00792A1E"/>
    <w:rsid w:val="00793712"/>
    <w:rsid w:val="00793FEF"/>
    <w:rsid w:val="00795602"/>
    <w:rsid w:val="007959C5"/>
    <w:rsid w:val="00795C0E"/>
    <w:rsid w:val="00796986"/>
    <w:rsid w:val="00797061"/>
    <w:rsid w:val="0079737E"/>
    <w:rsid w:val="00797846"/>
    <w:rsid w:val="00797B0B"/>
    <w:rsid w:val="00797C0C"/>
    <w:rsid w:val="00797C77"/>
    <w:rsid w:val="007A0116"/>
    <w:rsid w:val="007A0460"/>
    <w:rsid w:val="007A055E"/>
    <w:rsid w:val="007A05F5"/>
    <w:rsid w:val="007A0BE6"/>
    <w:rsid w:val="007A1B25"/>
    <w:rsid w:val="007A1CE9"/>
    <w:rsid w:val="007A1EF1"/>
    <w:rsid w:val="007A2B50"/>
    <w:rsid w:val="007A2B9F"/>
    <w:rsid w:val="007A2D17"/>
    <w:rsid w:val="007A2D4D"/>
    <w:rsid w:val="007A3163"/>
    <w:rsid w:val="007A3C95"/>
    <w:rsid w:val="007A3D3A"/>
    <w:rsid w:val="007A409C"/>
    <w:rsid w:val="007A4340"/>
    <w:rsid w:val="007A472E"/>
    <w:rsid w:val="007A480A"/>
    <w:rsid w:val="007A4DE5"/>
    <w:rsid w:val="007A50A4"/>
    <w:rsid w:val="007A549D"/>
    <w:rsid w:val="007A56DC"/>
    <w:rsid w:val="007A5BA2"/>
    <w:rsid w:val="007A5F33"/>
    <w:rsid w:val="007A63A8"/>
    <w:rsid w:val="007A67EA"/>
    <w:rsid w:val="007A69DD"/>
    <w:rsid w:val="007A6A94"/>
    <w:rsid w:val="007A6AE6"/>
    <w:rsid w:val="007A6B6E"/>
    <w:rsid w:val="007A79CA"/>
    <w:rsid w:val="007B010E"/>
    <w:rsid w:val="007B03B4"/>
    <w:rsid w:val="007B045A"/>
    <w:rsid w:val="007B0484"/>
    <w:rsid w:val="007B0AD3"/>
    <w:rsid w:val="007B0D35"/>
    <w:rsid w:val="007B1194"/>
    <w:rsid w:val="007B37AE"/>
    <w:rsid w:val="007B3B5E"/>
    <w:rsid w:val="007B3D61"/>
    <w:rsid w:val="007B41D2"/>
    <w:rsid w:val="007B450B"/>
    <w:rsid w:val="007B479E"/>
    <w:rsid w:val="007B48BC"/>
    <w:rsid w:val="007B4937"/>
    <w:rsid w:val="007B49C4"/>
    <w:rsid w:val="007B5034"/>
    <w:rsid w:val="007B511D"/>
    <w:rsid w:val="007B57F1"/>
    <w:rsid w:val="007B593B"/>
    <w:rsid w:val="007B5A08"/>
    <w:rsid w:val="007B6028"/>
    <w:rsid w:val="007B6409"/>
    <w:rsid w:val="007B6573"/>
    <w:rsid w:val="007B6BEF"/>
    <w:rsid w:val="007B78A5"/>
    <w:rsid w:val="007B7EF6"/>
    <w:rsid w:val="007B7FE6"/>
    <w:rsid w:val="007C0160"/>
    <w:rsid w:val="007C06D3"/>
    <w:rsid w:val="007C0B8B"/>
    <w:rsid w:val="007C1BCE"/>
    <w:rsid w:val="007C1D95"/>
    <w:rsid w:val="007C20E2"/>
    <w:rsid w:val="007C22AD"/>
    <w:rsid w:val="007C2818"/>
    <w:rsid w:val="007C2886"/>
    <w:rsid w:val="007C2919"/>
    <w:rsid w:val="007C2BDD"/>
    <w:rsid w:val="007C2EEF"/>
    <w:rsid w:val="007C382A"/>
    <w:rsid w:val="007C3B59"/>
    <w:rsid w:val="007C4C28"/>
    <w:rsid w:val="007C4CD0"/>
    <w:rsid w:val="007C4CE2"/>
    <w:rsid w:val="007C4EE3"/>
    <w:rsid w:val="007C57F4"/>
    <w:rsid w:val="007C59F3"/>
    <w:rsid w:val="007C5F38"/>
    <w:rsid w:val="007C619A"/>
    <w:rsid w:val="007C728E"/>
    <w:rsid w:val="007C74CF"/>
    <w:rsid w:val="007C7BA9"/>
    <w:rsid w:val="007D0087"/>
    <w:rsid w:val="007D0399"/>
    <w:rsid w:val="007D04F2"/>
    <w:rsid w:val="007D0EC1"/>
    <w:rsid w:val="007D12D5"/>
    <w:rsid w:val="007D25A3"/>
    <w:rsid w:val="007D3212"/>
    <w:rsid w:val="007D39F2"/>
    <w:rsid w:val="007D3EB1"/>
    <w:rsid w:val="007D405E"/>
    <w:rsid w:val="007D4719"/>
    <w:rsid w:val="007D4917"/>
    <w:rsid w:val="007D4955"/>
    <w:rsid w:val="007D4DC5"/>
    <w:rsid w:val="007D50DF"/>
    <w:rsid w:val="007D5165"/>
    <w:rsid w:val="007D5961"/>
    <w:rsid w:val="007D5BBB"/>
    <w:rsid w:val="007D5F3C"/>
    <w:rsid w:val="007D62C2"/>
    <w:rsid w:val="007D660B"/>
    <w:rsid w:val="007D6E35"/>
    <w:rsid w:val="007D71AF"/>
    <w:rsid w:val="007D7229"/>
    <w:rsid w:val="007D7327"/>
    <w:rsid w:val="007D7547"/>
    <w:rsid w:val="007D75F3"/>
    <w:rsid w:val="007D76C7"/>
    <w:rsid w:val="007E0193"/>
    <w:rsid w:val="007E0341"/>
    <w:rsid w:val="007E0639"/>
    <w:rsid w:val="007E0A58"/>
    <w:rsid w:val="007E13FF"/>
    <w:rsid w:val="007E1A28"/>
    <w:rsid w:val="007E1BC9"/>
    <w:rsid w:val="007E20BE"/>
    <w:rsid w:val="007E2361"/>
    <w:rsid w:val="007E2675"/>
    <w:rsid w:val="007E2FEB"/>
    <w:rsid w:val="007E3054"/>
    <w:rsid w:val="007E328F"/>
    <w:rsid w:val="007E33A1"/>
    <w:rsid w:val="007E3B40"/>
    <w:rsid w:val="007E4073"/>
    <w:rsid w:val="007E42AD"/>
    <w:rsid w:val="007E439D"/>
    <w:rsid w:val="007E450B"/>
    <w:rsid w:val="007E46AB"/>
    <w:rsid w:val="007E48F7"/>
    <w:rsid w:val="007E4DE2"/>
    <w:rsid w:val="007E559E"/>
    <w:rsid w:val="007E5D9D"/>
    <w:rsid w:val="007E6277"/>
    <w:rsid w:val="007E6523"/>
    <w:rsid w:val="007E6675"/>
    <w:rsid w:val="007E719A"/>
    <w:rsid w:val="007E72E1"/>
    <w:rsid w:val="007E7D52"/>
    <w:rsid w:val="007F0432"/>
    <w:rsid w:val="007F04CA"/>
    <w:rsid w:val="007F0B3C"/>
    <w:rsid w:val="007F0FCC"/>
    <w:rsid w:val="007F16E2"/>
    <w:rsid w:val="007F20B2"/>
    <w:rsid w:val="007F31A4"/>
    <w:rsid w:val="007F43BC"/>
    <w:rsid w:val="007F51EB"/>
    <w:rsid w:val="007F52FC"/>
    <w:rsid w:val="007F60E1"/>
    <w:rsid w:val="007F6112"/>
    <w:rsid w:val="007F6912"/>
    <w:rsid w:val="007F6AFB"/>
    <w:rsid w:val="007F79DE"/>
    <w:rsid w:val="007F7A34"/>
    <w:rsid w:val="008006B1"/>
    <w:rsid w:val="00800974"/>
    <w:rsid w:val="008009B5"/>
    <w:rsid w:val="00800A99"/>
    <w:rsid w:val="00801748"/>
    <w:rsid w:val="0080347B"/>
    <w:rsid w:val="00803814"/>
    <w:rsid w:val="00803E07"/>
    <w:rsid w:val="00804004"/>
    <w:rsid w:val="00804941"/>
    <w:rsid w:val="00804AED"/>
    <w:rsid w:val="00804C7E"/>
    <w:rsid w:val="00804E2C"/>
    <w:rsid w:val="00805631"/>
    <w:rsid w:val="00805A12"/>
    <w:rsid w:val="00805BE1"/>
    <w:rsid w:val="00805F1A"/>
    <w:rsid w:val="0080647E"/>
    <w:rsid w:val="00806525"/>
    <w:rsid w:val="0080698E"/>
    <w:rsid w:val="00806D0E"/>
    <w:rsid w:val="0080740E"/>
    <w:rsid w:val="0080756F"/>
    <w:rsid w:val="008079D9"/>
    <w:rsid w:val="00807D97"/>
    <w:rsid w:val="008100EE"/>
    <w:rsid w:val="0081042E"/>
    <w:rsid w:val="0081097F"/>
    <w:rsid w:val="00810B73"/>
    <w:rsid w:val="00810C26"/>
    <w:rsid w:val="00810FFC"/>
    <w:rsid w:val="008116D8"/>
    <w:rsid w:val="00811730"/>
    <w:rsid w:val="00812035"/>
    <w:rsid w:val="00812162"/>
    <w:rsid w:val="00812262"/>
    <w:rsid w:val="00812334"/>
    <w:rsid w:val="008127E7"/>
    <w:rsid w:val="00812944"/>
    <w:rsid w:val="008133B0"/>
    <w:rsid w:val="008135E2"/>
    <w:rsid w:val="00814898"/>
    <w:rsid w:val="008148AC"/>
    <w:rsid w:val="00814C34"/>
    <w:rsid w:val="00815300"/>
    <w:rsid w:val="008158CC"/>
    <w:rsid w:val="008159DA"/>
    <w:rsid w:val="00815A7D"/>
    <w:rsid w:val="00816500"/>
    <w:rsid w:val="00816EE6"/>
    <w:rsid w:val="00816F51"/>
    <w:rsid w:val="0081725E"/>
    <w:rsid w:val="0082011D"/>
    <w:rsid w:val="00820150"/>
    <w:rsid w:val="00820436"/>
    <w:rsid w:val="00821CB4"/>
    <w:rsid w:val="00822279"/>
    <w:rsid w:val="008226AE"/>
    <w:rsid w:val="0082272B"/>
    <w:rsid w:val="008227FA"/>
    <w:rsid w:val="00822DA8"/>
    <w:rsid w:val="00822EAD"/>
    <w:rsid w:val="0082315D"/>
    <w:rsid w:val="00823331"/>
    <w:rsid w:val="00823BE9"/>
    <w:rsid w:val="00823D39"/>
    <w:rsid w:val="00823D9E"/>
    <w:rsid w:val="00823FE7"/>
    <w:rsid w:val="0082430A"/>
    <w:rsid w:val="00824647"/>
    <w:rsid w:val="0082520C"/>
    <w:rsid w:val="00825744"/>
    <w:rsid w:val="0082592C"/>
    <w:rsid w:val="00825C47"/>
    <w:rsid w:val="00825D07"/>
    <w:rsid w:val="008261C8"/>
    <w:rsid w:val="008262CA"/>
    <w:rsid w:val="00826385"/>
    <w:rsid w:val="0082654A"/>
    <w:rsid w:val="00826C87"/>
    <w:rsid w:val="00826FBE"/>
    <w:rsid w:val="008271B3"/>
    <w:rsid w:val="00827266"/>
    <w:rsid w:val="0082763B"/>
    <w:rsid w:val="0082772A"/>
    <w:rsid w:val="00827851"/>
    <w:rsid w:val="008308AE"/>
    <w:rsid w:val="00830C8C"/>
    <w:rsid w:val="00830ECE"/>
    <w:rsid w:val="00831363"/>
    <w:rsid w:val="00831448"/>
    <w:rsid w:val="00831D47"/>
    <w:rsid w:val="008320C0"/>
    <w:rsid w:val="00832F6B"/>
    <w:rsid w:val="00833200"/>
    <w:rsid w:val="0083322B"/>
    <w:rsid w:val="00833811"/>
    <w:rsid w:val="008341B1"/>
    <w:rsid w:val="00835969"/>
    <w:rsid w:val="008362B6"/>
    <w:rsid w:val="00836C78"/>
    <w:rsid w:val="00836D6B"/>
    <w:rsid w:val="00836ECE"/>
    <w:rsid w:val="0083705F"/>
    <w:rsid w:val="00837495"/>
    <w:rsid w:val="00837551"/>
    <w:rsid w:val="0083796A"/>
    <w:rsid w:val="00837D95"/>
    <w:rsid w:val="0084005F"/>
    <w:rsid w:val="00840803"/>
    <w:rsid w:val="008408D7"/>
    <w:rsid w:val="00840B57"/>
    <w:rsid w:val="0084174A"/>
    <w:rsid w:val="00841811"/>
    <w:rsid w:val="00841A29"/>
    <w:rsid w:val="00841DC5"/>
    <w:rsid w:val="00841E96"/>
    <w:rsid w:val="0084205C"/>
    <w:rsid w:val="00842409"/>
    <w:rsid w:val="008424EF"/>
    <w:rsid w:val="0084251A"/>
    <w:rsid w:val="008425F5"/>
    <w:rsid w:val="0084262A"/>
    <w:rsid w:val="00842E8E"/>
    <w:rsid w:val="00843DCC"/>
    <w:rsid w:val="008445CD"/>
    <w:rsid w:val="008446D7"/>
    <w:rsid w:val="00844E61"/>
    <w:rsid w:val="0084616F"/>
    <w:rsid w:val="008462F3"/>
    <w:rsid w:val="00846617"/>
    <w:rsid w:val="00846A00"/>
    <w:rsid w:val="008470F8"/>
    <w:rsid w:val="00847363"/>
    <w:rsid w:val="0084755B"/>
    <w:rsid w:val="00847BD9"/>
    <w:rsid w:val="00850A16"/>
    <w:rsid w:val="00850D4D"/>
    <w:rsid w:val="00851DB1"/>
    <w:rsid w:val="00851F6C"/>
    <w:rsid w:val="0085233E"/>
    <w:rsid w:val="0085296A"/>
    <w:rsid w:val="00852AC4"/>
    <w:rsid w:val="00853B7A"/>
    <w:rsid w:val="00853C51"/>
    <w:rsid w:val="00853C7E"/>
    <w:rsid w:val="00853D93"/>
    <w:rsid w:val="0085532C"/>
    <w:rsid w:val="008554B1"/>
    <w:rsid w:val="00855B93"/>
    <w:rsid w:val="00855C69"/>
    <w:rsid w:val="00855FF6"/>
    <w:rsid w:val="00856A9B"/>
    <w:rsid w:val="00856AEE"/>
    <w:rsid w:val="0085708D"/>
    <w:rsid w:val="00857AAF"/>
    <w:rsid w:val="00857C6E"/>
    <w:rsid w:val="00857C8E"/>
    <w:rsid w:val="00857CD5"/>
    <w:rsid w:val="008603A3"/>
    <w:rsid w:val="00861887"/>
    <w:rsid w:val="00861B51"/>
    <w:rsid w:val="00862226"/>
    <w:rsid w:val="008625D6"/>
    <w:rsid w:val="008627DF"/>
    <w:rsid w:val="00862A1B"/>
    <w:rsid w:val="00862A2F"/>
    <w:rsid w:val="00862E2E"/>
    <w:rsid w:val="008632E3"/>
    <w:rsid w:val="008636D5"/>
    <w:rsid w:val="008637FD"/>
    <w:rsid w:val="00864175"/>
    <w:rsid w:val="0086418F"/>
    <w:rsid w:val="008644F0"/>
    <w:rsid w:val="00864964"/>
    <w:rsid w:val="00864CC1"/>
    <w:rsid w:val="008651E2"/>
    <w:rsid w:val="008652CD"/>
    <w:rsid w:val="00865587"/>
    <w:rsid w:val="00865770"/>
    <w:rsid w:val="0086596C"/>
    <w:rsid w:val="0086598A"/>
    <w:rsid w:val="00866557"/>
    <w:rsid w:val="00866580"/>
    <w:rsid w:val="00866D5F"/>
    <w:rsid w:val="00866D83"/>
    <w:rsid w:val="00866DA3"/>
    <w:rsid w:val="00866F74"/>
    <w:rsid w:val="00867BD2"/>
    <w:rsid w:val="00870B13"/>
    <w:rsid w:val="00871558"/>
    <w:rsid w:val="00871749"/>
    <w:rsid w:val="008718DB"/>
    <w:rsid w:val="00871BCC"/>
    <w:rsid w:val="00872A9A"/>
    <w:rsid w:val="00872AE2"/>
    <w:rsid w:val="00872C37"/>
    <w:rsid w:val="0087324E"/>
    <w:rsid w:val="00874068"/>
    <w:rsid w:val="008744B8"/>
    <w:rsid w:val="00874902"/>
    <w:rsid w:val="00874C7D"/>
    <w:rsid w:val="0087549A"/>
    <w:rsid w:val="0087556E"/>
    <w:rsid w:val="008759BB"/>
    <w:rsid w:val="00875D07"/>
    <w:rsid w:val="0087683C"/>
    <w:rsid w:val="00876CEF"/>
    <w:rsid w:val="00877A9B"/>
    <w:rsid w:val="00877AAD"/>
    <w:rsid w:val="00877BAB"/>
    <w:rsid w:val="00877E9B"/>
    <w:rsid w:val="008801AA"/>
    <w:rsid w:val="00880398"/>
    <w:rsid w:val="00881017"/>
    <w:rsid w:val="00881350"/>
    <w:rsid w:val="0088190D"/>
    <w:rsid w:val="00881D09"/>
    <w:rsid w:val="00881EAD"/>
    <w:rsid w:val="008829D1"/>
    <w:rsid w:val="00882AEA"/>
    <w:rsid w:val="00883352"/>
    <w:rsid w:val="0088374E"/>
    <w:rsid w:val="00883877"/>
    <w:rsid w:val="00883AB8"/>
    <w:rsid w:val="00884154"/>
    <w:rsid w:val="00884262"/>
    <w:rsid w:val="00885D57"/>
    <w:rsid w:val="008863D6"/>
    <w:rsid w:val="00886A79"/>
    <w:rsid w:val="00886F46"/>
    <w:rsid w:val="00887416"/>
    <w:rsid w:val="008902D1"/>
    <w:rsid w:val="008905B2"/>
    <w:rsid w:val="00890605"/>
    <w:rsid w:val="00890DDD"/>
    <w:rsid w:val="00891792"/>
    <w:rsid w:val="00891E56"/>
    <w:rsid w:val="008924C0"/>
    <w:rsid w:val="0089308E"/>
    <w:rsid w:val="00893150"/>
    <w:rsid w:val="0089318F"/>
    <w:rsid w:val="0089349D"/>
    <w:rsid w:val="00893F32"/>
    <w:rsid w:val="0089501E"/>
    <w:rsid w:val="0089629C"/>
    <w:rsid w:val="00896810"/>
    <w:rsid w:val="00896A40"/>
    <w:rsid w:val="008978EA"/>
    <w:rsid w:val="008A1128"/>
    <w:rsid w:val="008A125A"/>
    <w:rsid w:val="008A1390"/>
    <w:rsid w:val="008A16AA"/>
    <w:rsid w:val="008A17DC"/>
    <w:rsid w:val="008A1B40"/>
    <w:rsid w:val="008A1D30"/>
    <w:rsid w:val="008A215B"/>
    <w:rsid w:val="008A21DC"/>
    <w:rsid w:val="008A3176"/>
    <w:rsid w:val="008A35B3"/>
    <w:rsid w:val="008A3E38"/>
    <w:rsid w:val="008A40D9"/>
    <w:rsid w:val="008A42DC"/>
    <w:rsid w:val="008A4549"/>
    <w:rsid w:val="008A4757"/>
    <w:rsid w:val="008A476D"/>
    <w:rsid w:val="008A559B"/>
    <w:rsid w:val="008A6252"/>
    <w:rsid w:val="008A635E"/>
    <w:rsid w:val="008A70CE"/>
    <w:rsid w:val="008A77FD"/>
    <w:rsid w:val="008A7896"/>
    <w:rsid w:val="008B006D"/>
    <w:rsid w:val="008B0A3A"/>
    <w:rsid w:val="008B0B0E"/>
    <w:rsid w:val="008B1569"/>
    <w:rsid w:val="008B1B13"/>
    <w:rsid w:val="008B1B56"/>
    <w:rsid w:val="008B1CD2"/>
    <w:rsid w:val="008B1E4A"/>
    <w:rsid w:val="008B2BB7"/>
    <w:rsid w:val="008B3184"/>
    <w:rsid w:val="008B3FE4"/>
    <w:rsid w:val="008B40A0"/>
    <w:rsid w:val="008B4C56"/>
    <w:rsid w:val="008B4FE6"/>
    <w:rsid w:val="008B5138"/>
    <w:rsid w:val="008B5264"/>
    <w:rsid w:val="008B5654"/>
    <w:rsid w:val="008B5B32"/>
    <w:rsid w:val="008B5DDE"/>
    <w:rsid w:val="008B6669"/>
    <w:rsid w:val="008B67C4"/>
    <w:rsid w:val="008B6FBE"/>
    <w:rsid w:val="008B73CF"/>
    <w:rsid w:val="008B7782"/>
    <w:rsid w:val="008B7814"/>
    <w:rsid w:val="008B7C05"/>
    <w:rsid w:val="008C15E1"/>
    <w:rsid w:val="008C1DF8"/>
    <w:rsid w:val="008C214E"/>
    <w:rsid w:val="008C22E4"/>
    <w:rsid w:val="008C23C7"/>
    <w:rsid w:val="008C2440"/>
    <w:rsid w:val="008C277C"/>
    <w:rsid w:val="008C295E"/>
    <w:rsid w:val="008C2F96"/>
    <w:rsid w:val="008C3724"/>
    <w:rsid w:val="008C3FCF"/>
    <w:rsid w:val="008C5157"/>
    <w:rsid w:val="008C5454"/>
    <w:rsid w:val="008C5E6C"/>
    <w:rsid w:val="008C612C"/>
    <w:rsid w:val="008C63A4"/>
    <w:rsid w:val="008C6742"/>
    <w:rsid w:val="008C675A"/>
    <w:rsid w:val="008C6B9E"/>
    <w:rsid w:val="008C717E"/>
    <w:rsid w:val="008C76AA"/>
    <w:rsid w:val="008C7F34"/>
    <w:rsid w:val="008D0334"/>
    <w:rsid w:val="008D0651"/>
    <w:rsid w:val="008D0786"/>
    <w:rsid w:val="008D0894"/>
    <w:rsid w:val="008D0983"/>
    <w:rsid w:val="008D0B9E"/>
    <w:rsid w:val="008D0EA2"/>
    <w:rsid w:val="008D0FA5"/>
    <w:rsid w:val="008D1176"/>
    <w:rsid w:val="008D16AE"/>
    <w:rsid w:val="008D1805"/>
    <w:rsid w:val="008D1BCF"/>
    <w:rsid w:val="008D239B"/>
    <w:rsid w:val="008D26AD"/>
    <w:rsid w:val="008D2B41"/>
    <w:rsid w:val="008D2E5F"/>
    <w:rsid w:val="008D3250"/>
    <w:rsid w:val="008D3610"/>
    <w:rsid w:val="008D3812"/>
    <w:rsid w:val="008D3AD2"/>
    <w:rsid w:val="008D3CA4"/>
    <w:rsid w:val="008D43BD"/>
    <w:rsid w:val="008D4625"/>
    <w:rsid w:val="008D4A5B"/>
    <w:rsid w:val="008D52F5"/>
    <w:rsid w:val="008D5741"/>
    <w:rsid w:val="008D5988"/>
    <w:rsid w:val="008D5AA8"/>
    <w:rsid w:val="008D6BF5"/>
    <w:rsid w:val="008D6C30"/>
    <w:rsid w:val="008D6CDF"/>
    <w:rsid w:val="008DF049"/>
    <w:rsid w:val="008E00A0"/>
    <w:rsid w:val="008E07A4"/>
    <w:rsid w:val="008E0885"/>
    <w:rsid w:val="008E09A6"/>
    <w:rsid w:val="008E0FBD"/>
    <w:rsid w:val="008E1447"/>
    <w:rsid w:val="008E16C3"/>
    <w:rsid w:val="008E1AAC"/>
    <w:rsid w:val="008E1F12"/>
    <w:rsid w:val="008E275A"/>
    <w:rsid w:val="008E2857"/>
    <w:rsid w:val="008E2D81"/>
    <w:rsid w:val="008E2E35"/>
    <w:rsid w:val="008E34EB"/>
    <w:rsid w:val="008E3BFB"/>
    <w:rsid w:val="008E5125"/>
    <w:rsid w:val="008E5771"/>
    <w:rsid w:val="008E5883"/>
    <w:rsid w:val="008E6E6A"/>
    <w:rsid w:val="008E7261"/>
    <w:rsid w:val="008E7289"/>
    <w:rsid w:val="008F0165"/>
    <w:rsid w:val="008F0A20"/>
    <w:rsid w:val="008F0A2B"/>
    <w:rsid w:val="008F0A4B"/>
    <w:rsid w:val="008F0C78"/>
    <w:rsid w:val="008F0F40"/>
    <w:rsid w:val="008F0F64"/>
    <w:rsid w:val="008F1661"/>
    <w:rsid w:val="008F2001"/>
    <w:rsid w:val="008F2103"/>
    <w:rsid w:val="008F2279"/>
    <w:rsid w:val="008F2691"/>
    <w:rsid w:val="008F2829"/>
    <w:rsid w:val="008F2ECE"/>
    <w:rsid w:val="008F309E"/>
    <w:rsid w:val="008F35E4"/>
    <w:rsid w:val="008F44FB"/>
    <w:rsid w:val="008F45EE"/>
    <w:rsid w:val="008F4AB2"/>
    <w:rsid w:val="008F50FA"/>
    <w:rsid w:val="008F538D"/>
    <w:rsid w:val="008F53A5"/>
    <w:rsid w:val="008F5445"/>
    <w:rsid w:val="008F56E2"/>
    <w:rsid w:val="008F5829"/>
    <w:rsid w:val="008F5D80"/>
    <w:rsid w:val="008F69A5"/>
    <w:rsid w:val="008F6E15"/>
    <w:rsid w:val="008F6F8A"/>
    <w:rsid w:val="008F704D"/>
    <w:rsid w:val="008F7232"/>
    <w:rsid w:val="008F75D3"/>
    <w:rsid w:val="0090009F"/>
    <w:rsid w:val="0090058E"/>
    <w:rsid w:val="00900719"/>
    <w:rsid w:val="0090110A"/>
    <w:rsid w:val="00901C07"/>
    <w:rsid w:val="00901F82"/>
    <w:rsid w:val="0090251B"/>
    <w:rsid w:val="00902668"/>
    <w:rsid w:val="00902756"/>
    <w:rsid w:val="00903327"/>
    <w:rsid w:val="009034AA"/>
    <w:rsid w:val="00903CAB"/>
    <w:rsid w:val="00903D5B"/>
    <w:rsid w:val="00903E19"/>
    <w:rsid w:val="00904222"/>
    <w:rsid w:val="009048CD"/>
    <w:rsid w:val="00904B75"/>
    <w:rsid w:val="0090541A"/>
    <w:rsid w:val="009058FA"/>
    <w:rsid w:val="00905D58"/>
    <w:rsid w:val="009060B6"/>
    <w:rsid w:val="00906435"/>
    <w:rsid w:val="00906966"/>
    <w:rsid w:val="0091004A"/>
    <w:rsid w:val="00910F18"/>
    <w:rsid w:val="00911424"/>
    <w:rsid w:val="00911840"/>
    <w:rsid w:val="00912065"/>
    <w:rsid w:val="0091272E"/>
    <w:rsid w:val="00912865"/>
    <w:rsid w:val="0091297E"/>
    <w:rsid w:val="0091338E"/>
    <w:rsid w:val="00913473"/>
    <w:rsid w:val="00913FEB"/>
    <w:rsid w:val="00914538"/>
    <w:rsid w:val="0091464E"/>
    <w:rsid w:val="00914BB0"/>
    <w:rsid w:val="00914BCA"/>
    <w:rsid w:val="00914BD7"/>
    <w:rsid w:val="00914C76"/>
    <w:rsid w:val="0091570A"/>
    <w:rsid w:val="00915930"/>
    <w:rsid w:val="00915A06"/>
    <w:rsid w:val="0091620D"/>
    <w:rsid w:val="0091678D"/>
    <w:rsid w:val="009173AF"/>
    <w:rsid w:val="00917D77"/>
    <w:rsid w:val="00920010"/>
    <w:rsid w:val="0092042C"/>
    <w:rsid w:val="009209FE"/>
    <w:rsid w:val="00921998"/>
    <w:rsid w:val="00921CCB"/>
    <w:rsid w:val="00921D44"/>
    <w:rsid w:val="00921D55"/>
    <w:rsid w:val="00921D8A"/>
    <w:rsid w:val="00921E75"/>
    <w:rsid w:val="00922239"/>
    <w:rsid w:val="00922DD5"/>
    <w:rsid w:val="00922FC4"/>
    <w:rsid w:val="00922FDA"/>
    <w:rsid w:val="00923537"/>
    <w:rsid w:val="00924A14"/>
    <w:rsid w:val="00924E26"/>
    <w:rsid w:val="00924FD1"/>
    <w:rsid w:val="00924FD8"/>
    <w:rsid w:val="00925120"/>
    <w:rsid w:val="009253B3"/>
    <w:rsid w:val="009260A7"/>
    <w:rsid w:val="009260B4"/>
    <w:rsid w:val="009269A5"/>
    <w:rsid w:val="009271CF"/>
    <w:rsid w:val="009273C0"/>
    <w:rsid w:val="00927569"/>
    <w:rsid w:val="009277FE"/>
    <w:rsid w:val="009301C7"/>
    <w:rsid w:val="009303CC"/>
    <w:rsid w:val="00930515"/>
    <w:rsid w:val="00930AE5"/>
    <w:rsid w:val="00930EDD"/>
    <w:rsid w:val="00931496"/>
    <w:rsid w:val="0093176D"/>
    <w:rsid w:val="00931F02"/>
    <w:rsid w:val="00932302"/>
    <w:rsid w:val="009325C5"/>
    <w:rsid w:val="00932AE5"/>
    <w:rsid w:val="00932C78"/>
    <w:rsid w:val="00932F78"/>
    <w:rsid w:val="00933D4A"/>
    <w:rsid w:val="00933F9D"/>
    <w:rsid w:val="009349DD"/>
    <w:rsid w:val="00934F5C"/>
    <w:rsid w:val="0093590F"/>
    <w:rsid w:val="00936BA1"/>
    <w:rsid w:val="00936F5A"/>
    <w:rsid w:val="009370A4"/>
    <w:rsid w:val="00937467"/>
    <w:rsid w:val="00937EE5"/>
    <w:rsid w:val="00937F93"/>
    <w:rsid w:val="009400D1"/>
    <w:rsid w:val="00940536"/>
    <w:rsid w:val="00940717"/>
    <w:rsid w:val="00940D21"/>
    <w:rsid w:val="00940F3D"/>
    <w:rsid w:val="00941208"/>
    <w:rsid w:val="009413E8"/>
    <w:rsid w:val="00941886"/>
    <w:rsid w:val="0094227E"/>
    <w:rsid w:val="009428A6"/>
    <w:rsid w:val="009428E8"/>
    <w:rsid w:val="009433AB"/>
    <w:rsid w:val="00943850"/>
    <w:rsid w:val="00943B9C"/>
    <w:rsid w:val="00943DF2"/>
    <w:rsid w:val="0094416A"/>
    <w:rsid w:val="00944CC2"/>
    <w:rsid w:val="00944D57"/>
    <w:rsid w:val="00945075"/>
    <w:rsid w:val="00945119"/>
    <w:rsid w:val="009455B2"/>
    <w:rsid w:val="00945FF7"/>
    <w:rsid w:val="009464FE"/>
    <w:rsid w:val="00946970"/>
    <w:rsid w:val="00946BA0"/>
    <w:rsid w:val="0095023E"/>
    <w:rsid w:val="00950414"/>
    <w:rsid w:val="009507C3"/>
    <w:rsid w:val="00950AA4"/>
    <w:rsid w:val="00950C84"/>
    <w:rsid w:val="0095170C"/>
    <w:rsid w:val="0095172D"/>
    <w:rsid w:val="009518E8"/>
    <w:rsid w:val="009519A2"/>
    <w:rsid w:val="00951CE5"/>
    <w:rsid w:val="00952F15"/>
    <w:rsid w:val="00953237"/>
    <w:rsid w:val="009534E4"/>
    <w:rsid w:val="00953A62"/>
    <w:rsid w:val="009542D1"/>
    <w:rsid w:val="00954F6B"/>
    <w:rsid w:val="009551DB"/>
    <w:rsid w:val="0095647A"/>
    <w:rsid w:val="009564DD"/>
    <w:rsid w:val="00956A28"/>
    <w:rsid w:val="00956E2F"/>
    <w:rsid w:val="00957089"/>
    <w:rsid w:val="009570F4"/>
    <w:rsid w:val="00957923"/>
    <w:rsid w:val="00957AC1"/>
    <w:rsid w:val="00957F41"/>
    <w:rsid w:val="0096061F"/>
    <w:rsid w:val="009611E9"/>
    <w:rsid w:val="00961C84"/>
    <w:rsid w:val="00961E9A"/>
    <w:rsid w:val="009636F1"/>
    <w:rsid w:val="00963CCB"/>
    <w:rsid w:val="00963EA0"/>
    <w:rsid w:val="0096498F"/>
    <w:rsid w:val="00964B4D"/>
    <w:rsid w:val="00964DE7"/>
    <w:rsid w:val="00964F1E"/>
    <w:rsid w:val="00965064"/>
    <w:rsid w:val="009653EB"/>
    <w:rsid w:val="00965618"/>
    <w:rsid w:val="009656A8"/>
    <w:rsid w:val="00965C7D"/>
    <w:rsid w:val="00965DC1"/>
    <w:rsid w:val="00965EB4"/>
    <w:rsid w:val="009667E9"/>
    <w:rsid w:val="00966819"/>
    <w:rsid w:val="00967773"/>
    <w:rsid w:val="00970AC2"/>
    <w:rsid w:val="00970BDB"/>
    <w:rsid w:val="00971733"/>
    <w:rsid w:val="009718FD"/>
    <w:rsid w:val="009719BB"/>
    <w:rsid w:val="00971BF1"/>
    <w:rsid w:val="00972011"/>
    <w:rsid w:val="009731AE"/>
    <w:rsid w:val="009732AB"/>
    <w:rsid w:val="00974233"/>
    <w:rsid w:val="00974480"/>
    <w:rsid w:val="0097464F"/>
    <w:rsid w:val="0097465C"/>
    <w:rsid w:val="009747B2"/>
    <w:rsid w:val="00974E00"/>
    <w:rsid w:val="00975054"/>
    <w:rsid w:val="0097575F"/>
    <w:rsid w:val="009757BF"/>
    <w:rsid w:val="00975EA9"/>
    <w:rsid w:val="00975F06"/>
    <w:rsid w:val="0097636D"/>
    <w:rsid w:val="0097661B"/>
    <w:rsid w:val="00976933"/>
    <w:rsid w:val="00976E77"/>
    <w:rsid w:val="0097765C"/>
    <w:rsid w:val="00977756"/>
    <w:rsid w:val="009777D7"/>
    <w:rsid w:val="009803DD"/>
    <w:rsid w:val="0098063E"/>
    <w:rsid w:val="00980DB5"/>
    <w:rsid w:val="009817D1"/>
    <w:rsid w:val="009821EE"/>
    <w:rsid w:val="009821F4"/>
    <w:rsid w:val="009827B9"/>
    <w:rsid w:val="009827E7"/>
    <w:rsid w:val="00982FBF"/>
    <w:rsid w:val="0098338E"/>
    <w:rsid w:val="009838B7"/>
    <w:rsid w:val="0098417E"/>
    <w:rsid w:val="00984292"/>
    <w:rsid w:val="0098491F"/>
    <w:rsid w:val="00985000"/>
    <w:rsid w:val="009861F8"/>
    <w:rsid w:val="0098630B"/>
    <w:rsid w:val="0098630C"/>
    <w:rsid w:val="00986A91"/>
    <w:rsid w:val="00986B88"/>
    <w:rsid w:val="00986DC0"/>
    <w:rsid w:val="00986FE0"/>
    <w:rsid w:val="009873B1"/>
    <w:rsid w:val="00987B1C"/>
    <w:rsid w:val="0099072B"/>
    <w:rsid w:val="00991D58"/>
    <w:rsid w:val="00993166"/>
    <w:rsid w:val="00993545"/>
    <w:rsid w:val="00994319"/>
    <w:rsid w:val="00994825"/>
    <w:rsid w:val="00994F44"/>
    <w:rsid w:val="00994F85"/>
    <w:rsid w:val="00995164"/>
    <w:rsid w:val="00995F4E"/>
    <w:rsid w:val="009962C2"/>
    <w:rsid w:val="00996636"/>
    <w:rsid w:val="00996BF4"/>
    <w:rsid w:val="00996C96"/>
    <w:rsid w:val="00996D0D"/>
    <w:rsid w:val="009970A3"/>
    <w:rsid w:val="00997355"/>
    <w:rsid w:val="0099784B"/>
    <w:rsid w:val="00997D18"/>
    <w:rsid w:val="00997D1E"/>
    <w:rsid w:val="00997D35"/>
    <w:rsid w:val="009A07B7"/>
    <w:rsid w:val="009A0D5D"/>
    <w:rsid w:val="009A11E4"/>
    <w:rsid w:val="009A1603"/>
    <w:rsid w:val="009A18B2"/>
    <w:rsid w:val="009A1B8F"/>
    <w:rsid w:val="009A1E89"/>
    <w:rsid w:val="009A2153"/>
    <w:rsid w:val="009A3279"/>
    <w:rsid w:val="009A3B83"/>
    <w:rsid w:val="009A3EE8"/>
    <w:rsid w:val="009A3F11"/>
    <w:rsid w:val="009A48DC"/>
    <w:rsid w:val="009A4CEA"/>
    <w:rsid w:val="009A4DC2"/>
    <w:rsid w:val="009A5016"/>
    <w:rsid w:val="009A561E"/>
    <w:rsid w:val="009A5807"/>
    <w:rsid w:val="009A5B94"/>
    <w:rsid w:val="009A6D6B"/>
    <w:rsid w:val="009A6D7C"/>
    <w:rsid w:val="009A70B2"/>
    <w:rsid w:val="009A7254"/>
    <w:rsid w:val="009A7803"/>
    <w:rsid w:val="009A7C95"/>
    <w:rsid w:val="009A7CF5"/>
    <w:rsid w:val="009B02AB"/>
    <w:rsid w:val="009B0A05"/>
    <w:rsid w:val="009B1242"/>
    <w:rsid w:val="009B15D9"/>
    <w:rsid w:val="009B188C"/>
    <w:rsid w:val="009B18E2"/>
    <w:rsid w:val="009B1B9D"/>
    <w:rsid w:val="009B2344"/>
    <w:rsid w:val="009B2418"/>
    <w:rsid w:val="009B2B77"/>
    <w:rsid w:val="009B349A"/>
    <w:rsid w:val="009B35E2"/>
    <w:rsid w:val="009B3A5B"/>
    <w:rsid w:val="009B3ACD"/>
    <w:rsid w:val="009B3B70"/>
    <w:rsid w:val="009B47BE"/>
    <w:rsid w:val="009B5010"/>
    <w:rsid w:val="009B566C"/>
    <w:rsid w:val="009B5932"/>
    <w:rsid w:val="009B5B2E"/>
    <w:rsid w:val="009B5F7E"/>
    <w:rsid w:val="009B61A0"/>
    <w:rsid w:val="009B6226"/>
    <w:rsid w:val="009B627C"/>
    <w:rsid w:val="009B6301"/>
    <w:rsid w:val="009B6659"/>
    <w:rsid w:val="009B6B26"/>
    <w:rsid w:val="009B775C"/>
    <w:rsid w:val="009B7CD4"/>
    <w:rsid w:val="009C0130"/>
    <w:rsid w:val="009C0CBE"/>
    <w:rsid w:val="009C15D4"/>
    <w:rsid w:val="009C19DA"/>
    <w:rsid w:val="009C19E5"/>
    <w:rsid w:val="009C1DB2"/>
    <w:rsid w:val="009C2564"/>
    <w:rsid w:val="009C2640"/>
    <w:rsid w:val="009C2EBC"/>
    <w:rsid w:val="009C322A"/>
    <w:rsid w:val="009C3758"/>
    <w:rsid w:val="009C37EE"/>
    <w:rsid w:val="009C408A"/>
    <w:rsid w:val="009C4A7A"/>
    <w:rsid w:val="009C4A87"/>
    <w:rsid w:val="009C4AE6"/>
    <w:rsid w:val="009C4BD7"/>
    <w:rsid w:val="009C4DF6"/>
    <w:rsid w:val="009C502E"/>
    <w:rsid w:val="009C563C"/>
    <w:rsid w:val="009C5675"/>
    <w:rsid w:val="009C5854"/>
    <w:rsid w:val="009C6210"/>
    <w:rsid w:val="009C627B"/>
    <w:rsid w:val="009C68B8"/>
    <w:rsid w:val="009C68C5"/>
    <w:rsid w:val="009C6FBD"/>
    <w:rsid w:val="009D0350"/>
    <w:rsid w:val="009D0780"/>
    <w:rsid w:val="009D0CF7"/>
    <w:rsid w:val="009D0E03"/>
    <w:rsid w:val="009D12FF"/>
    <w:rsid w:val="009D19A9"/>
    <w:rsid w:val="009D2068"/>
    <w:rsid w:val="009D20F2"/>
    <w:rsid w:val="009D2ABD"/>
    <w:rsid w:val="009D2CE4"/>
    <w:rsid w:val="009D3572"/>
    <w:rsid w:val="009D3B34"/>
    <w:rsid w:val="009D4271"/>
    <w:rsid w:val="009D48B0"/>
    <w:rsid w:val="009D4909"/>
    <w:rsid w:val="009D4D68"/>
    <w:rsid w:val="009D4D9A"/>
    <w:rsid w:val="009D4F64"/>
    <w:rsid w:val="009D5B6F"/>
    <w:rsid w:val="009D5BF5"/>
    <w:rsid w:val="009D5FE4"/>
    <w:rsid w:val="009D66EA"/>
    <w:rsid w:val="009D6C5B"/>
    <w:rsid w:val="009D7E3B"/>
    <w:rsid w:val="009E0033"/>
    <w:rsid w:val="009E0197"/>
    <w:rsid w:val="009E0299"/>
    <w:rsid w:val="009E0611"/>
    <w:rsid w:val="009E0CCF"/>
    <w:rsid w:val="009E0E94"/>
    <w:rsid w:val="009E1743"/>
    <w:rsid w:val="009E1990"/>
    <w:rsid w:val="009E1BF1"/>
    <w:rsid w:val="009E1C82"/>
    <w:rsid w:val="009E1D4D"/>
    <w:rsid w:val="009E1F57"/>
    <w:rsid w:val="009E2C01"/>
    <w:rsid w:val="009E32CC"/>
    <w:rsid w:val="009E38CB"/>
    <w:rsid w:val="009E42AC"/>
    <w:rsid w:val="009E49EC"/>
    <w:rsid w:val="009E4CEF"/>
    <w:rsid w:val="009E4DA2"/>
    <w:rsid w:val="009E5382"/>
    <w:rsid w:val="009E5425"/>
    <w:rsid w:val="009E55D5"/>
    <w:rsid w:val="009E5F0C"/>
    <w:rsid w:val="009E5F23"/>
    <w:rsid w:val="009E605C"/>
    <w:rsid w:val="009E63BB"/>
    <w:rsid w:val="009E65B8"/>
    <w:rsid w:val="009E6749"/>
    <w:rsid w:val="009E6A19"/>
    <w:rsid w:val="009E6BC4"/>
    <w:rsid w:val="009E6BF1"/>
    <w:rsid w:val="009E6F8A"/>
    <w:rsid w:val="009E7409"/>
    <w:rsid w:val="009E7608"/>
    <w:rsid w:val="009E7DD5"/>
    <w:rsid w:val="009F04E6"/>
    <w:rsid w:val="009F1492"/>
    <w:rsid w:val="009F1939"/>
    <w:rsid w:val="009F1A4E"/>
    <w:rsid w:val="009F1B74"/>
    <w:rsid w:val="009F1BC6"/>
    <w:rsid w:val="009F2169"/>
    <w:rsid w:val="009F22D7"/>
    <w:rsid w:val="009F268B"/>
    <w:rsid w:val="009F26BC"/>
    <w:rsid w:val="009F2718"/>
    <w:rsid w:val="009F28BF"/>
    <w:rsid w:val="009F2ABB"/>
    <w:rsid w:val="009F3F4A"/>
    <w:rsid w:val="009F4891"/>
    <w:rsid w:val="009F4E1A"/>
    <w:rsid w:val="009F54DA"/>
    <w:rsid w:val="009F5893"/>
    <w:rsid w:val="009F5AF6"/>
    <w:rsid w:val="009F5C26"/>
    <w:rsid w:val="009F692A"/>
    <w:rsid w:val="009F6FD5"/>
    <w:rsid w:val="009F725D"/>
    <w:rsid w:val="009F7657"/>
    <w:rsid w:val="009F7CD8"/>
    <w:rsid w:val="009F7DB4"/>
    <w:rsid w:val="009FCA50"/>
    <w:rsid w:val="00A00174"/>
    <w:rsid w:val="00A00330"/>
    <w:rsid w:val="00A006C0"/>
    <w:rsid w:val="00A00ECC"/>
    <w:rsid w:val="00A01043"/>
    <w:rsid w:val="00A013AE"/>
    <w:rsid w:val="00A02259"/>
    <w:rsid w:val="00A023C5"/>
    <w:rsid w:val="00A02458"/>
    <w:rsid w:val="00A02507"/>
    <w:rsid w:val="00A02B32"/>
    <w:rsid w:val="00A02C70"/>
    <w:rsid w:val="00A036A4"/>
    <w:rsid w:val="00A03F22"/>
    <w:rsid w:val="00A04C55"/>
    <w:rsid w:val="00A0500A"/>
    <w:rsid w:val="00A0523A"/>
    <w:rsid w:val="00A053B5"/>
    <w:rsid w:val="00A054FA"/>
    <w:rsid w:val="00A05ACB"/>
    <w:rsid w:val="00A060D1"/>
    <w:rsid w:val="00A06807"/>
    <w:rsid w:val="00A06849"/>
    <w:rsid w:val="00A069EA"/>
    <w:rsid w:val="00A06B1F"/>
    <w:rsid w:val="00A06B8C"/>
    <w:rsid w:val="00A06CA3"/>
    <w:rsid w:val="00A06D20"/>
    <w:rsid w:val="00A07703"/>
    <w:rsid w:val="00A078A9"/>
    <w:rsid w:val="00A079C5"/>
    <w:rsid w:val="00A108C6"/>
    <w:rsid w:val="00A1108F"/>
    <w:rsid w:val="00A110AB"/>
    <w:rsid w:val="00A11FC5"/>
    <w:rsid w:val="00A1241C"/>
    <w:rsid w:val="00A12469"/>
    <w:rsid w:val="00A125C6"/>
    <w:rsid w:val="00A1338A"/>
    <w:rsid w:val="00A133B1"/>
    <w:rsid w:val="00A1341D"/>
    <w:rsid w:val="00A135B5"/>
    <w:rsid w:val="00A1380A"/>
    <w:rsid w:val="00A13887"/>
    <w:rsid w:val="00A1424E"/>
    <w:rsid w:val="00A14F82"/>
    <w:rsid w:val="00A15680"/>
    <w:rsid w:val="00A15BBF"/>
    <w:rsid w:val="00A15D5A"/>
    <w:rsid w:val="00A15FDA"/>
    <w:rsid w:val="00A16216"/>
    <w:rsid w:val="00A1689E"/>
    <w:rsid w:val="00A16A86"/>
    <w:rsid w:val="00A16F76"/>
    <w:rsid w:val="00A16F9E"/>
    <w:rsid w:val="00A173D2"/>
    <w:rsid w:val="00A1758D"/>
    <w:rsid w:val="00A17619"/>
    <w:rsid w:val="00A17AE0"/>
    <w:rsid w:val="00A17DD8"/>
    <w:rsid w:val="00A17E97"/>
    <w:rsid w:val="00A20613"/>
    <w:rsid w:val="00A20D11"/>
    <w:rsid w:val="00A21630"/>
    <w:rsid w:val="00A21B2A"/>
    <w:rsid w:val="00A21D3F"/>
    <w:rsid w:val="00A22593"/>
    <w:rsid w:val="00A22852"/>
    <w:rsid w:val="00A22977"/>
    <w:rsid w:val="00A22BC4"/>
    <w:rsid w:val="00A22C81"/>
    <w:rsid w:val="00A23586"/>
    <w:rsid w:val="00A23617"/>
    <w:rsid w:val="00A23730"/>
    <w:rsid w:val="00A23BF6"/>
    <w:rsid w:val="00A24AA5"/>
    <w:rsid w:val="00A25390"/>
    <w:rsid w:val="00A2542A"/>
    <w:rsid w:val="00A25524"/>
    <w:rsid w:val="00A2579A"/>
    <w:rsid w:val="00A257A8"/>
    <w:rsid w:val="00A2588F"/>
    <w:rsid w:val="00A25920"/>
    <w:rsid w:val="00A262FD"/>
    <w:rsid w:val="00A2674A"/>
    <w:rsid w:val="00A274AA"/>
    <w:rsid w:val="00A30326"/>
    <w:rsid w:val="00A304A9"/>
    <w:rsid w:val="00A30A76"/>
    <w:rsid w:val="00A30CCC"/>
    <w:rsid w:val="00A33197"/>
    <w:rsid w:val="00A33365"/>
    <w:rsid w:val="00A3339C"/>
    <w:rsid w:val="00A340F7"/>
    <w:rsid w:val="00A343FC"/>
    <w:rsid w:val="00A345F7"/>
    <w:rsid w:val="00A348D2"/>
    <w:rsid w:val="00A34A18"/>
    <w:rsid w:val="00A355CD"/>
    <w:rsid w:val="00A358D3"/>
    <w:rsid w:val="00A35914"/>
    <w:rsid w:val="00A35F19"/>
    <w:rsid w:val="00A361B2"/>
    <w:rsid w:val="00A36388"/>
    <w:rsid w:val="00A3674C"/>
    <w:rsid w:val="00A36A37"/>
    <w:rsid w:val="00A37373"/>
    <w:rsid w:val="00A376F4"/>
    <w:rsid w:val="00A37978"/>
    <w:rsid w:val="00A40BE1"/>
    <w:rsid w:val="00A414C7"/>
    <w:rsid w:val="00A41658"/>
    <w:rsid w:val="00A41885"/>
    <w:rsid w:val="00A41BD7"/>
    <w:rsid w:val="00A41DB1"/>
    <w:rsid w:val="00A42412"/>
    <w:rsid w:val="00A42DBD"/>
    <w:rsid w:val="00A42F83"/>
    <w:rsid w:val="00A437D0"/>
    <w:rsid w:val="00A43A3A"/>
    <w:rsid w:val="00A44E57"/>
    <w:rsid w:val="00A44FFA"/>
    <w:rsid w:val="00A4505D"/>
    <w:rsid w:val="00A45A1C"/>
    <w:rsid w:val="00A45EF2"/>
    <w:rsid w:val="00A46C61"/>
    <w:rsid w:val="00A46CEC"/>
    <w:rsid w:val="00A46F28"/>
    <w:rsid w:val="00A47011"/>
    <w:rsid w:val="00A47610"/>
    <w:rsid w:val="00A479D8"/>
    <w:rsid w:val="00A47ADF"/>
    <w:rsid w:val="00A47F33"/>
    <w:rsid w:val="00A50ABA"/>
    <w:rsid w:val="00A50E11"/>
    <w:rsid w:val="00A50F08"/>
    <w:rsid w:val="00A51258"/>
    <w:rsid w:val="00A51B36"/>
    <w:rsid w:val="00A5202C"/>
    <w:rsid w:val="00A52624"/>
    <w:rsid w:val="00A52C15"/>
    <w:rsid w:val="00A52DE0"/>
    <w:rsid w:val="00A532B3"/>
    <w:rsid w:val="00A533A0"/>
    <w:rsid w:val="00A53629"/>
    <w:rsid w:val="00A53859"/>
    <w:rsid w:val="00A53A12"/>
    <w:rsid w:val="00A54025"/>
    <w:rsid w:val="00A54844"/>
    <w:rsid w:val="00A54A3C"/>
    <w:rsid w:val="00A550EE"/>
    <w:rsid w:val="00A557BD"/>
    <w:rsid w:val="00A561A3"/>
    <w:rsid w:val="00A56EB6"/>
    <w:rsid w:val="00A572FA"/>
    <w:rsid w:val="00A579DB"/>
    <w:rsid w:val="00A57DFC"/>
    <w:rsid w:val="00A60054"/>
    <w:rsid w:val="00A600AF"/>
    <w:rsid w:val="00A600C6"/>
    <w:rsid w:val="00A601B5"/>
    <w:rsid w:val="00A601FD"/>
    <w:rsid w:val="00A6064F"/>
    <w:rsid w:val="00A60944"/>
    <w:rsid w:val="00A60B30"/>
    <w:rsid w:val="00A60DC6"/>
    <w:rsid w:val="00A6150E"/>
    <w:rsid w:val="00A6164C"/>
    <w:rsid w:val="00A61705"/>
    <w:rsid w:val="00A61865"/>
    <w:rsid w:val="00A619DB"/>
    <w:rsid w:val="00A622A2"/>
    <w:rsid w:val="00A62308"/>
    <w:rsid w:val="00A62952"/>
    <w:rsid w:val="00A630D4"/>
    <w:rsid w:val="00A63533"/>
    <w:rsid w:val="00A635D2"/>
    <w:rsid w:val="00A63B9A"/>
    <w:rsid w:val="00A63FB4"/>
    <w:rsid w:val="00A650DD"/>
    <w:rsid w:val="00A65146"/>
    <w:rsid w:val="00A653EC"/>
    <w:rsid w:val="00A65649"/>
    <w:rsid w:val="00A65A36"/>
    <w:rsid w:val="00A66067"/>
    <w:rsid w:val="00A66389"/>
    <w:rsid w:val="00A66A7B"/>
    <w:rsid w:val="00A66C5D"/>
    <w:rsid w:val="00A66CAE"/>
    <w:rsid w:val="00A66CD1"/>
    <w:rsid w:val="00A66F9F"/>
    <w:rsid w:val="00A67402"/>
    <w:rsid w:val="00A67E10"/>
    <w:rsid w:val="00A7058B"/>
    <w:rsid w:val="00A709AB"/>
    <w:rsid w:val="00A70CEF"/>
    <w:rsid w:val="00A71083"/>
    <w:rsid w:val="00A713A1"/>
    <w:rsid w:val="00A72130"/>
    <w:rsid w:val="00A726AA"/>
    <w:rsid w:val="00A72DD7"/>
    <w:rsid w:val="00A72E87"/>
    <w:rsid w:val="00A72F7B"/>
    <w:rsid w:val="00A72F7D"/>
    <w:rsid w:val="00A74088"/>
    <w:rsid w:val="00A74AF4"/>
    <w:rsid w:val="00A74B25"/>
    <w:rsid w:val="00A751C9"/>
    <w:rsid w:val="00A75400"/>
    <w:rsid w:val="00A754BA"/>
    <w:rsid w:val="00A762F4"/>
    <w:rsid w:val="00A76468"/>
    <w:rsid w:val="00A76633"/>
    <w:rsid w:val="00A7692B"/>
    <w:rsid w:val="00A76D76"/>
    <w:rsid w:val="00A76E2B"/>
    <w:rsid w:val="00A76ECD"/>
    <w:rsid w:val="00A7711B"/>
    <w:rsid w:val="00A7778F"/>
    <w:rsid w:val="00A77795"/>
    <w:rsid w:val="00A802AA"/>
    <w:rsid w:val="00A80C0D"/>
    <w:rsid w:val="00A819C5"/>
    <w:rsid w:val="00A8238F"/>
    <w:rsid w:val="00A826BE"/>
    <w:rsid w:val="00A8283D"/>
    <w:rsid w:val="00A82B5E"/>
    <w:rsid w:val="00A82C11"/>
    <w:rsid w:val="00A82C38"/>
    <w:rsid w:val="00A82C3D"/>
    <w:rsid w:val="00A82F92"/>
    <w:rsid w:val="00A83697"/>
    <w:rsid w:val="00A83A78"/>
    <w:rsid w:val="00A83D5C"/>
    <w:rsid w:val="00A83EFD"/>
    <w:rsid w:val="00A83F41"/>
    <w:rsid w:val="00A84D33"/>
    <w:rsid w:val="00A84DAC"/>
    <w:rsid w:val="00A85060"/>
    <w:rsid w:val="00A850A6"/>
    <w:rsid w:val="00A8527A"/>
    <w:rsid w:val="00A855A0"/>
    <w:rsid w:val="00A857F3"/>
    <w:rsid w:val="00A85A62"/>
    <w:rsid w:val="00A865D1"/>
    <w:rsid w:val="00A86913"/>
    <w:rsid w:val="00A86CE6"/>
    <w:rsid w:val="00A86E7A"/>
    <w:rsid w:val="00A8718B"/>
    <w:rsid w:val="00A874A9"/>
    <w:rsid w:val="00A87980"/>
    <w:rsid w:val="00A87BA9"/>
    <w:rsid w:val="00A87BC3"/>
    <w:rsid w:val="00A87C56"/>
    <w:rsid w:val="00A87E91"/>
    <w:rsid w:val="00A90692"/>
    <w:rsid w:val="00A911B3"/>
    <w:rsid w:val="00A9124C"/>
    <w:rsid w:val="00A913AC"/>
    <w:rsid w:val="00A921BB"/>
    <w:rsid w:val="00A924E5"/>
    <w:rsid w:val="00A92820"/>
    <w:rsid w:val="00A92B22"/>
    <w:rsid w:val="00A92F27"/>
    <w:rsid w:val="00A9388D"/>
    <w:rsid w:val="00A93E73"/>
    <w:rsid w:val="00A94273"/>
    <w:rsid w:val="00A943A1"/>
    <w:rsid w:val="00A947E4"/>
    <w:rsid w:val="00A94BA1"/>
    <w:rsid w:val="00A94EA1"/>
    <w:rsid w:val="00A950E3"/>
    <w:rsid w:val="00A959A2"/>
    <w:rsid w:val="00A95B9D"/>
    <w:rsid w:val="00A95C9F"/>
    <w:rsid w:val="00A966CE"/>
    <w:rsid w:val="00A970AD"/>
    <w:rsid w:val="00A97AF7"/>
    <w:rsid w:val="00AA047C"/>
    <w:rsid w:val="00AA08BA"/>
    <w:rsid w:val="00AA0A8E"/>
    <w:rsid w:val="00AA1268"/>
    <w:rsid w:val="00AA1749"/>
    <w:rsid w:val="00AA1BC5"/>
    <w:rsid w:val="00AA22CE"/>
    <w:rsid w:val="00AA2446"/>
    <w:rsid w:val="00AA2533"/>
    <w:rsid w:val="00AA2E48"/>
    <w:rsid w:val="00AA3E1C"/>
    <w:rsid w:val="00AA4157"/>
    <w:rsid w:val="00AA4341"/>
    <w:rsid w:val="00AA4876"/>
    <w:rsid w:val="00AA4B52"/>
    <w:rsid w:val="00AA4E23"/>
    <w:rsid w:val="00AA4E8E"/>
    <w:rsid w:val="00AA5028"/>
    <w:rsid w:val="00AA546B"/>
    <w:rsid w:val="00AA5694"/>
    <w:rsid w:val="00AA6F93"/>
    <w:rsid w:val="00AA707F"/>
    <w:rsid w:val="00AA7475"/>
    <w:rsid w:val="00AA77E9"/>
    <w:rsid w:val="00AA7CEB"/>
    <w:rsid w:val="00AB00FC"/>
    <w:rsid w:val="00AB03BA"/>
    <w:rsid w:val="00AB0879"/>
    <w:rsid w:val="00AB0DEF"/>
    <w:rsid w:val="00AB123C"/>
    <w:rsid w:val="00AB1514"/>
    <w:rsid w:val="00AB22B6"/>
    <w:rsid w:val="00AB230B"/>
    <w:rsid w:val="00AB2865"/>
    <w:rsid w:val="00AB36A6"/>
    <w:rsid w:val="00AB38F3"/>
    <w:rsid w:val="00AB4047"/>
    <w:rsid w:val="00AB441B"/>
    <w:rsid w:val="00AB4625"/>
    <w:rsid w:val="00AB4F66"/>
    <w:rsid w:val="00AB53DF"/>
    <w:rsid w:val="00AB5400"/>
    <w:rsid w:val="00AB59C8"/>
    <w:rsid w:val="00AB5B20"/>
    <w:rsid w:val="00AB5D6B"/>
    <w:rsid w:val="00AB6014"/>
    <w:rsid w:val="00AB6041"/>
    <w:rsid w:val="00AB666A"/>
    <w:rsid w:val="00AB697F"/>
    <w:rsid w:val="00AB69B6"/>
    <w:rsid w:val="00AB70AE"/>
    <w:rsid w:val="00AB7186"/>
    <w:rsid w:val="00AB71DE"/>
    <w:rsid w:val="00AB7399"/>
    <w:rsid w:val="00AB7602"/>
    <w:rsid w:val="00AB786A"/>
    <w:rsid w:val="00AC01BE"/>
    <w:rsid w:val="00AC1102"/>
    <w:rsid w:val="00AC1CF8"/>
    <w:rsid w:val="00AC1E05"/>
    <w:rsid w:val="00AC2328"/>
    <w:rsid w:val="00AC26EE"/>
    <w:rsid w:val="00AC29C3"/>
    <w:rsid w:val="00AC2D78"/>
    <w:rsid w:val="00AC33F9"/>
    <w:rsid w:val="00AC34A4"/>
    <w:rsid w:val="00AC3696"/>
    <w:rsid w:val="00AC49F6"/>
    <w:rsid w:val="00AC4D32"/>
    <w:rsid w:val="00AC5092"/>
    <w:rsid w:val="00AC562C"/>
    <w:rsid w:val="00AC6174"/>
    <w:rsid w:val="00AD04E1"/>
    <w:rsid w:val="00AD058B"/>
    <w:rsid w:val="00AD0C10"/>
    <w:rsid w:val="00AD10A5"/>
    <w:rsid w:val="00AD1297"/>
    <w:rsid w:val="00AD16C5"/>
    <w:rsid w:val="00AD208F"/>
    <w:rsid w:val="00AD20A3"/>
    <w:rsid w:val="00AD28EA"/>
    <w:rsid w:val="00AD29E9"/>
    <w:rsid w:val="00AD2A59"/>
    <w:rsid w:val="00AD2AC8"/>
    <w:rsid w:val="00AD2CC5"/>
    <w:rsid w:val="00AD2E99"/>
    <w:rsid w:val="00AD33C0"/>
    <w:rsid w:val="00AD39DA"/>
    <w:rsid w:val="00AD3AED"/>
    <w:rsid w:val="00AD3FBC"/>
    <w:rsid w:val="00AD4CB1"/>
    <w:rsid w:val="00AD4D07"/>
    <w:rsid w:val="00AD51AF"/>
    <w:rsid w:val="00AD5799"/>
    <w:rsid w:val="00AD5AD7"/>
    <w:rsid w:val="00AD5DF0"/>
    <w:rsid w:val="00AD659A"/>
    <w:rsid w:val="00AD6669"/>
    <w:rsid w:val="00AD7908"/>
    <w:rsid w:val="00AD7911"/>
    <w:rsid w:val="00AE033F"/>
    <w:rsid w:val="00AE057D"/>
    <w:rsid w:val="00AE0892"/>
    <w:rsid w:val="00AE0C40"/>
    <w:rsid w:val="00AE0EE7"/>
    <w:rsid w:val="00AE10E2"/>
    <w:rsid w:val="00AE11FA"/>
    <w:rsid w:val="00AE1ABC"/>
    <w:rsid w:val="00AE1DA3"/>
    <w:rsid w:val="00AE22F3"/>
    <w:rsid w:val="00AE3028"/>
    <w:rsid w:val="00AE3099"/>
    <w:rsid w:val="00AE3129"/>
    <w:rsid w:val="00AE411F"/>
    <w:rsid w:val="00AE429A"/>
    <w:rsid w:val="00AE45DC"/>
    <w:rsid w:val="00AE4BFC"/>
    <w:rsid w:val="00AE5BA3"/>
    <w:rsid w:val="00AE5BED"/>
    <w:rsid w:val="00AE62DC"/>
    <w:rsid w:val="00AE65A8"/>
    <w:rsid w:val="00AE678D"/>
    <w:rsid w:val="00AE6984"/>
    <w:rsid w:val="00AE708F"/>
    <w:rsid w:val="00AE7262"/>
    <w:rsid w:val="00AE782D"/>
    <w:rsid w:val="00AF0895"/>
    <w:rsid w:val="00AF0ECF"/>
    <w:rsid w:val="00AF0EF2"/>
    <w:rsid w:val="00AF0FCA"/>
    <w:rsid w:val="00AF10B8"/>
    <w:rsid w:val="00AF1502"/>
    <w:rsid w:val="00AF18E0"/>
    <w:rsid w:val="00AF1B23"/>
    <w:rsid w:val="00AF1EEC"/>
    <w:rsid w:val="00AF25A4"/>
    <w:rsid w:val="00AF2B79"/>
    <w:rsid w:val="00AF2DD9"/>
    <w:rsid w:val="00AF3796"/>
    <w:rsid w:val="00AF384C"/>
    <w:rsid w:val="00AF3BE7"/>
    <w:rsid w:val="00AF3C78"/>
    <w:rsid w:val="00AF3EE8"/>
    <w:rsid w:val="00AF428F"/>
    <w:rsid w:val="00AF489E"/>
    <w:rsid w:val="00AF4C61"/>
    <w:rsid w:val="00AF4E8E"/>
    <w:rsid w:val="00AF500F"/>
    <w:rsid w:val="00AF51B5"/>
    <w:rsid w:val="00AF56D2"/>
    <w:rsid w:val="00AF57F7"/>
    <w:rsid w:val="00AF5A61"/>
    <w:rsid w:val="00AF653A"/>
    <w:rsid w:val="00AF66F7"/>
    <w:rsid w:val="00AF6B5B"/>
    <w:rsid w:val="00AF6BC1"/>
    <w:rsid w:val="00AF6C99"/>
    <w:rsid w:val="00AF731C"/>
    <w:rsid w:val="00AF73DD"/>
    <w:rsid w:val="00AF7656"/>
    <w:rsid w:val="00B00039"/>
    <w:rsid w:val="00B00080"/>
    <w:rsid w:val="00B00334"/>
    <w:rsid w:val="00B0076C"/>
    <w:rsid w:val="00B00B38"/>
    <w:rsid w:val="00B00F08"/>
    <w:rsid w:val="00B010D0"/>
    <w:rsid w:val="00B0163B"/>
    <w:rsid w:val="00B0188D"/>
    <w:rsid w:val="00B02034"/>
    <w:rsid w:val="00B020A5"/>
    <w:rsid w:val="00B0258C"/>
    <w:rsid w:val="00B028A6"/>
    <w:rsid w:val="00B02ABA"/>
    <w:rsid w:val="00B02E99"/>
    <w:rsid w:val="00B03703"/>
    <w:rsid w:val="00B03D6E"/>
    <w:rsid w:val="00B0419F"/>
    <w:rsid w:val="00B046D5"/>
    <w:rsid w:val="00B0486F"/>
    <w:rsid w:val="00B04C7F"/>
    <w:rsid w:val="00B050D1"/>
    <w:rsid w:val="00B0534A"/>
    <w:rsid w:val="00B05672"/>
    <w:rsid w:val="00B0628E"/>
    <w:rsid w:val="00B0646B"/>
    <w:rsid w:val="00B07693"/>
    <w:rsid w:val="00B077BD"/>
    <w:rsid w:val="00B0785B"/>
    <w:rsid w:val="00B07885"/>
    <w:rsid w:val="00B07B01"/>
    <w:rsid w:val="00B07B49"/>
    <w:rsid w:val="00B07CCE"/>
    <w:rsid w:val="00B0DD2E"/>
    <w:rsid w:val="00B10BC7"/>
    <w:rsid w:val="00B11326"/>
    <w:rsid w:val="00B115E2"/>
    <w:rsid w:val="00B11AA9"/>
    <w:rsid w:val="00B11EDC"/>
    <w:rsid w:val="00B128B3"/>
    <w:rsid w:val="00B1371E"/>
    <w:rsid w:val="00B13D21"/>
    <w:rsid w:val="00B13E61"/>
    <w:rsid w:val="00B14352"/>
    <w:rsid w:val="00B14A67"/>
    <w:rsid w:val="00B14DDA"/>
    <w:rsid w:val="00B155A6"/>
    <w:rsid w:val="00B15684"/>
    <w:rsid w:val="00B1588B"/>
    <w:rsid w:val="00B15E15"/>
    <w:rsid w:val="00B160AC"/>
    <w:rsid w:val="00B164CC"/>
    <w:rsid w:val="00B16E16"/>
    <w:rsid w:val="00B16EDB"/>
    <w:rsid w:val="00B171F8"/>
    <w:rsid w:val="00B1773F"/>
    <w:rsid w:val="00B177A5"/>
    <w:rsid w:val="00B17C4D"/>
    <w:rsid w:val="00B20334"/>
    <w:rsid w:val="00B20469"/>
    <w:rsid w:val="00B20915"/>
    <w:rsid w:val="00B209ED"/>
    <w:rsid w:val="00B20DFA"/>
    <w:rsid w:val="00B20F50"/>
    <w:rsid w:val="00B210FC"/>
    <w:rsid w:val="00B212F0"/>
    <w:rsid w:val="00B216FB"/>
    <w:rsid w:val="00B21731"/>
    <w:rsid w:val="00B21865"/>
    <w:rsid w:val="00B21E3F"/>
    <w:rsid w:val="00B22566"/>
    <w:rsid w:val="00B227CE"/>
    <w:rsid w:val="00B22E5E"/>
    <w:rsid w:val="00B23788"/>
    <w:rsid w:val="00B23CBA"/>
    <w:rsid w:val="00B2433F"/>
    <w:rsid w:val="00B248BF"/>
    <w:rsid w:val="00B2494C"/>
    <w:rsid w:val="00B24D5F"/>
    <w:rsid w:val="00B2534F"/>
    <w:rsid w:val="00B25AF4"/>
    <w:rsid w:val="00B25B34"/>
    <w:rsid w:val="00B266D6"/>
    <w:rsid w:val="00B269A9"/>
    <w:rsid w:val="00B274E9"/>
    <w:rsid w:val="00B27C67"/>
    <w:rsid w:val="00B30078"/>
    <w:rsid w:val="00B3030C"/>
    <w:rsid w:val="00B319AC"/>
    <w:rsid w:val="00B31A49"/>
    <w:rsid w:val="00B31BBE"/>
    <w:rsid w:val="00B329DF"/>
    <w:rsid w:val="00B32C4A"/>
    <w:rsid w:val="00B331D5"/>
    <w:rsid w:val="00B334E6"/>
    <w:rsid w:val="00B33CF4"/>
    <w:rsid w:val="00B34FBD"/>
    <w:rsid w:val="00B35C3A"/>
    <w:rsid w:val="00B364BE"/>
    <w:rsid w:val="00B36CF8"/>
    <w:rsid w:val="00B37A7B"/>
    <w:rsid w:val="00B37D08"/>
    <w:rsid w:val="00B4025A"/>
    <w:rsid w:val="00B4029F"/>
    <w:rsid w:val="00B4059F"/>
    <w:rsid w:val="00B4071E"/>
    <w:rsid w:val="00B4096D"/>
    <w:rsid w:val="00B40A11"/>
    <w:rsid w:val="00B426B6"/>
    <w:rsid w:val="00B42783"/>
    <w:rsid w:val="00B428EC"/>
    <w:rsid w:val="00B42AE4"/>
    <w:rsid w:val="00B4411E"/>
    <w:rsid w:val="00B442D8"/>
    <w:rsid w:val="00B44308"/>
    <w:rsid w:val="00B44490"/>
    <w:rsid w:val="00B44493"/>
    <w:rsid w:val="00B4467D"/>
    <w:rsid w:val="00B44C04"/>
    <w:rsid w:val="00B45183"/>
    <w:rsid w:val="00B451A9"/>
    <w:rsid w:val="00B45D41"/>
    <w:rsid w:val="00B46C98"/>
    <w:rsid w:val="00B46FED"/>
    <w:rsid w:val="00B4701A"/>
    <w:rsid w:val="00B47A2E"/>
    <w:rsid w:val="00B5029C"/>
    <w:rsid w:val="00B5042F"/>
    <w:rsid w:val="00B50D9F"/>
    <w:rsid w:val="00B50DF6"/>
    <w:rsid w:val="00B50E5C"/>
    <w:rsid w:val="00B515F3"/>
    <w:rsid w:val="00B51A8C"/>
    <w:rsid w:val="00B51C71"/>
    <w:rsid w:val="00B51DF8"/>
    <w:rsid w:val="00B52555"/>
    <w:rsid w:val="00B52588"/>
    <w:rsid w:val="00B52AA5"/>
    <w:rsid w:val="00B52DDB"/>
    <w:rsid w:val="00B53206"/>
    <w:rsid w:val="00B53634"/>
    <w:rsid w:val="00B53BBC"/>
    <w:rsid w:val="00B5407C"/>
    <w:rsid w:val="00B55693"/>
    <w:rsid w:val="00B55CD9"/>
    <w:rsid w:val="00B55EE8"/>
    <w:rsid w:val="00B5600D"/>
    <w:rsid w:val="00B5607B"/>
    <w:rsid w:val="00B568F5"/>
    <w:rsid w:val="00B5692B"/>
    <w:rsid w:val="00B570D4"/>
    <w:rsid w:val="00B5712C"/>
    <w:rsid w:val="00B5755F"/>
    <w:rsid w:val="00B602A8"/>
    <w:rsid w:val="00B604D6"/>
    <w:rsid w:val="00B60570"/>
    <w:rsid w:val="00B60A62"/>
    <w:rsid w:val="00B60B01"/>
    <w:rsid w:val="00B6145A"/>
    <w:rsid w:val="00B6196E"/>
    <w:rsid w:val="00B61B3F"/>
    <w:rsid w:val="00B61DA6"/>
    <w:rsid w:val="00B6213B"/>
    <w:rsid w:val="00B62903"/>
    <w:rsid w:val="00B62969"/>
    <w:rsid w:val="00B629BA"/>
    <w:rsid w:val="00B63443"/>
    <w:rsid w:val="00B63469"/>
    <w:rsid w:val="00B6347E"/>
    <w:rsid w:val="00B63890"/>
    <w:rsid w:val="00B63FC9"/>
    <w:rsid w:val="00B641F3"/>
    <w:rsid w:val="00B65AEB"/>
    <w:rsid w:val="00B65CD0"/>
    <w:rsid w:val="00B65D75"/>
    <w:rsid w:val="00B65DDD"/>
    <w:rsid w:val="00B66445"/>
    <w:rsid w:val="00B6650C"/>
    <w:rsid w:val="00B66606"/>
    <w:rsid w:val="00B66651"/>
    <w:rsid w:val="00B66D8C"/>
    <w:rsid w:val="00B67436"/>
    <w:rsid w:val="00B67798"/>
    <w:rsid w:val="00B7087E"/>
    <w:rsid w:val="00B71319"/>
    <w:rsid w:val="00B715FD"/>
    <w:rsid w:val="00B71F22"/>
    <w:rsid w:val="00B71F34"/>
    <w:rsid w:val="00B72252"/>
    <w:rsid w:val="00B723E4"/>
    <w:rsid w:val="00B72456"/>
    <w:rsid w:val="00B728BD"/>
    <w:rsid w:val="00B72D49"/>
    <w:rsid w:val="00B72E70"/>
    <w:rsid w:val="00B73364"/>
    <w:rsid w:val="00B743D1"/>
    <w:rsid w:val="00B74865"/>
    <w:rsid w:val="00B7487D"/>
    <w:rsid w:val="00B74967"/>
    <w:rsid w:val="00B75069"/>
    <w:rsid w:val="00B75252"/>
    <w:rsid w:val="00B761EB"/>
    <w:rsid w:val="00B76E05"/>
    <w:rsid w:val="00B77941"/>
    <w:rsid w:val="00B80EEB"/>
    <w:rsid w:val="00B81252"/>
    <w:rsid w:val="00B81281"/>
    <w:rsid w:val="00B812D1"/>
    <w:rsid w:val="00B8133C"/>
    <w:rsid w:val="00B81656"/>
    <w:rsid w:val="00B81A71"/>
    <w:rsid w:val="00B82529"/>
    <w:rsid w:val="00B826BD"/>
    <w:rsid w:val="00B82804"/>
    <w:rsid w:val="00B82A1A"/>
    <w:rsid w:val="00B82A5E"/>
    <w:rsid w:val="00B83048"/>
    <w:rsid w:val="00B832F1"/>
    <w:rsid w:val="00B840AC"/>
    <w:rsid w:val="00B85047"/>
    <w:rsid w:val="00B857CA"/>
    <w:rsid w:val="00B85A39"/>
    <w:rsid w:val="00B85B0C"/>
    <w:rsid w:val="00B85DD6"/>
    <w:rsid w:val="00B85ECA"/>
    <w:rsid w:val="00B861F9"/>
    <w:rsid w:val="00B86BFA"/>
    <w:rsid w:val="00B86DB9"/>
    <w:rsid w:val="00B870E0"/>
    <w:rsid w:val="00B902C8"/>
    <w:rsid w:val="00B905C6"/>
    <w:rsid w:val="00B90681"/>
    <w:rsid w:val="00B914DE"/>
    <w:rsid w:val="00B91666"/>
    <w:rsid w:val="00B917D8"/>
    <w:rsid w:val="00B91E0A"/>
    <w:rsid w:val="00B9221A"/>
    <w:rsid w:val="00B9277A"/>
    <w:rsid w:val="00B92A8E"/>
    <w:rsid w:val="00B9325F"/>
    <w:rsid w:val="00B937B1"/>
    <w:rsid w:val="00B93843"/>
    <w:rsid w:val="00B93D0E"/>
    <w:rsid w:val="00B93E12"/>
    <w:rsid w:val="00B94030"/>
    <w:rsid w:val="00B94472"/>
    <w:rsid w:val="00B944CF"/>
    <w:rsid w:val="00B94843"/>
    <w:rsid w:val="00B94C48"/>
    <w:rsid w:val="00B94D8F"/>
    <w:rsid w:val="00B94E55"/>
    <w:rsid w:val="00B94EC9"/>
    <w:rsid w:val="00B95149"/>
    <w:rsid w:val="00B95651"/>
    <w:rsid w:val="00B9568E"/>
    <w:rsid w:val="00B95B74"/>
    <w:rsid w:val="00B95C33"/>
    <w:rsid w:val="00B960D4"/>
    <w:rsid w:val="00B96195"/>
    <w:rsid w:val="00B96937"/>
    <w:rsid w:val="00B969F9"/>
    <w:rsid w:val="00B96B42"/>
    <w:rsid w:val="00B9719B"/>
    <w:rsid w:val="00B97323"/>
    <w:rsid w:val="00B975C1"/>
    <w:rsid w:val="00B97D64"/>
    <w:rsid w:val="00B97DA1"/>
    <w:rsid w:val="00B97E32"/>
    <w:rsid w:val="00BA030E"/>
    <w:rsid w:val="00BA03B4"/>
    <w:rsid w:val="00BA064B"/>
    <w:rsid w:val="00BA07B0"/>
    <w:rsid w:val="00BA0E90"/>
    <w:rsid w:val="00BA161F"/>
    <w:rsid w:val="00BA176D"/>
    <w:rsid w:val="00BA1BF1"/>
    <w:rsid w:val="00BA1C95"/>
    <w:rsid w:val="00BA1E47"/>
    <w:rsid w:val="00BA225A"/>
    <w:rsid w:val="00BA29E8"/>
    <w:rsid w:val="00BA2C9A"/>
    <w:rsid w:val="00BA2FA4"/>
    <w:rsid w:val="00BA3EDE"/>
    <w:rsid w:val="00BA4083"/>
    <w:rsid w:val="00BA4895"/>
    <w:rsid w:val="00BA4897"/>
    <w:rsid w:val="00BA4F82"/>
    <w:rsid w:val="00BA5202"/>
    <w:rsid w:val="00BA5B66"/>
    <w:rsid w:val="00BA6D97"/>
    <w:rsid w:val="00BA6F71"/>
    <w:rsid w:val="00BA73C2"/>
    <w:rsid w:val="00BA7F98"/>
    <w:rsid w:val="00BA7FB5"/>
    <w:rsid w:val="00BB0940"/>
    <w:rsid w:val="00BB0C93"/>
    <w:rsid w:val="00BB0E4C"/>
    <w:rsid w:val="00BB1B3D"/>
    <w:rsid w:val="00BB1D78"/>
    <w:rsid w:val="00BB2145"/>
    <w:rsid w:val="00BB2387"/>
    <w:rsid w:val="00BB23ED"/>
    <w:rsid w:val="00BB2573"/>
    <w:rsid w:val="00BB3349"/>
    <w:rsid w:val="00BB3C8B"/>
    <w:rsid w:val="00BB46CE"/>
    <w:rsid w:val="00BB51B1"/>
    <w:rsid w:val="00BB55C5"/>
    <w:rsid w:val="00BB6150"/>
    <w:rsid w:val="00BB6283"/>
    <w:rsid w:val="00BB65A8"/>
    <w:rsid w:val="00BB6620"/>
    <w:rsid w:val="00BB67E8"/>
    <w:rsid w:val="00BB68F4"/>
    <w:rsid w:val="00BB6BE7"/>
    <w:rsid w:val="00BB6D96"/>
    <w:rsid w:val="00BB7106"/>
    <w:rsid w:val="00BB7AD4"/>
    <w:rsid w:val="00BB7AFD"/>
    <w:rsid w:val="00BB7F1D"/>
    <w:rsid w:val="00BC018F"/>
    <w:rsid w:val="00BC07D4"/>
    <w:rsid w:val="00BC0B43"/>
    <w:rsid w:val="00BC127D"/>
    <w:rsid w:val="00BC13B9"/>
    <w:rsid w:val="00BC1439"/>
    <w:rsid w:val="00BC145B"/>
    <w:rsid w:val="00BC19DE"/>
    <w:rsid w:val="00BC201A"/>
    <w:rsid w:val="00BC208B"/>
    <w:rsid w:val="00BC2AE8"/>
    <w:rsid w:val="00BC3011"/>
    <w:rsid w:val="00BC3554"/>
    <w:rsid w:val="00BC4AA9"/>
    <w:rsid w:val="00BC5319"/>
    <w:rsid w:val="00BC5749"/>
    <w:rsid w:val="00BC5C16"/>
    <w:rsid w:val="00BC601C"/>
    <w:rsid w:val="00BC612D"/>
    <w:rsid w:val="00BC63B2"/>
    <w:rsid w:val="00BC69B2"/>
    <w:rsid w:val="00BC6E78"/>
    <w:rsid w:val="00BC7012"/>
    <w:rsid w:val="00BC703B"/>
    <w:rsid w:val="00BC70FB"/>
    <w:rsid w:val="00BC7125"/>
    <w:rsid w:val="00BC7508"/>
    <w:rsid w:val="00BC7F7E"/>
    <w:rsid w:val="00BD01F3"/>
    <w:rsid w:val="00BD086E"/>
    <w:rsid w:val="00BD0E84"/>
    <w:rsid w:val="00BD156F"/>
    <w:rsid w:val="00BD17CD"/>
    <w:rsid w:val="00BD1EA4"/>
    <w:rsid w:val="00BD2497"/>
    <w:rsid w:val="00BD2E9A"/>
    <w:rsid w:val="00BD342D"/>
    <w:rsid w:val="00BD35F0"/>
    <w:rsid w:val="00BD369B"/>
    <w:rsid w:val="00BD369F"/>
    <w:rsid w:val="00BD3D8A"/>
    <w:rsid w:val="00BD3EB6"/>
    <w:rsid w:val="00BD3FC3"/>
    <w:rsid w:val="00BD4163"/>
    <w:rsid w:val="00BD47C2"/>
    <w:rsid w:val="00BD4982"/>
    <w:rsid w:val="00BD4C60"/>
    <w:rsid w:val="00BD4FBF"/>
    <w:rsid w:val="00BD52F0"/>
    <w:rsid w:val="00BD53EC"/>
    <w:rsid w:val="00BD57C3"/>
    <w:rsid w:val="00BD59DA"/>
    <w:rsid w:val="00BD5BDD"/>
    <w:rsid w:val="00BD5CCA"/>
    <w:rsid w:val="00BD5E74"/>
    <w:rsid w:val="00BD6A36"/>
    <w:rsid w:val="00BD6BF2"/>
    <w:rsid w:val="00BD7085"/>
    <w:rsid w:val="00BD7860"/>
    <w:rsid w:val="00BD7A07"/>
    <w:rsid w:val="00BDF121"/>
    <w:rsid w:val="00BE0832"/>
    <w:rsid w:val="00BE0A1B"/>
    <w:rsid w:val="00BE0C66"/>
    <w:rsid w:val="00BE1111"/>
    <w:rsid w:val="00BE15C9"/>
    <w:rsid w:val="00BE196E"/>
    <w:rsid w:val="00BE1AF8"/>
    <w:rsid w:val="00BE265C"/>
    <w:rsid w:val="00BE2F02"/>
    <w:rsid w:val="00BE34BD"/>
    <w:rsid w:val="00BE3501"/>
    <w:rsid w:val="00BE3966"/>
    <w:rsid w:val="00BE3BF5"/>
    <w:rsid w:val="00BE3E73"/>
    <w:rsid w:val="00BE3E7F"/>
    <w:rsid w:val="00BE4142"/>
    <w:rsid w:val="00BE41E5"/>
    <w:rsid w:val="00BE4B21"/>
    <w:rsid w:val="00BE4C4C"/>
    <w:rsid w:val="00BE4DF8"/>
    <w:rsid w:val="00BE5892"/>
    <w:rsid w:val="00BE5992"/>
    <w:rsid w:val="00BE5BD3"/>
    <w:rsid w:val="00BE61E9"/>
    <w:rsid w:val="00BE6DA4"/>
    <w:rsid w:val="00BE7116"/>
    <w:rsid w:val="00BE715A"/>
    <w:rsid w:val="00BE74B7"/>
    <w:rsid w:val="00BE7C7B"/>
    <w:rsid w:val="00BEF57F"/>
    <w:rsid w:val="00BF0438"/>
    <w:rsid w:val="00BF16B8"/>
    <w:rsid w:val="00BF1782"/>
    <w:rsid w:val="00BF204C"/>
    <w:rsid w:val="00BF241A"/>
    <w:rsid w:val="00BF2446"/>
    <w:rsid w:val="00BF28A6"/>
    <w:rsid w:val="00BF2B74"/>
    <w:rsid w:val="00BF2BEA"/>
    <w:rsid w:val="00BF2D06"/>
    <w:rsid w:val="00BF2FF1"/>
    <w:rsid w:val="00BF32E9"/>
    <w:rsid w:val="00BF3889"/>
    <w:rsid w:val="00BF38DF"/>
    <w:rsid w:val="00BF4643"/>
    <w:rsid w:val="00BF47DC"/>
    <w:rsid w:val="00BF4CA9"/>
    <w:rsid w:val="00BF519E"/>
    <w:rsid w:val="00BF5ABD"/>
    <w:rsid w:val="00BF5F64"/>
    <w:rsid w:val="00BF66DB"/>
    <w:rsid w:val="00BF6D62"/>
    <w:rsid w:val="00BF7608"/>
    <w:rsid w:val="00BF761B"/>
    <w:rsid w:val="00BF76D6"/>
    <w:rsid w:val="00BF77C3"/>
    <w:rsid w:val="00BF7809"/>
    <w:rsid w:val="00BF7A44"/>
    <w:rsid w:val="00BF7B8B"/>
    <w:rsid w:val="00C001D0"/>
    <w:rsid w:val="00C01542"/>
    <w:rsid w:val="00C0171E"/>
    <w:rsid w:val="00C01AAB"/>
    <w:rsid w:val="00C01C7B"/>
    <w:rsid w:val="00C01F8D"/>
    <w:rsid w:val="00C02048"/>
    <w:rsid w:val="00C021D7"/>
    <w:rsid w:val="00C02488"/>
    <w:rsid w:val="00C025F5"/>
    <w:rsid w:val="00C0293B"/>
    <w:rsid w:val="00C02A65"/>
    <w:rsid w:val="00C03024"/>
    <w:rsid w:val="00C031D6"/>
    <w:rsid w:val="00C03828"/>
    <w:rsid w:val="00C0396C"/>
    <w:rsid w:val="00C03BFC"/>
    <w:rsid w:val="00C05161"/>
    <w:rsid w:val="00C053BF"/>
    <w:rsid w:val="00C053E2"/>
    <w:rsid w:val="00C0540F"/>
    <w:rsid w:val="00C05530"/>
    <w:rsid w:val="00C05676"/>
    <w:rsid w:val="00C058B9"/>
    <w:rsid w:val="00C05CFA"/>
    <w:rsid w:val="00C05DBE"/>
    <w:rsid w:val="00C05EEC"/>
    <w:rsid w:val="00C06227"/>
    <w:rsid w:val="00C076CF"/>
    <w:rsid w:val="00C07B3F"/>
    <w:rsid w:val="00C07CEA"/>
    <w:rsid w:val="00C07D0A"/>
    <w:rsid w:val="00C07DFE"/>
    <w:rsid w:val="00C103BA"/>
    <w:rsid w:val="00C10597"/>
    <w:rsid w:val="00C110E9"/>
    <w:rsid w:val="00C11E73"/>
    <w:rsid w:val="00C12303"/>
    <w:rsid w:val="00C12426"/>
    <w:rsid w:val="00C124C3"/>
    <w:rsid w:val="00C128FD"/>
    <w:rsid w:val="00C12ABA"/>
    <w:rsid w:val="00C12B82"/>
    <w:rsid w:val="00C12C06"/>
    <w:rsid w:val="00C13A02"/>
    <w:rsid w:val="00C1440F"/>
    <w:rsid w:val="00C14B0C"/>
    <w:rsid w:val="00C151CE"/>
    <w:rsid w:val="00C15417"/>
    <w:rsid w:val="00C15986"/>
    <w:rsid w:val="00C15A43"/>
    <w:rsid w:val="00C15F0F"/>
    <w:rsid w:val="00C163C6"/>
    <w:rsid w:val="00C17A18"/>
    <w:rsid w:val="00C2010B"/>
    <w:rsid w:val="00C201EF"/>
    <w:rsid w:val="00C2079B"/>
    <w:rsid w:val="00C2113C"/>
    <w:rsid w:val="00C218DE"/>
    <w:rsid w:val="00C21931"/>
    <w:rsid w:val="00C21AF8"/>
    <w:rsid w:val="00C22168"/>
    <w:rsid w:val="00C2253C"/>
    <w:rsid w:val="00C22DED"/>
    <w:rsid w:val="00C22DF7"/>
    <w:rsid w:val="00C2303A"/>
    <w:rsid w:val="00C23162"/>
    <w:rsid w:val="00C23595"/>
    <w:rsid w:val="00C23A05"/>
    <w:rsid w:val="00C23BF2"/>
    <w:rsid w:val="00C24FFF"/>
    <w:rsid w:val="00C25250"/>
    <w:rsid w:val="00C2552E"/>
    <w:rsid w:val="00C2585A"/>
    <w:rsid w:val="00C25FFC"/>
    <w:rsid w:val="00C260DA"/>
    <w:rsid w:val="00C261CD"/>
    <w:rsid w:val="00C263F8"/>
    <w:rsid w:val="00C2647A"/>
    <w:rsid w:val="00C265FD"/>
    <w:rsid w:val="00C266E5"/>
    <w:rsid w:val="00C27394"/>
    <w:rsid w:val="00C30929"/>
    <w:rsid w:val="00C30F04"/>
    <w:rsid w:val="00C31411"/>
    <w:rsid w:val="00C3234D"/>
    <w:rsid w:val="00C3253C"/>
    <w:rsid w:val="00C32722"/>
    <w:rsid w:val="00C32764"/>
    <w:rsid w:val="00C33444"/>
    <w:rsid w:val="00C33957"/>
    <w:rsid w:val="00C33985"/>
    <w:rsid w:val="00C3485F"/>
    <w:rsid w:val="00C34C05"/>
    <w:rsid w:val="00C3566C"/>
    <w:rsid w:val="00C35CEF"/>
    <w:rsid w:val="00C35DFE"/>
    <w:rsid w:val="00C361B5"/>
    <w:rsid w:val="00C36311"/>
    <w:rsid w:val="00C367C4"/>
    <w:rsid w:val="00C369CB"/>
    <w:rsid w:val="00C37FA0"/>
    <w:rsid w:val="00C40555"/>
    <w:rsid w:val="00C40865"/>
    <w:rsid w:val="00C40898"/>
    <w:rsid w:val="00C40A70"/>
    <w:rsid w:val="00C41093"/>
    <w:rsid w:val="00C419F5"/>
    <w:rsid w:val="00C41D23"/>
    <w:rsid w:val="00C41EAD"/>
    <w:rsid w:val="00C4209D"/>
    <w:rsid w:val="00C423C5"/>
    <w:rsid w:val="00C42D71"/>
    <w:rsid w:val="00C432E1"/>
    <w:rsid w:val="00C43304"/>
    <w:rsid w:val="00C43540"/>
    <w:rsid w:val="00C436CA"/>
    <w:rsid w:val="00C438BA"/>
    <w:rsid w:val="00C446AF"/>
    <w:rsid w:val="00C446F9"/>
    <w:rsid w:val="00C44995"/>
    <w:rsid w:val="00C45B14"/>
    <w:rsid w:val="00C45BCC"/>
    <w:rsid w:val="00C45D5B"/>
    <w:rsid w:val="00C45DD9"/>
    <w:rsid w:val="00C45DE6"/>
    <w:rsid w:val="00C4676A"/>
    <w:rsid w:val="00C500C2"/>
    <w:rsid w:val="00C508BC"/>
    <w:rsid w:val="00C50A47"/>
    <w:rsid w:val="00C50DE3"/>
    <w:rsid w:val="00C51865"/>
    <w:rsid w:val="00C52701"/>
    <w:rsid w:val="00C52A6F"/>
    <w:rsid w:val="00C52E42"/>
    <w:rsid w:val="00C531CA"/>
    <w:rsid w:val="00C5340F"/>
    <w:rsid w:val="00C53726"/>
    <w:rsid w:val="00C538B2"/>
    <w:rsid w:val="00C54526"/>
    <w:rsid w:val="00C54E45"/>
    <w:rsid w:val="00C558E7"/>
    <w:rsid w:val="00C559C0"/>
    <w:rsid w:val="00C56099"/>
    <w:rsid w:val="00C56123"/>
    <w:rsid w:val="00C5639C"/>
    <w:rsid w:val="00C563D3"/>
    <w:rsid w:val="00C56675"/>
    <w:rsid w:val="00C56C59"/>
    <w:rsid w:val="00C5751F"/>
    <w:rsid w:val="00C57D86"/>
    <w:rsid w:val="00C60151"/>
    <w:rsid w:val="00C60389"/>
    <w:rsid w:val="00C607B1"/>
    <w:rsid w:val="00C607EB"/>
    <w:rsid w:val="00C60A0A"/>
    <w:rsid w:val="00C6217C"/>
    <w:rsid w:val="00C622D0"/>
    <w:rsid w:val="00C625A8"/>
    <w:rsid w:val="00C62C6E"/>
    <w:rsid w:val="00C62E8D"/>
    <w:rsid w:val="00C62FF5"/>
    <w:rsid w:val="00C63223"/>
    <w:rsid w:val="00C63B97"/>
    <w:rsid w:val="00C63DCF"/>
    <w:rsid w:val="00C63DE3"/>
    <w:rsid w:val="00C63FAB"/>
    <w:rsid w:val="00C64BF4"/>
    <w:rsid w:val="00C654F2"/>
    <w:rsid w:val="00C659A4"/>
    <w:rsid w:val="00C65A88"/>
    <w:rsid w:val="00C65C80"/>
    <w:rsid w:val="00C65DFA"/>
    <w:rsid w:val="00C66E1D"/>
    <w:rsid w:val="00C67729"/>
    <w:rsid w:val="00C67D86"/>
    <w:rsid w:val="00C705D4"/>
    <w:rsid w:val="00C705E1"/>
    <w:rsid w:val="00C709CD"/>
    <w:rsid w:val="00C70ED6"/>
    <w:rsid w:val="00C71DF8"/>
    <w:rsid w:val="00C72697"/>
    <w:rsid w:val="00C72DC3"/>
    <w:rsid w:val="00C730B2"/>
    <w:rsid w:val="00C7328E"/>
    <w:rsid w:val="00C732BD"/>
    <w:rsid w:val="00C733C0"/>
    <w:rsid w:val="00C73D3F"/>
    <w:rsid w:val="00C74E89"/>
    <w:rsid w:val="00C752B5"/>
    <w:rsid w:val="00C7598E"/>
    <w:rsid w:val="00C76497"/>
    <w:rsid w:val="00C770B4"/>
    <w:rsid w:val="00C77579"/>
    <w:rsid w:val="00C7764E"/>
    <w:rsid w:val="00C778EE"/>
    <w:rsid w:val="00C77D41"/>
    <w:rsid w:val="00C8006D"/>
    <w:rsid w:val="00C800F4"/>
    <w:rsid w:val="00C80DF6"/>
    <w:rsid w:val="00C80FA7"/>
    <w:rsid w:val="00C81076"/>
    <w:rsid w:val="00C8154B"/>
    <w:rsid w:val="00C8163E"/>
    <w:rsid w:val="00C817C4"/>
    <w:rsid w:val="00C81861"/>
    <w:rsid w:val="00C81AF0"/>
    <w:rsid w:val="00C81FCC"/>
    <w:rsid w:val="00C821C6"/>
    <w:rsid w:val="00C823BB"/>
    <w:rsid w:val="00C82946"/>
    <w:rsid w:val="00C831ED"/>
    <w:rsid w:val="00C836FA"/>
    <w:rsid w:val="00C8376D"/>
    <w:rsid w:val="00C83930"/>
    <w:rsid w:val="00C8476A"/>
    <w:rsid w:val="00C84C7C"/>
    <w:rsid w:val="00C84E82"/>
    <w:rsid w:val="00C84ECE"/>
    <w:rsid w:val="00C85E74"/>
    <w:rsid w:val="00C85E76"/>
    <w:rsid w:val="00C85F38"/>
    <w:rsid w:val="00C8686D"/>
    <w:rsid w:val="00C871C8"/>
    <w:rsid w:val="00C871F7"/>
    <w:rsid w:val="00C87245"/>
    <w:rsid w:val="00C87992"/>
    <w:rsid w:val="00C87BA9"/>
    <w:rsid w:val="00C902E3"/>
    <w:rsid w:val="00C90446"/>
    <w:rsid w:val="00C90460"/>
    <w:rsid w:val="00C907DF"/>
    <w:rsid w:val="00C915F6"/>
    <w:rsid w:val="00C91D15"/>
    <w:rsid w:val="00C91D6D"/>
    <w:rsid w:val="00C91E2B"/>
    <w:rsid w:val="00C9203A"/>
    <w:rsid w:val="00C9253A"/>
    <w:rsid w:val="00C926B8"/>
    <w:rsid w:val="00C92717"/>
    <w:rsid w:val="00C929B7"/>
    <w:rsid w:val="00C92C4D"/>
    <w:rsid w:val="00C93231"/>
    <w:rsid w:val="00C935CF"/>
    <w:rsid w:val="00C937F8"/>
    <w:rsid w:val="00C93ED8"/>
    <w:rsid w:val="00C93F86"/>
    <w:rsid w:val="00C941B7"/>
    <w:rsid w:val="00C94511"/>
    <w:rsid w:val="00C94676"/>
    <w:rsid w:val="00C94BEC"/>
    <w:rsid w:val="00C94CC7"/>
    <w:rsid w:val="00C94D1E"/>
    <w:rsid w:val="00C9567F"/>
    <w:rsid w:val="00C957FD"/>
    <w:rsid w:val="00C9581C"/>
    <w:rsid w:val="00C961C7"/>
    <w:rsid w:val="00C961FE"/>
    <w:rsid w:val="00C96484"/>
    <w:rsid w:val="00C96626"/>
    <w:rsid w:val="00C9764F"/>
    <w:rsid w:val="00C9796F"/>
    <w:rsid w:val="00C979A9"/>
    <w:rsid w:val="00CA0259"/>
    <w:rsid w:val="00CA0372"/>
    <w:rsid w:val="00CA04E1"/>
    <w:rsid w:val="00CA0B18"/>
    <w:rsid w:val="00CA0CEF"/>
    <w:rsid w:val="00CA13EE"/>
    <w:rsid w:val="00CA1A63"/>
    <w:rsid w:val="00CA2567"/>
    <w:rsid w:val="00CA30F4"/>
    <w:rsid w:val="00CA3448"/>
    <w:rsid w:val="00CA3BC2"/>
    <w:rsid w:val="00CA4221"/>
    <w:rsid w:val="00CA43BB"/>
    <w:rsid w:val="00CA4AB1"/>
    <w:rsid w:val="00CA4FC5"/>
    <w:rsid w:val="00CA55A4"/>
    <w:rsid w:val="00CA5B2A"/>
    <w:rsid w:val="00CA601E"/>
    <w:rsid w:val="00CA61C9"/>
    <w:rsid w:val="00CA684A"/>
    <w:rsid w:val="00CA6919"/>
    <w:rsid w:val="00CA6A6B"/>
    <w:rsid w:val="00CA6AAD"/>
    <w:rsid w:val="00CA6AF7"/>
    <w:rsid w:val="00CA774B"/>
    <w:rsid w:val="00CA7906"/>
    <w:rsid w:val="00CA7D80"/>
    <w:rsid w:val="00CB0529"/>
    <w:rsid w:val="00CB0982"/>
    <w:rsid w:val="00CB1367"/>
    <w:rsid w:val="00CB17DB"/>
    <w:rsid w:val="00CB1850"/>
    <w:rsid w:val="00CB1B08"/>
    <w:rsid w:val="00CB1DA2"/>
    <w:rsid w:val="00CB205D"/>
    <w:rsid w:val="00CB248E"/>
    <w:rsid w:val="00CB31AD"/>
    <w:rsid w:val="00CB35C7"/>
    <w:rsid w:val="00CB3726"/>
    <w:rsid w:val="00CB3D30"/>
    <w:rsid w:val="00CB3EF2"/>
    <w:rsid w:val="00CB3F66"/>
    <w:rsid w:val="00CB44BB"/>
    <w:rsid w:val="00CB5B45"/>
    <w:rsid w:val="00CB5C22"/>
    <w:rsid w:val="00CB5EFA"/>
    <w:rsid w:val="00CB5F1D"/>
    <w:rsid w:val="00CB5FBB"/>
    <w:rsid w:val="00CB63A1"/>
    <w:rsid w:val="00CB6893"/>
    <w:rsid w:val="00CB691E"/>
    <w:rsid w:val="00CB7A82"/>
    <w:rsid w:val="00CC039B"/>
    <w:rsid w:val="00CC06D9"/>
    <w:rsid w:val="00CC0938"/>
    <w:rsid w:val="00CC0A28"/>
    <w:rsid w:val="00CC105E"/>
    <w:rsid w:val="00CC125E"/>
    <w:rsid w:val="00CC158D"/>
    <w:rsid w:val="00CC1C8D"/>
    <w:rsid w:val="00CC2551"/>
    <w:rsid w:val="00CC2AAC"/>
    <w:rsid w:val="00CC3B0C"/>
    <w:rsid w:val="00CC40D3"/>
    <w:rsid w:val="00CC4254"/>
    <w:rsid w:val="00CC4F34"/>
    <w:rsid w:val="00CC5688"/>
    <w:rsid w:val="00CC58B7"/>
    <w:rsid w:val="00CC5CF0"/>
    <w:rsid w:val="00CC611B"/>
    <w:rsid w:val="00CC633F"/>
    <w:rsid w:val="00CC6A1B"/>
    <w:rsid w:val="00CC6D2F"/>
    <w:rsid w:val="00CC75BF"/>
    <w:rsid w:val="00CC7B19"/>
    <w:rsid w:val="00CC7FEC"/>
    <w:rsid w:val="00CD0883"/>
    <w:rsid w:val="00CD0CC0"/>
    <w:rsid w:val="00CD0F3E"/>
    <w:rsid w:val="00CD117B"/>
    <w:rsid w:val="00CD1562"/>
    <w:rsid w:val="00CD1696"/>
    <w:rsid w:val="00CD1847"/>
    <w:rsid w:val="00CD2024"/>
    <w:rsid w:val="00CD2632"/>
    <w:rsid w:val="00CD2AE0"/>
    <w:rsid w:val="00CD2BAF"/>
    <w:rsid w:val="00CD2DD3"/>
    <w:rsid w:val="00CD316C"/>
    <w:rsid w:val="00CD38C9"/>
    <w:rsid w:val="00CD40B2"/>
    <w:rsid w:val="00CD47F7"/>
    <w:rsid w:val="00CD4853"/>
    <w:rsid w:val="00CD4E0B"/>
    <w:rsid w:val="00CD5097"/>
    <w:rsid w:val="00CD557C"/>
    <w:rsid w:val="00CD57C1"/>
    <w:rsid w:val="00CD5961"/>
    <w:rsid w:val="00CD59FB"/>
    <w:rsid w:val="00CD5A59"/>
    <w:rsid w:val="00CD5E41"/>
    <w:rsid w:val="00CD5E7F"/>
    <w:rsid w:val="00CD6847"/>
    <w:rsid w:val="00CD6E2C"/>
    <w:rsid w:val="00CD6F59"/>
    <w:rsid w:val="00CD7319"/>
    <w:rsid w:val="00CE05CE"/>
    <w:rsid w:val="00CE06BE"/>
    <w:rsid w:val="00CE090E"/>
    <w:rsid w:val="00CE09F4"/>
    <w:rsid w:val="00CE1266"/>
    <w:rsid w:val="00CE14DD"/>
    <w:rsid w:val="00CE1523"/>
    <w:rsid w:val="00CE17D5"/>
    <w:rsid w:val="00CE1DC4"/>
    <w:rsid w:val="00CE1EA0"/>
    <w:rsid w:val="00CE2383"/>
    <w:rsid w:val="00CE3146"/>
    <w:rsid w:val="00CE347F"/>
    <w:rsid w:val="00CE37E8"/>
    <w:rsid w:val="00CE48C9"/>
    <w:rsid w:val="00CE49F7"/>
    <w:rsid w:val="00CE4B3D"/>
    <w:rsid w:val="00CE5014"/>
    <w:rsid w:val="00CE501F"/>
    <w:rsid w:val="00CE52FC"/>
    <w:rsid w:val="00CE5370"/>
    <w:rsid w:val="00CE62A8"/>
    <w:rsid w:val="00CE65B7"/>
    <w:rsid w:val="00CE6DD1"/>
    <w:rsid w:val="00CE7009"/>
    <w:rsid w:val="00CE7016"/>
    <w:rsid w:val="00CE79C2"/>
    <w:rsid w:val="00CE7A19"/>
    <w:rsid w:val="00CE7BBB"/>
    <w:rsid w:val="00CE7EB2"/>
    <w:rsid w:val="00CE7F05"/>
    <w:rsid w:val="00CF0810"/>
    <w:rsid w:val="00CF0970"/>
    <w:rsid w:val="00CF0ED6"/>
    <w:rsid w:val="00CF10FF"/>
    <w:rsid w:val="00CF1959"/>
    <w:rsid w:val="00CF1F58"/>
    <w:rsid w:val="00CF27E5"/>
    <w:rsid w:val="00CF2D93"/>
    <w:rsid w:val="00CF3580"/>
    <w:rsid w:val="00CF36AA"/>
    <w:rsid w:val="00CF38CD"/>
    <w:rsid w:val="00CF392F"/>
    <w:rsid w:val="00CF3E2A"/>
    <w:rsid w:val="00CF45BC"/>
    <w:rsid w:val="00CF47F9"/>
    <w:rsid w:val="00CF53AC"/>
    <w:rsid w:val="00CF548B"/>
    <w:rsid w:val="00CF554E"/>
    <w:rsid w:val="00CF58E4"/>
    <w:rsid w:val="00CF5AC9"/>
    <w:rsid w:val="00CF66DE"/>
    <w:rsid w:val="00CF678B"/>
    <w:rsid w:val="00CF698C"/>
    <w:rsid w:val="00CF6A4D"/>
    <w:rsid w:val="00CF7382"/>
    <w:rsid w:val="00CF799D"/>
    <w:rsid w:val="00CF7F25"/>
    <w:rsid w:val="00D0021C"/>
    <w:rsid w:val="00D00618"/>
    <w:rsid w:val="00D00EEE"/>
    <w:rsid w:val="00D011F5"/>
    <w:rsid w:val="00D01266"/>
    <w:rsid w:val="00D01382"/>
    <w:rsid w:val="00D01501"/>
    <w:rsid w:val="00D015CC"/>
    <w:rsid w:val="00D01BEE"/>
    <w:rsid w:val="00D01D60"/>
    <w:rsid w:val="00D0209B"/>
    <w:rsid w:val="00D02996"/>
    <w:rsid w:val="00D02BA2"/>
    <w:rsid w:val="00D02F92"/>
    <w:rsid w:val="00D03994"/>
    <w:rsid w:val="00D03A17"/>
    <w:rsid w:val="00D03C92"/>
    <w:rsid w:val="00D03DD7"/>
    <w:rsid w:val="00D04059"/>
    <w:rsid w:val="00D055D8"/>
    <w:rsid w:val="00D066ED"/>
    <w:rsid w:val="00D06BCA"/>
    <w:rsid w:val="00D06C21"/>
    <w:rsid w:val="00D06DAF"/>
    <w:rsid w:val="00D07153"/>
    <w:rsid w:val="00D0764D"/>
    <w:rsid w:val="00D076FE"/>
    <w:rsid w:val="00D10271"/>
    <w:rsid w:val="00D108B4"/>
    <w:rsid w:val="00D11766"/>
    <w:rsid w:val="00D11A33"/>
    <w:rsid w:val="00D12284"/>
    <w:rsid w:val="00D12662"/>
    <w:rsid w:val="00D1281F"/>
    <w:rsid w:val="00D12929"/>
    <w:rsid w:val="00D12B01"/>
    <w:rsid w:val="00D133E1"/>
    <w:rsid w:val="00D136AE"/>
    <w:rsid w:val="00D1427B"/>
    <w:rsid w:val="00D1431E"/>
    <w:rsid w:val="00D14B0A"/>
    <w:rsid w:val="00D1565C"/>
    <w:rsid w:val="00D15CFA"/>
    <w:rsid w:val="00D15E9D"/>
    <w:rsid w:val="00D15EC0"/>
    <w:rsid w:val="00D16A1D"/>
    <w:rsid w:val="00D16C46"/>
    <w:rsid w:val="00D16EDD"/>
    <w:rsid w:val="00D2060D"/>
    <w:rsid w:val="00D206A6"/>
    <w:rsid w:val="00D20999"/>
    <w:rsid w:val="00D20D9D"/>
    <w:rsid w:val="00D21C77"/>
    <w:rsid w:val="00D2229E"/>
    <w:rsid w:val="00D225B6"/>
    <w:rsid w:val="00D22A96"/>
    <w:rsid w:val="00D22B0C"/>
    <w:rsid w:val="00D22B8F"/>
    <w:rsid w:val="00D22BEF"/>
    <w:rsid w:val="00D2330F"/>
    <w:rsid w:val="00D235C0"/>
    <w:rsid w:val="00D23AE0"/>
    <w:rsid w:val="00D23CA9"/>
    <w:rsid w:val="00D23FE9"/>
    <w:rsid w:val="00D24D4D"/>
    <w:rsid w:val="00D2511E"/>
    <w:rsid w:val="00D25193"/>
    <w:rsid w:val="00D25572"/>
    <w:rsid w:val="00D25664"/>
    <w:rsid w:val="00D2575F"/>
    <w:rsid w:val="00D25BC5"/>
    <w:rsid w:val="00D25F32"/>
    <w:rsid w:val="00D2629C"/>
    <w:rsid w:val="00D26445"/>
    <w:rsid w:val="00D26CD6"/>
    <w:rsid w:val="00D27EE5"/>
    <w:rsid w:val="00D303EE"/>
    <w:rsid w:val="00D304E7"/>
    <w:rsid w:val="00D30672"/>
    <w:rsid w:val="00D314EE"/>
    <w:rsid w:val="00D31751"/>
    <w:rsid w:val="00D31C0D"/>
    <w:rsid w:val="00D32885"/>
    <w:rsid w:val="00D32A48"/>
    <w:rsid w:val="00D32FB9"/>
    <w:rsid w:val="00D33032"/>
    <w:rsid w:val="00D33922"/>
    <w:rsid w:val="00D3431B"/>
    <w:rsid w:val="00D34735"/>
    <w:rsid w:val="00D34B89"/>
    <w:rsid w:val="00D34F6C"/>
    <w:rsid w:val="00D34F9E"/>
    <w:rsid w:val="00D35D9C"/>
    <w:rsid w:val="00D35E14"/>
    <w:rsid w:val="00D36236"/>
    <w:rsid w:val="00D36247"/>
    <w:rsid w:val="00D367F0"/>
    <w:rsid w:val="00D36A0B"/>
    <w:rsid w:val="00D36E6E"/>
    <w:rsid w:val="00D37648"/>
    <w:rsid w:val="00D37FA6"/>
    <w:rsid w:val="00D400A8"/>
    <w:rsid w:val="00D4039B"/>
    <w:rsid w:val="00D40750"/>
    <w:rsid w:val="00D40886"/>
    <w:rsid w:val="00D40D78"/>
    <w:rsid w:val="00D4102F"/>
    <w:rsid w:val="00D41068"/>
    <w:rsid w:val="00D41CAD"/>
    <w:rsid w:val="00D41FAC"/>
    <w:rsid w:val="00D422EE"/>
    <w:rsid w:val="00D427DA"/>
    <w:rsid w:val="00D42E87"/>
    <w:rsid w:val="00D4319A"/>
    <w:rsid w:val="00D4336A"/>
    <w:rsid w:val="00D433A3"/>
    <w:rsid w:val="00D43AE0"/>
    <w:rsid w:val="00D43E6B"/>
    <w:rsid w:val="00D44222"/>
    <w:rsid w:val="00D44F50"/>
    <w:rsid w:val="00D450D4"/>
    <w:rsid w:val="00D45601"/>
    <w:rsid w:val="00D4563E"/>
    <w:rsid w:val="00D45DAC"/>
    <w:rsid w:val="00D45FC0"/>
    <w:rsid w:val="00D46029"/>
    <w:rsid w:val="00D46545"/>
    <w:rsid w:val="00D4678D"/>
    <w:rsid w:val="00D47C51"/>
    <w:rsid w:val="00D47F24"/>
    <w:rsid w:val="00D50061"/>
    <w:rsid w:val="00D50346"/>
    <w:rsid w:val="00D508BF"/>
    <w:rsid w:val="00D5100C"/>
    <w:rsid w:val="00D51710"/>
    <w:rsid w:val="00D51801"/>
    <w:rsid w:val="00D523AC"/>
    <w:rsid w:val="00D523E1"/>
    <w:rsid w:val="00D52F26"/>
    <w:rsid w:val="00D534ED"/>
    <w:rsid w:val="00D537C2"/>
    <w:rsid w:val="00D53B51"/>
    <w:rsid w:val="00D54AA2"/>
    <w:rsid w:val="00D55CB2"/>
    <w:rsid w:val="00D55DCD"/>
    <w:rsid w:val="00D561DB"/>
    <w:rsid w:val="00D5678C"/>
    <w:rsid w:val="00D56BCD"/>
    <w:rsid w:val="00D56DF7"/>
    <w:rsid w:val="00D57447"/>
    <w:rsid w:val="00D57B96"/>
    <w:rsid w:val="00D57C46"/>
    <w:rsid w:val="00D6015C"/>
    <w:rsid w:val="00D60D6C"/>
    <w:rsid w:val="00D6101E"/>
    <w:rsid w:val="00D613E5"/>
    <w:rsid w:val="00D6157D"/>
    <w:rsid w:val="00D61741"/>
    <w:rsid w:val="00D6183D"/>
    <w:rsid w:val="00D61B0A"/>
    <w:rsid w:val="00D61F86"/>
    <w:rsid w:val="00D6258B"/>
    <w:rsid w:val="00D62B27"/>
    <w:rsid w:val="00D62CCD"/>
    <w:rsid w:val="00D62D34"/>
    <w:rsid w:val="00D62EFC"/>
    <w:rsid w:val="00D6311E"/>
    <w:rsid w:val="00D63E72"/>
    <w:rsid w:val="00D6428E"/>
    <w:rsid w:val="00D64F89"/>
    <w:rsid w:val="00D650F2"/>
    <w:rsid w:val="00D65409"/>
    <w:rsid w:val="00D65513"/>
    <w:rsid w:val="00D6562F"/>
    <w:rsid w:val="00D656CD"/>
    <w:rsid w:val="00D66142"/>
    <w:rsid w:val="00D664A1"/>
    <w:rsid w:val="00D66FDB"/>
    <w:rsid w:val="00D67061"/>
    <w:rsid w:val="00D672DA"/>
    <w:rsid w:val="00D67771"/>
    <w:rsid w:val="00D67B22"/>
    <w:rsid w:val="00D70254"/>
    <w:rsid w:val="00D70525"/>
    <w:rsid w:val="00D70532"/>
    <w:rsid w:val="00D70699"/>
    <w:rsid w:val="00D709B1"/>
    <w:rsid w:val="00D70A6A"/>
    <w:rsid w:val="00D71372"/>
    <w:rsid w:val="00D7141F"/>
    <w:rsid w:val="00D7236A"/>
    <w:rsid w:val="00D7258F"/>
    <w:rsid w:val="00D72659"/>
    <w:rsid w:val="00D72FD2"/>
    <w:rsid w:val="00D738F5"/>
    <w:rsid w:val="00D73B25"/>
    <w:rsid w:val="00D73C04"/>
    <w:rsid w:val="00D750AB"/>
    <w:rsid w:val="00D75400"/>
    <w:rsid w:val="00D75D64"/>
    <w:rsid w:val="00D76101"/>
    <w:rsid w:val="00D76204"/>
    <w:rsid w:val="00D7693C"/>
    <w:rsid w:val="00D7735C"/>
    <w:rsid w:val="00D77524"/>
    <w:rsid w:val="00D77C2F"/>
    <w:rsid w:val="00D77D2D"/>
    <w:rsid w:val="00D8074E"/>
    <w:rsid w:val="00D80855"/>
    <w:rsid w:val="00D80BF8"/>
    <w:rsid w:val="00D80D57"/>
    <w:rsid w:val="00D80DD0"/>
    <w:rsid w:val="00D81622"/>
    <w:rsid w:val="00D82640"/>
    <w:rsid w:val="00D8283E"/>
    <w:rsid w:val="00D82D04"/>
    <w:rsid w:val="00D82FB0"/>
    <w:rsid w:val="00D82FE2"/>
    <w:rsid w:val="00D83D44"/>
    <w:rsid w:val="00D8416C"/>
    <w:rsid w:val="00D84B15"/>
    <w:rsid w:val="00D84DA7"/>
    <w:rsid w:val="00D85047"/>
    <w:rsid w:val="00D8506E"/>
    <w:rsid w:val="00D86452"/>
    <w:rsid w:val="00D866EE"/>
    <w:rsid w:val="00D86D73"/>
    <w:rsid w:val="00D86D96"/>
    <w:rsid w:val="00D87299"/>
    <w:rsid w:val="00D87565"/>
    <w:rsid w:val="00D877C1"/>
    <w:rsid w:val="00D87C34"/>
    <w:rsid w:val="00D905BD"/>
    <w:rsid w:val="00D90CAD"/>
    <w:rsid w:val="00D90F4E"/>
    <w:rsid w:val="00D911E3"/>
    <w:rsid w:val="00D91621"/>
    <w:rsid w:val="00D92252"/>
    <w:rsid w:val="00D922A9"/>
    <w:rsid w:val="00D925AD"/>
    <w:rsid w:val="00D925FF"/>
    <w:rsid w:val="00D92893"/>
    <w:rsid w:val="00D92C07"/>
    <w:rsid w:val="00D93782"/>
    <w:rsid w:val="00D93F77"/>
    <w:rsid w:val="00D9402B"/>
    <w:rsid w:val="00D94BEE"/>
    <w:rsid w:val="00D957CA"/>
    <w:rsid w:val="00D958BA"/>
    <w:rsid w:val="00D95AAB"/>
    <w:rsid w:val="00D966BA"/>
    <w:rsid w:val="00D96E5E"/>
    <w:rsid w:val="00D9750D"/>
    <w:rsid w:val="00D97996"/>
    <w:rsid w:val="00D97D15"/>
    <w:rsid w:val="00DA0685"/>
    <w:rsid w:val="00DA06E6"/>
    <w:rsid w:val="00DA1D21"/>
    <w:rsid w:val="00DA206F"/>
    <w:rsid w:val="00DA207F"/>
    <w:rsid w:val="00DA2552"/>
    <w:rsid w:val="00DA26D7"/>
    <w:rsid w:val="00DA2742"/>
    <w:rsid w:val="00DA2B9A"/>
    <w:rsid w:val="00DA338A"/>
    <w:rsid w:val="00DA3DE8"/>
    <w:rsid w:val="00DA3FB3"/>
    <w:rsid w:val="00DA4795"/>
    <w:rsid w:val="00DA4961"/>
    <w:rsid w:val="00DA49B5"/>
    <w:rsid w:val="00DA4C3E"/>
    <w:rsid w:val="00DA5213"/>
    <w:rsid w:val="00DA5445"/>
    <w:rsid w:val="00DA6303"/>
    <w:rsid w:val="00DA66CF"/>
    <w:rsid w:val="00DA67B9"/>
    <w:rsid w:val="00DA690E"/>
    <w:rsid w:val="00DA7023"/>
    <w:rsid w:val="00DA771A"/>
    <w:rsid w:val="00DA7AA1"/>
    <w:rsid w:val="00DB0425"/>
    <w:rsid w:val="00DB078D"/>
    <w:rsid w:val="00DB0C50"/>
    <w:rsid w:val="00DB129C"/>
    <w:rsid w:val="00DB1317"/>
    <w:rsid w:val="00DB15CC"/>
    <w:rsid w:val="00DB1D74"/>
    <w:rsid w:val="00DB34EE"/>
    <w:rsid w:val="00DB3FC8"/>
    <w:rsid w:val="00DB45C8"/>
    <w:rsid w:val="00DB46BF"/>
    <w:rsid w:val="00DB4AFC"/>
    <w:rsid w:val="00DB4E39"/>
    <w:rsid w:val="00DB4E5D"/>
    <w:rsid w:val="00DB527C"/>
    <w:rsid w:val="00DB53C7"/>
    <w:rsid w:val="00DB5660"/>
    <w:rsid w:val="00DB5890"/>
    <w:rsid w:val="00DB5D41"/>
    <w:rsid w:val="00DB6074"/>
    <w:rsid w:val="00DB6D35"/>
    <w:rsid w:val="00DB6F0B"/>
    <w:rsid w:val="00DB6F7B"/>
    <w:rsid w:val="00DB70DA"/>
    <w:rsid w:val="00DC023D"/>
    <w:rsid w:val="00DC0295"/>
    <w:rsid w:val="00DC0344"/>
    <w:rsid w:val="00DC0482"/>
    <w:rsid w:val="00DC0D32"/>
    <w:rsid w:val="00DC0D93"/>
    <w:rsid w:val="00DC1234"/>
    <w:rsid w:val="00DC1300"/>
    <w:rsid w:val="00DC1397"/>
    <w:rsid w:val="00DC1D27"/>
    <w:rsid w:val="00DC1DAC"/>
    <w:rsid w:val="00DC28F8"/>
    <w:rsid w:val="00DC2FBF"/>
    <w:rsid w:val="00DC3323"/>
    <w:rsid w:val="00DC37C8"/>
    <w:rsid w:val="00DC3B5E"/>
    <w:rsid w:val="00DC40B3"/>
    <w:rsid w:val="00DC489F"/>
    <w:rsid w:val="00DC4C44"/>
    <w:rsid w:val="00DC536B"/>
    <w:rsid w:val="00DC56C0"/>
    <w:rsid w:val="00DC5A63"/>
    <w:rsid w:val="00DC5AE7"/>
    <w:rsid w:val="00DC5E3C"/>
    <w:rsid w:val="00DC5F77"/>
    <w:rsid w:val="00DC6642"/>
    <w:rsid w:val="00DC712F"/>
    <w:rsid w:val="00DC746B"/>
    <w:rsid w:val="00DC79BC"/>
    <w:rsid w:val="00DC7BB0"/>
    <w:rsid w:val="00DD0240"/>
    <w:rsid w:val="00DD0532"/>
    <w:rsid w:val="00DD085C"/>
    <w:rsid w:val="00DD104E"/>
    <w:rsid w:val="00DD1C89"/>
    <w:rsid w:val="00DD20F6"/>
    <w:rsid w:val="00DD22CF"/>
    <w:rsid w:val="00DD24A8"/>
    <w:rsid w:val="00DD2FE9"/>
    <w:rsid w:val="00DD33A9"/>
    <w:rsid w:val="00DD33BA"/>
    <w:rsid w:val="00DD367F"/>
    <w:rsid w:val="00DD37A8"/>
    <w:rsid w:val="00DD385A"/>
    <w:rsid w:val="00DD3B44"/>
    <w:rsid w:val="00DD45E1"/>
    <w:rsid w:val="00DD498E"/>
    <w:rsid w:val="00DD4DF6"/>
    <w:rsid w:val="00DD4FA6"/>
    <w:rsid w:val="00DD5093"/>
    <w:rsid w:val="00DD6B8A"/>
    <w:rsid w:val="00DD6E89"/>
    <w:rsid w:val="00DD70BE"/>
    <w:rsid w:val="00DD7360"/>
    <w:rsid w:val="00DD736F"/>
    <w:rsid w:val="00DD7BFE"/>
    <w:rsid w:val="00DD7C47"/>
    <w:rsid w:val="00DE02D8"/>
    <w:rsid w:val="00DE0356"/>
    <w:rsid w:val="00DE03D3"/>
    <w:rsid w:val="00DE1111"/>
    <w:rsid w:val="00DE12A4"/>
    <w:rsid w:val="00DE2254"/>
    <w:rsid w:val="00DE2863"/>
    <w:rsid w:val="00DE3651"/>
    <w:rsid w:val="00DE3A4F"/>
    <w:rsid w:val="00DE3BE3"/>
    <w:rsid w:val="00DE506E"/>
    <w:rsid w:val="00DE5204"/>
    <w:rsid w:val="00DE532D"/>
    <w:rsid w:val="00DE565F"/>
    <w:rsid w:val="00DE5CBD"/>
    <w:rsid w:val="00DE5DBD"/>
    <w:rsid w:val="00DE6276"/>
    <w:rsid w:val="00DE6281"/>
    <w:rsid w:val="00DE63C5"/>
    <w:rsid w:val="00DE66E7"/>
    <w:rsid w:val="00DE6CBF"/>
    <w:rsid w:val="00DE78F5"/>
    <w:rsid w:val="00DE792B"/>
    <w:rsid w:val="00DE7FBB"/>
    <w:rsid w:val="00DF0847"/>
    <w:rsid w:val="00DF0CA4"/>
    <w:rsid w:val="00DF14E7"/>
    <w:rsid w:val="00DF2098"/>
    <w:rsid w:val="00DF2178"/>
    <w:rsid w:val="00DF2531"/>
    <w:rsid w:val="00DF2693"/>
    <w:rsid w:val="00DF26D4"/>
    <w:rsid w:val="00DF2C2E"/>
    <w:rsid w:val="00DF3D83"/>
    <w:rsid w:val="00DF40EF"/>
    <w:rsid w:val="00DF4230"/>
    <w:rsid w:val="00DF43C6"/>
    <w:rsid w:val="00DF4479"/>
    <w:rsid w:val="00DF484B"/>
    <w:rsid w:val="00DF4A51"/>
    <w:rsid w:val="00DF50D1"/>
    <w:rsid w:val="00DF5345"/>
    <w:rsid w:val="00DF5508"/>
    <w:rsid w:val="00DF5973"/>
    <w:rsid w:val="00DF68A3"/>
    <w:rsid w:val="00DF6AA5"/>
    <w:rsid w:val="00DF6B94"/>
    <w:rsid w:val="00DF6CF2"/>
    <w:rsid w:val="00DF72A6"/>
    <w:rsid w:val="00DF749D"/>
    <w:rsid w:val="00DF7A1D"/>
    <w:rsid w:val="00DF7C2E"/>
    <w:rsid w:val="00DF7E5F"/>
    <w:rsid w:val="00E00415"/>
    <w:rsid w:val="00E00FED"/>
    <w:rsid w:val="00E0128B"/>
    <w:rsid w:val="00E01CBF"/>
    <w:rsid w:val="00E01EEF"/>
    <w:rsid w:val="00E01F80"/>
    <w:rsid w:val="00E0230C"/>
    <w:rsid w:val="00E0257B"/>
    <w:rsid w:val="00E02EC3"/>
    <w:rsid w:val="00E03150"/>
    <w:rsid w:val="00E03435"/>
    <w:rsid w:val="00E03CCC"/>
    <w:rsid w:val="00E0479A"/>
    <w:rsid w:val="00E04D7B"/>
    <w:rsid w:val="00E0527F"/>
    <w:rsid w:val="00E055A4"/>
    <w:rsid w:val="00E05E60"/>
    <w:rsid w:val="00E06322"/>
    <w:rsid w:val="00E06606"/>
    <w:rsid w:val="00E06FCA"/>
    <w:rsid w:val="00E07326"/>
    <w:rsid w:val="00E10675"/>
    <w:rsid w:val="00E10841"/>
    <w:rsid w:val="00E108AF"/>
    <w:rsid w:val="00E10F09"/>
    <w:rsid w:val="00E11291"/>
    <w:rsid w:val="00E113F6"/>
    <w:rsid w:val="00E130A7"/>
    <w:rsid w:val="00E13374"/>
    <w:rsid w:val="00E136F3"/>
    <w:rsid w:val="00E1396E"/>
    <w:rsid w:val="00E13A0A"/>
    <w:rsid w:val="00E1470B"/>
    <w:rsid w:val="00E14B51"/>
    <w:rsid w:val="00E14C04"/>
    <w:rsid w:val="00E14E49"/>
    <w:rsid w:val="00E14F7E"/>
    <w:rsid w:val="00E15242"/>
    <w:rsid w:val="00E15547"/>
    <w:rsid w:val="00E156B1"/>
    <w:rsid w:val="00E15B24"/>
    <w:rsid w:val="00E15F19"/>
    <w:rsid w:val="00E165C3"/>
    <w:rsid w:val="00E1686E"/>
    <w:rsid w:val="00E16994"/>
    <w:rsid w:val="00E16A5F"/>
    <w:rsid w:val="00E1710E"/>
    <w:rsid w:val="00E17252"/>
    <w:rsid w:val="00E175E4"/>
    <w:rsid w:val="00E1772E"/>
    <w:rsid w:val="00E17EA6"/>
    <w:rsid w:val="00E20381"/>
    <w:rsid w:val="00E2069F"/>
    <w:rsid w:val="00E20FA7"/>
    <w:rsid w:val="00E21E4E"/>
    <w:rsid w:val="00E222F6"/>
    <w:rsid w:val="00E22302"/>
    <w:rsid w:val="00E225D3"/>
    <w:rsid w:val="00E2285E"/>
    <w:rsid w:val="00E22DE1"/>
    <w:rsid w:val="00E23067"/>
    <w:rsid w:val="00E230BA"/>
    <w:rsid w:val="00E23469"/>
    <w:rsid w:val="00E2372F"/>
    <w:rsid w:val="00E24D7B"/>
    <w:rsid w:val="00E25735"/>
    <w:rsid w:val="00E25885"/>
    <w:rsid w:val="00E25EE6"/>
    <w:rsid w:val="00E26112"/>
    <w:rsid w:val="00E2629B"/>
    <w:rsid w:val="00E27835"/>
    <w:rsid w:val="00E27F34"/>
    <w:rsid w:val="00E27FA2"/>
    <w:rsid w:val="00E30A5C"/>
    <w:rsid w:val="00E30D77"/>
    <w:rsid w:val="00E31C19"/>
    <w:rsid w:val="00E321DF"/>
    <w:rsid w:val="00E321EA"/>
    <w:rsid w:val="00E32412"/>
    <w:rsid w:val="00E32522"/>
    <w:rsid w:val="00E325A4"/>
    <w:rsid w:val="00E32727"/>
    <w:rsid w:val="00E329C7"/>
    <w:rsid w:val="00E33273"/>
    <w:rsid w:val="00E33B03"/>
    <w:rsid w:val="00E33CC2"/>
    <w:rsid w:val="00E34078"/>
    <w:rsid w:val="00E34790"/>
    <w:rsid w:val="00E34830"/>
    <w:rsid w:val="00E34B61"/>
    <w:rsid w:val="00E35056"/>
    <w:rsid w:val="00E35093"/>
    <w:rsid w:val="00E3624C"/>
    <w:rsid w:val="00E368C9"/>
    <w:rsid w:val="00E36FD6"/>
    <w:rsid w:val="00E37014"/>
    <w:rsid w:val="00E3706A"/>
    <w:rsid w:val="00E37CFB"/>
    <w:rsid w:val="00E4033F"/>
    <w:rsid w:val="00E409DA"/>
    <w:rsid w:val="00E40D5B"/>
    <w:rsid w:val="00E4131B"/>
    <w:rsid w:val="00E4171B"/>
    <w:rsid w:val="00E41DD4"/>
    <w:rsid w:val="00E4275B"/>
    <w:rsid w:val="00E42B4C"/>
    <w:rsid w:val="00E4312A"/>
    <w:rsid w:val="00E43B9B"/>
    <w:rsid w:val="00E43BB5"/>
    <w:rsid w:val="00E43DEE"/>
    <w:rsid w:val="00E444B5"/>
    <w:rsid w:val="00E4489F"/>
    <w:rsid w:val="00E4495B"/>
    <w:rsid w:val="00E44978"/>
    <w:rsid w:val="00E44E83"/>
    <w:rsid w:val="00E4531B"/>
    <w:rsid w:val="00E45C6C"/>
    <w:rsid w:val="00E46184"/>
    <w:rsid w:val="00E46285"/>
    <w:rsid w:val="00E462DF"/>
    <w:rsid w:val="00E463CF"/>
    <w:rsid w:val="00E46E10"/>
    <w:rsid w:val="00E47226"/>
    <w:rsid w:val="00E472F9"/>
    <w:rsid w:val="00E477E7"/>
    <w:rsid w:val="00E5029D"/>
    <w:rsid w:val="00E50CDF"/>
    <w:rsid w:val="00E510AC"/>
    <w:rsid w:val="00E51198"/>
    <w:rsid w:val="00E517D8"/>
    <w:rsid w:val="00E52058"/>
    <w:rsid w:val="00E522D4"/>
    <w:rsid w:val="00E52560"/>
    <w:rsid w:val="00E525D2"/>
    <w:rsid w:val="00E52886"/>
    <w:rsid w:val="00E534DA"/>
    <w:rsid w:val="00E538D4"/>
    <w:rsid w:val="00E53AA0"/>
    <w:rsid w:val="00E53D1A"/>
    <w:rsid w:val="00E53D1F"/>
    <w:rsid w:val="00E5505D"/>
    <w:rsid w:val="00E554A3"/>
    <w:rsid w:val="00E55700"/>
    <w:rsid w:val="00E55761"/>
    <w:rsid w:val="00E55F19"/>
    <w:rsid w:val="00E55F4E"/>
    <w:rsid w:val="00E560C2"/>
    <w:rsid w:val="00E561AB"/>
    <w:rsid w:val="00E56E9E"/>
    <w:rsid w:val="00E579DC"/>
    <w:rsid w:val="00E57C82"/>
    <w:rsid w:val="00E57D93"/>
    <w:rsid w:val="00E600EB"/>
    <w:rsid w:val="00E6041B"/>
    <w:rsid w:val="00E612E3"/>
    <w:rsid w:val="00E61A92"/>
    <w:rsid w:val="00E62AB2"/>
    <w:rsid w:val="00E630CF"/>
    <w:rsid w:val="00E63A86"/>
    <w:rsid w:val="00E63F2A"/>
    <w:rsid w:val="00E6426F"/>
    <w:rsid w:val="00E64A69"/>
    <w:rsid w:val="00E64C89"/>
    <w:rsid w:val="00E65523"/>
    <w:rsid w:val="00E658A3"/>
    <w:rsid w:val="00E66621"/>
    <w:rsid w:val="00E667E5"/>
    <w:rsid w:val="00E66956"/>
    <w:rsid w:val="00E672F7"/>
    <w:rsid w:val="00E67857"/>
    <w:rsid w:val="00E6797F"/>
    <w:rsid w:val="00E67F1F"/>
    <w:rsid w:val="00E704CA"/>
    <w:rsid w:val="00E70581"/>
    <w:rsid w:val="00E709CB"/>
    <w:rsid w:val="00E70BEF"/>
    <w:rsid w:val="00E710FA"/>
    <w:rsid w:val="00E71520"/>
    <w:rsid w:val="00E7185D"/>
    <w:rsid w:val="00E7192B"/>
    <w:rsid w:val="00E71B56"/>
    <w:rsid w:val="00E71E8C"/>
    <w:rsid w:val="00E71FE4"/>
    <w:rsid w:val="00E72105"/>
    <w:rsid w:val="00E72F29"/>
    <w:rsid w:val="00E732F5"/>
    <w:rsid w:val="00E73718"/>
    <w:rsid w:val="00E739DA"/>
    <w:rsid w:val="00E73DED"/>
    <w:rsid w:val="00E74284"/>
    <w:rsid w:val="00E74837"/>
    <w:rsid w:val="00E74954"/>
    <w:rsid w:val="00E74A95"/>
    <w:rsid w:val="00E74CCA"/>
    <w:rsid w:val="00E75E27"/>
    <w:rsid w:val="00E76189"/>
    <w:rsid w:val="00E76752"/>
    <w:rsid w:val="00E7691C"/>
    <w:rsid w:val="00E77437"/>
    <w:rsid w:val="00E775E4"/>
    <w:rsid w:val="00E77D60"/>
    <w:rsid w:val="00E810E9"/>
    <w:rsid w:val="00E81453"/>
    <w:rsid w:val="00E8162D"/>
    <w:rsid w:val="00E81DDC"/>
    <w:rsid w:val="00E82DD8"/>
    <w:rsid w:val="00E83B50"/>
    <w:rsid w:val="00E844A7"/>
    <w:rsid w:val="00E84B56"/>
    <w:rsid w:val="00E850EA"/>
    <w:rsid w:val="00E85893"/>
    <w:rsid w:val="00E859A6"/>
    <w:rsid w:val="00E8610B"/>
    <w:rsid w:val="00E8649B"/>
    <w:rsid w:val="00E868FB"/>
    <w:rsid w:val="00E86A39"/>
    <w:rsid w:val="00E8715A"/>
    <w:rsid w:val="00E874A2"/>
    <w:rsid w:val="00E87B40"/>
    <w:rsid w:val="00E87C79"/>
    <w:rsid w:val="00E90A2F"/>
    <w:rsid w:val="00E90AD8"/>
    <w:rsid w:val="00E90CCF"/>
    <w:rsid w:val="00E90D22"/>
    <w:rsid w:val="00E90F53"/>
    <w:rsid w:val="00E91125"/>
    <w:rsid w:val="00E914F6"/>
    <w:rsid w:val="00E915B7"/>
    <w:rsid w:val="00E91695"/>
    <w:rsid w:val="00E91ACA"/>
    <w:rsid w:val="00E923E6"/>
    <w:rsid w:val="00E92D52"/>
    <w:rsid w:val="00E93111"/>
    <w:rsid w:val="00E93655"/>
    <w:rsid w:val="00E93C01"/>
    <w:rsid w:val="00E9437A"/>
    <w:rsid w:val="00E9455C"/>
    <w:rsid w:val="00E948B3"/>
    <w:rsid w:val="00E94B7E"/>
    <w:rsid w:val="00E94BD2"/>
    <w:rsid w:val="00E94FE8"/>
    <w:rsid w:val="00E95277"/>
    <w:rsid w:val="00E953FC"/>
    <w:rsid w:val="00E95426"/>
    <w:rsid w:val="00E9684E"/>
    <w:rsid w:val="00E9733C"/>
    <w:rsid w:val="00EA0280"/>
    <w:rsid w:val="00EA0925"/>
    <w:rsid w:val="00EA0F87"/>
    <w:rsid w:val="00EA13D1"/>
    <w:rsid w:val="00EA2360"/>
    <w:rsid w:val="00EA2CED"/>
    <w:rsid w:val="00EA2F79"/>
    <w:rsid w:val="00EA3F65"/>
    <w:rsid w:val="00EA4090"/>
    <w:rsid w:val="00EA4A4E"/>
    <w:rsid w:val="00EA4BA5"/>
    <w:rsid w:val="00EA4D11"/>
    <w:rsid w:val="00EA4F81"/>
    <w:rsid w:val="00EA4FC2"/>
    <w:rsid w:val="00EA6040"/>
    <w:rsid w:val="00EA605F"/>
    <w:rsid w:val="00EA6C46"/>
    <w:rsid w:val="00EA6CEA"/>
    <w:rsid w:val="00EA7246"/>
    <w:rsid w:val="00EA7595"/>
    <w:rsid w:val="00EA78C9"/>
    <w:rsid w:val="00EA7A78"/>
    <w:rsid w:val="00EA7BB5"/>
    <w:rsid w:val="00EB05C6"/>
    <w:rsid w:val="00EB079C"/>
    <w:rsid w:val="00EB089C"/>
    <w:rsid w:val="00EB107E"/>
    <w:rsid w:val="00EB10E8"/>
    <w:rsid w:val="00EB168E"/>
    <w:rsid w:val="00EB16F4"/>
    <w:rsid w:val="00EB1E4B"/>
    <w:rsid w:val="00EB2163"/>
    <w:rsid w:val="00EB2596"/>
    <w:rsid w:val="00EB25C7"/>
    <w:rsid w:val="00EB26F2"/>
    <w:rsid w:val="00EB3168"/>
    <w:rsid w:val="00EB3CE9"/>
    <w:rsid w:val="00EB3D11"/>
    <w:rsid w:val="00EB3E18"/>
    <w:rsid w:val="00EB43D7"/>
    <w:rsid w:val="00EB4FDD"/>
    <w:rsid w:val="00EB59FB"/>
    <w:rsid w:val="00EB5A48"/>
    <w:rsid w:val="00EB5D36"/>
    <w:rsid w:val="00EB5E30"/>
    <w:rsid w:val="00EB5F27"/>
    <w:rsid w:val="00EB603A"/>
    <w:rsid w:val="00EB6094"/>
    <w:rsid w:val="00EB6884"/>
    <w:rsid w:val="00EB7120"/>
    <w:rsid w:val="00EB7D73"/>
    <w:rsid w:val="00EC00C1"/>
    <w:rsid w:val="00EC0CE8"/>
    <w:rsid w:val="00EC0D2A"/>
    <w:rsid w:val="00EC1117"/>
    <w:rsid w:val="00EC17FF"/>
    <w:rsid w:val="00EC1B33"/>
    <w:rsid w:val="00EC1B8E"/>
    <w:rsid w:val="00EC26C8"/>
    <w:rsid w:val="00EC29F3"/>
    <w:rsid w:val="00EC2F44"/>
    <w:rsid w:val="00EC3246"/>
    <w:rsid w:val="00EC376A"/>
    <w:rsid w:val="00EC3A0D"/>
    <w:rsid w:val="00EC4128"/>
    <w:rsid w:val="00EC4B2E"/>
    <w:rsid w:val="00EC4E53"/>
    <w:rsid w:val="00EC5CD9"/>
    <w:rsid w:val="00EC5EA1"/>
    <w:rsid w:val="00EC6650"/>
    <w:rsid w:val="00EC682A"/>
    <w:rsid w:val="00EC6918"/>
    <w:rsid w:val="00EC7338"/>
    <w:rsid w:val="00EC742F"/>
    <w:rsid w:val="00EC7D1C"/>
    <w:rsid w:val="00EC7ED4"/>
    <w:rsid w:val="00ED0459"/>
    <w:rsid w:val="00ED07FF"/>
    <w:rsid w:val="00ED08F8"/>
    <w:rsid w:val="00ED1825"/>
    <w:rsid w:val="00ED1962"/>
    <w:rsid w:val="00ED1988"/>
    <w:rsid w:val="00ED212E"/>
    <w:rsid w:val="00ED2FE8"/>
    <w:rsid w:val="00ED328A"/>
    <w:rsid w:val="00ED4559"/>
    <w:rsid w:val="00ED5C2F"/>
    <w:rsid w:val="00ED5E75"/>
    <w:rsid w:val="00ED6979"/>
    <w:rsid w:val="00ED6BDA"/>
    <w:rsid w:val="00ED6EBB"/>
    <w:rsid w:val="00ED7685"/>
    <w:rsid w:val="00ED7AEA"/>
    <w:rsid w:val="00ED7DB3"/>
    <w:rsid w:val="00ED7E2F"/>
    <w:rsid w:val="00EE02CB"/>
    <w:rsid w:val="00EE036B"/>
    <w:rsid w:val="00EE07B2"/>
    <w:rsid w:val="00EE0AE5"/>
    <w:rsid w:val="00EE0C80"/>
    <w:rsid w:val="00EE0E88"/>
    <w:rsid w:val="00EE0FFA"/>
    <w:rsid w:val="00EE13C0"/>
    <w:rsid w:val="00EE14DA"/>
    <w:rsid w:val="00EE1870"/>
    <w:rsid w:val="00EE2224"/>
    <w:rsid w:val="00EE2D00"/>
    <w:rsid w:val="00EE313C"/>
    <w:rsid w:val="00EE384F"/>
    <w:rsid w:val="00EE38F5"/>
    <w:rsid w:val="00EE3EDA"/>
    <w:rsid w:val="00EE4418"/>
    <w:rsid w:val="00EE4653"/>
    <w:rsid w:val="00EE4A25"/>
    <w:rsid w:val="00EE4A88"/>
    <w:rsid w:val="00EE4AE1"/>
    <w:rsid w:val="00EE4BCA"/>
    <w:rsid w:val="00EE4C7B"/>
    <w:rsid w:val="00EE5521"/>
    <w:rsid w:val="00EE554A"/>
    <w:rsid w:val="00EE5D5A"/>
    <w:rsid w:val="00EE5D87"/>
    <w:rsid w:val="00EE5F7E"/>
    <w:rsid w:val="00EE63E7"/>
    <w:rsid w:val="00EE6C66"/>
    <w:rsid w:val="00EE6F77"/>
    <w:rsid w:val="00EE7670"/>
    <w:rsid w:val="00EE7879"/>
    <w:rsid w:val="00EE79D6"/>
    <w:rsid w:val="00EF0588"/>
    <w:rsid w:val="00EF06A3"/>
    <w:rsid w:val="00EF0BD3"/>
    <w:rsid w:val="00EF0EA0"/>
    <w:rsid w:val="00EF135C"/>
    <w:rsid w:val="00EF25BE"/>
    <w:rsid w:val="00EF2D34"/>
    <w:rsid w:val="00EF2ED3"/>
    <w:rsid w:val="00EF3B6E"/>
    <w:rsid w:val="00EF3D96"/>
    <w:rsid w:val="00EF435E"/>
    <w:rsid w:val="00EF46F8"/>
    <w:rsid w:val="00EF49E0"/>
    <w:rsid w:val="00EF4FDE"/>
    <w:rsid w:val="00EF565B"/>
    <w:rsid w:val="00EF571C"/>
    <w:rsid w:val="00EF5763"/>
    <w:rsid w:val="00EF5FD6"/>
    <w:rsid w:val="00EF606D"/>
    <w:rsid w:val="00EF6D7E"/>
    <w:rsid w:val="00EF6E37"/>
    <w:rsid w:val="00EF7723"/>
    <w:rsid w:val="00EF77A5"/>
    <w:rsid w:val="00EF7D8F"/>
    <w:rsid w:val="00F00347"/>
    <w:rsid w:val="00F004D2"/>
    <w:rsid w:val="00F00FB5"/>
    <w:rsid w:val="00F013D1"/>
    <w:rsid w:val="00F01905"/>
    <w:rsid w:val="00F019B0"/>
    <w:rsid w:val="00F029FF"/>
    <w:rsid w:val="00F02EBF"/>
    <w:rsid w:val="00F03084"/>
    <w:rsid w:val="00F03300"/>
    <w:rsid w:val="00F03B7D"/>
    <w:rsid w:val="00F04935"/>
    <w:rsid w:val="00F04B57"/>
    <w:rsid w:val="00F04BED"/>
    <w:rsid w:val="00F04EF8"/>
    <w:rsid w:val="00F04FE4"/>
    <w:rsid w:val="00F05B39"/>
    <w:rsid w:val="00F05B74"/>
    <w:rsid w:val="00F05BDF"/>
    <w:rsid w:val="00F05FAA"/>
    <w:rsid w:val="00F06C35"/>
    <w:rsid w:val="00F076F3"/>
    <w:rsid w:val="00F07F63"/>
    <w:rsid w:val="00F100EB"/>
    <w:rsid w:val="00F103B4"/>
    <w:rsid w:val="00F106ED"/>
    <w:rsid w:val="00F10D0F"/>
    <w:rsid w:val="00F1103A"/>
    <w:rsid w:val="00F11328"/>
    <w:rsid w:val="00F11BBB"/>
    <w:rsid w:val="00F12452"/>
    <w:rsid w:val="00F12569"/>
    <w:rsid w:val="00F12AEB"/>
    <w:rsid w:val="00F12DE7"/>
    <w:rsid w:val="00F13563"/>
    <w:rsid w:val="00F137E4"/>
    <w:rsid w:val="00F1397D"/>
    <w:rsid w:val="00F13982"/>
    <w:rsid w:val="00F14293"/>
    <w:rsid w:val="00F147A0"/>
    <w:rsid w:val="00F147CA"/>
    <w:rsid w:val="00F148E8"/>
    <w:rsid w:val="00F14B2F"/>
    <w:rsid w:val="00F15492"/>
    <w:rsid w:val="00F158EF"/>
    <w:rsid w:val="00F15C34"/>
    <w:rsid w:val="00F15C91"/>
    <w:rsid w:val="00F15F59"/>
    <w:rsid w:val="00F1689E"/>
    <w:rsid w:val="00F16944"/>
    <w:rsid w:val="00F16D12"/>
    <w:rsid w:val="00F16D8C"/>
    <w:rsid w:val="00F172D5"/>
    <w:rsid w:val="00F205D0"/>
    <w:rsid w:val="00F20BD2"/>
    <w:rsid w:val="00F20DCD"/>
    <w:rsid w:val="00F21286"/>
    <w:rsid w:val="00F213A7"/>
    <w:rsid w:val="00F2188A"/>
    <w:rsid w:val="00F21A15"/>
    <w:rsid w:val="00F22399"/>
    <w:rsid w:val="00F22606"/>
    <w:rsid w:val="00F236A1"/>
    <w:rsid w:val="00F23AF9"/>
    <w:rsid w:val="00F23BFD"/>
    <w:rsid w:val="00F23C66"/>
    <w:rsid w:val="00F23F2E"/>
    <w:rsid w:val="00F2432D"/>
    <w:rsid w:val="00F244D5"/>
    <w:rsid w:val="00F24616"/>
    <w:rsid w:val="00F2525E"/>
    <w:rsid w:val="00F2561B"/>
    <w:rsid w:val="00F264C9"/>
    <w:rsid w:val="00F26575"/>
    <w:rsid w:val="00F269B8"/>
    <w:rsid w:val="00F26C7A"/>
    <w:rsid w:val="00F26CCB"/>
    <w:rsid w:val="00F275A8"/>
    <w:rsid w:val="00F27FF9"/>
    <w:rsid w:val="00F30159"/>
    <w:rsid w:val="00F3037B"/>
    <w:rsid w:val="00F318CC"/>
    <w:rsid w:val="00F320D4"/>
    <w:rsid w:val="00F3248D"/>
    <w:rsid w:val="00F329E6"/>
    <w:rsid w:val="00F32C2B"/>
    <w:rsid w:val="00F32D1C"/>
    <w:rsid w:val="00F32D25"/>
    <w:rsid w:val="00F32DBC"/>
    <w:rsid w:val="00F32DCD"/>
    <w:rsid w:val="00F33294"/>
    <w:rsid w:val="00F33427"/>
    <w:rsid w:val="00F33A10"/>
    <w:rsid w:val="00F33C94"/>
    <w:rsid w:val="00F3406B"/>
    <w:rsid w:val="00F34101"/>
    <w:rsid w:val="00F34198"/>
    <w:rsid w:val="00F348A2"/>
    <w:rsid w:val="00F34C8D"/>
    <w:rsid w:val="00F350E1"/>
    <w:rsid w:val="00F352DF"/>
    <w:rsid w:val="00F35824"/>
    <w:rsid w:val="00F36D70"/>
    <w:rsid w:val="00F37354"/>
    <w:rsid w:val="00F37489"/>
    <w:rsid w:val="00F37584"/>
    <w:rsid w:val="00F40031"/>
    <w:rsid w:val="00F40165"/>
    <w:rsid w:val="00F403CD"/>
    <w:rsid w:val="00F40AAC"/>
    <w:rsid w:val="00F40EE4"/>
    <w:rsid w:val="00F41058"/>
    <w:rsid w:val="00F419E4"/>
    <w:rsid w:val="00F41D77"/>
    <w:rsid w:val="00F41DE9"/>
    <w:rsid w:val="00F4327A"/>
    <w:rsid w:val="00F436E7"/>
    <w:rsid w:val="00F43ADB"/>
    <w:rsid w:val="00F43F95"/>
    <w:rsid w:val="00F44029"/>
    <w:rsid w:val="00F44952"/>
    <w:rsid w:val="00F44F7A"/>
    <w:rsid w:val="00F45034"/>
    <w:rsid w:val="00F450DC"/>
    <w:rsid w:val="00F45DF6"/>
    <w:rsid w:val="00F46035"/>
    <w:rsid w:val="00F463F6"/>
    <w:rsid w:val="00F46698"/>
    <w:rsid w:val="00F467AA"/>
    <w:rsid w:val="00F468F1"/>
    <w:rsid w:val="00F46A28"/>
    <w:rsid w:val="00F46EF3"/>
    <w:rsid w:val="00F471AF"/>
    <w:rsid w:val="00F473A3"/>
    <w:rsid w:val="00F47707"/>
    <w:rsid w:val="00F5045E"/>
    <w:rsid w:val="00F5060D"/>
    <w:rsid w:val="00F509C3"/>
    <w:rsid w:val="00F5134D"/>
    <w:rsid w:val="00F513E8"/>
    <w:rsid w:val="00F518B7"/>
    <w:rsid w:val="00F51A54"/>
    <w:rsid w:val="00F51EDB"/>
    <w:rsid w:val="00F52376"/>
    <w:rsid w:val="00F52FEE"/>
    <w:rsid w:val="00F53B56"/>
    <w:rsid w:val="00F53B79"/>
    <w:rsid w:val="00F53C27"/>
    <w:rsid w:val="00F5400A"/>
    <w:rsid w:val="00F5426F"/>
    <w:rsid w:val="00F54AF5"/>
    <w:rsid w:val="00F55003"/>
    <w:rsid w:val="00F55D4C"/>
    <w:rsid w:val="00F55D51"/>
    <w:rsid w:val="00F5608A"/>
    <w:rsid w:val="00F564B4"/>
    <w:rsid w:val="00F57254"/>
    <w:rsid w:val="00F575DF"/>
    <w:rsid w:val="00F57A20"/>
    <w:rsid w:val="00F57AFF"/>
    <w:rsid w:val="00F57BBD"/>
    <w:rsid w:val="00F57E95"/>
    <w:rsid w:val="00F60603"/>
    <w:rsid w:val="00F60848"/>
    <w:rsid w:val="00F60978"/>
    <w:rsid w:val="00F609CC"/>
    <w:rsid w:val="00F60D9F"/>
    <w:rsid w:val="00F60E72"/>
    <w:rsid w:val="00F61ACA"/>
    <w:rsid w:val="00F6259B"/>
    <w:rsid w:val="00F629BB"/>
    <w:rsid w:val="00F633D8"/>
    <w:rsid w:val="00F634D1"/>
    <w:rsid w:val="00F6392E"/>
    <w:rsid w:val="00F63B64"/>
    <w:rsid w:val="00F64206"/>
    <w:rsid w:val="00F642DE"/>
    <w:rsid w:val="00F643D0"/>
    <w:rsid w:val="00F64BE5"/>
    <w:rsid w:val="00F64F9F"/>
    <w:rsid w:val="00F65197"/>
    <w:rsid w:val="00F65A9D"/>
    <w:rsid w:val="00F66583"/>
    <w:rsid w:val="00F66713"/>
    <w:rsid w:val="00F66CCE"/>
    <w:rsid w:val="00F67600"/>
    <w:rsid w:val="00F67628"/>
    <w:rsid w:val="00F6793B"/>
    <w:rsid w:val="00F7070C"/>
    <w:rsid w:val="00F70EC9"/>
    <w:rsid w:val="00F71048"/>
    <w:rsid w:val="00F71139"/>
    <w:rsid w:val="00F713CE"/>
    <w:rsid w:val="00F7179A"/>
    <w:rsid w:val="00F71A49"/>
    <w:rsid w:val="00F72928"/>
    <w:rsid w:val="00F72CFE"/>
    <w:rsid w:val="00F73504"/>
    <w:rsid w:val="00F73A43"/>
    <w:rsid w:val="00F7471B"/>
    <w:rsid w:val="00F74851"/>
    <w:rsid w:val="00F74E3C"/>
    <w:rsid w:val="00F751FF"/>
    <w:rsid w:val="00F75308"/>
    <w:rsid w:val="00F753C4"/>
    <w:rsid w:val="00F7589C"/>
    <w:rsid w:val="00F758DB"/>
    <w:rsid w:val="00F75E53"/>
    <w:rsid w:val="00F761A8"/>
    <w:rsid w:val="00F76E52"/>
    <w:rsid w:val="00F779C0"/>
    <w:rsid w:val="00F8068A"/>
    <w:rsid w:val="00F80B11"/>
    <w:rsid w:val="00F80BBF"/>
    <w:rsid w:val="00F80FEB"/>
    <w:rsid w:val="00F82355"/>
    <w:rsid w:val="00F823B4"/>
    <w:rsid w:val="00F82588"/>
    <w:rsid w:val="00F82A56"/>
    <w:rsid w:val="00F82D7A"/>
    <w:rsid w:val="00F82F6E"/>
    <w:rsid w:val="00F82FE7"/>
    <w:rsid w:val="00F83011"/>
    <w:rsid w:val="00F83DAE"/>
    <w:rsid w:val="00F840F2"/>
    <w:rsid w:val="00F850D3"/>
    <w:rsid w:val="00F85F91"/>
    <w:rsid w:val="00F86184"/>
    <w:rsid w:val="00F8708D"/>
    <w:rsid w:val="00F87A14"/>
    <w:rsid w:val="00F903E9"/>
    <w:rsid w:val="00F90BBA"/>
    <w:rsid w:val="00F915A9"/>
    <w:rsid w:val="00F91D88"/>
    <w:rsid w:val="00F92074"/>
    <w:rsid w:val="00F9231A"/>
    <w:rsid w:val="00F9237B"/>
    <w:rsid w:val="00F9257C"/>
    <w:rsid w:val="00F92EBE"/>
    <w:rsid w:val="00F9334E"/>
    <w:rsid w:val="00F9343B"/>
    <w:rsid w:val="00F93533"/>
    <w:rsid w:val="00F93BEE"/>
    <w:rsid w:val="00F93CC8"/>
    <w:rsid w:val="00F94146"/>
    <w:rsid w:val="00F942C0"/>
    <w:rsid w:val="00F947DF"/>
    <w:rsid w:val="00F948BB"/>
    <w:rsid w:val="00F94C96"/>
    <w:rsid w:val="00F9564E"/>
    <w:rsid w:val="00F95884"/>
    <w:rsid w:val="00F95C8A"/>
    <w:rsid w:val="00F9605F"/>
    <w:rsid w:val="00F960B0"/>
    <w:rsid w:val="00F9675B"/>
    <w:rsid w:val="00F96888"/>
    <w:rsid w:val="00F96F0D"/>
    <w:rsid w:val="00F97243"/>
    <w:rsid w:val="00F9748E"/>
    <w:rsid w:val="00F97698"/>
    <w:rsid w:val="00F97CD1"/>
    <w:rsid w:val="00FA093E"/>
    <w:rsid w:val="00FA154E"/>
    <w:rsid w:val="00FA1971"/>
    <w:rsid w:val="00FA1B64"/>
    <w:rsid w:val="00FA1E7E"/>
    <w:rsid w:val="00FA2022"/>
    <w:rsid w:val="00FA22C7"/>
    <w:rsid w:val="00FA26EF"/>
    <w:rsid w:val="00FA27BE"/>
    <w:rsid w:val="00FA308D"/>
    <w:rsid w:val="00FA3256"/>
    <w:rsid w:val="00FA366E"/>
    <w:rsid w:val="00FA3D66"/>
    <w:rsid w:val="00FA3F9D"/>
    <w:rsid w:val="00FA4264"/>
    <w:rsid w:val="00FA436B"/>
    <w:rsid w:val="00FA446E"/>
    <w:rsid w:val="00FA46B8"/>
    <w:rsid w:val="00FA51BB"/>
    <w:rsid w:val="00FA54F0"/>
    <w:rsid w:val="00FA5BE6"/>
    <w:rsid w:val="00FA615E"/>
    <w:rsid w:val="00FA6A22"/>
    <w:rsid w:val="00FA6CC0"/>
    <w:rsid w:val="00FA7418"/>
    <w:rsid w:val="00FA7981"/>
    <w:rsid w:val="00FA7D24"/>
    <w:rsid w:val="00FB032D"/>
    <w:rsid w:val="00FB04B5"/>
    <w:rsid w:val="00FB1271"/>
    <w:rsid w:val="00FB13B5"/>
    <w:rsid w:val="00FB19B1"/>
    <w:rsid w:val="00FB1CEA"/>
    <w:rsid w:val="00FB2420"/>
    <w:rsid w:val="00FB2452"/>
    <w:rsid w:val="00FB2745"/>
    <w:rsid w:val="00FB283B"/>
    <w:rsid w:val="00FB28E1"/>
    <w:rsid w:val="00FB2AC2"/>
    <w:rsid w:val="00FB2F93"/>
    <w:rsid w:val="00FB3959"/>
    <w:rsid w:val="00FB3A87"/>
    <w:rsid w:val="00FB516C"/>
    <w:rsid w:val="00FB5403"/>
    <w:rsid w:val="00FB5DAF"/>
    <w:rsid w:val="00FB6727"/>
    <w:rsid w:val="00FB6775"/>
    <w:rsid w:val="00FB67EB"/>
    <w:rsid w:val="00FB6AB3"/>
    <w:rsid w:val="00FB6B8D"/>
    <w:rsid w:val="00FB70D0"/>
    <w:rsid w:val="00FB7A88"/>
    <w:rsid w:val="00FB7EE2"/>
    <w:rsid w:val="00FC0133"/>
    <w:rsid w:val="00FC06B3"/>
    <w:rsid w:val="00FC1013"/>
    <w:rsid w:val="00FC13AB"/>
    <w:rsid w:val="00FC16F6"/>
    <w:rsid w:val="00FC25A3"/>
    <w:rsid w:val="00FC2B2A"/>
    <w:rsid w:val="00FC3040"/>
    <w:rsid w:val="00FC35F1"/>
    <w:rsid w:val="00FC3A22"/>
    <w:rsid w:val="00FC3B43"/>
    <w:rsid w:val="00FC45F8"/>
    <w:rsid w:val="00FC525C"/>
    <w:rsid w:val="00FC6696"/>
    <w:rsid w:val="00FC6E3E"/>
    <w:rsid w:val="00FC6EA9"/>
    <w:rsid w:val="00FC78B4"/>
    <w:rsid w:val="00FC7B53"/>
    <w:rsid w:val="00FD0A3B"/>
    <w:rsid w:val="00FD0EBF"/>
    <w:rsid w:val="00FD16A5"/>
    <w:rsid w:val="00FD186A"/>
    <w:rsid w:val="00FD1EF8"/>
    <w:rsid w:val="00FD2968"/>
    <w:rsid w:val="00FD3147"/>
    <w:rsid w:val="00FD34E9"/>
    <w:rsid w:val="00FD3626"/>
    <w:rsid w:val="00FD3778"/>
    <w:rsid w:val="00FD395A"/>
    <w:rsid w:val="00FD3C93"/>
    <w:rsid w:val="00FD3D09"/>
    <w:rsid w:val="00FD3DFB"/>
    <w:rsid w:val="00FD4C92"/>
    <w:rsid w:val="00FD5277"/>
    <w:rsid w:val="00FD56BB"/>
    <w:rsid w:val="00FD59A0"/>
    <w:rsid w:val="00FD5D0D"/>
    <w:rsid w:val="00FD5F50"/>
    <w:rsid w:val="00FD6E05"/>
    <w:rsid w:val="00FD7324"/>
    <w:rsid w:val="00FD762C"/>
    <w:rsid w:val="00FD7DC2"/>
    <w:rsid w:val="00FD7EB1"/>
    <w:rsid w:val="00FE063C"/>
    <w:rsid w:val="00FE06C1"/>
    <w:rsid w:val="00FE09B4"/>
    <w:rsid w:val="00FE0BAE"/>
    <w:rsid w:val="00FE0CAE"/>
    <w:rsid w:val="00FE0CF6"/>
    <w:rsid w:val="00FE0EDF"/>
    <w:rsid w:val="00FE130E"/>
    <w:rsid w:val="00FE1660"/>
    <w:rsid w:val="00FE1E6A"/>
    <w:rsid w:val="00FE22B8"/>
    <w:rsid w:val="00FE22C6"/>
    <w:rsid w:val="00FE2578"/>
    <w:rsid w:val="00FE2988"/>
    <w:rsid w:val="00FE2C58"/>
    <w:rsid w:val="00FE2D07"/>
    <w:rsid w:val="00FE339A"/>
    <w:rsid w:val="00FE350C"/>
    <w:rsid w:val="00FE388D"/>
    <w:rsid w:val="00FE3FCE"/>
    <w:rsid w:val="00FE42CD"/>
    <w:rsid w:val="00FE4452"/>
    <w:rsid w:val="00FE46BE"/>
    <w:rsid w:val="00FE480D"/>
    <w:rsid w:val="00FE4DC6"/>
    <w:rsid w:val="00FE5BBD"/>
    <w:rsid w:val="00FE7495"/>
    <w:rsid w:val="00FE771D"/>
    <w:rsid w:val="00FF0012"/>
    <w:rsid w:val="00FF0544"/>
    <w:rsid w:val="00FF0662"/>
    <w:rsid w:val="00FF088A"/>
    <w:rsid w:val="00FF08DA"/>
    <w:rsid w:val="00FF0F03"/>
    <w:rsid w:val="00FF0F30"/>
    <w:rsid w:val="00FF1936"/>
    <w:rsid w:val="00FF2E86"/>
    <w:rsid w:val="00FF2EF2"/>
    <w:rsid w:val="00FF2FD3"/>
    <w:rsid w:val="00FF33CB"/>
    <w:rsid w:val="00FF3511"/>
    <w:rsid w:val="00FF3E65"/>
    <w:rsid w:val="00FF4050"/>
    <w:rsid w:val="00FF506F"/>
    <w:rsid w:val="00FF54AD"/>
    <w:rsid w:val="00FF5FBC"/>
    <w:rsid w:val="00FF640C"/>
    <w:rsid w:val="00FF7350"/>
    <w:rsid w:val="00FF75B4"/>
    <w:rsid w:val="01039DF2"/>
    <w:rsid w:val="010917F3"/>
    <w:rsid w:val="010F28D2"/>
    <w:rsid w:val="011AD9F2"/>
    <w:rsid w:val="012B21F4"/>
    <w:rsid w:val="012DC028"/>
    <w:rsid w:val="0130932A"/>
    <w:rsid w:val="013C13E2"/>
    <w:rsid w:val="013CD4E4"/>
    <w:rsid w:val="01494417"/>
    <w:rsid w:val="014A8813"/>
    <w:rsid w:val="014AEBCA"/>
    <w:rsid w:val="015ACB13"/>
    <w:rsid w:val="015D2CF7"/>
    <w:rsid w:val="015DA46D"/>
    <w:rsid w:val="01612FEE"/>
    <w:rsid w:val="016A25FE"/>
    <w:rsid w:val="016D8FAD"/>
    <w:rsid w:val="01740B24"/>
    <w:rsid w:val="01787C1F"/>
    <w:rsid w:val="01812B86"/>
    <w:rsid w:val="01918A27"/>
    <w:rsid w:val="019513B4"/>
    <w:rsid w:val="01A5526C"/>
    <w:rsid w:val="01BD52AF"/>
    <w:rsid w:val="01C4CB18"/>
    <w:rsid w:val="01CA0351"/>
    <w:rsid w:val="01CD7EC7"/>
    <w:rsid w:val="01E261AB"/>
    <w:rsid w:val="01EC01E1"/>
    <w:rsid w:val="01ECC082"/>
    <w:rsid w:val="01EE3F35"/>
    <w:rsid w:val="01EF735F"/>
    <w:rsid w:val="01FE3E07"/>
    <w:rsid w:val="0200041C"/>
    <w:rsid w:val="0201375C"/>
    <w:rsid w:val="023B4AF8"/>
    <w:rsid w:val="024BABA4"/>
    <w:rsid w:val="0252D8FC"/>
    <w:rsid w:val="0262FE15"/>
    <w:rsid w:val="0264C1CF"/>
    <w:rsid w:val="0267C0C4"/>
    <w:rsid w:val="028645F6"/>
    <w:rsid w:val="028DE30D"/>
    <w:rsid w:val="02A12655"/>
    <w:rsid w:val="02A23B27"/>
    <w:rsid w:val="02AEB37A"/>
    <w:rsid w:val="02B1F71B"/>
    <w:rsid w:val="02B265FE"/>
    <w:rsid w:val="02C59AF8"/>
    <w:rsid w:val="02C753B6"/>
    <w:rsid w:val="02D2764D"/>
    <w:rsid w:val="02DB131B"/>
    <w:rsid w:val="02ED5AA5"/>
    <w:rsid w:val="02FBFE08"/>
    <w:rsid w:val="0300F383"/>
    <w:rsid w:val="0305F65F"/>
    <w:rsid w:val="031245E6"/>
    <w:rsid w:val="0315EED5"/>
    <w:rsid w:val="0317AC08"/>
    <w:rsid w:val="031FDF89"/>
    <w:rsid w:val="0329DD9D"/>
    <w:rsid w:val="032B6009"/>
    <w:rsid w:val="0335BA85"/>
    <w:rsid w:val="03371C46"/>
    <w:rsid w:val="0345058B"/>
    <w:rsid w:val="036EBCFC"/>
    <w:rsid w:val="039510A9"/>
    <w:rsid w:val="03ABCBE0"/>
    <w:rsid w:val="03B043D5"/>
    <w:rsid w:val="03CBEA9D"/>
    <w:rsid w:val="03CE2AB2"/>
    <w:rsid w:val="03D4C3CA"/>
    <w:rsid w:val="03F156F6"/>
    <w:rsid w:val="03F95609"/>
    <w:rsid w:val="03FAC246"/>
    <w:rsid w:val="0407D70A"/>
    <w:rsid w:val="0418FBEA"/>
    <w:rsid w:val="04253686"/>
    <w:rsid w:val="04260573"/>
    <w:rsid w:val="0429DAA5"/>
    <w:rsid w:val="042FA607"/>
    <w:rsid w:val="043271B5"/>
    <w:rsid w:val="0434F058"/>
    <w:rsid w:val="04520F68"/>
    <w:rsid w:val="0454CE46"/>
    <w:rsid w:val="0460938F"/>
    <w:rsid w:val="0462B5D3"/>
    <w:rsid w:val="04668C96"/>
    <w:rsid w:val="04694A16"/>
    <w:rsid w:val="046AFEBD"/>
    <w:rsid w:val="047E110F"/>
    <w:rsid w:val="047F5A47"/>
    <w:rsid w:val="0483B221"/>
    <w:rsid w:val="0487A9EA"/>
    <w:rsid w:val="04A3F7D8"/>
    <w:rsid w:val="04A42158"/>
    <w:rsid w:val="04C3D065"/>
    <w:rsid w:val="04CC8CFD"/>
    <w:rsid w:val="04F7BA6E"/>
    <w:rsid w:val="04F8D97A"/>
    <w:rsid w:val="05027DB0"/>
    <w:rsid w:val="05102B46"/>
    <w:rsid w:val="05119448"/>
    <w:rsid w:val="05154645"/>
    <w:rsid w:val="052910BC"/>
    <w:rsid w:val="05312D7F"/>
    <w:rsid w:val="053C4643"/>
    <w:rsid w:val="05526166"/>
    <w:rsid w:val="05535E22"/>
    <w:rsid w:val="0562C857"/>
    <w:rsid w:val="056E8068"/>
    <w:rsid w:val="0579D94F"/>
    <w:rsid w:val="057EC3E8"/>
    <w:rsid w:val="057FF3D7"/>
    <w:rsid w:val="0585182A"/>
    <w:rsid w:val="058896B1"/>
    <w:rsid w:val="05A83F8F"/>
    <w:rsid w:val="05B3A3E5"/>
    <w:rsid w:val="05B89B23"/>
    <w:rsid w:val="05C4D3A4"/>
    <w:rsid w:val="05CBE88B"/>
    <w:rsid w:val="05CD550D"/>
    <w:rsid w:val="05CE5424"/>
    <w:rsid w:val="05D03B19"/>
    <w:rsid w:val="05D0A8A3"/>
    <w:rsid w:val="05D0C0B9"/>
    <w:rsid w:val="05D35BA7"/>
    <w:rsid w:val="05D53BBA"/>
    <w:rsid w:val="05D928C3"/>
    <w:rsid w:val="05DB345A"/>
    <w:rsid w:val="05E0AA63"/>
    <w:rsid w:val="05E0B9A1"/>
    <w:rsid w:val="05E9CA83"/>
    <w:rsid w:val="05EEA3A4"/>
    <w:rsid w:val="05F661B2"/>
    <w:rsid w:val="05F91717"/>
    <w:rsid w:val="05F9DCA5"/>
    <w:rsid w:val="0604507B"/>
    <w:rsid w:val="06047005"/>
    <w:rsid w:val="06061B00"/>
    <w:rsid w:val="06083244"/>
    <w:rsid w:val="06178E08"/>
    <w:rsid w:val="062373D0"/>
    <w:rsid w:val="0623930A"/>
    <w:rsid w:val="0637EAB6"/>
    <w:rsid w:val="064AA43E"/>
    <w:rsid w:val="06542B22"/>
    <w:rsid w:val="065B65D7"/>
    <w:rsid w:val="06777CA1"/>
    <w:rsid w:val="06840501"/>
    <w:rsid w:val="069B4846"/>
    <w:rsid w:val="069D0A3D"/>
    <w:rsid w:val="06A527FE"/>
    <w:rsid w:val="06AB83C9"/>
    <w:rsid w:val="06AE175B"/>
    <w:rsid w:val="06C39C84"/>
    <w:rsid w:val="06C4A914"/>
    <w:rsid w:val="06CA6AE0"/>
    <w:rsid w:val="06CB813E"/>
    <w:rsid w:val="06DC46E0"/>
    <w:rsid w:val="06FD6A88"/>
    <w:rsid w:val="06FFD49E"/>
    <w:rsid w:val="0700ED63"/>
    <w:rsid w:val="070CF9F9"/>
    <w:rsid w:val="070DE414"/>
    <w:rsid w:val="0714D238"/>
    <w:rsid w:val="0716F95A"/>
    <w:rsid w:val="07181F63"/>
    <w:rsid w:val="071C0425"/>
    <w:rsid w:val="071D0A4D"/>
    <w:rsid w:val="07386193"/>
    <w:rsid w:val="074A770E"/>
    <w:rsid w:val="075B6B73"/>
    <w:rsid w:val="07624D83"/>
    <w:rsid w:val="0764A394"/>
    <w:rsid w:val="0768FC40"/>
    <w:rsid w:val="07695B3E"/>
    <w:rsid w:val="076A1277"/>
    <w:rsid w:val="076AB505"/>
    <w:rsid w:val="0777CB30"/>
    <w:rsid w:val="07822A07"/>
    <w:rsid w:val="0788714C"/>
    <w:rsid w:val="0790C857"/>
    <w:rsid w:val="07A5E18D"/>
    <w:rsid w:val="07AFE309"/>
    <w:rsid w:val="07AFF217"/>
    <w:rsid w:val="07BA86E4"/>
    <w:rsid w:val="07BB4A50"/>
    <w:rsid w:val="07BE8CC6"/>
    <w:rsid w:val="07C514ED"/>
    <w:rsid w:val="07C9DF38"/>
    <w:rsid w:val="07CB917D"/>
    <w:rsid w:val="07E5D1DA"/>
    <w:rsid w:val="07E96F65"/>
    <w:rsid w:val="07EA52C1"/>
    <w:rsid w:val="07EBFD67"/>
    <w:rsid w:val="07FEA8EC"/>
    <w:rsid w:val="08062549"/>
    <w:rsid w:val="080B6667"/>
    <w:rsid w:val="0818F734"/>
    <w:rsid w:val="08299418"/>
    <w:rsid w:val="082DA9BD"/>
    <w:rsid w:val="082FDB1E"/>
    <w:rsid w:val="0840CD82"/>
    <w:rsid w:val="0842C9BB"/>
    <w:rsid w:val="0844959C"/>
    <w:rsid w:val="084E7E0A"/>
    <w:rsid w:val="0850A9E9"/>
    <w:rsid w:val="0854A7E1"/>
    <w:rsid w:val="086079EC"/>
    <w:rsid w:val="086F45A0"/>
    <w:rsid w:val="0874A019"/>
    <w:rsid w:val="088FC56E"/>
    <w:rsid w:val="089411B8"/>
    <w:rsid w:val="0894E8AB"/>
    <w:rsid w:val="08AC6E3E"/>
    <w:rsid w:val="08B1B607"/>
    <w:rsid w:val="08C77AAD"/>
    <w:rsid w:val="08E5E457"/>
    <w:rsid w:val="08F5877A"/>
    <w:rsid w:val="08F718E5"/>
    <w:rsid w:val="08F982F7"/>
    <w:rsid w:val="090F2D07"/>
    <w:rsid w:val="0920C7F5"/>
    <w:rsid w:val="09276A88"/>
    <w:rsid w:val="092E48B6"/>
    <w:rsid w:val="09300602"/>
    <w:rsid w:val="09349C00"/>
    <w:rsid w:val="09459565"/>
    <w:rsid w:val="0949CF43"/>
    <w:rsid w:val="0956D27B"/>
    <w:rsid w:val="095DFBEE"/>
    <w:rsid w:val="0966A1CC"/>
    <w:rsid w:val="097C8E91"/>
    <w:rsid w:val="09846E7F"/>
    <w:rsid w:val="098B55DC"/>
    <w:rsid w:val="09936868"/>
    <w:rsid w:val="099C6078"/>
    <w:rsid w:val="09AB3C8E"/>
    <w:rsid w:val="09ABB007"/>
    <w:rsid w:val="09B777DE"/>
    <w:rsid w:val="09C82D4B"/>
    <w:rsid w:val="09CA11C7"/>
    <w:rsid w:val="09CCF9B2"/>
    <w:rsid w:val="09D669F1"/>
    <w:rsid w:val="09E3EDC2"/>
    <w:rsid w:val="09E5B81D"/>
    <w:rsid w:val="09E6E8E4"/>
    <w:rsid w:val="09FABBC7"/>
    <w:rsid w:val="0A2BBD44"/>
    <w:rsid w:val="0A3B82B2"/>
    <w:rsid w:val="0A4AB128"/>
    <w:rsid w:val="0A4AB641"/>
    <w:rsid w:val="0AA09D02"/>
    <w:rsid w:val="0AA1C547"/>
    <w:rsid w:val="0AA5F1D3"/>
    <w:rsid w:val="0AAA132F"/>
    <w:rsid w:val="0ABB4D63"/>
    <w:rsid w:val="0ABC3A1A"/>
    <w:rsid w:val="0ABFAB8B"/>
    <w:rsid w:val="0ABFE699"/>
    <w:rsid w:val="0ABFEB5A"/>
    <w:rsid w:val="0AC2534B"/>
    <w:rsid w:val="0ACA1917"/>
    <w:rsid w:val="0ACFE92F"/>
    <w:rsid w:val="0AD54813"/>
    <w:rsid w:val="0AE5EB6D"/>
    <w:rsid w:val="0AED5293"/>
    <w:rsid w:val="0B0799C1"/>
    <w:rsid w:val="0B1580F0"/>
    <w:rsid w:val="0B1C151B"/>
    <w:rsid w:val="0B210DBB"/>
    <w:rsid w:val="0B21F764"/>
    <w:rsid w:val="0B249FAD"/>
    <w:rsid w:val="0B2DFC6E"/>
    <w:rsid w:val="0B2ED6FA"/>
    <w:rsid w:val="0B2F8F21"/>
    <w:rsid w:val="0B3C8316"/>
    <w:rsid w:val="0B3E716B"/>
    <w:rsid w:val="0B431D54"/>
    <w:rsid w:val="0B54C71D"/>
    <w:rsid w:val="0B5ABC1B"/>
    <w:rsid w:val="0B6723AF"/>
    <w:rsid w:val="0B744C0A"/>
    <w:rsid w:val="0B78C617"/>
    <w:rsid w:val="0B928DCA"/>
    <w:rsid w:val="0BB008C0"/>
    <w:rsid w:val="0BBCEB7B"/>
    <w:rsid w:val="0BD05CA6"/>
    <w:rsid w:val="0BD45E86"/>
    <w:rsid w:val="0BD75313"/>
    <w:rsid w:val="0BEC62C1"/>
    <w:rsid w:val="0C016231"/>
    <w:rsid w:val="0C077118"/>
    <w:rsid w:val="0C11828E"/>
    <w:rsid w:val="0C1F4883"/>
    <w:rsid w:val="0C20677E"/>
    <w:rsid w:val="0C292F70"/>
    <w:rsid w:val="0C3107A5"/>
    <w:rsid w:val="0C34F12F"/>
    <w:rsid w:val="0C3FB8D6"/>
    <w:rsid w:val="0C40023D"/>
    <w:rsid w:val="0C4907AE"/>
    <w:rsid w:val="0C49F21D"/>
    <w:rsid w:val="0C5B2AFC"/>
    <w:rsid w:val="0C5F0B4A"/>
    <w:rsid w:val="0C6D3071"/>
    <w:rsid w:val="0C7474E9"/>
    <w:rsid w:val="0C7B6C2E"/>
    <w:rsid w:val="0C80F13B"/>
    <w:rsid w:val="0C8D9868"/>
    <w:rsid w:val="0C9CB9D8"/>
    <w:rsid w:val="0CA4F779"/>
    <w:rsid w:val="0CA54B51"/>
    <w:rsid w:val="0CBD0298"/>
    <w:rsid w:val="0CC49DDE"/>
    <w:rsid w:val="0CC85491"/>
    <w:rsid w:val="0CDCD870"/>
    <w:rsid w:val="0CDF7BBF"/>
    <w:rsid w:val="0CFE960D"/>
    <w:rsid w:val="0D0C3B06"/>
    <w:rsid w:val="0D1B160F"/>
    <w:rsid w:val="0D1DF1BA"/>
    <w:rsid w:val="0D22A053"/>
    <w:rsid w:val="0D2523DA"/>
    <w:rsid w:val="0D4B5A1D"/>
    <w:rsid w:val="0D54B1DF"/>
    <w:rsid w:val="0D58A2C5"/>
    <w:rsid w:val="0D5E6212"/>
    <w:rsid w:val="0D7ABEF5"/>
    <w:rsid w:val="0D8C5788"/>
    <w:rsid w:val="0D951C89"/>
    <w:rsid w:val="0D96DDF7"/>
    <w:rsid w:val="0D9D3115"/>
    <w:rsid w:val="0D9EA35F"/>
    <w:rsid w:val="0DBBACE2"/>
    <w:rsid w:val="0DC18CED"/>
    <w:rsid w:val="0DC8126A"/>
    <w:rsid w:val="0DC8F89D"/>
    <w:rsid w:val="0DCD35F9"/>
    <w:rsid w:val="0DE2DB93"/>
    <w:rsid w:val="0DE598E4"/>
    <w:rsid w:val="0DEDCBF0"/>
    <w:rsid w:val="0DF2EE25"/>
    <w:rsid w:val="0DFCDAD4"/>
    <w:rsid w:val="0E0A805D"/>
    <w:rsid w:val="0E0DBCBB"/>
    <w:rsid w:val="0E109674"/>
    <w:rsid w:val="0E18F979"/>
    <w:rsid w:val="0E2136FD"/>
    <w:rsid w:val="0E23A471"/>
    <w:rsid w:val="0E2D3602"/>
    <w:rsid w:val="0E46308C"/>
    <w:rsid w:val="0E4CE83C"/>
    <w:rsid w:val="0E4D21EA"/>
    <w:rsid w:val="0E5941BA"/>
    <w:rsid w:val="0E63F42B"/>
    <w:rsid w:val="0E78B558"/>
    <w:rsid w:val="0E80153E"/>
    <w:rsid w:val="0E80E308"/>
    <w:rsid w:val="0E87DC67"/>
    <w:rsid w:val="0E964778"/>
    <w:rsid w:val="0E96FBDF"/>
    <w:rsid w:val="0E9B1584"/>
    <w:rsid w:val="0EA7FF7C"/>
    <w:rsid w:val="0EC15660"/>
    <w:rsid w:val="0ECC11D7"/>
    <w:rsid w:val="0ECC6424"/>
    <w:rsid w:val="0ECD4C4D"/>
    <w:rsid w:val="0ED32E5C"/>
    <w:rsid w:val="0EE4BF79"/>
    <w:rsid w:val="0EE5B0D0"/>
    <w:rsid w:val="0EE7C738"/>
    <w:rsid w:val="0EFDCDDD"/>
    <w:rsid w:val="0F0027BA"/>
    <w:rsid w:val="0F01E1FA"/>
    <w:rsid w:val="0F05C169"/>
    <w:rsid w:val="0F0C103A"/>
    <w:rsid w:val="0F10D068"/>
    <w:rsid w:val="0F162CC7"/>
    <w:rsid w:val="0F1672B0"/>
    <w:rsid w:val="0F1C0C54"/>
    <w:rsid w:val="0F27A886"/>
    <w:rsid w:val="0F2D58E2"/>
    <w:rsid w:val="0F3FAB14"/>
    <w:rsid w:val="0F432858"/>
    <w:rsid w:val="0F53F9AE"/>
    <w:rsid w:val="0F5D437E"/>
    <w:rsid w:val="0F5E5B5F"/>
    <w:rsid w:val="0F666975"/>
    <w:rsid w:val="0F684987"/>
    <w:rsid w:val="0F6999EE"/>
    <w:rsid w:val="0F7156EB"/>
    <w:rsid w:val="0F77126C"/>
    <w:rsid w:val="0F81DFA5"/>
    <w:rsid w:val="0F84BE61"/>
    <w:rsid w:val="0FA5BFCC"/>
    <w:rsid w:val="0FA7E6E3"/>
    <w:rsid w:val="0FB8C7AB"/>
    <w:rsid w:val="0FBFD8BB"/>
    <w:rsid w:val="0FC984FC"/>
    <w:rsid w:val="0FCBC772"/>
    <w:rsid w:val="0FCF28EE"/>
    <w:rsid w:val="0FD2EAEF"/>
    <w:rsid w:val="0FE76411"/>
    <w:rsid w:val="0FEC110D"/>
    <w:rsid w:val="100F7443"/>
    <w:rsid w:val="1028EBE1"/>
    <w:rsid w:val="103DAF3A"/>
    <w:rsid w:val="10430D97"/>
    <w:rsid w:val="104CB04E"/>
    <w:rsid w:val="10538AEC"/>
    <w:rsid w:val="106260E1"/>
    <w:rsid w:val="10662325"/>
    <w:rsid w:val="1076F51B"/>
    <w:rsid w:val="10790157"/>
    <w:rsid w:val="10793946"/>
    <w:rsid w:val="1080A6AA"/>
    <w:rsid w:val="108821FF"/>
    <w:rsid w:val="108A9E69"/>
    <w:rsid w:val="10935D6E"/>
    <w:rsid w:val="1095140D"/>
    <w:rsid w:val="109E59A8"/>
    <w:rsid w:val="10A4F727"/>
    <w:rsid w:val="10BCB1E2"/>
    <w:rsid w:val="10C0582F"/>
    <w:rsid w:val="10C5DBC2"/>
    <w:rsid w:val="10FB9289"/>
    <w:rsid w:val="11072063"/>
    <w:rsid w:val="110C84A2"/>
    <w:rsid w:val="111B369F"/>
    <w:rsid w:val="111BB5DD"/>
    <w:rsid w:val="112D456D"/>
    <w:rsid w:val="11318199"/>
    <w:rsid w:val="11387B52"/>
    <w:rsid w:val="113D9020"/>
    <w:rsid w:val="113E6941"/>
    <w:rsid w:val="113EC67D"/>
    <w:rsid w:val="114331B7"/>
    <w:rsid w:val="11466DC9"/>
    <w:rsid w:val="11497981"/>
    <w:rsid w:val="114A7B89"/>
    <w:rsid w:val="1150B4BF"/>
    <w:rsid w:val="1162DB31"/>
    <w:rsid w:val="11761622"/>
    <w:rsid w:val="118DD70C"/>
    <w:rsid w:val="118FD468"/>
    <w:rsid w:val="11A9AD99"/>
    <w:rsid w:val="11AB44A4"/>
    <w:rsid w:val="11B8E82B"/>
    <w:rsid w:val="11C46D01"/>
    <w:rsid w:val="11D049DD"/>
    <w:rsid w:val="11D1229B"/>
    <w:rsid w:val="11E4B92F"/>
    <w:rsid w:val="11E4E18F"/>
    <w:rsid w:val="11F23011"/>
    <w:rsid w:val="11F3EA15"/>
    <w:rsid w:val="11F7B7D7"/>
    <w:rsid w:val="11F83FB9"/>
    <w:rsid w:val="1202CBC0"/>
    <w:rsid w:val="120A12F7"/>
    <w:rsid w:val="120DE21E"/>
    <w:rsid w:val="1218C247"/>
    <w:rsid w:val="121E51DA"/>
    <w:rsid w:val="12270EAF"/>
    <w:rsid w:val="122896BC"/>
    <w:rsid w:val="122C565F"/>
    <w:rsid w:val="122D1DBE"/>
    <w:rsid w:val="12437CDE"/>
    <w:rsid w:val="1252905F"/>
    <w:rsid w:val="126BCB35"/>
    <w:rsid w:val="12712098"/>
    <w:rsid w:val="127A721C"/>
    <w:rsid w:val="1290D4BA"/>
    <w:rsid w:val="1291A1C2"/>
    <w:rsid w:val="129A9665"/>
    <w:rsid w:val="12A7EF13"/>
    <w:rsid w:val="12B009B4"/>
    <w:rsid w:val="12B216EB"/>
    <w:rsid w:val="12C11DAC"/>
    <w:rsid w:val="12CAF6BC"/>
    <w:rsid w:val="12D0C18E"/>
    <w:rsid w:val="12D37FD7"/>
    <w:rsid w:val="12E93315"/>
    <w:rsid w:val="12ED97FB"/>
    <w:rsid w:val="12EEA8CB"/>
    <w:rsid w:val="12F57A61"/>
    <w:rsid w:val="12FAC9F5"/>
    <w:rsid w:val="12FC13D7"/>
    <w:rsid w:val="13058207"/>
    <w:rsid w:val="1306B43D"/>
    <w:rsid w:val="13070EB5"/>
    <w:rsid w:val="130E1E6D"/>
    <w:rsid w:val="132332D3"/>
    <w:rsid w:val="132A1A61"/>
    <w:rsid w:val="132E5CB2"/>
    <w:rsid w:val="133C8525"/>
    <w:rsid w:val="133D8F7F"/>
    <w:rsid w:val="133E7228"/>
    <w:rsid w:val="13471505"/>
    <w:rsid w:val="135D9A4B"/>
    <w:rsid w:val="137532E9"/>
    <w:rsid w:val="1398C0D9"/>
    <w:rsid w:val="13AD5404"/>
    <w:rsid w:val="13B05BC9"/>
    <w:rsid w:val="13B5C07D"/>
    <w:rsid w:val="13B7C62E"/>
    <w:rsid w:val="13B8D378"/>
    <w:rsid w:val="13BC4BBE"/>
    <w:rsid w:val="13C132AF"/>
    <w:rsid w:val="13C49124"/>
    <w:rsid w:val="13DCD4AE"/>
    <w:rsid w:val="13E4D65B"/>
    <w:rsid w:val="13EE97FA"/>
    <w:rsid w:val="13F76DB3"/>
    <w:rsid w:val="13FB8D55"/>
    <w:rsid w:val="14061ED4"/>
    <w:rsid w:val="140E373E"/>
    <w:rsid w:val="1427430B"/>
    <w:rsid w:val="142D53FE"/>
    <w:rsid w:val="142DF3BB"/>
    <w:rsid w:val="14308484"/>
    <w:rsid w:val="14368F1D"/>
    <w:rsid w:val="14453987"/>
    <w:rsid w:val="1446C530"/>
    <w:rsid w:val="144EE751"/>
    <w:rsid w:val="1457007F"/>
    <w:rsid w:val="1459B836"/>
    <w:rsid w:val="145ED21F"/>
    <w:rsid w:val="14691DBF"/>
    <w:rsid w:val="146FDE7B"/>
    <w:rsid w:val="148A634E"/>
    <w:rsid w:val="1497778F"/>
    <w:rsid w:val="14A6D43E"/>
    <w:rsid w:val="14A83D16"/>
    <w:rsid w:val="14B2FEA2"/>
    <w:rsid w:val="14BC1FBB"/>
    <w:rsid w:val="14C4B69D"/>
    <w:rsid w:val="14CB2066"/>
    <w:rsid w:val="14D5EE8E"/>
    <w:rsid w:val="14DDA6C6"/>
    <w:rsid w:val="14E20554"/>
    <w:rsid w:val="14E646E7"/>
    <w:rsid w:val="14F2647F"/>
    <w:rsid w:val="1518DC8F"/>
    <w:rsid w:val="153027E3"/>
    <w:rsid w:val="15371271"/>
    <w:rsid w:val="153DC45F"/>
    <w:rsid w:val="154A1629"/>
    <w:rsid w:val="15582A69"/>
    <w:rsid w:val="155E59F9"/>
    <w:rsid w:val="157018A7"/>
    <w:rsid w:val="1571237E"/>
    <w:rsid w:val="1587E9DB"/>
    <w:rsid w:val="158BB47B"/>
    <w:rsid w:val="15B851B1"/>
    <w:rsid w:val="15BED141"/>
    <w:rsid w:val="15D32B09"/>
    <w:rsid w:val="15D8801A"/>
    <w:rsid w:val="15DDF070"/>
    <w:rsid w:val="15DF3964"/>
    <w:rsid w:val="15E52092"/>
    <w:rsid w:val="160C3908"/>
    <w:rsid w:val="1618818A"/>
    <w:rsid w:val="161B25D0"/>
    <w:rsid w:val="161CD0B5"/>
    <w:rsid w:val="162211F6"/>
    <w:rsid w:val="162264C6"/>
    <w:rsid w:val="162958BC"/>
    <w:rsid w:val="163863A7"/>
    <w:rsid w:val="16439613"/>
    <w:rsid w:val="1655F2F1"/>
    <w:rsid w:val="1660DDA1"/>
    <w:rsid w:val="166AE0F2"/>
    <w:rsid w:val="16797727"/>
    <w:rsid w:val="167F3F90"/>
    <w:rsid w:val="168C4D41"/>
    <w:rsid w:val="169E0447"/>
    <w:rsid w:val="16B2BD09"/>
    <w:rsid w:val="16B5C255"/>
    <w:rsid w:val="16C17F19"/>
    <w:rsid w:val="16C517E4"/>
    <w:rsid w:val="16CF0825"/>
    <w:rsid w:val="16D59251"/>
    <w:rsid w:val="16E2E27D"/>
    <w:rsid w:val="16E9928E"/>
    <w:rsid w:val="16EA96EB"/>
    <w:rsid w:val="16FC53BC"/>
    <w:rsid w:val="17144E90"/>
    <w:rsid w:val="1744FB9E"/>
    <w:rsid w:val="1746F8C1"/>
    <w:rsid w:val="1747CEA9"/>
    <w:rsid w:val="174B245F"/>
    <w:rsid w:val="174BB8FA"/>
    <w:rsid w:val="175396EB"/>
    <w:rsid w:val="1754B053"/>
    <w:rsid w:val="1755B964"/>
    <w:rsid w:val="176A1569"/>
    <w:rsid w:val="176E90AD"/>
    <w:rsid w:val="1775ADAD"/>
    <w:rsid w:val="1775F50E"/>
    <w:rsid w:val="1776E9FF"/>
    <w:rsid w:val="17797CC3"/>
    <w:rsid w:val="177A4D58"/>
    <w:rsid w:val="177AE0CC"/>
    <w:rsid w:val="178B2F94"/>
    <w:rsid w:val="178E3B35"/>
    <w:rsid w:val="179037BD"/>
    <w:rsid w:val="179E5AE9"/>
    <w:rsid w:val="17A18217"/>
    <w:rsid w:val="17A33781"/>
    <w:rsid w:val="17A9C061"/>
    <w:rsid w:val="17B3A2E2"/>
    <w:rsid w:val="17BC3F9E"/>
    <w:rsid w:val="17CF1819"/>
    <w:rsid w:val="17EBE1B9"/>
    <w:rsid w:val="17EDCE5A"/>
    <w:rsid w:val="17EF86E8"/>
    <w:rsid w:val="17F21FF1"/>
    <w:rsid w:val="17F362FE"/>
    <w:rsid w:val="17F83B4E"/>
    <w:rsid w:val="1807B7BA"/>
    <w:rsid w:val="181002AD"/>
    <w:rsid w:val="1825198D"/>
    <w:rsid w:val="182709FF"/>
    <w:rsid w:val="18378374"/>
    <w:rsid w:val="183E3680"/>
    <w:rsid w:val="184E33E2"/>
    <w:rsid w:val="18518CA7"/>
    <w:rsid w:val="18570366"/>
    <w:rsid w:val="1858AAE0"/>
    <w:rsid w:val="185D515F"/>
    <w:rsid w:val="18677D3F"/>
    <w:rsid w:val="186891E7"/>
    <w:rsid w:val="1880F1BD"/>
    <w:rsid w:val="188562EF"/>
    <w:rsid w:val="188657A9"/>
    <w:rsid w:val="1889C947"/>
    <w:rsid w:val="189E8A51"/>
    <w:rsid w:val="18A2FEA4"/>
    <w:rsid w:val="18A7B969"/>
    <w:rsid w:val="18B3D9C9"/>
    <w:rsid w:val="18B96F5D"/>
    <w:rsid w:val="18CD8F91"/>
    <w:rsid w:val="18DD913F"/>
    <w:rsid w:val="18DF441C"/>
    <w:rsid w:val="18E2E9A0"/>
    <w:rsid w:val="18E52119"/>
    <w:rsid w:val="18EB7913"/>
    <w:rsid w:val="18EE9944"/>
    <w:rsid w:val="18FDCF7F"/>
    <w:rsid w:val="19109EC5"/>
    <w:rsid w:val="19154D24"/>
    <w:rsid w:val="1934B2BF"/>
    <w:rsid w:val="19387DC2"/>
    <w:rsid w:val="195E402D"/>
    <w:rsid w:val="19600400"/>
    <w:rsid w:val="196B9001"/>
    <w:rsid w:val="196DC0D4"/>
    <w:rsid w:val="1973CFE0"/>
    <w:rsid w:val="198A5FBE"/>
    <w:rsid w:val="198DB90B"/>
    <w:rsid w:val="1997EF8C"/>
    <w:rsid w:val="1999FA23"/>
    <w:rsid w:val="19A1551C"/>
    <w:rsid w:val="19AB8279"/>
    <w:rsid w:val="19ACBEFB"/>
    <w:rsid w:val="19B705C5"/>
    <w:rsid w:val="19B852F4"/>
    <w:rsid w:val="19C58695"/>
    <w:rsid w:val="19CAE78F"/>
    <w:rsid w:val="19D2723B"/>
    <w:rsid w:val="19E2724F"/>
    <w:rsid w:val="19F1315E"/>
    <w:rsid w:val="19F47B41"/>
    <w:rsid w:val="19F6A138"/>
    <w:rsid w:val="19FD5149"/>
    <w:rsid w:val="19FEA065"/>
    <w:rsid w:val="1A064914"/>
    <w:rsid w:val="1A167DB3"/>
    <w:rsid w:val="1A21C1F6"/>
    <w:rsid w:val="1A21D9C2"/>
    <w:rsid w:val="1A2F2E40"/>
    <w:rsid w:val="1A314F4C"/>
    <w:rsid w:val="1A339BDA"/>
    <w:rsid w:val="1A3653C5"/>
    <w:rsid w:val="1A3B7927"/>
    <w:rsid w:val="1A40F911"/>
    <w:rsid w:val="1A4A6671"/>
    <w:rsid w:val="1A4A8C44"/>
    <w:rsid w:val="1A4CD68B"/>
    <w:rsid w:val="1A5B7F9D"/>
    <w:rsid w:val="1A5E3EFD"/>
    <w:rsid w:val="1A68BE70"/>
    <w:rsid w:val="1A75A939"/>
    <w:rsid w:val="1A7DFC5E"/>
    <w:rsid w:val="1A8B37AD"/>
    <w:rsid w:val="1A8CB0C9"/>
    <w:rsid w:val="1A94952D"/>
    <w:rsid w:val="1A950B63"/>
    <w:rsid w:val="1A9AAD17"/>
    <w:rsid w:val="1A9BE69F"/>
    <w:rsid w:val="1AA087E9"/>
    <w:rsid w:val="1AA27FDF"/>
    <w:rsid w:val="1ABEAE52"/>
    <w:rsid w:val="1ABFFA7C"/>
    <w:rsid w:val="1ACFFE59"/>
    <w:rsid w:val="1ADBBE7E"/>
    <w:rsid w:val="1ADBCCE8"/>
    <w:rsid w:val="1ADF11F8"/>
    <w:rsid w:val="1AE9127D"/>
    <w:rsid w:val="1AEF29F0"/>
    <w:rsid w:val="1AEF3FB3"/>
    <w:rsid w:val="1AEFAD94"/>
    <w:rsid w:val="1B0B9CE4"/>
    <w:rsid w:val="1B174507"/>
    <w:rsid w:val="1B20463A"/>
    <w:rsid w:val="1B2F7D1C"/>
    <w:rsid w:val="1B4E4910"/>
    <w:rsid w:val="1B56C390"/>
    <w:rsid w:val="1B5E7FE8"/>
    <w:rsid w:val="1B5EEBAA"/>
    <w:rsid w:val="1B5FB3F8"/>
    <w:rsid w:val="1B639608"/>
    <w:rsid w:val="1B6E1416"/>
    <w:rsid w:val="1B904BA2"/>
    <w:rsid w:val="1BAD5CF3"/>
    <w:rsid w:val="1BC8CE04"/>
    <w:rsid w:val="1BD18366"/>
    <w:rsid w:val="1BD3A5BF"/>
    <w:rsid w:val="1BD9B459"/>
    <w:rsid w:val="1BDF5A2B"/>
    <w:rsid w:val="1BE4938F"/>
    <w:rsid w:val="1C0E90DF"/>
    <w:rsid w:val="1C1475CA"/>
    <w:rsid w:val="1C1D71C1"/>
    <w:rsid w:val="1C20EEB0"/>
    <w:rsid w:val="1C25E35E"/>
    <w:rsid w:val="1C2B2430"/>
    <w:rsid w:val="1C33C589"/>
    <w:rsid w:val="1C5BCADD"/>
    <w:rsid w:val="1C5D6B47"/>
    <w:rsid w:val="1C60C3FB"/>
    <w:rsid w:val="1C62C8E9"/>
    <w:rsid w:val="1C630F68"/>
    <w:rsid w:val="1C72E378"/>
    <w:rsid w:val="1C74F33A"/>
    <w:rsid w:val="1C7BFE1C"/>
    <w:rsid w:val="1C828243"/>
    <w:rsid w:val="1C83B486"/>
    <w:rsid w:val="1C8B0321"/>
    <w:rsid w:val="1C8CF3D4"/>
    <w:rsid w:val="1C90D92E"/>
    <w:rsid w:val="1CA683C3"/>
    <w:rsid w:val="1CAF94C7"/>
    <w:rsid w:val="1CB33CC2"/>
    <w:rsid w:val="1CBAA76E"/>
    <w:rsid w:val="1CD1C9CC"/>
    <w:rsid w:val="1CD2DB44"/>
    <w:rsid w:val="1CDB28DD"/>
    <w:rsid w:val="1CE34A4D"/>
    <w:rsid w:val="1CE3EEB8"/>
    <w:rsid w:val="1CE409A4"/>
    <w:rsid w:val="1CE87461"/>
    <w:rsid w:val="1CF03B12"/>
    <w:rsid w:val="1CFF2FA5"/>
    <w:rsid w:val="1D04BAA5"/>
    <w:rsid w:val="1D19EDD0"/>
    <w:rsid w:val="1D264EF4"/>
    <w:rsid w:val="1D2EECFC"/>
    <w:rsid w:val="1D34CA71"/>
    <w:rsid w:val="1D378035"/>
    <w:rsid w:val="1D397B6A"/>
    <w:rsid w:val="1D3D6D0D"/>
    <w:rsid w:val="1D4868EB"/>
    <w:rsid w:val="1D4B7E2C"/>
    <w:rsid w:val="1D51BEE3"/>
    <w:rsid w:val="1D58A425"/>
    <w:rsid w:val="1D610481"/>
    <w:rsid w:val="1D61D6D4"/>
    <w:rsid w:val="1D8F2347"/>
    <w:rsid w:val="1D98B286"/>
    <w:rsid w:val="1DA62ABE"/>
    <w:rsid w:val="1DAA00A0"/>
    <w:rsid w:val="1DAABA67"/>
    <w:rsid w:val="1DABD2D1"/>
    <w:rsid w:val="1DAEC28B"/>
    <w:rsid w:val="1DC467E9"/>
    <w:rsid w:val="1DC9B36C"/>
    <w:rsid w:val="1DCAC4FA"/>
    <w:rsid w:val="1DD7C9E2"/>
    <w:rsid w:val="1DD95D79"/>
    <w:rsid w:val="1DF3B7C2"/>
    <w:rsid w:val="1DF7B1E5"/>
    <w:rsid w:val="1DF7D98A"/>
    <w:rsid w:val="1E0EA048"/>
    <w:rsid w:val="1E1348B9"/>
    <w:rsid w:val="1E1D49B9"/>
    <w:rsid w:val="1E2851CB"/>
    <w:rsid w:val="1E498FB4"/>
    <w:rsid w:val="1E4BF0D6"/>
    <w:rsid w:val="1E4FB2A0"/>
    <w:rsid w:val="1E50D114"/>
    <w:rsid w:val="1E74D21C"/>
    <w:rsid w:val="1E76F93E"/>
    <w:rsid w:val="1E7F5AE1"/>
    <w:rsid w:val="1E7FF31F"/>
    <w:rsid w:val="1E846734"/>
    <w:rsid w:val="1E942E75"/>
    <w:rsid w:val="1E96373A"/>
    <w:rsid w:val="1E9E4AD3"/>
    <w:rsid w:val="1EB0F8F0"/>
    <w:rsid w:val="1EB9B6FD"/>
    <w:rsid w:val="1EC3FABD"/>
    <w:rsid w:val="1ECA125B"/>
    <w:rsid w:val="1ECB248C"/>
    <w:rsid w:val="1EDB937C"/>
    <w:rsid w:val="1EEE91FE"/>
    <w:rsid w:val="1EF0F3D0"/>
    <w:rsid w:val="1EF63799"/>
    <w:rsid w:val="1EFD796F"/>
    <w:rsid w:val="1EFE5808"/>
    <w:rsid w:val="1F0460F2"/>
    <w:rsid w:val="1F0FC564"/>
    <w:rsid w:val="1F11DE8B"/>
    <w:rsid w:val="1F124028"/>
    <w:rsid w:val="1F16FAED"/>
    <w:rsid w:val="1F19D4B5"/>
    <w:rsid w:val="1F26B465"/>
    <w:rsid w:val="1F377693"/>
    <w:rsid w:val="1F378113"/>
    <w:rsid w:val="1F3F1C01"/>
    <w:rsid w:val="1F4974B3"/>
    <w:rsid w:val="1F620C23"/>
    <w:rsid w:val="1F673768"/>
    <w:rsid w:val="1F6CE95D"/>
    <w:rsid w:val="1F6CF7CD"/>
    <w:rsid w:val="1F6EC502"/>
    <w:rsid w:val="1F72870E"/>
    <w:rsid w:val="1F88C1C7"/>
    <w:rsid w:val="1FA959B4"/>
    <w:rsid w:val="1FB86D9E"/>
    <w:rsid w:val="1FD3C7C6"/>
    <w:rsid w:val="1FD3F251"/>
    <w:rsid w:val="1FD5E218"/>
    <w:rsid w:val="1FE138B7"/>
    <w:rsid w:val="1FF44CD9"/>
    <w:rsid w:val="1FFA68FD"/>
    <w:rsid w:val="2018777A"/>
    <w:rsid w:val="201D68AC"/>
    <w:rsid w:val="20222CCB"/>
    <w:rsid w:val="2027FD77"/>
    <w:rsid w:val="20483BA3"/>
    <w:rsid w:val="204886B5"/>
    <w:rsid w:val="204BEEC6"/>
    <w:rsid w:val="204F3902"/>
    <w:rsid w:val="2054F344"/>
    <w:rsid w:val="2059767A"/>
    <w:rsid w:val="205F293E"/>
    <w:rsid w:val="208898FC"/>
    <w:rsid w:val="20BD7EB4"/>
    <w:rsid w:val="20C685A0"/>
    <w:rsid w:val="20CD8506"/>
    <w:rsid w:val="20D04E4E"/>
    <w:rsid w:val="20F1FFC6"/>
    <w:rsid w:val="210BAFEB"/>
    <w:rsid w:val="2111EC9E"/>
    <w:rsid w:val="21134D26"/>
    <w:rsid w:val="2113B82B"/>
    <w:rsid w:val="211CD465"/>
    <w:rsid w:val="211E1C72"/>
    <w:rsid w:val="21548070"/>
    <w:rsid w:val="217177C9"/>
    <w:rsid w:val="217772EC"/>
    <w:rsid w:val="217D1BA7"/>
    <w:rsid w:val="217F5896"/>
    <w:rsid w:val="218F724B"/>
    <w:rsid w:val="21988E09"/>
    <w:rsid w:val="21A4FF0C"/>
    <w:rsid w:val="21B4AAF3"/>
    <w:rsid w:val="21D1FFE7"/>
    <w:rsid w:val="21E88D07"/>
    <w:rsid w:val="21EBE84D"/>
    <w:rsid w:val="21EE4622"/>
    <w:rsid w:val="2200B48B"/>
    <w:rsid w:val="2201C52B"/>
    <w:rsid w:val="220431C0"/>
    <w:rsid w:val="2204C2A7"/>
    <w:rsid w:val="2206F346"/>
    <w:rsid w:val="2207CA8B"/>
    <w:rsid w:val="220A08D1"/>
    <w:rsid w:val="220E4793"/>
    <w:rsid w:val="222974E9"/>
    <w:rsid w:val="223086B7"/>
    <w:rsid w:val="223475A4"/>
    <w:rsid w:val="224FA686"/>
    <w:rsid w:val="2251BB08"/>
    <w:rsid w:val="2264A5E7"/>
    <w:rsid w:val="2268F5D5"/>
    <w:rsid w:val="2269A1C7"/>
    <w:rsid w:val="22713D22"/>
    <w:rsid w:val="22768759"/>
    <w:rsid w:val="227B1E5F"/>
    <w:rsid w:val="22855542"/>
    <w:rsid w:val="2291A2FA"/>
    <w:rsid w:val="22A01121"/>
    <w:rsid w:val="22A1052B"/>
    <w:rsid w:val="22ACF0F1"/>
    <w:rsid w:val="22CB476E"/>
    <w:rsid w:val="22E3E515"/>
    <w:rsid w:val="22F6153D"/>
    <w:rsid w:val="2312AF0A"/>
    <w:rsid w:val="23165A4D"/>
    <w:rsid w:val="231902CC"/>
    <w:rsid w:val="233716A8"/>
    <w:rsid w:val="233CD4B3"/>
    <w:rsid w:val="233FB1F4"/>
    <w:rsid w:val="2345D857"/>
    <w:rsid w:val="23464486"/>
    <w:rsid w:val="234B56FF"/>
    <w:rsid w:val="234D4823"/>
    <w:rsid w:val="2351B4B2"/>
    <w:rsid w:val="23665E7D"/>
    <w:rsid w:val="238A3072"/>
    <w:rsid w:val="238AAC9B"/>
    <w:rsid w:val="2396CA00"/>
    <w:rsid w:val="239B1FAF"/>
    <w:rsid w:val="23A4ADA0"/>
    <w:rsid w:val="23B966EC"/>
    <w:rsid w:val="23CE3797"/>
    <w:rsid w:val="23E5B14B"/>
    <w:rsid w:val="23F3D16B"/>
    <w:rsid w:val="23FF39EC"/>
    <w:rsid w:val="24045486"/>
    <w:rsid w:val="2412BE91"/>
    <w:rsid w:val="241BFB02"/>
    <w:rsid w:val="244350AD"/>
    <w:rsid w:val="2461E3BB"/>
    <w:rsid w:val="24623202"/>
    <w:rsid w:val="24747971"/>
    <w:rsid w:val="247E763F"/>
    <w:rsid w:val="2480E242"/>
    <w:rsid w:val="248579DD"/>
    <w:rsid w:val="248D45CF"/>
    <w:rsid w:val="2493B981"/>
    <w:rsid w:val="2496C94B"/>
    <w:rsid w:val="2497E8F8"/>
    <w:rsid w:val="24A1845A"/>
    <w:rsid w:val="24A90408"/>
    <w:rsid w:val="24AD46A9"/>
    <w:rsid w:val="24B755D2"/>
    <w:rsid w:val="24DE2A64"/>
    <w:rsid w:val="24E53082"/>
    <w:rsid w:val="24F29FC0"/>
    <w:rsid w:val="250169C2"/>
    <w:rsid w:val="25047654"/>
    <w:rsid w:val="2506F85D"/>
    <w:rsid w:val="2512C49C"/>
    <w:rsid w:val="25141C00"/>
    <w:rsid w:val="251FC187"/>
    <w:rsid w:val="2523806E"/>
    <w:rsid w:val="25272526"/>
    <w:rsid w:val="25286C5A"/>
    <w:rsid w:val="252DEC92"/>
    <w:rsid w:val="25323E5B"/>
    <w:rsid w:val="2548B306"/>
    <w:rsid w:val="2561B9BD"/>
    <w:rsid w:val="256817D2"/>
    <w:rsid w:val="256C1666"/>
    <w:rsid w:val="2583A455"/>
    <w:rsid w:val="258408FC"/>
    <w:rsid w:val="25975A6A"/>
    <w:rsid w:val="259CCFBA"/>
    <w:rsid w:val="259FB0A5"/>
    <w:rsid w:val="25A547D5"/>
    <w:rsid w:val="25B35E4B"/>
    <w:rsid w:val="25B57E95"/>
    <w:rsid w:val="25B7933F"/>
    <w:rsid w:val="25BC2C2A"/>
    <w:rsid w:val="25E0BAEF"/>
    <w:rsid w:val="25E0FB2B"/>
    <w:rsid w:val="25E25982"/>
    <w:rsid w:val="260C992B"/>
    <w:rsid w:val="2612A061"/>
    <w:rsid w:val="261AA175"/>
    <w:rsid w:val="261E3C75"/>
    <w:rsid w:val="26233DCD"/>
    <w:rsid w:val="2624F251"/>
    <w:rsid w:val="262523CC"/>
    <w:rsid w:val="2640D94E"/>
    <w:rsid w:val="265705C1"/>
    <w:rsid w:val="2669CF64"/>
    <w:rsid w:val="266C17AB"/>
    <w:rsid w:val="266DDF3E"/>
    <w:rsid w:val="266E5ECB"/>
    <w:rsid w:val="267274DF"/>
    <w:rsid w:val="2676AFC5"/>
    <w:rsid w:val="268DBC28"/>
    <w:rsid w:val="26908D30"/>
    <w:rsid w:val="2694357D"/>
    <w:rsid w:val="2695FEBE"/>
    <w:rsid w:val="26B6B27B"/>
    <w:rsid w:val="26BDC124"/>
    <w:rsid w:val="26C83D75"/>
    <w:rsid w:val="26C8A84B"/>
    <w:rsid w:val="26CC99C2"/>
    <w:rsid w:val="26CD28BF"/>
    <w:rsid w:val="26CFE2C0"/>
    <w:rsid w:val="26D337B4"/>
    <w:rsid w:val="26DAABC7"/>
    <w:rsid w:val="26E17590"/>
    <w:rsid w:val="26E68648"/>
    <w:rsid w:val="26F488EB"/>
    <w:rsid w:val="26FC8351"/>
    <w:rsid w:val="26FE5780"/>
    <w:rsid w:val="2704144A"/>
    <w:rsid w:val="2705BD3E"/>
    <w:rsid w:val="2707E6C7"/>
    <w:rsid w:val="2714F6E2"/>
    <w:rsid w:val="2719268D"/>
    <w:rsid w:val="271B07C9"/>
    <w:rsid w:val="27280946"/>
    <w:rsid w:val="272B052F"/>
    <w:rsid w:val="272FD080"/>
    <w:rsid w:val="2743DDCF"/>
    <w:rsid w:val="274603FE"/>
    <w:rsid w:val="274CCD93"/>
    <w:rsid w:val="2760F8E3"/>
    <w:rsid w:val="2761414A"/>
    <w:rsid w:val="27646D3D"/>
    <w:rsid w:val="2766BF7A"/>
    <w:rsid w:val="27889C84"/>
    <w:rsid w:val="278B6C76"/>
    <w:rsid w:val="27A14971"/>
    <w:rsid w:val="27AB2126"/>
    <w:rsid w:val="27B23B0E"/>
    <w:rsid w:val="27B6CEA5"/>
    <w:rsid w:val="27DA50EE"/>
    <w:rsid w:val="27E0F959"/>
    <w:rsid w:val="27E5846A"/>
    <w:rsid w:val="27F4F9E5"/>
    <w:rsid w:val="27F7209B"/>
    <w:rsid w:val="28208E40"/>
    <w:rsid w:val="2844F2B0"/>
    <w:rsid w:val="284546DF"/>
    <w:rsid w:val="2847C1ED"/>
    <w:rsid w:val="28569541"/>
    <w:rsid w:val="285B7D72"/>
    <w:rsid w:val="285F48F6"/>
    <w:rsid w:val="2866AFBF"/>
    <w:rsid w:val="286C4758"/>
    <w:rsid w:val="28819897"/>
    <w:rsid w:val="28850EDB"/>
    <w:rsid w:val="28995A7F"/>
    <w:rsid w:val="289FFA11"/>
    <w:rsid w:val="28A22103"/>
    <w:rsid w:val="28AA81A6"/>
    <w:rsid w:val="28C988C1"/>
    <w:rsid w:val="28CA1CF9"/>
    <w:rsid w:val="28CD8473"/>
    <w:rsid w:val="28D5D553"/>
    <w:rsid w:val="28DA1881"/>
    <w:rsid w:val="28E357E2"/>
    <w:rsid w:val="290182E6"/>
    <w:rsid w:val="2901D5DC"/>
    <w:rsid w:val="2908DE9A"/>
    <w:rsid w:val="290F587B"/>
    <w:rsid w:val="29186517"/>
    <w:rsid w:val="291E0375"/>
    <w:rsid w:val="291E62CF"/>
    <w:rsid w:val="2929D3BD"/>
    <w:rsid w:val="292A50D4"/>
    <w:rsid w:val="292DE81E"/>
    <w:rsid w:val="29423B6B"/>
    <w:rsid w:val="2956FDFA"/>
    <w:rsid w:val="296D4894"/>
    <w:rsid w:val="2974DD18"/>
    <w:rsid w:val="297F37D0"/>
    <w:rsid w:val="298AD302"/>
    <w:rsid w:val="298D8A6B"/>
    <w:rsid w:val="29A02AE8"/>
    <w:rsid w:val="29A68B97"/>
    <w:rsid w:val="29B1AD4C"/>
    <w:rsid w:val="29E2B966"/>
    <w:rsid w:val="29F267DE"/>
    <w:rsid w:val="2A0C0E2A"/>
    <w:rsid w:val="2A0CD710"/>
    <w:rsid w:val="2A17AD1E"/>
    <w:rsid w:val="2A1AC9F6"/>
    <w:rsid w:val="2A1D4C85"/>
    <w:rsid w:val="2A21BE7F"/>
    <w:rsid w:val="2A3BB23E"/>
    <w:rsid w:val="2A3DF164"/>
    <w:rsid w:val="2A44DA77"/>
    <w:rsid w:val="2A4946D8"/>
    <w:rsid w:val="2A4C2899"/>
    <w:rsid w:val="2A54FB34"/>
    <w:rsid w:val="2A591037"/>
    <w:rsid w:val="2A6FD7CC"/>
    <w:rsid w:val="2A727F33"/>
    <w:rsid w:val="2A7B7D15"/>
    <w:rsid w:val="2A947D5A"/>
    <w:rsid w:val="2A9A654A"/>
    <w:rsid w:val="2A9EE1D1"/>
    <w:rsid w:val="2AAB0814"/>
    <w:rsid w:val="2AAC4CEA"/>
    <w:rsid w:val="2AAE7AFF"/>
    <w:rsid w:val="2AB222EC"/>
    <w:rsid w:val="2AB596CE"/>
    <w:rsid w:val="2AB81EEB"/>
    <w:rsid w:val="2ABC6B38"/>
    <w:rsid w:val="2AC27311"/>
    <w:rsid w:val="2AC4425C"/>
    <w:rsid w:val="2AD269A7"/>
    <w:rsid w:val="2AE7AD54"/>
    <w:rsid w:val="2AEBF612"/>
    <w:rsid w:val="2AEC6B84"/>
    <w:rsid w:val="2AFDAE9D"/>
    <w:rsid w:val="2B027806"/>
    <w:rsid w:val="2B04BE82"/>
    <w:rsid w:val="2B069F63"/>
    <w:rsid w:val="2B0C1804"/>
    <w:rsid w:val="2B1AEC00"/>
    <w:rsid w:val="2B1B79DC"/>
    <w:rsid w:val="2B1CC7A4"/>
    <w:rsid w:val="2B2AC941"/>
    <w:rsid w:val="2B2D1BB7"/>
    <w:rsid w:val="2B3741A2"/>
    <w:rsid w:val="2B39DC44"/>
    <w:rsid w:val="2B3B696A"/>
    <w:rsid w:val="2B3B807A"/>
    <w:rsid w:val="2B557C46"/>
    <w:rsid w:val="2B5E2441"/>
    <w:rsid w:val="2B75B2D0"/>
    <w:rsid w:val="2B78F209"/>
    <w:rsid w:val="2B7E6EC0"/>
    <w:rsid w:val="2B814F27"/>
    <w:rsid w:val="2B8192A9"/>
    <w:rsid w:val="2B8FE3CF"/>
    <w:rsid w:val="2B9027B6"/>
    <w:rsid w:val="2B908468"/>
    <w:rsid w:val="2B96F194"/>
    <w:rsid w:val="2BAF93E5"/>
    <w:rsid w:val="2BB3AFAC"/>
    <w:rsid w:val="2BBB3C93"/>
    <w:rsid w:val="2BD9C1C5"/>
    <w:rsid w:val="2BEDB4A6"/>
    <w:rsid w:val="2BF344B7"/>
    <w:rsid w:val="2BFDABB9"/>
    <w:rsid w:val="2BFE276F"/>
    <w:rsid w:val="2C0A4B2E"/>
    <w:rsid w:val="2C0FA6A5"/>
    <w:rsid w:val="2C1BC22D"/>
    <w:rsid w:val="2C30BE33"/>
    <w:rsid w:val="2C31AF22"/>
    <w:rsid w:val="2C39EC1B"/>
    <w:rsid w:val="2C43A0C5"/>
    <w:rsid w:val="2C5489B0"/>
    <w:rsid w:val="2C564485"/>
    <w:rsid w:val="2C5B38C6"/>
    <w:rsid w:val="2C9358F4"/>
    <w:rsid w:val="2CA0AAE1"/>
    <w:rsid w:val="2CAC725E"/>
    <w:rsid w:val="2CCEB07D"/>
    <w:rsid w:val="2CD55870"/>
    <w:rsid w:val="2CD8079E"/>
    <w:rsid w:val="2CEDA19E"/>
    <w:rsid w:val="2CF14CA7"/>
    <w:rsid w:val="2CF38DBD"/>
    <w:rsid w:val="2CF9C997"/>
    <w:rsid w:val="2CFC6F69"/>
    <w:rsid w:val="2D03295E"/>
    <w:rsid w:val="2D04EAE9"/>
    <w:rsid w:val="2D0B35F2"/>
    <w:rsid w:val="2D124475"/>
    <w:rsid w:val="2D128B82"/>
    <w:rsid w:val="2D2A5E4D"/>
    <w:rsid w:val="2D2C3EA0"/>
    <w:rsid w:val="2D3596D8"/>
    <w:rsid w:val="2D4477D2"/>
    <w:rsid w:val="2D47B0C6"/>
    <w:rsid w:val="2D4B74E8"/>
    <w:rsid w:val="2D4CAEFF"/>
    <w:rsid w:val="2D5852E1"/>
    <w:rsid w:val="2D5BC4F1"/>
    <w:rsid w:val="2D608F08"/>
    <w:rsid w:val="2D736B34"/>
    <w:rsid w:val="2D736E06"/>
    <w:rsid w:val="2D73A761"/>
    <w:rsid w:val="2D759226"/>
    <w:rsid w:val="2D811A7A"/>
    <w:rsid w:val="2D8F9684"/>
    <w:rsid w:val="2D97E4B3"/>
    <w:rsid w:val="2D9D8729"/>
    <w:rsid w:val="2DA6411F"/>
    <w:rsid w:val="2DAB319D"/>
    <w:rsid w:val="2DBE3B38"/>
    <w:rsid w:val="2DBFDEA9"/>
    <w:rsid w:val="2DC5FD58"/>
    <w:rsid w:val="2DC9E27D"/>
    <w:rsid w:val="2DDC4FBD"/>
    <w:rsid w:val="2DDCB4F1"/>
    <w:rsid w:val="2DE9A3A9"/>
    <w:rsid w:val="2DF70927"/>
    <w:rsid w:val="2DFE3BF8"/>
    <w:rsid w:val="2E061862"/>
    <w:rsid w:val="2E29DD42"/>
    <w:rsid w:val="2E2DE784"/>
    <w:rsid w:val="2E315293"/>
    <w:rsid w:val="2E324D5A"/>
    <w:rsid w:val="2E343D37"/>
    <w:rsid w:val="2E385E16"/>
    <w:rsid w:val="2E3DE1B4"/>
    <w:rsid w:val="2E400012"/>
    <w:rsid w:val="2E472D97"/>
    <w:rsid w:val="2E4C8DFC"/>
    <w:rsid w:val="2E50AB66"/>
    <w:rsid w:val="2E540D47"/>
    <w:rsid w:val="2E584E17"/>
    <w:rsid w:val="2E66621F"/>
    <w:rsid w:val="2E672E27"/>
    <w:rsid w:val="2E7735D7"/>
    <w:rsid w:val="2E85753B"/>
    <w:rsid w:val="2E951913"/>
    <w:rsid w:val="2EAEFB14"/>
    <w:rsid w:val="2EBE06B2"/>
    <w:rsid w:val="2EBE834A"/>
    <w:rsid w:val="2ED00FE3"/>
    <w:rsid w:val="2ED35BCE"/>
    <w:rsid w:val="2ED47B58"/>
    <w:rsid w:val="2EF4207F"/>
    <w:rsid w:val="2EF8EB1F"/>
    <w:rsid w:val="2F061046"/>
    <w:rsid w:val="2F0A7562"/>
    <w:rsid w:val="2F22F82D"/>
    <w:rsid w:val="2F327143"/>
    <w:rsid w:val="2F35FF26"/>
    <w:rsid w:val="2F3B991B"/>
    <w:rsid w:val="2F40DFBB"/>
    <w:rsid w:val="2F43CF22"/>
    <w:rsid w:val="2F4D1032"/>
    <w:rsid w:val="2F4E280C"/>
    <w:rsid w:val="2F4FA046"/>
    <w:rsid w:val="2F5A35C9"/>
    <w:rsid w:val="2F67A774"/>
    <w:rsid w:val="2F6985D3"/>
    <w:rsid w:val="2F73D7E7"/>
    <w:rsid w:val="2F7735CD"/>
    <w:rsid w:val="2F88D923"/>
    <w:rsid w:val="2F92D988"/>
    <w:rsid w:val="2F9E0E8B"/>
    <w:rsid w:val="2FB651FF"/>
    <w:rsid w:val="2FC73D2B"/>
    <w:rsid w:val="2FC8107E"/>
    <w:rsid w:val="2FCF4F7B"/>
    <w:rsid w:val="2FD0C6EC"/>
    <w:rsid w:val="2FD7C645"/>
    <w:rsid w:val="2FE41320"/>
    <w:rsid w:val="2FE6635F"/>
    <w:rsid w:val="2FF09235"/>
    <w:rsid w:val="2FFE4088"/>
    <w:rsid w:val="2FFE8A35"/>
    <w:rsid w:val="3004C287"/>
    <w:rsid w:val="30078DF2"/>
    <w:rsid w:val="300A6B53"/>
    <w:rsid w:val="3015886E"/>
    <w:rsid w:val="30179130"/>
    <w:rsid w:val="301EEEC2"/>
    <w:rsid w:val="30219B48"/>
    <w:rsid w:val="3030DAC3"/>
    <w:rsid w:val="3035F28E"/>
    <w:rsid w:val="303A316C"/>
    <w:rsid w:val="303B4519"/>
    <w:rsid w:val="303EA530"/>
    <w:rsid w:val="30415990"/>
    <w:rsid w:val="3051C4DE"/>
    <w:rsid w:val="30688D07"/>
    <w:rsid w:val="30716FBB"/>
    <w:rsid w:val="307CFBA7"/>
    <w:rsid w:val="308EADB6"/>
    <w:rsid w:val="30BAF6B6"/>
    <w:rsid w:val="30D001DB"/>
    <w:rsid w:val="30D0E21E"/>
    <w:rsid w:val="30D1C120"/>
    <w:rsid w:val="30D952D0"/>
    <w:rsid w:val="30DEE586"/>
    <w:rsid w:val="30F578D7"/>
    <w:rsid w:val="30F85F03"/>
    <w:rsid w:val="30FDCE8D"/>
    <w:rsid w:val="31077D5D"/>
    <w:rsid w:val="3116EC42"/>
    <w:rsid w:val="311C234C"/>
    <w:rsid w:val="311DD802"/>
    <w:rsid w:val="3139B6F7"/>
    <w:rsid w:val="313E51B1"/>
    <w:rsid w:val="314B6625"/>
    <w:rsid w:val="314CB62E"/>
    <w:rsid w:val="314FCAF8"/>
    <w:rsid w:val="315078E8"/>
    <w:rsid w:val="315D45A2"/>
    <w:rsid w:val="317333B5"/>
    <w:rsid w:val="317EFC62"/>
    <w:rsid w:val="31821837"/>
    <w:rsid w:val="318EC1F3"/>
    <w:rsid w:val="31A02F30"/>
    <w:rsid w:val="31A3140D"/>
    <w:rsid w:val="31ABEF09"/>
    <w:rsid w:val="31AF503D"/>
    <w:rsid w:val="31C283FF"/>
    <w:rsid w:val="31C6F35B"/>
    <w:rsid w:val="31CFD249"/>
    <w:rsid w:val="31D30086"/>
    <w:rsid w:val="31D48F46"/>
    <w:rsid w:val="31DEA01A"/>
    <w:rsid w:val="31E37DEB"/>
    <w:rsid w:val="31ECAF35"/>
    <w:rsid w:val="31F7F50C"/>
    <w:rsid w:val="32028823"/>
    <w:rsid w:val="320B2514"/>
    <w:rsid w:val="32148B2C"/>
    <w:rsid w:val="3221B317"/>
    <w:rsid w:val="3228FED5"/>
    <w:rsid w:val="322FE9DE"/>
    <w:rsid w:val="32379723"/>
    <w:rsid w:val="324131C0"/>
    <w:rsid w:val="32480C8E"/>
    <w:rsid w:val="324919AB"/>
    <w:rsid w:val="324A996E"/>
    <w:rsid w:val="326AB8A1"/>
    <w:rsid w:val="326D415E"/>
    <w:rsid w:val="326DB7D6"/>
    <w:rsid w:val="326E3791"/>
    <w:rsid w:val="3278270A"/>
    <w:rsid w:val="3285C8CE"/>
    <w:rsid w:val="32893834"/>
    <w:rsid w:val="32999EEE"/>
    <w:rsid w:val="329E4F1B"/>
    <w:rsid w:val="32ACE82E"/>
    <w:rsid w:val="32CFF554"/>
    <w:rsid w:val="32D7506B"/>
    <w:rsid w:val="32DFB50A"/>
    <w:rsid w:val="32F0BEEE"/>
    <w:rsid w:val="32F7DE02"/>
    <w:rsid w:val="3308CEE8"/>
    <w:rsid w:val="330BCF39"/>
    <w:rsid w:val="330F3279"/>
    <w:rsid w:val="331D0395"/>
    <w:rsid w:val="332D15F8"/>
    <w:rsid w:val="332D4B2A"/>
    <w:rsid w:val="3330B615"/>
    <w:rsid w:val="333A9F4A"/>
    <w:rsid w:val="333F1C50"/>
    <w:rsid w:val="334F0CE2"/>
    <w:rsid w:val="33505A92"/>
    <w:rsid w:val="33508F36"/>
    <w:rsid w:val="33573934"/>
    <w:rsid w:val="33603E84"/>
    <w:rsid w:val="337CA479"/>
    <w:rsid w:val="337DC5A0"/>
    <w:rsid w:val="33815198"/>
    <w:rsid w:val="33844E1A"/>
    <w:rsid w:val="338A4360"/>
    <w:rsid w:val="338F1BA4"/>
    <w:rsid w:val="339D07F1"/>
    <w:rsid w:val="33A0304F"/>
    <w:rsid w:val="33A48973"/>
    <w:rsid w:val="33A6DB18"/>
    <w:rsid w:val="33B28D30"/>
    <w:rsid w:val="33B7701C"/>
    <w:rsid w:val="33BCD375"/>
    <w:rsid w:val="33C139A4"/>
    <w:rsid w:val="33CDACE8"/>
    <w:rsid w:val="33D137F7"/>
    <w:rsid w:val="33ECEB40"/>
    <w:rsid w:val="33ED443F"/>
    <w:rsid w:val="33F12907"/>
    <w:rsid w:val="33F43F86"/>
    <w:rsid w:val="33F64265"/>
    <w:rsid w:val="34027BBC"/>
    <w:rsid w:val="34072637"/>
    <w:rsid w:val="34356F4F"/>
    <w:rsid w:val="3437F97E"/>
    <w:rsid w:val="344272F9"/>
    <w:rsid w:val="3444FBAF"/>
    <w:rsid w:val="345CE8BE"/>
    <w:rsid w:val="3464041F"/>
    <w:rsid w:val="347DC04F"/>
    <w:rsid w:val="347F57F2"/>
    <w:rsid w:val="348070A9"/>
    <w:rsid w:val="34829DAE"/>
    <w:rsid w:val="3489F9EE"/>
    <w:rsid w:val="348DD592"/>
    <w:rsid w:val="349BDB19"/>
    <w:rsid w:val="349DD9EC"/>
    <w:rsid w:val="34A2A0AB"/>
    <w:rsid w:val="34A9E8DE"/>
    <w:rsid w:val="34CC8366"/>
    <w:rsid w:val="34D8A7EE"/>
    <w:rsid w:val="34DDD95A"/>
    <w:rsid w:val="34E144A0"/>
    <w:rsid w:val="34EADD43"/>
    <w:rsid w:val="34EC5C53"/>
    <w:rsid w:val="34EDAEB8"/>
    <w:rsid w:val="34EF4EC4"/>
    <w:rsid w:val="34F788B3"/>
    <w:rsid w:val="34F92784"/>
    <w:rsid w:val="3514A0F2"/>
    <w:rsid w:val="351750EB"/>
    <w:rsid w:val="351C4B8E"/>
    <w:rsid w:val="351E3E51"/>
    <w:rsid w:val="353A2192"/>
    <w:rsid w:val="35481666"/>
    <w:rsid w:val="35521537"/>
    <w:rsid w:val="35530AC4"/>
    <w:rsid w:val="3559215E"/>
    <w:rsid w:val="35618419"/>
    <w:rsid w:val="3562B646"/>
    <w:rsid w:val="3565B218"/>
    <w:rsid w:val="35780E9C"/>
    <w:rsid w:val="35883DFD"/>
    <w:rsid w:val="358CD305"/>
    <w:rsid w:val="3595D19B"/>
    <w:rsid w:val="35993A96"/>
    <w:rsid w:val="359ED09E"/>
    <w:rsid w:val="35A0C228"/>
    <w:rsid w:val="35A21A4C"/>
    <w:rsid w:val="35A8A141"/>
    <w:rsid w:val="35B1E6AA"/>
    <w:rsid w:val="35B2E4FC"/>
    <w:rsid w:val="35BEBD63"/>
    <w:rsid w:val="35CACB67"/>
    <w:rsid w:val="35D6B2B0"/>
    <w:rsid w:val="35E924B3"/>
    <w:rsid w:val="3606126B"/>
    <w:rsid w:val="360C5C67"/>
    <w:rsid w:val="36233C1B"/>
    <w:rsid w:val="36277C39"/>
    <w:rsid w:val="362C90DD"/>
    <w:rsid w:val="3637042E"/>
    <w:rsid w:val="363A2C47"/>
    <w:rsid w:val="364047D0"/>
    <w:rsid w:val="3645755D"/>
    <w:rsid w:val="3654A457"/>
    <w:rsid w:val="365672E4"/>
    <w:rsid w:val="365DA8EB"/>
    <w:rsid w:val="3674C75C"/>
    <w:rsid w:val="367754E0"/>
    <w:rsid w:val="36845AC5"/>
    <w:rsid w:val="3686ADA4"/>
    <w:rsid w:val="368945B3"/>
    <w:rsid w:val="36962B10"/>
    <w:rsid w:val="3697DF46"/>
    <w:rsid w:val="36A793AB"/>
    <w:rsid w:val="36BD9DD1"/>
    <w:rsid w:val="36CA9673"/>
    <w:rsid w:val="36E494CE"/>
    <w:rsid w:val="36E75FC6"/>
    <w:rsid w:val="36E8395A"/>
    <w:rsid w:val="36F33590"/>
    <w:rsid w:val="36FDA46D"/>
    <w:rsid w:val="36FEA1C8"/>
    <w:rsid w:val="37000B4B"/>
    <w:rsid w:val="370E6B08"/>
    <w:rsid w:val="3712C34C"/>
    <w:rsid w:val="37153717"/>
    <w:rsid w:val="3716E01B"/>
    <w:rsid w:val="371BBA05"/>
    <w:rsid w:val="371C967C"/>
    <w:rsid w:val="371D4A8F"/>
    <w:rsid w:val="371DB88C"/>
    <w:rsid w:val="37251E5C"/>
    <w:rsid w:val="3749623E"/>
    <w:rsid w:val="37590DBC"/>
    <w:rsid w:val="3762495E"/>
    <w:rsid w:val="3776465B"/>
    <w:rsid w:val="37805951"/>
    <w:rsid w:val="37862656"/>
    <w:rsid w:val="37877B16"/>
    <w:rsid w:val="3789013E"/>
    <w:rsid w:val="378928A2"/>
    <w:rsid w:val="37943125"/>
    <w:rsid w:val="37948FE2"/>
    <w:rsid w:val="379BEC05"/>
    <w:rsid w:val="37A55CE7"/>
    <w:rsid w:val="37B55FC9"/>
    <w:rsid w:val="37BF0C7C"/>
    <w:rsid w:val="37C94D3C"/>
    <w:rsid w:val="37D0DDCC"/>
    <w:rsid w:val="37D4C9CA"/>
    <w:rsid w:val="37D948C4"/>
    <w:rsid w:val="37DAA73B"/>
    <w:rsid w:val="37EC12D7"/>
    <w:rsid w:val="37F9F0B5"/>
    <w:rsid w:val="3803E3DB"/>
    <w:rsid w:val="3815C5D7"/>
    <w:rsid w:val="38233926"/>
    <w:rsid w:val="3824CD81"/>
    <w:rsid w:val="382B7DED"/>
    <w:rsid w:val="3844F7B0"/>
    <w:rsid w:val="384F41CC"/>
    <w:rsid w:val="38549D1A"/>
    <w:rsid w:val="385A7915"/>
    <w:rsid w:val="385B3B58"/>
    <w:rsid w:val="38785C37"/>
    <w:rsid w:val="38865EDF"/>
    <w:rsid w:val="3887017E"/>
    <w:rsid w:val="388CD8F9"/>
    <w:rsid w:val="388E120F"/>
    <w:rsid w:val="388F05F1"/>
    <w:rsid w:val="389485D1"/>
    <w:rsid w:val="38971C3C"/>
    <w:rsid w:val="3898437C"/>
    <w:rsid w:val="38A63BAC"/>
    <w:rsid w:val="38A946F0"/>
    <w:rsid w:val="38ABE3EA"/>
    <w:rsid w:val="38AF3CBD"/>
    <w:rsid w:val="38B7D164"/>
    <w:rsid w:val="38B9DAF2"/>
    <w:rsid w:val="38CAA3C8"/>
    <w:rsid w:val="38CE9E2D"/>
    <w:rsid w:val="38DE24E1"/>
    <w:rsid w:val="38F046F7"/>
    <w:rsid w:val="38F8D4BA"/>
    <w:rsid w:val="38F95820"/>
    <w:rsid w:val="38FBAAFA"/>
    <w:rsid w:val="38FC1400"/>
    <w:rsid w:val="38FC7E76"/>
    <w:rsid w:val="390A4B50"/>
    <w:rsid w:val="390D909F"/>
    <w:rsid w:val="3919E45B"/>
    <w:rsid w:val="39298491"/>
    <w:rsid w:val="392A61A5"/>
    <w:rsid w:val="392AA0AF"/>
    <w:rsid w:val="3931100B"/>
    <w:rsid w:val="39398336"/>
    <w:rsid w:val="393DA227"/>
    <w:rsid w:val="393EDA4A"/>
    <w:rsid w:val="3946FBF4"/>
    <w:rsid w:val="3950E08E"/>
    <w:rsid w:val="39510538"/>
    <w:rsid w:val="3963D0C7"/>
    <w:rsid w:val="39709284"/>
    <w:rsid w:val="3971A402"/>
    <w:rsid w:val="3972240D"/>
    <w:rsid w:val="39861304"/>
    <w:rsid w:val="39872E0A"/>
    <w:rsid w:val="39882279"/>
    <w:rsid w:val="398CDFAF"/>
    <w:rsid w:val="39A24FA6"/>
    <w:rsid w:val="39A63436"/>
    <w:rsid w:val="39A8F7C7"/>
    <w:rsid w:val="39AD64E3"/>
    <w:rsid w:val="39AEF5A2"/>
    <w:rsid w:val="39C8E070"/>
    <w:rsid w:val="39D0BC4D"/>
    <w:rsid w:val="39DAD2EF"/>
    <w:rsid w:val="39E0E137"/>
    <w:rsid w:val="39E98940"/>
    <w:rsid w:val="39F1A762"/>
    <w:rsid w:val="3A022EEF"/>
    <w:rsid w:val="3A0917E4"/>
    <w:rsid w:val="3A129B26"/>
    <w:rsid w:val="3A142C98"/>
    <w:rsid w:val="3A23FD74"/>
    <w:rsid w:val="3A26DFDC"/>
    <w:rsid w:val="3A307B28"/>
    <w:rsid w:val="3A3C2420"/>
    <w:rsid w:val="3A3EE86C"/>
    <w:rsid w:val="3A4443E3"/>
    <w:rsid w:val="3A48D578"/>
    <w:rsid w:val="3A4C70A4"/>
    <w:rsid w:val="3A55AB53"/>
    <w:rsid w:val="3A62B5B7"/>
    <w:rsid w:val="3A638626"/>
    <w:rsid w:val="3A6B6C69"/>
    <w:rsid w:val="3A75B72E"/>
    <w:rsid w:val="3A764A9A"/>
    <w:rsid w:val="3A8630AA"/>
    <w:rsid w:val="3A88EC95"/>
    <w:rsid w:val="3A8B8876"/>
    <w:rsid w:val="3A8C2FA1"/>
    <w:rsid w:val="3AA1F3DB"/>
    <w:rsid w:val="3ABD38B3"/>
    <w:rsid w:val="3ABEBE29"/>
    <w:rsid w:val="3AD56263"/>
    <w:rsid w:val="3AEB6A90"/>
    <w:rsid w:val="3AEE4609"/>
    <w:rsid w:val="3AF42F96"/>
    <w:rsid w:val="3AF63736"/>
    <w:rsid w:val="3AFAB2C4"/>
    <w:rsid w:val="3B25FB3D"/>
    <w:rsid w:val="3B27A110"/>
    <w:rsid w:val="3B2A444A"/>
    <w:rsid w:val="3B37136B"/>
    <w:rsid w:val="3B375F7A"/>
    <w:rsid w:val="3B3B2995"/>
    <w:rsid w:val="3B48387F"/>
    <w:rsid w:val="3B496E46"/>
    <w:rsid w:val="3B4AC603"/>
    <w:rsid w:val="3B4C9DF3"/>
    <w:rsid w:val="3B7CF38D"/>
    <w:rsid w:val="3BA4E845"/>
    <w:rsid w:val="3BA70B4A"/>
    <w:rsid w:val="3BA7B737"/>
    <w:rsid w:val="3BAD7E56"/>
    <w:rsid w:val="3BC29A40"/>
    <w:rsid w:val="3BC75424"/>
    <w:rsid w:val="3BCBB1B6"/>
    <w:rsid w:val="3BE13F90"/>
    <w:rsid w:val="3BE98932"/>
    <w:rsid w:val="3BF62D05"/>
    <w:rsid w:val="3BFFA293"/>
    <w:rsid w:val="3C02B68B"/>
    <w:rsid w:val="3C040123"/>
    <w:rsid w:val="3C0A4A02"/>
    <w:rsid w:val="3C1FDCC2"/>
    <w:rsid w:val="3C216E36"/>
    <w:rsid w:val="3C27D99F"/>
    <w:rsid w:val="3C2DE704"/>
    <w:rsid w:val="3C441384"/>
    <w:rsid w:val="3C803195"/>
    <w:rsid w:val="3C94C8DD"/>
    <w:rsid w:val="3CA22979"/>
    <w:rsid w:val="3CAE095C"/>
    <w:rsid w:val="3CB32561"/>
    <w:rsid w:val="3CBB2F08"/>
    <w:rsid w:val="3CBE23E1"/>
    <w:rsid w:val="3CC69AB5"/>
    <w:rsid w:val="3CE55584"/>
    <w:rsid w:val="3CFC468D"/>
    <w:rsid w:val="3D36093B"/>
    <w:rsid w:val="3D4436CA"/>
    <w:rsid w:val="3D4F2975"/>
    <w:rsid w:val="3D591007"/>
    <w:rsid w:val="3D5F0356"/>
    <w:rsid w:val="3D618332"/>
    <w:rsid w:val="3D633DEC"/>
    <w:rsid w:val="3D6FB971"/>
    <w:rsid w:val="3D7D0EEC"/>
    <w:rsid w:val="3D8C0134"/>
    <w:rsid w:val="3D8D4C15"/>
    <w:rsid w:val="3DA1E1CF"/>
    <w:rsid w:val="3DA23FD9"/>
    <w:rsid w:val="3DA2FF05"/>
    <w:rsid w:val="3DB35B9F"/>
    <w:rsid w:val="3DB8A3C2"/>
    <w:rsid w:val="3DBBE31B"/>
    <w:rsid w:val="3DBFAD8C"/>
    <w:rsid w:val="3DC30C70"/>
    <w:rsid w:val="3DC89C38"/>
    <w:rsid w:val="3DE41553"/>
    <w:rsid w:val="3DEDECF6"/>
    <w:rsid w:val="3DEE7BF2"/>
    <w:rsid w:val="3E0DC642"/>
    <w:rsid w:val="3E0DDEF4"/>
    <w:rsid w:val="3E1C157B"/>
    <w:rsid w:val="3E2196D5"/>
    <w:rsid w:val="3E2B21B4"/>
    <w:rsid w:val="3E33C749"/>
    <w:rsid w:val="3E353632"/>
    <w:rsid w:val="3E3FDF28"/>
    <w:rsid w:val="3E5C3729"/>
    <w:rsid w:val="3E62AE72"/>
    <w:rsid w:val="3E779459"/>
    <w:rsid w:val="3E7EA015"/>
    <w:rsid w:val="3E80259D"/>
    <w:rsid w:val="3E85C78F"/>
    <w:rsid w:val="3EA53265"/>
    <w:rsid w:val="3EABE344"/>
    <w:rsid w:val="3EDE72D1"/>
    <w:rsid w:val="3EE18FA2"/>
    <w:rsid w:val="3EF8F326"/>
    <w:rsid w:val="3F00EFE4"/>
    <w:rsid w:val="3F01C698"/>
    <w:rsid w:val="3F0236B0"/>
    <w:rsid w:val="3F09C076"/>
    <w:rsid w:val="3F295E8E"/>
    <w:rsid w:val="3F39F7B0"/>
    <w:rsid w:val="3F3B664A"/>
    <w:rsid w:val="3F4119B1"/>
    <w:rsid w:val="3F4DE3ED"/>
    <w:rsid w:val="3F62415E"/>
    <w:rsid w:val="3F63A9C6"/>
    <w:rsid w:val="3F658425"/>
    <w:rsid w:val="3F67581B"/>
    <w:rsid w:val="3F72F4AE"/>
    <w:rsid w:val="3F7505E3"/>
    <w:rsid w:val="3F7F6016"/>
    <w:rsid w:val="3F85C8EE"/>
    <w:rsid w:val="3F98110C"/>
    <w:rsid w:val="3FA308C5"/>
    <w:rsid w:val="3FA50BB0"/>
    <w:rsid w:val="3FBD823F"/>
    <w:rsid w:val="3FC6D253"/>
    <w:rsid w:val="3FD528D6"/>
    <w:rsid w:val="3FE78699"/>
    <w:rsid w:val="3FF77D0D"/>
    <w:rsid w:val="3FFFC81F"/>
    <w:rsid w:val="40071343"/>
    <w:rsid w:val="400770C8"/>
    <w:rsid w:val="40125135"/>
    <w:rsid w:val="4017E57E"/>
    <w:rsid w:val="401BA9A2"/>
    <w:rsid w:val="4028C46F"/>
    <w:rsid w:val="4034A133"/>
    <w:rsid w:val="404689C3"/>
    <w:rsid w:val="405B4BE6"/>
    <w:rsid w:val="405C4C83"/>
    <w:rsid w:val="4081A679"/>
    <w:rsid w:val="4089E7F2"/>
    <w:rsid w:val="4098ABC5"/>
    <w:rsid w:val="409B69E8"/>
    <w:rsid w:val="40A135FB"/>
    <w:rsid w:val="40A859CF"/>
    <w:rsid w:val="40B6FDDE"/>
    <w:rsid w:val="40B9BB48"/>
    <w:rsid w:val="40BCC472"/>
    <w:rsid w:val="40BEC70D"/>
    <w:rsid w:val="40C0BB5B"/>
    <w:rsid w:val="40C317E4"/>
    <w:rsid w:val="40D618B9"/>
    <w:rsid w:val="40D86AD9"/>
    <w:rsid w:val="40ECC70E"/>
    <w:rsid w:val="40ECEC72"/>
    <w:rsid w:val="40F779FF"/>
    <w:rsid w:val="41017857"/>
    <w:rsid w:val="411E4267"/>
    <w:rsid w:val="4120EB7E"/>
    <w:rsid w:val="413287A6"/>
    <w:rsid w:val="4136658F"/>
    <w:rsid w:val="413E773E"/>
    <w:rsid w:val="4140298D"/>
    <w:rsid w:val="4140E61F"/>
    <w:rsid w:val="41420D7A"/>
    <w:rsid w:val="41445183"/>
    <w:rsid w:val="414B12D9"/>
    <w:rsid w:val="4153B63D"/>
    <w:rsid w:val="415C3B68"/>
    <w:rsid w:val="4160C4BE"/>
    <w:rsid w:val="4162A2B4"/>
    <w:rsid w:val="416C2941"/>
    <w:rsid w:val="416CD6F4"/>
    <w:rsid w:val="4170A7BB"/>
    <w:rsid w:val="4177310F"/>
    <w:rsid w:val="417832C6"/>
    <w:rsid w:val="417DD87F"/>
    <w:rsid w:val="418834B3"/>
    <w:rsid w:val="418E4C96"/>
    <w:rsid w:val="419901C0"/>
    <w:rsid w:val="419B9880"/>
    <w:rsid w:val="41ACD1C8"/>
    <w:rsid w:val="41B640D7"/>
    <w:rsid w:val="41BA509D"/>
    <w:rsid w:val="41C2EBC1"/>
    <w:rsid w:val="41C9FBBC"/>
    <w:rsid w:val="41D32DDF"/>
    <w:rsid w:val="41D3C23A"/>
    <w:rsid w:val="41D6F033"/>
    <w:rsid w:val="41E423C7"/>
    <w:rsid w:val="41EAD086"/>
    <w:rsid w:val="420B2668"/>
    <w:rsid w:val="4214397F"/>
    <w:rsid w:val="421BA9A3"/>
    <w:rsid w:val="4231879B"/>
    <w:rsid w:val="423890A6"/>
    <w:rsid w:val="423AB82C"/>
    <w:rsid w:val="424277F7"/>
    <w:rsid w:val="4246FA87"/>
    <w:rsid w:val="424ACBD5"/>
    <w:rsid w:val="4260BD38"/>
    <w:rsid w:val="426445CB"/>
    <w:rsid w:val="42655081"/>
    <w:rsid w:val="42679286"/>
    <w:rsid w:val="42765637"/>
    <w:rsid w:val="4297437C"/>
    <w:rsid w:val="42A27475"/>
    <w:rsid w:val="42A6C00D"/>
    <w:rsid w:val="42A99948"/>
    <w:rsid w:val="42B358A8"/>
    <w:rsid w:val="42C8CD66"/>
    <w:rsid w:val="42D0381E"/>
    <w:rsid w:val="42D7D3EF"/>
    <w:rsid w:val="42ECE05D"/>
    <w:rsid w:val="42F72218"/>
    <w:rsid w:val="430C0DB4"/>
    <w:rsid w:val="43269B0C"/>
    <w:rsid w:val="4337C960"/>
    <w:rsid w:val="4346207C"/>
    <w:rsid w:val="434B457C"/>
    <w:rsid w:val="434BBF69"/>
    <w:rsid w:val="43629928"/>
    <w:rsid w:val="43700BC9"/>
    <w:rsid w:val="4375227B"/>
    <w:rsid w:val="437B8557"/>
    <w:rsid w:val="437C071A"/>
    <w:rsid w:val="437FDEC6"/>
    <w:rsid w:val="438B3E3D"/>
    <w:rsid w:val="439D0A2F"/>
    <w:rsid w:val="43BB38AA"/>
    <w:rsid w:val="43BDB15E"/>
    <w:rsid w:val="43BFDFEC"/>
    <w:rsid w:val="43C15D3A"/>
    <w:rsid w:val="43CBD6DA"/>
    <w:rsid w:val="43D740C8"/>
    <w:rsid w:val="43E8BD43"/>
    <w:rsid w:val="43F177BA"/>
    <w:rsid w:val="43F17B6F"/>
    <w:rsid w:val="43FE3450"/>
    <w:rsid w:val="43FE590D"/>
    <w:rsid w:val="440DC1F5"/>
    <w:rsid w:val="44180251"/>
    <w:rsid w:val="44196F29"/>
    <w:rsid w:val="44253787"/>
    <w:rsid w:val="443719EB"/>
    <w:rsid w:val="444011B4"/>
    <w:rsid w:val="4440B2D1"/>
    <w:rsid w:val="444721DC"/>
    <w:rsid w:val="4448254D"/>
    <w:rsid w:val="4449E957"/>
    <w:rsid w:val="44518838"/>
    <w:rsid w:val="44618484"/>
    <w:rsid w:val="44622AD2"/>
    <w:rsid w:val="4464D4B4"/>
    <w:rsid w:val="446BD167"/>
    <w:rsid w:val="446CA120"/>
    <w:rsid w:val="4472D000"/>
    <w:rsid w:val="4481E505"/>
    <w:rsid w:val="4484816E"/>
    <w:rsid w:val="44865C65"/>
    <w:rsid w:val="44961BBD"/>
    <w:rsid w:val="4497F966"/>
    <w:rsid w:val="449B257D"/>
    <w:rsid w:val="44A4A161"/>
    <w:rsid w:val="44A7AEFC"/>
    <w:rsid w:val="44ACC226"/>
    <w:rsid w:val="44B0046B"/>
    <w:rsid w:val="44B588D7"/>
    <w:rsid w:val="44BA03A8"/>
    <w:rsid w:val="44BA10E5"/>
    <w:rsid w:val="44BBD167"/>
    <w:rsid w:val="44C53C91"/>
    <w:rsid w:val="44C5ED58"/>
    <w:rsid w:val="44DB876D"/>
    <w:rsid w:val="44EA53B2"/>
    <w:rsid w:val="44ED9B27"/>
    <w:rsid w:val="44FD6FCD"/>
    <w:rsid w:val="4516D03B"/>
    <w:rsid w:val="451C99AE"/>
    <w:rsid w:val="45200749"/>
    <w:rsid w:val="453C4FA1"/>
    <w:rsid w:val="455B716F"/>
    <w:rsid w:val="455C4E22"/>
    <w:rsid w:val="45A1FCAE"/>
    <w:rsid w:val="45A3D0F1"/>
    <w:rsid w:val="45A5433D"/>
    <w:rsid w:val="45A8A908"/>
    <w:rsid w:val="45B80094"/>
    <w:rsid w:val="45CEE248"/>
    <w:rsid w:val="45D09DAA"/>
    <w:rsid w:val="45D2EB4A"/>
    <w:rsid w:val="45DA7959"/>
    <w:rsid w:val="45DC5D40"/>
    <w:rsid w:val="45F2EA91"/>
    <w:rsid w:val="4606BD31"/>
    <w:rsid w:val="460E0F57"/>
    <w:rsid w:val="4614BE03"/>
    <w:rsid w:val="4622BA21"/>
    <w:rsid w:val="4639DF3E"/>
    <w:rsid w:val="463CE75B"/>
    <w:rsid w:val="4650F08E"/>
    <w:rsid w:val="4652D53C"/>
    <w:rsid w:val="4652DD39"/>
    <w:rsid w:val="465C9998"/>
    <w:rsid w:val="4661BDB9"/>
    <w:rsid w:val="4668803C"/>
    <w:rsid w:val="4668D985"/>
    <w:rsid w:val="4674B4A7"/>
    <w:rsid w:val="46753A6A"/>
    <w:rsid w:val="467B7516"/>
    <w:rsid w:val="469071EB"/>
    <w:rsid w:val="469DB4C9"/>
    <w:rsid w:val="46A05D98"/>
    <w:rsid w:val="46A3492C"/>
    <w:rsid w:val="46AC8742"/>
    <w:rsid w:val="46B44220"/>
    <w:rsid w:val="46C92E43"/>
    <w:rsid w:val="46D1A242"/>
    <w:rsid w:val="46DA037B"/>
    <w:rsid w:val="46EB1E8E"/>
    <w:rsid w:val="46F81E83"/>
    <w:rsid w:val="4712126B"/>
    <w:rsid w:val="471E7B78"/>
    <w:rsid w:val="47325C60"/>
    <w:rsid w:val="47431F57"/>
    <w:rsid w:val="474614EF"/>
    <w:rsid w:val="474BA136"/>
    <w:rsid w:val="474EC506"/>
    <w:rsid w:val="47503687"/>
    <w:rsid w:val="47581584"/>
    <w:rsid w:val="47677055"/>
    <w:rsid w:val="476A928A"/>
    <w:rsid w:val="4784E235"/>
    <w:rsid w:val="478CB62A"/>
    <w:rsid w:val="4790DAD3"/>
    <w:rsid w:val="4796F049"/>
    <w:rsid w:val="47AE896F"/>
    <w:rsid w:val="47C0BA49"/>
    <w:rsid w:val="47C3F56F"/>
    <w:rsid w:val="47C414C8"/>
    <w:rsid w:val="47CB70FC"/>
    <w:rsid w:val="47CD7B97"/>
    <w:rsid w:val="47CF2596"/>
    <w:rsid w:val="47D73CF7"/>
    <w:rsid w:val="47DD1DCC"/>
    <w:rsid w:val="47DE850D"/>
    <w:rsid w:val="47E13E96"/>
    <w:rsid w:val="47EB14E5"/>
    <w:rsid w:val="47EB7840"/>
    <w:rsid w:val="47EEAD9A"/>
    <w:rsid w:val="47F40DF8"/>
    <w:rsid w:val="47FD8E1A"/>
    <w:rsid w:val="47FEC358"/>
    <w:rsid w:val="480D00F6"/>
    <w:rsid w:val="480EC8F1"/>
    <w:rsid w:val="48113CD6"/>
    <w:rsid w:val="4831E759"/>
    <w:rsid w:val="48352842"/>
    <w:rsid w:val="4835D7F8"/>
    <w:rsid w:val="48552F68"/>
    <w:rsid w:val="4859968F"/>
    <w:rsid w:val="486FBF64"/>
    <w:rsid w:val="487010FA"/>
    <w:rsid w:val="4873F063"/>
    <w:rsid w:val="4893EEE4"/>
    <w:rsid w:val="4896C27E"/>
    <w:rsid w:val="48975B92"/>
    <w:rsid w:val="48CCB676"/>
    <w:rsid w:val="48E9E518"/>
    <w:rsid w:val="48F8041F"/>
    <w:rsid w:val="48F90461"/>
    <w:rsid w:val="49097569"/>
    <w:rsid w:val="490EB1B7"/>
    <w:rsid w:val="490EE589"/>
    <w:rsid w:val="49117EEC"/>
    <w:rsid w:val="491286B8"/>
    <w:rsid w:val="4915BE1E"/>
    <w:rsid w:val="49174035"/>
    <w:rsid w:val="494B6CB2"/>
    <w:rsid w:val="49512E0C"/>
    <w:rsid w:val="4955FBEC"/>
    <w:rsid w:val="49697B66"/>
    <w:rsid w:val="4978EE2D"/>
    <w:rsid w:val="497A556E"/>
    <w:rsid w:val="49802F51"/>
    <w:rsid w:val="4983F556"/>
    <w:rsid w:val="49A75183"/>
    <w:rsid w:val="49B3D3A5"/>
    <w:rsid w:val="49BE129A"/>
    <w:rsid w:val="49CD65A9"/>
    <w:rsid w:val="49D1E772"/>
    <w:rsid w:val="49DD1FBC"/>
    <w:rsid w:val="49DD2BFE"/>
    <w:rsid w:val="49DE56B7"/>
    <w:rsid w:val="49E215E0"/>
    <w:rsid w:val="49ED6E8C"/>
    <w:rsid w:val="49EDC0E7"/>
    <w:rsid w:val="49F67422"/>
    <w:rsid w:val="4A062B57"/>
    <w:rsid w:val="4A0F58C7"/>
    <w:rsid w:val="4A15A6ED"/>
    <w:rsid w:val="4A1BEB05"/>
    <w:rsid w:val="4A2AA96E"/>
    <w:rsid w:val="4A2FBF45"/>
    <w:rsid w:val="4A33F51A"/>
    <w:rsid w:val="4A436E9D"/>
    <w:rsid w:val="4A5810B7"/>
    <w:rsid w:val="4A63CBCA"/>
    <w:rsid w:val="4A78DE46"/>
    <w:rsid w:val="4A7BB021"/>
    <w:rsid w:val="4A838E06"/>
    <w:rsid w:val="4A94DA99"/>
    <w:rsid w:val="4A965F01"/>
    <w:rsid w:val="4AA134F7"/>
    <w:rsid w:val="4AADD11B"/>
    <w:rsid w:val="4ABE9D98"/>
    <w:rsid w:val="4AC7EC82"/>
    <w:rsid w:val="4AD3C60C"/>
    <w:rsid w:val="4AE17026"/>
    <w:rsid w:val="4AE38254"/>
    <w:rsid w:val="4AF53E17"/>
    <w:rsid w:val="4B000D9D"/>
    <w:rsid w:val="4B01149D"/>
    <w:rsid w:val="4B049C12"/>
    <w:rsid w:val="4B0E998B"/>
    <w:rsid w:val="4B1348B4"/>
    <w:rsid w:val="4B17D79A"/>
    <w:rsid w:val="4B3283E1"/>
    <w:rsid w:val="4B3614A2"/>
    <w:rsid w:val="4B3A8BB1"/>
    <w:rsid w:val="4B552725"/>
    <w:rsid w:val="4B5CDCAB"/>
    <w:rsid w:val="4B665655"/>
    <w:rsid w:val="4B7ED895"/>
    <w:rsid w:val="4B8267CC"/>
    <w:rsid w:val="4BCA8823"/>
    <w:rsid w:val="4BD10C5F"/>
    <w:rsid w:val="4BD7D66E"/>
    <w:rsid w:val="4BD844A9"/>
    <w:rsid w:val="4BDBF503"/>
    <w:rsid w:val="4BF7B7A9"/>
    <w:rsid w:val="4C09841B"/>
    <w:rsid w:val="4C0BEB3B"/>
    <w:rsid w:val="4C1A0DDC"/>
    <w:rsid w:val="4C29F860"/>
    <w:rsid w:val="4C384102"/>
    <w:rsid w:val="4C4B2399"/>
    <w:rsid w:val="4C5B15E8"/>
    <w:rsid w:val="4C5C2EC9"/>
    <w:rsid w:val="4C5E2F3B"/>
    <w:rsid w:val="4C64BA19"/>
    <w:rsid w:val="4C762232"/>
    <w:rsid w:val="4C7904B7"/>
    <w:rsid w:val="4C79FAF4"/>
    <w:rsid w:val="4C7A511F"/>
    <w:rsid w:val="4C7BC08D"/>
    <w:rsid w:val="4C8C6D80"/>
    <w:rsid w:val="4C97E852"/>
    <w:rsid w:val="4CA5FBF9"/>
    <w:rsid w:val="4CAB335A"/>
    <w:rsid w:val="4CB23BD7"/>
    <w:rsid w:val="4CCAB0E1"/>
    <w:rsid w:val="4CD1D190"/>
    <w:rsid w:val="4CD8102D"/>
    <w:rsid w:val="4CEB2548"/>
    <w:rsid w:val="4CF047BE"/>
    <w:rsid w:val="4CF64D6D"/>
    <w:rsid w:val="4CF726B0"/>
    <w:rsid w:val="4CF7553C"/>
    <w:rsid w:val="4D00544E"/>
    <w:rsid w:val="4D03046D"/>
    <w:rsid w:val="4D0CF3EF"/>
    <w:rsid w:val="4D1F9A2F"/>
    <w:rsid w:val="4D1FF432"/>
    <w:rsid w:val="4D243785"/>
    <w:rsid w:val="4D25321A"/>
    <w:rsid w:val="4D30D055"/>
    <w:rsid w:val="4D34D9C1"/>
    <w:rsid w:val="4D40FA16"/>
    <w:rsid w:val="4D478DC1"/>
    <w:rsid w:val="4D4E85B0"/>
    <w:rsid w:val="4D50F321"/>
    <w:rsid w:val="4D517F09"/>
    <w:rsid w:val="4D53E813"/>
    <w:rsid w:val="4D676007"/>
    <w:rsid w:val="4D6AB216"/>
    <w:rsid w:val="4D6C0465"/>
    <w:rsid w:val="4D6D4A32"/>
    <w:rsid w:val="4D72502D"/>
    <w:rsid w:val="4D7D260B"/>
    <w:rsid w:val="4D80BE57"/>
    <w:rsid w:val="4D898E41"/>
    <w:rsid w:val="4D8B3C47"/>
    <w:rsid w:val="4DBC983C"/>
    <w:rsid w:val="4DD587C4"/>
    <w:rsid w:val="4DDD2FB6"/>
    <w:rsid w:val="4E07C719"/>
    <w:rsid w:val="4E0CC82A"/>
    <w:rsid w:val="4E25B8ED"/>
    <w:rsid w:val="4E37D0F5"/>
    <w:rsid w:val="4E4106BB"/>
    <w:rsid w:val="4E42DA16"/>
    <w:rsid w:val="4E48EA66"/>
    <w:rsid w:val="4E5A5935"/>
    <w:rsid w:val="4E5DA66F"/>
    <w:rsid w:val="4E5DEF1E"/>
    <w:rsid w:val="4E697087"/>
    <w:rsid w:val="4E6CCF9E"/>
    <w:rsid w:val="4E6F18E2"/>
    <w:rsid w:val="4E726DAD"/>
    <w:rsid w:val="4E793099"/>
    <w:rsid w:val="4E7B9B82"/>
    <w:rsid w:val="4E8870D2"/>
    <w:rsid w:val="4EA356E1"/>
    <w:rsid w:val="4ECE2440"/>
    <w:rsid w:val="4ECF6DCC"/>
    <w:rsid w:val="4ED0C107"/>
    <w:rsid w:val="4ED393C7"/>
    <w:rsid w:val="4EDC0250"/>
    <w:rsid w:val="4EDC59FC"/>
    <w:rsid w:val="4EEF28C1"/>
    <w:rsid w:val="4EEFE3AC"/>
    <w:rsid w:val="4EFF44F0"/>
    <w:rsid w:val="4F03665B"/>
    <w:rsid w:val="4F0C43D1"/>
    <w:rsid w:val="4F279E6C"/>
    <w:rsid w:val="4F2A59A6"/>
    <w:rsid w:val="4F2E348B"/>
    <w:rsid w:val="4F34A0E6"/>
    <w:rsid w:val="4F3EF136"/>
    <w:rsid w:val="4F427028"/>
    <w:rsid w:val="4F4430C3"/>
    <w:rsid w:val="4F477785"/>
    <w:rsid w:val="4F620645"/>
    <w:rsid w:val="4F6DE2B8"/>
    <w:rsid w:val="4F7764AD"/>
    <w:rsid w:val="4F77AFED"/>
    <w:rsid w:val="4F7BE681"/>
    <w:rsid w:val="4F83F0FC"/>
    <w:rsid w:val="4F88D54E"/>
    <w:rsid w:val="4F8B234B"/>
    <w:rsid w:val="4F99C596"/>
    <w:rsid w:val="4FA07A50"/>
    <w:rsid w:val="4FA177A7"/>
    <w:rsid w:val="4FBBAF0D"/>
    <w:rsid w:val="4FC2A138"/>
    <w:rsid w:val="4FC512E8"/>
    <w:rsid w:val="4FD5DD78"/>
    <w:rsid w:val="4FD96A48"/>
    <w:rsid w:val="4FE1864E"/>
    <w:rsid w:val="4FEE11F3"/>
    <w:rsid w:val="4FEF0F5D"/>
    <w:rsid w:val="4FF547DF"/>
    <w:rsid w:val="4FF82FA6"/>
    <w:rsid w:val="4FFEA940"/>
    <w:rsid w:val="5002BF62"/>
    <w:rsid w:val="50097252"/>
    <w:rsid w:val="501E0B45"/>
    <w:rsid w:val="501FDEA3"/>
    <w:rsid w:val="5020F9A8"/>
    <w:rsid w:val="503A973E"/>
    <w:rsid w:val="503C1BA7"/>
    <w:rsid w:val="5056A960"/>
    <w:rsid w:val="505796C3"/>
    <w:rsid w:val="505DC4C6"/>
    <w:rsid w:val="50643554"/>
    <w:rsid w:val="50679688"/>
    <w:rsid w:val="507A73F5"/>
    <w:rsid w:val="507D00C7"/>
    <w:rsid w:val="5082AC07"/>
    <w:rsid w:val="508CA9B1"/>
    <w:rsid w:val="509D9960"/>
    <w:rsid w:val="50A155DB"/>
    <w:rsid w:val="50A40C7A"/>
    <w:rsid w:val="50A7199B"/>
    <w:rsid w:val="50B53DDC"/>
    <w:rsid w:val="50BAF86C"/>
    <w:rsid w:val="50BDEFD7"/>
    <w:rsid w:val="50CCEC15"/>
    <w:rsid w:val="50CE6DDB"/>
    <w:rsid w:val="50DE728A"/>
    <w:rsid w:val="50EA163B"/>
    <w:rsid w:val="50EA716A"/>
    <w:rsid w:val="50EC44FD"/>
    <w:rsid w:val="50F547BF"/>
    <w:rsid w:val="50FFCA3D"/>
    <w:rsid w:val="5102FADE"/>
    <w:rsid w:val="5117A73E"/>
    <w:rsid w:val="5132ADD0"/>
    <w:rsid w:val="513C619D"/>
    <w:rsid w:val="514B5875"/>
    <w:rsid w:val="5150C2CA"/>
    <w:rsid w:val="51568720"/>
    <w:rsid w:val="515A1D50"/>
    <w:rsid w:val="5166CEA4"/>
    <w:rsid w:val="5170B643"/>
    <w:rsid w:val="5171E46A"/>
    <w:rsid w:val="517DCE25"/>
    <w:rsid w:val="517E66EA"/>
    <w:rsid w:val="5182F469"/>
    <w:rsid w:val="518D54D9"/>
    <w:rsid w:val="51910F21"/>
    <w:rsid w:val="5191CFDA"/>
    <w:rsid w:val="51AA60D0"/>
    <w:rsid w:val="51B75A37"/>
    <w:rsid w:val="51C4988A"/>
    <w:rsid w:val="51C92A30"/>
    <w:rsid w:val="51CED394"/>
    <w:rsid w:val="51DD7D41"/>
    <w:rsid w:val="51DEFFFB"/>
    <w:rsid w:val="51E50519"/>
    <w:rsid w:val="51E8315D"/>
    <w:rsid w:val="51ECD0B9"/>
    <w:rsid w:val="51F55886"/>
    <w:rsid w:val="51FDCAE3"/>
    <w:rsid w:val="5209491B"/>
    <w:rsid w:val="522A75CC"/>
    <w:rsid w:val="522D0A5F"/>
    <w:rsid w:val="522E78E1"/>
    <w:rsid w:val="5239DD48"/>
    <w:rsid w:val="5251831E"/>
    <w:rsid w:val="5252FBE0"/>
    <w:rsid w:val="526B4456"/>
    <w:rsid w:val="52736A00"/>
    <w:rsid w:val="52744151"/>
    <w:rsid w:val="5276B3B3"/>
    <w:rsid w:val="5278AA0E"/>
    <w:rsid w:val="529E43BB"/>
    <w:rsid w:val="52A364C5"/>
    <w:rsid w:val="52A5CA43"/>
    <w:rsid w:val="52B68E74"/>
    <w:rsid w:val="52BBECCE"/>
    <w:rsid w:val="52C253E5"/>
    <w:rsid w:val="52D38D7A"/>
    <w:rsid w:val="52D98A6B"/>
    <w:rsid w:val="52F303E4"/>
    <w:rsid w:val="530E6338"/>
    <w:rsid w:val="53102EE7"/>
    <w:rsid w:val="53131D90"/>
    <w:rsid w:val="53162B1B"/>
    <w:rsid w:val="5323484F"/>
    <w:rsid w:val="532FDACB"/>
    <w:rsid w:val="53349FFE"/>
    <w:rsid w:val="5343ED82"/>
    <w:rsid w:val="53495333"/>
    <w:rsid w:val="534F0E2F"/>
    <w:rsid w:val="5358881E"/>
    <w:rsid w:val="53749A00"/>
    <w:rsid w:val="537957EA"/>
    <w:rsid w:val="5381C201"/>
    <w:rsid w:val="53822071"/>
    <w:rsid w:val="5382F2B1"/>
    <w:rsid w:val="538C08E8"/>
    <w:rsid w:val="539E9D13"/>
    <w:rsid w:val="53A61D59"/>
    <w:rsid w:val="53A83E2B"/>
    <w:rsid w:val="53ADF92C"/>
    <w:rsid w:val="53BEE575"/>
    <w:rsid w:val="53C13CBB"/>
    <w:rsid w:val="53C7FA87"/>
    <w:rsid w:val="53CA4BD0"/>
    <w:rsid w:val="53CD81FB"/>
    <w:rsid w:val="53D15C74"/>
    <w:rsid w:val="53D9A080"/>
    <w:rsid w:val="53DD6439"/>
    <w:rsid w:val="53E39A14"/>
    <w:rsid w:val="53EA1DF3"/>
    <w:rsid w:val="53ECED03"/>
    <w:rsid w:val="53EF24A3"/>
    <w:rsid w:val="53FC896F"/>
    <w:rsid w:val="5403E5E6"/>
    <w:rsid w:val="5406A283"/>
    <w:rsid w:val="540D8F9C"/>
    <w:rsid w:val="541938F7"/>
    <w:rsid w:val="5425B014"/>
    <w:rsid w:val="542880C2"/>
    <w:rsid w:val="542BD9C0"/>
    <w:rsid w:val="543810F7"/>
    <w:rsid w:val="543C5828"/>
    <w:rsid w:val="5446F1B0"/>
    <w:rsid w:val="5456357E"/>
    <w:rsid w:val="545742F5"/>
    <w:rsid w:val="5463E8EB"/>
    <w:rsid w:val="54674FD0"/>
    <w:rsid w:val="546F5DDB"/>
    <w:rsid w:val="547AD5F5"/>
    <w:rsid w:val="54862CB7"/>
    <w:rsid w:val="548A05C3"/>
    <w:rsid w:val="548DBBE3"/>
    <w:rsid w:val="5498676B"/>
    <w:rsid w:val="54A08CF8"/>
    <w:rsid w:val="54A08FA0"/>
    <w:rsid w:val="54A4A1F7"/>
    <w:rsid w:val="54A67D1F"/>
    <w:rsid w:val="54A7438E"/>
    <w:rsid w:val="54ABCD3E"/>
    <w:rsid w:val="54B0B782"/>
    <w:rsid w:val="54BF158F"/>
    <w:rsid w:val="54D6E0A4"/>
    <w:rsid w:val="54DCE375"/>
    <w:rsid w:val="54E7CA7C"/>
    <w:rsid w:val="54ED4BF9"/>
    <w:rsid w:val="54F9205A"/>
    <w:rsid w:val="54FA0A92"/>
    <w:rsid w:val="54FB692D"/>
    <w:rsid w:val="550662F7"/>
    <w:rsid w:val="5509DDF6"/>
    <w:rsid w:val="5513EE46"/>
    <w:rsid w:val="5523EF05"/>
    <w:rsid w:val="552714AD"/>
    <w:rsid w:val="5527EF2D"/>
    <w:rsid w:val="5534ADBC"/>
    <w:rsid w:val="55356BA5"/>
    <w:rsid w:val="553FCFA0"/>
    <w:rsid w:val="55409866"/>
    <w:rsid w:val="5547ED42"/>
    <w:rsid w:val="5551E20C"/>
    <w:rsid w:val="55555692"/>
    <w:rsid w:val="555F2F57"/>
    <w:rsid w:val="55634BF9"/>
    <w:rsid w:val="55641FE4"/>
    <w:rsid w:val="5567ED60"/>
    <w:rsid w:val="55723BC2"/>
    <w:rsid w:val="558923E0"/>
    <w:rsid w:val="5591CB9F"/>
    <w:rsid w:val="559F42F2"/>
    <w:rsid w:val="559FC698"/>
    <w:rsid w:val="55A2E518"/>
    <w:rsid w:val="55A88970"/>
    <w:rsid w:val="55AC5FB2"/>
    <w:rsid w:val="55AE81C4"/>
    <w:rsid w:val="55B16D0D"/>
    <w:rsid w:val="55B18173"/>
    <w:rsid w:val="55CA90C7"/>
    <w:rsid w:val="55CCEB02"/>
    <w:rsid w:val="55D459B9"/>
    <w:rsid w:val="55D5D610"/>
    <w:rsid w:val="55D69698"/>
    <w:rsid w:val="55D7E163"/>
    <w:rsid w:val="55FE6ADD"/>
    <w:rsid w:val="56017A43"/>
    <w:rsid w:val="561E0B08"/>
    <w:rsid w:val="562E1ED2"/>
    <w:rsid w:val="562E9814"/>
    <w:rsid w:val="5637449F"/>
    <w:rsid w:val="56404A8B"/>
    <w:rsid w:val="56440B5B"/>
    <w:rsid w:val="5651CA7D"/>
    <w:rsid w:val="56578DDB"/>
    <w:rsid w:val="56607691"/>
    <w:rsid w:val="56656073"/>
    <w:rsid w:val="5674CF05"/>
    <w:rsid w:val="5675F5C3"/>
    <w:rsid w:val="5679B700"/>
    <w:rsid w:val="567CF7E6"/>
    <w:rsid w:val="56841278"/>
    <w:rsid w:val="5685330B"/>
    <w:rsid w:val="56AAF2B7"/>
    <w:rsid w:val="56B5D3A8"/>
    <w:rsid w:val="56BFEE8D"/>
    <w:rsid w:val="56CBD695"/>
    <w:rsid w:val="56DD7E7D"/>
    <w:rsid w:val="56F0FAAD"/>
    <w:rsid w:val="56F9A6E2"/>
    <w:rsid w:val="57055A5F"/>
    <w:rsid w:val="570683AB"/>
    <w:rsid w:val="570AEA2B"/>
    <w:rsid w:val="570BF13D"/>
    <w:rsid w:val="57179D54"/>
    <w:rsid w:val="5719136F"/>
    <w:rsid w:val="571E0CB3"/>
    <w:rsid w:val="572746CA"/>
    <w:rsid w:val="572A1C73"/>
    <w:rsid w:val="575FC803"/>
    <w:rsid w:val="57682B8E"/>
    <w:rsid w:val="576B779D"/>
    <w:rsid w:val="576E7E8B"/>
    <w:rsid w:val="576F3232"/>
    <w:rsid w:val="57703617"/>
    <w:rsid w:val="5772C051"/>
    <w:rsid w:val="577C8447"/>
    <w:rsid w:val="578043B4"/>
    <w:rsid w:val="578D2C56"/>
    <w:rsid w:val="5793841B"/>
    <w:rsid w:val="579D969E"/>
    <w:rsid w:val="57A77EA9"/>
    <w:rsid w:val="57AF8105"/>
    <w:rsid w:val="57BC54C5"/>
    <w:rsid w:val="57BF7634"/>
    <w:rsid w:val="57CF53DF"/>
    <w:rsid w:val="57D129D0"/>
    <w:rsid w:val="57D7571F"/>
    <w:rsid w:val="57D90081"/>
    <w:rsid w:val="57E3F6B0"/>
    <w:rsid w:val="57E4E298"/>
    <w:rsid w:val="57F9573B"/>
    <w:rsid w:val="57FA1337"/>
    <w:rsid w:val="57FC965D"/>
    <w:rsid w:val="58016B9E"/>
    <w:rsid w:val="58087265"/>
    <w:rsid w:val="5819F1D3"/>
    <w:rsid w:val="581D97DB"/>
    <w:rsid w:val="582B58DD"/>
    <w:rsid w:val="582CDA41"/>
    <w:rsid w:val="5832919C"/>
    <w:rsid w:val="583EADCC"/>
    <w:rsid w:val="584285D3"/>
    <w:rsid w:val="58461108"/>
    <w:rsid w:val="586A7477"/>
    <w:rsid w:val="586D0C67"/>
    <w:rsid w:val="5876E9E8"/>
    <w:rsid w:val="587795F8"/>
    <w:rsid w:val="58825177"/>
    <w:rsid w:val="58870701"/>
    <w:rsid w:val="588E57BD"/>
    <w:rsid w:val="588EAE2F"/>
    <w:rsid w:val="5894CE61"/>
    <w:rsid w:val="589E62D2"/>
    <w:rsid w:val="58A683E9"/>
    <w:rsid w:val="58A79C45"/>
    <w:rsid w:val="58B5C586"/>
    <w:rsid w:val="58B6CDC8"/>
    <w:rsid w:val="58B9F757"/>
    <w:rsid w:val="58C14B3D"/>
    <w:rsid w:val="58CBAF48"/>
    <w:rsid w:val="58D90B54"/>
    <w:rsid w:val="58DBC21F"/>
    <w:rsid w:val="58DBFC77"/>
    <w:rsid w:val="58F0B6BE"/>
    <w:rsid w:val="58F86B36"/>
    <w:rsid w:val="59026003"/>
    <w:rsid w:val="59092D82"/>
    <w:rsid w:val="5915DAEA"/>
    <w:rsid w:val="5918444B"/>
    <w:rsid w:val="59185D39"/>
    <w:rsid w:val="5928D824"/>
    <w:rsid w:val="59290022"/>
    <w:rsid w:val="59333F59"/>
    <w:rsid w:val="59429F0B"/>
    <w:rsid w:val="594B3995"/>
    <w:rsid w:val="594EE05A"/>
    <w:rsid w:val="595D9FA4"/>
    <w:rsid w:val="596D200F"/>
    <w:rsid w:val="5977DB1C"/>
    <w:rsid w:val="59823840"/>
    <w:rsid w:val="59AAE198"/>
    <w:rsid w:val="59B2CF87"/>
    <w:rsid w:val="59C8AAA2"/>
    <w:rsid w:val="59CB42F5"/>
    <w:rsid w:val="59D07DF3"/>
    <w:rsid w:val="59DC234A"/>
    <w:rsid w:val="59E73342"/>
    <w:rsid w:val="59EB7156"/>
    <w:rsid w:val="5A044864"/>
    <w:rsid w:val="5A0632CA"/>
    <w:rsid w:val="5A077B27"/>
    <w:rsid w:val="5A1E686F"/>
    <w:rsid w:val="5A214975"/>
    <w:rsid w:val="5A215DFD"/>
    <w:rsid w:val="5A24DF3A"/>
    <w:rsid w:val="5A26B45C"/>
    <w:rsid w:val="5A2E0C83"/>
    <w:rsid w:val="5A4624C0"/>
    <w:rsid w:val="5A46ED86"/>
    <w:rsid w:val="5A6F1A83"/>
    <w:rsid w:val="5A7B744C"/>
    <w:rsid w:val="5A821A87"/>
    <w:rsid w:val="5A8F1726"/>
    <w:rsid w:val="5AAD1660"/>
    <w:rsid w:val="5AB33C42"/>
    <w:rsid w:val="5AB7D28D"/>
    <w:rsid w:val="5ABACABE"/>
    <w:rsid w:val="5ABDC509"/>
    <w:rsid w:val="5ACF2392"/>
    <w:rsid w:val="5AE03256"/>
    <w:rsid w:val="5AE11665"/>
    <w:rsid w:val="5AE68B8A"/>
    <w:rsid w:val="5B00FCD0"/>
    <w:rsid w:val="5B09BDBD"/>
    <w:rsid w:val="5B246F50"/>
    <w:rsid w:val="5B33BE11"/>
    <w:rsid w:val="5B34371F"/>
    <w:rsid w:val="5B3652A8"/>
    <w:rsid w:val="5B4A3F90"/>
    <w:rsid w:val="5B611FF8"/>
    <w:rsid w:val="5B63908E"/>
    <w:rsid w:val="5B642F79"/>
    <w:rsid w:val="5B651435"/>
    <w:rsid w:val="5B6E8681"/>
    <w:rsid w:val="5B719CB2"/>
    <w:rsid w:val="5B73DD34"/>
    <w:rsid w:val="5B7C1F2E"/>
    <w:rsid w:val="5B877F85"/>
    <w:rsid w:val="5BA655A5"/>
    <w:rsid w:val="5BA9CE5B"/>
    <w:rsid w:val="5BB8072C"/>
    <w:rsid w:val="5BC13DEA"/>
    <w:rsid w:val="5BC7009C"/>
    <w:rsid w:val="5BCC72B9"/>
    <w:rsid w:val="5BCD6DAE"/>
    <w:rsid w:val="5BE358AF"/>
    <w:rsid w:val="5BE733AB"/>
    <w:rsid w:val="5BF07DB2"/>
    <w:rsid w:val="5BFAA248"/>
    <w:rsid w:val="5C078A61"/>
    <w:rsid w:val="5C16C19C"/>
    <w:rsid w:val="5C1709E2"/>
    <w:rsid w:val="5C21ADFE"/>
    <w:rsid w:val="5C27CB39"/>
    <w:rsid w:val="5C406939"/>
    <w:rsid w:val="5C4B3B6C"/>
    <w:rsid w:val="5C517C2E"/>
    <w:rsid w:val="5C55FDF7"/>
    <w:rsid w:val="5C5C5406"/>
    <w:rsid w:val="5C675856"/>
    <w:rsid w:val="5C734197"/>
    <w:rsid w:val="5C8080B3"/>
    <w:rsid w:val="5C9B3ADE"/>
    <w:rsid w:val="5C9ECEF4"/>
    <w:rsid w:val="5CA27C70"/>
    <w:rsid w:val="5CA48904"/>
    <w:rsid w:val="5CA90AD2"/>
    <w:rsid w:val="5CB71C8C"/>
    <w:rsid w:val="5CBB99EA"/>
    <w:rsid w:val="5CCBE519"/>
    <w:rsid w:val="5CCD36FC"/>
    <w:rsid w:val="5CD5E830"/>
    <w:rsid w:val="5CE9D608"/>
    <w:rsid w:val="5CF7A492"/>
    <w:rsid w:val="5CFEB53F"/>
    <w:rsid w:val="5D0BC983"/>
    <w:rsid w:val="5D0EAF18"/>
    <w:rsid w:val="5D17574E"/>
    <w:rsid w:val="5D2A9F5B"/>
    <w:rsid w:val="5D2CA2BF"/>
    <w:rsid w:val="5D30F963"/>
    <w:rsid w:val="5D3ECAFF"/>
    <w:rsid w:val="5D42719F"/>
    <w:rsid w:val="5D4AE4B7"/>
    <w:rsid w:val="5D4DA722"/>
    <w:rsid w:val="5D5E9DE5"/>
    <w:rsid w:val="5D6E62F9"/>
    <w:rsid w:val="5D85A74A"/>
    <w:rsid w:val="5D89898B"/>
    <w:rsid w:val="5D98E09D"/>
    <w:rsid w:val="5D9AA683"/>
    <w:rsid w:val="5DA047FB"/>
    <w:rsid w:val="5DA3AD8D"/>
    <w:rsid w:val="5DA8CA54"/>
    <w:rsid w:val="5DAC921A"/>
    <w:rsid w:val="5DBCCA65"/>
    <w:rsid w:val="5DC37BF0"/>
    <w:rsid w:val="5DC88020"/>
    <w:rsid w:val="5DCCE08D"/>
    <w:rsid w:val="5DD761C5"/>
    <w:rsid w:val="5DDC399A"/>
    <w:rsid w:val="5DDF5154"/>
    <w:rsid w:val="5DE5952B"/>
    <w:rsid w:val="5DE9F3AE"/>
    <w:rsid w:val="5DF40EFC"/>
    <w:rsid w:val="5E069CD7"/>
    <w:rsid w:val="5E08C6E7"/>
    <w:rsid w:val="5E1455B9"/>
    <w:rsid w:val="5E293930"/>
    <w:rsid w:val="5E36B536"/>
    <w:rsid w:val="5E4CABC9"/>
    <w:rsid w:val="5E630389"/>
    <w:rsid w:val="5E6844CF"/>
    <w:rsid w:val="5E6E1EDD"/>
    <w:rsid w:val="5E985EAE"/>
    <w:rsid w:val="5E9BC549"/>
    <w:rsid w:val="5E9C1BC5"/>
    <w:rsid w:val="5E9DCC74"/>
    <w:rsid w:val="5EB7DEA7"/>
    <w:rsid w:val="5EBAF8F1"/>
    <w:rsid w:val="5EBCD82D"/>
    <w:rsid w:val="5EC38B6A"/>
    <w:rsid w:val="5ED0A3A8"/>
    <w:rsid w:val="5ED977FF"/>
    <w:rsid w:val="5EDE2C5C"/>
    <w:rsid w:val="5EE6C911"/>
    <w:rsid w:val="5EE792C8"/>
    <w:rsid w:val="5F03A925"/>
    <w:rsid w:val="5F0CA6AB"/>
    <w:rsid w:val="5F0F39A0"/>
    <w:rsid w:val="5F111B8A"/>
    <w:rsid w:val="5F19AF7E"/>
    <w:rsid w:val="5F3785D0"/>
    <w:rsid w:val="5F4A0B42"/>
    <w:rsid w:val="5F540DDC"/>
    <w:rsid w:val="5F556B1B"/>
    <w:rsid w:val="5F5F3C7A"/>
    <w:rsid w:val="5F5F7880"/>
    <w:rsid w:val="5F7189CA"/>
    <w:rsid w:val="5F75DC67"/>
    <w:rsid w:val="5F79CDDD"/>
    <w:rsid w:val="5F7A8BD1"/>
    <w:rsid w:val="5F82DC2E"/>
    <w:rsid w:val="5F836C99"/>
    <w:rsid w:val="5F8A788C"/>
    <w:rsid w:val="5FA4CA14"/>
    <w:rsid w:val="5FAD3AA9"/>
    <w:rsid w:val="5FBADE63"/>
    <w:rsid w:val="5FD328EB"/>
    <w:rsid w:val="5FD92A8A"/>
    <w:rsid w:val="5FE076D4"/>
    <w:rsid w:val="5FE8F3B1"/>
    <w:rsid w:val="5FF0695D"/>
    <w:rsid w:val="5FF11A6F"/>
    <w:rsid w:val="6000FABF"/>
    <w:rsid w:val="6010E250"/>
    <w:rsid w:val="601190AC"/>
    <w:rsid w:val="6020FF03"/>
    <w:rsid w:val="6022C771"/>
    <w:rsid w:val="60240CD7"/>
    <w:rsid w:val="603156FA"/>
    <w:rsid w:val="603200E1"/>
    <w:rsid w:val="6039CAA2"/>
    <w:rsid w:val="6043083D"/>
    <w:rsid w:val="604B7A79"/>
    <w:rsid w:val="6052D72A"/>
    <w:rsid w:val="60572033"/>
    <w:rsid w:val="605DD647"/>
    <w:rsid w:val="6075865C"/>
    <w:rsid w:val="60865129"/>
    <w:rsid w:val="609C0E44"/>
    <w:rsid w:val="60A41FAF"/>
    <w:rsid w:val="60A93483"/>
    <w:rsid w:val="60AE3942"/>
    <w:rsid w:val="60B2C3B1"/>
    <w:rsid w:val="60B7CD02"/>
    <w:rsid w:val="60B8F92B"/>
    <w:rsid w:val="60C46214"/>
    <w:rsid w:val="60D30CBA"/>
    <w:rsid w:val="60D6C12D"/>
    <w:rsid w:val="60E6EFE4"/>
    <w:rsid w:val="60F02BBC"/>
    <w:rsid w:val="610FD9E3"/>
    <w:rsid w:val="611352E3"/>
    <w:rsid w:val="611E157F"/>
    <w:rsid w:val="611EAC8F"/>
    <w:rsid w:val="612DA924"/>
    <w:rsid w:val="61302294"/>
    <w:rsid w:val="6132E95B"/>
    <w:rsid w:val="613AC979"/>
    <w:rsid w:val="6163C4ED"/>
    <w:rsid w:val="6168C2F4"/>
    <w:rsid w:val="617509F9"/>
    <w:rsid w:val="61813A5E"/>
    <w:rsid w:val="619461F9"/>
    <w:rsid w:val="619F9EF5"/>
    <w:rsid w:val="61A0FACB"/>
    <w:rsid w:val="61AE7CD9"/>
    <w:rsid w:val="61CBB196"/>
    <w:rsid w:val="61CBCF01"/>
    <w:rsid w:val="61D3FA61"/>
    <w:rsid w:val="61E762EE"/>
    <w:rsid w:val="61F22686"/>
    <w:rsid w:val="61F549A5"/>
    <w:rsid w:val="62040445"/>
    <w:rsid w:val="62082C5F"/>
    <w:rsid w:val="620BEE78"/>
    <w:rsid w:val="621680EC"/>
    <w:rsid w:val="62252A1D"/>
    <w:rsid w:val="62280524"/>
    <w:rsid w:val="62306E1C"/>
    <w:rsid w:val="6239AB24"/>
    <w:rsid w:val="623A12C0"/>
    <w:rsid w:val="623B49E7"/>
    <w:rsid w:val="623FE735"/>
    <w:rsid w:val="623FF010"/>
    <w:rsid w:val="624D3B21"/>
    <w:rsid w:val="625C04B8"/>
    <w:rsid w:val="625C49FB"/>
    <w:rsid w:val="6265FBB3"/>
    <w:rsid w:val="62781E81"/>
    <w:rsid w:val="62817D4A"/>
    <w:rsid w:val="6281DB01"/>
    <w:rsid w:val="6285B2CF"/>
    <w:rsid w:val="6288DC0F"/>
    <w:rsid w:val="628E671E"/>
    <w:rsid w:val="629BF143"/>
    <w:rsid w:val="629F9EE8"/>
    <w:rsid w:val="62A0E889"/>
    <w:rsid w:val="62A5620F"/>
    <w:rsid w:val="62A8799E"/>
    <w:rsid w:val="62CC07AB"/>
    <w:rsid w:val="62D088E7"/>
    <w:rsid w:val="62D08BF2"/>
    <w:rsid w:val="62D17585"/>
    <w:rsid w:val="62D23C3B"/>
    <w:rsid w:val="62D699DA"/>
    <w:rsid w:val="6308DC32"/>
    <w:rsid w:val="630A1E38"/>
    <w:rsid w:val="630FBA65"/>
    <w:rsid w:val="63181796"/>
    <w:rsid w:val="63184787"/>
    <w:rsid w:val="631C7A78"/>
    <w:rsid w:val="631EE7E9"/>
    <w:rsid w:val="6335CA7D"/>
    <w:rsid w:val="6349C2EA"/>
    <w:rsid w:val="634C5F0C"/>
    <w:rsid w:val="6351087B"/>
    <w:rsid w:val="635B1386"/>
    <w:rsid w:val="636F8CE8"/>
    <w:rsid w:val="6377840B"/>
    <w:rsid w:val="637E9EEB"/>
    <w:rsid w:val="63800E48"/>
    <w:rsid w:val="63A08772"/>
    <w:rsid w:val="63A56A0B"/>
    <w:rsid w:val="63A7A0E7"/>
    <w:rsid w:val="63A96354"/>
    <w:rsid w:val="63B3AE60"/>
    <w:rsid w:val="63B84120"/>
    <w:rsid w:val="63B8B34B"/>
    <w:rsid w:val="63BA5B38"/>
    <w:rsid w:val="63C025FF"/>
    <w:rsid w:val="63C0DBDC"/>
    <w:rsid w:val="63C3AA05"/>
    <w:rsid w:val="63C93045"/>
    <w:rsid w:val="63DBC071"/>
    <w:rsid w:val="63E0D545"/>
    <w:rsid w:val="63EC0E78"/>
    <w:rsid w:val="63EF6DC4"/>
    <w:rsid w:val="63F41CC9"/>
    <w:rsid w:val="63FC9625"/>
    <w:rsid w:val="6404F315"/>
    <w:rsid w:val="642031F6"/>
    <w:rsid w:val="64252607"/>
    <w:rsid w:val="64262952"/>
    <w:rsid w:val="6428274B"/>
    <w:rsid w:val="643F8493"/>
    <w:rsid w:val="644A9796"/>
    <w:rsid w:val="644B978B"/>
    <w:rsid w:val="64533A91"/>
    <w:rsid w:val="645CEF52"/>
    <w:rsid w:val="64646D8C"/>
    <w:rsid w:val="646E4C97"/>
    <w:rsid w:val="64726A3B"/>
    <w:rsid w:val="6473D7F1"/>
    <w:rsid w:val="6473F70B"/>
    <w:rsid w:val="6476D89E"/>
    <w:rsid w:val="6484D4F4"/>
    <w:rsid w:val="648B2465"/>
    <w:rsid w:val="6493192E"/>
    <w:rsid w:val="6496E711"/>
    <w:rsid w:val="649AC56C"/>
    <w:rsid w:val="64A0C108"/>
    <w:rsid w:val="64A3E381"/>
    <w:rsid w:val="64B5475D"/>
    <w:rsid w:val="64BD9D48"/>
    <w:rsid w:val="64C1F108"/>
    <w:rsid w:val="64D5F77C"/>
    <w:rsid w:val="64D6C657"/>
    <w:rsid w:val="64D94E5C"/>
    <w:rsid w:val="64DE3AC1"/>
    <w:rsid w:val="64DF5CBB"/>
    <w:rsid w:val="64DF8A11"/>
    <w:rsid w:val="6502DC5A"/>
    <w:rsid w:val="650A6869"/>
    <w:rsid w:val="650B5D49"/>
    <w:rsid w:val="6519291D"/>
    <w:rsid w:val="651AB6D7"/>
    <w:rsid w:val="651C8473"/>
    <w:rsid w:val="6528B162"/>
    <w:rsid w:val="653906C3"/>
    <w:rsid w:val="653AE3EF"/>
    <w:rsid w:val="65413A6C"/>
    <w:rsid w:val="6545F7BF"/>
    <w:rsid w:val="655FD5C9"/>
    <w:rsid w:val="6561E094"/>
    <w:rsid w:val="6572EAA9"/>
    <w:rsid w:val="65794B61"/>
    <w:rsid w:val="65864FE6"/>
    <w:rsid w:val="6587073B"/>
    <w:rsid w:val="658B3E25"/>
    <w:rsid w:val="6590B92F"/>
    <w:rsid w:val="659336D7"/>
    <w:rsid w:val="65B94CC6"/>
    <w:rsid w:val="65BA0073"/>
    <w:rsid w:val="65C0F668"/>
    <w:rsid w:val="65C3178E"/>
    <w:rsid w:val="65C990AA"/>
    <w:rsid w:val="65CDD3D0"/>
    <w:rsid w:val="65DBC9E3"/>
    <w:rsid w:val="65E755F2"/>
    <w:rsid w:val="65E8C298"/>
    <w:rsid w:val="65E8C300"/>
    <w:rsid w:val="65F23307"/>
    <w:rsid w:val="65F3D46E"/>
    <w:rsid w:val="65F3F2A8"/>
    <w:rsid w:val="65F6EED2"/>
    <w:rsid w:val="65FCFF8E"/>
    <w:rsid w:val="65FDEA75"/>
    <w:rsid w:val="6607D5D6"/>
    <w:rsid w:val="66091647"/>
    <w:rsid w:val="6618FDB5"/>
    <w:rsid w:val="66191AC2"/>
    <w:rsid w:val="6630A0B1"/>
    <w:rsid w:val="663A0590"/>
    <w:rsid w:val="663D9C9A"/>
    <w:rsid w:val="6647F031"/>
    <w:rsid w:val="66519449"/>
    <w:rsid w:val="666034F6"/>
    <w:rsid w:val="6665203E"/>
    <w:rsid w:val="6665A25A"/>
    <w:rsid w:val="66717F0E"/>
    <w:rsid w:val="6674DF4C"/>
    <w:rsid w:val="66871253"/>
    <w:rsid w:val="66883B20"/>
    <w:rsid w:val="668E3FA4"/>
    <w:rsid w:val="66917AAE"/>
    <w:rsid w:val="669D4C19"/>
    <w:rsid w:val="669F4024"/>
    <w:rsid w:val="66AD9ABE"/>
    <w:rsid w:val="66B8A21F"/>
    <w:rsid w:val="66BC6FB3"/>
    <w:rsid w:val="66C10C20"/>
    <w:rsid w:val="66CF95E7"/>
    <w:rsid w:val="66D18CA3"/>
    <w:rsid w:val="66D8D39D"/>
    <w:rsid w:val="66DD0ACD"/>
    <w:rsid w:val="66E7CF5C"/>
    <w:rsid w:val="66E8FA4B"/>
    <w:rsid w:val="66F262AD"/>
    <w:rsid w:val="66F2A8DF"/>
    <w:rsid w:val="6701B51A"/>
    <w:rsid w:val="6704BBAB"/>
    <w:rsid w:val="6708F1E8"/>
    <w:rsid w:val="670EBB0A"/>
    <w:rsid w:val="67136133"/>
    <w:rsid w:val="671C9177"/>
    <w:rsid w:val="672F0738"/>
    <w:rsid w:val="6732857C"/>
    <w:rsid w:val="674E1E52"/>
    <w:rsid w:val="6767A499"/>
    <w:rsid w:val="67697236"/>
    <w:rsid w:val="676D5895"/>
    <w:rsid w:val="678314D8"/>
    <w:rsid w:val="678599AB"/>
    <w:rsid w:val="678DEE13"/>
    <w:rsid w:val="679C74F2"/>
    <w:rsid w:val="67AFEFCA"/>
    <w:rsid w:val="67C7B676"/>
    <w:rsid w:val="67CD8FAD"/>
    <w:rsid w:val="67DA26ED"/>
    <w:rsid w:val="67EB0DF9"/>
    <w:rsid w:val="67EB88B9"/>
    <w:rsid w:val="67F6DD7A"/>
    <w:rsid w:val="67F88DA1"/>
    <w:rsid w:val="681FA8DC"/>
    <w:rsid w:val="682EFDE2"/>
    <w:rsid w:val="6831E522"/>
    <w:rsid w:val="68349D99"/>
    <w:rsid w:val="6836215C"/>
    <w:rsid w:val="68377424"/>
    <w:rsid w:val="683B1085"/>
    <w:rsid w:val="684E1317"/>
    <w:rsid w:val="68639B33"/>
    <w:rsid w:val="68732115"/>
    <w:rsid w:val="687E94A0"/>
    <w:rsid w:val="688A2A71"/>
    <w:rsid w:val="68903702"/>
    <w:rsid w:val="6891630E"/>
    <w:rsid w:val="689608EA"/>
    <w:rsid w:val="68A4D0F1"/>
    <w:rsid w:val="68B406A4"/>
    <w:rsid w:val="68BA916D"/>
    <w:rsid w:val="68CCC239"/>
    <w:rsid w:val="68D89BC9"/>
    <w:rsid w:val="68FAFCFC"/>
    <w:rsid w:val="69047044"/>
    <w:rsid w:val="6908077C"/>
    <w:rsid w:val="691721E2"/>
    <w:rsid w:val="6921A7AA"/>
    <w:rsid w:val="69238D0F"/>
    <w:rsid w:val="69286BB5"/>
    <w:rsid w:val="69324889"/>
    <w:rsid w:val="693F1963"/>
    <w:rsid w:val="693F5256"/>
    <w:rsid w:val="6945F974"/>
    <w:rsid w:val="694776FC"/>
    <w:rsid w:val="694A5DBF"/>
    <w:rsid w:val="694A7AAF"/>
    <w:rsid w:val="6950268A"/>
    <w:rsid w:val="695EF59A"/>
    <w:rsid w:val="6961A148"/>
    <w:rsid w:val="69657294"/>
    <w:rsid w:val="6968467A"/>
    <w:rsid w:val="6970F72F"/>
    <w:rsid w:val="6976F324"/>
    <w:rsid w:val="697B2640"/>
    <w:rsid w:val="697F6C8F"/>
    <w:rsid w:val="69B5C2F5"/>
    <w:rsid w:val="69B88B3E"/>
    <w:rsid w:val="69BF80D3"/>
    <w:rsid w:val="69C86429"/>
    <w:rsid w:val="69CE9143"/>
    <w:rsid w:val="69D266FD"/>
    <w:rsid w:val="69E326EF"/>
    <w:rsid w:val="69E94432"/>
    <w:rsid w:val="69EE321C"/>
    <w:rsid w:val="69EE7A0F"/>
    <w:rsid w:val="69F0B379"/>
    <w:rsid w:val="69FB2681"/>
    <w:rsid w:val="6A0E8255"/>
    <w:rsid w:val="6A152014"/>
    <w:rsid w:val="6A181D44"/>
    <w:rsid w:val="6A2697F5"/>
    <w:rsid w:val="6A27F4CF"/>
    <w:rsid w:val="6A2E8446"/>
    <w:rsid w:val="6A36EEFA"/>
    <w:rsid w:val="6A4B01F5"/>
    <w:rsid w:val="6A55A63C"/>
    <w:rsid w:val="6A66F354"/>
    <w:rsid w:val="6A6E3E46"/>
    <w:rsid w:val="6A733571"/>
    <w:rsid w:val="6AA06E8D"/>
    <w:rsid w:val="6AA80712"/>
    <w:rsid w:val="6AB85B6D"/>
    <w:rsid w:val="6AE4EA74"/>
    <w:rsid w:val="6AE7FFCA"/>
    <w:rsid w:val="6AE8A539"/>
    <w:rsid w:val="6AEE7E4A"/>
    <w:rsid w:val="6AF7A9ED"/>
    <w:rsid w:val="6AF82BEE"/>
    <w:rsid w:val="6AFCF441"/>
    <w:rsid w:val="6B04792E"/>
    <w:rsid w:val="6B149EF5"/>
    <w:rsid w:val="6B1B3CF0"/>
    <w:rsid w:val="6B1CBB38"/>
    <w:rsid w:val="6B315C58"/>
    <w:rsid w:val="6B379275"/>
    <w:rsid w:val="6B3F1FD2"/>
    <w:rsid w:val="6B40A693"/>
    <w:rsid w:val="6B44377B"/>
    <w:rsid w:val="6B4856A1"/>
    <w:rsid w:val="6B499C8E"/>
    <w:rsid w:val="6B4B8FA6"/>
    <w:rsid w:val="6B4FFFBF"/>
    <w:rsid w:val="6B58B3FB"/>
    <w:rsid w:val="6B5B6D87"/>
    <w:rsid w:val="6B65B8A6"/>
    <w:rsid w:val="6B665099"/>
    <w:rsid w:val="6B693A50"/>
    <w:rsid w:val="6B72AAD3"/>
    <w:rsid w:val="6B776FB0"/>
    <w:rsid w:val="6B8232D8"/>
    <w:rsid w:val="6B96D857"/>
    <w:rsid w:val="6BAC3C2E"/>
    <w:rsid w:val="6BAEE061"/>
    <w:rsid w:val="6BAFAFF8"/>
    <w:rsid w:val="6BD3F22C"/>
    <w:rsid w:val="6BF407EC"/>
    <w:rsid w:val="6BF4705F"/>
    <w:rsid w:val="6BFE3BDD"/>
    <w:rsid w:val="6C05E06D"/>
    <w:rsid w:val="6C0F7447"/>
    <w:rsid w:val="6C1C1059"/>
    <w:rsid w:val="6C21C2DB"/>
    <w:rsid w:val="6C2F5DC6"/>
    <w:rsid w:val="6C3037EC"/>
    <w:rsid w:val="6C3CE359"/>
    <w:rsid w:val="6C3E5A4A"/>
    <w:rsid w:val="6C3F5BD8"/>
    <w:rsid w:val="6C40964A"/>
    <w:rsid w:val="6C49E3B2"/>
    <w:rsid w:val="6C4A9678"/>
    <w:rsid w:val="6C509F7D"/>
    <w:rsid w:val="6C51DB3A"/>
    <w:rsid w:val="6C563711"/>
    <w:rsid w:val="6C5A5CF8"/>
    <w:rsid w:val="6C6210ED"/>
    <w:rsid w:val="6C6970F9"/>
    <w:rsid w:val="6C69E3A2"/>
    <w:rsid w:val="6C87C1B1"/>
    <w:rsid w:val="6C99AC6D"/>
    <w:rsid w:val="6C9ABEC6"/>
    <w:rsid w:val="6C9BE21E"/>
    <w:rsid w:val="6CAAECEE"/>
    <w:rsid w:val="6CAE1AFB"/>
    <w:rsid w:val="6CB68186"/>
    <w:rsid w:val="6CBAE141"/>
    <w:rsid w:val="6CC1AB09"/>
    <w:rsid w:val="6CC9DCD2"/>
    <w:rsid w:val="6CCFDFDC"/>
    <w:rsid w:val="6CD063F7"/>
    <w:rsid w:val="6CDA4AF1"/>
    <w:rsid w:val="6CDB891F"/>
    <w:rsid w:val="6CDD2B7A"/>
    <w:rsid w:val="6CE923C4"/>
    <w:rsid w:val="6CEB68EC"/>
    <w:rsid w:val="6CEF167B"/>
    <w:rsid w:val="6CF03191"/>
    <w:rsid w:val="6D09CD8D"/>
    <w:rsid w:val="6D1C33A4"/>
    <w:rsid w:val="6D301955"/>
    <w:rsid w:val="6D3BD420"/>
    <w:rsid w:val="6D3CDC27"/>
    <w:rsid w:val="6D4CF528"/>
    <w:rsid w:val="6D5BE4DC"/>
    <w:rsid w:val="6D5CEF18"/>
    <w:rsid w:val="6D5D0FFC"/>
    <w:rsid w:val="6D62EBE3"/>
    <w:rsid w:val="6D683A42"/>
    <w:rsid w:val="6D69BFD7"/>
    <w:rsid w:val="6D7031BC"/>
    <w:rsid w:val="6D79EA5F"/>
    <w:rsid w:val="6D7D90DD"/>
    <w:rsid w:val="6D8DAE88"/>
    <w:rsid w:val="6D9BE69A"/>
    <w:rsid w:val="6D9E6562"/>
    <w:rsid w:val="6DA68491"/>
    <w:rsid w:val="6DAE690F"/>
    <w:rsid w:val="6DB2DFF0"/>
    <w:rsid w:val="6DB3B057"/>
    <w:rsid w:val="6DBDF246"/>
    <w:rsid w:val="6DC77B71"/>
    <w:rsid w:val="6DCC2BCC"/>
    <w:rsid w:val="6DD13491"/>
    <w:rsid w:val="6DDAB124"/>
    <w:rsid w:val="6DDAD550"/>
    <w:rsid w:val="6DDBE8E5"/>
    <w:rsid w:val="6DDFCEED"/>
    <w:rsid w:val="6DE7B551"/>
    <w:rsid w:val="6DED4CAD"/>
    <w:rsid w:val="6DF15354"/>
    <w:rsid w:val="6DF1C1CF"/>
    <w:rsid w:val="6DF22514"/>
    <w:rsid w:val="6DF26181"/>
    <w:rsid w:val="6DF626A2"/>
    <w:rsid w:val="6E0811AA"/>
    <w:rsid w:val="6E0B9BD3"/>
    <w:rsid w:val="6E1CA057"/>
    <w:rsid w:val="6E239A86"/>
    <w:rsid w:val="6E342611"/>
    <w:rsid w:val="6E486F4A"/>
    <w:rsid w:val="6E4CCA05"/>
    <w:rsid w:val="6E5524D2"/>
    <w:rsid w:val="6E564997"/>
    <w:rsid w:val="6E86D21B"/>
    <w:rsid w:val="6E8ABA38"/>
    <w:rsid w:val="6E8E7E59"/>
    <w:rsid w:val="6EA1D43C"/>
    <w:rsid w:val="6EA9D4E3"/>
    <w:rsid w:val="6EAACF72"/>
    <w:rsid w:val="6EC5AEE6"/>
    <w:rsid w:val="6ECDC846"/>
    <w:rsid w:val="6ED57582"/>
    <w:rsid w:val="6EE4858A"/>
    <w:rsid w:val="6EE57860"/>
    <w:rsid w:val="6F0EFF08"/>
    <w:rsid w:val="6F1C54B7"/>
    <w:rsid w:val="6F212374"/>
    <w:rsid w:val="6F25165E"/>
    <w:rsid w:val="6F2BFADC"/>
    <w:rsid w:val="6F2CBC34"/>
    <w:rsid w:val="6F3E9570"/>
    <w:rsid w:val="6F3EC94A"/>
    <w:rsid w:val="6F46D7EC"/>
    <w:rsid w:val="6F4CFB68"/>
    <w:rsid w:val="6F512AE5"/>
    <w:rsid w:val="6F5C9641"/>
    <w:rsid w:val="6F5E2F7B"/>
    <w:rsid w:val="6F621381"/>
    <w:rsid w:val="6F682DE5"/>
    <w:rsid w:val="6F76D1EE"/>
    <w:rsid w:val="6F93E47A"/>
    <w:rsid w:val="6FA5AFC7"/>
    <w:rsid w:val="6FB2EC75"/>
    <w:rsid w:val="6FC19D5B"/>
    <w:rsid w:val="6FC27F9E"/>
    <w:rsid w:val="6FD585B6"/>
    <w:rsid w:val="6FDA0C4A"/>
    <w:rsid w:val="6FDE116A"/>
    <w:rsid w:val="6FDF75DA"/>
    <w:rsid w:val="6FE19917"/>
    <w:rsid w:val="6FE7AE09"/>
    <w:rsid w:val="6FE83D72"/>
    <w:rsid w:val="6FED91D3"/>
    <w:rsid w:val="6FF2D3EE"/>
    <w:rsid w:val="6FF56A5E"/>
    <w:rsid w:val="6FFB6B8E"/>
    <w:rsid w:val="7004484E"/>
    <w:rsid w:val="7005681F"/>
    <w:rsid w:val="7010F413"/>
    <w:rsid w:val="70133BDC"/>
    <w:rsid w:val="701AD45A"/>
    <w:rsid w:val="701F2823"/>
    <w:rsid w:val="70260181"/>
    <w:rsid w:val="7027F1E6"/>
    <w:rsid w:val="702A5914"/>
    <w:rsid w:val="7046226A"/>
    <w:rsid w:val="70598C6E"/>
    <w:rsid w:val="705B09AF"/>
    <w:rsid w:val="7067D217"/>
    <w:rsid w:val="708BAA26"/>
    <w:rsid w:val="70A2B8E5"/>
    <w:rsid w:val="70A69592"/>
    <w:rsid w:val="70B05494"/>
    <w:rsid w:val="70B644A4"/>
    <w:rsid w:val="70B9DB0B"/>
    <w:rsid w:val="70CF997C"/>
    <w:rsid w:val="70D0BF7A"/>
    <w:rsid w:val="70D43524"/>
    <w:rsid w:val="70DC791B"/>
    <w:rsid w:val="70DCD956"/>
    <w:rsid w:val="70E73033"/>
    <w:rsid w:val="70EA5BAE"/>
    <w:rsid w:val="70FDB323"/>
    <w:rsid w:val="71013C17"/>
    <w:rsid w:val="71062543"/>
    <w:rsid w:val="710A6C28"/>
    <w:rsid w:val="710F8229"/>
    <w:rsid w:val="711CEB98"/>
    <w:rsid w:val="711E7AE1"/>
    <w:rsid w:val="712A0243"/>
    <w:rsid w:val="712A4627"/>
    <w:rsid w:val="713AD565"/>
    <w:rsid w:val="713F2947"/>
    <w:rsid w:val="71410283"/>
    <w:rsid w:val="7141A717"/>
    <w:rsid w:val="715277D1"/>
    <w:rsid w:val="71530CE0"/>
    <w:rsid w:val="71604DF6"/>
    <w:rsid w:val="71605188"/>
    <w:rsid w:val="71612094"/>
    <w:rsid w:val="716C7285"/>
    <w:rsid w:val="71708479"/>
    <w:rsid w:val="7175D833"/>
    <w:rsid w:val="718A4207"/>
    <w:rsid w:val="718AA747"/>
    <w:rsid w:val="71B1146B"/>
    <w:rsid w:val="71B4B520"/>
    <w:rsid w:val="71CB62C1"/>
    <w:rsid w:val="71D224D0"/>
    <w:rsid w:val="71D42359"/>
    <w:rsid w:val="71DCF39D"/>
    <w:rsid w:val="71E0A5A2"/>
    <w:rsid w:val="71E2CFEE"/>
    <w:rsid w:val="71E555F0"/>
    <w:rsid w:val="71ECB5D6"/>
    <w:rsid w:val="720016E0"/>
    <w:rsid w:val="7201D9B7"/>
    <w:rsid w:val="721225E1"/>
    <w:rsid w:val="7217E45A"/>
    <w:rsid w:val="72197A83"/>
    <w:rsid w:val="721B7F66"/>
    <w:rsid w:val="721E1A1E"/>
    <w:rsid w:val="72259CB3"/>
    <w:rsid w:val="72262A13"/>
    <w:rsid w:val="7228934C"/>
    <w:rsid w:val="7231FFFD"/>
    <w:rsid w:val="72374D22"/>
    <w:rsid w:val="723FBCFA"/>
    <w:rsid w:val="725D13A1"/>
    <w:rsid w:val="725D3CEA"/>
    <w:rsid w:val="726978D4"/>
    <w:rsid w:val="726F83F1"/>
    <w:rsid w:val="72700585"/>
    <w:rsid w:val="72787D5A"/>
    <w:rsid w:val="727EE7D3"/>
    <w:rsid w:val="7281ACA9"/>
    <w:rsid w:val="72873853"/>
    <w:rsid w:val="728AFEE2"/>
    <w:rsid w:val="72943C6D"/>
    <w:rsid w:val="729900E8"/>
    <w:rsid w:val="729AF0BE"/>
    <w:rsid w:val="72A54D23"/>
    <w:rsid w:val="72AB528A"/>
    <w:rsid w:val="72AC24DD"/>
    <w:rsid w:val="72B126B5"/>
    <w:rsid w:val="72B752FF"/>
    <w:rsid w:val="72C0E412"/>
    <w:rsid w:val="72C42F5D"/>
    <w:rsid w:val="72C4E31D"/>
    <w:rsid w:val="72C5DEBA"/>
    <w:rsid w:val="72CA5713"/>
    <w:rsid w:val="72E08771"/>
    <w:rsid w:val="72EE4832"/>
    <w:rsid w:val="72F6BC1E"/>
    <w:rsid w:val="72F6C2B1"/>
    <w:rsid w:val="730B4610"/>
    <w:rsid w:val="733628E6"/>
    <w:rsid w:val="73387329"/>
    <w:rsid w:val="7343734F"/>
    <w:rsid w:val="73471497"/>
    <w:rsid w:val="734B5BD2"/>
    <w:rsid w:val="735D9920"/>
    <w:rsid w:val="736903B0"/>
    <w:rsid w:val="73719A3D"/>
    <w:rsid w:val="73739A0A"/>
    <w:rsid w:val="737A724F"/>
    <w:rsid w:val="737E1914"/>
    <w:rsid w:val="73979CB5"/>
    <w:rsid w:val="73A0691D"/>
    <w:rsid w:val="73A5B280"/>
    <w:rsid w:val="73A75AA5"/>
    <w:rsid w:val="73AA2EE8"/>
    <w:rsid w:val="73B0752D"/>
    <w:rsid w:val="73B71499"/>
    <w:rsid w:val="73BD1B17"/>
    <w:rsid w:val="73C14747"/>
    <w:rsid w:val="73D31D83"/>
    <w:rsid w:val="73D41AE1"/>
    <w:rsid w:val="73D74361"/>
    <w:rsid w:val="73D86017"/>
    <w:rsid w:val="73DA1FFD"/>
    <w:rsid w:val="73DD058D"/>
    <w:rsid w:val="73DEBDC8"/>
    <w:rsid w:val="73E33585"/>
    <w:rsid w:val="73E99D9D"/>
    <w:rsid w:val="7404D83C"/>
    <w:rsid w:val="7407E56A"/>
    <w:rsid w:val="74091C87"/>
    <w:rsid w:val="740FE1A8"/>
    <w:rsid w:val="7410B41E"/>
    <w:rsid w:val="7413E867"/>
    <w:rsid w:val="7419B6C7"/>
    <w:rsid w:val="741C1C70"/>
    <w:rsid w:val="7420C914"/>
    <w:rsid w:val="742DCB46"/>
    <w:rsid w:val="742E0806"/>
    <w:rsid w:val="74455A42"/>
    <w:rsid w:val="7449E974"/>
    <w:rsid w:val="744A5F65"/>
    <w:rsid w:val="744C5B50"/>
    <w:rsid w:val="7450355D"/>
    <w:rsid w:val="74778D6F"/>
    <w:rsid w:val="7480C52D"/>
    <w:rsid w:val="74AA3BA3"/>
    <w:rsid w:val="74B34669"/>
    <w:rsid w:val="74C34521"/>
    <w:rsid w:val="74DA44B7"/>
    <w:rsid w:val="74DAF2B0"/>
    <w:rsid w:val="74E198A7"/>
    <w:rsid w:val="74F23955"/>
    <w:rsid w:val="750282F5"/>
    <w:rsid w:val="7505E993"/>
    <w:rsid w:val="750F4B35"/>
    <w:rsid w:val="7515325C"/>
    <w:rsid w:val="75176ACF"/>
    <w:rsid w:val="751C7750"/>
    <w:rsid w:val="75276322"/>
    <w:rsid w:val="753E6182"/>
    <w:rsid w:val="7540D833"/>
    <w:rsid w:val="75484B3F"/>
    <w:rsid w:val="7557D235"/>
    <w:rsid w:val="75591481"/>
    <w:rsid w:val="755A21BB"/>
    <w:rsid w:val="755BF617"/>
    <w:rsid w:val="755D17A8"/>
    <w:rsid w:val="756DC33B"/>
    <w:rsid w:val="75828597"/>
    <w:rsid w:val="75881CBC"/>
    <w:rsid w:val="759583EF"/>
    <w:rsid w:val="75962905"/>
    <w:rsid w:val="759EC75C"/>
    <w:rsid w:val="75D5587D"/>
    <w:rsid w:val="75DBACAF"/>
    <w:rsid w:val="75DE0E26"/>
    <w:rsid w:val="75DF1412"/>
    <w:rsid w:val="75ED20E1"/>
    <w:rsid w:val="75F83B99"/>
    <w:rsid w:val="75FD7366"/>
    <w:rsid w:val="76067749"/>
    <w:rsid w:val="76142EB6"/>
    <w:rsid w:val="7616D3A2"/>
    <w:rsid w:val="76216520"/>
    <w:rsid w:val="762C9F14"/>
    <w:rsid w:val="762CB7A5"/>
    <w:rsid w:val="762E4C34"/>
    <w:rsid w:val="763FFF54"/>
    <w:rsid w:val="765B148A"/>
    <w:rsid w:val="765BFC1D"/>
    <w:rsid w:val="765F1582"/>
    <w:rsid w:val="766D8A3A"/>
    <w:rsid w:val="7679528D"/>
    <w:rsid w:val="7685240F"/>
    <w:rsid w:val="768AA7C6"/>
    <w:rsid w:val="7694744A"/>
    <w:rsid w:val="769785B4"/>
    <w:rsid w:val="7697F9B4"/>
    <w:rsid w:val="769BF333"/>
    <w:rsid w:val="769C00B2"/>
    <w:rsid w:val="769F7769"/>
    <w:rsid w:val="76A13213"/>
    <w:rsid w:val="76B27655"/>
    <w:rsid w:val="76BED2B7"/>
    <w:rsid w:val="76E01179"/>
    <w:rsid w:val="76F2AC95"/>
    <w:rsid w:val="76FE640E"/>
    <w:rsid w:val="7702B7D5"/>
    <w:rsid w:val="770E655D"/>
    <w:rsid w:val="771442B7"/>
    <w:rsid w:val="771D162D"/>
    <w:rsid w:val="77202555"/>
    <w:rsid w:val="7723ED1D"/>
    <w:rsid w:val="772572F4"/>
    <w:rsid w:val="772864AA"/>
    <w:rsid w:val="772A9723"/>
    <w:rsid w:val="773010C2"/>
    <w:rsid w:val="773969E1"/>
    <w:rsid w:val="774000FE"/>
    <w:rsid w:val="774376A8"/>
    <w:rsid w:val="7747FF97"/>
    <w:rsid w:val="7752FACA"/>
    <w:rsid w:val="77530995"/>
    <w:rsid w:val="77557A61"/>
    <w:rsid w:val="775A1879"/>
    <w:rsid w:val="775E99BD"/>
    <w:rsid w:val="775F8FC7"/>
    <w:rsid w:val="77615C12"/>
    <w:rsid w:val="776893DA"/>
    <w:rsid w:val="7769373F"/>
    <w:rsid w:val="776BA9F4"/>
    <w:rsid w:val="777D2D88"/>
    <w:rsid w:val="7786B133"/>
    <w:rsid w:val="77BFCAD6"/>
    <w:rsid w:val="77D0F99C"/>
    <w:rsid w:val="77EED139"/>
    <w:rsid w:val="77F1CE55"/>
    <w:rsid w:val="77FAB950"/>
    <w:rsid w:val="7801184E"/>
    <w:rsid w:val="781421E8"/>
    <w:rsid w:val="7827CBA7"/>
    <w:rsid w:val="783FF978"/>
    <w:rsid w:val="78410BDC"/>
    <w:rsid w:val="7846742A"/>
    <w:rsid w:val="784B2756"/>
    <w:rsid w:val="784C29ED"/>
    <w:rsid w:val="784CD790"/>
    <w:rsid w:val="784EC349"/>
    <w:rsid w:val="785921D5"/>
    <w:rsid w:val="7875B006"/>
    <w:rsid w:val="787A9CE7"/>
    <w:rsid w:val="787EA255"/>
    <w:rsid w:val="787F40C7"/>
    <w:rsid w:val="787FDD2A"/>
    <w:rsid w:val="78906582"/>
    <w:rsid w:val="78916573"/>
    <w:rsid w:val="78A3A193"/>
    <w:rsid w:val="78A49813"/>
    <w:rsid w:val="78ADE0C7"/>
    <w:rsid w:val="78AE6A06"/>
    <w:rsid w:val="78AEA831"/>
    <w:rsid w:val="78AF5B43"/>
    <w:rsid w:val="78BB6911"/>
    <w:rsid w:val="78BBC5FA"/>
    <w:rsid w:val="78BE9B60"/>
    <w:rsid w:val="78C53DFE"/>
    <w:rsid w:val="78DCB928"/>
    <w:rsid w:val="78EECB2B"/>
    <w:rsid w:val="78F3F0B0"/>
    <w:rsid w:val="79037887"/>
    <w:rsid w:val="790F9807"/>
    <w:rsid w:val="7913A114"/>
    <w:rsid w:val="7918B7D6"/>
    <w:rsid w:val="79421581"/>
    <w:rsid w:val="795469B1"/>
    <w:rsid w:val="795920B0"/>
    <w:rsid w:val="795F39BC"/>
    <w:rsid w:val="79647C0F"/>
    <w:rsid w:val="797FBB80"/>
    <w:rsid w:val="799127D4"/>
    <w:rsid w:val="79A48C0B"/>
    <w:rsid w:val="79AF21DC"/>
    <w:rsid w:val="79CCBE95"/>
    <w:rsid w:val="79D240AE"/>
    <w:rsid w:val="79D9EA3A"/>
    <w:rsid w:val="79F5419C"/>
    <w:rsid w:val="7A04D6DF"/>
    <w:rsid w:val="7A2146A6"/>
    <w:rsid w:val="7A3088CB"/>
    <w:rsid w:val="7A38B104"/>
    <w:rsid w:val="7A46061F"/>
    <w:rsid w:val="7A49B128"/>
    <w:rsid w:val="7A4BAF15"/>
    <w:rsid w:val="7A4CC5C8"/>
    <w:rsid w:val="7A4F546F"/>
    <w:rsid w:val="7A52D571"/>
    <w:rsid w:val="7A53FD81"/>
    <w:rsid w:val="7A58CB93"/>
    <w:rsid w:val="7A5EC3EA"/>
    <w:rsid w:val="7A6DF186"/>
    <w:rsid w:val="7A7221A0"/>
    <w:rsid w:val="7A781F86"/>
    <w:rsid w:val="7A861C94"/>
    <w:rsid w:val="7A8B465C"/>
    <w:rsid w:val="7A8BF329"/>
    <w:rsid w:val="7AAA9762"/>
    <w:rsid w:val="7AB782A8"/>
    <w:rsid w:val="7ABE51F5"/>
    <w:rsid w:val="7AD3BD3B"/>
    <w:rsid w:val="7AD6A6AC"/>
    <w:rsid w:val="7AEB08B4"/>
    <w:rsid w:val="7AEC5255"/>
    <w:rsid w:val="7AEFAB91"/>
    <w:rsid w:val="7AF7BE0F"/>
    <w:rsid w:val="7AFD3F12"/>
    <w:rsid w:val="7B13DDC4"/>
    <w:rsid w:val="7B250D11"/>
    <w:rsid w:val="7B2CE35E"/>
    <w:rsid w:val="7B6B5270"/>
    <w:rsid w:val="7B6F00B5"/>
    <w:rsid w:val="7B7835B8"/>
    <w:rsid w:val="7B88CE96"/>
    <w:rsid w:val="7B91AFE7"/>
    <w:rsid w:val="7B98ADD0"/>
    <w:rsid w:val="7B9FE35B"/>
    <w:rsid w:val="7BADE9F5"/>
    <w:rsid w:val="7BB2278A"/>
    <w:rsid w:val="7BB64D35"/>
    <w:rsid w:val="7BB66C5D"/>
    <w:rsid w:val="7BB74B00"/>
    <w:rsid w:val="7BB8ACD4"/>
    <w:rsid w:val="7BCC270E"/>
    <w:rsid w:val="7BD446B2"/>
    <w:rsid w:val="7BE87353"/>
    <w:rsid w:val="7BEB1A84"/>
    <w:rsid w:val="7BF75E40"/>
    <w:rsid w:val="7C08C7D0"/>
    <w:rsid w:val="7C1C13E8"/>
    <w:rsid w:val="7C32226E"/>
    <w:rsid w:val="7C3430FA"/>
    <w:rsid w:val="7C3973C8"/>
    <w:rsid w:val="7C40F9F9"/>
    <w:rsid w:val="7C5264B4"/>
    <w:rsid w:val="7C6A6DD7"/>
    <w:rsid w:val="7C6CC2C4"/>
    <w:rsid w:val="7C6CCAFB"/>
    <w:rsid w:val="7C6ECB51"/>
    <w:rsid w:val="7C6FCF0E"/>
    <w:rsid w:val="7C751D18"/>
    <w:rsid w:val="7C7EA655"/>
    <w:rsid w:val="7C82BDB2"/>
    <w:rsid w:val="7C858C32"/>
    <w:rsid w:val="7C86A2DB"/>
    <w:rsid w:val="7C8E7B95"/>
    <w:rsid w:val="7C8FC467"/>
    <w:rsid w:val="7CA4526E"/>
    <w:rsid w:val="7CADA4EE"/>
    <w:rsid w:val="7CB75C42"/>
    <w:rsid w:val="7CC67397"/>
    <w:rsid w:val="7CC6AD4F"/>
    <w:rsid w:val="7CC8194D"/>
    <w:rsid w:val="7CCD216B"/>
    <w:rsid w:val="7CE4C459"/>
    <w:rsid w:val="7CF44A65"/>
    <w:rsid w:val="7CF69241"/>
    <w:rsid w:val="7D028997"/>
    <w:rsid w:val="7D042EE2"/>
    <w:rsid w:val="7D09E170"/>
    <w:rsid w:val="7D0CFB65"/>
    <w:rsid w:val="7D1387AC"/>
    <w:rsid w:val="7D14D67D"/>
    <w:rsid w:val="7D1A87C5"/>
    <w:rsid w:val="7D1D749E"/>
    <w:rsid w:val="7D4412F9"/>
    <w:rsid w:val="7D549ED1"/>
    <w:rsid w:val="7D5ABED1"/>
    <w:rsid w:val="7D6353B4"/>
    <w:rsid w:val="7D6E10BF"/>
    <w:rsid w:val="7D80D3A2"/>
    <w:rsid w:val="7D82931A"/>
    <w:rsid w:val="7D8D88B0"/>
    <w:rsid w:val="7D9A9871"/>
    <w:rsid w:val="7D9C3F83"/>
    <w:rsid w:val="7DAFCA39"/>
    <w:rsid w:val="7DB0EFA5"/>
    <w:rsid w:val="7DBFCAF5"/>
    <w:rsid w:val="7DC0F40E"/>
    <w:rsid w:val="7DC83EE6"/>
    <w:rsid w:val="7DCD329A"/>
    <w:rsid w:val="7DD3AEF5"/>
    <w:rsid w:val="7DD7D007"/>
    <w:rsid w:val="7DDA5708"/>
    <w:rsid w:val="7DFB424C"/>
    <w:rsid w:val="7E087FE5"/>
    <w:rsid w:val="7E0FA5B5"/>
    <w:rsid w:val="7E1018C2"/>
    <w:rsid w:val="7E10CA69"/>
    <w:rsid w:val="7E1B9591"/>
    <w:rsid w:val="7E2B9F67"/>
    <w:rsid w:val="7E2C7337"/>
    <w:rsid w:val="7E2C7705"/>
    <w:rsid w:val="7E39C2E8"/>
    <w:rsid w:val="7E41921E"/>
    <w:rsid w:val="7E4B5653"/>
    <w:rsid w:val="7E59139D"/>
    <w:rsid w:val="7E5ED218"/>
    <w:rsid w:val="7E648420"/>
    <w:rsid w:val="7E918E99"/>
    <w:rsid w:val="7EAF3AFC"/>
    <w:rsid w:val="7EB867E6"/>
    <w:rsid w:val="7EB8C56F"/>
    <w:rsid w:val="7EBBCEAB"/>
    <w:rsid w:val="7EBC758B"/>
    <w:rsid w:val="7EBD2734"/>
    <w:rsid w:val="7ECC0FF1"/>
    <w:rsid w:val="7ECC7080"/>
    <w:rsid w:val="7EDE48D2"/>
    <w:rsid w:val="7EE5D325"/>
    <w:rsid w:val="7EF7AB5C"/>
    <w:rsid w:val="7EFFA039"/>
    <w:rsid w:val="7F1017DC"/>
    <w:rsid w:val="7F2938CD"/>
    <w:rsid w:val="7F346B8E"/>
    <w:rsid w:val="7F43A37E"/>
    <w:rsid w:val="7F4DD2E0"/>
    <w:rsid w:val="7F4FA8E8"/>
    <w:rsid w:val="7F56C916"/>
    <w:rsid w:val="7F57C669"/>
    <w:rsid w:val="7F588D85"/>
    <w:rsid w:val="7F5CA344"/>
    <w:rsid w:val="7F6DD892"/>
    <w:rsid w:val="7F84DA4E"/>
    <w:rsid w:val="7F8626C4"/>
    <w:rsid w:val="7F87FC9F"/>
    <w:rsid w:val="7F8ACFF1"/>
    <w:rsid w:val="7F8CD723"/>
    <w:rsid w:val="7F92956B"/>
    <w:rsid w:val="7F93CCE9"/>
    <w:rsid w:val="7FA68319"/>
    <w:rsid w:val="7FA7E8C6"/>
    <w:rsid w:val="7FAAA0D3"/>
    <w:rsid w:val="7FD532A0"/>
    <w:rsid w:val="7FDF65A0"/>
    <w:rsid w:val="7FE391D0"/>
    <w:rsid w:val="7FE6725C"/>
    <w:rsid w:val="7FE84041"/>
    <w:rsid w:val="7FF02B8A"/>
    <w:rsid w:val="7FF04FE4"/>
    <w:rsid w:val="7FF39706"/>
    <w:rsid w:val="7FF776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273"/>
    <w:pPr>
      <w:tabs>
        <w:tab w:val="left" w:pos="720"/>
      </w:tabs>
      <w:spacing w:line="480" w:lineRule="atLeast"/>
    </w:pPr>
    <w:rPr>
      <w:rFonts w:ascii="Century Schoolbook" w:hAnsi="Century Schoolbook"/>
      <w:sz w:val="26"/>
    </w:rPr>
  </w:style>
  <w:style w:type="paragraph" w:styleId="Heading2">
    <w:name w:val="heading 2"/>
    <w:basedOn w:val="Normal"/>
    <w:next w:val="Normal"/>
    <w:link w:val="Heading2Char"/>
    <w:uiPriority w:val="9"/>
    <w:unhideWhenUsed/>
    <w:qFormat/>
    <w:rsid w:val="0073734F"/>
    <w:pPr>
      <w:keepNext/>
      <w:keepLines/>
      <w:ind w:left="72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734F"/>
    <w:rPr>
      <w:rFonts w:ascii="Century Schoolbook" w:eastAsiaTheme="majorEastAsia" w:hAnsi="Century Schoolbook" w:cstheme="majorBidi"/>
      <w:sz w:val="26"/>
      <w:szCs w:val="26"/>
    </w:rPr>
  </w:style>
  <w:style w:type="paragraph" w:styleId="Header">
    <w:name w:val="header"/>
    <w:basedOn w:val="Normal"/>
    <w:link w:val="HeaderChar"/>
    <w:uiPriority w:val="99"/>
    <w:unhideWhenUsed/>
    <w:rsid w:val="0080647E"/>
    <w:pPr>
      <w:tabs>
        <w:tab w:val="center" w:pos="4680"/>
        <w:tab w:val="right" w:pos="9360"/>
      </w:tabs>
    </w:pPr>
  </w:style>
  <w:style w:type="character" w:customStyle="1" w:styleId="HeaderChar">
    <w:name w:val="Header Char"/>
    <w:basedOn w:val="DefaultParagraphFont"/>
    <w:link w:val="Header"/>
    <w:uiPriority w:val="99"/>
    <w:rsid w:val="0080647E"/>
  </w:style>
  <w:style w:type="paragraph" w:styleId="Footer">
    <w:name w:val="footer"/>
    <w:basedOn w:val="Normal"/>
    <w:link w:val="FooterChar"/>
    <w:uiPriority w:val="99"/>
    <w:unhideWhenUsed/>
    <w:rsid w:val="0080647E"/>
    <w:pPr>
      <w:tabs>
        <w:tab w:val="center" w:pos="4680"/>
        <w:tab w:val="right" w:pos="9360"/>
      </w:tabs>
    </w:pPr>
  </w:style>
  <w:style w:type="character" w:customStyle="1" w:styleId="FooterChar">
    <w:name w:val="Footer Char"/>
    <w:basedOn w:val="DefaultParagraphFont"/>
    <w:link w:val="Footer"/>
    <w:uiPriority w:val="99"/>
    <w:rsid w:val="0080647E"/>
  </w:style>
  <w:style w:type="character" w:styleId="PageNumber">
    <w:name w:val="page number"/>
    <w:basedOn w:val="DefaultParagraphFont"/>
    <w:uiPriority w:val="99"/>
    <w:semiHidden/>
    <w:unhideWhenUsed/>
    <w:rsid w:val="0080647E"/>
  </w:style>
  <w:style w:type="paragraph" w:styleId="FootnoteText">
    <w:name w:val="footnote text"/>
    <w:link w:val="FootnoteTextChar"/>
    <w:uiPriority w:val="99"/>
    <w:unhideWhenUsed/>
    <w:rsid w:val="0080647E"/>
    <w:rPr>
      <w:rFonts w:ascii="Century Schoolbook" w:hAnsi="Century Schoolbook"/>
      <w:sz w:val="26"/>
      <w:szCs w:val="20"/>
    </w:rPr>
  </w:style>
  <w:style w:type="character" w:customStyle="1" w:styleId="FootnoteTextChar">
    <w:name w:val="Footnote Text Char"/>
    <w:basedOn w:val="DefaultParagraphFont"/>
    <w:link w:val="FootnoteText"/>
    <w:uiPriority w:val="99"/>
    <w:rsid w:val="0080647E"/>
    <w:rPr>
      <w:rFonts w:ascii="Century Schoolbook" w:hAnsi="Century Schoolbook"/>
      <w:sz w:val="26"/>
      <w:szCs w:val="20"/>
    </w:rPr>
  </w:style>
  <w:style w:type="character" w:styleId="FootnoteReference">
    <w:name w:val="footnote reference"/>
    <w:basedOn w:val="DefaultParagraphFont"/>
    <w:uiPriority w:val="99"/>
    <w:semiHidden/>
    <w:unhideWhenUsed/>
    <w:rsid w:val="0080647E"/>
    <w:rPr>
      <w:vertAlign w:val="superscript"/>
    </w:rPr>
  </w:style>
  <w:style w:type="character" w:styleId="CommentReference">
    <w:name w:val="annotation reference"/>
    <w:basedOn w:val="DefaultParagraphFont"/>
    <w:uiPriority w:val="99"/>
    <w:semiHidden/>
    <w:unhideWhenUsed/>
    <w:rsid w:val="0080647E"/>
    <w:rPr>
      <w:sz w:val="16"/>
      <w:szCs w:val="16"/>
    </w:rPr>
  </w:style>
  <w:style w:type="paragraph" w:styleId="CommentText">
    <w:name w:val="annotation text"/>
    <w:basedOn w:val="Normal"/>
    <w:link w:val="CommentTextChar"/>
    <w:uiPriority w:val="99"/>
    <w:unhideWhenUsed/>
    <w:rsid w:val="0080647E"/>
    <w:pPr>
      <w:tabs>
        <w:tab w:val="clear" w:pos="720"/>
      </w:tabs>
      <w:spacing w:line="240" w:lineRule="auto"/>
    </w:pPr>
    <w:rPr>
      <w:sz w:val="20"/>
      <w:szCs w:val="20"/>
    </w:rPr>
  </w:style>
  <w:style w:type="character" w:customStyle="1" w:styleId="CommentTextChar">
    <w:name w:val="Comment Text Char"/>
    <w:basedOn w:val="DefaultParagraphFont"/>
    <w:link w:val="CommentText"/>
    <w:uiPriority w:val="99"/>
    <w:rsid w:val="0080647E"/>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80647E"/>
    <w:rPr>
      <w:b/>
      <w:bCs/>
    </w:rPr>
  </w:style>
  <w:style w:type="character" w:customStyle="1" w:styleId="CommentSubjectChar">
    <w:name w:val="Comment Subject Char"/>
    <w:basedOn w:val="CommentTextChar"/>
    <w:link w:val="CommentSubject"/>
    <w:uiPriority w:val="99"/>
    <w:semiHidden/>
    <w:rsid w:val="0080647E"/>
    <w:rPr>
      <w:rFonts w:ascii="Century Schoolbook" w:hAnsi="Century Schoolbook"/>
      <w:b/>
      <w:bCs/>
      <w:sz w:val="20"/>
      <w:szCs w:val="20"/>
    </w:rPr>
  </w:style>
  <w:style w:type="character" w:customStyle="1" w:styleId="coconcept4148">
    <w:name w:val="co_concept_41_48"/>
    <w:basedOn w:val="DefaultParagraphFont"/>
    <w:rsid w:val="0080647E"/>
  </w:style>
  <w:style w:type="character" w:styleId="Emphasis">
    <w:name w:val="Emphasis"/>
    <w:basedOn w:val="DefaultParagraphFont"/>
    <w:uiPriority w:val="20"/>
    <w:qFormat/>
    <w:rsid w:val="0080647E"/>
    <w:rPr>
      <w:i/>
      <w:iCs/>
    </w:rPr>
  </w:style>
  <w:style w:type="character" w:styleId="Hyperlink">
    <w:name w:val="Hyperlink"/>
    <w:basedOn w:val="DefaultParagraphFont"/>
    <w:uiPriority w:val="99"/>
    <w:semiHidden/>
    <w:unhideWhenUsed/>
    <w:rsid w:val="0080647E"/>
    <w:rPr>
      <w:color w:val="0000FF"/>
      <w:u w:val="single"/>
    </w:rPr>
  </w:style>
  <w:style w:type="character" w:customStyle="1" w:styleId="costarpage">
    <w:name w:val="co_starpage"/>
    <w:basedOn w:val="DefaultParagraphFont"/>
    <w:rsid w:val="0080647E"/>
  </w:style>
  <w:style w:type="character" w:customStyle="1" w:styleId="coinlinekeyciteflag">
    <w:name w:val="co_inlinekeyciteflag"/>
    <w:basedOn w:val="DefaultParagraphFont"/>
    <w:rsid w:val="0080647E"/>
  </w:style>
  <w:style w:type="paragraph" w:styleId="Revision">
    <w:name w:val="Revision"/>
    <w:hidden/>
    <w:uiPriority w:val="99"/>
    <w:semiHidden/>
    <w:rsid w:val="0080647E"/>
    <w:rPr>
      <w:rFonts w:ascii="Century Schoolbook" w:hAnsi="Century Schoolbook"/>
      <w:sz w:val="26"/>
      <w:szCs w:val="26"/>
    </w:rPr>
  </w:style>
  <w:style w:type="paragraph" w:styleId="ListParagraph">
    <w:name w:val="List Paragraph"/>
    <w:basedOn w:val="Normal"/>
    <w:uiPriority w:val="34"/>
    <w:qFormat/>
    <w:rsid w:val="00E321DF"/>
    <w:pPr>
      <w:ind w:left="720"/>
      <w:contextualSpacing/>
    </w:pPr>
  </w:style>
  <w:style w:type="character" w:customStyle="1" w:styleId="coconcept19">
    <w:name w:val="co_concept_1_9"/>
    <w:basedOn w:val="DefaultParagraphFont"/>
    <w:rsid w:val="009E1743"/>
  </w:style>
  <w:style w:type="character" w:customStyle="1" w:styleId="coconcept4553">
    <w:name w:val="co_concept_45_53"/>
    <w:basedOn w:val="DefaultParagraphFont"/>
    <w:rsid w:val="009E1743"/>
  </w:style>
  <w:style w:type="character" w:customStyle="1" w:styleId="coconcept1417">
    <w:name w:val="co_concept_14_17"/>
    <w:basedOn w:val="DefaultParagraphFont"/>
    <w:rsid w:val="009E1743"/>
  </w:style>
  <w:style w:type="character" w:customStyle="1" w:styleId="coconcept2230">
    <w:name w:val="co_concept_22_30"/>
    <w:basedOn w:val="DefaultParagraphFont"/>
    <w:rsid w:val="009E1743"/>
  </w:style>
  <w:style w:type="character" w:customStyle="1" w:styleId="sschangeadd">
    <w:name w:val="ss_changeadd"/>
    <w:basedOn w:val="DefaultParagraphFont"/>
    <w:rsid w:val="000B7F7A"/>
  </w:style>
  <w:style w:type="character" w:customStyle="1" w:styleId="sschangedelete">
    <w:name w:val="ss_changedelete"/>
    <w:basedOn w:val="DefaultParagraphFont"/>
    <w:rsid w:val="000B7F7A"/>
  </w:style>
  <w:style w:type="paragraph" w:styleId="NormalWeb">
    <w:name w:val="Normal (Web)"/>
    <w:basedOn w:val="Normal"/>
    <w:uiPriority w:val="99"/>
    <w:unhideWhenUsed/>
    <w:rsid w:val="00DE63C5"/>
    <w:pPr>
      <w:tabs>
        <w:tab w:val="clear" w:pos="720"/>
      </w:tabs>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law.com/Link/Document/FullText?findType=Y&amp;pubNum=226&amp;cite=7CAAPP3D390&amp;originatingDoc=Ib37d7196face11d98ac8f235252e36df&amp;refType=RP&amp;fi=co_pp_sp_226_395&amp;originationContext=document&amp;vr=3.0&amp;rs=cblt1.0&amp;transitionType=DocumentItem&amp;contextData=(sc.Defau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1.next.westlaw.com/Link/Document/FullText?findType=Y&amp;serNum=1995097639&amp;pubNum=0004040&amp;originatingDoc=I786e9a804a6b11e7b7978f65e9bf93b3&amp;refType=RP&amp;fi=co_pp_sp_4040_1143&amp;originationContext=document&amp;transitionType=DocumentItem&amp;ppcid=c2152ea7b28946e5bf8b1cb24da89a96&amp;contextData=(sc.Key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D80FF-2522-46E6-A50D-BF04E5CD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10647</Words>
  <Characters>55897</Characters>
  <Application>Microsoft Office Word</Application>
  <DocSecurity>0</DocSecurity>
  <Lines>873</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2023-09-14T21:16:00Z</dcterms:created>
  <dcterms:modified xsi:type="dcterms:W3CDTF">2023-09-14T21:16:00Z</dcterms:modified>
</cp:coreProperties>
</file>