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DCBC0" w14:textId="5F435D1A" w:rsidR="00305C40" w:rsidRPr="00305C40" w:rsidRDefault="001B6997" w:rsidP="001B6997">
      <w:pPr>
        <w:tabs>
          <w:tab w:val="clear" w:pos="720"/>
        </w:tabs>
        <w:spacing w:line="240" w:lineRule="auto"/>
        <w:jc w:val="center"/>
        <w:rPr>
          <w:sz w:val="20"/>
          <w:szCs w:val="26"/>
        </w:rPr>
      </w:pPr>
      <w:r w:rsidRPr="00305C40">
        <w:rPr>
          <w:sz w:val="20"/>
          <w:szCs w:val="26"/>
        </w:rPr>
        <w:t>Filed 7/6/23</w:t>
      </w:r>
      <w:r>
        <w:rPr>
          <w:sz w:val="20"/>
          <w:szCs w:val="26"/>
        </w:rPr>
        <w:t xml:space="preserve"> </w:t>
      </w:r>
      <w:r w:rsidRPr="00305C40">
        <w:rPr>
          <w:sz w:val="20"/>
          <w:szCs w:val="26"/>
        </w:rPr>
        <w:t xml:space="preserve">(unmodified </w:t>
      </w:r>
      <w:proofErr w:type="spellStart"/>
      <w:r w:rsidRPr="00305C40">
        <w:rPr>
          <w:sz w:val="20"/>
          <w:szCs w:val="26"/>
        </w:rPr>
        <w:t>opn</w:t>
      </w:r>
      <w:proofErr w:type="spellEnd"/>
      <w:r w:rsidRPr="00305C40">
        <w:rPr>
          <w:sz w:val="20"/>
          <w:szCs w:val="26"/>
        </w:rPr>
        <w:t>. attached)</w:t>
      </w:r>
      <w:r w:rsidRPr="001B6997">
        <w:rPr>
          <w:sz w:val="20"/>
          <w:szCs w:val="26"/>
        </w:rPr>
        <w:t>; REVIEW GRANTED.  See Cal. Rules of Court, rules 8.1105 and 8.1115 (and corresponding Comment, par. 2, concerning rule 8.1115(e)(3)).</w:t>
      </w:r>
    </w:p>
    <w:p w14:paraId="497E7810" w14:textId="77777777" w:rsidR="00305C40" w:rsidRPr="00305C40" w:rsidRDefault="001B6997" w:rsidP="00305C40">
      <w:pPr>
        <w:spacing w:line="240" w:lineRule="auto"/>
        <w:jc w:val="center"/>
        <w:rPr>
          <w:b/>
        </w:rPr>
      </w:pPr>
      <w:r w:rsidRPr="00305C40">
        <w:rPr>
          <w:b/>
        </w:rPr>
        <w:t>CERTIFIED FOR PUBLICATION</w:t>
      </w:r>
    </w:p>
    <w:p w14:paraId="13D0EC8F" w14:textId="77777777" w:rsidR="00305C40" w:rsidRPr="00305C40" w:rsidRDefault="00305C40" w:rsidP="00305C40">
      <w:pPr>
        <w:spacing w:line="240" w:lineRule="auto"/>
        <w:jc w:val="center"/>
      </w:pPr>
    </w:p>
    <w:p w14:paraId="510FEF42" w14:textId="77777777" w:rsidR="00305C40" w:rsidRPr="00305C40" w:rsidRDefault="001B6997" w:rsidP="00305C40">
      <w:pPr>
        <w:spacing w:line="240" w:lineRule="auto"/>
        <w:jc w:val="center"/>
      </w:pPr>
      <w:r w:rsidRPr="00305C40">
        <w:t>IN THE COURT OF APPEAL OF THE STATE OF CALIFORNIA</w:t>
      </w:r>
    </w:p>
    <w:p w14:paraId="6B5A917D" w14:textId="77777777" w:rsidR="00305C40" w:rsidRPr="00305C40" w:rsidRDefault="00305C40" w:rsidP="00305C40">
      <w:pPr>
        <w:spacing w:line="240" w:lineRule="auto"/>
        <w:jc w:val="center"/>
      </w:pPr>
    </w:p>
    <w:p w14:paraId="0C8C5270" w14:textId="77777777" w:rsidR="00305C40" w:rsidRPr="00305C40" w:rsidRDefault="001B6997" w:rsidP="00305C40">
      <w:pPr>
        <w:spacing w:line="240" w:lineRule="auto"/>
        <w:jc w:val="center"/>
      </w:pPr>
      <w:r w:rsidRPr="00305C40">
        <w:t>FIRST APPELLATE DISTRICT</w:t>
      </w:r>
    </w:p>
    <w:p w14:paraId="7E43470F" w14:textId="77777777" w:rsidR="00305C40" w:rsidRPr="00305C40" w:rsidRDefault="00305C40" w:rsidP="00305C40">
      <w:pPr>
        <w:spacing w:line="240" w:lineRule="auto"/>
        <w:jc w:val="center"/>
      </w:pPr>
    </w:p>
    <w:p w14:paraId="760A0960" w14:textId="77777777" w:rsidR="00305C40" w:rsidRPr="00305C40" w:rsidRDefault="001B6997" w:rsidP="00305C40">
      <w:pPr>
        <w:spacing w:line="240" w:lineRule="auto"/>
        <w:jc w:val="center"/>
      </w:pPr>
      <w:r w:rsidRPr="00305C40">
        <w:t>DIVISION FOUR</w:t>
      </w:r>
    </w:p>
    <w:p w14:paraId="7A169CAF" w14:textId="77777777" w:rsidR="00305C40" w:rsidRPr="00305C40" w:rsidRDefault="00305C40" w:rsidP="00305C40">
      <w:pPr>
        <w:spacing w:line="240" w:lineRule="auto"/>
        <w:jc w:val="center"/>
      </w:pPr>
    </w:p>
    <w:p w14:paraId="5085ECAB" w14:textId="77777777" w:rsidR="00305C40" w:rsidRPr="00305C40" w:rsidRDefault="00305C40" w:rsidP="00305C40">
      <w:pPr>
        <w:spacing w:line="240" w:lineRule="auto"/>
        <w:jc w:val="center"/>
      </w:pPr>
    </w:p>
    <w:tbl>
      <w:tblPr>
        <w:tblW w:w="0" w:type="auto"/>
        <w:tblLayout w:type="fixed"/>
        <w:tblLook w:val="04A0" w:firstRow="1" w:lastRow="0" w:firstColumn="1" w:lastColumn="0" w:noHBand="0" w:noVBand="1"/>
      </w:tblPr>
      <w:tblGrid>
        <w:gridCol w:w="4680"/>
        <w:gridCol w:w="4680"/>
      </w:tblGrid>
      <w:tr w:rsidR="00B001D4" w14:paraId="5C4065DF" w14:textId="77777777" w:rsidTr="00680D38">
        <w:tc>
          <w:tcPr>
            <w:tcW w:w="4680" w:type="dxa"/>
            <w:tcBorders>
              <w:top w:val="nil"/>
              <w:left w:val="nil"/>
              <w:bottom w:val="single" w:sz="4" w:space="0" w:color="auto"/>
              <w:right w:val="single" w:sz="4" w:space="0" w:color="auto"/>
            </w:tcBorders>
            <w:hideMark/>
          </w:tcPr>
          <w:p w14:paraId="3CD54924" w14:textId="77777777" w:rsidR="00305C40" w:rsidRPr="00305C40" w:rsidRDefault="001B6997" w:rsidP="00305C40">
            <w:pPr>
              <w:spacing w:after="120" w:line="240" w:lineRule="auto"/>
              <w:rPr>
                <w:rFonts w:cs="CenturySchoolbook"/>
              </w:rPr>
            </w:pPr>
            <w:r w:rsidRPr="00305C40">
              <w:rPr>
                <w:rFonts w:cs="CenturySchoolbook"/>
              </w:rPr>
              <w:t>MANOHAR RAJU et al.,</w:t>
            </w:r>
          </w:p>
          <w:p w14:paraId="5D63CEEE" w14:textId="77777777" w:rsidR="00305C40" w:rsidRPr="00305C40" w:rsidRDefault="001B6997" w:rsidP="00305C40">
            <w:pPr>
              <w:spacing w:after="120" w:line="240" w:lineRule="auto"/>
            </w:pPr>
            <w:r w:rsidRPr="00305C40">
              <w:tab/>
              <w:t>Plaintiffs and Appellants,</w:t>
            </w:r>
          </w:p>
          <w:p w14:paraId="59066D08" w14:textId="77777777" w:rsidR="00305C40" w:rsidRPr="00305C40" w:rsidRDefault="001B6997" w:rsidP="00305C40">
            <w:pPr>
              <w:spacing w:after="120" w:line="240" w:lineRule="auto"/>
            </w:pPr>
            <w:r w:rsidRPr="00305C40">
              <w:t>v.</w:t>
            </w:r>
          </w:p>
          <w:p w14:paraId="6691AD50" w14:textId="77777777" w:rsidR="00305C40" w:rsidRPr="00305C40" w:rsidRDefault="001B6997" w:rsidP="00305C40">
            <w:pPr>
              <w:spacing w:after="120" w:line="240" w:lineRule="auto"/>
            </w:pPr>
            <w:r w:rsidRPr="00305C40">
              <w:t xml:space="preserve">THE SUPERIOR COURT OF THE CITY AND </w:t>
            </w:r>
            <w:r w:rsidRPr="00305C40">
              <w:t>COUNTY OF SAN FRANCISCO et al.,</w:t>
            </w:r>
          </w:p>
          <w:p w14:paraId="7DB2B4FE" w14:textId="77777777" w:rsidR="00305C40" w:rsidRPr="00305C40" w:rsidRDefault="001B6997" w:rsidP="00305C40">
            <w:pPr>
              <w:spacing w:after="120" w:line="240" w:lineRule="auto"/>
            </w:pPr>
            <w:r w:rsidRPr="00305C40">
              <w:tab/>
              <w:t>Defendants and Respondents.</w:t>
            </w:r>
          </w:p>
        </w:tc>
        <w:tc>
          <w:tcPr>
            <w:tcW w:w="4680" w:type="dxa"/>
            <w:tcBorders>
              <w:top w:val="nil"/>
              <w:left w:val="single" w:sz="4" w:space="0" w:color="auto"/>
              <w:bottom w:val="nil"/>
              <w:right w:val="nil"/>
            </w:tcBorders>
          </w:tcPr>
          <w:p w14:paraId="4BD679CC" w14:textId="77777777" w:rsidR="00305C40" w:rsidRPr="00305C40" w:rsidRDefault="001B6997" w:rsidP="00305C40">
            <w:pPr>
              <w:tabs>
                <w:tab w:val="left" w:pos="342"/>
              </w:tabs>
              <w:spacing w:line="240" w:lineRule="auto"/>
            </w:pPr>
            <w:r w:rsidRPr="00305C40">
              <w:tab/>
              <w:t>A164736</w:t>
            </w:r>
          </w:p>
          <w:p w14:paraId="7E0B54F5" w14:textId="77777777" w:rsidR="00305C40" w:rsidRPr="00305C40" w:rsidRDefault="00305C40" w:rsidP="00305C40">
            <w:pPr>
              <w:tabs>
                <w:tab w:val="left" w:pos="342"/>
              </w:tabs>
              <w:spacing w:line="240" w:lineRule="auto"/>
            </w:pPr>
          </w:p>
          <w:p w14:paraId="13C730A5" w14:textId="77777777" w:rsidR="00305C40" w:rsidRPr="00305C40" w:rsidRDefault="001B6997" w:rsidP="00305C40">
            <w:pPr>
              <w:tabs>
                <w:tab w:val="left" w:pos="342"/>
              </w:tabs>
              <w:spacing w:line="240" w:lineRule="auto"/>
            </w:pPr>
            <w:r w:rsidRPr="00305C40">
              <w:tab/>
              <w:t xml:space="preserve">(Contra Costa County </w:t>
            </w:r>
          </w:p>
          <w:p w14:paraId="5BA1E44F" w14:textId="77777777" w:rsidR="00305C40" w:rsidRPr="00305C40" w:rsidRDefault="001B6997" w:rsidP="00305C40">
            <w:pPr>
              <w:tabs>
                <w:tab w:val="left" w:pos="342"/>
              </w:tabs>
              <w:spacing w:line="240" w:lineRule="auto"/>
              <w:ind w:firstLine="346"/>
            </w:pPr>
            <w:r w:rsidRPr="00305C40">
              <w:t>Super. Ct. No. MSRA21-0005)</w:t>
            </w:r>
          </w:p>
          <w:p w14:paraId="6CC097A4" w14:textId="77777777" w:rsidR="00305C40" w:rsidRPr="00305C40" w:rsidRDefault="00305C40" w:rsidP="00305C40">
            <w:pPr>
              <w:tabs>
                <w:tab w:val="left" w:pos="342"/>
              </w:tabs>
              <w:spacing w:line="240" w:lineRule="auto"/>
              <w:ind w:firstLine="346"/>
            </w:pPr>
          </w:p>
          <w:p w14:paraId="338672D4" w14:textId="77777777" w:rsidR="00305C40" w:rsidRPr="00305C40" w:rsidRDefault="001B6997" w:rsidP="00305C40">
            <w:pPr>
              <w:tabs>
                <w:tab w:val="clear" w:pos="720"/>
              </w:tabs>
              <w:autoSpaceDE w:val="0"/>
              <w:autoSpaceDN w:val="0"/>
              <w:adjustRightInd w:val="0"/>
              <w:spacing w:line="240" w:lineRule="auto"/>
              <w:ind w:left="430"/>
              <w:rPr>
                <w:rFonts w:ascii="PalatinoLinotype-Bold" w:hAnsi="PalatinoLinotype-Bold" w:cs="PalatinoLinotype-Bold"/>
                <w:b/>
                <w:bCs/>
                <w:szCs w:val="26"/>
              </w:rPr>
            </w:pPr>
            <w:r w:rsidRPr="00305C40">
              <w:rPr>
                <w:rFonts w:ascii="PalatinoLinotype-Bold" w:hAnsi="PalatinoLinotype-Bold" w:cs="PalatinoLinotype-Bold"/>
                <w:b/>
                <w:bCs/>
                <w:szCs w:val="26"/>
              </w:rPr>
              <w:t>ORDER SUBSTITUTING NOMINAL DEFENDANT, MODIFYING OPINION, AND DENYING REHEARING</w:t>
            </w:r>
          </w:p>
          <w:p w14:paraId="47EFF96B" w14:textId="77777777" w:rsidR="00305C40" w:rsidRPr="00305C40" w:rsidRDefault="001B6997" w:rsidP="00305C40">
            <w:pPr>
              <w:tabs>
                <w:tab w:val="clear" w:pos="720"/>
              </w:tabs>
              <w:spacing w:after="120" w:line="240" w:lineRule="auto"/>
              <w:rPr>
                <w:szCs w:val="26"/>
              </w:rPr>
            </w:pPr>
            <w:r w:rsidRPr="00305C40">
              <w:rPr>
                <w:rFonts w:ascii="PalatinoLinotype-Bold" w:hAnsi="PalatinoLinotype-Bold" w:cs="PalatinoLinotype-Bold"/>
                <w:b/>
                <w:bCs/>
                <w:szCs w:val="26"/>
              </w:rPr>
              <w:t xml:space="preserve">      [NO CHANGE IN JUDGMENT]</w:t>
            </w:r>
          </w:p>
        </w:tc>
      </w:tr>
    </w:tbl>
    <w:p w14:paraId="2DE0F61C" w14:textId="77777777" w:rsidR="00305C40" w:rsidRPr="00305C40" w:rsidRDefault="00305C40" w:rsidP="00305C40">
      <w:pPr>
        <w:spacing w:line="240" w:lineRule="auto"/>
        <w:rPr>
          <w:b/>
          <w:bCs/>
        </w:rPr>
      </w:pPr>
    </w:p>
    <w:p w14:paraId="2A4E587B" w14:textId="77777777" w:rsidR="00305C40" w:rsidRPr="00305C40" w:rsidRDefault="001B6997" w:rsidP="00305C40">
      <w:pPr>
        <w:spacing w:line="240" w:lineRule="auto"/>
        <w:rPr>
          <w:b/>
          <w:bCs/>
        </w:rPr>
      </w:pPr>
      <w:r w:rsidRPr="00305C40">
        <w:rPr>
          <w:b/>
          <w:bCs/>
        </w:rPr>
        <w:t>THE COURT:</w:t>
      </w:r>
    </w:p>
    <w:p w14:paraId="1AA52507" w14:textId="77777777" w:rsidR="00305C40" w:rsidRPr="00305C40" w:rsidRDefault="00305C40" w:rsidP="00305C40">
      <w:pPr>
        <w:spacing w:line="240" w:lineRule="auto"/>
      </w:pPr>
    </w:p>
    <w:p w14:paraId="4C8A35D0" w14:textId="77777777" w:rsidR="00305C40" w:rsidRPr="00305C40" w:rsidRDefault="001B6997" w:rsidP="00305C40">
      <w:pPr>
        <w:spacing w:line="240" w:lineRule="auto"/>
      </w:pPr>
      <w:r w:rsidRPr="00305C40">
        <w:tab/>
        <w:t>The "Joint Motion To Substitute Nominal Defendant and Respondent" is granted.</w:t>
      </w:r>
      <w:r w:rsidRPr="00305C40">
        <w:br/>
      </w:r>
    </w:p>
    <w:p w14:paraId="6D3F5635" w14:textId="77777777" w:rsidR="00305C40" w:rsidRPr="00305C40" w:rsidRDefault="001B6997" w:rsidP="00305C40">
      <w:pPr>
        <w:spacing w:line="240" w:lineRule="auto"/>
      </w:pPr>
      <w:r w:rsidRPr="00305C40">
        <w:tab/>
        <w:t xml:space="preserve">Former Interim Chief Executive Officer Mark </w:t>
      </w:r>
      <w:proofErr w:type="spellStart"/>
      <w:r w:rsidRPr="00305C40">
        <w:t>Culkins</w:t>
      </w:r>
      <w:proofErr w:type="spellEnd"/>
      <w:r w:rsidRPr="00305C40">
        <w:t xml:space="preserve"> is hereby substituted out and current Chief Executive Officer Brandon </w:t>
      </w:r>
      <w:r w:rsidRPr="00305C40">
        <w:t>Riley is substituted in as nominal party defendant.</w:t>
      </w:r>
    </w:p>
    <w:p w14:paraId="31DB33CE" w14:textId="77777777" w:rsidR="00305C40" w:rsidRPr="00305C40" w:rsidRDefault="00305C40" w:rsidP="00305C40">
      <w:pPr>
        <w:spacing w:line="240" w:lineRule="auto"/>
      </w:pPr>
    </w:p>
    <w:p w14:paraId="415F25C0" w14:textId="77777777" w:rsidR="00305C40" w:rsidRPr="00305C40" w:rsidRDefault="001B6997" w:rsidP="00305C40">
      <w:pPr>
        <w:spacing w:line="240" w:lineRule="auto"/>
      </w:pPr>
      <w:r w:rsidRPr="00305C40">
        <w:tab/>
        <w:t>It is ordered that the published opinion filed on June 8, 2023, be modified as follows:</w:t>
      </w:r>
    </w:p>
    <w:p w14:paraId="7A380E43" w14:textId="77777777" w:rsidR="00305C40" w:rsidRPr="00305C40" w:rsidRDefault="00305C40" w:rsidP="00305C40">
      <w:pPr>
        <w:spacing w:line="240" w:lineRule="auto"/>
      </w:pPr>
    </w:p>
    <w:p w14:paraId="53882689" w14:textId="77777777" w:rsidR="00305C40" w:rsidRPr="00305C40" w:rsidRDefault="001B6997" w:rsidP="00305C40">
      <w:pPr>
        <w:numPr>
          <w:ilvl w:val="0"/>
          <w:numId w:val="6"/>
        </w:numPr>
        <w:spacing w:line="240" w:lineRule="auto"/>
        <w:contextualSpacing/>
      </w:pPr>
      <w:r w:rsidRPr="00305C40">
        <w:t xml:space="preserve">On page 1, first sentence of the first full paragraph, beginning on line 4, change “Mark </w:t>
      </w:r>
      <w:proofErr w:type="spellStart"/>
      <w:r w:rsidRPr="00305C40">
        <w:t>Culkins</w:t>
      </w:r>
      <w:proofErr w:type="spellEnd"/>
      <w:r w:rsidRPr="00305C40">
        <w:t xml:space="preserve">” to “Brandon Riley” so the sentence reads as follows:  </w:t>
      </w:r>
    </w:p>
    <w:p w14:paraId="293B3BE6" w14:textId="77777777" w:rsidR="00305C40" w:rsidRPr="00305C40" w:rsidRDefault="00305C40" w:rsidP="00305C40">
      <w:pPr>
        <w:spacing w:line="240" w:lineRule="auto"/>
      </w:pPr>
    </w:p>
    <w:p w14:paraId="6075B022" w14:textId="77777777" w:rsidR="00305C40" w:rsidRPr="00305C40" w:rsidRDefault="001B6997" w:rsidP="00305C40">
      <w:pPr>
        <w:spacing w:line="240" w:lineRule="auto"/>
      </w:pPr>
      <w:r w:rsidRPr="00305C40">
        <w:rPr>
          <w:rFonts w:cs="CenturySchoolbook"/>
        </w:rPr>
        <w:t>Manohar Raju, Donna Doyle, John Dunbar, and Rose Marie Sims appeal a judgment dismissing their taxpaye</w:t>
      </w:r>
      <w:r w:rsidRPr="00305C40">
        <w:rPr>
          <w:rFonts w:cs="CenturySchoolbook"/>
        </w:rPr>
        <w:t xml:space="preserve">r action against the Superior Court of the </w:t>
      </w:r>
      <w:r w:rsidRPr="00305C40">
        <w:rPr>
          <w:rFonts w:cs="CenturySchoolbook"/>
        </w:rPr>
        <w:lastRenderedPageBreak/>
        <w:t xml:space="preserve">City and County of San Francisco (defendant court), Anne-Christine </w:t>
      </w:r>
      <w:proofErr w:type="spellStart"/>
      <w:r w:rsidRPr="00305C40">
        <w:rPr>
          <w:rFonts w:cs="CenturySchoolbook"/>
        </w:rPr>
        <w:t>Massullo</w:t>
      </w:r>
      <w:proofErr w:type="spellEnd"/>
      <w:r w:rsidRPr="00305C40">
        <w:rPr>
          <w:rFonts w:cs="CenturySchoolbook"/>
        </w:rPr>
        <w:t>, and Brandon Riley, the latter in their official capacities as defendant court’s presiding judge and chief executive officer (CEO).</w:t>
      </w:r>
    </w:p>
    <w:p w14:paraId="1DF2F06E" w14:textId="77777777" w:rsidR="00305C40" w:rsidRPr="00305C40" w:rsidRDefault="00305C40" w:rsidP="00305C40">
      <w:pPr>
        <w:spacing w:line="240" w:lineRule="auto"/>
      </w:pPr>
    </w:p>
    <w:p w14:paraId="0BFE6AE7" w14:textId="77777777" w:rsidR="00305C40" w:rsidRPr="00305C40" w:rsidRDefault="001B6997" w:rsidP="00305C40">
      <w:pPr>
        <w:numPr>
          <w:ilvl w:val="0"/>
          <w:numId w:val="6"/>
        </w:numPr>
        <w:spacing w:line="240" w:lineRule="auto"/>
        <w:contextualSpacing/>
      </w:pPr>
      <w:r w:rsidRPr="00305C40">
        <w:t>On p</w:t>
      </w:r>
      <w:r w:rsidRPr="00305C40">
        <w:t xml:space="preserve">age 1, line 4 of footnote 1, insert the words “CEO Riley” in place of “Interim CEO </w:t>
      </w:r>
      <w:proofErr w:type="spellStart"/>
      <w:r w:rsidRPr="00305C40">
        <w:t>Culkins</w:t>
      </w:r>
      <w:proofErr w:type="spellEnd"/>
      <w:r w:rsidRPr="00305C40">
        <w:t xml:space="preserve">” so the footnote reads as follows: </w:t>
      </w:r>
    </w:p>
    <w:p w14:paraId="3A57E993" w14:textId="77777777" w:rsidR="00305C40" w:rsidRPr="00305C40" w:rsidRDefault="00305C40" w:rsidP="00305C40">
      <w:pPr>
        <w:spacing w:line="240" w:lineRule="auto"/>
      </w:pPr>
    </w:p>
    <w:p w14:paraId="59A87515" w14:textId="77777777" w:rsidR="00305C40" w:rsidRPr="00305C40" w:rsidRDefault="001B6997" w:rsidP="00305C40">
      <w:pPr>
        <w:spacing w:line="240" w:lineRule="auto"/>
        <w:rPr>
          <w:rFonts w:cs="CenturySchoolbook"/>
          <w:szCs w:val="26"/>
        </w:rPr>
      </w:pPr>
      <w:r w:rsidRPr="00305C40">
        <w:rPr>
          <w:szCs w:val="26"/>
        </w:rPr>
        <w:t xml:space="preserve">Plaintiffs initially named as defendants then Presiding Judge </w:t>
      </w:r>
      <w:r w:rsidRPr="00305C40">
        <w:rPr>
          <w:rFonts w:cs="CenturySchoolbook"/>
          <w:szCs w:val="26"/>
        </w:rPr>
        <w:t>Samuel K. Feng and then CEO T. Michael Yuen in their official capa</w:t>
      </w:r>
      <w:r w:rsidRPr="00305C40">
        <w:rPr>
          <w:rFonts w:cs="CenturySchoolbook"/>
          <w:szCs w:val="26"/>
        </w:rPr>
        <w:t xml:space="preserve">cities. While this appeal was pending, this court granted motions to substitute current Presiding Judge </w:t>
      </w:r>
      <w:proofErr w:type="spellStart"/>
      <w:r w:rsidRPr="00305C40">
        <w:rPr>
          <w:rFonts w:cs="CenturySchoolbook"/>
          <w:szCs w:val="26"/>
        </w:rPr>
        <w:t>Massullo</w:t>
      </w:r>
      <w:proofErr w:type="spellEnd"/>
      <w:r w:rsidRPr="00305C40">
        <w:rPr>
          <w:rFonts w:cs="CenturySchoolbook"/>
          <w:szCs w:val="26"/>
        </w:rPr>
        <w:t xml:space="preserve"> and current CEO Riley, in their official capacities, as nominal defendants. (See Cal. Rules of Court, rule 8.36.)</w:t>
      </w:r>
    </w:p>
    <w:p w14:paraId="2EA087D0" w14:textId="77777777" w:rsidR="00305C40" w:rsidRPr="00305C40" w:rsidRDefault="00305C40" w:rsidP="00305C40">
      <w:pPr>
        <w:spacing w:line="240" w:lineRule="auto"/>
        <w:rPr>
          <w:rFonts w:cs="CenturySchoolbook"/>
          <w:szCs w:val="26"/>
        </w:rPr>
      </w:pPr>
    </w:p>
    <w:p w14:paraId="5F870097" w14:textId="77777777" w:rsidR="00305C40" w:rsidRPr="00305C40" w:rsidRDefault="001B6997" w:rsidP="00305C40">
      <w:pPr>
        <w:numPr>
          <w:ilvl w:val="0"/>
          <w:numId w:val="6"/>
        </w:numPr>
        <w:spacing w:line="240" w:lineRule="auto"/>
        <w:contextualSpacing/>
      </w:pPr>
      <w:r w:rsidRPr="00305C40">
        <w:t>On page 4, third full paragr</w:t>
      </w:r>
      <w:r w:rsidRPr="00305C40">
        <w:t>aph, second sentence beginning with “The total backlog,” replace “rose to” with “stood at” so the sentence reads as follows:</w:t>
      </w:r>
    </w:p>
    <w:p w14:paraId="592E8C60" w14:textId="77777777" w:rsidR="00305C40" w:rsidRPr="00305C40" w:rsidRDefault="00305C40" w:rsidP="00305C40">
      <w:pPr>
        <w:spacing w:line="240" w:lineRule="auto"/>
      </w:pPr>
    </w:p>
    <w:p w14:paraId="69CC31D0" w14:textId="77777777" w:rsidR="00305C40" w:rsidRPr="00305C40" w:rsidRDefault="001B6997" w:rsidP="00305C40">
      <w:pPr>
        <w:spacing w:line="240" w:lineRule="auto"/>
      </w:pPr>
      <w:r w:rsidRPr="00305C40">
        <w:t>The total backlog stood at 388.</w:t>
      </w:r>
    </w:p>
    <w:p w14:paraId="599FEAD4" w14:textId="77777777" w:rsidR="00305C40" w:rsidRPr="00305C40" w:rsidRDefault="00305C40" w:rsidP="00305C40">
      <w:pPr>
        <w:spacing w:line="240" w:lineRule="auto"/>
      </w:pPr>
    </w:p>
    <w:p w14:paraId="6700A0ED" w14:textId="77777777" w:rsidR="00305C40" w:rsidRPr="00305C40" w:rsidRDefault="001B6997" w:rsidP="00305C40">
      <w:pPr>
        <w:numPr>
          <w:ilvl w:val="0"/>
          <w:numId w:val="6"/>
        </w:numPr>
        <w:spacing w:line="240" w:lineRule="auto"/>
        <w:contextualSpacing/>
      </w:pPr>
      <w:r w:rsidRPr="00305C40">
        <w:t xml:space="preserve">In footnote 8 on page 9, modify the concluding parenthetical by changing “29” to “28” so that it </w:t>
      </w:r>
      <w:r w:rsidRPr="00305C40">
        <w:t xml:space="preserve">reads “(See fn. 28, </w:t>
      </w:r>
      <w:r w:rsidRPr="00305C40">
        <w:rPr>
          <w:i/>
          <w:iCs/>
        </w:rPr>
        <w:t>post.</w:t>
      </w:r>
      <w:r w:rsidRPr="00305C40">
        <w:t xml:space="preserve">).” </w:t>
      </w:r>
    </w:p>
    <w:p w14:paraId="1E2AA31A" w14:textId="77777777" w:rsidR="00305C40" w:rsidRPr="00305C40" w:rsidRDefault="00305C40" w:rsidP="00305C40">
      <w:pPr>
        <w:spacing w:line="240" w:lineRule="auto"/>
      </w:pPr>
    </w:p>
    <w:p w14:paraId="64BFF1B6" w14:textId="77777777" w:rsidR="00305C40" w:rsidRPr="00305C40" w:rsidRDefault="001B6997" w:rsidP="00305C40">
      <w:pPr>
        <w:numPr>
          <w:ilvl w:val="0"/>
          <w:numId w:val="6"/>
        </w:numPr>
        <w:spacing w:line="240" w:lineRule="auto"/>
        <w:contextualSpacing/>
      </w:pPr>
      <w:r w:rsidRPr="00305C40">
        <w:t xml:space="preserve">In the middle of the second full paragraph on page 11, in the fourth sentence, beginning with “And contrary to defendant’s assertions,” insert “improperly” between “to” and “upset” so the sentence reads as follows: </w:t>
      </w:r>
    </w:p>
    <w:p w14:paraId="32A8C815" w14:textId="77777777" w:rsidR="00305C40" w:rsidRPr="00305C40" w:rsidRDefault="00305C40" w:rsidP="00305C40">
      <w:pPr>
        <w:spacing w:line="240" w:lineRule="auto"/>
      </w:pPr>
    </w:p>
    <w:p w14:paraId="101095DD" w14:textId="77777777" w:rsidR="00305C40" w:rsidRPr="00305C40" w:rsidRDefault="001B6997" w:rsidP="00305C40">
      <w:pPr>
        <w:spacing w:line="240" w:lineRule="auto"/>
        <w:rPr>
          <w:rFonts w:cs="Times New Roman"/>
          <w:color w:val="000000" w:themeColor="text1"/>
        </w:rPr>
      </w:pPr>
      <w:r w:rsidRPr="00305C40">
        <w:rPr>
          <w:rFonts w:cs="Times New Roman"/>
          <w:color w:val="000000"/>
        </w:rPr>
        <w:t>And cont</w:t>
      </w:r>
      <w:r w:rsidRPr="00305C40">
        <w:rPr>
          <w:rFonts w:cs="Times New Roman"/>
          <w:color w:val="000000"/>
        </w:rPr>
        <w:t>rary to defendants’ assertions, the sought-after relief does not threaten to</w:t>
      </w:r>
      <w:r w:rsidRPr="00305C40">
        <w:rPr>
          <w:rFonts w:cs="Times New Roman"/>
          <w:color w:val="000000" w:themeColor="text1"/>
        </w:rPr>
        <w:t xml:space="preserve"> improperly upset individual, fact-specific, discretionary decisions on speedy trial motions (to continue a trial beyond its statutory “last day” or to dismiss a case for failure s</w:t>
      </w:r>
      <w:r w:rsidRPr="00305C40">
        <w:rPr>
          <w:rFonts w:cs="Times New Roman"/>
          <w:color w:val="000000" w:themeColor="text1"/>
        </w:rPr>
        <w:t>how good cause for such continuance) in individual criminal cases, or to alter the well-established procedural and substantive rules governing such motions.</w:t>
      </w:r>
    </w:p>
    <w:p w14:paraId="6751F6A8" w14:textId="77777777" w:rsidR="00305C40" w:rsidRPr="00305C40" w:rsidRDefault="00305C40" w:rsidP="00305C40">
      <w:pPr>
        <w:spacing w:line="240" w:lineRule="auto"/>
      </w:pPr>
    </w:p>
    <w:p w14:paraId="4E706DC9" w14:textId="77777777" w:rsidR="00305C40" w:rsidRPr="00305C40" w:rsidRDefault="001B6997" w:rsidP="00305C40">
      <w:pPr>
        <w:numPr>
          <w:ilvl w:val="0"/>
          <w:numId w:val="6"/>
        </w:numPr>
        <w:spacing w:line="240" w:lineRule="auto"/>
        <w:contextualSpacing/>
      </w:pPr>
      <w:r w:rsidRPr="00305C40">
        <w:t>On page 9, in the second-to-last sentence of the paragraph carrying over from page 8, beginning wi</w:t>
      </w:r>
      <w:r w:rsidRPr="00305C40">
        <w:t xml:space="preserve">th “Defendants also assert,” modify the parenthetical by changing “35” to “34” so that it reads “(see p. 34, </w:t>
      </w:r>
      <w:r w:rsidRPr="00305C40">
        <w:rPr>
          <w:i/>
          <w:iCs/>
        </w:rPr>
        <w:t>post</w:t>
      </w:r>
      <w:r w:rsidRPr="00305C40">
        <w:t xml:space="preserve">).” </w:t>
      </w:r>
    </w:p>
    <w:p w14:paraId="4A30A14B" w14:textId="77777777" w:rsidR="00305C40" w:rsidRPr="00305C40" w:rsidRDefault="00305C40" w:rsidP="00305C40">
      <w:pPr>
        <w:spacing w:line="240" w:lineRule="auto"/>
      </w:pPr>
    </w:p>
    <w:p w14:paraId="46A89BF4" w14:textId="77777777" w:rsidR="00305C40" w:rsidRPr="00305C40" w:rsidRDefault="001B6997" w:rsidP="00305C40">
      <w:pPr>
        <w:numPr>
          <w:ilvl w:val="0"/>
          <w:numId w:val="6"/>
        </w:numPr>
        <w:spacing w:line="240" w:lineRule="auto"/>
        <w:contextualSpacing/>
      </w:pPr>
      <w:r w:rsidRPr="00305C40">
        <w:t>In the last paragraph at the bottom of page 13, beginning with “Defendants also argue,” modify the second sentence by adding the words “d</w:t>
      </w:r>
      <w:r w:rsidRPr="00305C40">
        <w:t>iscussed above” after “well-established rule,” so the sentence reads as follows:</w:t>
      </w:r>
    </w:p>
    <w:p w14:paraId="4D73B416" w14:textId="77777777" w:rsidR="00305C40" w:rsidRPr="00305C40" w:rsidRDefault="00305C40" w:rsidP="00305C40">
      <w:pPr>
        <w:spacing w:line="240" w:lineRule="auto"/>
      </w:pPr>
    </w:p>
    <w:p w14:paraId="6AD07EAA" w14:textId="77777777" w:rsidR="00305C40" w:rsidRPr="00305C40" w:rsidRDefault="001B6997" w:rsidP="00305C40">
      <w:pPr>
        <w:spacing w:line="240" w:lineRule="auto"/>
        <w:rPr>
          <w:rFonts w:cs="Times New Roman"/>
          <w:color w:val="000000"/>
        </w:rPr>
      </w:pPr>
      <w:r w:rsidRPr="00305C40">
        <w:rPr>
          <w:rFonts w:cs="Times New Roman"/>
          <w:color w:val="000000"/>
        </w:rPr>
        <w:lastRenderedPageBreak/>
        <w:t>Defendants also argue that there is no authority specifically providing for the assertion of statutory taxpayer claims against a court or judge. However, they have not pointe</w:t>
      </w:r>
      <w:r w:rsidRPr="00305C40">
        <w:rPr>
          <w:rFonts w:cs="Times New Roman"/>
          <w:color w:val="000000"/>
        </w:rPr>
        <w:t>d to any policy of Code of Civil Procedure section 526a, or precedent construing it, that would warrant a judicially created exception to the well-established rule discussed above</w:t>
      </w:r>
      <w:r w:rsidRPr="00305C40">
        <w:rPr>
          <w:rFonts w:cs="Times New Roman"/>
          <w:color w:val="000000" w:themeColor="text1"/>
        </w:rPr>
        <w:t>,</w:t>
      </w:r>
      <w:r w:rsidRPr="00305C40">
        <w:rPr>
          <w:rFonts w:cs="Times New Roman"/>
          <w:color w:val="000000"/>
        </w:rPr>
        <w:t xml:space="preserve"> simply because the case involves allegations of unlawful activity by a cour</w:t>
      </w:r>
      <w:r w:rsidRPr="00305C40">
        <w:rPr>
          <w:rFonts w:cs="Times New Roman"/>
          <w:color w:val="000000"/>
        </w:rPr>
        <w:t>t or judicial officer.</w:t>
      </w:r>
    </w:p>
    <w:p w14:paraId="5B983552" w14:textId="77777777" w:rsidR="00305C40" w:rsidRPr="00305C40" w:rsidRDefault="00305C40" w:rsidP="00305C40">
      <w:pPr>
        <w:spacing w:line="240" w:lineRule="auto"/>
        <w:rPr>
          <w:rFonts w:cs="Times New Roman"/>
          <w:color w:val="000000"/>
        </w:rPr>
      </w:pPr>
    </w:p>
    <w:p w14:paraId="7942647A" w14:textId="77777777" w:rsidR="00305C40" w:rsidRPr="00305C40" w:rsidRDefault="001B6997" w:rsidP="00305C40">
      <w:pPr>
        <w:numPr>
          <w:ilvl w:val="0"/>
          <w:numId w:val="6"/>
        </w:numPr>
        <w:spacing w:line="240" w:lineRule="auto"/>
        <w:contextualSpacing/>
      </w:pPr>
      <w:r w:rsidRPr="00305C40">
        <w:t>On page 21, in the final sentence of the first full paragraph, beginning with “As discussed below,” modify the parenthetical by changing “32–35” to “</w:t>
      </w:r>
      <w:bookmarkStart w:id="0" w:name="_Hlk138876798"/>
      <w:r w:rsidRPr="00305C40">
        <w:t>33–34</w:t>
      </w:r>
      <w:bookmarkEnd w:id="0"/>
      <w:r w:rsidRPr="00305C40">
        <w:t xml:space="preserve">” so that it reads “(see pp. 33–34, </w:t>
      </w:r>
      <w:r w:rsidRPr="00305C40">
        <w:rPr>
          <w:i/>
          <w:iCs/>
        </w:rPr>
        <w:t>post</w:t>
      </w:r>
      <w:r w:rsidRPr="00305C40">
        <w:t xml:space="preserve">).” </w:t>
      </w:r>
    </w:p>
    <w:p w14:paraId="0315866C" w14:textId="77777777" w:rsidR="00305C40" w:rsidRPr="00305C40" w:rsidRDefault="00305C40" w:rsidP="00305C40">
      <w:pPr>
        <w:spacing w:line="240" w:lineRule="auto"/>
      </w:pPr>
    </w:p>
    <w:p w14:paraId="6BD29880" w14:textId="77777777" w:rsidR="00305C40" w:rsidRPr="00305C40" w:rsidRDefault="001B6997" w:rsidP="00305C40">
      <w:pPr>
        <w:numPr>
          <w:ilvl w:val="0"/>
          <w:numId w:val="6"/>
        </w:numPr>
        <w:spacing w:line="240" w:lineRule="auto"/>
        <w:contextualSpacing/>
      </w:pPr>
      <w:r w:rsidRPr="00305C40">
        <w:t xml:space="preserve">On page 22, the </w:t>
      </w:r>
      <w:r w:rsidRPr="00305C40">
        <w:t>subheading titled “Recent Decisions Assessing” should be replaced with “Recent Authority Assessing” so the subheading will read as follows:</w:t>
      </w:r>
    </w:p>
    <w:p w14:paraId="09315A58" w14:textId="77777777" w:rsidR="00305C40" w:rsidRPr="00305C40" w:rsidRDefault="00305C40" w:rsidP="00305C40">
      <w:pPr>
        <w:spacing w:line="240" w:lineRule="auto"/>
      </w:pPr>
    </w:p>
    <w:p w14:paraId="4563A57B" w14:textId="77777777" w:rsidR="00305C40" w:rsidRPr="00305C40" w:rsidRDefault="001B6997" w:rsidP="00305C40">
      <w:pPr>
        <w:spacing w:line="240" w:lineRule="auto"/>
        <w:rPr>
          <w:color w:val="000000"/>
        </w:rPr>
      </w:pPr>
      <w:r w:rsidRPr="00305C40">
        <w:rPr>
          <w:color w:val="000000"/>
        </w:rPr>
        <w:t xml:space="preserve">3. Recent Authority Assessing Case-Specific Section 1382 Rulings </w:t>
      </w:r>
      <w:proofErr w:type="gramStart"/>
      <w:r w:rsidRPr="00305C40">
        <w:rPr>
          <w:color w:val="000000"/>
        </w:rPr>
        <w:t>in Light of</w:t>
      </w:r>
      <w:proofErr w:type="gramEnd"/>
      <w:r w:rsidRPr="00305C40">
        <w:rPr>
          <w:color w:val="000000"/>
        </w:rPr>
        <w:t xml:space="preserve"> </w:t>
      </w:r>
      <w:r w:rsidRPr="00305C40">
        <w:rPr>
          <w:i/>
          <w:iCs/>
          <w:color w:val="000000"/>
        </w:rPr>
        <w:t>Engram</w:t>
      </w:r>
    </w:p>
    <w:p w14:paraId="1AD02C6A" w14:textId="77777777" w:rsidR="00305C40" w:rsidRPr="00305C40" w:rsidRDefault="00305C40" w:rsidP="00305C40">
      <w:pPr>
        <w:spacing w:line="240" w:lineRule="auto"/>
        <w:rPr>
          <w:color w:val="000000"/>
        </w:rPr>
      </w:pPr>
    </w:p>
    <w:p w14:paraId="3F4491FC" w14:textId="77777777" w:rsidR="00305C40" w:rsidRPr="00305C40" w:rsidRDefault="001B6997" w:rsidP="00305C40">
      <w:pPr>
        <w:numPr>
          <w:ilvl w:val="0"/>
          <w:numId w:val="6"/>
        </w:numPr>
        <w:spacing w:line="240" w:lineRule="auto"/>
        <w:ind w:left="720" w:hanging="720"/>
        <w:contextualSpacing/>
        <w:rPr>
          <w:color w:val="000000"/>
        </w:rPr>
      </w:pPr>
      <w:r w:rsidRPr="00305C40">
        <w:rPr>
          <w:color w:val="000000"/>
        </w:rPr>
        <w:t xml:space="preserve">In the first full </w:t>
      </w:r>
      <w:r w:rsidRPr="00305C40">
        <w:rPr>
          <w:color w:val="000000"/>
        </w:rPr>
        <w:t>paragraph on page 22, the first sentence begins with “Defendants cite two recent decisions,” which should be replaced with “Defendants cite a recent decision” so the sentence reads as follows:</w:t>
      </w:r>
    </w:p>
    <w:p w14:paraId="44A14238" w14:textId="77777777" w:rsidR="00305C40" w:rsidRPr="00305C40" w:rsidRDefault="00305C40" w:rsidP="00305C40">
      <w:pPr>
        <w:spacing w:line="240" w:lineRule="auto"/>
        <w:rPr>
          <w:color w:val="000000"/>
        </w:rPr>
      </w:pPr>
    </w:p>
    <w:p w14:paraId="797637BB" w14:textId="77777777" w:rsidR="00305C40" w:rsidRPr="00305C40" w:rsidRDefault="001B6997" w:rsidP="00305C40">
      <w:pPr>
        <w:spacing w:line="240" w:lineRule="auto"/>
        <w:rPr>
          <w:rFonts w:cs="Times New Roman"/>
        </w:rPr>
      </w:pPr>
      <w:r w:rsidRPr="00305C40">
        <w:rPr>
          <w:color w:val="000000"/>
        </w:rPr>
        <w:t>Defendants cite a recent decision denying</w:t>
      </w:r>
      <w:r w:rsidRPr="00305C40">
        <w:rPr>
          <w:rFonts w:cs="Times New Roman"/>
        </w:rPr>
        <w:t xml:space="preserve"> mandamus petitions f</w:t>
      </w:r>
      <w:r w:rsidRPr="00305C40">
        <w:rPr>
          <w:rFonts w:cs="Times New Roman"/>
        </w:rPr>
        <w:t>iled by criminal defendants seeking dismissal of their individual cases under section 1382.</w:t>
      </w:r>
    </w:p>
    <w:p w14:paraId="4744F586" w14:textId="77777777" w:rsidR="00305C40" w:rsidRPr="00305C40" w:rsidRDefault="00305C40" w:rsidP="00305C40">
      <w:pPr>
        <w:spacing w:line="240" w:lineRule="auto"/>
        <w:rPr>
          <w:rFonts w:cs="Times New Roman"/>
        </w:rPr>
      </w:pPr>
    </w:p>
    <w:p w14:paraId="3B8BE16F" w14:textId="77777777" w:rsidR="00305C40" w:rsidRPr="00305C40" w:rsidRDefault="001B6997" w:rsidP="00305C40">
      <w:pPr>
        <w:numPr>
          <w:ilvl w:val="0"/>
          <w:numId w:val="6"/>
        </w:numPr>
        <w:spacing w:line="240" w:lineRule="auto"/>
        <w:ind w:left="720" w:hanging="720"/>
        <w:contextualSpacing/>
        <w:rPr>
          <w:color w:val="000000"/>
        </w:rPr>
      </w:pPr>
      <w:r w:rsidRPr="00305C40">
        <w:rPr>
          <w:color w:val="000000"/>
        </w:rPr>
        <w:t>The first full paragraph on page 24 commencing with “Recently, Division One” and ending with “(</w:t>
      </w:r>
      <w:r w:rsidRPr="00305C40">
        <w:rPr>
          <w:i/>
          <w:iCs/>
          <w:color w:val="000000"/>
        </w:rPr>
        <w:t>Id</w:t>
      </w:r>
      <w:r w:rsidRPr="00305C40">
        <w:rPr>
          <w:color w:val="000000"/>
        </w:rPr>
        <w:t>. at pp. 1117, 1118, 1121, 1124.)” should be deleted along with fo</w:t>
      </w:r>
      <w:r w:rsidRPr="00305C40">
        <w:rPr>
          <w:color w:val="000000"/>
        </w:rPr>
        <w:t xml:space="preserve">otnote 22, which will require renumbering of all subsequent footnotes.  </w:t>
      </w:r>
    </w:p>
    <w:p w14:paraId="00542B4E" w14:textId="77777777" w:rsidR="00305C40" w:rsidRPr="00305C40" w:rsidRDefault="00305C40" w:rsidP="00305C40">
      <w:pPr>
        <w:spacing w:line="240" w:lineRule="auto"/>
      </w:pPr>
    </w:p>
    <w:p w14:paraId="380E09DB" w14:textId="77777777" w:rsidR="00305C40" w:rsidRPr="00305C40" w:rsidRDefault="001B6997" w:rsidP="00305C40">
      <w:pPr>
        <w:numPr>
          <w:ilvl w:val="0"/>
          <w:numId w:val="6"/>
        </w:numPr>
        <w:spacing w:line="240" w:lineRule="auto"/>
        <w:ind w:left="720" w:hanging="720"/>
        <w:contextualSpacing/>
      </w:pPr>
      <w:r w:rsidRPr="00305C40">
        <w:t xml:space="preserve">The first full paragraph on page 25, beginning with “Defendants do not contend that </w:t>
      </w:r>
      <w:r w:rsidRPr="00305C40">
        <w:rPr>
          <w:i/>
          <w:iCs/>
        </w:rPr>
        <w:t>Hernandez-Valenzuela</w:t>
      </w:r>
      <w:r w:rsidRPr="00305C40">
        <w:t>” and ending with “at best, as background,” should be modified to read as foll</w:t>
      </w:r>
      <w:r w:rsidRPr="00305C40">
        <w:t>ows:</w:t>
      </w:r>
    </w:p>
    <w:p w14:paraId="0D9CEB15" w14:textId="77777777" w:rsidR="00305C40" w:rsidRPr="00305C40" w:rsidRDefault="00305C40" w:rsidP="00305C40">
      <w:pPr>
        <w:spacing w:line="240" w:lineRule="auto"/>
      </w:pPr>
    </w:p>
    <w:p w14:paraId="57F3424B" w14:textId="77777777" w:rsidR="00305C40" w:rsidRPr="00305C40" w:rsidRDefault="001B6997" w:rsidP="00305C40">
      <w:pPr>
        <w:tabs>
          <w:tab w:val="left" w:pos="1710"/>
        </w:tabs>
        <w:spacing w:line="240" w:lineRule="auto"/>
        <w:rPr>
          <w:color w:val="000000" w:themeColor="text1"/>
        </w:rPr>
      </w:pPr>
      <w:r w:rsidRPr="00305C40">
        <w:rPr>
          <w:color w:val="000000" w:themeColor="text1"/>
        </w:rPr>
        <w:t xml:space="preserve">Defendants do not contend that </w:t>
      </w:r>
      <w:r w:rsidRPr="00305C40">
        <w:rPr>
          <w:i/>
          <w:iCs/>
          <w:color w:val="000000" w:themeColor="text1"/>
        </w:rPr>
        <w:t>Hernandez-Valenzuela</w:t>
      </w:r>
      <w:r w:rsidRPr="00305C40">
        <w:rPr>
          <w:color w:val="000000" w:themeColor="text1"/>
        </w:rPr>
        <w:t xml:space="preserve"> has preclusive effect or establishes some legal principle that would bar plaintiffs’ claims as a matter of law. Nor do they explain or cite any authority to support the suggestion (improperly includ</w:t>
      </w:r>
      <w:r w:rsidRPr="00305C40">
        <w:rPr>
          <w:color w:val="000000" w:themeColor="text1"/>
        </w:rPr>
        <w:t>ed only in their request for judicial notice) that we could take judicial notice of the truth of any factual findings in that case in a way that would somehow render plaintiffs’ claims insufficiently pleaded.</w:t>
      </w:r>
    </w:p>
    <w:p w14:paraId="2A4323E5" w14:textId="77777777" w:rsidR="00305C40" w:rsidRPr="00305C40" w:rsidRDefault="00305C40" w:rsidP="00305C40">
      <w:pPr>
        <w:spacing w:line="240" w:lineRule="auto"/>
        <w:rPr>
          <w:color w:val="000000" w:themeColor="text1"/>
        </w:rPr>
      </w:pPr>
    </w:p>
    <w:p w14:paraId="6CC4CA33" w14:textId="77777777" w:rsidR="00305C40" w:rsidRPr="00305C40" w:rsidRDefault="001B6997" w:rsidP="00305C40">
      <w:pPr>
        <w:numPr>
          <w:ilvl w:val="0"/>
          <w:numId w:val="6"/>
        </w:numPr>
        <w:spacing w:line="240" w:lineRule="auto"/>
        <w:ind w:left="720" w:hanging="720"/>
        <w:contextualSpacing/>
      </w:pPr>
      <w:r w:rsidRPr="00305C40">
        <w:t>On page 37, in the final sentence of the first</w:t>
      </w:r>
      <w:r w:rsidRPr="00305C40">
        <w:t xml:space="preserve"> full paragraph, beginning with “Here, plaintiffs seek,” modify the parenthetical by changing “39–40” to “38–39” so that it reads “(see pp. 38–39, </w:t>
      </w:r>
      <w:r w:rsidRPr="00305C40">
        <w:rPr>
          <w:i/>
          <w:iCs/>
        </w:rPr>
        <w:t>post</w:t>
      </w:r>
      <w:r w:rsidRPr="00305C40">
        <w:t xml:space="preserve">).” </w:t>
      </w:r>
    </w:p>
    <w:p w14:paraId="548E07B4" w14:textId="77777777" w:rsidR="00305C40" w:rsidRPr="00305C40" w:rsidRDefault="00305C40" w:rsidP="00305C40">
      <w:pPr>
        <w:spacing w:line="240" w:lineRule="auto"/>
        <w:rPr>
          <w:color w:val="000000" w:themeColor="text1"/>
        </w:rPr>
      </w:pPr>
    </w:p>
    <w:p w14:paraId="67CA63EC" w14:textId="77777777" w:rsidR="00305C40" w:rsidRPr="00305C40" w:rsidRDefault="001B6997" w:rsidP="00305C40">
      <w:pPr>
        <w:numPr>
          <w:ilvl w:val="0"/>
          <w:numId w:val="6"/>
        </w:numPr>
        <w:spacing w:line="240" w:lineRule="auto"/>
        <w:contextualSpacing/>
      </w:pPr>
      <w:r w:rsidRPr="00305C40">
        <w:t xml:space="preserve">On page 40, delete footnote 31.  </w:t>
      </w:r>
    </w:p>
    <w:p w14:paraId="5A684546" w14:textId="77777777" w:rsidR="00305C40" w:rsidRPr="00305C40" w:rsidRDefault="00305C40" w:rsidP="00305C40">
      <w:pPr>
        <w:spacing w:line="240" w:lineRule="auto"/>
      </w:pPr>
    </w:p>
    <w:p w14:paraId="6D3687E3" w14:textId="77777777" w:rsidR="00305C40" w:rsidRPr="00305C40" w:rsidRDefault="001B6997" w:rsidP="00305C40">
      <w:pPr>
        <w:spacing w:line="240" w:lineRule="auto"/>
      </w:pPr>
      <w:r w:rsidRPr="00305C40">
        <w:tab/>
        <w:t>There is no change in the judgment.</w:t>
      </w:r>
    </w:p>
    <w:p w14:paraId="6007FA29" w14:textId="77777777" w:rsidR="00305C40" w:rsidRPr="00305C40" w:rsidRDefault="00305C40" w:rsidP="00305C40">
      <w:pPr>
        <w:spacing w:line="240" w:lineRule="auto"/>
      </w:pPr>
    </w:p>
    <w:p w14:paraId="2D14E9E9" w14:textId="77777777" w:rsidR="00305C40" w:rsidRPr="00305C40" w:rsidRDefault="001B6997" w:rsidP="00305C40">
      <w:pPr>
        <w:spacing w:line="240" w:lineRule="auto"/>
      </w:pPr>
      <w:r w:rsidRPr="00305C40">
        <w:tab/>
        <w:t>The petition for rehearin</w:t>
      </w:r>
      <w:r w:rsidRPr="00305C40">
        <w:t>g is denied.</w:t>
      </w:r>
    </w:p>
    <w:p w14:paraId="165E6285" w14:textId="77777777" w:rsidR="00305C40" w:rsidRPr="00305C40" w:rsidRDefault="00305C40" w:rsidP="00305C40">
      <w:pPr>
        <w:spacing w:line="240" w:lineRule="auto"/>
      </w:pPr>
    </w:p>
    <w:p w14:paraId="3DF637BF" w14:textId="77777777" w:rsidR="00305C40" w:rsidRPr="00305C40" w:rsidRDefault="00305C40" w:rsidP="00305C40">
      <w:pPr>
        <w:spacing w:line="240" w:lineRule="auto"/>
      </w:pPr>
    </w:p>
    <w:p w14:paraId="29C57367" w14:textId="77777777" w:rsidR="00305C40" w:rsidRPr="00305C40" w:rsidRDefault="00305C40" w:rsidP="00305C40">
      <w:pPr>
        <w:spacing w:line="240" w:lineRule="auto"/>
      </w:pPr>
    </w:p>
    <w:p w14:paraId="16E9082B" w14:textId="77777777" w:rsidR="00305C40" w:rsidRPr="00305C40" w:rsidRDefault="001B6997" w:rsidP="00305C40">
      <w:pPr>
        <w:spacing w:line="480" w:lineRule="auto"/>
        <w:jc w:val="both"/>
      </w:pPr>
      <w:r w:rsidRPr="00305C40">
        <w:t>Date_____________________                      ______________________Acting P. J.</w:t>
      </w:r>
    </w:p>
    <w:p w14:paraId="04EB139F" w14:textId="77777777" w:rsidR="00305C40" w:rsidRPr="00305C40" w:rsidRDefault="00305C40" w:rsidP="00305C40"/>
    <w:p w14:paraId="495C5E81" w14:textId="77777777" w:rsidR="00305C40" w:rsidRPr="00305C40" w:rsidRDefault="00305C40" w:rsidP="00305C40"/>
    <w:p w14:paraId="77A246FD" w14:textId="77777777" w:rsidR="00305C40" w:rsidRPr="00305C40" w:rsidRDefault="00305C40" w:rsidP="00305C40"/>
    <w:p w14:paraId="278A46BB" w14:textId="77777777" w:rsidR="00305C40" w:rsidRPr="00305C40" w:rsidRDefault="00305C40" w:rsidP="00305C40"/>
    <w:p w14:paraId="7EC84048" w14:textId="77777777" w:rsidR="00305C40" w:rsidRPr="00305C40" w:rsidRDefault="00305C40" w:rsidP="00305C40"/>
    <w:p w14:paraId="63570DE1" w14:textId="77777777" w:rsidR="00305C40" w:rsidRPr="00305C40" w:rsidRDefault="00305C40" w:rsidP="00305C40"/>
    <w:p w14:paraId="1DBC572B" w14:textId="77777777" w:rsidR="00305C40" w:rsidRPr="00305C40" w:rsidRDefault="00305C40" w:rsidP="00305C40"/>
    <w:p w14:paraId="5D68CBB6" w14:textId="77777777" w:rsidR="00305C40" w:rsidRPr="00305C40" w:rsidRDefault="00305C40" w:rsidP="00305C40">
      <w:pPr>
        <w:sectPr w:rsidR="00305C40" w:rsidRPr="00305C40" w:rsidSect="006C7E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pPr>
    </w:p>
    <w:p w14:paraId="185BDCB6" w14:textId="77777777" w:rsidR="00305C40" w:rsidRPr="00305C40" w:rsidRDefault="00305C40" w:rsidP="00305C40"/>
    <w:p w14:paraId="172EF28F" w14:textId="77777777" w:rsidR="00305C40" w:rsidRPr="00305C40" w:rsidRDefault="001B6997" w:rsidP="00305C40">
      <w:r w:rsidRPr="00305C40">
        <w:t>Trial Court:</w:t>
      </w:r>
      <w:r w:rsidRPr="00305C40">
        <w:tab/>
      </w:r>
      <w:r w:rsidRPr="00305C40">
        <w:tab/>
        <w:t>Superior Court of California, County of Contra Costa</w:t>
      </w:r>
    </w:p>
    <w:p w14:paraId="7F1C1384" w14:textId="77777777" w:rsidR="00305C40" w:rsidRPr="00305C40" w:rsidRDefault="00305C40" w:rsidP="00305C40">
      <w:pPr>
        <w:spacing w:line="240" w:lineRule="auto"/>
      </w:pPr>
    </w:p>
    <w:p w14:paraId="7325984D" w14:textId="77777777" w:rsidR="00305C40" w:rsidRPr="00305C40" w:rsidRDefault="001B6997" w:rsidP="00305C40">
      <w:pPr>
        <w:spacing w:line="240" w:lineRule="atLeast"/>
      </w:pPr>
      <w:r w:rsidRPr="00305C40">
        <w:t xml:space="preserve">Trial </w:t>
      </w:r>
      <w:r w:rsidRPr="00305C40">
        <w:t>Judge:</w:t>
      </w:r>
      <w:r w:rsidRPr="00305C40">
        <w:tab/>
        <w:t>Hon. Edward G. Weil</w:t>
      </w:r>
    </w:p>
    <w:p w14:paraId="0450AACD" w14:textId="77777777" w:rsidR="00305C40" w:rsidRPr="00305C40" w:rsidRDefault="00305C40" w:rsidP="00305C40">
      <w:pPr>
        <w:spacing w:line="240" w:lineRule="auto"/>
      </w:pPr>
    </w:p>
    <w:p w14:paraId="25B53272" w14:textId="77777777" w:rsidR="00305C40" w:rsidRPr="00305C40" w:rsidRDefault="001B6997" w:rsidP="00305C40">
      <w:pPr>
        <w:spacing w:line="240" w:lineRule="auto"/>
        <w:ind w:left="2160" w:hanging="2160"/>
      </w:pPr>
      <w:r w:rsidRPr="00305C40">
        <w:t>Counsel:</w:t>
      </w:r>
      <w:r w:rsidRPr="00305C40">
        <w:tab/>
        <w:t>Olivier &amp; Schreiber, Monique Olivier, Christian Schreiber; Miller Shah, James E. Miller and Casey T. Yamasaki for Plaintiffs and Appellants.</w:t>
      </w:r>
    </w:p>
    <w:p w14:paraId="335D0D31" w14:textId="77777777" w:rsidR="00305C40" w:rsidRPr="00305C40" w:rsidRDefault="00305C40" w:rsidP="00305C40">
      <w:pPr>
        <w:spacing w:line="240" w:lineRule="auto"/>
        <w:ind w:left="2160"/>
      </w:pPr>
    </w:p>
    <w:p w14:paraId="13CFD91C" w14:textId="77777777" w:rsidR="00305C40" w:rsidRPr="00305C40" w:rsidRDefault="001B6997" w:rsidP="00305C40">
      <w:pPr>
        <w:spacing w:line="240" w:lineRule="auto"/>
        <w:ind w:left="2160"/>
      </w:pPr>
      <w:r w:rsidRPr="00305C40">
        <w:t xml:space="preserve">Clyde &amp; Co, Alison K. </w:t>
      </w:r>
      <w:proofErr w:type="spellStart"/>
      <w:r w:rsidRPr="00305C40">
        <w:t>Beanum</w:t>
      </w:r>
      <w:proofErr w:type="spellEnd"/>
      <w:r w:rsidRPr="00305C40">
        <w:t xml:space="preserve">, Douglas J. </w:t>
      </w:r>
      <w:proofErr w:type="spellStart"/>
      <w:r w:rsidRPr="00305C40">
        <w:t>Collodel</w:t>
      </w:r>
      <w:proofErr w:type="spellEnd"/>
      <w:r w:rsidRPr="00305C40">
        <w:t xml:space="preserve"> and Kevin R. Sutherland for</w:t>
      </w:r>
      <w:r w:rsidRPr="00305C40">
        <w:t xml:space="preserve"> Defendants and Respondents.</w:t>
      </w:r>
    </w:p>
    <w:p w14:paraId="27C8C584" w14:textId="77777777" w:rsidR="00305C40" w:rsidRPr="00305C40" w:rsidRDefault="00305C40" w:rsidP="00305C40">
      <w:pPr>
        <w:spacing w:line="240" w:lineRule="auto"/>
      </w:pPr>
    </w:p>
    <w:p w14:paraId="5C4E1139" w14:textId="77777777" w:rsidR="00305C40" w:rsidRPr="00305C40" w:rsidRDefault="00305C40" w:rsidP="00305C40">
      <w:pPr>
        <w:autoSpaceDE w:val="0"/>
        <w:autoSpaceDN w:val="0"/>
        <w:adjustRightInd w:val="0"/>
        <w:spacing w:line="360" w:lineRule="auto"/>
        <w:contextualSpacing/>
      </w:pPr>
    </w:p>
    <w:p w14:paraId="39F7A15B" w14:textId="77777777" w:rsidR="00305C40" w:rsidRPr="00305C40" w:rsidRDefault="00305C40" w:rsidP="00305C40"/>
    <w:p w14:paraId="0C81A860" w14:textId="77777777" w:rsidR="00305C40" w:rsidRDefault="00305C40" w:rsidP="004C0F52">
      <w:pPr>
        <w:spacing w:line="240" w:lineRule="auto"/>
        <w:rPr>
          <w:sz w:val="20"/>
        </w:rPr>
        <w:sectPr w:rsidR="00305C40" w:rsidSect="0080647E">
          <w:footerReference w:type="even" r:id="rId14"/>
          <w:footerReference w:type="default" r:id="rId15"/>
          <w:footerReference w:type="first" r:id="rId16"/>
          <w:pgSz w:w="12240" w:h="15840"/>
          <w:pgMar w:top="1440" w:right="1440" w:bottom="1440" w:left="1440" w:header="720" w:footer="720" w:gutter="0"/>
          <w:cols w:space="720"/>
          <w:docGrid w:linePitch="360"/>
        </w:sectPr>
      </w:pPr>
    </w:p>
    <w:p w14:paraId="120DD9CC" w14:textId="467F1627" w:rsidR="004C0F52" w:rsidRPr="007205DD" w:rsidRDefault="001B6997" w:rsidP="004C0F52">
      <w:pPr>
        <w:spacing w:line="240" w:lineRule="auto"/>
        <w:rPr>
          <w:sz w:val="20"/>
        </w:rPr>
      </w:pPr>
      <w:r w:rsidRPr="007205DD">
        <w:rPr>
          <w:sz w:val="20"/>
        </w:rPr>
        <w:lastRenderedPageBreak/>
        <w:t xml:space="preserve">Filed </w:t>
      </w:r>
      <w:r w:rsidR="00BB7AFD">
        <w:rPr>
          <w:sz w:val="20"/>
        </w:rPr>
        <w:t>6/</w:t>
      </w:r>
      <w:r w:rsidR="00FA54F0">
        <w:rPr>
          <w:sz w:val="20"/>
        </w:rPr>
        <w:t>8</w:t>
      </w:r>
      <w:r w:rsidR="00BB7AFD">
        <w:rPr>
          <w:sz w:val="20"/>
        </w:rPr>
        <w:t>/23</w:t>
      </w:r>
      <w:r w:rsidR="00305C40">
        <w:rPr>
          <w:sz w:val="20"/>
        </w:rPr>
        <w:t xml:space="preserve"> (unmodified opinion)</w:t>
      </w:r>
    </w:p>
    <w:p w14:paraId="59B038A4" w14:textId="77777777" w:rsidR="004C0F52" w:rsidRPr="007205DD" w:rsidRDefault="001B6997" w:rsidP="004C0F52">
      <w:pPr>
        <w:spacing w:line="240" w:lineRule="auto"/>
        <w:jc w:val="center"/>
        <w:rPr>
          <w:b/>
        </w:rPr>
      </w:pPr>
      <w:r w:rsidRPr="007205DD">
        <w:rPr>
          <w:b/>
        </w:rPr>
        <w:t>CERTIFIED FOR PUBLICATION</w:t>
      </w:r>
    </w:p>
    <w:p w14:paraId="482975B1" w14:textId="77777777" w:rsidR="004C0F52" w:rsidRDefault="004C0F52" w:rsidP="004C0F52">
      <w:pPr>
        <w:spacing w:line="240" w:lineRule="auto"/>
        <w:jc w:val="center"/>
      </w:pPr>
    </w:p>
    <w:p w14:paraId="1D4A7141" w14:textId="2345CF2B" w:rsidR="0006653B" w:rsidRDefault="001B6997" w:rsidP="0080647E">
      <w:pPr>
        <w:spacing w:line="240" w:lineRule="auto"/>
        <w:jc w:val="center"/>
      </w:pPr>
      <w:r>
        <w:t xml:space="preserve">IN THE </w:t>
      </w:r>
      <w:r>
        <w:t>COURT OF APPEAL OF THE STATE OF CALIFORNIA</w:t>
      </w:r>
    </w:p>
    <w:p w14:paraId="40A3AB9A" w14:textId="61FB18C5" w:rsidR="0080647E" w:rsidRDefault="0080647E" w:rsidP="0080647E">
      <w:pPr>
        <w:spacing w:line="240" w:lineRule="auto"/>
        <w:jc w:val="center"/>
      </w:pPr>
    </w:p>
    <w:p w14:paraId="78F237FF" w14:textId="676EA40B" w:rsidR="0080647E" w:rsidRDefault="001B6997" w:rsidP="0080647E">
      <w:pPr>
        <w:spacing w:line="240" w:lineRule="auto"/>
        <w:jc w:val="center"/>
      </w:pPr>
      <w:r>
        <w:t>FIRST APPELLATE DISTRICT</w:t>
      </w:r>
    </w:p>
    <w:p w14:paraId="1A9818C8" w14:textId="57FB81E1" w:rsidR="0080647E" w:rsidRDefault="0080647E" w:rsidP="0080647E">
      <w:pPr>
        <w:spacing w:line="240" w:lineRule="auto"/>
        <w:jc w:val="center"/>
      </w:pPr>
    </w:p>
    <w:p w14:paraId="66B26AAE" w14:textId="31AF20C3" w:rsidR="0080647E" w:rsidRDefault="001B6997" w:rsidP="0080647E">
      <w:pPr>
        <w:spacing w:line="240" w:lineRule="auto"/>
        <w:jc w:val="center"/>
      </w:pPr>
      <w:r>
        <w:t>DIVISION FOUR</w:t>
      </w:r>
    </w:p>
    <w:p w14:paraId="2688B9F3" w14:textId="66526256" w:rsidR="0080647E" w:rsidRDefault="0080647E" w:rsidP="0080647E">
      <w:pPr>
        <w:spacing w:line="240" w:lineRule="auto"/>
        <w:jc w:val="center"/>
      </w:pPr>
    </w:p>
    <w:p w14:paraId="01936CE4" w14:textId="0FC50CAC" w:rsidR="0080647E" w:rsidRDefault="0080647E" w:rsidP="0080647E">
      <w:pPr>
        <w:spacing w:line="240" w:lineRule="auto"/>
        <w:jc w:val="center"/>
      </w:pPr>
    </w:p>
    <w:tbl>
      <w:tblPr>
        <w:tblW w:w="0" w:type="auto"/>
        <w:tblLayout w:type="fixed"/>
        <w:tblLook w:val="0000" w:firstRow="0" w:lastRow="0" w:firstColumn="0" w:lastColumn="0" w:noHBand="0" w:noVBand="0"/>
      </w:tblPr>
      <w:tblGrid>
        <w:gridCol w:w="4680"/>
        <w:gridCol w:w="4680"/>
      </w:tblGrid>
      <w:tr w:rsidR="00B001D4" w14:paraId="5DCBB5FC" w14:textId="77777777" w:rsidTr="0080647E">
        <w:tc>
          <w:tcPr>
            <w:tcW w:w="4680" w:type="dxa"/>
            <w:tcBorders>
              <w:bottom w:val="single" w:sz="4" w:space="0" w:color="auto"/>
              <w:right w:val="single" w:sz="4" w:space="0" w:color="auto"/>
            </w:tcBorders>
            <w:shd w:val="clear" w:color="auto" w:fill="auto"/>
          </w:tcPr>
          <w:p w14:paraId="48DDDD41" w14:textId="77777777" w:rsidR="00C4676A" w:rsidRDefault="001B6997" w:rsidP="0080647E">
            <w:pPr>
              <w:spacing w:after="120" w:line="240" w:lineRule="auto"/>
              <w:rPr>
                <w:rFonts w:cs="CenturySchoolbook"/>
              </w:rPr>
            </w:pPr>
            <w:r>
              <w:rPr>
                <w:rFonts w:cs="CenturySchoolbook"/>
              </w:rPr>
              <w:t>MANOHAR RAJU et al.,</w:t>
            </w:r>
          </w:p>
          <w:p w14:paraId="0AB6DCA9" w14:textId="6AD775BD" w:rsidR="0080647E" w:rsidRDefault="001B6997" w:rsidP="0080647E">
            <w:pPr>
              <w:spacing w:after="120" w:line="240" w:lineRule="auto"/>
            </w:pPr>
            <w:r>
              <w:tab/>
              <w:t>Plaintiff</w:t>
            </w:r>
            <w:r w:rsidR="00CC1C8D">
              <w:t>s</w:t>
            </w:r>
            <w:r>
              <w:t xml:space="preserve"> and Appellant</w:t>
            </w:r>
            <w:r w:rsidR="00CC1C8D">
              <w:t>s</w:t>
            </w:r>
            <w:r>
              <w:t>,</w:t>
            </w:r>
          </w:p>
          <w:p w14:paraId="14268622" w14:textId="77777777" w:rsidR="0080647E" w:rsidRDefault="001B6997" w:rsidP="0080647E">
            <w:pPr>
              <w:spacing w:after="120" w:line="240" w:lineRule="auto"/>
            </w:pPr>
            <w:r>
              <w:t>v.</w:t>
            </w:r>
          </w:p>
          <w:p w14:paraId="40AA0096" w14:textId="766D5552" w:rsidR="0080647E" w:rsidRPr="00A35914" w:rsidRDefault="001B6997" w:rsidP="0080647E">
            <w:pPr>
              <w:spacing w:after="120" w:line="240" w:lineRule="auto"/>
            </w:pPr>
            <w:r>
              <w:t xml:space="preserve">THE SUPERIOR COURT OF THE </w:t>
            </w:r>
            <w:r w:rsidR="008D0334">
              <w:t>CITY AND COUNTY OF</w:t>
            </w:r>
            <w:r>
              <w:t xml:space="preserve"> SAN FRANCISCO</w:t>
            </w:r>
            <w:r w:rsidR="0006049C">
              <w:t xml:space="preserve"> </w:t>
            </w:r>
            <w:r>
              <w:t>et al.,</w:t>
            </w:r>
          </w:p>
          <w:p w14:paraId="77738B79" w14:textId="3490CE9A" w:rsidR="0080647E" w:rsidRDefault="001B6997" w:rsidP="0080647E">
            <w:pPr>
              <w:spacing w:after="120" w:line="240" w:lineRule="auto"/>
            </w:pPr>
            <w:r>
              <w:tab/>
            </w:r>
            <w:r w:rsidR="00D36A0B" w:rsidRPr="00A35914">
              <w:t>Defendant</w:t>
            </w:r>
            <w:r w:rsidR="00D36A0B">
              <w:t>s and Respondents</w:t>
            </w:r>
            <w:r>
              <w:t>.</w:t>
            </w:r>
          </w:p>
        </w:tc>
        <w:tc>
          <w:tcPr>
            <w:tcW w:w="4680" w:type="dxa"/>
            <w:tcBorders>
              <w:left w:val="single" w:sz="4" w:space="0" w:color="auto"/>
            </w:tcBorders>
            <w:shd w:val="clear" w:color="auto" w:fill="auto"/>
          </w:tcPr>
          <w:p w14:paraId="1386CDA9" w14:textId="77777777" w:rsidR="0080647E" w:rsidRDefault="0080647E" w:rsidP="0080647E">
            <w:pPr>
              <w:spacing w:line="240" w:lineRule="auto"/>
            </w:pPr>
          </w:p>
          <w:p w14:paraId="6CBBA108" w14:textId="77777777" w:rsidR="0080647E" w:rsidRDefault="0080647E" w:rsidP="0080647E">
            <w:pPr>
              <w:spacing w:line="240" w:lineRule="auto"/>
            </w:pPr>
          </w:p>
          <w:p w14:paraId="55C88F06" w14:textId="1F365D2F" w:rsidR="0080647E" w:rsidRDefault="001B6997" w:rsidP="00547EF9">
            <w:pPr>
              <w:tabs>
                <w:tab w:val="clear" w:pos="720"/>
                <w:tab w:val="left" w:pos="342"/>
              </w:tabs>
              <w:spacing w:line="240" w:lineRule="auto"/>
            </w:pPr>
            <w:r>
              <w:tab/>
            </w:r>
            <w:r w:rsidRPr="00A35914">
              <w:t>A16</w:t>
            </w:r>
            <w:r w:rsidR="00676F7C">
              <w:t>4</w:t>
            </w:r>
            <w:r w:rsidR="00705812">
              <w:t>736</w:t>
            </w:r>
          </w:p>
          <w:p w14:paraId="1860A3EE" w14:textId="77777777" w:rsidR="0080647E" w:rsidRDefault="0080647E" w:rsidP="00547EF9">
            <w:pPr>
              <w:tabs>
                <w:tab w:val="clear" w:pos="720"/>
                <w:tab w:val="left" w:pos="342"/>
              </w:tabs>
              <w:spacing w:line="240" w:lineRule="auto"/>
            </w:pPr>
          </w:p>
          <w:p w14:paraId="58ADEF7F" w14:textId="7035264F" w:rsidR="00CC7FEC" w:rsidRDefault="001B6997" w:rsidP="00547EF9">
            <w:pPr>
              <w:tabs>
                <w:tab w:val="clear" w:pos="720"/>
                <w:tab w:val="left" w:pos="342"/>
              </w:tabs>
              <w:spacing w:line="240" w:lineRule="auto"/>
            </w:pPr>
            <w:r>
              <w:tab/>
            </w:r>
            <w:r w:rsidR="0080647E">
              <w:t>(</w:t>
            </w:r>
            <w:r w:rsidR="00CB3EF2">
              <w:t xml:space="preserve">Contra Costa County </w:t>
            </w:r>
          </w:p>
          <w:p w14:paraId="26BA8D4E" w14:textId="42E197C7" w:rsidR="0080647E" w:rsidRDefault="001B6997" w:rsidP="003B44CC">
            <w:pPr>
              <w:tabs>
                <w:tab w:val="clear" w:pos="720"/>
                <w:tab w:val="left" w:pos="342"/>
              </w:tabs>
              <w:spacing w:line="240" w:lineRule="auto"/>
              <w:ind w:firstLine="346"/>
            </w:pPr>
            <w:r>
              <w:t>Super. Ct. No. MSRA21-0005)</w:t>
            </w:r>
          </w:p>
        </w:tc>
      </w:tr>
    </w:tbl>
    <w:p w14:paraId="6D5B8629" w14:textId="77777777" w:rsidR="0080647E" w:rsidRDefault="0080647E" w:rsidP="00487763">
      <w:pPr>
        <w:autoSpaceDE w:val="0"/>
        <w:autoSpaceDN w:val="0"/>
        <w:adjustRightInd w:val="0"/>
        <w:spacing w:line="240" w:lineRule="auto"/>
      </w:pPr>
    </w:p>
    <w:p w14:paraId="0BF8DD07" w14:textId="61BBE75B" w:rsidR="0080647E" w:rsidRDefault="001B6997" w:rsidP="003F5F13">
      <w:pPr>
        <w:autoSpaceDE w:val="0"/>
        <w:autoSpaceDN w:val="0"/>
        <w:adjustRightInd w:val="0"/>
        <w:spacing w:line="360" w:lineRule="auto"/>
        <w:contextualSpacing/>
        <w:rPr>
          <w:rFonts w:cs="CenturySchoolbook"/>
        </w:rPr>
      </w:pPr>
      <w:r w:rsidRPr="0085296A">
        <w:tab/>
      </w:r>
      <w:r w:rsidR="5928D824" w:rsidRPr="4B0E998B">
        <w:rPr>
          <w:rFonts w:cs="CenturySchoolbook"/>
        </w:rPr>
        <w:t xml:space="preserve">Manohar Raju, Donna Doyle, John Dunbar, and Rose Marie Sims appeal a judgment dismissing their taxpayer action against the Superior Court of </w:t>
      </w:r>
      <w:r w:rsidR="14453987">
        <w:rPr>
          <w:rFonts w:cs="CenturySchoolbook"/>
        </w:rPr>
        <w:t xml:space="preserve">the </w:t>
      </w:r>
      <w:r w:rsidR="5928D824" w:rsidRPr="4B0E998B">
        <w:rPr>
          <w:rFonts w:cs="CenturySchoolbook"/>
        </w:rPr>
        <w:t xml:space="preserve">City and County of San Francisco (defendant court), Anne-Christine </w:t>
      </w:r>
      <w:proofErr w:type="spellStart"/>
      <w:r w:rsidR="5928D824" w:rsidRPr="4B0E998B">
        <w:rPr>
          <w:rFonts w:cs="CenturySchoolbook"/>
        </w:rPr>
        <w:t>Massullo</w:t>
      </w:r>
      <w:proofErr w:type="spellEnd"/>
      <w:r w:rsidR="5928D824" w:rsidRPr="4B0E998B">
        <w:rPr>
          <w:rFonts w:cs="CenturySchoolbook"/>
        </w:rPr>
        <w:t xml:space="preserve">, and Mark </w:t>
      </w:r>
      <w:proofErr w:type="spellStart"/>
      <w:r w:rsidR="5928D824" w:rsidRPr="4B0E998B">
        <w:rPr>
          <w:rFonts w:cs="CenturySchoolbook"/>
        </w:rPr>
        <w:t>Culkins</w:t>
      </w:r>
      <w:proofErr w:type="spellEnd"/>
      <w:r w:rsidR="5928D824" w:rsidRPr="4B0E998B">
        <w:rPr>
          <w:rFonts w:cs="CenturySchoolbook"/>
        </w:rPr>
        <w:t xml:space="preserve">, the latter in their official capacities as defendant court’s </w:t>
      </w:r>
      <w:r w:rsidR="79D9EA3A">
        <w:rPr>
          <w:rFonts w:cs="CenturySchoolbook"/>
        </w:rPr>
        <w:t>p</w:t>
      </w:r>
      <w:r w:rsidR="5928D824" w:rsidRPr="4B0E998B">
        <w:rPr>
          <w:rFonts w:cs="CenturySchoolbook"/>
        </w:rPr>
        <w:t xml:space="preserve">residing </w:t>
      </w:r>
      <w:r w:rsidR="79D9EA3A">
        <w:rPr>
          <w:rFonts w:cs="CenturySchoolbook"/>
        </w:rPr>
        <w:t>j</w:t>
      </w:r>
      <w:r w:rsidR="5928D824" w:rsidRPr="4B0E998B">
        <w:rPr>
          <w:rFonts w:cs="CenturySchoolbook"/>
        </w:rPr>
        <w:t xml:space="preserve">udge and </w:t>
      </w:r>
      <w:r w:rsidR="79D9EA3A">
        <w:rPr>
          <w:rFonts w:cs="CenturySchoolbook"/>
        </w:rPr>
        <w:t>i</w:t>
      </w:r>
      <w:r w:rsidR="5928D824" w:rsidRPr="4B0E998B">
        <w:rPr>
          <w:rFonts w:cs="CenturySchoolbook"/>
        </w:rPr>
        <w:t xml:space="preserve">nterim </w:t>
      </w:r>
      <w:r w:rsidR="79D9EA3A">
        <w:rPr>
          <w:rFonts w:cs="CenturySchoolbook"/>
        </w:rPr>
        <w:t>c</w:t>
      </w:r>
      <w:r w:rsidR="5928D824" w:rsidRPr="4B0E998B">
        <w:rPr>
          <w:rFonts w:cs="CenturySchoolbook"/>
        </w:rPr>
        <w:t xml:space="preserve">hief </w:t>
      </w:r>
      <w:r w:rsidR="79D9EA3A">
        <w:rPr>
          <w:rFonts w:cs="CenturySchoolbook"/>
        </w:rPr>
        <w:t>e</w:t>
      </w:r>
      <w:r w:rsidR="5928D824" w:rsidRPr="4B0E998B">
        <w:rPr>
          <w:rFonts w:cs="CenturySchoolbook"/>
        </w:rPr>
        <w:t xml:space="preserve">xecutive </w:t>
      </w:r>
      <w:r w:rsidR="79D9EA3A">
        <w:rPr>
          <w:rFonts w:cs="CenturySchoolbook"/>
        </w:rPr>
        <w:t>o</w:t>
      </w:r>
      <w:r w:rsidR="5928D824" w:rsidRPr="4B0E998B">
        <w:rPr>
          <w:rFonts w:cs="CenturySchoolbook"/>
        </w:rPr>
        <w:t>fficer (CEO).</w:t>
      </w:r>
      <w:r>
        <w:rPr>
          <w:rStyle w:val="FootnoteReference"/>
          <w:rFonts w:cs="CenturySchoolbook"/>
        </w:rPr>
        <w:footnoteReference w:id="2"/>
      </w:r>
      <w:r w:rsidR="5928D824" w:rsidRPr="4B0E998B">
        <w:rPr>
          <w:rFonts w:cs="CenturySchoolbook"/>
        </w:rPr>
        <w:t xml:space="preserve"> At issue in this appeal is plaintiffs</w:t>
      </w:r>
      <w:r w:rsidR="00CD47F7">
        <w:rPr>
          <w:rFonts w:cs="CenturySchoolbook"/>
        </w:rPr>
        <w:t>’</w:t>
      </w:r>
      <w:r w:rsidR="5928D824" w:rsidRPr="4B0E998B">
        <w:rPr>
          <w:rFonts w:cs="CenturySchoolbook"/>
        </w:rPr>
        <w:t xml:space="preserve"> </w:t>
      </w:r>
      <w:r w:rsidR="1A21D9C2">
        <w:rPr>
          <w:rFonts w:cs="CenturySchoolbook"/>
        </w:rPr>
        <w:t>taxpayer</w:t>
      </w:r>
      <w:r w:rsidR="008C15E1">
        <w:rPr>
          <w:rFonts w:cs="CenturySchoolbook"/>
        </w:rPr>
        <w:t>-standing</w:t>
      </w:r>
      <w:r w:rsidR="1A21D9C2">
        <w:rPr>
          <w:rFonts w:cs="CenturySchoolbook"/>
        </w:rPr>
        <w:t xml:space="preserve"> </w:t>
      </w:r>
      <w:r w:rsidR="5928D824" w:rsidRPr="4B0E998B">
        <w:rPr>
          <w:rFonts w:cs="CenturySchoolbook"/>
        </w:rPr>
        <w:t xml:space="preserve">cause of action </w:t>
      </w:r>
      <w:r w:rsidR="5928D824" w:rsidRPr="4B0E998B">
        <w:rPr>
          <w:rFonts w:cs="CenturySchoolbook"/>
          <w:spacing w:val="-2"/>
        </w:rPr>
        <w:t>for declaratory and injunctive relief</w:t>
      </w:r>
      <w:r w:rsidR="291E62CF">
        <w:rPr>
          <w:rFonts w:cs="CenturySchoolbook"/>
        </w:rPr>
        <w:t xml:space="preserve"> </w:t>
      </w:r>
      <w:r w:rsidR="5928D824" w:rsidRPr="4B0E998B">
        <w:rPr>
          <w:rFonts w:cs="CenturySchoolbook"/>
        </w:rPr>
        <w:t xml:space="preserve">to remedy alleged violations of Penal Code </w:t>
      </w:r>
      <w:r w:rsidR="47D73CF7">
        <w:rPr>
          <w:rFonts w:cs="CenturySchoolbook"/>
          <w:spacing w:val="-2"/>
        </w:rPr>
        <w:t xml:space="preserve">provisions </w:t>
      </w:r>
      <w:r w:rsidR="00C33985">
        <w:rPr>
          <w:rFonts w:cs="CenturySchoolbook"/>
          <w:spacing w:val="-2"/>
        </w:rPr>
        <w:t xml:space="preserve">that </w:t>
      </w:r>
      <w:r w:rsidR="7D1D749E">
        <w:rPr>
          <w:rFonts w:cs="CenturySchoolbook"/>
          <w:spacing w:val="-2"/>
        </w:rPr>
        <w:t>impos</w:t>
      </w:r>
      <w:r w:rsidR="61F22686">
        <w:rPr>
          <w:rFonts w:cs="CenturySchoolbook"/>
          <w:spacing w:val="-2"/>
        </w:rPr>
        <w:t>e</w:t>
      </w:r>
      <w:r w:rsidR="7D1D749E">
        <w:rPr>
          <w:rFonts w:cs="CenturySchoolbook"/>
          <w:spacing w:val="-2"/>
        </w:rPr>
        <w:t xml:space="preserve"> </w:t>
      </w:r>
      <w:r w:rsidR="47D73CF7">
        <w:rPr>
          <w:rFonts w:cs="CenturySchoolbook"/>
          <w:spacing w:val="-2"/>
        </w:rPr>
        <w:t xml:space="preserve">a </w:t>
      </w:r>
      <w:r w:rsidR="7D1D749E">
        <w:rPr>
          <w:rFonts w:cs="CenturySchoolbook"/>
          <w:spacing w:val="-2"/>
        </w:rPr>
        <w:t>duty on</w:t>
      </w:r>
      <w:r w:rsidR="7CC8194D">
        <w:rPr>
          <w:rFonts w:cs="CenturySchoolbook"/>
          <w:spacing w:val="-2"/>
        </w:rPr>
        <w:t xml:space="preserve"> the courts </w:t>
      </w:r>
      <w:r w:rsidR="7D1D749E">
        <w:rPr>
          <w:rFonts w:cs="CenturySchoolbook"/>
          <w:spacing w:val="-2"/>
        </w:rPr>
        <w:t xml:space="preserve">(and others) </w:t>
      </w:r>
      <w:r w:rsidR="7CC8194D">
        <w:rPr>
          <w:rFonts w:cs="CenturySchoolbook"/>
          <w:spacing w:val="-2"/>
        </w:rPr>
        <w:t>to expedite criminal proceedings</w:t>
      </w:r>
      <w:r w:rsidR="00BB6150">
        <w:rPr>
          <w:rFonts w:cs="CenturySchoolbook"/>
          <w:spacing w:val="-2"/>
        </w:rPr>
        <w:t>,</w:t>
      </w:r>
      <w:r w:rsidR="437B8557">
        <w:rPr>
          <w:rFonts w:cs="CenturySchoolbook"/>
          <w:spacing w:val="-2"/>
        </w:rPr>
        <w:t xml:space="preserve"> </w:t>
      </w:r>
      <w:r w:rsidR="7CC8194D">
        <w:rPr>
          <w:rFonts w:cs="CenturySchoolbook"/>
          <w:spacing w:val="-2"/>
        </w:rPr>
        <w:t xml:space="preserve">including by prioritizing </w:t>
      </w:r>
      <w:r w:rsidR="00BB6150">
        <w:rPr>
          <w:rFonts w:cs="CenturySchoolbook"/>
          <w:spacing w:val="-2"/>
        </w:rPr>
        <w:t>them</w:t>
      </w:r>
      <w:r w:rsidR="7CC8194D">
        <w:rPr>
          <w:rFonts w:cs="CenturySchoolbook"/>
          <w:spacing w:val="-2"/>
        </w:rPr>
        <w:t xml:space="preserve"> over civil cases</w:t>
      </w:r>
      <w:r w:rsidR="7D1D749E">
        <w:rPr>
          <w:rFonts w:cs="CenturySchoolbook"/>
          <w:spacing w:val="-2"/>
        </w:rPr>
        <w:t xml:space="preserve">, and </w:t>
      </w:r>
      <w:r w:rsidR="534F0E2F" w:rsidRPr="1D2EECFC">
        <w:rPr>
          <w:rFonts w:cs="CenturySchoolbook"/>
        </w:rPr>
        <w:t xml:space="preserve">to </w:t>
      </w:r>
      <w:r w:rsidR="00AD0C10">
        <w:rPr>
          <w:rFonts w:cs="CenturySchoolbook"/>
        </w:rPr>
        <w:t xml:space="preserve">follow </w:t>
      </w:r>
      <w:r w:rsidR="534F0E2F" w:rsidRPr="1D2EECFC">
        <w:rPr>
          <w:rFonts w:cs="CenturySchoolbook"/>
        </w:rPr>
        <w:lastRenderedPageBreak/>
        <w:t>specific procedural steps before a criminal trial may</w:t>
      </w:r>
      <w:r w:rsidR="54FA0A92">
        <w:rPr>
          <w:rFonts w:cs="CenturySchoolbook"/>
          <w:spacing w:val="-2"/>
        </w:rPr>
        <w:t xml:space="preserve"> be continued beyond statutory time limits</w:t>
      </w:r>
      <w:r w:rsidR="5928D824" w:rsidRPr="4B0E998B">
        <w:rPr>
          <w:rFonts w:cs="CenturySchoolbook"/>
        </w:rPr>
        <w:t>.</w:t>
      </w:r>
      <w:r>
        <w:rPr>
          <w:rStyle w:val="FootnoteReference"/>
          <w:rFonts w:cs="CenturySchoolbook"/>
        </w:rPr>
        <w:footnoteReference w:id="3"/>
      </w:r>
      <w:r w:rsidR="5928D824" w:rsidRPr="4B0E998B">
        <w:rPr>
          <w:rFonts w:cs="CenturySchoolbook"/>
        </w:rPr>
        <w:t xml:space="preserve"> </w:t>
      </w:r>
    </w:p>
    <w:p w14:paraId="6543FA2E" w14:textId="5D8ED0F0" w:rsidR="0080647E" w:rsidRDefault="001B6997" w:rsidP="003F5F13">
      <w:pPr>
        <w:autoSpaceDE w:val="0"/>
        <w:autoSpaceDN w:val="0"/>
        <w:adjustRightInd w:val="0"/>
        <w:spacing w:line="360" w:lineRule="auto"/>
        <w:contextualSpacing/>
        <w:rPr>
          <w:rFonts w:cs="Times New Roman"/>
          <w:color w:val="000000"/>
        </w:rPr>
      </w:pPr>
      <w:r>
        <w:rPr>
          <w:rFonts w:cs="CenturySchoolbook"/>
          <w:szCs w:val="25"/>
        </w:rPr>
        <w:tab/>
      </w:r>
      <w:r w:rsidR="38233926" w:rsidRPr="4B0E998B">
        <w:rPr>
          <w:rFonts w:cs="CenturySchoolbook"/>
        </w:rPr>
        <w:t xml:space="preserve">The trial court sustained the demurrer </w:t>
      </w:r>
      <w:r w:rsidR="00936BA1">
        <w:rPr>
          <w:rFonts w:cs="CenturySchoolbook"/>
        </w:rPr>
        <w:t>pursuant</w:t>
      </w:r>
      <w:r w:rsidR="38233926" w:rsidRPr="4B0E998B">
        <w:rPr>
          <w:rFonts w:cs="CenturySchoolbook"/>
        </w:rPr>
        <w:t xml:space="preserve"> to </w:t>
      </w:r>
      <w:r w:rsidR="38233926" w:rsidRPr="002E12D2">
        <w:rPr>
          <w:rFonts w:cs="CenturySchoolbook"/>
          <w:i/>
        </w:rPr>
        <w:t>Ford v. Superior Court</w:t>
      </w:r>
      <w:r w:rsidR="38233926" w:rsidRPr="0095170C">
        <w:rPr>
          <w:rFonts w:cs="CenturySchoolbook"/>
        </w:rPr>
        <w:t xml:space="preserve"> (1986) 188 Cal.App.3d 737 (</w:t>
      </w:r>
      <w:r w:rsidR="38233926" w:rsidRPr="0095170C">
        <w:rPr>
          <w:rFonts w:cs="CenturySchoolbook"/>
          <w:i/>
        </w:rPr>
        <w:t>Ford</w:t>
      </w:r>
      <w:r w:rsidR="38233926" w:rsidRPr="0095170C">
        <w:rPr>
          <w:rFonts w:cs="CenturySchoolbook"/>
        </w:rPr>
        <w:t>),</w:t>
      </w:r>
      <w:r w:rsidR="38233926">
        <w:rPr>
          <w:rFonts w:cs="Arial"/>
          <w:color w:val="555555"/>
        </w:rPr>
        <w:t xml:space="preserve"> which held</w:t>
      </w:r>
      <w:r w:rsidR="38233926" w:rsidRPr="1D2EECFC">
        <w:rPr>
          <w:rFonts w:cs="CenturySchoolbook"/>
          <w:i/>
          <w:iCs/>
        </w:rPr>
        <w:t xml:space="preserve"> </w:t>
      </w:r>
      <w:r w:rsidR="38233926" w:rsidRPr="4B0E998B">
        <w:rPr>
          <w:rFonts w:cs="CenturySchoolbook"/>
        </w:rPr>
        <w:t xml:space="preserve">that one department of a superior court </w:t>
      </w:r>
      <w:r w:rsidR="437FDEC6">
        <w:rPr>
          <w:rFonts w:cs="CenturySchoolbook"/>
        </w:rPr>
        <w:t>may not</w:t>
      </w:r>
      <w:r w:rsidR="38233926" w:rsidRPr="4B0E998B">
        <w:rPr>
          <w:rFonts w:cs="CenturySchoolbook"/>
        </w:rPr>
        <w:t xml:space="preserve"> restrain the implementation of a judgment entered by another department in a prior action. </w:t>
      </w:r>
      <w:r w:rsidR="38233926" w:rsidRPr="4B0E998B">
        <w:rPr>
          <w:rFonts w:cs="CenturySchoolbook"/>
          <w:spacing w:val="-2"/>
        </w:rPr>
        <w:t xml:space="preserve">As we explain, </w:t>
      </w:r>
      <w:r w:rsidR="38233926" w:rsidRPr="1D2EECFC">
        <w:rPr>
          <w:rFonts w:cs="Times New Roman"/>
          <w:i/>
          <w:iCs/>
          <w:color w:val="000000"/>
          <w:spacing w:val="-2"/>
        </w:rPr>
        <w:t>Ford</w:t>
      </w:r>
      <w:r w:rsidR="38233926" w:rsidRPr="00950C84">
        <w:rPr>
          <w:rFonts w:cs="Times New Roman"/>
          <w:color w:val="000000"/>
          <w:spacing w:val="-2"/>
        </w:rPr>
        <w:t xml:space="preserve"> is not </w:t>
      </w:r>
      <w:r w:rsidR="000142E3">
        <w:rPr>
          <w:rFonts w:cs="Times New Roman"/>
          <w:color w:val="000000"/>
          <w:spacing w:val="-2"/>
        </w:rPr>
        <w:t>relevant to</w:t>
      </w:r>
      <w:r w:rsidR="62D08BF2">
        <w:rPr>
          <w:rFonts w:cs="Times New Roman"/>
          <w:color w:val="000000"/>
          <w:spacing w:val="-2"/>
        </w:rPr>
        <w:t xml:space="preserve"> the taxpayer cause of action</w:t>
      </w:r>
      <w:r w:rsidR="38233926">
        <w:rPr>
          <w:rFonts w:cs="Times New Roman"/>
          <w:color w:val="000000"/>
        </w:rPr>
        <w:t xml:space="preserve">. </w:t>
      </w:r>
      <w:r w:rsidR="38233926" w:rsidRPr="1A4CD68B">
        <w:rPr>
          <w:rFonts w:cs="Times New Roman"/>
          <w:color w:val="000000" w:themeColor="text1"/>
        </w:rPr>
        <w:t>Nor do</w:t>
      </w:r>
      <w:r w:rsidR="38233926">
        <w:rPr>
          <w:rFonts w:cs="Times New Roman"/>
          <w:color w:val="000000"/>
          <w:spacing w:val="-2"/>
        </w:rPr>
        <w:t xml:space="preserve"> d</w:t>
      </w:r>
      <w:r w:rsidR="38233926" w:rsidRPr="009E1BF1">
        <w:rPr>
          <w:rFonts w:cs="Times New Roman"/>
          <w:color w:val="000000"/>
          <w:spacing w:val="-2"/>
        </w:rPr>
        <w:t>efendants</w:t>
      </w:r>
      <w:r w:rsidR="38233926" w:rsidRPr="1A4CD68B">
        <w:rPr>
          <w:rFonts w:cs="Times New Roman"/>
          <w:color w:val="000000" w:themeColor="text1"/>
        </w:rPr>
        <w:t>’</w:t>
      </w:r>
      <w:r w:rsidR="38233926">
        <w:rPr>
          <w:rFonts w:cs="Times New Roman"/>
          <w:color w:val="000000" w:themeColor="text1"/>
        </w:rPr>
        <w:t xml:space="preserve"> alternative </w:t>
      </w:r>
      <w:r w:rsidR="38233926">
        <w:rPr>
          <w:rFonts w:cs="Times New Roman"/>
          <w:color w:val="000000"/>
        </w:rPr>
        <w:t xml:space="preserve">legal </w:t>
      </w:r>
      <w:r w:rsidR="62D08BF2">
        <w:rPr>
          <w:rFonts w:cs="Times New Roman"/>
          <w:color w:val="000000"/>
        </w:rPr>
        <w:t xml:space="preserve">challenges </w:t>
      </w:r>
      <w:r w:rsidR="38233926">
        <w:rPr>
          <w:rFonts w:cs="Times New Roman"/>
          <w:color w:val="000000"/>
        </w:rPr>
        <w:t>permit us to affirm the judgment</w:t>
      </w:r>
      <w:r w:rsidR="38233926" w:rsidRPr="1A4CD68B">
        <w:rPr>
          <w:rFonts w:cs="Times New Roman"/>
          <w:color w:val="000000" w:themeColor="text1"/>
        </w:rPr>
        <w:t>.</w:t>
      </w:r>
      <w:r w:rsidR="38233926">
        <w:rPr>
          <w:rFonts w:cs="Times New Roman"/>
          <w:color w:val="000000"/>
        </w:rPr>
        <w:t xml:space="preserve"> Accordingly, we reverse.</w:t>
      </w:r>
    </w:p>
    <w:p w14:paraId="7BE1B017" w14:textId="044735BF" w:rsidR="0080647E" w:rsidRPr="00A35914" w:rsidRDefault="001B6997" w:rsidP="003F5F13">
      <w:pPr>
        <w:keepNext/>
        <w:spacing w:line="360" w:lineRule="auto"/>
        <w:contextualSpacing/>
        <w:jc w:val="center"/>
        <w:rPr>
          <w:b/>
        </w:rPr>
      </w:pPr>
      <w:r w:rsidRPr="00A35914">
        <w:rPr>
          <w:b/>
        </w:rPr>
        <w:t xml:space="preserve">Factual </w:t>
      </w:r>
      <w:r w:rsidR="009F54DA">
        <w:rPr>
          <w:b/>
        </w:rPr>
        <w:t>a</w:t>
      </w:r>
      <w:r w:rsidRPr="00A35914">
        <w:rPr>
          <w:b/>
        </w:rPr>
        <w:t xml:space="preserve">nd </w:t>
      </w:r>
      <w:r w:rsidRPr="00A35914">
        <w:rPr>
          <w:b/>
        </w:rPr>
        <w:t>Procedural History</w:t>
      </w:r>
      <w:r>
        <w:rPr>
          <w:rStyle w:val="FootnoteReference"/>
          <w:b/>
        </w:rPr>
        <w:footnoteReference w:id="4"/>
      </w:r>
    </w:p>
    <w:p w14:paraId="1C2D6C73" w14:textId="1233C155" w:rsidR="0080647E" w:rsidRPr="00BC3011" w:rsidRDefault="001B6997" w:rsidP="003F5F13">
      <w:pPr>
        <w:autoSpaceDE w:val="0"/>
        <w:autoSpaceDN w:val="0"/>
        <w:adjustRightInd w:val="0"/>
        <w:spacing w:line="360" w:lineRule="auto"/>
        <w:contextualSpacing/>
      </w:pPr>
      <w:r w:rsidRPr="00BC3011">
        <w:tab/>
      </w:r>
      <w:r w:rsidR="38233926" w:rsidRPr="00BC3011">
        <w:t>The complaint, filed in September 2021, allege</w:t>
      </w:r>
      <w:r w:rsidR="38233926">
        <w:t>d</w:t>
      </w:r>
      <w:r w:rsidR="38233926" w:rsidRPr="00BC3011">
        <w:t xml:space="preserve"> that “San Francisco’s criminal legal system is in a state of crisis</w:t>
      </w:r>
      <w:r w:rsidR="38233926">
        <w:t>,</w:t>
      </w:r>
      <w:r w:rsidR="38233926" w:rsidRPr="00BC3011">
        <w:t xml:space="preserve">” </w:t>
      </w:r>
      <w:r w:rsidR="38233926">
        <w:t xml:space="preserve">as over </w:t>
      </w:r>
      <w:r w:rsidR="38233926" w:rsidRPr="00BC3011">
        <w:t>4</w:t>
      </w:r>
      <w:r w:rsidR="38233926">
        <w:t>00</w:t>
      </w:r>
      <w:r w:rsidR="38233926" w:rsidRPr="00BC3011">
        <w:t xml:space="preserve"> </w:t>
      </w:r>
      <w:r w:rsidR="38233926">
        <w:t xml:space="preserve">criminal defendants </w:t>
      </w:r>
      <w:r w:rsidR="38233926" w:rsidRPr="00BC3011">
        <w:t xml:space="preserve">had </w:t>
      </w:r>
      <w:r w:rsidR="38233926" w:rsidRPr="009F04E6">
        <w:rPr>
          <w:spacing w:val="-2"/>
        </w:rPr>
        <w:t>cases pending</w:t>
      </w:r>
      <w:r w:rsidR="38233926">
        <w:rPr>
          <w:spacing w:val="-2"/>
        </w:rPr>
        <w:t xml:space="preserve"> past </w:t>
      </w:r>
      <w:r w:rsidR="38233926" w:rsidRPr="009F04E6">
        <w:rPr>
          <w:spacing w:val="-2"/>
        </w:rPr>
        <w:t>the</w:t>
      </w:r>
      <w:r w:rsidR="38233926">
        <w:rPr>
          <w:spacing w:val="-2"/>
        </w:rPr>
        <w:t>ir</w:t>
      </w:r>
      <w:r w:rsidR="38233926" w:rsidRPr="009F04E6">
        <w:rPr>
          <w:spacing w:val="-2"/>
        </w:rPr>
        <w:t xml:space="preserve"> statutory deadline for trial.</w:t>
      </w:r>
      <w:r w:rsidR="38233926" w:rsidRPr="00BC3011">
        <w:t xml:space="preserve"> Of </w:t>
      </w:r>
      <w:r w:rsidR="38233926">
        <w:t>the de</w:t>
      </w:r>
      <w:r w:rsidR="00D537C2">
        <w:t>fendants</w:t>
      </w:r>
      <w:r w:rsidR="38233926" w:rsidRPr="00BC3011">
        <w:t xml:space="preserve">, 178 </w:t>
      </w:r>
      <w:r w:rsidR="38233926">
        <w:t>we</w:t>
      </w:r>
      <w:r w:rsidR="38233926" w:rsidRPr="00BC3011">
        <w:t>re in jail, typically locked in cells for 23</w:t>
      </w:r>
      <w:r w:rsidR="38233926">
        <w:t> </w:t>
      </w:r>
      <w:r w:rsidR="38233926" w:rsidRPr="00BC3011">
        <w:t>hours a day;</w:t>
      </w:r>
      <w:r w:rsidR="38233926">
        <w:t xml:space="preserve"> </w:t>
      </w:r>
      <w:r w:rsidR="38233926" w:rsidRPr="00BC3011">
        <w:t>most ha</w:t>
      </w:r>
      <w:r w:rsidR="38233926">
        <w:t>d</w:t>
      </w:r>
      <w:r w:rsidR="38233926" w:rsidRPr="00BC3011">
        <w:t xml:space="preserve"> been </w:t>
      </w:r>
      <w:r w:rsidR="38233926">
        <w:t xml:space="preserve">there </w:t>
      </w:r>
      <w:r w:rsidR="38233926" w:rsidRPr="00BC3011">
        <w:t>for months</w:t>
      </w:r>
      <w:r w:rsidR="78AE6A06" w:rsidRPr="00BC3011">
        <w:t xml:space="preserve"> and</w:t>
      </w:r>
      <w:r w:rsidR="006307C4">
        <w:t xml:space="preserve"> </w:t>
      </w:r>
      <w:r w:rsidR="38233926" w:rsidRPr="00BC3011">
        <w:t>some</w:t>
      </w:r>
      <w:r w:rsidR="6CCFDFDC" w:rsidRPr="00BC3011">
        <w:t>,</w:t>
      </w:r>
      <w:r w:rsidR="38233926" w:rsidRPr="00BC3011">
        <w:t xml:space="preserve"> for over a year. </w:t>
      </w:r>
    </w:p>
    <w:p w14:paraId="15A648A1" w14:textId="1B1D33E9" w:rsidR="0080647E" w:rsidRPr="00BC3011" w:rsidRDefault="001B6997" w:rsidP="003F5F13">
      <w:pPr>
        <w:autoSpaceDE w:val="0"/>
        <w:autoSpaceDN w:val="0"/>
        <w:adjustRightInd w:val="0"/>
        <w:spacing w:line="360" w:lineRule="auto"/>
        <w:contextualSpacing/>
      </w:pPr>
      <w:r w:rsidRPr="00BC3011">
        <w:tab/>
        <w:t>Pre-pandemic, defendant c</w:t>
      </w:r>
      <w:r>
        <w:t xml:space="preserve">ourt </w:t>
      </w:r>
      <w:r w:rsidRPr="00BC3011">
        <w:t>hel</w:t>
      </w:r>
      <w:r>
        <w:t>d most criminal jury trials in</w:t>
      </w:r>
      <w:r w:rsidRPr="00BC3011">
        <w:t xml:space="preserve"> 12 departments in its Hall of Justice. </w:t>
      </w:r>
      <w:r>
        <w:t xml:space="preserve">The </w:t>
      </w:r>
      <w:r w:rsidRPr="00BC3011">
        <w:t xml:space="preserve">37 departments in </w:t>
      </w:r>
      <w:r>
        <w:t xml:space="preserve">its Civic Center </w:t>
      </w:r>
      <w:r w:rsidR="00D24D4D">
        <w:t>c</w:t>
      </w:r>
      <w:r>
        <w:t>ourthouse (Civic Center)</w:t>
      </w:r>
      <w:r w:rsidRPr="00BC3011">
        <w:t xml:space="preserve"> were devoted </w:t>
      </w:r>
      <w:r>
        <w:t xml:space="preserve">almost </w:t>
      </w:r>
      <w:r w:rsidRPr="00BC3011">
        <w:t>wholly to noncriminal cases</w:t>
      </w:r>
      <w:r w:rsidR="00B16EDB">
        <w:t>.</w:t>
      </w:r>
      <w:r w:rsidRPr="00BC3011">
        <w:t xml:space="preserve"> </w:t>
      </w:r>
      <w:r w:rsidR="00B16EDB">
        <w:t xml:space="preserve">In </w:t>
      </w:r>
      <w:r w:rsidRPr="00BC3011">
        <w:t xml:space="preserve">March 2020, COVID-19 shelter-in-place orders </w:t>
      </w:r>
      <w:r>
        <w:t>led</w:t>
      </w:r>
      <w:r w:rsidRPr="00BC3011">
        <w:t xml:space="preserve"> defendant court </w:t>
      </w:r>
      <w:r>
        <w:t xml:space="preserve">to </w:t>
      </w:r>
      <w:r w:rsidRPr="00BC3011">
        <w:t>shut down and continue all jury</w:t>
      </w:r>
      <w:r w:rsidRPr="00BC3011">
        <w:t xml:space="preserve"> trials </w:t>
      </w:r>
      <w:r>
        <w:t xml:space="preserve">by </w:t>
      </w:r>
      <w:r w:rsidRPr="00BC3011">
        <w:t>90 days.</w:t>
      </w:r>
    </w:p>
    <w:p w14:paraId="273CFB97" w14:textId="7EB624B1" w:rsidR="0080647E" w:rsidRPr="00BC3011" w:rsidRDefault="001B6997" w:rsidP="003F5F13">
      <w:pPr>
        <w:autoSpaceDE w:val="0"/>
        <w:autoSpaceDN w:val="0"/>
        <w:adjustRightInd w:val="0"/>
        <w:spacing w:line="360" w:lineRule="auto"/>
        <w:contextualSpacing/>
      </w:pPr>
      <w:r w:rsidRPr="00BC3011">
        <w:tab/>
        <w:t>When trials resumed in June 2020, at least 11 courtrooms in the Hall of Justice were large enough for socially</w:t>
      </w:r>
      <w:r w:rsidR="007F51EB">
        <w:t xml:space="preserve"> </w:t>
      </w:r>
      <w:r w:rsidRPr="00BC3011">
        <w:t xml:space="preserve">distanced jury trials, and defendant </w:t>
      </w:r>
      <w:r w:rsidRPr="00BC3011">
        <w:lastRenderedPageBreak/>
        <w:t>court had the technical capacity to stream video of</w:t>
      </w:r>
      <w:r>
        <w:t xml:space="preserve"> its</w:t>
      </w:r>
      <w:r w:rsidRPr="00BC3011">
        <w:t xml:space="preserve"> trials on the internet.</w:t>
      </w:r>
      <w:r w:rsidR="00B07B49">
        <w:t>‌</w:t>
      </w:r>
      <w:r w:rsidRPr="00BC3011">
        <w:t xml:space="preserve"> </w:t>
      </w:r>
      <w:r>
        <w:t>Howeve</w:t>
      </w:r>
      <w:r>
        <w:t>r, i</w:t>
      </w:r>
      <w:r w:rsidRPr="00BC3011">
        <w:t xml:space="preserve">t reopened only four courtrooms for felony trials, </w:t>
      </w:r>
      <w:r w:rsidR="0073765D">
        <w:t>and</w:t>
      </w:r>
      <w:r w:rsidRPr="00BC3011">
        <w:t xml:space="preserve"> us</w:t>
      </w:r>
      <w:r w:rsidR="0073765D">
        <w:t>ed</w:t>
      </w:r>
      <w:r w:rsidRPr="00BC3011">
        <w:t xml:space="preserve"> four </w:t>
      </w:r>
      <w:r>
        <w:t>more</w:t>
      </w:r>
      <w:r w:rsidRPr="00BC3011">
        <w:t xml:space="preserve"> as “satellites,” staffed by bailiffs, to which it broadcast </w:t>
      </w:r>
      <w:r w:rsidR="005E3946">
        <w:t xml:space="preserve">live </w:t>
      </w:r>
      <w:r w:rsidRPr="00BC3011">
        <w:t xml:space="preserve">video of trials </w:t>
      </w:r>
      <w:r>
        <w:t xml:space="preserve">underway </w:t>
      </w:r>
      <w:r w:rsidRPr="00BC3011">
        <w:t xml:space="preserve">in other courtrooms. The satellite courtrooms often </w:t>
      </w:r>
      <w:r>
        <w:t xml:space="preserve">sat </w:t>
      </w:r>
      <w:r w:rsidRPr="00BC3011">
        <w:t xml:space="preserve">empty. </w:t>
      </w:r>
      <w:r>
        <w:t>S</w:t>
      </w:r>
      <w:r w:rsidRPr="00771D1F">
        <w:rPr>
          <w:spacing w:val="-2"/>
        </w:rPr>
        <w:t>hortage</w:t>
      </w:r>
      <w:r>
        <w:rPr>
          <w:spacing w:val="-2"/>
        </w:rPr>
        <w:t>s</w:t>
      </w:r>
      <w:r w:rsidRPr="00771D1F">
        <w:rPr>
          <w:spacing w:val="-2"/>
        </w:rPr>
        <w:t xml:space="preserve"> of </w:t>
      </w:r>
      <w:r>
        <w:rPr>
          <w:spacing w:val="-2"/>
        </w:rPr>
        <w:t>staff</w:t>
      </w:r>
      <w:r>
        <w:t xml:space="preserve">, not </w:t>
      </w:r>
      <w:r w:rsidRPr="00BC3011">
        <w:t>COVID</w:t>
      </w:r>
      <w:r w:rsidRPr="00BC3011">
        <w:t xml:space="preserve"> safety measures</w:t>
      </w:r>
      <w:r>
        <w:t xml:space="preserve">, </w:t>
      </w:r>
      <w:r w:rsidR="00B74865">
        <w:t>prevented the re</w:t>
      </w:r>
      <w:r w:rsidRPr="00BC3011">
        <w:t xml:space="preserve">opening </w:t>
      </w:r>
      <w:r w:rsidR="00B74865">
        <w:t xml:space="preserve">of </w:t>
      </w:r>
      <w:r>
        <w:t xml:space="preserve">more </w:t>
      </w:r>
      <w:r w:rsidRPr="00BC3011">
        <w:t>courtrooms</w:t>
      </w:r>
      <w:r>
        <w:t xml:space="preserve"> for criminal trials.</w:t>
      </w:r>
    </w:p>
    <w:p w14:paraId="698CA50C" w14:textId="5A037FF9" w:rsidR="0080647E" w:rsidRPr="00BC3011" w:rsidRDefault="001B6997" w:rsidP="003F5F13">
      <w:pPr>
        <w:autoSpaceDE w:val="0"/>
        <w:autoSpaceDN w:val="0"/>
        <w:adjustRightInd w:val="0"/>
        <w:spacing w:line="360" w:lineRule="auto"/>
        <w:contextualSpacing/>
      </w:pPr>
      <w:r w:rsidRPr="00BC3011">
        <w:tab/>
        <w:t>By July 2020, 135</w:t>
      </w:r>
      <w:r>
        <w:t> </w:t>
      </w:r>
      <w:r w:rsidRPr="00BC3011">
        <w:t xml:space="preserve">criminal cases </w:t>
      </w:r>
      <w:r w:rsidR="00B07B49">
        <w:t xml:space="preserve">were </w:t>
      </w:r>
      <w:r w:rsidRPr="00BC3011">
        <w:t xml:space="preserve">pending past their original statutory trial deadline; </w:t>
      </w:r>
      <w:r w:rsidR="00F55D4C">
        <w:t xml:space="preserve">for </w:t>
      </w:r>
      <w:r w:rsidRPr="00BC3011">
        <w:t>31</w:t>
      </w:r>
      <w:r>
        <w:t xml:space="preserve"> </w:t>
      </w:r>
      <w:r w:rsidRPr="00BC3011">
        <w:t xml:space="preserve">of </w:t>
      </w:r>
      <w:r w:rsidR="005C26D4">
        <w:t>those cases,</w:t>
      </w:r>
      <w:r w:rsidRPr="00BC3011">
        <w:t xml:space="preserve"> the defendants </w:t>
      </w:r>
      <w:r>
        <w:t xml:space="preserve">were </w:t>
      </w:r>
      <w:r w:rsidRPr="00BC3011">
        <w:t>in custody (in</w:t>
      </w:r>
      <w:r w:rsidR="00D4336A">
        <w:t>-</w:t>
      </w:r>
      <w:r w:rsidRPr="00BC3011">
        <w:t xml:space="preserve">custody cases). </w:t>
      </w:r>
    </w:p>
    <w:p w14:paraId="53A4AB5A" w14:textId="05A9E08F" w:rsidR="0080647E" w:rsidRPr="00BC3011" w:rsidRDefault="001B6997" w:rsidP="003F5F13">
      <w:pPr>
        <w:autoSpaceDE w:val="0"/>
        <w:autoSpaceDN w:val="0"/>
        <w:adjustRightInd w:val="0"/>
        <w:spacing w:line="360" w:lineRule="auto"/>
        <w:contextualSpacing/>
      </w:pPr>
      <w:r w:rsidRPr="00BC3011">
        <w:tab/>
      </w:r>
      <w:bookmarkStart w:id="1" w:name="_Hlk132443402"/>
      <w:r w:rsidR="38233926" w:rsidRPr="00BC3011">
        <w:t xml:space="preserve">In January 2021, </w:t>
      </w:r>
      <w:bookmarkEnd w:id="1"/>
      <w:r w:rsidR="38233926" w:rsidRPr="00BC3011">
        <w:t xml:space="preserve">the Judicial Council allocated funds to courts </w:t>
      </w:r>
      <w:r w:rsidR="38233926">
        <w:t xml:space="preserve">around the state, including defendant court, </w:t>
      </w:r>
      <w:r w:rsidR="38233926" w:rsidRPr="00BC3011">
        <w:t>to address pandemic-driven backlogs.</w:t>
      </w:r>
      <w:r w:rsidR="00F32D1C">
        <w:t xml:space="preserve"> </w:t>
      </w:r>
      <w:r w:rsidR="38233926">
        <w:t>Defendants</w:t>
      </w:r>
      <w:r w:rsidR="38233926" w:rsidRPr="00BC3011">
        <w:t xml:space="preserve"> did not use the funds to open more courtrooms for criminal trials. </w:t>
      </w:r>
      <w:r w:rsidR="509D9960">
        <w:t>A</w:t>
      </w:r>
      <w:r w:rsidR="005C26D4">
        <w:t>round</w:t>
      </w:r>
      <w:r w:rsidR="509D9960">
        <w:t xml:space="preserve"> this time, </w:t>
      </w:r>
      <w:r w:rsidR="2B027806">
        <w:t>then</w:t>
      </w:r>
      <w:r w:rsidR="00842409">
        <w:t xml:space="preserve"> </w:t>
      </w:r>
      <w:r w:rsidR="2B027806">
        <w:t xml:space="preserve">Presiding Judge Samuel K. Feng </w:t>
      </w:r>
      <w:r w:rsidR="21A4FF0C">
        <w:t xml:space="preserve">addressed </w:t>
      </w:r>
      <w:r w:rsidR="2B027806">
        <w:t>the civil bar at a webinar</w:t>
      </w:r>
      <w:r w:rsidR="37862656">
        <w:t>,</w:t>
      </w:r>
      <w:r w:rsidR="2B027806">
        <w:t xml:space="preserve"> </w:t>
      </w:r>
      <w:r w:rsidR="63800E48">
        <w:t>admonish</w:t>
      </w:r>
      <w:r w:rsidR="0097636D">
        <w:t>ing</w:t>
      </w:r>
      <w:r w:rsidR="266C17AB">
        <w:t xml:space="preserve"> </w:t>
      </w:r>
      <w:proofErr w:type="gramStart"/>
      <w:r w:rsidR="0097636D">
        <w:t xml:space="preserve">that </w:t>
      </w:r>
      <w:r w:rsidR="005C26D4">
        <w:t>litigants</w:t>
      </w:r>
      <w:proofErr w:type="gramEnd"/>
      <w:r w:rsidR="005C26D4">
        <w:t xml:space="preserve"> </w:t>
      </w:r>
      <w:r w:rsidR="266C17AB">
        <w:t>had</w:t>
      </w:r>
      <w:r w:rsidR="63800E48">
        <w:t xml:space="preserve"> </w:t>
      </w:r>
      <w:r w:rsidR="41D6F033">
        <w:t>“</w:t>
      </w:r>
      <w:r w:rsidR="6D301955">
        <w:t xml:space="preserve">better </w:t>
      </w:r>
      <w:r w:rsidR="4EFF44F0">
        <w:t xml:space="preserve">get </w:t>
      </w:r>
      <w:r w:rsidR="41D6F033">
        <w:t xml:space="preserve">ready” for </w:t>
      </w:r>
      <w:r w:rsidR="49E215E0">
        <w:t xml:space="preserve">their </w:t>
      </w:r>
      <w:r w:rsidR="1F673768">
        <w:t>(</w:t>
      </w:r>
      <w:r w:rsidR="41D6F033">
        <w:t xml:space="preserve">jury and </w:t>
      </w:r>
      <w:r w:rsidR="4140E61F">
        <w:t>bench</w:t>
      </w:r>
      <w:r w:rsidR="7D8D88B0">
        <w:t>)</w:t>
      </w:r>
      <w:r w:rsidR="4140E61F">
        <w:t xml:space="preserve"> </w:t>
      </w:r>
      <w:r w:rsidR="015DA46D">
        <w:t>trials</w:t>
      </w:r>
      <w:r w:rsidR="41D6F033">
        <w:t xml:space="preserve"> because</w:t>
      </w:r>
      <w:r w:rsidR="17CF1819">
        <w:t xml:space="preserve"> all of</w:t>
      </w:r>
      <w:r w:rsidR="41D6F033">
        <w:t xml:space="preserve"> defendant court</w:t>
      </w:r>
      <w:r w:rsidR="00BE4B21">
        <w:t>’s civil courtrooms were “available” and “equipped”</w:t>
      </w:r>
      <w:r w:rsidR="4D34D9C1">
        <w:t xml:space="preserve"> and the court was “ready to go.”</w:t>
      </w:r>
      <w:r w:rsidR="2B027806">
        <w:t xml:space="preserve"> </w:t>
      </w:r>
      <w:r w:rsidR="4A838E06">
        <w:t>A</w:t>
      </w:r>
      <w:r w:rsidR="0B2DFC6E">
        <w:t>t that time</w:t>
      </w:r>
      <w:r w:rsidR="769F7769">
        <w:t>, defendant court</w:t>
      </w:r>
      <w:r w:rsidR="0B2DFC6E">
        <w:t xml:space="preserve"> </w:t>
      </w:r>
      <w:r w:rsidR="72E08771">
        <w:t xml:space="preserve">had assigned </w:t>
      </w:r>
      <w:r w:rsidR="57D7571F">
        <w:t xml:space="preserve">12 courtrooms </w:t>
      </w:r>
      <w:r w:rsidR="34027BBC">
        <w:t xml:space="preserve">to conduct </w:t>
      </w:r>
      <w:r w:rsidR="290182E6">
        <w:t>ci</w:t>
      </w:r>
      <w:r w:rsidR="57D7571F">
        <w:t xml:space="preserve">vil trials </w:t>
      </w:r>
      <w:r w:rsidR="00BF6D62">
        <w:t xml:space="preserve">and </w:t>
      </w:r>
      <w:r w:rsidR="7D9C3F83">
        <w:t>only four</w:t>
      </w:r>
      <w:r w:rsidR="742E0806">
        <w:t xml:space="preserve"> </w:t>
      </w:r>
      <w:r w:rsidR="00DB4AFC">
        <w:t>t</w:t>
      </w:r>
      <w:r w:rsidR="00F03300">
        <w:t xml:space="preserve">o </w:t>
      </w:r>
      <w:r w:rsidR="0B2DFC6E">
        <w:t xml:space="preserve">criminal </w:t>
      </w:r>
      <w:r w:rsidR="653906C3">
        <w:t>trials</w:t>
      </w:r>
      <w:r w:rsidR="00842409">
        <w:t>.</w:t>
      </w:r>
      <w:r>
        <w:rPr>
          <w:rStyle w:val="FootnoteReference"/>
        </w:rPr>
        <w:footnoteReference w:id="5"/>
      </w:r>
      <w:r w:rsidR="03B043D5">
        <w:t xml:space="preserve"> </w:t>
      </w:r>
      <w:r w:rsidR="007A3C95">
        <w:t>The next month</w:t>
      </w:r>
      <w:r w:rsidR="3F0236B0">
        <w:t xml:space="preserve">, the backlog had increased to 183 felony cases </w:t>
      </w:r>
      <w:r w:rsidR="0036764D">
        <w:t>beyond their statutory</w:t>
      </w:r>
      <w:r w:rsidR="3F0236B0">
        <w:t xml:space="preserve"> deadline</w:t>
      </w:r>
      <w:r w:rsidR="00921CCB">
        <w:t>s</w:t>
      </w:r>
      <w:r w:rsidR="3F0236B0">
        <w:t>, of which 68 were in-custody cases.</w:t>
      </w:r>
    </w:p>
    <w:p w14:paraId="6F4E8E68" w14:textId="10B3F56D" w:rsidR="0080647E" w:rsidRPr="00BC3011" w:rsidRDefault="001B6997" w:rsidP="003F5F13">
      <w:pPr>
        <w:autoSpaceDE w:val="0"/>
        <w:autoSpaceDN w:val="0"/>
        <w:adjustRightInd w:val="0"/>
        <w:spacing w:line="360" w:lineRule="auto"/>
        <w:contextualSpacing/>
      </w:pPr>
      <w:r w:rsidRPr="00BC3011">
        <w:tab/>
        <w:t>In April 2021</w:t>
      </w:r>
      <w:r w:rsidR="002E12D2">
        <w:t>,</w:t>
      </w:r>
      <w:r w:rsidRPr="00BC3011">
        <w:t xml:space="preserve"> defendant court began sending “nonviolent misdemeanor” cases</w:t>
      </w:r>
      <w:r>
        <w:t xml:space="preserve"> (a term not defined by California law)</w:t>
      </w:r>
      <w:r w:rsidRPr="00BC3011">
        <w:t xml:space="preserve"> to be </w:t>
      </w:r>
      <w:r>
        <w:t>tried</w:t>
      </w:r>
      <w:r w:rsidRPr="00BC3011">
        <w:t xml:space="preserve"> at Civic Center. </w:t>
      </w:r>
      <w:r>
        <w:t>It</w:t>
      </w:r>
      <w:r w:rsidRPr="00BC3011">
        <w:t xml:space="preserve"> did not send felony, in-custody, or “violent misdemeanor” cases to Civic Center, c</w:t>
      </w:r>
      <w:r w:rsidRPr="00BC3011">
        <w:t>laiming the courthouse</w:t>
      </w:r>
      <w:r>
        <w:t xml:space="preserve"> lacked </w:t>
      </w:r>
      <w:r w:rsidRPr="00BC3011">
        <w:t xml:space="preserve">sufficient security. </w:t>
      </w:r>
    </w:p>
    <w:p w14:paraId="08BD4E4B" w14:textId="095D5E39" w:rsidR="0080647E" w:rsidRPr="00BC3011" w:rsidRDefault="001B6997" w:rsidP="003F5F13">
      <w:pPr>
        <w:autoSpaceDE w:val="0"/>
        <w:autoSpaceDN w:val="0"/>
        <w:adjustRightInd w:val="0"/>
        <w:spacing w:line="360" w:lineRule="auto"/>
        <w:contextualSpacing/>
      </w:pPr>
      <w:r w:rsidRPr="00BC3011">
        <w:lastRenderedPageBreak/>
        <w:tab/>
        <w:t>In June 2021, public health officials removed all social-distancing requirements.</w:t>
      </w:r>
      <w:r w:rsidR="001D72DC">
        <w:t xml:space="preserve"> </w:t>
      </w:r>
      <w:r w:rsidRPr="00BC3011">
        <w:t xml:space="preserve">On June 28, 2021, defendant court opened </w:t>
      </w:r>
      <w:r w:rsidR="007F6AFB">
        <w:t>nine</w:t>
      </w:r>
      <w:r w:rsidR="007F6AFB" w:rsidRPr="00BC3011">
        <w:t xml:space="preserve"> </w:t>
      </w:r>
      <w:r w:rsidRPr="00BC3011">
        <w:t>departments in the Hall of Justice, or 14</w:t>
      </w:r>
      <w:r w:rsidR="00513297">
        <w:t xml:space="preserve"> percent</w:t>
      </w:r>
      <w:r w:rsidRPr="00BC3011">
        <w:t xml:space="preserve"> of its 65 total departments, for criminal trials—</w:t>
      </w:r>
      <w:r w:rsidR="00513297">
        <w:t>three</w:t>
      </w:r>
      <w:r w:rsidRPr="00BC3011">
        <w:t xml:space="preserve"> for in</w:t>
      </w:r>
      <w:r w:rsidR="003622E1">
        <w:t>-</w:t>
      </w:r>
      <w:r w:rsidRPr="00BC3011">
        <w:t xml:space="preserve">custody felony trials, </w:t>
      </w:r>
      <w:r w:rsidR="00513297">
        <w:t>four</w:t>
      </w:r>
      <w:r w:rsidR="000F4602">
        <w:t xml:space="preserve"> </w:t>
      </w:r>
      <w:r w:rsidRPr="00BC3011">
        <w:t xml:space="preserve">for </w:t>
      </w:r>
      <w:r>
        <w:t>out-of</w:t>
      </w:r>
      <w:r w:rsidRPr="00BC3011">
        <w:t xml:space="preserve">-custody felony trials, and </w:t>
      </w:r>
      <w:r w:rsidR="000F4602">
        <w:t>two</w:t>
      </w:r>
      <w:r w:rsidRPr="00BC3011">
        <w:t xml:space="preserve"> for misdemeanors. It continued </w:t>
      </w:r>
      <w:r>
        <w:t xml:space="preserve">to </w:t>
      </w:r>
      <w:r w:rsidRPr="00BC3011">
        <w:t xml:space="preserve">send a </w:t>
      </w:r>
      <w:r>
        <w:t>few</w:t>
      </w:r>
      <w:r w:rsidRPr="00BC3011">
        <w:t xml:space="preserve"> “nonviolent misdemeanor” trials to Civic Center. </w:t>
      </w:r>
    </w:p>
    <w:p w14:paraId="61715256" w14:textId="482EC5EF" w:rsidR="0080647E" w:rsidRPr="00BC3011" w:rsidRDefault="001B6997" w:rsidP="003F5F13">
      <w:pPr>
        <w:autoSpaceDE w:val="0"/>
        <w:autoSpaceDN w:val="0"/>
        <w:adjustRightInd w:val="0"/>
        <w:spacing w:line="360" w:lineRule="auto"/>
        <w:contextualSpacing/>
      </w:pPr>
      <w:r w:rsidRPr="00BC3011">
        <w:tab/>
      </w:r>
      <w:r w:rsidR="4C8C6D80">
        <w:t>By June 29, 2021, t</w:t>
      </w:r>
      <w:r w:rsidR="0B928DCA">
        <w:t>he backlog</w:t>
      </w:r>
      <w:r w:rsidR="7413E867">
        <w:t xml:space="preserve"> had</w:t>
      </w:r>
      <w:r w:rsidR="0B928DCA">
        <w:t xml:space="preserve"> </w:t>
      </w:r>
      <w:r w:rsidR="070DE414">
        <w:t>ballooned to</w:t>
      </w:r>
      <w:r w:rsidR="0B928DCA">
        <w:t xml:space="preserve"> </w:t>
      </w:r>
      <w:r w:rsidR="38233926" w:rsidRPr="00BC3011">
        <w:t>416 cases, roughly 125</w:t>
      </w:r>
      <w:r w:rsidR="3F39F7B0">
        <w:t> </w:t>
      </w:r>
      <w:r w:rsidR="38233926" w:rsidRPr="00BC3011">
        <w:t>in</w:t>
      </w:r>
      <w:r w:rsidR="007C59F3">
        <w:t xml:space="preserve"> </w:t>
      </w:r>
      <w:r w:rsidR="38233926" w:rsidRPr="00BC3011">
        <w:t>custody. As of July</w:t>
      </w:r>
      <w:r w:rsidR="0B928DCA">
        <w:t> </w:t>
      </w:r>
      <w:r w:rsidR="00337475">
        <w:t>20</w:t>
      </w:r>
      <w:r w:rsidR="38233926" w:rsidRPr="00BC3011">
        <w:t xml:space="preserve">22, only </w:t>
      </w:r>
      <w:r w:rsidR="00305E4F">
        <w:t>5</w:t>
      </w:r>
      <w:r w:rsidR="72CA5713">
        <w:t xml:space="preserve"> </w:t>
      </w:r>
      <w:r w:rsidR="38233926">
        <w:t>of defendant court’s 65</w:t>
      </w:r>
      <w:r w:rsidR="002C6017">
        <w:t> </w:t>
      </w:r>
      <w:r w:rsidR="38233926" w:rsidRPr="00BC3011">
        <w:t>departments</w:t>
      </w:r>
      <w:r w:rsidR="38233926">
        <w:t xml:space="preserve"> (or </w:t>
      </w:r>
      <w:r w:rsidR="38233926" w:rsidRPr="00BC3011">
        <w:t xml:space="preserve">roughly </w:t>
      </w:r>
      <w:r w:rsidR="004C5E14">
        <w:t xml:space="preserve">seven </w:t>
      </w:r>
      <w:r w:rsidR="72CA5713">
        <w:t>percent</w:t>
      </w:r>
      <w:r w:rsidR="38233926">
        <w:t xml:space="preserve">) </w:t>
      </w:r>
      <w:proofErr w:type="gramStart"/>
      <w:r w:rsidR="38233926">
        <w:t xml:space="preserve">actually </w:t>
      </w:r>
      <w:r w:rsidR="38233926" w:rsidRPr="00BC3011">
        <w:t>were</w:t>
      </w:r>
      <w:proofErr w:type="gramEnd"/>
      <w:r w:rsidR="38233926" w:rsidRPr="00BC3011">
        <w:t xml:space="preserve"> conducting criminal trials. At no </w:t>
      </w:r>
      <w:r w:rsidR="38233926">
        <w:t xml:space="preserve">time </w:t>
      </w:r>
      <w:r w:rsidR="38233926" w:rsidRPr="00BC3011">
        <w:t xml:space="preserve">in July or August 2021 were more than seven of </w:t>
      </w:r>
      <w:r w:rsidR="38233926">
        <w:t xml:space="preserve">its 65 </w:t>
      </w:r>
      <w:r w:rsidR="38233926" w:rsidRPr="00BC3011">
        <w:t>departments</w:t>
      </w:r>
      <w:r w:rsidR="38233926">
        <w:t xml:space="preserve"> </w:t>
      </w:r>
      <w:r w:rsidR="38233926" w:rsidRPr="00BC3011">
        <w:t>(</w:t>
      </w:r>
      <w:r w:rsidR="38233926">
        <w:t>or</w:t>
      </w:r>
      <w:r w:rsidR="38233926" w:rsidRPr="00BC3011">
        <w:t xml:space="preserve"> 11</w:t>
      </w:r>
      <w:r w:rsidR="0B928DCA">
        <w:t> </w:t>
      </w:r>
      <w:r w:rsidR="72CA5713">
        <w:t>percent</w:t>
      </w:r>
      <w:r w:rsidR="38233926" w:rsidRPr="00BC3011">
        <w:t>)</w:t>
      </w:r>
      <w:r w:rsidR="38233926">
        <w:t xml:space="preserve"> </w:t>
      </w:r>
      <w:proofErr w:type="gramStart"/>
      <w:r w:rsidR="38233926">
        <w:t>actually engaged</w:t>
      </w:r>
      <w:proofErr w:type="gramEnd"/>
      <w:r w:rsidR="38233926">
        <w:t xml:space="preserve"> in hearing </w:t>
      </w:r>
      <w:r w:rsidR="38233926" w:rsidRPr="00BC3011">
        <w:t xml:space="preserve">criminal trials. </w:t>
      </w:r>
    </w:p>
    <w:p w14:paraId="4800652C" w14:textId="4C37969D" w:rsidR="00B07B49" w:rsidRDefault="001B6997" w:rsidP="003F5F13">
      <w:pPr>
        <w:autoSpaceDE w:val="0"/>
        <w:autoSpaceDN w:val="0"/>
        <w:adjustRightInd w:val="0"/>
        <w:spacing w:line="360" w:lineRule="auto"/>
        <w:contextualSpacing/>
        <w:rPr>
          <w:spacing w:val="-2"/>
        </w:rPr>
      </w:pPr>
      <w:r w:rsidRPr="00BC3011">
        <w:tab/>
      </w:r>
      <w:r>
        <w:t xml:space="preserve">Between June 29 and </w:t>
      </w:r>
      <w:r w:rsidRPr="00BC3011">
        <w:t>August</w:t>
      </w:r>
      <w:r w:rsidR="00D011F5">
        <w:t> </w:t>
      </w:r>
      <w:r w:rsidRPr="00BC3011">
        <w:t>30, 2021, defendant court sent out two in</w:t>
      </w:r>
      <w:r w:rsidR="002F28E3">
        <w:noBreakHyphen/>
      </w:r>
      <w:r w:rsidRPr="00BC3011">
        <w:t xml:space="preserve">custody </w:t>
      </w:r>
      <w:r>
        <w:t xml:space="preserve">cases for </w:t>
      </w:r>
      <w:r w:rsidRPr="00BC3011">
        <w:t xml:space="preserve">trial, </w:t>
      </w:r>
      <w:r>
        <w:t xml:space="preserve">while </w:t>
      </w:r>
      <w:r w:rsidRPr="00BC3011">
        <w:t xml:space="preserve">the backlog </w:t>
      </w:r>
      <w:r>
        <w:t>of in-custody cases grew by 3</w:t>
      </w:r>
      <w:r w:rsidR="004C5E14">
        <w:t>1</w:t>
      </w:r>
      <w:r>
        <w:t xml:space="preserve">, to 156 cases. The total backlog rose to </w:t>
      </w:r>
      <w:r w:rsidRPr="00BC3011">
        <w:t>388.</w:t>
      </w:r>
      <w:r w:rsidR="007271C5">
        <w:t xml:space="preserve"> </w:t>
      </w:r>
      <w:r w:rsidR="00305483">
        <w:rPr>
          <w:spacing w:val="-2"/>
        </w:rPr>
        <w:t>N</w:t>
      </w:r>
      <w:r w:rsidR="006C63AA">
        <w:rPr>
          <w:spacing w:val="-2"/>
        </w:rPr>
        <w:t>umerous courtrooms were empty</w:t>
      </w:r>
      <w:r w:rsidR="00D613E5">
        <w:rPr>
          <w:spacing w:val="-2"/>
        </w:rPr>
        <w:t xml:space="preserve"> and unused</w:t>
      </w:r>
      <w:r w:rsidR="006C63AA">
        <w:rPr>
          <w:spacing w:val="-2"/>
        </w:rPr>
        <w:t>, with</w:t>
      </w:r>
      <w:r w:rsidR="00D613E5">
        <w:rPr>
          <w:spacing w:val="-2"/>
        </w:rPr>
        <w:t xml:space="preserve"> their</w:t>
      </w:r>
      <w:r w:rsidR="006C63AA">
        <w:rPr>
          <w:spacing w:val="-2"/>
        </w:rPr>
        <w:t xml:space="preserve"> doors locked</w:t>
      </w:r>
      <w:r w:rsidR="00D613E5">
        <w:rPr>
          <w:spacing w:val="-2"/>
        </w:rPr>
        <w:t xml:space="preserve"> and no indication that any proceedings were being held</w:t>
      </w:r>
      <w:r w:rsidR="009E38CB">
        <w:rPr>
          <w:spacing w:val="-2"/>
        </w:rPr>
        <w:t>.</w:t>
      </w:r>
    </w:p>
    <w:p w14:paraId="537084D5" w14:textId="17F8B799" w:rsidR="0080647E" w:rsidRPr="00771D1F" w:rsidRDefault="001B6997" w:rsidP="003F5F13">
      <w:pPr>
        <w:autoSpaceDE w:val="0"/>
        <w:autoSpaceDN w:val="0"/>
        <w:adjustRightInd w:val="0"/>
        <w:spacing w:line="360" w:lineRule="auto"/>
        <w:contextualSpacing/>
        <w:rPr>
          <w:rStyle w:val="FootnoteReference"/>
        </w:rPr>
      </w:pPr>
      <w:r>
        <w:rPr>
          <w:spacing w:val="-2"/>
        </w:rPr>
        <w:tab/>
      </w:r>
      <w:r w:rsidR="00FD762C">
        <w:rPr>
          <w:spacing w:val="-2"/>
        </w:rPr>
        <w:t xml:space="preserve">Plaintiffs </w:t>
      </w:r>
      <w:r w:rsidR="507A73F5">
        <w:rPr>
          <w:spacing w:val="-2"/>
        </w:rPr>
        <w:t>acknowledg</w:t>
      </w:r>
      <w:r w:rsidR="00FD762C">
        <w:rPr>
          <w:spacing w:val="-2"/>
        </w:rPr>
        <w:t>e</w:t>
      </w:r>
      <w:r w:rsidR="507A73F5">
        <w:rPr>
          <w:spacing w:val="-2"/>
        </w:rPr>
        <w:t xml:space="preserve"> the pandemic’s</w:t>
      </w:r>
      <w:r w:rsidR="1CE87461">
        <w:rPr>
          <w:spacing w:val="-2"/>
        </w:rPr>
        <w:t xml:space="preserve"> </w:t>
      </w:r>
      <w:r w:rsidR="507A73F5">
        <w:rPr>
          <w:spacing w:val="-2"/>
        </w:rPr>
        <w:t xml:space="preserve">role in </w:t>
      </w:r>
      <w:r w:rsidR="00A61705">
        <w:rPr>
          <w:spacing w:val="-2"/>
        </w:rPr>
        <w:t xml:space="preserve">precipitating </w:t>
      </w:r>
      <w:r w:rsidR="507A73F5">
        <w:rPr>
          <w:spacing w:val="-2"/>
        </w:rPr>
        <w:t xml:space="preserve">the </w:t>
      </w:r>
      <w:proofErr w:type="gramStart"/>
      <w:r w:rsidR="507A73F5">
        <w:rPr>
          <w:spacing w:val="-2"/>
        </w:rPr>
        <w:t xml:space="preserve">backlog, </w:t>
      </w:r>
      <w:r w:rsidR="0018516C">
        <w:rPr>
          <w:spacing w:val="-2"/>
        </w:rPr>
        <w:t>but</w:t>
      </w:r>
      <w:proofErr w:type="gramEnd"/>
      <w:r w:rsidR="38233926">
        <w:rPr>
          <w:spacing w:val="-2"/>
        </w:rPr>
        <w:t xml:space="preserve"> </w:t>
      </w:r>
      <w:r w:rsidR="23165A4D">
        <w:t xml:space="preserve">allege </w:t>
      </w:r>
      <w:r w:rsidR="5E9BC549">
        <w:rPr>
          <w:spacing w:val="-2"/>
        </w:rPr>
        <w:t>that defendants</w:t>
      </w:r>
      <w:r w:rsidR="1E942E75">
        <w:rPr>
          <w:spacing w:val="-2"/>
        </w:rPr>
        <w:t xml:space="preserve"> </w:t>
      </w:r>
      <w:r w:rsidR="5BC7009C">
        <w:rPr>
          <w:spacing w:val="-2"/>
        </w:rPr>
        <w:t xml:space="preserve">unnecessarily </w:t>
      </w:r>
      <w:r w:rsidR="1E942E75">
        <w:rPr>
          <w:spacing w:val="-2"/>
        </w:rPr>
        <w:t>exacerbated</w:t>
      </w:r>
      <w:r w:rsidR="1CE87461">
        <w:rPr>
          <w:spacing w:val="-2"/>
        </w:rPr>
        <w:t xml:space="preserve"> </w:t>
      </w:r>
      <w:r w:rsidR="1E942E75">
        <w:rPr>
          <w:spacing w:val="-2"/>
        </w:rPr>
        <w:t>the backlog</w:t>
      </w:r>
      <w:r w:rsidR="5BC7009C">
        <w:rPr>
          <w:spacing w:val="-2"/>
        </w:rPr>
        <w:t xml:space="preserve"> and prolonged its effects</w:t>
      </w:r>
      <w:r w:rsidR="1E942E75">
        <w:rPr>
          <w:spacing w:val="-2"/>
        </w:rPr>
        <w:t xml:space="preserve"> by failing</w:t>
      </w:r>
      <w:r w:rsidR="5E9BC549">
        <w:rPr>
          <w:spacing w:val="-2"/>
        </w:rPr>
        <w:t xml:space="preserve"> to</w:t>
      </w:r>
      <w:r w:rsidR="0018516C">
        <w:rPr>
          <w:spacing w:val="-2"/>
        </w:rPr>
        <w:t>, inter alia:</w:t>
      </w:r>
      <w:r w:rsidR="5E9BC549">
        <w:rPr>
          <w:spacing w:val="-2"/>
        </w:rPr>
        <w:t xml:space="preserve"> </w:t>
      </w:r>
      <w:r w:rsidR="38AF3CBD">
        <w:rPr>
          <w:spacing w:val="-2"/>
        </w:rPr>
        <w:t>utilize</w:t>
      </w:r>
      <w:r w:rsidR="49802F51">
        <w:rPr>
          <w:spacing w:val="-2"/>
        </w:rPr>
        <w:t xml:space="preserve"> available </w:t>
      </w:r>
      <w:r w:rsidR="052910BC">
        <w:rPr>
          <w:spacing w:val="-2"/>
        </w:rPr>
        <w:t>courtrooms</w:t>
      </w:r>
      <w:r w:rsidR="00D73B25">
        <w:rPr>
          <w:spacing w:val="-2"/>
        </w:rPr>
        <w:t xml:space="preserve"> (both civil and criminal)</w:t>
      </w:r>
      <w:r w:rsidR="2D2A5E4D">
        <w:rPr>
          <w:spacing w:val="-2"/>
        </w:rPr>
        <w:t>,</w:t>
      </w:r>
      <w:r>
        <w:rPr>
          <w:spacing w:val="-2"/>
        </w:rPr>
        <w:t xml:space="preserve"> </w:t>
      </w:r>
      <w:r w:rsidR="08299418">
        <w:rPr>
          <w:spacing w:val="-2"/>
        </w:rPr>
        <w:t>seek out additional resources to help mitigate the backlog</w:t>
      </w:r>
      <w:r w:rsidR="052910BC">
        <w:rPr>
          <w:spacing w:val="-2"/>
        </w:rPr>
        <w:t>,</w:t>
      </w:r>
      <w:r>
        <w:rPr>
          <w:spacing w:val="-2"/>
        </w:rPr>
        <w:t xml:space="preserve"> </w:t>
      </w:r>
      <w:r w:rsidR="00F53B79">
        <w:rPr>
          <w:spacing w:val="-2"/>
        </w:rPr>
        <w:t>prioritize</w:t>
      </w:r>
      <w:r w:rsidR="052910BC">
        <w:rPr>
          <w:spacing w:val="-2"/>
        </w:rPr>
        <w:t xml:space="preserve"> criminal trials,</w:t>
      </w:r>
      <w:r w:rsidR="49802F51">
        <w:rPr>
          <w:spacing w:val="-2"/>
        </w:rPr>
        <w:t xml:space="preserve"> </w:t>
      </w:r>
      <w:r w:rsidR="2FE6635F">
        <w:rPr>
          <w:spacing w:val="-2"/>
        </w:rPr>
        <w:t>or take</w:t>
      </w:r>
      <w:r w:rsidR="49802F51">
        <w:rPr>
          <w:spacing w:val="-2"/>
        </w:rPr>
        <w:t xml:space="preserve"> </w:t>
      </w:r>
      <w:r w:rsidR="1518DC8F">
        <w:rPr>
          <w:spacing w:val="-2"/>
        </w:rPr>
        <w:t>meaningful</w:t>
      </w:r>
      <w:r w:rsidR="49802F51">
        <w:rPr>
          <w:spacing w:val="-2"/>
        </w:rPr>
        <w:t xml:space="preserve"> steps to address</w:t>
      </w:r>
      <w:r w:rsidR="0637EAB6">
        <w:rPr>
          <w:spacing w:val="-2"/>
        </w:rPr>
        <w:t xml:space="preserve"> security issues that purportedly prevented </w:t>
      </w:r>
      <w:r w:rsidR="009E7608">
        <w:rPr>
          <w:spacing w:val="-2"/>
        </w:rPr>
        <w:t>the</w:t>
      </w:r>
      <w:r w:rsidR="00D73B25">
        <w:rPr>
          <w:spacing w:val="-2"/>
        </w:rPr>
        <w:t>m from</w:t>
      </w:r>
      <w:r w:rsidR="009E7608">
        <w:rPr>
          <w:spacing w:val="-2"/>
        </w:rPr>
        <w:t xml:space="preserve"> assign</w:t>
      </w:r>
      <w:r w:rsidR="00D73B25">
        <w:rPr>
          <w:spacing w:val="-2"/>
        </w:rPr>
        <w:t xml:space="preserve">ing </w:t>
      </w:r>
      <w:r w:rsidR="009E7608">
        <w:rPr>
          <w:spacing w:val="-2"/>
        </w:rPr>
        <w:t>criminal trials to Civic Center</w:t>
      </w:r>
      <w:r w:rsidR="00FA308D">
        <w:rPr>
          <w:spacing w:val="-2"/>
        </w:rPr>
        <w:t xml:space="preserve"> </w:t>
      </w:r>
      <w:r w:rsidR="009E7608">
        <w:rPr>
          <w:spacing w:val="-2"/>
        </w:rPr>
        <w:t>courtrooms</w:t>
      </w:r>
      <w:r>
        <w:rPr>
          <w:spacing w:val="-2"/>
        </w:rPr>
        <w:t>.</w:t>
      </w:r>
      <w:r w:rsidR="38233926">
        <w:rPr>
          <w:spacing w:val="-2"/>
        </w:rPr>
        <w:t xml:space="preserve"> </w:t>
      </w:r>
      <w:r w:rsidR="00852AC4">
        <w:rPr>
          <w:spacing w:val="-2"/>
        </w:rPr>
        <w:t>P</w:t>
      </w:r>
      <w:r w:rsidR="00E1772E">
        <w:rPr>
          <w:spacing w:val="-2"/>
        </w:rPr>
        <w:t>laintiffs</w:t>
      </w:r>
      <w:r w:rsidR="00022087">
        <w:rPr>
          <w:spacing w:val="-2"/>
        </w:rPr>
        <w:t xml:space="preserve"> claim defendants improperly failed</w:t>
      </w:r>
      <w:r>
        <w:rPr>
          <w:spacing w:val="-2"/>
        </w:rPr>
        <w:t xml:space="preserve"> </w:t>
      </w:r>
      <w:r w:rsidR="38233926">
        <w:rPr>
          <w:spacing w:val="-2"/>
        </w:rPr>
        <w:t xml:space="preserve">to utilize Civic Center </w:t>
      </w:r>
      <w:r w:rsidR="4C97E852">
        <w:rPr>
          <w:spacing w:val="-2"/>
        </w:rPr>
        <w:t xml:space="preserve">courtrooms </w:t>
      </w:r>
      <w:r w:rsidR="38233926">
        <w:rPr>
          <w:spacing w:val="-2"/>
        </w:rPr>
        <w:t xml:space="preserve">to try </w:t>
      </w:r>
      <w:r w:rsidR="162211F6">
        <w:rPr>
          <w:spacing w:val="-2"/>
        </w:rPr>
        <w:t xml:space="preserve">any </w:t>
      </w:r>
      <w:r w:rsidR="38233926">
        <w:rPr>
          <w:spacing w:val="-2"/>
        </w:rPr>
        <w:t xml:space="preserve">felony, in-custody, or “violent misdemeanor” cases, </w:t>
      </w:r>
      <w:r w:rsidR="004C57DB">
        <w:rPr>
          <w:spacing w:val="-2"/>
        </w:rPr>
        <w:t xml:space="preserve">due to </w:t>
      </w:r>
      <w:r w:rsidR="38233926">
        <w:rPr>
          <w:spacing w:val="-2"/>
        </w:rPr>
        <w:t>purported</w:t>
      </w:r>
      <w:r w:rsidR="0036310A">
        <w:rPr>
          <w:spacing w:val="-2"/>
        </w:rPr>
        <w:t xml:space="preserve"> </w:t>
      </w:r>
      <w:r w:rsidR="38233926">
        <w:rPr>
          <w:spacing w:val="-2"/>
        </w:rPr>
        <w:t>security</w:t>
      </w:r>
      <w:r w:rsidR="004C57DB">
        <w:rPr>
          <w:spacing w:val="-2"/>
        </w:rPr>
        <w:t xml:space="preserve"> concerns, </w:t>
      </w:r>
      <w:r w:rsidR="004A379C">
        <w:rPr>
          <w:spacing w:val="-2"/>
        </w:rPr>
        <w:t xml:space="preserve">despite </w:t>
      </w:r>
      <w:r w:rsidR="38233926">
        <w:rPr>
          <w:spacing w:val="-2"/>
        </w:rPr>
        <w:t>Civic Center</w:t>
      </w:r>
      <w:r w:rsidR="004A379C">
        <w:rPr>
          <w:spacing w:val="-2"/>
        </w:rPr>
        <w:t>’s</w:t>
      </w:r>
      <w:r w:rsidR="0036310A">
        <w:rPr>
          <w:spacing w:val="-2"/>
        </w:rPr>
        <w:t xml:space="preserve"> </w:t>
      </w:r>
      <w:r w:rsidR="38233926" w:rsidRPr="00771D1F">
        <w:rPr>
          <w:spacing w:val="-2"/>
        </w:rPr>
        <w:t>multiple holding cells</w:t>
      </w:r>
      <w:r w:rsidR="38233926">
        <w:rPr>
          <w:spacing w:val="-2"/>
        </w:rPr>
        <w:t xml:space="preserve">, </w:t>
      </w:r>
      <w:r w:rsidR="38233926" w:rsidRPr="00771D1F">
        <w:rPr>
          <w:spacing w:val="-2"/>
        </w:rPr>
        <w:t>airport-style entrance security</w:t>
      </w:r>
      <w:r w:rsidR="2ED47B58">
        <w:rPr>
          <w:spacing w:val="-2"/>
        </w:rPr>
        <w:t>,</w:t>
      </w:r>
      <w:r w:rsidR="38233926" w:rsidRPr="00771D1F">
        <w:rPr>
          <w:spacing w:val="-2"/>
        </w:rPr>
        <w:t xml:space="preserve"> and regular staff</w:t>
      </w:r>
      <w:r w:rsidR="38233926">
        <w:rPr>
          <w:spacing w:val="-2"/>
        </w:rPr>
        <w:t>ing by over 20</w:t>
      </w:r>
      <w:r w:rsidR="00DF4A51">
        <w:rPr>
          <w:spacing w:val="-2"/>
        </w:rPr>
        <w:t xml:space="preserve"> </w:t>
      </w:r>
      <w:r w:rsidR="38233926">
        <w:rPr>
          <w:spacing w:val="-2"/>
        </w:rPr>
        <w:t>s</w:t>
      </w:r>
      <w:r w:rsidR="38233926" w:rsidRPr="00771D1F">
        <w:rPr>
          <w:spacing w:val="-2"/>
        </w:rPr>
        <w:t xml:space="preserve">heriff’s deputies. </w:t>
      </w:r>
      <w:r w:rsidR="38233926">
        <w:rPr>
          <w:spacing w:val="-2"/>
        </w:rPr>
        <w:t xml:space="preserve">Moreover, </w:t>
      </w:r>
      <w:r w:rsidR="00506088">
        <w:rPr>
          <w:spacing w:val="-2"/>
        </w:rPr>
        <w:t>before the pandemic, between</w:t>
      </w:r>
      <w:r w:rsidR="38233926">
        <w:t xml:space="preserve"> </w:t>
      </w:r>
      <w:r w:rsidR="38233926">
        <w:rPr>
          <w:spacing w:val="-2"/>
        </w:rPr>
        <w:t xml:space="preserve">2006–2017, </w:t>
      </w:r>
      <w:r w:rsidR="38233926">
        <w:rPr>
          <w:spacing w:val="-2"/>
        </w:rPr>
        <w:lastRenderedPageBreak/>
        <w:t>defendant c</w:t>
      </w:r>
      <w:r w:rsidR="38233926" w:rsidRPr="00771D1F">
        <w:rPr>
          <w:spacing w:val="-2"/>
        </w:rPr>
        <w:t xml:space="preserve">ourt had safely tried </w:t>
      </w:r>
      <w:r w:rsidR="0067197D">
        <w:rPr>
          <w:spacing w:val="-2"/>
        </w:rPr>
        <w:t xml:space="preserve">without issue </w:t>
      </w:r>
      <w:r w:rsidR="38233926">
        <w:rPr>
          <w:spacing w:val="-2"/>
        </w:rPr>
        <w:t>56</w:t>
      </w:r>
      <w:r w:rsidR="38233926" w:rsidRPr="00771D1F">
        <w:rPr>
          <w:spacing w:val="-2"/>
        </w:rPr>
        <w:t xml:space="preserve"> felony cases </w:t>
      </w:r>
      <w:r w:rsidR="007F7A34">
        <w:rPr>
          <w:spacing w:val="-2"/>
        </w:rPr>
        <w:t>(24</w:t>
      </w:r>
      <w:r w:rsidR="00DF4A51">
        <w:rPr>
          <w:spacing w:val="-2"/>
        </w:rPr>
        <w:t xml:space="preserve"> </w:t>
      </w:r>
      <w:r w:rsidR="007F7A34" w:rsidRPr="00771D1F">
        <w:rPr>
          <w:spacing w:val="-2"/>
        </w:rPr>
        <w:t>in</w:t>
      </w:r>
      <w:r w:rsidR="007F7A34">
        <w:rPr>
          <w:spacing w:val="-2"/>
        </w:rPr>
        <w:t>-</w:t>
      </w:r>
      <w:r w:rsidR="007F7A34" w:rsidRPr="00771D1F">
        <w:rPr>
          <w:spacing w:val="-2"/>
        </w:rPr>
        <w:t>custody</w:t>
      </w:r>
      <w:r w:rsidR="007F7A34">
        <w:rPr>
          <w:spacing w:val="-2"/>
        </w:rPr>
        <w:t>)</w:t>
      </w:r>
      <w:r w:rsidR="007F7A34" w:rsidRPr="00771D1F">
        <w:rPr>
          <w:spacing w:val="-2"/>
        </w:rPr>
        <w:t xml:space="preserve"> </w:t>
      </w:r>
      <w:r w:rsidR="38233926" w:rsidRPr="00771D1F">
        <w:rPr>
          <w:spacing w:val="-2"/>
        </w:rPr>
        <w:t>at Civic Center</w:t>
      </w:r>
      <w:r w:rsidR="38233926">
        <w:rPr>
          <w:spacing w:val="-2"/>
        </w:rPr>
        <w:t xml:space="preserve">; and from 2018 through March 2020, </w:t>
      </w:r>
      <w:r w:rsidR="0B928DCA">
        <w:rPr>
          <w:spacing w:val="-2"/>
        </w:rPr>
        <w:t xml:space="preserve">it </w:t>
      </w:r>
      <w:r w:rsidR="38233926">
        <w:rPr>
          <w:spacing w:val="-2"/>
        </w:rPr>
        <w:t>tried 166</w:t>
      </w:r>
      <w:r w:rsidR="00DF4A51">
        <w:rPr>
          <w:spacing w:val="-2"/>
        </w:rPr>
        <w:t xml:space="preserve"> </w:t>
      </w:r>
      <w:r w:rsidR="38233926">
        <w:rPr>
          <w:spacing w:val="-2"/>
        </w:rPr>
        <w:t>misdemeanor cases there, including 50</w:t>
      </w:r>
      <w:r w:rsidR="00DF4A51">
        <w:rPr>
          <w:spacing w:val="-2"/>
        </w:rPr>
        <w:t xml:space="preserve"> </w:t>
      </w:r>
      <w:r w:rsidR="38233926">
        <w:rPr>
          <w:spacing w:val="-2"/>
        </w:rPr>
        <w:t xml:space="preserve">“violent misdemeanors.” </w:t>
      </w:r>
      <w:r w:rsidR="38233926" w:rsidRPr="00771D1F">
        <w:rPr>
          <w:spacing w:val="-2"/>
        </w:rPr>
        <w:t>And i</w:t>
      </w:r>
      <w:r w:rsidR="38233926">
        <w:rPr>
          <w:spacing w:val="-2"/>
        </w:rPr>
        <w:t>n 2021, a 15</w:t>
      </w:r>
      <w:r w:rsidR="629F9EE8">
        <w:rPr>
          <w:spacing w:val="-2"/>
        </w:rPr>
        <w:t>-</w:t>
      </w:r>
      <w:r w:rsidR="38233926">
        <w:rPr>
          <w:spacing w:val="-2"/>
        </w:rPr>
        <w:t xml:space="preserve">day trial in a </w:t>
      </w:r>
      <w:r w:rsidR="38233926" w:rsidRPr="00771D1F">
        <w:rPr>
          <w:spacing w:val="-2"/>
        </w:rPr>
        <w:t xml:space="preserve">juvenile murder </w:t>
      </w:r>
      <w:r w:rsidR="38233926">
        <w:rPr>
          <w:spacing w:val="-2"/>
        </w:rPr>
        <w:t xml:space="preserve">case deemed </w:t>
      </w:r>
      <w:r w:rsidR="38233926" w:rsidRPr="00771D1F">
        <w:rPr>
          <w:spacing w:val="-2"/>
        </w:rPr>
        <w:t xml:space="preserve">“too risky” </w:t>
      </w:r>
      <w:r w:rsidR="38233926">
        <w:rPr>
          <w:spacing w:val="-2"/>
        </w:rPr>
        <w:t xml:space="preserve">for </w:t>
      </w:r>
      <w:r w:rsidR="38233926" w:rsidRPr="00771D1F">
        <w:rPr>
          <w:spacing w:val="-2"/>
        </w:rPr>
        <w:t xml:space="preserve">the </w:t>
      </w:r>
      <w:r w:rsidR="629F9EE8">
        <w:rPr>
          <w:spacing w:val="-2"/>
        </w:rPr>
        <w:t>j</w:t>
      </w:r>
      <w:r w:rsidR="38233926" w:rsidRPr="00771D1F">
        <w:rPr>
          <w:spacing w:val="-2"/>
        </w:rPr>
        <w:t xml:space="preserve">uvenile </w:t>
      </w:r>
      <w:r w:rsidR="629F9EE8">
        <w:rPr>
          <w:spacing w:val="-2"/>
        </w:rPr>
        <w:t>j</w:t>
      </w:r>
      <w:r w:rsidR="38233926" w:rsidRPr="00771D1F">
        <w:rPr>
          <w:spacing w:val="-2"/>
        </w:rPr>
        <w:t xml:space="preserve">ustice </w:t>
      </w:r>
      <w:r w:rsidR="629F9EE8">
        <w:rPr>
          <w:spacing w:val="-2"/>
        </w:rPr>
        <w:t>c</w:t>
      </w:r>
      <w:r w:rsidR="38233926" w:rsidRPr="00771D1F">
        <w:rPr>
          <w:spacing w:val="-2"/>
        </w:rPr>
        <w:t>enter was tried at Civi</w:t>
      </w:r>
      <w:r w:rsidR="70CF997C">
        <w:rPr>
          <w:spacing w:val="-2"/>
        </w:rPr>
        <w:t>c</w:t>
      </w:r>
      <w:r w:rsidR="38233926" w:rsidRPr="00771D1F">
        <w:rPr>
          <w:spacing w:val="-2"/>
        </w:rPr>
        <w:t xml:space="preserve"> Center.</w:t>
      </w:r>
    </w:p>
    <w:p w14:paraId="1EA4C62F" w14:textId="601B51D6" w:rsidR="0080647E" w:rsidRDefault="001B6997" w:rsidP="003F5F13">
      <w:pPr>
        <w:autoSpaceDE w:val="0"/>
        <w:autoSpaceDN w:val="0"/>
        <w:adjustRightInd w:val="0"/>
        <w:spacing w:line="360" w:lineRule="auto"/>
        <w:contextualSpacing/>
      </w:pPr>
      <w:r>
        <w:rPr>
          <w:spacing w:val="-2"/>
        </w:rPr>
        <w:tab/>
      </w:r>
      <w:r w:rsidR="7C32226E">
        <w:rPr>
          <w:spacing w:val="-2"/>
        </w:rPr>
        <w:t>D</w:t>
      </w:r>
      <w:r>
        <w:rPr>
          <w:spacing w:val="-2"/>
        </w:rPr>
        <w:t xml:space="preserve">efendants </w:t>
      </w:r>
      <w:r w:rsidR="2D8F9684">
        <w:rPr>
          <w:spacing w:val="-2"/>
        </w:rPr>
        <w:t xml:space="preserve">also exacerbated the backlog by failing to </w:t>
      </w:r>
      <w:r w:rsidR="00B93D0E">
        <w:rPr>
          <w:spacing w:val="-2"/>
        </w:rPr>
        <w:t xml:space="preserve">make meaningful efforts to </w:t>
      </w:r>
      <w:r w:rsidR="4C384102">
        <w:rPr>
          <w:spacing w:val="-2"/>
        </w:rPr>
        <w:t xml:space="preserve">access additional resources, </w:t>
      </w:r>
      <w:r w:rsidR="000F247B">
        <w:rPr>
          <w:spacing w:val="-2"/>
        </w:rPr>
        <w:t>for example,</w:t>
      </w:r>
      <w:r w:rsidR="4C384102">
        <w:rPr>
          <w:spacing w:val="-2"/>
        </w:rPr>
        <w:t xml:space="preserve"> to </w:t>
      </w:r>
      <w:r w:rsidR="000E2CD7">
        <w:rPr>
          <w:spacing w:val="-2"/>
        </w:rPr>
        <w:t>ask</w:t>
      </w:r>
      <w:r>
        <w:rPr>
          <w:spacing w:val="-2"/>
        </w:rPr>
        <w:t xml:space="preserve"> the </w:t>
      </w:r>
      <w:r w:rsidR="000E5B4F">
        <w:rPr>
          <w:spacing w:val="-2"/>
        </w:rPr>
        <w:t>s</w:t>
      </w:r>
      <w:r>
        <w:rPr>
          <w:spacing w:val="-2"/>
        </w:rPr>
        <w:t>heriff to provide ad</w:t>
      </w:r>
      <w:r>
        <w:rPr>
          <w:spacing w:val="-2"/>
        </w:rPr>
        <w:t>ditional security to facilitate more</w:t>
      </w:r>
      <w:r w:rsidRPr="00771D1F">
        <w:rPr>
          <w:spacing w:val="-2"/>
        </w:rPr>
        <w:t xml:space="preserve"> trials at Civic Center</w:t>
      </w:r>
      <w:r>
        <w:rPr>
          <w:spacing w:val="-2"/>
        </w:rPr>
        <w:t>,</w:t>
      </w:r>
      <w:r w:rsidRPr="00771D1F">
        <w:rPr>
          <w:spacing w:val="-2"/>
        </w:rPr>
        <w:t xml:space="preserve"> </w:t>
      </w:r>
      <w:r>
        <w:rPr>
          <w:spacing w:val="-2"/>
        </w:rPr>
        <w:t xml:space="preserve">seek </w:t>
      </w:r>
      <w:r w:rsidRPr="00771D1F">
        <w:rPr>
          <w:spacing w:val="-2"/>
        </w:rPr>
        <w:t xml:space="preserve">alternative venues </w:t>
      </w:r>
      <w:r>
        <w:rPr>
          <w:spacing w:val="-2"/>
        </w:rPr>
        <w:t xml:space="preserve">in which to hold trials, request visiting judges to help reduce the backlog, or endeavor to </w:t>
      </w:r>
      <w:r w:rsidRPr="00771D1F">
        <w:rPr>
          <w:spacing w:val="-2"/>
        </w:rPr>
        <w:t xml:space="preserve">hire temporary employees or retrain existing </w:t>
      </w:r>
      <w:r>
        <w:rPr>
          <w:spacing w:val="-2"/>
        </w:rPr>
        <w:t>ones</w:t>
      </w:r>
      <w:r w:rsidRPr="00771D1F">
        <w:rPr>
          <w:spacing w:val="-2"/>
        </w:rPr>
        <w:t xml:space="preserve"> to </w:t>
      </w:r>
      <w:r>
        <w:rPr>
          <w:spacing w:val="-2"/>
        </w:rPr>
        <w:t>remedy its</w:t>
      </w:r>
      <w:r w:rsidRPr="00771D1F">
        <w:rPr>
          <w:spacing w:val="-2"/>
        </w:rPr>
        <w:t xml:space="preserve"> </w:t>
      </w:r>
      <w:r>
        <w:rPr>
          <w:spacing w:val="-2"/>
        </w:rPr>
        <w:t>clerk and court reporter</w:t>
      </w:r>
      <w:r w:rsidRPr="00E46E10">
        <w:rPr>
          <w:spacing w:val="-2"/>
        </w:rPr>
        <w:t xml:space="preserve"> </w:t>
      </w:r>
      <w:r w:rsidRPr="00771D1F">
        <w:rPr>
          <w:spacing w:val="-2"/>
        </w:rPr>
        <w:t>shortage</w:t>
      </w:r>
      <w:r>
        <w:rPr>
          <w:spacing w:val="-2"/>
        </w:rPr>
        <w:t>s</w:t>
      </w:r>
      <w:r w:rsidRPr="00771D1F">
        <w:rPr>
          <w:spacing w:val="-2"/>
        </w:rPr>
        <w:t xml:space="preserve">. </w:t>
      </w:r>
    </w:p>
    <w:p w14:paraId="2898FE7B" w14:textId="6DD2117E" w:rsidR="00833811" w:rsidRDefault="001B6997" w:rsidP="1D2EECFC">
      <w:pPr>
        <w:autoSpaceDE w:val="0"/>
        <w:autoSpaceDN w:val="0"/>
        <w:adjustRightInd w:val="0"/>
        <w:spacing w:line="360" w:lineRule="auto"/>
        <w:contextualSpacing/>
      </w:pPr>
      <w:r>
        <w:rPr>
          <w:spacing w:val="-2"/>
        </w:rPr>
        <w:tab/>
      </w:r>
      <w:r w:rsidR="120DE21E">
        <w:t>P</w:t>
      </w:r>
      <w:r w:rsidR="2AB81EEB">
        <w:t xml:space="preserve">laintiffs allege that </w:t>
      </w:r>
      <w:r w:rsidR="67CD8FAD">
        <w:rPr>
          <w:spacing w:val="-2"/>
        </w:rPr>
        <w:t>these failures</w:t>
      </w:r>
      <w:r w:rsidR="013C13E2">
        <w:rPr>
          <w:spacing w:val="-2"/>
        </w:rPr>
        <w:t xml:space="preserve"> </w:t>
      </w:r>
      <w:r w:rsidR="00EE7879">
        <w:t>violate</w:t>
      </w:r>
      <w:r>
        <w:rPr>
          <w:spacing w:val="-2"/>
        </w:rPr>
        <w:t xml:space="preserve"> </w:t>
      </w:r>
      <w:r w:rsidR="30F578D7">
        <w:rPr>
          <w:spacing w:val="-2"/>
        </w:rPr>
        <w:t>dut</w:t>
      </w:r>
      <w:r w:rsidR="505796C3">
        <w:rPr>
          <w:spacing w:val="-2"/>
        </w:rPr>
        <w:t xml:space="preserve">ies </w:t>
      </w:r>
      <w:r w:rsidR="5F5F7880">
        <w:t xml:space="preserve">imposed upon </w:t>
      </w:r>
      <w:r w:rsidR="007E1BC9">
        <w:t xml:space="preserve">defendants </w:t>
      </w:r>
      <w:r w:rsidR="5F5F7880">
        <w:t>by</w:t>
      </w:r>
      <w:r w:rsidR="505796C3">
        <w:rPr>
          <w:spacing w:val="-2"/>
        </w:rPr>
        <w:t xml:space="preserve"> Penal Code section 1050, subdivision (a)</w:t>
      </w:r>
      <w:r w:rsidR="004025B8">
        <w:rPr>
          <w:spacing w:val="-2"/>
        </w:rPr>
        <w:t>,</w:t>
      </w:r>
      <w:r>
        <w:rPr>
          <w:rStyle w:val="FootnoteReference"/>
        </w:rPr>
        <w:footnoteReference w:id="6"/>
      </w:r>
      <w:r w:rsidR="7DAFCA39">
        <w:rPr>
          <w:spacing w:val="-2"/>
        </w:rPr>
        <w:t xml:space="preserve"> specifically</w:t>
      </w:r>
      <w:r w:rsidR="1A314F4C">
        <w:t>:</w:t>
      </w:r>
      <w:r w:rsidR="7F56C916">
        <w:rPr>
          <w:spacing w:val="-2"/>
        </w:rPr>
        <w:t xml:space="preserve"> </w:t>
      </w:r>
      <w:r w:rsidR="30F578D7">
        <w:rPr>
          <w:spacing w:val="-2"/>
        </w:rPr>
        <w:t xml:space="preserve">to </w:t>
      </w:r>
      <w:r w:rsidR="013C13E2" w:rsidRPr="00485CC8">
        <w:rPr>
          <w:spacing w:val="-2"/>
        </w:rPr>
        <w:t xml:space="preserve">expedite criminal cases </w:t>
      </w:r>
      <w:r w:rsidR="013C13E2">
        <w:rPr>
          <w:spacing w:val="-2"/>
        </w:rPr>
        <w:t>“</w:t>
      </w:r>
      <w:r w:rsidR="013C13E2" w:rsidRPr="00485CC8">
        <w:rPr>
          <w:spacing w:val="-2"/>
        </w:rPr>
        <w:t>to the greatest degree that is consistent with the ends of justice</w:t>
      </w:r>
      <w:r w:rsidR="013C13E2">
        <w:rPr>
          <w:spacing w:val="-2"/>
        </w:rPr>
        <w:t>” (</w:t>
      </w:r>
      <w:r w:rsidR="008A635E">
        <w:rPr>
          <w:i/>
          <w:iCs/>
          <w:spacing w:val="-2"/>
        </w:rPr>
        <w:t>ibid.</w:t>
      </w:r>
      <w:r w:rsidR="204886B5">
        <w:rPr>
          <w:spacing w:val="-2"/>
        </w:rPr>
        <w:t>)</w:t>
      </w:r>
      <w:r w:rsidR="5D30F963">
        <w:t>;</w:t>
      </w:r>
      <w:r w:rsidR="505796C3">
        <w:rPr>
          <w:spacing w:val="-2"/>
        </w:rPr>
        <w:t xml:space="preserve"> and to</w:t>
      </w:r>
      <w:r w:rsidR="204886B5">
        <w:rPr>
          <w:spacing w:val="-2"/>
        </w:rPr>
        <w:t xml:space="preserve"> give criminal trials “</w:t>
      </w:r>
      <w:r w:rsidR="013C13E2" w:rsidRPr="00485CC8">
        <w:rPr>
          <w:spacing w:val="-2"/>
        </w:rPr>
        <w:t>precedence over</w:t>
      </w:r>
      <w:r w:rsidR="00BE5992">
        <w:rPr>
          <w:spacing w:val="-2"/>
        </w:rPr>
        <w:t xml:space="preserve"> . . . </w:t>
      </w:r>
      <w:r w:rsidR="013C13E2" w:rsidRPr="00485CC8">
        <w:rPr>
          <w:spacing w:val="-2"/>
        </w:rPr>
        <w:t>any civil matters or proceedings</w:t>
      </w:r>
      <w:r w:rsidR="204886B5">
        <w:rPr>
          <w:spacing w:val="-2"/>
        </w:rPr>
        <w:t xml:space="preserve">” </w:t>
      </w:r>
      <w:r w:rsidR="30F578D7">
        <w:rPr>
          <w:spacing w:val="-2"/>
        </w:rPr>
        <w:t>(</w:t>
      </w:r>
      <w:r w:rsidR="30F578D7" w:rsidRPr="3DE41553">
        <w:rPr>
          <w:i/>
          <w:iCs/>
          <w:spacing w:val="-2"/>
        </w:rPr>
        <w:t>i</w:t>
      </w:r>
      <w:r w:rsidR="13F76DB3" w:rsidRPr="3DE41553">
        <w:rPr>
          <w:i/>
          <w:iCs/>
          <w:spacing w:val="-2"/>
        </w:rPr>
        <w:t>bi</w:t>
      </w:r>
      <w:r w:rsidR="30F578D7" w:rsidRPr="3DE41553">
        <w:rPr>
          <w:i/>
          <w:iCs/>
          <w:spacing w:val="-2"/>
        </w:rPr>
        <w:t>d</w:t>
      </w:r>
      <w:r w:rsidR="30F578D7">
        <w:rPr>
          <w:spacing w:val="-2"/>
        </w:rPr>
        <w:t>.)</w:t>
      </w:r>
      <w:r w:rsidR="505796C3">
        <w:rPr>
          <w:spacing w:val="-2"/>
        </w:rPr>
        <w:t>, including by</w:t>
      </w:r>
      <w:r w:rsidR="05A83F8F">
        <w:rPr>
          <w:spacing w:val="-2"/>
        </w:rPr>
        <w:t xml:space="preserve"> </w:t>
      </w:r>
      <w:r w:rsidR="390A4B50">
        <w:rPr>
          <w:spacing w:val="-2"/>
        </w:rPr>
        <w:t xml:space="preserve">organizing its civil and criminal departments and workload </w:t>
      </w:r>
      <w:r w:rsidR="6E0B9BD3">
        <w:rPr>
          <w:spacing w:val="-2"/>
        </w:rPr>
        <w:t xml:space="preserve">so as </w:t>
      </w:r>
      <w:r w:rsidR="13F76DB3">
        <w:rPr>
          <w:spacing w:val="-2"/>
        </w:rPr>
        <w:t xml:space="preserve">not </w:t>
      </w:r>
      <w:r w:rsidR="6E0B9BD3">
        <w:rPr>
          <w:spacing w:val="-2"/>
        </w:rPr>
        <w:t xml:space="preserve">to </w:t>
      </w:r>
      <w:r w:rsidR="390A4B50">
        <w:t>“shortchange the court’s criminal caseload</w:t>
      </w:r>
      <w:r w:rsidR="6E0B9BD3">
        <w:t xml:space="preserve">” </w:t>
      </w:r>
      <w:r w:rsidR="390A4B50">
        <w:t>(</w:t>
      </w:r>
      <w:r w:rsidR="390A4B50" w:rsidRPr="3DE41553">
        <w:rPr>
          <w:i/>
          <w:iCs/>
        </w:rPr>
        <w:t>People v. Engram</w:t>
      </w:r>
      <w:r w:rsidR="390A4B50">
        <w:t xml:space="preserve"> (2010) 50</w:t>
      </w:r>
      <w:r w:rsidR="000A0363">
        <w:t> </w:t>
      </w:r>
      <w:r w:rsidR="390A4B50">
        <w:t>Cal.4th 1131, 1156</w:t>
      </w:r>
      <w:r w:rsidR="35B2E4FC">
        <w:t xml:space="preserve"> (</w:t>
      </w:r>
      <w:r w:rsidR="35B2E4FC" w:rsidRPr="3DE41553">
        <w:rPr>
          <w:i/>
          <w:iCs/>
        </w:rPr>
        <w:t>Engram</w:t>
      </w:r>
      <w:r w:rsidR="35B2E4FC">
        <w:t>)</w:t>
      </w:r>
      <w:r w:rsidR="390A4B50">
        <w:t>)</w:t>
      </w:r>
      <w:r w:rsidR="6E0B9BD3">
        <w:t>.</w:t>
      </w:r>
    </w:p>
    <w:p w14:paraId="3253B4A5" w14:textId="5028AC3C" w:rsidR="0080647E" w:rsidRDefault="001B6997" w:rsidP="003F5F13">
      <w:pPr>
        <w:autoSpaceDE w:val="0"/>
        <w:autoSpaceDN w:val="0"/>
        <w:adjustRightInd w:val="0"/>
        <w:spacing w:line="360" w:lineRule="auto"/>
        <w:contextualSpacing/>
      </w:pPr>
      <w:r w:rsidRPr="00771D1F">
        <w:rPr>
          <w:spacing w:val="-2"/>
        </w:rPr>
        <w:tab/>
      </w:r>
      <w:r w:rsidR="267274DF">
        <w:t>In addition</w:t>
      </w:r>
      <w:r w:rsidR="38233926">
        <w:rPr>
          <w:spacing w:val="-2"/>
        </w:rPr>
        <w:t>,</w:t>
      </w:r>
      <w:r w:rsidR="4AADD11B">
        <w:rPr>
          <w:spacing w:val="-2"/>
        </w:rPr>
        <w:t xml:space="preserve"> </w:t>
      </w:r>
      <w:r w:rsidR="38233926">
        <w:rPr>
          <w:spacing w:val="-2"/>
        </w:rPr>
        <w:t xml:space="preserve">defendant court </w:t>
      </w:r>
      <w:r w:rsidR="007311E6">
        <w:rPr>
          <w:spacing w:val="-2"/>
        </w:rPr>
        <w:t xml:space="preserve">allegedly </w:t>
      </w:r>
      <w:r w:rsidR="00513445">
        <w:rPr>
          <w:spacing w:val="-2"/>
        </w:rPr>
        <w:t xml:space="preserve">facilitated </w:t>
      </w:r>
      <w:r w:rsidR="0052200E">
        <w:rPr>
          <w:spacing w:val="-2"/>
        </w:rPr>
        <w:t>routine</w:t>
      </w:r>
      <w:r w:rsidR="00513445">
        <w:rPr>
          <w:spacing w:val="-2"/>
        </w:rPr>
        <w:t xml:space="preserve"> </w:t>
      </w:r>
      <w:r w:rsidR="00B94030">
        <w:rPr>
          <w:spacing w:val="-2"/>
        </w:rPr>
        <w:t xml:space="preserve">violations of procedural statutes </w:t>
      </w:r>
      <w:r w:rsidR="007E7D52" w:rsidRPr="009F04E6">
        <w:rPr>
          <w:spacing w:val="-2"/>
        </w:rPr>
        <w:t>(</w:t>
      </w:r>
      <w:r w:rsidR="00DF4A51">
        <w:rPr>
          <w:spacing w:val="-2"/>
        </w:rPr>
        <w:t>§</w:t>
      </w:r>
      <w:r w:rsidR="007E7D52">
        <w:rPr>
          <w:spacing w:val="-2"/>
        </w:rPr>
        <w:t>§ 1049.5, 1050, subds. (b), (</w:t>
      </w:r>
      <w:proofErr w:type="spellStart"/>
      <w:r w:rsidR="007E7D52">
        <w:rPr>
          <w:spacing w:val="-2"/>
        </w:rPr>
        <w:t>i</w:t>
      </w:r>
      <w:proofErr w:type="spellEnd"/>
      <w:r w:rsidR="007E7D52">
        <w:rPr>
          <w:spacing w:val="-2"/>
        </w:rPr>
        <w:t xml:space="preserve">)) </w:t>
      </w:r>
      <w:r w:rsidR="00B94030">
        <w:rPr>
          <w:spacing w:val="-2"/>
        </w:rPr>
        <w:t xml:space="preserve">enacted to </w:t>
      </w:r>
      <w:r w:rsidR="133D8F7F">
        <w:t>promote the timely disposition of criminal cases</w:t>
      </w:r>
      <w:r w:rsidR="007E7D52">
        <w:rPr>
          <w:spacing w:val="-2"/>
        </w:rPr>
        <w:t xml:space="preserve">. These statutes </w:t>
      </w:r>
      <w:r w:rsidR="00F80FEB">
        <w:rPr>
          <w:spacing w:val="-2"/>
        </w:rPr>
        <w:t xml:space="preserve">permit the </w:t>
      </w:r>
      <w:r w:rsidR="38233926">
        <w:rPr>
          <w:spacing w:val="-2"/>
        </w:rPr>
        <w:t>continu</w:t>
      </w:r>
      <w:r w:rsidR="00F80FEB">
        <w:rPr>
          <w:spacing w:val="-2"/>
        </w:rPr>
        <w:t>anc</w:t>
      </w:r>
      <w:r w:rsidR="38233926">
        <w:rPr>
          <w:spacing w:val="-2"/>
        </w:rPr>
        <w:t>e</w:t>
      </w:r>
      <w:r w:rsidR="00F80FEB">
        <w:rPr>
          <w:spacing w:val="-2"/>
        </w:rPr>
        <w:t xml:space="preserve"> of</w:t>
      </w:r>
      <w:r w:rsidR="38233926">
        <w:rPr>
          <w:spacing w:val="-2"/>
        </w:rPr>
        <w:t xml:space="preserve"> felony trials </w:t>
      </w:r>
      <w:r w:rsidR="266DDF3E">
        <w:rPr>
          <w:spacing w:val="-2"/>
        </w:rPr>
        <w:t xml:space="preserve">beyond the statutory </w:t>
      </w:r>
      <w:r w:rsidR="00673A98">
        <w:rPr>
          <w:spacing w:val="-2"/>
        </w:rPr>
        <w:t>trial deadline</w:t>
      </w:r>
      <w:r w:rsidR="266DDF3E">
        <w:rPr>
          <w:spacing w:val="-2"/>
        </w:rPr>
        <w:t xml:space="preserve"> </w:t>
      </w:r>
      <w:r w:rsidR="38233926" w:rsidRPr="00E175E4">
        <w:rPr>
          <w:i/>
          <w:spacing w:val="-2"/>
        </w:rPr>
        <w:t xml:space="preserve">only </w:t>
      </w:r>
      <w:r w:rsidR="38233926">
        <w:rPr>
          <w:spacing w:val="-2"/>
        </w:rPr>
        <w:t>upon an evidentiary showing of the necessity of a continuance, and only for the period proven necessary</w:t>
      </w:r>
      <w:r w:rsidR="00F80FEB">
        <w:rPr>
          <w:spacing w:val="-2"/>
        </w:rPr>
        <w:t>.</w:t>
      </w:r>
      <w:r w:rsidR="38233926">
        <w:rPr>
          <w:spacing w:val="-2"/>
        </w:rPr>
        <w:t xml:space="preserve"> </w:t>
      </w:r>
      <w:r w:rsidR="001B1E32">
        <w:t>However</w:t>
      </w:r>
      <w:r w:rsidR="004D4E55">
        <w:t>, i</w:t>
      </w:r>
      <w:r w:rsidR="34EF4EC4">
        <w:t>nstead of</w:t>
      </w:r>
      <w:r w:rsidR="59185D39">
        <w:rPr>
          <w:spacing w:val="-2"/>
        </w:rPr>
        <w:t xml:space="preserve"> conducting genuine evidentiary hearings and making</w:t>
      </w:r>
      <w:r w:rsidR="4A94DA99">
        <w:t xml:space="preserve"> case-specific</w:t>
      </w:r>
      <w:r w:rsidR="59185D39">
        <w:rPr>
          <w:spacing w:val="-2"/>
        </w:rPr>
        <w:t xml:space="preserve"> factual findings </w:t>
      </w:r>
      <w:r w:rsidR="737A724F">
        <w:t xml:space="preserve">demonstrating good cause for a </w:t>
      </w:r>
      <w:r w:rsidR="737A724F">
        <w:lastRenderedPageBreak/>
        <w:t xml:space="preserve">continuance beyond the statutory </w:t>
      </w:r>
      <w:r w:rsidR="0084251A">
        <w:t>tria</w:t>
      </w:r>
      <w:r w:rsidR="00177AE8">
        <w:t>l deadline</w:t>
      </w:r>
      <w:r w:rsidR="59185D39">
        <w:rPr>
          <w:spacing w:val="-2"/>
        </w:rPr>
        <w:t xml:space="preserve">, as these </w:t>
      </w:r>
      <w:r w:rsidR="0040215F">
        <w:rPr>
          <w:spacing w:val="-2"/>
        </w:rPr>
        <w:t>provisions</w:t>
      </w:r>
      <w:r w:rsidR="515A1D50">
        <w:t xml:space="preserve"> require</w:t>
      </w:r>
      <w:r w:rsidR="59185D39">
        <w:rPr>
          <w:spacing w:val="-2"/>
        </w:rPr>
        <w:t>, j</w:t>
      </w:r>
      <w:r w:rsidR="38233926">
        <w:rPr>
          <w:spacing w:val="-2"/>
        </w:rPr>
        <w:t xml:space="preserve">udges </w:t>
      </w:r>
      <w:r w:rsidR="38233926" w:rsidRPr="00771D1F">
        <w:rPr>
          <w:spacing w:val="-2"/>
        </w:rPr>
        <w:t>routinely continu</w:t>
      </w:r>
      <w:r w:rsidR="00452C8A">
        <w:t>ed</w:t>
      </w:r>
      <w:r w:rsidR="38233926" w:rsidRPr="00771D1F">
        <w:rPr>
          <w:spacing w:val="-2"/>
        </w:rPr>
        <w:t xml:space="preserve"> felony trials </w:t>
      </w:r>
      <w:r w:rsidR="46A3492C">
        <w:rPr>
          <w:spacing w:val="-2"/>
        </w:rPr>
        <w:t xml:space="preserve">months </w:t>
      </w:r>
      <w:r w:rsidR="38233926">
        <w:rPr>
          <w:spacing w:val="-2"/>
        </w:rPr>
        <w:t xml:space="preserve">beyond </w:t>
      </w:r>
      <w:r w:rsidR="38233926" w:rsidRPr="00771D1F">
        <w:rPr>
          <w:spacing w:val="-2"/>
        </w:rPr>
        <w:t>the statutory deadline</w:t>
      </w:r>
      <w:r w:rsidR="40D618B9">
        <w:t xml:space="preserve"> </w:t>
      </w:r>
      <w:r w:rsidR="00966819">
        <w:t>based upon the</w:t>
      </w:r>
      <w:r w:rsidR="009F5AF6">
        <w:t xml:space="preserve"> court’s</w:t>
      </w:r>
      <w:r w:rsidR="00966819">
        <w:t xml:space="preserve"> </w:t>
      </w:r>
      <w:r w:rsidR="40D618B9">
        <w:t>recit</w:t>
      </w:r>
      <w:r w:rsidR="00657FC6">
        <w:t>ation of</w:t>
      </w:r>
      <w:r w:rsidR="40D618B9">
        <w:t xml:space="preserve"> a</w:t>
      </w:r>
      <w:r w:rsidR="38233926" w:rsidRPr="00771D1F">
        <w:rPr>
          <w:spacing w:val="-2"/>
        </w:rPr>
        <w:t xml:space="preserve"> generic</w:t>
      </w:r>
      <w:r w:rsidR="001D2362">
        <w:rPr>
          <w:spacing w:val="-2"/>
        </w:rPr>
        <w:t>, unsworn</w:t>
      </w:r>
      <w:r w:rsidR="38233926" w:rsidRPr="00771D1F">
        <w:rPr>
          <w:spacing w:val="-2"/>
        </w:rPr>
        <w:t xml:space="preserve"> “good cause” script</w:t>
      </w:r>
      <w:r w:rsidR="00E7192B">
        <w:rPr>
          <w:spacing w:val="-2"/>
        </w:rPr>
        <w:t>, by an anonymous author that defendants could not cross examine,</w:t>
      </w:r>
      <w:r w:rsidR="46A3492C">
        <w:rPr>
          <w:spacing w:val="-2"/>
        </w:rPr>
        <w:t xml:space="preserve"> </w:t>
      </w:r>
      <w:r w:rsidR="00644CD5">
        <w:rPr>
          <w:spacing w:val="-2"/>
        </w:rPr>
        <w:t>enumerating</w:t>
      </w:r>
      <w:r w:rsidR="55B16D0D">
        <w:rPr>
          <w:spacing w:val="-2"/>
        </w:rPr>
        <w:t xml:space="preserve"> “facts”</w:t>
      </w:r>
      <w:r w:rsidR="6618FDB5">
        <w:rPr>
          <w:spacing w:val="-2"/>
        </w:rPr>
        <w:t xml:space="preserve"> that </w:t>
      </w:r>
      <w:r w:rsidR="46A3492C">
        <w:rPr>
          <w:spacing w:val="-2"/>
        </w:rPr>
        <w:t>the parties</w:t>
      </w:r>
      <w:r w:rsidR="1EFD796F">
        <w:t xml:space="preserve"> </w:t>
      </w:r>
      <w:r w:rsidR="005843A6">
        <w:t>could not</w:t>
      </w:r>
      <w:r w:rsidR="46A3492C">
        <w:rPr>
          <w:spacing w:val="-2"/>
        </w:rPr>
        <w:t xml:space="preserve"> challenge</w:t>
      </w:r>
      <w:r w:rsidR="38233926" w:rsidRPr="00771D1F">
        <w:rPr>
          <w:spacing w:val="-2"/>
        </w:rPr>
        <w:t xml:space="preserve">. </w:t>
      </w:r>
    </w:p>
    <w:p w14:paraId="5045E0ED" w14:textId="512833C8" w:rsidR="0080647E" w:rsidRDefault="001B6997" w:rsidP="1D2EECFC">
      <w:pPr>
        <w:spacing w:line="360" w:lineRule="auto"/>
        <w:contextualSpacing/>
        <w:rPr>
          <w:rFonts w:cs="CenturySchoolbook"/>
        </w:rPr>
      </w:pPr>
      <w:r>
        <w:rPr>
          <w:spacing w:val="-2"/>
        </w:rPr>
        <w:tab/>
      </w:r>
      <w:r w:rsidR="7875B006">
        <w:t>Plaintiffs’</w:t>
      </w:r>
      <w:r w:rsidR="6674DF4C" w:rsidRPr="4B0E998B">
        <w:t xml:space="preserve"> taxpayer cause of action</w:t>
      </w:r>
      <w:r w:rsidR="7004484E">
        <w:t>,</w:t>
      </w:r>
      <w:r w:rsidR="6168C2F4">
        <w:t xml:space="preserve"> </w:t>
      </w:r>
      <w:r w:rsidR="006D5F8C">
        <w:t>based upon both</w:t>
      </w:r>
      <w:r w:rsidR="6674DF4C" w:rsidRPr="4B0E998B">
        <w:t xml:space="preserve"> </w:t>
      </w:r>
      <w:r w:rsidR="008E16C3">
        <w:t xml:space="preserve">Code of Civil Procedure </w:t>
      </w:r>
      <w:r w:rsidR="6674DF4C" w:rsidRPr="4B0E998B">
        <w:t>section 526a and the common law doctrine of taxpayer standing identified in</w:t>
      </w:r>
      <w:r w:rsidR="6674DF4C" w:rsidRPr="205F293E">
        <w:rPr>
          <w:rFonts w:cs="CenturySchoolbook"/>
          <w:i/>
          <w:iCs/>
        </w:rPr>
        <w:t xml:space="preserve"> Silver v. Los Angeles </w:t>
      </w:r>
      <w:r w:rsidR="6674DF4C" w:rsidRPr="4B0E998B">
        <w:rPr>
          <w:rFonts w:cs="CenturySchoolbook"/>
        </w:rPr>
        <w:t>(1961) 57 Cal.2d 39 (</w:t>
      </w:r>
      <w:r w:rsidR="6674DF4C" w:rsidRPr="205F293E">
        <w:rPr>
          <w:rFonts w:cs="CenturySchoolbook"/>
          <w:i/>
          <w:iCs/>
        </w:rPr>
        <w:t>Silver</w:t>
      </w:r>
      <w:r w:rsidR="6674DF4C" w:rsidRPr="4B0E998B">
        <w:rPr>
          <w:rFonts w:cs="CenturySchoolbook"/>
        </w:rPr>
        <w:t>)</w:t>
      </w:r>
      <w:r w:rsidR="65C990AA" w:rsidRPr="205F293E">
        <w:rPr>
          <w:rFonts w:cs="CenturySchoolbook"/>
        </w:rPr>
        <w:t>,</w:t>
      </w:r>
      <w:r w:rsidR="54FB692D" w:rsidRPr="4B0E998B">
        <w:rPr>
          <w:rFonts w:cs="CenturySchoolbook"/>
        </w:rPr>
        <w:t xml:space="preserve"> </w:t>
      </w:r>
      <w:r w:rsidR="6674DF4C" w:rsidRPr="4B0E998B">
        <w:rPr>
          <w:rFonts w:cs="CenturySchoolbook"/>
        </w:rPr>
        <w:t>allege</w:t>
      </w:r>
      <w:r w:rsidR="54FB692D">
        <w:rPr>
          <w:rFonts w:cs="CenturySchoolbook"/>
        </w:rPr>
        <w:t>s</w:t>
      </w:r>
      <w:r w:rsidR="6674DF4C" w:rsidRPr="4B0E998B">
        <w:rPr>
          <w:rFonts w:cs="CenturySchoolbook"/>
        </w:rPr>
        <w:t xml:space="preserve"> defendants are “illegally expending, wasting and injuring public funds by performing their duties in violation of . . . sections 686(1), 1049.5 and 1050 [and the speedy trial clauses of the state and federal constitutions].” The failure to prioritize criminal cases caused the public to incur “increased security, staff and facility costs for multiple pretrial court appearances,” increased pretrial-incarceration costs, and “increased costs for the </w:t>
      </w:r>
      <w:r w:rsidR="00E20381">
        <w:rPr>
          <w:rFonts w:cs="CenturySchoolbook"/>
        </w:rPr>
        <w:t>p</w:t>
      </w:r>
      <w:r w:rsidR="6674DF4C" w:rsidRPr="4B0E998B">
        <w:rPr>
          <w:rFonts w:cs="CenturySchoolbook"/>
        </w:rPr>
        <w:t xml:space="preserve">ublic </w:t>
      </w:r>
      <w:r w:rsidR="00E20381">
        <w:rPr>
          <w:rFonts w:cs="CenturySchoolbook"/>
        </w:rPr>
        <w:t>d</w:t>
      </w:r>
      <w:r w:rsidR="6674DF4C" w:rsidRPr="4B0E998B">
        <w:rPr>
          <w:rFonts w:cs="CenturySchoolbook"/>
        </w:rPr>
        <w:t xml:space="preserve">efender, </w:t>
      </w:r>
      <w:r w:rsidR="00E20381">
        <w:rPr>
          <w:rFonts w:cs="CenturySchoolbook"/>
        </w:rPr>
        <w:t>d</w:t>
      </w:r>
      <w:r w:rsidR="6674DF4C" w:rsidRPr="4B0E998B">
        <w:rPr>
          <w:rFonts w:cs="CenturySchoolbook"/>
        </w:rPr>
        <w:t xml:space="preserve">istrict </w:t>
      </w:r>
      <w:r w:rsidR="00E20381">
        <w:rPr>
          <w:rFonts w:cs="CenturySchoolbook"/>
        </w:rPr>
        <w:t>a</w:t>
      </w:r>
      <w:r w:rsidR="6674DF4C" w:rsidRPr="4B0E998B">
        <w:rPr>
          <w:rFonts w:cs="CenturySchoolbook"/>
        </w:rPr>
        <w:t>ttorney, and witnesses employed by [public] agencies.”</w:t>
      </w:r>
      <w:r>
        <w:rPr>
          <w:rStyle w:val="FootnoteReference"/>
        </w:rPr>
        <w:footnoteReference w:id="7"/>
      </w:r>
    </w:p>
    <w:p w14:paraId="23D2CCC6" w14:textId="41AF30B0" w:rsidR="0080647E" w:rsidRPr="00341CFB" w:rsidRDefault="001B6997" w:rsidP="00256028">
      <w:pPr>
        <w:spacing w:line="360" w:lineRule="auto"/>
        <w:contextualSpacing/>
        <w:rPr>
          <w:rFonts w:cs="CenturySchoolbook"/>
        </w:rPr>
      </w:pPr>
      <w:r>
        <w:rPr>
          <w:rFonts w:cs="CenturySchoolbook"/>
          <w:szCs w:val="25"/>
        </w:rPr>
        <w:tab/>
      </w:r>
      <w:r w:rsidR="6FE7AE09" w:rsidRPr="43CBD6DA">
        <w:rPr>
          <w:rFonts w:cs="CenturySchoolbook"/>
        </w:rPr>
        <w:t xml:space="preserve">In addition to </w:t>
      </w:r>
      <w:r w:rsidR="13BC4BBE" w:rsidRPr="43CBD6DA">
        <w:rPr>
          <w:rFonts w:cs="CenturySchoolbook"/>
        </w:rPr>
        <w:t xml:space="preserve">seeking </w:t>
      </w:r>
      <w:r w:rsidR="19109EC5" w:rsidRPr="3DE41553">
        <w:rPr>
          <w:rFonts w:cs="CenturySchoolbook"/>
        </w:rPr>
        <w:t>the (now abandoned)</w:t>
      </w:r>
      <w:r w:rsidR="6FE7AE09" w:rsidRPr="43CBD6DA">
        <w:rPr>
          <w:rFonts w:cs="CenturySchoolbook"/>
        </w:rPr>
        <w:t xml:space="preserve"> writ of mandate</w:t>
      </w:r>
      <w:r w:rsidR="4C79FAF4" w:rsidRPr="43CBD6DA">
        <w:rPr>
          <w:rFonts w:cs="CenturySchoolbook"/>
        </w:rPr>
        <w:t xml:space="preserve">, </w:t>
      </w:r>
      <w:r w:rsidR="1D378035" w:rsidRPr="43CBD6DA">
        <w:rPr>
          <w:rFonts w:cs="CenturySchoolbook"/>
        </w:rPr>
        <w:t>plaintiffs</w:t>
      </w:r>
      <w:r w:rsidR="6704BBAB" w:rsidRPr="43CBD6DA">
        <w:rPr>
          <w:rFonts w:cs="CenturySchoolbook"/>
        </w:rPr>
        <w:t xml:space="preserve"> </w:t>
      </w:r>
      <w:r w:rsidR="13BC4BBE" w:rsidRPr="43CBD6DA">
        <w:rPr>
          <w:rFonts w:cs="CenturySchoolbook"/>
        </w:rPr>
        <w:t>demand</w:t>
      </w:r>
      <w:r w:rsidR="6704BBAB" w:rsidRPr="43CBD6DA">
        <w:rPr>
          <w:rFonts w:cs="CenturySchoolbook"/>
        </w:rPr>
        <w:t xml:space="preserve"> a permanent injunction requiring all defendants to</w:t>
      </w:r>
      <w:r w:rsidR="241BFB02" w:rsidRPr="43CBD6DA">
        <w:rPr>
          <w:rFonts w:cs="CenturySchoolbook"/>
        </w:rPr>
        <w:t>,</w:t>
      </w:r>
      <w:r w:rsidR="6704BBAB" w:rsidRPr="43CBD6DA">
        <w:rPr>
          <w:rFonts w:cs="CenturySchoolbook"/>
        </w:rPr>
        <w:t xml:space="preserve"> </w:t>
      </w:r>
      <w:r w:rsidR="11F23011" w:rsidRPr="3DE41553">
        <w:rPr>
          <w:rFonts w:cs="CenturySchoolbook"/>
        </w:rPr>
        <w:t xml:space="preserve">inter alia, </w:t>
      </w:r>
      <w:r w:rsidR="7C3973C8" w:rsidRPr="3DE41553">
        <w:rPr>
          <w:rFonts w:cs="CenturySchoolbook"/>
        </w:rPr>
        <w:t xml:space="preserve">give </w:t>
      </w:r>
      <w:r w:rsidR="11F23011" w:rsidRPr="3DE41553">
        <w:rPr>
          <w:rFonts w:cs="CenturySchoolbook"/>
        </w:rPr>
        <w:t>criminal trials</w:t>
      </w:r>
      <w:r w:rsidR="5918444B" w:rsidRPr="3DE41553">
        <w:rPr>
          <w:rFonts w:cs="CenturySchoolbook"/>
        </w:rPr>
        <w:t xml:space="preserve"> priority over non-specialized civil matters</w:t>
      </w:r>
      <w:r w:rsidR="00164720">
        <w:rPr>
          <w:rFonts w:cs="CenturySchoolbook"/>
        </w:rPr>
        <w:t>,</w:t>
      </w:r>
      <w:r>
        <w:rPr>
          <w:rStyle w:val="FootnoteReference"/>
          <w:rFonts w:cs="CenturySchoolbook"/>
        </w:rPr>
        <w:footnoteReference w:id="8"/>
      </w:r>
      <w:r w:rsidR="5B651435" w:rsidRPr="3DE41553">
        <w:rPr>
          <w:rFonts w:cs="CenturySchoolbook"/>
        </w:rPr>
        <w:t xml:space="preserve"> </w:t>
      </w:r>
      <w:r w:rsidR="5918444B" w:rsidRPr="3DE41553">
        <w:rPr>
          <w:rFonts w:cs="CenturySchoolbook"/>
        </w:rPr>
        <w:t xml:space="preserve">to set them without regard </w:t>
      </w:r>
      <w:r w:rsidR="11F23011" w:rsidRPr="3DE41553">
        <w:rPr>
          <w:rFonts w:cs="CenturySchoolbook"/>
        </w:rPr>
        <w:t>to the</w:t>
      </w:r>
      <w:r w:rsidR="337DC5A0" w:rsidRPr="3DE41553">
        <w:rPr>
          <w:rFonts w:cs="CenturySchoolbook"/>
        </w:rPr>
        <w:t xml:space="preserve"> pendency of such civil matters</w:t>
      </w:r>
      <w:r w:rsidR="31077D5D" w:rsidRPr="3DE41553">
        <w:rPr>
          <w:rFonts w:cs="CenturySchoolbook"/>
        </w:rPr>
        <w:t>,</w:t>
      </w:r>
      <w:r w:rsidR="337DC5A0" w:rsidRPr="3DE41553">
        <w:rPr>
          <w:rFonts w:cs="CenturySchoolbook"/>
        </w:rPr>
        <w:t xml:space="preserve"> to make all non-specialized</w:t>
      </w:r>
      <w:r w:rsidR="11F23011" w:rsidRPr="3DE41553">
        <w:rPr>
          <w:rFonts w:cs="CenturySchoolbook"/>
        </w:rPr>
        <w:t xml:space="preserve"> </w:t>
      </w:r>
      <w:r w:rsidR="2AE7AD54" w:rsidRPr="3DE41553">
        <w:rPr>
          <w:rFonts w:cs="CenturySchoolbook"/>
        </w:rPr>
        <w:t>civil courtrooms in Civic Center available for criminal trials</w:t>
      </w:r>
      <w:r w:rsidR="6587073B" w:rsidRPr="3DE41553">
        <w:rPr>
          <w:rFonts w:cs="CenturySchoolbook"/>
        </w:rPr>
        <w:t xml:space="preserve">, and </w:t>
      </w:r>
      <w:r w:rsidR="6587073B" w:rsidRPr="3DE41553">
        <w:rPr>
          <w:rFonts w:cs="CenturySchoolbook"/>
        </w:rPr>
        <w:lastRenderedPageBreak/>
        <w:t>to implement a plan to remediate the backlog</w:t>
      </w:r>
      <w:r w:rsidR="2AE7AD54" w:rsidRPr="3DE41553">
        <w:rPr>
          <w:rFonts w:cs="CenturySchoolbook"/>
        </w:rPr>
        <w:t>.</w:t>
      </w:r>
      <w:r>
        <w:rPr>
          <w:rStyle w:val="FootnoteReference"/>
          <w:rFonts w:cs="CenturySchoolbook"/>
        </w:rPr>
        <w:footnoteReference w:id="9"/>
      </w:r>
      <w:r w:rsidR="2AE7AD54" w:rsidRPr="3DE41553">
        <w:rPr>
          <w:rFonts w:cs="CenturySchoolbook"/>
        </w:rPr>
        <w:t xml:space="preserve"> </w:t>
      </w:r>
      <w:r w:rsidR="005E7FA6">
        <w:rPr>
          <w:rFonts w:cs="CenturySchoolbook"/>
        </w:rPr>
        <w:t>They</w:t>
      </w:r>
      <w:r w:rsidR="35A0C228" w:rsidRPr="3DE41553">
        <w:rPr>
          <w:rFonts w:cs="CenturySchoolbook"/>
        </w:rPr>
        <w:t xml:space="preserve"> also seek </w:t>
      </w:r>
      <w:r w:rsidR="6704BBAB" w:rsidRPr="43CBD6DA">
        <w:rPr>
          <w:rFonts w:cs="CenturySchoolbook"/>
        </w:rPr>
        <w:t xml:space="preserve">a declaration that </w:t>
      </w:r>
      <w:r w:rsidR="571E0CB3" w:rsidRPr="43CBD6DA">
        <w:rPr>
          <w:rFonts w:cs="CenturySchoolbook"/>
        </w:rPr>
        <w:t xml:space="preserve">defendants’ </w:t>
      </w:r>
      <w:r w:rsidR="6704BBAB" w:rsidRPr="43CBD6DA">
        <w:rPr>
          <w:rFonts w:cs="CenturySchoolbook"/>
        </w:rPr>
        <w:t xml:space="preserve">conduct violates the cited statutes and constitutional provisions, which “require </w:t>
      </w:r>
      <w:r w:rsidR="594EE05A" w:rsidRPr="43CBD6DA">
        <w:rPr>
          <w:rFonts w:cs="CenturySchoolbook"/>
        </w:rPr>
        <w:t xml:space="preserve">[defendants] </w:t>
      </w:r>
      <w:r w:rsidR="6704BBAB" w:rsidRPr="43CBD6DA">
        <w:rPr>
          <w:rFonts w:cs="CenturySchoolbook"/>
        </w:rPr>
        <w:t>to act as set forth above</w:t>
      </w:r>
      <w:r w:rsidR="7CC6AD4F" w:rsidRPr="4D0CF3EF">
        <w:rPr>
          <w:rFonts w:cs="CenturySchoolbook"/>
        </w:rPr>
        <w:t>.</w:t>
      </w:r>
      <w:r w:rsidR="6704BBAB" w:rsidRPr="43CBD6DA">
        <w:rPr>
          <w:rFonts w:cs="CenturySchoolbook"/>
        </w:rPr>
        <w:t>”</w:t>
      </w:r>
      <w:r w:rsidR="005764CD" w:rsidRPr="43CBD6DA">
        <w:rPr>
          <w:rFonts w:cs="CenturySchoolbook"/>
        </w:rPr>
        <w:t xml:space="preserve"> </w:t>
      </w:r>
      <w:r w:rsidR="00367659">
        <w:rPr>
          <w:rFonts w:cs="CenturySchoolbook"/>
        </w:rPr>
        <w:t>Plaintiffs</w:t>
      </w:r>
      <w:r w:rsidR="005764CD">
        <w:rPr>
          <w:rFonts w:cs="CenturySchoolbook"/>
        </w:rPr>
        <w:t>, however,</w:t>
      </w:r>
      <w:r w:rsidR="6704BBAB" w:rsidRPr="43CBD6DA">
        <w:rPr>
          <w:rFonts w:cs="CenturySchoolbook"/>
        </w:rPr>
        <w:t xml:space="preserve"> “do not challenge or seek to remedy any order in any </w:t>
      </w:r>
      <w:proofErr w:type="gramStart"/>
      <w:r w:rsidR="6704BBAB" w:rsidRPr="43CBD6DA">
        <w:rPr>
          <w:rFonts w:cs="CenturySchoolbook"/>
        </w:rPr>
        <w:t>particular criminal</w:t>
      </w:r>
      <w:proofErr w:type="gramEnd"/>
      <w:r w:rsidR="6704BBAB" w:rsidRPr="43CBD6DA">
        <w:rPr>
          <w:rFonts w:cs="CenturySchoolbook"/>
        </w:rPr>
        <w:t xml:space="preserve"> case. Nor do they seek dismissal of any case.” </w:t>
      </w:r>
    </w:p>
    <w:p w14:paraId="69069840" w14:textId="0A89C42C" w:rsidR="0080647E" w:rsidRDefault="001B6997" w:rsidP="003F5F13">
      <w:pPr>
        <w:autoSpaceDE w:val="0"/>
        <w:autoSpaceDN w:val="0"/>
        <w:adjustRightInd w:val="0"/>
        <w:spacing w:line="360" w:lineRule="auto"/>
        <w:contextualSpacing/>
        <w:rPr>
          <w:rFonts w:cs="Arial"/>
          <w:color w:val="555555"/>
        </w:rPr>
      </w:pPr>
      <w:r>
        <w:rPr>
          <w:spacing w:val="-2"/>
        </w:rPr>
        <w:tab/>
      </w:r>
      <w:r w:rsidR="7CC6AD4F">
        <w:rPr>
          <w:spacing w:val="-2"/>
        </w:rPr>
        <w:t>Defendants demurred</w:t>
      </w:r>
      <w:r w:rsidR="75828597">
        <w:rPr>
          <w:spacing w:val="-2"/>
        </w:rPr>
        <w:t>,</w:t>
      </w:r>
      <w:r w:rsidR="00766A7B">
        <w:rPr>
          <w:spacing w:val="-2"/>
        </w:rPr>
        <w:t xml:space="preserve"> </w:t>
      </w:r>
      <w:r w:rsidR="7CC6AD4F">
        <w:rPr>
          <w:spacing w:val="-2"/>
        </w:rPr>
        <w:t>contend</w:t>
      </w:r>
      <w:r w:rsidR="3464041F">
        <w:rPr>
          <w:spacing w:val="-2"/>
        </w:rPr>
        <w:t>ing</w:t>
      </w:r>
      <w:r w:rsidR="6D5CEF18">
        <w:rPr>
          <w:spacing w:val="-2"/>
        </w:rPr>
        <w:t>,</w:t>
      </w:r>
      <w:r w:rsidR="7CC6AD4F">
        <w:rPr>
          <w:spacing w:val="-2"/>
        </w:rPr>
        <w:t xml:space="preserve"> among other things</w:t>
      </w:r>
      <w:r w:rsidR="6D5CEF18">
        <w:rPr>
          <w:spacing w:val="-2"/>
        </w:rPr>
        <w:t>,</w:t>
      </w:r>
      <w:r w:rsidR="7CC6AD4F">
        <w:rPr>
          <w:spacing w:val="-2"/>
        </w:rPr>
        <w:t xml:space="preserve"> that plaintiffs lack taxpayer standing because they </w:t>
      </w:r>
      <w:r w:rsidR="009803DD">
        <w:rPr>
          <w:spacing w:val="-2"/>
        </w:rPr>
        <w:t xml:space="preserve">are </w:t>
      </w:r>
      <w:r w:rsidR="7CC6AD4F">
        <w:rPr>
          <w:spacing w:val="-2"/>
        </w:rPr>
        <w:t>not criminal defendants, who can assert their own speedy trial rights in their own cases</w:t>
      </w:r>
      <w:r w:rsidR="7CC6AD4F">
        <w:rPr>
          <w:rFonts w:cs="Times New Roman"/>
        </w:rPr>
        <w:t xml:space="preserve">. Defendants also purported to demur to </w:t>
      </w:r>
      <w:r w:rsidR="028DE30D">
        <w:rPr>
          <w:rFonts w:cs="Times New Roman"/>
        </w:rPr>
        <w:t xml:space="preserve">plaintiffs’ </w:t>
      </w:r>
      <w:r w:rsidR="000C30A9">
        <w:rPr>
          <w:rFonts w:cs="Times New Roman"/>
        </w:rPr>
        <w:t>requests for i</w:t>
      </w:r>
      <w:r w:rsidR="7CC6AD4F">
        <w:rPr>
          <w:rFonts w:cs="Times New Roman"/>
        </w:rPr>
        <w:t xml:space="preserve">njunctive </w:t>
      </w:r>
      <w:r w:rsidR="000C30A9">
        <w:rPr>
          <w:rFonts w:cs="Times New Roman"/>
        </w:rPr>
        <w:t xml:space="preserve">and declaratory </w:t>
      </w:r>
      <w:r w:rsidR="7CC6AD4F">
        <w:rPr>
          <w:rFonts w:cs="Times New Roman"/>
        </w:rPr>
        <w:t>relief</w:t>
      </w:r>
      <w:r w:rsidR="59D07DF3">
        <w:rPr>
          <w:rFonts w:cs="Times New Roman"/>
        </w:rPr>
        <w:t>.</w:t>
      </w:r>
      <w:r w:rsidR="7CC6AD4F">
        <w:rPr>
          <w:rFonts w:cs="Times New Roman"/>
        </w:rPr>
        <w:t xml:space="preserve"> </w:t>
      </w:r>
      <w:r w:rsidR="2B2D1BB7">
        <w:rPr>
          <w:rFonts w:cs="Times New Roman"/>
        </w:rPr>
        <w:t>Finally,</w:t>
      </w:r>
      <w:r w:rsidRPr="205F293E">
        <w:rPr>
          <w:rFonts w:cs="Times New Roman"/>
        </w:rPr>
        <w:t xml:space="preserve"> </w:t>
      </w:r>
      <w:r w:rsidR="7F5CA344">
        <w:rPr>
          <w:rFonts w:cs="Times New Roman"/>
        </w:rPr>
        <w:t xml:space="preserve">they </w:t>
      </w:r>
      <w:r w:rsidR="39AD64E3">
        <w:rPr>
          <w:rFonts w:cs="Times New Roman"/>
        </w:rPr>
        <w:t xml:space="preserve">argued </w:t>
      </w:r>
      <w:r w:rsidR="7CC6AD4F">
        <w:rPr>
          <w:rFonts w:cs="Times New Roman"/>
        </w:rPr>
        <w:t>that</w:t>
      </w:r>
      <w:r w:rsidR="7E0FA5B5">
        <w:rPr>
          <w:rFonts w:cs="Times New Roman"/>
        </w:rPr>
        <w:t xml:space="preserve"> </w:t>
      </w:r>
      <w:r w:rsidR="2B2D1BB7">
        <w:rPr>
          <w:rFonts w:cs="Times New Roman"/>
        </w:rPr>
        <w:t>plaintiffs</w:t>
      </w:r>
      <w:r w:rsidR="5D42719F">
        <w:rPr>
          <w:rFonts w:cs="Times New Roman"/>
        </w:rPr>
        <w:t>’</w:t>
      </w:r>
      <w:r w:rsidR="1C630F68">
        <w:rPr>
          <w:rFonts w:cs="Times New Roman"/>
        </w:rPr>
        <w:t xml:space="preserve"> decision to </w:t>
      </w:r>
      <w:r w:rsidR="4B3283E1">
        <w:rPr>
          <w:rFonts w:cs="Times New Roman"/>
        </w:rPr>
        <w:t>forgo a r</w:t>
      </w:r>
      <w:r w:rsidR="2B2D1BB7">
        <w:rPr>
          <w:rFonts w:cs="Times New Roman"/>
        </w:rPr>
        <w:t xml:space="preserve">emedy </w:t>
      </w:r>
      <w:r w:rsidR="3EF8F326">
        <w:rPr>
          <w:rFonts w:cs="Times New Roman"/>
        </w:rPr>
        <w:t>in</w:t>
      </w:r>
      <w:r w:rsidR="2B2D1BB7">
        <w:rPr>
          <w:rFonts w:cs="Times New Roman"/>
        </w:rPr>
        <w:t xml:space="preserve"> a</w:t>
      </w:r>
      <w:r w:rsidR="3EF8F326">
        <w:rPr>
          <w:rFonts w:cs="Times New Roman"/>
        </w:rPr>
        <w:t>ny</w:t>
      </w:r>
      <w:r w:rsidR="2B2D1BB7">
        <w:rPr>
          <w:rFonts w:cs="Times New Roman"/>
        </w:rPr>
        <w:t xml:space="preserve"> pending</w:t>
      </w:r>
      <w:r w:rsidR="39AD64E3">
        <w:rPr>
          <w:rFonts w:cs="Times New Roman"/>
        </w:rPr>
        <w:t xml:space="preserve"> (crim</w:t>
      </w:r>
      <w:r w:rsidR="1A167DB3">
        <w:rPr>
          <w:rFonts w:cs="Times New Roman"/>
        </w:rPr>
        <w:t>in</w:t>
      </w:r>
      <w:r w:rsidR="39AD64E3">
        <w:rPr>
          <w:rFonts w:cs="Times New Roman"/>
        </w:rPr>
        <w:t xml:space="preserve">al) </w:t>
      </w:r>
      <w:r w:rsidR="2B2D1BB7">
        <w:rPr>
          <w:rFonts w:cs="Times New Roman"/>
        </w:rPr>
        <w:t>case</w:t>
      </w:r>
      <w:r w:rsidR="1C630F68">
        <w:rPr>
          <w:rFonts w:cs="Times New Roman"/>
        </w:rPr>
        <w:t xml:space="preserve"> </w:t>
      </w:r>
      <w:r w:rsidR="1EF0F3D0">
        <w:rPr>
          <w:rFonts w:cs="Times New Roman"/>
        </w:rPr>
        <w:t>divests this case of any</w:t>
      </w:r>
      <w:r w:rsidR="2B2D1BB7">
        <w:rPr>
          <w:rFonts w:cs="Times New Roman"/>
        </w:rPr>
        <w:t xml:space="preserve"> </w:t>
      </w:r>
      <w:r w:rsidR="1EF0F3D0">
        <w:rPr>
          <w:rFonts w:cs="Times New Roman"/>
        </w:rPr>
        <w:t>“</w:t>
      </w:r>
      <w:r w:rsidR="7CC6AD4F">
        <w:rPr>
          <w:rFonts w:cs="Times New Roman"/>
        </w:rPr>
        <w:t>present controversy</w:t>
      </w:r>
      <w:r w:rsidR="1EF0F3D0">
        <w:rPr>
          <w:rFonts w:cs="Times New Roman"/>
        </w:rPr>
        <w:t>”</w:t>
      </w:r>
      <w:r w:rsidR="39AD64E3">
        <w:rPr>
          <w:rFonts w:cs="Times New Roman"/>
        </w:rPr>
        <w:t xml:space="preserve"> and</w:t>
      </w:r>
      <w:r w:rsidR="1EF0F3D0">
        <w:rPr>
          <w:rFonts w:cs="Times New Roman"/>
        </w:rPr>
        <w:t>,</w:t>
      </w:r>
      <w:r w:rsidR="39AD64E3">
        <w:rPr>
          <w:rFonts w:cs="Times New Roman"/>
        </w:rPr>
        <w:t xml:space="preserve"> thus</w:t>
      </w:r>
      <w:r w:rsidR="1EF0F3D0">
        <w:rPr>
          <w:rFonts w:cs="Times New Roman"/>
        </w:rPr>
        <w:t>, any</w:t>
      </w:r>
      <w:r w:rsidR="39AD64E3">
        <w:rPr>
          <w:rFonts w:cs="Times New Roman"/>
        </w:rPr>
        <w:t xml:space="preserve"> basis for declaratory relief</w:t>
      </w:r>
      <w:r w:rsidR="7CC6AD4F">
        <w:rPr>
          <w:rFonts w:cs="Times New Roman"/>
        </w:rPr>
        <w:t xml:space="preserve">. </w:t>
      </w:r>
    </w:p>
    <w:p w14:paraId="07847970" w14:textId="3D51EC48" w:rsidR="0080647E" w:rsidRDefault="001B6997" w:rsidP="205F293E">
      <w:pPr>
        <w:autoSpaceDE w:val="0"/>
        <w:autoSpaceDN w:val="0"/>
        <w:adjustRightInd w:val="0"/>
        <w:spacing w:line="360" w:lineRule="auto"/>
        <w:contextualSpacing/>
        <w:rPr>
          <w:rFonts w:cs="Times New Roman"/>
        </w:rPr>
      </w:pPr>
      <w:r>
        <w:rPr>
          <w:rFonts w:cs="Arial"/>
          <w:color w:val="555555"/>
        </w:rPr>
        <w:tab/>
      </w:r>
      <w:r w:rsidR="6674DF4C" w:rsidRPr="00AA4157">
        <w:rPr>
          <w:rFonts w:cs="Times New Roman"/>
        </w:rPr>
        <w:t>The trial court</w:t>
      </w:r>
      <w:r>
        <w:rPr>
          <w:rStyle w:val="FootnoteReference"/>
          <w:rFonts w:cs="Arial"/>
          <w:color w:val="555555"/>
        </w:rPr>
        <w:footnoteReference w:id="10"/>
      </w:r>
      <w:r w:rsidR="6674DF4C">
        <w:rPr>
          <w:rFonts w:cs="Arial"/>
          <w:color w:val="555555"/>
        </w:rPr>
        <w:t xml:space="preserve"> </w:t>
      </w:r>
      <w:r w:rsidR="6674DF4C" w:rsidRPr="00AA4157">
        <w:rPr>
          <w:rFonts w:cs="Times New Roman"/>
        </w:rPr>
        <w:t>sustained the demurrer without leave to amend.</w:t>
      </w:r>
      <w:r w:rsidR="3228FED5">
        <w:rPr>
          <w:rFonts w:cs="Times New Roman"/>
        </w:rPr>
        <w:t xml:space="preserve"> </w:t>
      </w:r>
      <w:r w:rsidR="6674DF4C" w:rsidRPr="00AA4157">
        <w:rPr>
          <w:rFonts w:cs="Times New Roman"/>
        </w:rPr>
        <w:t>Citing precedents</w:t>
      </w:r>
      <w:r w:rsidR="6674DF4C">
        <w:rPr>
          <w:rFonts w:cs="Arial"/>
          <w:color w:val="555555"/>
        </w:rPr>
        <w:t xml:space="preserve"> </w:t>
      </w:r>
      <w:r w:rsidR="6674DF4C" w:rsidRPr="00AA4157">
        <w:rPr>
          <w:rFonts w:cs="Times New Roman"/>
        </w:rPr>
        <w:t xml:space="preserve">holding that one superior court cannot direct a writ </w:t>
      </w:r>
      <w:r w:rsidR="54A08CF8">
        <w:rPr>
          <w:rFonts w:cs="Times New Roman"/>
        </w:rPr>
        <w:t xml:space="preserve">of mandamus </w:t>
      </w:r>
      <w:r w:rsidR="6674DF4C" w:rsidRPr="00AA4157">
        <w:rPr>
          <w:rFonts w:cs="Times New Roman"/>
        </w:rPr>
        <w:t>to another such court (or itself)</w:t>
      </w:r>
      <w:r w:rsidR="00EC1B33">
        <w:rPr>
          <w:rFonts w:cs="Times New Roman"/>
        </w:rPr>
        <w:t>,</w:t>
      </w:r>
      <w:r>
        <w:rPr>
          <w:rStyle w:val="FootnoteReference"/>
          <w:rFonts w:cs="Arial"/>
          <w:color w:val="555555"/>
        </w:rPr>
        <w:footnoteReference w:id="11"/>
      </w:r>
      <w:r w:rsidR="6674DF4C" w:rsidRPr="00AA4157">
        <w:rPr>
          <w:rFonts w:cs="Times New Roman"/>
        </w:rPr>
        <w:t xml:space="preserve"> the trial court ruled that plaintiffs could seek mandamus relief only in the court of appeal.</w:t>
      </w:r>
      <w:r>
        <w:rPr>
          <w:rStyle w:val="FootnoteReference"/>
          <w:rFonts w:cs="Arial"/>
          <w:color w:val="555555"/>
        </w:rPr>
        <w:footnoteReference w:id="12"/>
      </w:r>
      <w:r w:rsidR="6674DF4C" w:rsidRPr="00AA4157">
        <w:rPr>
          <w:rFonts w:cs="Times New Roman"/>
        </w:rPr>
        <w:t xml:space="preserve"> Then,</w:t>
      </w:r>
      <w:r w:rsidRPr="205F293E">
        <w:rPr>
          <w:rFonts w:cs="Times New Roman"/>
        </w:rPr>
        <w:t xml:space="preserve"> </w:t>
      </w:r>
      <w:r w:rsidR="4FE1864E">
        <w:rPr>
          <w:rFonts w:cs="Times New Roman"/>
        </w:rPr>
        <w:t xml:space="preserve">it extended </w:t>
      </w:r>
      <w:r w:rsidR="11318199">
        <w:rPr>
          <w:rFonts w:cs="Times New Roman"/>
        </w:rPr>
        <w:t xml:space="preserve">those </w:t>
      </w:r>
      <w:r w:rsidR="11318199">
        <w:rPr>
          <w:rFonts w:cs="Times New Roman"/>
        </w:rPr>
        <w:lastRenderedPageBreak/>
        <w:t>same</w:t>
      </w:r>
      <w:r w:rsidR="6674DF4C" w:rsidRPr="00AA4157">
        <w:rPr>
          <w:rFonts w:cs="Times New Roman"/>
        </w:rPr>
        <w:t xml:space="preserve"> precedents</w:t>
      </w:r>
      <w:r w:rsidR="2291A2FA">
        <w:rPr>
          <w:rFonts w:cs="Times New Roman"/>
        </w:rPr>
        <w:t xml:space="preserve"> to the remaining claims, reasoning that they</w:t>
      </w:r>
      <w:r w:rsidR="6674DF4C" w:rsidRPr="00AA4157">
        <w:rPr>
          <w:rFonts w:cs="Times New Roman"/>
        </w:rPr>
        <w:t xml:space="preserve"> “do not merely apply in the context of a petition for writ of mandate . . . but hold that as a general matter, one superior court lacks the power to compel or restrain the actions of another superior court</w:t>
      </w:r>
      <w:r w:rsidR="5C734197">
        <w:rPr>
          <w:rFonts w:cs="Times New Roman"/>
        </w:rPr>
        <w:t>.</w:t>
      </w:r>
      <w:r w:rsidR="6674DF4C" w:rsidRPr="00AA4157">
        <w:rPr>
          <w:rFonts w:cs="Times New Roman"/>
        </w:rPr>
        <w:t>”</w:t>
      </w:r>
      <w:r w:rsidR="6674DF4C">
        <w:rPr>
          <w:rFonts w:cs="Times New Roman"/>
        </w:rPr>
        <w:t xml:space="preserve"> </w:t>
      </w:r>
      <w:r w:rsidR="17A33781">
        <w:rPr>
          <w:rFonts w:cs="Times New Roman"/>
        </w:rPr>
        <w:t>On that basis</w:t>
      </w:r>
      <w:r w:rsidR="00EB7D73">
        <w:rPr>
          <w:rFonts w:cs="Times New Roman"/>
        </w:rPr>
        <w:t xml:space="preserve"> alone</w:t>
      </w:r>
      <w:r w:rsidR="12EEA8CB">
        <w:rPr>
          <w:rFonts w:cs="Times New Roman"/>
        </w:rPr>
        <w:t>, the court concluded</w:t>
      </w:r>
      <w:r w:rsidR="38CE9E2D">
        <w:rPr>
          <w:rFonts w:cs="Times New Roman"/>
        </w:rPr>
        <w:t xml:space="preserve"> that its “</w:t>
      </w:r>
      <w:r w:rsidR="6674DF4C" w:rsidRPr="00BE715A">
        <w:rPr>
          <w:rFonts w:cs="Times New Roman"/>
        </w:rPr>
        <w:t xml:space="preserve">lack of authority to issue any relief directed at another superior court judge is fatal to </w:t>
      </w:r>
      <w:r w:rsidR="6674DF4C" w:rsidRPr="00CA0372">
        <w:rPr>
          <w:rFonts w:cs="Times New Roman"/>
          <w:i/>
        </w:rPr>
        <w:t>all</w:t>
      </w:r>
      <w:r w:rsidR="6674DF4C">
        <w:rPr>
          <w:rFonts w:cs="Times New Roman"/>
        </w:rPr>
        <w:t xml:space="preserve"> </w:t>
      </w:r>
      <w:r w:rsidR="6674DF4C" w:rsidRPr="00BE715A">
        <w:rPr>
          <w:rFonts w:cs="Times New Roman"/>
        </w:rPr>
        <w:t xml:space="preserve">of </w:t>
      </w:r>
      <w:r w:rsidR="6674DF4C">
        <w:rPr>
          <w:rFonts w:cs="Times New Roman"/>
        </w:rPr>
        <w:t>[plaintiffs’]</w:t>
      </w:r>
      <w:r w:rsidR="6674DF4C" w:rsidRPr="00BE715A">
        <w:rPr>
          <w:rFonts w:cs="Times New Roman"/>
        </w:rPr>
        <w:t xml:space="preserve"> </w:t>
      </w:r>
      <w:proofErr w:type="gramStart"/>
      <w:r w:rsidR="6674DF4C" w:rsidRPr="00BE715A">
        <w:rPr>
          <w:rFonts w:cs="Times New Roman"/>
        </w:rPr>
        <w:t>claims, and</w:t>
      </w:r>
      <w:proofErr w:type="gramEnd"/>
      <w:r w:rsidR="6674DF4C" w:rsidRPr="00BE715A">
        <w:rPr>
          <w:rFonts w:cs="Times New Roman"/>
        </w:rPr>
        <w:t xml:space="preserve"> cannot be remedied by any amendment</w:t>
      </w:r>
      <w:r w:rsidR="6674DF4C">
        <w:rPr>
          <w:rFonts w:cs="Times New Roman"/>
        </w:rPr>
        <w:t>.”</w:t>
      </w:r>
      <w:r w:rsidR="1DC9B36C">
        <w:rPr>
          <w:rFonts w:cs="Times New Roman"/>
        </w:rPr>
        <w:t xml:space="preserve"> (Italics added.)</w:t>
      </w:r>
      <w:r w:rsidR="6674DF4C">
        <w:rPr>
          <w:rFonts w:cs="Times New Roman"/>
        </w:rPr>
        <w:t xml:space="preserve"> </w:t>
      </w:r>
      <w:r w:rsidR="00D43AE0">
        <w:rPr>
          <w:rFonts w:cs="Times New Roman"/>
        </w:rPr>
        <w:t>T</w:t>
      </w:r>
      <w:r w:rsidR="6674DF4C">
        <w:rPr>
          <w:rFonts w:cs="Times New Roman"/>
        </w:rPr>
        <w:t xml:space="preserve">he court </w:t>
      </w:r>
      <w:r w:rsidR="00D43AE0">
        <w:rPr>
          <w:rFonts w:cs="Times New Roman"/>
        </w:rPr>
        <w:t>sustained the demurrer without leave to amend and</w:t>
      </w:r>
      <w:r w:rsidR="00AB53DF">
        <w:rPr>
          <w:rFonts w:cs="Times New Roman"/>
        </w:rPr>
        <w:t>,</w:t>
      </w:r>
      <w:r w:rsidR="00D43AE0">
        <w:rPr>
          <w:rFonts w:cs="Times New Roman"/>
        </w:rPr>
        <w:t xml:space="preserve"> </w:t>
      </w:r>
      <w:r w:rsidR="00850D4D">
        <w:rPr>
          <w:rFonts w:cs="Times New Roman"/>
        </w:rPr>
        <w:t xml:space="preserve">after </w:t>
      </w:r>
      <w:r w:rsidR="6674DF4C">
        <w:rPr>
          <w:rFonts w:cs="Times New Roman"/>
        </w:rPr>
        <w:t>ent</w:t>
      </w:r>
      <w:r w:rsidR="00850D4D">
        <w:rPr>
          <w:rFonts w:cs="Times New Roman"/>
        </w:rPr>
        <w:t>ry of</w:t>
      </w:r>
      <w:r w:rsidR="6674DF4C">
        <w:rPr>
          <w:rFonts w:cs="Times New Roman"/>
        </w:rPr>
        <w:t xml:space="preserve"> judgment, plaintiffs timely appealed.</w:t>
      </w:r>
    </w:p>
    <w:p w14:paraId="003382B3" w14:textId="45EAE53F" w:rsidR="0080647E" w:rsidRPr="00A35914" w:rsidRDefault="001B6997" w:rsidP="003F5F13">
      <w:pPr>
        <w:keepNext/>
        <w:spacing w:line="360" w:lineRule="auto"/>
        <w:contextualSpacing/>
        <w:jc w:val="center"/>
        <w:rPr>
          <w:b/>
        </w:rPr>
      </w:pPr>
      <w:r>
        <w:rPr>
          <w:b/>
        </w:rPr>
        <w:t>Standard of Review</w:t>
      </w:r>
    </w:p>
    <w:p w14:paraId="763E9552" w14:textId="52C6CB72" w:rsidR="0080647E" w:rsidRDefault="001B6997" w:rsidP="205F293E">
      <w:pPr>
        <w:autoSpaceDE w:val="0"/>
        <w:autoSpaceDN w:val="0"/>
        <w:adjustRightInd w:val="0"/>
        <w:spacing w:line="360" w:lineRule="auto"/>
        <w:contextualSpacing/>
        <w:rPr>
          <w:rFonts w:cs="Times New Roman"/>
        </w:rPr>
      </w:pPr>
      <w:r>
        <w:rPr>
          <w:rFonts w:cs="Times New Roman"/>
        </w:rPr>
        <w:tab/>
      </w:r>
      <w:r w:rsidR="6674DF4C">
        <w:rPr>
          <w:rFonts w:cs="Times New Roman"/>
        </w:rPr>
        <w:t>“</w:t>
      </w:r>
      <w:r w:rsidR="6674DF4C" w:rsidRPr="006840B6">
        <w:rPr>
          <w:rFonts w:cs="Times New Roman"/>
        </w:rPr>
        <w:t>We review de novo an order sustaining a</w:t>
      </w:r>
      <w:r w:rsidR="3A638626">
        <w:rPr>
          <w:rFonts w:cs="Times New Roman"/>
        </w:rPr>
        <w:t xml:space="preserve"> </w:t>
      </w:r>
      <w:r w:rsidR="6674DF4C" w:rsidRPr="006840B6">
        <w:rPr>
          <w:rFonts w:cs="Times New Roman"/>
        </w:rPr>
        <w:t>demurrer, assessing whether the complaint states a cause of action. (</w:t>
      </w:r>
      <w:r w:rsidR="6674DF4C" w:rsidRPr="205F293E">
        <w:rPr>
          <w:rFonts w:cs="Times New Roman"/>
          <w:i/>
          <w:iCs/>
        </w:rPr>
        <w:t>Minton v. Dignity Health</w:t>
      </w:r>
      <w:r w:rsidR="6674DF4C" w:rsidRPr="006840B6">
        <w:rPr>
          <w:rFonts w:cs="Times New Roman"/>
        </w:rPr>
        <w:t>,</w:t>
      </w:r>
      <w:r w:rsidR="3A638626">
        <w:rPr>
          <w:rFonts w:cs="Times New Roman"/>
        </w:rPr>
        <w:t xml:space="preserve"> </w:t>
      </w:r>
      <w:r w:rsidR="6674DF4C" w:rsidRPr="205F293E">
        <w:rPr>
          <w:rFonts w:cs="Times New Roman"/>
          <w:i/>
          <w:iCs/>
        </w:rPr>
        <w:t>supra</w:t>
      </w:r>
      <w:r w:rsidR="6674DF4C" w:rsidRPr="006840B6">
        <w:rPr>
          <w:rFonts w:cs="Times New Roman"/>
        </w:rPr>
        <w:t>, 39</w:t>
      </w:r>
      <w:r w:rsidR="0A4AB641">
        <w:rPr>
          <w:rFonts w:cs="Times New Roman"/>
        </w:rPr>
        <w:t> </w:t>
      </w:r>
      <w:r w:rsidR="6674DF4C" w:rsidRPr="006840B6">
        <w:rPr>
          <w:rFonts w:cs="Times New Roman"/>
        </w:rPr>
        <w:t>Cal.App.5th at p. 1161.) We accept all properly pleaded material facts, but not contentions, deductions, or conclusions of fact or law. (</w:t>
      </w:r>
      <w:r w:rsidR="6674DF4C" w:rsidRPr="205F293E">
        <w:rPr>
          <w:rFonts w:cs="Times New Roman"/>
          <w:i/>
          <w:iCs/>
        </w:rPr>
        <w:t>Ibid</w:t>
      </w:r>
      <w:r w:rsidR="6674DF4C" w:rsidRPr="006840B6">
        <w:rPr>
          <w:rFonts w:cs="Times New Roman"/>
        </w:rPr>
        <w:t xml:space="preserve">.) </w:t>
      </w:r>
      <w:r w:rsidR="6674DF4C">
        <w:rPr>
          <w:rFonts w:cs="Times New Roman"/>
        </w:rPr>
        <w:t>‘</w:t>
      </w:r>
      <w:r w:rsidR="6674DF4C" w:rsidRPr="006840B6">
        <w:rPr>
          <w:rFonts w:cs="Times New Roman"/>
        </w:rPr>
        <w:t>We affirm if any ground offered in support of the</w:t>
      </w:r>
      <w:r w:rsidR="0A4AB641">
        <w:rPr>
          <w:rFonts w:cs="Times New Roman"/>
        </w:rPr>
        <w:t xml:space="preserve"> </w:t>
      </w:r>
      <w:r w:rsidR="6674DF4C" w:rsidRPr="006840B6">
        <w:rPr>
          <w:rFonts w:cs="Times New Roman"/>
        </w:rPr>
        <w:t>demurrer</w:t>
      </w:r>
      <w:r w:rsidR="0A4AB641">
        <w:rPr>
          <w:rFonts w:cs="Times New Roman"/>
        </w:rPr>
        <w:t xml:space="preserve"> </w:t>
      </w:r>
      <w:r w:rsidR="6674DF4C" w:rsidRPr="006840B6">
        <w:rPr>
          <w:rFonts w:cs="Times New Roman"/>
        </w:rPr>
        <w:t>was well taken but find error if the plaintiff has stated a cause of action under any possible legal theory. [Citation.] We are not bound by the trial court</w:t>
      </w:r>
      <w:r w:rsidR="6674DF4C">
        <w:rPr>
          <w:rFonts w:cs="Times New Roman"/>
        </w:rPr>
        <w:t>’</w:t>
      </w:r>
      <w:r w:rsidR="6674DF4C" w:rsidRPr="006840B6">
        <w:rPr>
          <w:rFonts w:cs="Times New Roman"/>
        </w:rPr>
        <w:t xml:space="preserve">s stated reasons </w:t>
      </w:r>
      <w:proofErr w:type="gramStart"/>
      <w:r w:rsidR="6674DF4C">
        <w:rPr>
          <w:rFonts w:cs="Times New Roman"/>
        </w:rPr>
        <w:t>. . .</w:t>
      </w:r>
      <w:r w:rsidR="3A638626">
        <w:rPr>
          <w:rFonts w:cs="Times New Roman"/>
        </w:rPr>
        <w:t> </w:t>
      </w:r>
      <w:r w:rsidR="6674DF4C" w:rsidRPr="006840B6">
        <w:rPr>
          <w:rFonts w:cs="Times New Roman"/>
        </w:rPr>
        <w:t>;</w:t>
      </w:r>
      <w:proofErr w:type="gramEnd"/>
      <w:r w:rsidR="6674DF4C" w:rsidRPr="006840B6">
        <w:rPr>
          <w:rFonts w:cs="Times New Roman"/>
        </w:rPr>
        <w:t xml:space="preserve"> we review the ruling, not its rationale.</w:t>
      </w:r>
      <w:r w:rsidR="6674DF4C">
        <w:rPr>
          <w:rFonts w:cs="Times New Roman"/>
        </w:rPr>
        <w:t>’ ” (</w:t>
      </w:r>
      <w:r w:rsidR="6674DF4C" w:rsidRPr="205F293E">
        <w:rPr>
          <w:rFonts w:cs="Times New Roman"/>
          <w:i/>
          <w:iCs/>
        </w:rPr>
        <w:t>Amy</w:t>
      </w:r>
      <w:r w:rsidR="3A6B6C69" w:rsidRPr="205F293E">
        <w:rPr>
          <w:rFonts w:cs="Times New Roman"/>
          <w:i/>
          <w:iCs/>
        </w:rPr>
        <w:t>’</w:t>
      </w:r>
      <w:r w:rsidR="6674DF4C" w:rsidRPr="205F293E">
        <w:rPr>
          <w:rFonts w:cs="Times New Roman"/>
          <w:i/>
          <w:iCs/>
        </w:rPr>
        <w:t>s Kitchen, Inc. v. Fireman</w:t>
      </w:r>
      <w:r w:rsidR="3A6B6C69" w:rsidRPr="205F293E">
        <w:rPr>
          <w:rFonts w:cs="Times New Roman"/>
          <w:i/>
          <w:iCs/>
        </w:rPr>
        <w:t>’</w:t>
      </w:r>
      <w:r w:rsidR="6674DF4C" w:rsidRPr="205F293E">
        <w:rPr>
          <w:rFonts w:cs="Times New Roman"/>
          <w:i/>
          <w:iCs/>
        </w:rPr>
        <w:t>s Fund Ins. Co.</w:t>
      </w:r>
      <w:r w:rsidR="6674DF4C" w:rsidRPr="006840B6">
        <w:rPr>
          <w:rFonts w:cs="Times New Roman"/>
        </w:rPr>
        <w:t xml:space="preserve"> (2022) 83</w:t>
      </w:r>
      <w:r w:rsidR="6674DF4C">
        <w:rPr>
          <w:rFonts w:cs="Times New Roman"/>
        </w:rPr>
        <w:t> </w:t>
      </w:r>
      <w:r w:rsidR="6674DF4C" w:rsidRPr="006840B6">
        <w:rPr>
          <w:rFonts w:cs="Times New Roman"/>
        </w:rPr>
        <w:t>Cal.App.5th 1062, 1067</w:t>
      </w:r>
      <w:r w:rsidR="6674DF4C">
        <w:rPr>
          <w:rFonts w:cs="Times New Roman"/>
        </w:rPr>
        <w:t xml:space="preserve"> (</w:t>
      </w:r>
      <w:r w:rsidR="6674DF4C" w:rsidRPr="205F293E">
        <w:rPr>
          <w:rFonts w:cs="Times New Roman"/>
          <w:i/>
          <w:iCs/>
        </w:rPr>
        <w:t>Amy</w:t>
      </w:r>
      <w:r w:rsidR="3A6B6C69" w:rsidRPr="205F293E">
        <w:rPr>
          <w:rFonts w:cs="Times New Roman"/>
          <w:i/>
          <w:iCs/>
        </w:rPr>
        <w:t>’</w:t>
      </w:r>
      <w:r w:rsidR="6674DF4C" w:rsidRPr="205F293E">
        <w:rPr>
          <w:rFonts w:cs="Times New Roman"/>
          <w:i/>
          <w:iCs/>
        </w:rPr>
        <w:t>s Kitchen</w:t>
      </w:r>
      <w:r w:rsidR="6674DF4C">
        <w:rPr>
          <w:rFonts w:cs="Times New Roman"/>
        </w:rPr>
        <w:t>).)</w:t>
      </w:r>
      <w:r w:rsidR="66519449">
        <w:rPr>
          <w:rFonts w:cs="Times New Roman"/>
        </w:rPr>
        <w:t xml:space="preserve"> </w:t>
      </w:r>
    </w:p>
    <w:p w14:paraId="5329CBAB" w14:textId="3BC6CA1E" w:rsidR="0080647E" w:rsidRDefault="001B6997" w:rsidP="00A60054">
      <w:pPr>
        <w:autoSpaceDE w:val="0"/>
        <w:autoSpaceDN w:val="0"/>
        <w:adjustRightInd w:val="0"/>
        <w:spacing w:line="360" w:lineRule="auto"/>
        <w:ind w:firstLine="720"/>
        <w:contextualSpacing/>
        <w:rPr>
          <w:rFonts w:cs="Times New Roman"/>
        </w:rPr>
      </w:pPr>
      <w:r w:rsidRPr="3DE41553">
        <w:rPr>
          <w:rFonts w:cs="Times New Roman"/>
        </w:rPr>
        <w:t>We</w:t>
      </w:r>
      <w:r w:rsidR="47677055" w:rsidRPr="3DE41553">
        <w:rPr>
          <w:rFonts w:cs="Times New Roman"/>
        </w:rPr>
        <w:t xml:space="preserve"> also</w:t>
      </w:r>
      <w:r w:rsidRPr="3DE41553">
        <w:rPr>
          <w:rFonts w:cs="Times New Roman"/>
        </w:rPr>
        <w:t xml:space="preserve"> assume the tr</w:t>
      </w:r>
      <w:r w:rsidRPr="3DE41553">
        <w:rPr>
          <w:rFonts w:cs="Times New Roman"/>
        </w:rPr>
        <w:t xml:space="preserve">uth of judicially noticeable facts. </w:t>
      </w:r>
      <w:r w:rsidR="1E9E4AD3" w:rsidRPr="3DE41553">
        <w:rPr>
          <w:rFonts w:cs="Times New Roman"/>
        </w:rPr>
        <w:t>(Code Civ. Proc. §</w:t>
      </w:r>
      <w:r w:rsidR="00E20381">
        <w:rPr>
          <w:rFonts w:cs="Times New Roman"/>
        </w:rPr>
        <w:t> </w:t>
      </w:r>
      <w:r w:rsidR="1E9E4AD3" w:rsidRPr="3DE41553">
        <w:rPr>
          <w:rFonts w:cs="Times New Roman"/>
        </w:rPr>
        <w:t>430.30, subd.</w:t>
      </w:r>
      <w:r w:rsidR="00E20381">
        <w:rPr>
          <w:rFonts w:cs="Times New Roman"/>
        </w:rPr>
        <w:t> </w:t>
      </w:r>
      <w:r w:rsidR="1E9E4AD3" w:rsidRPr="3DE41553">
        <w:rPr>
          <w:rFonts w:cs="Times New Roman"/>
        </w:rPr>
        <w:t>(a).</w:t>
      </w:r>
      <w:r w:rsidR="693F1963" w:rsidRPr="3DE41553">
        <w:rPr>
          <w:rFonts w:cs="Times New Roman"/>
        </w:rPr>
        <w:t>)</w:t>
      </w:r>
      <w:r w:rsidR="1E9E4AD3" w:rsidRPr="3DE41553">
        <w:rPr>
          <w:rFonts w:cs="Times New Roman"/>
        </w:rPr>
        <w:t xml:space="preserve"> </w:t>
      </w:r>
      <w:r w:rsidR="65DBC9E3" w:rsidRPr="3DE41553">
        <w:rPr>
          <w:rFonts w:cs="Times New Roman"/>
        </w:rPr>
        <w:t>D</w:t>
      </w:r>
      <w:r w:rsidRPr="3DE41553">
        <w:rPr>
          <w:rFonts w:cs="Times New Roman"/>
        </w:rPr>
        <w:t xml:space="preserve">efendants request judicial notice of documents from plaintiffs’ mandamus proceeding in this court (see fn. </w:t>
      </w:r>
      <w:r w:rsidR="00950AA4">
        <w:rPr>
          <w:rFonts w:cs="Times New Roman"/>
        </w:rPr>
        <w:t>11</w:t>
      </w:r>
      <w:r w:rsidRPr="3DE41553">
        <w:rPr>
          <w:rFonts w:cs="Times New Roman"/>
        </w:rPr>
        <w:t xml:space="preserve">, </w:t>
      </w:r>
      <w:r w:rsidRPr="00067290">
        <w:rPr>
          <w:rFonts w:cs="Times New Roman"/>
          <w:i/>
        </w:rPr>
        <w:t>ante</w:t>
      </w:r>
      <w:r w:rsidRPr="3DE41553">
        <w:rPr>
          <w:rFonts w:cs="Times New Roman"/>
        </w:rPr>
        <w:t>), and of</w:t>
      </w:r>
      <w:r w:rsidR="6D3BD420" w:rsidRPr="3DE41553">
        <w:rPr>
          <w:rFonts w:cs="Times New Roman"/>
        </w:rPr>
        <w:t xml:space="preserve"> various</w:t>
      </w:r>
      <w:r w:rsidRPr="3DE41553">
        <w:rPr>
          <w:rFonts w:cs="Times New Roman"/>
        </w:rPr>
        <w:t xml:space="preserve"> documents related to motions to dismiss on spee</w:t>
      </w:r>
      <w:r w:rsidRPr="3DE41553">
        <w:rPr>
          <w:rFonts w:cs="Times New Roman"/>
        </w:rPr>
        <w:t>dy-trial grounds filed by specific detainees mentioned in this case</w:t>
      </w:r>
      <w:r w:rsidR="00684083">
        <w:rPr>
          <w:rFonts w:cs="Times New Roman"/>
        </w:rPr>
        <w:t>.</w:t>
      </w:r>
      <w:r w:rsidRPr="3DE41553">
        <w:rPr>
          <w:rFonts w:cs="Times New Roman"/>
        </w:rPr>
        <w:t xml:space="preserve"> Defendants assert that the documents “refute allegations made in [the] complaint” but </w:t>
      </w:r>
      <w:r w:rsidR="1C90D92E" w:rsidRPr="3DE41553">
        <w:rPr>
          <w:rFonts w:cs="Times New Roman"/>
        </w:rPr>
        <w:t xml:space="preserve">they </w:t>
      </w:r>
      <w:r w:rsidR="00E9733C">
        <w:rPr>
          <w:rFonts w:cs="Times New Roman"/>
        </w:rPr>
        <w:t>do not</w:t>
      </w:r>
      <w:r w:rsidR="00E9733C" w:rsidRPr="3DE41553">
        <w:rPr>
          <w:rFonts w:cs="Times New Roman"/>
        </w:rPr>
        <w:t xml:space="preserve"> </w:t>
      </w:r>
      <w:r w:rsidR="1E2851CB" w:rsidRPr="3DE41553">
        <w:rPr>
          <w:rFonts w:cs="Times New Roman"/>
        </w:rPr>
        <w:t xml:space="preserve">request judicial notice of any </w:t>
      </w:r>
      <w:r w:rsidR="21548070" w:rsidRPr="3DE41553">
        <w:rPr>
          <w:rFonts w:cs="Times New Roman"/>
        </w:rPr>
        <w:t xml:space="preserve">specific fact </w:t>
      </w:r>
      <w:r w:rsidR="20D04E4E" w:rsidRPr="3DE41553">
        <w:rPr>
          <w:rFonts w:cs="Times New Roman"/>
        </w:rPr>
        <w:t xml:space="preserve">appearing in </w:t>
      </w:r>
      <w:r w:rsidR="08F718E5" w:rsidRPr="3DE41553">
        <w:rPr>
          <w:rFonts w:cs="Times New Roman"/>
        </w:rPr>
        <w:t xml:space="preserve">a </w:t>
      </w:r>
      <w:r w:rsidR="20D04E4E" w:rsidRPr="3DE41553">
        <w:rPr>
          <w:rFonts w:cs="Times New Roman"/>
        </w:rPr>
        <w:t>judicially</w:t>
      </w:r>
      <w:r w:rsidR="00E4131B">
        <w:rPr>
          <w:rFonts w:cs="Times New Roman"/>
        </w:rPr>
        <w:t xml:space="preserve"> </w:t>
      </w:r>
      <w:r w:rsidR="20D04E4E" w:rsidRPr="3DE41553">
        <w:rPr>
          <w:rFonts w:cs="Times New Roman"/>
        </w:rPr>
        <w:t xml:space="preserve">noticeable </w:t>
      </w:r>
      <w:r w:rsidR="20D04E4E" w:rsidRPr="3DE41553">
        <w:rPr>
          <w:rFonts w:cs="Times New Roman"/>
        </w:rPr>
        <w:lastRenderedPageBreak/>
        <w:t>court document</w:t>
      </w:r>
      <w:r w:rsidR="00E9733C">
        <w:rPr>
          <w:rFonts w:cs="Times New Roman"/>
        </w:rPr>
        <w:t>;</w:t>
      </w:r>
      <w:r w:rsidR="20D04E4E" w:rsidRPr="3DE41553">
        <w:rPr>
          <w:rFonts w:cs="Times New Roman"/>
        </w:rPr>
        <w:t xml:space="preserve"> </w:t>
      </w:r>
      <w:r w:rsidR="7CF69241" w:rsidRPr="3DE41553">
        <w:rPr>
          <w:rFonts w:cs="Times New Roman"/>
        </w:rPr>
        <w:t>n</w:t>
      </w:r>
      <w:r w:rsidR="20D04E4E" w:rsidRPr="3DE41553">
        <w:rPr>
          <w:rFonts w:cs="Times New Roman"/>
        </w:rPr>
        <w:t>or</w:t>
      </w:r>
      <w:r w:rsidR="4B17D79A" w:rsidRPr="3DE41553">
        <w:rPr>
          <w:rFonts w:cs="Times New Roman"/>
        </w:rPr>
        <w:t xml:space="preserve"> </w:t>
      </w:r>
      <w:r w:rsidR="00E9733C">
        <w:rPr>
          <w:rFonts w:cs="Times New Roman"/>
        </w:rPr>
        <w:t>do they</w:t>
      </w:r>
      <w:r w:rsidR="20D04E4E" w:rsidRPr="3DE41553">
        <w:rPr>
          <w:rFonts w:cs="Times New Roman"/>
        </w:rPr>
        <w:t xml:space="preserve"> </w:t>
      </w:r>
      <w:r w:rsidR="5CCD36FC" w:rsidRPr="3DE41553">
        <w:rPr>
          <w:rFonts w:cs="Times New Roman"/>
        </w:rPr>
        <w:t xml:space="preserve">identify </w:t>
      </w:r>
      <w:r w:rsidR="0068775A">
        <w:rPr>
          <w:rFonts w:cs="Times New Roman"/>
        </w:rPr>
        <w:t>the purportedly “refuted”</w:t>
      </w:r>
      <w:r w:rsidR="00E4131B" w:rsidRPr="3DE41553">
        <w:rPr>
          <w:rFonts w:cs="Times New Roman"/>
        </w:rPr>
        <w:t xml:space="preserve"> </w:t>
      </w:r>
      <w:r w:rsidR="5CCD36FC" w:rsidRPr="3DE41553">
        <w:rPr>
          <w:rFonts w:cs="Times New Roman"/>
        </w:rPr>
        <w:t>allegations</w:t>
      </w:r>
      <w:r w:rsidR="0068775A">
        <w:rPr>
          <w:rFonts w:cs="Times New Roman"/>
        </w:rPr>
        <w:t>.</w:t>
      </w:r>
      <w:r>
        <w:rPr>
          <w:rStyle w:val="FootnoteReference"/>
          <w:rFonts w:cs="Times New Roman"/>
        </w:rPr>
        <w:footnoteReference w:id="13"/>
      </w:r>
      <w:r w:rsidR="002E12D2">
        <w:rPr>
          <w:rFonts w:cs="Times New Roman"/>
        </w:rPr>
        <w:t xml:space="preserve"> </w:t>
      </w:r>
      <w:r w:rsidRPr="3DE41553">
        <w:rPr>
          <w:rFonts w:cs="Times New Roman"/>
        </w:rPr>
        <w:t>Defendants also assert that the</w:t>
      </w:r>
      <w:r w:rsidR="37877B16" w:rsidRPr="3DE41553">
        <w:rPr>
          <w:rFonts w:cs="Times New Roman"/>
        </w:rPr>
        <w:t xml:space="preserve"> proffered</w:t>
      </w:r>
      <w:r w:rsidRPr="3DE41553">
        <w:rPr>
          <w:rFonts w:cs="Times New Roman"/>
        </w:rPr>
        <w:t xml:space="preserve"> documents support their arguments about “available and adequate remedies to the individual criminal defendants” but</w:t>
      </w:r>
      <w:r w:rsidR="008E7289">
        <w:rPr>
          <w:rFonts w:cs="Times New Roman"/>
        </w:rPr>
        <w:t xml:space="preserve"> </w:t>
      </w:r>
      <w:r w:rsidR="00F40EE4">
        <w:rPr>
          <w:rFonts w:cs="Times New Roman"/>
        </w:rPr>
        <w:t xml:space="preserve">no examples are needed </w:t>
      </w:r>
      <w:r w:rsidR="0064131A">
        <w:rPr>
          <w:rFonts w:cs="Times New Roman"/>
        </w:rPr>
        <w:t xml:space="preserve">to prove the existence of remedies </w:t>
      </w:r>
      <w:r w:rsidR="008E7289">
        <w:rPr>
          <w:rFonts w:cs="Times New Roman"/>
        </w:rPr>
        <w:t xml:space="preserve">the Penal Code </w:t>
      </w:r>
      <w:r w:rsidR="0064131A">
        <w:rPr>
          <w:rFonts w:cs="Times New Roman"/>
        </w:rPr>
        <w:t xml:space="preserve">expressly </w:t>
      </w:r>
      <w:r w:rsidR="00381A07">
        <w:rPr>
          <w:rFonts w:cs="Times New Roman"/>
        </w:rPr>
        <w:t xml:space="preserve">provides </w:t>
      </w:r>
      <w:r w:rsidR="008E7289">
        <w:rPr>
          <w:rFonts w:cs="Times New Roman"/>
        </w:rPr>
        <w:t>(</w:t>
      </w:r>
      <w:r w:rsidR="00267FDA">
        <w:rPr>
          <w:rFonts w:cs="Times New Roman"/>
        </w:rPr>
        <w:t xml:space="preserve">§ 1382) </w:t>
      </w:r>
      <w:r w:rsidR="008E7289">
        <w:rPr>
          <w:rFonts w:cs="Times New Roman"/>
        </w:rPr>
        <w:t>and</w:t>
      </w:r>
      <w:r w:rsidRPr="3DE41553">
        <w:rPr>
          <w:rFonts w:cs="Times New Roman"/>
        </w:rPr>
        <w:t xml:space="preserve">, as </w:t>
      </w:r>
      <w:r w:rsidR="5F836C99" w:rsidRPr="3DE41553">
        <w:rPr>
          <w:rFonts w:cs="Times New Roman"/>
        </w:rPr>
        <w:t>we explain</w:t>
      </w:r>
      <w:r w:rsidRPr="3DE41553">
        <w:rPr>
          <w:rFonts w:cs="Times New Roman"/>
        </w:rPr>
        <w:t xml:space="preserve"> (see p. </w:t>
      </w:r>
      <w:r w:rsidR="004F603E">
        <w:rPr>
          <w:rFonts w:cs="Times New Roman"/>
        </w:rPr>
        <w:t>3</w:t>
      </w:r>
      <w:r w:rsidR="006A408C">
        <w:rPr>
          <w:rFonts w:cs="Times New Roman"/>
        </w:rPr>
        <w:t>5</w:t>
      </w:r>
      <w:r w:rsidRPr="3DE41553">
        <w:rPr>
          <w:rFonts w:cs="Times New Roman"/>
        </w:rPr>
        <w:t xml:space="preserve">, </w:t>
      </w:r>
      <w:r w:rsidRPr="00067290">
        <w:rPr>
          <w:rFonts w:cs="Times New Roman"/>
          <w:i/>
        </w:rPr>
        <w:t>post</w:t>
      </w:r>
      <w:r w:rsidRPr="3DE41553">
        <w:rPr>
          <w:rFonts w:cs="Times New Roman"/>
        </w:rPr>
        <w:t>)</w:t>
      </w:r>
      <w:r w:rsidR="24623202" w:rsidRPr="3DE41553">
        <w:rPr>
          <w:rFonts w:cs="Times New Roman"/>
        </w:rPr>
        <w:t>, the underlying legal premise is unavailing</w:t>
      </w:r>
      <w:r w:rsidRPr="3DE41553">
        <w:rPr>
          <w:rFonts w:cs="Times New Roman"/>
        </w:rPr>
        <w:t xml:space="preserve">. </w:t>
      </w:r>
      <w:r w:rsidR="2694357D" w:rsidRPr="3DE41553">
        <w:rPr>
          <w:rFonts w:cs="Times New Roman"/>
        </w:rPr>
        <w:t>We therefore deny the request.</w:t>
      </w:r>
    </w:p>
    <w:p w14:paraId="05773345" w14:textId="6E320F6D" w:rsidR="0080647E" w:rsidRDefault="001B6997" w:rsidP="003F5F13">
      <w:pPr>
        <w:keepNext/>
        <w:spacing w:line="360" w:lineRule="auto"/>
        <w:contextualSpacing/>
        <w:jc w:val="center"/>
        <w:rPr>
          <w:b/>
        </w:rPr>
      </w:pPr>
      <w:r>
        <w:rPr>
          <w:b/>
        </w:rPr>
        <w:t>Analysis</w:t>
      </w:r>
    </w:p>
    <w:p w14:paraId="48F69F41" w14:textId="3CFC5A6E" w:rsidR="0080647E" w:rsidRPr="001B00E9" w:rsidRDefault="001B6997" w:rsidP="003F5F13">
      <w:pPr>
        <w:autoSpaceDE w:val="0"/>
        <w:autoSpaceDN w:val="0"/>
        <w:adjustRightInd w:val="0"/>
        <w:spacing w:line="360" w:lineRule="auto"/>
        <w:contextualSpacing/>
        <w:rPr>
          <w:rFonts w:cs="Times New Roman"/>
        </w:rPr>
      </w:pPr>
      <w:r>
        <w:rPr>
          <w:rFonts w:cs="Times New Roman"/>
        </w:rPr>
        <w:tab/>
      </w:r>
      <w:r w:rsidRPr="001B00E9">
        <w:rPr>
          <w:rFonts w:cs="Times New Roman"/>
        </w:rPr>
        <w:t>Plaintiffs</w:t>
      </w:r>
      <w:r w:rsidR="004A0053">
        <w:rPr>
          <w:rFonts w:cs="Times New Roman"/>
        </w:rPr>
        <w:t>’</w:t>
      </w:r>
      <w:r w:rsidRPr="001B00E9">
        <w:rPr>
          <w:rFonts w:cs="Times New Roman"/>
        </w:rPr>
        <w:t xml:space="preserve"> </w:t>
      </w:r>
      <w:r w:rsidR="004A0053">
        <w:rPr>
          <w:rFonts w:cs="Times New Roman"/>
        </w:rPr>
        <w:t xml:space="preserve">taxpayer </w:t>
      </w:r>
      <w:r w:rsidRPr="001B00E9">
        <w:rPr>
          <w:rFonts w:cs="Times New Roman"/>
        </w:rPr>
        <w:t xml:space="preserve">cause of action </w:t>
      </w:r>
      <w:r w:rsidR="004A0053">
        <w:rPr>
          <w:rFonts w:cs="Times New Roman"/>
        </w:rPr>
        <w:t>is based up</w:t>
      </w:r>
      <w:r w:rsidRPr="001B00E9">
        <w:rPr>
          <w:rFonts w:cs="Times New Roman"/>
        </w:rPr>
        <w:t xml:space="preserve">on </w:t>
      </w:r>
      <w:r>
        <w:rPr>
          <w:rFonts w:cs="Times New Roman"/>
        </w:rPr>
        <w:t>asserted violations of section</w:t>
      </w:r>
      <w:r w:rsidR="00050CC2">
        <w:rPr>
          <w:rFonts w:cs="Times New Roman"/>
        </w:rPr>
        <w:t> </w:t>
      </w:r>
      <w:r>
        <w:rPr>
          <w:rFonts w:cs="Times New Roman"/>
        </w:rPr>
        <w:t>1050</w:t>
      </w:r>
      <w:r w:rsidR="003C2423" w:rsidRPr="00B21865">
        <w:rPr>
          <w:rFonts w:cs="Times New Roman"/>
        </w:rPr>
        <w:t>(a)</w:t>
      </w:r>
      <w:r>
        <w:rPr>
          <w:rFonts w:cs="Times New Roman"/>
        </w:rPr>
        <w:t xml:space="preserve"> </w:t>
      </w:r>
      <w:r w:rsidRPr="00B21865">
        <w:rPr>
          <w:rFonts w:cs="Times New Roman"/>
        </w:rPr>
        <w:t>(</w:t>
      </w:r>
      <w:r w:rsidR="003C2423" w:rsidRPr="00B21865">
        <w:rPr>
          <w:rFonts w:cs="Times New Roman"/>
        </w:rPr>
        <w:t>imposing a duty to expedite criminal procee</w:t>
      </w:r>
      <w:r w:rsidR="009D0780" w:rsidRPr="00B21865">
        <w:rPr>
          <w:rFonts w:cs="Times New Roman"/>
        </w:rPr>
        <w:t>d</w:t>
      </w:r>
      <w:r w:rsidR="003C2423" w:rsidRPr="00B21865">
        <w:rPr>
          <w:rFonts w:cs="Times New Roman"/>
        </w:rPr>
        <w:t xml:space="preserve">ings, including by giving them priority over civil proceedings, </w:t>
      </w:r>
      <w:r w:rsidR="009D0780" w:rsidRPr="00B21865">
        <w:rPr>
          <w:rFonts w:cs="Times New Roman"/>
        </w:rPr>
        <w:t xml:space="preserve">to the greatest degree </w:t>
      </w:r>
      <w:r w:rsidR="005403D7" w:rsidRPr="00B21865">
        <w:rPr>
          <w:rFonts w:cs="Times New Roman"/>
        </w:rPr>
        <w:t xml:space="preserve">that is </w:t>
      </w:r>
      <w:r w:rsidR="003C2423" w:rsidRPr="00B21865">
        <w:rPr>
          <w:rFonts w:cs="Times New Roman"/>
        </w:rPr>
        <w:t>consistent with the ends of justice</w:t>
      </w:r>
      <w:r w:rsidRPr="00B21865">
        <w:rPr>
          <w:rFonts w:cs="Times New Roman"/>
        </w:rPr>
        <w:t xml:space="preserve">); </w:t>
      </w:r>
      <w:r w:rsidR="00AA2533" w:rsidRPr="00B21865">
        <w:rPr>
          <w:rFonts w:cs="Times New Roman"/>
        </w:rPr>
        <w:t xml:space="preserve">and </w:t>
      </w:r>
      <w:r w:rsidRPr="00B21865">
        <w:rPr>
          <w:rFonts w:cs="Times New Roman"/>
        </w:rPr>
        <w:t>secti</w:t>
      </w:r>
      <w:r w:rsidRPr="00B21865">
        <w:rPr>
          <w:rFonts w:cs="Times New Roman"/>
        </w:rPr>
        <w:t>on</w:t>
      </w:r>
      <w:r w:rsidR="00B6213B" w:rsidRPr="00B21865">
        <w:rPr>
          <w:rFonts w:cs="Times New Roman"/>
        </w:rPr>
        <w:t xml:space="preserve">s 1050, subdivisions (b) </w:t>
      </w:r>
      <w:r w:rsidR="00B21865">
        <w:rPr>
          <w:rFonts w:cs="Times New Roman"/>
        </w:rPr>
        <w:t>through</w:t>
      </w:r>
      <w:r w:rsidR="00B21865" w:rsidRPr="00B21865">
        <w:rPr>
          <w:rFonts w:cs="Times New Roman"/>
        </w:rPr>
        <w:t xml:space="preserve"> </w:t>
      </w:r>
      <w:r w:rsidR="00B6213B" w:rsidRPr="00B21865">
        <w:rPr>
          <w:rFonts w:cs="Times New Roman"/>
        </w:rPr>
        <w:t>(</w:t>
      </w:r>
      <w:proofErr w:type="spellStart"/>
      <w:r w:rsidR="00B6213B" w:rsidRPr="00B21865">
        <w:rPr>
          <w:rFonts w:cs="Times New Roman"/>
        </w:rPr>
        <w:t>i</w:t>
      </w:r>
      <w:proofErr w:type="spellEnd"/>
      <w:r w:rsidR="00B6213B" w:rsidRPr="00B21865">
        <w:rPr>
          <w:rFonts w:cs="Times New Roman"/>
        </w:rPr>
        <w:t>), and</w:t>
      </w:r>
      <w:r w:rsidRPr="00B21865">
        <w:rPr>
          <w:rFonts w:cs="Times New Roman"/>
        </w:rPr>
        <w:t xml:space="preserve"> 1</w:t>
      </w:r>
      <w:r w:rsidR="0069487D" w:rsidRPr="00B21865">
        <w:rPr>
          <w:rFonts w:cs="Times New Roman"/>
        </w:rPr>
        <w:t>0</w:t>
      </w:r>
      <w:r w:rsidRPr="00B21865">
        <w:rPr>
          <w:rFonts w:cs="Times New Roman"/>
        </w:rPr>
        <w:t>49.5 (</w:t>
      </w:r>
      <w:r w:rsidR="00D4102F" w:rsidRPr="00B21865">
        <w:rPr>
          <w:rFonts w:cs="Times New Roman"/>
        </w:rPr>
        <w:t xml:space="preserve">together, </w:t>
      </w:r>
      <w:r w:rsidR="002D670E">
        <w:rPr>
          <w:rFonts w:cs="Times New Roman"/>
        </w:rPr>
        <w:t>requiring</w:t>
      </w:r>
      <w:r w:rsidR="003C2423" w:rsidRPr="00B21865">
        <w:rPr>
          <w:rFonts w:cs="Times New Roman"/>
        </w:rPr>
        <w:t xml:space="preserve"> felony trials </w:t>
      </w:r>
      <w:r w:rsidR="002D670E">
        <w:rPr>
          <w:rFonts w:cs="Times New Roman"/>
        </w:rPr>
        <w:t xml:space="preserve">to commence </w:t>
      </w:r>
      <w:r w:rsidR="003C2423" w:rsidRPr="00B21865">
        <w:rPr>
          <w:rFonts w:cs="Times New Roman"/>
        </w:rPr>
        <w:t>within 60 days of arraignment</w:t>
      </w:r>
      <w:r w:rsidR="00B21865">
        <w:rPr>
          <w:rFonts w:cs="Times New Roman"/>
        </w:rPr>
        <w:t xml:space="preserve">, </w:t>
      </w:r>
      <w:r w:rsidR="002D670E">
        <w:rPr>
          <w:rFonts w:cs="Times New Roman"/>
        </w:rPr>
        <w:t>absent a finding</w:t>
      </w:r>
      <w:r w:rsidR="00B21865">
        <w:rPr>
          <w:rFonts w:cs="Times New Roman"/>
        </w:rPr>
        <w:t xml:space="preserve">, after a hearing, </w:t>
      </w:r>
      <w:r w:rsidR="002D670E">
        <w:rPr>
          <w:rFonts w:cs="Times New Roman"/>
        </w:rPr>
        <w:t xml:space="preserve">of </w:t>
      </w:r>
      <w:r w:rsidR="003C2423" w:rsidRPr="00B21865">
        <w:rPr>
          <w:rFonts w:cs="Times New Roman"/>
        </w:rPr>
        <w:t xml:space="preserve">good cause </w:t>
      </w:r>
      <w:r w:rsidR="00D4102F" w:rsidRPr="00B21865">
        <w:rPr>
          <w:rFonts w:cs="Times New Roman"/>
        </w:rPr>
        <w:t>based upon admissible evidence</w:t>
      </w:r>
      <w:r w:rsidRPr="00B21865">
        <w:rPr>
          <w:rFonts w:cs="Times New Roman"/>
        </w:rPr>
        <w:t>);</w:t>
      </w:r>
      <w:r>
        <w:rPr>
          <w:rFonts w:cs="Times New Roman"/>
        </w:rPr>
        <w:t xml:space="preserve"> </w:t>
      </w:r>
      <w:r w:rsidR="00F32C2B">
        <w:rPr>
          <w:rFonts w:cs="Times New Roman"/>
        </w:rPr>
        <w:t xml:space="preserve">as well as </w:t>
      </w:r>
      <w:r>
        <w:rPr>
          <w:rFonts w:cs="Times New Roman"/>
        </w:rPr>
        <w:t xml:space="preserve">constitutional provisions conferring a right to speedy trial. As we conclude that plaintiffs have stated a cause of action </w:t>
      </w:r>
      <w:r w:rsidR="000D44C8">
        <w:rPr>
          <w:rFonts w:cs="Times New Roman"/>
        </w:rPr>
        <w:t>premised up</w:t>
      </w:r>
      <w:r>
        <w:rPr>
          <w:rFonts w:cs="Times New Roman"/>
        </w:rPr>
        <w:t xml:space="preserve">on </w:t>
      </w:r>
      <w:r w:rsidR="00712CDC">
        <w:rPr>
          <w:rFonts w:cs="Times New Roman"/>
        </w:rPr>
        <w:t>alleged violations of</w:t>
      </w:r>
      <w:r>
        <w:rPr>
          <w:rFonts w:cs="Times New Roman"/>
        </w:rPr>
        <w:t xml:space="preserve"> section 1050</w:t>
      </w:r>
      <w:r w:rsidR="00712CDC">
        <w:rPr>
          <w:rFonts w:cs="Times New Roman"/>
        </w:rPr>
        <w:t>(a)</w:t>
      </w:r>
      <w:r>
        <w:rPr>
          <w:rFonts w:cs="Times New Roman"/>
        </w:rPr>
        <w:t>, we focus on that theory.</w:t>
      </w:r>
    </w:p>
    <w:p w14:paraId="38485B81" w14:textId="30DFF6BB" w:rsidR="0080647E" w:rsidRPr="006840B6" w:rsidRDefault="001B6997" w:rsidP="003F5F13">
      <w:pPr>
        <w:keepNext/>
        <w:spacing w:line="360" w:lineRule="auto"/>
        <w:ind w:left="720" w:hanging="720"/>
        <w:contextualSpacing/>
        <w:rPr>
          <w:b/>
        </w:rPr>
      </w:pPr>
      <w:r>
        <w:rPr>
          <w:b/>
        </w:rPr>
        <w:t>1.</w:t>
      </w:r>
      <w:r>
        <w:tab/>
      </w:r>
      <w:r w:rsidRPr="00B0646B">
        <w:rPr>
          <w:b/>
          <w:i/>
          <w:iCs/>
        </w:rPr>
        <w:t>Ford</w:t>
      </w:r>
      <w:r w:rsidRPr="00B0646B">
        <w:rPr>
          <w:b/>
        </w:rPr>
        <w:t xml:space="preserve"> Does Not Bar </w:t>
      </w:r>
      <w:r>
        <w:rPr>
          <w:b/>
        </w:rPr>
        <w:t xml:space="preserve">Plaintiffs’ </w:t>
      </w:r>
      <w:r w:rsidRPr="570AEA2B">
        <w:rPr>
          <w:b/>
          <w:bCs/>
        </w:rPr>
        <w:t>Cause of Action</w:t>
      </w:r>
    </w:p>
    <w:p w14:paraId="5F056B7D" w14:textId="45281D6A" w:rsidR="00EA4FC2" w:rsidRDefault="001B6997" w:rsidP="00F94146">
      <w:pPr>
        <w:autoSpaceDE w:val="0"/>
        <w:autoSpaceDN w:val="0"/>
        <w:adjustRightInd w:val="0"/>
        <w:spacing w:line="360" w:lineRule="auto"/>
        <w:contextualSpacing/>
        <w:rPr>
          <w:rFonts w:cs="Times New Roman"/>
        </w:rPr>
      </w:pPr>
      <w:r>
        <w:rPr>
          <w:rFonts w:cs="Times New Roman"/>
        </w:rPr>
        <w:tab/>
      </w:r>
      <w:r w:rsidR="6674DF4C">
        <w:rPr>
          <w:rFonts w:cs="Times New Roman"/>
        </w:rPr>
        <w:t xml:space="preserve">Defendants contend the trial court correctly relied upon </w:t>
      </w:r>
      <w:r w:rsidR="6674DF4C" w:rsidRPr="205F293E">
        <w:rPr>
          <w:rFonts w:cs="Times New Roman"/>
          <w:i/>
          <w:iCs/>
        </w:rPr>
        <w:t>Ford</w:t>
      </w:r>
      <w:r w:rsidR="2CD8079E" w:rsidRPr="205F293E">
        <w:rPr>
          <w:rFonts w:cs="Times New Roman"/>
          <w:i/>
          <w:iCs/>
        </w:rPr>
        <w:t xml:space="preserve">, </w:t>
      </w:r>
      <w:r w:rsidR="2CD8079E" w:rsidRPr="004A6FE4">
        <w:rPr>
          <w:rFonts w:cs="Times New Roman"/>
          <w:i/>
        </w:rPr>
        <w:t>supra</w:t>
      </w:r>
      <w:r w:rsidR="2CD8079E">
        <w:rPr>
          <w:rFonts w:cs="Times New Roman"/>
        </w:rPr>
        <w:t>,</w:t>
      </w:r>
      <w:r w:rsidR="0844959C" w:rsidRPr="205F293E">
        <w:rPr>
          <w:rFonts w:cs="Times New Roman"/>
          <w:i/>
          <w:iCs/>
        </w:rPr>
        <w:t xml:space="preserve"> </w:t>
      </w:r>
      <w:r w:rsidR="2CD8079E" w:rsidRPr="00B21865">
        <w:rPr>
          <w:rFonts w:cs="Times New Roman"/>
        </w:rPr>
        <w:t>188 Cal.App.3d 737</w:t>
      </w:r>
      <w:r w:rsidR="2CD8079E" w:rsidRPr="205F293E">
        <w:rPr>
          <w:rFonts w:cs="Times New Roman"/>
          <w:i/>
          <w:iCs/>
        </w:rPr>
        <w:t>,</w:t>
      </w:r>
      <w:r w:rsidR="0844959C">
        <w:rPr>
          <w:rFonts w:cs="Times New Roman"/>
        </w:rPr>
        <w:t xml:space="preserve"> </w:t>
      </w:r>
      <w:r w:rsidR="6674DF4C">
        <w:rPr>
          <w:rFonts w:cs="Times New Roman"/>
        </w:rPr>
        <w:t>to sustain their demurrer to the taxpayer cause of action.</w:t>
      </w:r>
      <w:r>
        <w:rPr>
          <w:rStyle w:val="FootnoteReference"/>
          <w:rFonts w:cs="Arial"/>
          <w:color w:val="555555"/>
        </w:rPr>
        <w:footnoteReference w:id="14"/>
      </w:r>
      <w:r w:rsidR="114331B7">
        <w:rPr>
          <w:rFonts w:cs="Times New Roman"/>
        </w:rPr>
        <w:t xml:space="preserve"> </w:t>
      </w:r>
      <w:r w:rsidR="006F2C0E">
        <w:rPr>
          <w:rFonts w:cs="Times New Roman"/>
        </w:rPr>
        <w:t>They</w:t>
      </w:r>
      <w:r w:rsidR="6674DF4C">
        <w:rPr>
          <w:rFonts w:cs="Times New Roman"/>
        </w:rPr>
        <w:t xml:space="preserve"> concede</w:t>
      </w:r>
      <w:r w:rsidR="005F178A">
        <w:rPr>
          <w:rFonts w:cs="Times New Roman"/>
        </w:rPr>
        <w:t xml:space="preserve">, contrary to the trial court’s </w:t>
      </w:r>
      <w:r w:rsidR="4ED0C107" w:rsidRPr="07AFF217">
        <w:rPr>
          <w:rFonts w:cs="Times New Roman"/>
        </w:rPr>
        <w:t>apparent reasoning</w:t>
      </w:r>
      <w:r w:rsidR="005F22E3">
        <w:rPr>
          <w:rFonts w:cs="Times New Roman"/>
        </w:rPr>
        <w:t>,</w:t>
      </w:r>
      <w:r w:rsidR="6674DF4C">
        <w:rPr>
          <w:rFonts w:cs="Times New Roman"/>
        </w:rPr>
        <w:t xml:space="preserve"> </w:t>
      </w:r>
      <w:r w:rsidR="002E12D2">
        <w:rPr>
          <w:rFonts w:cs="Times New Roman"/>
        </w:rPr>
        <w:t>that</w:t>
      </w:r>
      <w:r w:rsidR="6674DF4C">
        <w:rPr>
          <w:rFonts w:cs="Times New Roman"/>
        </w:rPr>
        <w:t xml:space="preserve"> </w:t>
      </w:r>
      <w:r w:rsidR="1825198D" w:rsidRPr="205F293E">
        <w:rPr>
          <w:rFonts w:cs="Times New Roman"/>
          <w:i/>
          <w:iCs/>
        </w:rPr>
        <w:lastRenderedPageBreak/>
        <w:t xml:space="preserve">Ford </w:t>
      </w:r>
      <w:r w:rsidR="2CD8079E">
        <w:rPr>
          <w:rFonts w:cs="Times New Roman"/>
        </w:rPr>
        <w:t>does not hold that a</w:t>
      </w:r>
      <w:r w:rsidR="6674DF4C">
        <w:rPr>
          <w:rFonts w:cs="Times New Roman"/>
        </w:rPr>
        <w:t xml:space="preserve"> </w:t>
      </w:r>
      <w:r w:rsidR="2CD8079E">
        <w:rPr>
          <w:rFonts w:cs="Times New Roman"/>
        </w:rPr>
        <w:t xml:space="preserve">superior court </w:t>
      </w:r>
      <w:r w:rsidR="6674DF4C">
        <w:rPr>
          <w:rFonts w:cs="Times New Roman"/>
        </w:rPr>
        <w:t xml:space="preserve">judge can </w:t>
      </w:r>
      <w:r w:rsidR="114331B7">
        <w:rPr>
          <w:rFonts w:cs="Times New Roman"/>
        </w:rPr>
        <w:t xml:space="preserve">never </w:t>
      </w:r>
      <w:r w:rsidR="6674DF4C">
        <w:rPr>
          <w:rFonts w:cs="Times New Roman"/>
        </w:rPr>
        <w:t>“issue any relief directed at another superior court judge” or “</w:t>
      </w:r>
      <w:r w:rsidR="6674DF4C" w:rsidRPr="00C92717">
        <w:rPr>
          <w:rFonts w:cs="Arial"/>
        </w:rPr>
        <w:t>lacks the power to compel or restrain the actions of another superior court</w:t>
      </w:r>
      <w:r w:rsidR="005F22E3" w:rsidRPr="00C92717">
        <w:rPr>
          <w:rFonts w:cs="Arial"/>
        </w:rPr>
        <w:t>.</w:t>
      </w:r>
      <w:r w:rsidR="6674DF4C">
        <w:rPr>
          <w:rFonts w:cs="Times New Roman"/>
        </w:rPr>
        <w:t xml:space="preserve">” </w:t>
      </w:r>
      <w:r w:rsidR="00D84B15">
        <w:rPr>
          <w:rFonts w:cs="Times New Roman"/>
        </w:rPr>
        <w:t>Nonetheless</w:t>
      </w:r>
      <w:r w:rsidR="00A60DC6">
        <w:rPr>
          <w:rFonts w:cs="Times New Roman"/>
        </w:rPr>
        <w:t>, they</w:t>
      </w:r>
      <w:r w:rsidR="18DF441C">
        <w:rPr>
          <w:rFonts w:cs="Times New Roman"/>
        </w:rPr>
        <w:t xml:space="preserve"> </w:t>
      </w:r>
      <w:r w:rsidR="00AA546B">
        <w:rPr>
          <w:rFonts w:cs="Times New Roman"/>
        </w:rPr>
        <w:t>assert</w:t>
      </w:r>
      <w:r w:rsidR="00392888">
        <w:rPr>
          <w:rFonts w:cs="Times New Roman"/>
        </w:rPr>
        <w:t xml:space="preserve"> that</w:t>
      </w:r>
      <w:r w:rsidR="00C926B8">
        <w:rPr>
          <w:rFonts w:cs="Times New Roman"/>
        </w:rPr>
        <w:t xml:space="preserve">, read </w:t>
      </w:r>
      <w:r w:rsidR="6674DF4C" w:rsidRPr="00C926B8">
        <w:rPr>
          <w:rFonts w:cs="Times New Roman"/>
        </w:rPr>
        <w:t>more</w:t>
      </w:r>
      <w:r w:rsidR="6674DF4C" w:rsidRPr="4B0E998B">
        <w:rPr>
          <w:rFonts w:cs="Times New Roman"/>
        </w:rPr>
        <w:t xml:space="preserve"> narrowly</w:t>
      </w:r>
      <w:r w:rsidR="00C926B8">
        <w:rPr>
          <w:rFonts w:cs="Times New Roman"/>
        </w:rPr>
        <w:t xml:space="preserve">, </w:t>
      </w:r>
      <w:r w:rsidR="00392888">
        <w:rPr>
          <w:rFonts w:cs="Times New Roman"/>
          <w:i/>
          <w:iCs/>
        </w:rPr>
        <w:t xml:space="preserve">Ford </w:t>
      </w:r>
      <w:r w:rsidR="00C926B8">
        <w:rPr>
          <w:rFonts w:cs="Times New Roman"/>
        </w:rPr>
        <w:t>still</w:t>
      </w:r>
      <w:r w:rsidR="6674DF4C" w:rsidRPr="4B0E998B">
        <w:rPr>
          <w:rFonts w:cs="Times New Roman"/>
        </w:rPr>
        <w:t xml:space="preserve"> </w:t>
      </w:r>
      <w:r w:rsidR="6674DF4C">
        <w:rPr>
          <w:rFonts w:cs="Times New Roman"/>
        </w:rPr>
        <w:t>bar</w:t>
      </w:r>
      <w:r w:rsidR="00C926B8">
        <w:rPr>
          <w:rFonts w:cs="Times New Roman"/>
        </w:rPr>
        <w:t>s</w:t>
      </w:r>
      <w:r w:rsidR="6674DF4C">
        <w:rPr>
          <w:rFonts w:cs="Times New Roman"/>
        </w:rPr>
        <w:t xml:space="preserve"> plaintiffs’ taxpayer-standing claim</w:t>
      </w:r>
      <w:r w:rsidR="72F6C2B1">
        <w:rPr>
          <w:rFonts w:cs="Times New Roman"/>
        </w:rPr>
        <w:t>.</w:t>
      </w:r>
      <w:r w:rsidR="2D4B74E8">
        <w:rPr>
          <w:rFonts w:cs="Times New Roman"/>
        </w:rPr>
        <w:t xml:space="preserve"> </w:t>
      </w:r>
      <w:r w:rsidR="00392888">
        <w:rPr>
          <w:rFonts w:cs="Times New Roman"/>
        </w:rPr>
        <w:t>W</w:t>
      </w:r>
      <w:r w:rsidR="00C926B8">
        <w:rPr>
          <w:rFonts w:cs="Times New Roman"/>
        </w:rPr>
        <w:t>e disagree</w:t>
      </w:r>
      <w:r w:rsidR="6674DF4C">
        <w:rPr>
          <w:rFonts w:cs="Times New Roman"/>
        </w:rPr>
        <w:t xml:space="preserve">. </w:t>
      </w:r>
    </w:p>
    <w:p w14:paraId="6ED382DA" w14:textId="1AC0D68A" w:rsidR="00B94EC9" w:rsidRDefault="001B6997" w:rsidP="00F94146">
      <w:pPr>
        <w:autoSpaceDE w:val="0"/>
        <w:autoSpaceDN w:val="0"/>
        <w:adjustRightInd w:val="0"/>
        <w:spacing w:line="360" w:lineRule="auto"/>
        <w:contextualSpacing/>
        <w:rPr>
          <w:rFonts w:cs="Times New Roman"/>
        </w:rPr>
      </w:pPr>
      <w:r>
        <w:rPr>
          <w:rFonts w:cs="Times New Roman"/>
        </w:rPr>
        <w:tab/>
      </w:r>
      <w:r w:rsidR="0080647E">
        <w:rPr>
          <w:rFonts w:cs="Times New Roman"/>
        </w:rPr>
        <w:t xml:space="preserve">In </w:t>
      </w:r>
      <w:r w:rsidR="0080647E" w:rsidRPr="3DE41553">
        <w:rPr>
          <w:rFonts w:cs="Times New Roman"/>
          <w:i/>
          <w:iCs/>
        </w:rPr>
        <w:t>Ford</w:t>
      </w:r>
      <w:r w:rsidR="0080647E">
        <w:rPr>
          <w:rFonts w:cs="Times New Roman"/>
        </w:rPr>
        <w:t xml:space="preserve">, plaintiffs filed an action seeking </w:t>
      </w:r>
      <w:r w:rsidR="0080647E" w:rsidRPr="4B0E998B">
        <w:rPr>
          <w:rFonts w:cs="Times New Roman"/>
        </w:rPr>
        <w:t>“an order restraining [the court and its clerk] from carrying out and executing the judgment which had been entered by” a different department of the same superior court in a separate action. (</w:t>
      </w:r>
      <w:r w:rsidR="004A6FE4" w:rsidRPr="3DE41553">
        <w:rPr>
          <w:rFonts w:cs="Times New Roman"/>
          <w:i/>
          <w:iCs/>
        </w:rPr>
        <w:t>Ford</w:t>
      </w:r>
      <w:r w:rsidR="004A6FE4">
        <w:rPr>
          <w:rFonts w:cs="Times New Roman"/>
        </w:rPr>
        <w:t xml:space="preserve">, </w:t>
      </w:r>
      <w:r w:rsidR="004A6FE4" w:rsidRPr="004A6FE4">
        <w:rPr>
          <w:rFonts w:cs="Times New Roman"/>
          <w:i/>
          <w:iCs/>
        </w:rPr>
        <w:t>supra</w:t>
      </w:r>
      <w:r w:rsidR="004A6FE4">
        <w:rPr>
          <w:rFonts w:cs="Times New Roman"/>
        </w:rPr>
        <w:t xml:space="preserve">, </w:t>
      </w:r>
      <w:r w:rsidR="00B11326" w:rsidRPr="008D2B41">
        <w:rPr>
          <w:rFonts w:cs="Arial"/>
          <w:color w:val="555555"/>
        </w:rPr>
        <w:t xml:space="preserve">188 Cal.App.3d </w:t>
      </w:r>
      <w:r w:rsidR="0080647E" w:rsidRPr="4B0E998B">
        <w:rPr>
          <w:rFonts w:cs="Times New Roman"/>
        </w:rPr>
        <w:t xml:space="preserve">at p. 741.) The </w:t>
      </w:r>
      <w:r w:rsidR="0080647E" w:rsidRPr="3DE41553">
        <w:rPr>
          <w:rFonts w:cs="Times New Roman"/>
          <w:i/>
          <w:iCs/>
        </w:rPr>
        <w:t>Ford</w:t>
      </w:r>
      <w:r w:rsidR="0080647E" w:rsidRPr="4B0E998B">
        <w:rPr>
          <w:rFonts w:cs="Times New Roman"/>
        </w:rPr>
        <w:t xml:space="preserve"> action was dismissed pursuant to demurrer. (</w:t>
      </w:r>
      <w:r w:rsidR="0080647E" w:rsidRPr="3DE41553">
        <w:rPr>
          <w:rFonts w:cs="Times New Roman"/>
          <w:i/>
          <w:iCs/>
        </w:rPr>
        <w:t>Ibid</w:t>
      </w:r>
      <w:r w:rsidR="0080647E" w:rsidRPr="4B0E998B">
        <w:rPr>
          <w:rFonts w:cs="Times New Roman"/>
        </w:rPr>
        <w:t xml:space="preserve">.) </w:t>
      </w:r>
      <w:r w:rsidR="00866DA3">
        <w:rPr>
          <w:rFonts w:cs="Times New Roman"/>
        </w:rPr>
        <w:t>In a</w:t>
      </w:r>
      <w:r>
        <w:rPr>
          <w:rFonts w:cs="Times New Roman"/>
        </w:rPr>
        <w:t>ffirming the dismissal</w:t>
      </w:r>
      <w:r w:rsidR="0080647E">
        <w:rPr>
          <w:rFonts w:cs="Times New Roman"/>
        </w:rPr>
        <w:t xml:space="preserve">, the Second </w:t>
      </w:r>
      <w:r w:rsidR="000F1EEF">
        <w:rPr>
          <w:rFonts w:cs="Times New Roman"/>
        </w:rPr>
        <w:t xml:space="preserve">Appellate </w:t>
      </w:r>
      <w:r w:rsidR="0080647E">
        <w:rPr>
          <w:rFonts w:cs="Times New Roman"/>
        </w:rPr>
        <w:t xml:space="preserve">District </w:t>
      </w:r>
      <w:r>
        <w:rPr>
          <w:rFonts w:cs="Times New Roman"/>
        </w:rPr>
        <w:t>reasoned</w:t>
      </w:r>
      <w:r w:rsidR="00C907DF">
        <w:rPr>
          <w:rFonts w:cs="Times New Roman"/>
        </w:rPr>
        <w:t>,</w:t>
      </w:r>
      <w:r w:rsidR="0080647E">
        <w:rPr>
          <w:rFonts w:cs="Times New Roman"/>
        </w:rPr>
        <w:t xml:space="preserve"> “</w:t>
      </w:r>
      <w:r w:rsidR="0080647E" w:rsidRPr="00BA1E47">
        <w:rPr>
          <w:rFonts w:cs="Times New Roman"/>
        </w:rPr>
        <w:t xml:space="preserve">The complaint states no cause of action. </w:t>
      </w:r>
      <w:proofErr w:type="gramStart"/>
      <w:r w:rsidR="0080647E" w:rsidRPr="00BA1E47">
        <w:rPr>
          <w:rFonts w:cs="Times New Roman"/>
        </w:rPr>
        <w:t>In reality, it</w:t>
      </w:r>
      <w:proofErr w:type="gramEnd"/>
      <w:r w:rsidR="0080647E" w:rsidRPr="00BA1E47">
        <w:rPr>
          <w:rFonts w:cs="Times New Roman"/>
        </w:rPr>
        <w:t xml:space="preserve"> seeks to have one department of the superior court review and restrain the </w:t>
      </w:r>
      <w:r w:rsidR="0080647E" w:rsidRPr="00F94146">
        <w:rPr>
          <w:rFonts w:cs="Times New Roman"/>
        </w:rPr>
        <w:t>judicial act</w:t>
      </w:r>
      <w:r w:rsidR="0080647E" w:rsidRPr="00334359">
        <w:rPr>
          <w:rFonts w:cs="Times New Roman"/>
        </w:rPr>
        <w:t xml:space="preserve"> </w:t>
      </w:r>
      <w:r w:rsidR="0080647E" w:rsidRPr="00BA1E47">
        <w:rPr>
          <w:rFonts w:cs="Times New Roman"/>
        </w:rPr>
        <w:t>of another department of the superior court. That cannot be done.</w:t>
      </w:r>
      <w:r w:rsidR="0080647E">
        <w:rPr>
          <w:rFonts w:cs="Times New Roman"/>
        </w:rPr>
        <w:t>” (</w:t>
      </w:r>
      <w:r w:rsidR="00087C00" w:rsidRPr="3DE41553">
        <w:rPr>
          <w:rFonts w:cs="Times New Roman"/>
          <w:i/>
          <w:iCs/>
        </w:rPr>
        <w:t>Ibid</w:t>
      </w:r>
      <w:r w:rsidRPr="3DE41553">
        <w:rPr>
          <w:rFonts w:cs="Times New Roman"/>
        </w:rPr>
        <w:t>.</w:t>
      </w:r>
      <w:r w:rsidR="0080647E">
        <w:rPr>
          <w:rFonts w:cs="Times New Roman"/>
        </w:rPr>
        <w:t xml:space="preserve">) </w:t>
      </w:r>
    </w:p>
    <w:p w14:paraId="5FEECE65" w14:textId="511E4337" w:rsidR="0038644F" w:rsidRDefault="001B6997" w:rsidP="003F5F13">
      <w:pPr>
        <w:autoSpaceDE w:val="0"/>
        <w:autoSpaceDN w:val="0"/>
        <w:adjustRightInd w:val="0"/>
        <w:spacing w:line="360" w:lineRule="auto"/>
        <w:ind w:firstLine="720"/>
        <w:contextualSpacing/>
        <w:rPr>
          <w:rFonts w:cs="Times New Roman"/>
          <w:color w:val="000000" w:themeColor="text1"/>
        </w:rPr>
      </w:pPr>
      <w:r>
        <w:rPr>
          <w:rFonts w:cs="Times New Roman"/>
        </w:rPr>
        <w:t xml:space="preserve">Defendants </w:t>
      </w:r>
      <w:r w:rsidR="00C90460">
        <w:rPr>
          <w:rFonts w:cs="Times New Roman"/>
        </w:rPr>
        <w:t xml:space="preserve">simply stop </w:t>
      </w:r>
      <w:r>
        <w:rPr>
          <w:rFonts w:cs="Times New Roman"/>
        </w:rPr>
        <w:t>here</w:t>
      </w:r>
      <w:r w:rsidR="00C90460">
        <w:rPr>
          <w:rFonts w:cs="Times New Roman"/>
        </w:rPr>
        <w:t>,</w:t>
      </w:r>
      <w:r>
        <w:rPr>
          <w:rFonts w:cs="Times New Roman"/>
        </w:rPr>
        <w:t xml:space="preserve"> contend</w:t>
      </w:r>
      <w:r w:rsidR="00C90460">
        <w:rPr>
          <w:rFonts w:cs="Times New Roman"/>
        </w:rPr>
        <w:t>ing</w:t>
      </w:r>
      <w:r>
        <w:rPr>
          <w:rFonts w:cs="Times New Roman"/>
        </w:rPr>
        <w:t xml:space="preserve"> </w:t>
      </w:r>
      <w:r w:rsidR="799127D4">
        <w:rPr>
          <w:rFonts w:cs="Times New Roman"/>
        </w:rPr>
        <w:t xml:space="preserve">this </w:t>
      </w:r>
      <w:r w:rsidR="00723536">
        <w:rPr>
          <w:rFonts w:cs="Times New Roman"/>
        </w:rPr>
        <w:t xml:space="preserve">general </w:t>
      </w:r>
      <w:proofErr w:type="gramStart"/>
      <w:r w:rsidR="799127D4">
        <w:rPr>
          <w:rFonts w:cs="Times New Roman"/>
        </w:rPr>
        <w:t>principle</w:t>
      </w:r>
      <w:proofErr w:type="gramEnd"/>
      <w:r>
        <w:rPr>
          <w:rFonts w:cs="Times New Roman"/>
        </w:rPr>
        <w:t xml:space="preserve"> </w:t>
      </w:r>
      <w:r w:rsidR="234D4823">
        <w:rPr>
          <w:rFonts w:cs="Times New Roman"/>
        </w:rPr>
        <w:t xml:space="preserve">bars </w:t>
      </w:r>
      <w:r>
        <w:rPr>
          <w:rFonts w:cs="Times New Roman"/>
        </w:rPr>
        <w:t>challenges</w:t>
      </w:r>
      <w:r w:rsidR="78F3F0B0">
        <w:rPr>
          <w:rFonts w:cs="Times New Roman"/>
        </w:rPr>
        <w:t xml:space="preserve"> to</w:t>
      </w:r>
      <w:r w:rsidR="00FA5BE6">
        <w:rPr>
          <w:rFonts w:cs="Times New Roman"/>
        </w:rPr>
        <w:t xml:space="preserve"> any</w:t>
      </w:r>
      <w:r w:rsidR="00E90F53">
        <w:rPr>
          <w:rFonts w:cs="Times New Roman"/>
        </w:rPr>
        <w:t xml:space="preserve"> conduct fairly characterized as</w:t>
      </w:r>
      <w:r>
        <w:rPr>
          <w:rFonts w:cs="Times New Roman"/>
        </w:rPr>
        <w:t xml:space="preserve"> “judicial,” such </w:t>
      </w:r>
      <w:r w:rsidR="00EC376A">
        <w:rPr>
          <w:rFonts w:cs="Times New Roman"/>
        </w:rPr>
        <w:t xml:space="preserve">as </w:t>
      </w:r>
      <w:r w:rsidR="00BA1C95">
        <w:rPr>
          <w:rFonts w:cs="Times New Roman"/>
        </w:rPr>
        <w:t xml:space="preserve">a </w:t>
      </w:r>
      <w:r w:rsidR="00E463CF">
        <w:rPr>
          <w:rFonts w:cs="Times New Roman"/>
        </w:rPr>
        <w:t>presiding or supervising judge</w:t>
      </w:r>
      <w:r w:rsidR="00BA1C95">
        <w:rPr>
          <w:rFonts w:cs="Times New Roman"/>
        </w:rPr>
        <w:t>’</w:t>
      </w:r>
      <w:r w:rsidR="00E463CF">
        <w:rPr>
          <w:rFonts w:cs="Times New Roman"/>
        </w:rPr>
        <w:t xml:space="preserve">s decision </w:t>
      </w:r>
      <w:r w:rsidR="00DD37A8">
        <w:rPr>
          <w:rFonts w:cs="Times New Roman"/>
        </w:rPr>
        <w:t>to</w:t>
      </w:r>
      <w:r w:rsidR="00E463CF">
        <w:rPr>
          <w:rFonts w:cs="Times New Roman"/>
        </w:rPr>
        <w:t xml:space="preserve"> </w:t>
      </w:r>
      <w:r w:rsidR="00D00EEE">
        <w:rPr>
          <w:rFonts w:cs="Times New Roman"/>
        </w:rPr>
        <w:t xml:space="preserve">designate </w:t>
      </w:r>
      <w:r w:rsidR="00DD37A8">
        <w:rPr>
          <w:rFonts w:cs="Times New Roman"/>
        </w:rPr>
        <w:t>particular</w:t>
      </w:r>
      <w:r>
        <w:rPr>
          <w:rFonts w:cs="Times New Roman"/>
        </w:rPr>
        <w:t xml:space="preserve"> departments </w:t>
      </w:r>
      <w:r w:rsidR="00DD37A8">
        <w:rPr>
          <w:rFonts w:cs="Times New Roman"/>
        </w:rPr>
        <w:t xml:space="preserve">for </w:t>
      </w:r>
      <w:r>
        <w:rPr>
          <w:rFonts w:cs="Times New Roman"/>
        </w:rPr>
        <w:t xml:space="preserve">criminal or civil </w:t>
      </w:r>
      <w:r w:rsidR="00DD37A8">
        <w:rPr>
          <w:rFonts w:cs="Times New Roman"/>
        </w:rPr>
        <w:t>trials</w:t>
      </w:r>
      <w:r w:rsidR="00B67436">
        <w:rPr>
          <w:rFonts w:cs="Times New Roman"/>
        </w:rPr>
        <w:t>,</w:t>
      </w:r>
      <w:r w:rsidR="00F915A9">
        <w:rPr>
          <w:rFonts w:cs="Times New Roman"/>
        </w:rPr>
        <w:t xml:space="preserve"> </w:t>
      </w:r>
      <w:r w:rsidR="005E39A8">
        <w:rPr>
          <w:rFonts w:cs="Times New Roman"/>
        </w:rPr>
        <w:t>or t</w:t>
      </w:r>
      <w:r w:rsidR="003C6F4E">
        <w:rPr>
          <w:rFonts w:cs="Times New Roman"/>
        </w:rPr>
        <w:t>o</w:t>
      </w:r>
      <w:r w:rsidR="005E39A8">
        <w:rPr>
          <w:rFonts w:cs="Times New Roman"/>
        </w:rPr>
        <w:t xml:space="preserve"> </w:t>
      </w:r>
      <w:r w:rsidR="003C6F4E">
        <w:rPr>
          <w:rFonts w:cs="Times New Roman"/>
        </w:rPr>
        <w:t xml:space="preserve">distribute </w:t>
      </w:r>
      <w:r w:rsidR="00176471">
        <w:rPr>
          <w:rFonts w:cs="Times New Roman"/>
        </w:rPr>
        <w:t xml:space="preserve">and sanction the use of </w:t>
      </w:r>
      <w:r w:rsidR="002276E3">
        <w:rPr>
          <w:rFonts w:cs="Times New Roman"/>
        </w:rPr>
        <w:t xml:space="preserve">a </w:t>
      </w:r>
      <w:r w:rsidR="005E39A8">
        <w:rPr>
          <w:rFonts w:cs="Times New Roman"/>
        </w:rPr>
        <w:t>standardized “script”</w:t>
      </w:r>
      <w:r w:rsidR="009D5B6F">
        <w:rPr>
          <w:rFonts w:cs="Times New Roman"/>
        </w:rPr>
        <w:t xml:space="preserve"> </w:t>
      </w:r>
      <w:r w:rsidR="00E32727">
        <w:rPr>
          <w:rFonts w:cs="Times New Roman"/>
        </w:rPr>
        <w:t>to facilitate</w:t>
      </w:r>
      <w:r w:rsidR="00097797">
        <w:rPr>
          <w:rFonts w:cs="Times New Roman"/>
        </w:rPr>
        <w:t xml:space="preserve"> </w:t>
      </w:r>
      <w:r w:rsidR="00176471">
        <w:rPr>
          <w:rFonts w:cs="Times New Roman"/>
        </w:rPr>
        <w:t xml:space="preserve">routine </w:t>
      </w:r>
      <w:r w:rsidR="00097797">
        <w:rPr>
          <w:rFonts w:cs="Times New Roman"/>
        </w:rPr>
        <w:t xml:space="preserve">continuances </w:t>
      </w:r>
      <w:r w:rsidR="00723536">
        <w:rPr>
          <w:rFonts w:cs="Times New Roman"/>
        </w:rPr>
        <w:t>beyond the</w:t>
      </w:r>
      <w:r w:rsidR="00176471">
        <w:rPr>
          <w:rFonts w:cs="Times New Roman"/>
        </w:rPr>
        <w:t xml:space="preserve"> statutory last date</w:t>
      </w:r>
      <w:r>
        <w:rPr>
          <w:rFonts w:cs="Times New Roman"/>
        </w:rPr>
        <w:t>.</w:t>
      </w:r>
      <w:r w:rsidRPr="0B0799C1">
        <w:rPr>
          <w:rFonts w:cs="Times New Roman"/>
        </w:rPr>
        <w:t xml:space="preserve"> </w:t>
      </w:r>
      <w:r w:rsidR="07386193" w:rsidRPr="0B0799C1">
        <w:rPr>
          <w:rFonts w:cs="Times New Roman"/>
        </w:rPr>
        <w:t>This argument, however,</w:t>
      </w:r>
      <w:r w:rsidR="2CD55870" w:rsidRPr="0B0799C1">
        <w:rPr>
          <w:rFonts w:cs="Times New Roman"/>
        </w:rPr>
        <w:t xml:space="preserve"> ignores </w:t>
      </w:r>
      <w:r w:rsidR="162958BC" w:rsidRPr="0B0799C1">
        <w:rPr>
          <w:rFonts w:cs="Times New Roman"/>
        </w:rPr>
        <w:t>the procedural posture</w:t>
      </w:r>
      <w:r w:rsidR="49097569" w:rsidRPr="0B0799C1">
        <w:rPr>
          <w:rFonts w:cs="Times New Roman"/>
        </w:rPr>
        <w:t xml:space="preserve"> in </w:t>
      </w:r>
      <w:r w:rsidR="49097569" w:rsidRPr="002911D3">
        <w:rPr>
          <w:rFonts w:cs="Times New Roman"/>
          <w:i/>
        </w:rPr>
        <w:t>Ford</w:t>
      </w:r>
      <w:r w:rsidR="1F3F1C01" w:rsidRPr="3DE41553">
        <w:rPr>
          <w:rFonts w:cs="Times New Roman"/>
          <w:i/>
          <w:iCs/>
        </w:rPr>
        <w:t>,</w:t>
      </w:r>
      <w:r w:rsidR="162958BC" w:rsidRPr="0B0799C1">
        <w:rPr>
          <w:rFonts w:cs="Times New Roman"/>
          <w:color w:val="000000" w:themeColor="text1"/>
        </w:rPr>
        <w:t xml:space="preserve"> </w:t>
      </w:r>
      <w:r w:rsidR="00763366">
        <w:rPr>
          <w:rFonts w:cs="Times New Roman"/>
          <w:color w:val="000000" w:themeColor="text1"/>
        </w:rPr>
        <w:t>in which the plaintiff</w:t>
      </w:r>
      <w:r w:rsidR="00793FEF">
        <w:rPr>
          <w:rFonts w:cs="Times New Roman"/>
          <w:color w:val="000000" w:themeColor="text1"/>
        </w:rPr>
        <w:t xml:space="preserve"> filed suit to challenge a judicial decision</w:t>
      </w:r>
      <w:r w:rsidR="00AD7908">
        <w:rPr>
          <w:rFonts w:cs="Times New Roman"/>
          <w:color w:val="000000" w:themeColor="text1"/>
        </w:rPr>
        <w:t xml:space="preserve"> in an individual case,</w:t>
      </w:r>
      <w:r w:rsidR="00793FEF">
        <w:rPr>
          <w:rFonts w:cs="Times New Roman"/>
          <w:color w:val="000000" w:themeColor="text1"/>
        </w:rPr>
        <w:t xml:space="preserve"> </w:t>
      </w:r>
      <w:r w:rsidRPr="3DE41553">
        <w:rPr>
          <w:rFonts w:cs="Times New Roman"/>
          <w:i/>
          <w:iCs/>
          <w:color w:val="000000" w:themeColor="text1"/>
        </w:rPr>
        <w:t>after</w:t>
      </w:r>
      <w:r w:rsidRPr="0B0799C1">
        <w:rPr>
          <w:rFonts w:cs="Times New Roman"/>
          <w:color w:val="000000" w:themeColor="text1"/>
        </w:rPr>
        <w:t xml:space="preserve"> </w:t>
      </w:r>
      <w:r w:rsidR="00AD7908">
        <w:rPr>
          <w:rFonts w:cs="Times New Roman"/>
          <w:color w:val="000000" w:themeColor="text1"/>
        </w:rPr>
        <w:t xml:space="preserve">it had been </w:t>
      </w:r>
      <w:proofErr w:type="gramStart"/>
      <w:r w:rsidRPr="0B0799C1">
        <w:rPr>
          <w:rFonts w:cs="Times New Roman"/>
          <w:color w:val="000000" w:themeColor="text1"/>
        </w:rPr>
        <w:t>“ ‘</w:t>
      </w:r>
      <w:proofErr w:type="gramEnd"/>
      <w:r w:rsidRPr="0B0799C1">
        <w:rPr>
          <w:rFonts w:cs="Times New Roman"/>
          <w:color w:val="000000" w:themeColor="text1"/>
        </w:rPr>
        <w:t xml:space="preserve">assigned for </w:t>
      </w:r>
      <w:r w:rsidRPr="0B0799C1">
        <w:rPr>
          <w:rFonts w:cs="Times New Roman"/>
          <w:color w:val="000000" w:themeColor="text1"/>
        </w:rPr>
        <w:t>hearing and determination to one department</w:t>
      </w:r>
      <w:r w:rsidR="00525772">
        <w:rPr>
          <w:rFonts w:cs="Times New Roman"/>
          <w:color w:val="000000" w:themeColor="text1"/>
        </w:rPr>
        <w:t>,</w:t>
      </w:r>
      <w:r w:rsidRPr="0B0799C1">
        <w:rPr>
          <w:rFonts w:cs="Times New Roman"/>
          <w:color w:val="000000" w:themeColor="text1"/>
        </w:rPr>
        <w:t xml:space="preserve">’ ” </w:t>
      </w:r>
      <w:r w:rsidR="0059578C">
        <w:rPr>
          <w:rFonts w:cs="Times New Roman"/>
          <w:color w:val="000000" w:themeColor="text1"/>
        </w:rPr>
        <w:t>leading</w:t>
      </w:r>
      <w:r w:rsidR="0014555D">
        <w:rPr>
          <w:rFonts w:cs="Times New Roman"/>
          <w:color w:val="000000" w:themeColor="text1"/>
        </w:rPr>
        <w:t xml:space="preserve"> the court to</w:t>
      </w:r>
      <w:r w:rsidR="66C10C20" w:rsidRPr="0B0799C1">
        <w:rPr>
          <w:rFonts w:cs="Times New Roman"/>
          <w:color w:val="000000" w:themeColor="text1"/>
        </w:rPr>
        <w:t xml:space="preserve"> h</w:t>
      </w:r>
      <w:r w:rsidR="0014555D">
        <w:rPr>
          <w:rFonts w:cs="Times New Roman"/>
          <w:color w:val="000000" w:themeColor="text1"/>
        </w:rPr>
        <w:t>o</w:t>
      </w:r>
      <w:r w:rsidR="66C10C20" w:rsidRPr="0B0799C1">
        <w:rPr>
          <w:rFonts w:cs="Times New Roman"/>
          <w:color w:val="000000" w:themeColor="text1"/>
        </w:rPr>
        <w:t>ld</w:t>
      </w:r>
      <w:r w:rsidR="00D925AD">
        <w:rPr>
          <w:rFonts w:cs="Times New Roman"/>
          <w:color w:val="000000" w:themeColor="text1"/>
        </w:rPr>
        <w:t>:</w:t>
      </w:r>
      <w:r w:rsidRPr="0B0799C1">
        <w:rPr>
          <w:rFonts w:cs="Times New Roman"/>
          <w:color w:val="000000" w:themeColor="text1"/>
        </w:rPr>
        <w:t xml:space="preserve"> “One department of the superior court cannot enjoin, restrain, or otherwise interfere with the judicial act of another department . . . .” (</w:t>
      </w:r>
      <w:r w:rsidRPr="3DE41553">
        <w:rPr>
          <w:rFonts w:cs="Times New Roman"/>
          <w:i/>
          <w:iCs/>
          <w:color w:val="000000" w:themeColor="text1"/>
        </w:rPr>
        <w:t>Id.</w:t>
      </w:r>
      <w:r w:rsidRPr="0B0799C1">
        <w:rPr>
          <w:rFonts w:cs="Times New Roman"/>
          <w:color w:val="000000" w:themeColor="text1"/>
        </w:rPr>
        <w:t xml:space="preserve"> at p</w:t>
      </w:r>
      <w:r w:rsidR="00EE1870">
        <w:rPr>
          <w:rFonts w:cs="Times New Roman"/>
          <w:color w:val="000000" w:themeColor="text1"/>
        </w:rPr>
        <w:t>p</w:t>
      </w:r>
      <w:r w:rsidRPr="0B0799C1">
        <w:rPr>
          <w:rFonts w:cs="Times New Roman"/>
          <w:color w:val="000000" w:themeColor="text1"/>
        </w:rPr>
        <w:t>. </w:t>
      </w:r>
      <w:r w:rsidR="00EE1870">
        <w:rPr>
          <w:rFonts w:cs="Times New Roman"/>
          <w:color w:val="000000" w:themeColor="text1"/>
        </w:rPr>
        <w:t>741</w:t>
      </w:r>
      <w:r w:rsidR="0059578C" w:rsidRPr="0B0799C1">
        <w:rPr>
          <w:rFonts w:cs="Times New Roman"/>
        </w:rPr>
        <w:t>–</w:t>
      </w:r>
      <w:r w:rsidRPr="0B0799C1">
        <w:rPr>
          <w:rFonts w:cs="Times New Roman"/>
          <w:color w:val="000000" w:themeColor="text1"/>
        </w:rPr>
        <w:t>742.) Rather, “[a]</w:t>
      </w:r>
      <w:proofErr w:type="spellStart"/>
      <w:r w:rsidRPr="0B0799C1">
        <w:rPr>
          <w:rFonts w:cs="Times New Roman"/>
          <w:color w:val="000000" w:themeColor="text1"/>
        </w:rPr>
        <w:t>ppellate</w:t>
      </w:r>
      <w:proofErr w:type="spellEnd"/>
      <w:r w:rsidRPr="0B0799C1">
        <w:rPr>
          <w:rFonts w:cs="Times New Roman"/>
          <w:color w:val="000000" w:themeColor="text1"/>
        </w:rPr>
        <w:t xml:space="preserve"> </w:t>
      </w:r>
      <w:r w:rsidRPr="0B0799C1">
        <w:rPr>
          <w:rFonts w:cs="Times New Roman"/>
          <w:color w:val="000000" w:themeColor="text1"/>
        </w:rPr>
        <w:lastRenderedPageBreak/>
        <w:t>jurisdiction to review, revise, or reverse decisions of the superior courts is vested by our Constitution only in the Supreme Court and the Courts of Appeal.” (</w:t>
      </w:r>
      <w:r w:rsidRPr="3DE41553">
        <w:rPr>
          <w:rFonts w:cs="Times New Roman"/>
          <w:i/>
          <w:iCs/>
          <w:color w:val="000000" w:themeColor="text1"/>
        </w:rPr>
        <w:t>I</w:t>
      </w:r>
      <w:r w:rsidR="007B0AD3" w:rsidRPr="3DE41553">
        <w:rPr>
          <w:rFonts w:cs="Times New Roman"/>
          <w:i/>
          <w:iCs/>
          <w:color w:val="000000" w:themeColor="text1"/>
        </w:rPr>
        <w:t>d.</w:t>
      </w:r>
      <w:r w:rsidRPr="4E07C719">
        <w:rPr>
          <w:rFonts w:cs="Times New Roman"/>
          <w:color w:val="000000" w:themeColor="text1"/>
        </w:rPr>
        <w:t xml:space="preserve"> </w:t>
      </w:r>
      <w:r w:rsidRPr="0B0799C1">
        <w:rPr>
          <w:rFonts w:cs="Times New Roman"/>
          <w:color w:val="000000" w:themeColor="text1"/>
        </w:rPr>
        <w:t>at p.</w:t>
      </w:r>
      <w:r w:rsidR="00284570">
        <w:rPr>
          <w:rFonts w:cs="Times New Roman"/>
          <w:color w:val="000000" w:themeColor="text1"/>
        </w:rPr>
        <w:t> </w:t>
      </w:r>
      <w:r w:rsidRPr="0B0799C1">
        <w:rPr>
          <w:rFonts w:cs="Times New Roman"/>
          <w:color w:val="000000" w:themeColor="text1"/>
        </w:rPr>
        <w:t xml:space="preserve">742.) </w:t>
      </w:r>
    </w:p>
    <w:p w14:paraId="75169A90" w14:textId="37D550B2" w:rsidR="0080647E" w:rsidRPr="00A37373" w:rsidRDefault="001B6997" w:rsidP="003F5F13">
      <w:pPr>
        <w:autoSpaceDE w:val="0"/>
        <w:autoSpaceDN w:val="0"/>
        <w:adjustRightInd w:val="0"/>
        <w:spacing w:line="360" w:lineRule="auto"/>
        <w:ind w:firstLine="720"/>
        <w:contextualSpacing/>
        <w:rPr>
          <w:rFonts w:cs="Times New Roman"/>
          <w:color w:val="000000" w:themeColor="text1"/>
        </w:rPr>
      </w:pPr>
      <w:r>
        <w:rPr>
          <w:rFonts w:cs="Times New Roman"/>
          <w:color w:val="000000" w:themeColor="text1"/>
        </w:rPr>
        <w:t>Here,</w:t>
      </w:r>
      <w:r w:rsidR="00E76752">
        <w:rPr>
          <w:rFonts w:cs="Times New Roman"/>
          <w:color w:val="000000" w:themeColor="text1"/>
        </w:rPr>
        <w:t xml:space="preserve"> </w:t>
      </w:r>
      <w:r w:rsidR="008C5157">
        <w:rPr>
          <w:rFonts w:cs="Times New Roman"/>
          <w:color w:val="000000" w:themeColor="text1"/>
        </w:rPr>
        <w:t xml:space="preserve">as the trial court acknowledged, </w:t>
      </w:r>
      <w:r w:rsidR="00E76752">
        <w:rPr>
          <w:rFonts w:cs="Times New Roman"/>
          <w:color w:val="000000" w:themeColor="text1"/>
        </w:rPr>
        <w:t xml:space="preserve">plaintiffs </w:t>
      </w:r>
      <w:r>
        <w:rPr>
          <w:rFonts w:cs="Times New Roman"/>
          <w:color w:val="000000" w:themeColor="text1"/>
        </w:rPr>
        <w:t>d</w:t>
      </w:r>
      <w:r w:rsidR="00E76752">
        <w:rPr>
          <w:rFonts w:cs="Times New Roman"/>
          <w:color w:val="000000" w:themeColor="text1"/>
        </w:rPr>
        <w:t xml:space="preserve">o not seek to </w:t>
      </w:r>
      <w:r w:rsidR="7E918E99">
        <w:rPr>
          <w:rFonts w:cs="Times New Roman"/>
          <w:color w:val="000000" w:themeColor="text1"/>
        </w:rPr>
        <w:t>review, revise</w:t>
      </w:r>
      <w:r w:rsidR="00187820">
        <w:rPr>
          <w:rFonts w:cs="Times New Roman"/>
          <w:color w:val="000000" w:themeColor="text1"/>
        </w:rPr>
        <w:t>,</w:t>
      </w:r>
      <w:r w:rsidR="7E918E99">
        <w:rPr>
          <w:rFonts w:cs="Times New Roman"/>
          <w:color w:val="000000" w:themeColor="text1"/>
        </w:rPr>
        <w:t xml:space="preserve"> or </w:t>
      </w:r>
      <w:r w:rsidR="00E76752">
        <w:rPr>
          <w:rFonts w:cs="Times New Roman"/>
          <w:color w:val="000000" w:themeColor="text1"/>
        </w:rPr>
        <w:t xml:space="preserve">reverse any </w:t>
      </w:r>
      <w:r w:rsidR="00D70532">
        <w:rPr>
          <w:rFonts w:cs="Times New Roman"/>
          <w:color w:val="000000" w:themeColor="text1"/>
        </w:rPr>
        <w:t xml:space="preserve">decision </w:t>
      </w:r>
      <w:r>
        <w:rPr>
          <w:rFonts w:cs="Times New Roman"/>
          <w:color w:val="000000" w:themeColor="text1"/>
        </w:rPr>
        <w:t>in an individual criminal case</w:t>
      </w:r>
      <w:r w:rsidR="004C5D2C">
        <w:rPr>
          <w:rFonts w:cs="Times New Roman"/>
          <w:color w:val="000000" w:themeColor="text1"/>
        </w:rPr>
        <w:t>.</w:t>
      </w:r>
      <w:r w:rsidR="003E5C01">
        <w:rPr>
          <w:rFonts w:cs="Times New Roman"/>
          <w:color w:val="000000" w:themeColor="text1"/>
        </w:rPr>
        <w:t xml:space="preserve"> Rather, they </w:t>
      </w:r>
      <w:r w:rsidR="00F468F1">
        <w:rPr>
          <w:rFonts w:cs="Times New Roman"/>
          <w:color w:val="000000" w:themeColor="text1"/>
        </w:rPr>
        <w:t>challenge</w:t>
      </w:r>
      <w:r w:rsidR="003E5C01">
        <w:rPr>
          <w:rFonts w:cs="Times New Roman"/>
          <w:color w:val="000000" w:themeColor="text1"/>
        </w:rPr>
        <w:t xml:space="preserve"> </w:t>
      </w:r>
      <w:proofErr w:type="spellStart"/>
      <w:r w:rsidR="00F468F1">
        <w:rPr>
          <w:rFonts w:cs="Times New Roman"/>
          <w:color w:val="000000" w:themeColor="text1"/>
        </w:rPr>
        <w:t>courtwide</w:t>
      </w:r>
      <w:proofErr w:type="spellEnd"/>
      <w:r w:rsidR="00F468F1">
        <w:rPr>
          <w:rFonts w:cs="Times New Roman"/>
          <w:color w:val="000000" w:themeColor="text1"/>
        </w:rPr>
        <w:t xml:space="preserve"> </w:t>
      </w:r>
      <w:r w:rsidR="003E5C01">
        <w:rPr>
          <w:rFonts w:cs="Times New Roman"/>
          <w:color w:val="000000" w:themeColor="text1"/>
        </w:rPr>
        <w:t xml:space="preserve">decisions regarding allocation of </w:t>
      </w:r>
      <w:r w:rsidR="00C94676">
        <w:rPr>
          <w:rFonts w:cs="Times New Roman"/>
          <w:color w:val="000000" w:themeColor="text1"/>
        </w:rPr>
        <w:t>judges</w:t>
      </w:r>
      <w:r w:rsidR="003751A9">
        <w:rPr>
          <w:rFonts w:cs="Times New Roman"/>
          <w:color w:val="000000" w:themeColor="text1"/>
        </w:rPr>
        <w:t>,</w:t>
      </w:r>
      <w:r w:rsidR="00C94676">
        <w:rPr>
          <w:rFonts w:cs="Times New Roman"/>
          <w:color w:val="000000" w:themeColor="text1"/>
        </w:rPr>
        <w:t xml:space="preserve"> </w:t>
      </w:r>
      <w:r w:rsidR="00F468F1">
        <w:rPr>
          <w:rFonts w:cs="Times New Roman"/>
          <w:color w:val="000000" w:themeColor="text1"/>
        </w:rPr>
        <w:t>courtrooms</w:t>
      </w:r>
      <w:r w:rsidR="005078C4">
        <w:rPr>
          <w:rFonts w:cs="Times New Roman"/>
          <w:color w:val="000000" w:themeColor="text1"/>
        </w:rPr>
        <w:t>,</w:t>
      </w:r>
      <w:r w:rsidR="00F468F1">
        <w:rPr>
          <w:rFonts w:cs="Times New Roman"/>
          <w:color w:val="000000" w:themeColor="text1"/>
        </w:rPr>
        <w:t xml:space="preserve"> and other resources</w:t>
      </w:r>
      <w:r w:rsidR="439D0A2F">
        <w:rPr>
          <w:rFonts w:cs="Times New Roman"/>
          <w:color w:val="000000" w:themeColor="text1"/>
        </w:rPr>
        <w:t>, as well as</w:t>
      </w:r>
      <w:r w:rsidRPr="3DE41553">
        <w:rPr>
          <w:rFonts w:cs="Times New Roman"/>
          <w:color w:val="000000" w:themeColor="text1"/>
        </w:rPr>
        <w:t xml:space="preserve"> </w:t>
      </w:r>
      <w:r w:rsidR="000A45DA">
        <w:rPr>
          <w:rFonts w:cs="Times New Roman"/>
          <w:color w:val="000000" w:themeColor="text1"/>
        </w:rPr>
        <w:t xml:space="preserve">the </w:t>
      </w:r>
      <w:r w:rsidR="00FF4050">
        <w:rPr>
          <w:rFonts w:cs="Times New Roman"/>
          <w:color w:val="000000" w:themeColor="text1"/>
        </w:rPr>
        <w:t>creation and circulation</w:t>
      </w:r>
      <w:r w:rsidR="000A45DA">
        <w:rPr>
          <w:rFonts w:cs="Times New Roman"/>
          <w:color w:val="000000" w:themeColor="text1"/>
        </w:rPr>
        <w:t xml:space="preserve"> </w:t>
      </w:r>
      <w:r w:rsidR="00FF4050">
        <w:rPr>
          <w:rFonts w:cs="Times New Roman"/>
          <w:color w:val="000000" w:themeColor="text1"/>
        </w:rPr>
        <w:t xml:space="preserve">to criminal departments </w:t>
      </w:r>
      <w:r w:rsidR="000A45DA">
        <w:rPr>
          <w:rFonts w:cs="Times New Roman"/>
          <w:color w:val="000000" w:themeColor="text1"/>
        </w:rPr>
        <w:t>of a “script”</w:t>
      </w:r>
      <w:r w:rsidR="002016BF">
        <w:rPr>
          <w:rFonts w:cs="Times New Roman"/>
          <w:color w:val="000000" w:themeColor="text1"/>
        </w:rPr>
        <w:t xml:space="preserve"> </w:t>
      </w:r>
      <w:r w:rsidR="00FF4050">
        <w:rPr>
          <w:rFonts w:cs="Times New Roman"/>
          <w:color w:val="000000" w:themeColor="text1"/>
        </w:rPr>
        <w:t>to be utilized in resolving speedy trial motions</w:t>
      </w:r>
      <w:r w:rsidR="003E6CFA">
        <w:rPr>
          <w:rFonts w:cs="Times New Roman"/>
          <w:color w:val="000000" w:themeColor="text1"/>
        </w:rPr>
        <w:t xml:space="preserve"> in lieu of compliance with</w:t>
      </w:r>
      <w:r w:rsidR="00FF4050">
        <w:rPr>
          <w:rFonts w:cs="Times New Roman"/>
          <w:color w:val="000000" w:themeColor="text1"/>
        </w:rPr>
        <w:t xml:space="preserve"> </w:t>
      </w:r>
      <w:proofErr w:type="gramStart"/>
      <w:r w:rsidR="00F04BED">
        <w:rPr>
          <w:rFonts w:cs="Times New Roman"/>
          <w:color w:val="000000" w:themeColor="text1"/>
        </w:rPr>
        <w:t>statutorily-mandated</w:t>
      </w:r>
      <w:proofErr w:type="gramEnd"/>
      <w:r w:rsidR="00F04BED">
        <w:rPr>
          <w:rFonts w:cs="Times New Roman"/>
          <w:color w:val="000000" w:themeColor="text1"/>
        </w:rPr>
        <w:t xml:space="preserve"> procedural </w:t>
      </w:r>
      <w:r w:rsidR="003E6CFA">
        <w:rPr>
          <w:rFonts w:cs="Times New Roman"/>
          <w:color w:val="000000" w:themeColor="text1"/>
        </w:rPr>
        <w:t>requirements</w:t>
      </w:r>
      <w:r w:rsidR="00B82529">
        <w:rPr>
          <w:rFonts w:cs="Times New Roman"/>
          <w:color w:val="000000" w:themeColor="text1"/>
        </w:rPr>
        <w:t>.</w:t>
      </w:r>
    </w:p>
    <w:p w14:paraId="7F348B15" w14:textId="0D858FC3" w:rsidR="0080647E" w:rsidRPr="00FF2FD3" w:rsidRDefault="001B6997" w:rsidP="3DE41553">
      <w:pPr>
        <w:spacing w:line="360" w:lineRule="auto"/>
        <w:contextualSpacing/>
        <w:rPr>
          <w:rStyle w:val="FootnoteReference"/>
          <w:rFonts w:cs="Times New Roman"/>
          <w:color w:val="000000"/>
        </w:rPr>
      </w:pPr>
      <w:r>
        <w:rPr>
          <w:rFonts w:cs="Times New Roman"/>
          <w:color w:val="000000"/>
        </w:rPr>
        <w:tab/>
      </w:r>
      <w:r w:rsidRPr="3DE41553">
        <w:rPr>
          <w:rFonts w:cs="Times New Roman"/>
          <w:i/>
          <w:iCs/>
          <w:color w:val="000000"/>
        </w:rPr>
        <w:t>Ford</w:t>
      </w:r>
      <w:r w:rsidRPr="00F26CCB">
        <w:rPr>
          <w:rFonts w:cs="Times New Roman"/>
          <w:color w:val="000000"/>
        </w:rPr>
        <w:t xml:space="preserve"> </w:t>
      </w:r>
      <w:r w:rsidR="00A437D0">
        <w:rPr>
          <w:rFonts w:cs="Times New Roman"/>
          <w:color w:val="000000"/>
        </w:rPr>
        <w:t xml:space="preserve">further </w:t>
      </w:r>
      <w:r w:rsidRPr="00F26CCB">
        <w:rPr>
          <w:rFonts w:cs="Times New Roman"/>
          <w:color w:val="000000"/>
        </w:rPr>
        <w:t>observ</w:t>
      </w:r>
      <w:r w:rsidR="004A7AAE">
        <w:rPr>
          <w:rFonts w:cs="Times New Roman"/>
          <w:color w:val="000000"/>
        </w:rPr>
        <w:t>ed</w:t>
      </w:r>
      <w:r>
        <w:rPr>
          <w:rFonts w:cs="Times New Roman"/>
          <w:color w:val="000000"/>
        </w:rPr>
        <w:t xml:space="preserve"> </w:t>
      </w:r>
      <w:r w:rsidRPr="00A37373">
        <w:rPr>
          <w:rFonts w:cs="Times New Roman"/>
          <w:color w:val="000000"/>
        </w:rPr>
        <w:t xml:space="preserve">that </w:t>
      </w:r>
      <w:r>
        <w:rPr>
          <w:rFonts w:cs="Times New Roman"/>
          <w:color w:val="000000"/>
        </w:rPr>
        <w:t xml:space="preserve">the </w:t>
      </w:r>
      <w:r w:rsidRPr="00A37373">
        <w:rPr>
          <w:rFonts w:cs="Times New Roman"/>
          <w:color w:val="000000"/>
        </w:rPr>
        <w:t xml:space="preserve">plaintiffs’ proper remedy was “by way of intervention in the main case, and, in the </w:t>
      </w:r>
      <w:r w:rsidRPr="00A37373">
        <w:rPr>
          <w:rFonts w:cs="Times New Roman"/>
          <w:color w:val="000000"/>
        </w:rPr>
        <w:t>event of an adverse decision there, an appeal to this court.” (</w:t>
      </w:r>
      <w:r w:rsidRPr="3DE41553">
        <w:rPr>
          <w:rFonts w:cs="Times New Roman"/>
          <w:i/>
          <w:iCs/>
          <w:color w:val="000000"/>
        </w:rPr>
        <w:t>Ford</w:t>
      </w:r>
      <w:r w:rsidRPr="00A37373">
        <w:rPr>
          <w:rFonts w:cs="Times New Roman"/>
          <w:color w:val="000000"/>
        </w:rPr>
        <w:t xml:space="preserve">, </w:t>
      </w:r>
      <w:r w:rsidRPr="3DE41553">
        <w:rPr>
          <w:rFonts w:cs="Times New Roman"/>
          <w:i/>
          <w:iCs/>
          <w:color w:val="000000"/>
        </w:rPr>
        <w:t>supra</w:t>
      </w:r>
      <w:r w:rsidRPr="00A37373">
        <w:rPr>
          <w:rFonts w:cs="Times New Roman"/>
          <w:color w:val="000000"/>
        </w:rPr>
        <w:t xml:space="preserve">, </w:t>
      </w:r>
      <w:r w:rsidR="007B0AD3">
        <w:rPr>
          <w:rFonts w:cs="Times New Roman"/>
        </w:rPr>
        <w:t xml:space="preserve">188 Cal.App.3d </w:t>
      </w:r>
      <w:r w:rsidRPr="00A37373">
        <w:rPr>
          <w:rFonts w:cs="Times New Roman"/>
          <w:color w:val="000000"/>
        </w:rPr>
        <w:t xml:space="preserve">at </w:t>
      </w:r>
      <w:r w:rsidR="007B0AD3">
        <w:rPr>
          <w:rFonts w:cs="Times New Roman"/>
          <w:color w:val="000000"/>
        </w:rPr>
        <w:t>p. </w:t>
      </w:r>
      <w:r w:rsidRPr="00A37373">
        <w:rPr>
          <w:rFonts w:cs="Times New Roman"/>
          <w:color w:val="000000"/>
        </w:rPr>
        <w:t>742</w:t>
      </w:r>
      <w:r w:rsidRPr="3DE41553">
        <w:rPr>
          <w:rFonts w:cs="Times New Roman"/>
          <w:i/>
          <w:iCs/>
          <w:color w:val="000000"/>
        </w:rPr>
        <w:t>.</w:t>
      </w:r>
      <w:r w:rsidRPr="00A37373">
        <w:rPr>
          <w:rFonts w:cs="Times New Roman"/>
          <w:color w:val="000000"/>
        </w:rPr>
        <w:t xml:space="preserve">) </w:t>
      </w:r>
      <w:r w:rsidR="7B6B5270">
        <w:rPr>
          <w:rFonts w:cs="Times New Roman"/>
          <w:color w:val="000000" w:themeColor="text1"/>
        </w:rPr>
        <w:t>A</w:t>
      </w:r>
      <w:r w:rsidR="007820BA">
        <w:rPr>
          <w:rFonts w:cs="Times New Roman"/>
          <w:color w:val="000000" w:themeColor="text1"/>
        </w:rPr>
        <w:t xml:space="preserve">s we have explained, </w:t>
      </w:r>
      <w:r w:rsidR="4835D7F8">
        <w:rPr>
          <w:rFonts w:cs="Times New Roman"/>
          <w:color w:val="000000" w:themeColor="text1"/>
        </w:rPr>
        <w:t xml:space="preserve">however, </w:t>
      </w:r>
      <w:r w:rsidRPr="00670F20">
        <w:rPr>
          <w:rFonts w:cs="Times New Roman"/>
          <w:color w:val="000000" w:themeColor="text1"/>
        </w:rPr>
        <w:t>plaintiffs have n</w:t>
      </w:r>
      <w:r w:rsidR="009E55D5">
        <w:rPr>
          <w:rFonts w:cs="Times New Roman"/>
          <w:color w:val="000000" w:themeColor="text1"/>
        </w:rPr>
        <w:t>either the desire nor the</w:t>
      </w:r>
      <w:r w:rsidRPr="00670F20">
        <w:rPr>
          <w:rFonts w:cs="Times New Roman"/>
          <w:color w:val="000000" w:themeColor="text1"/>
        </w:rPr>
        <w:t xml:space="preserve"> ability to intervene in the underlying criminal proceedings</w:t>
      </w:r>
      <w:r w:rsidR="00CA6AF7">
        <w:rPr>
          <w:rFonts w:cs="Times New Roman"/>
          <w:color w:val="000000"/>
        </w:rPr>
        <w:t xml:space="preserve"> and have disavowed any intent</w:t>
      </w:r>
      <w:r w:rsidR="002D493E">
        <w:rPr>
          <w:rFonts w:cs="Times New Roman"/>
          <w:color w:val="000000" w:themeColor="text1"/>
        </w:rPr>
        <w:t xml:space="preserve"> to </w:t>
      </w:r>
      <w:r w:rsidR="003576DB">
        <w:rPr>
          <w:rFonts w:cs="Times New Roman"/>
          <w:color w:val="000000" w:themeColor="text1"/>
        </w:rPr>
        <w:t>modify</w:t>
      </w:r>
      <w:r>
        <w:rPr>
          <w:rFonts w:cs="Times New Roman"/>
          <w:color w:val="000000" w:themeColor="text1"/>
        </w:rPr>
        <w:t xml:space="preserve"> </w:t>
      </w:r>
      <w:r w:rsidR="00403893">
        <w:rPr>
          <w:rFonts w:cs="Times New Roman"/>
          <w:color w:val="000000" w:themeColor="text1"/>
        </w:rPr>
        <w:t xml:space="preserve">any </w:t>
      </w:r>
      <w:r w:rsidRPr="5171E46A">
        <w:rPr>
          <w:rFonts w:cs="Times New Roman"/>
          <w:color w:val="000000" w:themeColor="text1"/>
        </w:rPr>
        <w:t xml:space="preserve">order or judgment entered in </w:t>
      </w:r>
      <w:r w:rsidR="00081ECD">
        <w:rPr>
          <w:rFonts w:cs="Times New Roman"/>
          <w:color w:val="000000" w:themeColor="text1"/>
        </w:rPr>
        <w:t xml:space="preserve">a </w:t>
      </w:r>
      <w:r w:rsidR="003246DB">
        <w:rPr>
          <w:rFonts w:cs="Times New Roman"/>
          <w:color w:val="000000" w:themeColor="text1"/>
        </w:rPr>
        <w:t>criminal</w:t>
      </w:r>
      <w:r w:rsidR="003246DB" w:rsidRPr="5171E46A">
        <w:rPr>
          <w:rFonts w:cs="Times New Roman"/>
          <w:color w:val="000000" w:themeColor="text1"/>
        </w:rPr>
        <w:t xml:space="preserve"> </w:t>
      </w:r>
      <w:r w:rsidRPr="5171E46A">
        <w:rPr>
          <w:rFonts w:cs="Times New Roman"/>
          <w:color w:val="000000" w:themeColor="text1"/>
        </w:rPr>
        <w:t>case</w:t>
      </w:r>
      <w:r>
        <w:rPr>
          <w:rFonts w:cs="Times New Roman"/>
          <w:color w:val="000000"/>
        </w:rPr>
        <w:t xml:space="preserve">. </w:t>
      </w:r>
      <w:r w:rsidR="5150C2CA">
        <w:rPr>
          <w:rFonts w:cs="Times New Roman"/>
          <w:color w:val="000000"/>
        </w:rPr>
        <w:t>And c</w:t>
      </w:r>
      <w:r w:rsidR="5B33BE11">
        <w:rPr>
          <w:rFonts w:cs="Times New Roman"/>
          <w:color w:val="000000"/>
        </w:rPr>
        <w:t>ontrary to defendants’ assertions,</w:t>
      </w:r>
      <w:r w:rsidR="40ECC70E">
        <w:rPr>
          <w:rFonts w:cs="Times New Roman"/>
          <w:color w:val="000000"/>
        </w:rPr>
        <w:t xml:space="preserve"> </w:t>
      </w:r>
      <w:r w:rsidR="5B33BE11">
        <w:rPr>
          <w:rFonts w:cs="Times New Roman"/>
          <w:color w:val="000000"/>
        </w:rPr>
        <w:t>t</w:t>
      </w:r>
      <w:r w:rsidR="49697B66">
        <w:rPr>
          <w:rFonts w:cs="Times New Roman"/>
          <w:color w:val="000000"/>
        </w:rPr>
        <w:t>he</w:t>
      </w:r>
      <w:r w:rsidR="22713D22">
        <w:rPr>
          <w:rFonts w:cs="Times New Roman"/>
          <w:color w:val="000000"/>
        </w:rPr>
        <w:t xml:space="preserve"> sought-after relief </w:t>
      </w:r>
      <w:r w:rsidR="003246DB">
        <w:rPr>
          <w:rFonts w:cs="Times New Roman"/>
          <w:color w:val="000000"/>
        </w:rPr>
        <w:t xml:space="preserve">does not </w:t>
      </w:r>
      <w:r w:rsidR="22713D22">
        <w:rPr>
          <w:rFonts w:cs="Times New Roman"/>
          <w:color w:val="000000"/>
        </w:rPr>
        <w:t>threaten to</w:t>
      </w:r>
      <w:r w:rsidR="22713D22" w:rsidRPr="3DE41553">
        <w:rPr>
          <w:rFonts w:cs="Times New Roman"/>
          <w:color w:val="000000" w:themeColor="text1"/>
        </w:rPr>
        <w:t xml:space="preserve"> upset individual, fact-specific, discretionary decisions </w:t>
      </w:r>
      <w:r w:rsidR="00DD085C">
        <w:rPr>
          <w:rFonts w:cs="Times New Roman"/>
          <w:color w:val="000000" w:themeColor="text1"/>
        </w:rPr>
        <w:t xml:space="preserve">on speedy trial </w:t>
      </w:r>
      <w:r w:rsidR="00512DCF">
        <w:rPr>
          <w:rFonts w:cs="Times New Roman"/>
          <w:color w:val="000000" w:themeColor="text1"/>
        </w:rPr>
        <w:t xml:space="preserve">motions </w:t>
      </w:r>
      <w:r w:rsidR="00A06807">
        <w:rPr>
          <w:rFonts w:cs="Times New Roman"/>
          <w:color w:val="000000" w:themeColor="text1"/>
        </w:rPr>
        <w:t xml:space="preserve">(to continue a trial beyond its statutory “last day” or to dismiss a case </w:t>
      </w:r>
      <w:r w:rsidR="00797846">
        <w:rPr>
          <w:rFonts w:cs="Times New Roman"/>
          <w:color w:val="000000" w:themeColor="text1"/>
        </w:rPr>
        <w:t>for failure show good cause for such continuance)</w:t>
      </w:r>
      <w:r w:rsidR="00512DCF">
        <w:rPr>
          <w:rFonts w:cs="Times New Roman"/>
          <w:color w:val="000000" w:themeColor="text1"/>
        </w:rPr>
        <w:t xml:space="preserve"> </w:t>
      </w:r>
      <w:r w:rsidR="22713D22" w:rsidRPr="3DE41553">
        <w:rPr>
          <w:rFonts w:cs="Times New Roman"/>
          <w:color w:val="000000" w:themeColor="text1"/>
        </w:rPr>
        <w:t>in individual criminal cases</w:t>
      </w:r>
      <w:r w:rsidR="00DD085C">
        <w:rPr>
          <w:rFonts w:cs="Times New Roman"/>
          <w:color w:val="000000" w:themeColor="text1"/>
        </w:rPr>
        <w:t>,</w:t>
      </w:r>
      <w:r w:rsidR="36E8395A" w:rsidRPr="3DE41553">
        <w:rPr>
          <w:rFonts w:cs="Times New Roman"/>
          <w:color w:val="000000" w:themeColor="text1"/>
        </w:rPr>
        <w:t xml:space="preserve"> </w:t>
      </w:r>
      <w:r w:rsidR="3A8630AA" w:rsidRPr="3DE41553">
        <w:rPr>
          <w:rFonts w:cs="Times New Roman"/>
          <w:color w:val="000000" w:themeColor="text1"/>
        </w:rPr>
        <w:t xml:space="preserve">or to </w:t>
      </w:r>
      <w:r w:rsidR="22713D22" w:rsidRPr="3DE41553">
        <w:rPr>
          <w:rFonts w:cs="Times New Roman"/>
          <w:color w:val="000000" w:themeColor="text1"/>
        </w:rPr>
        <w:t xml:space="preserve">alter the well-established procedural and substantive rules governing </w:t>
      </w:r>
      <w:r w:rsidR="00DD085C">
        <w:rPr>
          <w:rFonts w:cs="Times New Roman"/>
          <w:color w:val="000000" w:themeColor="text1"/>
        </w:rPr>
        <w:t xml:space="preserve">such </w:t>
      </w:r>
      <w:r w:rsidR="00A92820">
        <w:rPr>
          <w:rFonts w:cs="Times New Roman"/>
          <w:color w:val="000000" w:themeColor="text1"/>
        </w:rPr>
        <w:t>motions</w:t>
      </w:r>
      <w:r w:rsidR="22713D22" w:rsidRPr="3DE41553">
        <w:rPr>
          <w:rFonts w:cs="Times New Roman"/>
          <w:color w:val="000000" w:themeColor="text1"/>
        </w:rPr>
        <w:t xml:space="preserve">. </w:t>
      </w:r>
      <w:r w:rsidR="00CB5B45">
        <w:rPr>
          <w:rFonts w:cs="Times New Roman"/>
          <w:color w:val="000000"/>
        </w:rPr>
        <w:t>As such, n</w:t>
      </w:r>
      <w:r>
        <w:rPr>
          <w:rFonts w:cs="Times New Roman"/>
          <w:color w:val="000000"/>
        </w:rPr>
        <w:t xml:space="preserve">either </w:t>
      </w:r>
      <w:r w:rsidRPr="53BEE575">
        <w:rPr>
          <w:rFonts w:cs="Times New Roman"/>
          <w:color w:val="000000" w:themeColor="text1"/>
        </w:rPr>
        <w:t xml:space="preserve">the </w:t>
      </w:r>
      <w:r>
        <w:rPr>
          <w:rFonts w:cs="Times New Roman"/>
          <w:color w:val="000000"/>
        </w:rPr>
        <w:t xml:space="preserve">rule nor </w:t>
      </w:r>
      <w:r w:rsidRPr="53BEE575">
        <w:rPr>
          <w:rFonts w:cs="Times New Roman"/>
          <w:color w:val="000000" w:themeColor="text1"/>
        </w:rPr>
        <w:t xml:space="preserve">the </w:t>
      </w:r>
      <w:r>
        <w:rPr>
          <w:rFonts w:cs="Times New Roman"/>
          <w:color w:val="000000"/>
        </w:rPr>
        <w:t xml:space="preserve">underlying rationales </w:t>
      </w:r>
      <w:r w:rsidRPr="53BEE575">
        <w:rPr>
          <w:rFonts w:cs="Times New Roman"/>
          <w:color w:val="000000" w:themeColor="text1"/>
        </w:rPr>
        <w:t xml:space="preserve">of </w:t>
      </w:r>
      <w:r w:rsidRPr="3DE41553">
        <w:rPr>
          <w:rFonts w:cs="Times New Roman"/>
          <w:i/>
          <w:iCs/>
          <w:color w:val="000000" w:themeColor="text1"/>
        </w:rPr>
        <w:t>Ford</w:t>
      </w:r>
      <w:r w:rsidRPr="53BEE575">
        <w:rPr>
          <w:rFonts w:cs="Times New Roman"/>
          <w:color w:val="000000" w:themeColor="text1"/>
        </w:rPr>
        <w:t xml:space="preserve"> </w:t>
      </w:r>
      <w:r>
        <w:rPr>
          <w:rFonts w:cs="Times New Roman"/>
          <w:color w:val="000000"/>
        </w:rPr>
        <w:t>appl</w:t>
      </w:r>
      <w:r w:rsidRPr="53BEE575">
        <w:rPr>
          <w:rFonts w:cs="Times New Roman"/>
          <w:color w:val="000000" w:themeColor="text1"/>
        </w:rPr>
        <w:t>y</w:t>
      </w:r>
      <w:r>
        <w:rPr>
          <w:rFonts w:cs="Times New Roman"/>
          <w:color w:val="000000"/>
        </w:rPr>
        <w:t xml:space="preserve"> to bar </w:t>
      </w:r>
      <w:r w:rsidR="00CB5B45">
        <w:rPr>
          <w:rFonts w:cs="Times New Roman"/>
          <w:color w:val="000000"/>
        </w:rPr>
        <w:t xml:space="preserve">plaintiffs’ </w:t>
      </w:r>
      <w:r>
        <w:rPr>
          <w:rFonts w:cs="Times New Roman"/>
          <w:color w:val="000000"/>
        </w:rPr>
        <w:t>taxpayer cause of action.</w:t>
      </w:r>
    </w:p>
    <w:p w14:paraId="1DC89FBD" w14:textId="528081A5" w:rsidR="0080647E" w:rsidRPr="006840B6" w:rsidRDefault="001B6997" w:rsidP="003F5F13">
      <w:pPr>
        <w:keepNext/>
        <w:spacing w:line="360" w:lineRule="auto"/>
        <w:ind w:left="720" w:hanging="720"/>
        <w:contextualSpacing/>
        <w:rPr>
          <w:b/>
        </w:rPr>
      </w:pPr>
      <w:r>
        <w:rPr>
          <w:b/>
        </w:rPr>
        <w:t>2.</w:t>
      </w:r>
      <w:r>
        <w:rPr>
          <w:b/>
        </w:rPr>
        <w:tab/>
        <w:t>Defendants’ Alternative Arguments</w:t>
      </w:r>
    </w:p>
    <w:p w14:paraId="34A4D9EC" w14:textId="57E8F02C" w:rsidR="0080647E" w:rsidRPr="007E4073" w:rsidRDefault="001B6997" w:rsidP="3DE41553">
      <w:pPr>
        <w:shd w:val="clear" w:color="auto" w:fill="FFFFFF" w:themeFill="background1"/>
        <w:spacing w:line="360" w:lineRule="auto"/>
        <w:contextualSpacing/>
        <w:rPr>
          <w:rFonts w:eastAsia="Times New Roman"/>
          <w:color w:val="000000"/>
          <w:sz w:val="24"/>
          <w:szCs w:val="24"/>
        </w:rPr>
      </w:pPr>
      <w:r>
        <w:rPr>
          <w:rFonts w:cs="Times New Roman"/>
          <w:spacing w:val="-2"/>
        </w:rPr>
        <w:tab/>
        <w:t xml:space="preserve">Despite the </w:t>
      </w:r>
      <w:r w:rsidR="004B30A5">
        <w:rPr>
          <w:rFonts w:cs="Times New Roman"/>
          <w:spacing w:val="-2"/>
        </w:rPr>
        <w:t xml:space="preserve">trial </w:t>
      </w:r>
      <w:r>
        <w:rPr>
          <w:rFonts w:cs="Times New Roman"/>
          <w:spacing w:val="-2"/>
        </w:rPr>
        <w:t>c</w:t>
      </w:r>
      <w:r>
        <w:rPr>
          <w:rFonts w:cs="Times New Roman"/>
          <w:spacing w:val="-2"/>
        </w:rPr>
        <w:t xml:space="preserve">ourt’s erroneous </w:t>
      </w:r>
      <w:r w:rsidR="00F37584">
        <w:rPr>
          <w:rFonts w:cs="Times New Roman"/>
          <w:spacing w:val="-2"/>
        </w:rPr>
        <w:t xml:space="preserve">application of </w:t>
      </w:r>
      <w:r w:rsidR="00F37584" w:rsidRPr="00E81453">
        <w:rPr>
          <w:rFonts w:cs="Times New Roman"/>
          <w:i/>
          <w:iCs/>
          <w:spacing w:val="-2"/>
        </w:rPr>
        <w:t>Ford</w:t>
      </w:r>
      <w:r>
        <w:rPr>
          <w:rFonts w:cs="Times New Roman"/>
          <w:spacing w:val="-2"/>
        </w:rPr>
        <w:t xml:space="preserve">, the judgment will not be reversed if </w:t>
      </w:r>
      <w:r w:rsidR="13B5C07D">
        <w:rPr>
          <w:rFonts w:cs="Times New Roman"/>
          <w:spacing w:val="-2"/>
        </w:rPr>
        <w:t xml:space="preserve">we find </w:t>
      </w:r>
      <w:r>
        <w:rPr>
          <w:rFonts w:cs="Times New Roman"/>
          <w:spacing w:val="-2"/>
        </w:rPr>
        <w:t>the demurrer should have been sustained based upon any of d</w:t>
      </w:r>
      <w:r>
        <w:rPr>
          <w:rFonts w:cs="Times New Roman"/>
        </w:rPr>
        <w:t xml:space="preserve">efendants’ </w:t>
      </w:r>
      <w:r>
        <w:rPr>
          <w:rFonts w:cs="Times New Roman"/>
          <w:spacing w:val="-2"/>
        </w:rPr>
        <w:t>alternative “</w:t>
      </w:r>
      <w:r w:rsidRPr="006840B6">
        <w:rPr>
          <w:rFonts w:cs="Times New Roman"/>
        </w:rPr>
        <w:t>ground</w:t>
      </w:r>
      <w:r>
        <w:rPr>
          <w:rFonts w:cs="Times New Roman"/>
        </w:rPr>
        <w:t>[s]</w:t>
      </w:r>
      <w:r w:rsidRPr="006840B6">
        <w:rPr>
          <w:rFonts w:cs="Times New Roman"/>
        </w:rPr>
        <w:t xml:space="preserve"> offered in support of the</w:t>
      </w:r>
      <w:r w:rsidR="008C295E">
        <w:rPr>
          <w:rFonts w:cs="Times New Roman"/>
        </w:rPr>
        <w:t xml:space="preserve"> </w:t>
      </w:r>
      <w:r w:rsidRPr="006840B6">
        <w:rPr>
          <w:rFonts w:cs="Times New Roman"/>
        </w:rPr>
        <w:t>demurrer</w:t>
      </w:r>
      <w:r>
        <w:rPr>
          <w:rFonts w:cs="Times New Roman"/>
          <w:spacing w:val="-2"/>
        </w:rPr>
        <w:t>”</w:t>
      </w:r>
      <w:r w:rsidR="004B30A5">
        <w:rPr>
          <w:rFonts w:cs="Times New Roman"/>
          <w:spacing w:val="-2"/>
        </w:rPr>
        <w:t xml:space="preserve"> and reiterated on appeal.</w:t>
      </w:r>
      <w:r w:rsidRPr="00360742">
        <w:t xml:space="preserve"> </w:t>
      </w:r>
      <w:r w:rsidRPr="007D4DC5">
        <w:t>(</w:t>
      </w:r>
      <w:r w:rsidRPr="3DE41553">
        <w:rPr>
          <w:i/>
          <w:iCs/>
        </w:rPr>
        <w:t>Amy</w:t>
      </w:r>
      <w:r w:rsidR="008C295E" w:rsidRPr="3DE41553">
        <w:rPr>
          <w:i/>
          <w:iCs/>
        </w:rPr>
        <w:t>’</w:t>
      </w:r>
      <w:r w:rsidRPr="3DE41553">
        <w:rPr>
          <w:i/>
          <w:iCs/>
        </w:rPr>
        <w:t>s Kitchen</w:t>
      </w:r>
      <w:r w:rsidRPr="007D4DC5">
        <w:t xml:space="preserve">, </w:t>
      </w:r>
      <w:r w:rsidRPr="00B9221A">
        <w:rPr>
          <w:i/>
          <w:iCs/>
        </w:rPr>
        <w:t>supra</w:t>
      </w:r>
      <w:r w:rsidRPr="007D4DC5">
        <w:t xml:space="preserve">, 83 Cal.App.5th at </w:t>
      </w:r>
      <w:r w:rsidRPr="007D4DC5">
        <w:lastRenderedPageBreak/>
        <w:t>p.</w:t>
      </w:r>
      <w:r>
        <w:t> </w:t>
      </w:r>
      <w:r w:rsidRPr="007D4DC5">
        <w:t>1067.)</w:t>
      </w:r>
      <w:r>
        <w:rPr>
          <w:rFonts w:cs="Times New Roman"/>
          <w:spacing w:val="-2"/>
        </w:rPr>
        <w:t xml:space="preserve"> </w:t>
      </w:r>
      <w:r w:rsidR="00054031">
        <w:rPr>
          <w:rFonts w:cs="Times New Roman"/>
          <w:spacing w:val="-2"/>
        </w:rPr>
        <w:t xml:space="preserve">To evaluate these </w:t>
      </w:r>
      <w:r>
        <w:rPr>
          <w:rFonts w:cs="Times New Roman"/>
          <w:spacing w:val="-2"/>
        </w:rPr>
        <w:t xml:space="preserve">theories, we </w:t>
      </w:r>
      <w:r w:rsidR="00EE5521">
        <w:rPr>
          <w:rFonts w:cs="Times New Roman"/>
          <w:spacing w:val="-2"/>
        </w:rPr>
        <w:t>first</w:t>
      </w:r>
      <w:r>
        <w:rPr>
          <w:rFonts w:cs="Times New Roman"/>
          <w:spacing w:val="-2"/>
        </w:rPr>
        <w:t xml:space="preserve"> examine the two forms of taxpayer standing </w:t>
      </w:r>
      <w:r w:rsidR="00434C47">
        <w:rPr>
          <w:rFonts w:cs="Times New Roman"/>
          <w:spacing w:val="-2"/>
        </w:rPr>
        <w:t xml:space="preserve">and </w:t>
      </w:r>
      <w:r>
        <w:rPr>
          <w:rFonts w:cs="Times New Roman"/>
          <w:spacing w:val="-2"/>
        </w:rPr>
        <w:t xml:space="preserve">the </w:t>
      </w:r>
      <w:r w:rsidR="00DB15CC">
        <w:rPr>
          <w:rFonts w:cs="Times New Roman"/>
          <w:spacing w:val="-2"/>
        </w:rPr>
        <w:t xml:space="preserve">various </w:t>
      </w:r>
      <w:r>
        <w:rPr>
          <w:rFonts w:cs="Times New Roman"/>
          <w:spacing w:val="-2"/>
        </w:rPr>
        <w:t>Penal Code provisions</w:t>
      </w:r>
      <w:r w:rsidR="00DB15CC">
        <w:rPr>
          <w:rFonts w:cs="Times New Roman"/>
          <w:spacing w:val="-2"/>
        </w:rPr>
        <w:t xml:space="preserve"> upon which the taxpayer claim </w:t>
      </w:r>
      <w:r w:rsidR="005213E1">
        <w:rPr>
          <w:rFonts w:cs="Times New Roman"/>
          <w:spacing w:val="-2"/>
        </w:rPr>
        <w:t>is premised.</w:t>
      </w:r>
    </w:p>
    <w:p w14:paraId="3348F86B" w14:textId="738445EA" w:rsidR="0080647E" w:rsidRPr="00684298" w:rsidRDefault="001B6997" w:rsidP="3DE41553">
      <w:pPr>
        <w:keepNext/>
        <w:autoSpaceDE w:val="0"/>
        <w:autoSpaceDN w:val="0"/>
        <w:adjustRightInd w:val="0"/>
        <w:spacing w:line="360" w:lineRule="auto"/>
        <w:contextualSpacing/>
        <w:rPr>
          <w:rFonts w:cs="Times New Roman"/>
          <w:b/>
          <w:bCs/>
          <w:i/>
          <w:iCs/>
          <w:spacing w:val="-2"/>
        </w:rPr>
      </w:pPr>
      <w:r>
        <w:rPr>
          <w:rFonts w:cs="Times New Roman"/>
          <w:b/>
          <w:bCs/>
          <w:spacing w:val="-2"/>
        </w:rPr>
        <w:tab/>
        <w:t>a.</w:t>
      </w:r>
      <w:r>
        <w:rPr>
          <w:rFonts w:cs="Times New Roman"/>
          <w:b/>
          <w:spacing w:val="-2"/>
        </w:rPr>
        <w:t xml:space="preserve"> </w:t>
      </w:r>
      <w:r w:rsidRPr="3DE41553">
        <w:rPr>
          <w:rFonts w:cs="Times New Roman"/>
          <w:b/>
          <w:bCs/>
          <w:i/>
          <w:iCs/>
          <w:spacing w:val="-2"/>
        </w:rPr>
        <w:t>Taxpayer</w:t>
      </w:r>
      <w:r w:rsidR="00434C47" w:rsidRPr="3DE41553">
        <w:rPr>
          <w:rFonts w:cs="Times New Roman"/>
          <w:b/>
          <w:bCs/>
          <w:i/>
          <w:iCs/>
          <w:spacing w:val="-2"/>
        </w:rPr>
        <w:t xml:space="preserve"> </w:t>
      </w:r>
      <w:r w:rsidRPr="3DE41553">
        <w:rPr>
          <w:rFonts w:cs="Times New Roman"/>
          <w:b/>
          <w:bCs/>
          <w:i/>
          <w:iCs/>
          <w:spacing w:val="-2"/>
        </w:rPr>
        <w:t>Standing</w:t>
      </w:r>
      <w:r w:rsidR="6404F315" w:rsidRPr="3DE41553">
        <w:rPr>
          <w:rFonts w:cs="Times New Roman"/>
          <w:b/>
          <w:bCs/>
          <w:i/>
          <w:iCs/>
          <w:spacing w:val="-2"/>
        </w:rPr>
        <w:t xml:space="preserve"> Claims Against Courts and Judges</w:t>
      </w:r>
    </w:p>
    <w:p w14:paraId="1B34F22A" w14:textId="4F90AEDA" w:rsidR="00434C47" w:rsidRDefault="001B6997" w:rsidP="3DE41553">
      <w:pPr>
        <w:autoSpaceDE w:val="0"/>
        <w:autoSpaceDN w:val="0"/>
        <w:adjustRightInd w:val="0"/>
        <w:spacing w:line="360" w:lineRule="auto"/>
        <w:contextualSpacing/>
        <w:rPr>
          <w:rFonts w:cs="Arial"/>
          <w:color w:val="555555"/>
        </w:rPr>
      </w:pPr>
      <w:r>
        <w:rPr>
          <w:rFonts w:cs="Times New Roman"/>
          <w:spacing w:val="-2"/>
        </w:rPr>
        <w:tab/>
      </w:r>
      <w:r w:rsidR="25975A6A" w:rsidRPr="4B0E998B">
        <w:rPr>
          <w:rFonts w:cs="CenturySchoolbook"/>
        </w:rPr>
        <w:t>“[A]</w:t>
      </w:r>
      <w:r w:rsidR="00C41093">
        <w:rPr>
          <w:rFonts w:cs="CenturySchoolbook"/>
        </w:rPr>
        <w:t xml:space="preserve"> </w:t>
      </w:r>
      <w:r w:rsidR="25975A6A" w:rsidRPr="4B0E998B">
        <w:rPr>
          <w:rFonts w:cs="CenturySchoolbook"/>
        </w:rPr>
        <w:t xml:space="preserve">taxpayer can </w:t>
      </w:r>
      <w:proofErr w:type="gramStart"/>
      <w:r w:rsidR="25975A6A" w:rsidRPr="4B0E998B">
        <w:rPr>
          <w:rFonts w:cs="CenturySchoolbook"/>
        </w:rPr>
        <w:t>bring suit against</w:t>
      </w:r>
      <w:proofErr w:type="gramEnd"/>
      <w:r w:rsidR="25975A6A" w:rsidRPr="4B0E998B">
        <w:rPr>
          <w:rFonts w:cs="CenturySchoolbook"/>
        </w:rPr>
        <w:t xml:space="preserve"> governmental bodies in California under either of two theories, one statutory, the other based upon the common law. Section 526a </w:t>
      </w:r>
      <w:r w:rsidR="00EA4F81">
        <w:rPr>
          <w:rFonts w:cs="CenturySchoolbook"/>
        </w:rPr>
        <w:t>of the Code of Civil Procedure</w:t>
      </w:r>
      <w:r w:rsidR="4F620645">
        <w:rPr>
          <w:rFonts w:cs="CenturySchoolbook"/>
        </w:rPr>
        <w:t xml:space="preserve"> </w:t>
      </w:r>
      <w:r w:rsidR="25975A6A" w:rsidRPr="4B0E998B">
        <w:rPr>
          <w:rFonts w:cs="CenturySchoolbook"/>
        </w:rPr>
        <w:t xml:space="preserve">provides, in part, that ‘An action to obtain a judgment, restraining and preventing any illegal expenditure of, </w:t>
      </w:r>
      <w:r w:rsidR="25975A6A" w:rsidRPr="797FBB80">
        <w:rPr>
          <w:rFonts w:cs="CenturySchoolbook"/>
          <w:i/>
          <w:iCs/>
        </w:rPr>
        <w:t>waste of</w:t>
      </w:r>
      <w:r w:rsidR="25975A6A" w:rsidRPr="4B0E998B">
        <w:rPr>
          <w:rFonts w:cs="CenturySchoolbook"/>
        </w:rPr>
        <w:t xml:space="preserve">, or injury to, the estate, </w:t>
      </w:r>
      <w:r w:rsidR="25975A6A" w:rsidRPr="797FBB80">
        <w:rPr>
          <w:rFonts w:cs="CenturySchoolbook"/>
          <w:i/>
          <w:iCs/>
        </w:rPr>
        <w:t>funds</w:t>
      </w:r>
      <w:r w:rsidR="25975A6A" w:rsidRPr="4B0E998B">
        <w:rPr>
          <w:rFonts w:cs="CenturySchoolbook"/>
        </w:rPr>
        <w:t xml:space="preserve">, or other property </w:t>
      </w:r>
      <w:r w:rsidR="25975A6A" w:rsidRPr="797FBB80">
        <w:rPr>
          <w:rFonts w:cs="CenturySchoolbook"/>
          <w:i/>
          <w:iCs/>
        </w:rPr>
        <w:t>of a county, town, city or city and county of the state</w:t>
      </w:r>
      <w:r w:rsidR="25975A6A" w:rsidRPr="4B0E998B">
        <w:rPr>
          <w:rFonts w:cs="CenturySchoolbook"/>
        </w:rPr>
        <w:t>,</w:t>
      </w:r>
      <w:r w:rsidR="00C5340F" w:rsidRPr="00C15A43">
        <w:rPr>
          <w:rFonts w:cs="CenturySchoolbook"/>
          <w:vertAlign w:val="superscript"/>
        </w:rPr>
        <w:t>[</w:t>
      </w:r>
      <w:r>
        <w:rPr>
          <w:rStyle w:val="FootnoteReference"/>
          <w:rFonts w:cs="CenturySchoolbook"/>
        </w:rPr>
        <w:footnoteReference w:id="15"/>
      </w:r>
      <w:r w:rsidR="00C5340F" w:rsidRPr="00C15A43">
        <w:rPr>
          <w:rFonts w:cs="CenturySchoolbook"/>
          <w:vertAlign w:val="superscript"/>
        </w:rPr>
        <w:t>]</w:t>
      </w:r>
      <w:r w:rsidR="25975A6A" w:rsidRPr="4B0E998B">
        <w:rPr>
          <w:rFonts w:cs="CenturySchoolbook"/>
        </w:rPr>
        <w:t xml:space="preserve"> may be maintained against any officer thereof, or any agent, or other person, acting in its behalf, either by a citizen resident therein, or by a corporation, who is assessed for and is liable to pay, or, within one year before the commencement of the action, has paid, a tax therein.’ (Italics added.) This provision is to be compared to and contrasted with the common law authority for taxpayer suits, as stated in </w:t>
      </w:r>
      <w:proofErr w:type="gramStart"/>
      <w:r w:rsidR="25975A6A" w:rsidRPr="797FBB80">
        <w:rPr>
          <w:rFonts w:cs="CenturySchoolbook"/>
          <w:i/>
          <w:iCs/>
        </w:rPr>
        <w:t>Silver</w:t>
      </w:r>
      <w:r w:rsidR="25975A6A" w:rsidRPr="4B0E998B">
        <w:rPr>
          <w:rFonts w:cs="CenturySchoolbook"/>
        </w:rPr>
        <w:t>[</w:t>
      </w:r>
      <w:proofErr w:type="gramEnd"/>
      <w:r w:rsidR="25975A6A" w:rsidRPr="4B0E998B">
        <w:rPr>
          <w:rFonts w:cs="CenturySchoolbook"/>
        </w:rPr>
        <w:t xml:space="preserve">, </w:t>
      </w:r>
      <w:r w:rsidR="25975A6A" w:rsidRPr="797FBB80">
        <w:rPr>
          <w:rFonts w:cs="CenturySchoolbook"/>
          <w:i/>
          <w:iCs/>
        </w:rPr>
        <w:t>supra</w:t>
      </w:r>
      <w:r w:rsidR="25975A6A" w:rsidRPr="4B0E998B">
        <w:rPr>
          <w:rFonts w:cs="CenturySchoolbook"/>
        </w:rPr>
        <w:t xml:space="preserve">,] 57 Cal.2d [at pages] 40–41 that a ‘taxpayer in his representative capacity can sue a municipality </w:t>
      </w:r>
      <w:r w:rsidR="25975A6A" w:rsidRPr="00AF2B79">
        <w:rPr>
          <w:rFonts w:cs="CenturySchoolbook"/>
          <w:i/>
          <w:iCs/>
        </w:rPr>
        <w:t xml:space="preserve">only </w:t>
      </w:r>
      <w:r w:rsidR="25975A6A" w:rsidRPr="4B0E998B">
        <w:rPr>
          <w:rFonts w:cs="CenturySchoolbook"/>
        </w:rPr>
        <w:t xml:space="preserve">in cases </w:t>
      </w:r>
      <w:r w:rsidR="25975A6A" w:rsidRPr="00593D51">
        <w:rPr>
          <w:rFonts w:cs="CenturySchoolbook"/>
        </w:rPr>
        <w:t xml:space="preserve">involving </w:t>
      </w:r>
      <w:r w:rsidR="25975A6A" w:rsidRPr="797FBB80">
        <w:rPr>
          <w:rFonts w:cs="CenturySchoolbook"/>
          <w:i/>
          <w:iCs/>
        </w:rPr>
        <w:t>fraud, collusion, ultra vires, or a failure on the part of the governmental body to perform a duty specifically enjoined</w:t>
      </w:r>
      <w:r w:rsidR="25975A6A" w:rsidRPr="00593D51">
        <w:rPr>
          <w:rFonts w:cs="CenturySchoolbook"/>
        </w:rPr>
        <w:t>.’ (Italics added.)</w:t>
      </w:r>
      <w:r w:rsidR="31D30086">
        <w:rPr>
          <w:rFonts w:cs="CenturySchoolbook"/>
        </w:rPr>
        <w:t>”</w:t>
      </w:r>
      <w:r w:rsidR="25975A6A" w:rsidRPr="4B0E998B">
        <w:rPr>
          <w:rFonts w:cs="CenturySchoolbook"/>
        </w:rPr>
        <w:t xml:space="preserve"> </w:t>
      </w:r>
      <w:r w:rsidR="31D30086" w:rsidRPr="00593D51">
        <w:rPr>
          <w:rFonts w:cs="CenturySchoolbook"/>
        </w:rPr>
        <w:t>(</w:t>
      </w:r>
      <w:r w:rsidR="31D30086" w:rsidRPr="797FBB80">
        <w:rPr>
          <w:rFonts w:cs="Arial"/>
          <w:i/>
          <w:iCs/>
        </w:rPr>
        <w:t xml:space="preserve">Los Altos Property </w:t>
      </w:r>
      <w:r w:rsidR="31D30086" w:rsidRPr="797FBB80">
        <w:rPr>
          <w:rFonts w:cs="Arial"/>
          <w:i/>
          <w:iCs/>
          <w:spacing w:val="-2"/>
        </w:rPr>
        <w:t>Owners Assn. v. Hutcheon</w:t>
      </w:r>
      <w:r w:rsidR="31D30086" w:rsidRPr="00DA1D21">
        <w:rPr>
          <w:rFonts w:cs="Arial"/>
          <w:spacing w:val="-2"/>
        </w:rPr>
        <w:t xml:space="preserve"> (1977) 69</w:t>
      </w:r>
      <w:r w:rsidR="7AEC5255" w:rsidRPr="00DA1D21">
        <w:rPr>
          <w:rFonts w:cs="Arial"/>
          <w:spacing w:val="-2"/>
        </w:rPr>
        <w:t> </w:t>
      </w:r>
      <w:r w:rsidR="31D30086" w:rsidRPr="00DA1D21">
        <w:rPr>
          <w:rFonts w:cs="Arial"/>
          <w:spacing w:val="-2"/>
        </w:rPr>
        <w:t>Cal.App.3d 22, 26.)</w:t>
      </w:r>
      <w:r w:rsidR="31D30086" w:rsidRPr="00DA1D21">
        <w:rPr>
          <w:rStyle w:val="FootnoteReference"/>
          <w:rFonts w:cs="Arial"/>
        </w:rPr>
        <w:t xml:space="preserve"> </w:t>
      </w:r>
    </w:p>
    <w:p w14:paraId="74E18F20" w14:textId="7C26469E" w:rsidR="00434C47" w:rsidRDefault="001B6997" w:rsidP="00B248BF">
      <w:pPr>
        <w:autoSpaceDE w:val="0"/>
        <w:autoSpaceDN w:val="0"/>
        <w:adjustRightInd w:val="0"/>
        <w:spacing w:line="360" w:lineRule="auto"/>
        <w:contextualSpacing/>
        <w:rPr>
          <w:rFonts w:cs="Times New Roman"/>
          <w:color w:val="000000"/>
        </w:rPr>
      </w:pPr>
      <w:r>
        <w:rPr>
          <w:rFonts w:cs="CenturySchoolbook"/>
        </w:rPr>
        <w:tab/>
      </w:r>
      <w:r w:rsidR="1655F2F1">
        <w:rPr>
          <w:rFonts w:cs="CenturySchoolbook"/>
        </w:rPr>
        <w:t>Defendants mainly challenge the sufficiency of plaintiffs</w:t>
      </w:r>
      <w:r w:rsidR="24AD46A9">
        <w:rPr>
          <w:rFonts w:cs="CenturySchoolbook"/>
        </w:rPr>
        <w:t>’</w:t>
      </w:r>
      <w:r w:rsidR="2B1CC7A4">
        <w:rPr>
          <w:rFonts w:cs="CenturySchoolbook"/>
        </w:rPr>
        <w:t xml:space="preserve"> </w:t>
      </w:r>
      <w:r w:rsidR="001261BB">
        <w:rPr>
          <w:rFonts w:cs="CenturySchoolbook"/>
        </w:rPr>
        <w:t>Code of Civil P</w:t>
      </w:r>
      <w:r w:rsidR="00361CA0">
        <w:rPr>
          <w:rFonts w:cs="CenturySchoolbook"/>
        </w:rPr>
        <w:t>roc</w:t>
      </w:r>
      <w:r w:rsidR="001261BB">
        <w:rPr>
          <w:rFonts w:cs="CenturySchoolbook"/>
        </w:rPr>
        <w:t xml:space="preserve">edure </w:t>
      </w:r>
      <w:r w:rsidR="001D2F79">
        <w:rPr>
          <w:rFonts w:cs="CenturySchoolbook"/>
        </w:rPr>
        <w:t xml:space="preserve">section </w:t>
      </w:r>
      <w:r w:rsidR="1655F2F1">
        <w:rPr>
          <w:rFonts w:cs="CenturySchoolbook"/>
        </w:rPr>
        <w:t>526a claim</w:t>
      </w:r>
      <w:r w:rsidR="001261BB">
        <w:rPr>
          <w:rFonts w:cs="CenturySchoolbook"/>
        </w:rPr>
        <w:t xml:space="preserve"> (statutory taxpayer claim)</w:t>
      </w:r>
      <w:r w:rsidR="1655F2F1">
        <w:rPr>
          <w:rFonts w:cs="CenturySchoolbook"/>
        </w:rPr>
        <w:t xml:space="preserve">. First, they </w:t>
      </w:r>
      <w:r w:rsidR="72C4E31D">
        <w:rPr>
          <w:rFonts w:cs="CenturySchoolbook"/>
        </w:rPr>
        <w:t xml:space="preserve">assert </w:t>
      </w:r>
      <w:r w:rsidR="72C4E31D">
        <w:rPr>
          <w:rFonts w:cs="CenturySchoolbook"/>
        </w:rPr>
        <w:lastRenderedPageBreak/>
        <w:t>that they are not subject to a statutory claim because they are not identified in the statute as a covered entity.</w:t>
      </w:r>
      <w:r w:rsidR="7AEC5255">
        <w:rPr>
          <w:rFonts w:cs="CenturySchoolbook"/>
        </w:rPr>
        <w:t xml:space="preserve"> </w:t>
      </w:r>
      <w:r w:rsidR="7D14D67D">
        <w:rPr>
          <w:rFonts w:cs="CenturySchoolbook"/>
        </w:rPr>
        <w:t>This argument is</w:t>
      </w:r>
      <w:r w:rsidR="18518CA7">
        <w:rPr>
          <w:rFonts w:cs="CenturySchoolbook"/>
        </w:rPr>
        <w:t>, frankly,</w:t>
      </w:r>
      <w:r w:rsidR="7D14D67D">
        <w:rPr>
          <w:rFonts w:cs="CenturySchoolbook"/>
        </w:rPr>
        <w:t xml:space="preserve"> specious. </w:t>
      </w:r>
      <w:r w:rsidR="603200E1">
        <w:rPr>
          <w:rFonts w:cs="CenturySchoolbook"/>
        </w:rPr>
        <w:t>A</w:t>
      </w:r>
      <w:r w:rsidR="6F682DE5">
        <w:rPr>
          <w:rFonts w:cs="CenturySchoolbook"/>
        </w:rPr>
        <w:t>lthough</w:t>
      </w:r>
      <w:r w:rsidR="00183E0C">
        <w:rPr>
          <w:rFonts w:cs="CenturySchoolbook"/>
        </w:rPr>
        <w:t xml:space="preserve"> the statute</w:t>
      </w:r>
      <w:r w:rsidR="7AEC5255">
        <w:rPr>
          <w:rFonts w:cs="CenturySchoolbook"/>
        </w:rPr>
        <w:t xml:space="preserve"> “</w:t>
      </w:r>
      <w:r w:rsidR="25975A6A" w:rsidRPr="4B0E998B">
        <w:rPr>
          <w:rFonts w:cs="CenturySchoolbook"/>
        </w:rPr>
        <w:t>on its face, only applies to towns, cities, counties, and cities and counties of the state</w:t>
      </w:r>
      <w:r w:rsidR="00BC7012">
        <w:rPr>
          <w:rFonts w:cs="CenturySchoolbook"/>
        </w:rPr>
        <w:t>,</w:t>
      </w:r>
      <w:r w:rsidR="25975A6A" w:rsidRPr="4B0E998B">
        <w:rPr>
          <w:rFonts w:cs="CenturySchoolbook"/>
        </w:rPr>
        <w:t xml:space="preserve">” </w:t>
      </w:r>
      <w:r w:rsidR="4F2E348B">
        <w:rPr>
          <w:rFonts w:cs="CenturySchoolbook"/>
        </w:rPr>
        <w:t>our c</w:t>
      </w:r>
      <w:r w:rsidR="7AEC5255">
        <w:rPr>
          <w:rFonts w:cs="CenturySchoolbook"/>
        </w:rPr>
        <w:t xml:space="preserve">ourts have </w:t>
      </w:r>
      <w:r w:rsidR="25975A6A" w:rsidRPr="00353D3A">
        <w:rPr>
          <w:rFonts w:cs="CenturySchoolbook"/>
        </w:rPr>
        <w:t xml:space="preserve">“consistently held that </w:t>
      </w:r>
      <w:r w:rsidR="00687F47">
        <w:rPr>
          <w:rFonts w:cs="CenturySchoolbook"/>
        </w:rPr>
        <w:t>the statute</w:t>
      </w:r>
      <w:r w:rsidR="25975A6A" w:rsidRPr="00353D3A">
        <w:rPr>
          <w:rFonts w:cs="CenturySchoolbook"/>
        </w:rPr>
        <w:t xml:space="preserve"> is to be liberally construed” </w:t>
      </w:r>
      <w:r w:rsidR="6BAEE061">
        <w:rPr>
          <w:rFonts w:cs="CenturySchoolbook"/>
        </w:rPr>
        <w:t>to</w:t>
      </w:r>
      <w:r w:rsidR="6BAEE061" w:rsidRPr="00353D3A">
        <w:rPr>
          <w:rFonts w:cs="CenturySchoolbook"/>
        </w:rPr>
        <w:t xml:space="preserve"> </w:t>
      </w:r>
      <w:r w:rsidR="6BAEE061">
        <w:rPr>
          <w:rFonts w:cs="CenturySchoolbook"/>
        </w:rPr>
        <w:t xml:space="preserve">also </w:t>
      </w:r>
      <w:r w:rsidR="7AEC5255">
        <w:rPr>
          <w:rFonts w:cs="CenturySchoolbook"/>
        </w:rPr>
        <w:t>appl</w:t>
      </w:r>
      <w:r w:rsidR="6BAEE061">
        <w:rPr>
          <w:rFonts w:cs="CenturySchoolbook"/>
        </w:rPr>
        <w:t>y</w:t>
      </w:r>
      <w:r w:rsidR="7AEC5255" w:rsidRPr="00353D3A">
        <w:rPr>
          <w:rFonts w:cs="CenturySchoolbook"/>
        </w:rPr>
        <w:t xml:space="preserve"> </w:t>
      </w:r>
      <w:r w:rsidR="25975A6A" w:rsidRPr="00353D3A">
        <w:rPr>
          <w:rFonts w:cs="CenturySchoolbook"/>
        </w:rPr>
        <w:t>to state officials and agencies</w:t>
      </w:r>
      <w:r w:rsidR="1EC3FABD">
        <w:rPr>
          <w:rFonts w:cs="CenturySchoolbook"/>
        </w:rPr>
        <w:t>.</w:t>
      </w:r>
      <w:r w:rsidR="25975A6A" w:rsidRPr="00A1241C">
        <w:rPr>
          <w:rFonts w:cs="CenturySchoolbook"/>
        </w:rPr>
        <w:t xml:space="preserve"> (</w:t>
      </w:r>
      <w:r w:rsidR="003357B4" w:rsidRPr="00A1241C">
        <w:rPr>
          <w:rFonts w:cs="CenturySchoolbook"/>
          <w:i/>
        </w:rPr>
        <w:t>Los Altos</w:t>
      </w:r>
      <w:r w:rsidR="00F64206">
        <w:rPr>
          <w:rFonts w:cs="CenturySchoolbook"/>
          <w:i/>
        </w:rPr>
        <w:t xml:space="preserve"> </w:t>
      </w:r>
      <w:r w:rsidR="00F64206" w:rsidRPr="797FBB80">
        <w:rPr>
          <w:rFonts w:cs="Arial"/>
          <w:i/>
          <w:iCs/>
        </w:rPr>
        <w:t xml:space="preserve">Property </w:t>
      </w:r>
      <w:r w:rsidR="00F64206" w:rsidRPr="797FBB80">
        <w:rPr>
          <w:rFonts w:cs="Arial"/>
          <w:i/>
          <w:iCs/>
          <w:spacing w:val="-2"/>
        </w:rPr>
        <w:t>Owners Assn. v. Hutcheon</w:t>
      </w:r>
      <w:r w:rsidR="003357B4" w:rsidRPr="00A1241C">
        <w:rPr>
          <w:rFonts w:cs="CenturySchoolbook"/>
          <w:i/>
        </w:rPr>
        <w:t xml:space="preserve">, </w:t>
      </w:r>
      <w:r w:rsidR="003357B4" w:rsidRPr="0065488D">
        <w:rPr>
          <w:rFonts w:cs="CenturySchoolbook"/>
          <w:i/>
        </w:rPr>
        <w:t>supra</w:t>
      </w:r>
      <w:r w:rsidR="003357B4" w:rsidRPr="00A1241C">
        <w:rPr>
          <w:rFonts w:cs="CenturySchoolbook"/>
        </w:rPr>
        <w:t>, 69 Cal</w:t>
      </w:r>
      <w:r w:rsidR="25975A6A" w:rsidRPr="00A1241C">
        <w:rPr>
          <w:rFonts w:cs="CenturySchoolbook"/>
        </w:rPr>
        <w:t>.</w:t>
      </w:r>
      <w:r w:rsidR="003357B4" w:rsidRPr="00A1241C">
        <w:rPr>
          <w:rFonts w:cs="CenturySchoolbook"/>
        </w:rPr>
        <w:t>App.3d</w:t>
      </w:r>
      <w:r w:rsidR="25975A6A" w:rsidRPr="00A1241C">
        <w:rPr>
          <w:rFonts w:cs="CenturySchoolbook"/>
        </w:rPr>
        <w:t xml:space="preserve"> at p</w:t>
      </w:r>
      <w:r w:rsidR="00AE0C40">
        <w:rPr>
          <w:rFonts w:cs="CenturySchoolbook"/>
        </w:rPr>
        <w:t>p</w:t>
      </w:r>
      <w:r w:rsidR="25975A6A" w:rsidRPr="00A1241C">
        <w:rPr>
          <w:rFonts w:cs="CenturySchoolbook"/>
        </w:rPr>
        <w:t>. 27</w:t>
      </w:r>
      <w:r w:rsidR="00343050">
        <w:rPr>
          <w:rFonts w:cs="CenturySchoolbook"/>
        </w:rPr>
        <w:t>–</w:t>
      </w:r>
      <w:r w:rsidR="00754D88">
        <w:rPr>
          <w:rFonts w:cs="CenturySchoolbook"/>
        </w:rPr>
        <w:t>28</w:t>
      </w:r>
      <w:r w:rsidR="25975A6A" w:rsidRPr="00A1241C">
        <w:rPr>
          <w:rFonts w:cs="CenturySchoolbook"/>
        </w:rPr>
        <w:t xml:space="preserve"> &amp; </w:t>
      </w:r>
      <w:r w:rsidR="00C05CFA">
        <w:rPr>
          <w:rFonts w:cs="CenturySchoolbook"/>
        </w:rPr>
        <w:t xml:space="preserve">p. 27, </w:t>
      </w:r>
      <w:r w:rsidR="25975A6A" w:rsidRPr="00A1241C">
        <w:rPr>
          <w:rFonts w:cs="CenturySchoolbook"/>
        </w:rPr>
        <w:t>fn.</w:t>
      </w:r>
      <w:r w:rsidR="26233DCD" w:rsidRPr="00A1241C">
        <w:rPr>
          <w:rFonts w:cs="CenturySchoolbook"/>
        </w:rPr>
        <w:t> </w:t>
      </w:r>
      <w:r w:rsidR="25975A6A" w:rsidRPr="00A1241C">
        <w:rPr>
          <w:rFonts w:cs="CenturySchoolbook"/>
        </w:rPr>
        <w:t>5</w:t>
      </w:r>
      <w:r w:rsidR="6163C4ED" w:rsidRPr="00A1241C">
        <w:rPr>
          <w:rFonts w:cs="CenturySchoolbook"/>
        </w:rPr>
        <w:t>,</w:t>
      </w:r>
      <w:r w:rsidR="6163C4ED">
        <w:rPr>
          <w:rFonts w:cs="Arial"/>
          <w:color w:val="555555"/>
          <w:spacing w:val="-2"/>
        </w:rPr>
        <w:t xml:space="preserve"> </w:t>
      </w:r>
      <w:r w:rsidR="6163C4ED" w:rsidRPr="3DE41553">
        <w:t xml:space="preserve">citing </w:t>
      </w:r>
      <w:proofErr w:type="spellStart"/>
      <w:r w:rsidR="6163C4ED" w:rsidRPr="797FBB80">
        <w:rPr>
          <w:i/>
          <w:iCs/>
        </w:rPr>
        <w:t>Stanson</w:t>
      </w:r>
      <w:proofErr w:type="spellEnd"/>
      <w:r w:rsidR="6163C4ED" w:rsidRPr="797FBB80">
        <w:rPr>
          <w:i/>
          <w:iCs/>
        </w:rPr>
        <w:t xml:space="preserve"> v. Mott </w:t>
      </w:r>
      <w:r w:rsidR="6163C4ED" w:rsidRPr="3DE41553">
        <w:t>(1976) 17</w:t>
      </w:r>
      <w:r w:rsidR="00183E0C">
        <w:t> </w:t>
      </w:r>
      <w:r w:rsidR="6163C4ED" w:rsidRPr="3DE41553">
        <w:t xml:space="preserve">Cal.3d 206, 222–223; </w:t>
      </w:r>
      <w:r w:rsidR="6163C4ED" w:rsidRPr="797FBB80">
        <w:rPr>
          <w:i/>
          <w:iCs/>
        </w:rPr>
        <w:t xml:space="preserve">Serrano v. Priest </w:t>
      </w:r>
      <w:r w:rsidR="6163C4ED" w:rsidRPr="3DE41553">
        <w:t xml:space="preserve">(1971) 5 Cal.3d 584, 618, fn. 38; </w:t>
      </w:r>
      <w:r w:rsidR="73E33585" w:rsidRPr="797FBB80">
        <w:rPr>
          <w:i/>
          <w:iCs/>
        </w:rPr>
        <w:t xml:space="preserve">Blair v. Pitchess </w:t>
      </w:r>
      <w:r w:rsidR="73E33585" w:rsidRPr="3DE41553">
        <w:t>(1971) 5 Cal.3d 258, 267–268</w:t>
      </w:r>
      <w:r w:rsidR="559F42F2">
        <w:t xml:space="preserve"> (</w:t>
      </w:r>
      <w:r w:rsidR="559F42F2" w:rsidRPr="00FE06C1">
        <w:rPr>
          <w:i/>
        </w:rPr>
        <w:t>Blair</w:t>
      </w:r>
      <w:r w:rsidR="559F42F2">
        <w:t>)</w:t>
      </w:r>
      <w:r w:rsidR="73E33585" w:rsidRPr="3DE41553">
        <w:t>;</w:t>
      </w:r>
      <w:r w:rsidR="73E33585" w:rsidRPr="797FBB80">
        <w:rPr>
          <w:i/>
          <w:iCs/>
        </w:rPr>
        <w:t xml:space="preserve"> </w:t>
      </w:r>
      <w:hyperlink r:id="rId17" w:anchor="co_pp_sp_226_395" w:history="1">
        <w:r w:rsidR="6163C4ED" w:rsidRPr="797FBB80">
          <w:rPr>
            <w:i/>
            <w:iCs/>
          </w:rPr>
          <w:t>California State Employees’ Assn. v. Williams</w:t>
        </w:r>
        <w:r w:rsidR="6163C4ED" w:rsidRPr="3DE41553">
          <w:t xml:space="preserve"> (1970) 7</w:t>
        </w:r>
        <w:r w:rsidR="00FE06C1">
          <w:t> </w:t>
        </w:r>
        <w:r w:rsidR="6163C4ED" w:rsidRPr="3DE41553">
          <w:t>Cal.App.3d 390, 395</w:t>
        </w:r>
      </w:hyperlink>
      <w:r w:rsidR="756DC33B" w:rsidRPr="006A7DD2">
        <w:rPr>
          <w:szCs w:val="26"/>
        </w:rPr>
        <w:t>.</w:t>
      </w:r>
      <w:r w:rsidR="25975A6A" w:rsidRPr="006A7DD2">
        <w:rPr>
          <w:szCs w:val="26"/>
        </w:rPr>
        <w:t>)</w:t>
      </w:r>
      <w:r w:rsidR="45A3D0F1" w:rsidRPr="006A7DD2">
        <w:rPr>
          <w:szCs w:val="26"/>
        </w:rPr>
        <w:t xml:space="preserve"> </w:t>
      </w:r>
      <w:r w:rsidR="39E98940" w:rsidRPr="1D2EECFC">
        <w:t xml:space="preserve">That </w:t>
      </w:r>
      <w:r w:rsidR="6D3CDC27" w:rsidRPr="1D2EECFC">
        <w:t xml:space="preserve">proposition, </w:t>
      </w:r>
      <w:r w:rsidR="443719EB" w:rsidRPr="1D2EECFC">
        <w:t xml:space="preserve">settled </w:t>
      </w:r>
      <w:r w:rsidR="1F88C1C7" w:rsidRPr="1D2EECFC">
        <w:t>decades</w:t>
      </w:r>
      <w:r w:rsidR="6D3CDC27" w:rsidRPr="1D2EECFC">
        <w:t xml:space="preserve"> ago, remains </w:t>
      </w:r>
      <w:r w:rsidR="6F2CBC34" w:rsidRPr="1D2EECFC">
        <w:t>true</w:t>
      </w:r>
      <w:r w:rsidR="7C3430FA" w:rsidRPr="1D2EECFC">
        <w:t xml:space="preserve"> today</w:t>
      </w:r>
      <w:r w:rsidR="7F84DA4E" w:rsidRPr="006A7DD2">
        <w:rPr>
          <w:szCs w:val="26"/>
        </w:rPr>
        <w:t>.</w:t>
      </w:r>
      <w:r w:rsidR="7A4CC5C8" w:rsidRPr="006A7DD2">
        <w:rPr>
          <w:szCs w:val="26"/>
        </w:rPr>
        <w:t xml:space="preserve"> </w:t>
      </w:r>
      <w:r w:rsidR="000624AC" w:rsidRPr="05D0A8A3">
        <w:rPr>
          <w:szCs w:val="26"/>
        </w:rPr>
        <w:t xml:space="preserve">(See, e.g., </w:t>
      </w:r>
      <w:r w:rsidR="000624AC" w:rsidRPr="05D0A8A3">
        <w:rPr>
          <w:i/>
          <w:iCs/>
          <w:szCs w:val="26"/>
        </w:rPr>
        <w:t>Grosz v. California Dept. of Tax &amp; Fee Admin.</w:t>
      </w:r>
      <w:r w:rsidR="000624AC" w:rsidRPr="4B0E998B">
        <w:rPr>
          <w:szCs w:val="26"/>
        </w:rPr>
        <w:t xml:space="preserve"> (2023) 87</w:t>
      </w:r>
      <w:r w:rsidR="002805BF">
        <w:rPr>
          <w:szCs w:val="26"/>
        </w:rPr>
        <w:t> </w:t>
      </w:r>
      <w:r w:rsidR="000624AC" w:rsidRPr="4B0E998B">
        <w:rPr>
          <w:szCs w:val="26"/>
        </w:rPr>
        <w:t>Cal.App.5th 428, 439</w:t>
      </w:r>
      <w:r w:rsidR="000624AC">
        <w:rPr>
          <w:szCs w:val="26"/>
        </w:rPr>
        <w:t xml:space="preserve"> [applying statute to state agencies and officials].)</w:t>
      </w:r>
      <w:r w:rsidR="00A47ADF">
        <w:rPr>
          <w:szCs w:val="26"/>
        </w:rPr>
        <w:t xml:space="preserve"> </w:t>
      </w:r>
      <w:r w:rsidR="00C0171E">
        <w:rPr>
          <w:szCs w:val="26"/>
        </w:rPr>
        <w:t>F</w:t>
      </w:r>
      <w:r w:rsidR="00665176">
        <w:rPr>
          <w:szCs w:val="26"/>
        </w:rPr>
        <w:t>or this reason, d</w:t>
      </w:r>
      <w:r w:rsidR="7A4CC5C8" w:rsidRPr="006A7DD2">
        <w:rPr>
          <w:szCs w:val="26"/>
        </w:rPr>
        <w:t xml:space="preserve">efendants’ related contention that </w:t>
      </w:r>
      <w:r w:rsidR="7A4CC5C8" w:rsidRPr="797FBB80">
        <w:rPr>
          <w:rFonts w:cs="Times New Roman"/>
          <w:color w:val="000000" w:themeColor="text1"/>
        </w:rPr>
        <w:t>a superior court is “part of the state judicial branch,” not a subagency of a county (</w:t>
      </w:r>
      <w:r w:rsidR="7A4CC5C8" w:rsidRPr="797FBB80">
        <w:rPr>
          <w:i/>
          <w:iCs/>
        </w:rPr>
        <w:t>Jones v. County of Los Angeles</w:t>
      </w:r>
      <w:r w:rsidR="7A4CC5C8">
        <w:t xml:space="preserve"> (2002) 99</w:t>
      </w:r>
      <w:r w:rsidR="002805BF">
        <w:t> </w:t>
      </w:r>
      <w:r w:rsidR="7A4CC5C8">
        <w:t>Cal.App.4th 1039, 1045)</w:t>
      </w:r>
      <w:r w:rsidR="006436B4">
        <w:t>,</w:t>
      </w:r>
      <w:r w:rsidR="7A4CC5C8">
        <w:t xml:space="preserve"> is immaterial</w:t>
      </w:r>
      <w:r w:rsidR="002D6429">
        <w:t>.</w:t>
      </w:r>
    </w:p>
    <w:p w14:paraId="5ED309CF" w14:textId="3D39B3C5" w:rsidR="006F0CB6" w:rsidRPr="002815CC" w:rsidRDefault="001B6997" w:rsidP="00735F2B">
      <w:pPr>
        <w:autoSpaceDE w:val="0"/>
        <w:autoSpaceDN w:val="0"/>
        <w:adjustRightInd w:val="0"/>
        <w:spacing w:line="360" w:lineRule="auto"/>
        <w:contextualSpacing/>
        <w:rPr>
          <w:rFonts w:eastAsia="Times New Roman" w:cs="Times New Roman"/>
          <w:b/>
          <w:bCs/>
          <w:i/>
          <w:iCs/>
          <w:color w:val="000000"/>
        </w:rPr>
      </w:pPr>
      <w:r>
        <w:rPr>
          <w:rFonts w:cs="Times New Roman"/>
          <w:color w:val="000000"/>
        </w:rPr>
        <w:tab/>
      </w:r>
      <w:r w:rsidR="2AAB0814">
        <w:rPr>
          <w:rFonts w:cs="Times New Roman"/>
          <w:color w:val="000000"/>
        </w:rPr>
        <w:t xml:space="preserve">Defendants </w:t>
      </w:r>
      <w:r w:rsidR="108821FF">
        <w:rPr>
          <w:rFonts w:cs="Times New Roman"/>
          <w:color w:val="000000"/>
        </w:rPr>
        <w:t xml:space="preserve">also </w:t>
      </w:r>
      <w:r w:rsidR="713AD565">
        <w:rPr>
          <w:rFonts w:cs="Times New Roman"/>
          <w:color w:val="000000"/>
        </w:rPr>
        <w:t>argue that there is no</w:t>
      </w:r>
      <w:r w:rsidR="108821FF">
        <w:rPr>
          <w:rFonts w:cs="Times New Roman"/>
          <w:color w:val="000000"/>
        </w:rPr>
        <w:t xml:space="preserve"> </w:t>
      </w:r>
      <w:r w:rsidR="2AAB0814">
        <w:rPr>
          <w:rFonts w:cs="Times New Roman"/>
          <w:color w:val="000000"/>
        </w:rPr>
        <w:t xml:space="preserve">authority </w:t>
      </w:r>
      <w:r w:rsidR="009E4DA2">
        <w:rPr>
          <w:rFonts w:cs="Times New Roman"/>
          <w:color w:val="000000"/>
        </w:rPr>
        <w:t>specifically providing for the assertion of</w:t>
      </w:r>
      <w:r w:rsidR="2AAB0814">
        <w:rPr>
          <w:rFonts w:cs="Times New Roman"/>
          <w:color w:val="000000"/>
        </w:rPr>
        <w:t xml:space="preserve"> </w:t>
      </w:r>
      <w:r w:rsidR="00F60848">
        <w:rPr>
          <w:rFonts w:cs="Times New Roman"/>
          <w:color w:val="000000"/>
        </w:rPr>
        <w:t>statutory taxpayer</w:t>
      </w:r>
      <w:r w:rsidR="2AAB0814">
        <w:rPr>
          <w:rFonts w:cs="Times New Roman"/>
          <w:color w:val="000000"/>
        </w:rPr>
        <w:t xml:space="preserve"> </w:t>
      </w:r>
      <w:r w:rsidR="26C83D75">
        <w:rPr>
          <w:rFonts w:cs="Times New Roman"/>
          <w:color w:val="000000"/>
        </w:rPr>
        <w:t xml:space="preserve">claims </w:t>
      </w:r>
      <w:r w:rsidR="00A20613">
        <w:rPr>
          <w:rFonts w:cs="Times New Roman"/>
          <w:color w:val="000000"/>
        </w:rPr>
        <w:t>against a</w:t>
      </w:r>
      <w:r w:rsidR="2AAB0814">
        <w:rPr>
          <w:rFonts w:cs="Times New Roman"/>
          <w:color w:val="000000"/>
        </w:rPr>
        <w:t xml:space="preserve"> court</w:t>
      </w:r>
      <w:r w:rsidR="79647C0F">
        <w:rPr>
          <w:rFonts w:cs="Times New Roman"/>
          <w:color w:val="000000"/>
        </w:rPr>
        <w:t xml:space="preserve"> </w:t>
      </w:r>
      <w:r w:rsidR="00A20613">
        <w:rPr>
          <w:rFonts w:cs="Times New Roman"/>
          <w:color w:val="000000"/>
        </w:rPr>
        <w:t>or</w:t>
      </w:r>
      <w:r w:rsidR="79647C0F">
        <w:rPr>
          <w:rFonts w:cs="Times New Roman"/>
          <w:color w:val="000000"/>
        </w:rPr>
        <w:t xml:space="preserve"> judge</w:t>
      </w:r>
      <w:r w:rsidR="2AAB0814">
        <w:rPr>
          <w:rFonts w:cs="Times New Roman"/>
          <w:color w:val="000000"/>
        </w:rPr>
        <w:t xml:space="preserve">. However, they have not </w:t>
      </w:r>
      <w:r w:rsidR="6E8ABA38">
        <w:rPr>
          <w:rFonts w:cs="Times New Roman"/>
          <w:color w:val="000000"/>
        </w:rPr>
        <w:t>pointed to any</w:t>
      </w:r>
      <w:r w:rsidR="2AAB0814">
        <w:rPr>
          <w:rFonts w:cs="Times New Roman"/>
          <w:color w:val="000000"/>
        </w:rPr>
        <w:t xml:space="preserve"> policy of </w:t>
      </w:r>
      <w:r w:rsidR="00331372">
        <w:rPr>
          <w:rFonts w:cs="Times New Roman"/>
          <w:color w:val="000000"/>
        </w:rPr>
        <w:t>Code of Civil Procedure</w:t>
      </w:r>
      <w:r w:rsidR="2AAB0814">
        <w:rPr>
          <w:rFonts w:cs="Times New Roman"/>
          <w:color w:val="000000"/>
        </w:rPr>
        <w:t xml:space="preserve"> section 526a, or precedent construing it,</w:t>
      </w:r>
      <w:r w:rsidR="24DE2A64">
        <w:rPr>
          <w:rFonts w:cs="Times New Roman"/>
          <w:color w:val="000000"/>
        </w:rPr>
        <w:t xml:space="preserve"> </w:t>
      </w:r>
      <w:r w:rsidR="6E8ABA38">
        <w:rPr>
          <w:rFonts w:cs="Times New Roman"/>
          <w:color w:val="000000"/>
        </w:rPr>
        <w:t>that would warrant a judicially</w:t>
      </w:r>
      <w:r w:rsidR="008F5829">
        <w:rPr>
          <w:rFonts w:cs="Times New Roman"/>
          <w:color w:val="000000"/>
        </w:rPr>
        <w:t xml:space="preserve"> </w:t>
      </w:r>
      <w:r w:rsidR="6E8ABA38">
        <w:rPr>
          <w:rFonts w:cs="Times New Roman"/>
          <w:color w:val="000000"/>
        </w:rPr>
        <w:t>created exception to the</w:t>
      </w:r>
      <w:r w:rsidR="54F9205A">
        <w:rPr>
          <w:rFonts w:cs="Times New Roman"/>
          <w:color w:val="000000"/>
        </w:rPr>
        <w:t xml:space="preserve"> </w:t>
      </w:r>
      <w:r w:rsidR="0E109674">
        <w:rPr>
          <w:rFonts w:cs="Times New Roman"/>
          <w:color w:val="000000"/>
        </w:rPr>
        <w:t>well-</w:t>
      </w:r>
      <w:r w:rsidR="6E8ABA38">
        <w:rPr>
          <w:rFonts w:cs="Times New Roman"/>
          <w:color w:val="000000"/>
        </w:rPr>
        <w:t xml:space="preserve">established </w:t>
      </w:r>
      <w:r w:rsidR="54F9205A">
        <w:rPr>
          <w:rFonts w:cs="Times New Roman"/>
          <w:color w:val="000000"/>
        </w:rPr>
        <w:t>rule</w:t>
      </w:r>
      <w:r w:rsidR="6308DC32" w:rsidRPr="797FBB80">
        <w:rPr>
          <w:rFonts w:cs="Times New Roman"/>
          <w:color w:val="000000" w:themeColor="text1"/>
        </w:rPr>
        <w:t>,</w:t>
      </w:r>
      <w:r w:rsidR="4A1BEB05">
        <w:rPr>
          <w:rFonts w:cs="Times New Roman"/>
          <w:color w:val="000000"/>
        </w:rPr>
        <w:t xml:space="preserve"> simply because the case involves allegations of unlawful activity by </w:t>
      </w:r>
      <w:r w:rsidR="5E069CD7">
        <w:rPr>
          <w:rFonts w:cs="Times New Roman"/>
          <w:color w:val="000000"/>
        </w:rPr>
        <w:t>a court</w:t>
      </w:r>
      <w:r w:rsidR="0E109674">
        <w:rPr>
          <w:rFonts w:cs="Times New Roman"/>
          <w:color w:val="000000"/>
        </w:rPr>
        <w:t xml:space="preserve"> or judicial officer</w:t>
      </w:r>
      <w:r w:rsidR="2AAB0814">
        <w:rPr>
          <w:rFonts w:cs="Times New Roman"/>
          <w:color w:val="000000"/>
        </w:rPr>
        <w:t>.</w:t>
      </w:r>
      <w:r>
        <w:rPr>
          <w:rStyle w:val="FootnoteReference"/>
          <w:rFonts w:cs="Times New Roman"/>
          <w:color w:val="000000"/>
        </w:rPr>
        <w:footnoteReference w:id="16"/>
      </w:r>
      <w:r w:rsidR="5B63908E" w:rsidRPr="797FBB80">
        <w:rPr>
          <w:rFonts w:eastAsia="Times New Roman" w:cs="Times New Roman"/>
          <w:color w:val="000000" w:themeColor="text1"/>
        </w:rPr>
        <w:t xml:space="preserve"> </w:t>
      </w:r>
      <w:r w:rsidR="003B71B1" w:rsidRPr="07AFF217">
        <w:rPr>
          <w:rFonts w:eastAsia="Century Schoolbook" w:cs="Century Schoolbook"/>
        </w:rPr>
        <w:t xml:space="preserve">(See, </w:t>
      </w:r>
      <w:r w:rsidR="003B71B1" w:rsidRPr="07AFF217">
        <w:rPr>
          <w:rFonts w:eastAsia="Century Schoolbook" w:cs="Century Schoolbook"/>
        </w:rPr>
        <w:lastRenderedPageBreak/>
        <w:t xml:space="preserve">e.g., </w:t>
      </w:r>
      <w:r w:rsidR="00AB4F66" w:rsidRPr="07AFF217">
        <w:rPr>
          <w:rFonts w:eastAsia="Century Schoolbook" w:cs="Century Schoolbook"/>
          <w:i/>
        </w:rPr>
        <w:t>R.S. v. PacifiCare Life &amp; Health Ins. Co.</w:t>
      </w:r>
      <w:r w:rsidR="00AB4F66" w:rsidRPr="07AFF217">
        <w:rPr>
          <w:rFonts w:eastAsia="Century Schoolbook" w:cs="Century Schoolbook"/>
        </w:rPr>
        <w:t xml:space="preserve"> (2011) 194 Cal.App.4th 192, 207 [affirming judgment following demurrer because, “[a]t bottom, appellants seek a public</w:t>
      </w:r>
      <w:r w:rsidR="005D5B42">
        <w:rPr>
          <w:rFonts w:eastAsia="Century Schoolbook" w:cs="Century Schoolbook"/>
        </w:rPr>
        <w:t xml:space="preserve"> </w:t>
      </w:r>
      <w:r w:rsidR="00AB4F66" w:rsidRPr="07AFF217">
        <w:rPr>
          <w:rFonts w:eastAsia="Century Schoolbook" w:cs="Century Schoolbook"/>
        </w:rPr>
        <w:t>policy exception to the [relevant law], but they cite no authority . . .</w:t>
      </w:r>
      <w:r w:rsidR="0065488D">
        <w:rPr>
          <w:rFonts w:eastAsia="Century Schoolbook" w:cs="Century Schoolbook"/>
        </w:rPr>
        <w:t xml:space="preserve"> </w:t>
      </w:r>
      <w:r w:rsidR="00AB4F66" w:rsidRPr="07AFF217">
        <w:rPr>
          <w:rFonts w:eastAsia="Century Schoolbook" w:cs="Century Schoolbook"/>
        </w:rPr>
        <w:t xml:space="preserve">for such an exception”].) </w:t>
      </w:r>
    </w:p>
    <w:p w14:paraId="4390C0D5" w14:textId="18866AA9" w:rsidR="332D15F8" w:rsidRDefault="001B6997" w:rsidP="00F564B4">
      <w:pPr>
        <w:keepNext/>
        <w:autoSpaceDE w:val="0"/>
        <w:autoSpaceDN w:val="0"/>
        <w:adjustRightInd w:val="0"/>
        <w:spacing w:line="360" w:lineRule="auto"/>
        <w:contextualSpacing/>
        <w:rPr>
          <w:rFonts w:cs="Times New Roman"/>
          <w:b/>
          <w:i/>
        </w:rPr>
      </w:pPr>
      <w:r>
        <w:rPr>
          <w:rFonts w:cs="Times New Roman"/>
          <w:b/>
          <w:bCs/>
        </w:rPr>
        <w:tab/>
        <w:t>b</w:t>
      </w:r>
      <w:r w:rsidR="30D001DB">
        <w:rPr>
          <w:rFonts w:cs="Times New Roman"/>
          <w:b/>
          <w:bCs/>
          <w:spacing w:val="-2"/>
        </w:rPr>
        <w:t xml:space="preserve">. </w:t>
      </w:r>
      <w:r w:rsidR="2206F346" w:rsidRPr="797FBB80">
        <w:rPr>
          <w:rFonts w:cs="Times New Roman"/>
          <w:b/>
          <w:bCs/>
          <w:i/>
          <w:iCs/>
          <w:spacing w:val="-2"/>
        </w:rPr>
        <w:t>The</w:t>
      </w:r>
      <w:r w:rsidR="3DA1E1CF" w:rsidRPr="797FBB80">
        <w:rPr>
          <w:rFonts w:cs="Times New Roman"/>
          <w:b/>
          <w:bCs/>
          <w:i/>
          <w:iCs/>
          <w:spacing w:val="-2"/>
        </w:rPr>
        <w:t xml:space="preserve"> </w:t>
      </w:r>
      <w:r w:rsidR="4B000D9D" w:rsidRPr="797FBB80">
        <w:rPr>
          <w:rFonts w:cs="Times New Roman"/>
          <w:b/>
          <w:bCs/>
          <w:i/>
          <w:iCs/>
          <w:spacing w:val="-2"/>
        </w:rPr>
        <w:t>Courts’</w:t>
      </w:r>
      <w:r w:rsidR="30D001DB" w:rsidRPr="797FBB80">
        <w:rPr>
          <w:rFonts w:cs="Times New Roman"/>
          <w:b/>
          <w:bCs/>
          <w:i/>
          <w:iCs/>
          <w:spacing w:val="-2"/>
        </w:rPr>
        <w:t xml:space="preserve"> Duties to Ensure Speedy Criminal Trials</w:t>
      </w:r>
    </w:p>
    <w:p w14:paraId="5E8BBB6D" w14:textId="7DF5C19F" w:rsidR="00595579" w:rsidRPr="00595579" w:rsidRDefault="001B6997" w:rsidP="00EB5E30">
      <w:pPr>
        <w:keepNext/>
        <w:autoSpaceDE w:val="0"/>
        <w:autoSpaceDN w:val="0"/>
        <w:adjustRightInd w:val="0"/>
        <w:spacing w:after="120" w:line="240" w:lineRule="auto"/>
        <w:ind w:left="720" w:hanging="720"/>
        <w:rPr>
          <w:rFonts w:cs="Times New Roman"/>
          <w:b/>
          <w:bCs/>
          <w:i/>
          <w:iCs/>
          <w:spacing w:val="-2"/>
        </w:rPr>
      </w:pPr>
      <w:r>
        <w:rPr>
          <w:rFonts w:cs="Times New Roman"/>
          <w:b/>
          <w:bCs/>
          <w:spacing w:val="-2"/>
        </w:rPr>
        <w:tab/>
      </w:r>
      <w:r w:rsidR="00425462">
        <w:rPr>
          <w:rFonts w:cs="Times New Roman"/>
          <w:b/>
          <w:bCs/>
          <w:spacing w:val="-2"/>
        </w:rPr>
        <w:tab/>
      </w:r>
      <w:r w:rsidR="00425462">
        <w:rPr>
          <w:rFonts w:cs="Times New Roman"/>
          <w:b/>
          <w:i/>
          <w:spacing w:val="-2"/>
        </w:rPr>
        <w:t>1</w:t>
      </w:r>
      <w:r>
        <w:rPr>
          <w:rFonts w:cs="Times New Roman"/>
          <w:b/>
          <w:bCs/>
          <w:spacing w:val="-2"/>
        </w:rPr>
        <w:t xml:space="preserve">. </w:t>
      </w:r>
      <w:r w:rsidRPr="00595579">
        <w:rPr>
          <w:rFonts w:cs="Times New Roman"/>
          <w:b/>
          <w:bCs/>
          <w:i/>
          <w:iCs/>
          <w:spacing w:val="-2"/>
        </w:rPr>
        <w:t>Constitutional and Statutory Provisions</w:t>
      </w:r>
    </w:p>
    <w:p w14:paraId="632D62B6" w14:textId="3CF83650" w:rsidR="00BF2446" w:rsidRPr="00D664A1" w:rsidRDefault="001B6997" w:rsidP="0065488D">
      <w:pPr>
        <w:autoSpaceDE w:val="0"/>
        <w:autoSpaceDN w:val="0"/>
        <w:adjustRightInd w:val="0"/>
        <w:spacing w:line="360" w:lineRule="auto"/>
        <w:contextualSpacing/>
        <w:rPr>
          <w:rFonts w:eastAsia="Times New Roman" w:cs="Times New Roman"/>
          <w:color w:val="000000" w:themeColor="text1"/>
        </w:rPr>
      </w:pPr>
      <w:r>
        <w:rPr>
          <w:rFonts w:eastAsia="Times New Roman" w:cs="Times New Roman"/>
          <w:color w:val="000000" w:themeColor="text1"/>
        </w:rPr>
        <w:tab/>
      </w:r>
      <w:r w:rsidR="30D001DB" w:rsidRPr="07AFF217">
        <w:rPr>
          <w:rFonts w:eastAsia="Times New Roman" w:cs="Times New Roman"/>
          <w:color w:val="000000" w:themeColor="text1"/>
        </w:rPr>
        <w:t xml:space="preserve">The federal and state </w:t>
      </w:r>
      <w:r w:rsidR="3CB32561" w:rsidRPr="07AFF217">
        <w:rPr>
          <w:rFonts w:eastAsia="Times New Roman" w:cs="Times New Roman"/>
          <w:color w:val="000000" w:themeColor="text1"/>
        </w:rPr>
        <w:t>C</w:t>
      </w:r>
      <w:r w:rsidR="30D001DB" w:rsidRPr="07AFF217">
        <w:rPr>
          <w:rFonts w:eastAsia="Times New Roman" w:cs="Times New Roman"/>
          <w:color w:val="000000" w:themeColor="text1"/>
        </w:rPr>
        <w:t xml:space="preserve">onstitutions guarantee a criminal defendant a speedy trial. (U.S. Const., amend. 6; Cal. Const., art. I, § 15.) </w:t>
      </w:r>
      <w:r w:rsidR="7E10CA69" w:rsidRPr="07AFF217">
        <w:rPr>
          <w:rFonts w:eastAsia="Times New Roman" w:cs="Times New Roman"/>
          <w:color w:val="000000" w:themeColor="text1"/>
        </w:rPr>
        <w:t>California law</w:t>
      </w:r>
      <w:r w:rsidR="30D001DB" w:rsidRPr="07AFF217">
        <w:rPr>
          <w:rFonts w:eastAsia="Times New Roman" w:cs="Times New Roman"/>
          <w:color w:val="000000" w:themeColor="text1"/>
        </w:rPr>
        <w:t xml:space="preserve"> implement</w:t>
      </w:r>
      <w:r w:rsidR="7E10CA69" w:rsidRPr="07AFF217">
        <w:rPr>
          <w:rFonts w:eastAsia="Times New Roman" w:cs="Times New Roman"/>
          <w:color w:val="000000" w:themeColor="text1"/>
        </w:rPr>
        <w:t xml:space="preserve">s and protects </w:t>
      </w:r>
      <w:r w:rsidR="7E10CA69" w:rsidRPr="09459565">
        <w:rPr>
          <w:rFonts w:eastAsia="Times New Roman" w:cs="Times New Roman"/>
          <w:color w:val="000000" w:themeColor="text1"/>
        </w:rPr>
        <w:t>th</w:t>
      </w:r>
      <w:r w:rsidR="2D47B0C6" w:rsidRPr="09459565">
        <w:rPr>
          <w:rFonts w:eastAsia="Times New Roman" w:cs="Times New Roman"/>
          <w:color w:val="000000" w:themeColor="text1"/>
        </w:rPr>
        <w:t>at</w:t>
      </w:r>
      <w:r w:rsidR="7E10CA69" w:rsidRPr="07AFF217">
        <w:rPr>
          <w:rFonts w:eastAsia="Times New Roman" w:cs="Times New Roman"/>
          <w:color w:val="000000" w:themeColor="text1"/>
        </w:rPr>
        <w:t xml:space="preserve"> right</w:t>
      </w:r>
      <w:r w:rsidR="25E0FB2B" w:rsidRPr="07AFF217">
        <w:rPr>
          <w:rFonts w:eastAsia="Times New Roman" w:cs="Times New Roman"/>
          <w:color w:val="000000" w:themeColor="text1"/>
        </w:rPr>
        <w:t xml:space="preserve"> </w:t>
      </w:r>
      <w:r w:rsidR="30D001DB" w:rsidRPr="07AFF217">
        <w:rPr>
          <w:rFonts w:eastAsia="Times New Roman" w:cs="Times New Roman"/>
          <w:color w:val="000000" w:themeColor="text1"/>
        </w:rPr>
        <w:t>through, inter alia, section</w:t>
      </w:r>
      <w:r w:rsidR="25975A6A" w:rsidRPr="7FA68319">
        <w:rPr>
          <w:rFonts w:eastAsia="Times New Roman" w:cs="Times New Roman"/>
          <w:color w:val="000000" w:themeColor="text1"/>
        </w:rPr>
        <w:t>s</w:t>
      </w:r>
      <w:r w:rsidR="30D001DB" w:rsidRPr="07AFF217">
        <w:rPr>
          <w:rFonts w:eastAsia="Times New Roman" w:cs="Times New Roman"/>
          <w:color w:val="000000" w:themeColor="text1"/>
        </w:rPr>
        <w:t xml:space="preserve"> 686</w:t>
      </w:r>
      <w:r w:rsidR="00513BEC">
        <w:rPr>
          <w:rFonts w:eastAsia="Times New Roman" w:cs="Times New Roman"/>
          <w:color w:val="000000" w:themeColor="text1"/>
        </w:rPr>
        <w:t xml:space="preserve">, subdivision </w:t>
      </w:r>
      <w:r w:rsidR="30D001DB" w:rsidRPr="07AFF217">
        <w:rPr>
          <w:rFonts w:eastAsia="Times New Roman" w:cs="Times New Roman"/>
          <w:color w:val="000000" w:themeColor="text1"/>
        </w:rPr>
        <w:t>(1) (restating the right)</w:t>
      </w:r>
      <w:r w:rsidR="1775ADAD" w:rsidRPr="07AFF217">
        <w:rPr>
          <w:rFonts w:eastAsia="Times New Roman" w:cs="Times New Roman"/>
          <w:color w:val="000000" w:themeColor="text1"/>
        </w:rPr>
        <w:t xml:space="preserve"> and</w:t>
      </w:r>
      <w:r w:rsidR="4F477785" w:rsidRPr="7FA68319">
        <w:rPr>
          <w:rFonts w:eastAsia="Times New Roman" w:cs="Times New Roman"/>
          <w:color w:val="000000" w:themeColor="text1"/>
        </w:rPr>
        <w:t xml:space="preserve"> </w:t>
      </w:r>
      <w:r w:rsidR="30D001DB" w:rsidRPr="07AFF217">
        <w:rPr>
          <w:rFonts w:eastAsia="Times New Roman" w:cs="Times New Roman"/>
          <w:color w:val="000000" w:themeColor="text1"/>
        </w:rPr>
        <w:t xml:space="preserve">1382 (requiring dismissal, absent </w:t>
      </w:r>
      <w:r w:rsidR="30D001DB" w:rsidRPr="07AFF217">
        <w:rPr>
          <w:rFonts w:eastAsia="Times New Roman" w:cs="Times New Roman"/>
          <w:color w:val="000000" w:themeColor="text1"/>
        </w:rPr>
        <w:lastRenderedPageBreak/>
        <w:t>good cause, of felony cases not tried within 60 days of arraignment, and of misdemeanor cases not tried within 30</w:t>
      </w:r>
      <w:r w:rsidR="00636F75">
        <w:rPr>
          <w:rFonts w:eastAsia="Times New Roman" w:cs="Times New Roman"/>
          <w:color w:val="000000" w:themeColor="text1"/>
        </w:rPr>
        <w:t xml:space="preserve"> </w:t>
      </w:r>
      <w:r w:rsidR="30D001DB" w:rsidRPr="07AFF217">
        <w:rPr>
          <w:rFonts w:eastAsia="Times New Roman" w:cs="Times New Roman"/>
          <w:color w:val="000000" w:themeColor="text1"/>
        </w:rPr>
        <w:t>or 45 days of arraignment or plea, depending on custody status)</w:t>
      </w:r>
      <w:r w:rsidR="1775ADAD" w:rsidRPr="07AFF217">
        <w:rPr>
          <w:rFonts w:eastAsia="Times New Roman" w:cs="Times New Roman"/>
          <w:color w:val="000000" w:themeColor="text1"/>
        </w:rPr>
        <w:t>.</w:t>
      </w:r>
      <w:r w:rsidR="104CB04E" w:rsidRPr="797FBB80">
        <w:rPr>
          <w:rFonts w:eastAsia="Times New Roman" w:cs="Times New Roman"/>
          <w:color w:val="000000" w:themeColor="text1"/>
        </w:rPr>
        <w:t xml:space="preserve"> When a defendant </w:t>
      </w:r>
      <w:r w:rsidR="5719136F" w:rsidRPr="797FBB80">
        <w:rPr>
          <w:rFonts w:eastAsia="Times New Roman" w:cs="Times New Roman"/>
          <w:color w:val="000000" w:themeColor="text1"/>
        </w:rPr>
        <w:t xml:space="preserve">moves to </w:t>
      </w:r>
      <w:r w:rsidR="104CB04E" w:rsidRPr="797FBB80">
        <w:rPr>
          <w:rFonts w:eastAsia="Times New Roman" w:cs="Times New Roman"/>
          <w:color w:val="000000" w:themeColor="text1"/>
        </w:rPr>
        <w:t>dismis</w:t>
      </w:r>
      <w:r w:rsidR="7702B7D5" w:rsidRPr="797FBB80">
        <w:rPr>
          <w:rFonts w:eastAsia="Times New Roman" w:cs="Times New Roman"/>
          <w:color w:val="000000" w:themeColor="text1"/>
        </w:rPr>
        <w:t>s</w:t>
      </w:r>
      <w:r w:rsidR="104CB04E" w:rsidRPr="797FBB80">
        <w:rPr>
          <w:rFonts w:eastAsia="Times New Roman" w:cs="Times New Roman"/>
          <w:color w:val="000000" w:themeColor="text1"/>
        </w:rPr>
        <w:t xml:space="preserve"> pursuant to section</w:t>
      </w:r>
      <w:r>
        <w:rPr>
          <w:rFonts w:eastAsia="Times New Roman" w:cs="Times New Roman"/>
          <w:color w:val="000000" w:themeColor="text1"/>
        </w:rPr>
        <w:t> </w:t>
      </w:r>
      <w:r w:rsidR="104CB04E" w:rsidRPr="797FBB80">
        <w:rPr>
          <w:rFonts w:eastAsia="Times New Roman" w:cs="Times New Roman"/>
          <w:color w:val="000000" w:themeColor="text1"/>
        </w:rPr>
        <w:t xml:space="preserve">1382, the court must determine whether the People have demonstrated “good cause” </w:t>
      </w:r>
      <w:r w:rsidR="75F83B99" w:rsidRPr="797FBB80">
        <w:rPr>
          <w:rFonts w:eastAsia="Times New Roman" w:cs="Times New Roman"/>
          <w:color w:val="000000" w:themeColor="text1"/>
        </w:rPr>
        <w:t>for a continuance of trial beyond the statutory last day</w:t>
      </w:r>
      <w:r w:rsidR="104CB04E" w:rsidRPr="797FBB80">
        <w:rPr>
          <w:rFonts w:eastAsia="Times New Roman" w:cs="Times New Roman"/>
          <w:color w:val="000000" w:themeColor="text1"/>
        </w:rPr>
        <w:t>.</w:t>
      </w:r>
      <w:r w:rsidR="5DA3AD8D" w:rsidRPr="797FBB80">
        <w:rPr>
          <w:rFonts w:eastAsia="Times New Roman" w:cs="Times New Roman"/>
          <w:color w:val="000000" w:themeColor="text1"/>
        </w:rPr>
        <w:t xml:space="preserve"> (</w:t>
      </w:r>
      <w:r w:rsidR="5DA3AD8D" w:rsidRPr="797FBB80">
        <w:rPr>
          <w:rFonts w:eastAsia="Times New Roman" w:cs="Times New Roman"/>
          <w:i/>
          <w:iCs/>
          <w:color w:val="000000" w:themeColor="text1"/>
        </w:rPr>
        <w:t>Engram</w:t>
      </w:r>
      <w:r w:rsidR="5DA3AD8D" w:rsidRPr="797FBB80">
        <w:rPr>
          <w:rFonts w:eastAsia="Times New Roman" w:cs="Times New Roman"/>
          <w:color w:val="000000" w:themeColor="text1"/>
        </w:rPr>
        <w:t xml:space="preserve">, </w:t>
      </w:r>
      <w:r w:rsidR="004456EF" w:rsidRPr="004456EF">
        <w:rPr>
          <w:rFonts w:eastAsia="Times New Roman" w:cs="Times New Roman"/>
          <w:i/>
          <w:iCs/>
          <w:color w:val="000000" w:themeColor="text1"/>
        </w:rPr>
        <w:t>supra</w:t>
      </w:r>
      <w:r w:rsidR="5DA3AD8D" w:rsidRPr="797FBB80">
        <w:rPr>
          <w:rFonts w:eastAsia="Times New Roman" w:cs="Times New Roman"/>
          <w:color w:val="000000" w:themeColor="text1"/>
        </w:rPr>
        <w:t>, 50</w:t>
      </w:r>
      <w:r w:rsidR="00A959A2">
        <w:rPr>
          <w:rFonts w:eastAsia="Times New Roman" w:cs="Times New Roman"/>
          <w:color w:val="000000" w:themeColor="text1"/>
        </w:rPr>
        <w:t> </w:t>
      </w:r>
      <w:r w:rsidR="5DA3AD8D" w:rsidRPr="797FBB80">
        <w:rPr>
          <w:rFonts w:eastAsia="Times New Roman" w:cs="Times New Roman"/>
          <w:color w:val="000000" w:themeColor="text1"/>
        </w:rPr>
        <w:t xml:space="preserve">Cal.4th at </w:t>
      </w:r>
      <w:r>
        <w:rPr>
          <w:rFonts w:eastAsia="Times New Roman" w:cs="Times New Roman"/>
          <w:color w:val="000000" w:themeColor="text1"/>
        </w:rPr>
        <w:t>pp. </w:t>
      </w:r>
      <w:r w:rsidR="5DA3AD8D" w:rsidRPr="797FBB80">
        <w:rPr>
          <w:rFonts w:eastAsia="Times New Roman" w:cs="Times New Roman"/>
          <w:color w:val="000000" w:themeColor="text1"/>
        </w:rPr>
        <w:t>1162</w:t>
      </w:r>
      <w:r>
        <w:rPr>
          <w:rFonts w:eastAsia="Times New Roman" w:cs="Times New Roman"/>
          <w:color w:val="000000" w:themeColor="text1"/>
        </w:rPr>
        <w:t>–</w:t>
      </w:r>
      <w:r w:rsidR="5DA3AD8D" w:rsidRPr="797FBB80">
        <w:rPr>
          <w:rFonts w:eastAsia="Times New Roman" w:cs="Times New Roman"/>
          <w:color w:val="000000" w:themeColor="text1"/>
        </w:rPr>
        <w:t>1163.) Th</w:t>
      </w:r>
      <w:r w:rsidR="009A7803">
        <w:rPr>
          <w:rFonts w:eastAsia="Times New Roman" w:cs="Times New Roman"/>
          <w:color w:val="000000" w:themeColor="text1"/>
        </w:rPr>
        <w:t>e court must consider</w:t>
      </w:r>
      <w:r w:rsidR="104CB04E" w:rsidRPr="797FBB80">
        <w:rPr>
          <w:rFonts w:eastAsia="Times New Roman" w:cs="Times New Roman"/>
          <w:color w:val="000000" w:themeColor="text1"/>
        </w:rPr>
        <w:t xml:space="preserve"> all relevant circumstances of the </w:t>
      </w:r>
      <w:proofErr w:type="gramStart"/>
      <w:r w:rsidR="104CB04E" w:rsidRPr="797FBB80">
        <w:rPr>
          <w:rFonts w:eastAsia="Times New Roman" w:cs="Times New Roman"/>
          <w:color w:val="000000" w:themeColor="text1"/>
        </w:rPr>
        <w:t>particular case</w:t>
      </w:r>
      <w:proofErr w:type="gramEnd"/>
      <w:r w:rsidR="104CB04E" w:rsidRPr="797FBB80">
        <w:rPr>
          <w:rFonts w:eastAsia="Times New Roman" w:cs="Times New Roman"/>
          <w:color w:val="000000" w:themeColor="text1"/>
        </w:rPr>
        <w:t xml:space="preserve">, including the nature and strength of the justification for delay, the duration of the delay, and </w:t>
      </w:r>
      <w:r w:rsidR="00D03994">
        <w:rPr>
          <w:rFonts w:eastAsia="Times New Roman" w:cs="Times New Roman"/>
          <w:color w:val="000000" w:themeColor="text1"/>
        </w:rPr>
        <w:t>the</w:t>
      </w:r>
      <w:r w:rsidR="104CB04E" w:rsidRPr="797FBB80">
        <w:rPr>
          <w:rFonts w:eastAsia="Times New Roman" w:cs="Times New Roman"/>
          <w:color w:val="000000" w:themeColor="text1"/>
        </w:rPr>
        <w:t xml:space="preserve"> prejudice </w:t>
      </w:r>
      <w:r w:rsidR="00AF2DD9">
        <w:rPr>
          <w:rFonts w:eastAsia="Times New Roman" w:cs="Times New Roman"/>
          <w:color w:val="000000" w:themeColor="text1"/>
        </w:rPr>
        <w:t xml:space="preserve">to </w:t>
      </w:r>
      <w:r w:rsidR="104CB04E" w:rsidRPr="797FBB80">
        <w:rPr>
          <w:rFonts w:eastAsia="Times New Roman" w:cs="Times New Roman"/>
          <w:color w:val="000000" w:themeColor="text1"/>
        </w:rPr>
        <w:t xml:space="preserve">defendant or the People </w:t>
      </w:r>
      <w:r w:rsidR="007B6573">
        <w:rPr>
          <w:rFonts w:eastAsia="Times New Roman" w:cs="Times New Roman"/>
          <w:color w:val="000000" w:themeColor="text1"/>
        </w:rPr>
        <w:t>that is likely to</w:t>
      </w:r>
      <w:r w:rsidR="104CB04E" w:rsidRPr="797FBB80">
        <w:rPr>
          <w:rFonts w:eastAsia="Times New Roman" w:cs="Times New Roman"/>
          <w:color w:val="000000" w:themeColor="text1"/>
        </w:rPr>
        <w:t xml:space="preserve"> result </w:t>
      </w:r>
      <w:r w:rsidR="007B6573">
        <w:rPr>
          <w:rFonts w:eastAsia="Times New Roman" w:cs="Times New Roman"/>
          <w:color w:val="000000" w:themeColor="text1"/>
        </w:rPr>
        <w:t>from</w:t>
      </w:r>
      <w:r w:rsidR="104CB04E" w:rsidRPr="797FBB80">
        <w:rPr>
          <w:rFonts w:eastAsia="Times New Roman" w:cs="Times New Roman"/>
          <w:color w:val="000000" w:themeColor="text1"/>
        </w:rPr>
        <w:t xml:space="preserve"> the </w:t>
      </w:r>
      <w:r w:rsidR="007B6573">
        <w:rPr>
          <w:rFonts w:eastAsia="Times New Roman" w:cs="Times New Roman"/>
          <w:color w:val="000000" w:themeColor="text1"/>
        </w:rPr>
        <w:t>delay</w:t>
      </w:r>
      <w:r w:rsidR="104CB04E" w:rsidRPr="797FBB80">
        <w:rPr>
          <w:rFonts w:eastAsia="Times New Roman" w:cs="Times New Roman"/>
          <w:color w:val="000000" w:themeColor="text1"/>
        </w:rPr>
        <w:t>.</w:t>
      </w:r>
      <w:r w:rsidR="3BC29A40" w:rsidRPr="797FBB80">
        <w:rPr>
          <w:rFonts w:eastAsia="Times New Roman" w:cs="Times New Roman"/>
          <w:color w:val="000000" w:themeColor="text1"/>
        </w:rPr>
        <w:t xml:space="preserve"> (</w:t>
      </w:r>
      <w:r w:rsidR="3BC29A40" w:rsidRPr="00B20334">
        <w:rPr>
          <w:rFonts w:eastAsia="Times New Roman" w:cs="Times New Roman"/>
          <w:i/>
          <w:color w:val="000000" w:themeColor="text1"/>
        </w:rPr>
        <w:t>Ibid</w:t>
      </w:r>
      <w:r w:rsidR="3BC29A40" w:rsidRPr="797FBB80">
        <w:rPr>
          <w:rFonts w:eastAsia="Times New Roman" w:cs="Times New Roman"/>
          <w:color w:val="000000" w:themeColor="text1"/>
        </w:rPr>
        <w:t>.)</w:t>
      </w:r>
      <w:r w:rsidR="00BD01F3">
        <w:rPr>
          <w:rFonts w:eastAsia="Times New Roman" w:cs="Times New Roman"/>
          <w:color w:val="000000" w:themeColor="text1"/>
        </w:rPr>
        <w:t xml:space="preserve"> </w:t>
      </w:r>
    </w:p>
    <w:p w14:paraId="77F32964" w14:textId="66E41C46" w:rsidR="00184EAD" w:rsidRDefault="001B6997" w:rsidP="003F5F13">
      <w:pPr>
        <w:autoSpaceDE w:val="0"/>
        <w:autoSpaceDN w:val="0"/>
        <w:adjustRightInd w:val="0"/>
        <w:spacing w:line="360" w:lineRule="auto"/>
        <w:contextualSpacing/>
        <w:rPr>
          <w:rFonts w:eastAsia="Times New Roman" w:cs="Times New Roman"/>
          <w:color w:val="000000"/>
        </w:rPr>
      </w:pPr>
      <w:r>
        <w:rPr>
          <w:rFonts w:eastAsia="Times New Roman" w:cs="Times New Roman"/>
          <w:color w:val="000000"/>
        </w:rPr>
        <w:tab/>
      </w:r>
      <w:r w:rsidR="238AAC9B">
        <w:rPr>
          <w:rFonts w:eastAsia="Times New Roman" w:cs="Times New Roman"/>
          <w:color w:val="000000"/>
        </w:rPr>
        <w:t xml:space="preserve">Two other statutory provisions </w:t>
      </w:r>
      <w:r w:rsidR="637E9EEB">
        <w:rPr>
          <w:rFonts w:eastAsia="Times New Roman" w:cs="Times New Roman"/>
          <w:color w:val="000000"/>
        </w:rPr>
        <w:t>featur</w:t>
      </w:r>
      <w:r w:rsidR="00982FBF">
        <w:rPr>
          <w:rFonts w:eastAsia="Times New Roman" w:cs="Times New Roman"/>
          <w:color w:val="000000"/>
        </w:rPr>
        <w:t>ing</w:t>
      </w:r>
      <w:r w:rsidR="637E9EEB">
        <w:rPr>
          <w:rFonts w:eastAsia="Times New Roman" w:cs="Times New Roman"/>
          <w:color w:val="000000"/>
        </w:rPr>
        <w:t xml:space="preserve"> prominently in </w:t>
      </w:r>
      <w:r w:rsidR="71B1146B">
        <w:rPr>
          <w:rFonts w:eastAsia="Times New Roman" w:cs="Times New Roman"/>
          <w:color w:val="000000"/>
        </w:rPr>
        <w:t xml:space="preserve">plaintiffs’ taxpayer claim </w:t>
      </w:r>
      <w:r w:rsidR="628E671E">
        <w:rPr>
          <w:rFonts w:eastAsia="Times New Roman" w:cs="Times New Roman"/>
          <w:color w:val="000000"/>
        </w:rPr>
        <w:t>implement</w:t>
      </w:r>
      <w:r w:rsidR="66CF95E7">
        <w:rPr>
          <w:rFonts w:eastAsia="Times New Roman" w:cs="Times New Roman"/>
          <w:color w:val="000000"/>
        </w:rPr>
        <w:t xml:space="preserve"> and </w:t>
      </w:r>
      <w:r w:rsidR="238AAC9B">
        <w:rPr>
          <w:rFonts w:eastAsia="Times New Roman" w:cs="Times New Roman"/>
          <w:color w:val="000000"/>
        </w:rPr>
        <w:t xml:space="preserve">enforce the state’s policy in favor of speedy criminal trials </w:t>
      </w:r>
      <w:r w:rsidR="628E671E">
        <w:rPr>
          <w:rFonts w:eastAsia="Times New Roman" w:cs="Times New Roman"/>
          <w:color w:val="000000"/>
        </w:rPr>
        <w:t>more broadly</w:t>
      </w:r>
      <w:r w:rsidR="2C39EC1B">
        <w:rPr>
          <w:rFonts w:eastAsia="Times New Roman" w:cs="Times New Roman"/>
          <w:color w:val="000000"/>
        </w:rPr>
        <w:t>,</w:t>
      </w:r>
      <w:r w:rsidR="55B18173">
        <w:rPr>
          <w:rFonts w:eastAsia="Times New Roman" w:cs="Times New Roman"/>
          <w:color w:val="000000"/>
        </w:rPr>
        <w:t xml:space="preserve"> </w:t>
      </w:r>
      <w:r w:rsidR="6AEE7E4A">
        <w:rPr>
          <w:rFonts w:eastAsia="Times New Roman" w:cs="Times New Roman"/>
          <w:color w:val="000000"/>
        </w:rPr>
        <w:t xml:space="preserve">to further </w:t>
      </w:r>
      <w:r w:rsidR="238AAC9B">
        <w:rPr>
          <w:rFonts w:eastAsia="Times New Roman" w:cs="Times New Roman"/>
          <w:color w:val="000000"/>
        </w:rPr>
        <w:t xml:space="preserve">the </w:t>
      </w:r>
      <w:r w:rsidR="71CB62C1">
        <w:rPr>
          <w:rFonts w:eastAsia="Times New Roman" w:cs="Times New Roman"/>
          <w:color w:val="000000"/>
        </w:rPr>
        <w:t xml:space="preserve">rights and interests </w:t>
      </w:r>
      <w:r w:rsidR="238AAC9B">
        <w:rPr>
          <w:rFonts w:eastAsia="Times New Roman" w:cs="Times New Roman"/>
          <w:color w:val="000000"/>
        </w:rPr>
        <w:t xml:space="preserve">of </w:t>
      </w:r>
      <w:r w:rsidR="71CB62C1">
        <w:rPr>
          <w:rFonts w:eastAsia="Times New Roman" w:cs="Times New Roman"/>
          <w:color w:val="000000"/>
        </w:rPr>
        <w:t xml:space="preserve">all participants in criminal </w:t>
      </w:r>
      <w:r w:rsidR="00D4563E">
        <w:rPr>
          <w:rFonts w:eastAsia="Times New Roman" w:cs="Times New Roman"/>
          <w:color w:val="000000"/>
        </w:rPr>
        <w:t>cases</w:t>
      </w:r>
      <w:r w:rsidR="71CB62C1">
        <w:rPr>
          <w:rFonts w:eastAsia="Times New Roman" w:cs="Times New Roman"/>
          <w:color w:val="000000"/>
        </w:rPr>
        <w:t xml:space="preserve"> and of </w:t>
      </w:r>
      <w:proofErr w:type="gramStart"/>
      <w:r w:rsidR="238AAC9B">
        <w:rPr>
          <w:rFonts w:eastAsia="Times New Roman" w:cs="Times New Roman"/>
          <w:color w:val="000000"/>
        </w:rPr>
        <w:t>society as a whole</w:t>
      </w:r>
      <w:proofErr w:type="gramEnd"/>
      <w:r w:rsidR="238AAC9B">
        <w:rPr>
          <w:rFonts w:eastAsia="Times New Roman" w:cs="Times New Roman"/>
          <w:color w:val="000000"/>
        </w:rPr>
        <w:t xml:space="preserve">. The first is section 1049.5, </w:t>
      </w:r>
      <w:r w:rsidR="00176A82">
        <w:rPr>
          <w:rFonts w:eastAsia="Times New Roman" w:cs="Times New Roman"/>
          <w:color w:val="000000"/>
        </w:rPr>
        <w:t xml:space="preserve">which requires the court to set felony criminal </w:t>
      </w:r>
      <w:r w:rsidR="002D665A">
        <w:rPr>
          <w:rFonts w:eastAsia="Times New Roman" w:cs="Times New Roman"/>
          <w:color w:val="000000"/>
        </w:rPr>
        <w:t>trials</w:t>
      </w:r>
      <w:r w:rsidR="00176A82">
        <w:rPr>
          <w:rFonts w:eastAsia="Times New Roman" w:cs="Times New Roman"/>
          <w:color w:val="000000"/>
        </w:rPr>
        <w:t xml:space="preserve"> within 60</w:t>
      </w:r>
      <w:r w:rsidR="00924FD8">
        <w:rPr>
          <w:rFonts w:eastAsia="Times New Roman" w:cs="Times New Roman"/>
          <w:color w:val="000000"/>
        </w:rPr>
        <w:t> </w:t>
      </w:r>
      <w:r w:rsidR="00176A82">
        <w:rPr>
          <w:rFonts w:eastAsia="Times New Roman" w:cs="Times New Roman"/>
          <w:color w:val="000000"/>
        </w:rPr>
        <w:t xml:space="preserve">days of </w:t>
      </w:r>
      <w:r w:rsidR="00B937B1">
        <w:rPr>
          <w:rFonts w:eastAsia="Times New Roman" w:cs="Times New Roman"/>
          <w:color w:val="000000"/>
        </w:rPr>
        <w:t>arraignment unless, after a hearing</w:t>
      </w:r>
      <w:r w:rsidR="00484DBB">
        <w:rPr>
          <w:rFonts w:eastAsia="Times New Roman" w:cs="Times New Roman"/>
          <w:color w:val="000000"/>
        </w:rPr>
        <w:t xml:space="preserve"> as set forth in section 1050</w:t>
      </w:r>
      <w:r w:rsidR="00B937B1">
        <w:rPr>
          <w:rFonts w:eastAsia="Times New Roman" w:cs="Times New Roman"/>
          <w:color w:val="000000"/>
        </w:rPr>
        <w:t>, the court finds good cause for a later date.</w:t>
      </w:r>
      <w:r w:rsidR="00484DBB">
        <w:rPr>
          <w:rFonts w:eastAsia="Times New Roman" w:cs="Times New Roman"/>
          <w:color w:val="000000"/>
        </w:rPr>
        <w:t xml:space="preserve"> (§ 1049.5.)</w:t>
      </w:r>
      <w:r>
        <w:rPr>
          <w:rStyle w:val="FootnoteReference"/>
          <w:rFonts w:eastAsia="Times New Roman" w:cs="Times New Roman"/>
          <w:color w:val="000000"/>
        </w:rPr>
        <w:footnoteReference w:id="17"/>
      </w:r>
      <w:r w:rsidR="00B937B1">
        <w:rPr>
          <w:rFonts w:eastAsia="Times New Roman" w:cs="Times New Roman"/>
          <w:color w:val="000000"/>
        </w:rPr>
        <w:t xml:space="preserve"> This provision </w:t>
      </w:r>
      <w:r w:rsidR="00484DBB">
        <w:rPr>
          <w:rFonts w:eastAsia="Times New Roman" w:cs="Times New Roman"/>
          <w:color w:val="000000"/>
        </w:rPr>
        <w:t xml:space="preserve">was </w:t>
      </w:r>
      <w:r w:rsidR="238AAC9B">
        <w:rPr>
          <w:rFonts w:eastAsia="Times New Roman" w:cs="Times New Roman"/>
          <w:color w:val="000000"/>
        </w:rPr>
        <w:t>enacted by the Crime Victims Justice Reform Act, a 1990 initiative measure</w:t>
      </w:r>
      <w:r w:rsidR="1775ADAD">
        <w:rPr>
          <w:rFonts w:eastAsia="Times New Roman" w:cs="Times New Roman"/>
          <w:color w:val="000000"/>
        </w:rPr>
        <w:t xml:space="preserve"> intended </w:t>
      </w:r>
      <w:r w:rsidR="25E0FB2B">
        <w:rPr>
          <w:rFonts w:eastAsia="Times New Roman" w:cs="Times New Roman"/>
          <w:color w:val="000000"/>
        </w:rPr>
        <w:t>“</w:t>
      </w:r>
      <w:r w:rsidR="1775ADAD" w:rsidRPr="00C72DC3">
        <w:rPr>
          <w:rFonts w:eastAsia="Times New Roman" w:cs="Times New Roman"/>
          <w:color w:val="000000"/>
        </w:rPr>
        <w:t xml:space="preserve">to restore balance to our criminal justice system, to create a system in which justice is swift and fair, and to create a system in which violent </w:t>
      </w:r>
      <w:r w:rsidR="1775ADAD" w:rsidRPr="00C72DC3">
        <w:rPr>
          <w:rFonts w:eastAsia="Times New Roman" w:cs="Times New Roman"/>
          <w:color w:val="000000"/>
        </w:rPr>
        <w:lastRenderedPageBreak/>
        <w:t xml:space="preserve">criminals receive just punishment, </w:t>
      </w:r>
      <w:r w:rsidR="25E0FB2B">
        <w:rPr>
          <w:rFonts w:eastAsia="Times New Roman" w:cs="Times New Roman"/>
          <w:color w:val="000000"/>
        </w:rPr>
        <w:t>. . .</w:t>
      </w:r>
      <w:r w:rsidR="1775ADAD" w:rsidRPr="00C72DC3">
        <w:rPr>
          <w:rFonts w:eastAsia="Times New Roman" w:cs="Times New Roman"/>
          <w:color w:val="000000"/>
        </w:rPr>
        <w:t xml:space="preserve"> crime victims and witnesses are treated with care and respect, and </w:t>
      </w:r>
      <w:r w:rsidR="25E0FB2B">
        <w:rPr>
          <w:rFonts w:eastAsia="Times New Roman" w:cs="Times New Roman"/>
          <w:color w:val="000000"/>
        </w:rPr>
        <w:t xml:space="preserve">. . . </w:t>
      </w:r>
      <w:r w:rsidR="1775ADAD" w:rsidRPr="00C72DC3">
        <w:rPr>
          <w:rFonts w:eastAsia="Times New Roman" w:cs="Times New Roman"/>
          <w:color w:val="000000"/>
        </w:rPr>
        <w:t xml:space="preserve">society as a whole can be free from the fear of crime </w:t>
      </w:r>
      <w:r w:rsidR="25E0FB2B">
        <w:rPr>
          <w:rFonts w:eastAsia="Times New Roman" w:cs="Times New Roman"/>
          <w:color w:val="000000"/>
        </w:rPr>
        <w:t>. . . </w:t>
      </w:r>
      <w:r w:rsidR="1775ADAD" w:rsidRPr="00C72DC3">
        <w:rPr>
          <w:rFonts w:eastAsia="Times New Roman" w:cs="Times New Roman"/>
          <w:color w:val="000000"/>
        </w:rPr>
        <w:t>.</w:t>
      </w:r>
      <w:r w:rsidR="1775ADAD">
        <w:rPr>
          <w:rFonts w:eastAsia="Times New Roman" w:cs="Times New Roman"/>
          <w:color w:val="000000"/>
        </w:rPr>
        <w:t>” (Prop. 115, § 1(c), approved by voters on June</w:t>
      </w:r>
      <w:r w:rsidR="0084174A">
        <w:rPr>
          <w:rFonts w:eastAsia="Times New Roman" w:cs="Times New Roman"/>
          <w:color w:val="000000"/>
        </w:rPr>
        <w:t> </w:t>
      </w:r>
      <w:r w:rsidR="1775ADAD">
        <w:rPr>
          <w:rFonts w:eastAsia="Times New Roman" w:cs="Times New Roman"/>
          <w:color w:val="000000"/>
        </w:rPr>
        <w:t xml:space="preserve">5, 1990; see </w:t>
      </w:r>
      <w:r w:rsidR="1775ADAD" w:rsidRPr="797FBB80">
        <w:rPr>
          <w:rFonts w:eastAsia="Times New Roman" w:cs="Times New Roman"/>
          <w:i/>
          <w:iCs/>
          <w:color w:val="000000"/>
        </w:rPr>
        <w:t>id</w:t>
      </w:r>
      <w:r w:rsidR="1775ADAD">
        <w:rPr>
          <w:rFonts w:eastAsia="Times New Roman" w:cs="Times New Roman"/>
          <w:color w:val="000000"/>
        </w:rPr>
        <w:t xml:space="preserve">., § 21 [enacting § 1049.5].) </w:t>
      </w:r>
      <w:r w:rsidR="00A60944">
        <w:rPr>
          <w:rFonts w:eastAsia="Times New Roman" w:cs="Times New Roman"/>
          <w:color w:val="000000"/>
        </w:rPr>
        <w:t>Rather than emphasize defendants’ rights</w:t>
      </w:r>
      <w:r w:rsidR="00212219">
        <w:rPr>
          <w:rFonts w:eastAsia="Times New Roman" w:cs="Times New Roman"/>
          <w:color w:val="000000"/>
        </w:rPr>
        <w:t>,</w:t>
      </w:r>
      <w:r w:rsidR="008E2D81">
        <w:rPr>
          <w:rFonts w:eastAsia="Times New Roman" w:cs="Times New Roman"/>
          <w:color w:val="000000"/>
        </w:rPr>
        <w:t xml:space="preserve"> </w:t>
      </w:r>
      <w:r w:rsidR="00A60944">
        <w:rPr>
          <w:rFonts w:eastAsia="Times New Roman" w:cs="Times New Roman"/>
          <w:color w:val="000000"/>
        </w:rPr>
        <w:t xml:space="preserve">the initiative </w:t>
      </w:r>
      <w:r w:rsidR="0055463E">
        <w:rPr>
          <w:rFonts w:eastAsia="Times New Roman" w:cs="Times New Roman"/>
          <w:color w:val="000000"/>
        </w:rPr>
        <w:t>focuses on</w:t>
      </w:r>
      <w:r w:rsidR="00A60944">
        <w:rPr>
          <w:rFonts w:eastAsia="Times New Roman" w:cs="Times New Roman"/>
          <w:color w:val="000000"/>
        </w:rPr>
        <w:t xml:space="preserve"> s</w:t>
      </w:r>
      <w:r w:rsidR="00507BC6">
        <w:rPr>
          <w:rFonts w:eastAsia="Times New Roman" w:cs="Times New Roman"/>
          <w:color w:val="000000"/>
        </w:rPr>
        <w:t>wift</w:t>
      </w:r>
      <w:r w:rsidR="001A1682">
        <w:rPr>
          <w:rFonts w:eastAsia="Times New Roman" w:cs="Times New Roman"/>
          <w:color w:val="000000"/>
        </w:rPr>
        <w:t>ly</w:t>
      </w:r>
      <w:r w:rsidR="00507BC6">
        <w:rPr>
          <w:rFonts w:eastAsia="Times New Roman" w:cs="Times New Roman"/>
          <w:color w:val="000000"/>
        </w:rPr>
        <w:t xml:space="preserve"> punish</w:t>
      </w:r>
      <w:r w:rsidR="001A1682">
        <w:rPr>
          <w:rFonts w:eastAsia="Times New Roman" w:cs="Times New Roman"/>
          <w:color w:val="000000"/>
        </w:rPr>
        <w:t>ing</w:t>
      </w:r>
      <w:r w:rsidR="00507BC6">
        <w:rPr>
          <w:rFonts w:eastAsia="Times New Roman" w:cs="Times New Roman"/>
          <w:color w:val="000000"/>
        </w:rPr>
        <w:t xml:space="preserve"> “violent criminals</w:t>
      </w:r>
      <w:r w:rsidR="0055463E">
        <w:rPr>
          <w:rFonts w:eastAsia="Times New Roman" w:cs="Times New Roman"/>
          <w:color w:val="000000"/>
        </w:rPr>
        <w:t>,</w:t>
      </w:r>
      <w:r w:rsidR="00507BC6">
        <w:rPr>
          <w:rFonts w:eastAsia="Times New Roman" w:cs="Times New Roman"/>
          <w:color w:val="000000"/>
        </w:rPr>
        <w:t xml:space="preserve">” </w:t>
      </w:r>
      <w:r w:rsidR="00956E2F">
        <w:rPr>
          <w:rFonts w:eastAsia="Times New Roman" w:cs="Times New Roman"/>
          <w:color w:val="000000"/>
        </w:rPr>
        <w:t>protecti</w:t>
      </w:r>
      <w:r w:rsidR="001A1682">
        <w:rPr>
          <w:rFonts w:eastAsia="Times New Roman" w:cs="Times New Roman"/>
          <w:color w:val="000000"/>
        </w:rPr>
        <w:t>ng</w:t>
      </w:r>
      <w:r w:rsidR="6E4CCA05">
        <w:rPr>
          <w:rFonts w:eastAsia="Times New Roman" w:cs="Times New Roman"/>
          <w:color w:val="000000"/>
        </w:rPr>
        <w:t xml:space="preserve"> </w:t>
      </w:r>
      <w:r w:rsidR="17EF86E8">
        <w:rPr>
          <w:rFonts w:eastAsia="Times New Roman" w:cs="Times New Roman"/>
          <w:color w:val="000000"/>
        </w:rPr>
        <w:t>public safety</w:t>
      </w:r>
      <w:r w:rsidR="00690EF0">
        <w:rPr>
          <w:rFonts w:eastAsia="Times New Roman" w:cs="Times New Roman"/>
          <w:color w:val="000000"/>
        </w:rPr>
        <w:t>,</w:t>
      </w:r>
      <w:r w:rsidR="17EF86E8">
        <w:rPr>
          <w:rFonts w:eastAsia="Times New Roman" w:cs="Times New Roman"/>
          <w:color w:val="000000"/>
        </w:rPr>
        <w:t xml:space="preserve"> and </w:t>
      </w:r>
      <w:r w:rsidR="00956E2F">
        <w:rPr>
          <w:rFonts w:eastAsia="Times New Roman" w:cs="Times New Roman"/>
          <w:color w:val="000000"/>
        </w:rPr>
        <w:t xml:space="preserve">fostering </w:t>
      </w:r>
      <w:r w:rsidR="17EF86E8">
        <w:rPr>
          <w:rFonts w:eastAsia="Times New Roman" w:cs="Times New Roman"/>
          <w:color w:val="000000"/>
        </w:rPr>
        <w:t xml:space="preserve">the welfare of </w:t>
      </w:r>
      <w:r w:rsidR="17EF86E8" w:rsidRPr="009D0CF7">
        <w:rPr>
          <w:rFonts w:eastAsia="Times New Roman" w:cs="Times New Roman"/>
          <w:color w:val="000000"/>
        </w:rPr>
        <w:t>victims</w:t>
      </w:r>
      <w:r w:rsidR="60B8F92B">
        <w:rPr>
          <w:rFonts w:eastAsia="Times New Roman" w:cs="Times New Roman"/>
          <w:color w:val="000000"/>
        </w:rPr>
        <w:t xml:space="preserve"> and </w:t>
      </w:r>
      <w:r w:rsidR="60B8F92B" w:rsidRPr="009D0CF7">
        <w:rPr>
          <w:rFonts w:eastAsia="Times New Roman" w:cs="Times New Roman"/>
          <w:color w:val="000000"/>
        </w:rPr>
        <w:t>witnesses</w:t>
      </w:r>
      <w:r w:rsidR="60B8F92B">
        <w:rPr>
          <w:rFonts w:eastAsia="Times New Roman" w:cs="Times New Roman"/>
          <w:color w:val="000000"/>
        </w:rPr>
        <w:t>.</w:t>
      </w:r>
    </w:p>
    <w:p w14:paraId="61B2B49F" w14:textId="406408A0" w:rsidR="00DB0C50" w:rsidRDefault="001B6997" w:rsidP="00656ABE">
      <w:pPr>
        <w:autoSpaceDE w:val="0"/>
        <w:autoSpaceDN w:val="0"/>
        <w:adjustRightInd w:val="0"/>
        <w:spacing w:line="360" w:lineRule="auto"/>
        <w:contextualSpacing/>
        <w:rPr>
          <w:rFonts w:eastAsia="Times New Roman" w:cs="Times New Roman"/>
          <w:color w:val="000000" w:themeColor="text1"/>
        </w:rPr>
      </w:pPr>
      <w:r>
        <w:rPr>
          <w:rFonts w:eastAsia="Times New Roman" w:cs="Times New Roman"/>
          <w:color w:val="000000"/>
        </w:rPr>
        <w:tab/>
      </w:r>
      <w:r w:rsidR="6607D5D6">
        <w:rPr>
          <w:rFonts w:eastAsia="Times New Roman" w:cs="Times New Roman"/>
          <w:color w:val="000000"/>
        </w:rPr>
        <w:t>The second</w:t>
      </w:r>
      <w:r>
        <w:rPr>
          <w:rFonts w:eastAsia="Times New Roman" w:cs="Times New Roman"/>
          <w:color w:val="000000"/>
        </w:rPr>
        <w:t xml:space="preserve"> </w:t>
      </w:r>
      <w:r w:rsidR="08AC6E3E" w:rsidRPr="797FBB80">
        <w:rPr>
          <w:rFonts w:eastAsia="Times New Roman" w:cs="Times New Roman"/>
          <w:color w:val="000000" w:themeColor="text1"/>
        </w:rPr>
        <w:t>provision</w:t>
      </w:r>
      <w:r w:rsidR="2BFE276F">
        <w:rPr>
          <w:rFonts w:eastAsia="Times New Roman" w:cs="Times New Roman"/>
          <w:color w:val="000000"/>
        </w:rPr>
        <w:t xml:space="preserve"> </w:t>
      </w:r>
      <w:r w:rsidR="6607D5D6">
        <w:rPr>
          <w:rFonts w:eastAsia="Times New Roman" w:cs="Times New Roman"/>
          <w:color w:val="000000"/>
        </w:rPr>
        <w:t>is section 1050</w:t>
      </w:r>
      <w:r w:rsidR="009F2718" w:rsidRPr="797FBB80">
        <w:rPr>
          <w:rFonts w:eastAsia="Times New Roman" w:cs="Times New Roman"/>
          <w:color w:val="000000" w:themeColor="text1"/>
        </w:rPr>
        <w:t>(a)</w:t>
      </w:r>
      <w:r w:rsidR="2F4FA046" w:rsidRPr="797FBB80">
        <w:rPr>
          <w:rFonts w:eastAsia="Times New Roman" w:cs="Times New Roman"/>
          <w:color w:val="000000" w:themeColor="text1"/>
        </w:rPr>
        <w:t>,</w:t>
      </w:r>
      <w:r w:rsidR="4859968F">
        <w:rPr>
          <w:rFonts w:cs="Times New Roman"/>
        </w:rPr>
        <w:t xml:space="preserve"> </w:t>
      </w:r>
      <w:r w:rsidR="351C4B8E" w:rsidRPr="797FBB80">
        <w:rPr>
          <w:rFonts w:cs="Times New Roman"/>
        </w:rPr>
        <w:t>which</w:t>
      </w:r>
      <w:r w:rsidR="0E4CE83C" w:rsidRPr="797FBB80">
        <w:rPr>
          <w:rFonts w:cs="Times New Roman"/>
        </w:rPr>
        <w:t xml:space="preserve"> imposes a “duty [on] all courts and judicial officers [and counsel] . . . to expedite </w:t>
      </w:r>
      <w:r w:rsidR="25047654" w:rsidRPr="797FBB80">
        <w:rPr>
          <w:rFonts w:cs="Times New Roman"/>
        </w:rPr>
        <w:t xml:space="preserve">[criminal] </w:t>
      </w:r>
      <w:r w:rsidR="0E4CE83C" w:rsidRPr="797FBB80">
        <w:rPr>
          <w:rFonts w:cs="Times New Roman"/>
        </w:rPr>
        <w:t>proceedings to the greatest degree that is consistent with the ends of justice.” (</w:t>
      </w:r>
      <w:r w:rsidR="0E4CE83C" w:rsidRPr="797FBB80">
        <w:rPr>
          <w:rFonts w:eastAsia="Times New Roman" w:cs="Times New Roman"/>
          <w:color w:val="000000" w:themeColor="text1"/>
        </w:rPr>
        <w:t>§ 1050(a)</w:t>
      </w:r>
      <w:r w:rsidR="0E4CE83C" w:rsidRPr="797FBB80">
        <w:rPr>
          <w:rFonts w:cs="Times New Roman"/>
          <w:i/>
          <w:iCs/>
        </w:rPr>
        <w:t>.</w:t>
      </w:r>
      <w:r w:rsidR="0E4CE83C" w:rsidRPr="797FBB80">
        <w:rPr>
          <w:rFonts w:cs="Times New Roman"/>
        </w:rPr>
        <w:t xml:space="preserve">) </w:t>
      </w:r>
      <w:r w:rsidR="4B049C12" w:rsidRPr="797FBB80">
        <w:rPr>
          <w:rFonts w:cs="Times New Roman"/>
        </w:rPr>
        <w:t>To that end</w:t>
      </w:r>
      <w:r w:rsidR="0E4CE83C" w:rsidRPr="797FBB80">
        <w:rPr>
          <w:rFonts w:cs="Times New Roman"/>
        </w:rPr>
        <w:t xml:space="preserve">, the provision further commands that criminal cases </w:t>
      </w:r>
      <w:r w:rsidR="009455B2">
        <w:rPr>
          <w:rFonts w:cs="Times New Roman"/>
        </w:rPr>
        <w:t>“</w:t>
      </w:r>
      <w:r w:rsidR="0E4CE83C" w:rsidRPr="797FBB80">
        <w:rPr>
          <w:rFonts w:cs="Times New Roman"/>
        </w:rPr>
        <w:t xml:space="preserve">shall be given precedence </w:t>
      </w:r>
      <w:proofErr w:type="gramStart"/>
      <w:r w:rsidR="0E4CE83C" w:rsidRPr="797FBB80">
        <w:rPr>
          <w:rFonts w:cs="Times New Roman"/>
        </w:rPr>
        <w:t>over, and</w:t>
      </w:r>
      <w:proofErr w:type="gramEnd"/>
      <w:r w:rsidR="0E4CE83C" w:rsidRPr="797FBB80">
        <w:rPr>
          <w:rFonts w:cs="Times New Roman"/>
        </w:rPr>
        <w:t xml:space="preserve"> set for trial and heard without regard to the pendency of, any civil matters or proceedings.”</w:t>
      </w:r>
      <w:r w:rsidR="0E4CE83C" w:rsidRPr="797FBB80">
        <w:rPr>
          <w:rFonts w:eastAsia="Times New Roman" w:cs="Times New Roman"/>
          <w:color w:val="000000" w:themeColor="text1"/>
        </w:rPr>
        <w:t xml:space="preserve"> </w:t>
      </w:r>
      <w:r w:rsidR="337CA479" w:rsidRPr="797FBB80">
        <w:rPr>
          <w:rFonts w:eastAsia="Times New Roman" w:cs="Times New Roman"/>
          <w:color w:val="000000" w:themeColor="text1"/>
        </w:rPr>
        <w:t>(</w:t>
      </w:r>
      <w:r w:rsidR="337CA479" w:rsidRPr="797FBB80">
        <w:rPr>
          <w:rFonts w:eastAsia="Times New Roman" w:cs="Times New Roman"/>
          <w:i/>
          <w:iCs/>
          <w:color w:val="000000" w:themeColor="text1"/>
        </w:rPr>
        <w:t>Ibid.</w:t>
      </w:r>
      <w:r w:rsidR="337CA479" w:rsidRPr="797FBB80">
        <w:rPr>
          <w:rFonts w:eastAsia="Times New Roman" w:cs="Times New Roman"/>
          <w:color w:val="000000" w:themeColor="text1"/>
        </w:rPr>
        <w:t>)</w:t>
      </w:r>
      <w:r w:rsidR="4F279E6C" w:rsidRPr="797FBB80">
        <w:rPr>
          <w:rFonts w:eastAsia="Times New Roman" w:cs="Times New Roman"/>
          <w:color w:val="000000" w:themeColor="text1"/>
        </w:rPr>
        <w:t xml:space="preserve"> As we discuss </w:t>
      </w:r>
      <w:r w:rsidR="2C30BE33" w:rsidRPr="797FBB80">
        <w:rPr>
          <w:rFonts w:eastAsia="Times New Roman" w:cs="Times New Roman"/>
          <w:color w:val="000000" w:themeColor="text1"/>
        </w:rPr>
        <w:t>below</w:t>
      </w:r>
      <w:r w:rsidR="4F279E6C" w:rsidRPr="797FBB80">
        <w:rPr>
          <w:rFonts w:eastAsia="Times New Roman" w:cs="Times New Roman"/>
          <w:color w:val="000000" w:themeColor="text1"/>
        </w:rPr>
        <w:t xml:space="preserve">, </w:t>
      </w:r>
      <w:r w:rsidR="530E6338" w:rsidRPr="797FBB80">
        <w:rPr>
          <w:rFonts w:eastAsia="Times New Roman" w:cs="Times New Roman"/>
          <w:color w:val="000000" w:themeColor="text1"/>
        </w:rPr>
        <w:t xml:space="preserve">while </w:t>
      </w:r>
      <w:r w:rsidR="0D4B5A1D" w:rsidRPr="797FBB80">
        <w:rPr>
          <w:rFonts w:eastAsia="Times New Roman" w:cs="Times New Roman"/>
          <w:color w:val="000000" w:themeColor="text1"/>
        </w:rPr>
        <w:t>this provision has been</w:t>
      </w:r>
      <w:r w:rsidR="623FE735" w:rsidRPr="797FBB80">
        <w:rPr>
          <w:rFonts w:eastAsia="Times New Roman" w:cs="Times New Roman"/>
          <w:color w:val="000000" w:themeColor="text1"/>
        </w:rPr>
        <w:t xml:space="preserve"> </w:t>
      </w:r>
      <w:r w:rsidR="4F279E6C" w:rsidRPr="797FBB80">
        <w:rPr>
          <w:rFonts w:eastAsia="Times New Roman" w:cs="Times New Roman"/>
          <w:color w:val="000000" w:themeColor="text1"/>
        </w:rPr>
        <w:t xml:space="preserve">construed to </w:t>
      </w:r>
      <w:r w:rsidR="28E357E2" w:rsidRPr="797FBB80">
        <w:rPr>
          <w:rFonts w:eastAsia="Times New Roman" w:cs="Times New Roman"/>
          <w:color w:val="000000" w:themeColor="text1"/>
        </w:rPr>
        <w:t xml:space="preserve">permit </w:t>
      </w:r>
      <w:r w:rsidR="5C9B3ADE" w:rsidRPr="797FBB80">
        <w:rPr>
          <w:rFonts w:eastAsia="Times New Roman" w:cs="Times New Roman"/>
          <w:color w:val="000000" w:themeColor="text1"/>
        </w:rPr>
        <w:t xml:space="preserve">superior courts </w:t>
      </w:r>
      <w:r w:rsidR="3815C5D7" w:rsidRPr="797FBB80">
        <w:rPr>
          <w:rFonts w:eastAsia="Times New Roman" w:cs="Times New Roman"/>
          <w:color w:val="000000" w:themeColor="text1"/>
        </w:rPr>
        <w:t xml:space="preserve">some latitude </w:t>
      </w:r>
      <w:r w:rsidR="3221B317" w:rsidRPr="797FBB80">
        <w:rPr>
          <w:rFonts w:eastAsia="Times New Roman" w:cs="Times New Roman"/>
          <w:color w:val="000000" w:themeColor="text1"/>
        </w:rPr>
        <w:t xml:space="preserve">in </w:t>
      </w:r>
      <w:r w:rsidR="28E357E2" w:rsidRPr="797FBB80">
        <w:rPr>
          <w:rFonts w:eastAsia="Times New Roman" w:cs="Times New Roman"/>
          <w:color w:val="000000" w:themeColor="text1"/>
        </w:rPr>
        <w:t>manag</w:t>
      </w:r>
      <w:r w:rsidR="08F982F7" w:rsidRPr="797FBB80">
        <w:rPr>
          <w:rFonts w:eastAsia="Times New Roman" w:cs="Times New Roman"/>
          <w:color w:val="000000" w:themeColor="text1"/>
        </w:rPr>
        <w:t>ing</w:t>
      </w:r>
      <w:r w:rsidR="28E357E2" w:rsidRPr="797FBB80">
        <w:rPr>
          <w:rFonts w:eastAsia="Times New Roman" w:cs="Times New Roman"/>
          <w:color w:val="000000" w:themeColor="text1"/>
        </w:rPr>
        <w:t xml:space="preserve"> their workload</w:t>
      </w:r>
      <w:r w:rsidR="6239AB24" w:rsidRPr="797FBB80">
        <w:rPr>
          <w:rFonts w:eastAsia="Times New Roman" w:cs="Times New Roman"/>
          <w:color w:val="000000" w:themeColor="text1"/>
        </w:rPr>
        <w:t>,</w:t>
      </w:r>
      <w:r w:rsidR="28E357E2" w:rsidRPr="797FBB80">
        <w:rPr>
          <w:rFonts w:eastAsia="Times New Roman" w:cs="Times New Roman"/>
          <w:color w:val="000000" w:themeColor="text1"/>
        </w:rPr>
        <w:t xml:space="preserve"> </w:t>
      </w:r>
      <w:r w:rsidR="572746CA" w:rsidRPr="797FBB80">
        <w:rPr>
          <w:rFonts w:eastAsia="Times New Roman" w:cs="Times New Roman"/>
          <w:color w:val="000000" w:themeColor="text1"/>
        </w:rPr>
        <w:t xml:space="preserve">including </w:t>
      </w:r>
      <w:r w:rsidR="28E357E2" w:rsidRPr="797FBB80">
        <w:rPr>
          <w:rFonts w:eastAsia="Times New Roman" w:cs="Times New Roman"/>
          <w:color w:val="000000" w:themeColor="text1"/>
        </w:rPr>
        <w:t xml:space="preserve">by </w:t>
      </w:r>
      <w:r w:rsidR="00D905BD">
        <w:rPr>
          <w:rFonts w:eastAsia="Times New Roman" w:cs="Times New Roman"/>
          <w:color w:val="000000" w:themeColor="text1"/>
        </w:rPr>
        <w:t>designating</w:t>
      </w:r>
      <w:r w:rsidR="00D905BD" w:rsidRPr="797FBB80">
        <w:rPr>
          <w:rFonts w:eastAsia="Times New Roman" w:cs="Times New Roman"/>
          <w:color w:val="000000" w:themeColor="text1"/>
        </w:rPr>
        <w:t xml:space="preserve"> </w:t>
      </w:r>
      <w:r w:rsidR="28E357E2" w:rsidRPr="797FBB80">
        <w:rPr>
          <w:rFonts w:eastAsia="Times New Roman" w:cs="Times New Roman"/>
          <w:color w:val="000000" w:themeColor="text1"/>
        </w:rPr>
        <w:t xml:space="preserve">specific courtrooms to </w:t>
      </w:r>
      <w:r w:rsidR="00D905BD">
        <w:rPr>
          <w:rFonts w:eastAsia="Times New Roman" w:cs="Times New Roman"/>
          <w:color w:val="000000" w:themeColor="text1"/>
        </w:rPr>
        <w:t>preside over</w:t>
      </w:r>
      <w:r w:rsidR="00D966BA">
        <w:rPr>
          <w:rFonts w:eastAsia="Times New Roman" w:cs="Times New Roman"/>
          <w:color w:val="000000" w:themeColor="text1"/>
        </w:rPr>
        <w:t xml:space="preserve"> </w:t>
      </w:r>
      <w:r w:rsidR="00720347">
        <w:rPr>
          <w:rFonts w:eastAsia="Times New Roman" w:cs="Times New Roman"/>
          <w:color w:val="000000" w:themeColor="text1"/>
        </w:rPr>
        <w:t>particular</w:t>
      </w:r>
      <w:r w:rsidR="00720347" w:rsidRPr="797FBB80">
        <w:rPr>
          <w:rFonts w:eastAsia="Times New Roman" w:cs="Times New Roman"/>
          <w:color w:val="000000" w:themeColor="text1"/>
        </w:rPr>
        <w:t xml:space="preserve"> </w:t>
      </w:r>
      <w:r w:rsidR="12D0C18E" w:rsidRPr="797FBB80">
        <w:rPr>
          <w:rFonts w:eastAsia="Times New Roman" w:cs="Times New Roman"/>
          <w:color w:val="000000" w:themeColor="text1"/>
        </w:rPr>
        <w:t xml:space="preserve">case types, </w:t>
      </w:r>
      <w:r w:rsidR="4CB23BD7" w:rsidRPr="797FBB80">
        <w:rPr>
          <w:rFonts w:eastAsia="Times New Roman" w:cs="Times New Roman"/>
          <w:color w:val="000000" w:themeColor="text1"/>
        </w:rPr>
        <w:t>it imposes the concomitant duty to do so</w:t>
      </w:r>
      <w:r w:rsidR="1028EBE1" w:rsidRPr="797FBB80">
        <w:rPr>
          <w:rFonts w:eastAsia="Times New Roman" w:cs="Times New Roman"/>
          <w:color w:val="000000" w:themeColor="text1"/>
        </w:rPr>
        <w:t xml:space="preserve"> in a manner that </w:t>
      </w:r>
      <w:r w:rsidR="0E78B558" w:rsidRPr="797FBB80">
        <w:rPr>
          <w:rFonts w:eastAsia="Times New Roman" w:cs="Times New Roman"/>
          <w:color w:val="000000" w:themeColor="text1"/>
        </w:rPr>
        <w:t>acknowledges the state interest in expeditious criminal proceed</w:t>
      </w:r>
      <w:r w:rsidR="10793946" w:rsidRPr="797FBB80">
        <w:rPr>
          <w:rFonts w:eastAsia="Times New Roman" w:cs="Times New Roman"/>
          <w:color w:val="000000" w:themeColor="text1"/>
        </w:rPr>
        <w:t>ing</w:t>
      </w:r>
      <w:r w:rsidR="0E78B558" w:rsidRPr="797FBB80">
        <w:rPr>
          <w:rFonts w:eastAsia="Times New Roman" w:cs="Times New Roman"/>
          <w:color w:val="000000" w:themeColor="text1"/>
        </w:rPr>
        <w:t xml:space="preserve">s and does </w:t>
      </w:r>
      <w:r w:rsidR="285F48F6" w:rsidRPr="797FBB80">
        <w:rPr>
          <w:color w:val="000000" w:themeColor="text1"/>
        </w:rPr>
        <w:t xml:space="preserve">not </w:t>
      </w:r>
      <w:r w:rsidR="0D0C3B06" w:rsidRPr="797FBB80">
        <w:rPr>
          <w:color w:val="000000" w:themeColor="text1"/>
        </w:rPr>
        <w:t>“</w:t>
      </w:r>
      <w:r w:rsidR="3A4443E3" w:rsidRPr="797FBB80">
        <w:rPr>
          <w:color w:val="000000" w:themeColor="text1"/>
        </w:rPr>
        <w:t>shortchange the court’s criminal caseload by creating or maintaining a disproportionately large number of civil as compared to criminal departments.</w:t>
      </w:r>
      <w:r w:rsidR="37943125" w:rsidRPr="797FBB80">
        <w:rPr>
          <w:color w:val="000000" w:themeColor="text1"/>
        </w:rPr>
        <w:t>”</w:t>
      </w:r>
      <w:r w:rsidR="7F8626C4" w:rsidRPr="797FBB80">
        <w:rPr>
          <w:color w:val="000000" w:themeColor="text1"/>
        </w:rPr>
        <w:t xml:space="preserve"> (See p</w:t>
      </w:r>
      <w:r w:rsidR="00470475">
        <w:rPr>
          <w:color w:val="000000" w:themeColor="text1"/>
        </w:rPr>
        <w:t>p</w:t>
      </w:r>
      <w:r w:rsidR="7F8626C4" w:rsidRPr="797FBB80">
        <w:rPr>
          <w:color w:val="000000" w:themeColor="text1"/>
        </w:rPr>
        <w:t xml:space="preserve">. </w:t>
      </w:r>
      <w:r w:rsidR="009534E4">
        <w:rPr>
          <w:color w:val="000000" w:themeColor="text1"/>
        </w:rPr>
        <w:t>1</w:t>
      </w:r>
      <w:r w:rsidR="006A408C">
        <w:rPr>
          <w:color w:val="000000" w:themeColor="text1"/>
        </w:rPr>
        <w:t>7</w:t>
      </w:r>
      <w:r w:rsidR="00470475">
        <w:rPr>
          <w:color w:val="000000" w:themeColor="text1"/>
        </w:rPr>
        <w:t>–21</w:t>
      </w:r>
      <w:r w:rsidR="00470475" w:rsidRPr="797FBB80">
        <w:rPr>
          <w:color w:val="000000" w:themeColor="text1"/>
        </w:rPr>
        <w:t>,</w:t>
      </w:r>
      <w:r w:rsidR="7F8626C4" w:rsidRPr="797FBB80">
        <w:rPr>
          <w:color w:val="000000" w:themeColor="text1"/>
        </w:rPr>
        <w:t xml:space="preserve"> </w:t>
      </w:r>
      <w:r w:rsidR="7F8626C4" w:rsidRPr="00636F75">
        <w:rPr>
          <w:i/>
          <w:color w:val="000000" w:themeColor="text1"/>
        </w:rPr>
        <w:t>post</w:t>
      </w:r>
      <w:r w:rsidR="7F8626C4" w:rsidRPr="797FBB80">
        <w:rPr>
          <w:color w:val="000000" w:themeColor="text1"/>
        </w:rPr>
        <w:t>.)</w:t>
      </w:r>
      <w:r w:rsidR="4F279E6C" w:rsidRPr="797FBB80">
        <w:rPr>
          <w:rFonts w:eastAsia="Times New Roman" w:cs="Times New Roman"/>
          <w:color w:val="000000" w:themeColor="text1"/>
        </w:rPr>
        <w:t xml:space="preserve"> </w:t>
      </w:r>
    </w:p>
    <w:p w14:paraId="631DC9CC" w14:textId="18C91D93" w:rsidR="00656ABE" w:rsidRDefault="001B6997" w:rsidP="00656ABE">
      <w:pPr>
        <w:autoSpaceDE w:val="0"/>
        <w:autoSpaceDN w:val="0"/>
        <w:adjustRightInd w:val="0"/>
        <w:spacing w:line="360" w:lineRule="auto"/>
        <w:contextualSpacing/>
        <w:rPr>
          <w:rFonts w:cs="Times New Roman"/>
        </w:rPr>
      </w:pPr>
      <w:r>
        <w:rPr>
          <w:rFonts w:eastAsia="Times New Roman" w:cs="Times New Roman"/>
          <w:color w:val="000000" w:themeColor="text1"/>
        </w:rPr>
        <w:tab/>
      </w:r>
      <w:r w:rsidR="6E564997" w:rsidRPr="797FBB80">
        <w:rPr>
          <w:rFonts w:cs="Times New Roman"/>
        </w:rPr>
        <w:t>Unlike section</w:t>
      </w:r>
      <w:r w:rsidR="00636F75">
        <w:rPr>
          <w:rFonts w:cs="Times New Roman"/>
        </w:rPr>
        <w:t> </w:t>
      </w:r>
      <w:r w:rsidR="6E564997" w:rsidRPr="797FBB80">
        <w:rPr>
          <w:rFonts w:cs="Times New Roman"/>
        </w:rPr>
        <w:t>1382</w:t>
      </w:r>
      <w:r w:rsidR="75591481" w:rsidRPr="797FBB80">
        <w:rPr>
          <w:rFonts w:cs="Times New Roman"/>
        </w:rPr>
        <w:t>,</w:t>
      </w:r>
      <w:r w:rsidR="2E540D47" w:rsidRPr="797FBB80">
        <w:rPr>
          <w:rFonts w:cs="Times New Roman"/>
        </w:rPr>
        <w:t xml:space="preserve"> </w:t>
      </w:r>
      <w:r w:rsidR="736903B0" w:rsidRPr="797FBB80">
        <w:rPr>
          <w:rFonts w:cs="Times New Roman"/>
        </w:rPr>
        <w:t xml:space="preserve">which was </w:t>
      </w:r>
      <w:r w:rsidR="2E540D47" w:rsidRPr="797FBB80">
        <w:rPr>
          <w:rFonts w:cs="Times New Roman"/>
        </w:rPr>
        <w:t xml:space="preserve">enacted to protect </w:t>
      </w:r>
      <w:r w:rsidR="2E540D47" w:rsidRPr="00AF73DD">
        <w:rPr>
          <w:rFonts w:cs="Times New Roman"/>
          <w:i/>
        </w:rPr>
        <w:t>defendants’</w:t>
      </w:r>
      <w:r w:rsidR="2E540D47" w:rsidRPr="797FBB80">
        <w:rPr>
          <w:rFonts w:cs="Times New Roman"/>
        </w:rPr>
        <w:t xml:space="preserve"> </w:t>
      </w:r>
      <w:r w:rsidR="153DC45F" w:rsidRPr="797FBB80">
        <w:rPr>
          <w:rFonts w:cs="Times New Roman"/>
        </w:rPr>
        <w:t xml:space="preserve">speedy trial </w:t>
      </w:r>
      <w:r w:rsidR="2E540D47" w:rsidRPr="797FBB80">
        <w:rPr>
          <w:rFonts w:cs="Times New Roman"/>
        </w:rPr>
        <w:t xml:space="preserve">rights, </w:t>
      </w:r>
      <w:r w:rsidR="3C94C8DD" w:rsidRPr="797FBB80">
        <w:rPr>
          <w:rFonts w:cs="Times New Roman"/>
        </w:rPr>
        <w:t>section 1050(a)</w:t>
      </w:r>
      <w:r w:rsidR="12F57A61" w:rsidRPr="797FBB80">
        <w:rPr>
          <w:rFonts w:cs="Times New Roman"/>
        </w:rPr>
        <w:t xml:space="preserve"> </w:t>
      </w:r>
      <w:r w:rsidR="4BF7B7A9" w:rsidRPr="797FBB80">
        <w:rPr>
          <w:rFonts w:cs="Times New Roman"/>
        </w:rPr>
        <w:t>acknowledges that the right to “expeditious disposition” of criminal cases inures broadly to “the people, the defendant, and the victims and other witnesses</w:t>
      </w:r>
      <w:r w:rsidR="562E9814" w:rsidRPr="797FBB80">
        <w:rPr>
          <w:rFonts w:cs="Times New Roman"/>
        </w:rPr>
        <w:t>.</w:t>
      </w:r>
      <w:r w:rsidR="4BF7B7A9" w:rsidRPr="797FBB80">
        <w:rPr>
          <w:rFonts w:cs="Times New Roman"/>
        </w:rPr>
        <w:t>”</w:t>
      </w:r>
      <w:r w:rsidR="1457007F" w:rsidRPr="797FBB80">
        <w:rPr>
          <w:rFonts w:cs="Times New Roman"/>
        </w:rPr>
        <w:t xml:space="preserve"> It also</w:t>
      </w:r>
      <w:r w:rsidR="365DA8EB" w:rsidRPr="797FBB80">
        <w:rPr>
          <w:rFonts w:cs="Times New Roman"/>
        </w:rPr>
        <w:t xml:space="preserve"> </w:t>
      </w:r>
      <w:r w:rsidR="6E8E7E59" w:rsidRPr="4A7BB021">
        <w:rPr>
          <w:rFonts w:cs="Times New Roman"/>
        </w:rPr>
        <w:t>“</w:t>
      </w:r>
      <w:r w:rsidR="6E8E7E59" w:rsidRPr="797FBB80">
        <w:rPr>
          <w:rFonts w:cs="Times New Roman"/>
        </w:rPr>
        <w:t>finds” that</w:t>
      </w:r>
      <w:r w:rsidR="13C132AF" w:rsidRPr="797FBB80">
        <w:rPr>
          <w:rFonts w:cs="Times New Roman"/>
        </w:rPr>
        <w:t xml:space="preserve"> excessive </w:t>
      </w:r>
      <w:r w:rsidR="1EEE91FE" w:rsidRPr="004178D9">
        <w:rPr>
          <w:rFonts w:cs="Times New Roman"/>
        </w:rPr>
        <w:t>continuances</w:t>
      </w:r>
      <w:r w:rsidR="00184EAD" w:rsidRPr="797FBB80">
        <w:rPr>
          <w:rFonts w:cs="Times New Roman"/>
        </w:rPr>
        <w:t xml:space="preserve"> </w:t>
      </w:r>
      <w:r w:rsidR="1EEE91FE" w:rsidRPr="004178D9">
        <w:rPr>
          <w:rFonts w:cs="Times New Roman"/>
        </w:rPr>
        <w:t>in criminal courts have “</w:t>
      </w:r>
      <w:r w:rsidR="73719A3D">
        <w:rPr>
          <w:rFonts w:cs="Times New Roman"/>
        </w:rPr>
        <w:t>adverse consequences</w:t>
      </w:r>
      <w:r w:rsidR="420B2668">
        <w:rPr>
          <w:rFonts w:cs="Times New Roman"/>
        </w:rPr>
        <w:t>” not just to defendants, but</w:t>
      </w:r>
      <w:r w:rsidR="73719A3D">
        <w:rPr>
          <w:rFonts w:cs="Times New Roman"/>
        </w:rPr>
        <w:t xml:space="preserve"> </w:t>
      </w:r>
      <w:r w:rsidR="153027E3">
        <w:rPr>
          <w:rFonts w:cs="Times New Roman"/>
        </w:rPr>
        <w:t>“</w:t>
      </w:r>
      <w:r w:rsidR="73719A3D">
        <w:rPr>
          <w:rFonts w:cs="Times New Roman"/>
        </w:rPr>
        <w:t>to the welfare of the people</w:t>
      </w:r>
      <w:r w:rsidR="1EEE91FE">
        <w:rPr>
          <w:rFonts w:cs="Times New Roman"/>
        </w:rPr>
        <w:t>,”</w:t>
      </w:r>
      <w:r w:rsidR="3637042E">
        <w:rPr>
          <w:rFonts w:cs="Times New Roman"/>
        </w:rPr>
        <w:t xml:space="preserve"> </w:t>
      </w:r>
      <w:r w:rsidR="1EEE91FE">
        <w:rPr>
          <w:rFonts w:cs="Times New Roman"/>
        </w:rPr>
        <w:t xml:space="preserve">cause </w:t>
      </w:r>
      <w:r w:rsidR="65CDD3D0" w:rsidRPr="004178D9">
        <w:rPr>
          <w:rFonts w:cs="Times New Roman"/>
        </w:rPr>
        <w:t>“</w:t>
      </w:r>
      <w:r w:rsidR="73719A3D">
        <w:rPr>
          <w:rFonts w:cs="Times New Roman"/>
        </w:rPr>
        <w:t>substantial hardship to victims and other witnesses</w:t>
      </w:r>
      <w:r w:rsidR="1EEE91FE" w:rsidRPr="004178D9">
        <w:rPr>
          <w:rFonts w:cs="Times New Roman"/>
        </w:rPr>
        <w:t xml:space="preserve">,” and </w:t>
      </w:r>
      <w:r w:rsidR="57BF7634" w:rsidRPr="004178D9">
        <w:rPr>
          <w:rFonts w:cs="Times New Roman"/>
        </w:rPr>
        <w:t xml:space="preserve">can </w:t>
      </w:r>
      <w:r w:rsidR="00184EAD" w:rsidRPr="797FBB80">
        <w:rPr>
          <w:rFonts w:cs="Times New Roman"/>
        </w:rPr>
        <w:t xml:space="preserve">lead to </w:t>
      </w:r>
      <w:r w:rsidR="1EEE91FE" w:rsidRPr="004178D9">
        <w:rPr>
          <w:rFonts w:cs="Times New Roman"/>
        </w:rPr>
        <w:t>“</w:t>
      </w:r>
      <w:r w:rsidR="73719A3D">
        <w:rPr>
          <w:rFonts w:cs="Times New Roman"/>
        </w:rPr>
        <w:t>overcrowding and increased expenses of local jails.</w:t>
      </w:r>
      <w:r w:rsidR="1EEE91FE" w:rsidRPr="7FA68319">
        <w:rPr>
          <w:rFonts w:cs="Times New Roman"/>
        </w:rPr>
        <w:t xml:space="preserve">” </w:t>
      </w:r>
    </w:p>
    <w:p w14:paraId="42B1C0D9" w14:textId="1164E3E4" w:rsidR="00970BDB" w:rsidRPr="00DB6074" w:rsidRDefault="001B6997" w:rsidP="00656ABE">
      <w:pPr>
        <w:autoSpaceDE w:val="0"/>
        <w:autoSpaceDN w:val="0"/>
        <w:adjustRightInd w:val="0"/>
        <w:spacing w:line="360" w:lineRule="auto"/>
        <w:contextualSpacing/>
        <w:rPr>
          <w:rFonts w:eastAsia="Times New Roman" w:cs="Times New Roman"/>
          <w:color w:val="000000"/>
        </w:rPr>
      </w:pPr>
      <w:r>
        <w:rPr>
          <w:rFonts w:eastAsia="Times New Roman" w:cs="Times New Roman"/>
          <w:color w:val="000000" w:themeColor="text1"/>
        </w:rPr>
        <w:lastRenderedPageBreak/>
        <w:tab/>
        <w:t>Finally, a correlating California Rule of Court imposes on the presiding master calendar judge and on the court certain duties designed to reduce delays and minimize section 1382 dismissals. (Cal. Rules of Court, rule 4.115(a) [“To ensur</w:t>
      </w:r>
      <w:r>
        <w:rPr>
          <w:rFonts w:eastAsia="Times New Roman" w:cs="Times New Roman"/>
          <w:color w:val="000000" w:themeColor="text1"/>
        </w:rPr>
        <w:t>e that the court’s policy on continuances is firm and uniformly applied . . . and that cases are tried on a date certain,” a court not operating on direct calendar system must implement a master calendar system, in which the presiding judge of a master cal</w:t>
      </w:r>
      <w:r>
        <w:rPr>
          <w:rFonts w:eastAsia="Times New Roman" w:cs="Times New Roman"/>
          <w:color w:val="000000" w:themeColor="text1"/>
        </w:rPr>
        <w:t xml:space="preserve">endar department must conduct or supervise all arraignments and pretrial hearings and “assign to a trial department any case requiring a trial . . .”]; </w:t>
      </w:r>
      <w:r>
        <w:rPr>
          <w:rFonts w:eastAsia="Times New Roman" w:cs="Times New Roman"/>
          <w:i/>
          <w:iCs/>
          <w:color w:val="000000" w:themeColor="text1"/>
        </w:rPr>
        <w:t>id.,</w:t>
      </w:r>
      <w:r>
        <w:rPr>
          <w:rFonts w:eastAsia="Times New Roman" w:cs="Times New Roman"/>
          <w:color w:val="000000" w:themeColor="text1"/>
        </w:rPr>
        <w:t xml:space="preserve"> rule 4.115(b) [“</w:t>
      </w:r>
      <w:r w:rsidRPr="00D664A1">
        <w:rPr>
          <w:rFonts w:eastAsia="Times New Roman" w:cs="Times New Roman"/>
          <w:color w:val="000000" w:themeColor="text1"/>
        </w:rPr>
        <w:t xml:space="preserve">Active management of trial calendars is necessary to minimize the number of </w:t>
      </w:r>
      <w:r w:rsidRPr="00D664A1">
        <w:rPr>
          <w:rFonts w:eastAsia="Times New Roman" w:cs="Times New Roman"/>
          <w:color w:val="000000" w:themeColor="text1"/>
        </w:rPr>
        <w:t>statutory dismissals</w:t>
      </w:r>
      <w:r>
        <w:rPr>
          <w:rFonts w:eastAsia="Times New Roman" w:cs="Times New Roman"/>
          <w:color w:val="000000" w:themeColor="text1"/>
        </w:rPr>
        <w:t>. . . . </w:t>
      </w:r>
      <w:r w:rsidRPr="00D664A1">
        <w:rPr>
          <w:rFonts w:eastAsia="Times New Roman" w:cs="Times New Roman"/>
          <w:color w:val="000000" w:themeColor="text1"/>
        </w:rPr>
        <w:t>Courts must implement calendar management procedures, in accordance with local conditions and needs, to ensure that criminal cases are assigned to trial departments before the last day permitted for trial under section 1382</w:t>
      </w:r>
      <w:r>
        <w:rPr>
          <w:rFonts w:eastAsia="Times New Roman" w:cs="Times New Roman"/>
          <w:color w:val="000000" w:themeColor="text1"/>
        </w:rPr>
        <w:t>.”].)</w:t>
      </w:r>
    </w:p>
    <w:p w14:paraId="20574A4A" w14:textId="010B4700" w:rsidR="00656ABE" w:rsidRPr="00595579" w:rsidRDefault="001B6997" w:rsidP="007F31A4">
      <w:pPr>
        <w:keepNext/>
        <w:autoSpaceDE w:val="0"/>
        <w:autoSpaceDN w:val="0"/>
        <w:adjustRightInd w:val="0"/>
        <w:spacing w:line="360" w:lineRule="auto"/>
        <w:contextualSpacing/>
        <w:rPr>
          <w:rFonts w:cs="Times New Roman"/>
          <w:b/>
          <w:bCs/>
          <w:i/>
          <w:iCs/>
        </w:rPr>
      </w:pPr>
      <w:r w:rsidRPr="00595579">
        <w:rPr>
          <w:rFonts w:cs="Times New Roman"/>
          <w:b/>
          <w:bCs/>
        </w:rPr>
        <w:tab/>
      </w:r>
      <w:r w:rsidRPr="00595579">
        <w:rPr>
          <w:rFonts w:cs="Times New Roman"/>
          <w:b/>
          <w:bCs/>
        </w:rPr>
        <w:tab/>
      </w:r>
      <w:r w:rsidR="00425462">
        <w:rPr>
          <w:rFonts w:cs="Times New Roman"/>
          <w:b/>
          <w:i/>
        </w:rPr>
        <w:t>2</w:t>
      </w:r>
      <w:r w:rsidRPr="00595579">
        <w:rPr>
          <w:rFonts w:cs="Times New Roman"/>
          <w:b/>
          <w:bCs/>
        </w:rPr>
        <w:t>. Engram</w:t>
      </w:r>
      <w:r>
        <w:rPr>
          <w:rFonts w:cs="Times New Roman"/>
          <w:b/>
          <w:bCs/>
        </w:rPr>
        <w:t xml:space="preserve"> </w:t>
      </w:r>
      <w:r>
        <w:rPr>
          <w:rFonts w:cs="Times New Roman"/>
          <w:b/>
          <w:bCs/>
          <w:i/>
          <w:iCs/>
        </w:rPr>
        <w:t xml:space="preserve">and the Duty of a Court Under </w:t>
      </w:r>
      <w:r w:rsidRPr="00595579">
        <w:rPr>
          <w:rFonts w:cs="Times New Roman"/>
          <w:b/>
          <w:bCs/>
          <w:i/>
          <w:iCs/>
        </w:rPr>
        <w:t xml:space="preserve">Section 1050(a) </w:t>
      </w:r>
    </w:p>
    <w:p w14:paraId="1A228E62" w14:textId="71AFA4A0" w:rsidR="00595579" w:rsidRPr="00C70ED6" w:rsidRDefault="001B6997" w:rsidP="003F5F13">
      <w:pPr>
        <w:autoSpaceDE w:val="0"/>
        <w:autoSpaceDN w:val="0"/>
        <w:adjustRightInd w:val="0"/>
        <w:spacing w:line="360" w:lineRule="auto"/>
        <w:contextualSpacing/>
        <w:rPr>
          <w:rFonts w:cs="Times New Roman"/>
        </w:rPr>
      </w:pPr>
      <w:r>
        <w:rPr>
          <w:rFonts w:cs="Times New Roman"/>
        </w:rPr>
        <w:tab/>
      </w:r>
      <w:r w:rsidR="25975A6A">
        <w:rPr>
          <w:rFonts w:cs="Times New Roman"/>
        </w:rPr>
        <w:t>I</w:t>
      </w:r>
      <w:r w:rsidR="25975A6A" w:rsidRPr="006E727E">
        <w:rPr>
          <w:rFonts w:cs="Times New Roman"/>
        </w:rPr>
        <w:t xml:space="preserve">n </w:t>
      </w:r>
      <w:r w:rsidR="25975A6A" w:rsidRPr="797FBB80">
        <w:rPr>
          <w:rFonts w:cs="Times New Roman"/>
          <w:i/>
          <w:iCs/>
        </w:rPr>
        <w:t>Engram</w:t>
      </w:r>
      <w:r w:rsidR="00611F18">
        <w:rPr>
          <w:rFonts w:cs="Times New Roman"/>
        </w:rPr>
        <w:t xml:space="preserve">, </w:t>
      </w:r>
      <w:r w:rsidR="00611F18">
        <w:rPr>
          <w:rFonts w:cs="Times New Roman"/>
          <w:i/>
          <w:iCs/>
        </w:rPr>
        <w:t>supra</w:t>
      </w:r>
      <w:r w:rsidR="00611F18">
        <w:rPr>
          <w:rFonts w:cs="Times New Roman"/>
        </w:rPr>
        <w:t>,</w:t>
      </w:r>
      <w:r w:rsidR="25975A6A">
        <w:rPr>
          <w:rFonts w:cs="Times New Roman"/>
        </w:rPr>
        <w:t xml:space="preserve"> 50 Cal.4</w:t>
      </w:r>
      <w:r w:rsidR="25975A6A" w:rsidRPr="00595579">
        <w:rPr>
          <w:rFonts w:cs="Times New Roman"/>
        </w:rPr>
        <w:t>th</w:t>
      </w:r>
      <w:r w:rsidR="25975A6A">
        <w:rPr>
          <w:rFonts w:cs="Times New Roman"/>
        </w:rPr>
        <w:t xml:space="preserve"> 1131, the</w:t>
      </w:r>
      <w:r w:rsidR="03CE2AB2">
        <w:rPr>
          <w:rFonts w:cs="Times New Roman"/>
        </w:rPr>
        <w:t xml:space="preserve"> Supreme</w:t>
      </w:r>
      <w:r w:rsidR="25975A6A">
        <w:rPr>
          <w:rFonts w:cs="Times New Roman"/>
        </w:rPr>
        <w:t xml:space="preserve"> </w:t>
      </w:r>
      <w:r w:rsidR="03CE2AB2">
        <w:rPr>
          <w:rFonts w:cs="Times New Roman"/>
        </w:rPr>
        <w:t>C</w:t>
      </w:r>
      <w:r w:rsidR="25975A6A" w:rsidRPr="006E727E">
        <w:rPr>
          <w:rFonts w:cs="Times New Roman"/>
        </w:rPr>
        <w:t xml:space="preserve">ourt analyzed </w:t>
      </w:r>
      <w:r w:rsidR="25975A6A">
        <w:rPr>
          <w:rFonts w:cs="Times New Roman"/>
        </w:rPr>
        <w:t>th</w:t>
      </w:r>
      <w:r w:rsidR="54D6E0A4">
        <w:rPr>
          <w:rFonts w:cs="Times New Roman"/>
        </w:rPr>
        <w:t>e</w:t>
      </w:r>
      <w:r w:rsidR="25975A6A">
        <w:rPr>
          <w:rFonts w:cs="Times New Roman"/>
        </w:rPr>
        <w:t xml:space="preserve"> dut</w:t>
      </w:r>
      <w:r w:rsidR="75DBACAF">
        <w:rPr>
          <w:rFonts w:cs="Times New Roman"/>
        </w:rPr>
        <w:t>ies</w:t>
      </w:r>
      <w:r w:rsidR="25975A6A">
        <w:rPr>
          <w:rFonts w:cs="Times New Roman"/>
        </w:rPr>
        <w:t xml:space="preserve"> </w:t>
      </w:r>
      <w:r w:rsidR="75DBACAF">
        <w:rPr>
          <w:rFonts w:cs="Times New Roman"/>
        </w:rPr>
        <w:t>imposed</w:t>
      </w:r>
      <w:r w:rsidR="54D6E0A4">
        <w:rPr>
          <w:rFonts w:cs="Times New Roman"/>
        </w:rPr>
        <w:t xml:space="preserve"> by section 1050(a), </w:t>
      </w:r>
      <w:r w:rsidR="25975A6A">
        <w:rPr>
          <w:rFonts w:cs="Times New Roman"/>
        </w:rPr>
        <w:t xml:space="preserve">and </w:t>
      </w:r>
      <w:r w:rsidR="33ECEB40">
        <w:rPr>
          <w:rFonts w:cs="Times New Roman"/>
        </w:rPr>
        <w:t xml:space="preserve">considered </w:t>
      </w:r>
      <w:r w:rsidR="25975A6A">
        <w:rPr>
          <w:rFonts w:cs="Times New Roman"/>
        </w:rPr>
        <w:t xml:space="preserve">how </w:t>
      </w:r>
      <w:r w:rsidR="33ECEB40">
        <w:rPr>
          <w:rFonts w:cs="Times New Roman"/>
        </w:rPr>
        <w:t>th</w:t>
      </w:r>
      <w:r w:rsidR="00E2285E">
        <w:rPr>
          <w:rFonts w:cs="Times New Roman"/>
        </w:rPr>
        <w:t>ose duties</w:t>
      </w:r>
      <w:r w:rsidR="1F26B465">
        <w:rPr>
          <w:rFonts w:cs="Times New Roman"/>
        </w:rPr>
        <w:t xml:space="preserve"> </w:t>
      </w:r>
      <w:r w:rsidR="25975A6A">
        <w:rPr>
          <w:rFonts w:cs="Times New Roman"/>
        </w:rPr>
        <w:t>interact with a court’s case-specific obligations</w:t>
      </w:r>
      <w:r w:rsidR="39E0E137">
        <w:rPr>
          <w:rFonts w:cs="Times New Roman"/>
        </w:rPr>
        <w:t>, under section 1382,</w:t>
      </w:r>
      <w:r w:rsidR="7DD3AEF5">
        <w:rPr>
          <w:rFonts w:cs="Times New Roman"/>
        </w:rPr>
        <w:t xml:space="preserve"> </w:t>
      </w:r>
      <w:r w:rsidR="0CBD0298">
        <w:rPr>
          <w:rFonts w:cs="Times New Roman"/>
        </w:rPr>
        <w:t xml:space="preserve">to </w:t>
      </w:r>
      <w:r w:rsidR="17F83B4E">
        <w:rPr>
          <w:rFonts w:cs="Times New Roman"/>
        </w:rPr>
        <w:t xml:space="preserve">dismiss a criminal case if not </w:t>
      </w:r>
      <w:r w:rsidR="0CBD0298">
        <w:rPr>
          <w:rFonts w:cs="Times New Roman"/>
        </w:rPr>
        <w:t xml:space="preserve">timely </w:t>
      </w:r>
      <w:r w:rsidR="10C0582F">
        <w:rPr>
          <w:rFonts w:cs="Times New Roman"/>
        </w:rPr>
        <w:t xml:space="preserve">brought to </w:t>
      </w:r>
      <w:r w:rsidR="25975A6A">
        <w:rPr>
          <w:rFonts w:cs="Times New Roman"/>
        </w:rPr>
        <w:t>trial</w:t>
      </w:r>
      <w:r w:rsidR="7DD3AEF5">
        <w:rPr>
          <w:rFonts w:cs="Times New Roman"/>
        </w:rPr>
        <w:t>.</w:t>
      </w:r>
      <w:r w:rsidR="25975A6A">
        <w:rPr>
          <w:rFonts w:cs="Times New Roman"/>
        </w:rPr>
        <w:t xml:space="preserve"> </w:t>
      </w:r>
    </w:p>
    <w:p w14:paraId="0ED6DE27" w14:textId="162A9FCB" w:rsidR="0080647E" w:rsidRPr="006E727E" w:rsidRDefault="001B6997" w:rsidP="003F5F13">
      <w:pPr>
        <w:autoSpaceDE w:val="0"/>
        <w:autoSpaceDN w:val="0"/>
        <w:adjustRightInd w:val="0"/>
        <w:spacing w:line="360" w:lineRule="auto"/>
        <w:contextualSpacing/>
        <w:rPr>
          <w:rFonts w:cs="Times New Roman"/>
        </w:rPr>
      </w:pPr>
      <w:r>
        <w:rPr>
          <w:rFonts w:cs="Times New Roman"/>
        </w:rPr>
        <w:tab/>
      </w:r>
      <w:r w:rsidR="7BE87353" w:rsidRPr="797FBB80">
        <w:rPr>
          <w:rFonts w:cs="Times New Roman"/>
          <w:i/>
          <w:iCs/>
        </w:rPr>
        <w:t>Engram</w:t>
      </w:r>
      <w:r w:rsidR="7BE87353">
        <w:rPr>
          <w:rFonts w:cs="Times New Roman"/>
        </w:rPr>
        <w:t xml:space="preserve"> </w:t>
      </w:r>
      <w:r w:rsidR="4FA177A7">
        <w:rPr>
          <w:rFonts w:cs="Times New Roman"/>
        </w:rPr>
        <w:t xml:space="preserve">concerned </w:t>
      </w:r>
      <w:r w:rsidR="7BE87353" w:rsidRPr="006E727E">
        <w:rPr>
          <w:rFonts w:cs="Times New Roman"/>
        </w:rPr>
        <w:t xml:space="preserve">a </w:t>
      </w:r>
      <w:r w:rsidR="4FA177A7">
        <w:rPr>
          <w:rFonts w:cs="Times New Roman"/>
        </w:rPr>
        <w:t>trial court’s decision to</w:t>
      </w:r>
      <w:r w:rsidRPr="797FBB80">
        <w:rPr>
          <w:rFonts w:cs="Times New Roman"/>
        </w:rPr>
        <w:t xml:space="preserve"> </w:t>
      </w:r>
      <w:r w:rsidR="7BE87353">
        <w:rPr>
          <w:rFonts w:cs="Times New Roman"/>
        </w:rPr>
        <w:t>dismiss a</w:t>
      </w:r>
      <w:r w:rsidR="4FA177A7">
        <w:rPr>
          <w:rFonts w:cs="Times New Roman"/>
        </w:rPr>
        <w:t>n individual</w:t>
      </w:r>
      <w:r w:rsidR="7BE87353">
        <w:rPr>
          <w:rFonts w:cs="Times New Roman"/>
        </w:rPr>
        <w:t xml:space="preserve"> criminal case</w:t>
      </w:r>
      <w:r w:rsidR="7BE87353" w:rsidRPr="006E727E">
        <w:rPr>
          <w:rFonts w:cs="Times New Roman"/>
        </w:rPr>
        <w:t xml:space="preserve"> in Riverside </w:t>
      </w:r>
      <w:r w:rsidR="00DD45E1">
        <w:rPr>
          <w:rFonts w:cs="Times New Roman"/>
        </w:rPr>
        <w:t>County</w:t>
      </w:r>
      <w:r w:rsidR="7BE87353">
        <w:rPr>
          <w:rFonts w:cs="Times New Roman"/>
        </w:rPr>
        <w:t xml:space="preserve"> Superior Court, which was then experiencing a massive, chronic backlog due to years of</w:t>
      </w:r>
      <w:r w:rsidR="7BE87353" w:rsidRPr="006E727E">
        <w:rPr>
          <w:rFonts w:cs="Times New Roman"/>
        </w:rPr>
        <w:t xml:space="preserve"> inadequate funding </w:t>
      </w:r>
      <w:r w:rsidR="7BE87353" w:rsidRPr="000454B1">
        <w:rPr>
          <w:rFonts w:eastAsia="Calibri" w:cs="Arial"/>
          <w:sz w:val="24"/>
          <w:szCs w:val="24"/>
        </w:rPr>
        <w:t>vis</w:t>
      </w:r>
      <w:r w:rsidR="000454B1" w:rsidRPr="000454B1">
        <w:rPr>
          <w:rFonts w:eastAsia="Calibri" w:cs="Arial"/>
          <w:sz w:val="24"/>
          <w:szCs w:val="24"/>
        </w:rPr>
        <w:t>-à-</w:t>
      </w:r>
      <w:r w:rsidR="7BE87353" w:rsidRPr="000454B1">
        <w:rPr>
          <w:rFonts w:eastAsia="Calibri" w:cs="Arial"/>
          <w:sz w:val="24"/>
          <w:szCs w:val="24"/>
        </w:rPr>
        <w:t>vis</w:t>
      </w:r>
      <w:r w:rsidR="7BE87353" w:rsidRPr="006E727E">
        <w:rPr>
          <w:rFonts w:cs="Times New Roman"/>
        </w:rPr>
        <w:t xml:space="preserve"> the county’s growth. </w:t>
      </w:r>
      <w:r w:rsidR="3DA23FD9">
        <w:rPr>
          <w:rFonts w:cs="Times New Roman"/>
        </w:rPr>
        <w:t xml:space="preserve">A task force </w:t>
      </w:r>
      <w:r w:rsidR="28C988C1">
        <w:rPr>
          <w:rFonts w:cs="Times New Roman"/>
        </w:rPr>
        <w:t xml:space="preserve">had been </w:t>
      </w:r>
      <w:r w:rsidR="3DA23FD9">
        <w:rPr>
          <w:rFonts w:cs="Times New Roman"/>
        </w:rPr>
        <w:t xml:space="preserve">assembled to assess and </w:t>
      </w:r>
      <w:r w:rsidR="62306E1C">
        <w:rPr>
          <w:rFonts w:cs="Times New Roman"/>
        </w:rPr>
        <w:t>assist with the backlog</w:t>
      </w:r>
      <w:r w:rsidRPr="797FBB80">
        <w:rPr>
          <w:rFonts w:cs="Times New Roman"/>
        </w:rPr>
        <w:t>,</w:t>
      </w:r>
      <w:r w:rsidR="338A4360">
        <w:rPr>
          <w:rFonts w:cs="Times New Roman"/>
        </w:rPr>
        <w:t xml:space="preserve"> and</w:t>
      </w:r>
      <w:r w:rsidR="62306E1C">
        <w:rPr>
          <w:rFonts w:cs="Times New Roman"/>
        </w:rPr>
        <w:t xml:space="preserve"> </w:t>
      </w:r>
      <w:r w:rsidR="7BE87353">
        <w:rPr>
          <w:rFonts w:cs="Times New Roman"/>
        </w:rPr>
        <w:t>the court</w:t>
      </w:r>
      <w:r w:rsidR="28C988C1">
        <w:rPr>
          <w:rFonts w:cs="Times New Roman"/>
        </w:rPr>
        <w:t xml:space="preserve"> had</w:t>
      </w:r>
      <w:r w:rsidR="7BE87353">
        <w:rPr>
          <w:rFonts w:cs="Times New Roman"/>
        </w:rPr>
        <w:t xml:space="preserve"> devoted </w:t>
      </w:r>
      <w:r w:rsidR="2E472D97">
        <w:rPr>
          <w:rFonts w:cs="Times New Roman"/>
        </w:rPr>
        <w:t xml:space="preserve">virtually </w:t>
      </w:r>
      <w:proofErr w:type="gramStart"/>
      <w:r w:rsidR="2E472D97">
        <w:rPr>
          <w:rFonts w:cs="Times New Roman"/>
        </w:rPr>
        <w:t>all of</w:t>
      </w:r>
      <w:proofErr w:type="gramEnd"/>
      <w:r w:rsidR="2E472D97">
        <w:rPr>
          <w:rFonts w:cs="Times New Roman"/>
        </w:rPr>
        <w:t xml:space="preserve"> its judges and courtrooms (including </w:t>
      </w:r>
      <w:r w:rsidR="7BE87353">
        <w:rPr>
          <w:rFonts w:cs="Times New Roman"/>
        </w:rPr>
        <w:t xml:space="preserve">every civil department but family law, juvenile, </w:t>
      </w:r>
      <w:r w:rsidR="7BE87353">
        <w:rPr>
          <w:rFonts w:cs="Times New Roman"/>
        </w:rPr>
        <w:lastRenderedPageBreak/>
        <w:t>and probate</w:t>
      </w:r>
      <w:r>
        <w:rPr>
          <w:rStyle w:val="FootnoteReference"/>
          <w:rFonts w:cs="Times New Roman"/>
        </w:rPr>
        <w:footnoteReference w:id="18"/>
      </w:r>
      <w:r w:rsidR="44ACC226">
        <w:rPr>
          <w:rFonts w:cs="Times New Roman"/>
        </w:rPr>
        <w:t>)</w:t>
      </w:r>
      <w:r w:rsidR="7BE87353">
        <w:rPr>
          <w:rFonts w:cs="Times New Roman"/>
        </w:rPr>
        <w:t xml:space="preserve"> to criminal trials</w:t>
      </w:r>
      <w:r w:rsidR="7BE87353" w:rsidRPr="006E727E">
        <w:rPr>
          <w:rFonts w:cs="Times New Roman"/>
        </w:rPr>
        <w:t>. (</w:t>
      </w:r>
      <w:r w:rsidR="7BE87353" w:rsidRPr="797FBB80">
        <w:rPr>
          <w:rFonts w:cs="Times New Roman"/>
          <w:i/>
          <w:iCs/>
        </w:rPr>
        <w:t>Engram</w:t>
      </w:r>
      <w:r w:rsidR="7BE87353">
        <w:rPr>
          <w:rFonts w:cs="Times New Roman"/>
        </w:rPr>
        <w:t xml:space="preserve">, </w:t>
      </w:r>
      <w:r w:rsidR="7BE87353" w:rsidRPr="797FBB80">
        <w:rPr>
          <w:rFonts w:cs="Times New Roman"/>
          <w:i/>
          <w:iCs/>
        </w:rPr>
        <w:t>supra</w:t>
      </w:r>
      <w:r w:rsidR="7BE87353">
        <w:rPr>
          <w:rFonts w:cs="Times New Roman"/>
        </w:rPr>
        <w:t>, 50 Cal.4th</w:t>
      </w:r>
      <w:r w:rsidR="7BE87353" w:rsidRPr="006E727E">
        <w:rPr>
          <w:rFonts w:cs="Times New Roman"/>
        </w:rPr>
        <w:t xml:space="preserve"> at pp.</w:t>
      </w:r>
      <w:r w:rsidR="7BE87353">
        <w:rPr>
          <w:rFonts w:cs="Times New Roman"/>
        </w:rPr>
        <w:t> </w:t>
      </w:r>
      <w:r w:rsidR="7BE87353" w:rsidRPr="006E727E">
        <w:rPr>
          <w:rFonts w:cs="Times New Roman"/>
        </w:rPr>
        <w:t>1136–113</w:t>
      </w:r>
      <w:r w:rsidR="002B6418">
        <w:rPr>
          <w:rFonts w:cs="Times New Roman"/>
        </w:rPr>
        <w:t>7</w:t>
      </w:r>
      <w:r w:rsidR="7BE87353" w:rsidRPr="006E727E">
        <w:rPr>
          <w:rFonts w:cs="Times New Roman"/>
        </w:rPr>
        <w:t xml:space="preserve">.) </w:t>
      </w:r>
      <w:r w:rsidR="7BE87353">
        <w:rPr>
          <w:rFonts w:cs="Times New Roman"/>
        </w:rPr>
        <w:t>O</w:t>
      </w:r>
      <w:r w:rsidR="7BE87353" w:rsidRPr="006E727E">
        <w:rPr>
          <w:rFonts w:cs="Times New Roman"/>
        </w:rPr>
        <w:t xml:space="preserve">n the statutory deadline to </w:t>
      </w:r>
      <w:r w:rsidR="7BE87353">
        <w:rPr>
          <w:rFonts w:cs="Times New Roman"/>
        </w:rPr>
        <w:t>try</w:t>
      </w:r>
      <w:r w:rsidR="7BE87353" w:rsidRPr="006E727E">
        <w:rPr>
          <w:rFonts w:cs="Times New Roman"/>
        </w:rPr>
        <w:t xml:space="preserve"> </w:t>
      </w:r>
      <w:r w:rsidR="7BE87353">
        <w:rPr>
          <w:rFonts w:cs="Times New Roman"/>
        </w:rPr>
        <w:t>Engram</w:t>
      </w:r>
      <w:r w:rsidR="7BE87353" w:rsidRPr="006E727E">
        <w:rPr>
          <w:rFonts w:cs="Times New Roman"/>
        </w:rPr>
        <w:t>’s case, a Riverside County judge found no courtroom available</w:t>
      </w:r>
      <w:r w:rsidR="7BE87353">
        <w:rPr>
          <w:rFonts w:cs="Times New Roman"/>
        </w:rPr>
        <w:t xml:space="preserve"> </w:t>
      </w:r>
      <w:r w:rsidR="4C64BA19">
        <w:rPr>
          <w:rFonts w:cs="Times New Roman"/>
        </w:rPr>
        <w:t xml:space="preserve">(for Engram or </w:t>
      </w:r>
      <w:r w:rsidR="004B3A83">
        <w:rPr>
          <w:rFonts w:cs="Times New Roman"/>
        </w:rPr>
        <w:t xml:space="preserve">for the </w:t>
      </w:r>
      <w:r w:rsidR="4C64BA19">
        <w:rPr>
          <w:rFonts w:cs="Times New Roman"/>
        </w:rPr>
        <w:t xml:space="preserve">defendants in 17 other </w:t>
      </w:r>
      <w:r w:rsidR="4F4430C3">
        <w:rPr>
          <w:rFonts w:cs="Times New Roman"/>
        </w:rPr>
        <w:t xml:space="preserve">“last day” </w:t>
      </w:r>
      <w:r w:rsidR="4C64BA19">
        <w:rPr>
          <w:rFonts w:cs="Times New Roman"/>
        </w:rPr>
        <w:t>cases</w:t>
      </w:r>
      <w:r w:rsidR="0B2F8F21">
        <w:rPr>
          <w:rFonts w:cs="Times New Roman"/>
        </w:rPr>
        <w:t xml:space="preserve"> in which</w:t>
      </w:r>
      <w:r w:rsidR="4F4430C3">
        <w:rPr>
          <w:rFonts w:cs="Times New Roman"/>
        </w:rPr>
        <w:t xml:space="preserve"> defense</w:t>
      </w:r>
      <w:r w:rsidR="0B2F8F21">
        <w:rPr>
          <w:rFonts w:cs="Times New Roman"/>
        </w:rPr>
        <w:t xml:space="preserve"> counsel had declared “ready”</w:t>
      </w:r>
      <w:r w:rsidR="4C64BA19">
        <w:rPr>
          <w:rFonts w:cs="Times New Roman"/>
        </w:rPr>
        <w:t>)</w:t>
      </w:r>
      <w:r w:rsidR="7BE87353">
        <w:rPr>
          <w:rFonts w:cs="Times New Roman"/>
        </w:rPr>
        <w:t xml:space="preserve"> </w:t>
      </w:r>
      <w:r w:rsidR="7BE87353" w:rsidRPr="006E727E">
        <w:rPr>
          <w:rFonts w:cs="Times New Roman"/>
        </w:rPr>
        <w:t xml:space="preserve">and </w:t>
      </w:r>
      <w:r w:rsidR="3CA22979">
        <w:rPr>
          <w:rFonts w:cs="Times New Roman"/>
        </w:rPr>
        <w:t>concluded that th</w:t>
      </w:r>
      <w:r w:rsidR="385B3B58">
        <w:rPr>
          <w:rFonts w:cs="Times New Roman"/>
        </w:rPr>
        <w:t>e lack of courtrooms</w:t>
      </w:r>
      <w:r w:rsidR="3CA22979">
        <w:rPr>
          <w:rFonts w:cs="Times New Roman"/>
        </w:rPr>
        <w:t xml:space="preserve"> did not constitute </w:t>
      </w:r>
      <w:r w:rsidR="385B3B58">
        <w:rPr>
          <w:rFonts w:cs="Times New Roman"/>
        </w:rPr>
        <w:t>“</w:t>
      </w:r>
      <w:r w:rsidR="7BE87353" w:rsidRPr="006E727E">
        <w:rPr>
          <w:rFonts w:cs="Times New Roman"/>
        </w:rPr>
        <w:t>good cause</w:t>
      </w:r>
      <w:r w:rsidR="385B3B58">
        <w:rPr>
          <w:rFonts w:cs="Times New Roman"/>
        </w:rPr>
        <w:t>”</w:t>
      </w:r>
      <w:r w:rsidR="7BE87353" w:rsidRPr="006E727E">
        <w:rPr>
          <w:rFonts w:cs="Times New Roman"/>
        </w:rPr>
        <w:t xml:space="preserve"> to extend the </w:t>
      </w:r>
      <w:r w:rsidR="385B3B58">
        <w:rPr>
          <w:rFonts w:cs="Times New Roman"/>
        </w:rPr>
        <w:t>date to commence trial any further</w:t>
      </w:r>
      <w:r w:rsidRPr="797FBB80">
        <w:rPr>
          <w:rFonts w:cs="Times New Roman"/>
        </w:rPr>
        <w:t>. (</w:t>
      </w:r>
      <w:r w:rsidR="7BE87353" w:rsidRPr="797FBB80">
        <w:rPr>
          <w:rFonts w:cs="Times New Roman"/>
          <w:i/>
          <w:iCs/>
        </w:rPr>
        <w:t>Id</w:t>
      </w:r>
      <w:r w:rsidR="7BE87353">
        <w:rPr>
          <w:rFonts w:cs="Times New Roman"/>
        </w:rPr>
        <w:t xml:space="preserve">. </w:t>
      </w:r>
      <w:r w:rsidR="7BE87353" w:rsidRPr="00F960B0">
        <w:rPr>
          <w:rFonts w:cs="Times New Roman"/>
        </w:rPr>
        <w:t>at</w:t>
      </w:r>
      <w:r w:rsidR="7BE87353" w:rsidRPr="006E727E">
        <w:rPr>
          <w:rFonts w:cs="Times New Roman"/>
        </w:rPr>
        <w:t xml:space="preserve"> pp. 11</w:t>
      </w:r>
      <w:r w:rsidR="00560208">
        <w:rPr>
          <w:rFonts w:cs="Times New Roman"/>
        </w:rPr>
        <w:t>40</w:t>
      </w:r>
      <w:r w:rsidR="7BE87353" w:rsidRPr="006E727E">
        <w:rPr>
          <w:rFonts w:cs="Times New Roman"/>
        </w:rPr>
        <w:t>–11</w:t>
      </w:r>
      <w:r w:rsidR="00695548">
        <w:rPr>
          <w:rFonts w:cs="Times New Roman"/>
        </w:rPr>
        <w:t>43</w:t>
      </w:r>
      <w:r w:rsidR="7BE87353" w:rsidRPr="006E727E">
        <w:rPr>
          <w:rFonts w:cs="Times New Roman"/>
        </w:rPr>
        <w:t xml:space="preserve">.) </w:t>
      </w:r>
      <w:r w:rsidR="7BE87353">
        <w:rPr>
          <w:rFonts w:cs="Times New Roman"/>
        </w:rPr>
        <w:t>To avert dismissal, t</w:t>
      </w:r>
      <w:r w:rsidR="7BE87353" w:rsidRPr="006E727E">
        <w:rPr>
          <w:rFonts w:cs="Times New Roman"/>
        </w:rPr>
        <w:t>he district attorney argued that section 1050</w:t>
      </w:r>
      <w:r w:rsidR="7BE87353">
        <w:rPr>
          <w:rFonts w:cs="Times New Roman"/>
        </w:rPr>
        <w:t>(a)</w:t>
      </w:r>
      <w:r w:rsidR="7BE87353" w:rsidRPr="006E727E">
        <w:rPr>
          <w:rFonts w:cs="Times New Roman"/>
        </w:rPr>
        <w:t xml:space="preserve"> </w:t>
      </w:r>
      <w:r w:rsidR="7BE87353">
        <w:rPr>
          <w:rFonts w:cs="Times New Roman"/>
        </w:rPr>
        <w:t>oblig</w:t>
      </w:r>
      <w:r w:rsidR="7BE87353" w:rsidRPr="006E727E">
        <w:rPr>
          <w:rFonts w:cs="Times New Roman"/>
        </w:rPr>
        <w:t>ed the court</w:t>
      </w:r>
      <w:r w:rsidR="59CB42F5">
        <w:rPr>
          <w:rFonts w:cs="Times New Roman"/>
        </w:rPr>
        <w:t>, before dismissing the case,</w:t>
      </w:r>
      <w:r w:rsidR="7BE87353" w:rsidRPr="006E727E">
        <w:rPr>
          <w:rFonts w:cs="Times New Roman"/>
        </w:rPr>
        <w:t xml:space="preserve"> to </w:t>
      </w:r>
      <w:r w:rsidR="7BE87353">
        <w:rPr>
          <w:rFonts w:cs="Times New Roman"/>
        </w:rPr>
        <w:t xml:space="preserve">consider </w:t>
      </w:r>
      <w:r w:rsidR="59CB42F5">
        <w:rPr>
          <w:rFonts w:cs="Times New Roman"/>
        </w:rPr>
        <w:t>sending the trial to</w:t>
      </w:r>
      <w:r w:rsidR="7BE87353" w:rsidRPr="006E727E">
        <w:rPr>
          <w:rFonts w:cs="Times New Roman"/>
        </w:rPr>
        <w:t xml:space="preserve"> </w:t>
      </w:r>
      <w:r w:rsidR="7AB782A8">
        <w:rPr>
          <w:rFonts w:cs="Times New Roman"/>
        </w:rPr>
        <w:t xml:space="preserve">a </w:t>
      </w:r>
      <w:r w:rsidR="385B3B58">
        <w:rPr>
          <w:rFonts w:cs="Times New Roman"/>
        </w:rPr>
        <w:t>probate, juvenile or family</w:t>
      </w:r>
      <w:r w:rsidR="7BE87353" w:rsidRPr="006E727E">
        <w:rPr>
          <w:rFonts w:cs="Times New Roman"/>
        </w:rPr>
        <w:t xml:space="preserve"> </w:t>
      </w:r>
      <w:r w:rsidR="00CE7F05">
        <w:rPr>
          <w:rFonts w:cs="Times New Roman"/>
        </w:rPr>
        <w:t xml:space="preserve">law </w:t>
      </w:r>
      <w:r w:rsidR="7BE87353" w:rsidRPr="006E727E">
        <w:rPr>
          <w:rFonts w:cs="Times New Roman"/>
        </w:rPr>
        <w:t>department</w:t>
      </w:r>
      <w:r w:rsidR="7BE87353" w:rsidRPr="00F960B0">
        <w:rPr>
          <w:rFonts w:cs="Times New Roman"/>
          <w:spacing w:val="-2"/>
        </w:rPr>
        <w:t xml:space="preserve">, </w:t>
      </w:r>
      <w:r w:rsidR="7BE87353">
        <w:rPr>
          <w:rFonts w:cs="Times New Roman"/>
          <w:spacing w:val="-2"/>
        </w:rPr>
        <w:t xml:space="preserve">and argued </w:t>
      </w:r>
      <w:r w:rsidR="7BE87353" w:rsidRPr="00F960B0">
        <w:rPr>
          <w:rFonts w:cs="Times New Roman"/>
          <w:spacing w:val="-2"/>
        </w:rPr>
        <w:t>in the alternative</w:t>
      </w:r>
      <w:r w:rsidR="7BE87353">
        <w:rPr>
          <w:rFonts w:cs="Times New Roman"/>
          <w:spacing w:val="-2"/>
        </w:rPr>
        <w:t xml:space="preserve"> </w:t>
      </w:r>
      <w:r w:rsidR="7BE87353" w:rsidRPr="00F960B0">
        <w:rPr>
          <w:rFonts w:cs="Times New Roman"/>
          <w:spacing w:val="-2"/>
        </w:rPr>
        <w:t>that if no department</w:t>
      </w:r>
      <w:r w:rsidR="7BE87353" w:rsidRPr="006E727E">
        <w:rPr>
          <w:rFonts w:cs="Times New Roman"/>
        </w:rPr>
        <w:t xml:space="preserve"> was available, that </w:t>
      </w:r>
      <w:r w:rsidR="7BE87353">
        <w:rPr>
          <w:rFonts w:cs="Times New Roman"/>
        </w:rPr>
        <w:t xml:space="preserve">fact was </w:t>
      </w:r>
      <w:r w:rsidR="7BE87353" w:rsidRPr="006E727E">
        <w:rPr>
          <w:rFonts w:cs="Times New Roman"/>
        </w:rPr>
        <w:t xml:space="preserve">good cause </w:t>
      </w:r>
      <w:r w:rsidR="7BE87353">
        <w:rPr>
          <w:rFonts w:cs="Times New Roman"/>
        </w:rPr>
        <w:t xml:space="preserve">for a </w:t>
      </w:r>
      <w:r w:rsidR="7BE87353" w:rsidRPr="006E727E">
        <w:rPr>
          <w:rFonts w:cs="Times New Roman"/>
        </w:rPr>
        <w:t>contin</w:t>
      </w:r>
      <w:r w:rsidR="7BE87353">
        <w:rPr>
          <w:rFonts w:cs="Times New Roman"/>
        </w:rPr>
        <w:t>uance</w:t>
      </w:r>
      <w:r w:rsidR="7BE87353" w:rsidRPr="006E727E">
        <w:rPr>
          <w:rFonts w:cs="Times New Roman"/>
        </w:rPr>
        <w:t>. (</w:t>
      </w:r>
      <w:r w:rsidR="7BE87353" w:rsidRPr="797FBB80">
        <w:rPr>
          <w:rFonts w:cs="Times New Roman"/>
          <w:i/>
          <w:iCs/>
        </w:rPr>
        <w:t xml:space="preserve">Id. </w:t>
      </w:r>
      <w:r w:rsidR="7BE87353" w:rsidRPr="006E727E">
        <w:rPr>
          <w:rFonts w:cs="Times New Roman"/>
        </w:rPr>
        <w:t xml:space="preserve">at p. 1141.) The court rejected </w:t>
      </w:r>
      <w:r w:rsidR="7BE87353">
        <w:rPr>
          <w:rFonts w:cs="Times New Roman"/>
        </w:rPr>
        <w:t>both</w:t>
      </w:r>
      <w:r w:rsidR="7BE87353" w:rsidRPr="006E727E">
        <w:rPr>
          <w:rFonts w:cs="Times New Roman"/>
        </w:rPr>
        <w:t xml:space="preserve"> arguments and</w:t>
      </w:r>
      <w:r w:rsidR="718AA747">
        <w:rPr>
          <w:rFonts w:cs="Times New Roman"/>
        </w:rPr>
        <w:t>, upon motion,</w:t>
      </w:r>
      <w:r w:rsidR="7BE87353" w:rsidRPr="006E727E">
        <w:rPr>
          <w:rFonts w:cs="Times New Roman"/>
        </w:rPr>
        <w:t xml:space="preserve"> dismissed the action</w:t>
      </w:r>
      <w:r w:rsidR="34EDAEB8">
        <w:rPr>
          <w:rFonts w:cs="Times New Roman"/>
        </w:rPr>
        <w:t xml:space="preserve"> pursuant to section 1382</w:t>
      </w:r>
      <w:r w:rsidR="7BE87353" w:rsidRPr="006E727E">
        <w:rPr>
          <w:rFonts w:cs="Times New Roman"/>
        </w:rPr>
        <w:t>. (</w:t>
      </w:r>
      <w:r w:rsidR="7BE87353" w:rsidRPr="797FBB80">
        <w:rPr>
          <w:rFonts w:cs="Times New Roman"/>
          <w:i/>
          <w:iCs/>
        </w:rPr>
        <w:t>Id.</w:t>
      </w:r>
      <w:r w:rsidR="7BE87353" w:rsidRPr="006E727E">
        <w:rPr>
          <w:rFonts w:cs="Times New Roman"/>
        </w:rPr>
        <w:t xml:space="preserve"> at pp. 1141–1144</w:t>
      </w:r>
      <w:r w:rsidR="7BE87353">
        <w:rPr>
          <w:rFonts w:cs="Times New Roman"/>
        </w:rPr>
        <w:t>.</w:t>
      </w:r>
      <w:r w:rsidR="7BE87353" w:rsidRPr="006E727E">
        <w:rPr>
          <w:rFonts w:cs="Times New Roman"/>
        </w:rPr>
        <w:t xml:space="preserve">) </w:t>
      </w:r>
    </w:p>
    <w:p w14:paraId="1DDBE492" w14:textId="0CC9F2FC" w:rsidR="0080647E" w:rsidRPr="00D4319A" w:rsidRDefault="001B6997" w:rsidP="003F5F13">
      <w:pPr>
        <w:autoSpaceDE w:val="0"/>
        <w:autoSpaceDN w:val="0"/>
        <w:adjustRightInd w:val="0"/>
        <w:spacing w:line="360" w:lineRule="auto"/>
        <w:contextualSpacing/>
        <w:rPr>
          <w:color w:val="000000" w:themeColor="text1"/>
        </w:rPr>
      </w:pPr>
      <w:bookmarkStart w:id="2" w:name="_Hlk132284081"/>
      <w:r w:rsidRPr="006E727E">
        <w:rPr>
          <w:rFonts w:cs="Times New Roman"/>
        </w:rPr>
        <w:tab/>
      </w:r>
      <w:r w:rsidR="25975A6A">
        <w:rPr>
          <w:rFonts w:cs="Times New Roman"/>
        </w:rPr>
        <w:t>The Supreme Court</w:t>
      </w:r>
      <w:r w:rsidR="25141C00">
        <w:rPr>
          <w:rFonts w:cs="Times New Roman"/>
        </w:rPr>
        <w:t xml:space="preserve"> affirmed</w:t>
      </w:r>
      <w:r w:rsidR="015D2CF7">
        <w:rPr>
          <w:rFonts w:cs="Times New Roman"/>
        </w:rPr>
        <w:t>,</w:t>
      </w:r>
      <w:r w:rsidR="25975A6A">
        <w:rPr>
          <w:rFonts w:cs="Times New Roman"/>
        </w:rPr>
        <w:t xml:space="preserve"> </w:t>
      </w:r>
      <w:r w:rsidR="16CF0825">
        <w:rPr>
          <w:rFonts w:cs="Times New Roman"/>
        </w:rPr>
        <w:t xml:space="preserve">observing that </w:t>
      </w:r>
      <w:r w:rsidR="2676AFC5">
        <w:rPr>
          <w:rFonts w:cs="Times New Roman"/>
        </w:rPr>
        <w:t>court and counsel are obligated</w:t>
      </w:r>
      <w:r w:rsidR="56440B5B">
        <w:rPr>
          <w:rFonts w:cs="Times New Roman"/>
        </w:rPr>
        <w:t xml:space="preserve"> </w:t>
      </w:r>
      <w:r w:rsidR="25975A6A" w:rsidRPr="00101906">
        <w:rPr>
          <w:rFonts w:cs="Times New Roman"/>
        </w:rPr>
        <w:t xml:space="preserve">to expedite criminal proceedings </w:t>
      </w:r>
      <w:r w:rsidR="787A9CE7">
        <w:rPr>
          <w:rFonts w:cs="Times New Roman"/>
        </w:rPr>
        <w:t xml:space="preserve">only </w:t>
      </w:r>
      <w:r w:rsidR="25975A6A" w:rsidRPr="00101906">
        <w:rPr>
          <w:rFonts w:cs="Times New Roman"/>
        </w:rPr>
        <w:t xml:space="preserve">“to the greatest degree that is </w:t>
      </w:r>
      <w:r w:rsidR="25975A6A" w:rsidRPr="797FBB80">
        <w:rPr>
          <w:rFonts w:cs="Times New Roman"/>
          <w:i/>
          <w:iCs/>
        </w:rPr>
        <w:t>consistent with the ends of justice</w:t>
      </w:r>
      <w:r w:rsidR="25975A6A" w:rsidRPr="00101906">
        <w:rPr>
          <w:rFonts w:cs="Times New Roman"/>
        </w:rPr>
        <w:t>.”</w:t>
      </w:r>
      <w:r w:rsidR="25975A6A" w:rsidRPr="000F14D1">
        <w:rPr>
          <w:color w:val="000000" w:themeColor="text1"/>
        </w:rPr>
        <w:t xml:space="preserve"> </w:t>
      </w:r>
      <w:r w:rsidR="25975A6A" w:rsidRPr="4B0E998B">
        <w:rPr>
          <w:color w:val="000000" w:themeColor="text1"/>
        </w:rPr>
        <w:t>(</w:t>
      </w:r>
      <w:r w:rsidR="416C2941" w:rsidRPr="797FBB80">
        <w:rPr>
          <w:rFonts w:cs="Times New Roman"/>
          <w:i/>
          <w:iCs/>
        </w:rPr>
        <w:t>Engram</w:t>
      </w:r>
      <w:r w:rsidR="416C2941" w:rsidRPr="797FBB80">
        <w:rPr>
          <w:rFonts w:cs="Times New Roman"/>
        </w:rPr>
        <w:t xml:space="preserve">, </w:t>
      </w:r>
      <w:r w:rsidR="416C2941" w:rsidRPr="797FBB80">
        <w:rPr>
          <w:rFonts w:cs="Times New Roman"/>
          <w:i/>
          <w:iCs/>
        </w:rPr>
        <w:t>supra</w:t>
      </w:r>
      <w:r w:rsidR="416C2941" w:rsidRPr="797FBB80">
        <w:rPr>
          <w:rFonts w:cs="Times New Roman"/>
        </w:rPr>
        <w:t>, 50 Cal.4th at pp. 1153–1156, 115</w:t>
      </w:r>
      <w:r w:rsidR="00804AED">
        <w:rPr>
          <w:rFonts w:cs="Times New Roman"/>
        </w:rPr>
        <w:t>0</w:t>
      </w:r>
      <w:r w:rsidR="25975A6A" w:rsidRPr="4B0E998B">
        <w:rPr>
          <w:color w:val="000000" w:themeColor="text1"/>
        </w:rPr>
        <w:t>, quoting</w:t>
      </w:r>
      <w:r w:rsidR="25975A6A" w:rsidRPr="4B0E998B">
        <w:rPr>
          <w:rFonts w:cs="Times New Roman"/>
        </w:rPr>
        <w:t xml:space="preserve"> § 1050(a), italics added.)</w:t>
      </w:r>
      <w:r w:rsidR="25975A6A">
        <w:rPr>
          <w:rFonts w:cs="Times New Roman"/>
        </w:rPr>
        <w:t xml:space="preserve"> </w:t>
      </w:r>
      <w:r w:rsidR="3B375F7A">
        <w:rPr>
          <w:rFonts w:cs="Times New Roman"/>
        </w:rPr>
        <w:t>I</w:t>
      </w:r>
      <w:r w:rsidR="5A4624C0">
        <w:rPr>
          <w:rFonts w:cs="Times New Roman"/>
        </w:rPr>
        <w:t xml:space="preserve">t held </w:t>
      </w:r>
      <w:r w:rsidR="25975A6A">
        <w:rPr>
          <w:color w:val="000000"/>
          <w:spacing w:val="-2"/>
        </w:rPr>
        <w:t>section 1050(a) c</w:t>
      </w:r>
      <w:r w:rsidR="44B588D7">
        <w:rPr>
          <w:color w:val="000000"/>
          <w:spacing w:val="-2"/>
        </w:rPr>
        <w:t xml:space="preserve">ould </w:t>
      </w:r>
      <w:r w:rsidR="25975A6A">
        <w:rPr>
          <w:color w:val="000000"/>
          <w:spacing w:val="-2"/>
        </w:rPr>
        <w:t xml:space="preserve">not be read </w:t>
      </w:r>
      <w:r w:rsidR="25975A6A">
        <w:rPr>
          <w:color w:val="000000"/>
        </w:rPr>
        <w:t>to create</w:t>
      </w:r>
      <w:r w:rsidR="25975A6A" w:rsidRPr="002E35AC">
        <w:rPr>
          <w:color w:val="000000"/>
        </w:rPr>
        <w:t xml:space="preserve"> </w:t>
      </w:r>
      <w:r w:rsidR="25975A6A">
        <w:rPr>
          <w:color w:val="000000"/>
        </w:rPr>
        <w:t>“</w:t>
      </w:r>
      <w:r w:rsidR="25975A6A" w:rsidRPr="002E35AC">
        <w:rPr>
          <w:color w:val="000000"/>
        </w:rPr>
        <w:t xml:space="preserve">an absolute or inflexible rule mandating such precedence </w:t>
      </w:r>
      <w:r w:rsidR="78BB6911">
        <w:rPr>
          <w:color w:val="000000"/>
        </w:rPr>
        <w:t xml:space="preserve">[for criminal cases] </w:t>
      </w:r>
      <w:r w:rsidR="25975A6A" w:rsidRPr="002E35AC">
        <w:rPr>
          <w:color w:val="000000"/>
        </w:rPr>
        <w:t>under all circumstances</w:t>
      </w:r>
      <w:r w:rsidR="6AF7A9ED" w:rsidRPr="002E35AC">
        <w:rPr>
          <w:color w:val="000000"/>
        </w:rPr>
        <w:t>.</w:t>
      </w:r>
      <w:r w:rsidR="25975A6A">
        <w:rPr>
          <w:color w:val="000000"/>
        </w:rPr>
        <w:t>” (</w:t>
      </w:r>
      <w:r w:rsidR="25975A6A" w:rsidRPr="797FBB80">
        <w:rPr>
          <w:i/>
          <w:iCs/>
          <w:color w:val="000000"/>
        </w:rPr>
        <w:t>Id.</w:t>
      </w:r>
      <w:r w:rsidR="00D0209B">
        <w:rPr>
          <w:i/>
          <w:iCs/>
          <w:color w:val="000000"/>
        </w:rPr>
        <w:t xml:space="preserve"> </w:t>
      </w:r>
      <w:r w:rsidR="00D0209B">
        <w:rPr>
          <w:color w:val="000000"/>
        </w:rPr>
        <w:t>at p. 1151</w:t>
      </w:r>
      <w:r w:rsidR="25975A6A">
        <w:rPr>
          <w:color w:val="000000"/>
        </w:rPr>
        <w:t>.)</w:t>
      </w:r>
      <w:r w:rsidR="00595579">
        <w:rPr>
          <w:color w:val="000000"/>
        </w:rPr>
        <w:t xml:space="preserve"> </w:t>
      </w:r>
      <w:bookmarkEnd w:id="2"/>
      <w:r w:rsidR="00EC682A">
        <w:rPr>
          <w:color w:val="000000"/>
        </w:rPr>
        <w:t>In so doing, th</w:t>
      </w:r>
      <w:r w:rsidR="007E450B">
        <w:rPr>
          <w:color w:val="000000"/>
        </w:rPr>
        <w:t xml:space="preserve">e </w:t>
      </w:r>
      <w:r w:rsidR="00595579">
        <w:rPr>
          <w:color w:val="000000"/>
        </w:rPr>
        <w:t xml:space="preserve">court </w:t>
      </w:r>
      <w:r w:rsidR="7B91AFE7" w:rsidRPr="0005430C">
        <w:rPr>
          <w:color w:val="000000"/>
          <w:spacing w:val="-2"/>
        </w:rPr>
        <w:t xml:space="preserve">rejected the prosecution’s </w:t>
      </w:r>
      <w:r w:rsidR="00A36A37">
        <w:rPr>
          <w:color w:val="000000"/>
          <w:spacing w:val="-2"/>
        </w:rPr>
        <w:t>contention</w:t>
      </w:r>
      <w:r w:rsidR="00A36A37" w:rsidRPr="0005430C">
        <w:rPr>
          <w:color w:val="000000"/>
          <w:spacing w:val="-2"/>
        </w:rPr>
        <w:t xml:space="preserve"> </w:t>
      </w:r>
      <w:r w:rsidR="25975A6A">
        <w:rPr>
          <w:color w:val="000000"/>
          <w:spacing w:val="-2"/>
        </w:rPr>
        <w:t xml:space="preserve">that </w:t>
      </w:r>
      <w:r w:rsidR="25975A6A" w:rsidRPr="00B66606">
        <w:t xml:space="preserve">the </w:t>
      </w:r>
      <w:r w:rsidR="25975A6A">
        <w:t xml:space="preserve">Riverside </w:t>
      </w:r>
      <w:r w:rsidR="25975A6A" w:rsidRPr="00B66606">
        <w:t xml:space="preserve">court could not </w:t>
      </w:r>
      <w:r w:rsidR="25975A6A">
        <w:t xml:space="preserve">categorically </w:t>
      </w:r>
      <w:r w:rsidR="25975A6A" w:rsidRPr="00B66606">
        <w:t xml:space="preserve">exempt </w:t>
      </w:r>
      <w:r w:rsidR="00A36A37">
        <w:t xml:space="preserve">its specialized </w:t>
      </w:r>
      <w:r w:rsidR="004D3E1A">
        <w:t xml:space="preserve">civil </w:t>
      </w:r>
      <w:r w:rsidR="00A36A37">
        <w:t>departments (</w:t>
      </w:r>
      <w:r w:rsidR="25975A6A" w:rsidRPr="00B66606">
        <w:t>family, probate and juvenile</w:t>
      </w:r>
      <w:r w:rsidR="00A36A37">
        <w:t>)</w:t>
      </w:r>
      <w:r w:rsidR="25975A6A" w:rsidRPr="00B66606">
        <w:t xml:space="preserve"> from </w:t>
      </w:r>
      <w:r w:rsidR="25975A6A">
        <w:t xml:space="preserve">trying </w:t>
      </w:r>
      <w:r w:rsidR="25975A6A" w:rsidRPr="00B66606">
        <w:t xml:space="preserve">last-day criminal </w:t>
      </w:r>
      <w:r w:rsidR="25975A6A">
        <w:t>cases</w:t>
      </w:r>
      <w:r w:rsidR="25975A6A" w:rsidRPr="00B66606">
        <w:t xml:space="preserve">, </w:t>
      </w:r>
      <w:r w:rsidR="00A36A37">
        <w:t>and was obligated to</w:t>
      </w:r>
      <w:r w:rsidR="25975A6A">
        <w:t xml:space="preserve"> compare</w:t>
      </w:r>
      <w:r w:rsidR="00A36A37">
        <w:t>,</w:t>
      </w:r>
      <w:r w:rsidR="25975A6A" w:rsidRPr="00B66606">
        <w:t xml:space="preserve"> </w:t>
      </w:r>
      <w:r w:rsidR="25975A6A">
        <w:t>on a case-by-case basis</w:t>
      </w:r>
      <w:r w:rsidR="00A36A37">
        <w:t>,</w:t>
      </w:r>
      <w:r w:rsidR="25975A6A">
        <w:t xml:space="preserve"> </w:t>
      </w:r>
      <w:r w:rsidR="25975A6A" w:rsidRPr="00B66606">
        <w:t xml:space="preserve">the relative urgency of </w:t>
      </w:r>
      <w:r w:rsidR="004D3E1A">
        <w:t>each</w:t>
      </w:r>
      <w:r w:rsidR="25975A6A" w:rsidRPr="00B66606">
        <w:t xml:space="preserve"> criminal trial </w:t>
      </w:r>
      <w:r w:rsidR="00A36A37">
        <w:t>with</w:t>
      </w:r>
      <w:r w:rsidR="00A36A37" w:rsidRPr="00B66606">
        <w:t xml:space="preserve"> </w:t>
      </w:r>
      <w:r w:rsidR="25975A6A" w:rsidRPr="00B66606">
        <w:t>the matter(s) pending in those departments.</w:t>
      </w:r>
      <w:r w:rsidR="25975A6A">
        <w:t xml:space="preserve"> (</w:t>
      </w:r>
      <w:r w:rsidR="25975A6A" w:rsidRPr="797FBB80">
        <w:rPr>
          <w:i/>
          <w:iCs/>
          <w:color w:val="000000"/>
        </w:rPr>
        <w:t>Engram</w:t>
      </w:r>
      <w:r w:rsidR="25975A6A">
        <w:rPr>
          <w:color w:val="000000"/>
        </w:rPr>
        <w:t xml:space="preserve">, </w:t>
      </w:r>
      <w:r w:rsidR="25975A6A" w:rsidRPr="797FBB80">
        <w:rPr>
          <w:i/>
          <w:iCs/>
          <w:color w:val="000000"/>
        </w:rPr>
        <w:t>supra</w:t>
      </w:r>
      <w:r w:rsidR="25975A6A">
        <w:rPr>
          <w:color w:val="000000"/>
        </w:rPr>
        <w:t xml:space="preserve">, 50 Cal.4th </w:t>
      </w:r>
      <w:r w:rsidR="25975A6A">
        <w:t xml:space="preserve">at </w:t>
      </w:r>
      <w:r w:rsidR="0014112A">
        <w:t>p</w:t>
      </w:r>
      <w:r w:rsidR="25975A6A">
        <w:t>p.</w:t>
      </w:r>
      <w:r w:rsidR="00CF36AA">
        <w:t> </w:t>
      </w:r>
      <w:r w:rsidR="25975A6A">
        <w:t>1153</w:t>
      </w:r>
      <w:r w:rsidR="00D450D4">
        <w:t>–</w:t>
      </w:r>
      <w:r w:rsidR="0014112A">
        <w:t>1154</w:t>
      </w:r>
      <w:r w:rsidR="25975A6A">
        <w:t>.)</w:t>
      </w:r>
      <w:r w:rsidR="25975A6A">
        <w:rPr>
          <w:color w:val="000000"/>
        </w:rPr>
        <w:t xml:space="preserve"> </w:t>
      </w:r>
      <w:r w:rsidR="007E450B">
        <w:rPr>
          <w:color w:val="000000"/>
        </w:rPr>
        <w:t>The court</w:t>
      </w:r>
      <w:r w:rsidR="0C4907AE">
        <w:rPr>
          <w:color w:val="000000"/>
        </w:rPr>
        <w:t xml:space="preserve"> reasoned</w:t>
      </w:r>
      <w:r w:rsidR="00A36A37">
        <w:rPr>
          <w:color w:val="000000"/>
        </w:rPr>
        <w:t xml:space="preserve"> that</w:t>
      </w:r>
      <w:r w:rsidR="25975A6A">
        <w:rPr>
          <w:color w:val="000000"/>
        </w:rPr>
        <w:t xml:space="preserve"> section 1050(a) “does not preclude a </w:t>
      </w:r>
      <w:r w:rsidR="25975A6A">
        <w:rPr>
          <w:color w:val="000000"/>
        </w:rPr>
        <w:lastRenderedPageBreak/>
        <w:t xml:space="preserve">trial court . . . </w:t>
      </w:r>
      <w:r w:rsidR="25975A6A" w:rsidRPr="002E35AC">
        <w:rPr>
          <w:color w:val="000000"/>
        </w:rPr>
        <w:t xml:space="preserve">from designating separate departments to handle criminal and civil matters and, </w:t>
      </w:r>
      <w:r w:rsidR="25975A6A" w:rsidRPr="797FBB80">
        <w:rPr>
          <w:i/>
          <w:iCs/>
          <w:color w:val="000000"/>
        </w:rPr>
        <w:t>within reasonable limitations</w:t>
      </w:r>
      <w:r w:rsidR="25975A6A" w:rsidRPr="002E35AC">
        <w:rPr>
          <w:color w:val="000000"/>
        </w:rPr>
        <w:t>, assigning cases for trial only within the appropriate department.</w:t>
      </w:r>
      <w:r w:rsidR="25975A6A">
        <w:rPr>
          <w:color w:val="000000"/>
        </w:rPr>
        <w:t>” (</w:t>
      </w:r>
      <w:r w:rsidR="25975A6A" w:rsidRPr="797FBB80">
        <w:rPr>
          <w:i/>
          <w:iCs/>
          <w:color w:val="000000"/>
        </w:rPr>
        <w:t>Id.</w:t>
      </w:r>
      <w:r w:rsidR="25975A6A">
        <w:rPr>
          <w:color w:val="000000"/>
        </w:rPr>
        <w:t xml:space="preserve"> at p. 1154, italics added.) </w:t>
      </w:r>
      <w:r w:rsidR="00FE22B8">
        <w:rPr>
          <w:color w:val="000000" w:themeColor="text1"/>
        </w:rPr>
        <w:t>T</w:t>
      </w:r>
      <w:r w:rsidR="25975A6A" w:rsidRPr="1B5E7FE8">
        <w:rPr>
          <w:color w:val="000000" w:themeColor="text1"/>
        </w:rPr>
        <w:t>hose “reasonable limitations</w:t>
      </w:r>
      <w:r w:rsidR="001A4176">
        <w:rPr>
          <w:color w:val="000000" w:themeColor="text1"/>
        </w:rPr>
        <w:t>,</w:t>
      </w:r>
      <w:r w:rsidR="25975A6A" w:rsidRPr="1B5E7FE8">
        <w:rPr>
          <w:color w:val="000000" w:themeColor="text1"/>
        </w:rPr>
        <w:t>”</w:t>
      </w:r>
      <w:r w:rsidR="001A4176">
        <w:rPr>
          <w:color w:val="000000" w:themeColor="text1"/>
        </w:rPr>
        <w:t xml:space="preserve"> under applicable precedents,</w:t>
      </w:r>
      <w:r w:rsidR="25975A6A" w:rsidRPr="1B5E7FE8">
        <w:rPr>
          <w:color w:val="000000" w:themeColor="text1"/>
        </w:rPr>
        <w:t xml:space="preserve"> “require a trial court to organize its civil and criminal departments and workload in a manner that (1) </w:t>
      </w:r>
      <w:r w:rsidR="25975A6A">
        <w:t xml:space="preserve">acknowledges the important state interest in the expeditious resolution of criminal proceedings as reflected in </w:t>
      </w:r>
      <w:r w:rsidR="25975A6A" w:rsidRPr="1A68BE70">
        <w:rPr>
          <w:color w:val="000000" w:themeColor="text1"/>
        </w:rPr>
        <w:t>section 1050,</w:t>
      </w:r>
      <w:r w:rsidR="25975A6A" w:rsidRPr="05D0A8A3">
        <w:rPr>
          <w:color w:val="000000" w:themeColor="text1"/>
        </w:rPr>
        <w:t xml:space="preserve"> and (2)</w:t>
      </w:r>
      <w:r w:rsidR="00573D93">
        <w:rPr>
          <w:color w:val="000000" w:themeColor="text1"/>
        </w:rPr>
        <w:t> </w:t>
      </w:r>
      <w:r w:rsidR="25975A6A" w:rsidRPr="05D0A8A3">
        <w:rPr>
          <w:color w:val="000000" w:themeColor="text1"/>
        </w:rPr>
        <w:t>does not shortchange the court</w:t>
      </w:r>
      <w:r w:rsidR="25975A6A" w:rsidRPr="1B5E7FE8">
        <w:rPr>
          <w:color w:val="000000" w:themeColor="text1"/>
        </w:rPr>
        <w:t>’s criminal caseload by creating or maintaining a disproportionately large number of civil as compared to criminal departments.” (</w:t>
      </w:r>
      <w:r w:rsidR="25975A6A" w:rsidRPr="797FBB80">
        <w:rPr>
          <w:i/>
          <w:iCs/>
          <w:color w:val="000000" w:themeColor="text1"/>
        </w:rPr>
        <w:t>Engram</w:t>
      </w:r>
      <w:r w:rsidR="25975A6A" w:rsidRPr="1B5E7FE8">
        <w:rPr>
          <w:color w:val="000000" w:themeColor="text1"/>
        </w:rPr>
        <w:t xml:space="preserve">, </w:t>
      </w:r>
      <w:r w:rsidR="25975A6A" w:rsidRPr="797FBB80">
        <w:rPr>
          <w:i/>
          <w:iCs/>
          <w:color w:val="000000" w:themeColor="text1"/>
        </w:rPr>
        <w:t>supra</w:t>
      </w:r>
      <w:r w:rsidR="25975A6A" w:rsidRPr="1B5E7FE8">
        <w:rPr>
          <w:color w:val="000000" w:themeColor="text1"/>
        </w:rPr>
        <w:t>, 50 Cal.4th at p</w:t>
      </w:r>
      <w:r w:rsidR="009F1939">
        <w:rPr>
          <w:color w:val="000000" w:themeColor="text1"/>
        </w:rPr>
        <w:t>p</w:t>
      </w:r>
      <w:r w:rsidR="25975A6A" w:rsidRPr="1B5E7FE8">
        <w:rPr>
          <w:color w:val="000000" w:themeColor="text1"/>
        </w:rPr>
        <w:t>. 1156</w:t>
      </w:r>
      <w:r w:rsidR="00D450D4">
        <w:rPr>
          <w:color w:val="000000" w:themeColor="text1"/>
        </w:rPr>
        <w:t>–</w:t>
      </w:r>
      <w:r w:rsidR="009F1939">
        <w:rPr>
          <w:color w:val="000000" w:themeColor="text1"/>
        </w:rPr>
        <w:t>1157</w:t>
      </w:r>
      <w:r w:rsidR="25975A6A" w:rsidRPr="1B5E7FE8">
        <w:rPr>
          <w:color w:val="000000" w:themeColor="text1"/>
        </w:rPr>
        <w:t xml:space="preserve"> </w:t>
      </w:r>
      <w:r w:rsidR="002502C0">
        <w:rPr>
          <w:color w:val="000000" w:themeColor="text1"/>
        </w:rPr>
        <w:t>[</w:t>
      </w:r>
      <w:r w:rsidR="25975A6A" w:rsidRPr="1B5E7FE8">
        <w:rPr>
          <w:color w:val="000000" w:themeColor="text1"/>
        </w:rPr>
        <w:t>citing authorities</w:t>
      </w:r>
      <w:r w:rsidR="002502C0">
        <w:rPr>
          <w:color w:val="000000" w:themeColor="text1"/>
        </w:rPr>
        <w:t>]</w:t>
      </w:r>
      <w:r w:rsidR="25975A6A" w:rsidRPr="1B5E7FE8">
        <w:rPr>
          <w:color w:val="000000" w:themeColor="text1"/>
        </w:rPr>
        <w:t xml:space="preserve">.) </w:t>
      </w:r>
    </w:p>
    <w:p w14:paraId="2893A155" w14:textId="191619D0" w:rsidR="00320598" w:rsidRPr="005C147C" w:rsidRDefault="001B6997" w:rsidP="003F5F13">
      <w:pPr>
        <w:autoSpaceDE w:val="0"/>
        <w:autoSpaceDN w:val="0"/>
        <w:adjustRightInd w:val="0"/>
        <w:spacing w:line="360" w:lineRule="auto"/>
        <w:contextualSpacing/>
        <w:rPr>
          <w:color w:val="000000"/>
        </w:rPr>
      </w:pPr>
      <w:r>
        <w:rPr>
          <w:color w:val="000000"/>
        </w:rPr>
        <w:tab/>
      </w:r>
      <w:r w:rsidR="26D337B4">
        <w:rPr>
          <w:color w:val="000000"/>
        </w:rPr>
        <w:t xml:space="preserve">In </w:t>
      </w:r>
      <w:r w:rsidR="0252D8FC">
        <w:rPr>
          <w:color w:val="000000"/>
        </w:rPr>
        <w:t>one of those precedents</w:t>
      </w:r>
      <w:r w:rsidR="7BE87353">
        <w:rPr>
          <w:color w:val="000000"/>
        </w:rPr>
        <w:t xml:space="preserve">, </w:t>
      </w:r>
      <w:r w:rsidR="26D337B4">
        <w:rPr>
          <w:color w:val="000000"/>
        </w:rPr>
        <w:t xml:space="preserve">this court </w:t>
      </w:r>
      <w:r w:rsidR="000D759F">
        <w:rPr>
          <w:color w:val="000000"/>
        </w:rPr>
        <w:t xml:space="preserve">suggested </w:t>
      </w:r>
      <w:r w:rsidR="7BE87353">
        <w:rPr>
          <w:color w:val="000000"/>
        </w:rPr>
        <w:t xml:space="preserve">70 years ago that defendant court had violated section 1050(a) despite devoting a somewhat </w:t>
      </w:r>
      <w:r w:rsidR="7BE87353" w:rsidRPr="797FBB80">
        <w:rPr>
          <w:i/>
          <w:iCs/>
          <w:color w:val="000000"/>
        </w:rPr>
        <w:t>higher</w:t>
      </w:r>
      <w:r w:rsidR="7BE87353">
        <w:rPr>
          <w:color w:val="000000"/>
        </w:rPr>
        <w:t xml:space="preserve"> percentage of its departments to criminal trials than it</w:t>
      </w:r>
      <w:r w:rsidR="0BEC62C1" w:rsidRPr="797FBB80">
        <w:rPr>
          <w:color w:val="000000" w:themeColor="text1"/>
        </w:rPr>
        <w:t xml:space="preserve"> allegedly</w:t>
      </w:r>
      <w:r w:rsidR="7BE87353">
        <w:rPr>
          <w:color w:val="000000"/>
        </w:rPr>
        <w:t xml:space="preserve"> did in 2021. </w:t>
      </w:r>
      <w:r w:rsidR="7BE87353" w:rsidRPr="00F518B7">
        <w:t>(</w:t>
      </w:r>
      <w:r w:rsidR="7BE87353" w:rsidRPr="797FBB80">
        <w:rPr>
          <w:i/>
          <w:iCs/>
        </w:rPr>
        <w:t xml:space="preserve">People v. Echols </w:t>
      </w:r>
      <w:r w:rsidR="7BE87353">
        <w:t xml:space="preserve">(1954) </w:t>
      </w:r>
      <w:r w:rsidR="7BE87353" w:rsidRPr="00F518B7">
        <w:t>125</w:t>
      </w:r>
      <w:r w:rsidR="7BE87353">
        <w:t> </w:t>
      </w:r>
      <w:r w:rsidR="7BE87353" w:rsidRPr="00F518B7">
        <w:t>Cal.App.2d 810</w:t>
      </w:r>
      <w:r w:rsidR="00A874A9">
        <w:t xml:space="preserve"> (</w:t>
      </w:r>
      <w:r w:rsidR="00A874A9">
        <w:rPr>
          <w:i/>
          <w:iCs/>
        </w:rPr>
        <w:t>Echols</w:t>
      </w:r>
      <w:r w:rsidR="00A874A9">
        <w:t>)</w:t>
      </w:r>
      <w:r w:rsidR="003B734B">
        <w:t xml:space="preserve">, disapproved on another ground in </w:t>
      </w:r>
      <w:r w:rsidR="003B734B">
        <w:rPr>
          <w:i/>
          <w:iCs/>
        </w:rPr>
        <w:t>People v. Wilson</w:t>
      </w:r>
      <w:r w:rsidR="003B734B">
        <w:t xml:space="preserve"> (1963) 60 Cal.2d 139, 152</w:t>
      </w:r>
      <w:r w:rsidR="7BE87353">
        <w:t>.)</w:t>
      </w:r>
      <w:r>
        <w:rPr>
          <w:rStyle w:val="FootnoteReference"/>
          <w:color w:val="000000" w:themeColor="text1"/>
        </w:rPr>
        <w:footnoteReference w:id="19"/>
      </w:r>
      <w:r w:rsidR="7BE87353">
        <w:t xml:space="preserve"> </w:t>
      </w:r>
      <w:r w:rsidR="7BE87353" w:rsidRPr="002E35AC">
        <w:rPr>
          <w:color w:val="000000"/>
        </w:rPr>
        <w:t xml:space="preserve">There, “the trial court found good cause to continue </w:t>
      </w:r>
      <w:r w:rsidR="26D337B4">
        <w:rPr>
          <w:color w:val="000000"/>
        </w:rPr>
        <w:t xml:space="preserve">[a] </w:t>
      </w:r>
      <w:r w:rsidR="7BE87353" w:rsidRPr="002E35AC">
        <w:rPr>
          <w:color w:val="000000"/>
        </w:rPr>
        <w:t xml:space="preserve">trial beyond the statutory period on numerous occasions, based solely upon the circumstance that </w:t>
      </w:r>
      <w:r w:rsidR="7BE87353" w:rsidRPr="797FBB80">
        <w:rPr>
          <w:i/>
          <w:iCs/>
          <w:color w:val="000000"/>
        </w:rPr>
        <w:t>in the particular criminal trial department to which the defendants’ case initially had been assigned</w:t>
      </w:r>
      <w:r w:rsidR="7BE87353" w:rsidRPr="002E35AC">
        <w:rPr>
          <w:color w:val="000000"/>
        </w:rPr>
        <w:t xml:space="preserve"> there were older cases that were then in trial or </w:t>
      </w:r>
      <w:r w:rsidR="7BE87353">
        <w:rPr>
          <w:color w:val="000000"/>
        </w:rPr>
        <w:t>[</w:t>
      </w:r>
      <w:r w:rsidR="7BE87353" w:rsidRPr="002E35AC">
        <w:rPr>
          <w:color w:val="000000"/>
        </w:rPr>
        <w:t>scheduled for trial</w:t>
      </w:r>
      <w:r w:rsidR="7BE87353">
        <w:rPr>
          <w:color w:val="000000"/>
        </w:rPr>
        <w:t>]</w:t>
      </w:r>
      <w:r w:rsidR="7BE87353" w:rsidRPr="002E35AC">
        <w:rPr>
          <w:color w:val="000000"/>
        </w:rPr>
        <w:t>.</w:t>
      </w:r>
      <w:r w:rsidR="26D337B4">
        <w:rPr>
          <w:color w:val="000000"/>
        </w:rPr>
        <w:t>” (</w:t>
      </w:r>
      <w:r w:rsidR="26D337B4" w:rsidRPr="797FBB80">
        <w:rPr>
          <w:i/>
          <w:iCs/>
          <w:color w:val="000000"/>
        </w:rPr>
        <w:t>Engram</w:t>
      </w:r>
      <w:r w:rsidR="26D337B4">
        <w:rPr>
          <w:color w:val="000000"/>
        </w:rPr>
        <w:t>, s</w:t>
      </w:r>
      <w:r w:rsidR="26D337B4" w:rsidRPr="797FBB80">
        <w:rPr>
          <w:i/>
          <w:iCs/>
          <w:color w:val="000000"/>
        </w:rPr>
        <w:t>upra</w:t>
      </w:r>
      <w:r w:rsidR="26D337B4">
        <w:rPr>
          <w:color w:val="000000"/>
        </w:rPr>
        <w:t>, 50 Cal.4</w:t>
      </w:r>
      <w:r w:rsidR="26D337B4" w:rsidRPr="003871DD">
        <w:rPr>
          <w:color w:val="000000"/>
        </w:rPr>
        <w:t>th</w:t>
      </w:r>
      <w:r w:rsidR="26D337B4">
        <w:rPr>
          <w:color w:val="000000"/>
        </w:rPr>
        <w:t xml:space="preserve"> at p. 1156.)</w:t>
      </w:r>
      <w:r w:rsidR="26D337B4" w:rsidRPr="797FBB80">
        <w:rPr>
          <w:i/>
          <w:iCs/>
          <w:color w:val="000000"/>
        </w:rPr>
        <w:t xml:space="preserve"> </w:t>
      </w:r>
      <w:r w:rsidR="00E5505D">
        <w:rPr>
          <w:color w:val="000000"/>
        </w:rPr>
        <w:t xml:space="preserve">The </w:t>
      </w:r>
      <w:r w:rsidR="00E5505D">
        <w:rPr>
          <w:i/>
          <w:iCs/>
          <w:color w:val="000000"/>
        </w:rPr>
        <w:t>Echols</w:t>
      </w:r>
      <w:r w:rsidR="26D337B4">
        <w:rPr>
          <w:i/>
          <w:color w:val="000000"/>
        </w:rPr>
        <w:t xml:space="preserve"> </w:t>
      </w:r>
      <w:r w:rsidR="26D337B4">
        <w:rPr>
          <w:color w:val="000000"/>
        </w:rPr>
        <w:t xml:space="preserve">court </w:t>
      </w:r>
      <w:r w:rsidR="00E5505D">
        <w:rPr>
          <w:color w:val="000000"/>
        </w:rPr>
        <w:t>noted</w:t>
      </w:r>
      <w:r w:rsidR="000525C6">
        <w:rPr>
          <w:color w:val="000000"/>
        </w:rPr>
        <w:t xml:space="preserve"> the absence of any</w:t>
      </w:r>
      <w:r w:rsidR="26D337B4">
        <w:rPr>
          <w:color w:val="000000"/>
        </w:rPr>
        <w:t xml:space="preserve"> showing why the case “</w:t>
      </w:r>
      <w:r w:rsidR="7BE87353" w:rsidRPr="002E35AC">
        <w:rPr>
          <w:color w:val="000000"/>
        </w:rPr>
        <w:t xml:space="preserve">could not have been </w:t>
      </w:r>
      <w:r w:rsidR="7BE87353" w:rsidRPr="009B3A5B">
        <w:rPr>
          <w:color w:val="000000"/>
          <w:spacing w:val="-2"/>
        </w:rPr>
        <w:t>tried in one of the other criminal departments</w:t>
      </w:r>
      <w:r w:rsidR="26D337B4">
        <w:rPr>
          <w:color w:val="000000"/>
          <w:spacing w:val="-2"/>
        </w:rPr>
        <w:t xml:space="preserve">” </w:t>
      </w:r>
      <w:r w:rsidR="00D2229E">
        <w:rPr>
          <w:color w:val="000000"/>
          <w:spacing w:val="-2"/>
        </w:rPr>
        <w:t xml:space="preserve">and added that, even assuming they all were </w:t>
      </w:r>
      <w:r w:rsidR="00D2229E">
        <w:rPr>
          <w:color w:val="000000"/>
          <w:spacing w:val="-2"/>
        </w:rPr>
        <w:lastRenderedPageBreak/>
        <w:t xml:space="preserve">busy, </w:t>
      </w:r>
      <w:r w:rsidR="007B6028">
        <w:rPr>
          <w:color w:val="000000"/>
        </w:rPr>
        <w:t>defendant court then had 23 departments, of which only four (or 17</w:t>
      </w:r>
      <w:r w:rsidR="001A5556">
        <w:rPr>
          <w:color w:val="000000"/>
        </w:rPr>
        <w:t> </w:t>
      </w:r>
      <w:r w:rsidR="00F2188A">
        <w:rPr>
          <w:color w:val="000000"/>
        </w:rPr>
        <w:t>percent</w:t>
      </w:r>
      <w:r w:rsidR="007B6028">
        <w:rPr>
          <w:color w:val="000000"/>
        </w:rPr>
        <w:t>) were devoted to criminal trials, and</w:t>
      </w:r>
      <w:r w:rsidR="007B6028">
        <w:rPr>
          <w:color w:val="000000"/>
          <w:spacing w:val="-2"/>
        </w:rPr>
        <w:t xml:space="preserve"> </w:t>
      </w:r>
      <w:r w:rsidR="26D337B4">
        <w:rPr>
          <w:color w:val="000000"/>
          <w:spacing w:val="-2"/>
        </w:rPr>
        <w:t>“</w:t>
      </w:r>
      <w:r w:rsidR="7BE87353" w:rsidRPr="002E35AC">
        <w:rPr>
          <w:color w:val="000000"/>
        </w:rPr>
        <w:t xml:space="preserve">more departments could be assigned criminal </w:t>
      </w:r>
      <w:bookmarkStart w:id="3" w:name="co_pp_sp_4645_254_1"/>
      <w:bookmarkEnd w:id="3"/>
      <w:r w:rsidR="7BE87353" w:rsidRPr="002E35AC">
        <w:rPr>
          <w:color w:val="000000"/>
        </w:rPr>
        <w:t>cases</w:t>
      </w:r>
      <w:r w:rsidR="7BE87353" w:rsidRPr="00BF4643">
        <w:rPr>
          <w:color w:val="000000"/>
        </w:rPr>
        <w:t>.”</w:t>
      </w:r>
      <w:r w:rsidR="7BE87353">
        <w:rPr>
          <w:color w:val="000000"/>
        </w:rPr>
        <w:t xml:space="preserve"> (</w:t>
      </w:r>
      <w:r w:rsidR="7BE87353" w:rsidRPr="797FBB80">
        <w:rPr>
          <w:i/>
          <w:iCs/>
          <w:color w:val="000000"/>
        </w:rPr>
        <w:t>Echols</w:t>
      </w:r>
      <w:r w:rsidR="7BE87353">
        <w:rPr>
          <w:color w:val="000000"/>
        </w:rPr>
        <w:t xml:space="preserve">, </w:t>
      </w:r>
      <w:r w:rsidR="7BE87353" w:rsidRPr="797FBB80">
        <w:rPr>
          <w:i/>
          <w:iCs/>
          <w:color w:val="000000"/>
        </w:rPr>
        <w:t>supra</w:t>
      </w:r>
      <w:r w:rsidR="7BE87353">
        <w:rPr>
          <w:color w:val="000000"/>
        </w:rPr>
        <w:t>, at pp. 815–817.)</w:t>
      </w:r>
      <w:r w:rsidR="00AE033F">
        <w:rPr>
          <w:color w:val="000000"/>
        </w:rPr>
        <w:t xml:space="preserve"> </w:t>
      </w:r>
      <w:proofErr w:type="gramStart"/>
      <w:r w:rsidR="008D3AD2">
        <w:rPr>
          <w:color w:val="000000"/>
        </w:rPr>
        <w:t>“</w:t>
      </w:r>
      <w:r w:rsidR="006A050E">
        <w:rPr>
          <w:color w:val="000000"/>
        </w:rPr>
        <w:t> ‘</w:t>
      </w:r>
      <w:proofErr w:type="gramEnd"/>
      <w:r w:rsidR="002E607C" w:rsidRPr="002E607C">
        <w:rPr>
          <w:color w:val="000000"/>
        </w:rPr>
        <w:t>To comply with the provision contained in section 1050</w:t>
      </w:r>
      <w:r w:rsidR="006A050E">
        <w:rPr>
          <w:color w:val="000000"/>
        </w:rPr>
        <w:t xml:space="preserve"> . . . </w:t>
      </w:r>
      <w:r w:rsidR="002E607C" w:rsidRPr="002E607C">
        <w:rPr>
          <w:color w:val="000000"/>
        </w:rPr>
        <w:t xml:space="preserve">that criminal matters should be given precedence over civil matters and to enable defendants in criminal actions to have the speedy trials </w:t>
      </w:r>
      <w:r w:rsidR="006A050E">
        <w:rPr>
          <w:color w:val="000000"/>
        </w:rPr>
        <w:t xml:space="preserve">. . . </w:t>
      </w:r>
      <w:r w:rsidR="002E607C" w:rsidRPr="002E607C">
        <w:rPr>
          <w:color w:val="000000"/>
        </w:rPr>
        <w:t>guaranteed by the Constitution, a greater number of judges should have been assigned to departments handling criminal matters.</w:t>
      </w:r>
      <w:r w:rsidR="006A050E">
        <w:rPr>
          <w:color w:val="000000"/>
        </w:rPr>
        <w:t>’ ”</w:t>
      </w:r>
      <w:r w:rsidR="002E607C" w:rsidRPr="002E607C">
        <w:rPr>
          <w:color w:val="000000"/>
        </w:rPr>
        <w:t xml:space="preserve"> </w:t>
      </w:r>
      <w:r w:rsidR="00FC0133">
        <w:rPr>
          <w:color w:val="000000"/>
        </w:rPr>
        <w:t>(</w:t>
      </w:r>
      <w:r w:rsidR="00FC0133">
        <w:rPr>
          <w:i/>
          <w:iCs/>
          <w:color w:val="000000"/>
        </w:rPr>
        <w:t>Id.</w:t>
      </w:r>
      <w:r w:rsidR="00FC0133">
        <w:rPr>
          <w:color w:val="000000"/>
        </w:rPr>
        <w:t xml:space="preserve"> at p. 816.)</w:t>
      </w:r>
      <w:r w:rsidR="0024067D">
        <w:rPr>
          <w:color w:val="000000"/>
        </w:rPr>
        <w:t xml:space="preserve"> </w:t>
      </w:r>
      <w:r w:rsidR="00B428EC">
        <w:rPr>
          <w:color w:val="000000"/>
        </w:rPr>
        <w:t xml:space="preserve">In a mandamus proceeding resolved </w:t>
      </w:r>
      <w:r w:rsidR="00CD40B2">
        <w:rPr>
          <w:color w:val="000000"/>
        </w:rPr>
        <w:t xml:space="preserve">a </w:t>
      </w:r>
      <w:r w:rsidR="00B428EC">
        <w:rPr>
          <w:color w:val="000000"/>
        </w:rPr>
        <w:t xml:space="preserve">week </w:t>
      </w:r>
      <w:r w:rsidR="00183A73">
        <w:rPr>
          <w:color w:val="000000"/>
        </w:rPr>
        <w:t xml:space="preserve">before </w:t>
      </w:r>
      <w:r w:rsidR="00B428EC">
        <w:rPr>
          <w:i/>
          <w:iCs/>
          <w:color w:val="000000"/>
        </w:rPr>
        <w:t>Echols</w:t>
      </w:r>
      <w:r w:rsidR="00B428EC">
        <w:rPr>
          <w:color w:val="000000"/>
        </w:rPr>
        <w:t>, this court issued a writ compel</w:t>
      </w:r>
      <w:r w:rsidR="001C7070">
        <w:rPr>
          <w:color w:val="000000"/>
        </w:rPr>
        <w:t>ling</w:t>
      </w:r>
      <w:r w:rsidR="00B428EC">
        <w:rPr>
          <w:color w:val="000000"/>
        </w:rPr>
        <w:t xml:space="preserve"> defendant court to dismiss a case pursuant to section 1382</w:t>
      </w:r>
      <w:r w:rsidR="001C7070">
        <w:rPr>
          <w:color w:val="000000"/>
        </w:rPr>
        <w:t>, while</w:t>
      </w:r>
      <w:r w:rsidR="00B428EC">
        <w:rPr>
          <w:color w:val="000000"/>
        </w:rPr>
        <w:t xml:space="preserve"> paraphras</w:t>
      </w:r>
      <w:r w:rsidR="001C7070">
        <w:rPr>
          <w:color w:val="000000"/>
        </w:rPr>
        <w:t>ing</w:t>
      </w:r>
      <w:r w:rsidR="00B428EC">
        <w:rPr>
          <w:color w:val="000000"/>
        </w:rPr>
        <w:t xml:space="preserve"> a</w:t>
      </w:r>
      <w:r w:rsidR="001C7070">
        <w:rPr>
          <w:color w:val="000000"/>
        </w:rPr>
        <w:t>n</w:t>
      </w:r>
      <w:r w:rsidR="00B428EC">
        <w:rPr>
          <w:color w:val="000000"/>
        </w:rPr>
        <w:t xml:space="preserve"> opinion to similar effect by the Second District:</w:t>
      </w:r>
      <w:r w:rsidR="00B428EC" w:rsidRPr="00B428EC">
        <w:rPr>
          <w:color w:val="000000"/>
        </w:rPr>
        <w:t xml:space="preserve"> </w:t>
      </w:r>
      <w:r w:rsidR="00B428EC">
        <w:rPr>
          <w:color w:val="000000"/>
        </w:rPr>
        <w:t>“</w:t>
      </w:r>
      <w:r w:rsidR="00B428EC" w:rsidRPr="007E48F7">
        <w:rPr>
          <w:color w:val="000000"/>
        </w:rPr>
        <w:t xml:space="preserve">To comply with the provision contained in section 1050 </w:t>
      </w:r>
      <w:r w:rsidR="00B428EC">
        <w:rPr>
          <w:color w:val="000000"/>
        </w:rPr>
        <w:t xml:space="preserve">. . . </w:t>
      </w:r>
      <w:r w:rsidR="00B428EC" w:rsidRPr="007E48F7">
        <w:rPr>
          <w:color w:val="000000"/>
        </w:rPr>
        <w:t xml:space="preserve">that criminal matters should be given precedence over civil matters and to enable defendants </w:t>
      </w:r>
      <w:r w:rsidR="00B428EC">
        <w:rPr>
          <w:color w:val="000000"/>
        </w:rPr>
        <w:t xml:space="preserve">. . . </w:t>
      </w:r>
      <w:r w:rsidR="00B428EC" w:rsidRPr="007E48F7">
        <w:rPr>
          <w:color w:val="000000"/>
        </w:rPr>
        <w:t xml:space="preserve">to have the speedy trials </w:t>
      </w:r>
      <w:r w:rsidR="00B428EC">
        <w:rPr>
          <w:color w:val="000000"/>
        </w:rPr>
        <w:t xml:space="preserve">. . . </w:t>
      </w:r>
      <w:r w:rsidR="00B428EC" w:rsidRPr="007E48F7">
        <w:rPr>
          <w:color w:val="000000"/>
        </w:rPr>
        <w:t xml:space="preserve">guaranteed by the Constitution, a greater number of judges should have been assigned to departments handling criminal matters. There are </w:t>
      </w:r>
      <w:r w:rsidR="00137946">
        <w:rPr>
          <w:color w:val="000000"/>
        </w:rPr>
        <w:t>22</w:t>
      </w:r>
      <w:r w:rsidR="00B428EC" w:rsidRPr="007E48F7">
        <w:rPr>
          <w:color w:val="000000"/>
        </w:rPr>
        <w:t xml:space="preserve"> judges in </w:t>
      </w:r>
      <w:r w:rsidR="00B428EC">
        <w:rPr>
          <w:color w:val="000000"/>
        </w:rPr>
        <w:t>[</w:t>
      </w:r>
      <w:r w:rsidR="00137946">
        <w:rPr>
          <w:color w:val="000000"/>
        </w:rPr>
        <w:t>defenda</w:t>
      </w:r>
      <w:r w:rsidR="00B428EC">
        <w:rPr>
          <w:color w:val="000000"/>
        </w:rPr>
        <w:t>nt court]</w:t>
      </w:r>
      <w:r w:rsidR="00B428EC" w:rsidRPr="007E48F7">
        <w:rPr>
          <w:color w:val="000000"/>
        </w:rPr>
        <w:t xml:space="preserve">, and the showing that </w:t>
      </w:r>
      <w:proofErr w:type="gramStart"/>
      <w:r w:rsidR="00B428EC" w:rsidRPr="007E48F7">
        <w:rPr>
          <w:color w:val="000000"/>
        </w:rPr>
        <w:t>a large number of</w:t>
      </w:r>
      <w:proofErr w:type="gramEnd"/>
      <w:r w:rsidR="00B428EC" w:rsidRPr="007E48F7">
        <w:rPr>
          <w:color w:val="000000"/>
        </w:rPr>
        <w:t xml:space="preserve"> civil cases were pending does not excuse the failure to assign a sufficient number of judges to handle criminal matters</w:t>
      </w:r>
      <w:r w:rsidR="00B428EC">
        <w:rPr>
          <w:color w:val="000000" w:themeColor="text1"/>
        </w:rPr>
        <w:t>.”</w:t>
      </w:r>
      <w:r w:rsidR="005C147C">
        <w:rPr>
          <w:color w:val="000000" w:themeColor="text1"/>
        </w:rPr>
        <w:t xml:space="preserve"> (</w:t>
      </w:r>
      <w:r w:rsidR="005C147C">
        <w:rPr>
          <w:i/>
          <w:iCs/>
          <w:color w:val="000000" w:themeColor="text1"/>
        </w:rPr>
        <w:t xml:space="preserve">Sigle v. Superior Court </w:t>
      </w:r>
      <w:r w:rsidR="005C147C">
        <w:rPr>
          <w:color w:val="000000" w:themeColor="text1"/>
        </w:rPr>
        <w:t>(1954) 125</w:t>
      </w:r>
      <w:r w:rsidR="00530062">
        <w:rPr>
          <w:color w:val="000000" w:themeColor="text1"/>
        </w:rPr>
        <w:t> </w:t>
      </w:r>
      <w:r w:rsidR="005C147C">
        <w:rPr>
          <w:color w:val="000000" w:themeColor="text1"/>
        </w:rPr>
        <w:t xml:space="preserve">Cal.App.2d 747, 748–749, </w:t>
      </w:r>
      <w:r w:rsidR="00C17A18">
        <w:rPr>
          <w:color w:val="000000" w:themeColor="text1"/>
        </w:rPr>
        <w:t>cit</w:t>
      </w:r>
      <w:r w:rsidR="005C147C">
        <w:rPr>
          <w:color w:val="000000" w:themeColor="text1"/>
        </w:rPr>
        <w:t xml:space="preserve">ing </w:t>
      </w:r>
      <w:r w:rsidR="005C147C">
        <w:rPr>
          <w:i/>
          <w:iCs/>
          <w:color w:val="000000" w:themeColor="text1"/>
        </w:rPr>
        <w:t xml:space="preserve">Dearth v. Superior Court </w:t>
      </w:r>
      <w:r w:rsidR="005C147C">
        <w:rPr>
          <w:color w:val="000000" w:themeColor="text1"/>
        </w:rPr>
        <w:t xml:space="preserve">(1940) </w:t>
      </w:r>
      <w:r w:rsidR="003B4A43">
        <w:rPr>
          <w:color w:val="000000" w:themeColor="text1"/>
        </w:rPr>
        <w:t>40 Cal.App.2d 56, 59.)</w:t>
      </w:r>
    </w:p>
    <w:p w14:paraId="13CC1674" w14:textId="0AB36D7B" w:rsidR="008A40D9" w:rsidRDefault="001B6997" w:rsidP="003F5F13">
      <w:pPr>
        <w:autoSpaceDE w:val="0"/>
        <w:autoSpaceDN w:val="0"/>
        <w:adjustRightInd w:val="0"/>
        <w:spacing w:line="360" w:lineRule="auto"/>
        <w:contextualSpacing/>
      </w:pPr>
      <w:r>
        <w:rPr>
          <w:color w:val="000000"/>
        </w:rPr>
        <w:tab/>
      </w:r>
      <w:r w:rsidR="25975A6A">
        <w:rPr>
          <w:color w:val="000000"/>
        </w:rPr>
        <w:t xml:space="preserve">The </w:t>
      </w:r>
      <w:r w:rsidR="25975A6A" w:rsidRPr="797FBB80">
        <w:rPr>
          <w:i/>
          <w:iCs/>
          <w:color w:val="000000"/>
        </w:rPr>
        <w:t>Engram</w:t>
      </w:r>
      <w:r w:rsidR="25975A6A">
        <w:rPr>
          <w:color w:val="000000"/>
        </w:rPr>
        <w:t xml:space="preserve"> court found that, unlike the trial courts in </w:t>
      </w:r>
      <w:r w:rsidR="25975A6A" w:rsidRPr="797FBB80">
        <w:rPr>
          <w:i/>
          <w:iCs/>
          <w:color w:val="000000"/>
        </w:rPr>
        <w:t>Echols</w:t>
      </w:r>
      <w:r w:rsidR="00BE1AF8">
        <w:rPr>
          <w:color w:val="000000"/>
        </w:rPr>
        <w:t xml:space="preserve">, </w:t>
      </w:r>
      <w:r w:rsidR="00BE1AF8">
        <w:rPr>
          <w:i/>
          <w:iCs/>
          <w:color w:val="000000"/>
        </w:rPr>
        <w:t>Dearth</w:t>
      </w:r>
      <w:r w:rsidR="00BE1AF8">
        <w:rPr>
          <w:color w:val="000000"/>
        </w:rPr>
        <w:t>,</w:t>
      </w:r>
      <w:r w:rsidR="25975A6A">
        <w:rPr>
          <w:color w:val="000000"/>
        </w:rPr>
        <w:t xml:space="preserve"> </w:t>
      </w:r>
      <w:r w:rsidR="00917D77" w:rsidRPr="00247680">
        <w:rPr>
          <w:i/>
          <w:iCs/>
          <w:color w:val="000000"/>
        </w:rPr>
        <w:t>Sigle</w:t>
      </w:r>
      <w:r w:rsidR="00917D77">
        <w:rPr>
          <w:color w:val="000000"/>
        </w:rPr>
        <w:t xml:space="preserve">, </w:t>
      </w:r>
      <w:r w:rsidR="25975A6A">
        <w:rPr>
          <w:color w:val="000000"/>
        </w:rPr>
        <w:t xml:space="preserve">and </w:t>
      </w:r>
      <w:r w:rsidR="00BE1AF8">
        <w:rPr>
          <w:color w:val="000000"/>
        </w:rPr>
        <w:t>a</w:t>
      </w:r>
      <w:r w:rsidR="00522E08">
        <w:rPr>
          <w:color w:val="000000"/>
        </w:rPr>
        <w:t>nother</w:t>
      </w:r>
      <w:r w:rsidR="00BE1AF8">
        <w:rPr>
          <w:color w:val="000000"/>
        </w:rPr>
        <w:t xml:space="preserve"> </w:t>
      </w:r>
      <w:r w:rsidR="25975A6A">
        <w:rPr>
          <w:color w:val="000000"/>
        </w:rPr>
        <w:t>similar case</w:t>
      </w:r>
      <w:r w:rsidR="00172126">
        <w:rPr>
          <w:color w:val="000000"/>
        </w:rPr>
        <w:t>,</w:t>
      </w:r>
      <w:r>
        <w:rPr>
          <w:rStyle w:val="FootnoteReference"/>
          <w:color w:val="000000"/>
        </w:rPr>
        <w:footnoteReference w:id="20"/>
      </w:r>
      <w:r w:rsidR="25975A6A">
        <w:rPr>
          <w:color w:val="000000"/>
        </w:rPr>
        <w:t xml:space="preserve"> </w:t>
      </w:r>
      <w:r w:rsidR="25975A6A" w:rsidRPr="002E35AC">
        <w:rPr>
          <w:color w:val="000000"/>
        </w:rPr>
        <w:t xml:space="preserve">the Riverside </w:t>
      </w:r>
      <w:r w:rsidR="25975A6A">
        <w:rPr>
          <w:color w:val="000000"/>
        </w:rPr>
        <w:t>c</w:t>
      </w:r>
      <w:r w:rsidR="25975A6A" w:rsidRPr="002E35AC">
        <w:rPr>
          <w:color w:val="000000"/>
        </w:rPr>
        <w:t xml:space="preserve">ourt </w:t>
      </w:r>
      <w:r w:rsidR="25975A6A">
        <w:rPr>
          <w:color w:val="000000"/>
        </w:rPr>
        <w:t>had not “</w:t>
      </w:r>
      <w:r w:rsidR="25975A6A" w:rsidRPr="002E35AC">
        <w:rPr>
          <w:color w:val="000000"/>
        </w:rPr>
        <w:t xml:space="preserve">shortchanged </w:t>
      </w:r>
      <w:r w:rsidR="25975A6A" w:rsidRPr="002E35AC">
        <w:rPr>
          <w:color w:val="000000"/>
        </w:rPr>
        <w:lastRenderedPageBreak/>
        <w:t>criminal cases by reserving an unreasonably high number or proportion of judges or courtrooms exclusively for the trial of civil matters</w:t>
      </w:r>
      <w:r w:rsidR="25975A6A">
        <w:rPr>
          <w:color w:val="000000"/>
        </w:rPr>
        <w:t>”; rather, it had “</w:t>
      </w:r>
      <w:r w:rsidR="25975A6A" w:rsidRPr="002E35AC">
        <w:rPr>
          <w:color w:val="000000"/>
        </w:rPr>
        <w:t>continually granted substantial precedence to criminal cases over civil cases, utilizing virtually all of the court</w:t>
      </w:r>
      <w:r w:rsidR="25975A6A">
        <w:rPr>
          <w:color w:val="000000"/>
        </w:rPr>
        <w:t>’</w:t>
      </w:r>
      <w:r w:rsidR="25975A6A" w:rsidRPr="002E35AC">
        <w:rPr>
          <w:color w:val="000000"/>
        </w:rPr>
        <w:t>s ordinary civil department judges and courtrooms for the trial of criminal cases.</w:t>
      </w:r>
      <w:r w:rsidR="25975A6A">
        <w:rPr>
          <w:color w:val="000000"/>
        </w:rPr>
        <w:t>” (</w:t>
      </w:r>
      <w:r w:rsidR="1F19D4B5" w:rsidRPr="797FBB80">
        <w:rPr>
          <w:i/>
          <w:iCs/>
          <w:color w:val="000000"/>
        </w:rPr>
        <w:t xml:space="preserve">Engram, supra, </w:t>
      </w:r>
      <w:r w:rsidR="00D46545">
        <w:rPr>
          <w:color w:val="000000"/>
        </w:rPr>
        <w:t xml:space="preserve">50 Cal.4th </w:t>
      </w:r>
      <w:r w:rsidR="25975A6A">
        <w:rPr>
          <w:color w:val="000000"/>
        </w:rPr>
        <w:t>at p. 1157.)</w:t>
      </w:r>
    </w:p>
    <w:p w14:paraId="7F93AB3F" w14:textId="78737443" w:rsidR="0080647E" w:rsidRDefault="001B6997" w:rsidP="003F5F13">
      <w:pPr>
        <w:autoSpaceDE w:val="0"/>
        <w:autoSpaceDN w:val="0"/>
        <w:adjustRightInd w:val="0"/>
        <w:spacing w:line="360" w:lineRule="auto"/>
        <w:contextualSpacing/>
        <w:rPr>
          <w:color w:val="000000"/>
        </w:rPr>
      </w:pPr>
      <w:r>
        <w:tab/>
      </w:r>
      <w:r w:rsidR="00976933">
        <w:t>T</w:t>
      </w:r>
      <w:r w:rsidR="0B249FAD">
        <w:t xml:space="preserve">he </w:t>
      </w:r>
      <w:r w:rsidR="0B249FAD" w:rsidRPr="797FBB80">
        <w:rPr>
          <w:i/>
          <w:iCs/>
        </w:rPr>
        <w:t xml:space="preserve">Engram </w:t>
      </w:r>
      <w:r w:rsidR="0B249FAD">
        <w:t>court</w:t>
      </w:r>
      <w:r w:rsidR="5446F1B0">
        <w:t xml:space="preserve"> </w:t>
      </w:r>
      <w:r w:rsidR="4FF82FA6">
        <w:t>also</w:t>
      </w:r>
      <w:r w:rsidR="0579D94F">
        <w:t xml:space="preserve"> </w:t>
      </w:r>
      <w:r w:rsidR="25975A6A">
        <w:rPr>
          <w:color w:val="000000"/>
        </w:rPr>
        <w:t>criticized</w:t>
      </w:r>
      <w:r w:rsidR="73A5B280">
        <w:rPr>
          <w:color w:val="000000"/>
        </w:rPr>
        <w:t xml:space="preserve"> </w:t>
      </w:r>
      <w:r w:rsidR="001236D4">
        <w:rPr>
          <w:color w:val="000000"/>
        </w:rPr>
        <w:t xml:space="preserve">other </w:t>
      </w:r>
      <w:r w:rsidR="25975A6A">
        <w:rPr>
          <w:color w:val="000000"/>
        </w:rPr>
        <w:t xml:space="preserve">decisions for </w:t>
      </w:r>
      <w:r w:rsidR="610FD9E3">
        <w:rPr>
          <w:color w:val="000000"/>
        </w:rPr>
        <w:t xml:space="preserve">their </w:t>
      </w:r>
      <w:r w:rsidR="25975A6A">
        <w:rPr>
          <w:color w:val="000000"/>
        </w:rPr>
        <w:t>“</w:t>
      </w:r>
      <w:r w:rsidR="25975A6A" w:rsidRPr="002E35AC">
        <w:rPr>
          <w:color w:val="000000"/>
        </w:rPr>
        <w:t>fail[</w:t>
      </w:r>
      <w:proofErr w:type="spellStart"/>
      <w:r w:rsidR="0FBFD8BB" w:rsidRPr="002E35AC">
        <w:rPr>
          <w:color w:val="000000"/>
        </w:rPr>
        <w:t>ure</w:t>
      </w:r>
      <w:proofErr w:type="spellEnd"/>
      <w:r w:rsidR="25975A6A" w:rsidRPr="002E35AC">
        <w:rPr>
          <w:color w:val="000000"/>
        </w:rPr>
        <w:t xml:space="preserve">] to recognize that the question whether a trial court’s policies and practices with regard to the processing of criminal and civil matters violate the provisions of </w:t>
      </w:r>
      <w:r w:rsidR="25975A6A" w:rsidRPr="007044F5">
        <w:rPr>
          <w:color w:val="000000"/>
        </w:rPr>
        <w:t>section 1050</w:t>
      </w:r>
      <w:r w:rsidR="25975A6A" w:rsidRPr="002E35AC">
        <w:rPr>
          <w:color w:val="000000"/>
        </w:rPr>
        <w:t xml:space="preserve"> is </w:t>
      </w:r>
      <w:r w:rsidR="25975A6A" w:rsidRPr="001579FD">
        <w:rPr>
          <w:i/>
          <w:color w:val="000000"/>
        </w:rPr>
        <w:t>separate and distinct</w:t>
      </w:r>
      <w:r w:rsidR="25975A6A" w:rsidRPr="002E35AC">
        <w:rPr>
          <w:color w:val="000000"/>
        </w:rPr>
        <w:t xml:space="preserve"> from the </w:t>
      </w:r>
      <w:r w:rsidR="25975A6A" w:rsidRPr="00A25524">
        <w:rPr>
          <w:color w:val="000000"/>
          <w:spacing w:val="-2"/>
        </w:rPr>
        <w:t>question whether good cause exists to delay a criminal defendant’s</w:t>
      </w:r>
      <w:r w:rsidR="25975A6A" w:rsidRPr="002E35AC">
        <w:rPr>
          <w:color w:val="000000"/>
        </w:rPr>
        <w:t xml:space="preserve"> trial for purposes of the statutory speedy-trial provisions of </w:t>
      </w:r>
      <w:r w:rsidR="25975A6A" w:rsidRPr="004B5087">
        <w:rPr>
          <w:color w:val="000000"/>
        </w:rPr>
        <w:t>section 1382</w:t>
      </w:r>
      <w:r w:rsidR="25975A6A" w:rsidRPr="002E35AC">
        <w:rPr>
          <w:color w:val="000000"/>
        </w:rPr>
        <w:t>.</w:t>
      </w:r>
      <w:r w:rsidR="25975A6A">
        <w:rPr>
          <w:color w:val="000000"/>
        </w:rPr>
        <w:t>” (</w:t>
      </w:r>
      <w:r w:rsidR="34CC8366" w:rsidRPr="797FBB80">
        <w:rPr>
          <w:i/>
          <w:iCs/>
          <w:color w:val="000000"/>
        </w:rPr>
        <w:t xml:space="preserve">Engram, supra, </w:t>
      </w:r>
      <w:r w:rsidR="002428FE">
        <w:rPr>
          <w:color w:val="000000"/>
        </w:rPr>
        <w:t xml:space="preserve">50 Cal.4th </w:t>
      </w:r>
      <w:r w:rsidR="25975A6A">
        <w:rPr>
          <w:color w:val="000000"/>
        </w:rPr>
        <w:t>at p. 1160</w:t>
      </w:r>
      <w:r w:rsidR="3565B218" w:rsidRPr="797FBB80">
        <w:rPr>
          <w:color w:val="000000" w:themeColor="text1"/>
        </w:rPr>
        <w:t>, italics added</w:t>
      </w:r>
      <w:r w:rsidR="25975A6A">
        <w:rPr>
          <w:color w:val="000000"/>
        </w:rPr>
        <w:t>.) “[E]</w:t>
      </w:r>
      <w:proofErr w:type="spellStart"/>
      <w:r w:rsidR="25975A6A" w:rsidRPr="002E35AC">
        <w:rPr>
          <w:color w:val="000000"/>
        </w:rPr>
        <w:t>ven</w:t>
      </w:r>
      <w:proofErr w:type="spellEnd"/>
      <w:r w:rsidR="3C803195">
        <w:rPr>
          <w:color w:val="000000"/>
        </w:rPr>
        <w:t xml:space="preserve"> . . .</w:t>
      </w:r>
      <w:r w:rsidR="25975A6A" w:rsidRPr="002E35AC">
        <w:rPr>
          <w:color w:val="000000"/>
        </w:rPr>
        <w:t xml:space="preserve"> when there is adequate justification for the trial court’s decision not to preempt the trial of a civil matter in favor of a last-day criminal proceeding</w:t>
      </w:r>
      <w:r w:rsidR="3E2B21B4">
        <w:rPr>
          <w:color w:val="000000"/>
        </w:rPr>
        <w:t>,</w:t>
      </w:r>
      <w:r w:rsidR="0FD2EAEF">
        <w:rPr>
          <w:color w:val="000000"/>
        </w:rPr>
        <w:t>”</w:t>
      </w:r>
      <w:r w:rsidR="50CE6DDB">
        <w:rPr>
          <w:color w:val="000000"/>
        </w:rPr>
        <w:t xml:space="preserve"> </w:t>
      </w:r>
      <w:r w:rsidR="0B744C0A">
        <w:rPr>
          <w:color w:val="000000"/>
        </w:rPr>
        <w:t>that is</w:t>
      </w:r>
      <w:r w:rsidR="25975A6A" w:rsidRPr="002E35AC">
        <w:rPr>
          <w:color w:val="000000"/>
        </w:rPr>
        <w:t>, no violation of section 1050</w:t>
      </w:r>
      <w:r w:rsidR="71ECB5D6">
        <w:rPr>
          <w:color w:val="000000"/>
        </w:rPr>
        <w:t xml:space="preserve">, </w:t>
      </w:r>
      <w:r w:rsidR="25975A6A" w:rsidRPr="002E35AC">
        <w:rPr>
          <w:color w:val="000000"/>
        </w:rPr>
        <w:t xml:space="preserve">“it still may be the case that the lack of a number of judges or courtrooms sufficient to try the criminal case within the presumptive statutory period will not constitute good cause for purposes of </w:t>
      </w:r>
      <w:r w:rsidR="25975A6A">
        <w:rPr>
          <w:color w:val="000000"/>
        </w:rPr>
        <w:t xml:space="preserve">section 1382 </w:t>
      </w:r>
      <w:r w:rsidR="25975A6A" w:rsidRPr="002E35AC">
        <w:rPr>
          <w:color w:val="000000"/>
        </w:rPr>
        <w:t>and thus will not be an appropriate basis for refusing to dismiss the criminal proceeding under</w:t>
      </w:r>
      <w:r w:rsidR="25975A6A">
        <w:rPr>
          <w:color w:val="000000"/>
        </w:rPr>
        <w:t xml:space="preserve"> section 1382</w:t>
      </w:r>
      <w:r w:rsidR="25975A6A" w:rsidRPr="002E35AC">
        <w:rPr>
          <w:color w:val="000000"/>
        </w:rPr>
        <w:t>.</w:t>
      </w:r>
      <w:r w:rsidR="25975A6A">
        <w:rPr>
          <w:color w:val="000000"/>
        </w:rPr>
        <w:t>” (</w:t>
      </w:r>
      <w:r w:rsidR="39882279" w:rsidRPr="797FBB80">
        <w:rPr>
          <w:i/>
          <w:iCs/>
          <w:color w:val="000000"/>
        </w:rPr>
        <w:t>Ibid</w:t>
      </w:r>
      <w:r w:rsidR="25975A6A">
        <w:rPr>
          <w:color w:val="000000"/>
        </w:rPr>
        <w:t>.)</w:t>
      </w:r>
      <w:r w:rsidR="0B249FAD">
        <w:rPr>
          <w:color w:val="000000"/>
        </w:rPr>
        <w:t xml:space="preserve"> </w:t>
      </w:r>
      <w:r w:rsidR="39882279">
        <w:rPr>
          <w:color w:val="000000"/>
        </w:rPr>
        <w:t>A</w:t>
      </w:r>
      <w:r w:rsidR="0B249FAD">
        <w:rPr>
          <w:color w:val="000000"/>
        </w:rPr>
        <w:t xml:space="preserve">s discussed below (see pp. </w:t>
      </w:r>
      <w:r w:rsidR="00145BD4">
        <w:rPr>
          <w:color w:val="000000"/>
        </w:rPr>
        <w:t>3</w:t>
      </w:r>
      <w:r w:rsidR="00717944">
        <w:rPr>
          <w:color w:val="000000"/>
        </w:rPr>
        <w:t>2</w:t>
      </w:r>
      <w:r w:rsidR="00145BD4">
        <w:rPr>
          <w:color w:val="000000"/>
        </w:rPr>
        <w:t>–35,</w:t>
      </w:r>
      <w:r w:rsidR="0B249FAD">
        <w:rPr>
          <w:color w:val="000000"/>
        </w:rPr>
        <w:t xml:space="preserve"> </w:t>
      </w:r>
      <w:r w:rsidR="0B249FAD" w:rsidRPr="797FBB80">
        <w:rPr>
          <w:i/>
          <w:iCs/>
          <w:color w:val="000000"/>
        </w:rPr>
        <w:t>post</w:t>
      </w:r>
      <w:r w:rsidR="0B249FAD">
        <w:rPr>
          <w:color w:val="000000"/>
        </w:rPr>
        <w:t>), defendants</w:t>
      </w:r>
      <w:r w:rsidR="39882279">
        <w:rPr>
          <w:color w:val="000000"/>
        </w:rPr>
        <w:t xml:space="preserve"> similarly </w:t>
      </w:r>
      <w:r w:rsidR="0B249FAD">
        <w:rPr>
          <w:color w:val="000000"/>
        </w:rPr>
        <w:t>conflat</w:t>
      </w:r>
      <w:r w:rsidR="39882279">
        <w:rPr>
          <w:color w:val="000000"/>
        </w:rPr>
        <w:t xml:space="preserve">e </w:t>
      </w:r>
      <w:r w:rsidR="0B249FAD">
        <w:rPr>
          <w:color w:val="000000"/>
        </w:rPr>
        <w:t>the</w:t>
      </w:r>
      <w:r w:rsidR="00617EE0">
        <w:rPr>
          <w:color w:val="000000"/>
        </w:rPr>
        <w:t>se</w:t>
      </w:r>
      <w:r w:rsidR="0B249FAD">
        <w:rPr>
          <w:color w:val="000000"/>
        </w:rPr>
        <w:t xml:space="preserve"> </w:t>
      </w:r>
      <w:r w:rsidR="0C9CB9D8" w:rsidRPr="797FBB80">
        <w:rPr>
          <w:color w:val="000000" w:themeColor="text1"/>
        </w:rPr>
        <w:t>inquir</w:t>
      </w:r>
      <w:r w:rsidR="00617EE0">
        <w:rPr>
          <w:color w:val="000000" w:themeColor="text1"/>
        </w:rPr>
        <w:t>ies</w:t>
      </w:r>
      <w:r w:rsidR="0B249FAD">
        <w:rPr>
          <w:color w:val="000000"/>
        </w:rPr>
        <w:t>.</w:t>
      </w:r>
    </w:p>
    <w:p w14:paraId="5F1D9F99" w14:textId="4A992628" w:rsidR="0080647E" w:rsidRDefault="001B6997" w:rsidP="003F5F13">
      <w:pPr>
        <w:autoSpaceDE w:val="0"/>
        <w:autoSpaceDN w:val="0"/>
        <w:adjustRightInd w:val="0"/>
        <w:spacing w:line="360" w:lineRule="auto"/>
        <w:contextualSpacing/>
        <w:rPr>
          <w:color w:val="000000"/>
        </w:rPr>
      </w:pPr>
      <w:r>
        <w:rPr>
          <w:color w:val="000000"/>
        </w:rPr>
        <w:tab/>
      </w:r>
      <w:r w:rsidR="25975A6A">
        <w:rPr>
          <w:color w:val="000000"/>
        </w:rPr>
        <w:t xml:space="preserve">The </w:t>
      </w:r>
      <w:r w:rsidR="25975A6A" w:rsidRPr="797FBB80">
        <w:rPr>
          <w:i/>
          <w:iCs/>
          <w:color w:val="000000"/>
        </w:rPr>
        <w:t xml:space="preserve">Engram </w:t>
      </w:r>
      <w:r w:rsidR="25975A6A">
        <w:rPr>
          <w:color w:val="000000"/>
        </w:rPr>
        <w:t xml:space="preserve">court then rejected the district attorney’s argument </w:t>
      </w:r>
      <w:r w:rsidR="25975A6A" w:rsidRPr="00184658">
        <w:rPr>
          <w:color w:val="000000"/>
          <w:spacing w:val="-2"/>
        </w:rPr>
        <w:t xml:space="preserve">that the </w:t>
      </w:r>
      <w:r w:rsidR="25975A6A">
        <w:rPr>
          <w:color w:val="000000"/>
          <w:spacing w:val="-2"/>
        </w:rPr>
        <w:t xml:space="preserve">lack </w:t>
      </w:r>
      <w:r w:rsidR="25975A6A" w:rsidRPr="00184658">
        <w:rPr>
          <w:color w:val="000000"/>
          <w:spacing w:val="-2"/>
        </w:rPr>
        <w:t>of an available courtroom</w:t>
      </w:r>
      <w:r w:rsidR="25975A6A">
        <w:rPr>
          <w:color w:val="000000"/>
        </w:rPr>
        <w:t xml:space="preserve"> constituted good cause under section 1382 to </w:t>
      </w:r>
      <w:r w:rsidR="45DA7959">
        <w:rPr>
          <w:color w:val="000000"/>
        </w:rPr>
        <w:t xml:space="preserve">delay </w:t>
      </w:r>
      <w:r w:rsidR="25975A6A">
        <w:rPr>
          <w:color w:val="000000"/>
        </w:rPr>
        <w:t>the trial. (</w:t>
      </w:r>
      <w:r w:rsidR="49D1E772" w:rsidRPr="797FBB80">
        <w:rPr>
          <w:i/>
          <w:iCs/>
          <w:color w:val="000000"/>
        </w:rPr>
        <w:t>Engram, supra</w:t>
      </w:r>
      <w:r w:rsidR="49D1E772">
        <w:rPr>
          <w:color w:val="000000"/>
        </w:rPr>
        <w:t xml:space="preserve">, </w:t>
      </w:r>
      <w:r w:rsidR="25975A6A">
        <w:rPr>
          <w:color w:val="000000"/>
        </w:rPr>
        <w:t>50 Cal.4th at pp. 1162–1165.) While the Riverside court</w:t>
      </w:r>
      <w:r w:rsidR="7A5EC3EA">
        <w:rPr>
          <w:color w:val="000000"/>
        </w:rPr>
        <w:t>’s organizational and workload policies</w:t>
      </w:r>
      <w:r w:rsidR="25975A6A">
        <w:rPr>
          <w:color w:val="000000"/>
        </w:rPr>
        <w:t xml:space="preserve"> had not violated </w:t>
      </w:r>
      <w:r w:rsidR="25975A6A">
        <w:rPr>
          <w:color w:val="000000"/>
        </w:rPr>
        <w:lastRenderedPageBreak/>
        <w:t xml:space="preserve">section 1050(a), the </w:t>
      </w:r>
      <w:r w:rsidR="0B210DBB">
        <w:rPr>
          <w:color w:val="000000"/>
        </w:rPr>
        <w:t>inability to commence trial</w:t>
      </w:r>
      <w:r w:rsidR="25975A6A">
        <w:rPr>
          <w:color w:val="000000"/>
        </w:rPr>
        <w:t xml:space="preserve"> was </w:t>
      </w:r>
      <w:r w:rsidR="00A52DE0">
        <w:rPr>
          <w:color w:val="000000"/>
        </w:rPr>
        <w:t xml:space="preserve">nonetheless </w:t>
      </w:r>
      <w:r w:rsidR="25975A6A">
        <w:rPr>
          <w:color w:val="000000"/>
        </w:rPr>
        <w:t>attributable to the state</w:t>
      </w:r>
      <w:r w:rsidR="00A52DE0">
        <w:rPr>
          <w:color w:val="000000"/>
        </w:rPr>
        <w:t>’s failure to supply</w:t>
      </w:r>
      <w:r w:rsidR="2E061862">
        <w:rPr>
          <w:color w:val="000000"/>
        </w:rPr>
        <w:t xml:space="preserve"> </w:t>
      </w:r>
      <w:r w:rsidR="25975A6A">
        <w:rPr>
          <w:color w:val="000000"/>
        </w:rPr>
        <w:t xml:space="preserve">sufficient </w:t>
      </w:r>
      <w:r w:rsidR="4F8B234B">
        <w:rPr>
          <w:color w:val="000000"/>
        </w:rPr>
        <w:t xml:space="preserve">judges and courtrooms </w:t>
      </w:r>
      <w:r w:rsidR="25975A6A">
        <w:rPr>
          <w:color w:val="000000"/>
        </w:rPr>
        <w:t>to timely try criminal cases. (</w:t>
      </w:r>
      <w:r w:rsidR="25975A6A" w:rsidRPr="797FBB80">
        <w:rPr>
          <w:i/>
          <w:iCs/>
          <w:color w:val="000000"/>
        </w:rPr>
        <w:t>Id.</w:t>
      </w:r>
      <w:r w:rsidR="25975A6A">
        <w:rPr>
          <w:color w:val="000000"/>
        </w:rPr>
        <w:t xml:space="preserve"> at pp. 116</w:t>
      </w:r>
      <w:r w:rsidR="5FBADE63">
        <w:rPr>
          <w:color w:val="000000"/>
        </w:rPr>
        <w:t>4</w:t>
      </w:r>
      <w:r w:rsidR="25975A6A">
        <w:rPr>
          <w:color w:val="000000"/>
        </w:rPr>
        <w:t>–116</w:t>
      </w:r>
      <w:r w:rsidR="5FBADE63">
        <w:rPr>
          <w:color w:val="000000"/>
        </w:rPr>
        <w:t>5</w:t>
      </w:r>
      <w:r w:rsidR="25975A6A">
        <w:rPr>
          <w:color w:val="000000"/>
        </w:rPr>
        <w:t>.)</w:t>
      </w:r>
      <w:r w:rsidR="0ECC6424">
        <w:rPr>
          <w:color w:val="000000"/>
        </w:rPr>
        <w:t xml:space="preserve"> </w:t>
      </w:r>
      <w:r w:rsidR="51E8315D">
        <w:rPr>
          <w:color w:val="000000"/>
        </w:rPr>
        <w:t xml:space="preserve">While </w:t>
      </w:r>
      <w:r w:rsidR="30D1C120">
        <w:rPr>
          <w:color w:val="000000"/>
        </w:rPr>
        <w:t>this</w:t>
      </w:r>
      <w:r w:rsidR="0ECC6424" w:rsidRPr="002E35AC">
        <w:rPr>
          <w:color w:val="000000"/>
        </w:rPr>
        <w:t xml:space="preserve"> </w:t>
      </w:r>
      <w:r w:rsidR="25975A6A">
        <w:rPr>
          <w:color w:val="000000"/>
        </w:rPr>
        <w:t>“</w:t>
      </w:r>
      <w:r w:rsidR="25975A6A" w:rsidRPr="002E35AC">
        <w:rPr>
          <w:color w:val="000000"/>
        </w:rPr>
        <w:t>might constitute good cause to</w:t>
      </w:r>
      <w:r w:rsidR="25975A6A" w:rsidRPr="000146D1">
        <w:rPr>
          <w:color w:val="000000"/>
          <w:spacing w:val="-2"/>
        </w:rPr>
        <w:t xml:space="preserve"> justify the delay of trial under section 1382 in ‘exceptional circumstances,</w:t>
      </w:r>
      <w:proofErr w:type="gramStart"/>
      <w:r w:rsidR="25975A6A" w:rsidRPr="000146D1">
        <w:rPr>
          <w:color w:val="000000"/>
          <w:spacing w:val="-2"/>
        </w:rPr>
        <w:t>’</w:t>
      </w:r>
      <w:r w:rsidR="0418FBEA" w:rsidRPr="000146D1">
        <w:rPr>
          <w:color w:val="000000"/>
          <w:spacing w:val="-2"/>
        </w:rPr>
        <w:t> </w:t>
      </w:r>
      <w:r w:rsidR="25975A6A" w:rsidRPr="000146D1">
        <w:rPr>
          <w:color w:val="000000"/>
          <w:spacing w:val="-2"/>
        </w:rPr>
        <w:t>”</w:t>
      </w:r>
      <w:proofErr w:type="gramEnd"/>
      <w:r w:rsidR="25975A6A">
        <w:rPr>
          <w:color w:val="000000"/>
          <w:spacing w:val="-2"/>
        </w:rPr>
        <w:t xml:space="preserve"> </w:t>
      </w:r>
      <w:r w:rsidR="1C62C8E9">
        <w:rPr>
          <w:color w:val="000000"/>
          <w:spacing w:val="-2"/>
        </w:rPr>
        <w:t>(</w:t>
      </w:r>
      <w:r w:rsidR="43700BC9">
        <w:rPr>
          <w:color w:val="000000"/>
          <w:spacing w:val="-2"/>
        </w:rPr>
        <w:t>which it described as</w:t>
      </w:r>
      <w:r w:rsidR="6665A25A">
        <w:rPr>
          <w:color w:val="000000"/>
          <w:spacing w:val="-2"/>
        </w:rPr>
        <w:t xml:space="preserve"> “unique, nonrecurring events</w:t>
      </w:r>
      <w:r w:rsidR="6ECDC846">
        <w:rPr>
          <w:color w:val="000000"/>
          <w:spacing w:val="-2"/>
        </w:rPr>
        <w:t xml:space="preserve">” </w:t>
      </w:r>
      <w:r w:rsidR="6043083D">
        <w:rPr>
          <w:color w:val="000000"/>
          <w:spacing w:val="-2"/>
        </w:rPr>
        <w:t xml:space="preserve">that </w:t>
      </w:r>
      <w:r w:rsidR="6ECDC846">
        <w:rPr>
          <w:color w:val="000000"/>
          <w:spacing w:val="-2"/>
        </w:rPr>
        <w:t>produce “an inordinate number of cases”)</w:t>
      </w:r>
      <w:r w:rsidR="79AF21DC">
        <w:rPr>
          <w:color w:val="000000"/>
          <w:spacing w:val="-2"/>
        </w:rPr>
        <w:t>,</w:t>
      </w:r>
      <w:r w:rsidR="25975A6A">
        <w:rPr>
          <w:color w:val="000000"/>
        </w:rPr>
        <w:t xml:space="preserve"> </w:t>
      </w:r>
      <w:r w:rsidR="0579D94F">
        <w:rPr>
          <w:color w:val="000000"/>
        </w:rPr>
        <w:t xml:space="preserve">the Supreme Court </w:t>
      </w:r>
      <w:r w:rsidR="25975A6A">
        <w:rPr>
          <w:color w:val="000000"/>
        </w:rPr>
        <w:t>concluded</w:t>
      </w:r>
      <w:r w:rsidR="56DD7E7D">
        <w:rPr>
          <w:color w:val="000000"/>
        </w:rPr>
        <w:t xml:space="preserve"> that</w:t>
      </w:r>
      <w:r w:rsidR="25975A6A">
        <w:rPr>
          <w:color w:val="000000"/>
        </w:rPr>
        <w:t xml:space="preserve"> “</w:t>
      </w:r>
      <w:r w:rsidR="25975A6A" w:rsidRPr="002E35AC">
        <w:rPr>
          <w:color w:val="000000"/>
        </w:rPr>
        <w:t xml:space="preserve">delay arising out of </w:t>
      </w:r>
      <w:r w:rsidR="25975A6A" w:rsidRPr="000079E9">
        <w:rPr>
          <w:i/>
          <w:color w:val="000000"/>
        </w:rPr>
        <w:t>chronic</w:t>
      </w:r>
      <w:r w:rsidR="25975A6A" w:rsidRPr="002E35AC">
        <w:rPr>
          <w:color w:val="000000"/>
        </w:rPr>
        <w:t xml:space="preserve"> congestion of a court’s trial docket cannot be excused</w:t>
      </w:r>
      <w:r w:rsidR="25975A6A">
        <w:rPr>
          <w:color w:val="000000"/>
        </w:rPr>
        <w:t>.” (</w:t>
      </w:r>
      <w:r w:rsidR="25975A6A" w:rsidRPr="797FBB80">
        <w:rPr>
          <w:i/>
          <w:iCs/>
          <w:color w:val="000000"/>
        </w:rPr>
        <w:t>Id.</w:t>
      </w:r>
      <w:r w:rsidR="25975A6A">
        <w:rPr>
          <w:color w:val="000000"/>
        </w:rPr>
        <w:t xml:space="preserve"> at </w:t>
      </w:r>
      <w:r w:rsidR="000629E2">
        <w:rPr>
          <w:color w:val="000000"/>
        </w:rPr>
        <w:t>p</w:t>
      </w:r>
      <w:r w:rsidR="25975A6A">
        <w:rPr>
          <w:color w:val="000000"/>
        </w:rPr>
        <w:t>p. 1163</w:t>
      </w:r>
      <w:r w:rsidR="07EBFD67">
        <w:rPr>
          <w:color w:val="000000"/>
        </w:rPr>
        <w:t>–</w:t>
      </w:r>
      <w:r w:rsidR="644B978B">
        <w:rPr>
          <w:color w:val="000000"/>
        </w:rPr>
        <w:t>1164</w:t>
      </w:r>
      <w:r w:rsidR="6ECDC846">
        <w:rPr>
          <w:color w:val="000000"/>
        </w:rPr>
        <w:t xml:space="preserve"> &amp; fn.</w:t>
      </w:r>
      <w:r w:rsidR="644B978B">
        <w:rPr>
          <w:color w:val="000000"/>
        </w:rPr>
        <w:t>12</w:t>
      </w:r>
      <w:r w:rsidR="2F6985D3">
        <w:rPr>
          <w:color w:val="000000"/>
        </w:rPr>
        <w:t xml:space="preserve">, citing </w:t>
      </w:r>
      <w:r w:rsidR="2F6985D3" w:rsidRPr="0087556E">
        <w:rPr>
          <w:i/>
          <w:color w:val="000000" w:themeColor="text1"/>
        </w:rPr>
        <w:t>People v. Johnson</w:t>
      </w:r>
      <w:r w:rsidR="2F6985D3" w:rsidRPr="797FBB80">
        <w:rPr>
          <w:color w:val="000000" w:themeColor="text1"/>
        </w:rPr>
        <w:t xml:space="preserve"> (1980) 26</w:t>
      </w:r>
      <w:r w:rsidR="0059161E">
        <w:rPr>
          <w:color w:val="000000" w:themeColor="text1"/>
        </w:rPr>
        <w:t> </w:t>
      </w:r>
      <w:r w:rsidR="2F6985D3" w:rsidRPr="797FBB80">
        <w:rPr>
          <w:color w:val="000000" w:themeColor="text1"/>
        </w:rPr>
        <w:t>Cal.3d 557, 571</w:t>
      </w:r>
      <w:r w:rsidR="0059161E">
        <w:rPr>
          <w:color w:val="000000" w:themeColor="text1"/>
        </w:rPr>
        <w:t>–</w:t>
      </w:r>
      <w:r w:rsidR="2F6985D3" w:rsidRPr="797FBB80">
        <w:rPr>
          <w:color w:val="000000" w:themeColor="text1"/>
        </w:rPr>
        <w:t>572</w:t>
      </w:r>
      <w:r w:rsidR="00435411">
        <w:rPr>
          <w:color w:val="000000" w:themeColor="text1"/>
        </w:rPr>
        <w:t>, italics added</w:t>
      </w:r>
      <w:r w:rsidR="25975A6A">
        <w:rPr>
          <w:color w:val="000000"/>
        </w:rPr>
        <w:t>.)</w:t>
      </w:r>
      <w:r>
        <w:rPr>
          <w:rStyle w:val="FootnoteReference"/>
          <w:color w:val="000000" w:themeColor="text1"/>
        </w:rPr>
        <w:footnoteReference w:id="21"/>
      </w:r>
      <w:r w:rsidR="25975A6A">
        <w:rPr>
          <w:color w:val="000000"/>
        </w:rPr>
        <w:t xml:space="preserve"> </w:t>
      </w:r>
    </w:p>
    <w:p w14:paraId="21CEF7D2" w14:textId="1A938BA1" w:rsidR="003F2F4C" w:rsidRDefault="001B6997" w:rsidP="00417C6C">
      <w:pPr>
        <w:keepNext/>
        <w:autoSpaceDE w:val="0"/>
        <w:autoSpaceDN w:val="0"/>
        <w:adjustRightInd w:val="0"/>
        <w:spacing w:after="120" w:line="240" w:lineRule="auto"/>
        <w:ind w:left="1440" w:hanging="1440"/>
        <w:rPr>
          <w:b/>
          <w:bCs/>
          <w:color w:val="000000"/>
        </w:rPr>
      </w:pPr>
      <w:r>
        <w:rPr>
          <w:color w:val="000000"/>
        </w:rPr>
        <w:tab/>
      </w:r>
      <w:r>
        <w:rPr>
          <w:color w:val="000000"/>
        </w:rPr>
        <w:tab/>
      </w:r>
      <w:r w:rsidR="00A1341D">
        <w:rPr>
          <w:b/>
          <w:bCs/>
          <w:i/>
          <w:iCs/>
          <w:color w:val="000000"/>
        </w:rPr>
        <w:t>3</w:t>
      </w:r>
      <w:r w:rsidR="00A23BF6" w:rsidRPr="00B95651">
        <w:rPr>
          <w:b/>
          <w:bCs/>
          <w:i/>
          <w:iCs/>
          <w:color w:val="000000"/>
        </w:rPr>
        <w:t>.</w:t>
      </w:r>
      <w:r>
        <w:rPr>
          <w:color w:val="000000"/>
        </w:rPr>
        <w:t xml:space="preserve"> </w:t>
      </w:r>
      <w:r>
        <w:rPr>
          <w:b/>
          <w:bCs/>
          <w:i/>
          <w:iCs/>
          <w:color w:val="000000"/>
        </w:rPr>
        <w:t xml:space="preserve">Recent Decisions Assessing </w:t>
      </w:r>
      <w:r w:rsidR="00062749">
        <w:rPr>
          <w:b/>
          <w:bCs/>
          <w:i/>
          <w:iCs/>
          <w:color w:val="000000"/>
        </w:rPr>
        <w:t xml:space="preserve">Case-Specific </w:t>
      </w:r>
      <w:r>
        <w:rPr>
          <w:b/>
          <w:bCs/>
          <w:i/>
          <w:iCs/>
          <w:color w:val="000000"/>
        </w:rPr>
        <w:t xml:space="preserve">Section 1382 Rulings </w:t>
      </w:r>
      <w:proofErr w:type="gramStart"/>
      <w:r>
        <w:rPr>
          <w:b/>
          <w:bCs/>
          <w:i/>
          <w:iCs/>
          <w:color w:val="000000"/>
        </w:rPr>
        <w:t>in Light of</w:t>
      </w:r>
      <w:proofErr w:type="gramEnd"/>
      <w:r>
        <w:rPr>
          <w:b/>
          <w:bCs/>
          <w:i/>
          <w:iCs/>
          <w:color w:val="000000"/>
        </w:rPr>
        <w:t xml:space="preserve"> </w:t>
      </w:r>
      <w:r>
        <w:rPr>
          <w:b/>
          <w:bCs/>
          <w:color w:val="000000"/>
        </w:rPr>
        <w:t>Engram</w:t>
      </w:r>
    </w:p>
    <w:p w14:paraId="4E737A95" w14:textId="715E3435" w:rsidR="00346114" w:rsidRDefault="001B6997" w:rsidP="797FBB80">
      <w:pPr>
        <w:autoSpaceDE w:val="0"/>
        <w:autoSpaceDN w:val="0"/>
        <w:adjustRightInd w:val="0"/>
        <w:spacing w:line="360" w:lineRule="auto"/>
        <w:rPr>
          <w:color w:val="000000" w:themeColor="text1"/>
        </w:rPr>
      </w:pPr>
      <w:r>
        <w:rPr>
          <w:color w:val="000000"/>
        </w:rPr>
        <w:tab/>
      </w:r>
      <w:r w:rsidR="577C8447">
        <w:rPr>
          <w:color w:val="000000"/>
        </w:rPr>
        <w:t>Defendants cite two recent</w:t>
      </w:r>
      <w:r w:rsidR="2269A1C7">
        <w:rPr>
          <w:color w:val="000000"/>
        </w:rPr>
        <w:t xml:space="preserve"> decisions</w:t>
      </w:r>
      <w:r w:rsidR="1076F51B">
        <w:rPr>
          <w:color w:val="000000"/>
        </w:rPr>
        <w:t xml:space="preserve"> </w:t>
      </w:r>
      <w:r w:rsidR="00696256">
        <w:rPr>
          <w:color w:val="000000"/>
        </w:rPr>
        <w:t>denying</w:t>
      </w:r>
      <w:r w:rsidR="00696256">
        <w:rPr>
          <w:rFonts w:cs="Times New Roman"/>
        </w:rPr>
        <w:t xml:space="preserve"> </w:t>
      </w:r>
      <w:r w:rsidR="1076F51B">
        <w:rPr>
          <w:rFonts w:cs="Times New Roman"/>
        </w:rPr>
        <w:t xml:space="preserve">mandamus </w:t>
      </w:r>
      <w:r w:rsidR="651AB6D7">
        <w:rPr>
          <w:rFonts w:cs="Times New Roman"/>
        </w:rPr>
        <w:t xml:space="preserve">petitions </w:t>
      </w:r>
      <w:r w:rsidR="1B5EEBAA">
        <w:rPr>
          <w:rFonts w:cs="Times New Roman"/>
        </w:rPr>
        <w:t xml:space="preserve">filed </w:t>
      </w:r>
      <w:r w:rsidR="1076F51B">
        <w:rPr>
          <w:rFonts w:cs="Times New Roman"/>
        </w:rPr>
        <w:t xml:space="preserve">by criminal defendants </w:t>
      </w:r>
      <w:r w:rsidR="10662325">
        <w:rPr>
          <w:rFonts w:cs="Times New Roman"/>
        </w:rPr>
        <w:t>seeking</w:t>
      </w:r>
      <w:r w:rsidR="1076F51B">
        <w:rPr>
          <w:rFonts w:cs="Times New Roman"/>
        </w:rPr>
        <w:t xml:space="preserve"> dismiss</w:t>
      </w:r>
      <w:r w:rsidR="7F4FA8E8">
        <w:rPr>
          <w:rFonts w:cs="Times New Roman"/>
        </w:rPr>
        <w:t>al of</w:t>
      </w:r>
      <w:r w:rsidR="1076F51B">
        <w:rPr>
          <w:rFonts w:cs="Times New Roman"/>
        </w:rPr>
        <w:t xml:space="preserve"> their </w:t>
      </w:r>
      <w:r w:rsidR="3C2DE704">
        <w:rPr>
          <w:rFonts w:cs="Times New Roman"/>
        </w:rPr>
        <w:t xml:space="preserve">individual </w:t>
      </w:r>
      <w:r w:rsidR="1076F51B">
        <w:rPr>
          <w:rFonts w:cs="Times New Roman"/>
        </w:rPr>
        <w:t xml:space="preserve">cases </w:t>
      </w:r>
      <w:r w:rsidR="3C2DE704">
        <w:rPr>
          <w:rFonts w:cs="Times New Roman"/>
        </w:rPr>
        <w:t xml:space="preserve">under </w:t>
      </w:r>
      <w:r w:rsidR="1076F51B">
        <w:rPr>
          <w:rFonts w:cs="Times New Roman"/>
        </w:rPr>
        <w:t>section 1382</w:t>
      </w:r>
      <w:r w:rsidR="10662325">
        <w:rPr>
          <w:rFonts w:cs="Times New Roman"/>
        </w:rPr>
        <w:t xml:space="preserve">. </w:t>
      </w:r>
      <w:r w:rsidR="5547ED42" w:rsidRPr="797FBB80">
        <w:rPr>
          <w:color w:val="000000" w:themeColor="text1"/>
        </w:rPr>
        <w:t xml:space="preserve">In </w:t>
      </w:r>
      <w:r w:rsidR="5547ED42" w:rsidRPr="797FBB80">
        <w:rPr>
          <w:i/>
          <w:iCs/>
          <w:color w:val="000000" w:themeColor="text1"/>
        </w:rPr>
        <w:t>Hernandez-Valenzuela</w:t>
      </w:r>
      <w:r w:rsidR="00E76189" w:rsidRPr="797FBB80">
        <w:rPr>
          <w:rFonts w:cs="Times New Roman"/>
          <w:i/>
          <w:iCs/>
        </w:rPr>
        <w:t xml:space="preserve"> v. Superior Court</w:t>
      </w:r>
      <w:r w:rsidR="00E76189" w:rsidRPr="205F293E">
        <w:rPr>
          <w:rFonts w:cs="Times New Roman"/>
        </w:rPr>
        <w:t xml:space="preserve"> (2022) 75</w:t>
      </w:r>
      <w:r w:rsidR="0059161E">
        <w:rPr>
          <w:rFonts w:cs="Times New Roman"/>
        </w:rPr>
        <w:t> </w:t>
      </w:r>
      <w:r w:rsidR="00E76189" w:rsidRPr="205F293E">
        <w:rPr>
          <w:rFonts w:cs="Times New Roman"/>
        </w:rPr>
        <w:t>Cal.App.5th 1108 (</w:t>
      </w:r>
      <w:r w:rsidR="00E76189" w:rsidRPr="797FBB80">
        <w:rPr>
          <w:rFonts w:cs="Times New Roman"/>
          <w:i/>
          <w:iCs/>
        </w:rPr>
        <w:t>Hernandez-Valenzuela</w:t>
      </w:r>
      <w:r w:rsidR="00E76189">
        <w:rPr>
          <w:rFonts w:cs="Times New Roman"/>
        </w:rPr>
        <w:t>)</w:t>
      </w:r>
      <w:r w:rsidR="5547ED42" w:rsidRPr="797FBB80">
        <w:rPr>
          <w:rFonts w:cs="Times New Roman"/>
        </w:rPr>
        <w:t xml:space="preserve">, our colleagues in Division Three </w:t>
      </w:r>
      <w:r w:rsidR="10C5DBC2" w:rsidRPr="008D0651">
        <w:rPr>
          <w:rFonts w:cs="Times New Roman"/>
          <w:spacing w:val="-2"/>
        </w:rPr>
        <w:t>considered</w:t>
      </w:r>
      <w:r w:rsidR="651AB6D7" w:rsidRPr="008D0651">
        <w:rPr>
          <w:rFonts w:cs="Times New Roman"/>
          <w:spacing w:val="-2"/>
        </w:rPr>
        <w:t xml:space="preserve"> </w:t>
      </w:r>
      <w:r w:rsidR="2D811A7A" w:rsidRPr="008D0651">
        <w:rPr>
          <w:rFonts w:cs="Times New Roman"/>
          <w:spacing w:val="-2"/>
        </w:rPr>
        <w:t>defendant</w:t>
      </w:r>
      <w:r w:rsidR="7A58CB93" w:rsidRPr="008D0651">
        <w:rPr>
          <w:rFonts w:cs="Times New Roman"/>
          <w:spacing w:val="-2"/>
        </w:rPr>
        <w:t>s’</w:t>
      </w:r>
      <w:r w:rsidR="2D811A7A">
        <w:rPr>
          <w:rFonts w:cs="Times New Roman"/>
        </w:rPr>
        <w:t xml:space="preserve"> </w:t>
      </w:r>
      <w:r w:rsidR="4484816E">
        <w:rPr>
          <w:rFonts w:cs="Times New Roman"/>
        </w:rPr>
        <w:t>response</w:t>
      </w:r>
      <w:r w:rsidR="2D811A7A">
        <w:rPr>
          <w:rFonts w:cs="Times New Roman"/>
        </w:rPr>
        <w:t xml:space="preserve"> to </w:t>
      </w:r>
      <w:r w:rsidR="651AB6D7">
        <w:rPr>
          <w:rFonts w:cs="Times New Roman"/>
        </w:rPr>
        <w:t xml:space="preserve">the </w:t>
      </w:r>
      <w:r w:rsidR="4484816E">
        <w:rPr>
          <w:rFonts w:cs="Times New Roman"/>
        </w:rPr>
        <w:t xml:space="preserve">pandemic and </w:t>
      </w:r>
      <w:r w:rsidR="2D811A7A">
        <w:rPr>
          <w:rFonts w:cs="Times New Roman"/>
        </w:rPr>
        <w:t xml:space="preserve">efforts to reduce </w:t>
      </w:r>
      <w:r w:rsidR="651AB6D7">
        <w:rPr>
          <w:rFonts w:cs="Times New Roman"/>
        </w:rPr>
        <w:t>the backlog</w:t>
      </w:r>
      <w:r w:rsidR="2D811A7A">
        <w:rPr>
          <w:rFonts w:cs="Times New Roman"/>
        </w:rPr>
        <w:t xml:space="preserve"> in the same </w:t>
      </w:r>
      <w:proofErr w:type="gramStart"/>
      <w:r w:rsidR="000D2AC6">
        <w:rPr>
          <w:rFonts w:cs="Times New Roman"/>
        </w:rPr>
        <w:t>period of time</w:t>
      </w:r>
      <w:proofErr w:type="gramEnd"/>
      <w:r w:rsidR="000D2AC6">
        <w:rPr>
          <w:rFonts w:cs="Times New Roman"/>
        </w:rPr>
        <w:t xml:space="preserve"> </w:t>
      </w:r>
      <w:r w:rsidR="00233AAD">
        <w:rPr>
          <w:rFonts w:cs="Times New Roman"/>
        </w:rPr>
        <w:t xml:space="preserve">at issue in </w:t>
      </w:r>
      <w:r w:rsidR="64D94E5C">
        <w:rPr>
          <w:rFonts w:cs="Times New Roman"/>
        </w:rPr>
        <w:t>this case</w:t>
      </w:r>
      <w:r w:rsidR="3C2DE704">
        <w:rPr>
          <w:rFonts w:cs="Times New Roman"/>
        </w:rPr>
        <w:t>.</w:t>
      </w:r>
      <w:r w:rsidR="02A12655">
        <w:rPr>
          <w:rFonts w:cs="Times New Roman"/>
        </w:rPr>
        <w:t xml:space="preserve"> </w:t>
      </w:r>
      <w:r w:rsidR="2D811A7A">
        <w:rPr>
          <w:rFonts w:cs="Times New Roman"/>
        </w:rPr>
        <w:t>(</w:t>
      </w:r>
      <w:r w:rsidR="3C2DE704" w:rsidRPr="797FBB80">
        <w:rPr>
          <w:rFonts w:cs="Times New Roman"/>
          <w:i/>
          <w:iCs/>
        </w:rPr>
        <w:t>Id.</w:t>
      </w:r>
      <w:r w:rsidR="02A12655">
        <w:rPr>
          <w:rFonts w:cs="Times New Roman"/>
        </w:rPr>
        <w:t xml:space="preserve"> a</w:t>
      </w:r>
      <w:r w:rsidR="2D811A7A">
        <w:rPr>
          <w:rFonts w:cs="Times New Roman"/>
        </w:rPr>
        <w:t xml:space="preserve">t </w:t>
      </w:r>
      <w:r w:rsidR="02A12655">
        <w:rPr>
          <w:rFonts w:cs="Times New Roman"/>
        </w:rPr>
        <w:t>pp. </w:t>
      </w:r>
      <w:r w:rsidR="2D811A7A">
        <w:rPr>
          <w:rFonts w:cs="Times New Roman"/>
        </w:rPr>
        <w:t>1117–1120</w:t>
      </w:r>
      <w:r w:rsidR="3C2DE704">
        <w:rPr>
          <w:rFonts w:cs="Times New Roman"/>
        </w:rPr>
        <w:t>.</w:t>
      </w:r>
      <w:r w:rsidR="2D811A7A">
        <w:rPr>
          <w:rFonts w:cs="Times New Roman"/>
        </w:rPr>
        <w:t>)</w:t>
      </w:r>
      <w:r w:rsidR="006D0C5B">
        <w:rPr>
          <w:rFonts w:cs="Times New Roman"/>
        </w:rPr>
        <w:t xml:space="preserve"> </w:t>
      </w:r>
      <w:r w:rsidR="00614B76">
        <w:rPr>
          <w:rFonts w:cs="Times New Roman"/>
          <w:i/>
          <w:iCs/>
        </w:rPr>
        <w:t>Hernandez-Valenzuela</w:t>
      </w:r>
      <w:r w:rsidR="271B07C9" w:rsidRPr="45CEE248">
        <w:rPr>
          <w:rFonts w:cs="Times New Roman"/>
          <w:i/>
        </w:rPr>
        <w:t xml:space="preserve"> </w:t>
      </w:r>
      <w:r w:rsidR="651AB6D7">
        <w:rPr>
          <w:rFonts w:cs="Times New Roman"/>
        </w:rPr>
        <w:t>differed</w:t>
      </w:r>
      <w:r w:rsidR="271B07C9">
        <w:rPr>
          <w:rFonts w:cs="Times New Roman"/>
        </w:rPr>
        <w:t xml:space="preserve"> from this appeal</w:t>
      </w:r>
      <w:r w:rsidR="314CB62E">
        <w:rPr>
          <w:rFonts w:cs="Times New Roman"/>
        </w:rPr>
        <w:t>, however,</w:t>
      </w:r>
      <w:r w:rsidR="271B07C9">
        <w:rPr>
          <w:rFonts w:cs="Times New Roman"/>
        </w:rPr>
        <w:t xml:space="preserve"> in two </w:t>
      </w:r>
      <w:r w:rsidR="02A12655">
        <w:rPr>
          <w:rFonts w:cs="Times New Roman"/>
        </w:rPr>
        <w:t>fundamental</w:t>
      </w:r>
      <w:r w:rsidR="271B07C9">
        <w:rPr>
          <w:rFonts w:cs="Times New Roman"/>
        </w:rPr>
        <w:t xml:space="preserve"> ways</w:t>
      </w:r>
      <w:r w:rsidR="201D68AC">
        <w:rPr>
          <w:rFonts w:cs="Times New Roman"/>
        </w:rPr>
        <w:t>.</w:t>
      </w:r>
      <w:r w:rsidR="00BA3EDE">
        <w:rPr>
          <w:rFonts w:cs="Times New Roman"/>
        </w:rPr>
        <w:t xml:space="preserve"> </w:t>
      </w:r>
      <w:r w:rsidR="765BFC1D">
        <w:rPr>
          <w:rFonts w:cs="Times New Roman"/>
        </w:rPr>
        <w:t>First,</w:t>
      </w:r>
      <w:r w:rsidR="00417C6C">
        <w:rPr>
          <w:rFonts w:cs="Times New Roman"/>
        </w:rPr>
        <w:t xml:space="preserve"> </w:t>
      </w:r>
      <w:r w:rsidR="651AB6D7">
        <w:rPr>
          <w:rFonts w:cs="Times New Roman"/>
        </w:rPr>
        <w:t xml:space="preserve">Division Three </w:t>
      </w:r>
      <w:r w:rsidR="3C2DE704">
        <w:rPr>
          <w:rFonts w:cs="Times New Roman"/>
        </w:rPr>
        <w:t>ha</w:t>
      </w:r>
      <w:r w:rsidR="651AB6D7">
        <w:rPr>
          <w:rFonts w:cs="Times New Roman"/>
        </w:rPr>
        <w:t>d</w:t>
      </w:r>
      <w:r w:rsidR="2D811A7A">
        <w:rPr>
          <w:rFonts w:cs="Times New Roman"/>
        </w:rPr>
        <w:t xml:space="preserve"> </w:t>
      </w:r>
      <w:r w:rsidR="3C2DE704">
        <w:rPr>
          <w:rFonts w:cs="Times New Roman"/>
        </w:rPr>
        <w:t xml:space="preserve">before it </w:t>
      </w:r>
      <w:r w:rsidR="2D811A7A">
        <w:rPr>
          <w:rFonts w:cs="Times New Roman"/>
        </w:rPr>
        <w:t>an evidentiary record</w:t>
      </w:r>
      <w:r w:rsidR="651AB6D7">
        <w:rPr>
          <w:rFonts w:cs="Times New Roman"/>
        </w:rPr>
        <w:t xml:space="preserve"> enabling it to resolve factual disputes</w:t>
      </w:r>
      <w:r w:rsidR="296D4894">
        <w:rPr>
          <w:rFonts w:cs="Times New Roman"/>
        </w:rPr>
        <w:t xml:space="preserve"> </w:t>
      </w:r>
      <w:r w:rsidR="0D5E6212">
        <w:rPr>
          <w:rFonts w:cs="Times New Roman"/>
        </w:rPr>
        <w:t>going to the question of</w:t>
      </w:r>
      <w:r w:rsidR="1CA683C3">
        <w:rPr>
          <w:rFonts w:cs="Times New Roman"/>
        </w:rPr>
        <w:t xml:space="preserve"> good cause</w:t>
      </w:r>
      <w:r w:rsidR="11A9AD99">
        <w:rPr>
          <w:rFonts w:cs="Times New Roman"/>
        </w:rPr>
        <w:t xml:space="preserve"> for </w:t>
      </w:r>
      <w:r w:rsidR="11A9AD99">
        <w:rPr>
          <w:rFonts w:cs="Times New Roman"/>
        </w:rPr>
        <w:lastRenderedPageBreak/>
        <w:t>delay</w:t>
      </w:r>
      <w:r w:rsidR="12ED97FB">
        <w:rPr>
          <w:rFonts w:cs="Times New Roman"/>
        </w:rPr>
        <w:t>.</w:t>
      </w:r>
      <w:r w:rsidR="68639B33">
        <w:rPr>
          <w:rFonts w:cs="Times New Roman"/>
        </w:rPr>
        <w:t xml:space="preserve"> Here, our only inquiry is the sufficiency of the pleadings.</w:t>
      </w:r>
      <w:r w:rsidR="00AF4E8E">
        <w:rPr>
          <w:rFonts w:cs="Times New Roman"/>
        </w:rPr>
        <w:t xml:space="preserve"> </w:t>
      </w:r>
      <w:r w:rsidR="65864FE6">
        <w:rPr>
          <w:rFonts w:cs="Times New Roman"/>
        </w:rPr>
        <w:t xml:space="preserve">Second, in </w:t>
      </w:r>
      <w:r w:rsidR="65864FE6" w:rsidRPr="00A54025">
        <w:rPr>
          <w:rFonts w:cs="Times New Roman"/>
          <w:i/>
        </w:rPr>
        <w:t>Hernandez-Valenzuela</w:t>
      </w:r>
      <w:r w:rsidR="65864FE6">
        <w:rPr>
          <w:rFonts w:cs="Times New Roman"/>
        </w:rPr>
        <w:t xml:space="preserve">, </w:t>
      </w:r>
      <w:r w:rsidR="651AB6D7">
        <w:rPr>
          <w:rFonts w:cs="Times New Roman"/>
        </w:rPr>
        <w:t xml:space="preserve">the dispositive question was </w:t>
      </w:r>
      <w:r w:rsidR="651AB6D7" w:rsidRPr="006442F2">
        <w:rPr>
          <w:rFonts w:cs="Times New Roman"/>
        </w:rPr>
        <w:t>not</w:t>
      </w:r>
      <w:r w:rsidR="651AB6D7">
        <w:rPr>
          <w:rFonts w:cs="Times New Roman"/>
        </w:rPr>
        <w:t xml:space="preserve"> </w:t>
      </w:r>
      <w:r w:rsidR="4AF53E17">
        <w:rPr>
          <w:rFonts w:cs="Times New Roman"/>
        </w:rPr>
        <w:t xml:space="preserve">simply </w:t>
      </w:r>
      <w:r w:rsidR="651AB6D7">
        <w:rPr>
          <w:rFonts w:cs="Times New Roman"/>
        </w:rPr>
        <w:t xml:space="preserve">whether defendant court had discharged its duty </w:t>
      </w:r>
      <w:r w:rsidR="271B07C9">
        <w:rPr>
          <w:rFonts w:cs="Times New Roman"/>
        </w:rPr>
        <w:t>under section 1</w:t>
      </w:r>
      <w:r w:rsidR="00150CF7">
        <w:rPr>
          <w:rFonts w:cs="Times New Roman"/>
        </w:rPr>
        <w:t>0</w:t>
      </w:r>
      <w:r w:rsidR="271B07C9">
        <w:rPr>
          <w:rFonts w:cs="Times New Roman"/>
        </w:rPr>
        <w:t xml:space="preserve">50(a) to </w:t>
      </w:r>
      <w:r w:rsidR="33A48973">
        <w:rPr>
          <w:rFonts w:cs="Times New Roman"/>
        </w:rPr>
        <w:t xml:space="preserve">avoid </w:t>
      </w:r>
      <w:r w:rsidR="271B07C9">
        <w:rPr>
          <w:rFonts w:cs="Times New Roman"/>
        </w:rPr>
        <w:t>“</w:t>
      </w:r>
      <w:proofErr w:type="spellStart"/>
      <w:r w:rsidR="651AB6D7" w:rsidRPr="05D0A8A3">
        <w:rPr>
          <w:color w:val="000000" w:themeColor="text1"/>
        </w:rPr>
        <w:t>shortchang</w:t>
      </w:r>
      <w:proofErr w:type="spellEnd"/>
      <w:r w:rsidR="33A48973">
        <w:rPr>
          <w:color w:val="000000" w:themeColor="text1"/>
        </w:rPr>
        <w:t>[</w:t>
      </w:r>
      <w:proofErr w:type="spellStart"/>
      <w:r w:rsidR="33A48973">
        <w:rPr>
          <w:color w:val="000000" w:themeColor="text1"/>
        </w:rPr>
        <w:t>ing</w:t>
      </w:r>
      <w:proofErr w:type="spellEnd"/>
      <w:r w:rsidR="33A48973">
        <w:rPr>
          <w:color w:val="000000" w:themeColor="text1"/>
        </w:rPr>
        <w:t>]</w:t>
      </w:r>
      <w:r w:rsidR="651AB6D7" w:rsidRPr="05D0A8A3">
        <w:rPr>
          <w:color w:val="000000" w:themeColor="text1"/>
        </w:rPr>
        <w:t xml:space="preserve"> the court</w:t>
      </w:r>
      <w:r w:rsidR="651AB6D7" w:rsidRPr="1B5E7FE8">
        <w:rPr>
          <w:color w:val="000000" w:themeColor="text1"/>
        </w:rPr>
        <w:t>’s criminal caseload by creating or maintaining a disproportionately large number of civil as compared to criminal departments</w:t>
      </w:r>
      <w:r w:rsidR="359ED09E" w:rsidRPr="1B5E7FE8">
        <w:rPr>
          <w:color w:val="000000" w:themeColor="text1"/>
        </w:rPr>
        <w:t>.</w:t>
      </w:r>
      <w:r w:rsidR="651AB6D7" w:rsidRPr="1B5E7FE8">
        <w:rPr>
          <w:color w:val="000000" w:themeColor="text1"/>
        </w:rPr>
        <w:t>”</w:t>
      </w:r>
      <w:r w:rsidR="271B07C9">
        <w:rPr>
          <w:color w:val="000000" w:themeColor="text1"/>
        </w:rPr>
        <w:t xml:space="preserve"> (</w:t>
      </w:r>
      <w:r w:rsidR="271B07C9" w:rsidRPr="797FBB80">
        <w:rPr>
          <w:i/>
          <w:iCs/>
          <w:color w:val="000000" w:themeColor="text1"/>
        </w:rPr>
        <w:t>Engram</w:t>
      </w:r>
      <w:r w:rsidR="271B07C9">
        <w:rPr>
          <w:color w:val="000000" w:themeColor="text1"/>
        </w:rPr>
        <w:t xml:space="preserve">, </w:t>
      </w:r>
      <w:r w:rsidR="271B07C9" w:rsidRPr="797FBB80">
        <w:rPr>
          <w:i/>
          <w:iCs/>
          <w:color w:val="000000" w:themeColor="text1"/>
        </w:rPr>
        <w:t>supra</w:t>
      </w:r>
      <w:r w:rsidR="271B07C9">
        <w:rPr>
          <w:color w:val="000000" w:themeColor="text1"/>
        </w:rPr>
        <w:t>, 50</w:t>
      </w:r>
      <w:r w:rsidR="00AF4E8E">
        <w:rPr>
          <w:color w:val="000000" w:themeColor="text1"/>
        </w:rPr>
        <w:t> </w:t>
      </w:r>
      <w:r w:rsidR="271B07C9">
        <w:rPr>
          <w:color w:val="000000" w:themeColor="text1"/>
        </w:rPr>
        <w:t>Cal.4</w:t>
      </w:r>
      <w:r w:rsidR="271B07C9" w:rsidRPr="002771E5">
        <w:rPr>
          <w:color w:val="000000" w:themeColor="text1"/>
        </w:rPr>
        <w:t>th</w:t>
      </w:r>
      <w:r w:rsidR="271B07C9">
        <w:rPr>
          <w:color w:val="000000" w:themeColor="text1"/>
        </w:rPr>
        <w:t xml:space="preserve"> at p. 1156</w:t>
      </w:r>
      <w:r w:rsidR="001B06C3">
        <w:rPr>
          <w:color w:val="000000" w:themeColor="text1"/>
        </w:rPr>
        <w:t>.</w:t>
      </w:r>
      <w:r w:rsidR="271B07C9">
        <w:rPr>
          <w:color w:val="000000" w:themeColor="text1"/>
        </w:rPr>
        <w:t>)</w:t>
      </w:r>
      <w:r w:rsidRPr="797FBB80">
        <w:rPr>
          <w:color w:val="000000" w:themeColor="text1"/>
        </w:rPr>
        <w:t xml:space="preserve"> </w:t>
      </w:r>
      <w:r w:rsidR="1D8F2347">
        <w:rPr>
          <w:color w:val="000000" w:themeColor="text1"/>
        </w:rPr>
        <w:t xml:space="preserve">Rather, the inquiry </w:t>
      </w:r>
      <w:r w:rsidR="220A08D1">
        <w:rPr>
          <w:color w:val="000000" w:themeColor="text1"/>
        </w:rPr>
        <w:t xml:space="preserve">was whether the trial court, in continuing defendants’ trials beyond their statutory last dates, abused its discretion, an analysis which </w:t>
      </w:r>
      <w:r w:rsidR="1D8F2347">
        <w:rPr>
          <w:color w:val="000000" w:themeColor="text1"/>
        </w:rPr>
        <w:t xml:space="preserve">turned on </w:t>
      </w:r>
      <w:r w:rsidR="750282F5">
        <w:rPr>
          <w:color w:val="000000" w:themeColor="text1"/>
        </w:rPr>
        <w:t xml:space="preserve">a </w:t>
      </w:r>
      <w:r w:rsidR="29B1AD4C">
        <w:rPr>
          <w:color w:val="000000" w:themeColor="text1"/>
        </w:rPr>
        <w:t xml:space="preserve">consideration </w:t>
      </w:r>
      <w:r w:rsidR="750282F5">
        <w:rPr>
          <w:color w:val="000000" w:themeColor="text1"/>
        </w:rPr>
        <w:t xml:space="preserve">of all relevant </w:t>
      </w:r>
      <w:r w:rsidR="368945B3">
        <w:rPr>
          <w:color w:val="000000" w:themeColor="text1"/>
        </w:rPr>
        <w:t>circumstances</w:t>
      </w:r>
      <w:r w:rsidR="00A54025">
        <w:rPr>
          <w:color w:val="000000" w:themeColor="text1"/>
        </w:rPr>
        <w:t xml:space="preserve"> </w:t>
      </w:r>
      <w:r w:rsidR="00A54025" w:rsidRPr="00823D39">
        <w:rPr>
          <w:i/>
          <w:color w:val="000000" w:themeColor="text1"/>
        </w:rPr>
        <w:t>in the specific cases at issue</w:t>
      </w:r>
      <w:r w:rsidR="368945B3">
        <w:rPr>
          <w:color w:val="000000" w:themeColor="text1"/>
        </w:rPr>
        <w:t xml:space="preserve">, </w:t>
      </w:r>
      <w:r w:rsidR="750282F5">
        <w:rPr>
          <w:color w:val="000000" w:themeColor="text1"/>
        </w:rPr>
        <w:t xml:space="preserve">including not only the nature and strength of the reason </w:t>
      </w:r>
      <w:r w:rsidR="583EADCC">
        <w:rPr>
          <w:color w:val="000000" w:themeColor="text1"/>
        </w:rPr>
        <w:t>for</w:t>
      </w:r>
      <w:r w:rsidR="750282F5">
        <w:rPr>
          <w:color w:val="000000" w:themeColor="text1"/>
        </w:rPr>
        <w:t xml:space="preserve"> </w:t>
      </w:r>
      <w:r w:rsidR="00A110AB">
        <w:rPr>
          <w:color w:val="000000" w:themeColor="text1"/>
        </w:rPr>
        <w:t xml:space="preserve">the </w:t>
      </w:r>
      <w:r w:rsidR="750282F5">
        <w:rPr>
          <w:color w:val="000000" w:themeColor="text1"/>
        </w:rPr>
        <w:t xml:space="preserve">delay, but also </w:t>
      </w:r>
      <w:r w:rsidR="31821837">
        <w:rPr>
          <w:color w:val="000000" w:themeColor="text1"/>
        </w:rPr>
        <w:t xml:space="preserve">the </w:t>
      </w:r>
      <w:r w:rsidR="00345067">
        <w:rPr>
          <w:color w:val="000000" w:themeColor="text1"/>
        </w:rPr>
        <w:t>extent</w:t>
      </w:r>
      <w:r w:rsidR="31821837">
        <w:rPr>
          <w:color w:val="000000" w:themeColor="text1"/>
        </w:rPr>
        <w:t xml:space="preserve"> of </w:t>
      </w:r>
      <w:r w:rsidR="00DD24A8">
        <w:rPr>
          <w:color w:val="000000" w:themeColor="text1"/>
        </w:rPr>
        <w:t xml:space="preserve">the </w:t>
      </w:r>
      <w:r w:rsidR="31821837">
        <w:rPr>
          <w:color w:val="000000" w:themeColor="text1"/>
        </w:rPr>
        <w:t xml:space="preserve">delay beyond </w:t>
      </w:r>
      <w:r w:rsidR="47EB14E5">
        <w:rPr>
          <w:color w:val="000000" w:themeColor="text1"/>
        </w:rPr>
        <w:t xml:space="preserve">each defendant’s </w:t>
      </w:r>
      <w:r w:rsidR="31821837">
        <w:rPr>
          <w:color w:val="000000" w:themeColor="text1"/>
        </w:rPr>
        <w:t>st</w:t>
      </w:r>
      <w:r w:rsidR="701F2823">
        <w:rPr>
          <w:color w:val="000000" w:themeColor="text1"/>
        </w:rPr>
        <w:t xml:space="preserve">atutory last date, and </w:t>
      </w:r>
      <w:r w:rsidR="00D03994">
        <w:rPr>
          <w:color w:val="000000" w:themeColor="text1"/>
        </w:rPr>
        <w:t>the</w:t>
      </w:r>
      <w:r w:rsidR="72873853">
        <w:rPr>
          <w:color w:val="000000" w:themeColor="text1"/>
        </w:rPr>
        <w:t xml:space="preserve"> </w:t>
      </w:r>
      <w:r w:rsidR="701F2823">
        <w:rPr>
          <w:color w:val="000000" w:themeColor="text1"/>
        </w:rPr>
        <w:t>prejudic</w:t>
      </w:r>
      <w:r w:rsidR="559FC698">
        <w:rPr>
          <w:color w:val="000000" w:themeColor="text1"/>
        </w:rPr>
        <w:t xml:space="preserve">e a party would </w:t>
      </w:r>
      <w:r w:rsidR="00774A47">
        <w:rPr>
          <w:color w:val="000000" w:themeColor="text1"/>
        </w:rPr>
        <w:t xml:space="preserve">likely </w:t>
      </w:r>
      <w:r w:rsidR="559FC698">
        <w:rPr>
          <w:color w:val="000000" w:themeColor="text1"/>
        </w:rPr>
        <w:t xml:space="preserve">suffer by virtue of </w:t>
      </w:r>
      <w:r w:rsidR="00A110AB">
        <w:rPr>
          <w:color w:val="000000" w:themeColor="text1"/>
        </w:rPr>
        <w:t>the delay</w:t>
      </w:r>
      <w:r w:rsidR="49174035">
        <w:rPr>
          <w:color w:val="000000" w:themeColor="text1"/>
        </w:rPr>
        <w:t>.</w:t>
      </w:r>
      <w:r w:rsidR="7A58CB93">
        <w:rPr>
          <w:color w:val="000000" w:themeColor="text1"/>
        </w:rPr>
        <w:t xml:space="preserve"> </w:t>
      </w:r>
      <w:r w:rsidR="271B07C9">
        <w:rPr>
          <w:color w:val="000000" w:themeColor="text1"/>
        </w:rPr>
        <w:t>(</w:t>
      </w:r>
      <w:r w:rsidR="271B07C9" w:rsidRPr="797FBB80">
        <w:rPr>
          <w:i/>
          <w:iCs/>
          <w:color w:val="000000" w:themeColor="text1"/>
        </w:rPr>
        <w:t>Hernandez-Valenzuela</w:t>
      </w:r>
      <w:r w:rsidR="271B07C9">
        <w:rPr>
          <w:color w:val="000000" w:themeColor="text1"/>
        </w:rPr>
        <w:t>, at p. 11</w:t>
      </w:r>
      <w:r w:rsidR="02A12655">
        <w:rPr>
          <w:color w:val="000000" w:themeColor="text1"/>
        </w:rPr>
        <w:t>24</w:t>
      </w:r>
      <w:r w:rsidR="002F1008">
        <w:rPr>
          <w:color w:val="000000" w:themeColor="text1"/>
        </w:rPr>
        <w:t>; s</w:t>
      </w:r>
      <w:r w:rsidR="271B07C9">
        <w:rPr>
          <w:color w:val="000000" w:themeColor="text1"/>
        </w:rPr>
        <w:t>ee</w:t>
      </w:r>
      <w:r w:rsidR="3A022EEF">
        <w:rPr>
          <w:color w:val="000000" w:themeColor="text1"/>
        </w:rPr>
        <w:t xml:space="preserve"> also</w:t>
      </w:r>
      <w:r w:rsidR="271B07C9">
        <w:rPr>
          <w:color w:val="000000" w:themeColor="text1"/>
        </w:rPr>
        <w:t xml:space="preserve"> </w:t>
      </w:r>
      <w:r w:rsidR="271B07C9" w:rsidRPr="797FBB80">
        <w:rPr>
          <w:i/>
          <w:iCs/>
          <w:color w:val="000000" w:themeColor="text1"/>
        </w:rPr>
        <w:t>Engram</w:t>
      </w:r>
      <w:r w:rsidR="271B07C9">
        <w:rPr>
          <w:color w:val="000000" w:themeColor="text1"/>
        </w:rPr>
        <w:t xml:space="preserve">, </w:t>
      </w:r>
      <w:r w:rsidR="271B07C9" w:rsidRPr="797FBB80">
        <w:rPr>
          <w:i/>
          <w:iCs/>
          <w:color w:val="000000" w:themeColor="text1"/>
        </w:rPr>
        <w:t>supra</w:t>
      </w:r>
      <w:r w:rsidR="271B07C9">
        <w:rPr>
          <w:color w:val="000000" w:themeColor="text1"/>
        </w:rPr>
        <w:t>, at p.</w:t>
      </w:r>
      <w:r w:rsidR="002448C7">
        <w:rPr>
          <w:color w:val="000000" w:themeColor="text1"/>
        </w:rPr>
        <w:t> </w:t>
      </w:r>
      <w:r w:rsidR="271B07C9">
        <w:rPr>
          <w:color w:val="000000" w:themeColor="text1"/>
        </w:rPr>
        <w:t>1160 [</w:t>
      </w:r>
      <w:r w:rsidR="79421581">
        <w:rPr>
          <w:color w:val="000000" w:themeColor="text1"/>
        </w:rPr>
        <w:t xml:space="preserve">observing that these two questions are </w:t>
      </w:r>
      <w:r w:rsidR="7A58CB93">
        <w:rPr>
          <w:color w:val="000000" w:themeColor="text1"/>
        </w:rPr>
        <w:t>“</w:t>
      </w:r>
      <w:r w:rsidR="271B07C9" w:rsidRPr="002E35AC">
        <w:rPr>
          <w:color w:val="000000"/>
        </w:rPr>
        <w:t>separate and distinct</w:t>
      </w:r>
      <w:r w:rsidR="271B07C9">
        <w:rPr>
          <w:color w:val="000000" w:themeColor="text1"/>
        </w:rPr>
        <w:t>”].)</w:t>
      </w:r>
      <w:r w:rsidR="7A58CB93">
        <w:rPr>
          <w:color w:val="000000" w:themeColor="text1"/>
        </w:rPr>
        <w:t xml:space="preserve"> </w:t>
      </w:r>
    </w:p>
    <w:p w14:paraId="3C4173EF" w14:textId="7E22C873" w:rsidR="00996BF4" w:rsidRDefault="001B6997" w:rsidP="797FBB80">
      <w:pPr>
        <w:autoSpaceDE w:val="0"/>
        <w:autoSpaceDN w:val="0"/>
        <w:adjustRightInd w:val="0"/>
        <w:spacing w:line="360" w:lineRule="auto"/>
        <w:rPr>
          <w:color w:val="000000" w:themeColor="text1"/>
        </w:rPr>
      </w:pPr>
      <w:r>
        <w:rPr>
          <w:color w:val="000000" w:themeColor="text1"/>
        </w:rPr>
        <w:tab/>
      </w:r>
      <w:r w:rsidR="543C5828">
        <w:rPr>
          <w:color w:val="000000" w:themeColor="text1"/>
        </w:rPr>
        <w:t xml:space="preserve">Having considered the evidence, </w:t>
      </w:r>
      <w:r w:rsidR="5523EF05">
        <w:rPr>
          <w:color w:val="000000" w:themeColor="text1"/>
        </w:rPr>
        <w:t>a divided panel held</w:t>
      </w:r>
      <w:r w:rsidR="7A58CB93">
        <w:rPr>
          <w:color w:val="000000" w:themeColor="text1"/>
        </w:rPr>
        <w:t xml:space="preserve"> </w:t>
      </w:r>
      <w:r w:rsidR="5381C201">
        <w:rPr>
          <w:color w:val="000000" w:themeColor="text1"/>
        </w:rPr>
        <w:t xml:space="preserve">that although </w:t>
      </w:r>
      <w:r w:rsidR="5381C201" w:rsidRPr="797FBB80">
        <w:rPr>
          <w:color w:val="000000" w:themeColor="text1"/>
        </w:rPr>
        <w:t xml:space="preserve">defendant court’s failure to utilize courtrooms was “startling and troubling,” </w:t>
      </w:r>
      <w:r w:rsidR="70598C6E" w:rsidRPr="797FBB80">
        <w:rPr>
          <w:color w:val="000000" w:themeColor="text1"/>
        </w:rPr>
        <w:t>it was not unreasonable that</w:t>
      </w:r>
      <w:r w:rsidR="002D50C4">
        <w:rPr>
          <w:color w:val="000000" w:themeColor="text1"/>
        </w:rPr>
        <w:t>,</w:t>
      </w:r>
      <w:r w:rsidR="70598C6E" w:rsidRPr="797FBB80">
        <w:rPr>
          <w:color w:val="000000" w:themeColor="text1"/>
        </w:rPr>
        <w:t xml:space="preserve"> by the </w:t>
      </w:r>
      <w:r w:rsidR="002D50C4">
        <w:rPr>
          <w:color w:val="000000" w:themeColor="text1"/>
        </w:rPr>
        <w:t>f</w:t>
      </w:r>
      <w:r w:rsidR="70598C6E" w:rsidRPr="797FBB80">
        <w:rPr>
          <w:color w:val="000000" w:themeColor="text1"/>
        </w:rPr>
        <w:t xml:space="preserve">all of 2021, the backlog </w:t>
      </w:r>
      <w:r w:rsidR="003D53DD">
        <w:rPr>
          <w:color w:val="000000" w:themeColor="text1"/>
        </w:rPr>
        <w:t>persist</w:t>
      </w:r>
      <w:r w:rsidR="70598C6E" w:rsidRPr="797FBB80">
        <w:rPr>
          <w:color w:val="000000" w:themeColor="text1"/>
        </w:rPr>
        <w:t>ed</w:t>
      </w:r>
      <w:r w:rsidR="002819EC">
        <w:rPr>
          <w:color w:val="000000" w:themeColor="text1"/>
        </w:rPr>
        <w:t xml:space="preserve"> despite defendants’ efforts</w:t>
      </w:r>
      <w:r w:rsidR="002D50C4">
        <w:rPr>
          <w:color w:val="000000" w:themeColor="text1"/>
        </w:rPr>
        <w:t>;</w:t>
      </w:r>
      <w:r w:rsidR="70598C6E" w:rsidRPr="797FBB80">
        <w:rPr>
          <w:color w:val="000000" w:themeColor="text1"/>
        </w:rPr>
        <w:t xml:space="preserve"> </w:t>
      </w:r>
      <w:r w:rsidR="37251E5C" w:rsidRPr="797FBB80">
        <w:rPr>
          <w:color w:val="000000" w:themeColor="text1"/>
        </w:rPr>
        <w:t xml:space="preserve">and that the length of the delay of each defendant’s trial was short, relative to the delays in </w:t>
      </w:r>
      <w:r w:rsidR="37251E5C" w:rsidRPr="002D50C4">
        <w:rPr>
          <w:i/>
          <w:color w:val="000000" w:themeColor="text1"/>
        </w:rPr>
        <w:t>Engram</w:t>
      </w:r>
      <w:r w:rsidR="00F473A3">
        <w:rPr>
          <w:color w:val="000000" w:themeColor="text1"/>
        </w:rPr>
        <w:t>. T</w:t>
      </w:r>
      <w:r w:rsidR="37251E5C" w:rsidRPr="797FBB80">
        <w:rPr>
          <w:color w:val="000000" w:themeColor="text1"/>
        </w:rPr>
        <w:t>hus</w:t>
      </w:r>
      <w:r w:rsidR="00F64F9F">
        <w:rPr>
          <w:color w:val="000000" w:themeColor="text1"/>
        </w:rPr>
        <w:t>,</w:t>
      </w:r>
      <w:r w:rsidR="70598C6E" w:rsidRPr="797FBB80">
        <w:rPr>
          <w:color w:val="000000" w:themeColor="text1"/>
        </w:rPr>
        <w:t xml:space="preserve"> </w:t>
      </w:r>
      <w:r w:rsidR="7A58CB93">
        <w:rPr>
          <w:color w:val="000000" w:themeColor="text1"/>
        </w:rPr>
        <w:t>the</w:t>
      </w:r>
      <w:r w:rsidR="57BC54C5">
        <w:rPr>
          <w:color w:val="000000" w:themeColor="text1"/>
        </w:rPr>
        <w:t>re was no</w:t>
      </w:r>
      <w:r w:rsidR="7A58CB93">
        <w:rPr>
          <w:color w:val="000000" w:themeColor="text1"/>
        </w:rPr>
        <w:t xml:space="preserve"> abuse</w:t>
      </w:r>
      <w:r w:rsidR="57BC54C5">
        <w:rPr>
          <w:color w:val="000000" w:themeColor="text1"/>
        </w:rPr>
        <w:t xml:space="preserve"> of</w:t>
      </w:r>
      <w:r w:rsidR="7A58CB93">
        <w:rPr>
          <w:color w:val="000000" w:themeColor="text1"/>
        </w:rPr>
        <w:t xml:space="preserve"> discretion in finding good cause </w:t>
      </w:r>
      <w:r w:rsidR="57BC54C5">
        <w:rPr>
          <w:color w:val="000000" w:themeColor="text1"/>
        </w:rPr>
        <w:t xml:space="preserve">to </w:t>
      </w:r>
      <w:r w:rsidR="7A58CB93">
        <w:rPr>
          <w:color w:val="000000" w:themeColor="text1"/>
        </w:rPr>
        <w:t>continu</w:t>
      </w:r>
      <w:r w:rsidR="57BC54C5">
        <w:rPr>
          <w:color w:val="000000" w:themeColor="text1"/>
        </w:rPr>
        <w:t>e</w:t>
      </w:r>
      <w:r w:rsidR="7EB867E6">
        <w:rPr>
          <w:color w:val="000000" w:themeColor="text1"/>
        </w:rPr>
        <w:t xml:space="preserve"> </w:t>
      </w:r>
      <w:r w:rsidR="7EBC758B">
        <w:rPr>
          <w:color w:val="000000" w:themeColor="text1"/>
        </w:rPr>
        <w:t>petitioners’</w:t>
      </w:r>
      <w:r w:rsidR="7EB867E6">
        <w:rPr>
          <w:color w:val="000000" w:themeColor="text1"/>
        </w:rPr>
        <w:t xml:space="preserve"> trials</w:t>
      </w:r>
      <w:r w:rsidR="084E7E0A">
        <w:rPr>
          <w:color w:val="000000" w:themeColor="text1"/>
        </w:rPr>
        <w:t>.</w:t>
      </w:r>
      <w:r w:rsidR="7A58CB93">
        <w:rPr>
          <w:color w:val="000000" w:themeColor="text1"/>
        </w:rPr>
        <w:t xml:space="preserve"> </w:t>
      </w:r>
      <w:r w:rsidR="6C6210ED">
        <w:rPr>
          <w:color w:val="000000" w:themeColor="text1"/>
        </w:rPr>
        <w:t>(</w:t>
      </w:r>
      <w:r w:rsidR="53CA4BD0" w:rsidRPr="797FBB80">
        <w:rPr>
          <w:i/>
          <w:iCs/>
          <w:color w:val="000000" w:themeColor="text1"/>
        </w:rPr>
        <w:t>Hernandez-Valenzuela</w:t>
      </w:r>
      <w:r w:rsidR="53CA4BD0" w:rsidRPr="797FBB80">
        <w:rPr>
          <w:color w:val="000000" w:themeColor="text1"/>
        </w:rPr>
        <w:t xml:space="preserve">, </w:t>
      </w:r>
      <w:r w:rsidR="53CA4BD0" w:rsidRPr="797FBB80">
        <w:rPr>
          <w:i/>
          <w:iCs/>
          <w:color w:val="000000" w:themeColor="text1"/>
        </w:rPr>
        <w:t>supra</w:t>
      </w:r>
      <w:r w:rsidR="53CA4BD0" w:rsidRPr="797FBB80">
        <w:rPr>
          <w:color w:val="000000" w:themeColor="text1"/>
        </w:rPr>
        <w:t>, 75 Cal.App.5th at p</w:t>
      </w:r>
      <w:r w:rsidR="003A6A98">
        <w:rPr>
          <w:color w:val="000000" w:themeColor="text1"/>
        </w:rPr>
        <w:t>p</w:t>
      </w:r>
      <w:r w:rsidR="53CA4BD0" w:rsidRPr="797FBB80">
        <w:rPr>
          <w:color w:val="000000" w:themeColor="text1"/>
        </w:rPr>
        <w:t>.</w:t>
      </w:r>
      <w:r w:rsidR="00BB2573">
        <w:rPr>
          <w:color w:val="000000" w:themeColor="text1"/>
        </w:rPr>
        <w:t> </w:t>
      </w:r>
      <w:r w:rsidR="6C6210ED">
        <w:rPr>
          <w:color w:val="000000" w:themeColor="text1"/>
        </w:rPr>
        <w:t>11</w:t>
      </w:r>
      <w:r w:rsidR="084E7E0A">
        <w:rPr>
          <w:color w:val="000000" w:themeColor="text1"/>
        </w:rPr>
        <w:t>27</w:t>
      </w:r>
      <w:r w:rsidR="6FC19D5B">
        <w:rPr>
          <w:color w:val="000000" w:themeColor="text1"/>
        </w:rPr>
        <w:t>, 1131</w:t>
      </w:r>
      <w:r w:rsidR="00613707">
        <w:rPr>
          <w:color w:val="000000" w:themeColor="text1"/>
        </w:rPr>
        <w:t>–</w:t>
      </w:r>
      <w:r w:rsidR="00D709B1">
        <w:rPr>
          <w:color w:val="000000" w:themeColor="text1"/>
        </w:rPr>
        <w:t>1132</w:t>
      </w:r>
      <w:r w:rsidR="45D09DAA">
        <w:rPr>
          <w:color w:val="000000" w:themeColor="text1"/>
        </w:rPr>
        <w:t>.</w:t>
      </w:r>
      <w:r w:rsidR="6C6210ED">
        <w:rPr>
          <w:color w:val="000000" w:themeColor="text1"/>
        </w:rPr>
        <w:t>)</w:t>
      </w:r>
      <w:r>
        <w:rPr>
          <w:color w:val="000000" w:themeColor="text1"/>
        </w:rPr>
        <w:t xml:space="preserve"> </w:t>
      </w:r>
    </w:p>
    <w:p w14:paraId="026BEE75" w14:textId="1555CE9C" w:rsidR="00781541" w:rsidRDefault="001B6997" w:rsidP="797FBB80">
      <w:pPr>
        <w:autoSpaceDE w:val="0"/>
        <w:autoSpaceDN w:val="0"/>
        <w:adjustRightInd w:val="0"/>
        <w:spacing w:line="360" w:lineRule="auto"/>
        <w:rPr>
          <w:i/>
          <w:iCs/>
          <w:color w:val="000000" w:themeColor="text1"/>
        </w:rPr>
      </w:pPr>
      <w:r>
        <w:rPr>
          <w:color w:val="000000" w:themeColor="text1"/>
        </w:rPr>
        <w:tab/>
      </w:r>
      <w:r w:rsidR="6C6210ED">
        <w:rPr>
          <w:color w:val="000000" w:themeColor="text1"/>
        </w:rPr>
        <w:t xml:space="preserve">A </w:t>
      </w:r>
      <w:r w:rsidR="0D9EA35F">
        <w:rPr>
          <w:color w:val="000000" w:themeColor="text1"/>
        </w:rPr>
        <w:t>vigorous</w:t>
      </w:r>
      <w:r w:rsidR="6C6210ED">
        <w:rPr>
          <w:color w:val="000000" w:themeColor="text1"/>
        </w:rPr>
        <w:t xml:space="preserve"> dissent conclud</w:t>
      </w:r>
      <w:r w:rsidR="0F27A886">
        <w:rPr>
          <w:color w:val="000000" w:themeColor="text1"/>
        </w:rPr>
        <w:t>ed</w:t>
      </w:r>
      <w:r w:rsidR="6C6210ED">
        <w:rPr>
          <w:color w:val="000000" w:themeColor="text1"/>
        </w:rPr>
        <w:t xml:space="preserve"> that the good</w:t>
      </w:r>
      <w:r w:rsidR="3B27A110">
        <w:rPr>
          <w:color w:val="000000" w:themeColor="text1"/>
        </w:rPr>
        <w:t>-</w:t>
      </w:r>
      <w:r w:rsidR="6C6210ED">
        <w:rPr>
          <w:color w:val="000000" w:themeColor="text1"/>
        </w:rPr>
        <w:t xml:space="preserve">cause findings </w:t>
      </w:r>
      <w:r w:rsidR="589E62D2" w:rsidRPr="002D04D0">
        <w:rPr>
          <w:i/>
          <w:color w:val="000000" w:themeColor="text1"/>
        </w:rPr>
        <w:t>did</w:t>
      </w:r>
      <w:r w:rsidR="589E62D2">
        <w:rPr>
          <w:color w:val="000000" w:themeColor="text1"/>
        </w:rPr>
        <w:t xml:space="preserve"> constitute </w:t>
      </w:r>
      <w:r w:rsidR="4EDC59FC">
        <w:rPr>
          <w:color w:val="000000" w:themeColor="text1"/>
        </w:rPr>
        <w:t>an</w:t>
      </w:r>
      <w:r w:rsidR="589E62D2">
        <w:rPr>
          <w:color w:val="000000" w:themeColor="text1"/>
        </w:rPr>
        <w:t xml:space="preserve"> </w:t>
      </w:r>
      <w:r w:rsidR="6C6210ED">
        <w:rPr>
          <w:color w:val="000000" w:themeColor="text1"/>
        </w:rPr>
        <w:t>abuse of discretion</w:t>
      </w:r>
      <w:r w:rsidR="3B27A110">
        <w:rPr>
          <w:color w:val="000000" w:themeColor="text1"/>
        </w:rPr>
        <w:t>. (</w:t>
      </w:r>
      <w:r w:rsidR="00E37CFB" w:rsidRPr="797FBB80">
        <w:rPr>
          <w:i/>
          <w:iCs/>
          <w:color w:val="000000" w:themeColor="text1"/>
        </w:rPr>
        <w:t>Hernandez-Valenzuela</w:t>
      </w:r>
      <w:r w:rsidR="00E37CFB" w:rsidRPr="797FBB80">
        <w:rPr>
          <w:color w:val="000000" w:themeColor="text1"/>
        </w:rPr>
        <w:t xml:space="preserve">, </w:t>
      </w:r>
      <w:r w:rsidR="00E37CFB" w:rsidRPr="797FBB80">
        <w:rPr>
          <w:i/>
          <w:iCs/>
          <w:color w:val="000000" w:themeColor="text1"/>
        </w:rPr>
        <w:t>supra</w:t>
      </w:r>
      <w:r w:rsidR="00E37CFB" w:rsidRPr="797FBB80">
        <w:rPr>
          <w:color w:val="000000" w:themeColor="text1"/>
        </w:rPr>
        <w:t>, 75 Cal.App.5th</w:t>
      </w:r>
      <w:r w:rsidR="3B27A110">
        <w:rPr>
          <w:color w:val="000000" w:themeColor="text1"/>
        </w:rPr>
        <w:t xml:space="preserve"> at p.</w:t>
      </w:r>
      <w:r w:rsidR="02A12655">
        <w:rPr>
          <w:color w:val="000000" w:themeColor="text1"/>
        </w:rPr>
        <w:t> 1136</w:t>
      </w:r>
      <w:r w:rsidR="0042116D">
        <w:rPr>
          <w:color w:val="000000" w:themeColor="text1"/>
        </w:rPr>
        <w:t xml:space="preserve"> </w:t>
      </w:r>
      <w:r w:rsidR="02A12655">
        <w:rPr>
          <w:color w:val="000000" w:themeColor="text1"/>
        </w:rPr>
        <w:t xml:space="preserve">(dis. </w:t>
      </w:r>
      <w:proofErr w:type="spellStart"/>
      <w:r w:rsidR="02A12655">
        <w:rPr>
          <w:color w:val="000000" w:themeColor="text1"/>
        </w:rPr>
        <w:t>opn</w:t>
      </w:r>
      <w:proofErr w:type="spellEnd"/>
      <w:r w:rsidR="02A12655">
        <w:rPr>
          <w:color w:val="000000" w:themeColor="text1"/>
        </w:rPr>
        <w:t xml:space="preserve">. of </w:t>
      </w:r>
      <w:proofErr w:type="spellStart"/>
      <w:r w:rsidR="02A12655">
        <w:rPr>
          <w:color w:val="000000" w:themeColor="text1"/>
        </w:rPr>
        <w:t>Tucher</w:t>
      </w:r>
      <w:proofErr w:type="spellEnd"/>
      <w:r w:rsidR="02A12655">
        <w:rPr>
          <w:color w:val="000000" w:themeColor="text1"/>
        </w:rPr>
        <w:t>, P.</w:t>
      </w:r>
      <w:r w:rsidR="00AF1EEC">
        <w:rPr>
          <w:color w:val="000000" w:themeColor="text1"/>
        </w:rPr>
        <w:t> </w:t>
      </w:r>
      <w:r w:rsidR="02A12655">
        <w:rPr>
          <w:color w:val="000000" w:themeColor="text1"/>
        </w:rPr>
        <w:t>J.)</w:t>
      </w:r>
      <w:r w:rsidR="002A0AF9">
        <w:rPr>
          <w:color w:val="000000" w:themeColor="text1"/>
        </w:rPr>
        <w:t>.</w:t>
      </w:r>
      <w:r w:rsidR="3B27A110">
        <w:rPr>
          <w:color w:val="000000" w:themeColor="text1"/>
        </w:rPr>
        <w:t>)</w:t>
      </w:r>
      <w:r w:rsidR="6C6210ED">
        <w:rPr>
          <w:color w:val="000000" w:themeColor="text1"/>
        </w:rPr>
        <w:t xml:space="preserve"> </w:t>
      </w:r>
      <w:r w:rsidR="3B27A110">
        <w:rPr>
          <w:color w:val="000000" w:themeColor="text1"/>
        </w:rPr>
        <w:t>T</w:t>
      </w:r>
      <w:r w:rsidR="6C6210ED">
        <w:rPr>
          <w:color w:val="000000" w:themeColor="text1"/>
        </w:rPr>
        <w:t xml:space="preserve">he People had not borne their burden of proving </w:t>
      </w:r>
      <w:r w:rsidR="003D53DD">
        <w:rPr>
          <w:color w:val="000000" w:themeColor="text1"/>
        </w:rPr>
        <w:t>good cause to delay trial</w:t>
      </w:r>
      <w:r w:rsidR="00B27C67">
        <w:rPr>
          <w:color w:val="000000" w:themeColor="text1"/>
        </w:rPr>
        <w:t xml:space="preserve"> beyond the statutory last day</w:t>
      </w:r>
      <w:r w:rsidR="006D0C5B">
        <w:rPr>
          <w:color w:val="000000" w:themeColor="text1"/>
        </w:rPr>
        <w:t>. (</w:t>
      </w:r>
      <w:r w:rsidR="006D0C5B" w:rsidRPr="797FBB80">
        <w:rPr>
          <w:i/>
          <w:iCs/>
          <w:color w:val="000000" w:themeColor="text1"/>
        </w:rPr>
        <w:t>Id.</w:t>
      </w:r>
      <w:r w:rsidR="006D0C5B">
        <w:rPr>
          <w:color w:val="000000" w:themeColor="text1"/>
        </w:rPr>
        <w:t xml:space="preserve"> at p.</w:t>
      </w:r>
      <w:r w:rsidR="00BC3554">
        <w:rPr>
          <w:color w:val="000000" w:themeColor="text1"/>
        </w:rPr>
        <w:t> </w:t>
      </w:r>
      <w:r w:rsidR="006D0C5B">
        <w:rPr>
          <w:color w:val="000000" w:themeColor="text1"/>
        </w:rPr>
        <w:t>1142.) W</w:t>
      </w:r>
      <w:r w:rsidR="02A12655">
        <w:rPr>
          <w:color w:val="000000" w:themeColor="text1"/>
        </w:rPr>
        <w:t>hile the existence of a backlog</w:t>
      </w:r>
      <w:r w:rsidRPr="797FBB80">
        <w:rPr>
          <w:color w:val="000000" w:themeColor="text1"/>
        </w:rPr>
        <w:t xml:space="preserve"> when trials resumed</w:t>
      </w:r>
      <w:r w:rsidR="02A12655">
        <w:rPr>
          <w:color w:val="000000" w:themeColor="text1"/>
        </w:rPr>
        <w:t xml:space="preserve"> in June 2021 had been inevitable,</w:t>
      </w:r>
      <w:r w:rsidR="6C6210ED">
        <w:rPr>
          <w:color w:val="000000" w:themeColor="text1"/>
        </w:rPr>
        <w:t xml:space="preserve"> </w:t>
      </w:r>
      <w:r w:rsidR="3B27A110">
        <w:rPr>
          <w:color w:val="000000" w:themeColor="text1"/>
        </w:rPr>
        <w:t>the</w:t>
      </w:r>
      <w:r w:rsidR="006D0C5B">
        <w:rPr>
          <w:color w:val="000000" w:themeColor="text1"/>
        </w:rPr>
        <w:t xml:space="preserve"> court had not “</w:t>
      </w:r>
      <w:r w:rsidR="006D0C5B" w:rsidRPr="00633934">
        <w:rPr>
          <w:color w:val="000000" w:themeColor="text1"/>
        </w:rPr>
        <w:t>react</w:t>
      </w:r>
      <w:r w:rsidR="006D0C5B">
        <w:rPr>
          <w:color w:val="000000" w:themeColor="text1"/>
        </w:rPr>
        <w:t>[ed]</w:t>
      </w:r>
      <w:r w:rsidR="006D0C5B" w:rsidRPr="00633934">
        <w:rPr>
          <w:color w:val="000000" w:themeColor="text1"/>
        </w:rPr>
        <w:t xml:space="preserve"> with </w:t>
      </w:r>
      <w:r w:rsidR="006D0C5B" w:rsidRPr="00633934">
        <w:rPr>
          <w:color w:val="000000" w:themeColor="text1"/>
        </w:rPr>
        <w:lastRenderedPageBreak/>
        <w:t>urgency</w:t>
      </w:r>
      <w:r w:rsidR="006D0C5B">
        <w:rPr>
          <w:color w:val="000000" w:themeColor="text1"/>
        </w:rPr>
        <w:t xml:space="preserve">” </w:t>
      </w:r>
      <w:r w:rsidR="5278AA0E">
        <w:rPr>
          <w:color w:val="000000" w:themeColor="text1"/>
        </w:rPr>
        <w:t xml:space="preserve">or implemented </w:t>
      </w:r>
      <w:r w:rsidR="6961A148">
        <w:rPr>
          <w:color w:val="000000" w:themeColor="text1"/>
        </w:rPr>
        <w:t xml:space="preserve">obvious, </w:t>
      </w:r>
      <w:r w:rsidR="5278AA0E">
        <w:rPr>
          <w:color w:val="000000" w:themeColor="text1"/>
        </w:rPr>
        <w:t>common</w:t>
      </w:r>
      <w:r w:rsidR="00F236A1">
        <w:rPr>
          <w:color w:val="000000" w:themeColor="text1"/>
        </w:rPr>
        <w:t>-</w:t>
      </w:r>
      <w:r w:rsidR="5278AA0E">
        <w:rPr>
          <w:color w:val="000000" w:themeColor="text1"/>
        </w:rPr>
        <w:t xml:space="preserve">sense measures to address the backlog, instead </w:t>
      </w:r>
      <w:r w:rsidR="006D0C5B">
        <w:rPr>
          <w:color w:val="000000" w:themeColor="text1"/>
        </w:rPr>
        <w:t>“</w:t>
      </w:r>
      <w:r w:rsidR="006D0C5B" w:rsidRPr="00633934">
        <w:rPr>
          <w:color w:val="000000" w:themeColor="text1"/>
        </w:rPr>
        <w:t>allow</w:t>
      </w:r>
      <w:r w:rsidR="2FFE4088" w:rsidRPr="00633934">
        <w:rPr>
          <w:color w:val="000000" w:themeColor="text1"/>
        </w:rPr>
        <w:t>[</w:t>
      </w:r>
      <w:proofErr w:type="spellStart"/>
      <w:r w:rsidR="2FFE4088" w:rsidRPr="00633934">
        <w:rPr>
          <w:color w:val="000000" w:themeColor="text1"/>
        </w:rPr>
        <w:t>ing</w:t>
      </w:r>
      <w:proofErr w:type="spellEnd"/>
      <w:r w:rsidR="2FFE4088" w:rsidRPr="00633934">
        <w:rPr>
          <w:color w:val="000000" w:themeColor="text1"/>
        </w:rPr>
        <w:t>]</w:t>
      </w:r>
      <w:r w:rsidR="006D0C5B" w:rsidRPr="00633934">
        <w:rPr>
          <w:color w:val="000000" w:themeColor="text1"/>
        </w:rPr>
        <w:t xml:space="preserve"> the trial departments at the Hall of Justice to limp along at half strength</w:t>
      </w:r>
      <w:r w:rsidR="006D0C5B">
        <w:rPr>
          <w:color w:val="000000" w:themeColor="text1"/>
        </w:rPr>
        <w:t xml:space="preserve">,” </w:t>
      </w:r>
      <w:r w:rsidR="03D4C3CA">
        <w:rPr>
          <w:color w:val="000000" w:themeColor="text1"/>
        </w:rPr>
        <w:t xml:space="preserve">so </w:t>
      </w:r>
      <w:r w:rsidR="53CD81FB">
        <w:rPr>
          <w:color w:val="000000" w:themeColor="text1"/>
        </w:rPr>
        <w:t>“</w:t>
      </w:r>
      <w:r w:rsidR="006D0C5B">
        <w:rPr>
          <w:color w:val="000000" w:themeColor="text1"/>
        </w:rPr>
        <w:t>that the backlog of felony cases actually grew.”</w:t>
      </w:r>
      <w:r w:rsidR="006D0C5B" w:rsidRPr="00633934">
        <w:rPr>
          <w:color w:val="000000" w:themeColor="text1"/>
        </w:rPr>
        <w:t xml:space="preserve"> </w:t>
      </w:r>
      <w:r w:rsidR="006D0C5B">
        <w:rPr>
          <w:color w:val="000000" w:themeColor="text1"/>
        </w:rPr>
        <w:t>(</w:t>
      </w:r>
      <w:r w:rsidR="006D0C5B" w:rsidRPr="797FBB80">
        <w:rPr>
          <w:i/>
          <w:iCs/>
          <w:color w:val="000000" w:themeColor="text1"/>
        </w:rPr>
        <w:t>Id.</w:t>
      </w:r>
      <w:r w:rsidR="006D0C5B">
        <w:rPr>
          <w:color w:val="000000" w:themeColor="text1"/>
        </w:rPr>
        <w:t xml:space="preserve"> at p. 1138</w:t>
      </w:r>
      <w:r w:rsidR="444721DC">
        <w:rPr>
          <w:color w:val="000000" w:themeColor="text1"/>
        </w:rPr>
        <w:t>, 1141</w:t>
      </w:r>
      <w:r w:rsidR="00430879">
        <w:rPr>
          <w:color w:val="000000" w:themeColor="text1"/>
        </w:rPr>
        <w:t>–</w:t>
      </w:r>
      <w:r w:rsidR="444721DC">
        <w:rPr>
          <w:color w:val="000000" w:themeColor="text1"/>
        </w:rPr>
        <w:t>42.</w:t>
      </w:r>
      <w:r w:rsidR="006D0C5B">
        <w:rPr>
          <w:color w:val="000000" w:themeColor="text1"/>
        </w:rPr>
        <w:t xml:space="preserve">) </w:t>
      </w:r>
      <w:r w:rsidR="00DE5CBD">
        <w:rPr>
          <w:color w:val="000000" w:themeColor="text1"/>
        </w:rPr>
        <w:t>Further,</w:t>
      </w:r>
      <w:r w:rsidR="006009FF">
        <w:t xml:space="preserve"> </w:t>
      </w:r>
      <w:r w:rsidR="00AF0FCA">
        <w:t>the decision to delay petitioners’ trials plainly inflicted “significant” prejudice on petitioners, in part due to their prolonged pretrial incarceration under additional restrictions necessitated by the pandemic</w:t>
      </w:r>
      <w:r w:rsidR="006009FF">
        <w:t>.</w:t>
      </w:r>
      <w:r w:rsidR="00AF0FCA">
        <w:t xml:space="preserve"> (</w:t>
      </w:r>
      <w:r w:rsidR="006009FF">
        <w:rPr>
          <w:i/>
          <w:iCs/>
        </w:rPr>
        <w:t>Id.</w:t>
      </w:r>
      <w:r w:rsidR="00AF0FCA">
        <w:t xml:space="preserve"> at p.</w:t>
      </w:r>
      <w:r w:rsidR="00BD35F0">
        <w:t> </w:t>
      </w:r>
      <w:r w:rsidR="00AF0FCA">
        <w:t>1140</w:t>
      </w:r>
      <w:r w:rsidR="0027016A">
        <w:t xml:space="preserve"> &amp; fn.</w:t>
      </w:r>
      <w:r w:rsidR="00BD35F0">
        <w:t> </w:t>
      </w:r>
      <w:r w:rsidR="0027016A">
        <w:t>4</w:t>
      </w:r>
      <w:r w:rsidR="006009FF">
        <w:t>.</w:t>
      </w:r>
      <w:r w:rsidR="00AF0FCA">
        <w:t>)</w:t>
      </w:r>
      <w:r>
        <w:rPr>
          <w:rStyle w:val="FootnoteReference"/>
          <w:color w:val="000000" w:themeColor="text1"/>
        </w:rPr>
        <w:footnoteReference w:id="22"/>
      </w:r>
    </w:p>
    <w:p w14:paraId="6B17EBFC" w14:textId="0BBC8AC3" w:rsidR="00430EED" w:rsidRDefault="001B6997" w:rsidP="00826C87">
      <w:pPr>
        <w:autoSpaceDE w:val="0"/>
        <w:autoSpaceDN w:val="0"/>
        <w:adjustRightInd w:val="0"/>
        <w:spacing w:line="360" w:lineRule="auto"/>
        <w:rPr>
          <w:color w:val="000000" w:themeColor="text1"/>
        </w:rPr>
      </w:pPr>
      <w:r>
        <w:rPr>
          <w:i/>
          <w:iCs/>
          <w:color w:val="000000" w:themeColor="text1"/>
        </w:rPr>
        <w:tab/>
      </w:r>
      <w:r w:rsidR="00C531CA">
        <w:rPr>
          <w:color w:val="000000" w:themeColor="text1"/>
        </w:rPr>
        <w:t>R</w:t>
      </w:r>
      <w:r w:rsidR="00355712">
        <w:rPr>
          <w:color w:val="000000" w:themeColor="text1"/>
        </w:rPr>
        <w:t>ecently</w:t>
      </w:r>
      <w:r w:rsidRPr="797FBB80">
        <w:rPr>
          <w:color w:val="000000" w:themeColor="text1"/>
        </w:rPr>
        <w:t xml:space="preserve">, </w:t>
      </w:r>
      <w:r w:rsidR="19AB8279">
        <w:rPr>
          <w:color w:val="000000" w:themeColor="text1"/>
        </w:rPr>
        <w:t xml:space="preserve">Division One </w:t>
      </w:r>
      <w:r w:rsidR="57A77EA9">
        <w:rPr>
          <w:color w:val="000000" w:themeColor="text1"/>
        </w:rPr>
        <w:t>den</w:t>
      </w:r>
      <w:r w:rsidR="19AB8279">
        <w:rPr>
          <w:color w:val="000000" w:themeColor="text1"/>
        </w:rPr>
        <w:t>ied</w:t>
      </w:r>
      <w:r w:rsidR="57A77EA9">
        <w:rPr>
          <w:color w:val="000000" w:themeColor="text1"/>
        </w:rPr>
        <w:t xml:space="preserve"> two </w:t>
      </w:r>
      <w:r w:rsidR="1427430B">
        <w:rPr>
          <w:color w:val="000000" w:themeColor="text1"/>
        </w:rPr>
        <w:t xml:space="preserve">more </w:t>
      </w:r>
      <w:r w:rsidR="57A77EA9">
        <w:rPr>
          <w:color w:val="000000" w:themeColor="text1"/>
        </w:rPr>
        <w:t xml:space="preserve">mandamus petitions alleging that </w:t>
      </w:r>
      <w:r w:rsidR="00CD5E7F">
        <w:rPr>
          <w:color w:val="000000" w:themeColor="text1"/>
        </w:rPr>
        <w:t xml:space="preserve">judges </w:t>
      </w:r>
      <w:r w:rsidR="00D70A6A">
        <w:rPr>
          <w:color w:val="000000" w:themeColor="text1"/>
        </w:rPr>
        <w:t xml:space="preserve">of </w:t>
      </w:r>
      <w:r w:rsidR="57A77EA9">
        <w:rPr>
          <w:color w:val="000000" w:themeColor="text1"/>
        </w:rPr>
        <w:t xml:space="preserve">defendant court abused </w:t>
      </w:r>
      <w:r w:rsidR="00D70A6A">
        <w:rPr>
          <w:color w:val="000000" w:themeColor="text1"/>
        </w:rPr>
        <w:t>their</w:t>
      </w:r>
      <w:r w:rsidR="57A77EA9">
        <w:rPr>
          <w:color w:val="000000" w:themeColor="text1"/>
        </w:rPr>
        <w:t xml:space="preserve"> discretion in finding good cause</w:t>
      </w:r>
      <w:r w:rsidR="19AB8279">
        <w:rPr>
          <w:color w:val="000000" w:themeColor="text1"/>
        </w:rPr>
        <w:t xml:space="preserve"> </w:t>
      </w:r>
      <w:r w:rsidR="57A77EA9">
        <w:rPr>
          <w:color w:val="000000" w:themeColor="text1"/>
        </w:rPr>
        <w:t xml:space="preserve">to continue </w:t>
      </w:r>
      <w:r w:rsidR="1ADBCCE8">
        <w:rPr>
          <w:color w:val="000000" w:themeColor="text1"/>
        </w:rPr>
        <w:t>petitioners’</w:t>
      </w:r>
      <w:r w:rsidR="57A77EA9">
        <w:rPr>
          <w:color w:val="000000" w:themeColor="text1"/>
        </w:rPr>
        <w:t xml:space="preserve"> trials</w:t>
      </w:r>
      <w:r w:rsidR="00AD29E9">
        <w:rPr>
          <w:color w:val="000000" w:themeColor="text1"/>
        </w:rPr>
        <w:t xml:space="preserve"> beyond their statutory last day</w:t>
      </w:r>
      <w:r w:rsidR="002C77DA">
        <w:rPr>
          <w:color w:val="000000" w:themeColor="text1"/>
        </w:rPr>
        <w:t xml:space="preserve"> and declining to grant petitioner</w:t>
      </w:r>
      <w:r w:rsidR="0083322B">
        <w:rPr>
          <w:color w:val="000000" w:themeColor="text1"/>
        </w:rPr>
        <w:t>s</w:t>
      </w:r>
      <w:r w:rsidR="002C77DA">
        <w:rPr>
          <w:color w:val="000000" w:themeColor="text1"/>
        </w:rPr>
        <w:t>’ section 1382 motions to dismiss</w:t>
      </w:r>
      <w:r w:rsidR="57A77EA9">
        <w:rPr>
          <w:color w:val="000000" w:themeColor="text1"/>
        </w:rPr>
        <w:t>. (</w:t>
      </w:r>
      <w:r w:rsidR="1ADBCCE8" w:rsidRPr="797FBB80">
        <w:rPr>
          <w:i/>
          <w:iCs/>
          <w:color w:val="000000" w:themeColor="text1"/>
        </w:rPr>
        <w:t>Estrada v. Superior Court</w:t>
      </w:r>
      <w:r w:rsidR="00CA684A">
        <w:rPr>
          <w:color w:val="000000" w:themeColor="text1"/>
        </w:rPr>
        <w:t xml:space="preserve"> (2023)</w:t>
      </w:r>
      <w:r w:rsidR="1ADBCCE8">
        <w:rPr>
          <w:color w:val="000000" w:themeColor="text1"/>
        </w:rPr>
        <w:t xml:space="preserve"> 88</w:t>
      </w:r>
      <w:r w:rsidR="00C10597">
        <w:rPr>
          <w:color w:val="000000" w:themeColor="text1"/>
        </w:rPr>
        <w:t> </w:t>
      </w:r>
      <w:r w:rsidR="1ADBCCE8">
        <w:rPr>
          <w:color w:val="000000" w:themeColor="text1"/>
        </w:rPr>
        <w:t>Cal.App.5th 1096,</w:t>
      </w:r>
      <w:r w:rsidR="1ADBCCE8" w:rsidRPr="003A696A">
        <w:rPr>
          <w:color w:val="000000" w:themeColor="text1"/>
        </w:rPr>
        <w:t xml:space="preserve"> </w:t>
      </w:r>
      <w:r w:rsidR="1ADBCCE8">
        <w:rPr>
          <w:color w:val="000000" w:themeColor="text1"/>
        </w:rPr>
        <w:t>11</w:t>
      </w:r>
      <w:r w:rsidR="003637D9">
        <w:rPr>
          <w:color w:val="000000" w:themeColor="text1"/>
        </w:rPr>
        <w:t>0</w:t>
      </w:r>
      <w:r w:rsidR="1ADBCCE8">
        <w:rPr>
          <w:color w:val="000000" w:themeColor="text1"/>
        </w:rPr>
        <w:t>1</w:t>
      </w:r>
      <w:r w:rsidR="007477FF">
        <w:rPr>
          <w:color w:val="000000" w:themeColor="text1"/>
        </w:rPr>
        <w:t xml:space="preserve"> (</w:t>
      </w:r>
      <w:r w:rsidR="007477FF">
        <w:rPr>
          <w:i/>
          <w:iCs/>
          <w:color w:val="000000" w:themeColor="text1"/>
        </w:rPr>
        <w:t>Estrada</w:t>
      </w:r>
      <w:r w:rsidR="007477FF">
        <w:rPr>
          <w:color w:val="000000" w:themeColor="text1"/>
        </w:rPr>
        <w:t>)</w:t>
      </w:r>
      <w:r w:rsidR="57A77EA9">
        <w:rPr>
          <w:color w:val="000000" w:themeColor="text1"/>
        </w:rPr>
        <w:t xml:space="preserve">.) </w:t>
      </w:r>
      <w:r w:rsidR="00BD4FBF">
        <w:rPr>
          <w:color w:val="000000" w:themeColor="text1"/>
        </w:rPr>
        <w:t>After summarizing</w:t>
      </w:r>
      <w:r w:rsidR="106260E1">
        <w:rPr>
          <w:color w:val="000000" w:themeColor="text1"/>
        </w:rPr>
        <w:t xml:space="preserve"> </w:t>
      </w:r>
      <w:r w:rsidR="106260E1" w:rsidRPr="797FBB80">
        <w:rPr>
          <w:i/>
          <w:iCs/>
          <w:color w:val="000000" w:themeColor="text1"/>
        </w:rPr>
        <w:t>Hernandez-Valenzuela</w:t>
      </w:r>
      <w:r w:rsidR="00BD4FBF">
        <w:rPr>
          <w:color w:val="000000" w:themeColor="text1"/>
        </w:rPr>
        <w:t>’s</w:t>
      </w:r>
      <w:r w:rsidR="106260E1">
        <w:rPr>
          <w:color w:val="000000" w:themeColor="text1"/>
        </w:rPr>
        <w:t xml:space="preserve"> majority opinion (</w:t>
      </w:r>
      <w:r w:rsidR="106260E1" w:rsidRPr="797FBB80">
        <w:rPr>
          <w:i/>
          <w:iCs/>
          <w:color w:val="000000" w:themeColor="text1"/>
        </w:rPr>
        <w:t>id.</w:t>
      </w:r>
      <w:r w:rsidR="106260E1">
        <w:rPr>
          <w:color w:val="000000" w:themeColor="text1"/>
        </w:rPr>
        <w:t xml:space="preserve"> at pp. 1101–1103, 1106–1112), Division One </w:t>
      </w:r>
      <w:r w:rsidR="1ADBCCE8">
        <w:rPr>
          <w:color w:val="000000" w:themeColor="text1"/>
        </w:rPr>
        <w:t>found</w:t>
      </w:r>
      <w:r w:rsidR="106260E1">
        <w:rPr>
          <w:color w:val="000000" w:themeColor="text1"/>
        </w:rPr>
        <w:t>—</w:t>
      </w:r>
      <w:r w:rsidR="1427430B">
        <w:rPr>
          <w:color w:val="000000" w:themeColor="text1"/>
        </w:rPr>
        <w:t xml:space="preserve">again </w:t>
      </w:r>
      <w:r w:rsidR="106260E1">
        <w:rPr>
          <w:color w:val="000000" w:themeColor="text1"/>
        </w:rPr>
        <w:t xml:space="preserve">based on an evidentiary record—that </w:t>
      </w:r>
      <w:r w:rsidR="42A6C00D">
        <w:rPr>
          <w:color w:val="000000" w:themeColor="text1"/>
        </w:rPr>
        <w:t xml:space="preserve">in 2022 </w:t>
      </w:r>
      <w:r w:rsidR="106260E1">
        <w:rPr>
          <w:color w:val="000000" w:themeColor="text1"/>
        </w:rPr>
        <w:t>defendants had made some progress</w:t>
      </w:r>
      <w:r w:rsidRPr="797FBB80">
        <w:rPr>
          <w:color w:val="000000" w:themeColor="text1"/>
        </w:rPr>
        <w:t xml:space="preserve"> in </w:t>
      </w:r>
      <w:r w:rsidR="106260E1">
        <w:rPr>
          <w:color w:val="000000" w:themeColor="text1"/>
        </w:rPr>
        <w:t xml:space="preserve">reducing the backlog, increased the </w:t>
      </w:r>
      <w:r w:rsidR="1ADBCCE8">
        <w:rPr>
          <w:color w:val="000000" w:themeColor="text1"/>
        </w:rPr>
        <w:t xml:space="preserve">percentage </w:t>
      </w:r>
      <w:r w:rsidR="106260E1">
        <w:rPr>
          <w:color w:val="000000" w:themeColor="text1"/>
        </w:rPr>
        <w:t xml:space="preserve">of Hall of Justice courtrooms </w:t>
      </w:r>
      <w:proofErr w:type="gramStart"/>
      <w:r w:rsidR="1ADBCCE8">
        <w:rPr>
          <w:color w:val="000000" w:themeColor="text1"/>
        </w:rPr>
        <w:t>actually in</w:t>
      </w:r>
      <w:proofErr w:type="gramEnd"/>
      <w:r w:rsidR="1ADBCCE8">
        <w:rPr>
          <w:color w:val="000000" w:themeColor="text1"/>
        </w:rPr>
        <w:t xml:space="preserve"> use </w:t>
      </w:r>
      <w:r w:rsidR="106260E1">
        <w:rPr>
          <w:color w:val="000000" w:themeColor="text1"/>
        </w:rPr>
        <w:t>from roughly 30</w:t>
      </w:r>
      <w:r w:rsidR="00637E5D">
        <w:rPr>
          <w:color w:val="000000" w:themeColor="text1"/>
        </w:rPr>
        <w:t xml:space="preserve"> percent</w:t>
      </w:r>
      <w:r w:rsidR="106260E1">
        <w:rPr>
          <w:color w:val="000000" w:themeColor="text1"/>
        </w:rPr>
        <w:t xml:space="preserve"> to 73</w:t>
      </w:r>
      <w:r w:rsidR="00C25250">
        <w:rPr>
          <w:color w:val="000000" w:themeColor="text1"/>
        </w:rPr>
        <w:t> </w:t>
      </w:r>
      <w:r w:rsidR="00637E5D">
        <w:rPr>
          <w:color w:val="000000" w:themeColor="text1"/>
        </w:rPr>
        <w:t>percent</w:t>
      </w:r>
      <w:r w:rsidR="106260E1">
        <w:rPr>
          <w:color w:val="000000" w:themeColor="text1"/>
        </w:rPr>
        <w:t xml:space="preserve">, and </w:t>
      </w:r>
      <w:r w:rsidR="6022C771">
        <w:rPr>
          <w:color w:val="000000" w:themeColor="text1"/>
        </w:rPr>
        <w:t xml:space="preserve">implemented many of </w:t>
      </w:r>
      <w:r w:rsidR="19AB8279">
        <w:rPr>
          <w:color w:val="000000" w:themeColor="text1"/>
        </w:rPr>
        <w:t xml:space="preserve">the </w:t>
      </w:r>
      <w:r w:rsidR="00903CAB">
        <w:rPr>
          <w:color w:val="000000" w:themeColor="text1"/>
        </w:rPr>
        <w:t xml:space="preserve">remedial </w:t>
      </w:r>
      <w:r w:rsidR="19AB8279">
        <w:rPr>
          <w:color w:val="000000" w:themeColor="text1"/>
        </w:rPr>
        <w:t>measures proposed</w:t>
      </w:r>
      <w:r w:rsidR="00903CAB">
        <w:rPr>
          <w:color w:val="000000" w:themeColor="text1"/>
        </w:rPr>
        <w:t xml:space="preserve"> </w:t>
      </w:r>
      <w:r w:rsidR="19AB8279">
        <w:rPr>
          <w:color w:val="000000" w:themeColor="text1"/>
        </w:rPr>
        <w:t xml:space="preserve">in </w:t>
      </w:r>
      <w:r w:rsidR="6022C771" w:rsidRPr="797FBB80">
        <w:rPr>
          <w:i/>
          <w:iCs/>
          <w:color w:val="000000" w:themeColor="text1"/>
        </w:rPr>
        <w:t>Hernandez-Valenzuela</w:t>
      </w:r>
      <w:r w:rsidR="1ADBCCE8">
        <w:rPr>
          <w:color w:val="000000" w:themeColor="text1"/>
        </w:rPr>
        <w:t>.</w:t>
      </w:r>
      <w:r>
        <w:rPr>
          <w:rStyle w:val="FootnoteReference"/>
          <w:color w:val="000000" w:themeColor="text1"/>
        </w:rPr>
        <w:footnoteReference w:id="23"/>
      </w:r>
      <w:r w:rsidR="6022C771">
        <w:rPr>
          <w:color w:val="000000" w:themeColor="text1"/>
        </w:rPr>
        <w:t xml:space="preserve"> </w:t>
      </w:r>
      <w:r w:rsidR="106260E1">
        <w:rPr>
          <w:color w:val="000000" w:themeColor="text1"/>
        </w:rPr>
        <w:t>(</w:t>
      </w:r>
      <w:r w:rsidR="00386AAD">
        <w:rPr>
          <w:i/>
          <w:iCs/>
          <w:color w:val="000000" w:themeColor="text1"/>
        </w:rPr>
        <w:t>Id</w:t>
      </w:r>
      <w:r w:rsidR="00E15F19">
        <w:rPr>
          <w:i/>
          <w:iCs/>
          <w:color w:val="000000" w:themeColor="text1"/>
        </w:rPr>
        <w:t>.</w:t>
      </w:r>
      <w:r w:rsidR="00B86DB9">
        <w:rPr>
          <w:i/>
          <w:iCs/>
          <w:color w:val="000000" w:themeColor="text1"/>
        </w:rPr>
        <w:t xml:space="preserve"> </w:t>
      </w:r>
      <w:r w:rsidR="106260E1">
        <w:rPr>
          <w:color w:val="000000" w:themeColor="text1"/>
        </w:rPr>
        <w:t xml:space="preserve">at </w:t>
      </w:r>
      <w:r w:rsidR="6022C771">
        <w:rPr>
          <w:color w:val="000000" w:themeColor="text1"/>
        </w:rPr>
        <w:t xml:space="preserve">pp. 1112–1115, </w:t>
      </w:r>
      <w:r w:rsidR="106260E1">
        <w:rPr>
          <w:color w:val="000000" w:themeColor="text1"/>
        </w:rPr>
        <w:t>1122</w:t>
      </w:r>
      <w:r w:rsidR="00BB6D96">
        <w:rPr>
          <w:color w:val="000000" w:themeColor="text1"/>
        </w:rPr>
        <w:t>–1123</w:t>
      </w:r>
      <w:r w:rsidR="6022C771">
        <w:rPr>
          <w:color w:val="000000" w:themeColor="text1"/>
        </w:rPr>
        <w:t xml:space="preserve">.) </w:t>
      </w:r>
      <w:r w:rsidR="003515D5">
        <w:rPr>
          <w:color w:val="000000" w:themeColor="text1"/>
        </w:rPr>
        <w:t xml:space="preserve">After “considering the totality of the circumstances,” </w:t>
      </w:r>
      <w:r w:rsidR="00634F3E">
        <w:rPr>
          <w:color w:val="000000" w:themeColor="text1"/>
        </w:rPr>
        <w:t>it found</w:t>
      </w:r>
      <w:r w:rsidR="00FC06B3">
        <w:rPr>
          <w:color w:val="000000" w:themeColor="text1"/>
        </w:rPr>
        <w:t xml:space="preserve"> </w:t>
      </w:r>
      <w:r w:rsidR="005D2EF8">
        <w:rPr>
          <w:color w:val="000000" w:themeColor="text1"/>
        </w:rPr>
        <w:t xml:space="preserve">that petitioners’ </w:t>
      </w:r>
      <w:r w:rsidR="00FC06B3">
        <w:rPr>
          <w:color w:val="000000" w:themeColor="text1"/>
        </w:rPr>
        <w:t xml:space="preserve">cases were delayed </w:t>
      </w:r>
      <w:r w:rsidR="1ADBCCE8">
        <w:rPr>
          <w:color w:val="000000" w:themeColor="text1"/>
        </w:rPr>
        <w:t xml:space="preserve">due to </w:t>
      </w:r>
      <w:r w:rsidR="00FC06B3">
        <w:rPr>
          <w:color w:val="000000" w:themeColor="text1"/>
        </w:rPr>
        <w:t xml:space="preserve">“the </w:t>
      </w:r>
      <w:r w:rsidR="00E03150">
        <w:rPr>
          <w:color w:val="000000" w:themeColor="text1"/>
        </w:rPr>
        <w:t xml:space="preserve">continuing </w:t>
      </w:r>
      <w:r w:rsidR="00FC06B3">
        <w:rPr>
          <w:color w:val="000000" w:themeColor="text1"/>
        </w:rPr>
        <w:t>sequelae</w:t>
      </w:r>
      <w:r w:rsidR="00E03150">
        <w:rPr>
          <w:color w:val="000000" w:themeColor="text1"/>
        </w:rPr>
        <w:t xml:space="preserve"> of the </w:t>
      </w:r>
      <w:proofErr w:type="spellStart"/>
      <w:r w:rsidR="00E03150">
        <w:rPr>
          <w:color w:val="000000" w:themeColor="text1"/>
        </w:rPr>
        <w:t>COVD</w:t>
      </w:r>
      <w:r w:rsidR="00AD208F">
        <w:rPr>
          <w:color w:val="000000" w:themeColor="text1"/>
        </w:rPr>
        <w:noBreakHyphen/>
      </w:r>
      <w:r w:rsidR="00E03150">
        <w:rPr>
          <w:color w:val="000000" w:themeColor="text1"/>
        </w:rPr>
        <w:t>19</w:t>
      </w:r>
      <w:proofErr w:type="spellEnd"/>
      <w:r w:rsidR="00E03150">
        <w:rPr>
          <w:color w:val="000000" w:themeColor="text1"/>
        </w:rPr>
        <w:t xml:space="preserve"> </w:t>
      </w:r>
      <w:r w:rsidR="1ADBCCE8">
        <w:rPr>
          <w:color w:val="000000" w:themeColor="text1"/>
        </w:rPr>
        <w:t>pandemic</w:t>
      </w:r>
      <w:r w:rsidR="00B33CF4">
        <w:rPr>
          <w:color w:val="000000" w:themeColor="text1"/>
        </w:rPr>
        <w:t>”</w:t>
      </w:r>
      <w:r w:rsidR="0057676E">
        <w:rPr>
          <w:color w:val="000000" w:themeColor="text1"/>
        </w:rPr>
        <w:t xml:space="preserve"> </w:t>
      </w:r>
      <w:r w:rsidR="00221BEE">
        <w:rPr>
          <w:color w:val="000000" w:themeColor="text1"/>
        </w:rPr>
        <w:t xml:space="preserve">and, </w:t>
      </w:r>
      <w:r w:rsidR="00221BEE">
        <w:rPr>
          <w:color w:val="000000" w:themeColor="text1"/>
        </w:rPr>
        <w:lastRenderedPageBreak/>
        <w:t xml:space="preserve">as such, there was no abuse of discretion in finding good cause to continue </w:t>
      </w:r>
      <w:r w:rsidR="00634F3E">
        <w:rPr>
          <w:color w:val="000000" w:themeColor="text1"/>
        </w:rPr>
        <w:t>petitioners’</w:t>
      </w:r>
      <w:r w:rsidR="00221BEE">
        <w:rPr>
          <w:color w:val="000000" w:themeColor="text1"/>
        </w:rPr>
        <w:t xml:space="preserve"> trials or in declining to dismiss the cases</w:t>
      </w:r>
      <w:r w:rsidR="00634F3E">
        <w:rPr>
          <w:color w:val="000000" w:themeColor="text1"/>
        </w:rPr>
        <w:t>.</w:t>
      </w:r>
      <w:r w:rsidR="1ADBCCE8">
        <w:rPr>
          <w:color w:val="000000" w:themeColor="text1"/>
        </w:rPr>
        <w:t xml:space="preserve"> </w:t>
      </w:r>
      <w:r w:rsidR="4481E505">
        <w:rPr>
          <w:color w:val="000000" w:themeColor="text1"/>
        </w:rPr>
        <w:t>(</w:t>
      </w:r>
      <w:r w:rsidR="4481E505" w:rsidRPr="797FBB80">
        <w:rPr>
          <w:i/>
          <w:iCs/>
          <w:color w:val="000000" w:themeColor="text1"/>
        </w:rPr>
        <w:t>Id.</w:t>
      </w:r>
      <w:r w:rsidR="4481E505">
        <w:rPr>
          <w:color w:val="000000" w:themeColor="text1"/>
        </w:rPr>
        <w:t xml:space="preserve"> at pp.</w:t>
      </w:r>
      <w:r w:rsidR="00851F6C">
        <w:rPr>
          <w:color w:val="000000" w:themeColor="text1"/>
        </w:rPr>
        <w:t> </w:t>
      </w:r>
      <w:r w:rsidR="2D3596D8">
        <w:rPr>
          <w:color w:val="000000" w:themeColor="text1"/>
        </w:rPr>
        <w:t>1117–1118, 1121</w:t>
      </w:r>
      <w:r w:rsidR="001D4BE5">
        <w:rPr>
          <w:color w:val="000000" w:themeColor="text1"/>
        </w:rPr>
        <w:t>, 1124</w:t>
      </w:r>
      <w:r w:rsidR="2D3596D8">
        <w:rPr>
          <w:color w:val="000000" w:themeColor="text1"/>
        </w:rPr>
        <w:t xml:space="preserve">.) </w:t>
      </w:r>
    </w:p>
    <w:p w14:paraId="0E2C4014" w14:textId="0E3433BA" w:rsidR="00A6064F" w:rsidRPr="00A33197" w:rsidRDefault="001B6997" w:rsidP="00131128">
      <w:pPr>
        <w:autoSpaceDE w:val="0"/>
        <w:autoSpaceDN w:val="0"/>
        <w:adjustRightInd w:val="0"/>
        <w:spacing w:line="360" w:lineRule="auto"/>
        <w:contextualSpacing/>
        <w:rPr>
          <w:i/>
          <w:iCs/>
          <w:color w:val="000000" w:themeColor="text1"/>
        </w:rPr>
      </w:pPr>
      <w:r>
        <w:rPr>
          <w:color w:val="000000" w:themeColor="text1"/>
        </w:rPr>
        <w:tab/>
      </w:r>
      <w:r w:rsidR="33B7701C">
        <w:rPr>
          <w:color w:val="000000" w:themeColor="text1"/>
        </w:rPr>
        <w:t xml:space="preserve">Defendants do not contend that </w:t>
      </w:r>
      <w:r w:rsidR="00841811">
        <w:rPr>
          <w:color w:val="000000" w:themeColor="text1"/>
        </w:rPr>
        <w:t xml:space="preserve">either of </w:t>
      </w:r>
      <w:r w:rsidR="00D47C51">
        <w:rPr>
          <w:color w:val="000000" w:themeColor="text1"/>
        </w:rPr>
        <w:t xml:space="preserve">these cases </w:t>
      </w:r>
      <w:r w:rsidR="00B861F9">
        <w:rPr>
          <w:color w:val="000000" w:themeColor="text1"/>
        </w:rPr>
        <w:t>has</w:t>
      </w:r>
      <w:r w:rsidR="33B7701C">
        <w:rPr>
          <w:color w:val="000000" w:themeColor="text1"/>
        </w:rPr>
        <w:t xml:space="preserve"> preclusive effect</w:t>
      </w:r>
      <w:r w:rsidR="00000466">
        <w:rPr>
          <w:color w:val="000000" w:themeColor="text1"/>
        </w:rPr>
        <w:t xml:space="preserve"> or establishes </w:t>
      </w:r>
      <w:r w:rsidR="00A54A3C">
        <w:rPr>
          <w:color w:val="000000" w:themeColor="text1"/>
        </w:rPr>
        <w:t>some</w:t>
      </w:r>
      <w:r w:rsidR="00000466">
        <w:rPr>
          <w:color w:val="000000" w:themeColor="text1"/>
        </w:rPr>
        <w:t xml:space="preserve"> legal principle that</w:t>
      </w:r>
      <w:r w:rsidR="007E72E1">
        <w:rPr>
          <w:color w:val="000000" w:themeColor="text1"/>
        </w:rPr>
        <w:t xml:space="preserve"> would b</w:t>
      </w:r>
      <w:r w:rsidR="00685D23">
        <w:rPr>
          <w:color w:val="000000" w:themeColor="text1"/>
        </w:rPr>
        <w:t>ar</w:t>
      </w:r>
      <w:r w:rsidR="7420C914" w:rsidRPr="797FBB80">
        <w:rPr>
          <w:color w:val="000000" w:themeColor="text1"/>
        </w:rPr>
        <w:t xml:space="preserve"> plaintiffs’ claims as a matter of law</w:t>
      </w:r>
      <w:r w:rsidR="01CA0351">
        <w:rPr>
          <w:color w:val="000000" w:themeColor="text1"/>
        </w:rPr>
        <w:t>. N</w:t>
      </w:r>
      <w:r w:rsidR="02C59AF8" w:rsidRPr="797FBB80">
        <w:rPr>
          <w:color w:val="000000" w:themeColor="text1"/>
        </w:rPr>
        <w:t xml:space="preserve">or </w:t>
      </w:r>
      <w:r w:rsidR="01CA0351">
        <w:rPr>
          <w:color w:val="000000" w:themeColor="text1"/>
        </w:rPr>
        <w:t>do they</w:t>
      </w:r>
      <w:r w:rsidR="33B7701C">
        <w:rPr>
          <w:color w:val="000000" w:themeColor="text1"/>
        </w:rPr>
        <w:t xml:space="preserve"> suggest we could take judicial notice of the truth of any fact</w:t>
      </w:r>
      <w:r w:rsidR="0262FE15" w:rsidRPr="797FBB80">
        <w:rPr>
          <w:color w:val="000000" w:themeColor="text1"/>
        </w:rPr>
        <w:t xml:space="preserve">ual findings in those cases </w:t>
      </w:r>
      <w:r w:rsidR="00273A2C">
        <w:rPr>
          <w:color w:val="000000" w:themeColor="text1"/>
        </w:rPr>
        <w:t>in a way that</w:t>
      </w:r>
      <w:r w:rsidR="0262FE15" w:rsidRPr="797FBB80">
        <w:rPr>
          <w:color w:val="000000" w:themeColor="text1"/>
        </w:rPr>
        <w:t xml:space="preserve"> would somehow render plaintiffs’ claims insufficiently pleaded.</w:t>
      </w:r>
      <w:r w:rsidR="1B639608" w:rsidRPr="797FBB80">
        <w:rPr>
          <w:color w:val="000000" w:themeColor="text1"/>
        </w:rPr>
        <w:t xml:space="preserve"> </w:t>
      </w:r>
      <w:r w:rsidR="315078E8">
        <w:rPr>
          <w:color w:val="000000" w:themeColor="text1"/>
        </w:rPr>
        <w:t xml:space="preserve">As </w:t>
      </w:r>
      <w:r w:rsidR="00CB1DA2">
        <w:rPr>
          <w:color w:val="000000" w:themeColor="text1"/>
        </w:rPr>
        <w:t xml:space="preserve">such </w:t>
      </w:r>
      <w:r w:rsidR="315078E8">
        <w:rPr>
          <w:color w:val="000000" w:themeColor="text1"/>
        </w:rPr>
        <w:t>t</w:t>
      </w:r>
      <w:r w:rsidR="46B44220" w:rsidRPr="797FBB80">
        <w:rPr>
          <w:color w:val="000000" w:themeColor="text1"/>
        </w:rPr>
        <w:t>he</w:t>
      </w:r>
      <w:r w:rsidR="1ADF11F8" w:rsidRPr="797FBB80">
        <w:rPr>
          <w:color w:val="000000" w:themeColor="text1"/>
        </w:rPr>
        <w:t>se</w:t>
      </w:r>
      <w:r w:rsidR="46B44220" w:rsidRPr="797FBB80">
        <w:rPr>
          <w:color w:val="000000" w:themeColor="text1"/>
        </w:rPr>
        <w:t xml:space="preserve"> opinions</w:t>
      </w:r>
      <w:r w:rsidR="469DB4C9" w:rsidRPr="797FBB80">
        <w:rPr>
          <w:color w:val="000000" w:themeColor="text1"/>
        </w:rPr>
        <w:t xml:space="preserve"> are</w:t>
      </w:r>
      <w:r w:rsidRPr="797FBB80">
        <w:rPr>
          <w:color w:val="000000" w:themeColor="text1"/>
        </w:rPr>
        <w:t xml:space="preserve"> </w:t>
      </w:r>
      <w:r w:rsidR="46B44220" w:rsidRPr="7FA68319">
        <w:rPr>
          <w:color w:val="000000" w:themeColor="text1"/>
        </w:rPr>
        <w:t>relevant, at best, as background.</w:t>
      </w:r>
    </w:p>
    <w:p w14:paraId="0750647C" w14:textId="7950DEB1" w:rsidR="007A67EA" w:rsidRPr="007A67EA" w:rsidRDefault="001B6997" w:rsidP="00A1341D">
      <w:pPr>
        <w:keepNext/>
        <w:spacing w:after="120" w:line="240" w:lineRule="auto"/>
        <w:ind w:left="1080" w:hanging="1080"/>
        <w:rPr>
          <w:rFonts w:cs="Times New Roman"/>
          <w:b/>
          <w:bCs/>
        </w:rPr>
      </w:pPr>
      <w:r>
        <w:rPr>
          <w:rFonts w:cs="Times New Roman"/>
          <w:b/>
          <w:bCs/>
          <w:i/>
          <w:iCs/>
        </w:rPr>
        <w:tab/>
        <w:t>c</w:t>
      </w:r>
      <w:r w:rsidR="25975A6A" w:rsidRPr="006E727E">
        <w:rPr>
          <w:rFonts w:cs="Times New Roman"/>
          <w:b/>
          <w:bCs/>
        </w:rPr>
        <w:t>.</w:t>
      </w:r>
      <w:r w:rsidR="00EB05C6">
        <w:rPr>
          <w:rFonts w:cs="Times New Roman"/>
          <w:b/>
          <w:bCs/>
        </w:rPr>
        <w:t xml:space="preserve"> </w:t>
      </w:r>
      <w:r w:rsidR="1427430B" w:rsidRPr="797FBB80">
        <w:rPr>
          <w:rFonts w:cs="Times New Roman"/>
          <w:b/>
          <w:bCs/>
          <w:i/>
          <w:iCs/>
        </w:rPr>
        <w:t xml:space="preserve">The Complaint </w:t>
      </w:r>
      <w:r w:rsidR="3972240D" w:rsidRPr="797FBB80">
        <w:rPr>
          <w:rFonts w:cs="Times New Roman"/>
          <w:b/>
          <w:bCs/>
          <w:i/>
          <w:iCs/>
        </w:rPr>
        <w:t xml:space="preserve">Sufficiently </w:t>
      </w:r>
      <w:r w:rsidR="1427430B" w:rsidRPr="797FBB80">
        <w:rPr>
          <w:rFonts w:cs="Times New Roman"/>
          <w:b/>
          <w:bCs/>
          <w:i/>
          <w:iCs/>
        </w:rPr>
        <w:t>Alleges</w:t>
      </w:r>
      <w:r w:rsidR="010917F3" w:rsidRPr="797FBB80">
        <w:rPr>
          <w:rFonts w:cs="Times New Roman"/>
          <w:b/>
          <w:bCs/>
          <w:i/>
          <w:iCs/>
        </w:rPr>
        <w:t xml:space="preserve"> a Common Law Taxpayer</w:t>
      </w:r>
      <w:r w:rsidR="00EB05C6">
        <w:rPr>
          <w:rFonts w:cs="Times New Roman"/>
          <w:b/>
          <w:bCs/>
          <w:i/>
          <w:iCs/>
        </w:rPr>
        <w:t> </w:t>
      </w:r>
      <w:r w:rsidR="010917F3" w:rsidRPr="797FBB80">
        <w:rPr>
          <w:rFonts w:cs="Times New Roman"/>
          <w:b/>
          <w:bCs/>
          <w:i/>
          <w:iCs/>
        </w:rPr>
        <w:t>Claim</w:t>
      </w:r>
    </w:p>
    <w:p w14:paraId="6525EFFD" w14:textId="3197BDE9" w:rsidR="41E423C7" w:rsidRPr="00EE0E88" w:rsidRDefault="001B6997" w:rsidP="1880F1BD">
      <w:pPr>
        <w:autoSpaceDE w:val="0"/>
        <w:autoSpaceDN w:val="0"/>
        <w:adjustRightInd w:val="0"/>
        <w:spacing w:line="360" w:lineRule="auto"/>
        <w:ind w:firstLine="720"/>
        <w:contextualSpacing/>
        <w:rPr>
          <w:rFonts w:cs="Times New Roman"/>
        </w:rPr>
      </w:pPr>
      <w:r>
        <w:rPr>
          <w:rFonts w:cs="Times New Roman"/>
        </w:rPr>
        <w:t xml:space="preserve">While </w:t>
      </w:r>
      <w:r w:rsidRPr="09459565">
        <w:t xml:space="preserve">conceding that they are subject to common law taxpayer-standing actions, </w:t>
      </w:r>
      <w:r>
        <w:rPr>
          <w:rFonts w:cs="Times New Roman"/>
          <w:color w:val="000000"/>
        </w:rPr>
        <w:t>d</w:t>
      </w:r>
      <w:r w:rsidR="7BE87353">
        <w:rPr>
          <w:rFonts w:cs="Times New Roman"/>
          <w:color w:val="000000"/>
        </w:rPr>
        <w:t xml:space="preserve">efendants </w:t>
      </w:r>
      <w:r w:rsidR="137532E9">
        <w:rPr>
          <w:rFonts w:cs="Times New Roman"/>
          <w:color w:val="000000"/>
        </w:rPr>
        <w:t xml:space="preserve">contend </w:t>
      </w:r>
      <w:r w:rsidR="7BE87353">
        <w:rPr>
          <w:rFonts w:cs="Times New Roman"/>
          <w:color w:val="000000"/>
        </w:rPr>
        <w:t xml:space="preserve">that plaintiffs </w:t>
      </w:r>
      <w:r w:rsidR="0C5B2AFC">
        <w:rPr>
          <w:rFonts w:cs="Times New Roman"/>
          <w:color w:val="000000"/>
        </w:rPr>
        <w:t xml:space="preserve">have </w:t>
      </w:r>
      <w:r w:rsidR="2714F6E2">
        <w:rPr>
          <w:rFonts w:cs="Times New Roman"/>
          <w:color w:val="000000"/>
        </w:rPr>
        <w:t>not</w:t>
      </w:r>
      <w:r w:rsidR="52B68E74">
        <w:rPr>
          <w:rFonts w:cs="Times New Roman"/>
          <w:color w:val="000000"/>
        </w:rPr>
        <w:t xml:space="preserve"> </w:t>
      </w:r>
      <w:r w:rsidR="3FA308C5">
        <w:rPr>
          <w:rFonts w:cs="Times New Roman"/>
          <w:color w:val="000000"/>
        </w:rPr>
        <w:t>plead</w:t>
      </w:r>
      <w:r w:rsidR="52B68E74">
        <w:rPr>
          <w:rFonts w:cs="Times New Roman"/>
          <w:color w:val="000000"/>
        </w:rPr>
        <w:t>ed</w:t>
      </w:r>
      <w:r w:rsidR="7BE87353">
        <w:rPr>
          <w:rFonts w:cs="Times New Roman"/>
          <w:color w:val="000000"/>
        </w:rPr>
        <w:t xml:space="preserve"> </w:t>
      </w:r>
      <w:r w:rsidR="537957EA">
        <w:rPr>
          <w:rFonts w:cs="Times New Roman"/>
          <w:color w:val="000000"/>
        </w:rPr>
        <w:t>the</w:t>
      </w:r>
      <w:r w:rsidR="5F5F3C7A">
        <w:rPr>
          <w:rFonts w:cs="Times New Roman"/>
          <w:color w:val="000000"/>
        </w:rPr>
        <w:t xml:space="preserve"> </w:t>
      </w:r>
      <w:r w:rsidR="0329DD9D">
        <w:rPr>
          <w:rFonts w:cs="Times New Roman"/>
          <w:color w:val="000000"/>
        </w:rPr>
        <w:t xml:space="preserve">necessary </w:t>
      </w:r>
      <w:r w:rsidR="66917AAE">
        <w:rPr>
          <w:rFonts w:cs="Times New Roman"/>
          <w:color w:val="000000"/>
        </w:rPr>
        <w:t xml:space="preserve">facts </w:t>
      </w:r>
      <w:r w:rsidR="4A63CBCA">
        <w:rPr>
          <w:rFonts w:cs="Times New Roman"/>
          <w:color w:val="000000"/>
        </w:rPr>
        <w:t>to esta</w:t>
      </w:r>
      <w:r w:rsidR="5B7C1F2E">
        <w:rPr>
          <w:rFonts w:cs="Times New Roman"/>
          <w:color w:val="000000"/>
        </w:rPr>
        <w:t xml:space="preserve">blish </w:t>
      </w:r>
      <w:r>
        <w:rPr>
          <w:rFonts w:cs="Times New Roman"/>
          <w:color w:val="000000"/>
        </w:rPr>
        <w:t>such a claim</w:t>
      </w:r>
      <w:r w:rsidR="7BE87353">
        <w:rPr>
          <w:rFonts w:cs="Times New Roman"/>
          <w:color w:val="000000"/>
        </w:rPr>
        <w:t>—</w:t>
      </w:r>
      <w:r w:rsidR="737E1914">
        <w:rPr>
          <w:rFonts w:cs="Times New Roman"/>
          <w:color w:val="000000"/>
        </w:rPr>
        <w:t>that is</w:t>
      </w:r>
      <w:r w:rsidR="7BE87353">
        <w:rPr>
          <w:rFonts w:cs="Times New Roman"/>
          <w:color w:val="000000"/>
        </w:rPr>
        <w:t>, facts showing “</w:t>
      </w:r>
      <w:r w:rsidR="7BE87353" w:rsidRPr="4B0E998B">
        <w:rPr>
          <w:rFonts w:cs="CenturySchoolbook"/>
        </w:rPr>
        <w:t>fraud, collusion, ultra vires, or a failure on the part of the governmental body to perform a duty specifically enjoined.” (</w:t>
      </w:r>
      <w:r w:rsidR="7BE87353" w:rsidRPr="797FBB80">
        <w:rPr>
          <w:rFonts w:cs="CenturySchoolbook"/>
          <w:i/>
          <w:iCs/>
        </w:rPr>
        <w:t>Silver</w:t>
      </w:r>
      <w:r w:rsidR="7BE87353" w:rsidRPr="4B0E998B">
        <w:rPr>
          <w:rFonts w:cs="CenturySchoolbook"/>
        </w:rPr>
        <w:t xml:space="preserve">, </w:t>
      </w:r>
      <w:r w:rsidR="7BE87353" w:rsidRPr="797FBB80">
        <w:rPr>
          <w:rFonts w:cs="CenturySchoolbook"/>
          <w:i/>
          <w:iCs/>
        </w:rPr>
        <w:t>supra</w:t>
      </w:r>
      <w:r w:rsidR="7BE87353" w:rsidRPr="4B0E998B">
        <w:rPr>
          <w:rFonts w:cs="CenturySchoolbook"/>
        </w:rPr>
        <w:t xml:space="preserve">, 57 Cal.2d at pp. 40–41.) </w:t>
      </w:r>
      <w:r w:rsidR="0C5B2AFC">
        <w:rPr>
          <w:rFonts w:cs="CenturySchoolbook"/>
        </w:rPr>
        <w:t>I</w:t>
      </w:r>
      <w:r w:rsidR="59E73342">
        <w:rPr>
          <w:rFonts w:cs="CenturySchoolbook"/>
        </w:rPr>
        <w:t>n our view</w:t>
      </w:r>
      <w:r w:rsidR="69324889">
        <w:rPr>
          <w:rFonts w:cs="CenturySchoolbook"/>
        </w:rPr>
        <w:t>, h</w:t>
      </w:r>
      <w:r w:rsidR="0C5B2AFC">
        <w:rPr>
          <w:rFonts w:cs="CenturySchoolbook"/>
        </w:rPr>
        <w:t>owever, plaintiffs’</w:t>
      </w:r>
      <w:r w:rsidR="7BE87353" w:rsidRPr="4B0E998B">
        <w:rPr>
          <w:rFonts w:cs="CenturySchoolbook"/>
        </w:rPr>
        <w:t xml:space="preserve"> factual allegations, if proven, could </w:t>
      </w:r>
      <w:r w:rsidR="69324889">
        <w:rPr>
          <w:rFonts w:cs="CenturySchoolbook"/>
        </w:rPr>
        <w:t>lead a trier of fact to conclude that</w:t>
      </w:r>
      <w:r w:rsidR="7BE87353" w:rsidRPr="4B0E998B">
        <w:rPr>
          <w:rFonts w:cs="CenturySchoolbook"/>
        </w:rPr>
        <w:t xml:space="preserve"> </w:t>
      </w:r>
      <w:r w:rsidR="00A355CD">
        <w:rPr>
          <w:rFonts w:cs="CenturySchoolbook"/>
        </w:rPr>
        <w:t>one or more defendants</w:t>
      </w:r>
      <w:r w:rsidR="69324889">
        <w:rPr>
          <w:rFonts w:cs="CenturySchoolbook"/>
        </w:rPr>
        <w:t xml:space="preserve"> failed</w:t>
      </w:r>
      <w:r w:rsidR="7BE87353" w:rsidRPr="4B0E998B">
        <w:rPr>
          <w:rFonts w:cs="CenturySchoolbook"/>
        </w:rPr>
        <w:t xml:space="preserve"> “to </w:t>
      </w:r>
      <w:r w:rsidR="7BE87353" w:rsidRPr="4B0E998B">
        <w:rPr>
          <w:rFonts w:cs="CenturySchoolbook"/>
          <w:spacing w:val="-2"/>
        </w:rPr>
        <w:t>perform a duty specifically enjoined” (</w:t>
      </w:r>
      <w:r w:rsidR="00E3624C">
        <w:rPr>
          <w:rFonts w:cs="CenturySchoolbook"/>
          <w:i/>
          <w:iCs/>
          <w:spacing w:val="-2"/>
        </w:rPr>
        <w:t>i</w:t>
      </w:r>
      <w:r w:rsidR="003B035D" w:rsidRPr="003B035D">
        <w:rPr>
          <w:rFonts w:cs="CenturySchoolbook"/>
          <w:i/>
          <w:iCs/>
          <w:spacing w:val="-2"/>
        </w:rPr>
        <w:t>bid</w:t>
      </w:r>
      <w:r w:rsidR="003B035D">
        <w:rPr>
          <w:rFonts w:cs="CenturySchoolbook"/>
          <w:spacing w:val="-2"/>
        </w:rPr>
        <w:t>.</w:t>
      </w:r>
      <w:r w:rsidR="7BE87353" w:rsidRPr="4B0E998B">
        <w:rPr>
          <w:rFonts w:cs="CenturySchoolbook"/>
          <w:spacing w:val="-2"/>
        </w:rPr>
        <w:t>)</w:t>
      </w:r>
      <w:r w:rsidR="7BE87353" w:rsidRPr="4B0E998B">
        <w:rPr>
          <w:rFonts w:cs="Times New Roman"/>
        </w:rPr>
        <w:t>—that is, the duty to ensure that criminal cases are given precedence over, and set for trial regardless of the pendency of, civil matters</w:t>
      </w:r>
      <w:r w:rsidR="20CD8506">
        <w:rPr>
          <w:rFonts w:cs="Times New Roman"/>
        </w:rPr>
        <w:t xml:space="preserve"> “</w:t>
      </w:r>
      <w:r w:rsidR="755A21BB">
        <w:rPr>
          <w:rFonts w:cs="Times New Roman"/>
        </w:rPr>
        <w:t xml:space="preserve">to the greatest </w:t>
      </w:r>
      <w:r w:rsidR="0015003D">
        <w:rPr>
          <w:rFonts w:cs="Times New Roman"/>
        </w:rPr>
        <w:t>degree</w:t>
      </w:r>
      <w:r w:rsidR="755A21BB">
        <w:rPr>
          <w:rFonts w:cs="Times New Roman"/>
        </w:rPr>
        <w:t xml:space="preserve"> </w:t>
      </w:r>
      <w:r w:rsidR="00182D7B">
        <w:rPr>
          <w:rFonts w:cs="Times New Roman"/>
        </w:rPr>
        <w:t>that is</w:t>
      </w:r>
      <w:r w:rsidR="755A21BB">
        <w:rPr>
          <w:rFonts w:cs="Times New Roman"/>
        </w:rPr>
        <w:t xml:space="preserve"> consistent with the ends of justice”</w:t>
      </w:r>
      <w:r w:rsidR="7BE87353" w:rsidRPr="00101906">
        <w:rPr>
          <w:rFonts w:cs="Times New Roman"/>
        </w:rPr>
        <w:t xml:space="preserve"> (</w:t>
      </w:r>
      <w:r w:rsidR="7BE87353">
        <w:rPr>
          <w:rFonts w:cs="Times New Roman"/>
        </w:rPr>
        <w:t>§ 1050(a)</w:t>
      </w:r>
      <w:r w:rsidR="7BE87353" w:rsidRPr="00101906">
        <w:rPr>
          <w:rFonts w:cs="Times New Roman"/>
        </w:rPr>
        <w:t>)</w:t>
      </w:r>
      <w:r w:rsidR="7BE87353">
        <w:rPr>
          <w:rFonts w:cs="Times New Roman"/>
        </w:rPr>
        <w:t xml:space="preserve">. As </w:t>
      </w:r>
      <w:r w:rsidR="7BE87353">
        <w:rPr>
          <w:rFonts w:cs="Times New Roman"/>
          <w:spacing w:val="-2"/>
        </w:rPr>
        <w:t xml:space="preserve">discussed </w:t>
      </w:r>
      <w:r w:rsidR="00C63DE3">
        <w:rPr>
          <w:rFonts w:cs="Times New Roman"/>
          <w:spacing w:val="-2"/>
        </w:rPr>
        <w:t>below</w:t>
      </w:r>
      <w:r w:rsidR="7BE87353" w:rsidRPr="00A23586">
        <w:rPr>
          <w:rFonts w:cs="Times New Roman"/>
          <w:spacing w:val="-2"/>
        </w:rPr>
        <w:t xml:space="preserve">, </w:t>
      </w:r>
      <w:r w:rsidR="7BE87353">
        <w:rPr>
          <w:rFonts w:cs="Times New Roman"/>
        </w:rPr>
        <w:t>while this duty is not</w:t>
      </w:r>
      <w:r w:rsidR="7BE87353" w:rsidRPr="05D0A8A3">
        <w:rPr>
          <w:rFonts w:cs="Times New Roman"/>
        </w:rPr>
        <w:t xml:space="preserve"> </w:t>
      </w:r>
      <w:r w:rsidR="7BE87353">
        <w:rPr>
          <w:rFonts w:cs="Times New Roman"/>
        </w:rPr>
        <w:t xml:space="preserve">absolute or inflexible, </w:t>
      </w:r>
      <w:r w:rsidR="0D58A2C5">
        <w:rPr>
          <w:rFonts w:cs="Times New Roman"/>
        </w:rPr>
        <w:t xml:space="preserve">it </w:t>
      </w:r>
      <w:r w:rsidR="7540D833">
        <w:rPr>
          <w:rFonts w:cs="Times New Roman"/>
        </w:rPr>
        <w:t xml:space="preserve">requires </w:t>
      </w:r>
      <w:r w:rsidR="69324889">
        <w:rPr>
          <w:rFonts w:cs="Times New Roman"/>
        </w:rPr>
        <w:t>all</w:t>
      </w:r>
      <w:r w:rsidR="7540D833">
        <w:rPr>
          <w:rFonts w:cs="Times New Roman"/>
        </w:rPr>
        <w:t xml:space="preserve"> courts</w:t>
      </w:r>
      <w:r w:rsidR="2E343D37">
        <w:rPr>
          <w:rFonts w:cs="Times New Roman"/>
        </w:rPr>
        <w:t xml:space="preserve"> </w:t>
      </w:r>
      <w:r w:rsidR="7BE87353">
        <w:rPr>
          <w:rFonts w:cs="Times New Roman"/>
        </w:rPr>
        <w:t>to “</w:t>
      </w:r>
      <w:r w:rsidR="7BE87353" w:rsidRPr="4B0E998B">
        <w:rPr>
          <w:color w:val="000000" w:themeColor="text1"/>
        </w:rPr>
        <w:t xml:space="preserve">organize </w:t>
      </w:r>
      <w:r w:rsidR="2E343D37">
        <w:rPr>
          <w:color w:val="000000" w:themeColor="text1"/>
        </w:rPr>
        <w:t>[their]</w:t>
      </w:r>
      <w:r w:rsidR="2E343D37" w:rsidRPr="4B0E998B">
        <w:rPr>
          <w:color w:val="000000" w:themeColor="text1"/>
        </w:rPr>
        <w:t xml:space="preserve"> </w:t>
      </w:r>
      <w:r w:rsidR="7BE87353" w:rsidRPr="4B0E998B">
        <w:rPr>
          <w:color w:val="000000" w:themeColor="text1"/>
        </w:rPr>
        <w:t>civil and criminal departments and workload in a manner that (1) acknowledges the important state interest in the expeditious resolution of criminal proceedings as reflected in</w:t>
      </w:r>
      <w:r w:rsidR="010F28D2">
        <w:rPr>
          <w:color w:val="000000" w:themeColor="text1"/>
        </w:rPr>
        <w:t xml:space="preserve"> section 1050</w:t>
      </w:r>
      <w:r w:rsidR="7BE87353" w:rsidRPr="4B0E998B">
        <w:rPr>
          <w:color w:val="000000" w:themeColor="text1"/>
        </w:rPr>
        <w:t>, and (2)</w:t>
      </w:r>
      <w:r w:rsidR="00EC4B2E">
        <w:rPr>
          <w:color w:val="000000" w:themeColor="text1"/>
        </w:rPr>
        <w:t> </w:t>
      </w:r>
      <w:r w:rsidR="7BE87353" w:rsidRPr="4B0E998B">
        <w:rPr>
          <w:color w:val="000000" w:themeColor="text1"/>
        </w:rPr>
        <w:t>does not shortchange the court’s criminal caseload by creating or maintaining a disproportionately large number of civil as compared to criminal departments.” (</w:t>
      </w:r>
      <w:r w:rsidR="7BE87353" w:rsidRPr="797FBB80">
        <w:rPr>
          <w:i/>
          <w:iCs/>
          <w:color w:val="000000" w:themeColor="text1"/>
        </w:rPr>
        <w:t>Engram</w:t>
      </w:r>
      <w:r w:rsidR="7BE87353" w:rsidRPr="4B0E998B">
        <w:rPr>
          <w:color w:val="000000" w:themeColor="text1"/>
        </w:rPr>
        <w:t xml:space="preserve">, </w:t>
      </w:r>
      <w:r w:rsidR="7BE87353" w:rsidRPr="797FBB80">
        <w:rPr>
          <w:i/>
          <w:iCs/>
          <w:color w:val="000000" w:themeColor="text1"/>
        </w:rPr>
        <w:t>supra</w:t>
      </w:r>
      <w:r w:rsidR="7BE87353" w:rsidRPr="4B0E998B">
        <w:rPr>
          <w:color w:val="000000" w:themeColor="text1"/>
        </w:rPr>
        <w:t xml:space="preserve">, </w:t>
      </w:r>
      <w:r w:rsidR="001D770E" w:rsidRPr="00EC4B2E">
        <w:t>50</w:t>
      </w:r>
      <w:r w:rsidR="00EC4B2E">
        <w:t> </w:t>
      </w:r>
      <w:r w:rsidR="001D770E" w:rsidRPr="00EC4B2E">
        <w:t>Cal</w:t>
      </w:r>
      <w:r w:rsidR="001D770E">
        <w:rPr>
          <w:color w:val="000000" w:themeColor="text1"/>
        </w:rPr>
        <w:t xml:space="preserve">.4th </w:t>
      </w:r>
      <w:r w:rsidR="7BE87353" w:rsidRPr="4B0E998B">
        <w:rPr>
          <w:color w:val="000000" w:themeColor="text1"/>
        </w:rPr>
        <w:t>at p. 1156</w:t>
      </w:r>
      <w:r w:rsidR="7BE87353">
        <w:rPr>
          <w:color w:val="000000" w:themeColor="text1"/>
        </w:rPr>
        <w:t xml:space="preserve">; </w:t>
      </w:r>
      <w:r w:rsidR="7BE87353">
        <w:rPr>
          <w:rFonts w:cs="Times New Roman"/>
        </w:rPr>
        <w:t>see pp. </w:t>
      </w:r>
      <w:r w:rsidR="00923537">
        <w:rPr>
          <w:rFonts w:cs="Times New Roman"/>
        </w:rPr>
        <w:t>17</w:t>
      </w:r>
      <w:r w:rsidR="7BE87353">
        <w:rPr>
          <w:rFonts w:cs="Times New Roman"/>
        </w:rPr>
        <w:t>–2</w:t>
      </w:r>
      <w:r w:rsidR="00923537">
        <w:rPr>
          <w:rFonts w:cs="Times New Roman"/>
        </w:rPr>
        <w:t>2</w:t>
      </w:r>
      <w:r w:rsidR="7BE87353">
        <w:rPr>
          <w:rFonts w:cs="Times New Roman"/>
        </w:rPr>
        <w:t xml:space="preserve">, </w:t>
      </w:r>
      <w:r w:rsidR="7BE87353" w:rsidRPr="797FBB80">
        <w:rPr>
          <w:rFonts w:cs="Times New Roman"/>
          <w:i/>
          <w:iCs/>
        </w:rPr>
        <w:lastRenderedPageBreak/>
        <w:t>ante</w:t>
      </w:r>
      <w:r w:rsidR="7BE87353" w:rsidRPr="00D61F86">
        <w:rPr>
          <w:rFonts w:cs="Times New Roman"/>
        </w:rPr>
        <w:t>.)</w:t>
      </w:r>
      <w:r w:rsidRPr="00D61F86">
        <w:rPr>
          <w:rFonts w:cs="Times New Roman"/>
        </w:rPr>
        <w:t xml:space="preserve"> </w:t>
      </w:r>
      <w:r w:rsidR="000909F6">
        <w:t>T</w:t>
      </w:r>
      <w:r>
        <w:t>he facts alleged, if p</w:t>
      </w:r>
      <w:r w:rsidR="56F9A6E2">
        <w:t xml:space="preserve">roven, could </w:t>
      </w:r>
      <w:r w:rsidR="00F32DCD">
        <w:t xml:space="preserve">lead a trier of fact to </w:t>
      </w:r>
      <w:r w:rsidR="00B5029C">
        <w:t>find</w:t>
      </w:r>
      <w:r w:rsidR="00F32DCD">
        <w:t xml:space="preserve"> </w:t>
      </w:r>
      <w:r w:rsidR="56F9A6E2">
        <w:t>that</w:t>
      </w:r>
      <w:r w:rsidR="0045503C">
        <w:t>,</w:t>
      </w:r>
      <w:r w:rsidR="56F9A6E2">
        <w:t xml:space="preserve"> </w:t>
      </w:r>
      <w:r w:rsidR="008226AE">
        <w:t>many months into</w:t>
      </w:r>
      <w:r w:rsidR="00D15E9D">
        <w:t xml:space="preserve"> the pandemic</w:t>
      </w:r>
      <w:r w:rsidR="00416772">
        <w:t xml:space="preserve">, </w:t>
      </w:r>
      <w:r w:rsidR="56F9A6E2">
        <w:t xml:space="preserve">defendants failed to take </w:t>
      </w:r>
      <w:r w:rsidR="00EE0E88">
        <w:t>feasible,</w:t>
      </w:r>
      <w:r w:rsidR="56F9A6E2">
        <w:t xml:space="preserve"> common</w:t>
      </w:r>
      <w:r w:rsidR="005C5879">
        <w:t>-</w:t>
      </w:r>
      <w:r w:rsidR="56F9A6E2">
        <w:t>sense me</w:t>
      </w:r>
      <w:r w:rsidR="00BF28A6">
        <w:t>a</w:t>
      </w:r>
      <w:r w:rsidR="56F9A6E2">
        <w:t xml:space="preserve">sures to devote adequate resources to </w:t>
      </w:r>
      <w:r w:rsidR="265705C1">
        <w:t>criminal trials</w:t>
      </w:r>
      <w:r w:rsidR="00475949">
        <w:t>,</w:t>
      </w:r>
      <w:r w:rsidR="007905B4">
        <w:t xml:space="preserve"> </w:t>
      </w:r>
      <w:r w:rsidR="009C1DB2">
        <w:t>and thus failed</w:t>
      </w:r>
      <w:r w:rsidR="007905B4">
        <w:t xml:space="preserve"> to </w:t>
      </w:r>
      <w:r w:rsidR="00DB5D41">
        <w:t xml:space="preserve">adequately </w:t>
      </w:r>
      <w:r w:rsidR="007905B4">
        <w:t xml:space="preserve">prioritize </w:t>
      </w:r>
      <w:r w:rsidR="00DB5D41">
        <w:t>criminal cases</w:t>
      </w:r>
      <w:r w:rsidR="007905B4">
        <w:t xml:space="preserve"> over civil matters</w:t>
      </w:r>
      <w:r w:rsidR="265705C1">
        <w:t xml:space="preserve">, </w:t>
      </w:r>
      <w:r w:rsidR="009C1DB2">
        <w:t>in ways that</w:t>
      </w:r>
      <w:r w:rsidR="00857CD5">
        <w:t xml:space="preserve"> </w:t>
      </w:r>
      <w:r w:rsidR="00DB5D41">
        <w:t>exacerbat</w:t>
      </w:r>
      <w:r w:rsidR="00857CD5">
        <w:t>ed</w:t>
      </w:r>
      <w:r w:rsidR="00DB5D41">
        <w:t xml:space="preserve"> the backlog and</w:t>
      </w:r>
      <w:r w:rsidR="00046A59">
        <w:t xml:space="preserve"> </w:t>
      </w:r>
      <w:r w:rsidR="00B53206">
        <w:t>“shortchang</w:t>
      </w:r>
      <w:r w:rsidR="00857CD5">
        <w:t>ed</w:t>
      </w:r>
      <w:r w:rsidR="007905B4">
        <w:t>” defendant court’s criminal caseload</w:t>
      </w:r>
      <w:r w:rsidR="00DB5D41">
        <w:t>.</w:t>
      </w:r>
      <w:r w:rsidR="00B53206">
        <w:t xml:space="preserve"> </w:t>
      </w:r>
      <w:r w:rsidR="00DB5D41">
        <w:t>Thus, plaintiffs</w:t>
      </w:r>
      <w:r w:rsidR="56F9A6E2">
        <w:t xml:space="preserve"> </w:t>
      </w:r>
      <w:r>
        <w:t>“</w:t>
      </w:r>
      <w:proofErr w:type="gramStart"/>
      <w:r>
        <w:t>state</w:t>
      </w:r>
      <w:r>
        <w:t>[</w:t>
      </w:r>
      <w:proofErr w:type="gramEnd"/>
      <w:r>
        <w:t>] a cause of action under [a] possible legal theory</w:t>
      </w:r>
      <w:r w:rsidR="7ECC7080">
        <w:t>.</w:t>
      </w:r>
      <w:r>
        <w:t xml:space="preserve">” </w:t>
      </w:r>
      <w:r w:rsidR="4D898E41">
        <w:t>(</w:t>
      </w:r>
      <w:r w:rsidR="4D898E41" w:rsidRPr="797FBB80">
        <w:rPr>
          <w:i/>
          <w:iCs/>
        </w:rPr>
        <w:t>Amy’s Kitchen</w:t>
      </w:r>
      <w:r w:rsidR="4D898E41">
        <w:t xml:space="preserve">, </w:t>
      </w:r>
      <w:r w:rsidR="4D898E41" w:rsidRPr="797FBB80">
        <w:rPr>
          <w:i/>
          <w:iCs/>
        </w:rPr>
        <w:t>supra</w:t>
      </w:r>
      <w:r w:rsidR="4D898E41">
        <w:t>, 83 Cal.App.5th at p. 1067.)</w:t>
      </w:r>
    </w:p>
    <w:p w14:paraId="725A8277" w14:textId="7E5BBC79" w:rsidR="00122DC0" w:rsidRDefault="001B6997" w:rsidP="797FBB80">
      <w:pPr>
        <w:autoSpaceDE w:val="0"/>
        <w:autoSpaceDN w:val="0"/>
        <w:adjustRightInd w:val="0"/>
        <w:spacing w:line="360" w:lineRule="auto"/>
        <w:contextualSpacing/>
        <w:rPr>
          <w:rFonts w:eastAsia="Century Schoolbook" w:cs="Century Schoolbook"/>
        </w:rPr>
      </w:pPr>
      <w:r>
        <w:rPr>
          <w:rFonts w:cs="Times New Roman"/>
        </w:rPr>
        <w:tab/>
      </w:r>
      <w:r w:rsidR="006E76DD">
        <w:rPr>
          <w:rFonts w:cs="Times New Roman"/>
        </w:rPr>
        <w:t>Citing subdivision (</w:t>
      </w:r>
      <w:r w:rsidR="006E76DD">
        <w:rPr>
          <w:rFonts w:cs="Times New Roman"/>
          <w:i/>
          <w:iCs/>
        </w:rPr>
        <w:t>l</w:t>
      </w:r>
      <w:r w:rsidR="006E76DD">
        <w:rPr>
          <w:rFonts w:cs="Times New Roman"/>
        </w:rPr>
        <w:t>) of section 1050,</w:t>
      </w:r>
      <w:r w:rsidR="006E76DD">
        <w:rPr>
          <w:rFonts w:cs="Times New Roman"/>
          <w:i/>
          <w:iCs/>
        </w:rPr>
        <w:t xml:space="preserve"> </w:t>
      </w:r>
      <w:r w:rsidR="006E76DD">
        <w:rPr>
          <w:rFonts w:cs="Times New Roman"/>
        </w:rPr>
        <w:t>d</w:t>
      </w:r>
      <w:r w:rsidR="32F0BEEE">
        <w:rPr>
          <w:rFonts w:cs="Times New Roman"/>
        </w:rPr>
        <w:t xml:space="preserve">efendants contend </w:t>
      </w:r>
      <w:r w:rsidR="13DCD4AE">
        <w:rPr>
          <w:rFonts w:cs="Times New Roman"/>
        </w:rPr>
        <w:t>that</w:t>
      </w:r>
      <w:r w:rsidR="09349C00">
        <w:rPr>
          <w:rFonts w:cs="Times New Roman"/>
        </w:rPr>
        <w:t xml:space="preserve"> </w:t>
      </w:r>
      <w:r w:rsidR="13DCD4AE">
        <w:rPr>
          <w:rFonts w:cs="Times New Roman"/>
        </w:rPr>
        <w:t>th</w:t>
      </w:r>
      <w:r w:rsidR="006E76DD">
        <w:rPr>
          <w:rFonts w:cs="Times New Roman"/>
        </w:rPr>
        <w:t>e</w:t>
      </w:r>
      <w:r w:rsidR="13DCD4AE">
        <w:rPr>
          <w:rFonts w:cs="Times New Roman"/>
        </w:rPr>
        <w:t xml:space="preserve"> duty </w:t>
      </w:r>
      <w:r w:rsidR="006E76DD">
        <w:rPr>
          <w:rFonts w:cs="Times New Roman"/>
        </w:rPr>
        <w:t xml:space="preserve">imposed by section 1050(a) </w:t>
      </w:r>
      <w:r w:rsidR="00684838">
        <w:rPr>
          <w:rFonts w:cs="Times New Roman"/>
        </w:rPr>
        <w:t xml:space="preserve">cannot serve as a basis for common law taxpayer relief because the duty </w:t>
      </w:r>
      <w:r w:rsidR="13DCD4AE">
        <w:rPr>
          <w:rFonts w:cs="Times New Roman"/>
        </w:rPr>
        <w:t>is “directory</w:t>
      </w:r>
      <w:r w:rsidR="5F19AF7E">
        <w:rPr>
          <w:rFonts w:cs="Times New Roman"/>
        </w:rPr>
        <w:t xml:space="preserve">” </w:t>
      </w:r>
      <w:r w:rsidR="09349C00">
        <w:rPr>
          <w:rFonts w:cs="Times New Roman"/>
        </w:rPr>
        <w:t>only</w:t>
      </w:r>
      <w:r w:rsidR="32F0BEEE">
        <w:rPr>
          <w:rFonts w:cs="Times New Roman"/>
        </w:rPr>
        <w:t>, not mandatory,</w:t>
      </w:r>
      <w:r w:rsidR="3CC69AB5">
        <w:rPr>
          <w:rFonts w:cs="Times New Roman"/>
        </w:rPr>
        <w:t xml:space="preserve"> and thus </w:t>
      </w:r>
      <w:r w:rsidR="32F0BEEE">
        <w:rPr>
          <w:rFonts w:cs="Times New Roman"/>
        </w:rPr>
        <w:t>there is</w:t>
      </w:r>
      <w:r w:rsidR="09349C00">
        <w:rPr>
          <w:rFonts w:cs="Times New Roman"/>
        </w:rPr>
        <w:t xml:space="preserve"> no </w:t>
      </w:r>
      <w:r w:rsidR="7540D833">
        <w:rPr>
          <w:rFonts w:cs="Times New Roman"/>
        </w:rPr>
        <w:t>“duty specifically enjoined</w:t>
      </w:r>
      <w:r w:rsidR="6CDA4AF1">
        <w:rPr>
          <w:rFonts w:cs="Times New Roman"/>
        </w:rPr>
        <w:t>”</w:t>
      </w:r>
      <w:r w:rsidR="09349C00">
        <w:rPr>
          <w:rFonts w:cs="Times New Roman"/>
        </w:rPr>
        <w:t xml:space="preserve"> </w:t>
      </w:r>
      <w:r w:rsidR="37948FE2">
        <w:rPr>
          <w:rFonts w:cs="Times New Roman"/>
        </w:rPr>
        <w:t>upon them</w:t>
      </w:r>
      <w:r w:rsidR="4639DF3E">
        <w:rPr>
          <w:rFonts w:cs="Times New Roman"/>
        </w:rPr>
        <w:t>.</w:t>
      </w:r>
      <w:r w:rsidR="6CDA4AF1">
        <w:rPr>
          <w:rFonts w:cs="Times New Roman"/>
        </w:rPr>
        <w:t xml:space="preserve"> </w:t>
      </w:r>
      <w:r w:rsidR="00A66F9F">
        <w:rPr>
          <w:rFonts w:cs="Times New Roman"/>
        </w:rPr>
        <w:t>(See § 1050, subd.</w:t>
      </w:r>
      <w:r w:rsidR="00C07B3F">
        <w:rPr>
          <w:rFonts w:cs="Times New Roman"/>
        </w:rPr>
        <w:t> </w:t>
      </w:r>
      <w:r w:rsidR="00A66F9F">
        <w:rPr>
          <w:rFonts w:cs="Times New Roman"/>
        </w:rPr>
        <w:t>(</w:t>
      </w:r>
      <w:r w:rsidR="00A66F9F" w:rsidRPr="00A66F9F">
        <w:rPr>
          <w:rFonts w:cs="Times New Roman"/>
          <w:i/>
          <w:iCs/>
        </w:rPr>
        <w:t>l</w:t>
      </w:r>
      <w:r w:rsidR="00A66F9F">
        <w:rPr>
          <w:rFonts w:cs="Times New Roman"/>
        </w:rPr>
        <w:t>) [</w:t>
      </w:r>
      <w:r w:rsidR="00FE0CF6" w:rsidRPr="00035085">
        <w:rPr>
          <w:rFonts w:cs="Times New Roman"/>
        </w:rPr>
        <w:t>“This section is directory only and does not mandate dismissal of an action by its terms”].)</w:t>
      </w:r>
      <w:r w:rsidR="00A66F9F">
        <w:rPr>
          <w:rFonts w:cs="Times New Roman"/>
        </w:rPr>
        <w:t xml:space="preserve"> </w:t>
      </w:r>
      <w:r w:rsidR="00706FD5">
        <w:rPr>
          <w:rFonts w:cs="Times New Roman"/>
        </w:rPr>
        <w:t xml:space="preserve">This very argument </w:t>
      </w:r>
      <w:r w:rsidR="1BD18366">
        <w:rPr>
          <w:rFonts w:cs="Times New Roman"/>
        </w:rPr>
        <w:t>wa</w:t>
      </w:r>
      <w:r w:rsidR="50FFCA3D">
        <w:rPr>
          <w:rFonts w:cs="Times New Roman"/>
        </w:rPr>
        <w:t>s refuted</w:t>
      </w:r>
      <w:r w:rsidR="55D459B9">
        <w:rPr>
          <w:rFonts w:cs="Times New Roman"/>
        </w:rPr>
        <w:t>, however,</w:t>
      </w:r>
      <w:r w:rsidR="50FFCA3D">
        <w:rPr>
          <w:rFonts w:cs="Times New Roman"/>
        </w:rPr>
        <w:t xml:space="preserve"> </w:t>
      </w:r>
      <w:r w:rsidR="2760F8E3">
        <w:rPr>
          <w:rFonts w:cs="Times New Roman"/>
        </w:rPr>
        <w:t xml:space="preserve">in </w:t>
      </w:r>
      <w:r w:rsidR="6CB68186" w:rsidRPr="00EE0E88">
        <w:rPr>
          <w:rFonts w:cs="Times New Roman"/>
          <w:i/>
        </w:rPr>
        <w:t>Engram</w:t>
      </w:r>
      <w:r w:rsidR="6CB68186">
        <w:rPr>
          <w:rFonts w:cs="Times New Roman"/>
        </w:rPr>
        <w:t>,</w:t>
      </w:r>
      <w:r w:rsidR="7EB8C56F">
        <w:rPr>
          <w:rFonts w:cs="Times New Roman"/>
        </w:rPr>
        <w:t xml:space="preserve"> in which the </w:t>
      </w:r>
      <w:r w:rsidR="6CB68186">
        <w:t xml:space="preserve">court </w:t>
      </w:r>
      <w:r w:rsidR="00F80B11">
        <w:t xml:space="preserve">explained </w:t>
      </w:r>
      <w:r w:rsidR="6CB68186">
        <w:t xml:space="preserve">that </w:t>
      </w:r>
      <w:r w:rsidR="000944E6">
        <w:t xml:space="preserve">the term </w:t>
      </w:r>
      <w:r w:rsidR="5BB8072C">
        <w:t xml:space="preserve">“directory” </w:t>
      </w:r>
      <w:r w:rsidR="000944E6">
        <w:t>as used in subdivision (</w:t>
      </w:r>
      <w:r w:rsidR="000944E6" w:rsidRPr="000944E6">
        <w:rPr>
          <w:i/>
          <w:iCs/>
        </w:rPr>
        <w:t>l</w:t>
      </w:r>
      <w:r w:rsidR="000944E6">
        <w:t>)</w:t>
      </w:r>
      <w:r w:rsidR="5BB8072C">
        <w:t xml:space="preserve"> </w:t>
      </w:r>
      <w:r w:rsidR="44180251">
        <w:t>d</w:t>
      </w:r>
      <w:r w:rsidR="6CB68186">
        <w:t xml:space="preserve">oes not mean—as it can in other </w:t>
      </w:r>
      <w:r w:rsidR="006E76DD">
        <w:t xml:space="preserve">legal </w:t>
      </w:r>
      <w:r w:rsidR="6CB68186">
        <w:t xml:space="preserve">contexts—that “the sentence in section 1050 granting precedence to criminal cases over civil cases is . . . merely directive rather than compulsory,” but simply that the statute does not mandate </w:t>
      </w:r>
      <w:r w:rsidR="6CB68186" w:rsidRPr="00E74A95">
        <w:rPr>
          <w:i/>
        </w:rPr>
        <w:t>dismissal</w:t>
      </w:r>
      <w:r w:rsidR="6CB68186">
        <w:t xml:space="preserve"> of a case as a remedy for a violation. (</w:t>
      </w:r>
      <w:r w:rsidR="73B0752D" w:rsidRPr="797FBB80">
        <w:rPr>
          <w:i/>
          <w:iCs/>
        </w:rPr>
        <w:t>Engram</w:t>
      </w:r>
      <w:r w:rsidR="73B0752D">
        <w:t xml:space="preserve">, </w:t>
      </w:r>
      <w:r w:rsidR="73B0752D" w:rsidRPr="797FBB80">
        <w:rPr>
          <w:i/>
          <w:iCs/>
        </w:rPr>
        <w:t>supra</w:t>
      </w:r>
      <w:r w:rsidR="73B0752D">
        <w:t>, 50 Cal.4th at p. 1151 &amp; fn.</w:t>
      </w:r>
      <w:r w:rsidR="006C08E2">
        <w:t> </w:t>
      </w:r>
      <w:r w:rsidR="73B0752D">
        <w:t>8, citing § 1050, subd.</w:t>
      </w:r>
      <w:r w:rsidR="006C08E2">
        <w:t> </w:t>
      </w:r>
      <w:r w:rsidR="73B0752D">
        <w:t>(</w:t>
      </w:r>
      <w:r w:rsidR="73B0752D" w:rsidRPr="797FBB80">
        <w:rPr>
          <w:i/>
          <w:iCs/>
        </w:rPr>
        <w:t>l</w:t>
      </w:r>
      <w:r w:rsidR="73B0752D">
        <w:t>)</w:t>
      </w:r>
      <w:r w:rsidR="127A721C" w:rsidRPr="797FBB80">
        <w:rPr>
          <w:rFonts w:cs="Times New Roman"/>
        </w:rPr>
        <w:t>.</w:t>
      </w:r>
      <w:r w:rsidR="6CB68186">
        <w:t>)</w:t>
      </w:r>
      <w:r w:rsidR="12270EAF">
        <w:rPr>
          <w:rFonts w:cs="Times New Roman"/>
        </w:rPr>
        <w:t xml:space="preserve"> </w:t>
      </w:r>
      <w:r w:rsidR="35618419">
        <w:rPr>
          <w:rFonts w:cs="Times New Roman"/>
        </w:rPr>
        <w:t>Indeed, section</w:t>
      </w:r>
      <w:r w:rsidR="006C08E2">
        <w:rPr>
          <w:rFonts w:cs="Times New Roman"/>
        </w:rPr>
        <w:t> </w:t>
      </w:r>
      <w:r w:rsidR="35618419">
        <w:rPr>
          <w:rFonts w:cs="Times New Roman"/>
        </w:rPr>
        <w:t xml:space="preserve">1050 </w:t>
      </w:r>
      <w:r w:rsidR="35618419">
        <w:t xml:space="preserve">observes that </w:t>
      </w:r>
      <w:r w:rsidR="00BDF121">
        <w:t xml:space="preserve">the remedy of dismissal </w:t>
      </w:r>
      <w:r w:rsidR="35618419">
        <w:t>is provided for in section</w:t>
      </w:r>
      <w:r w:rsidR="006C08E2">
        <w:t> </w:t>
      </w:r>
      <w:r w:rsidR="35618419">
        <w:t xml:space="preserve">1382. </w:t>
      </w:r>
      <w:r w:rsidR="00E325A4">
        <w:t>(</w:t>
      </w:r>
      <w:r w:rsidR="35618419">
        <w:t>§</w:t>
      </w:r>
      <w:r w:rsidR="00B66D8C">
        <w:t> </w:t>
      </w:r>
      <w:r w:rsidR="35618419">
        <w:t>1050, subd.</w:t>
      </w:r>
      <w:r w:rsidR="006C08E2">
        <w:t> </w:t>
      </w:r>
      <w:r w:rsidR="35618419">
        <w:t>(j).</w:t>
      </w:r>
      <w:r w:rsidR="00E325A4">
        <w:t>)</w:t>
      </w:r>
      <w:r w:rsidR="35618419">
        <w:rPr>
          <w:rFonts w:cs="Times New Roman"/>
        </w:rPr>
        <w:t xml:space="preserve"> </w:t>
      </w:r>
      <w:r w:rsidR="12270EAF">
        <w:rPr>
          <w:rFonts w:cs="Times New Roman"/>
        </w:rPr>
        <w:t>The dut</w:t>
      </w:r>
      <w:r w:rsidR="00FD3147">
        <w:rPr>
          <w:rFonts w:cs="Times New Roman"/>
        </w:rPr>
        <w:t>y</w:t>
      </w:r>
      <w:r w:rsidR="12270EAF">
        <w:rPr>
          <w:rFonts w:cs="Times New Roman"/>
        </w:rPr>
        <w:t xml:space="preserve"> imposed by </w:t>
      </w:r>
      <w:r w:rsidR="00C260DA">
        <w:rPr>
          <w:rFonts w:cs="Times New Roman"/>
        </w:rPr>
        <w:t>section </w:t>
      </w:r>
      <w:r w:rsidR="12270EAF">
        <w:rPr>
          <w:rFonts w:cs="Times New Roman"/>
        </w:rPr>
        <w:t xml:space="preserve">1050(a) </w:t>
      </w:r>
      <w:r w:rsidR="00FD3147">
        <w:rPr>
          <w:rFonts w:cs="Times New Roman"/>
        </w:rPr>
        <w:t xml:space="preserve">is </w:t>
      </w:r>
      <w:r w:rsidR="12270EAF">
        <w:rPr>
          <w:rFonts w:cs="Times New Roman"/>
        </w:rPr>
        <w:t>in fact mandatory.</w:t>
      </w:r>
      <w:r>
        <w:rPr>
          <w:rStyle w:val="FootnoteReference"/>
          <w:rFonts w:cs="Times New Roman"/>
        </w:rPr>
        <w:footnoteReference w:id="24"/>
      </w:r>
    </w:p>
    <w:p w14:paraId="6212DAA4" w14:textId="021550D3" w:rsidR="0080647E" w:rsidRPr="007A67EA" w:rsidRDefault="001B6997" w:rsidP="00BE3BF5">
      <w:pPr>
        <w:autoSpaceDE w:val="0"/>
        <w:autoSpaceDN w:val="0"/>
        <w:adjustRightInd w:val="0"/>
        <w:spacing w:line="360" w:lineRule="auto"/>
        <w:contextualSpacing/>
        <w:rPr>
          <w:color w:val="000000" w:themeColor="text1"/>
        </w:rPr>
      </w:pPr>
      <w:r>
        <w:rPr>
          <w:rFonts w:cs="Times New Roman"/>
        </w:rPr>
        <w:lastRenderedPageBreak/>
        <w:tab/>
      </w:r>
      <w:r w:rsidR="004172E0">
        <w:rPr>
          <w:rFonts w:cs="Times New Roman"/>
        </w:rPr>
        <w:t xml:space="preserve">Plaintiffs </w:t>
      </w:r>
      <w:r w:rsidR="137532E9">
        <w:rPr>
          <w:rFonts w:cs="Times New Roman"/>
        </w:rPr>
        <w:t>alleg</w:t>
      </w:r>
      <w:r w:rsidR="004172E0">
        <w:rPr>
          <w:rFonts w:cs="Times New Roman"/>
        </w:rPr>
        <w:t>e</w:t>
      </w:r>
      <w:r w:rsidR="0D9D3115" w:rsidRPr="797FBB80">
        <w:rPr>
          <w:rFonts w:cs="Times New Roman"/>
        </w:rPr>
        <w:t xml:space="preserve"> </w:t>
      </w:r>
      <w:r w:rsidR="00617E41">
        <w:rPr>
          <w:rFonts w:cs="Times New Roman"/>
        </w:rPr>
        <w:t>tha</w:t>
      </w:r>
      <w:r w:rsidR="006B221A">
        <w:rPr>
          <w:rFonts w:cs="Times New Roman"/>
        </w:rPr>
        <w:t>t</w:t>
      </w:r>
      <w:r w:rsidR="00617E41" w:rsidRPr="797FBB80">
        <w:rPr>
          <w:rFonts w:cs="Times New Roman"/>
        </w:rPr>
        <w:t xml:space="preserve"> </w:t>
      </w:r>
      <w:r w:rsidR="137532E9">
        <w:rPr>
          <w:rFonts w:cs="Times New Roman"/>
        </w:rPr>
        <w:t>defendants maintain</w:t>
      </w:r>
      <w:r w:rsidR="4B8267CC">
        <w:rPr>
          <w:rFonts w:cs="Times New Roman"/>
        </w:rPr>
        <w:t>ed</w:t>
      </w:r>
      <w:r w:rsidR="137532E9">
        <w:rPr>
          <w:rFonts w:cs="Times New Roman"/>
        </w:rPr>
        <w:t xml:space="preserve"> a disproportionately large number of civil departments</w:t>
      </w:r>
      <w:r w:rsidR="6EA1D43C">
        <w:rPr>
          <w:rFonts w:cs="Times New Roman"/>
        </w:rPr>
        <w:t xml:space="preserve"> in the face of a mounting backlog</w:t>
      </w:r>
      <w:r w:rsidR="4B8267CC">
        <w:rPr>
          <w:rFonts w:cs="Times New Roman"/>
        </w:rPr>
        <w:t xml:space="preserve"> of criminal trials</w:t>
      </w:r>
      <w:r w:rsidR="137532E9">
        <w:rPr>
          <w:rFonts w:cs="Times New Roman"/>
        </w:rPr>
        <w:t xml:space="preserve"> </w:t>
      </w:r>
      <w:r w:rsidR="0D9D3115" w:rsidRPr="797FBB80">
        <w:rPr>
          <w:rFonts w:cs="Times New Roman"/>
        </w:rPr>
        <w:t>and</w:t>
      </w:r>
      <w:r w:rsidR="137532E9">
        <w:rPr>
          <w:rFonts w:cs="Times New Roman"/>
        </w:rPr>
        <w:t xml:space="preserve"> fail</w:t>
      </w:r>
      <w:r w:rsidR="0D9D3115" w:rsidRPr="797FBB80">
        <w:rPr>
          <w:rFonts w:cs="Times New Roman"/>
        </w:rPr>
        <w:t>ed</w:t>
      </w:r>
      <w:r w:rsidR="137532E9">
        <w:rPr>
          <w:rFonts w:cs="Times New Roman"/>
        </w:rPr>
        <w:t xml:space="preserve"> to devote </w:t>
      </w:r>
      <w:r w:rsidR="3BE98932">
        <w:rPr>
          <w:rFonts w:cs="Times New Roman"/>
        </w:rPr>
        <w:t xml:space="preserve">sufficient </w:t>
      </w:r>
      <w:r w:rsidR="137532E9">
        <w:rPr>
          <w:rFonts w:cs="Times New Roman"/>
        </w:rPr>
        <w:t xml:space="preserve">resources to </w:t>
      </w:r>
      <w:r w:rsidR="00D23AE0">
        <w:rPr>
          <w:rFonts w:cs="Times New Roman"/>
        </w:rPr>
        <w:t xml:space="preserve">staff and operate </w:t>
      </w:r>
      <w:r w:rsidR="137532E9">
        <w:rPr>
          <w:rFonts w:cs="Times New Roman"/>
        </w:rPr>
        <w:t xml:space="preserve">the </w:t>
      </w:r>
      <w:r w:rsidR="13AD5404">
        <w:rPr>
          <w:rFonts w:cs="Times New Roman"/>
        </w:rPr>
        <w:t xml:space="preserve">small </w:t>
      </w:r>
      <w:r w:rsidR="53EA1DF3">
        <w:rPr>
          <w:rFonts w:cs="Times New Roman"/>
        </w:rPr>
        <w:t xml:space="preserve">fraction of departments </w:t>
      </w:r>
      <w:r w:rsidR="00355D41">
        <w:rPr>
          <w:rFonts w:cs="Times New Roman"/>
        </w:rPr>
        <w:t xml:space="preserve">they </w:t>
      </w:r>
      <w:r w:rsidR="00B45D41">
        <w:rPr>
          <w:rFonts w:cs="Times New Roman"/>
          <w:i/>
          <w:iCs/>
        </w:rPr>
        <w:t xml:space="preserve">did </w:t>
      </w:r>
      <w:r w:rsidR="53EA1DF3" w:rsidRPr="00E74954">
        <w:rPr>
          <w:rFonts w:cs="Times New Roman"/>
        </w:rPr>
        <w:t>devote</w:t>
      </w:r>
      <w:r w:rsidR="53EA1DF3">
        <w:rPr>
          <w:rFonts w:cs="Times New Roman"/>
        </w:rPr>
        <w:t xml:space="preserve"> to </w:t>
      </w:r>
      <w:r w:rsidR="137532E9">
        <w:rPr>
          <w:rFonts w:cs="Times New Roman"/>
        </w:rPr>
        <w:t xml:space="preserve">criminal </w:t>
      </w:r>
      <w:r w:rsidR="53EA1DF3">
        <w:rPr>
          <w:rFonts w:cs="Times New Roman"/>
        </w:rPr>
        <w:t>trials</w:t>
      </w:r>
      <w:r w:rsidR="137532E9">
        <w:rPr>
          <w:rFonts w:cs="Times New Roman"/>
        </w:rPr>
        <w:t xml:space="preserve">, </w:t>
      </w:r>
      <w:r w:rsidR="42ECE05D">
        <w:rPr>
          <w:rFonts w:cs="Times New Roman"/>
        </w:rPr>
        <w:t>causi</w:t>
      </w:r>
      <w:r w:rsidR="1AEF29F0">
        <w:rPr>
          <w:rFonts w:cs="Times New Roman"/>
        </w:rPr>
        <w:t xml:space="preserve">ng </w:t>
      </w:r>
      <w:r w:rsidR="40C317E4">
        <w:rPr>
          <w:rFonts w:cs="Times New Roman"/>
        </w:rPr>
        <w:t>a significant number of criminal cases to be continued months past their statutory “last date” for trial</w:t>
      </w:r>
      <w:r w:rsidR="004172E0">
        <w:rPr>
          <w:rFonts w:cs="Times New Roman"/>
        </w:rPr>
        <w:t>. They</w:t>
      </w:r>
      <w:r w:rsidR="137532E9">
        <w:rPr>
          <w:rFonts w:cs="Times New Roman"/>
        </w:rPr>
        <w:t xml:space="preserve"> have</w:t>
      </w:r>
      <w:r w:rsidR="004172E0">
        <w:rPr>
          <w:rFonts w:cs="Times New Roman"/>
        </w:rPr>
        <w:t xml:space="preserve"> therefore</w:t>
      </w:r>
      <w:r w:rsidR="137532E9">
        <w:rPr>
          <w:rFonts w:cs="Times New Roman"/>
        </w:rPr>
        <w:t xml:space="preserve"> pleaded</w:t>
      </w:r>
      <w:r w:rsidR="2AB222EC">
        <w:rPr>
          <w:rFonts w:cs="Times New Roman"/>
        </w:rPr>
        <w:t xml:space="preserve"> </w:t>
      </w:r>
      <w:r w:rsidR="7FE391D0">
        <w:rPr>
          <w:rFonts w:cs="Times New Roman"/>
        </w:rPr>
        <w:t>a prima facie case</w:t>
      </w:r>
      <w:r w:rsidR="2AB222EC">
        <w:rPr>
          <w:rFonts w:cs="Times New Roman"/>
        </w:rPr>
        <w:t xml:space="preserve"> that defendants shortchanged the court’s criminal caseload </w:t>
      </w:r>
      <w:r w:rsidR="0D9D3115" w:rsidRPr="797FBB80">
        <w:rPr>
          <w:rFonts w:cs="Times New Roman"/>
        </w:rPr>
        <w:t>in violation of</w:t>
      </w:r>
      <w:r w:rsidR="137532E9">
        <w:rPr>
          <w:rFonts w:cs="Times New Roman"/>
        </w:rPr>
        <w:t xml:space="preserve"> “a duty specifically enjoined” on </w:t>
      </w:r>
      <w:r w:rsidR="00D23AE0">
        <w:rPr>
          <w:rFonts w:cs="Times New Roman"/>
        </w:rPr>
        <w:t xml:space="preserve">them </w:t>
      </w:r>
      <w:r w:rsidR="137532E9">
        <w:rPr>
          <w:rFonts w:cs="Times New Roman"/>
        </w:rPr>
        <w:t>by section</w:t>
      </w:r>
      <w:r w:rsidR="009060B6">
        <w:rPr>
          <w:rFonts w:cs="Times New Roman"/>
        </w:rPr>
        <w:t> </w:t>
      </w:r>
      <w:r w:rsidR="137532E9">
        <w:rPr>
          <w:rFonts w:cs="Times New Roman"/>
        </w:rPr>
        <w:t>1050(a).</w:t>
      </w:r>
    </w:p>
    <w:p w14:paraId="651BBCB2" w14:textId="6B6DF9BF" w:rsidR="00547091" w:rsidRPr="00B164CC" w:rsidRDefault="001B6997" w:rsidP="00F60848">
      <w:pPr>
        <w:keepNext/>
        <w:autoSpaceDE w:val="0"/>
        <w:autoSpaceDN w:val="0"/>
        <w:adjustRightInd w:val="0"/>
        <w:spacing w:after="120" w:line="240" w:lineRule="auto"/>
        <w:ind w:left="720" w:hanging="720"/>
        <w:rPr>
          <w:rFonts w:cs="Times New Roman"/>
          <w:b/>
          <w:bCs/>
          <w:i/>
          <w:iCs/>
        </w:rPr>
      </w:pPr>
      <w:r>
        <w:rPr>
          <w:rFonts w:cs="Times New Roman"/>
          <w:b/>
          <w:bCs/>
          <w:i/>
          <w:iCs/>
        </w:rPr>
        <w:tab/>
      </w:r>
      <w:r w:rsidR="00EB05C6">
        <w:rPr>
          <w:rFonts w:cs="Times New Roman"/>
          <w:b/>
          <w:bCs/>
          <w:i/>
          <w:iCs/>
        </w:rPr>
        <w:t>d</w:t>
      </w:r>
      <w:r w:rsidR="5DA8CA54" w:rsidRPr="797FBB80">
        <w:rPr>
          <w:rFonts w:cs="Times New Roman"/>
          <w:b/>
          <w:bCs/>
          <w:i/>
          <w:iCs/>
        </w:rPr>
        <w:t>. The Complaint Sufficiently Alleges a</w:t>
      </w:r>
      <w:r w:rsidRPr="797FBB80">
        <w:rPr>
          <w:rFonts w:cs="Times New Roman"/>
          <w:b/>
          <w:bCs/>
          <w:i/>
          <w:iCs/>
        </w:rPr>
        <w:t xml:space="preserve"> </w:t>
      </w:r>
      <w:r w:rsidR="00F60848">
        <w:rPr>
          <w:rFonts w:cs="Times New Roman"/>
          <w:b/>
          <w:bCs/>
          <w:i/>
          <w:iCs/>
        </w:rPr>
        <w:t>Statutory Taxpayer</w:t>
      </w:r>
      <w:r w:rsidR="2612A061" w:rsidRPr="797FBB80">
        <w:rPr>
          <w:rFonts w:cs="Times New Roman"/>
          <w:b/>
          <w:bCs/>
          <w:i/>
          <w:iCs/>
        </w:rPr>
        <w:t xml:space="preserve"> </w:t>
      </w:r>
      <w:r w:rsidR="05F9DCA5" w:rsidRPr="797FBB80">
        <w:rPr>
          <w:rFonts w:cs="Times New Roman"/>
          <w:b/>
          <w:bCs/>
          <w:i/>
          <w:iCs/>
        </w:rPr>
        <w:t>Claim</w:t>
      </w:r>
    </w:p>
    <w:p w14:paraId="085AA3FE" w14:textId="108C0621" w:rsidR="0080647E" w:rsidRDefault="001B6997" w:rsidP="003F5F13">
      <w:pPr>
        <w:autoSpaceDE w:val="0"/>
        <w:autoSpaceDN w:val="0"/>
        <w:adjustRightInd w:val="0"/>
        <w:spacing w:line="360" w:lineRule="auto"/>
        <w:contextualSpacing/>
        <w:rPr>
          <w:rFonts w:cs="Times New Roman"/>
        </w:rPr>
      </w:pPr>
      <w:r>
        <w:rPr>
          <w:rFonts w:cs="Times New Roman"/>
        </w:rPr>
        <w:tab/>
      </w:r>
      <w:r w:rsidR="5082AC07">
        <w:rPr>
          <w:rFonts w:cs="Times New Roman"/>
        </w:rPr>
        <w:t xml:space="preserve">Defendants </w:t>
      </w:r>
      <w:r w:rsidR="2F4D1032">
        <w:rPr>
          <w:rFonts w:cs="Times New Roman"/>
        </w:rPr>
        <w:t xml:space="preserve">also </w:t>
      </w:r>
      <w:r w:rsidR="00F751FF">
        <w:rPr>
          <w:rFonts w:cs="Times New Roman"/>
        </w:rPr>
        <w:t>challenge the adequacy of</w:t>
      </w:r>
      <w:r w:rsidR="25975A6A">
        <w:rPr>
          <w:rFonts w:cs="Times New Roman"/>
        </w:rPr>
        <w:t xml:space="preserve"> </w:t>
      </w:r>
      <w:r w:rsidR="00F751FF">
        <w:rPr>
          <w:rFonts w:cs="Times New Roman"/>
        </w:rPr>
        <w:t xml:space="preserve">plaintiffs’ </w:t>
      </w:r>
      <w:r w:rsidR="00F751FF" w:rsidRPr="00AE3099">
        <w:rPr>
          <w:rFonts w:cs="Times New Roman"/>
          <w:i/>
        </w:rPr>
        <w:t>statutory</w:t>
      </w:r>
      <w:r w:rsidR="00F751FF">
        <w:rPr>
          <w:rFonts w:cs="Times New Roman"/>
        </w:rPr>
        <w:t xml:space="preserve"> </w:t>
      </w:r>
      <w:r w:rsidR="33505A92">
        <w:rPr>
          <w:rFonts w:cs="Times New Roman"/>
        </w:rPr>
        <w:t xml:space="preserve">taxpayer-standing </w:t>
      </w:r>
      <w:r w:rsidR="25975A6A">
        <w:rPr>
          <w:rFonts w:cs="Times New Roman"/>
        </w:rPr>
        <w:t xml:space="preserve">cause of action. While not dispositive of this appeal, given our holding </w:t>
      </w:r>
      <w:r w:rsidR="60D30CBA" w:rsidRPr="797FBB80">
        <w:rPr>
          <w:rFonts w:cs="Times New Roman"/>
        </w:rPr>
        <w:t xml:space="preserve">that </w:t>
      </w:r>
      <w:r w:rsidR="00340F72">
        <w:rPr>
          <w:rFonts w:cs="Times New Roman"/>
        </w:rPr>
        <w:t>p</w:t>
      </w:r>
      <w:r w:rsidR="60D30CBA" w:rsidRPr="797FBB80">
        <w:rPr>
          <w:rFonts w:cs="Times New Roman"/>
        </w:rPr>
        <w:t>laintiffs have adequately pleaded a</w:t>
      </w:r>
      <w:r w:rsidR="25975A6A">
        <w:rPr>
          <w:rFonts w:cs="Times New Roman"/>
        </w:rPr>
        <w:t xml:space="preserve"> common law </w:t>
      </w:r>
      <w:r w:rsidR="60D30CBA" w:rsidRPr="797FBB80">
        <w:rPr>
          <w:rFonts w:cs="Times New Roman"/>
        </w:rPr>
        <w:t>claim</w:t>
      </w:r>
      <w:r w:rsidR="25975A6A">
        <w:rPr>
          <w:rFonts w:cs="Times New Roman"/>
        </w:rPr>
        <w:t>, we exercise our discretion to provide guidance on remand.</w:t>
      </w:r>
    </w:p>
    <w:p w14:paraId="6CAA504D" w14:textId="0E6CD319" w:rsidR="00E321DF" w:rsidRPr="00EB05C6" w:rsidRDefault="001B6997" w:rsidP="005B6366">
      <w:pPr>
        <w:keepNext/>
        <w:spacing w:after="120" w:line="240" w:lineRule="auto"/>
        <w:ind w:left="1440" w:hanging="1440"/>
        <w:rPr>
          <w:rFonts w:eastAsia="Calibri" w:cs="Arial"/>
          <w:b/>
          <w:bCs/>
          <w:szCs w:val="26"/>
        </w:rPr>
      </w:pPr>
      <w:r>
        <w:rPr>
          <w:rFonts w:cs="Times New Roman"/>
          <w:b/>
          <w:i/>
        </w:rPr>
        <w:tab/>
      </w:r>
      <w:r>
        <w:rPr>
          <w:rFonts w:cs="Times New Roman"/>
          <w:b/>
          <w:i/>
        </w:rPr>
        <w:tab/>
        <w:t xml:space="preserve">1. </w:t>
      </w:r>
      <w:r w:rsidR="3437F97E" w:rsidRPr="00EB05C6">
        <w:rPr>
          <w:rFonts w:cs="Times New Roman"/>
          <w:b/>
          <w:i/>
        </w:rPr>
        <w:t>Plaintiffs</w:t>
      </w:r>
      <w:r w:rsidR="3437F97E" w:rsidRPr="00EB05C6">
        <w:rPr>
          <w:rFonts w:cs="Times New Roman"/>
          <w:b/>
          <w:bCs/>
          <w:i/>
          <w:iCs/>
        </w:rPr>
        <w:t xml:space="preserve"> Have Pleaded “Waste” or “Illegal Expenditure” of Public Funds</w:t>
      </w:r>
    </w:p>
    <w:p w14:paraId="7EDE0D0E" w14:textId="6F64D15F" w:rsidR="0080647E" w:rsidRDefault="001B6997" w:rsidP="007A67EA">
      <w:pPr>
        <w:autoSpaceDE w:val="0"/>
        <w:autoSpaceDN w:val="0"/>
        <w:adjustRightInd w:val="0"/>
        <w:spacing w:line="360" w:lineRule="auto"/>
        <w:contextualSpacing/>
      </w:pPr>
      <w:r>
        <w:rPr>
          <w:rFonts w:cs="Times New Roman"/>
        </w:rPr>
        <w:tab/>
      </w:r>
      <w:r w:rsidR="00331372">
        <w:rPr>
          <w:rFonts w:cs="Times New Roman"/>
        </w:rPr>
        <w:t>Code of Civil Procedure s</w:t>
      </w:r>
      <w:r w:rsidR="25975A6A">
        <w:rPr>
          <w:rFonts w:cs="Times New Roman"/>
        </w:rPr>
        <w:t>ection 526a</w:t>
      </w:r>
      <w:r w:rsidR="00F33294">
        <w:rPr>
          <w:rFonts w:cs="Times New Roman"/>
        </w:rPr>
        <w:t>, subdivision (a)</w:t>
      </w:r>
      <w:r w:rsidR="25975A6A" w:rsidRPr="4B0E998B">
        <w:rPr>
          <w:rFonts w:cs="CenturySchoolbook"/>
        </w:rPr>
        <w:t xml:space="preserve"> permits actions to restrain “any illegal expenditure of, waste of, or injury to, the estate, funds, or other property</w:t>
      </w:r>
      <w:r w:rsidR="25975A6A" w:rsidRPr="05D0A8A3">
        <w:rPr>
          <w:rFonts w:cs="CenturySchoolbook"/>
        </w:rPr>
        <w:t>” of a covered public agency.</w:t>
      </w:r>
      <w:r w:rsidR="25975A6A" w:rsidRPr="4B0E998B">
        <w:rPr>
          <w:rFonts w:cs="CenturySchoolbook"/>
        </w:rPr>
        <w:t xml:space="preserve"> </w:t>
      </w:r>
      <w:r w:rsidR="25975A6A">
        <w:rPr>
          <w:rFonts w:cs="Times New Roman"/>
          <w:color w:val="000000"/>
        </w:rPr>
        <w:t xml:space="preserve">Defendants deny that plaintiffs </w:t>
      </w:r>
      <w:r w:rsidR="25975A6A">
        <w:rPr>
          <w:rFonts w:cs="Times New Roman"/>
          <w:color w:val="000000"/>
        </w:rPr>
        <w:lastRenderedPageBreak/>
        <w:t xml:space="preserve">have pleaded “waste.” </w:t>
      </w:r>
      <w:r w:rsidR="25975A6A" w:rsidRPr="2DBE3B38">
        <w:rPr>
          <w:rFonts w:cs="Times New Roman"/>
          <w:color w:val="000000" w:themeColor="text1"/>
        </w:rPr>
        <w:t>Initially</w:t>
      </w:r>
      <w:r w:rsidR="25975A6A">
        <w:rPr>
          <w:rFonts w:cs="Times New Roman"/>
          <w:color w:val="000000"/>
        </w:rPr>
        <w:t xml:space="preserve">, they argue plaintiffs allege only expenditures by </w:t>
      </w:r>
      <w:r w:rsidR="25975A6A" w:rsidRPr="797FBB80">
        <w:rPr>
          <w:rFonts w:cs="Times New Roman"/>
          <w:i/>
          <w:iCs/>
          <w:color w:val="000000"/>
        </w:rPr>
        <w:t>other</w:t>
      </w:r>
      <w:r w:rsidR="25975A6A">
        <w:rPr>
          <w:rFonts w:cs="Times New Roman"/>
          <w:color w:val="000000"/>
        </w:rPr>
        <w:t xml:space="preserve"> entities occasioned by defendant court’s backlog and resultant continuances. </w:t>
      </w:r>
      <w:r w:rsidR="25975A6A" w:rsidRPr="4D00544E">
        <w:rPr>
          <w:rFonts w:eastAsia="Times New Roman" w:cs="Times New Roman"/>
          <w:color w:val="000000" w:themeColor="text1"/>
        </w:rPr>
        <w:t>However,</w:t>
      </w:r>
      <w:r w:rsidR="3824CD81" w:rsidRPr="4D00544E">
        <w:rPr>
          <w:rFonts w:eastAsia="Times New Roman" w:cs="Times New Roman"/>
          <w:color w:val="000000" w:themeColor="text1"/>
        </w:rPr>
        <w:t xml:space="preserve"> plaintiffs </w:t>
      </w:r>
      <w:r w:rsidR="00C37FA0">
        <w:rPr>
          <w:rFonts w:eastAsia="Times New Roman" w:cs="Times New Roman"/>
          <w:color w:val="000000" w:themeColor="text1"/>
        </w:rPr>
        <w:t>allege</w:t>
      </w:r>
      <w:r w:rsidR="00C37FA0" w:rsidRPr="4D00544E">
        <w:rPr>
          <w:rFonts w:eastAsia="Times New Roman" w:cs="Times New Roman"/>
          <w:color w:val="000000" w:themeColor="text1"/>
        </w:rPr>
        <w:t xml:space="preserve"> </w:t>
      </w:r>
      <w:r w:rsidR="3824CD81" w:rsidRPr="4D00544E">
        <w:rPr>
          <w:rFonts w:eastAsia="Times New Roman" w:cs="Times New Roman"/>
          <w:color w:val="000000" w:themeColor="text1"/>
        </w:rPr>
        <w:t>that defendants’ failure to prioritize criminal cases has caused, inter alia, “increased security, staff and facility costs for multiple pretrial court appearances.”</w:t>
      </w:r>
      <w:r w:rsidR="25975A6A">
        <w:rPr>
          <w:rFonts w:eastAsia="Times New Roman" w:cs="Times New Roman"/>
          <w:color w:val="000000"/>
        </w:rPr>
        <w:t xml:space="preserve"> </w:t>
      </w:r>
      <w:r w:rsidR="00554F52">
        <w:rPr>
          <w:rFonts w:eastAsia="Times New Roman" w:cs="Times New Roman"/>
          <w:color w:val="000000"/>
        </w:rPr>
        <w:t>I</w:t>
      </w:r>
      <w:r w:rsidR="006E3098">
        <w:rPr>
          <w:rFonts w:eastAsia="Times New Roman" w:cs="Times New Roman"/>
          <w:color w:val="000000"/>
        </w:rPr>
        <w:t xml:space="preserve">n </w:t>
      </w:r>
      <w:r w:rsidR="451C99AE">
        <w:rPr>
          <w:rFonts w:eastAsia="Times New Roman" w:cs="Times New Roman"/>
          <w:color w:val="000000"/>
        </w:rPr>
        <w:t xml:space="preserve">any event, </w:t>
      </w:r>
      <w:r w:rsidR="00331372">
        <w:rPr>
          <w:rFonts w:eastAsia="Times New Roman" w:cs="Times New Roman"/>
          <w:color w:val="000000"/>
        </w:rPr>
        <w:t>Code of Civil Procedure</w:t>
      </w:r>
      <w:r w:rsidR="451C99AE">
        <w:rPr>
          <w:rFonts w:eastAsia="Times New Roman" w:cs="Times New Roman"/>
          <w:color w:val="000000"/>
        </w:rPr>
        <w:t xml:space="preserve"> </w:t>
      </w:r>
      <w:r w:rsidR="25975A6A">
        <w:rPr>
          <w:rFonts w:eastAsia="Times New Roman" w:cs="Times New Roman"/>
          <w:color w:val="000000"/>
        </w:rPr>
        <w:t>section 526a permits challenges to “illegal expenditure” of public funds</w:t>
      </w:r>
      <w:r w:rsidR="25975A6A" w:rsidRPr="4D00544E">
        <w:rPr>
          <w:rFonts w:eastAsia="Times New Roman" w:cs="Times New Roman"/>
          <w:color w:val="000000" w:themeColor="text1"/>
        </w:rPr>
        <w:t xml:space="preserve">, regardless of </w:t>
      </w:r>
      <w:r w:rsidR="25975A6A">
        <w:t>the</w:t>
      </w:r>
      <w:r w:rsidR="00BD57C3">
        <w:t>ir</w:t>
      </w:r>
      <w:r w:rsidR="25975A6A">
        <w:t xml:space="preserve"> amount or </w:t>
      </w:r>
      <w:r w:rsidR="6B693A50">
        <w:t>whether “</w:t>
      </w:r>
      <w:r w:rsidR="25975A6A">
        <w:t xml:space="preserve">the illegal procedures actually permit a </w:t>
      </w:r>
      <w:r w:rsidR="25975A6A" w:rsidRPr="00242118">
        <w:rPr>
          <w:i/>
        </w:rPr>
        <w:t>saving</w:t>
      </w:r>
      <w:r w:rsidR="25975A6A">
        <w:t xml:space="preserve"> of tax funds</w:t>
      </w:r>
      <w:r w:rsidR="2A4C2899">
        <w:t>.</w:t>
      </w:r>
      <w:r w:rsidR="25975A6A">
        <w:t>” (</w:t>
      </w:r>
      <w:proofErr w:type="spellStart"/>
      <w:r w:rsidR="25975A6A" w:rsidRPr="797FBB80">
        <w:rPr>
          <w:i/>
          <w:iCs/>
        </w:rPr>
        <w:t>Wirin</w:t>
      </w:r>
      <w:proofErr w:type="spellEnd"/>
      <w:r w:rsidR="25975A6A" w:rsidRPr="797FBB80">
        <w:rPr>
          <w:i/>
          <w:iCs/>
        </w:rPr>
        <w:t xml:space="preserve"> v. Parker</w:t>
      </w:r>
      <w:r w:rsidR="25975A6A">
        <w:t xml:space="preserve"> (1957) 48 Cal.2d 890</w:t>
      </w:r>
      <w:r w:rsidR="25975A6A" w:rsidRPr="797FBB80">
        <w:rPr>
          <w:i/>
          <w:iCs/>
        </w:rPr>
        <w:t xml:space="preserve">, </w:t>
      </w:r>
      <w:r w:rsidR="25975A6A">
        <w:t>894</w:t>
      </w:r>
      <w:r w:rsidR="5AB33C42">
        <w:t>, italics added</w:t>
      </w:r>
      <w:r w:rsidR="25975A6A">
        <w:t>.)</w:t>
      </w:r>
    </w:p>
    <w:p w14:paraId="27A7D390" w14:textId="2A3DFB11" w:rsidR="0080647E" w:rsidRDefault="001B6997" w:rsidP="797FBB80">
      <w:pPr>
        <w:autoSpaceDE w:val="0"/>
        <w:autoSpaceDN w:val="0"/>
        <w:adjustRightInd w:val="0"/>
        <w:spacing w:line="360" w:lineRule="auto"/>
        <w:contextualSpacing/>
      </w:pPr>
      <w:r>
        <w:tab/>
      </w:r>
      <w:r w:rsidR="00D6157D">
        <w:t>Indeed</w:t>
      </w:r>
      <w:r w:rsidR="25975A6A">
        <w:t>, a</w:t>
      </w:r>
      <w:r w:rsidR="25975A6A" w:rsidRPr="5276B3B3">
        <w:rPr>
          <w:rFonts w:eastAsia="Times New Roman" w:cs="Times New Roman"/>
          <w:color w:val="000000" w:themeColor="text1"/>
        </w:rPr>
        <w:t>mple precedent</w:t>
      </w:r>
      <w:r w:rsidR="25975A6A" w:rsidRPr="73D41AE1">
        <w:rPr>
          <w:rFonts w:eastAsia="Times New Roman" w:cs="Times New Roman"/>
          <w:color w:val="000000" w:themeColor="text1"/>
        </w:rPr>
        <w:t xml:space="preserve"> </w:t>
      </w:r>
      <w:r w:rsidR="25975A6A" w:rsidRPr="1398C0D9">
        <w:rPr>
          <w:rFonts w:eastAsia="Times New Roman" w:cs="Times New Roman"/>
          <w:color w:val="000000" w:themeColor="text1"/>
        </w:rPr>
        <w:t>permits the</w:t>
      </w:r>
      <w:r w:rsidR="25975A6A" w:rsidRPr="5276B3B3">
        <w:rPr>
          <w:rFonts w:eastAsia="Times New Roman" w:cs="Times New Roman"/>
          <w:color w:val="000000" w:themeColor="text1"/>
        </w:rPr>
        <w:t xml:space="preserve"> use </w:t>
      </w:r>
      <w:r w:rsidR="25975A6A" w:rsidRPr="1398C0D9">
        <w:rPr>
          <w:rFonts w:eastAsia="Times New Roman" w:cs="Times New Roman"/>
          <w:color w:val="000000" w:themeColor="text1"/>
        </w:rPr>
        <w:t xml:space="preserve">of </w:t>
      </w:r>
      <w:r w:rsidR="00331372">
        <w:rPr>
          <w:rFonts w:eastAsia="Times New Roman" w:cs="Times New Roman"/>
          <w:color w:val="000000" w:themeColor="text1"/>
        </w:rPr>
        <w:t xml:space="preserve">Code of Civil Procedure </w:t>
      </w:r>
      <w:r w:rsidR="25975A6A" w:rsidRPr="5276B3B3">
        <w:rPr>
          <w:rFonts w:eastAsia="Times New Roman" w:cs="Times New Roman"/>
          <w:color w:val="000000" w:themeColor="text1"/>
        </w:rPr>
        <w:t>section</w:t>
      </w:r>
      <w:r w:rsidR="00F5400A">
        <w:rPr>
          <w:rFonts w:eastAsia="Times New Roman" w:cs="Times New Roman"/>
          <w:color w:val="000000" w:themeColor="text1"/>
        </w:rPr>
        <w:t> </w:t>
      </w:r>
      <w:r w:rsidR="25975A6A" w:rsidRPr="5276B3B3">
        <w:rPr>
          <w:rFonts w:eastAsia="Times New Roman" w:cs="Times New Roman"/>
          <w:color w:val="000000" w:themeColor="text1"/>
        </w:rPr>
        <w:t xml:space="preserve">526a to challenge an agency’s expenditure of funds for activity </w:t>
      </w:r>
      <w:r w:rsidR="00F70EC9">
        <w:rPr>
          <w:rFonts w:eastAsia="Times New Roman" w:cs="Times New Roman"/>
          <w:color w:val="000000" w:themeColor="text1"/>
        </w:rPr>
        <w:t>carried out in a manner violative of</w:t>
      </w:r>
      <w:r w:rsidR="25975A6A" w:rsidRPr="5276B3B3">
        <w:rPr>
          <w:rFonts w:eastAsia="Times New Roman" w:cs="Times New Roman"/>
          <w:color w:val="000000" w:themeColor="text1"/>
        </w:rPr>
        <w:t xml:space="preserve"> constitutional or statutory provisions</w:t>
      </w:r>
      <w:r w:rsidR="25975A6A" w:rsidRPr="1398C0D9">
        <w:rPr>
          <w:rFonts w:eastAsia="Times New Roman" w:cs="Times New Roman"/>
          <w:color w:val="000000" w:themeColor="text1"/>
        </w:rPr>
        <w:t xml:space="preserve">, </w:t>
      </w:r>
      <w:r w:rsidR="25975A6A">
        <w:rPr>
          <w:rFonts w:eastAsia="Times New Roman" w:cs="Times New Roman"/>
          <w:color w:val="000000" w:themeColor="text1"/>
        </w:rPr>
        <w:t>even if the expenditure also produce</w:t>
      </w:r>
      <w:r w:rsidR="426445CB" w:rsidRPr="797FBB80">
        <w:rPr>
          <w:rFonts w:eastAsia="Times New Roman" w:cs="Times New Roman"/>
          <w:color w:val="000000" w:themeColor="text1"/>
        </w:rPr>
        <w:t>s</w:t>
      </w:r>
      <w:r w:rsidR="25975A6A">
        <w:rPr>
          <w:rFonts w:eastAsia="Times New Roman" w:cs="Times New Roman"/>
          <w:color w:val="000000" w:themeColor="text1"/>
        </w:rPr>
        <w:t xml:space="preserve"> some public benefit</w:t>
      </w:r>
      <w:r w:rsidR="25975A6A" w:rsidRPr="0F05C169">
        <w:rPr>
          <w:rFonts w:eastAsia="Times New Roman" w:cs="Times New Roman"/>
          <w:color w:val="000000" w:themeColor="text1"/>
        </w:rPr>
        <w:t>.</w:t>
      </w:r>
      <w:r w:rsidR="25975A6A">
        <w:rPr>
          <w:rFonts w:eastAsia="Times New Roman" w:cs="Times New Roman"/>
          <w:color w:val="000000"/>
        </w:rPr>
        <w:t xml:space="preserve"> (See, e.g., </w:t>
      </w:r>
      <w:r w:rsidR="25975A6A" w:rsidRPr="797FBB80">
        <w:rPr>
          <w:rFonts w:eastAsia="Times New Roman" w:cs="Times New Roman"/>
          <w:i/>
          <w:iCs/>
          <w:color w:val="000000"/>
        </w:rPr>
        <w:t>Blair</w:t>
      </w:r>
      <w:r w:rsidR="0DC8126A" w:rsidRPr="006B5487">
        <w:rPr>
          <w:rFonts w:eastAsia="Times New Roman" w:cs="Times New Roman"/>
          <w:i/>
          <w:color w:val="000000" w:themeColor="text1"/>
        </w:rPr>
        <w:t>, supra,</w:t>
      </w:r>
      <w:r w:rsidRPr="797FBB80">
        <w:rPr>
          <w:rFonts w:eastAsia="Times New Roman" w:cs="Times New Roman"/>
          <w:i/>
          <w:iCs/>
          <w:color w:val="000000" w:themeColor="text1"/>
        </w:rPr>
        <w:t xml:space="preserve"> </w:t>
      </w:r>
      <w:r w:rsidR="25975A6A" w:rsidRPr="4B0E998B">
        <w:rPr>
          <w:rFonts w:eastAsia="Times New Roman" w:cs="Times New Roman"/>
          <w:color w:val="000000"/>
        </w:rPr>
        <w:t>5</w:t>
      </w:r>
      <w:r w:rsidR="006B5487">
        <w:rPr>
          <w:rFonts w:eastAsia="Times New Roman" w:cs="Times New Roman"/>
          <w:color w:val="000000"/>
        </w:rPr>
        <w:t> </w:t>
      </w:r>
      <w:r w:rsidR="25975A6A" w:rsidRPr="4B0E998B">
        <w:rPr>
          <w:rFonts w:eastAsia="Times New Roman" w:cs="Times New Roman"/>
          <w:color w:val="000000"/>
        </w:rPr>
        <w:t xml:space="preserve">Cal.3d </w:t>
      </w:r>
      <w:r w:rsidR="57E3F6B0" w:rsidRPr="4B0E998B">
        <w:rPr>
          <w:rFonts w:eastAsia="Times New Roman" w:cs="Times New Roman"/>
          <w:color w:val="000000"/>
        </w:rPr>
        <w:t>at pp.</w:t>
      </w:r>
      <w:r w:rsidR="00F5400A">
        <w:rPr>
          <w:rFonts w:eastAsia="Times New Roman" w:cs="Times New Roman"/>
          <w:color w:val="000000"/>
        </w:rPr>
        <w:t> </w:t>
      </w:r>
      <w:r w:rsidR="25975A6A" w:rsidRPr="4B0E998B">
        <w:rPr>
          <w:rFonts w:eastAsia="Times New Roman" w:cs="Times New Roman"/>
          <w:color w:val="000000"/>
        </w:rPr>
        <w:t>2</w:t>
      </w:r>
      <w:r w:rsidR="00A42DBD">
        <w:rPr>
          <w:rFonts w:eastAsia="Times New Roman" w:cs="Times New Roman"/>
          <w:color w:val="000000"/>
        </w:rPr>
        <w:t>6</w:t>
      </w:r>
      <w:r w:rsidR="005275FE">
        <w:rPr>
          <w:rFonts w:eastAsia="Times New Roman" w:cs="Times New Roman"/>
          <w:color w:val="000000"/>
        </w:rPr>
        <w:t>7</w:t>
      </w:r>
      <w:r w:rsidR="12B009B4">
        <w:rPr>
          <w:rFonts w:eastAsia="Times New Roman" w:cs="Times New Roman"/>
          <w:color w:val="000000"/>
        </w:rPr>
        <w:t>–</w:t>
      </w:r>
      <w:r w:rsidR="25975A6A" w:rsidRPr="4B0E998B">
        <w:rPr>
          <w:rFonts w:eastAsia="Times New Roman" w:cs="Times New Roman"/>
          <w:color w:val="000000"/>
        </w:rPr>
        <w:t>2</w:t>
      </w:r>
      <w:r w:rsidR="00A42DBD">
        <w:rPr>
          <w:rFonts w:eastAsia="Times New Roman" w:cs="Times New Roman"/>
          <w:color w:val="000000"/>
        </w:rPr>
        <w:t>6</w:t>
      </w:r>
      <w:r w:rsidR="25975A6A" w:rsidRPr="4B0E998B">
        <w:rPr>
          <w:rFonts w:eastAsia="Times New Roman" w:cs="Times New Roman"/>
          <w:color w:val="000000"/>
        </w:rPr>
        <w:t>9 [</w:t>
      </w:r>
      <w:r w:rsidR="00331372">
        <w:rPr>
          <w:rFonts w:eastAsia="Times New Roman" w:cs="Times New Roman"/>
          <w:color w:val="000000"/>
        </w:rPr>
        <w:t xml:space="preserve">authorizing statutory </w:t>
      </w:r>
      <w:r w:rsidR="25975A6A" w:rsidRPr="4D00544E">
        <w:rPr>
          <w:rFonts w:eastAsia="Times New Roman" w:cs="Times New Roman"/>
          <w:color w:val="000000" w:themeColor="text1"/>
        </w:rPr>
        <w:t xml:space="preserve">taxpayer </w:t>
      </w:r>
      <w:r w:rsidR="25975A6A" w:rsidRPr="4B0E998B">
        <w:rPr>
          <w:rFonts w:eastAsia="Times New Roman" w:cs="Times New Roman"/>
          <w:color w:val="000000"/>
        </w:rPr>
        <w:t xml:space="preserve">challenge </w:t>
      </w:r>
      <w:r w:rsidR="25975A6A" w:rsidRPr="4D00544E">
        <w:rPr>
          <w:rFonts w:eastAsia="Times New Roman" w:cs="Times New Roman"/>
          <w:color w:val="000000" w:themeColor="text1"/>
        </w:rPr>
        <w:t xml:space="preserve">to </w:t>
      </w:r>
      <w:r w:rsidR="25975A6A" w:rsidRPr="4B0E998B">
        <w:rPr>
          <w:rFonts w:eastAsia="Times New Roman" w:cs="Times New Roman"/>
          <w:color w:val="000000"/>
          <w:spacing w:val="-2"/>
        </w:rPr>
        <w:t>constitutionality of “claim and delivery</w:t>
      </w:r>
      <w:r w:rsidR="25975A6A" w:rsidRPr="4B0E998B">
        <w:rPr>
          <w:rFonts w:eastAsia="Times New Roman" w:cs="Times New Roman"/>
          <w:color w:val="000000"/>
        </w:rPr>
        <w:t xml:space="preserve"> law”</w:t>
      </w:r>
      <w:r w:rsidR="25975A6A">
        <w:rPr>
          <w:rFonts w:eastAsia="Times New Roman" w:cs="Times New Roman"/>
          <w:color w:val="000000"/>
        </w:rPr>
        <w:t xml:space="preserve"> </w:t>
      </w:r>
      <w:r w:rsidR="25975A6A" w:rsidRPr="4D00544E">
        <w:rPr>
          <w:rFonts w:eastAsia="Times New Roman" w:cs="Times New Roman"/>
          <w:color w:val="000000" w:themeColor="text1"/>
        </w:rPr>
        <w:t>permitting pre-adjudication seizure of</w:t>
      </w:r>
      <w:r w:rsidR="25975A6A" w:rsidRPr="4B0E998B">
        <w:rPr>
          <w:rFonts w:eastAsia="Times New Roman" w:cs="Times New Roman"/>
          <w:color w:val="000000"/>
        </w:rPr>
        <w:t xml:space="preserve"> property; </w:t>
      </w:r>
      <w:r w:rsidR="25975A6A">
        <w:rPr>
          <w:rFonts w:eastAsia="Times New Roman" w:cs="Times New Roman"/>
          <w:color w:val="000000"/>
        </w:rPr>
        <w:t>i</w:t>
      </w:r>
      <w:r w:rsidR="25975A6A" w:rsidRPr="4B0E998B">
        <w:rPr>
          <w:rFonts w:eastAsia="Times New Roman" w:cs="Times New Roman"/>
          <w:color w:val="000000"/>
        </w:rPr>
        <w:t xml:space="preserve">f law were unconstitutional, “then county officials may be enjoined from spending their time carrying out its provisions”]; </w:t>
      </w:r>
      <w:proofErr w:type="spellStart"/>
      <w:r w:rsidR="25975A6A" w:rsidRPr="797FBB80">
        <w:rPr>
          <w:rFonts w:eastAsia="Times New Roman" w:cs="Times New Roman"/>
          <w:i/>
          <w:iCs/>
          <w:color w:val="000000"/>
        </w:rPr>
        <w:t>Wirin</w:t>
      </w:r>
      <w:proofErr w:type="spellEnd"/>
      <w:r w:rsidR="00293EA7">
        <w:rPr>
          <w:rFonts w:eastAsia="Times New Roman" w:cs="Times New Roman"/>
          <w:i/>
          <w:iCs/>
          <w:color w:val="000000"/>
        </w:rPr>
        <w:t xml:space="preserve"> </w:t>
      </w:r>
      <w:r w:rsidR="00293EA7" w:rsidRPr="797FBB80">
        <w:rPr>
          <w:i/>
          <w:iCs/>
        </w:rPr>
        <w:t>v. Parker</w:t>
      </w:r>
      <w:r w:rsidR="25975A6A">
        <w:rPr>
          <w:rFonts w:eastAsia="Times New Roman" w:cs="Times New Roman"/>
          <w:color w:val="000000"/>
        </w:rPr>
        <w:t xml:space="preserve">, </w:t>
      </w:r>
      <w:r w:rsidR="25975A6A" w:rsidRPr="797FBB80">
        <w:rPr>
          <w:rFonts w:eastAsia="Times New Roman" w:cs="Times New Roman"/>
          <w:i/>
          <w:iCs/>
          <w:color w:val="000000"/>
        </w:rPr>
        <w:t>supra</w:t>
      </w:r>
      <w:r w:rsidR="25975A6A">
        <w:rPr>
          <w:rFonts w:eastAsia="Times New Roman" w:cs="Times New Roman"/>
          <w:color w:val="000000"/>
        </w:rPr>
        <w:t>, 48</w:t>
      </w:r>
      <w:r w:rsidR="00D400A8">
        <w:rPr>
          <w:rFonts w:eastAsia="Times New Roman" w:cs="Times New Roman"/>
          <w:color w:val="000000"/>
        </w:rPr>
        <w:t> </w:t>
      </w:r>
      <w:r w:rsidR="25975A6A">
        <w:rPr>
          <w:rFonts w:eastAsia="Times New Roman" w:cs="Times New Roman"/>
          <w:color w:val="000000"/>
        </w:rPr>
        <w:t>Cal.2d at p</w:t>
      </w:r>
      <w:r w:rsidR="009E1990">
        <w:rPr>
          <w:rFonts w:eastAsia="Times New Roman" w:cs="Times New Roman"/>
          <w:color w:val="000000"/>
        </w:rPr>
        <w:t>p</w:t>
      </w:r>
      <w:r w:rsidR="25975A6A">
        <w:rPr>
          <w:rFonts w:eastAsia="Times New Roman" w:cs="Times New Roman"/>
          <w:color w:val="000000"/>
        </w:rPr>
        <w:t>.</w:t>
      </w:r>
      <w:r w:rsidR="00F5400A">
        <w:rPr>
          <w:rFonts w:eastAsia="Times New Roman" w:cs="Times New Roman"/>
          <w:color w:val="000000"/>
        </w:rPr>
        <w:t> </w:t>
      </w:r>
      <w:r w:rsidR="009E1990">
        <w:rPr>
          <w:rFonts w:eastAsia="Times New Roman" w:cs="Times New Roman"/>
          <w:color w:val="000000"/>
        </w:rPr>
        <w:t>891,</w:t>
      </w:r>
      <w:r w:rsidR="25975A6A">
        <w:rPr>
          <w:rFonts w:eastAsia="Times New Roman" w:cs="Times New Roman"/>
          <w:color w:val="000000"/>
        </w:rPr>
        <w:t xml:space="preserve"> 894 [authoriz</w:t>
      </w:r>
      <w:r w:rsidR="00331372">
        <w:rPr>
          <w:rFonts w:eastAsia="Times New Roman" w:cs="Times New Roman"/>
          <w:color w:val="000000"/>
        </w:rPr>
        <w:t>ing statutory</w:t>
      </w:r>
      <w:r w:rsidR="25975A6A">
        <w:rPr>
          <w:rFonts w:eastAsia="Times New Roman" w:cs="Times New Roman"/>
          <w:color w:val="000000"/>
        </w:rPr>
        <w:t xml:space="preserve"> taxpayer challenge </w:t>
      </w:r>
      <w:r w:rsidR="25975A6A" w:rsidRPr="4D00544E">
        <w:rPr>
          <w:rFonts w:eastAsia="Times New Roman" w:cs="Times New Roman"/>
          <w:color w:val="000000" w:themeColor="text1"/>
        </w:rPr>
        <w:t xml:space="preserve">to </w:t>
      </w:r>
      <w:r w:rsidR="25975A6A">
        <w:rPr>
          <w:rFonts w:eastAsia="Times New Roman" w:cs="Times New Roman"/>
          <w:color w:val="000000"/>
        </w:rPr>
        <w:t>police chief</w:t>
      </w:r>
      <w:r w:rsidR="25975A6A" w:rsidRPr="00475814">
        <w:rPr>
          <w:rFonts w:eastAsia="Times New Roman" w:cs="Times New Roman"/>
          <w:color w:val="000000"/>
          <w:spacing w:val="10"/>
          <w:kern w:val="20"/>
        </w:rPr>
        <w:t>’</w:t>
      </w:r>
      <w:r w:rsidR="25975A6A">
        <w:rPr>
          <w:rFonts w:eastAsia="Times New Roman" w:cs="Times New Roman"/>
          <w:color w:val="000000"/>
        </w:rPr>
        <w:t xml:space="preserve">s operation of </w:t>
      </w:r>
      <w:r w:rsidR="25975A6A" w:rsidRPr="73D41AE1">
        <w:rPr>
          <w:rFonts w:eastAsia="Times New Roman" w:cs="Times New Roman"/>
          <w:color w:val="000000" w:themeColor="text1"/>
        </w:rPr>
        <w:t xml:space="preserve">hidden-microphone </w:t>
      </w:r>
      <w:r w:rsidR="25975A6A">
        <w:rPr>
          <w:rFonts w:eastAsia="Times New Roman" w:cs="Times New Roman"/>
          <w:color w:val="000000"/>
        </w:rPr>
        <w:t xml:space="preserve">surveillance program </w:t>
      </w:r>
      <w:r w:rsidR="25975A6A" w:rsidRPr="4D00544E">
        <w:rPr>
          <w:rFonts w:eastAsia="Times New Roman" w:cs="Times New Roman"/>
          <w:color w:val="000000" w:themeColor="text1"/>
        </w:rPr>
        <w:t>for</w:t>
      </w:r>
      <w:r w:rsidR="25975A6A" w:rsidRPr="2DBE3B38">
        <w:rPr>
          <w:rFonts w:eastAsia="Times New Roman" w:cs="Times New Roman"/>
          <w:color w:val="000000" w:themeColor="text1"/>
        </w:rPr>
        <w:t xml:space="preserve"> “injunction against the expenditure of public funds in violation of . . .</w:t>
      </w:r>
      <w:r w:rsidR="25975A6A">
        <w:rPr>
          <w:rFonts w:eastAsia="Times New Roman" w:cs="Times New Roman"/>
          <w:color w:val="000000"/>
        </w:rPr>
        <w:t xml:space="preserve"> constitutional guarantees”]; </w:t>
      </w:r>
      <w:r w:rsidR="25975A6A" w:rsidRPr="797FBB80">
        <w:rPr>
          <w:i/>
          <w:iCs/>
        </w:rPr>
        <w:t>People for Ethical Operation of Prosecutors and Law Enforcement v. Spitzer</w:t>
      </w:r>
      <w:r w:rsidR="25975A6A">
        <w:t xml:space="preserve"> (2020) 53</w:t>
      </w:r>
      <w:r w:rsidR="00F5400A">
        <w:t> </w:t>
      </w:r>
      <w:r w:rsidR="25975A6A">
        <w:t>Cal.App.5th 391, 395–396, 401–402 (</w:t>
      </w:r>
      <w:r w:rsidR="25975A6A" w:rsidRPr="797FBB80">
        <w:rPr>
          <w:i/>
          <w:iCs/>
        </w:rPr>
        <w:t>Spitzer</w:t>
      </w:r>
      <w:r w:rsidR="25975A6A">
        <w:t>) [</w:t>
      </w:r>
      <w:r w:rsidR="00331372">
        <w:t xml:space="preserve">authorizing statutory </w:t>
      </w:r>
      <w:r w:rsidR="25975A6A">
        <w:t xml:space="preserve">taxpayer suit </w:t>
      </w:r>
      <w:r w:rsidR="00331372">
        <w:t xml:space="preserve">“to enforce constitutional duties” by </w:t>
      </w:r>
      <w:r w:rsidR="25975A6A">
        <w:t>restrain</w:t>
      </w:r>
      <w:r w:rsidR="00331372">
        <w:t>ing</w:t>
      </w:r>
      <w:r w:rsidR="25975A6A">
        <w:t xml:space="preserve"> district attorney and sheriff’s operation of confidential informant program, which allegedly elicited confessions by violating detainees’</w:t>
      </w:r>
      <w:r w:rsidR="25975A6A" w:rsidRPr="00AB1514">
        <w:t xml:space="preserve"> </w:t>
      </w:r>
      <w:r w:rsidR="25975A6A">
        <w:t xml:space="preserve">constitutional rights, as expenditures on unlawful program could amount to waste]; </w:t>
      </w:r>
      <w:r w:rsidR="25975A6A" w:rsidRPr="797FBB80">
        <w:rPr>
          <w:rFonts w:eastAsia="Times New Roman" w:cs="Times New Roman"/>
          <w:i/>
          <w:iCs/>
          <w:color w:val="000000"/>
        </w:rPr>
        <w:t xml:space="preserve">California DUI Lawyers Assn. v. California Department of </w:t>
      </w:r>
      <w:r w:rsidR="25975A6A" w:rsidRPr="797FBB80">
        <w:rPr>
          <w:rFonts w:eastAsia="Times New Roman" w:cs="Times New Roman"/>
          <w:i/>
          <w:iCs/>
          <w:color w:val="000000"/>
        </w:rPr>
        <w:lastRenderedPageBreak/>
        <w:t>Motor Vehicles</w:t>
      </w:r>
      <w:r w:rsidR="25975A6A" w:rsidRPr="4B0E998B">
        <w:rPr>
          <w:rFonts w:eastAsia="Times New Roman" w:cs="Times New Roman"/>
          <w:color w:val="000000"/>
        </w:rPr>
        <w:t xml:space="preserve"> (2018) 20 Cal.App.5th 1247, 1251 [taxpayers could challenge operation of license-revocation hearing program</w:t>
      </w:r>
      <w:r w:rsidR="007875B4">
        <w:rPr>
          <w:rFonts w:eastAsia="Times New Roman" w:cs="Times New Roman"/>
          <w:color w:val="000000"/>
        </w:rPr>
        <w:t xml:space="preserve"> conducted in a manner that allegedly violated due process</w:t>
      </w:r>
      <w:r w:rsidR="25975A6A" w:rsidRPr="4B0E998B">
        <w:rPr>
          <w:rFonts w:eastAsia="Times New Roman" w:cs="Times New Roman"/>
          <w:color w:val="000000"/>
        </w:rPr>
        <w:t>].)</w:t>
      </w:r>
      <w:r w:rsidR="6CEF167B">
        <w:rPr>
          <w:rFonts w:eastAsia="Times New Roman" w:cs="Times New Roman"/>
          <w:color w:val="000000"/>
        </w:rPr>
        <w:t xml:space="preserve"> </w:t>
      </w:r>
      <w:r w:rsidR="1459B836" w:rsidRPr="00083DF0">
        <w:rPr>
          <w:rFonts w:eastAsia="Times New Roman" w:cs="Times New Roman"/>
          <w:i/>
          <w:color w:val="000000"/>
        </w:rPr>
        <w:t>In other words, no depletion of funds is required where the complained-of activity is itself unlawful.</w:t>
      </w:r>
      <w:r w:rsidR="1459B836">
        <w:rPr>
          <w:rFonts w:eastAsia="Times New Roman" w:cs="Times New Roman"/>
          <w:color w:val="000000"/>
        </w:rPr>
        <w:t xml:space="preserve"> </w:t>
      </w:r>
      <w:r w:rsidR="1459B836">
        <w:t xml:space="preserve">“[T]he mere expenditure of the </w:t>
      </w:r>
      <w:r w:rsidR="1459B836" w:rsidRPr="797FBB80">
        <w:rPr>
          <w:i/>
          <w:iCs/>
        </w:rPr>
        <w:t>time</w:t>
      </w:r>
      <w:r w:rsidR="1459B836">
        <w:t xml:space="preserve"> of [public employee</w:t>
      </w:r>
      <w:r w:rsidR="43629928">
        <w:t>s]</w:t>
      </w:r>
      <w:r w:rsidR="1459B836">
        <w:t xml:space="preserve"> is a sufficient expenditure of public funds to be subject to injunction under </w:t>
      </w:r>
      <w:r w:rsidR="00183E0C">
        <w:t xml:space="preserve">[Code of Civil Procedure] </w:t>
      </w:r>
      <w:r w:rsidR="1459B836">
        <w:t>section</w:t>
      </w:r>
      <w:r w:rsidR="00EE13C0">
        <w:t> </w:t>
      </w:r>
      <w:r w:rsidR="1459B836">
        <w:t>526a.” (</w:t>
      </w:r>
      <w:r w:rsidR="1459B836" w:rsidRPr="797FBB80">
        <w:rPr>
          <w:i/>
          <w:iCs/>
        </w:rPr>
        <w:t>Blair</w:t>
      </w:r>
      <w:r w:rsidR="1459B836">
        <w:t xml:space="preserve">, </w:t>
      </w:r>
      <w:r w:rsidR="1459B836" w:rsidRPr="00417C6C">
        <w:rPr>
          <w:i/>
        </w:rPr>
        <w:t>supra</w:t>
      </w:r>
      <w:r w:rsidR="1459B836">
        <w:t>, 5</w:t>
      </w:r>
      <w:r w:rsidR="009A7C95">
        <w:t> </w:t>
      </w:r>
      <w:r w:rsidR="1459B836">
        <w:t>Cal.3d 258, 28</w:t>
      </w:r>
      <w:r w:rsidR="006008AC">
        <w:t>5</w:t>
      </w:r>
      <w:r w:rsidR="1459B836">
        <w:t xml:space="preserve">, </w:t>
      </w:r>
      <w:r w:rsidR="00BE1111">
        <w:t>fn.</w:t>
      </w:r>
      <w:r w:rsidR="009A7C95">
        <w:t> </w:t>
      </w:r>
      <w:r w:rsidR="00BE1111">
        <w:t xml:space="preserve">21, </w:t>
      </w:r>
      <w:r w:rsidR="1459B836">
        <w:t>italics added.)</w:t>
      </w:r>
      <w:r w:rsidR="6732857C">
        <w:t xml:space="preserve"> </w:t>
      </w:r>
      <w:r w:rsidR="00A913AC">
        <w:t>H</w:t>
      </w:r>
      <w:r w:rsidR="6732857C">
        <w:t>av</w:t>
      </w:r>
      <w:r w:rsidR="00A913AC">
        <w:t>ing</w:t>
      </w:r>
      <w:r w:rsidR="6732857C">
        <w:t xml:space="preserve"> alleged that defendants </w:t>
      </w:r>
      <w:r w:rsidR="59092D82">
        <w:t xml:space="preserve">have </w:t>
      </w:r>
      <w:r w:rsidR="5406A283">
        <w:t>organized</w:t>
      </w:r>
      <w:r w:rsidR="6732857C">
        <w:t xml:space="preserve"> the court</w:t>
      </w:r>
      <w:r w:rsidR="666034F6">
        <w:t xml:space="preserve">’s workload in a manner which </w:t>
      </w:r>
      <w:r w:rsidR="6732857C">
        <w:t>violates section</w:t>
      </w:r>
      <w:r w:rsidR="009A7C95">
        <w:t> </w:t>
      </w:r>
      <w:r w:rsidR="6732857C">
        <w:t>1050</w:t>
      </w:r>
      <w:r w:rsidR="012B21F4">
        <w:t xml:space="preserve">(a), </w:t>
      </w:r>
      <w:r w:rsidR="2B7E6EC0">
        <w:t xml:space="preserve">plaintiffs </w:t>
      </w:r>
      <w:r w:rsidR="72262A13">
        <w:t xml:space="preserve">have </w:t>
      </w:r>
      <w:r w:rsidR="00A913AC">
        <w:t xml:space="preserve">stated a </w:t>
      </w:r>
      <w:r w:rsidR="00056878">
        <w:t xml:space="preserve">statutory taxpayer </w:t>
      </w:r>
      <w:r w:rsidR="00A913AC">
        <w:t xml:space="preserve">claim for </w:t>
      </w:r>
      <w:r w:rsidR="72262A13">
        <w:t>“waste.”</w:t>
      </w:r>
    </w:p>
    <w:p w14:paraId="133028E7" w14:textId="6128182E" w:rsidR="00E321DF" w:rsidRPr="007B48BC" w:rsidRDefault="001B6997" w:rsidP="007B48BC">
      <w:pPr>
        <w:keepNext/>
        <w:autoSpaceDE w:val="0"/>
        <w:autoSpaceDN w:val="0"/>
        <w:adjustRightInd w:val="0"/>
        <w:spacing w:after="120" w:line="240" w:lineRule="auto"/>
        <w:ind w:left="1440" w:hanging="1440"/>
        <w:rPr>
          <w:rFonts w:eastAsia="Calibri" w:cs="Arial"/>
          <w:b/>
          <w:bCs/>
          <w:szCs w:val="26"/>
        </w:rPr>
      </w:pPr>
      <w:r>
        <w:rPr>
          <w:rFonts w:cs="Times New Roman"/>
          <w:b/>
          <w:bCs/>
          <w:i/>
          <w:iCs/>
        </w:rPr>
        <w:tab/>
      </w:r>
      <w:r>
        <w:rPr>
          <w:rFonts w:cs="Times New Roman"/>
          <w:b/>
          <w:bCs/>
          <w:i/>
          <w:iCs/>
        </w:rPr>
        <w:tab/>
        <w:t xml:space="preserve">2. </w:t>
      </w:r>
      <w:r w:rsidR="3437F97E" w:rsidRPr="007B48BC">
        <w:rPr>
          <w:rFonts w:cs="Times New Roman"/>
          <w:b/>
          <w:bCs/>
          <w:i/>
          <w:iCs/>
        </w:rPr>
        <w:t xml:space="preserve">Plaintiffs Do Not </w:t>
      </w:r>
      <w:r w:rsidR="2F67A774" w:rsidRPr="007B48BC">
        <w:rPr>
          <w:rFonts w:cs="Times New Roman"/>
          <w:b/>
          <w:bCs/>
          <w:i/>
          <w:iCs/>
        </w:rPr>
        <w:t xml:space="preserve">Impermissibly </w:t>
      </w:r>
      <w:r w:rsidR="3437F97E" w:rsidRPr="007B48BC">
        <w:rPr>
          <w:rFonts w:cs="Times New Roman"/>
          <w:b/>
          <w:bCs/>
          <w:i/>
          <w:iCs/>
        </w:rPr>
        <w:t xml:space="preserve">Challenge a Discretionary Act </w:t>
      </w:r>
    </w:p>
    <w:p w14:paraId="0B723AD9" w14:textId="49B04F6A" w:rsidR="007A67EA" w:rsidRDefault="001B6997" w:rsidP="007A67EA">
      <w:pPr>
        <w:autoSpaceDE w:val="0"/>
        <w:autoSpaceDN w:val="0"/>
        <w:adjustRightInd w:val="0"/>
        <w:spacing w:line="360" w:lineRule="auto"/>
        <w:contextualSpacing/>
      </w:pPr>
      <w:r>
        <w:rPr>
          <w:color w:val="000000"/>
        </w:rPr>
        <w:tab/>
      </w:r>
      <w:r w:rsidR="7BE87353">
        <w:rPr>
          <w:color w:val="000000"/>
        </w:rPr>
        <w:t>Defendants also</w:t>
      </w:r>
      <w:r w:rsidR="303B4519">
        <w:rPr>
          <w:color w:val="000000"/>
        </w:rPr>
        <w:t xml:space="preserve"> </w:t>
      </w:r>
      <w:r w:rsidR="7C7EA655">
        <w:rPr>
          <w:rFonts w:eastAsia="Times New Roman" w:cs="Times New Roman"/>
          <w:color w:val="000000"/>
        </w:rPr>
        <w:t>contend</w:t>
      </w:r>
      <w:r w:rsidR="7BE87353">
        <w:rPr>
          <w:rFonts w:eastAsia="Times New Roman" w:cs="Times New Roman"/>
          <w:color w:val="000000"/>
        </w:rPr>
        <w:t xml:space="preserve"> </w:t>
      </w:r>
      <w:r w:rsidR="00F60848">
        <w:rPr>
          <w:rFonts w:eastAsia="Times New Roman" w:cs="Times New Roman"/>
          <w:color w:val="000000"/>
          <w:spacing w:val="-2"/>
        </w:rPr>
        <w:t>statutory taxpayer</w:t>
      </w:r>
      <w:r w:rsidR="7BE87353" w:rsidRPr="00C73D3F">
        <w:rPr>
          <w:rFonts w:eastAsia="Times New Roman" w:cs="Times New Roman"/>
          <w:color w:val="000000"/>
          <w:spacing w:val="-2"/>
        </w:rPr>
        <w:t xml:space="preserve"> claims </w:t>
      </w:r>
      <w:r w:rsidR="11466DC9" w:rsidRPr="00C73D3F">
        <w:rPr>
          <w:rFonts w:eastAsia="Times New Roman" w:cs="Times New Roman"/>
          <w:color w:val="000000"/>
          <w:spacing w:val="-2"/>
        </w:rPr>
        <w:t xml:space="preserve">may not be </w:t>
      </w:r>
      <w:r w:rsidR="7BE87353" w:rsidRPr="00C73D3F">
        <w:rPr>
          <w:rFonts w:eastAsia="Times New Roman" w:cs="Times New Roman"/>
          <w:color w:val="000000"/>
          <w:spacing w:val="-2"/>
        </w:rPr>
        <w:t xml:space="preserve">based on </w:t>
      </w:r>
      <w:r w:rsidR="7BE87353" w:rsidRPr="00C73D3F">
        <w:rPr>
          <w:rFonts w:cs="Times New Roman"/>
          <w:color w:val="000000"/>
          <w:spacing w:val="-2"/>
        </w:rPr>
        <w:t>“</w:t>
      </w:r>
      <w:r w:rsidR="7BE87353" w:rsidRPr="00C73D3F">
        <w:rPr>
          <w:rFonts w:eastAsia="Times New Roman" w:cs="Times New Roman"/>
          <w:color w:val="000000"/>
          <w:spacing w:val="-2"/>
        </w:rPr>
        <w:t>alleged mistake[s] by public officials</w:t>
      </w:r>
      <w:r w:rsidR="7BE87353" w:rsidRPr="00FF2EF2">
        <w:rPr>
          <w:rFonts w:eastAsia="Times New Roman" w:cs="Times New Roman"/>
          <w:color w:val="000000"/>
        </w:rPr>
        <w:t xml:space="preserve"> in matters involving the exercise of judgment or wide discretion</w:t>
      </w:r>
      <w:r w:rsidR="7BE87353">
        <w:rPr>
          <w:rFonts w:eastAsia="Times New Roman" w:cs="Times New Roman"/>
          <w:color w:val="000000"/>
        </w:rPr>
        <w:t>.” (</w:t>
      </w:r>
      <w:r w:rsidR="009E6BC4" w:rsidRPr="797FBB80">
        <w:rPr>
          <w:i/>
          <w:iCs/>
        </w:rPr>
        <w:t xml:space="preserve">Sundance v. Municipal Court </w:t>
      </w:r>
      <w:r w:rsidR="009E6BC4">
        <w:t xml:space="preserve">(1986) 42 Cal.3d 1101, </w:t>
      </w:r>
      <w:r w:rsidR="7BE87353">
        <w:t>1138</w:t>
      </w:r>
      <w:r w:rsidR="009E6BC4">
        <w:t xml:space="preserve"> (</w:t>
      </w:r>
      <w:r w:rsidR="009E6BC4" w:rsidRPr="797FBB80">
        <w:rPr>
          <w:i/>
          <w:iCs/>
        </w:rPr>
        <w:t>Sundance</w:t>
      </w:r>
      <w:r w:rsidR="009E6BC4">
        <w:t>)</w:t>
      </w:r>
      <w:r w:rsidR="7BE87353">
        <w:t>.)</w:t>
      </w:r>
      <w:r w:rsidR="137532E9" w:rsidRPr="4B0E998B">
        <w:rPr>
          <w:rFonts w:eastAsia="Times New Roman" w:cs="Times New Roman"/>
          <w:color w:val="000000"/>
        </w:rPr>
        <w:t xml:space="preserve"> </w:t>
      </w:r>
      <w:r w:rsidR="137532E9" w:rsidRPr="797FBB80">
        <w:rPr>
          <w:rFonts w:eastAsia="Times New Roman" w:cs="Times New Roman"/>
          <w:i/>
          <w:iCs/>
          <w:color w:val="000000"/>
        </w:rPr>
        <w:t>Sundance</w:t>
      </w:r>
      <w:r w:rsidR="137532E9" w:rsidRPr="4B0E998B">
        <w:rPr>
          <w:rFonts w:eastAsia="Times New Roman" w:cs="Times New Roman"/>
          <w:color w:val="000000"/>
        </w:rPr>
        <w:t xml:space="preserve"> involved a challenge to the enforcement of a public intoxication statute as a waste of public funds</w:t>
      </w:r>
      <w:r w:rsidR="135D9A4B">
        <w:rPr>
          <w:rFonts w:eastAsia="Times New Roman" w:cs="Times New Roman"/>
          <w:color w:val="000000"/>
        </w:rPr>
        <w:t>,</w:t>
      </w:r>
      <w:r w:rsidR="137532E9">
        <w:rPr>
          <w:rFonts w:eastAsia="Times New Roman" w:cs="Times New Roman"/>
          <w:color w:val="000000"/>
        </w:rPr>
        <w:t xml:space="preserve"> given proof that an alternative, treatment-based civil approach would more efficiently remedy the societal harms at issue</w:t>
      </w:r>
      <w:r w:rsidR="137532E9" w:rsidRPr="4B0E998B">
        <w:rPr>
          <w:rFonts w:eastAsia="Times New Roman" w:cs="Times New Roman"/>
          <w:color w:val="000000"/>
        </w:rPr>
        <w:t xml:space="preserve">. </w:t>
      </w:r>
      <w:r w:rsidR="34D8A7EE">
        <w:rPr>
          <w:rFonts w:eastAsia="Times New Roman" w:cs="Times New Roman"/>
          <w:color w:val="000000"/>
        </w:rPr>
        <w:t>(</w:t>
      </w:r>
      <w:r w:rsidR="34D8A7EE" w:rsidRPr="797FBB80">
        <w:rPr>
          <w:rFonts w:eastAsia="Times New Roman" w:cs="Times New Roman"/>
          <w:i/>
          <w:iCs/>
          <w:color w:val="000000"/>
        </w:rPr>
        <w:t>Id.</w:t>
      </w:r>
      <w:r w:rsidR="34D8A7EE">
        <w:rPr>
          <w:rFonts w:eastAsia="Times New Roman" w:cs="Times New Roman"/>
          <w:color w:val="000000"/>
        </w:rPr>
        <w:t xml:space="preserve"> at pp.</w:t>
      </w:r>
      <w:r w:rsidR="009A7C95">
        <w:rPr>
          <w:rFonts w:eastAsia="Times New Roman" w:cs="Times New Roman"/>
          <w:color w:val="000000"/>
          <w:spacing w:val="-2"/>
        </w:rPr>
        <w:t> </w:t>
      </w:r>
      <w:r w:rsidR="34D8A7EE" w:rsidRPr="4B0E998B">
        <w:rPr>
          <w:rFonts w:eastAsia="Times New Roman" w:cs="Times New Roman"/>
          <w:color w:val="000000"/>
          <w:spacing w:val="-2"/>
        </w:rPr>
        <w:t>1108–111</w:t>
      </w:r>
      <w:r w:rsidR="34D8A7EE">
        <w:rPr>
          <w:rFonts w:eastAsia="Times New Roman" w:cs="Times New Roman"/>
          <w:color w:val="000000"/>
          <w:spacing w:val="-2"/>
        </w:rPr>
        <w:t>6.</w:t>
      </w:r>
      <w:r w:rsidR="34D8A7EE">
        <w:rPr>
          <w:rFonts w:eastAsia="Times New Roman" w:cs="Times New Roman"/>
          <w:color w:val="000000"/>
        </w:rPr>
        <w:t xml:space="preserve">) </w:t>
      </w:r>
      <w:r w:rsidR="137532E9" w:rsidRPr="4B0E998B">
        <w:rPr>
          <w:rFonts w:eastAsia="Times New Roman" w:cs="Times New Roman"/>
          <w:color w:val="000000"/>
        </w:rPr>
        <w:t xml:space="preserve">The Supreme Court </w:t>
      </w:r>
      <w:r w:rsidR="137532E9" w:rsidRPr="2D5BC4F1">
        <w:rPr>
          <w:rFonts w:eastAsia="Times New Roman" w:cs="Times New Roman"/>
          <w:color w:val="000000" w:themeColor="text1"/>
        </w:rPr>
        <w:t>held</w:t>
      </w:r>
      <w:r w:rsidR="137532E9" w:rsidRPr="4B0E998B">
        <w:rPr>
          <w:rFonts w:eastAsia="Times New Roman" w:cs="Times New Roman"/>
          <w:color w:val="000000"/>
        </w:rPr>
        <w:t xml:space="preserve"> </w:t>
      </w:r>
      <w:r w:rsidR="137532E9" w:rsidRPr="2D5BC4F1">
        <w:rPr>
          <w:rFonts w:eastAsia="Times New Roman" w:cs="Times New Roman"/>
          <w:color w:val="000000" w:themeColor="text1"/>
        </w:rPr>
        <w:t xml:space="preserve">that </w:t>
      </w:r>
      <w:r w:rsidR="00331372">
        <w:rPr>
          <w:rFonts w:eastAsia="Times New Roman" w:cs="Times New Roman"/>
          <w:color w:val="000000" w:themeColor="text1"/>
        </w:rPr>
        <w:t>Code of Civil Procedure</w:t>
      </w:r>
      <w:r w:rsidR="137532E9" w:rsidRPr="2D5BC4F1">
        <w:rPr>
          <w:rFonts w:eastAsia="Times New Roman" w:cs="Times New Roman"/>
          <w:color w:val="000000" w:themeColor="text1"/>
        </w:rPr>
        <w:t xml:space="preserve"> </w:t>
      </w:r>
      <w:r w:rsidR="137532E9">
        <w:rPr>
          <w:rFonts w:eastAsia="Times New Roman" w:cs="Times New Roman"/>
          <w:color w:val="000000" w:themeColor="text1"/>
        </w:rPr>
        <w:t>section</w:t>
      </w:r>
      <w:r w:rsidR="009A7C95">
        <w:rPr>
          <w:rFonts w:eastAsia="Times New Roman" w:cs="Times New Roman"/>
          <w:color w:val="000000" w:themeColor="text1"/>
        </w:rPr>
        <w:t> </w:t>
      </w:r>
      <w:r w:rsidR="137532E9" w:rsidRPr="4B0E998B">
        <w:rPr>
          <w:rFonts w:eastAsia="Times New Roman" w:cs="Times New Roman"/>
          <w:color w:val="000000"/>
        </w:rPr>
        <w:t xml:space="preserve">526a </w:t>
      </w:r>
      <w:r w:rsidR="137532E9" w:rsidRPr="522D0A5F">
        <w:rPr>
          <w:rFonts w:eastAsia="Times New Roman" w:cs="Times New Roman"/>
          <w:color w:val="000000" w:themeColor="text1"/>
        </w:rPr>
        <w:t>may not be utilized to</w:t>
      </w:r>
      <w:r w:rsidR="137532E9" w:rsidRPr="4B0E998B">
        <w:rPr>
          <w:rFonts w:eastAsia="Times New Roman" w:cs="Times New Roman"/>
          <w:color w:val="000000"/>
        </w:rPr>
        <w:t xml:space="preserve"> enjoin expenditures merely because they are unwise, re</w:t>
      </w:r>
      <w:r w:rsidR="137532E9">
        <w:rPr>
          <w:rFonts w:eastAsia="Times New Roman" w:cs="Times New Roman"/>
          <w:color w:val="000000"/>
        </w:rPr>
        <w:t>f</w:t>
      </w:r>
      <w:r w:rsidR="137532E9" w:rsidRPr="4B0E998B">
        <w:rPr>
          <w:rFonts w:eastAsia="Times New Roman" w:cs="Times New Roman"/>
          <w:color w:val="000000"/>
        </w:rPr>
        <w:t xml:space="preserve">lect poor policy, or do not produce </w:t>
      </w:r>
      <w:r w:rsidR="137532E9" w:rsidRPr="00487EEA">
        <w:rPr>
          <w:rFonts w:eastAsia="Times New Roman" w:cs="Times New Roman"/>
          <w:color w:val="000000"/>
        </w:rPr>
        <w:t>sufficient</w:t>
      </w:r>
      <w:r w:rsidR="137532E9" w:rsidRPr="4B0E998B">
        <w:rPr>
          <w:rFonts w:eastAsia="Times New Roman" w:cs="Times New Roman"/>
          <w:color w:val="000000"/>
        </w:rPr>
        <w:t xml:space="preserve"> benefit. (</w:t>
      </w:r>
      <w:r w:rsidR="34D8A7EE" w:rsidRPr="797FBB80">
        <w:rPr>
          <w:rFonts w:eastAsia="Times New Roman" w:cs="Times New Roman"/>
          <w:i/>
          <w:iCs/>
          <w:color w:val="000000"/>
        </w:rPr>
        <w:t>Id.</w:t>
      </w:r>
      <w:r w:rsidR="137532E9">
        <w:rPr>
          <w:rFonts w:eastAsia="Times New Roman" w:cs="Times New Roman"/>
          <w:color w:val="000000"/>
        </w:rPr>
        <w:t xml:space="preserve"> at p</w:t>
      </w:r>
      <w:r w:rsidR="000E2758">
        <w:rPr>
          <w:rFonts w:eastAsia="Times New Roman" w:cs="Times New Roman"/>
          <w:color w:val="000000"/>
        </w:rPr>
        <w:t>p</w:t>
      </w:r>
      <w:r w:rsidR="137532E9">
        <w:rPr>
          <w:rFonts w:eastAsia="Times New Roman" w:cs="Times New Roman"/>
          <w:color w:val="000000"/>
        </w:rPr>
        <w:t>. 1138</w:t>
      </w:r>
      <w:r w:rsidR="00797C77">
        <w:rPr>
          <w:rFonts w:eastAsia="Times New Roman" w:cs="Times New Roman"/>
          <w:color w:val="000000"/>
        </w:rPr>
        <w:t>–</w:t>
      </w:r>
      <w:r w:rsidR="000E2758">
        <w:rPr>
          <w:rFonts w:eastAsia="Times New Roman" w:cs="Times New Roman"/>
          <w:color w:val="000000"/>
        </w:rPr>
        <w:t>1139</w:t>
      </w:r>
      <w:r w:rsidR="137532E9">
        <w:rPr>
          <w:rFonts w:eastAsia="Times New Roman" w:cs="Times New Roman"/>
          <w:color w:val="000000"/>
        </w:rPr>
        <w:t>.</w:t>
      </w:r>
      <w:r w:rsidR="137532E9" w:rsidRPr="4B0E998B">
        <w:rPr>
          <w:rFonts w:eastAsia="Times New Roman" w:cs="Times New Roman"/>
          <w:color w:val="000000"/>
        </w:rPr>
        <w:t xml:space="preserve">) </w:t>
      </w:r>
      <w:r w:rsidR="137532E9">
        <w:rPr>
          <w:rFonts w:eastAsia="Times New Roman" w:cs="Times New Roman"/>
          <w:color w:val="000000"/>
        </w:rPr>
        <w:t>E</w:t>
      </w:r>
      <w:r w:rsidR="137532E9" w:rsidRPr="00FF2EF2">
        <w:rPr>
          <w:rFonts w:eastAsia="Times New Roman" w:cs="Times New Roman"/>
          <w:color w:val="000000"/>
        </w:rPr>
        <w:t xml:space="preserve">nforcement of the </w:t>
      </w:r>
      <w:r w:rsidR="137532E9">
        <w:rPr>
          <w:rFonts w:eastAsia="Times New Roman" w:cs="Times New Roman"/>
          <w:color w:val="000000"/>
        </w:rPr>
        <w:t xml:space="preserve">criminal statute </w:t>
      </w:r>
      <w:r w:rsidR="137532E9" w:rsidRPr="00FF2EF2">
        <w:rPr>
          <w:rFonts w:eastAsia="Times New Roman" w:cs="Times New Roman"/>
          <w:color w:val="000000"/>
        </w:rPr>
        <w:t xml:space="preserve">at issue could not be considered </w:t>
      </w:r>
      <w:r w:rsidR="137532E9">
        <w:rPr>
          <w:rFonts w:eastAsia="Times New Roman" w:cs="Times New Roman"/>
          <w:color w:val="000000"/>
        </w:rPr>
        <w:t>“</w:t>
      </w:r>
      <w:r w:rsidR="137532E9" w:rsidRPr="00FF2EF2">
        <w:rPr>
          <w:rFonts w:eastAsia="Times New Roman" w:cs="Times New Roman"/>
          <w:color w:val="000000"/>
        </w:rPr>
        <w:t>waste</w:t>
      </w:r>
      <w:r w:rsidR="137532E9">
        <w:rPr>
          <w:rFonts w:eastAsia="Times New Roman" w:cs="Times New Roman"/>
          <w:color w:val="000000"/>
        </w:rPr>
        <w:t>” because the allegations and findings “</w:t>
      </w:r>
      <w:r w:rsidR="137532E9" w:rsidRPr="00053647">
        <w:rPr>
          <w:rFonts w:eastAsia="Times New Roman" w:cs="Times New Roman"/>
          <w:color w:val="000000"/>
          <w:spacing w:val="-2"/>
        </w:rPr>
        <w:t>do not indicate that criminal enforcement</w:t>
      </w:r>
      <w:r w:rsidR="137532E9" w:rsidRPr="00FF2EF2">
        <w:rPr>
          <w:rFonts w:eastAsia="Times New Roman" w:cs="Times New Roman"/>
          <w:color w:val="000000"/>
        </w:rPr>
        <w:t xml:space="preserve"> of </w:t>
      </w:r>
      <w:r w:rsidR="137532E9">
        <w:rPr>
          <w:rFonts w:eastAsia="Times New Roman" w:cs="Times New Roman"/>
          <w:color w:val="000000"/>
        </w:rPr>
        <w:t xml:space="preserve">[the statute] </w:t>
      </w:r>
      <w:r w:rsidR="137532E9" w:rsidRPr="00FF2EF2">
        <w:rPr>
          <w:rFonts w:eastAsia="Times New Roman" w:cs="Times New Roman"/>
          <w:color w:val="000000"/>
        </w:rPr>
        <w:t>provides no public benefit</w:t>
      </w:r>
      <w:r w:rsidR="137532E9">
        <w:rPr>
          <w:rFonts w:eastAsia="Times New Roman" w:cs="Times New Roman"/>
          <w:color w:val="000000"/>
        </w:rPr>
        <w:t>,” but “</w:t>
      </w:r>
      <w:r w:rsidR="137532E9" w:rsidRPr="00FF2EF2">
        <w:rPr>
          <w:rFonts w:eastAsia="Times New Roman" w:cs="Times New Roman"/>
          <w:color w:val="000000"/>
        </w:rPr>
        <w:t>only that the civil detoxification alternative would be a more prudent allocation of funds.</w:t>
      </w:r>
      <w:r w:rsidR="137532E9">
        <w:rPr>
          <w:rFonts w:eastAsia="Times New Roman" w:cs="Times New Roman"/>
          <w:color w:val="000000"/>
        </w:rPr>
        <w:t>” (</w:t>
      </w:r>
      <w:r w:rsidR="34D8A7EE" w:rsidRPr="797FBB80">
        <w:rPr>
          <w:rFonts w:eastAsia="Times New Roman" w:cs="Times New Roman"/>
          <w:i/>
          <w:iCs/>
          <w:color w:val="000000"/>
        </w:rPr>
        <w:t xml:space="preserve">Id. </w:t>
      </w:r>
      <w:r w:rsidR="137532E9">
        <w:rPr>
          <w:rFonts w:eastAsia="Times New Roman" w:cs="Times New Roman"/>
          <w:color w:val="000000"/>
        </w:rPr>
        <w:t>at p.</w:t>
      </w:r>
      <w:r w:rsidR="00201AE8">
        <w:rPr>
          <w:rFonts w:eastAsia="Times New Roman" w:cs="Times New Roman"/>
          <w:color w:val="000000"/>
        </w:rPr>
        <w:t> </w:t>
      </w:r>
      <w:r w:rsidR="137532E9">
        <w:rPr>
          <w:rFonts w:eastAsia="Times New Roman" w:cs="Times New Roman"/>
          <w:color w:val="000000"/>
        </w:rPr>
        <w:t>1139.)</w:t>
      </w:r>
      <w:r w:rsidRPr="00FF2EF2">
        <w:rPr>
          <w:rFonts w:eastAsia="Times New Roman" w:cs="Times New Roman"/>
          <w:color w:val="000000"/>
        </w:rPr>
        <w:t xml:space="preserve"> </w:t>
      </w:r>
      <w:r w:rsidR="137532E9">
        <w:rPr>
          <w:rFonts w:eastAsia="Times New Roman" w:cs="Times New Roman"/>
          <w:color w:val="000000"/>
        </w:rPr>
        <w:t>“</w:t>
      </w:r>
      <w:r w:rsidR="137532E9" w:rsidRPr="00FF2EF2">
        <w:rPr>
          <w:rFonts w:eastAsia="Times New Roman" w:cs="Times New Roman"/>
          <w:color w:val="000000"/>
        </w:rPr>
        <w:t>Therefore, the County</w:t>
      </w:r>
      <w:r w:rsidR="137532E9">
        <w:rPr>
          <w:rFonts w:eastAsia="Times New Roman" w:cs="Times New Roman"/>
          <w:color w:val="000000"/>
        </w:rPr>
        <w:t>’</w:t>
      </w:r>
      <w:r w:rsidR="137532E9" w:rsidRPr="00FF2EF2">
        <w:rPr>
          <w:rFonts w:eastAsia="Times New Roman" w:cs="Times New Roman"/>
          <w:color w:val="000000"/>
        </w:rPr>
        <w:t xml:space="preserve">s decision to continue arresting and detaining chronic alcoholics does not constitute waste, but merely an ‘alleged mistake by public </w:t>
      </w:r>
      <w:r w:rsidR="137532E9" w:rsidRPr="00FF2EF2">
        <w:rPr>
          <w:rFonts w:eastAsia="Times New Roman" w:cs="Times New Roman"/>
          <w:color w:val="000000"/>
        </w:rPr>
        <w:lastRenderedPageBreak/>
        <w:t>officials in matters involving the exercise of judgment or wide discretion.’ [Citation.] This court should not interfere with the County</w:t>
      </w:r>
      <w:r w:rsidR="137532E9">
        <w:rPr>
          <w:rFonts w:eastAsia="Times New Roman" w:cs="Times New Roman"/>
          <w:color w:val="000000"/>
        </w:rPr>
        <w:t>’</w:t>
      </w:r>
      <w:r w:rsidR="137532E9" w:rsidRPr="00FF2EF2">
        <w:rPr>
          <w:rFonts w:eastAsia="Times New Roman" w:cs="Times New Roman"/>
          <w:color w:val="000000"/>
        </w:rPr>
        <w:t>s legislative judgment on the ground that the County</w:t>
      </w:r>
      <w:r w:rsidR="137532E9">
        <w:rPr>
          <w:rFonts w:eastAsia="Times New Roman" w:cs="Times New Roman"/>
          <w:color w:val="000000"/>
        </w:rPr>
        <w:t>’</w:t>
      </w:r>
      <w:r w:rsidR="137532E9" w:rsidRPr="00FF2EF2">
        <w:rPr>
          <w:rFonts w:eastAsia="Times New Roman" w:cs="Times New Roman"/>
          <w:color w:val="000000"/>
        </w:rPr>
        <w:t>s funds could be spent more efficiently.</w:t>
      </w:r>
      <w:r w:rsidR="137532E9" w:rsidRPr="4B0E998B">
        <w:rPr>
          <w:rFonts w:eastAsia="Times New Roman" w:cs="Times New Roman"/>
          <w:color w:val="000000"/>
        </w:rPr>
        <w:t>” (</w:t>
      </w:r>
      <w:r w:rsidR="34D8A7EE" w:rsidRPr="797FBB80">
        <w:rPr>
          <w:rFonts w:eastAsia="Times New Roman" w:cs="Times New Roman"/>
          <w:i/>
          <w:iCs/>
          <w:color w:val="000000"/>
        </w:rPr>
        <w:t>Ibid</w:t>
      </w:r>
      <w:r w:rsidR="137532E9">
        <w:rPr>
          <w:rFonts w:eastAsia="Times New Roman" w:cs="Times New Roman"/>
          <w:color w:val="000000"/>
          <w:spacing w:val="-2"/>
        </w:rPr>
        <w:t>.</w:t>
      </w:r>
      <w:r w:rsidR="137532E9">
        <w:rPr>
          <w:rFonts w:eastAsia="Times New Roman" w:cs="Times New Roman"/>
          <w:color w:val="000000"/>
        </w:rPr>
        <w:t>)</w:t>
      </w:r>
    </w:p>
    <w:p w14:paraId="6C6C105B" w14:textId="06150A74" w:rsidR="0080647E" w:rsidRDefault="001B6997" w:rsidP="006B34F3">
      <w:pPr>
        <w:autoSpaceDE w:val="0"/>
        <w:autoSpaceDN w:val="0"/>
        <w:adjustRightInd w:val="0"/>
        <w:spacing w:line="360" w:lineRule="auto"/>
        <w:contextualSpacing/>
        <w:rPr>
          <w:rFonts w:eastAsia="Times New Roman" w:cs="Times New Roman"/>
          <w:color w:val="000000"/>
        </w:rPr>
      </w:pPr>
      <w:r>
        <w:tab/>
      </w:r>
      <w:r w:rsidR="009C502E">
        <w:t>D</w:t>
      </w:r>
      <w:r w:rsidR="007876C9">
        <w:t>efendants</w:t>
      </w:r>
      <w:r w:rsidR="009C502E">
        <w:t>, however,</w:t>
      </w:r>
      <w:r w:rsidR="007876C9">
        <w:t xml:space="preserve"> fail to address </w:t>
      </w:r>
      <w:r w:rsidR="00B870E0">
        <w:t>the separation-of-powers</w:t>
      </w:r>
      <w:r w:rsidR="000E553C">
        <w:t xml:space="preserve"> </w:t>
      </w:r>
      <w:r w:rsidR="00076159">
        <w:t xml:space="preserve">rationale </w:t>
      </w:r>
      <w:r w:rsidR="000E553C">
        <w:t>for</w:t>
      </w:r>
      <w:r w:rsidR="00B870E0">
        <w:t xml:space="preserve"> </w:t>
      </w:r>
      <w:r w:rsidR="00390D6E">
        <w:t xml:space="preserve">the holding of </w:t>
      </w:r>
      <w:r w:rsidR="1C0E90DF" w:rsidRPr="797FBB80">
        <w:rPr>
          <w:i/>
          <w:iCs/>
        </w:rPr>
        <w:t>Sundance</w:t>
      </w:r>
      <w:r w:rsidR="1C0E90DF">
        <w:rPr>
          <w:rFonts w:eastAsia="Times New Roman" w:cs="Times New Roman"/>
          <w:color w:val="000000"/>
        </w:rPr>
        <w:t xml:space="preserve">, </w:t>
      </w:r>
      <w:r w:rsidR="6351087B">
        <w:rPr>
          <w:rFonts w:eastAsia="Times New Roman" w:cs="Times New Roman"/>
          <w:color w:val="000000"/>
        </w:rPr>
        <w:t xml:space="preserve">which </w:t>
      </w:r>
      <w:r w:rsidR="7BE87353">
        <w:rPr>
          <w:rFonts w:eastAsia="Times New Roman" w:cs="Times New Roman"/>
          <w:color w:val="000000"/>
        </w:rPr>
        <w:t>prohibit</w:t>
      </w:r>
      <w:r w:rsidR="6351087B">
        <w:rPr>
          <w:rFonts w:eastAsia="Times New Roman" w:cs="Times New Roman"/>
          <w:color w:val="000000"/>
        </w:rPr>
        <w:t>s</w:t>
      </w:r>
      <w:r w:rsidR="7BE87353">
        <w:rPr>
          <w:rFonts w:eastAsia="Times New Roman" w:cs="Times New Roman"/>
          <w:color w:val="000000"/>
        </w:rPr>
        <w:t xml:space="preserve"> the use of </w:t>
      </w:r>
      <w:r w:rsidR="00331372">
        <w:rPr>
          <w:rFonts w:eastAsia="Times New Roman" w:cs="Times New Roman"/>
          <w:color w:val="000000"/>
        </w:rPr>
        <w:t xml:space="preserve">Code of Civil Procedure </w:t>
      </w:r>
      <w:r w:rsidR="7BE87353" w:rsidRPr="00450094">
        <w:rPr>
          <w:rFonts w:eastAsia="Times New Roman" w:cs="Times New Roman"/>
          <w:color w:val="000000"/>
        </w:rPr>
        <w:t>section</w:t>
      </w:r>
      <w:r w:rsidR="00201AE8">
        <w:rPr>
          <w:rFonts w:eastAsia="Times New Roman" w:cs="Times New Roman"/>
          <w:color w:val="000000"/>
        </w:rPr>
        <w:t> </w:t>
      </w:r>
      <w:r w:rsidR="7BE87353" w:rsidRPr="00450094">
        <w:rPr>
          <w:rFonts w:eastAsia="Times New Roman" w:cs="Times New Roman"/>
          <w:color w:val="000000"/>
        </w:rPr>
        <w:t xml:space="preserve">526a </w:t>
      </w:r>
      <w:r w:rsidR="7BE87353">
        <w:rPr>
          <w:rFonts w:eastAsia="Times New Roman" w:cs="Times New Roman"/>
          <w:color w:val="000000"/>
        </w:rPr>
        <w:t>“</w:t>
      </w:r>
      <w:r w:rsidR="7BE87353" w:rsidRPr="00450094">
        <w:rPr>
          <w:rFonts w:eastAsia="Times New Roman" w:cs="Times New Roman"/>
          <w:color w:val="000000"/>
        </w:rPr>
        <w:t xml:space="preserve">to invade, supersede, or even intrude upon the discretion invested in the </w:t>
      </w:r>
      <w:r w:rsidR="7BE87353" w:rsidRPr="797FBB80">
        <w:rPr>
          <w:rFonts w:eastAsia="Times New Roman" w:cs="Times New Roman"/>
          <w:i/>
          <w:iCs/>
          <w:color w:val="000000"/>
        </w:rPr>
        <w:t>legislative and executive</w:t>
      </w:r>
      <w:r w:rsidR="7BE87353" w:rsidRPr="00450094">
        <w:rPr>
          <w:rFonts w:eastAsia="Times New Roman" w:cs="Times New Roman"/>
          <w:color w:val="000000"/>
        </w:rPr>
        <w:t xml:space="preserve"> branches</w:t>
      </w:r>
      <w:r w:rsidR="7BE87353">
        <w:rPr>
          <w:rFonts w:eastAsia="Times New Roman" w:cs="Times New Roman"/>
          <w:color w:val="000000"/>
        </w:rPr>
        <w:t xml:space="preserve">.” </w:t>
      </w:r>
      <w:r w:rsidR="004B3557" w:rsidRPr="4B0E998B">
        <w:rPr>
          <w:rFonts w:eastAsia="Times New Roman" w:cs="Times New Roman"/>
          <w:color w:val="000000"/>
        </w:rPr>
        <w:t>(</w:t>
      </w:r>
      <w:r w:rsidR="004B3557" w:rsidRPr="797FBB80">
        <w:rPr>
          <w:rFonts w:eastAsia="Times New Roman" w:cs="Times New Roman"/>
          <w:i/>
          <w:iCs/>
          <w:color w:val="000000"/>
        </w:rPr>
        <w:t>Humane Society of the United States v. State Bd. of Equalization</w:t>
      </w:r>
      <w:r w:rsidR="004B3557" w:rsidRPr="0079737E">
        <w:rPr>
          <w:rFonts w:eastAsia="Times New Roman" w:cs="Times New Roman"/>
          <w:color w:val="000000"/>
        </w:rPr>
        <w:t xml:space="preserve"> (2007) 152</w:t>
      </w:r>
      <w:r w:rsidR="00201AE8">
        <w:rPr>
          <w:rFonts w:eastAsia="Times New Roman" w:cs="Times New Roman"/>
          <w:color w:val="000000"/>
        </w:rPr>
        <w:t> </w:t>
      </w:r>
      <w:r w:rsidR="004B3557" w:rsidRPr="0079737E">
        <w:rPr>
          <w:rFonts w:eastAsia="Times New Roman" w:cs="Times New Roman"/>
          <w:color w:val="000000"/>
        </w:rPr>
        <w:t>Cal.App.4th 349, 35</w:t>
      </w:r>
      <w:r w:rsidR="004B3557">
        <w:rPr>
          <w:rFonts w:eastAsia="Times New Roman" w:cs="Times New Roman"/>
          <w:color w:val="000000"/>
        </w:rPr>
        <w:t>6</w:t>
      </w:r>
      <w:r w:rsidR="004B3557" w:rsidRPr="0079737E">
        <w:rPr>
          <w:rFonts w:eastAsia="Times New Roman" w:cs="Times New Roman"/>
          <w:color w:val="000000"/>
        </w:rPr>
        <w:t>–</w:t>
      </w:r>
      <w:r w:rsidR="7BE87353">
        <w:rPr>
          <w:rFonts w:eastAsia="Times New Roman" w:cs="Times New Roman"/>
          <w:color w:val="000000"/>
        </w:rPr>
        <w:t>358</w:t>
      </w:r>
      <w:r w:rsidR="135D9A4B">
        <w:rPr>
          <w:rFonts w:eastAsia="Times New Roman" w:cs="Times New Roman"/>
          <w:color w:val="000000"/>
        </w:rPr>
        <w:t>, italics added</w:t>
      </w:r>
      <w:r w:rsidR="7BE87353">
        <w:rPr>
          <w:rFonts w:eastAsia="Times New Roman" w:cs="Times New Roman"/>
          <w:color w:val="000000"/>
        </w:rPr>
        <w:t xml:space="preserve">; accord, </w:t>
      </w:r>
      <w:r w:rsidR="7BE87353" w:rsidRPr="797FBB80">
        <w:rPr>
          <w:rFonts w:eastAsia="Times New Roman" w:cs="Times New Roman"/>
          <w:i/>
          <w:iCs/>
          <w:color w:val="000000"/>
        </w:rPr>
        <w:t>Daily Journal Corp. v. County of Los Angeles</w:t>
      </w:r>
      <w:r w:rsidR="7BE87353" w:rsidRPr="4B0E998B">
        <w:rPr>
          <w:rFonts w:eastAsia="Times New Roman" w:cs="Times New Roman"/>
          <w:color w:val="000000"/>
        </w:rPr>
        <w:t xml:space="preserve"> (2009) 172</w:t>
      </w:r>
      <w:r w:rsidR="00D957CA">
        <w:rPr>
          <w:rFonts w:eastAsia="Times New Roman" w:cs="Times New Roman"/>
          <w:color w:val="000000"/>
        </w:rPr>
        <w:t> </w:t>
      </w:r>
      <w:r w:rsidR="7BE87353" w:rsidRPr="4B0E998B">
        <w:rPr>
          <w:rFonts w:eastAsia="Times New Roman" w:cs="Times New Roman"/>
          <w:color w:val="000000"/>
        </w:rPr>
        <w:t xml:space="preserve">Cal.App.4th 1550, 1558 [“the limitations inherent in </w:t>
      </w:r>
      <w:r w:rsidR="00183E0C">
        <w:rPr>
          <w:rFonts w:eastAsia="Times New Roman" w:cs="Times New Roman"/>
          <w:color w:val="000000"/>
        </w:rPr>
        <w:t xml:space="preserve">[Code of Civil Procedure] </w:t>
      </w:r>
      <w:r w:rsidR="7BE87353" w:rsidRPr="4B0E998B">
        <w:rPr>
          <w:rFonts w:eastAsia="Times New Roman" w:cs="Times New Roman"/>
          <w:color w:val="000000"/>
        </w:rPr>
        <w:t>section</w:t>
      </w:r>
      <w:r w:rsidR="00201AE8">
        <w:rPr>
          <w:rFonts w:eastAsia="Times New Roman" w:cs="Times New Roman"/>
          <w:color w:val="000000"/>
        </w:rPr>
        <w:t> </w:t>
      </w:r>
      <w:r w:rsidR="7BE87353" w:rsidRPr="4B0E998B">
        <w:rPr>
          <w:rFonts w:eastAsia="Times New Roman" w:cs="Times New Roman"/>
          <w:color w:val="000000"/>
        </w:rPr>
        <w:t>526a actions are founded in the separation of powers principle of our tripartite system of government”]</w:t>
      </w:r>
      <w:r w:rsidR="7BE87353">
        <w:rPr>
          <w:rFonts w:eastAsia="Times New Roman" w:cs="Times New Roman"/>
          <w:color w:val="000000"/>
        </w:rPr>
        <w:t>.)</w:t>
      </w:r>
      <w:r w:rsidR="0068614E">
        <w:rPr>
          <w:rFonts w:eastAsia="Times New Roman" w:cs="Times New Roman"/>
          <w:color w:val="000000"/>
        </w:rPr>
        <w:t xml:space="preserve"> </w:t>
      </w:r>
      <w:r w:rsidR="00390D6E">
        <w:rPr>
          <w:rFonts w:eastAsia="Times New Roman" w:cs="Times New Roman"/>
          <w:color w:val="000000"/>
        </w:rPr>
        <w:t>This</w:t>
      </w:r>
      <w:r w:rsidR="0068614E">
        <w:rPr>
          <w:rFonts w:eastAsia="Times New Roman" w:cs="Times New Roman"/>
          <w:color w:val="000000"/>
        </w:rPr>
        <w:t xml:space="preserve"> </w:t>
      </w:r>
      <w:r w:rsidR="007A0460">
        <w:rPr>
          <w:rFonts w:eastAsia="Times New Roman" w:cs="Times New Roman"/>
          <w:color w:val="000000"/>
        </w:rPr>
        <w:t>omission</w:t>
      </w:r>
      <w:r w:rsidR="0068614E">
        <w:rPr>
          <w:rFonts w:eastAsia="Times New Roman" w:cs="Times New Roman"/>
          <w:color w:val="000000"/>
        </w:rPr>
        <w:t xml:space="preserve"> is surprising, given</w:t>
      </w:r>
      <w:r w:rsidR="007A0460">
        <w:rPr>
          <w:rFonts w:eastAsia="Times New Roman" w:cs="Times New Roman"/>
          <w:color w:val="000000"/>
        </w:rPr>
        <w:t xml:space="preserve"> their</w:t>
      </w:r>
      <w:r w:rsidR="00D8074E">
        <w:rPr>
          <w:rFonts w:eastAsia="Times New Roman" w:cs="Times New Roman"/>
          <w:color w:val="000000"/>
        </w:rPr>
        <w:t xml:space="preserve"> </w:t>
      </w:r>
      <w:r w:rsidR="00C56C59">
        <w:rPr>
          <w:rFonts w:eastAsia="Times New Roman" w:cs="Times New Roman"/>
          <w:color w:val="000000"/>
        </w:rPr>
        <w:t>acknowledgment that</w:t>
      </w:r>
      <w:r w:rsidR="009B5932">
        <w:rPr>
          <w:rFonts w:eastAsia="Times New Roman" w:cs="Times New Roman"/>
          <w:color w:val="000000"/>
        </w:rPr>
        <w:t xml:space="preserve"> </w:t>
      </w:r>
      <w:r w:rsidR="009B5932" w:rsidRPr="00B92A8E">
        <w:rPr>
          <w:rFonts w:eastAsia="Times New Roman" w:cs="Times New Roman"/>
          <w:i/>
          <w:color w:val="000000"/>
        </w:rPr>
        <w:t>Sundance</w:t>
      </w:r>
      <w:r w:rsidR="009B5932">
        <w:rPr>
          <w:rFonts w:eastAsia="Times New Roman" w:cs="Times New Roman"/>
          <w:color w:val="000000"/>
        </w:rPr>
        <w:t xml:space="preserve"> precludes</w:t>
      </w:r>
      <w:r w:rsidR="006B34F3">
        <w:rPr>
          <w:rFonts w:eastAsia="Times New Roman" w:cs="Times New Roman"/>
          <w:color w:val="000000"/>
        </w:rPr>
        <w:t xml:space="preserve"> </w:t>
      </w:r>
      <w:r w:rsidR="00331372">
        <w:rPr>
          <w:rFonts w:eastAsia="Times New Roman" w:cs="Times New Roman"/>
          <w:color w:val="000000"/>
        </w:rPr>
        <w:t xml:space="preserve">statutory taxpayer claims </w:t>
      </w:r>
      <w:r w:rsidR="00183E0C">
        <w:rPr>
          <w:rFonts w:eastAsia="Times New Roman" w:cs="Times New Roman"/>
          <w:color w:val="000000"/>
        </w:rPr>
        <w:t xml:space="preserve">challenging </w:t>
      </w:r>
      <w:proofErr w:type="gramStart"/>
      <w:r w:rsidR="006B34F3">
        <w:rPr>
          <w:rFonts w:eastAsia="Times New Roman" w:cs="Times New Roman"/>
          <w:color w:val="000000"/>
        </w:rPr>
        <w:t>“</w:t>
      </w:r>
      <w:r w:rsidR="00211E24">
        <w:rPr>
          <w:rFonts w:eastAsia="Times New Roman" w:cs="Times New Roman"/>
          <w:color w:val="000000"/>
        </w:rPr>
        <w:t> </w:t>
      </w:r>
      <w:r w:rsidR="006B34F3" w:rsidRPr="006B34F3">
        <w:rPr>
          <w:rFonts w:eastAsia="Times New Roman" w:cs="Times New Roman"/>
          <w:color w:val="000000"/>
        </w:rPr>
        <w:t>‘</w:t>
      </w:r>
      <w:proofErr w:type="gramEnd"/>
      <w:r w:rsidR="006B34F3" w:rsidRPr="006B34F3">
        <w:rPr>
          <w:rFonts w:eastAsia="Times New Roman" w:cs="Times New Roman"/>
          <w:color w:val="000000"/>
        </w:rPr>
        <w:t>the exercise of the discretion of either the legislative or executive branches of government</w:t>
      </w:r>
      <w:r w:rsidR="00211E24">
        <w:rPr>
          <w:rFonts w:eastAsia="Times New Roman" w:cs="Times New Roman"/>
          <w:color w:val="000000"/>
        </w:rPr>
        <w:t>,</w:t>
      </w:r>
      <w:r w:rsidR="006B34F3" w:rsidRPr="006B34F3">
        <w:rPr>
          <w:rFonts w:eastAsia="Times New Roman" w:cs="Times New Roman"/>
          <w:color w:val="000000"/>
        </w:rPr>
        <w:t>’</w:t>
      </w:r>
      <w:r w:rsidR="00211E24">
        <w:rPr>
          <w:rFonts w:eastAsia="Times New Roman" w:cs="Times New Roman"/>
          <w:color w:val="000000"/>
        </w:rPr>
        <w:t> </w:t>
      </w:r>
      <w:r w:rsidR="00FD0A3B">
        <w:rPr>
          <w:rFonts w:eastAsia="Times New Roman" w:cs="Times New Roman"/>
          <w:color w:val="000000"/>
        </w:rPr>
        <w:t>”</w:t>
      </w:r>
      <w:r w:rsidR="00F94C96">
        <w:rPr>
          <w:rFonts w:eastAsia="Times New Roman" w:cs="Times New Roman"/>
          <w:color w:val="000000"/>
        </w:rPr>
        <w:t xml:space="preserve"> </w:t>
      </w:r>
      <w:r w:rsidR="00781B6F">
        <w:rPr>
          <w:rFonts w:eastAsia="Times New Roman" w:cs="Times New Roman"/>
          <w:color w:val="000000"/>
        </w:rPr>
        <w:t>(</w:t>
      </w:r>
      <w:r w:rsidR="0060739E">
        <w:rPr>
          <w:rFonts w:eastAsia="Times New Roman" w:cs="Times New Roman"/>
          <w:color w:val="000000"/>
        </w:rPr>
        <w:t>quoting</w:t>
      </w:r>
      <w:r w:rsidR="00B95B74">
        <w:rPr>
          <w:rFonts w:eastAsia="Times New Roman" w:cs="Times New Roman"/>
          <w:color w:val="000000"/>
        </w:rPr>
        <w:t xml:space="preserve"> </w:t>
      </w:r>
      <w:r w:rsidR="0060739E" w:rsidRPr="797FBB80">
        <w:rPr>
          <w:rFonts w:eastAsia="Times New Roman" w:cs="Times New Roman"/>
          <w:i/>
          <w:iCs/>
          <w:color w:val="000000"/>
        </w:rPr>
        <w:t xml:space="preserve">Schmid v. </w:t>
      </w:r>
      <w:r w:rsidR="0060739E" w:rsidRPr="009C68B8">
        <w:rPr>
          <w:rFonts w:eastAsia="Times New Roman" w:cs="Times New Roman"/>
          <w:i/>
        </w:rPr>
        <w:t xml:space="preserve">City and County of San </w:t>
      </w:r>
      <w:r w:rsidR="0060739E" w:rsidRPr="797FBB80">
        <w:rPr>
          <w:rFonts w:eastAsia="Times New Roman" w:cs="Times New Roman"/>
          <w:i/>
          <w:iCs/>
          <w:color w:val="000000"/>
        </w:rPr>
        <w:t>Francisco</w:t>
      </w:r>
      <w:r w:rsidR="0060739E" w:rsidRPr="00423A54">
        <w:rPr>
          <w:rFonts w:eastAsia="Times New Roman" w:cs="Times New Roman"/>
          <w:color w:val="000000"/>
        </w:rPr>
        <w:t xml:space="preserve"> (2021) 60</w:t>
      </w:r>
      <w:r w:rsidR="0060739E" w:rsidRPr="00877AAD">
        <w:rPr>
          <w:rFonts w:eastAsia="Times New Roman" w:cs="Times New Roman"/>
          <w:color w:val="000000"/>
        </w:rPr>
        <w:t> </w:t>
      </w:r>
      <w:r w:rsidR="0060739E" w:rsidRPr="00423A54">
        <w:rPr>
          <w:rFonts w:eastAsia="Times New Roman" w:cs="Times New Roman"/>
          <w:color w:val="000000"/>
        </w:rPr>
        <w:t>Cal.App.5th 470, 495–496</w:t>
      </w:r>
      <w:r w:rsidR="0060739E">
        <w:rPr>
          <w:rFonts w:eastAsia="Times New Roman" w:cs="Times New Roman"/>
          <w:color w:val="000000"/>
        </w:rPr>
        <w:t xml:space="preserve"> (</w:t>
      </w:r>
      <w:r w:rsidR="0060739E" w:rsidRPr="797FBB80">
        <w:rPr>
          <w:rFonts w:eastAsia="Times New Roman" w:cs="Times New Roman"/>
          <w:i/>
          <w:iCs/>
          <w:color w:val="000000"/>
        </w:rPr>
        <w:t>Schmid</w:t>
      </w:r>
      <w:r w:rsidR="0060739E">
        <w:rPr>
          <w:rFonts w:eastAsia="Times New Roman" w:cs="Times New Roman"/>
          <w:color w:val="000000"/>
        </w:rPr>
        <w:t>)</w:t>
      </w:r>
      <w:r w:rsidR="00C05676">
        <w:rPr>
          <w:rFonts w:eastAsia="Times New Roman" w:cs="Times New Roman"/>
          <w:color w:val="000000"/>
        </w:rPr>
        <w:t>)</w:t>
      </w:r>
      <w:r w:rsidR="00473D55">
        <w:rPr>
          <w:rFonts w:eastAsia="Times New Roman" w:cs="Times New Roman"/>
          <w:color w:val="000000"/>
        </w:rPr>
        <w:t>.</w:t>
      </w:r>
      <w:r>
        <w:rPr>
          <w:rStyle w:val="FootnoteReference"/>
          <w:rFonts w:eastAsia="Times New Roman" w:cs="Times New Roman"/>
          <w:color w:val="000000" w:themeColor="text1"/>
        </w:rPr>
        <w:footnoteReference w:id="25"/>
      </w:r>
      <w:r w:rsidR="7BE87353">
        <w:rPr>
          <w:rFonts w:eastAsia="Times New Roman" w:cs="Times New Roman"/>
          <w:color w:val="000000"/>
        </w:rPr>
        <w:t xml:space="preserve"> </w:t>
      </w:r>
    </w:p>
    <w:p w14:paraId="021403A1" w14:textId="2790B935" w:rsidR="002E2088" w:rsidRDefault="001B6997" w:rsidP="003F5F13">
      <w:pPr>
        <w:autoSpaceDE w:val="0"/>
        <w:autoSpaceDN w:val="0"/>
        <w:adjustRightInd w:val="0"/>
        <w:spacing w:line="360" w:lineRule="auto"/>
        <w:contextualSpacing/>
        <w:rPr>
          <w:rFonts w:eastAsia="Times New Roman" w:cs="Times New Roman"/>
          <w:color w:val="000000" w:themeColor="text1"/>
        </w:rPr>
      </w:pPr>
      <w:r>
        <w:rPr>
          <w:rFonts w:eastAsia="Times New Roman" w:cs="Times New Roman"/>
          <w:color w:val="000000"/>
        </w:rPr>
        <w:tab/>
      </w:r>
      <w:r w:rsidR="25975A6A" w:rsidRPr="05D0A8A3">
        <w:rPr>
          <w:rFonts w:eastAsia="Times New Roman" w:cs="Times New Roman"/>
          <w:color w:val="000000" w:themeColor="text1"/>
        </w:rPr>
        <w:t>D</w:t>
      </w:r>
      <w:r w:rsidR="25975A6A" w:rsidRPr="4B0E998B">
        <w:rPr>
          <w:rFonts w:eastAsia="Times New Roman" w:cs="Times New Roman"/>
          <w:color w:val="000000"/>
          <w:spacing w:val="-2"/>
        </w:rPr>
        <w:t>efendants</w:t>
      </w:r>
      <w:r w:rsidR="25975A6A">
        <w:rPr>
          <w:rFonts w:eastAsia="Times New Roman" w:cs="Times New Roman"/>
          <w:color w:val="000000"/>
          <w:spacing w:val="-2"/>
        </w:rPr>
        <w:t xml:space="preserve"> </w:t>
      </w:r>
      <w:r w:rsidR="00527861">
        <w:rPr>
          <w:rFonts w:eastAsia="Times New Roman" w:cs="Times New Roman"/>
          <w:color w:val="000000"/>
          <w:spacing w:val="-2"/>
        </w:rPr>
        <w:t xml:space="preserve">also </w:t>
      </w:r>
      <w:r w:rsidR="001479FA">
        <w:rPr>
          <w:rFonts w:eastAsia="Times New Roman" w:cs="Times New Roman"/>
          <w:color w:val="000000" w:themeColor="text1"/>
        </w:rPr>
        <w:t>cite authorities holding</w:t>
      </w:r>
      <w:r w:rsidR="009D4D68">
        <w:rPr>
          <w:rFonts w:eastAsia="Times New Roman" w:cs="Times New Roman"/>
          <w:color w:val="000000" w:themeColor="text1"/>
        </w:rPr>
        <w:t xml:space="preserve"> </w:t>
      </w:r>
      <w:r w:rsidR="00FB13B5">
        <w:rPr>
          <w:rFonts w:eastAsia="Times New Roman" w:cs="Times New Roman"/>
          <w:color w:val="000000" w:themeColor="text1"/>
        </w:rPr>
        <w:t>that</w:t>
      </w:r>
      <w:r w:rsidR="3DC30C70">
        <w:rPr>
          <w:rFonts w:eastAsia="Times New Roman" w:cs="Times New Roman"/>
          <w:color w:val="000000" w:themeColor="text1"/>
        </w:rPr>
        <w:t xml:space="preserve"> </w:t>
      </w:r>
      <w:r w:rsidR="3DC30C70">
        <w:rPr>
          <w:rFonts w:eastAsia="Times New Roman" w:cs="Times New Roman"/>
          <w:color w:val="000000"/>
        </w:rPr>
        <w:t xml:space="preserve">a public entity’s </w:t>
      </w:r>
      <w:r w:rsidR="25975A6A">
        <w:rPr>
          <w:rFonts w:eastAsia="Times New Roman" w:cs="Times New Roman"/>
          <w:color w:val="000000"/>
        </w:rPr>
        <w:t>“</w:t>
      </w:r>
      <w:r w:rsidR="3DC30C70">
        <w:rPr>
          <w:rFonts w:eastAsia="Times New Roman" w:cs="Times New Roman"/>
          <w:color w:val="000000"/>
        </w:rPr>
        <w:t xml:space="preserve">exercise of </w:t>
      </w:r>
      <w:r w:rsidR="25975A6A">
        <w:rPr>
          <w:rFonts w:eastAsia="Times New Roman" w:cs="Times New Roman"/>
          <w:color w:val="000000"/>
        </w:rPr>
        <w:t>discretion</w:t>
      </w:r>
      <w:r w:rsidR="3DC30C70">
        <w:rPr>
          <w:rFonts w:eastAsia="Times New Roman" w:cs="Times New Roman"/>
          <w:color w:val="000000"/>
        </w:rPr>
        <w:t xml:space="preserve"> </w:t>
      </w:r>
      <w:r w:rsidR="25975A6A">
        <w:rPr>
          <w:rFonts w:eastAsia="Times New Roman" w:cs="Times New Roman"/>
          <w:color w:val="000000"/>
        </w:rPr>
        <w:t xml:space="preserve">. . . </w:t>
      </w:r>
      <w:r w:rsidR="3DC30C70">
        <w:rPr>
          <w:rFonts w:eastAsia="Times New Roman" w:cs="Times New Roman"/>
          <w:color w:val="000000"/>
        </w:rPr>
        <w:t xml:space="preserve">cannot provide the foundation for </w:t>
      </w:r>
      <w:r w:rsidR="25975A6A">
        <w:rPr>
          <w:rFonts w:eastAsia="Times New Roman" w:cs="Times New Roman"/>
          <w:color w:val="000000"/>
        </w:rPr>
        <w:t xml:space="preserve">taxpayer </w:t>
      </w:r>
      <w:r w:rsidR="3DC30C70">
        <w:rPr>
          <w:rFonts w:eastAsia="Times New Roman" w:cs="Times New Roman"/>
          <w:color w:val="000000"/>
        </w:rPr>
        <w:t>claims</w:t>
      </w:r>
      <w:r w:rsidR="12B009B4">
        <w:rPr>
          <w:rFonts w:eastAsia="Times New Roman" w:cs="Times New Roman"/>
          <w:color w:val="000000"/>
        </w:rPr>
        <w:t>.</w:t>
      </w:r>
      <w:r w:rsidR="25975A6A">
        <w:rPr>
          <w:rFonts w:eastAsia="Times New Roman" w:cs="Times New Roman"/>
          <w:color w:val="000000"/>
        </w:rPr>
        <w:t>” (</w:t>
      </w:r>
      <w:r w:rsidR="12B009B4">
        <w:rPr>
          <w:rFonts w:eastAsia="Times New Roman" w:cs="Times New Roman"/>
          <w:color w:val="000000"/>
        </w:rPr>
        <w:t xml:space="preserve">See </w:t>
      </w:r>
      <w:r w:rsidR="25975A6A" w:rsidRPr="797FBB80">
        <w:rPr>
          <w:rFonts w:eastAsia="Times New Roman" w:cs="Times New Roman"/>
          <w:i/>
          <w:iCs/>
          <w:color w:val="000000"/>
        </w:rPr>
        <w:t>Chodosh v. Commission on Judicial Performance</w:t>
      </w:r>
      <w:r w:rsidR="25975A6A" w:rsidRPr="4B0E998B">
        <w:rPr>
          <w:rFonts w:eastAsia="Times New Roman" w:cs="Times New Roman"/>
          <w:color w:val="000000"/>
        </w:rPr>
        <w:t xml:space="preserve"> (2022) 81 Cal.App.5th 248</w:t>
      </w:r>
      <w:r w:rsidR="003D3554">
        <w:rPr>
          <w:rFonts w:eastAsia="Times New Roman" w:cs="Times New Roman"/>
          <w:color w:val="000000"/>
        </w:rPr>
        <w:t>, 267</w:t>
      </w:r>
      <w:r w:rsidR="00902668">
        <w:rPr>
          <w:rFonts w:eastAsia="Times New Roman" w:cs="Times New Roman"/>
          <w:color w:val="000000"/>
        </w:rPr>
        <w:t>–</w:t>
      </w:r>
      <w:r w:rsidR="004A1CA1">
        <w:rPr>
          <w:rFonts w:eastAsia="Times New Roman" w:cs="Times New Roman"/>
          <w:color w:val="000000"/>
        </w:rPr>
        <w:t>269</w:t>
      </w:r>
      <w:r w:rsidR="25975A6A" w:rsidRPr="4B0E998B">
        <w:rPr>
          <w:rFonts w:eastAsia="Times New Roman" w:cs="Times New Roman"/>
          <w:color w:val="000000"/>
        </w:rPr>
        <w:t xml:space="preserve"> (</w:t>
      </w:r>
      <w:r w:rsidR="25975A6A" w:rsidRPr="797FBB80">
        <w:rPr>
          <w:rFonts w:eastAsia="Times New Roman" w:cs="Times New Roman"/>
          <w:i/>
          <w:iCs/>
          <w:color w:val="000000"/>
        </w:rPr>
        <w:t>Chodosh</w:t>
      </w:r>
      <w:r w:rsidR="25975A6A" w:rsidRPr="4B0E998B">
        <w:rPr>
          <w:rFonts w:eastAsia="Times New Roman" w:cs="Times New Roman"/>
          <w:color w:val="000000"/>
        </w:rPr>
        <w:t xml:space="preserve">); </w:t>
      </w:r>
      <w:r w:rsidR="25975A6A" w:rsidRPr="797FBB80">
        <w:rPr>
          <w:rFonts w:eastAsia="Times New Roman" w:cs="Times New Roman"/>
          <w:i/>
          <w:iCs/>
          <w:color w:val="000000"/>
        </w:rPr>
        <w:t>Schmid</w:t>
      </w:r>
      <w:r w:rsidR="00C05676">
        <w:rPr>
          <w:rFonts w:eastAsia="Times New Roman" w:cs="Times New Roman"/>
          <w:i/>
          <w:iCs/>
          <w:color w:val="000000"/>
        </w:rPr>
        <w:t xml:space="preserve">, </w:t>
      </w:r>
      <w:r w:rsidR="00C05676" w:rsidRPr="00C83930">
        <w:rPr>
          <w:rFonts w:eastAsia="Times New Roman" w:cs="Times New Roman"/>
          <w:i/>
          <w:color w:val="000000"/>
        </w:rPr>
        <w:t>supra,</w:t>
      </w:r>
      <w:r w:rsidR="25975A6A" w:rsidRPr="797FBB80">
        <w:rPr>
          <w:rFonts w:eastAsia="Times New Roman" w:cs="Times New Roman"/>
          <w:i/>
          <w:iCs/>
          <w:color w:val="000000"/>
        </w:rPr>
        <w:t xml:space="preserve"> </w:t>
      </w:r>
      <w:r w:rsidR="25975A6A" w:rsidRPr="00423A54">
        <w:rPr>
          <w:rFonts w:eastAsia="Times New Roman" w:cs="Times New Roman"/>
          <w:color w:val="000000"/>
        </w:rPr>
        <w:t>60</w:t>
      </w:r>
      <w:r w:rsidR="25975A6A" w:rsidRPr="00877AAD">
        <w:rPr>
          <w:rFonts w:eastAsia="Times New Roman" w:cs="Times New Roman"/>
          <w:color w:val="000000"/>
        </w:rPr>
        <w:t> </w:t>
      </w:r>
      <w:r w:rsidR="25975A6A" w:rsidRPr="00423A54">
        <w:rPr>
          <w:rFonts w:eastAsia="Times New Roman" w:cs="Times New Roman"/>
          <w:color w:val="000000"/>
        </w:rPr>
        <w:t xml:space="preserve">Cal.App.5th </w:t>
      </w:r>
      <w:r w:rsidR="000E553C">
        <w:rPr>
          <w:rFonts w:eastAsia="Times New Roman" w:cs="Times New Roman"/>
          <w:color w:val="000000"/>
        </w:rPr>
        <w:t>at pp.</w:t>
      </w:r>
      <w:r w:rsidR="00201AE8">
        <w:rPr>
          <w:rFonts w:eastAsia="Times New Roman" w:cs="Times New Roman"/>
          <w:color w:val="000000"/>
        </w:rPr>
        <w:t> </w:t>
      </w:r>
      <w:r w:rsidR="25975A6A" w:rsidRPr="00423A54">
        <w:rPr>
          <w:rFonts w:eastAsia="Times New Roman" w:cs="Times New Roman"/>
          <w:color w:val="000000"/>
        </w:rPr>
        <w:t>495–496</w:t>
      </w:r>
      <w:r w:rsidR="25975A6A">
        <w:rPr>
          <w:rFonts w:eastAsia="Times New Roman" w:cs="Times New Roman"/>
          <w:color w:val="000000"/>
        </w:rPr>
        <w:t xml:space="preserve">; </w:t>
      </w:r>
      <w:r w:rsidR="25975A6A" w:rsidRPr="797FBB80">
        <w:rPr>
          <w:rFonts w:eastAsia="Times New Roman" w:cs="Times New Roman"/>
          <w:i/>
          <w:iCs/>
          <w:color w:val="000000"/>
        </w:rPr>
        <w:t>San Bernadino</w:t>
      </w:r>
      <w:r w:rsidR="25975A6A">
        <w:rPr>
          <w:rFonts w:eastAsia="Times New Roman" w:cs="Times New Roman"/>
          <w:color w:val="000000"/>
        </w:rPr>
        <w:t xml:space="preserve"> </w:t>
      </w:r>
      <w:r w:rsidR="25975A6A" w:rsidRPr="797FBB80">
        <w:rPr>
          <w:i/>
          <w:iCs/>
        </w:rPr>
        <w:t xml:space="preserve">County v. Superior Court </w:t>
      </w:r>
      <w:r w:rsidR="25975A6A">
        <w:t>(2015) 239 Cal.App.4th 679 (</w:t>
      </w:r>
      <w:r w:rsidR="25975A6A" w:rsidRPr="797FBB80">
        <w:rPr>
          <w:i/>
          <w:iCs/>
        </w:rPr>
        <w:t>San Bernadino</w:t>
      </w:r>
      <w:r w:rsidR="25975A6A">
        <w:t xml:space="preserve">).) </w:t>
      </w:r>
      <w:r w:rsidR="68B406A4">
        <w:t xml:space="preserve">In </w:t>
      </w:r>
      <w:r w:rsidR="03ABCBE0">
        <w:t>appl</w:t>
      </w:r>
      <w:r w:rsidR="68B406A4">
        <w:t>ying</w:t>
      </w:r>
      <w:r w:rsidR="00C05161">
        <w:t xml:space="preserve"> </w:t>
      </w:r>
      <w:r w:rsidR="009D4D68">
        <w:t>this</w:t>
      </w:r>
      <w:r w:rsidR="008F2691">
        <w:t xml:space="preserve"> </w:t>
      </w:r>
      <w:r w:rsidR="00C05161">
        <w:t>principle</w:t>
      </w:r>
      <w:r w:rsidR="008F2691">
        <w:t xml:space="preserve"> </w:t>
      </w:r>
      <w:r w:rsidR="009D4D68">
        <w:t>to plaintiffs’ claim</w:t>
      </w:r>
      <w:r w:rsidR="00A66A7B">
        <w:t xml:space="preserve">s, however, </w:t>
      </w:r>
      <w:r w:rsidR="00C05161">
        <w:t xml:space="preserve">defendants </w:t>
      </w:r>
      <w:r w:rsidR="775F8FC7">
        <w:t>mischaracteriz</w:t>
      </w:r>
      <w:r w:rsidR="00C05161">
        <w:t>e</w:t>
      </w:r>
      <w:r w:rsidR="113D9020">
        <w:t xml:space="preserve"> the type of “discretion” that removes </w:t>
      </w:r>
      <w:r w:rsidR="113D9020">
        <w:lastRenderedPageBreak/>
        <w:t xml:space="preserve">governmental conduct from the ambit of </w:t>
      </w:r>
      <w:r w:rsidR="00183E0C">
        <w:t xml:space="preserve">Code of Civil Procedure </w:t>
      </w:r>
      <w:r w:rsidR="113D9020">
        <w:t>section</w:t>
      </w:r>
      <w:r w:rsidR="00201AE8">
        <w:t> </w:t>
      </w:r>
      <w:r w:rsidR="113D9020">
        <w:t xml:space="preserve">526a. The rule is that </w:t>
      </w:r>
      <w:proofErr w:type="gramStart"/>
      <w:r w:rsidR="25975A6A">
        <w:t>“</w:t>
      </w:r>
      <w:r w:rsidR="7C6FCF0E">
        <w:t> </w:t>
      </w:r>
      <w:r w:rsidR="25975A6A">
        <w:t>‘</w:t>
      </w:r>
      <w:proofErr w:type="gramEnd"/>
      <w:r w:rsidR="25975A6A">
        <w:t>[t]</w:t>
      </w:r>
      <w:proofErr w:type="spellStart"/>
      <w:r w:rsidR="25975A6A">
        <w:t>axpayer</w:t>
      </w:r>
      <w:proofErr w:type="spellEnd"/>
      <w:r w:rsidR="25975A6A">
        <w:t xml:space="preserve"> suits are authorized only if the government body has a duty to act and has refused to do so. If it has discretion and chooses not to act, the courts may not interfere with that decision.</w:t>
      </w:r>
      <w:proofErr w:type="gramStart"/>
      <w:r w:rsidR="25975A6A">
        <w:t>’ ”</w:t>
      </w:r>
      <w:proofErr w:type="gramEnd"/>
      <w:r w:rsidR="25975A6A">
        <w:t xml:space="preserve"> (</w:t>
      </w:r>
      <w:r w:rsidR="25975A6A" w:rsidRPr="797FBB80">
        <w:rPr>
          <w:i/>
          <w:iCs/>
        </w:rPr>
        <w:t>San Bernadino</w:t>
      </w:r>
      <w:r w:rsidR="25975A6A">
        <w:t>, at p. 686</w:t>
      </w:r>
      <w:r w:rsidR="113D9020">
        <w:t xml:space="preserve">; accord, e.g., </w:t>
      </w:r>
      <w:r w:rsidR="113D9020" w:rsidRPr="797FBB80">
        <w:rPr>
          <w:rFonts w:eastAsia="Times New Roman" w:cs="Times New Roman"/>
          <w:i/>
          <w:iCs/>
          <w:color w:val="000000" w:themeColor="text1"/>
        </w:rPr>
        <w:t>California Assn. for Safety Education v. Brown</w:t>
      </w:r>
      <w:r w:rsidR="005C1848">
        <w:rPr>
          <w:rFonts w:eastAsia="Times New Roman" w:cs="Times New Roman"/>
          <w:color w:val="000000" w:themeColor="text1"/>
        </w:rPr>
        <w:t xml:space="preserve"> (1994)</w:t>
      </w:r>
      <w:r w:rsidR="113D9020" w:rsidRPr="008F309E">
        <w:rPr>
          <w:rFonts w:eastAsia="Times New Roman" w:cs="Times New Roman"/>
          <w:color w:val="000000" w:themeColor="text1"/>
        </w:rPr>
        <w:t xml:space="preserve"> 30</w:t>
      </w:r>
      <w:r w:rsidR="7C6FCF0E">
        <w:rPr>
          <w:rFonts w:eastAsia="Times New Roman" w:cs="Times New Roman"/>
          <w:color w:val="000000" w:themeColor="text1"/>
        </w:rPr>
        <w:t> </w:t>
      </w:r>
      <w:r w:rsidR="113D9020" w:rsidRPr="008F309E">
        <w:rPr>
          <w:rFonts w:eastAsia="Times New Roman" w:cs="Times New Roman"/>
          <w:color w:val="000000" w:themeColor="text1"/>
        </w:rPr>
        <w:t>Cal.App.4</w:t>
      </w:r>
      <w:r w:rsidR="113D9020" w:rsidRPr="00C91D6D">
        <w:rPr>
          <w:rFonts w:eastAsia="Times New Roman" w:cs="Times New Roman"/>
          <w:color w:val="000000" w:themeColor="text1"/>
        </w:rPr>
        <w:t>th</w:t>
      </w:r>
      <w:r w:rsidR="113D9020" w:rsidRPr="008F309E">
        <w:rPr>
          <w:rFonts w:eastAsia="Times New Roman" w:cs="Times New Roman"/>
          <w:color w:val="000000" w:themeColor="text1"/>
        </w:rPr>
        <w:t xml:space="preserve"> </w:t>
      </w:r>
      <w:r w:rsidR="005C1848">
        <w:rPr>
          <w:rFonts w:eastAsia="Times New Roman" w:cs="Times New Roman"/>
          <w:color w:val="000000" w:themeColor="text1"/>
        </w:rPr>
        <w:t>1264,</w:t>
      </w:r>
      <w:r w:rsidR="00B71F22">
        <w:rPr>
          <w:rFonts w:eastAsia="Times New Roman" w:cs="Times New Roman"/>
          <w:color w:val="000000" w:themeColor="text1"/>
        </w:rPr>
        <w:t xml:space="preserve"> </w:t>
      </w:r>
      <w:r w:rsidR="113D9020" w:rsidRPr="008F309E">
        <w:rPr>
          <w:rFonts w:eastAsia="Times New Roman" w:cs="Times New Roman"/>
          <w:color w:val="000000" w:themeColor="text1"/>
        </w:rPr>
        <w:t>1281</w:t>
      </w:r>
      <w:r w:rsidR="25975A6A">
        <w:t xml:space="preserve">.) </w:t>
      </w:r>
      <w:r w:rsidR="25BC2C2A">
        <w:t xml:space="preserve">Where </w:t>
      </w:r>
      <w:r w:rsidR="007C06D3">
        <w:t xml:space="preserve">the </w:t>
      </w:r>
      <w:r w:rsidR="7F43A37E">
        <w:t xml:space="preserve">government has a </w:t>
      </w:r>
      <w:r w:rsidR="7F43A37E" w:rsidRPr="00C05161">
        <w:rPr>
          <w:i/>
        </w:rPr>
        <w:t>duty</w:t>
      </w:r>
      <w:r w:rsidR="7F43A37E">
        <w:t xml:space="preserve"> to act, </w:t>
      </w:r>
      <w:r w:rsidR="7E5ED218" w:rsidRPr="797FBB80">
        <w:rPr>
          <w:i/>
          <w:iCs/>
        </w:rPr>
        <w:t xml:space="preserve">Sundance </w:t>
      </w:r>
      <w:r w:rsidR="7F43A37E">
        <w:t>does not</w:t>
      </w:r>
      <w:r>
        <w:t xml:space="preserve"> </w:t>
      </w:r>
      <w:r w:rsidR="721B7F66">
        <w:t xml:space="preserve">preclude a </w:t>
      </w:r>
      <w:r w:rsidR="00F60848">
        <w:t>statutory taxpayer</w:t>
      </w:r>
      <w:r w:rsidR="721B7F66">
        <w:t xml:space="preserve"> claim</w:t>
      </w:r>
      <w:r w:rsidR="7F43A37E">
        <w:t xml:space="preserve"> merely because </w:t>
      </w:r>
      <w:r w:rsidR="00890605">
        <w:t>fulfil</w:t>
      </w:r>
      <w:r w:rsidR="00017BB0">
        <w:t>l</w:t>
      </w:r>
      <w:r w:rsidR="00890605">
        <w:t>ing</w:t>
      </w:r>
      <w:r w:rsidR="7E5ED218">
        <w:t xml:space="preserve"> </w:t>
      </w:r>
      <w:r w:rsidR="7F43A37E">
        <w:t xml:space="preserve">the </w:t>
      </w:r>
      <w:r w:rsidR="00890605">
        <w:t>duty</w:t>
      </w:r>
      <w:r w:rsidR="7F43A37E">
        <w:t xml:space="preserve"> involves some exercise of discretion</w:t>
      </w:r>
      <w:r w:rsidR="12B009B4">
        <w:t>.</w:t>
      </w:r>
      <w:r w:rsidR="7F43A37E">
        <w:t xml:space="preserve"> </w:t>
      </w:r>
    </w:p>
    <w:p w14:paraId="19D1B769" w14:textId="64C6CCA3" w:rsidR="004A0A4A" w:rsidRPr="00D01D60" w:rsidRDefault="001B6997" w:rsidP="004A0A4A">
      <w:pPr>
        <w:autoSpaceDE w:val="0"/>
        <w:autoSpaceDN w:val="0"/>
        <w:adjustRightInd w:val="0"/>
        <w:spacing w:line="360" w:lineRule="auto"/>
        <w:contextualSpacing/>
        <w:rPr>
          <w:color w:val="000000" w:themeColor="text1"/>
        </w:rPr>
      </w:pPr>
      <w:r>
        <w:rPr>
          <w:rFonts w:eastAsia="Times New Roman" w:cs="Times New Roman"/>
          <w:color w:val="000000" w:themeColor="text1"/>
        </w:rPr>
        <w:tab/>
      </w:r>
      <w:r w:rsidR="7BE87353" w:rsidRPr="797FBB80">
        <w:rPr>
          <w:rFonts w:eastAsia="Times New Roman" w:cs="Times New Roman"/>
          <w:i/>
          <w:iCs/>
          <w:color w:val="000000"/>
        </w:rPr>
        <w:t>Chodosh, Schmid</w:t>
      </w:r>
      <w:r w:rsidR="7BE87353">
        <w:rPr>
          <w:rFonts w:eastAsia="Times New Roman" w:cs="Times New Roman"/>
          <w:color w:val="000000"/>
        </w:rPr>
        <w:t xml:space="preserve">, and </w:t>
      </w:r>
      <w:r w:rsidR="7BE87353" w:rsidRPr="797FBB80">
        <w:rPr>
          <w:rFonts w:eastAsia="Times New Roman" w:cs="Times New Roman"/>
          <w:i/>
          <w:iCs/>
          <w:color w:val="000000"/>
        </w:rPr>
        <w:t>San Bernardino</w:t>
      </w:r>
      <w:r w:rsidR="7BE87353">
        <w:rPr>
          <w:rFonts w:eastAsia="Times New Roman" w:cs="Times New Roman"/>
          <w:color w:val="000000"/>
        </w:rPr>
        <w:t xml:space="preserve"> </w:t>
      </w:r>
      <w:r w:rsidR="008637FD">
        <w:rPr>
          <w:rFonts w:eastAsia="Times New Roman" w:cs="Times New Roman"/>
          <w:color w:val="000000"/>
        </w:rPr>
        <w:t>are inapposite, here, as</w:t>
      </w:r>
      <w:r w:rsidR="7BE87353">
        <w:rPr>
          <w:rFonts w:eastAsia="Times New Roman" w:cs="Times New Roman"/>
          <w:color w:val="000000"/>
        </w:rPr>
        <w:t xml:space="preserve"> </w:t>
      </w:r>
      <w:r w:rsidR="05C4D3A4">
        <w:rPr>
          <w:rFonts w:eastAsia="Times New Roman" w:cs="Times New Roman"/>
          <w:color w:val="000000" w:themeColor="text1"/>
        </w:rPr>
        <w:t>each barred</w:t>
      </w:r>
      <w:r w:rsidR="7F43A37E" w:rsidRPr="7FA68319">
        <w:rPr>
          <w:rFonts w:eastAsia="Times New Roman" w:cs="Times New Roman"/>
          <w:color w:val="000000" w:themeColor="text1"/>
        </w:rPr>
        <w:t xml:space="preserve"> a</w:t>
      </w:r>
      <w:r w:rsidR="05C4D3A4">
        <w:rPr>
          <w:rFonts w:eastAsia="Times New Roman" w:cs="Times New Roman"/>
          <w:color w:val="000000" w:themeColor="text1"/>
        </w:rPr>
        <w:t xml:space="preserve"> taxpayer challenge</w:t>
      </w:r>
      <w:r w:rsidR="7BE87353">
        <w:rPr>
          <w:rFonts w:eastAsia="Times New Roman" w:cs="Times New Roman"/>
          <w:color w:val="000000" w:themeColor="text1"/>
        </w:rPr>
        <w:t xml:space="preserve"> </w:t>
      </w:r>
      <w:r w:rsidR="05C4D3A4">
        <w:rPr>
          <w:rFonts w:eastAsia="Times New Roman" w:cs="Times New Roman"/>
          <w:color w:val="000000" w:themeColor="text1"/>
        </w:rPr>
        <w:t xml:space="preserve">to </w:t>
      </w:r>
      <w:r w:rsidR="7BE87353">
        <w:rPr>
          <w:rFonts w:eastAsia="Times New Roman" w:cs="Times New Roman"/>
          <w:color w:val="000000"/>
        </w:rPr>
        <w:t xml:space="preserve">an official’s policy decision </w:t>
      </w:r>
      <w:proofErr w:type="gramStart"/>
      <w:r w:rsidR="7BE87353">
        <w:rPr>
          <w:rFonts w:eastAsia="Times New Roman" w:cs="Times New Roman"/>
          <w:color w:val="000000"/>
        </w:rPr>
        <w:t xml:space="preserve">whether </w:t>
      </w:r>
      <w:r w:rsidR="05C4D3A4">
        <w:rPr>
          <w:rFonts w:eastAsia="Times New Roman" w:cs="Times New Roman"/>
          <w:color w:val="000000"/>
        </w:rPr>
        <w:t>or not</w:t>
      </w:r>
      <w:proofErr w:type="gramEnd"/>
      <w:r w:rsidR="05C4D3A4">
        <w:rPr>
          <w:rFonts w:eastAsia="Times New Roman" w:cs="Times New Roman"/>
          <w:color w:val="000000"/>
        </w:rPr>
        <w:t xml:space="preserve"> </w:t>
      </w:r>
      <w:r w:rsidR="7BE87353">
        <w:rPr>
          <w:rFonts w:eastAsia="Times New Roman" w:cs="Times New Roman"/>
          <w:color w:val="000000"/>
        </w:rPr>
        <w:t xml:space="preserve">to perform a </w:t>
      </w:r>
      <w:r w:rsidR="7BE87353" w:rsidRPr="797FBB80">
        <w:rPr>
          <w:rFonts w:eastAsia="Times New Roman" w:cs="Times New Roman"/>
          <w:i/>
          <w:iCs/>
          <w:color w:val="000000"/>
        </w:rPr>
        <w:t>discretionary</w:t>
      </w:r>
      <w:r w:rsidR="7BE87353">
        <w:rPr>
          <w:rFonts w:eastAsia="Times New Roman" w:cs="Times New Roman"/>
          <w:color w:val="000000"/>
        </w:rPr>
        <w:t xml:space="preserve"> act, not a failure to discharge a </w:t>
      </w:r>
      <w:r w:rsidR="05C4D3A4">
        <w:rPr>
          <w:rFonts w:eastAsia="Times New Roman" w:cs="Times New Roman"/>
          <w:color w:val="000000"/>
        </w:rPr>
        <w:t>mandatory duty</w:t>
      </w:r>
      <w:r w:rsidR="24A90408">
        <w:rPr>
          <w:rFonts w:eastAsia="Times New Roman" w:cs="Times New Roman"/>
          <w:color w:val="000000"/>
        </w:rPr>
        <w:t xml:space="preserve"> that involve</w:t>
      </w:r>
      <w:r w:rsidR="11B8E82B">
        <w:rPr>
          <w:rFonts w:eastAsia="Times New Roman" w:cs="Times New Roman"/>
          <w:color w:val="000000"/>
        </w:rPr>
        <w:t>d</w:t>
      </w:r>
      <w:r w:rsidR="24A90408">
        <w:rPr>
          <w:rFonts w:eastAsia="Times New Roman" w:cs="Times New Roman"/>
          <w:color w:val="000000"/>
        </w:rPr>
        <w:t xml:space="preserve"> some discretion in the manner of perform</w:t>
      </w:r>
      <w:r w:rsidR="4297437C" w:rsidRPr="797FBB80">
        <w:rPr>
          <w:rFonts w:eastAsia="Times New Roman" w:cs="Times New Roman"/>
          <w:color w:val="000000" w:themeColor="text1"/>
        </w:rPr>
        <w:t>ance</w:t>
      </w:r>
      <w:r w:rsidR="05C4D3A4">
        <w:rPr>
          <w:rFonts w:eastAsia="Times New Roman" w:cs="Times New Roman"/>
          <w:color w:val="000000"/>
        </w:rPr>
        <w:t>.</w:t>
      </w:r>
      <w:r w:rsidR="7BE87353">
        <w:rPr>
          <w:rFonts w:eastAsia="Times New Roman" w:cs="Times New Roman"/>
          <w:color w:val="000000"/>
        </w:rPr>
        <w:t xml:space="preserve"> In </w:t>
      </w:r>
      <w:r w:rsidR="135D9A4B" w:rsidRPr="797FBB80">
        <w:rPr>
          <w:rFonts w:eastAsia="Times New Roman" w:cs="Times New Roman"/>
          <w:i/>
          <w:iCs/>
          <w:color w:val="000000"/>
        </w:rPr>
        <w:t>San Bernadino</w:t>
      </w:r>
      <w:r w:rsidR="135D9A4B">
        <w:rPr>
          <w:rFonts w:eastAsia="Times New Roman" w:cs="Times New Roman"/>
          <w:color w:val="000000"/>
        </w:rPr>
        <w:t xml:space="preserve">, the “discretionary act” </w:t>
      </w:r>
      <w:r w:rsidR="11B8E82B">
        <w:rPr>
          <w:rFonts w:eastAsia="Times New Roman" w:cs="Times New Roman"/>
          <w:color w:val="000000"/>
        </w:rPr>
        <w:t xml:space="preserve">that </w:t>
      </w:r>
      <w:r w:rsidR="6950268A">
        <w:rPr>
          <w:rFonts w:eastAsia="Times New Roman" w:cs="Times New Roman"/>
          <w:color w:val="000000"/>
        </w:rPr>
        <w:t xml:space="preserve">the court held to be </w:t>
      </w:r>
      <w:r w:rsidR="24A90408">
        <w:rPr>
          <w:rFonts w:eastAsia="Times New Roman" w:cs="Times New Roman"/>
          <w:color w:val="000000"/>
        </w:rPr>
        <w:t xml:space="preserve">beyond the reach of </w:t>
      </w:r>
      <w:r w:rsidR="135D9A4B">
        <w:rPr>
          <w:rFonts w:eastAsia="Times New Roman" w:cs="Times New Roman"/>
          <w:color w:val="000000"/>
        </w:rPr>
        <w:t xml:space="preserve">a taxpayer-standing </w:t>
      </w:r>
      <w:r w:rsidR="05C4D3A4">
        <w:rPr>
          <w:rFonts w:eastAsia="Times New Roman" w:cs="Times New Roman"/>
          <w:color w:val="000000"/>
        </w:rPr>
        <w:t>action</w:t>
      </w:r>
      <w:r w:rsidR="135D9A4B">
        <w:rPr>
          <w:rFonts w:eastAsia="Times New Roman" w:cs="Times New Roman"/>
          <w:color w:val="000000"/>
        </w:rPr>
        <w:t xml:space="preserve"> was </w:t>
      </w:r>
      <w:proofErr w:type="gramStart"/>
      <w:r w:rsidR="6BF407EC" w:rsidRPr="1D2EECFC">
        <w:rPr>
          <w:rFonts w:cs="Times New Roman"/>
          <w:color w:val="000000" w:themeColor="text1"/>
        </w:rPr>
        <w:t>“ ‘</w:t>
      </w:r>
      <w:proofErr w:type="gramEnd"/>
      <w:r w:rsidR="6BF407EC" w:rsidRPr="1D2EECFC">
        <w:rPr>
          <w:rFonts w:cs="Times New Roman"/>
          <w:color w:val="000000" w:themeColor="text1"/>
        </w:rPr>
        <w:t>a government entity’s decision whether to pursue a legal claim</w:t>
      </w:r>
      <w:r w:rsidR="07C9DF38" w:rsidRPr="797FBB80">
        <w:rPr>
          <w:rFonts w:cs="Times New Roman"/>
          <w:color w:val="000000" w:themeColor="text1"/>
        </w:rPr>
        <w:t>.</w:t>
      </w:r>
      <w:r w:rsidR="6BF407EC" w:rsidRPr="1D2EECFC">
        <w:rPr>
          <w:rFonts w:cs="Times New Roman"/>
          <w:color w:val="000000" w:themeColor="text1"/>
        </w:rPr>
        <w:t>’ ” (</w:t>
      </w:r>
      <w:r w:rsidR="6BF407EC" w:rsidRPr="797FBB80">
        <w:rPr>
          <w:rFonts w:cs="Times New Roman"/>
          <w:i/>
          <w:iCs/>
          <w:color w:val="000000" w:themeColor="text1"/>
        </w:rPr>
        <w:t>San Bernadino</w:t>
      </w:r>
      <w:r w:rsidR="6BF407EC" w:rsidRPr="1D2EECFC">
        <w:rPr>
          <w:rFonts w:cs="Times New Roman"/>
          <w:color w:val="000000" w:themeColor="text1"/>
        </w:rPr>
        <w:t xml:space="preserve">, </w:t>
      </w:r>
      <w:r w:rsidR="6BF407EC" w:rsidRPr="797FBB80">
        <w:rPr>
          <w:rFonts w:cs="Times New Roman"/>
          <w:i/>
          <w:iCs/>
          <w:color w:val="000000" w:themeColor="text1"/>
        </w:rPr>
        <w:t>supra</w:t>
      </w:r>
      <w:r w:rsidR="6BF407EC" w:rsidRPr="1D2EECFC">
        <w:rPr>
          <w:rFonts w:cs="Times New Roman"/>
          <w:color w:val="000000" w:themeColor="text1"/>
        </w:rPr>
        <w:t xml:space="preserve">, </w:t>
      </w:r>
      <w:r w:rsidR="00C64BF4" w:rsidRPr="7DC83EE6">
        <w:rPr>
          <w:bdr w:val="none" w:sz="0" w:space="0" w:color="auto" w:frame="1"/>
        </w:rPr>
        <w:t xml:space="preserve">239 Cal.App.4th </w:t>
      </w:r>
      <w:r w:rsidR="6BF407EC" w:rsidRPr="1D2EECFC">
        <w:rPr>
          <w:rFonts w:cs="Times New Roman"/>
          <w:color w:val="000000" w:themeColor="text1"/>
        </w:rPr>
        <w:t>at p. 686</w:t>
      </w:r>
      <w:r w:rsidR="603156FA" w:rsidRPr="797FBB80">
        <w:rPr>
          <w:rFonts w:cs="Times New Roman"/>
          <w:color w:val="000000" w:themeColor="text1"/>
        </w:rPr>
        <w:t>.</w:t>
      </w:r>
      <w:r w:rsidR="6BF407EC" w:rsidRPr="1D2EECFC">
        <w:rPr>
          <w:rFonts w:cs="Times New Roman"/>
          <w:color w:val="000000" w:themeColor="text1"/>
        </w:rPr>
        <w:t>)</w:t>
      </w:r>
      <w:r w:rsidR="6BF407EC">
        <w:rPr>
          <w:rFonts w:eastAsia="Times New Roman" w:cs="Times New Roman"/>
          <w:color w:val="000000"/>
        </w:rPr>
        <w:t xml:space="preserve"> In </w:t>
      </w:r>
      <w:r w:rsidR="7BE87353">
        <w:rPr>
          <w:rFonts w:eastAsia="Times New Roman" w:cs="Times New Roman"/>
          <w:color w:val="000000"/>
        </w:rPr>
        <w:t xml:space="preserve">so holding, </w:t>
      </w:r>
      <w:r w:rsidR="7BE87353" w:rsidRPr="797FBB80">
        <w:rPr>
          <w:rFonts w:eastAsia="Times New Roman" w:cs="Times New Roman"/>
          <w:i/>
          <w:iCs/>
          <w:color w:val="000000"/>
        </w:rPr>
        <w:t>San Bernadino</w:t>
      </w:r>
      <w:r w:rsidR="7BE87353" w:rsidRPr="4B0E998B">
        <w:rPr>
          <w:rFonts w:eastAsia="Times New Roman" w:cs="Times New Roman"/>
          <w:color w:val="000000"/>
        </w:rPr>
        <w:t xml:space="preserve"> </w:t>
      </w:r>
      <w:r w:rsidR="7BE87353" w:rsidRPr="4D00544E">
        <w:rPr>
          <w:rFonts w:eastAsia="Times New Roman" w:cs="Times New Roman"/>
          <w:color w:val="000000" w:themeColor="text1"/>
        </w:rPr>
        <w:t>cited</w:t>
      </w:r>
      <w:r w:rsidR="05C4D3A4">
        <w:rPr>
          <w:rFonts w:eastAsia="Times New Roman" w:cs="Times New Roman"/>
          <w:color w:val="000000" w:themeColor="text1"/>
        </w:rPr>
        <w:t>, as an exception that proved the rule,</w:t>
      </w:r>
      <w:r w:rsidR="7BE87353" w:rsidRPr="4D00544E">
        <w:rPr>
          <w:rFonts w:eastAsia="Times New Roman" w:cs="Times New Roman"/>
          <w:color w:val="000000" w:themeColor="text1"/>
        </w:rPr>
        <w:t xml:space="preserve"> </w:t>
      </w:r>
      <w:r w:rsidR="05C4D3A4">
        <w:rPr>
          <w:rFonts w:eastAsia="Times New Roman" w:cs="Times New Roman"/>
          <w:color w:val="000000" w:themeColor="text1"/>
        </w:rPr>
        <w:t>cas</w:t>
      </w:r>
      <w:r w:rsidR="05C4D3A4" w:rsidRPr="4D00544E">
        <w:rPr>
          <w:rFonts w:eastAsia="Times New Roman" w:cs="Times New Roman"/>
          <w:color w:val="000000" w:themeColor="text1"/>
        </w:rPr>
        <w:t xml:space="preserve">es </w:t>
      </w:r>
      <w:r w:rsidR="7BE87353" w:rsidRPr="4D00544E">
        <w:rPr>
          <w:rFonts w:eastAsia="Times New Roman" w:cs="Times New Roman"/>
          <w:color w:val="000000" w:themeColor="text1"/>
        </w:rPr>
        <w:t>in which</w:t>
      </w:r>
      <w:r w:rsidR="7BE87353" w:rsidRPr="4B0E998B">
        <w:rPr>
          <w:rFonts w:eastAsia="Times New Roman" w:cs="Times New Roman"/>
          <w:color w:val="000000"/>
        </w:rPr>
        <w:t xml:space="preserve"> </w:t>
      </w:r>
      <w:r w:rsidR="009B15D9">
        <w:rPr>
          <w:rFonts w:eastAsia="Times New Roman" w:cs="Times New Roman"/>
          <w:color w:val="000000"/>
        </w:rPr>
        <w:t xml:space="preserve">plaintiffs </w:t>
      </w:r>
      <w:r w:rsidR="7BE87353" w:rsidRPr="797FBB80">
        <w:rPr>
          <w:rFonts w:eastAsia="Times New Roman" w:cs="Times New Roman"/>
          <w:i/>
          <w:iCs/>
          <w:color w:val="000000" w:themeColor="text1"/>
        </w:rPr>
        <w:t>properly</w:t>
      </w:r>
      <w:r w:rsidR="7BE87353" w:rsidRPr="4D00544E">
        <w:rPr>
          <w:rFonts w:eastAsia="Times New Roman" w:cs="Times New Roman"/>
          <w:color w:val="000000" w:themeColor="text1"/>
        </w:rPr>
        <w:t xml:space="preserve"> </w:t>
      </w:r>
      <w:r w:rsidR="7BE87353" w:rsidRPr="0B0799C1">
        <w:rPr>
          <w:rFonts w:eastAsia="Times New Roman" w:cs="Times New Roman"/>
          <w:color w:val="000000" w:themeColor="text1"/>
        </w:rPr>
        <w:t>premised</w:t>
      </w:r>
      <w:r w:rsidR="7BE87353" w:rsidRPr="7DC83EE6">
        <w:rPr>
          <w:rFonts w:eastAsia="Times New Roman" w:cs="Times New Roman"/>
          <w:color w:val="000000" w:themeColor="text1"/>
        </w:rPr>
        <w:t xml:space="preserve"> </w:t>
      </w:r>
      <w:r w:rsidR="009B15D9">
        <w:rPr>
          <w:rFonts w:eastAsia="Times New Roman" w:cs="Times New Roman"/>
          <w:color w:val="000000" w:themeColor="text1"/>
        </w:rPr>
        <w:t xml:space="preserve">taxpayer </w:t>
      </w:r>
      <w:r w:rsidR="05C4D3A4">
        <w:rPr>
          <w:rFonts w:eastAsia="Times New Roman" w:cs="Times New Roman"/>
          <w:color w:val="000000" w:themeColor="text1"/>
        </w:rPr>
        <w:t xml:space="preserve">actions </w:t>
      </w:r>
      <w:r w:rsidR="7BE87353" w:rsidRPr="7DC83EE6">
        <w:rPr>
          <w:rFonts w:eastAsia="Times New Roman" w:cs="Times New Roman"/>
          <w:color w:val="000000" w:themeColor="text1"/>
        </w:rPr>
        <w:t xml:space="preserve">upon </w:t>
      </w:r>
      <w:r w:rsidR="6BF407EC">
        <w:rPr>
          <w:rFonts w:eastAsia="Times New Roman" w:cs="Times New Roman"/>
          <w:color w:val="000000" w:themeColor="text1"/>
        </w:rPr>
        <w:t xml:space="preserve">a public </w:t>
      </w:r>
      <w:r w:rsidR="05C4D3A4">
        <w:rPr>
          <w:rFonts w:eastAsia="Times New Roman" w:cs="Times New Roman"/>
          <w:color w:val="000000" w:themeColor="text1"/>
        </w:rPr>
        <w:t xml:space="preserve">body </w:t>
      </w:r>
      <w:r w:rsidR="6BF407EC">
        <w:rPr>
          <w:rFonts w:eastAsia="Times New Roman" w:cs="Times New Roman"/>
          <w:color w:val="000000" w:themeColor="text1"/>
        </w:rPr>
        <w:t>or official</w:t>
      </w:r>
      <w:r w:rsidR="05C4D3A4">
        <w:rPr>
          <w:rFonts w:eastAsia="Times New Roman" w:cs="Times New Roman"/>
          <w:color w:val="000000" w:themeColor="text1"/>
        </w:rPr>
        <w:t>’s</w:t>
      </w:r>
      <w:r w:rsidR="6BF407EC">
        <w:rPr>
          <w:rFonts w:eastAsia="Times New Roman" w:cs="Times New Roman"/>
          <w:color w:val="000000" w:themeColor="text1"/>
        </w:rPr>
        <w:t xml:space="preserve"> </w:t>
      </w:r>
      <w:r w:rsidR="7BE87353">
        <w:rPr>
          <w:rFonts w:eastAsia="Times New Roman" w:cs="Times New Roman"/>
          <w:color w:val="000000" w:themeColor="text1"/>
        </w:rPr>
        <w:t xml:space="preserve">failure to pursue </w:t>
      </w:r>
      <w:r w:rsidR="6BF407EC">
        <w:rPr>
          <w:rFonts w:eastAsia="Times New Roman" w:cs="Times New Roman"/>
          <w:color w:val="000000" w:themeColor="text1"/>
        </w:rPr>
        <w:t xml:space="preserve">a </w:t>
      </w:r>
      <w:r w:rsidR="7BE87353">
        <w:rPr>
          <w:rFonts w:eastAsia="Times New Roman" w:cs="Times New Roman"/>
          <w:color w:val="000000" w:themeColor="text1"/>
        </w:rPr>
        <w:t xml:space="preserve">legal </w:t>
      </w:r>
      <w:r w:rsidR="6BF407EC">
        <w:rPr>
          <w:rFonts w:eastAsia="Times New Roman" w:cs="Times New Roman"/>
          <w:color w:val="000000" w:themeColor="text1"/>
        </w:rPr>
        <w:t>claim</w:t>
      </w:r>
      <w:r w:rsidR="7BE87353" w:rsidRPr="7DC83EE6">
        <w:rPr>
          <w:rFonts w:eastAsia="Times New Roman" w:cs="Times New Roman"/>
          <w:color w:val="000000" w:themeColor="text1"/>
        </w:rPr>
        <w:t xml:space="preserve"> </w:t>
      </w:r>
      <w:r w:rsidR="24A90408">
        <w:rPr>
          <w:rFonts w:eastAsia="Times New Roman" w:cs="Times New Roman"/>
          <w:color w:val="000000" w:themeColor="text1"/>
        </w:rPr>
        <w:t xml:space="preserve">in circumstances in which </w:t>
      </w:r>
      <w:r w:rsidR="6BF407EC">
        <w:rPr>
          <w:rFonts w:eastAsia="Times New Roman" w:cs="Times New Roman"/>
          <w:color w:val="000000" w:themeColor="text1"/>
        </w:rPr>
        <w:t xml:space="preserve">the </w:t>
      </w:r>
      <w:r w:rsidR="7BE87353" w:rsidRPr="7DC83EE6">
        <w:rPr>
          <w:rFonts w:eastAsia="Times New Roman" w:cs="Times New Roman"/>
          <w:color w:val="000000" w:themeColor="text1"/>
        </w:rPr>
        <w:t>defendant</w:t>
      </w:r>
      <w:r w:rsidR="7BE87353">
        <w:rPr>
          <w:rFonts w:eastAsia="Times New Roman" w:cs="Times New Roman"/>
          <w:color w:val="000000" w:themeColor="text1"/>
        </w:rPr>
        <w:t xml:space="preserve"> had a </w:t>
      </w:r>
      <w:r w:rsidR="7BE87353" w:rsidRPr="4D00544E">
        <w:rPr>
          <w:rFonts w:eastAsia="Times New Roman" w:cs="Times New Roman"/>
          <w:color w:val="000000" w:themeColor="text1"/>
        </w:rPr>
        <w:t xml:space="preserve">mandatory </w:t>
      </w:r>
      <w:r w:rsidR="7BE87353" w:rsidRPr="4B0E998B">
        <w:rPr>
          <w:rFonts w:eastAsia="Times New Roman" w:cs="Times New Roman"/>
          <w:color w:val="000000"/>
        </w:rPr>
        <w:t>duty</w:t>
      </w:r>
      <w:r w:rsidR="7BE87353">
        <w:rPr>
          <w:rFonts w:eastAsia="Times New Roman" w:cs="Times New Roman"/>
          <w:color w:val="000000"/>
        </w:rPr>
        <w:t xml:space="preserve"> to </w:t>
      </w:r>
      <w:r w:rsidR="05C4D3A4">
        <w:rPr>
          <w:rFonts w:eastAsia="Times New Roman" w:cs="Times New Roman"/>
          <w:color w:val="000000"/>
        </w:rPr>
        <w:t>pursue</w:t>
      </w:r>
      <w:r w:rsidR="24A90408">
        <w:rPr>
          <w:rFonts w:eastAsia="Times New Roman" w:cs="Times New Roman"/>
          <w:color w:val="000000"/>
        </w:rPr>
        <w:t xml:space="preserve"> the claim</w:t>
      </w:r>
      <w:r w:rsidR="7BE87353" w:rsidRPr="4B0E998B">
        <w:rPr>
          <w:rFonts w:eastAsia="Times New Roman" w:cs="Times New Roman"/>
          <w:color w:val="000000"/>
        </w:rPr>
        <w:t>. (</w:t>
      </w:r>
      <w:r w:rsidR="7BE87353" w:rsidRPr="797FBB80">
        <w:rPr>
          <w:rFonts w:eastAsia="Times New Roman" w:cs="Times New Roman"/>
          <w:i/>
          <w:iCs/>
          <w:color w:val="000000" w:themeColor="text1"/>
          <w:bdr w:val="none" w:sz="0" w:space="0" w:color="auto" w:frame="1"/>
        </w:rPr>
        <w:t>San Bernadino</w:t>
      </w:r>
      <w:r w:rsidR="7BE87353" w:rsidRPr="4B0E998B">
        <w:rPr>
          <w:rFonts w:eastAsia="Times New Roman" w:cs="Times New Roman"/>
          <w:color w:val="000000"/>
        </w:rPr>
        <w:t>,</w:t>
      </w:r>
      <w:r w:rsidR="7BE87353" w:rsidRPr="7DC83EE6">
        <w:rPr>
          <w:rFonts w:eastAsia="Times New Roman" w:cs="Times New Roman"/>
          <w:color w:val="000000" w:themeColor="text1"/>
          <w:bdr w:val="none" w:sz="0" w:space="0" w:color="auto" w:frame="1"/>
        </w:rPr>
        <w:t xml:space="preserve"> </w:t>
      </w:r>
      <w:r w:rsidR="7BE87353" w:rsidRPr="4B0E998B">
        <w:rPr>
          <w:rFonts w:eastAsia="Times New Roman" w:cs="Times New Roman"/>
          <w:color w:val="000000"/>
        </w:rPr>
        <w:t>at p.</w:t>
      </w:r>
      <w:r w:rsidR="7BE87353" w:rsidRPr="4B0E998B">
        <w:rPr>
          <w:rFonts w:eastAsia="Times New Roman" w:cs="Times New Roman"/>
          <w:color w:val="000000" w:themeColor="text1"/>
        </w:rPr>
        <w:t xml:space="preserve"> 687, quoting </w:t>
      </w:r>
      <w:r w:rsidR="7BE87353" w:rsidRPr="00180A2A">
        <w:rPr>
          <w:rFonts w:eastAsia="Times New Roman" w:cs="Times New Roman"/>
          <w:i/>
        </w:rPr>
        <w:t xml:space="preserve">Schaefer v. </w:t>
      </w:r>
      <w:proofErr w:type="spellStart"/>
      <w:r w:rsidR="7BE87353" w:rsidRPr="00180A2A">
        <w:rPr>
          <w:rFonts w:eastAsia="Times New Roman" w:cs="Times New Roman"/>
          <w:i/>
        </w:rPr>
        <w:t>Berinstein</w:t>
      </w:r>
      <w:proofErr w:type="spellEnd"/>
      <w:r w:rsidR="7BE87353" w:rsidRPr="00180A2A">
        <w:rPr>
          <w:rFonts w:eastAsia="Times New Roman" w:cs="Times New Roman"/>
        </w:rPr>
        <w:t xml:space="preserve"> </w:t>
      </w:r>
      <w:r w:rsidR="7BE87353" w:rsidRPr="004175F6">
        <w:rPr>
          <w:rFonts w:eastAsia="Times New Roman" w:cs="Times New Roman"/>
        </w:rPr>
        <w:t>(1956) 140</w:t>
      </w:r>
      <w:r w:rsidR="05C4D3A4" w:rsidRPr="004175F6">
        <w:rPr>
          <w:rFonts w:eastAsia="Times New Roman" w:cs="Times New Roman"/>
        </w:rPr>
        <w:t> </w:t>
      </w:r>
      <w:r w:rsidR="7BE87353" w:rsidRPr="004175F6">
        <w:rPr>
          <w:rFonts w:eastAsia="Times New Roman" w:cs="Times New Roman"/>
        </w:rPr>
        <w:t>Cal.App.2d</w:t>
      </w:r>
      <w:r w:rsidR="7BE87353" w:rsidRPr="004175F6">
        <w:rPr>
          <w:rFonts w:eastAsia="Times New Roman" w:cs="Times New Roman"/>
          <w:i/>
        </w:rPr>
        <w:t xml:space="preserve"> </w:t>
      </w:r>
      <w:r w:rsidR="7BE87353" w:rsidRPr="004175F6">
        <w:rPr>
          <w:rFonts w:eastAsia="Times New Roman" w:cs="Times New Roman"/>
        </w:rPr>
        <w:t>278, 292</w:t>
      </w:r>
      <w:r w:rsidR="009F692A" w:rsidRPr="004175F6">
        <w:rPr>
          <w:rFonts w:eastAsia="Times New Roman" w:cs="Times New Roman"/>
        </w:rPr>
        <w:t>–</w:t>
      </w:r>
      <w:r w:rsidR="00D314EE" w:rsidRPr="004175F6">
        <w:rPr>
          <w:rFonts w:eastAsia="Times New Roman" w:cs="Times New Roman"/>
        </w:rPr>
        <w:t>293</w:t>
      </w:r>
      <w:r w:rsidR="7BE87353" w:rsidRPr="004175F6">
        <w:rPr>
          <w:rFonts w:eastAsia="Times New Roman" w:cs="Times New Roman"/>
        </w:rPr>
        <w:t xml:space="preserve"> </w:t>
      </w:r>
      <w:r w:rsidR="7BE87353" w:rsidRPr="4B0E998B">
        <w:rPr>
          <w:rFonts w:eastAsia="Times New Roman" w:cs="Times New Roman"/>
          <w:color w:val="000000" w:themeColor="text1"/>
        </w:rPr>
        <w:t xml:space="preserve">[action may proceed against city officials for failure to declare certain transactions void where city charter provision </w:t>
      </w:r>
      <w:r w:rsidR="7BE87353" w:rsidRPr="0B0799C1">
        <w:rPr>
          <w:rFonts w:eastAsia="Times New Roman" w:cs="Times New Roman"/>
          <w:color w:val="000000" w:themeColor="text1"/>
        </w:rPr>
        <w:t>requir</w:t>
      </w:r>
      <w:r w:rsidR="05C4D3A4">
        <w:rPr>
          <w:rFonts w:eastAsia="Times New Roman" w:cs="Times New Roman"/>
          <w:color w:val="000000" w:themeColor="text1"/>
        </w:rPr>
        <w:t xml:space="preserve">ed </w:t>
      </w:r>
      <w:r w:rsidR="7BE87353" w:rsidRPr="4B0E998B">
        <w:rPr>
          <w:rFonts w:eastAsia="Times New Roman" w:cs="Times New Roman"/>
          <w:color w:val="000000" w:themeColor="text1"/>
        </w:rPr>
        <w:t>city council to declare such transactions void]</w:t>
      </w:r>
      <w:r w:rsidR="51C4988A">
        <w:rPr>
          <w:rFonts w:eastAsia="Times New Roman" w:cs="Times New Roman"/>
          <w:color w:val="000000" w:themeColor="text1"/>
        </w:rPr>
        <w:t>;</w:t>
      </w:r>
      <w:r w:rsidR="7BE87353" w:rsidRPr="4B0E998B">
        <w:rPr>
          <w:rFonts w:eastAsia="Times New Roman" w:cs="Times New Roman"/>
          <w:color w:val="000000"/>
        </w:rPr>
        <w:t xml:space="preserve"> </w:t>
      </w:r>
      <w:r w:rsidR="7BE87353" w:rsidRPr="005B24FB">
        <w:rPr>
          <w:rFonts w:eastAsia="Times New Roman" w:cs="Times New Roman"/>
          <w:i/>
        </w:rPr>
        <w:t>Miller v. McKinnon</w:t>
      </w:r>
      <w:r w:rsidR="7BE87353" w:rsidRPr="005B24FB">
        <w:rPr>
          <w:rFonts w:eastAsia="Times New Roman" w:cs="Times New Roman"/>
        </w:rPr>
        <w:t xml:space="preserve"> </w:t>
      </w:r>
      <w:r w:rsidR="7BE87353">
        <w:rPr>
          <w:rFonts w:eastAsia="Times New Roman" w:cs="Times New Roman"/>
          <w:color w:val="3D3D3D"/>
        </w:rPr>
        <w:t>(1942</w:t>
      </w:r>
      <w:r w:rsidR="7BE87353" w:rsidRPr="7DC83EE6">
        <w:rPr>
          <w:rFonts w:eastAsia="Times New Roman" w:cs="Times New Roman"/>
          <w:color w:val="3D3D3D"/>
        </w:rPr>
        <w:t>)</w:t>
      </w:r>
      <w:r w:rsidR="7BE87353" w:rsidRPr="4B0E998B">
        <w:rPr>
          <w:rFonts w:eastAsia="Times New Roman" w:cs="Times New Roman"/>
          <w:color w:val="000000" w:themeColor="text1"/>
        </w:rPr>
        <w:t xml:space="preserve"> 20</w:t>
      </w:r>
      <w:r w:rsidR="6BF407EC">
        <w:rPr>
          <w:rFonts w:eastAsia="Times New Roman" w:cs="Times New Roman"/>
          <w:color w:val="000000" w:themeColor="text1"/>
        </w:rPr>
        <w:t> </w:t>
      </w:r>
      <w:r w:rsidR="7BE87353" w:rsidRPr="4B0E998B">
        <w:rPr>
          <w:rFonts w:eastAsia="Times New Roman" w:cs="Times New Roman"/>
          <w:color w:val="000000" w:themeColor="text1"/>
        </w:rPr>
        <w:t xml:space="preserve">Cal.2d </w:t>
      </w:r>
      <w:r w:rsidR="7BE87353">
        <w:rPr>
          <w:rFonts w:eastAsia="Times New Roman" w:cs="Times New Roman"/>
          <w:color w:val="000000" w:themeColor="text1"/>
        </w:rPr>
        <w:t xml:space="preserve">83, </w:t>
      </w:r>
      <w:r w:rsidR="7BE87353" w:rsidRPr="4B0E998B">
        <w:rPr>
          <w:rFonts w:eastAsia="Times New Roman" w:cs="Times New Roman"/>
          <w:color w:val="000000" w:themeColor="text1"/>
        </w:rPr>
        <w:t xml:space="preserve">86–87, 95 </w:t>
      </w:r>
      <w:r w:rsidR="7BE87353" w:rsidRPr="7DC83EE6">
        <w:rPr>
          <w:rFonts w:eastAsia="Times New Roman" w:cs="Times New Roman"/>
          <w:color w:val="000000" w:themeColor="text1"/>
        </w:rPr>
        <w:t xml:space="preserve">[taxpayer action may be premised upon failure </w:t>
      </w:r>
      <w:r w:rsidR="007C0B8B">
        <w:rPr>
          <w:rFonts w:eastAsia="Times New Roman" w:cs="Times New Roman"/>
          <w:color w:val="000000" w:themeColor="text1"/>
        </w:rPr>
        <w:t xml:space="preserve">of county district attorney </w:t>
      </w:r>
      <w:r w:rsidR="7BE87353" w:rsidRPr="7DC83EE6">
        <w:rPr>
          <w:rFonts w:eastAsia="Times New Roman" w:cs="Times New Roman"/>
          <w:color w:val="000000" w:themeColor="text1"/>
        </w:rPr>
        <w:t xml:space="preserve">to comply with statute that </w:t>
      </w:r>
      <w:r w:rsidR="7BE87353" w:rsidRPr="4B0E998B">
        <w:rPr>
          <w:rFonts w:eastAsia="Times New Roman" w:cs="Times New Roman"/>
          <w:color w:val="000000" w:themeColor="text1"/>
        </w:rPr>
        <w:t>“</w:t>
      </w:r>
      <w:r w:rsidR="00E67F1F">
        <w:rPr>
          <w:rFonts w:eastAsia="Times New Roman" w:cs="Times New Roman"/>
          <w:color w:val="000000" w:themeColor="text1"/>
        </w:rPr>
        <w:t> </w:t>
      </w:r>
      <w:r w:rsidR="00C80DF6">
        <w:rPr>
          <w:rFonts w:eastAsia="Times New Roman" w:cs="Times New Roman"/>
          <w:color w:val="000000" w:themeColor="text1"/>
        </w:rPr>
        <w:t>‘</w:t>
      </w:r>
      <w:r w:rsidR="7BE87353" w:rsidRPr="4B0E998B">
        <w:rPr>
          <w:rFonts w:eastAsia="Times New Roman" w:cs="Times New Roman"/>
          <w:color w:val="000000"/>
        </w:rPr>
        <w:t>made</w:t>
      </w:r>
      <w:r w:rsidR="00B331D5">
        <w:rPr>
          <w:rFonts w:eastAsia="Times New Roman" w:cs="Times New Roman"/>
          <w:color w:val="000000"/>
        </w:rPr>
        <w:t xml:space="preserve"> </w:t>
      </w:r>
      <w:r w:rsidR="00C80DF6">
        <w:rPr>
          <w:rFonts w:eastAsia="Times New Roman" w:cs="Times New Roman"/>
          <w:color w:val="000000"/>
        </w:rPr>
        <w:t>his</w:t>
      </w:r>
      <w:r w:rsidR="7BE87353" w:rsidRPr="4B0E998B">
        <w:rPr>
          <w:rFonts w:eastAsia="Times New Roman" w:cs="Times New Roman"/>
          <w:color w:val="000000"/>
        </w:rPr>
        <w:t xml:space="preserve"> imperative duty</w:t>
      </w:r>
      <w:r w:rsidR="00C80DF6">
        <w:rPr>
          <w:rFonts w:eastAsia="Times New Roman" w:cs="Times New Roman"/>
          <w:color w:val="000000"/>
        </w:rPr>
        <w:t>,</w:t>
      </w:r>
      <w:r w:rsidR="7BE87353" w:rsidRPr="4B0E998B">
        <w:rPr>
          <w:rFonts w:eastAsia="Times New Roman" w:cs="Times New Roman"/>
          <w:color w:val="000000"/>
        </w:rPr>
        <w:t xml:space="preserve"> to institute suit</w:t>
      </w:r>
      <w:r w:rsidR="00D22B0C">
        <w:rPr>
          <w:rFonts w:eastAsia="Times New Roman" w:cs="Times New Roman"/>
          <w:color w:val="000000"/>
        </w:rPr>
        <w:t xml:space="preserve">, in the </w:t>
      </w:r>
      <w:r w:rsidR="00D22B0C">
        <w:rPr>
          <w:rFonts w:eastAsia="Times New Roman" w:cs="Times New Roman"/>
          <w:color w:val="000000"/>
        </w:rPr>
        <w:lastRenderedPageBreak/>
        <w:t>name of the county</w:t>
      </w:r>
      <w:r w:rsidR="7BE87353" w:rsidRPr="4B0E998B">
        <w:rPr>
          <w:rFonts w:eastAsia="Times New Roman" w:cs="Times New Roman"/>
          <w:color w:val="000000"/>
        </w:rPr>
        <w:t>’</w:t>
      </w:r>
      <w:r w:rsidR="43F177BA">
        <w:rPr>
          <w:rFonts w:eastAsia="Times New Roman" w:cs="Times New Roman"/>
          <w:color w:val="000000"/>
        </w:rPr>
        <w:t> </w:t>
      </w:r>
      <w:r w:rsidR="7BE87353" w:rsidRPr="4E07C719">
        <w:rPr>
          <w:rFonts w:eastAsia="Times New Roman" w:cs="Times New Roman"/>
          <w:color w:val="000000" w:themeColor="text1"/>
        </w:rPr>
        <w:t>”].)</w:t>
      </w:r>
      <w:r>
        <w:rPr>
          <w:rStyle w:val="FootnoteReference"/>
        </w:rPr>
        <w:footnoteReference w:id="26"/>
      </w:r>
      <w:r w:rsidR="006F633B" w:rsidRPr="07AFF217">
        <w:rPr>
          <w:rFonts w:eastAsia="Times New Roman" w:cs="Times New Roman"/>
          <w:color w:val="000000"/>
        </w:rPr>
        <w:t xml:space="preserve"> </w:t>
      </w:r>
      <w:r w:rsidR="7BE87353" w:rsidRPr="4B0E998B">
        <w:rPr>
          <w:rFonts w:eastAsia="Times New Roman" w:cs="Times New Roman"/>
          <w:color w:val="000000"/>
        </w:rPr>
        <w:t xml:space="preserve">Here, defendants do not enjoy discretion to </w:t>
      </w:r>
      <w:r w:rsidR="00FE09B4">
        <w:rPr>
          <w:rFonts w:eastAsia="Times New Roman" w:cs="Times New Roman"/>
          <w:color w:val="000000"/>
        </w:rPr>
        <w:t>decide</w:t>
      </w:r>
      <w:r w:rsidR="00FE09B4" w:rsidRPr="4B0E998B">
        <w:rPr>
          <w:rFonts w:eastAsia="Times New Roman" w:cs="Times New Roman"/>
          <w:color w:val="000000"/>
        </w:rPr>
        <w:t xml:space="preserve"> </w:t>
      </w:r>
      <w:r w:rsidR="7BE87353" w:rsidRPr="4B0E998B">
        <w:rPr>
          <w:rFonts w:eastAsia="Times New Roman" w:cs="Times New Roman"/>
          <w:color w:val="000000"/>
        </w:rPr>
        <w:t>whether</w:t>
      </w:r>
      <w:r w:rsidR="05C4D3A4">
        <w:rPr>
          <w:rFonts w:eastAsia="Times New Roman" w:cs="Times New Roman"/>
          <w:color w:val="000000"/>
        </w:rPr>
        <w:t xml:space="preserve"> t</w:t>
      </w:r>
      <w:r w:rsidR="0045549B">
        <w:rPr>
          <w:rFonts w:eastAsia="Times New Roman" w:cs="Times New Roman"/>
          <w:color w:val="000000"/>
        </w:rPr>
        <w:t>o</w:t>
      </w:r>
      <w:r w:rsidR="7BE87353" w:rsidRPr="4B0E998B">
        <w:rPr>
          <w:rFonts w:eastAsia="Times New Roman" w:cs="Times New Roman"/>
          <w:color w:val="000000"/>
        </w:rPr>
        <w:t xml:space="preserve"> devote sufficient resources to criminal departments to ensure speedy trials in criminal cases</w:t>
      </w:r>
      <w:r w:rsidR="24A90408">
        <w:rPr>
          <w:rFonts w:eastAsia="Times New Roman" w:cs="Times New Roman"/>
          <w:color w:val="000000"/>
        </w:rPr>
        <w:t>. S</w:t>
      </w:r>
      <w:r w:rsidR="7BE87353" w:rsidRPr="4B0E998B">
        <w:rPr>
          <w:rFonts w:eastAsia="Times New Roman" w:cs="Times New Roman"/>
          <w:color w:val="000000"/>
        </w:rPr>
        <w:t>ection</w:t>
      </w:r>
      <w:r w:rsidR="00B71F22">
        <w:rPr>
          <w:rFonts w:eastAsia="Times New Roman" w:cs="Times New Roman"/>
          <w:color w:val="000000"/>
        </w:rPr>
        <w:t> </w:t>
      </w:r>
      <w:r w:rsidR="7BE87353" w:rsidRPr="4B0E998B">
        <w:rPr>
          <w:rFonts w:eastAsia="Times New Roman" w:cs="Times New Roman"/>
          <w:color w:val="000000"/>
        </w:rPr>
        <w:t xml:space="preserve">1050(a)—like the city charter in </w:t>
      </w:r>
      <w:r w:rsidR="7BE87353" w:rsidRPr="00986A91">
        <w:rPr>
          <w:rFonts w:eastAsia="Times New Roman" w:cs="Times New Roman"/>
          <w:i/>
          <w:bdr w:val="none" w:sz="0" w:space="0" w:color="auto" w:frame="1"/>
        </w:rPr>
        <w:t xml:space="preserve">Schaefer v. </w:t>
      </w:r>
      <w:proofErr w:type="spellStart"/>
      <w:r w:rsidR="7BE87353" w:rsidRPr="00986A91">
        <w:rPr>
          <w:rFonts w:eastAsia="Times New Roman" w:cs="Times New Roman"/>
          <w:i/>
          <w:bdr w:val="none" w:sz="0" w:space="0" w:color="auto" w:frame="1"/>
        </w:rPr>
        <w:t>Berinstein</w:t>
      </w:r>
      <w:proofErr w:type="spellEnd"/>
      <w:r w:rsidR="7BE87353" w:rsidRPr="00986A91">
        <w:rPr>
          <w:rFonts w:eastAsia="Times New Roman" w:cs="Times New Roman"/>
          <w:bdr w:val="none" w:sz="0" w:space="0" w:color="auto" w:frame="1"/>
        </w:rPr>
        <w:t xml:space="preserve">, </w:t>
      </w:r>
      <w:r w:rsidR="7BE87353" w:rsidRPr="00986A91">
        <w:rPr>
          <w:rFonts w:eastAsia="Times New Roman" w:cs="Times New Roman"/>
          <w:i/>
          <w:bdr w:val="none" w:sz="0" w:space="0" w:color="auto" w:frame="1"/>
        </w:rPr>
        <w:t>supra</w:t>
      </w:r>
      <w:r w:rsidR="7BE87353" w:rsidRPr="00986A91">
        <w:rPr>
          <w:rFonts w:eastAsia="Times New Roman" w:cs="Times New Roman"/>
          <w:bdr w:val="none" w:sz="0" w:space="0" w:color="auto" w:frame="1"/>
        </w:rPr>
        <w:t>,</w:t>
      </w:r>
      <w:r w:rsidR="7BE87353" w:rsidRPr="00986A91">
        <w:rPr>
          <w:rFonts w:eastAsia="Times New Roman" w:cs="Times New Roman"/>
        </w:rPr>
        <w:t xml:space="preserve"> </w:t>
      </w:r>
      <w:r w:rsidR="7BE87353" w:rsidRPr="4B0E998B">
        <w:rPr>
          <w:rFonts w:eastAsia="Times New Roman" w:cs="Times New Roman"/>
          <w:color w:val="000000"/>
        </w:rPr>
        <w:t xml:space="preserve">and the statute in </w:t>
      </w:r>
      <w:r w:rsidR="7BE87353" w:rsidRPr="797FBB80">
        <w:rPr>
          <w:rFonts w:eastAsia="Times New Roman" w:cs="Times New Roman"/>
          <w:i/>
          <w:iCs/>
          <w:color w:val="000000"/>
        </w:rPr>
        <w:t xml:space="preserve">Miller v. </w:t>
      </w:r>
      <w:r w:rsidR="7BE87353" w:rsidRPr="00986A91">
        <w:rPr>
          <w:rFonts w:eastAsia="Times New Roman" w:cs="Times New Roman"/>
          <w:i/>
        </w:rPr>
        <w:t>McKinnon, supra</w:t>
      </w:r>
      <w:r w:rsidR="7BE87353" w:rsidRPr="797FBB80">
        <w:rPr>
          <w:rFonts w:eastAsia="Times New Roman" w:cs="Times New Roman"/>
          <w:i/>
          <w:iCs/>
          <w:color w:val="000000"/>
        </w:rPr>
        <w:t>—</w:t>
      </w:r>
      <w:r w:rsidR="7BE87353" w:rsidRPr="4D00544E">
        <w:rPr>
          <w:rFonts w:cs="Times New Roman"/>
        </w:rPr>
        <w:t xml:space="preserve">requires </w:t>
      </w:r>
      <w:r w:rsidR="7BE87353">
        <w:rPr>
          <w:rFonts w:cs="Times New Roman"/>
        </w:rPr>
        <w:t>them</w:t>
      </w:r>
      <w:r w:rsidR="7BE87353" w:rsidRPr="008B2BB7">
        <w:rPr>
          <w:rFonts w:cs="Times New Roman"/>
          <w:spacing w:val="-2"/>
        </w:rPr>
        <w:t xml:space="preserve"> </w:t>
      </w:r>
      <w:r w:rsidR="7BE87353" w:rsidRPr="4D00544E">
        <w:rPr>
          <w:rFonts w:cs="Times New Roman"/>
        </w:rPr>
        <w:t>to do so</w:t>
      </w:r>
      <w:r w:rsidR="7BE87353">
        <w:rPr>
          <w:rFonts w:cs="Times New Roman"/>
          <w:spacing w:val="-2"/>
        </w:rPr>
        <w:t>.</w:t>
      </w:r>
      <w:r w:rsidR="7BE87353">
        <w:rPr>
          <w:color w:val="000000"/>
        </w:rPr>
        <w:t xml:space="preserve"> (</w:t>
      </w:r>
      <w:r w:rsidR="7BE87353" w:rsidRPr="797FBB80">
        <w:rPr>
          <w:i/>
          <w:iCs/>
          <w:color w:val="000000"/>
        </w:rPr>
        <w:t>Engram</w:t>
      </w:r>
      <w:r w:rsidR="7BE87353">
        <w:rPr>
          <w:color w:val="000000"/>
        </w:rPr>
        <w:t xml:space="preserve">, </w:t>
      </w:r>
      <w:r w:rsidR="7BE87353" w:rsidRPr="797FBB80">
        <w:rPr>
          <w:i/>
          <w:iCs/>
          <w:color w:val="000000"/>
        </w:rPr>
        <w:t>supra</w:t>
      </w:r>
      <w:r w:rsidR="7BE87353">
        <w:rPr>
          <w:color w:val="000000"/>
        </w:rPr>
        <w:t>, 50 Cal.4th at p.</w:t>
      </w:r>
      <w:r w:rsidR="00F60E72">
        <w:rPr>
          <w:color w:val="000000"/>
        </w:rPr>
        <w:t> </w:t>
      </w:r>
      <w:r w:rsidR="7BE87353">
        <w:rPr>
          <w:color w:val="000000"/>
        </w:rPr>
        <w:t>11</w:t>
      </w:r>
      <w:r w:rsidR="00063D3B">
        <w:rPr>
          <w:color w:val="000000"/>
        </w:rPr>
        <w:t>5</w:t>
      </w:r>
      <w:r w:rsidR="7BE87353">
        <w:rPr>
          <w:color w:val="000000"/>
        </w:rPr>
        <w:t>1.)</w:t>
      </w:r>
      <w:r w:rsidR="7BE87353" w:rsidRPr="4D00544E">
        <w:rPr>
          <w:color w:val="000000" w:themeColor="text1"/>
        </w:rPr>
        <w:t xml:space="preserve"> </w:t>
      </w:r>
      <w:r w:rsidR="7BE87353">
        <w:rPr>
          <w:color w:val="000000"/>
        </w:rPr>
        <w:t xml:space="preserve">While </w:t>
      </w:r>
      <w:r w:rsidR="00A06CA3" w:rsidRPr="0004266C">
        <w:rPr>
          <w:color w:val="000000"/>
        </w:rPr>
        <w:t>carrying out</w:t>
      </w:r>
      <w:r w:rsidR="00A06CA3">
        <w:rPr>
          <w:color w:val="000000"/>
        </w:rPr>
        <w:t xml:space="preserve"> </w:t>
      </w:r>
      <w:r w:rsidR="7BE87353">
        <w:rPr>
          <w:color w:val="000000"/>
        </w:rPr>
        <w:t xml:space="preserve">this duty </w:t>
      </w:r>
      <w:r w:rsidR="005861F5">
        <w:rPr>
          <w:color w:val="000000"/>
        </w:rPr>
        <w:t xml:space="preserve">may </w:t>
      </w:r>
      <w:r w:rsidR="24A90408">
        <w:rPr>
          <w:color w:val="000000"/>
        </w:rPr>
        <w:t>require</w:t>
      </w:r>
      <w:r w:rsidR="7BE87353">
        <w:rPr>
          <w:color w:val="000000"/>
        </w:rPr>
        <w:t xml:space="preserve"> </w:t>
      </w:r>
      <w:r w:rsidR="008308AE">
        <w:rPr>
          <w:color w:val="000000"/>
        </w:rPr>
        <w:t>the exercise of judgment on issues such as</w:t>
      </w:r>
      <w:r w:rsidR="7BE87353" w:rsidRPr="4D00544E">
        <w:rPr>
          <w:color w:val="000000" w:themeColor="text1"/>
        </w:rPr>
        <w:t xml:space="preserve"> </w:t>
      </w:r>
      <w:r w:rsidR="7BE87353">
        <w:rPr>
          <w:color w:val="000000"/>
        </w:rPr>
        <w:t>resource</w:t>
      </w:r>
      <w:r w:rsidR="7BE87353">
        <w:rPr>
          <w:color w:val="000000" w:themeColor="text1"/>
        </w:rPr>
        <w:t xml:space="preserve"> </w:t>
      </w:r>
      <w:r w:rsidR="7BE87353">
        <w:rPr>
          <w:color w:val="000000"/>
        </w:rPr>
        <w:t>allocation</w:t>
      </w:r>
      <w:r w:rsidR="51C4988A">
        <w:rPr>
          <w:color w:val="000000"/>
        </w:rPr>
        <w:t>,</w:t>
      </w:r>
      <w:r w:rsidR="006C122E">
        <w:rPr>
          <w:color w:val="000000"/>
        </w:rPr>
        <w:t xml:space="preserve"> rendering it an inappropriate subject of mandamus relief</w:t>
      </w:r>
      <w:r w:rsidR="00A30326">
        <w:rPr>
          <w:color w:val="000000"/>
        </w:rPr>
        <w:t>,</w:t>
      </w:r>
      <w:r>
        <w:rPr>
          <w:rStyle w:val="FootnoteReference"/>
          <w:color w:val="000000" w:themeColor="text1"/>
        </w:rPr>
        <w:footnoteReference w:id="27"/>
      </w:r>
      <w:r w:rsidR="7BE87353">
        <w:rPr>
          <w:color w:val="000000"/>
        </w:rPr>
        <w:t xml:space="preserve"> that does not confer on defendants </w:t>
      </w:r>
      <w:r w:rsidR="7BE87353" w:rsidRPr="4D00544E">
        <w:rPr>
          <w:color w:val="000000" w:themeColor="text1"/>
        </w:rPr>
        <w:t xml:space="preserve">any </w:t>
      </w:r>
      <w:r w:rsidR="7BE87353">
        <w:rPr>
          <w:color w:val="000000"/>
        </w:rPr>
        <w:t xml:space="preserve">discretion to choose </w:t>
      </w:r>
      <w:proofErr w:type="gramStart"/>
      <w:r w:rsidR="7BE87353">
        <w:rPr>
          <w:color w:val="000000"/>
        </w:rPr>
        <w:t xml:space="preserve">whether </w:t>
      </w:r>
      <w:r w:rsidR="7BE87353" w:rsidRPr="05D0A8A3">
        <w:rPr>
          <w:color w:val="000000" w:themeColor="text1"/>
        </w:rPr>
        <w:t>or not</w:t>
      </w:r>
      <w:proofErr w:type="gramEnd"/>
      <w:r w:rsidR="7BE87353" w:rsidRPr="05D0A8A3">
        <w:rPr>
          <w:color w:val="000000" w:themeColor="text1"/>
        </w:rPr>
        <w:t xml:space="preserve"> </w:t>
      </w:r>
      <w:r w:rsidR="7BE87353">
        <w:rPr>
          <w:color w:val="000000"/>
        </w:rPr>
        <w:t xml:space="preserve">to satisfy </w:t>
      </w:r>
      <w:r w:rsidR="12A7EF13" w:rsidRPr="797FBB80">
        <w:rPr>
          <w:color w:val="000000" w:themeColor="text1"/>
        </w:rPr>
        <w:t>th</w:t>
      </w:r>
      <w:r w:rsidR="003C46C4">
        <w:rPr>
          <w:color w:val="000000" w:themeColor="text1"/>
        </w:rPr>
        <w:t>is</w:t>
      </w:r>
      <w:r w:rsidR="12A7EF13" w:rsidRPr="797FBB80">
        <w:rPr>
          <w:color w:val="000000" w:themeColor="text1"/>
        </w:rPr>
        <w:t xml:space="preserve"> dut</w:t>
      </w:r>
      <w:r w:rsidR="00236857">
        <w:rPr>
          <w:color w:val="000000" w:themeColor="text1"/>
        </w:rPr>
        <w:t>y</w:t>
      </w:r>
      <w:r w:rsidR="7BE87353" w:rsidRPr="4D00544E">
        <w:rPr>
          <w:color w:val="000000" w:themeColor="text1"/>
        </w:rPr>
        <w:t>.</w:t>
      </w:r>
      <w:r w:rsidR="5894CE61">
        <w:rPr>
          <w:color w:val="000000" w:themeColor="text1"/>
        </w:rPr>
        <w:t xml:space="preserve"> </w:t>
      </w:r>
    </w:p>
    <w:p w14:paraId="210FACBE" w14:textId="00CA85EE" w:rsidR="00E321DF" w:rsidRPr="00041BEF" w:rsidRDefault="001B6997" w:rsidP="00426D57">
      <w:pPr>
        <w:autoSpaceDE w:val="0"/>
        <w:autoSpaceDN w:val="0"/>
        <w:adjustRightInd w:val="0"/>
        <w:spacing w:after="120" w:line="240" w:lineRule="auto"/>
        <w:ind w:left="1440" w:hanging="1440"/>
        <w:rPr>
          <w:rFonts w:cs="Times New Roman"/>
          <w:b/>
        </w:rPr>
      </w:pPr>
      <w:r>
        <w:rPr>
          <w:rFonts w:cs="Times New Roman"/>
          <w:b/>
          <w:bCs/>
          <w:i/>
          <w:iCs/>
        </w:rPr>
        <w:tab/>
      </w:r>
      <w:r>
        <w:rPr>
          <w:rFonts w:cs="Times New Roman"/>
          <w:b/>
          <w:bCs/>
          <w:i/>
          <w:iCs/>
        </w:rPr>
        <w:tab/>
        <w:t>3</w:t>
      </w:r>
      <w:r w:rsidR="413E773E" w:rsidRPr="797FBB80">
        <w:rPr>
          <w:rFonts w:cs="Times New Roman"/>
          <w:b/>
          <w:bCs/>
          <w:i/>
          <w:iCs/>
        </w:rPr>
        <w:t>.</w:t>
      </w:r>
      <w:r w:rsidR="0053288F">
        <w:rPr>
          <w:rFonts w:cs="Times New Roman"/>
          <w:b/>
          <w:i/>
        </w:rPr>
        <w:t xml:space="preserve"> </w:t>
      </w:r>
      <w:r w:rsidR="3437F97E" w:rsidRPr="797FBB80">
        <w:rPr>
          <w:rFonts w:cs="Times New Roman"/>
          <w:b/>
          <w:bCs/>
          <w:i/>
          <w:iCs/>
        </w:rPr>
        <w:t xml:space="preserve">Plaintiffs’ </w:t>
      </w:r>
      <w:r w:rsidR="00BF4CA9">
        <w:rPr>
          <w:rFonts w:cs="Times New Roman"/>
          <w:b/>
          <w:bCs/>
          <w:i/>
          <w:iCs/>
        </w:rPr>
        <w:t>Taxpayer</w:t>
      </w:r>
      <w:r w:rsidR="3437F97E" w:rsidRPr="797FBB80">
        <w:rPr>
          <w:rFonts w:cs="Times New Roman"/>
          <w:b/>
          <w:bCs/>
          <w:i/>
          <w:iCs/>
        </w:rPr>
        <w:t xml:space="preserve"> Claim Is Distinct from </w:t>
      </w:r>
      <w:r w:rsidR="006D1E57">
        <w:rPr>
          <w:rFonts w:cs="Times New Roman"/>
          <w:b/>
          <w:bCs/>
          <w:i/>
          <w:iCs/>
        </w:rPr>
        <w:t xml:space="preserve">Individual Defendants’ </w:t>
      </w:r>
      <w:r w:rsidR="004C2B70">
        <w:rPr>
          <w:rFonts w:cs="Times New Roman"/>
          <w:b/>
          <w:bCs/>
          <w:i/>
          <w:iCs/>
        </w:rPr>
        <w:t>Motions</w:t>
      </w:r>
      <w:r w:rsidR="006D1E57">
        <w:rPr>
          <w:rFonts w:cs="Times New Roman"/>
          <w:b/>
          <w:bCs/>
          <w:i/>
          <w:iCs/>
        </w:rPr>
        <w:t xml:space="preserve"> </w:t>
      </w:r>
      <w:r w:rsidR="004C2B70">
        <w:rPr>
          <w:rFonts w:cs="Times New Roman"/>
          <w:b/>
          <w:bCs/>
          <w:i/>
          <w:iCs/>
        </w:rPr>
        <w:t xml:space="preserve">under </w:t>
      </w:r>
      <w:r w:rsidR="3437F97E" w:rsidRPr="797FBB80">
        <w:rPr>
          <w:rFonts w:cs="Times New Roman"/>
          <w:b/>
          <w:bCs/>
          <w:i/>
          <w:iCs/>
        </w:rPr>
        <w:t>Section</w:t>
      </w:r>
      <w:r w:rsidR="004C2B70">
        <w:rPr>
          <w:rFonts w:cs="Times New Roman"/>
          <w:b/>
          <w:bCs/>
          <w:i/>
          <w:iCs/>
        </w:rPr>
        <w:t>s</w:t>
      </w:r>
      <w:r w:rsidR="3437F97E" w:rsidRPr="797FBB80">
        <w:rPr>
          <w:rFonts w:cs="Times New Roman"/>
          <w:b/>
          <w:bCs/>
          <w:i/>
          <w:iCs/>
        </w:rPr>
        <w:t xml:space="preserve"> </w:t>
      </w:r>
      <w:r w:rsidR="00733C40">
        <w:rPr>
          <w:rFonts w:cs="Times New Roman"/>
          <w:b/>
          <w:bCs/>
          <w:i/>
          <w:iCs/>
        </w:rPr>
        <w:t xml:space="preserve">1049.5 and </w:t>
      </w:r>
      <w:r w:rsidR="3437F97E" w:rsidRPr="797FBB80">
        <w:rPr>
          <w:rFonts w:cs="Times New Roman"/>
          <w:b/>
          <w:bCs/>
          <w:i/>
          <w:iCs/>
        </w:rPr>
        <w:t>1382</w:t>
      </w:r>
    </w:p>
    <w:p w14:paraId="1CB76C4E" w14:textId="3C3BE552" w:rsidR="006478D4" w:rsidRDefault="001B6997" w:rsidP="003F5F13">
      <w:pPr>
        <w:autoSpaceDE w:val="0"/>
        <w:autoSpaceDN w:val="0"/>
        <w:adjustRightInd w:val="0"/>
        <w:spacing w:line="360" w:lineRule="auto"/>
        <w:contextualSpacing/>
      </w:pPr>
      <w:r>
        <w:rPr>
          <w:color w:val="000000"/>
        </w:rPr>
        <w:tab/>
      </w:r>
      <w:r w:rsidR="25975A6A">
        <w:rPr>
          <w:color w:val="000000"/>
        </w:rPr>
        <w:t xml:space="preserve">Defendants also assert that if the cause of action is permitted to proceed, the relief sought here </w:t>
      </w:r>
      <w:r w:rsidR="25975A6A" w:rsidRPr="4D00544E">
        <w:rPr>
          <w:color w:val="000000" w:themeColor="text1"/>
        </w:rPr>
        <w:t xml:space="preserve">threatens to </w:t>
      </w:r>
      <w:r w:rsidR="25975A6A">
        <w:rPr>
          <w:color w:val="000000"/>
        </w:rPr>
        <w:t>“</w:t>
      </w:r>
      <w:r w:rsidR="25975A6A">
        <w:t>intersect with</w:t>
      </w:r>
      <w:r w:rsidR="25975A6A">
        <w:rPr>
          <w:color w:val="000000"/>
        </w:rPr>
        <w:t xml:space="preserve">” rulings on speedy trial motions in specific cases. </w:t>
      </w:r>
      <w:r w:rsidR="25975A6A" w:rsidRPr="4D00544E">
        <w:rPr>
          <w:color w:val="000000" w:themeColor="text1"/>
        </w:rPr>
        <w:t xml:space="preserve">They </w:t>
      </w:r>
      <w:r w:rsidR="25975A6A">
        <w:rPr>
          <w:color w:val="000000"/>
        </w:rPr>
        <w:t>predict that judges will “</w:t>
      </w:r>
      <w:r w:rsidR="25975A6A">
        <w:t xml:space="preserve">either be </w:t>
      </w:r>
      <w:r w:rsidR="25975A6A" w:rsidRPr="007A69DD">
        <w:rPr>
          <w:spacing w:val="-2"/>
        </w:rPr>
        <w:lastRenderedPageBreak/>
        <w:t>precluded from making a ‘good cause’ finding under circumstances</w:t>
      </w:r>
      <w:r w:rsidR="25975A6A">
        <w:t xml:space="preserve"> presented in their individual actions or violate an order in [this] action that . . . a criminal defendant’s speedy trial rights already have been abrogated.”</w:t>
      </w:r>
      <w:r w:rsidR="196DC0D4">
        <w:t xml:space="preserve"> </w:t>
      </w:r>
      <w:r w:rsidR="25975A6A">
        <w:t>However, plaintiffs’ complaint dis</w:t>
      </w:r>
      <w:r w:rsidR="006143F6">
        <w:t>claim</w:t>
      </w:r>
      <w:r w:rsidR="25975A6A">
        <w:t xml:space="preserve">s any request for relief affecting </w:t>
      </w:r>
      <w:proofErr w:type="gramStart"/>
      <w:r w:rsidR="6285B2CF">
        <w:t xml:space="preserve">particular </w:t>
      </w:r>
      <w:r w:rsidR="25975A6A">
        <w:t>cases</w:t>
      </w:r>
      <w:proofErr w:type="gramEnd"/>
      <w:r w:rsidR="25975A6A">
        <w:t xml:space="preserve"> and, as </w:t>
      </w:r>
      <w:r w:rsidR="3437F97E">
        <w:t>the Sup</w:t>
      </w:r>
      <w:r w:rsidR="2DC9E27D">
        <w:t>r</w:t>
      </w:r>
      <w:r w:rsidR="3437F97E">
        <w:t xml:space="preserve">eme Court held in </w:t>
      </w:r>
      <w:r w:rsidR="3437F97E" w:rsidRPr="797FBB80">
        <w:rPr>
          <w:i/>
          <w:iCs/>
        </w:rPr>
        <w:t>Engram</w:t>
      </w:r>
      <w:r w:rsidR="25975A6A">
        <w:t>,</w:t>
      </w:r>
      <w:r w:rsidR="25975A6A" w:rsidRPr="003A2F23">
        <w:rPr>
          <w:color w:val="000000"/>
        </w:rPr>
        <w:t xml:space="preserve"> </w:t>
      </w:r>
      <w:r w:rsidR="25975A6A" w:rsidRPr="004B5087">
        <w:rPr>
          <w:color w:val="000000"/>
        </w:rPr>
        <w:t xml:space="preserve">the </w:t>
      </w:r>
      <w:r w:rsidR="3437F97E">
        <w:rPr>
          <w:color w:val="000000"/>
        </w:rPr>
        <w:t>case-specific</w:t>
      </w:r>
      <w:r w:rsidR="160C3908">
        <w:rPr>
          <w:color w:val="000000"/>
        </w:rPr>
        <w:t>, discretionary</w:t>
      </w:r>
      <w:r w:rsidR="2AAE7AFF">
        <w:rPr>
          <w:color w:val="000000"/>
        </w:rPr>
        <w:t>,</w:t>
      </w:r>
      <w:r w:rsidR="3437F97E">
        <w:rPr>
          <w:color w:val="000000"/>
        </w:rPr>
        <w:t xml:space="preserve"> </w:t>
      </w:r>
      <w:r w:rsidR="25975A6A" w:rsidRPr="004B5087">
        <w:rPr>
          <w:color w:val="000000"/>
        </w:rPr>
        <w:t>“good cause for delay” determination under section</w:t>
      </w:r>
      <w:r w:rsidR="3437F97E">
        <w:rPr>
          <w:color w:val="000000"/>
        </w:rPr>
        <w:t> </w:t>
      </w:r>
      <w:r w:rsidR="25975A6A" w:rsidRPr="004B5087">
        <w:rPr>
          <w:color w:val="000000"/>
        </w:rPr>
        <w:t xml:space="preserve">1382 is distinct from the </w:t>
      </w:r>
      <w:r w:rsidR="3437F97E">
        <w:rPr>
          <w:color w:val="000000"/>
        </w:rPr>
        <w:t xml:space="preserve">general </w:t>
      </w:r>
      <w:r w:rsidR="25975A6A" w:rsidRPr="004B5087">
        <w:rPr>
          <w:color w:val="000000"/>
        </w:rPr>
        <w:t xml:space="preserve">question of whether defendants </w:t>
      </w:r>
      <w:r w:rsidR="3712C34C" w:rsidRPr="004B5087">
        <w:rPr>
          <w:color w:val="000000"/>
        </w:rPr>
        <w:t>have complied with a mandatory duty imposed by</w:t>
      </w:r>
      <w:r w:rsidR="25975A6A">
        <w:rPr>
          <w:color w:val="000000"/>
        </w:rPr>
        <w:t xml:space="preserve"> </w:t>
      </w:r>
      <w:r w:rsidR="00347D53">
        <w:rPr>
          <w:color w:val="000000"/>
        </w:rPr>
        <w:t>section </w:t>
      </w:r>
      <w:r w:rsidR="25975A6A" w:rsidRPr="004B5087">
        <w:rPr>
          <w:color w:val="000000"/>
        </w:rPr>
        <w:t>1050(a)</w:t>
      </w:r>
      <w:r w:rsidR="25975A6A" w:rsidRPr="002E35AC">
        <w:rPr>
          <w:color w:val="000000"/>
        </w:rPr>
        <w:t>.</w:t>
      </w:r>
      <w:r w:rsidR="25975A6A">
        <w:rPr>
          <w:color w:val="000000"/>
        </w:rPr>
        <w:t xml:space="preserve"> (</w:t>
      </w:r>
      <w:r w:rsidR="00EA605F" w:rsidRPr="797FBB80">
        <w:rPr>
          <w:i/>
          <w:iCs/>
        </w:rPr>
        <w:t>Engram</w:t>
      </w:r>
      <w:r w:rsidR="00EA605F">
        <w:t>,</w:t>
      </w:r>
      <w:r w:rsidR="00EA605F" w:rsidRPr="003A2F23">
        <w:rPr>
          <w:color w:val="000000"/>
        </w:rPr>
        <w:t xml:space="preserve"> </w:t>
      </w:r>
      <w:r w:rsidR="004A3171">
        <w:rPr>
          <w:i/>
          <w:iCs/>
          <w:color w:val="000000"/>
        </w:rPr>
        <w:t>supra</w:t>
      </w:r>
      <w:r w:rsidR="004A3171">
        <w:rPr>
          <w:color w:val="000000"/>
        </w:rPr>
        <w:t xml:space="preserve">, </w:t>
      </w:r>
      <w:r w:rsidR="25975A6A">
        <w:rPr>
          <w:color w:val="000000"/>
        </w:rPr>
        <w:t>50</w:t>
      </w:r>
      <w:r w:rsidR="25B35E4B">
        <w:rPr>
          <w:color w:val="000000"/>
        </w:rPr>
        <w:t> </w:t>
      </w:r>
      <w:r w:rsidR="25975A6A">
        <w:rPr>
          <w:color w:val="000000"/>
        </w:rPr>
        <w:t>Cal.4th at p. 1160.)</w:t>
      </w:r>
      <w:r w:rsidR="25975A6A">
        <w:t xml:space="preserve"> </w:t>
      </w:r>
      <w:r w:rsidR="3437F97E">
        <w:t xml:space="preserve">Defendants evidently do not accept that aspect of </w:t>
      </w:r>
      <w:r w:rsidR="3437F97E" w:rsidRPr="797FBB80">
        <w:rPr>
          <w:i/>
          <w:iCs/>
        </w:rPr>
        <w:t>Engram</w:t>
      </w:r>
      <w:r w:rsidR="3437F97E">
        <w:t xml:space="preserve">, but we are not at liberty to treat the questions </w:t>
      </w:r>
      <w:r>
        <w:t xml:space="preserve">as </w:t>
      </w:r>
      <w:r w:rsidR="49EDC0E7">
        <w:t>interchangeabl</w:t>
      </w:r>
      <w:r w:rsidR="009E605C">
        <w:t>e</w:t>
      </w:r>
      <w:r w:rsidR="3437F97E">
        <w:t xml:space="preserve">. </w:t>
      </w:r>
    </w:p>
    <w:p w14:paraId="26A6ABD8" w14:textId="108655C7" w:rsidR="006478D4" w:rsidRDefault="001B6997" w:rsidP="006B75D2">
      <w:pPr>
        <w:autoSpaceDE w:val="0"/>
        <w:autoSpaceDN w:val="0"/>
        <w:adjustRightInd w:val="0"/>
        <w:spacing w:line="360" w:lineRule="auto"/>
        <w:contextualSpacing/>
      </w:pPr>
      <w:r>
        <w:tab/>
      </w:r>
      <w:r w:rsidR="3437F97E">
        <w:t>Nor have d</w:t>
      </w:r>
      <w:r w:rsidR="25975A6A">
        <w:t xml:space="preserve">efendants shown how a judgment </w:t>
      </w:r>
      <w:r w:rsidR="6AA80712">
        <w:t>declarin</w:t>
      </w:r>
      <w:r w:rsidR="5403E5E6">
        <w:t xml:space="preserve">g </w:t>
      </w:r>
      <w:proofErr w:type="spellStart"/>
      <w:r w:rsidR="25975A6A">
        <w:t>courtwide</w:t>
      </w:r>
      <w:proofErr w:type="spellEnd"/>
      <w:r w:rsidR="25975A6A">
        <w:t xml:space="preserve"> polic</w:t>
      </w:r>
      <w:r w:rsidR="740FE1A8">
        <w:t>y decisions</w:t>
      </w:r>
      <w:r w:rsidR="25975A6A">
        <w:t xml:space="preserve"> </w:t>
      </w:r>
      <w:r w:rsidR="365672E4">
        <w:t>to be</w:t>
      </w:r>
      <w:r w:rsidR="053C4643">
        <w:t xml:space="preserve"> in violation of </w:t>
      </w:r>
      <w:r w:rsidR="2847C1ED">
        <w:t xml:space="preserve">duties imposed </w:t>
      </w:r>
      <w:r w:rsidR="365672E4">
        <w:t xml:space="preserve">on the court </w:t>
      </w:r>
      <w:r w:rsidR="2847C1ED">
        <w:t xml:space="preserve">by </w:t>
      </w:r>
      <w:r w:rsidR="00A0500A">
        <w:t>section</w:t>
      </w:r>
      <w:r w:rsidR="00126C49">
        <w:t> </w:t>
      </w:r>
      <w:r w:rsidR="2847C1ED">
        <w:t>1050(a)</w:t>
      </w:r>
      <w:r w:rsidR="61E762EE">
        <w:t xml:space="preserve"> </w:t>
      </w:r>
      <w:r w:rsidR="25975A6A">
        <w:t>would interfere with</w:t>
      </w:r>
      <w:r w:rsidR="365672E4">
        <w:t xml:space="preserve"> or predetermine</w:t>
      </w:r>
      <w:r w:rsidR="25975A6A">
        <w:t xml:space="preserve"> rulings on </w:t>
      </w:r>
      <w:r w:rsidR="005B516B">
        <w:t>speedy trial motions</w:t>
      </w:r>
      <w:r w:rsidR="5D17574E">
        <w:t xml:space="preserve"> </w:t>
      </w:r>
      <w:r w:rsidR="25975A6A">
        <w:t xml:space="preserve">in individual </w:t>
      </w:r>
      <w:r w:rsidR="009D4F64">
        <w:t xml:space="preserve">criminal </w:t>
      </w:r>
      <w:r w:rsidR="25975A6A">
        <w:t>cases.</w:t>
      </w:r>
      <w:r w:rsidR="0080647E">
        <w:t xml:space="preserve"> </w:t>
      </w:r>
      <w:r w:rsidR="00A22593">
        <w:t xml:space="preserve">Such a finding would be, at most, one of several considerations in </w:t>
      </w:r>
      <w:r w:rsidR="00501CE2">
        <w:t>resolving</w:t>
      </w:r>
      <w:r w:rsidR="00A22593">
        <w:t xml:space="preserve"> such a motion. </w:t>
      </w:r>
      <w:r w:rsidR="27AB2126">
        <w:t xml:space="preserve">The prosecution still could show good cause for delay </w:t>
      </w:r>
      <w:proofErr w:type="gramStart"/>
      <w:r w:rsidR="27AB2126">
        <w:t>in a given</w:t>
      </w:r>
      <w:proofErr w:type="gramEnd"/>
      <w:r w:rsidR="27AB2126">
        <w:t xml:space="preserve"> defendant’s case</w:t>
      </w:r>
      <w:r w:rsidR="317333B5">
        <w:t>,</w:t>
      </w:r>
      <w:r w:rsidR="27AB2126">
        <w:t xml:space="preserve"> based on the </w:t>
      </w:r>
      <w:r w:rsidR="505DC4C6">
        <w:t xml:space="preserve">specific </w:t>
      </w:r>
      <w:r w:rsidR="27AB2126">
        <w:t xml:space="preserve">facts and history </w:t>
      </w:r>
      <w:r w:rsidR="007A63A8">
        <w:t>specific to</w:t>
      </w:r>
      <w:r w:rsidR="27AB2126">
        <w:t xml:space="preserve"> </w:t>
      </w:r>
      <w:r w:rsidR="27AB2126" w:rsidRPr="0031752D">
        <w:t>that case</w:t>
      </w:r>
      <w:r w:rsidR="3EABE344" w:rsidRPr="09459565">
        <w:rPr>
          <w:i/>
          <w:iCs/>
        </w:rPr>
        <w:t xml:space="preserve"> </w:t>
      </w:r>
      <w:r w:rsidR="59DC234A">
        <w:t>(</w:t>
      </w:r>
      <w:r w:rsidR="31A02F30">
        <w:t>other</w:t>
      </w:r>
      <w:r w:rsidR="59DC234A">
        <w:t xml:space="preserve"> factors </w:t>
      </w:r>
      <w:r w:rsidR="31A02F30">
        <w:t xml:space="preserve">contributing to the delay, </w:t>
      </w:r>
      <w:r w:rsidR="59DC234A">
        <w:t>the length of the delay</w:t>
      </w:r>
      <w:r w:rsidR="238A3072">
        <w:t xml:space="preserve">, </w:t>
      </w:r>
      <w:r w:rsidR="59DC234A">
        <w:t>and prejudice</w:t>
      </w:r>
      <w:r w:rsidR="65794B61">
        <w:t>, or lack thereof,</w:t>
      </w:r>
      <w:r w:rsidR="59DC234A">
        <w:t xml:space="preserve"> caused by any continuance) which </w:t>
      </w:r>
      <w:r w:rsidR="006124B0">
        <w:t>would</w:t>
      </w:r>
      <w:r w:rsidR="004D3D10">
        <w:t xml:space="preserve"> not </w:t>
      </w:r>
      <w:r w:rsidR="006124B0">
        <w:t xml:space="preserve">be </w:t>
      </w:r>
      <w:r w:rsidR="268DBC28">
        <w:t>the same facts</w:t>
      </w:r>
      <w:r w:rsidR="000A153C">
        <w:t xml:space="preserve"> considered in connection with the</w:t>
      </w:r>
      <w:r w:rsidR="00F903E9">
        <w:t xml:space="preserve"> </w:t>
      </w:r>
      <w:r w:rsidR="00B13E61">
        <w:t xml:space="preserve">section </w:t>
      </w:r>
      <w:r w:rsidR="59DC234A">
        <w:t xml:space="preserve">1050(a) </w:t>
      </w:r>
      <w:r w:rsidR="000A153C">
        <w:t xml:space="preserve">taxpayer </w:t>
      </w:r>
      <w:r w:rsidR="003E66CE">
        <w:t>claim</w:t>
      </w:r>
      <w:r w:rsidR="00BD7A07">
        <w:t xml:space="preserve"> </w:t>
      </w:r>
      <w:r w:rsidR="003A1A10">
        <w:t xml:space="preserve">in this </w:t>
      </w:r>
      <w:r w:rsidR="00BD7A07">
        <w:t>case</w:t>
      </w:r>
      <w:r w:rsidR="59DC234A">
        <w:t>.</w:t>
      </w:r>
    </w:p>
    <w:p w14:paraId="54E6D020" w14:textId="3630D30C" w:rsidR="0080647E" w:rsidRDefault="001B6997" w:rsidP="003F5F13">
      <w:pPr>
        <w:autoSpaceDE w:val="0"/>
        <w:autoSpaceDN w:val="0"/>
        <w:adjustRightInd w:val="0"/>
        <w:spacing w:line="360" w:lineRule="auto"/>
        <w:contextualSpacing/>
      </w:pPr>
      <w:r>
        <w:tab/>
      </w:r>
      <w:r w:rsidR="25B35E4B">
        <w:t xml:space="preserve">Defendants </w:t>
      </w:r>
      <w:r w:rsidR="0007617D">
        <w:t xml:space="preserve">also </w:t>
      </w:r>
      <w:r w:rsidR="6630A0B1">
        <w:t xml:space="preserve">take the position </w:t>
      </w:r>
      <w:r w:rsidR="25B35E4B">
        <w:t xml:space="preserve">that </w:t>
      </w:r>
      <w:r w:rsidR="66091647">
        <w:t>enforcement of</w:t>
      </w:r>
      <w:r w:rsidR="25B35E4B">
        <w:t xml:space="preserve"> </w:t>
      </w:r>
      <w:r w:rsidR="1446C530">
        <w:t xml:space="preserve">the </w:t>
      </w:r>
      <w:r w:rsidR="25B35E4B">
        <w:t xml:space="preserve">speedy trial </w:t>
      </w:r>
      <w:r w:rsidR="78BE9B60">
        <w:t xml:space="preserve">provisions </w:t>
      </w:r>
      <w:r w:rsidR="25B35E4B">
        <w:t xml:space="preserve">can </w:t>
      </w:r>
      <w:r w:rsidR="1306B43D">
        <w:t>occur</w:t>
      </w:r>
      <w:r w:rsidR="25B35E4B">
        <w:t xml:space="preserve"> only in defendants’ individual </w:t>
      </w:r>
      <w:r w:rsidR="1618818A">
        <w:t>criminal</w:t>
      </w:r>
      <w:r w:rsidR="25B35E4B">
        <w:t xml:space="preserve"> cases</w:t>
      </w:r>
      <w:r w:rsidR="52C253E5">
        <w:t xml:space="preserve">. </w:t>
      </w:r>
      <w:r w:rsidR="03F95609">
        <w:t>A</w:t>
      </w:r>
      <w:r w:rsidR="53749A00">
        <w:t>t</w:t>
      </w:r>
      <w:r w:rsidR="25B35E4B">
        <w:t xml:space="preserve"> oral argument, they went so far as to </w:t>
      </w:r>
      <w:r w:rsidR="58A683E9">
        <w:t>argue</w:t>
      </w:r>
      <w:r w:rsidR="53749A00">
        <w:t xml:space="preserve"> </w:t>
      </w:r>
      <w:r w:rsidR="25B35E4B">
        <w:t xml:space="preserve">that </w:t>
      </w:r>
      <w:r w:rsidR="19E2724F">
        <w:t xml:space="preserve">even </w:t>
      </w:r>
      <w:r w:rsidR="00516C5F">
        <w:t>a clear</w:t>
      </w:r>
      <w:r w:rsidR="7A53FD81">
        <w:t xml:space="preserve"> violation of the duty to prioritize criminal matters</w:t>
      </w:r>
      <w:r w:rsidR="00DB53C7">
        <w:t xml:space="preserve">—for example, </w:t>
      </w:r>
      <w:r w:rsidR="0F01E1FA">
        <w:t xml:space="preserve">a decision </w:t>
      </w:r>
      <w:r w:rsidR="00DB53C7">
        <w:t>to conduct criminal trials only every other year—</w:t>
      </w:r>
      <w:r w:rsidR="19E2724F">
        <w:t xml:space="preserve">could not be challenged by taxpayers, but only by </w:t>
      </w:r>
      <w:r w:rsidR="7DBFCAF5">
        <w:t>directly</w:t>
      </w:r>
      <w:r w:rsidR="00F44029">
        <w:t xml:space="preserve"> </w:t>
      </w:r>
      <w:r w:rsidR="7DBFCAF5">
        <w:t xml:space="preserve">impacted </w:t>
      </w:r>
      <w:r w:rsidR="19E2724F">
        <w:t>criminal defendants</w:t>
      </w:r>
      <w:r w:rsidR="00BD5BDD">
        <w:t xml:space="preserve"> in their individual cases</w:t>
      </w:r>
      <w:r w:rsidR="19E2724F">
        <w:t xml:space="preserve">. </w:t>
      </w:r>
      <w:r w:rsidR="64DE3AC1">
        <w:t>D</w:t>
      </w:r>
      <w:r w:rsidR="19E2724F">
        <w:t xml:space="preserve">efendants </w:t>
      </w:r>
      <w:r w:rsidR="25B35E4B">
        <w:t>cite</w:t>
      </w:r>
      <w:r w:rsidR="7BEB1A84">
        <w:t>d</w:t>
      </w:r>
      <w:r w:rsidR="25B35E4B">
        <w:t xml:space="preserve"> no authority for this </w:t>
      </w:r>
      <w:r w:rsidR="19E2724F">
        <w:t xml:space="preserve">extreme </w:t>
      </w:r>
      <w:r w:rsidR="19E2724F" w:rsidRPr="004E4B14">
        <w:t>ipse dixit</w:t>
      </w:r>
      <w:r w:rsidR="6EC5AEE6">
        <w:t xml:space="preserve">, which </w:t>
      </w:r>
      <w:r w:rsidR="00B75252">
        <w:t xml:space="preserve">contravenes </w:t>
      </w:r>
      <w:r w:rsidR="6EC5AEE6">
        <w:lastRenderedPageBreak/>
        <w:t xml:space="preserve">the </w:t>
      </w:r>
      <w:r w:rsidR="66F262AD">
        <w:t>express</w:t>
      </w:r>
      <w:r w:rsidR="1571237E">
        <w:t xml:space="preserve"> </w:t>
      </w:r>
      <w:r w:rsidR="6EC5AEE6">
        <w:t>purpose of</w:t>
      </w:r>
      <w:r w:rsidR="25B35E4B">
        <w:t xml:space="preserve"> </w:t>
      </w:r>
      <w:r w:rsidR="004E7748">
        <w:t>section</w:t>
      </w:r>
      <w:r w:rsidR="00EC1117">
        <w:t xml:space="preserve"> </w:t>
      </w:r>
      <w:r w:rsidR="25B35E4B">
        <w:t xml:space="preserve">1050(a) to </w:t>
      </w:r>
      <w:r w:rsidR="3437F97E">
        <w:t xml:space="preserve">protect </w:t>
      </w:r>
      <w:r w:rsidR="001C6F24">
        <w:t xml:space="preserve">not only </w:t>
      </w:r>
      <w:r w:rsidR="25B35E4B">
        <w:t>the rights of criminal defendants</w:t>
      </w:r>
      <w:r w:rsidR="07AFE309">
        <w:t>, but the right of</w:t>
      </w:r>
      <w:r w:rsidR="19E2724F">
        <w:t xml:space="preserve"> </w:t>
      </w:r>
      <w:r w:rsidR="19E2724F">
        <w:rPr>
          <w:rFonts w:cs="Times New Roman"/>
        </w:rPr>
        <w:t>“</w:t>
      </w:r>
      <w:r w:rsidR="19E2724F" w:rsidRPr="004178D9">
        <w:rPr>
          <w:rFonts w:cs="Times New Roman"/>
        </w:rPr>
        <w:t>the people, the defendant, and the victims and other witnesses</w:t>
      </w:r>
      <w:r w:rsidR="004A3171">
        <w:rPr>
          <w:rFonts w:cs="Times New Roman"/>
        </w:rPr>
        <w:t xml:space="preserve"> . . . </w:t>
      </w:r>
      <w:r w:rsidR="19E2724F" w:rsidRPr="004178D9">
        <w:rPr>
          <w:rFonts w:cs="Times New Roman"/>
        </w:rPr>
        <w:t>to an expeditious disposition</w:t>
      </w:r>
      <w:r w:rsidR="1C1475CA" w:rsidRPr="004178D9">
        <w:rPr>
          <w:rFonts w:cs="Times New Roman"/>
        </w:rPr>
        <w:t>” of criminal cases.</w:t>
      </w:r>
      <w:r w:rsidR="19E2724F">
        <w:rPr>
          <w:rFonts w:cs="Times New Roman"/>
        </w:rPr>
        <w:t xml:space="preserve"> (§ 1050(a).) </w:t>
      </w:r>
      <w:r w:rsidR="60572033">
        <w:rPr>
          <w:rFonts w:cs="Times New Roman"/>
        </w:rPr>
        <w:t>This argument also flies in the face of the evident</w:t>
      </w:r>
      <w:r w:rsidR="001E22F6">
        <w:rPr>
          <w:rFonts w:cs="Times New Roman"/>
        </w:rPr>
        <w:t xml:space="preserve"> intent </w:t>
      </w:r>
      <w:r w:rsidR="60572033">
        <w:rPr>
          <w:rFonts w:cs="Times New Roman"/>
        </w:rPr>
        <w:t>of section 1050(a)</w:t>
      </w:r>
      <w:r w:rsidR="001E22F6">
        <w:rPr>
          <w:rFonts w:cs="Times New Roman"/>
        </w:rPr>
        <w:t xml:space="preserve"> to</w:t>
      </w:r>
      <w:r w:rsidR="31ECAF35" w:rsidRPr="6AF82BEE">
        <w:rPr>
          <w:rFonts w:cs="Times New Roman"/>
        </w:rPr>
        <w:t xml:space="preserve"> </w:t>
      </w:r>
      <w:r w:rsidR="55FE6ADD" w:rsidRPr="6DE7B551">
        <w:rPr>
          <w:rFonts w:cs="Times New Roman"/>
        </w:rPr>
        <w:t>mitigate</w:t>
      </w:r>
      <w:r w:rsidR="31ECAF35" w:rsidRPr="6AF82BEE">
        <w:rPr>
          <w:rFonts w:cs="Times New Roman"/>
        </w:rPr>
        <w:t xml:space="preserve"> </w:t>
      </w:r>
      <w:r w:rsidR="1775F50E" w:rsidRPr="437C071A">
        <w:rPr>
          <w:rFonts w:cs="Times New Roman"/>
        </w:rPr>
        <w:t>an array of</w:t>
      </w:r>
      <w:r w:rsidR="765B148A" w:rsidRPr="076AB505">
        <w:rPr>
          <w:rFonts w:cs="Times New Roman"/>
        </w:rPr>
        <w:t xml:space="preserve"> </w:t>
      </w:r>
      <w:r w:rsidR="2E2DE784" w:rsidRPr="5A2E0C83">
        <w:rPr>
          <w:rFonts w:cs="Times New Roman"/>
        </w:rPr>
        <w:t>“</w:t>
      </w:r>
      <w:r w:rsidR="71DCF39D" w:rsidRPr="1934B2BF">
        <w:rPr>
          <w:rFonts w:cs="Times New Roman"/>
        </w:rPr>
        <w:t xml:space="preserve">adverse consequences” </w:t>
      </w:r>
      <w:r w:rsidR="00DD4FA6">
        <w:rPr>
          <w:rFonts w:cs="Times New Roman"/>
        </w:rPr>
        <w:t>caused by</w:t>
      </w:r>
      <w:r w:rsidR="00DD4FA6" w:rsidRPr="1934B2BF">
        <w:rPr>
          <w:rFonts w:cs="Times New Roman"/>
        </w:rPr>
        <w:t xml:space="preserve"> </w:t>
      </w:r>
      <w:r w:rsidR="71DCF39D" w:rsidRPr="1934B2BF">
        <w:rPr>
          <w:rFonts w:cs="Times New Roman"/>
        </w:rPr>
        <w:t>trial delays</w:t>
      </w:r>
      <w:r w:rsidR="3E33C749" w:rsidRPr="6DE7B551">
        <w:rPr>
          <w:rFonts w:cs="Times New Roman"/>
        </w:rPr>
        <w:t>, including</w:t>
      </w:r>
      <w:r w:rsidR="7C8E7B95" w:rsidRPr="5CBB99EA">
        <w:rPr>
          <w:rFonts w:cs="Times New Roman"/>
        </w:rPr>
        <w:t xml:space="preserve"> </w:t>
      </w:r>
      <w:r w:rsidR="4AE38254" w:rsidRPr="5CBB99EA">
        <w:rPr>
          <w:rFonts w:cs="Times New Roman"/>
        </w:rPr>
        <w:t xml:space="preserve">not just </w:t>
      </w:r>
      <w:r w:rsidR="7C8E7B95" w:rsidRPr="5CBB99EA">
        <w:rPr>
          <w:rFonts w:cs="Times New Roman"/>
        </w:rPr>
        <w:t xml:space="preserve">hardships </w:t>
      </w:r>
      <w:r w:rsidR="1F4974B3" w:rsidRPr="6AF82BEE">
        <w:rPr>
          <w:rFonts w:cs="Times New Roman"/>
        </w:rPr>
        <w:t xml:space="preserve">experienced by </w:t>
      </w:r>
      <w:r w:rsidR="00797061">
        <w:rPr>
          <w:rFonts w:cs="Times New Roman"/>
        </w:rPr>
        <w:t>the participants in</w:t>
      </w:r>
      <w:r w:rsidR="434BBF69" w:rsidRPr="5CBB99EA">
        <w:rPr>
          <w:rFonts w:cs="Times New Roman"/>
        </w:rPr>
        <w:t xml:space="preserve"> individual criminal cases</w:t>
      </w:r>
      <w:r w:rsidR="22768759" w:rsidRPr="0ACFE92F">
        <w:rPr>
          <w:rFonts w:cs="Times New Roman"/>
        </w:rPr>
        <w:t xml:space="preserve">, </w:t>
      </w:r>
      <w:r w:rsidR="04F8D97A" w:rsidRPr="6DE7B551">
        <w:rPr>
          <w:rFonts w:cs="Times New Roman"/>
        </w:rPr>
        <w:t>but also broader social ills, including</w:t>
      </w:r>
      <w:r w:rsidR="114A7B89" w:rsidRPr="36E75FC6">
        <w:rPr>
          <w:rFonts w:cs="Times New Roman"/>
        </w:rPr>
        <w:t xml:space="preserve"> </w:t>
      </w:r>
      <w:r w:rsidR="34F788B3" w:rsidRPr="00F019B0">
        <w:rPr>
          <w:rFonts w:cs="Times New Roman"/>
          <w:i/>
        </w:rPr>
        <w:t xml:space="preserve">undesirable impacts on </w:t>
      </w:r>
      <w:r w:rsidR="05027DB0" w:rsidRPr="00F019B0">
        <w:rPr>
          <w:rFonts w:cs="Times New Roman"/>
          <w:i/>
        </w:rPr>
        <w:t>the</w:t>
      </w:r>
      <w:r w:rsidR="39C8E070" w:rsidRPr="00F019B0">
        <w:rPr>
          <w:rFonts w:cs="Times New Roman"/>
          <w:i/>
        </w:rPr>
        <w:t xml:space="preserve"> </w:t>
      </w:r>
      <w:r w:rsidR="05027DB0" w:rsidRPr="00F019B0">
        <w:rPr>
          <w:rFonts w:cs="Times New Roman"/>
          <w:i/>
        </w:rPr>
        <w:t xml:space="preserve">public health and </w:t>
      </w:r>
      <w:proofErr w:type="spellStart"/>
      <w:r w:rsidR="05027DB0" w:rsidRPr="00F019B0">
        <w:rPr>
          <w:rFonts w:cs="Times New Roman"/>
          <w:i/>
        </w:rPr>
        <w:t>fisc</w:t>
      </w:r>
      <w:proofErr w:type="spellEnd"/>
      <w:r w:rsidR="3116EC42" w:rsidRPr="09459565">
        <w:rPr>
          <w:rFonts w:cs="Times New Roman"/>
          <w:i/>
          <w:iCs/>
        </w:rPr>
        <w:t>.</w:t>
      </w:r>
      <w:r w:rsidR="05027DB0" w:rsidRPr="73B71499">
        <w:rPr>
          <w:rFonts w:cs="Times New Roman"/>
        </w:rPr>
        <w:t xml:space="preserve"> </w:t>
      </w:r>
      <w:r w:rsidR="50DE728A" w:rsidRPr="09459565">
        <w:rPr>
          <w:rFonts w:cs="Times New Roman"/>
        </w:rPr>
        <w:t>(</w:t>
      </w:r>
      <w:r w:rsidR="50DE728A" w:rsidRPr="09459565">
        <w:rPr>
          <w:rFonts w:cs="Times New Roman"/>
          <w:i/>
          <w:iCs/>
        </w:rPr>
        <w:t>Ibid</w:t>
      </w:r>
      <w:r w:rsidR="50DE728A" w:rsidRPr="09459565">
        <w:rPr>
          <w:rFonts w:cs="Times New Roman"/>
        </w:rPr>
        <w:t>. [</w:t>
      </w:r>
      <w:r w:rsidR="18E2E9A0" w:rsidRPr="09459565">
        <w:rPr>
          <w:rFonts w:cs="Times New Roman"/>
        </w:rPr>
        <w:t xml:space="preserve">observing that </w:t>
      </w:r>
      <w:r w:rsidR="00AB230B">
        <w:rPr>
          <w:rFonts w:cs="Times New Roman"/>
        </w:rPr>
        <w:t>“</w:t>
      </w:r>
      <w:r w:rsidR="15DF3964" w:rsidRPr="09459565">
        <w:rPr>
          <w:rFonts w:cs="Times New Roman"/>
        </w:rPr>
        <w:t>excessive continuances” contribute</w:t>
      </w:r>
      <w:r w:rsidR="05027DB0" w:rsidRPr="73B71499">
        <w:rPr>
          <w:rFonts w:cs="Times New Roman"/>
        </w:rPr>
        <w:t xml:space="preserve"> </w:t>
      </w:r>
      <w:r w:rsidR="2EF8EB1F" w:rsidRPr="73B71499">
        <w:rPr>
          <w:rFonts w:cs="Times New Roman"/>
        </w:rPr>
        <w:t>to</w:t>
      </w:r>
      <w:r w:rsidR="05027DB0" w:rsidRPr="73B71499">
        <w:rPr>
          <w:rFonts w:cs="Times New Roman"/>
        </w:rPr>
        <w:t xml:space="preserve"> </w:t>
      </w:r>
      <w:r w:rsidR="39C8E070" w:rsidRPr="797FBB80">
        <w:rPr>
          <w:rFonts w:cs="Times New Roman"/>
        </w:rPr>
        <w:t>“</w:t>
      </w:r>
      <w:r w:rsidR="630A1E38" w:rsidRPr="797FBB80">
        <w:rPr>
          <w:rFonts w:cs="Times New Roman"/>
        </w:rPr>
        <w:t xml:space="preserve">overcrowding and </w:t>
      </w:r>
      <w:r w:rsidR="2DDCB4F1" w:rsidRPr="797FBB80">
        <w:rPr>
          <w:rFonts w:cs="Times New Roman"/>
        </w:rPr>
        <w:t>increase</w:t>
      </w:r>
      <w:r w:rsidR="4CF047BE" w:rsidRPr="797FBB80">
        <w:rPr>
          <w:rFonts w:cs="Times New Roman"/>
        </w:rPr>
        <w:t>d</w:t>
      </w:r>
      <w:r w:rsidR="2DDCB4F1" w:rsidRPr="797FBB80">
        <w:rPr>
          <w:rFonts w:cs="Times New Roman"/>
        </w:rPr>
        <w:t xml:space="preserve"> expenses on local jails</w:t>
      </w:r>
      <w:r w:rsidR="2B3B807A" w:rsidRPr="797FBB80">
        <w:rPr>
          <w:rFonts w:cs="Times New Roman"/>
        </w:rPr>
        <w:t>”</w:t>
      </w:r>
      <w:r w:rsidR="46DA037B" w:rsidRPr="797FBB80">
        <w:rPr>
          <w:rFonts w:cs="Times New Roman"/>
        </w:rPr>
        <w:t>].)</w:t>
      </w:r>
      <w:r w:rsidR="2DDCB4F1" w:rsidRPr="797FBB80">
        <w:rPr>
          <w:rFonts w:cs="Times New Roman"/>
        </w:rPr>
        <w:t xml:space="preserve"> </w:t>
      </w:r>
      <w:r w:rsidR="00EE554A">
        <w:rPr>
          <w:rFonts w:cs="Times New Roman"/>
        </w:rPr>
        <w:t>I</w:t>
      </w:r>
      <w:r w:rsidR="00A855A0">
        <w:rPr>
          <w:rFonts w:cs="Times New Roman"/>
        </w:rPr>
        <w:t xml:space="preserve">t </w:t>
      </w:r>
      <w:r w:rsidR="00EE554A">
        <w:rPr>
          <w:rFonts w:cs="Times New Roman"/>
        </w:rPr>
        <w:t>would</w:t>
      </w:r>
      <w:r w:rsidR="00A855A0">
        <w:rPr>
          <w:rFonts w:cs="Times New Roman"/>
        </w:rPr>
        <w:t xml:space="preserve"> therefore </w:t>
      </w:r>
      <w:r w:rsidR="007A2D4D">
        <w:rPr>
          <w:rFonts w:cs="Times New Roman"/>
        </w:rPr>
        <w:t>undermine</w:t>
      </w:r>
      <w:r w:rsidR="00EE554A">
        <w:rPr>
          <w:rFonts w:cs="Times New Roman"/>
        </w:rPr>
        <w:t xml:space="preserve"> the </w:t>
      </w:r>
      <w:r w:rsidR="4E4106BB" w:rsidRPr="1FD3C7C6">
        <w:rPr>
          <w:rFonts w:cs="Times New Roman"/>
        </w:rPr>
        <w:t>legislative intent</w:t>
      </w:r>
      <w:r w:rsidR="19E2724F">
        <w:rPr>
          <w:rFonts w:cs="Times New Roman"/>
        </w:rPr>
        <w:t xml:space="preserve"> </w:t>
      </w:r>
      <w:r w:rsidR="00565D14">
        <w:rPr>
          <w:rFonts w:cs="Times New Roman"/>
        </w:rPr>
        <w:t>behind section</w:t>
      </w:r>
      <w:r w:rsidR="000C685B">
        <w:rPr>
          <w:rFonts w:cs="Times New Roman"/>
        </w:rPr>
        <w:t> </w:t>
      </w:r>
      <w:r w:rsidR="00565D14">
        <w:rPr>
          <w:rFonts w:cs="Times New Roman"/>
        </w:rPr>
        <w:t xml:space="preserve">1050(a) </w:t>
      </w:r>
      <w:r w:rsidR="69B88B3E">
        <w:rPr>
          <w:rFonts w:cs="Times New Roman"/>
        </w:rPr>
        <w:t xml:space="preserve">to </w:t>
      </w:r>
      <w:r w:rsidR="000E205C">
        <w:rPr>
          <w:rFonts w:cs="Times New Roman"/>
        </w:rPr>
        <w:t>bar</w:t>
      </w:r>
      <w:r w:rsidR="69B88B3E">
        <w:rPr>
          <w:rFonts w:cs="Times New Roman"/>
        </w:rPr>
        <w:t xml:space="preserve"> </w:t>
      </w:r>
      <w:r w:rsidR="12B216EB" w:rsidRPr="797FBB80">
        <w:rPr>
          <w:rFonts w:cs="Times New Roman"/>
        </w:rPr>
        <w:t>taxpayers</w:t>
      </w:r>
      <w:r w:rsidR="6D683A42" w:rsidRPr="797FBB80">
        <w:rPr>
          <w:rFonts w:cs="Times New Roman"/>
        </w:rPr>
        <w:t xml:space="preserve"> </w:t>
      </w:r>
      <w:r w:rsidR="000E205C">
        <w:rPr>
          <w:rFonts w:cs="Times New Roman"/>
        </w:rPr>
        <w:t xml:space="preserve">from </w:t>
      </w:r>
      <w:r w:rsidR="6D683A42" w:rsidRPr="797FBB80">
        <w:rPr>
          <w:rFonts w:cs="Times New Roman"/>
        </w:rPr>
        <w:t>enforc</w:t>
      </w:r>
      <w:r w:rsidR="000E205C">
        <w:rPr>
          <w:rFonts w:cs="Times New Roman"/>
        </w:rPr>
        <w:t>ing</w:t>
      </w:r>
      <w:r w:rsidR="6D683A42" w:rsidRPr="797FBB80">
        <w:rPr>
          <w:rFonts w:cs="Times New Roman"/>
        </w:rPr>
        <w:t xml:space="preserve"> </w:t>
      </w:r>
      <w:r w:rsidR="4D1F9A2F" w:rsidRPr="797FBB80">
        <w:rPr>
          <w:rFonts w:cs="Times New Roman"/>
        </w:rPr>
        <w:t>the duties “enjoined upon” defendants</w:t>
      </w:r>
      <w:r w:rsidR="00E10841">
        <w:rPr>
          <w:rFonts w:cs="Times New Roman"/>
        </w:rPr>
        <w:t xml:space="preserve"> </w:t>
      </w:r>
      <w:r w:rsidR="00476BE1" w:rsidRPr="797FBB80">
        <w:rPr>
          <w:rFonts w:cs="Times New Roman"/>
        </w:rPr>
        <w:t xml:space="preserve">by </w:t>
      </w:r>
      <w:r w:rsidR="00476BE1">
        <w:rPr>
          <w:rFonts w:cs="Times New Roman"/>
        </w:rPr>
        <w:t>that provision</w:t>
      </w:r>
      <w:r w:rsidR="00E10841">
        <w:rPr>
          <w:rFonts w:cs="Times New Roman"/>
        </w:rPr>
        <w:t xml:space="preserve"> for the benefit of all segments of society</w:t>
      </w:r>
      <w:r w:rsidR="19E2724F">
        <w:rPr>
          <w:rFonts w:cs="Times New Roman"/>
        </w:rPr>
        <w:t>.</w:t>
      </w:r>
      <w:r>
        <w:rPr>
          <w:rStyle w:val="FootnoteReference"/>
        </w:rPr>
        <w:footnoteReference w:id="28"/>
      </w:r>
      <w:r w:rsidRPr="797FBB80">
        <w:rPr>
          <w:rFonts w:cs="Times New Roman"/>
        </w:rPr>
        <w:t xml:space="preserve"> </w:t>
      </w:r>
    </w:p>
    <w:p w14:paraId="35CB40B4" w14:textId="3960C5AD" w:rsidR="0080647E" w:rsidRDefault="001B6997" w:rsidP="003F5F13">
      <w:pPr>
        <w:autoSpaceDE w:val="0"/>
        <w:autoSpaceDN w:val="0"/>
        <w:adjustRightInd w:val="0"/>
        <w:spacing w:line="360" w:lineRule="auto"/>
        <w:contextualSpacing/>
      </w:pPr>
      <w:r>
        <w:lastRenderedPageBreak/>
        <w:tab/>
      </w:r>
      <w:r w:rsidR="7BE87353">
        <w:t xml:space="preserve">Finally, </w:t>
      </w:r>
      <w:r w:rsidR="0C20677E">
        <w:t xml:space="preserve">like the trial court, we reject </w:t>
      </w:r>
      <w:r w:rsidR="7BE87353">
        <w:t>defendants</w:t>
      </w:r>
      <w:r w:rsidR="3A88EC95">
        <w:t xml:space="preserve">’ related </w:t>
      </w:r>
      <w:r w:rsidR="7BE87353">
        <w:t>argu</w:t>
      </w:r>
      <w:r w:rsidR="3A88EC95">
        <w:t>ment</w:t>
      </w:r>
      <w:r w:rsidR="7BE87353">
        <w:t xml:space="preserve"> that plaintiffs lack </w:t>
      </w:r>
      <w:r w:rsidR="3A88EC95">
        <w:t xml:space="preserve">taxpayer </w:t>
      </w:r>
      <w:r w:rsidR="7BE87353">
        <w:t xml:space="preserve">standing </w:t>
      </w:r>
      <w:r w:rsidR="3A88EC95">
        <w:t xml:space="preserve">because criminal defendants may assert their own </w:t>
      </w:r>
      <w:r w:rsidR="7BE87353" w:rsidRPr="00C13A02">
        <w:t>speedy trial rights</w:t>
      </w:r>
      <w:r w:rsidR="7BE87353">
        <w:t xml:space="preserve">. </w:t>
      </w:r>
      <w:r w:rsidR="00647C0C">
        <w:t>It is</w:t>
      </w:r>
      <w:r w:rsidR="00A14F82">
        <w:t xml:space="preserve"> plainly </w:t>
      </w:r>
      <w:r w:rsidR="00647C0C">
        <w:t xml:space="preserve">without merit. </w:t>
      </w:r>
      <w:r w:rsidR="7BE87353">
        <w:t xml:space="preserve">(See </w:t>
      </w:r>
      <w:r w:rsidR="7BE87353" w:rsidRPr="797FBB80">
        <w:rPr>
          <w:i/>
          <w:iCs/>
        </w:rPr>
        <w:t>Spitzer</w:t>
      </w:r>
      <w:r w:rsidR="7BE87353">
        <w:t xml:space="preserve">, </w:t>
      </w:r>
      <w:r w:rsidR="7BE87353" w:rsidRPr="797FBB80">
        <w:rPr>
          <w:i/>
          <w:iCs/>
        </w:rPr>
        <w:t>supra</w:t>
      </w:r>
      <w:r w:rsidR="7BE87353">
        <w:t>, 53 Cal.App.5th at pp. 406–407</w:t>
      </w:r>
      <w:r w:rsidR="11761622">
        <w:t xml:space="preserve"> </w:t>
      </w:r>
      <w:r w:rsidR="7BE87353">
        <w:t>[</w:t>
      </w:r>
      <w:r w:rsidR="7BE87353" w:rsidRPr="007A69DD">
        <w:t>“ ‘</w:t>
      </w:r>
      <w:r w:rsidR="7BE87353" w:rsidRPr="00380E59">
        <w:rPr>
          <w:spacing w:val="-2"/>
        </w:rPr>
        <w:t xml:space="preserve">taxpayers may maintain an action under </w:t>
      </w:r>
      <w:r w:rsidR="00183E0C">
        <w:rPr>
          <w:spacing w:val="-2"/>
        </w:rPr>
        <w:t xml:space="preserve">[Code of Civil Procedure] </w:t>
      </w:r>
      <w:r w:rsidR="7BE87353" w:rsidRPr="00380E59">
        <w:rPr>
          <w:spacing w:val="-2"/>
        </w:rPr>
        <w:t xml:space="preserve">section 526a to challenge an illegal expenditure of funds even though persons </w:t>
      </w:r>
      <w:r w:rsidR="7BE87353" w:rsidRPr="007A69DD">
        <w:t>directly affected by the expenditure also have</w:t>
      </w:r>
      <w:r w:rsidR="7BE87353">
        <w:t xml:space="preserve"> standing to sue’ ”</w:t>
      </w:r>
      <w:r w:rsidR="11761622">
        <w:t>]</w:t>
      </w:r>
      <w:r w:rsidR="7BE87353" w:rsidRPr="4B0E998B">
        <w:t xml:space="preserve">; accord, </w:t>
      </w:r>
      <w:r w:rsidR="7BE87353" w:rsidRPr="797FBB80">
        <w:rPr>
          <w:i/>
          <w:iCs/>
        </w:rPr>
        <w:t>Van Atta v. Scott</w:t>
      </w:r>
      <w:r w:rsidR="7BE87353">
        <w:t xml:space="preserve"> (1980) 27</w:t>
      </w:r>
      <w:r w:rsidR="003B78F1">
        <w:t> </w:t>
      </w:r>
      <w:r w:rsidR="7BE87353">
        <w:t xml:space="preserve">Cal.3d 424, </w:t>
      </w:r>
      <w:r w:rsidR="005206F4">
        <w:t>447</w:t>
      </w:r>
      <w:r w:rsidR="00B212F0">
        <w:t>–</w:t>
      </w:r>
      <w:r w:rsidR="7BE87353">
        <w:t>448</w:t>
      </w:r>
      <w:r w:rsidR="7BE87353" w:rsidRPr="00B51C71">
        <w:t xml:space="preserve"> &amp; fn.</w:t>
      </w:r>
      <w:r w:rsidR="008D1805">
        <w:t> </w:t>
      </w:r>
      <w:r w:rsidR="7BE87353" w:rsidRPr="00B51C71">
        <w:t>21 [</w:t>
      </w:r>
      <w:r w:rsidR="007B49C4">
        <w:t>c</w:t>
      </w:r>
      <w:r w:rsidR="00272003">
        <w:t xml:space="preserve">iting seven precedents, </w:t>
      </w:r>
      <w:r w:rsidR="7BE87353" w:rsidRPr="00B51C71">
        <w:t>“</w:t>
      </w:r>
      <w:r w:rsidR="7BE87353">
        <w:t>Numerous decisions have affirmed a taxpayer</w:t>
      </w:r>
      <w:r w:rsidR="7BE87353" w:rsidRPr="00B51C71">
        <w:t>’</w:t>
      </w:r>
      <w:r w:rsidR="7BE87353">
        <w:t>s standing to sue despite the existence of potential plaintiffs who might also have had standing to challenge the subject actions or statutes”].)</w:t>
      </w:r>
      <w:r>
        <w:rPr>
          <w:rStyle w:val="FootnoteReference"/>
          <w:rFonts w:cs="Times New Roman"/>
        </w:rPr>
        <w:footnoteReference w:id="29"/>
      </w:r>
      <w:r w:rsidR="00CD2DD3">
        <w:t xml:space="preserve"> </w:t>
      </w:r>
    </w:p>
    <w:p w14:paraId="5572A4D5" w14:textId="44514CD7" w:rsidR="0080647E" w:rsidRPr="006840B6" w:rsidRDefault="001B6997" w:rsidP="007C20E2">
      <w:pPr>
        <w:keepNext/>
        <w:spacing w:after="120" w:line="240" w:lineRule="auto"/>
        <w:ind w:left="360" w:hanging="360"/>
        <w:rPr>
          <w:b/>
          <w:bCs/>
        </w:rPr>
      </w:pPr>
      <w:r>
        <w:rPr>
          <w:b/>
          <w:bCs/>
        </w:rPr>
        <w:tab/>
      </w:r>
      <w:r>
        <w:rPr>
          <w:b/>
          <w:bCs/>
        </w:rPr>
        <w:tab/>
        <w:t>e</w:t>
      </w:r>
      <w:r w:rsidR="6CF03191" w:rsidRPr="797FBB80">
        <w:rPr>
          <w:b/>
          <w:bCs/>
        </w:rPr>
        <w:t>. Defendants’ Challenge</w:t>
      </w:r>
      <w:r w:rsidR="611E157F" w:rsidRPr="797FBB80">
        <w:rPr>
          <w:b/>
          <w:bCs/>
        </w:rPr>
        <w:t>s</w:t>
      </w:r>
      <w:r w:rsidR="6CF03191" w:rsidRPr="797FBB80">
        <w:rPr>
          <w:b/>
          <w:bCs/>
        </w:rPr>
        <w:t xml:space="preserve"> to </w:t>
      </w:r>
      <w:r w:rsidR="00110F48">
        <w:rPr>
          <w:b/>
          <w:bCs/>
        </w:rPr>
        <w:t xml:space="preserve">the </w:t>
      </w:r>
      <w:r w:rsidR="00CA7906">
        <w:rPr>
          <w:b/>
          <w:bCs/>
        </w:rPr>
        <w:t>Sought-After</w:t>
      </w:r>
      <w:r w:rsidR="6CF03191" w:rsidRPr="797FBB80">
        <w:rPr>
          <w:b/>
          <w:bCs/>
        </w:rPr>
        <w:t xml:space="preserve"> Relief</w:t>
      </w:r>
      <w:r w:rsidR="00E53D1F">
        <w:rPr>
          <w:b/>
          <w:bCs/>
        </w:rPr>
        <w:t xml:space="preserve"> Lack</w:t>
      </w:r>
      <w:r w:rsidR="001A5E1F">
        <w:rPr>
          <w:b/>
          <w:bCs/>
        </w:rPr>
        <w:t xml:space="preserve"> </w:t>
      </w:r>
      <w:r w:rsidR="00E53D1F">
        <w:rPr>
          <w:b/>
          <w:bCs/>
        </w:rPr>
        <w:t>Merit</w:t>
      </w:r>
    </w:p>
    <w:p w14:paraId="754FA00E" w14:textId="502CE2BF" w:rsidR="0080647E" w:rsidRPr="006840B6" w:rsidRDefault="001B6997" w:rsidP="00C76497">
      <w:pPr>
        <w:spacing w:line="360" w:lineRule="auto"/>
        <w:contextualSpacing/>
        <w:rPr>
          <w:rFonts w:eastAsia="Times New Roman" w:cs="Times New Roman"/>
          <w:color w:val="000000" w:themeColor="text1"/>
        </w:rPr>
      </w:pPr>
      <w:r>
        <w:rPr>
          <w:rFonts w:cs="Times New Roman"/>
        </w:rPr>
        <w:tab/>
      </w:r>
      <w:r w:rsidR="27A14971" w:rsidRPr="3DE41553">
        <w:rPr>
          <w:rFonts w:cs="Times New Roman"/>
        </w:rPr>
        <w:t xml:space="preserve">Defendants also contend that the trial court erred in declining to consider </w:t>
      </w:r>
      <w:r w:rsidR="15582A69" w:rsidRPr="3DE41553">
        <w:rPr>
          <w:rFonts w:cs="Times New Roman"/>
        </w:rPr>
        <w:t>their</w:t>
      </w:r>
      <w:r w:rsidR="15582A69" w:rsidRPr="797FBB80">
        <w:rPr>
          <w:rFonts w:cs="Times New Roman"/>
        </w:rPr>
        <w:t xml:space="preserve"> </w:t>
      </w:r>
      <w:r w:rsidR="27A14971" w:rsidRPr="3DE41553">
        <w:rPr>
          <w:rFonts w:cs="Times New Roman"/>
        </w:rPr>
        <w:t xml:space="preserve">challenge to </w:t>
      </w:r>
      <w:r w:rsidR="413287A6" w:rsidRPr="3DE41553">
        <w:rPr>
          <w:rFonts w:cs="Times New Roman"/>
        </w:rPr>
        <w:t xml:space="preserve">certain types of </w:t>
      </w:r>
      <w:r w:rsidR="27A14971" w:rsidRPr="3DE41553">
        <w:rPr>
          <w:rFonts w:cs="Times New Roman"/>
        </w:rPr>
        <w:t xml:space="preserve">relief </w:t>
      </w:r>
      <w:r w:rsidR="02ED5AA5" w:rsidRPr="3DE41553">
        <w:rPr>
          <w:rFonts w:cs="Times New Roman"/>
        </w:rPr>
        <w:t>because</w:t>
      </w:r>
      <w:r w:rsidR="723FBCFA" w:rsidRPr="797FBB80">
        <w:rPr>
          <w:rFonts w:cs="Times New Roman"/>
        </w:rPr>
        <w:t xml:space="preserve"> </w:t>
      </w:r>
      <w:r w:rsidR="27A14971" w:rsidRPr="3DE41553">
        <w:rPr>
          <w:rFonts w:cs="Times New Roman"/>
        </w:rPr>
        <w:t xml:space="preserve">a demurrer </w:t>
      </w:r>
      <w:r w:rsidR="6EE4858A" w:rsidRPr="3DE41553">
        <w:rPr>
          <w:rFonts w:cs="Times New Roman"/>
        </w:rPr>
        <w:t xml:space="preserve">does </w:t>
      </w:r>
      <w:r w:rsidR="27A14971" w:rsidRPr="3DE41553">
        <w:rPr>
          <w:rFonts w:cs="Times New Roman"/>
        </w:rPr>
        <w:t>not</w:t>
      </w:r>
      <w:r w:rsidR="55555692" w:rsidRPr="797FBB80">
        <w:rPr>
          <w:rFonts w:cs="Times New Roman"/>
        </w:rPr>
        <w:t xml:space="preserve"> lie</w:t>
      </w:r>
      <w:r w:rsidR="27A14971" w:rsidRPr="3DE41553">
        <w:rPr>
          <w:rFonts w:cs="Times New Roman"/>
        </w:rPr>
        <w:t xml:space="preserve"> to a form of relief</w:t>
      </w:r>
      <w:r w:rsidR="07C514ED" w:rsidRPr="797FBB80">
        <w:rPr>
          <w:rFonts w:cs="Times New Roman"/>
        </w:rPr>
        <w:t>, only a cause of action</w:t>
      </w:r>
      <w:r w:rsidR="27A14971" w:rsidRPr="3DE41553">
        <w:rPr>
          <w:rFonts w:eastAsia="Times New Roman" w:cs="Times New Roman"/>
          <w:color w:val="000000" w:themeColor="text1"/>
        </w:rPr>
        <w:t xml:space="preserve">. Defendants assert that because they demonstrated that </w:t>
      </w:r>
      <w:r w:rsidR="27A14971" w:rsidRPr="797FBB80">
        <w:rPr>
          <w:rFonts w:eastAsia="Times New Roman" w:cs="Times New Roman"/>
          <w:i/>
          <w:iCs/>
          <w:color w:val="000000" w:themeColor="text1"/>
        </w:rPr>
        <w:t>every</w:t>
      </w:r>
      <w:r w:rsidR="27A14971" w:rsidRPr="3DE41553">
        <w:rPr>
          <w:rFonts w:eastAsia="Times New Roman" w:cs="Times New Roman"/>
          <w:color w:val="000000" w:themeColor="text1"/>
        </w:rPr>
        <w:t xml:space="preserve"> form of relief sought in the complaint seeks is </w:t>
      </w:r>
      <w:r w:rsidR="27A14971" w:rsidRPr="3DE41553">
        <w:rPr>
          <w:rFonts w:eastAsia="Times New Roman" w:cs="Times New Roman"/>
          <w:color w:val="000000" w:themeColor="text1"/>
        </w:rPr>
        <w:lastRenderedPageBreak/>
        <w:t xml:space="preserve">barred by law, the demurrer should be sustained. As we explain, defendants have made </w:t>
      </w:r>
      <w:r w:rsidR="00CD5E41">
        <w:rPr>
          <w:rFonts w:eastAsia="Times New Roman" w:cs="Times New Roman"/>
          <w:color w:val="000000" w:themeColor="text1"/>
        </w:rPr>
        <w:t>no such</w:t>
      </w:r>
      <w:r w:rsidR="00CD5E41" w:rsidRPr="3DE41553">
        <w:rPr>
          <w:rFonts w:eastAsia="Times New Roman" w:cs="Times New Roman"/>
          <w:color w:val="000000" w:themeColor="text1"/>
        </w:rPr>
        <w:t xml:space="preserve"> </w:t>
      </w:r>
      <w:r w:rsidR="27A14971" w:rsidRPr="3DE41553">
        <w:rPr>
          <w:rFonts w:eastAsia="Times New Roman" w:cs="Times New Roman"/>
          <w:color w:val="000000" w:themeColor="text1"/>
        </w:rPr>
        <w:t>showing.</w:t>
      </w:r>
      <w:r>
        <w:rPr>
          <w:rStyle w:val="FootnoteReference"/>
          <w:rFonts w:eastAsia="Times New Roman" w:cs="Times New Roman"/>
          <w:color w:val="000000" w:themeColor="text1"/>
        </w:rPr>
        <w:footnoteReference w:id="30"/>
      </w:r>
    </w:p>
    <w:p w14:paraId="76931E9C" w14:textId="536DBE2D" w:rsidR="00871749" w:rsidRDefault="001B6997" w:rsidP="00E27FA2">
      <w:pPr>
        <w:spacing w:line="360" w:lineRule="auto"/>
        <w:contextualSpacing/>
        <w:rPr>
          <w:rFonts w:eastAsia="Times New Roman" w:cs="Times New Roman"/>
          <w:color w:val="000000" w:themeColor="text1"/>
        </w:rPr>
      </w:pPr>
      <w:r>
        <w:tab/>
      </w:r>
      <w:r w:rsidR="00CD5E41">
        <w:t>First, d</w:t>
      </w:r>
      <w:r w:rsidR="5651CA7D" w:rsidRPr="797FBB80">
        <w:rPr>
          <w:rFonts w:eastAsia="Times New Roman" w:cs="Times New Roman"/>
          <w:color w:val="000000" w:themeColor="text1"/>
        </w:rPr>
        <w:t xml:space="preserve">efendants </w:t>
      </w:r>
      <w:r w:rsidR="6CF03191" w:rsidRPr="797FBB80">
        <w:rPr>
          <w:rFonts w:eastAsia="Times New Roman" w:cs="Times New Roman"/>
          <w:color w:val="000000" w:themeColor="text1"/>
        </w:rPr>
        <w:t>contend</w:t>
      </w:r>
      <w:r w:rsidR="2E4C8DFC" w:rsidRPr="797FBB80">
        <w:rPr>
          <w:rFonts w:eastAsia="Times New Roman" w:cs="Times New Roman"/>
          <w:color w:val="000000" w:themeColor="text1"/>
        </w:rPr>
        <w:t xml:space="preserve"> declaratory relief is not available because</w:t>
      </w:r>
      <w:r w:rsidR="6CF03191" w:rsidRPr="797FBB80">
        <w:rPr>
          <w:rFonts w:eastAsia="Times New Roman" w:cs="Times New Roman"/>
          <w:color w:val="000000" w:themeColor="text1"/>
        </w:rPr>
        <w:t xml:space="preserve"> </w:t>
      </w:r>
      <w:r w:rsidR="7343734F" w:rsidRPr="797FBB80">
        <w:rPr>
          <w:rFonts w:eastAsia="Times New Roman" w:cs="Times New Roman"/>
          <w:color w:val="000000" w:themeColor="text1"/>
        </w:rPr>
        <w:t xml:space="preserve">this case presents </w:t>
      </w:r>
      <w:r w:rsidR="6CF03191" w:rsidRPr="797FBB80">
        <w:rPr>
          <w:rFonts w:eastAsia="Times New Roman" w:cs="Times New Roman"/>
          <w:color w:val="000000" w:themeColor="text1"/>
        </w:rPr>
        <w:t xml:space="preserve">“no actual controversy upon which declaratory relief can be granted” as required by Code of Civil Procedure </w:t>
      </w:r>
      <w:r w:rsidR="004B741C">
        <w:rPr>
          <w:rFonts w:eastAsia="Times New Roman" w:cs="Times New Roman"/>
          <w:color w:val="000000" w:themeColor="text1"/>
        </w:rPr>
        <w:t>section</w:t>
      </w:r>
      <w:r w:rsidR="6CF03191" w:rsidRPr="797FBB80">
        <w:rPr>
          <w:rFonts w:eastAsia="Times New Roman" w:cs="Times New Roman"/>
          <w:color w:val="000000" w:themeColor="text1"/>
        </w:rPr>
        <w:t xml:space="preserve">1060. </w:t>
      </w:r>
      <w:r w:rsidR="74DAF2B0" w:rsidRPr="797FBB80">
        <w:rPr>
          <w:rFonts w:eastAsia="Times New Roman" w:cs="Times New Roman"/>
          <w:color w:val="000000" w:themeColor="text1"/>
        </w:rPr>
        <w:t>They</w:t>
      </w:r>
      <w:r w:rsidR="05EEA3A4" w:rsidRPr="797FBB80">
        <w:rPr>
          <w:rFonts w:eastAsia="Times New Roman" w:cs="Times New Roman"/>
          <w:color w:val="000000" w:themeColor="text1"/>
        </w:rPr>
        <w:t xml:space="preserve"> </w:t>
      </w:r>
      <w:r w:rsidR="6CF03191" w:rsidRPr="797FBB80">
        <w:rPr>
          <w:rFonts w:eastAsia="Times New Roman" w:cs="Times New Roman"/>
          <w:color w:val="000000" w:themeColor="text1"/>
        </w:rPr>
        <w:t>do not</w:t>
      </w:r>
      <w:r w:rsidR="26E68648" w:rsidRPr="797FBB80">
        <w:rPr>
          <w:rFonts w:eastAsia="Times New Roman" w:cs="Times New Roman"/>
          <w:color w:val="000000" w:themeColor="text1"/>
        </w:rPr>
        <w:t xml:space="preserve">, however, </w:t>
      </w:r>
      <w:r w:rsidR="43E8BD43" w:rsidRPr="797FBB80">
        <w:rPr>
          <w:rFonts w:eastAsia="Times New Roman" w:cs="Times New Roman"/>
          <w:color w:val="000000" w:themeColor="text1"/>
        </w:rPr>
        <w:t>clearly develop this argument, which we su</w:t>
      </w:r>
      <w:r w:rsidR="00A826BE">
        <w:rPr>
          <w:rFonts w:eastAsia="Times New Roman" w:cs="Times New Roman"/>
          <w:color w:val="000000" w:themeColor="text1"/>
        </w:rPr>
        <w:t>rmise</w:t>
      </w:r>
      <w:r w:rsidR="43E8BD43" w:rsidRPr="797FBB80">
        <w:rPr>
          <w:rFonts w:eastAsia="Times New Roman" w:cs="Times New Roman"/>
          <w:color w:val="000000" w:themeColor="text1"/>
        </w:rPr>
        <w:t xml:space="preserve"> </w:t>
      </w:r>
      <w:r w:rsidR="6CF03191" w:rsidRPr="797FBB80">
        <w:rPr>
          <w:rFonts w:eastAsia="Times New Roman" w:cs="Times New Roman"/>
          <w:color w:val="000000" w:themeColor="text1"/>
        </w:rPr>
        <w:t xml:space="preserve">rests upon </w:t>
      </w:r>
      <w:r w:rsidR="00706B70">
        <w:rPr>
          <w:rFonts w:eastAsia="Times New Roman" w:cs="Times New Roman"/>
          <w:color w:val="000000" w:themeColor="text1"/>
        </w:rPr>
        <w:t xml:space="preserve">the </w:t>
      </w:r>
      <w:r w:rsidR="17F362FE" w:rsidRPr="797FBB80">
        <w:rPr>
          <w:rFonts w:eastAsia="Times New Roman" w:cs="Times New Roman"/>
          <w:color w:val="000000" w:themeColor="text1"/>
        </w:rPr>
        <w:t xml:space="preserve">plaintiffs’ </w:t>
      </w:r>
      <w:r w:rsidR="004F213A">
        <w:rPr>
          <w:rFonts w:eastAsia="Times New Roman" w:cs="Times New Roman"/>
          <w:color w:val="000000" w:themeColor="text1"/>
        </w:rPr>
        <w:t>disclaim</w:t>
      </w:r>
      <w:r w:rsidR="00154534">
        <w:rPr>
          <w:rFonts w:eastAsia="Times New Roman" w:cs="Times New Roman"/>
          <w:color w:val="000000" w:themeColor="text1"/>
        </w:rPr>
        <w:t>er of</w:t>
      </w:r>
      <w:r w:rsidR="004F213A">
        <w:rPr>
          <w:rFonts w:eastAsia="Times New Roman" w:cs="Times New Roman"/>
          <w:color w:val="000000" w:themeColor="text1"/>
        </w:rPr>
        <w:t xml:space="preserve"> any intent to</w:t>
      </w:r>
      <w:r w:rsidR="6CF03191" w:rsidRPr="797FBB80">
        <w:rPr>
          <w:rFonts w:eastAsia="Times New Roman" w:cs="Times New Roman"/>
          <w:color w:val="000000" w:themeColor="text1"/>
        </w:rPr>
        <w:t xml:space="preserve"> challenge specific speedy-trial rulings in individual criminal cases</w:t>
      </w:r>
      <w:r w:rsidR="00EE4A25">
        <w:rPr>
          <w:rFonts w:eastAsia="Times New Roman" w:cs="Times New Roman"/>
          <w:color w:val="000000" w:themeColor="text1"/>
        </w:rPr>
        <w:t>; or</w:t>
      </w:r>
      <w:r w:rsidR="00706B70">
        <w:rPr>
          <w:rFonts w:eastAsia="Times New Roman" w:cs="Times New Roman"/>
          <w:color w:val="000000" w:themeColor="text1"/>
        </w:rPr>
        <w:t xml:space="preserve"> upon</w:t>
      </w:r>
      <w:r w:rsidR="6CF03191" w:rsidRPr="797FBB80">
        <w:rPr>
          <w:rFonts w:eastAsia="Times New Roman" w:cs="Times New Roman"/>
          <w:color w:val="000000" w:themeColor="text1"/>
        </w:rPr>
        <w:t xml:space="preserve"> </w:t>
      </w:r>
      <w:r w:rsidR="51DD7D41" w:rsidRPr="797FBB80">
        <w:rPr>
          <w:rFonts w:eastAsia="Times New Roman" w:cs="Times New Roman"/>
          <w:color w:val="000000" w:themeColor="text1"/>
        </w:rPr>
        <w:t>plaintiffs’</w:t>
      </w:r>
      <w:r w:rsidR="6CF03191" w:rsidRPr="797FBB80">
        <w:rPr>
          <w:rFonts w:eastAsia="Times New Roman" w:cs="Times New Roman"/>
          <w:color w:val="000000" w:themeColor="text1"/>
        </w:rPr>
        <w:t xml:space="preserve"> lack of a direct, personal interest in those rulings (as opposed to their general interest, as taxpayers, in ensuring the lawful and complete performance of the court’s duties). </w:t>
      </w:r>
    </w:p>
    <w:p w14:paraId="3EE1E7A7" w14:textId="0316DB43" w:rsidR="0080647E" w:rsidRPr="006840B6" w:rsidRDefault="001B6997" w:rsidP="00E27FA2">
      <w:pPr>
        <w:spacing w:line="360" w:lineRule="auto"/>
        <w:contextualSpacing/>
        <w:rPr>
          <w:rFonts w:eastAsia="Times New Roman" w:cs="Times New Roman"/>
          <w:color w:val="000000" w:themeColor="text1"/>
        </w:rPr>
      </w:pPr>
      <w:r>
        <w:rPr>
          <w:rFonts w:eastAsia="Times New Roman" w:cs="Times New Roman"/>
          <w:color w:val="000000" w:themeColor="text1"/>
        </w:rPr>
        <w:tab/>
      </w:r>
      <w:r w:rsidR="00D16C46">
        <w:t xml:space="preserve">Such an </w:t>
      </w:r>
      <w:r w:rsidR="00EC0CE8">
        <w:t xml:space="preserve">argument reflects a fundamental misunderstanding of the taxpayer standing doctrine, </w:t>
      </w:r>
      <w:r w:rsidR="007D7327">
        <w:t>which</w:t>
      </w:r>
      <w:r w:rsidR="00EC0CE8">
        <w:t xml:space="preserve"> </w:t>
      </w:r>
      <w:r w:rsidR="00F948BB">
        <w:t>exists to enable citizens who have not suffered</w:t>
      </w:r>
      <w:r w:rsidR="00EC0CE8">
        <w:t xml:space="preserve"> particularized</w:t>
      </w:r>
      <w:r w:rsidR="00F948BB">
        <w:t xml:space="preserve"> </w:t>
      </w:r>
      <w:r w:rsidR="00EC0CE8">
        <w:t xml:space="preserve">injury </w:t>
      </w:r>
      <w:r w:rsidR="00F948BB">
        <w:t>to nonetheless</w:t>
      </w:r>
      <w:r w:rsidR="00EC0CE8">
        <w:t xml:space="preserve"> enforc</w:t>
      </w:r>
      <w:r w:rsidR="00F948BB">
        <w:t>e</w:t>
      </w:r>
      <w:r w:rsidR="00EC0CE8">
        <w:t xml:space="preserve"> legal duties protecting the general public: “ ‘As a general principle, standing to invoke the judicial process’ ” requires that a plaintiff have “ </w:t>
      </w:r>
      <w:r w:rsidR="0074655B">
        <w:t>‘</w:t>
      </w:r>
      <w:r w:rsidR="00EC0CE8">
        <w:t xml:space="preserve">suffered or is about to suffer an injury,’ ” but “the concept of standing . . . has been considerably relaxed by </w:t>
      </w:r>
      <w:r w:rsidR="00183E0C">
        <w:t xml:space="preserve">[Code of Civil Procedure] </w:t>
      </w:r>
      <w:r w:rsidR="00EC0CE8">
        <w:t>section 526a,” under which “ </w:t>
      </w:r>
      <w:r w:rsidR="00C163C6">
        <w:t>‘ </w:t>
      </w:r>
      <w:r w:rsidR="00EC0CE8">
        <w:t>“no showing of special damage to the particular taxpayer [is] necessary” ’ for the taxpayer to prevent injury to the public.” (</w:t>
      </w:r>
      <w:proofErr w:type="spellStart"/>
      <w:r w:rsidR="00EC0CE8" w:rsidRPr="008D6CDF">
        <w:rPr>
          <w:i/>
          <w:iCs/>
        </w:rPr>
        <w:t>Chiatello</w:t>
      </w:r>
      <w:proofErr w:type="spellEnd"/>
      <w:r w:rsidR="00EC0CE8" w:rsidRPr="008D6CDF">
        <w:rPr>
          <w:i/>
          <w:iCs/>
        </w:rPr>
        <w:t xml:space="preserve"> v. City and County of San Francisco</w:t>
      </w:r>
      <w:r w:rsidR="00C053BF">
        <w:rPr>
          <w:i/>
          <w:iCs/>
        </w:rPr>
        <w:t xml:space="preserve"> </w:t>
      </w:r>
      <w:r w:rsidR="00C053BF">
        <w:t>(2010)</w:t>
      </w:r>
      <w:r w:rsidR="00EC0CE8">
        <w:t xml:space="preserve"> 189 Cal.App.4th </w:t>
      </w:r>
      <w:r w:rsidR="00C053BF">
        <w:t xml:space="preserve">472, </w:t>
      </w:r>
      <w:r w:rsidR="00EC0CE8">
        <w:t>480–482.)</w:t>
      </w:r>
      <w:r w:rsidR="00D47F24">
        <w:t xml:space="preserve"> </w:t>
      </w:r>
      <w:r w:rsidR="4E726DAD" w:rsidRPr="797FBB80">
        <w:rPr>
          <w:rFonts w:eastAsia="Times New Roman" w:cs="Times New Roman"/>
          <w:color w:val="000000" w:themeColor="text1"/>
        </w:rPr>
        <w:t xml:space="preserve">It is </w:t>
      </w:r>
      <w:r w:rsidR="00D47F24">
        <w:rPr>
          <w:rFonts w:eastAsia="Times New Roman" w:cs="Times New Roman"/>
          <w:color w:val="000000" w:themeColor="text1"/>
        </w:rPr>
        <w:t xml:space="preserve">thus </w:t>
      </w:r>
      <w:r w:rsidR="6CF03191" w:rsidRPr="797FBB80">
        <w:rPr>
          <w:rFonts w:eastAsia="Times New Roman" w:cs="Times New Roman"/>
          <w:color w:val="000000" w:themeColor="text1"/>
        </w:rPr>
        <w:t>well</w:t>
      </w:r>
      <w:r w:rsidR="00EF565B">
        <w:rPr>
          <w:rFonts w:eastAsia="Times New Roman" w:cs="Times New Roman"/>
          <w:color w:val="000000" w:themeColor="text1"/>
        </w:rPr>
        <w:t xml:space="preserve"> </w:t>
      </w:r>
      <w:r w:rsidR="6CF03191" w:rsidRPr="797FBB80">
        <w:rPr>
          <w:rFonts w:eastAsia="Times New Roman" w:cs="Times New Roman"/>
          <w:color w:val="000000" w:themeColor="text1"/>
        </w:rPr>
        <w:t xml:space="preserve">recognized that so long as a plaintiff alleges a </w:t>
      </w:r>
      <w:r w:rsidR="00F60848">
        <w:rPr>
          <w:rFonts w:eastAsia="Times New Roman" w:cs="Times New Roman"/>
          <w:color w:val="000000" w:themeColor="text1"/>
        </w:rPr>
        <w:t>statutory taxpayer</w:t>
      </w:r>
      <w:r w:rsidR="6CF03191" w:rsidRPr="797FBB80">
        <w:rPr>
          <w:rFonts w:eastAsia="Times New Roman" w:cs="Times New Roman"/>
          <w:color w:val="000000" w:themeColor="text1"/>
        </w:rPr>
        <w:t xml:space="preserve"> claim, the action “presents a true case or controversy.” (</w:t>
      </w:r>
      <w:r w:rsidR="6CF03191" w:rsidRPr="797FBB80">
        <w:rPr>
          <w:rFonts w:eastAsia="Times New Roman" w:cs="Times New Roman"/>
          <w:i/>
          <w:iCs/>
          <w:color w:val="000000" w:themeColor="text1"/>
        </w:rPr>
        <w:t>Blair</w:t>
      </w:r>
      <w:r w:rsidR="6CF03191" w:rsidRPr="797FBB80">
        <w:rPr>
          <w:rFonts w:eastAsia="Times New Roman" w:cs="Times New Roman"/>
          <w:color w:val="000000" w:themeColor="text1"/>
        </w:rPr>
        <w:t xml:space="preserve">, </w:t>
      </w:r>
      <w:r w:rsidR="6CF03191" w:rsidRPr="008C22E4">
        <w:rPr>
          <w:rFonts w:eastAsia="Times New Roman" w:cs="Times New Roman"/>
          <w:i/>
          <w:color w:val="000000" w:themeColor="text1"/>
        </w:rPr>
        <w:t>supra</w:t>
      </w:r>
      <w:r w:rsidR="6CF03191" w:rsidRPr="797FBB80">
        <w:rPr>
          <w:rFonts w:eastAsia="Times New Roman" w:cs="Times New Roman"/>
          <w:color w:val="000000" w:themeColor="text1"/>
        </w:rPr>
        <w:t>, 5</w:t>
      </w:r>
      <w:r w:rsidR="00DD0532">
        <w:rPr>
          <w:rFonts w:eastAsia="Times New Roman" w:cs="Times New Roman"/>
          <w:color w:val="000000" w:themeColor="text1"/>
        </w:rPr>
        <w:t> </w:t>
      </w:r>
      <w:r w:rsidR="6CF03191" w:rsidRPr="797FBB80">
        <w:rPr>
          <w:rFonts w:eastAsia="Times New Roman" w:cs="Times New Roman"/>
          <w:color w:val="000000" w:themeColor="text1"/>
        </w:rPr>
        <w:t>Cal.3d at p.</w:t>
      </w:r>
      <w:r w:rsidR="00C163C6">
        <w:rPr>
          <w:rFonts w:eastAsia="Times New Roman" w:cs="Times New Roman"/>
          <w:color w:val="000000" w:themeColor="text1"/>
        </w:rPr>
        <w:t> </w:t>
      </w:r>
      <w:r w:rsidR="6CF03191" w:rsidRPr="797FBB80">
        <w:rPr>
          <w:rFonts w:eastAsia="Times New Roman" w:cs="Times New Roman"/>
          <w:color w:val="000000" w:themeColor="text1"/>
        </w:rPr>
        <w:t xml:space="preserve">269 [in case involving </w:t>
      </w:r>
      <w:r w:rsidR="6CF03191" w:rsidRPr="797FBB80">
        <w:rPr>
          <w:rFonts w:eastAsia="Times New Roman" w:cs="Times New Roman"/>
          <w:color w:val="000000" w:themeColor="text1"/>
        </w:rPr>
        <w:lastRenderedPageBreak/>
        <w:t>demand for injunctive relief, observing “[</w:t>
      </w:r>
      <w:proofErr w:type="spellStart"/>
      <w:r w:rsidR="6CF03191" w:rsidRPr="797FBB80">
        <w:rPr>
          <w:rFonts w:eastAsia="Times New Roman" w:cs="Times New Roman"/>
          <w:color w:val="000000" w:themeColor="text1"/>
        </w:rPr>
        <w:t>i</w:t>
      </w:r>
      <w:proofErr w:type="spellEnd"/>
      <w:r w:rsidR="6CF03191" w:rsidRPr="797FBB80">
        <w:rPr>
          <w:rFonts w:eastAsia="Times New Roman" w:cs="Times New Roman"/>
          <w:color w:val="000000" w:themeColor="text1"/>
        </w:rPr>
        <w:t>]f we were to hold that [</w:t>
      </w:r>
      <w:r w:rsidR="00183E0C">
        <w:rPr>
          <w:rFonts w:eastAsia="Times New Roman" w:cs="Times New Roman"/>
          <w:color w:val="000000" w:themeColor="text1"/>
        </w:rPr>
        <w:t>statutory taxpayer actions</w:t>
      </w:r>
      <w:r w:rsidR="6CF03191" w:rsidRPr="797FBB80">
        <w:rPr>
          <w:rFonts w:eastAsia="Times New Roman" w:cs="Times New Roman"/>
          <w:color w:val="000000" w:themeColor="text1"/>
        </w:rPr>
        <w:t xml:space="preserve">] did not present a true case or controversy unless the plaintiff and the defendant each had a special, personal interest in the outcome, we would drastically curtail their usefulness as a check on illegal government activity”]; </w:t>
      </w:r>
      <w:proofErr w:type="spellStart"/>
      <w:r w:rsidR="6CF03191" w:rsidRPr="797FBB80">
        <w:rPr>
          <w:rFonts w:eastAsia="Times New Roman" w:cs="Times New Roman"/>
          <w:i/>
          <w:iCs/>
          <w:color w:val="000000" w:themeColor="text1"/>
        </w:rPr>
        <w:t>Kawaichi</w:t>
      </w:r>
      <w:proofErr w:type="spellEnd"/>
      <w:r w:rsidR="6CF03191" w:rsidRPr="797FBB80">
        <w:rPr>
          <w:rFonts w:eastAsia="Times New Roman" w:cs="Times New Roman"/>
          <w:color w:val="000000" w:themeColor="text1"/>
        </w:rPr>
        <w:t xml:space="preserve">, </w:t>
      </w:r>
      <w:r w:rsidR="6CF03191" w:rsidRPr="0074655B">
        <w:rPr>
          <w:rFonts w:eastAsia="Times New Roman" w:cs="Times New Roman"/>
          <w:i/>
          <w:color w:val="000000" w:themeColor="text1"/>
        </w:rPr>
        <w:t>supra</w:t>
      </w:r>
      <w:r w:rsidR="6CF03191" w:rsidRPr="797FBB80">
        <w:rPr>
          <w:rFonts w:eastAsia="Times New Roman" w:cs="Times New Roman"/>
          <w:color w:val="000000" w:themeColor="text1"/>
        </w:rPr>
        <w:t>, 53</w:t>
      </w:r>
      <w:r w:rsidR="00EF565B">
        <w:rPr>
          <w:rFonts w:eastAsia="Times New Roman" w:cs="Times New Roman"/>
          <w:color w:val="000000" w:themeColor="text1"/>
        </w:rPr>
        <w:t> </w:t>
      </w:r>
      <w:r w:rsidR="6CF03191" w:rsidRPr="797FBB80">
        <w:rPr>
          <w:rFonts w:eastAsia="Times New Roman" w:cs="Times New Roman"/>
          <w:color w:val="000000" w:themeColor="text1"/>
        </w:rPr>
        <w:t>Cal.App.3d at p.</w:t>
      </w:r>
      <w:r w:rsidR="005F54BC">
        <w:rPr>
          <w:rFonts w:eastAsia="Times New Roman" w:cs="Times New Roman"/>
          <w:color w:val="000000" w:themeColor="text1"/>
        </w:rPr>
        <w:t> </w:t>
      </w:r>
      <w:r w:rsidR="6CF03191" w:rsidRPr="797FBB80">
        <w:rPr>
          <w:rFonts w:eastAsia="Times New Roman" w:cs="Times New Roman"/>
          <w:color w:val="000000" w:themeColor="text1"/>
        </w:rPr>
        <w:t>46</w:t>
      </w:r>
      <w:r w:rsidR="00270E98">
        <w:rPr>
          <w:rFonts w:eastAsia="Times New Roman" w:cs="Times New Roman"/>
          <w:color w:val="000000" w:themeColor="text1"/>
        </w:rPr>
        <w:t>3</w:t>
      </w:r>
      <w:r w:rsidR="005F3C4E">
        <w:rPr>
          <w:rFonts w:eastAsia="Times New Roman" w:cs="Times New Roman"/>
          <w:color w:val="000000" w:themeColor="text1"/>
        </w:rPr>
        <w:t>,</w:t>
      </w:r>
      <w:r w:rsidR="6CF03191" w:rsidRPr="797FBB80">
        <w:rPr>
          <w:rFonts w:eastAsia="Times New Roman" w:cs="Times New Roman"/>
          <w:color w:val="000000" w:themeColor="text1"/>
        </w:rPr>
        <w:t xml:space="preserve"> fn.</w:t>
      </w:r>
      <w:r w:rsidR="005F54BC">
        <w:rPr>
          <w:rFonts w:eastAsia="Times New Roman" w:cs="Times New Roman"/>
          <w:color w:val="000000" w:themeColor="text1"/>
        </w:rPr>
        <w:t> </w:t>
      </w:r>
      <w:r w:rsidR="6CF03191" w:rsidRPr="797FBB80">
        <w:rPr>
          <w:rFonts w:eastAsia="Times New Roman" w:cs="Times New Roman"/>
          <w:color w:val="000000" w:themeColor="text1"/>
        </w:rPr>
        <w:t xml:space="preserve">2 [applying same principle to declaratory relief].) </w:t>
      </w:r>
    </w:p>
    <w:p w14:paraId="0E7AF00D" w14:textId="3FB78CE8" w:rsidR="0080647E" w:rsidRPr="006840B6" w:rsidRDefault="001B6997" w:rsidP="3DE41553">
      <w:pPr>
        <w:spacing w:line="360" w:lineRule="auto"/>
        <w:contextualSpacing/>
        <w:rPr>
          <w:rFonts w:eastAsia="Times New Roman" w:cs="Times New Roman"/>
          <w:color w:val="000000" w:themeColor="text1"/>
        </w:rPr>
      </w:pPr>
      <w:r>
        <w:tab/>
      </w:r>
      <w:r w:rsidR="371C967C" w:rsidRPr="3DE41553">
        <w:rPr>
          <w:rFonts w:eastAsia="Times New Roman" w:cs="Times New Roman"/>
          <w:color w:val="000000" w:themeColor="text1"/>
        </w:rPr>
        <w:t xml:space="preserve">Defendants </w:t>
      </w:r>
      <w:r w:rsidR="00CB0982">
        <w:rPr>
          <w:rFonts w:eastAsia="Times New Roman" w:cs="Times New Roman"/>
          <w:color w:val="000000" w:themeColor="text1"/>
        </w:rPr>
        <w:t>also contend</w:t>
      </w:r>
      <w:r w:rsidR="371C967C" w:rsidRPr="3DE41553">
        <w:rPr>
          <w:rFonts w:eastAsia="Times New Roman" w:cs="Times New Roman"/>
          <w:color w:val="000000" w:themeColor="text1"/>
        </w:rPr>
        <w:t xml:space="preserve"> declaratory relief </w:t>
      </w:r>
      <w:r w:rsidR="178B2F94" w:rsidRPr="3DE41553">
        <w:rPr>
          <w:rFonts w:eastAsia="Times New Roman" w:cs="Times New Roman"/>
          <w:color w:val="000000" w:themeColor="text1"/>
        </w:rPr>
        <w:t xml:space="preserve">is not available </w:t>
      </w:r>
      <w:r w:rsidR="371C967C" w:rsidRPr="3DE41553">
        <w:rPr>
          <w:rFonts w:eastAsia="Times New Roman" w:cs="Times New Roman"/>
          <w:color w:val="000000" w:themeColor="text1"/>
        </w:rPr>
        <w:t xml:space="preserve">to settle the “rights of third parties,” citing </w:t>
      </w:r>
      <w:proofErr w:type="spellStart"/>
      <w:r w:rsidR="371C967C" w:rsidRPr="3DE41553">
        <w:rPr>
          <w:rFonts w:eastAsia="Times New Roman" w:cs="Times New Roman"/>
          <w:i/>
          <w:iCs/>
          <w:color w:val="000000" w:themeColor="text1"/>
        </w:rPr>
        <w:t>Connerly</w:t>
      </w:r>
      <w:proofErr w:type="spellEnd"/>
      <w:r w:rsidR="371C967C" w:rsidRPr="3DE41553">
        <w:rPr>
          <w:rFonts w:eastAsia="Times New Roman" w:cs="Times New Roman"/>
          <w:i/>
          <w:iCs/>
          <w:color w:val="000000" w:themeColor="text1"/>
        </w:rPr>
        <w:t xml:space="preserve"> v. Schwarzenegger</w:t>
      </w:r>
      <w:r w:rsidR="371C967C" w:rsidRPr="3DE41553">
        <w:rPr>
          <w:rFonts w:eastAsia="Times New Roman" w:cs="Times New Roman"/>
          <w:color w:val="000000" w:themeColor="text1"/>
        </w:rPr>
        <w:t xml:space="preserve"> (2007) 146</w:t>
      </w:r>
      <w:r w:rsidR="00CE7A19">
        <w:rPr>
          <w:rFonts w:eastAsia="Times New Roman" w:cs="Times New Roman"/>
          <w:color w:val="000000" w:themeColor="text1"/>
        </w:rPr>
        <w:t> </w:t>
      </w:r>
      <w:r w:rsidR="371C967C" w:rsidRPr="3DE41553">
        <w:rPr>
          <w:rFonts w:eastAsia="Times New Roman" w:cs="Times New Roman"/>
          <w:color w:val="000000" w:themeColor="text1"/>
        </w:rPr>
        <w:t>Cal.App.4th 739 (</w:t>
      </w:r>
      <w:proofErr w:type="spellStart"/>
      <w:r w:rsidR="371C967C" w:rsidRPr="3DE41553">
        <w:rPr>
          <w:rFonts w:eastAsia="Times New Roman" w:cs="Times New Roman"/>
          <w:i/>
          <w:iCs/>
          <w:color w:val="000000" w:themeColor="text1"/>
        </w:rPr>
        <w:t>Connerly</w:t>
      </w:r>
      <w:proofErr w:type="spellEnd"/>
      <w:r w:rsidR="371C967C" w:rsidRPr="3DE41553">
        <w:rPr>
          <w:rFonts w:eastAsia="Times New Roman" w:cs="Times New Roman"/>
          <w:color w:val="000000" w:themeColor="text1"/>
        </w:rPr>
        <w:t xml:space="preserve">). In </w:t>
      </w:r>
      <w:proofErr w:type="spellStart"/>
      <w:r w:rsidR="009B2B77" w:rsidRPr="00D02BA2">
        <w:rPr>
          <w:rFonts w:eastAsia="Times New Roman" w:cs="Times New Roman"/>
          <w:i/>
          <w:iCs/>
          <w:color w:val="000000" w:themeColor="text1"/>
        </w:rPr>
        <w:t>Connerly</w:t>
      </w:r>
      <w:proofErr w:type="spellEnd"/>
      <w:r w:rsidR="371C967C" w:rsidRPr="3DE41553">
        <w:rPr>
          <w:rFonts w:eastAsia="Times New Roman" w:cs="Times New Roman"/>
          <w:color w:val="000000" w:themeColor="text1"/>
        </w:rPr>
        <w:t>, plaintiff sought to preclude enforcement of a provision which barred private parties from filing suit to challenge certain anti-discrimination measures. (</w:t>
      </w:r>
      <w:r w:rsidR="0074655B">
        <w:rPr>
          <w:rFonts w:eastAsia="Times New Roman" w:cs="Times New Roman"/>
          <w:i/>
          <w:iCs/>
          <w:color w:val="000000" w:themeColor="text1"/>
        </w:rPr>
        <w:t>Id.</w:t>
      </w:r>
      <w:r w:rsidR="371C967C" w:rsidRPr="3DE41553">
        <w:rPr>
          <w:rFonts w:eastAsia="Times New Roman" w:cs="Times New Roman"/>
          <w:color w:val="000000" w:themeColor="text1"/>
        </w:rPr>
        <w:t xml:space="preserve"> at p.</w:t>
      </w:r>
      <w:r w:rsidR="00D7258F">
        <w:rPr>
          <w:rFonts w:eastAsia="Times New Roman" w:cs="Times New Roman"/>
          <w:color w:val="000000" w:themeColor="text1"/>
        </w:rPr>
        <w:t> </w:t>
      </w:r>
      <w:r w:rsidR="371C967C" w:rsidRPr="3DE41553">
        <w:rPr>
          <w:rFonts w:eastAsia="Times New Roman" w:cs="Times New Roman"/>
          <w:color w:val="000000" w:themeColor="text1"/>
        </w:rPr>
        <w:t>74</w:t>
      </w:r>
      <w:r w:rsidR="008F1661">
        <w:rPr>
          <w:rFonts w:eastAsia="Times New Roman" w:cs="Times New Roman"/>
          <w:color w:val="000000" w:themeColor="text1"/>
        </w:rPr>
        <w:t>2</w:t>
      </w:r>
      <w:r w:rsidR="371C967C" w:rsidRPr="3DE41553">
        <w:rPr>
          <w:rFonts w:eastAsia="Times New Roman" w:cs="Times New Roman"/>
          <w:color w:val="000000" w:themeColor="text1"/>
        </w:rPr>
        <w:t>.) The court held declaratory relief was unavailable against the Governor and Attorney General because they had no control over private persons’ ability to file suit. (</w:t>
      </w:r>
      <w:r w:rsidR="371C967C" w:rsidRPr="3DE41553">
        <w:rPr>
          <w:rFonts w:eastAsia="Times New Roman" w:cs="Times New Roman"/>
          <w:i/>
          <w:iCs/>
          <w:color w:val="000000" w:themeColor="text1"/>
        </w:rPr>
        <w:t>Id</w:t>
      </w:r>
      <w:r w:rsidR="371C967C" w:rsidRPr="3DE41553">
        <w:rPr>
          <w:rFonts w:eastAsia="Times New Roman" w:cs="Times New Roman"/>
          <w:color w:val="000000" w:themeColor="text1"/>
        </w:rPr>
        <w:t>.</w:t>
      </w:r>
      <w:r w:rsidR="003B6E63">
        <w:rPr>
          <w:rFonts w:eastAsia="Times New Roman" w:cs="Times New Roman"/>
          <w:color w:val="000000" w:themeColor="text1"/>
        </w:rPr>
        <w:t xml:space="preserve"> at pp.</w:t>
      </w:r>
      <w:r w:rsidR="00D15CFA">
        <w:rPr>
          <w:rFonts w:eastAsia="Times New Roman" w:cs="Times New Roman"/>
          <w:color w:val="000000" w:themeColor="text1"/>
        </w:rPr>
        <w:t> </w:t>
      </w:r>
      <w:r w:rsidR="003B6E63">
        <w:rPr>
          <w:rFonts w:eastAsia="Times New Roman" w:cs="Times New Roman"/>
          <w:color w:val="000000" w:themeColor="text1"/>
        </w:rPr>
        <w:t>742</w:t>
      </w:r>
      <w:r w:rsidR="00D06DAF">
        <w:rPr>
          <w:rFonts w:eastAsia="Times New Roman" w:cs="Times New Roman"/>
          <w:color w:val="000000" w:themeColor="text1"/>
        </w:rPr>
        <w:t>–</w:t>
      </w:r>
      <w:r w:rsidR="003B6E63">
        <w:rPr>
          <w:rFonts w:eastAsia="Times New Roman" w:cs="Times New Roman"/>
          <w:color w:val="000000" w:themeColor="text1"/>
        </w:rPr>
        <w:t>743.</w:t>
      </w:r>
      <w:r w:rsidR="371C967C" w:rsidRPr="3DE41553">
        <w:rPr>
          <w:rFonts w:eastAsia="Times New Roman" w:cs="Times New Roman"/>
          <w:color w:val="000000" w:themeColor="text1"/>
        </w:rPr>
        <w:t xml:space="preserve">) Here, plaintiffs seek </w:t>
      </w:r>
      <w:r w:rsidR="730B4610" w:rsidRPr="3DE41553">
        <w:rPr>
          <w:rFonts w:eastAsia="Times New Roman" w:cs="Times New Roman"/>
          <w:color w:val="000000" w:themeColor="text1"/>
        </w:rPr>
        <w:t xml:space="preserve">a </w:t>
      </w:r>
      <w:r w:rsidR="371C967C" w:rsidRPr="3DE41553">
        <w:rPr>
          <w:rFonts w:eastAsia="Times New Roman" w:cs="Times New Roman"/>
          <w:color w:val="000000" w:themeColor="text1"/>
        </w:rPr>
        <w:t xml:space="preserve">declaratory </w:t>
      </w:r>
      <w:r w:rsidR="5AE03256" w:rsidRPr="3DE41553">
        <w:rPr>
          <w:rFonts w:eastAsia="Times New Roman" w:cs="Times New Roman"/>
          <w:color w:val="000000" w:themeColor="text1"/>
        </w:rPr>
        <w:t xml:space="preserve">judgment </w:t>
      </w:r>
      <w:r w:rsidR="50EA716A" w:rsidRPr="3DE41553">
        <w:rPr>
          <w:rFonts w:eastAsia="Times New Roman" w:cs="Times New Roman"/>
          <w:color w:val="000000" w:themeColor="text1"/>
        </w:rPr>
        <w:t xml:space="preserve">as to whether </w:t>
      </w:r>
      <w:r w:rsidR="371C967C" w:rsidRPr="00A63B9A">
        <w:rPr>
          <w:rFonts w:eastAsia="Times New Roman" w:cs="Times New Roman"/>
          <w:i/>
          <w:color w:val="000000" w:themeColor="text1"/>
        </w:rPr>
        <w:t>defendants’</w:t>
      </w:r>
      <w:r w:rsidR="371C967C" w:rsidRPr="3DE41553">
        <w:rPr>
          <w:rFonts w:eastAsia="Times New Roman" w:cs="Times New Roman"/>
          <w:color w:val="000000" w:themeColor="text1"/>
        </w:rPr>
        <w:t xml:space="preserve"> </w:t>
      </w:r>
      <w:r w:rsidR="00E07326" w:rsidRPr="005F7020">
        <w:rPr>
          <w:rFonts w:eastAsia="Times New Roman" w:cs="Times New Roman"/>
          <w:i/>
          <w:color w:val="000000" w:themeColor="text1"/>
        </w:rPr>
        <w:t>own</w:t>
      </w:r>
      <w:r w:rsidR="00E07326">
        <w:rPr>
          <w:rFonts w:eastAsia="Times New Roman" w:cs="Times New Roman"/>
          <w:color w:val="000000" w:themeColor="text1"/>
        </w:rPr>
        <w:t xml:space="preserve"> </w:t>
      </w:r>
      <w:r w:rsidR="00E07326" w:rsidRPr="001343BE">
        <w:rPr>
          <w:rFonts w:eastAsia="Times New Roman" w:cs="Times New Roman"/>
          <w:i/>
          <w:color w:val="000000" w:themeColor="text1"/>
        </w:rPr>
        <w:t xml:space="preserve">resource-allocation </w:t>
      </w:r>
      <w:r w:rsidR="371C967C" w:rsidRPr="001343BE">
        <w:rPr>
          <w:rFonts w:eastAsia="Times New Roman" w:cs="Times New Roman"/>
          <w:i/>
          <w:color w:val="000000" w:themeColor="text1"/>
        </w:rPr>
        <w:t>decisions</w:t>
      </w:r>
      <w:r w:rsidR="371C967C" w:rsidRPr="3DE41553">
        <w:rPr>
          <w:rFonts w:eastAsia="Times New Roman" w:cs="Times New Roman"/>
          <w:color w:val="000000" w:themeColor="text1"/>
        </w:rPr>
        <w:t xml:space="preserve"> satisf</w:t>
      </w:r>
      <w:r w:rsidR="47CD7B97" w:rsidRPr="3DE41553">
        <w:rPr>
          <w:rFonts w:eastAsia="Times New Roman" w:cs="Times New Roman"/>
          <w:color w:val="000000" w:themeColor="text1"/>
        </w:rPr>
        <w:t>ie</w:t>
      </w:r>
      <w:r w:rsidR="00E07326">
        <w:rPr>
          <w:rFonts w:eastAsia="Times New Roman" w:cs="Times New Roman"/>
          <w:color w:val="000000" w:themeColor="text1"/>
        </w:rPr>
        <w:t>d</w:t>
      </w:r>
      <w:r w:rsidR="47CD7B97" w:rsidRPr="3DE41553">
        <w:rPr>
          <w:rFonts w:eastAsia="Times New Roman" w:cs="Times New Roman"/>
          <w:color w:val="000000" w:themeColor="text1"/>
        </w:rPr>
        <w:t xml:space="preserve"> duties expressly imposed upon them under,</w:t>
      </w:r>
      <w:r w:rsidR="371C967C" w:rsidRPr="3DE41553">
        <w:rPr>
          <w:rFonts w:eastAsia="Times New Roman" w:cs="Times New Roman"/>
          <w:color w:val="000000" w:themeColor="text1"/>
        </w:rPr>
        <w:t xml:space="preserve"> inter alia, section</w:t>
      </w:r>
      <w:r w:rsidR="00D7258F">
        <w:rPr>
          <w:rFonts w:eastAsia="Times New Roman" w:cs="Times New Roman"/>
          <w:color w:val="000000" w:themeColor="text1"/>
        </w:rPr>
        <w:t> </w:t>
      </w:r>
      <w:r w:rsidR="371C967C" w:rsidRPr="3DE41553">
        <w:rPr>
          <w:rFonts w:eastAsia="Times New Roman" w:cs="Times New Roman"/>
          <w:color w:val="000000" w:themeColor="text1"/>
        </w:rPr>
        <w:t>1050(a)</w:t>
      </w:r>
      <w:r w:rsidR="001257F7">
        <w:rPr>
          <w:rFonts w:eastAsia="Times New Roman" w:cs="Times New Roman"/>
          <w:color w:val="000000" w:themeColor="text1"/>
        </w:rPr>
        <w:t xml:space="preserve"> or</w:t>
      </w:r>
      <w:r w:rsidR="00D64F89">
        <w:rPr>
          <w:rFonts w:eastAsia="Times New Roman" w:cs="Times New Roman"/>
          <w:color w:val="000000" w:themeColor="text1"/>
        </w:rPr>
        <w:t>,</w:t>
      </w:r>
      <w:r w:rsidR="001257F7">
        <w:rPr>
          <w:rFonts w:eastAsia="Times New Roman" w:cs="Times New Roman"/>
          <w:color w:val="000000" w:themeColor="text1"/>
        </w:rPr>
        <w:t xml:space="preserve"> </w:t>
      </w:r>
      <w:r w:rsidR="00DA49B5">
        <w:rPr>
          <w:rFonts w:eastAsia="Times New Roman" w:cs="Times New Roman"/>
          <w:color w:val="000000" w:themeColor="text1"/>
        </w:rPr>
        <w:t>as we discuss</w:t>
      </w:r>
      <w:r w:rsidR="004C7029">
        <w:rPr>
          <w:rFonts w:eastAsia="Times New Roman" w:cs="Times New Roman"/>
          <w:color w:val="000000" w:themeColor="text1"/>
        </w:rPr>
        <w:t xml:space="preserve"> below (see pp.</w:t>
      </w:r>
      <w:r w:rsidR="00D7258F">
        <w:rPr>
          <w:rFonts w:eastAsia="Times New Roman" w:cs="Times New Roman"/>
          <w:color w:val="000000" w:themeColor="text1"/>
        </w:rPr>
        <w:t> </w:t>
      </w:r>
      <w:r w:rsidR="00214868">
        <w:rPr>
          <w:rFonts w:eastAsia="Times New Roman" w:cs="Times New Roman"/>
          <w:color w:val="000000" w:themeColor="text1"/>
        </w:rPr>
        <w:t>39–40</w:t>
      </w:r>
      <w:r w:rsidR="00DA49B5">
        <w:rPr>
          <w:rFonts w:eastAsia="Times New Roman" w:cs="Times New Roman"/>
          <w:color w:val="000000" w:themeColor="text1"/>
        </w:rPr>
        <w:t xml:space="preserve">, </w:t>
      </w:r>
      <w:r w:rsidR="00DA49B5" w:rsidRPr="00FB67EB">
        <w:rPr>
          <w:rFonts w:eastAsia="Times New Roman" w:cs="Times New Roman"/>
          <w:i/>
          <w:color w:val="000000" w:themeColor="text1"/>
        </w:rPr>
        <w:t>post</w:t>
      </w:r>
      <w:r w:rsidR="00DA49B5">
        <w:rPr>
          <w:rFonts w:eastAsia="Times New Roman" w:cs="Times New Roman"/>
          <w:color w:val="000000" w:themeColor="text1"/>
        </w:rPr>
        <w:t>)</w:t>
      </w:r>
      <w:r w:rsidR="00EE384F">
        <w:rPr>
          <w:rFonts w:eastAsia="Times New Roman" w:cs="Times New Roman"/>
          <w:color w:val="000000" w:themeColor="text1"/>
        </w:rPr>
        <w:t>,</w:t>
      </w:r>
      <w:r w:rsidR="00DA49B5">
        <w:rPr>
          <w:rFonts w:eastAsia="Times New Roman" w:cs="Times New Roman"/>
          <w:color w:val="000000" w:themeColor="text1"/>
        </w:rPr>
        <w:t xml:space="preserve"> </w:t>
      </w:r>
      <w:r w:rsidR="001257F7">
        <w:rPr>
          <w:rFonts w:eastAsia="Times New Roman" w:cs="Times New Roman"/>
          <w:color w:val="000000" w:themeColor="text1"/>
        </w:rPr>
        <w:t xml:space="preserve">whether the </w:t>
      </w:r>
      <w:r w:rsidR="00A71083">
        <w:rPr>
          <w:rFonts w:eastAsia="Times New Roman" w:cs="Times New Roman"/>
          <w:color w:val="000000" w:themeColor="text1"/>
        </w:rPr>
        <w:t>distribution</w:t>
      </w:r>
      <w:r w:rsidR="001257F7">
        <w:rPr>
          <w:rFonts w:eastAsia="Times New Roman" w:cs="Times New Roman"/>
          <w:color w:val="000000" w:themeColor="text1"/>
        </w:rPr>
        <w:t xml:space="preserve"> of a “generic script” to </w:t>
      </w:r>
      <w:r w:rsidR="00A71083">
        <w:rPr>
          <w:rFonts w:eastAsia="Times New Roman" w:cs="Times New Roman"/>
          <w:color w:val="000000" w:themeColor="text1"/>
        </w:rPr>
        <w:t xml:space="preserve">facilitate </w:t>
      </w:r>
      <w:r w:rsidR="001257F7">
        <w:rPr>
          <w:rFonts w:eastAsia="Times New Roman" w:cs="Times New Roman"/>
          <w:color w:val="000000" w:themeColor="text1"/>
        </w:rPr>
        <w:t xml:space="preserve">“good cause” </w:t>
      </w:r>
      <w:r w:rsidR="00331993">
        <w:rPr>
          <w:rFonts w:eastAsia="Times New Roman" w:cs="Times New Roman"/>
          <w:color w:val="000000" w:themeColor="text1"/>
        </w:rPr>
        <w:t>findings without a bona fide hearing violated the requirements of section</w:t>
      </w:r>
      <w:r w:rsidR="00D7258F">
        <w:rPr>
          <w:rFonts w:eastAsia="Times New Roman" w:cs="Times New Roman"/>
          <w:color w:val="000000" w:themeColor="text1"/>
        </w:rPr>
        <w:t> </w:t>
      </w:r>
      <w:r w:rsidR="00331993">
        <w:rPr>
          <w:rFonts w:eastAsia="Times New Roman" w:cs="Times New Roman"/>
          <w:color w:val="000000" w:themeColor="text1"/>
        </w:rPr>
        <w:t>1049.5 and 1050(b)</w:t>
      </w:r>
      <w:r w:rsidR="00FB67EB">
        <w:rPr>
          <w:rFonts w:eastAsia="Times New Roman" w:cs="Times New Roman"/>
          <w:color w:val="000000" w:themeColor="text1"/>
        </w:rPr>
        <w:t>–</w:t>
      </w:r>
      <w:r w:rsidR="00331993">
        <w:rPr>
          <w:rFonts w:eastAsia="Times New Roman" w:cs="Times New Roman"/>
          <w:color w:val="000000" w:themeColor="text1"/>
        </w:rPr>
        <w:t>(</w:t>
      </w:r>
      <w:proofErr w:type="spellStart"/>
      <w:r w:rsidR="00331993">
        <w:rPr>
          <w:rFonts w:eastAsia="Times New Roman" w:cs="Times New Roman"/>
          <w:color w:val="000000" w:themeColor="text1"/>
        </w:rPr>
        <w:t>i</w:t>
      </w:r>
      <w:proofErr w:type="spellEnd"/>
      <w:r w:rsidR="00331993">
        <w:rPr>
          <w:rFonts w:eastAsia="Times New Roman" w:cs="Times New Roman"/>
          <w:color w:val="000000" w:themeColor="text1"/>
        </w:rPr>
        <w:t>).</w:t>
      </w:r>
    </w:p>
    <w:p w14:paraId="322FB24A" w14:textId="6C51C754" w:rsidR="0080647E" w:rsidRPr="006840B6" w:rsidRDefault="001B6997" w:rsidP="797FBB80">
      <w:pPr>
        <w:spacing w:line="360" w:lineRule="auto"/>
        <w:ind w:firstLine="720"/>
        <w:contextualSpacing/>
        <w:rPr>
          <w:rFonts w:eastAsia="Times New Roman" w:cs="Times New Roman"/>
          <w:i/>
          <w:iCs/>
          <w:color w:val="000000" w:themeColor="text1"/>
        </w:rPr>
      </w:pPr>
      <w:r w:rsidRPr="797FBB80">
        <w:rPr>
          <w:rFonts w:eastAsia="Times New Roman" w:cs="Times New Roman"/>
          <w:color w:val="000000" w:themeColor="text1"/>
        </w:rPr>
        <w:t xml:space="preserve">Having concluded </w:t>
      </w:r>
      <w:r w:rsidR="2F061046" w:rsidRPr="797FBB80">
        <w:rPr>
          <w:rFonts w:eastAsia="Times New Roman" w:cs="Times New Roman"/>
          <w:color w:val="000000" w:themeColor="text1"/>
        </w:rPr>
        <w:t>that plaintiffs have ad</w:t>
      </w:r>
      <w:r w:rsidR="15B851B1" w:rsidRPr="797FBB80">
        <w:rPr>
          <w:rFonts w:eastAsia="Times New Roman" w:cs="Times New Roman"/>
          <w:color w:val="000000" w:themeColor="text1"/>
        </w:rPr>
        <w:t>e</w:t>
      </w:r>
      <w:r w:rsidR="2F061046" w:rsidRPr="797FBB80">
        <w:rPr>
          <w:rFonts w:eastAsia="Times New Roman" w:cs="Times New Roman"/>
          <w:color w:val="000000" w:themeColor="text1"/>
        </w:rPr>
        <w:t xml:space="preserve">quately pleaded a right to declaratory relief, we </w:t>
      </w:r>
      <w:r w:rsidR="45A1FCAE" w:rsidRPr="797FBB80">
        <w:rPr>
          <w:rFonts w:eastAsia="Times New Roman" w:cs="Times New Roman"/>
          <w:color w:val="000000" w:themeColor="text1"/>
        </w:rPr>
        <w:t xml:space="preserve">need not </w:t>
      </w:r>
      <w:r w:rsidR="2F061046" w:rsidRPr="797FBB80">
        <w:rPr>
          <w:rFonts w:eastAsia="Times New Roman" w:cs="Times New Roman"/>
          <w:color w:val="000000" w:themeColor="text1"/>
        </w:rPr>
        <w:t>address defendants’ challenges to injunctive relief</w:t>
      </w:r>
      <w:r w:rsidR="5674CF05" w:rsidRPr="797FBB80">
        <w:rPr>
          <w:rFonts w:eastAsia="Times New Roman" w:cs="Times New Roman"/>
          <w:color w:val="000000" w:themeColor="text1"/>
        </w:rPr>
        <w:t>, but observe as follows:</w:t>
      </w:r>
      <w:r w:rsidR="2F061046" w:rsidRPr="797FBB80">
        <w:rPr>
          <w:rFonts w:eastAsia="Times New Roman" w:cs="Times New Roman"/>
          <w:color w:val="000000" w:themeColor="text1"/>
        </w:rPr>
        <w:t xml:space="preserve"> </w:t>
      </w:r>
      <w:r w:rsidR="19F1315E" w:rsidRPr="797FBB80">
        <w:rPr>
          <w:rFonts w:eastAsia="Times New Roman" w:cs="Times New Roman"/>
          <w:color w:val="000000" w:themeColor="text1"/>
        </w:rPr>
        <w:t xml:space="preserve">First, </w:t>
      </w:r>
      <w:r w:rsidR="2F061046" w:rsidRPr="797FBB80">
        <w:rPr>
          <w:rFonts w:eastAsia="Times New Roman" w:cs="Times New Roman"/>
          <w:color w:val="000000" w:themeColor="text1"/>
        </w:rPr>
        <w:t>defe</w:t>
      </w:r>
      <w:r w:rsidR="60240CD7" w:rsidRPr="797FBB80">
        <w:rPr>
          <w:rFonts w:eastAsia="Times New Roman" w:cs="Times New Roman"/>
          <w:color w:val="000000" w:themeColor="text1"/>
        </w:rPr>
        <w:t>ndants</w:t>
      </w:r>
      <w:r w:rsidR="00687785">
        <w:rPr>
          <w:rFonts w:eastAsia="Times New Roman" w:cs="Times New Roman"/>
          <w:color w:val="000000" w:themeColor="text1"/>
        </w:rPr>
        <w:t xml:space="preserve"> erroneously</w:t>
      </w:r>
      <w:r w:rsidR="60240CD7" w:rsidRPr="797FBB80">
        <w:rPr>
          <w:rFonts w:eastAsia="Times New Roman" w:cs="Times New Roman"/>
          <w:color w:val="000000" w:themeColor="text1"/>
        </w:rPr>
        <w:t xml:space="preserve"> conten</w:t>
      </w:r>
      <w:r w:rsidR="00687785">
        <w:rPr>
          <w:rFonts w:eastAsia="Times New Roman" w:cs="Times New Roman"/>
          <w:color w:val="000000" w:themeColor="text1"/>
        </w:rPr>
        <w:t>d</w:t>
      </w:r>
      <w:r w:rsidR="60240CD7" w:rsidRPr="797FBB80">
        <w:rPr>
          <w:rFonts w:eastAsia="Times New Roman" w:cs="Times New Roman"/>
          <w:color w:val="000000" w:themeColor="text1"/>
        </w:rPr>
        <w:t xml:space="preserve"> that plaintiffs must demonstrate</w:t>
      </w:r>
      <w:r w:rsidRPr="797FBB80">
        <w:rPr>
          <w:rFonts w:eastAsia="Times New Roman" w:cs="Times New Roman"/>
          <w:color w:val="000000" w:themeColor="text1"/>
        </w:rPr>
        <w:t xml:space="preserve"> particularized</w:t>
      </w:r>
      <w:r w:rsidR="01E261AB" w:rsidRPr="797FBB80">
        <w:rPr>
          <w:rFonts w:eastAsia="Times New Roman" w:cs="Times New Roman"/>
          <w:color w:val="000000" w:themeColor="text1"/>
        </w:rPr>
        <w:t>, individual</w:t>
      </w:r>
      <w:r w:rsidRPr="797FBB80">
        <w:rPr>
          <w:rFonts w:eastAsia="Times New Roman" w:cs="Times New Roman"/>
          <w:color w:val="000000" w:themeColor="text1"/>
        </w:rPr>
        <w:t xml:space="preserve"> injury</w:t>
      </w:r>
      <w:r w:rsidR="06178E08" w:rsidRPr="797FBB80">
        <w:rPr>
          <w:rFonts w:eastAsia="Times New Roman" w:cs="Times New Roman"/>
          <w:color w:val="000000" w:themeColor="text1"/>
        </w:rPr>
        <w:t xml:space="preserve"> to themselves </w:t>
      </w:r>
      <w:r w:rsidR="009C68C5">
        <w:rPr>
          <w:rFonts w:eastAsia="Times New Roman" w:cs="Times New Roman"/>
          <w:color w:val="000000" w:themeColor="text1"/>
        </w:rPr>
        <w:t>to obtain</w:t>
      </w:r>
      <w:r w:rsidR="4F83F0FC" w:rsidRPr="797FBB80">
        <w:rPr>
          <w:rFonts w:eastAsia="Times New Roman" w:cs="Times New Roman"/>
          <w:color w:val="000000" w:themeColor="text1"/>
        </w:rPr>
        <w:t xml:space="preserve"> injunctive relief</w:t>
      </w:r>
      <w:r w:rsidR="009C68C5">
        <w:rPr>
          <w:rFonts w:eastAsia="Times New Roman" w:cs="Times New Roman"/>
          <w:color w:val="000000" w:themeColor="text1"/>
        </w:rPr>
        <w:t xml:space="preserve"> under </w:t>
      </w:r>
      <w:r w:rsidR="00183E0C">
        <w:rPr>
          <w:rFonts w:eastAsia="Times New Roman" w:cs="Times New Roman"/>
          <w:color w:val="000000" w:themeColor="text1"/>
        </w:rPr>
        <w:t xml:space="preserve">Code of Civil Procedure </w:t>
      </w:r>
      <w:r w:rsidR="009C68C5">
        <w:rPr>
          <w:rFonts w:eastAsia="Times New Roman" w:cs="Times New Roman"/>
          <w:color w:val="000000" w:themeColor="text1"/>
        </w:rPr>
        <w:t>section</w:t>
      </w:r>
      <w:r w:rsidR="00D7258F">
        <w:rPr>
          <w:rFonts w:eastAsia="Times New Roman" w:cs="Times New Roman"/>
          <w:color w:val="000000" w:themeColor="text1"/>
        </w:rPr>
        <w:t> </w:t>
      </w:r>
      <w:r w:rsidR="009C68C5">
        <w:rPr>
          <w:rFonts w:eastAsia="Times New Roman" w:cs="Times New Roman"/>
          <w:color w:val="000000" w:themeColor="text1"/>
        </w:rPr>
        <w:t>526a</w:t>
      </w:r>
      <w:r w:rsidR="0D951C89" w:rsidRPr="797FBB80">
        <w:rPr>
          <w:rFonts w:eastAsia="Times New Roman" w:cs="Times New Roman"/>
          <w:color w:val="000000" w:themeColor="text1"/>
        </w:rPr>
        <w:t>.</w:t>
      </w:r>
      <w:r w:rsidR="06AB83C9" w:rsidRPr="797FBB80">
        <w:rPr>
          <w:rFonts w:eastAsia="Times New Roman" w:cs="Times New Roman"/>
          <w:color w:val="000000" w:themeColor="text1"/>
        </w:rPr>
        <w:t xml:space="preserve"> As was stated unequivocally in </w:t>
      </w:r>
      <w:r w:rsidR="06AB83C9" w:rsidRPr="00746176">
        <w:rPr>
          <w:rFonts w:eastAsia="Times New Roman" w:cs="Times New Roman"/>
          <w:i/>
          <w:color w:val="000000" w:themeColor="text1"/>
        </w:rPr>
        <w:t>Blair</w:t>
      </w:r>
      <w:r w:rsidR="06AB83C9" w:rsidRPr="797FBB80">
        <w:rPr>
          <w:rFonts w:eastAsia="Times New Roman" w:cs="Times New Roman"/>
          <w:color w:val="000000" w:themeColor="text1"/>
        </w:rPr>
        <w:t xml:space="preserve">, </w:t>
      </w:r>
      <w:proofErr w:type="gramStart"/>
      <w:r w:rsidR="06AB83C9" w:rsidRPr="797FBB80">
        <w:rPr>
          <w:rFonts w:eastAsia="Times New Roman" w:cs="Times New Roman"/>
          <w:color w:val="000000" w:themeColor="text1"/>
        </w:rPr>
        <w:t>“</w:t>
      </w:r>
      <w:r w:rsidR="00FB67EB">
        <w:rPr>
          <w:rFonts w:eastAsia="Times New Roman" w:cs="Times New Roman"/>
          <w:color w:val="000000" w:themeColor="text1"/>
        </w:rPr>
        <w:t> </w:t>
      </w:r>
      <w:r w:rsidR="06AB83C9" w:rsidRPr="797FBB80">
        <w:rPr>
          <w:rFonts w:eastAsia="Times New Roman" w:cs="Times New Roman"/>
          <w:color w:val="000000" w:themeColor="text1"/>
        </w:rPr>
        <w:t>[</w:t>
      </w:r>
      <w:proofErr w:type="gramEnd"/>
      <w:r w:rsidR="06AB83C9" w:rsidRPr="797FBB80">
        <w:rPr>
          <w:rFonts w:eastAsia="Times New Roman" w:cs="Times New Roman"/>
          <w:color w:val="000000" w:themeColor="text1"/>
        </w:rPr>
        <w:t xml:space="preserve">I]t has never been the rule in this state that the parties in suits under </w:t>
      </w:r>
      <w:r w:rsidR="00183E0C">
        <w:rPr>
          <w:rFonts w:eastAsia="Times New Roman" w:cs="Times New Roman"/>
          <w:color w:val="000000" w:themeColor="text1"/>
        </w:rPr>
        <w:t xml:space="preserve">[Code of Civil Procedure] </w:t>
      </w:r>
      <w:r w:rsidR="06AB83C9" w:rsidRPr="797FBB80">
        <w:rPr>
          <w:rFonts w:eastAsia="Times New Roman" w:cs="Times New Roman"/>
          <w:color w:val="000000" w:themeColor="text1"/>
        </w:rPr>
        <w:t xml:space="preserve">section 526a must have a personal interest in the litigation. We specifically stated in </w:t>
      </w:r>
      <w:r w:rsidR="06AB83C9" w:rsidRPr="00746176">
        <w:rPr>
          <w:rFonts w:eastAsia="Times New Roman" w:cs="Times New Roman"/>
          <w:i/>
          <w:color w:val="000000" w:themeColor="text1"/>
        </w:rPr>
        <w:t>Crowe v. Boyle</w:t>
      </w:r>
      <w:r w:rsidR="009B5010">
        <w:rPr>
          <w:rFonts w:eastAsia="Times New Roman" w:cs="Times New Roman"/>
          <w:i/>
          <w:color w:val="000000" w:themeColor="text1"/>
        </w:rPr>
        <w:t xml:space="preserve"> </w:t>
      </w:r>
      <w:r w:rsidR="009B5010">
        <w:rPr>
          <w:rFonts w:eastAsia="Times New Roman" w:cs="Times New Roman"/>
          <w:iCs/>
          <w:color w:val="000000" w:themeColor="text1"/>
        </w:rPr>
        <w:lastRenderedPageBreak/>
        <w:t>[(1920)]</w:t>
      </w:r>
      <w:r w:rsidR="06AB83C9" w:rsidRPr="797FBB80">
        <w:rPr>
          <w:rFonts w:eastAsia="Times New Roman" w:cs="Times New Roman"/>
          <w:color w:val="000000" w:themeColor="text1"/>
        </w:rPr>
        <w:t xml:space="preserve"> 184</w:t>
      </w:r>
      <w:r w:rsidR="00961C84">
        <w:rPr>
          <w:rFonts w:eastAsia="Times New Roman" w:cs="Times New Roman"/>
          <w:color w:val="000000" w:themeColor="text1"/>
        </w:rPr>
        <w:t> </w:t>
      </w:r>
      <w:r w:rsidR="06AB83C9" w:rsidRPr="797FBB80">
        <w:rPr>
          <w:rFonts w:eastAsia="Times New Roman" w:cs="Times New Roman"/>
          <w:color w:val="000000" w:themeColor="text1"/>
        </w:rPr>
        <w:t xml:space="preserve">Cal. 117, 152 that </w:t>
      </w:r>
      <w:r w:rsidR="004514B5">
        <w:rPr>
          <w:rFonts w:eastAsia="Times New Roman" w:cs="Times New Roman"/>
          <w:color w:val="000000" w:themeColor="text1"/>
        </w:rPr>
        <w:t>‘</w:t>
      </w:r>
      <w:r w:rsidR="06AB83C9" w:rsidRPr="797FBB80">
        <w:rPr>
          <w:rFonts w:eastAsia="Times New Roman" w:cs="Times New Roman"/>
          <w:color w:val="000000" w:themeColor="text1"/>
        </w:rPr>
        <w:t>no showing of special damage to the particular taxpayer has been held necessary.</w:t>
      </w:r>
      <w:proofErr w:type="gramStart"/>
      <w:r w:rsidR="00FA26EF">
        <w:rPr>
          <w:rFonts w:eastAsia="Times New Roman" w:cs="Times New Roman"/>
          <w:color w:val="000000" w:themeColor="text1"/>
        </w:rPr>
        <w:t>’</w:t>
      </w:r>
      <w:r w:rsidR="00C15F0F">
        <w:rPr>
          <w:rFonts w:eastAsia="Times New Roman" w:cs="Times New Roman"/>
          <w:color w:val="000000" w:themeColor="text1"/>
        </w:rPr>
        <w:t> </w:t>
      </w:r>
      <w:r w:rsidR="06AB83C9" w:rsidRPr="797FBB80">
        <w:rPr>
          <w:rFonts w:eastAsia="Times New Roman" w:cs="Times New Roman"/>
          <w:color w:val="000000" w:themeColor="text1"/>
        </w:rPr>
        <w:t>”</w:t>
      </w:r>
      <w:proofErr w:type="gramEnd"/>
      <w:r w:rsidR="30DEE586" w:rsidRPr="797FBB80">
        <w:rPr>
          <w:rFonts w:eastAsia="Times New Roman" w:cs="Times New Roman"/>
          <w:color w:val="000000" w:themeColor="text1"/>
        </w:rPr>
        <w:t xml:space="preserve"> (</w:t>
      </w:r>
      <w:r w:rsidR="30DEE586" w:rsidRPr="797FBB80">
        <w:rPr>
          <w:rFonts w:eastAsia="Times New Roman" w:cs="Times New Roman"/>
          <w:i/>
          <w:iCs/>
          <w:color w:val="000000" w:themeColor="text1"/>
        </w:rPr>
        <w:t xml:space="preserve">Blair, </w:t>
      </w:r>
      <w:r w:rsidR="30DEE586" w:rsidRPr="00C15F0F">
        <w:rPr>
          <w:rFonts w:eastAsia="Times New Roman" w:cs="Times New Roman"/>
          <w:i/>
          <w:color w:val="000000" w:themeColor="text1"/>
        </w:rPr>
        <w:t>supra</w:t>
      </w:r>
      <w:r w:rsidR="30DEE586" w:rsidRPr="797FBB80">
        <w:rPr>
          <w:rFonts w:eastAsia="Times New Roman" w:cs="Times New Roman"/>
          <w:i/>
          <w:iCs/>
          <w:color w:val="000000" w:themeColor="text1"/>
        </w:rPr>
        <w:t xml:space="preserve">, </w:t>
      </w:r>
      <w:r w:rsidR="30DEE586" w:rsidRPr="008D6CDF">
        <w:rPr>
          <w:rFonts w:eastAsia="Times New Roman" w:cs="Times New Roman"/>
          <w:color w:val="000000" w:themeColor="text1"/>
        </w:rPr>
        <w:t>5</w:t>
      </w:r>
      <w:r w:rsidR="001A47A0">
        <w:rPr>
          <w:rFonts w:eastAsia="Times New Roman" w:cs="Times New Roman"/>
          <w:color w:val="000000" w:themeColor="text1"/>
        </w:rPr>
        <w:t> </w:t>
      </w:r>
      <w:r w:rsidR="30DEE586" w:rsidRPr="008D6CDF">
        <w:rPr>
          <w:rFonts w:eastAsia="Times New Roman" w:cs="Times New Roman"/>
          <w:color w:val="000000" w:themeColor="text1"/>
        </w:rPr>
        <w:t xml:space="preserve">Cal.3d </w:t>
      </w:r>
      <w:r w:rsidR="003F0440">
        <w:rPr>
          <w:rFonts w:eastAsia="Times New Roman" w:cs="Times New Roman"/>
          <w:color w:val="000000" w:themeColor="text1"/>
        </w:rPr>
        <w:t>at pp. </w:t>
      </w:r>
      <w:r w:rsidR="30DEE586" w:rsidRPr="008D6CDF">
        <w:rPr>
          <w:rFonts w:eastAsia="Times New Roman" w:cs="Times New Roman"/>
          <w:color w:val="000000" w:themeColor="text1"/>
        </w:rPr>
        <w:t>269–</w:t>
      </w:r>
      <w:r w:rsidR="5977DB1C" w:rsidRPr="797FBB80">
        <w:rPr>
          <w:rFonts w:eastAsia="Times New Roman" w:cs="Times New Roman"/>
          <w:color w:val="000000" w:themeColor="text1"/>
        </w:rPr>
        <w:t>2</w:t>
      </w:r>
      <w:r w:rsidR="30DEE586" w:rsidRPr="008D6CDF">
        <w:rPr>
          <w:rFonts w:eastAsia="Times New Roman" w:cs="Times New Roman"/>
          <w:color w:val="000000" w:themeColor="text1"/>
        </w:rPr>
        <w:t>70</w:t>
      </w:r>
      <w:r w:rsidR="63C93045">
        <w:t>.</w:t>
      </w:r>
      <w:r w:rsidR="30DEE586" w:rsidRPr="008D6CDF">
        <w:rPr>
          <w:rFonts w:eastAsia="Times New Roman" w:cs="Times New Roman"/>
          <w:color w:val="000000" w:themeColor="text1"/>
        </w:rPr>
        <w:t>)</w:t>
      </w:r>
    </w:p>
    <w:p w14:paraId="5DEA28B8" w14:textId="3E50B698" w:rsidR="0080647E" w:rsidRPr="006840B6" w:rsidRDefault="001B6997" w:rsidP="3DE41553">
      <w:pPr>
        <w:spacing w:line="360" w:lineRule="auto"/>
        <w:ind w:firstLine="720"/>
        <w:contextualSpacing/>
        <w:rPr>
          <w:rFonts w:eastAsia="Times New Roman" w:cs="Times New Roman"/>
          <w:color w:val="000000" w:themeColor="text1"/>
        </w:rPr>
      </w:pPr>
      <w:r>
        <w:rPr>
          <w:rFonts w:cs="Times New Roman"/>
          <w:color w:val="000000" w:themeColor="text1"/>
        </w:rPr>
        <w:t>Second, d</w:t>
      </w:r>
      <w:r w:rsidR="21E88D07" w:rsidRPr="797FBB80">
        <w:rPr>
          <w:rFonts w:cs="Times New Roman"/>
          <w:color w:val="000000" w:themeColor="text1"/>
        </w:rPr>
        <w:t>efendants</w:t>
      </w:r>
      <w:r w:rsidR="00843DCC">
        <w:rPr>
          <w:rFonts w:cs="Times New Roman"/>
          <w:color w:val="000000" w:themeColor="text1"/>
        </w:rPr>
        <w:t xml:space="preserve"> </w:t>
      </w:r>
      <w:r w:rsidR="00002CCD">
        <w:rPr>
          <w:rFonts w:cs="Times New Roman"/>
          <w:color w:val="000000" w:themeColor="text1"/>
        </w:rPr>
        <w:t>claim</w:t>
      </w:r>
      <w:r w:rsidR="00843DCC">
        <w:rPr>
          <w:rFonts w:cs="Times New Roman"/>
          <w:color w:val="000000" w:themeColor="text1"/>
        </w:rPr>
        <w:t xml:space="preserve"> that </w:t>
      </w:r>
      <w:proofErr w:type="spellStart"/>
      <w:r w:rsidR="5EBAF8F1" w:rsidRPr="797FBB80">
        <w:rPr>
          <w:rFonts w:eastAsia="Times New Roman" w:cs="Times New Roman"/>
          <w:i/>
          <w:iCs/>
          <w:color w:val="000000" w:themeColor="text1"/>
        </w:rPr>
        <w:t>Connerly</w:t>
      </w:r>
      <w:proofErr w:type="spellEnd"/>
      <w:r w:rsidR="247E763F" w:rsidRPr="797FBB80">
        <w:rPr>
          <w:rFonts w:eastAsia="Times New Roman" w:cs="Times New Roman"/>
          <w:color w:val="000000" w:themeColor="text1"/>
        </w:rPr>
        <w:t xml:space="preserve"> held</w:t>
      </w:r>
      <w:r w:rsidR="35A8A141" w:rsidRPr="797FBB80">
        <w:rPr>
          <w:rFonts w:eastAsia="Times New Roman" w:cs="Times New Roman"/>
          <w:color w:val="000000" w:themeColor="text1"/>
        </w:rPr>
        <w:t xml:space="preserve"> that </w:t>
      </w:r>
      <w:r w:rsidR="5EBAF8F1" w:rsidRPr="797FBB80">
        <w:rPr>
          <w:rFonts w:eastAsia="Times New Roman" w:cs="Times New Roman"/>
          <w:color w:val="000000" w:themeColor="text1"/>
        </w:rPr>
        <w:t>“[w]</w:t>
      </w:r>
      <w:proofErr w:type="spellStart"/>
      <w:r w:rsidR="5EBAF8F1" w:rsidRPr="797FBB80">
        <w:rPr>
          <w:rFonts w:eastAsia="Times New Roman" w:cs="Times New Roman"/>
          <w:color w:val="000000" w:themeColor="text1"/>
        </w:rPr>
        <w:t>ithout</w:t>
      </w:r>
      <w:proofErr w:type="spellEnd"/>
      <w:r w:rsidR="5EBAF8F1" w:rsidRPr="797FBB80">
        <w:rPr>
          <w:rFonts w:eastAsia="Times New Roman" w:cs="Times New Roman"/>
          <w:color w:val="000000" w:themeColor="text1"/>
        </w:rPr>
        <w:t xml:space="preserve"> a threat of present or future injury, no injunction can lie</w:t>
      </w:r>
      <w:r w:rsidR="393DA227" w:rsidRPr="797FBB80">
        <w:rPr>
          <w:rFonts w:eastAsia="Times New Roman" w:cs="Times New Roman"/>
          <w:color w:val="000000" w:themeColor="text1"/>
        </w:rPr>
        <w:t>.</w:t>
      </w:r>
      <w:r w:rsidR="5EBAF8F1" w:rsidRPr="797FBB80">
        <w:rPr>
          <w:rFonts w:eastAsia="Times New Roman" w:cs="Times New Roman"/>
          <w:color w:val="000000" w:themeColor="text1"/>
        </w:rPr>
        <w:t>” (</w:t>
      </w:r>
      <w:proofErr w:type="spellStart"/>
      <w:r w:rsidR="00E94B7E" w:rsidRPr="797FBB80">
        <w:rPr>
          <w:rFonts w:eastAsia="Times New Roman" w:cs="Times New Roman"/>
          <w:i/>
          <w:iCs/>
          <w:color w:val="000000" w:themeColor="text1"/>
        </w:rPr>
        <w:t>Connerly</w:t>
      </w:r>
      <w:proofErr w:type="spellEnd"/>
      <w:r w:rsidR="00E94B7E">
        <w:rPr>
          <w:rFonts w:eastAsia="Times New Roman" w:cs="Times New Roman"/>
          <w:i/>
          <w:iCs/>
          <w:color w:val="000000" w:themeColor="text1"/>
        </w:rPr>
        <w:t>, supra,</w:t>
      </w:r>
      <w:r w:rsidR="00E94B7E" w:rsidRPr="797FBB80">
        <w:rPr>
          <w:rFonts w:eastAsia="Times New Roman" w:cs="Times New Roman"/>
          <w:color w:val="000000" w:themeColor="text1"/>
        </w:rPr>
        <w:t xml:space="preserve"> </w:t>
      </w:r>
      <w:r w:rsidR="5EBAF8F1" w:rsidRPr="797FBB80">
        <w:rPr>
          <w:rFonts w:eastAsia="Times New Roman" w:cs="Times New Roman"/>
          <w:color w:val="000000" w:themeColor="text1"/>
        </w:rPr>
        <w:t>146 Cal.App.4th at p. </w:t>
      </w:r>
      <w:r w:rsidR="008B4FE6">
        <w:rPr>
          <w:rFonts w:eastAsia="Times New Roman" w:cs="Times New Roman"/>
          <w:color w:val="000000" w:themeColor="text1"/>
        </w:rPr>
        <w:t>7</w:t>
      </w:r>
      <w:r w:rsidR="5EBAF8F1" w:rsidRPr="797FBB80">
        <w:rPr>
          <w:rFonts w:eastAsia="Times New Roman" w:cs="Times New Roman"/>
          <w:color w:val="000000" w:themeColor="text1"/>
        </w:rPr>
        <w:t>51)</w:t>
      </w:r>
      <w:r w:rsidR="259FB0A5" w:rsidRPr="797FBB80">
        <w:rPr>
          <w:rFonts w:eastAsia="Times New Roman" w:cs="Times New Roman"/>
          <w:color w:val="000000" w:themeColor="text1"/>
        </w:rPr>
        <w:t xml:space="preserve"> </w:t>
      </w:r>
      <w:r w:rsidR="5A46ED86" w:rsidRPr="797FBB80">
        <w:rPr>
          <w:rFonts w:eastAsia="Times New Roman" w:cs="Times New Roman"/>
          <w:color w:val="000000" w:themeColor="text1"/>
        </w:rPr>
        <w:t>This selective quotation</w:t>
      </w:r>
      <w:r w:rsidR="00002CCD">
        <w:rPr>
          <w:rFonts w:eastAsia="Times New Roman" w:cs="Times New Roman"/>
          <w:color w:val="000000" w:themeColor="text1"/>
        </w:rPr>
        <w:t>, however,</w:t>
      </w:r>
      <w:r w:rsidR="5A46ED86" w:rsidRPr="797FBB80">
        <w:rPr>
          <w:rFonts w:eastAsia="Times New Roman" w:cs="Times New Roman"/>
          <w:color w:val="000000" w:themeColor="text1"/>
        </w:rPr>
        <w:t xml:space="preserve"> is outright misleading. </w:t>
      </w:r>
      <w:r w:rsidR="5EBAF8F1" w:rsidRPr="797FBB80">
        <w:rPr>
          <w:rFonts w:eastAsia="Times New Roman" w:cs="Times New Roman"/>
          <w:color w:val="000000" w:themeColor="text1"/>
        </w:rPr>
        <w:t xml:space="preserve">In fact, the Third Appellate District </w:t>
      </w:r>
      <w:r w:rsidR="00EA6040">
        <w:rPr>
          <w:rFonts w:eastAsia="Times New Roman" w:cs="Times New Roman"/>
          <w:color w:val="000000" w:themeColor="text1"/>
        </w:rPr>
        <w:t>held that</w:t>
      </w:r>
      <w:r w:rsidR="00EA6040" w:rsidRPr="797FBB80">
        <w:rPr>
          <w:rFonts w:eastAsia="Times New Roman" w:cs="Times New Roman"/>
          <w:color w:val="000000" w:themeColor="text1"/>
        </w:rPr>
        <w:t xml:space="preserve"> </w:t>
      </w:r>
      <w:r w:rsidR="5EBAF8F1" w:rsidRPr="797FBB80">
        <w:rPr>
          <w:rFonts w:eastAsia="Times New Roman" w:cs="Times New Roman"/>
          <w:color w:val="000000" w:themeColor="text1"/>
        </w:rPr>
        <w:t xml:space="preserve">the general rule </w:t>
      </w:r>
      <w:r w:rsidR="00EA6040">
        <w:rPr>
          <w:rFonts w:eastAsia="Times New Roman" w:cs="Times New Roman"/>
          <w:color w:val="000000" w:themeColor="text1"/>
        </w:rPr>
        <w:t>(</w:t>
      </w:r>
      <w:r w:rsidR="00DB078D">
        <w:rPr>
          <w:rFonts w:eastAsia="Times New Roman" w:cs="Times New Roman"/>
          <w:color w:val="000000" w:themeColor="text1"/>
        </w:rPr>
        <w:t xml:space="preserve">requiring a party to show </w:t>
      </w:r>
      <w:r w:rsidR="00812262">
        <w:rPr>
          <w:rFonts w:eastAsia="Times New Roman" w:cs="Times New Roman"/>
          <w:color w:val="000000" w:themeColor="text1"/>
        </w:rPr>
        <w:t>particularized injury to obtain an injunction)</w:t>
      </w:r>
      <w:r w:rsidR="00DB078D" w:rsidRPr="797FBB80">
        <w:rPr>
          <w:rFonts w:eastAsia="Times New Roman" w:cs="Times New Roman"/>
          <w:color w:val="000000" w:themeColor="text1"/>
        </w:rPr>
        <w:t xml:space="preserve"> </w:t>
      </w:r>
      <w:r w:rsidR="5EBAF8F1" w:rsidRPr="797FBB80">
        <w:rPr>
          <w:rFonts w:eastAsia="Times New Roman" w:cs="Times New Roman"/>
          <w:i/>
          <w:iCs/>
          <w:color w:val="000000" w:themeColor="text1"/>
        </w:rPr>
        <w:t>does not apply</w:t>
      </w:r>
      <w:r w:rsidR="5EBAF8F1" w:rsidRPr="797FBB80">
        <w:rPr>
          <w:rFonts w:eastAsia="Times New Roman" w:cs="Times New Roman"/>
          <w:color w:val="000000" w:themeColor="text1"/>
        </w:rPr>
        <w:t xml:space="preserve"> in a </w:t>
      </w:r>
      <w:r w:rsidR="00183E0C">
        <w:rPr>
          <w:rFonts w:eastAsia="Times New Roman" w:cs="Times New Roman"/>
          <w:color w:val="000000" w:themeColor="text1"/>
        </w:rPr>
        <w:t>statutory taxpayer</w:t>
      </w:r>
      <w:r w:rsidR="5EBAF8F1" w:rsidRPr="797FBB80">
        <w:rPr>
          <w:rFonts w:eastAsia="Times New Roman" w:cs="Times New Roman"/>
          <w:color w:val="000000" w:themeColor="text1"/>
        </w:rPr>
        <w:t xml:space="preserve"> action,</w:t>
      </w:r>
      <w:r w:rsidR="5EBAF8F1" w:rsidRPr="797FBB80">
        <w:rPr>
          <w:rFonts w:eastAsia="Times New Roman" w:cs="Times New Roman"/>
          <w:i/>
          <w:iCs/>
          <w:color w:val="000000" w:themeColor="text1"/>
        </w:rPr>
        <w:t xml:space="preserve"> “</w:t>
      </w:r>
      <w:r w:rsidR="5EBAF8F1" w:rsidRPr="797FBB80">
        <w:rPr>
          <w:rFonts w:eastAsia="Times New Roman" w:cs="Times New Roman"/>
          <w:color w:val="000000" w:themeColor="text1"/>
        </w:rPr>
        <w:t>which allows a taxpayer the right to bring an action</w:t>
      </w:r>
      <w:r w:rsidR="5EBAF8F1" w:rsidRPr="797FBB80">
        <w:rPr>
          <w:rFonts w:eastAsia="Times New Roman" w:cs="Times New Roman"/>
          <w:i/>
          <w:iCs/>
          <w:color w:val="000000" w:themeColor="text1"/>
        </w:rPr>
        <w:t xml:space="preserve"> to restrain </w:t>
      </w:r>
      <w:r w:rsidR="5EBAF8F1" w:rsidRPr="797FBB80">
        <w:rPr>
          <w:rFonts w:eastAsia="Times New Roman" w:cs="Times New Roman"/>
          <w:color w:val="000000" w:themeColor="text1"/>
        </w:rPr>
        <w:t>an illegal expenditure of public money</w:t>
      </w:r>
      <w:r w:rsidR="5EBAF8F1" w:rsidRPr="797FBB80">
        <w:rPr>
          <w:rFonts w:eastAsia="Times New Roman" w:cs="Times New Roman"/>
          <w:i/>
          <w:iCs/>
          <w:color w:val="000000" w:themeColor="text1"/>
        </w:rPr>
        <w:t xml:space="preserve"> without a showing of special injury.</w:t>
      </w:r>
      <w:r w:rsidR="5EBAF8F1" w:rsidRPr="00526A75">
        <w:rPr>
          <w:rFonts w:eastAsia="Times New Roman" w:cs="Times New Roman"/>
          <w:color w:val="000000" w:themeColor="text1"/>
        </w:rPr>
        <w:t xml:space="preserve">” </w:t>
      </w:r>
      <w:r w:rsidR="5EBAF8F1" w:rsidRPr="797FBB80">
        <w:rPr>
          <w:rFonts w:eastAsia="Times New Roman" w:cs="Times New Roman"/>
          <w:color w:val="000000" w:themeColor="text1"/>
        </w:rPr>
        <w:t>(</w:t>
      </w:r>
      <w:r w:rsidR="5EBAF8F1" w:rsidRPr="797FBB80">
        <w:rPr>
          <w:rFonts w:eastAsia="Times New Roman" w:cs="Times New Roman"/>
          <w:i/>
          <w:iCs/>
          <w:color w:val="000000" w:themeColor="text1"/>
        </w:rPr>
        <w:t xml:space="preserve">Id. </w:t>
      </w:r>
      <w:r w:rsidR="5EBAF8F1" w:rsidRPr="797FBB80">
        <w:rPr>
          <w:rFonts w:eastAsia="Times New Roman" w:cs="Times New Roman"/>
          <w:color w:val="000000" w:themeColor="text1"/>
        </w:rPr>
        <w:t>at p.</w:t>
      </w:r>
      <w:r w:rsidR="0036112D">
        <w:rPr>
          <w:rFonts w:eastAsia="Times New Roman" w:cs="Times New Roman"/>
          <w:color w:val="000000" w:themeColor="text1"/>
        </w:rPr>
        <w:t> </w:t>
      </w:r>
      <w:r w:rsidR="5EBAF8F1" w:rsidRPr="797FBB80">
        <w:rPr>
          <w:rFonts w:eastAsia="Times New Roman" w:cs="Times New Roman"/>
          <w:color w:val="000000" w:themeColor="text1"/>
        </w:rPr>
        <w:t>749, italics added.</w:t>
      </w:r>
      <w:r w:rsidR="0036112D">
        <w:rPr>
          <w:rFonts w:eastAsia="Times New Roman" w:cs="Times New Roman"/>
          <w:color w:val="000000" w:themeColor="text1"/>
        </w:rPr>
        <w:t>)</w:t>
      </w:r>
      <w:r>
        <w:rPr>
          <w:rStyle w:val="FootnoteReference"/>
          <w:rFonts w:eastAsia="Times New Roman" w:cs="Times New Roman"/>
          <w:color w:val="000000" w:themeColor="text1"/>
        </w:rPr>
        <w:footnoteReference w:id="31"/>
      </w:r>
    </w:p>
    <w:p w14:paraId="6AC5D70E" w14:textId="2F6A3D92" w:rsidR="0080647E" w:rsidRPr="006840B6" w:rsidRDefault="001B6997" w:rsidP="3DE41553">
      <w:pPr>
        <w:spacing w:line="360" w:lineRule="auto"/>
        <w:ind w:firstLine="720"/>
        <w:contextualSpacing/>
      </w:pPr>
      <w:r w:rsidRPr="3DE41553">
        <w:rPr>
          <w:rFonts w:cs="Times New Roman"/>
          <w:color w:val="000000" w:themeColor="text1"/>
        </w:rPr>
        <w:t xml:space="preserve">Defendants similarly </w:t>
      </w:r>
      <w:r w:rsidR="6F0EFF08" w:rsidRPr="3DE41553">
        <w:rPr>
          <w:rFonts w:cs="Times New Roman"/>
          <w:color w:val="000000" w:themeColor="text1"/>
        </w:rPr>
        <w:t>mischaracterize</w:t>
      </w:r>
      <w:r w:rsidR="1747CEA9" w:rsidRPr="3DE41553">
        <w:rPr>
          <w:rFonts w:cs="Times New Roman"/>
          <w:color w:val="000000" w:themeColor="text1"/>
        </w:rPr>
        <w:t xml:space="preserve"> the holding of</w:t>
      </w:r>
      <w:r w:rsidR="6F0EFF08" w:rsidRPr="3DE41553">
        <w:rPr>
          <w:rFonts w:cs="Times New Roman"/>
          <w:color w:val="000000" w:themeColor="text1"/>
        </w:rPr>
        <w:t xml:space="preserve"> </w:t>
      </w:r>
      <w:r w:rsidR="371C967C" w:rsidRPr="3DE41553">
        <w:rPr>
          <w:rFonts w:cs="Times New Roman"/>
          <w:i/>
          <w:iCs/>
          <w:color w:val="000000" w:themeColor="text1"/>
        </w:rPr>
        <w:t>White v. Davis</w:t>
      </w:r>
      <w:r w:rsidR="371C967C" w:rsidRPr="3DE41553">
        <w:rPr>
          <w:rFonts w:cs="Times New Roman"/>
          <w:color w:val="000000" w:themeColor="text1"/>
        </w:rPr>
        <w:t xml:space="preserve"> (2003) 30 Cal.4th 528</w:t>
      </w:r>
      <w:r w:rsidR="5117A73E" w:rsidRPr="3DE41553">
        <w:rPr>
          <w:rFonts w:cs="Times New Roman"/>
          <w:color w:val="000000" w:themeColor="text1"/>
        </w:rPr>
        <w:t>. In that case</w:t>
      </w:r>
      <w:r w:rsidR="371C967C" w:rsidRPr="3DE41553">
        <w:rPr>
          <w:rFonts w:cs="Times New Roman"/>
          <w:color w:val="000000" w:themeColor="text1"/>
        </w:rPr>
        <w:t xml:space="preserve">, the Supreme Court held that “a taxpayer’s general interest in not having public funds spent unlawfully </w:t>
      </w:r>
      <w:proofErr w:type="gramStart"/>
      <w:r w:rsidR="371C967C" w:rsidRPr="3DE41553">
        <w:rPr>
          <w:rFonts w:cs="Times New Roman"/>
          <w:color w:val="000000" w:themeColor="text1"/>
        </w:rPr>
        <w:t>. . . ,</w:t>
      </w:r>
      <w:proofErr w:type="gramEnd"/>
      <w:r w:rsidR="371C967C" w:rsidRPr="3DE41553">
        <w:rPr>
          <w:rFonts w:cs="Times New Roman"/>
          <w:color w:val="000000" w:themeColor="text1"/>
        </w:rPr>
        <w:t xml:space="preserve"> </w:t>
      </w:r>
      <w:r w:rsidR="371C967C" w:rsidRPr="3DE41553">
        <w:rPr>
          <w:rFonts w:cs="Times New Roman"/>
          <w:i/>
          <w:iCs/>
          <w:color w:val="000000" w:themeColor="text1"/>
        </w:rPr>
        <w:t>while sufficient to</w:t>
      </w:r>
      <w:r w:rsidR="371C967C" w:rsidRPr="3DE41553">
        <w:rPr>
          <w:rFonts w:cs="Times New Roman"/>
          <w:color w:val="000000" w:themeColor="text1"/>
        </w:rPr>
        <w:t xml:space="preserve"> </w:t>
      </w:r>
      <w:r w:rsidR="371C967C" w:rsidRPr="3DE41553">
        <w:rPr>
          <w:rFonts w:cs="Times New Roman"/>
          <w:i/>
          <w:iCs/>
          <w:color w:val="000000" w:themeColor="text1"/>
        </w:rPr>
        <w:t>afford standing to</w:t>
      </w:r>
      <w:r w:rsidR="371C967C" w:rsidRPr="3DE41553">
        <w:rPr>
          <w:rFonts w:cs="Times New Roman"/>
          <w:color w:val="000000" w:themeColor="text1"/>
        </w:rPr>
        <w:t xml:space="preserve"> bring a taxpayer</w:t>
      </w:r>
      <w:r w:rsidR="00FB67EB">
        <w:rPr>
          <w:rFonts w:cs="Times New Roman"/>
          <w:color w:val="000000" w:themeColor="text1"/>
        </w:rPr>
        <w:t xml:space="preserve"> </w:t>
      </w:r>
      <w:r w:rsidR="371C967C" w:rsidRPr="3DE41553">
        <w:rPr>
          <w:rFonts w:cs="Times New Roman"/>
          <w:color w:val="000000" w:themeColor="text1"/>
        </w:rPr>
        <w:t xml:space="preserve">action under </w:t>
      </w:r>
      <w:r w:rsidR="00183E0C">
        <w:rPr>
          <w:rFonts w:cs="Times New Roman"/>
          <w:color w:val="000000" w:themeColor="text1"/>
        </w:rPr>
        <w:t>Code of Civil Procedure</w:t>
      </w:r>
      <w:r w:rsidR="371C967C" w:rsidRPr="3DE41553">
        <w:rPr>
          <w:rFonts w:cs="Times New Roman"/>
          <w:color w:val="000000" w:themeColor="text1"/>
        </w:rPr>
        <w:t xml:space="preserve"> section 526a </w:t>
      </w:r>
      <w:r w:rsidR="371C967C" w:rsidRPr="3DE41553">
        <w:rPr>
          <w:rFonts w:cs="Times New Roman"/>
          <w:i/>
          <w:iCs/>
          <w:color w:val="000000" w:themeColor="text1"/>
        </w:rPr>
        <w:t>and</w:t>
      </w:r>
      <w:r w:rsidR="371C967C" w:rsidRPr="3DE41553">
        <w:rPr>
          <w:rFonts w:cs="Times New Roman"/>
          <w:color w:val="000000" w:themeColor="text1"/>
        </w:rPr>
        <w:t xml:space="preserve"> </w:t>
      </w:r>
      <w:r w:rsidR="371C967C" w:rsidRPr="3DE41553">
        <w:rPr>
          <w:rFonts w:cs="Times New Roman"/>
          <w:i/>
          <w:iCs/>
          <w:color w:val="000000" w:themeColor="text1"/>
        </w:rPr>
        <w:t xml:space="preserve">to obtain a permanent injunction </w:t>
      </w:r>
      <w:r w:rsidR="371C967C" w:rsidRPr="3DE41553">
        <w:rPr>
          <w:rFonts w:cs="Times New Roman"/>
          <w:color w:val="000000" w:themeColor="text1"/>
        </w:rPr>
        <w:t xml:space="preserve">after a full adjudication on the merits, ordinarily does not in itself constitute the type of irreparable harm that warrants the granting of </w:t>
      </w:r>
      <w:r w:rsidR="371C967C" w:rsidRPr="3DE41553">
        <w:rPr>
          <w:rFonts w:cs="Times New Roman"/>
          <w:i/>
          <w:iCs/>
          <w:color w:val="000000" w:themeColor="text1"/>
        </w:rPr>
        <w:t>preliminary</w:t>
      </w:r>
      <w:r w:rsidR="371C967C" w:rsidRPr="3DE41553">
        <w:rPr>
          <w:rFonts w:cs="Times New Roman"/>
          <w:color w:val="000000" w:themeColor="text1"/>
        </w:rPr>
        <w:t xml:space="preserve"> injunctive relief.” </w:t>
      </w:r>
      <w:r w:rsidR="371C967C" w:rsidRPr="3DE41553">
        <w:rPr>
          <w:rFonts w:cs="Times New Roman"/>
          <w:color w:val="000000" w:themeColor="text1"/>
        </w:rPr>
        <w:lastRenderedPageBreak/>
        <w:t>(</w:t>
      </w:r>
      <w:r w:rsidR="371C967C" w:rsidRPr="3DE41553">
        <w:rPr>
          <w:rFonts w:cs="Times New Roman"/>
          <w:i/>
          <w:iCs/>
          <w:color w:val="000000" w:themeColor="text1"/>
        </w:rPr>
        <w:t>Id.</w:t>
      </w:r>
      <w:r w:rsidR="371C967C" w:rsidRPr="3DE41553">
        <w:rPr>
          <w:rFonts w:cs="Times New Roman"/>
          <w:color w:val="000000" w:themeColor="text1"/>
        </w:rPr>
        <w:t xml:space="preserve"> at pp. 556–557, italics added.)</w:t>
      </w:r>
      <w:r w:rsidR="25323E5B" w:rsidRPr="3DE41553">
        <w:rPr>
          <w:rFonts w:cs="Times New Roman"/>
          <w:color w:val="000000" w:themeColor="text1"/>
        </w:rPr>
        <w:t xml:space="preserve"> </w:t>
      </w:r>
      <w:r w:rsidR="6CBAE141" w:rsidRPr="3DE41553">
        <w:rPr>
          <w:rFonts w:cs="Times New Roman"/>
          <w:color w:val="000000" w:themeColor="text1"/>
        </w:rPr>
        <w:t>Neither of these cases preclude injunctive relief on the facts pleaded in plaintiffs</w:t>
      </w:r>
      <w:r w:rsidR="00BE4142">
        <w:rPr>
          <w:rFonts w:cs="Times New Roman"/>
          <w:color w:val="000000" w:themeColor="text1"/>
        </w:rPr>
        <w:t>’</w:t>
      </w:r>
      <w:r w:rsidR="6CBAE141" w:rsidRPr="3DE41553">
        <w:rPr>
          <w:rFonts w:cs="Times New Roman"/>
          <w:color w:val="000000" w:themeColor="text1"/>
        </w:rPr>
        <w:t xml:space="preserve"> complaint.</w:t>
      </w:r>
    </w:p>
    <w:p w14:paraId="21CEC948" w14:textId="279D74E2" w:rsidR="0080647E" w:rsidRPr="006840B6" w:rsidRDefault="001B6997" w:rsidP="3DE41553">
      <w:pPr>
        <w:spacing w:line="360" w:lineRule="auto"/>
        <w:ind w:firstLine="720"/>
        <w:contextualSpacing/>
        <w:rPr>
          <w:rStyle w:val="FootnoteReference"/>
          <w:rFonts w:eastAsia="Times New Roman" w:cs="Times New Roman"/>
          <w:color w:val="000000" w:themeColor="text1"/>
        </w:rPr>
      </w:pPr>
      <w:r w:rsidRPr="3DE41553">
        <w:rPr>
          <w:rFonts w:eastAsia="Times New Roman" w:cs="Times New Roman"/>
          <w:color w:val="000000" w:themeColor="text1"/>
        </w:rPr>
        <w:t>Finally, d</w:t>
      </w:r>
      <w:r w:rsidR="371C967C" w:rsidRPr="3DE41553">
        <w:rPr>
          <w:rFonts w:eastAsia="Times New Roman" w:cs="Times New Roman"/>
          <w:color w:val="000000" w:themeColor="text1"/>
        </w:rPr>
        <w:t>efendants</w:t>
      </w:r>
      <w:r w:rsidR="7D0CFB65" w:rsidRPr="3DE41553">
        <w:rPr>
          <w:rFonts w:eastAsia="Times New Roman" w:cs="Times New Roman"/>
          <w:color w:val="000000" w:themeColor="text1"/>
        </w:rPr>
        <w:t xml:space="preserve"> </w:t>
      </w:r>
      <w:r w:rsidR="371C967C" w:rsidRPr="3DE41553">
        <w:rPr>
          <w:rFonts w:eastAsia="Times New Roman" w:cs="Times New Roman"/>
          <w:color w:val="000000" w:themeColor="text1"/>
        </w:rPr>
        <w:t xml:space="preserve">assert that injunctive relief </w:t>
      </w:r>
      <w:r w:rsidR="371C967C">
        <w:t>is unavailable “because courtroom utilization implicates security concerns for which the San Francisco Sheriff has responsibility.” Even if this</w:t>
      </w:r>
      <w:r w:rsidR="00345258">
        <w:t xml:space="preserve"> </w:t>
      </w:r>
      <w:r w:rsidR="371C967C">
        <w:t xml:space="preserve">might ultimately limit the scope of </w:t>
      </w:r>
      <w:r w:rsidR="29A68B97">
        <w:t xml:space="preserve">available </w:t>
      </w:r>
      <w:r w:rsidR="371C967C">
        <w:t>relief, defendants do not show that</w:t>
      </w:r>
      <w:r w:rsidR="00345258">
        <w:t xml:space="preserve">, </w:t>
      </w:r>
      <w:r w:rsidR="371C967C">
        <w:t xml:space="preserve">as a matter of law, the court </w:t>
      </w:r>
      <w:r w:rsidR="00345258">
        <w:t xml:space="preserve">will be unable </w:t>
      </w:r>
      <w:r w:rsidR="371C967C">
        <w:t>to fashion effective</w:t>
      </w:r>
      <w:r w:rsidR="69BF80D3">
        <w:t xml:space="preserve"> </w:t>
      </w:r>
      <w:r w:rsidR="371C967C">
        <w:t>relief in the sheriff’s absence.</w:t>
      </w:r>
    </w:p>
    <w:p w14:paraId="517E1481" w14:textId="70FE4C62" w:rsidR="0080647E" w:rsidRPr="006840B6" w:rsidRDefault="001B6997" w:rsidP="005B51EA">
      <w:pPr>
        <w:keepNext/>
        <w:spacing w:after="120" w:line="240" w:lineRule="auto"/>
        <w:ind w:left="1080" w:hanging="360"/>
        <w:rPr>
          <w:b/>
          <w:bCs/>
        </w:rPr>
      </w:pPr>
      <w:r>
        <w:rPr>
          <w:b/>
          <w:bCs/>
        </w:rPr>
        <w:t>f</w:t>
      </w:r>
      <w:r w:rsidR="25975A6A" w:rsidRPr="797FBB80">
        <w:rPr>
          <w:b/>
          <w:bCs/>
        </w:rPr>
        <w:t>.</w:t>
      </w:r>
      <w:r w:rsidR="371C967C">
        <w:tab/>
      </w:r>
      <w:r w:rsidR="25975A6A" w:rsidRPr="797FBB80">
        <w:rPr>
          <w:b/>
          <w:bCs/>
        </w:rPr>
        <w:t>Claims Based on Section</w:t>
      </w:r>
      <w:r w:rsidR="00C40898">
        <w:rPr>
          <w:b/>
          <w:bCs/>
        </w:rPr>
        <w:t>s</w:t>
      </w:r>
      <w:r w:rsidR="25975A6A" w:rsidRPr="797FBB80">
        <w:rPr>
          <w:b/>
          <w:bCs/>
        </w:rPr>
        <w:t xml:space="preserve"> 1049.5</w:t>
      </w:r>
      <w:r w:rsidR="00C40898">
        <w:rPr>
          <w:b/>
          <w:bCs/>
        </w:rPr>
        <w:t>, 1050(b)</w:t>
      </w:r>
      <w:r w:rsidR="00790629">
        <w:rPr>
          <w:b/>
          <w:bCs/>
        </w:rPr>
        <w:t>–</w:t>
      </w:r>
      <w:r w:rsidR="00C40898">
        <w:rPr>
          <w:b/>
          <w:bCs/>
        </w:rPr>
        <w:t>(</w:t>
      </w:r>
      <w:proofErr w:type="spellStart"/>
      <w:r w:rsidR="00C40898">
        <w:rPr>
          <w:b/>
          <w:bCs/>
        </w:rPr>
        <w:t>i</w:t>
      </w:r>
      <w:proofErr w:type="spellEnd"/>
      <w:r w:rsidR="00C40898">
        <w:rPr>
          <w:b/>
          <w:bCs/>
        </w:rPr>
        <w:t>)</w:t>
      </w:r>
      <w:r w:rsidR="25975A6A" w:rsidRPr="797FBB80">
        <w:rPr>
          <w:b/>
          <w:bCs/>
        </w:rPr>
        <w:t xml:space="preserve"> and the Constitution</w:t>
      </w:r>
    </w:p>
    <w:p w14:paraId="6CE56DE8" w14:textId="0E858D42" w:rsidR="0080647E" w:rsidRDefault="001B6997" w:rsidP="003F5F13">
      <w:pPr>
        <w:autoSpaceDE w:val="0"/>
        <w:autoSpaceDN w:val="0"/>
        <w:adjustRightInd w:val="0"/>
        <w:spacing w:line="360" w:lineRule="auto"/>
        <w:contextualSpacing/>
      </w:pPr>
      <w:r>
        <w:tab/>
        <w:t>Although the viability of the section</w:t>
      </w:r>
      <w:r w:rsidR="00796986">
        <w:t> </w:t>
      </w:r>
      <w:r>
        <w:t xml:space="preserve">1050(a) theory compels reversal of the judgment, </w:t>
      </w:r>
      <w:r w:rsidR="00D97996">
        <w:t xml:space="preserve">to provide guidance on remand, </w:t>
      </w:r>
      <w:r>
        <w:t xml:space="preserve">we briefly assess </w:t>
      </w:r>
      <w:r w:rsidR="00D97996">
        <w:t>plaintiffs’ other theories of recovery, namely, that</w:t>
      </w:r>
      <w:r w:rsidR="00D97996" w:rsidRPr="00035771">
        <w:rPr>
          <w:spacing w:val="-2"/>
        </w:rPr>
        <w:t xml:space="preserve"> defendants</w:t>
      </w:r>
      <w:r w:rsidR="00D97996">
        <w:rPr>
          <w:spacing w:val="-2"/>
        </w:rPr>
        <w:t xml:space="preserve"> </w:t>
      </w:r>
      <w:r w:rsidR="00D97996" w:rsidRPr="00035771">
        <w:rPr>
          <w:spacing w:val="-2"/>
        </w:rPr>
        <w:t>violat</w:t>
      </w:r>
      <w:r w:rsidR="00D97996">
        <w:rPr>
          <w:spacing w:val="-2"/>
        </w:rPr>
        <w:t>ed</w:t>
      </w:r>
      <w:r w:rsidR="00D97996" w:rsidRPr="00035771">
        <w:rPr>
          <w:spacing w:val="-2"/>
        </w:rPr>
        <w:t xml:space="preserve"> duties enjoined</w:t>
      </w:r>
      <w:r w:rsidR="00D97996">
        <w:t xml:space="preserve"> by section 1049.5 and constitutional speedy-trial provisions.</w:t>
      </w:r>
    </w:p>
    <w:p w14:paraId="38B63D57" w14:textId="55A9F2F4" w:rsidR="0080647E" w:rsidRPr="0031765F" w:rsidRDefault="001B6997" w:rsidP="003F5F13">
      <w:pPr>
        <w:autoSpaceDE w:val="0"/>
        <w:autoSpaceDN w:val="0"/>
        <w:adjustRightInd w:val="0"/>
        <w:spacing w:line="360" w:lineRule="auto"/>
        <w:contextualSpacing/>
        <w:rPr>
          <w:rFonts w:eastAsia="Times New Roman" w:cs="Times New Roman"/>
          <w:color w:val="000000" w:themeColor="text1"/>
        </w:rPr>
      </w:pPr>
      <w:r>
        <w:tab/>
        <w:t xml:space="preserve">Section 1049.5 requires a court in a felony case to </w:t>
      </w:r>
      <w:r w:rsidRPr="003C0868">
        <w:t xml:space="preserve">set a </w:t>
      </w:r>
      <w:r>
        <w:t xml:space="preserve">trial </w:t>
      </w:r>
      <w:r w:rsidRPr="003C0868">
        <w:t>date within 60 days</w:t>
      </w:r>
      <w:r>
        <w:t xml:space="preserve"> </w:t>
      </w:r>
      <w:r w:rsidRPr="003C0868">
        <w:t xml:space="preserve">of the defendant’s arraignment </w:t>
      </w:r>
      <w:r>
        <w:t>“</w:t>
      </w:r>
      <w:r w:rsidRPr="003C0868">
        <w:t>unless, upon a</w:t>
      </w:r>
      <w:r>
        <w:t xml:space="preserve"> </w:t>
      </w:r>
      <w:r w:rsidRPr="003C0868">
        <w:t>showing of good cause as prescrib</w:t>
      </w:r>
      <w:r w:rsidRPr="003C0868">
        <w:t xml:space="preserve">ed in </w:t>
      </w:r>
      <w:r w:rsidR="004D63F1">
        <w:t>s</w:t>
      </w:r>
      <w:r w:rsidRPr="003C0868">
        <w:t>ection 1050, the court</w:t>
      </w:r>
      <w:r>
        <w:t xml:space="preserve"> </w:t>
      </w:r>
      <w:r w:rsidRPr="003C0868">
        <w:t>lengthens the time</w:t>
      </w:r>
      <w:r>
        <w:t xml:space="preserve">,” and </w:t>
      </w:r>
      <w:r w:rsidRPr="003239CB">
        <w:t>in such a case requires the court to “state on the record the facts proved that justify its finding.”</w:t>
      </w:r>
      <w:r w:rsidRPr="003C0868">
        <w:t xml:space="preserve"> (§ 1049.5.)</w:t>
      </w:r>
      <w:r>
        <w:t xml:space="preserve"> </w:t>
      </w:r>
      <w:r w:rsidRPr="003239CB">
        <w:t>S</w:t>
      </w:r>
      <w:r>
        <w:t>ection</w:t>
      </w:r>
      <w:r w:rsidR="00796986">
        <w:t> </w:t>
      </w:r>
      <w:r>
        <w:t>1050, subdivisions</w:t>
      </w:r>
      <w:r w:rsidR="00796986">
        <w:t> </w:t>
      </w:r>
      <w:r>
        <w:t>(b)</w:t>
      </w:r>
      <w:r w:rsidR="008C6742">
        <w:t xml:space="preserve"> to </w:t>
      </w:r>
      <w:r>
        <w:t>(</w:t>
      </w:r>
      <w:proofErr w:type="spellStart"/>
      <w:r>
        <w:t>i</w:t>
      </w:r>
      <w:proofErr w:type="spellEnd"/>
      <w:r>
        <w:t xml:space="preserve">), which govern continuance motions, require </w:t>
      </w:r>
      <w:r w:rsidRPr="0031765F">
        <w:t>specif</w:t>
      </w:r>
      <w:r w:rsidRPr="0031765F">
        <w:t>ic evidentiary support, both in the movant’s request (§ 1050, subd.</w:t>
      </w:r>
      <w:r w:rsidR="00796986">
        <w:t> </w:t>
      </w:r>
      <w:r w:rsidRPr="0031765F">
        <w:t>(b))</w:t>
      </w:r>
      <w:r>
        <w:t xml:space="preserve"> and,</w:t>
      </w:r>
      <w:r>
        <w:rPr>
          <w:rFonts w:eastAsia="Times New Roman" w:cs="Times New Roman"/>
          <w:color w:val="000000"/>
        </w:rPr>
        <w:t xml:space="preserve"> if the request is granted, in the court’s order on the record (</w:t>
      </w:r>
      <w:r w:rsidR="00914C76" w:rsidRPr="0031765F">
        <w:t>§ 1050,</w:t>
      </w:r>
      <w:r w:rsidRPr="4B0E998B">
        <w:rPr>
          <w:rFonts w:eastAsia="Times New Roman" w:cs="Times New Roman"/>
          <w:color w:val="000000"/>
        </w:rPr>
        <w:t xml:space="preserve"> subd.</w:t>
      </w:r>
      <w:r w:rsidR="00796986">
        <w:rPr>
          <w:rFonts w:eastAsia="Times New Roman" w:cs="Times New Roman"/>
          <w:color w:val="000000"/>
        </w:rPr>
        <w:t> </w:t>
      </w:r>
      <w:r w:rsidRPr="4B0E998B">
        <w:rPr>
          <w:rFonts w:eastAsia="Times New Roman" w:cs="Times New Roman"/>
          <w:color w:val="000000"/>
        </w:rPr>
        <w:t>(f</w:t>
      </w:r>
      <w:r>
        <w:rPr>
          <w:rFonts w:eastAsia="Times New Roman" w:cs="Times New Roman"/>
          <w:color w:val="000000"/>
        </w:rPr>
        <w:t xml:space="preserve">)). </w:t>
      </w:r>
    </w:p>
    <w:p w14:paraId="425C0759" w14:textId="080BCA95" w:rsidR="0080647E" w:rsidRPr="0031765F" w:rsidRDefault="001B6997" w:rsidP="003F5F13">
      <w:pPr>
        <w:autoSpaceDE w:val="0"/>
        <w:autoSpaceDN w:val="0"/>
        <w:adjustRightInd w:val="0"/>
        <w:spacing w:line="360" w:lineRule="auto"/>
        <w:ind w:firstLine="720"/>
        <w:contextualSpacing/>
        <w:rPr>
          <w:rFonts w:eastAsia="Times New Roman" w:cs="Times New Roman"/>
          <w:color w:val="000000"/>
        </w:rPr>
      </w:pPr>
      <w:r>
        <w:rPr>
          <w:rFonts w:eastAsia="Times New Roman" w:cs="Times New Roman"/>
          <w:color w:val="000000"/>
        </w:rPr>
        <w:t>Plaintiffs allege that, “instead of convening the hearings</w:t>
      </w:r>
      <w:r w:rsidRPr="0031765F">
        <w:rPr>
          <w:rFonts w:eastAsia="Times New Roman" w:cs="Times New Roman"/>
          <w:color w:val="000000"/>
        </w:rPr>
        <w:t xml:space="preserve">” required by </w:t>
      </w:r>
      <w:r>
        <w:rPr>
          <w:rFonts w:eastAsia="Times New Roman" w:cs="Times New Roman"/>
          <w:color w:val="000000"/>
        </w:rPr>
        <w:t>sections</w:t>
      </w:r>
      <w:r w:rsidRPr="0031765F">
        <w:rPr>
          <w:rFonts w:eastAsia="Times New Roman" w:cs="Times New Roman"/>
          <w:color w:val="000000"/>
        </w:rPr>
        <w:t xml:space="preserve"> </w:t>
      </w:r>
      <w:r>
        <w:rPr>
          <w:rFonts w:eastAsia="Times New Roman" w:cs="Times New Roman"/>
          <w:color w:val="000000"/>
        </w:rPr>
        <w:t>1049.5</w:t>
      </w:r>
      <w:r w:rsidR="00886A79">
        <w:rPr>
          <w:rFonts w:eastAsia="Times New Roman" w:cs="Times New Roman"/>
          <w:color w:val="000000"/>
        </w:rPr>
        <w:t xml:space="preserve"> and</w:t>
      </w:r>
      <w:r w:rsidR="00810B73">
        <w:rPr>
          <w:rFonts w:eastAsia="Times New Roman" w:cs="Times New Roman"/>
          <w:color w:val="000000"/>
        </w:rPr>
        <w:t xml:space="preserve"> </w:t>
      </w:r>
      <w:r>
        <w:rPr>
          <w:rFonts w:eastAsia="Times New Roman" w:cs="Times New Roman"/>
          <w:color w:val="000000"/>
        </w:rPr>
        <w:t xml:space="preserve">1050 and </w:t>
      </w:r>
      <w:r w:rsidRPr="0031765F">
        <w:rPr>
          <w:rFonts w:eastAsia="Times New Roman" w:cs="Times New Roman"/>
          <w:color w:val="000000"/>
        </w:rPr>
        <w:t>“</w:t>
      </w:r>
      <w:r>
        <w:rPr>
          <w:rFonts w:eastAsia="Times New Roman" w:cs="Times New Roman"/>
          <w:color w:val="000000"/>
        </w:rPr>
        <w:t>resting its good cause determination</w:t>
      </w:r>
      <w:r w:rsidRPr="0031765F">
        <w:rPr>
          <w:rFonts w:eastAsia="Times New Roman" w:cs="Times New Roman"/>
          <w:color w:val="000000"/>
        </w:rPr>
        <w:t xml:space="preserve"> </w:t>
      </w:r>
      <w:r>
        <w:rPr>
          <w:rFonts w:eastAsia="Times New Roman" w:cs="Times New Roman"/>
          <w:color w:val="000000"/>
        </w:rPr>
        <w:t>on affidavits and declarations,</w:t>
      </w:r>
      <w:r w:rsidRPr="0031765F">
        <w:rPr>
          <w:rFonts w:eastAsia="Times New Roman" w:cs="Times New Roman"/>
          <w:color w:val="000000"/>
        </w:rPr>
        <w:t>” defendant court “</w:t>
      </w:r>
      <w:r>
        <w:rPr>
          <w:rFonts w:eastAsia="Times New Roman" w:cs="Times New Roman"/>
          <w:color w:val="000000"/>
        </w:rPr>
        <w:t>routinely continues felony trials</w:t>
      </w:r>
      <w:r w:rsidRPr="0031765F">
        <w:rPr>
          <w:rFonts w:eastAsia="Times New Roman" w:cs="Times New Roman"/>
          <w:color w:val="000000"/>
        </w:rPr>
        <w:t xml:space="preserve"> </w:t>
      </w:r>
      <w:r>
        <w:rPr>
          <w:rFonts w:eastAsia="Times New Roman" w:cs="Times New Roman"/>
          <w:color w:val="000000"/>
        </w:rPr>
        <w:t xml:space="preserve">for months at a time, relying only on a generic </w:t>
      </w:r>
      <w:r w:rsidRPr="0031765F">
        <w:rPr>
          <w:rFonts w:eastAsia="Times New Roman" w:cs="Times New Roman"/>
          <w:color w:val="000000"/>
        </w:rPr>
        <w:t>‘</w:t>
      </w:r>
      <w:r>
        <w:rPr>
          <w:rFonts w:eastAsia="Times New Roman" w:cs="Times New Roman"/>
          <w:color w:val="000000"/>
        </w:rPr>
        <w:t>good cause</w:t>
      </w:r>
      <w:r w:rsidRPr="0031765F">
        <w:rPr>
          <w:rFonts w:eastAsia="Times New Roman" w:cs="Times New Roman"/>
          <w:color w:val="000000"/>
        </w:rPr>
        <w:t xml:space="preserve">’ </w:t>
      </w:r>
      <w:r>
        <w:rPr>
          <w:rFonts w:eastAsia="Times New Roman" w:cs="Times New Roman"/>
          <w:color w:val="000000"/>
        </w:rPr>
        <w:t>script.</w:t>
      </w:r>
      <w:r w:rsidRPr="0031765F">
        <w:rPr>
          <w:rFonts w:eastAsia="Times New Roman" w:cs="Times New Roman"/>
          <w:color w:val="000000"/>
        </w:rPr>
        <w:t>”</w:t>
      </w:r>
      <w:r>
        <w:rPr>
          <w:rFonts w:eastAsia="Times New Roman" w:cs="Times New Roman"/>
          <w:color w:val="000000"/>
        </w:rPr>
        <w:t xml:space="preserve"> </w:t>
      </w:r>
      <w:r w:rsidR="00501506">
        <w:rPr>
          <w:rFonts w:eastAsia="Times New Roman" w:cs="Times New Roman"/>
          <w:color w:val="000000"/>
        </w:rPr>
        <w:t xml:space="preserve">This would appear to state a second, substantive basis for a taxpayer claim. </w:t>
      </w:r>
      <w:r w:rsidR="0004784F">
        <w:rPr>
          <w:rFonts w:eastAsia="Times New Roman" w:cs="Times New Roman"/>
          <w:color w:val="000000"/>
        </w:rPr>
        <w:t xml:space="preserve">Although individual </w:t>
      </w:r>
      <w:r w:rsidR="004907B0">
        <w:rPr>
          <w:rFonts w:eastAsia="Times New Roman" w:cs="Times New Roman"/>
          <w:color w:val="000000"/>
        </w:rPr>
        <w:t>judges</w:t>
      </w:r>
      <w:r w:rsidR="0004784F">
        <w:rPr>
          <w:rFonts w:eastAsia="Times New Roman" w:cs="Times New Roman"/>
          <w:color w:val="000000"/>
        </w:rPr>
        <w:t xml:space="preserve"> </w:t>
      </w:r>
      <w:r w:rsidR="0017078B">
        <w:rPr>
          <w:rFonts w:eastAsia="Times New Roman" w:cs="Times New Roman"/>
          <w:color w:val="000000"/>
        </w:rPr>
        <w:t>rule on speedy trial motions</w:t>
      </w:r>
      <w:r w:rsidR="00545CD3">
        <w:rPr>
          <w:rFonts w:eastAsia="Times New Roman" w:cs="Times New Roman"/>
          <w:color w:val="000000"/>
        </w:rPr>
        <w:t xml:space="preserve"> pursuant to sections 1049.5 and 1050</w:t>
      </w:r>
      <w:r w:rsidR="00E14C04">
        <w:rPr>
          <w:rFonts w:eastAsia="Times New Roman" w:cs="Times New Roman"/>
          <w:color w:val="000000"/>
        </w:rPr>
        <w:t xml:space="preserve"> in </w:t>
      </w:r>
      <w:r w:rsidR="0017078B">
        <w:rPr>
          <w:rFonts w:eastAsia="Times New Roman" w:cs="Times New Roman"/>
          <w:color w:val="000000"/>
        </w:rPr>
        <w:t xml:space="preserve">individual </w:t>
      </w:r>
      <w:r w:rsidR="00E14C04">
        <w:rPr>
          <w:rFonts w:eastAsia="Times New Roman" w:cs="Times New Roman"/>
          <w:color w:val="000000"/>
        </w:rPr>
        <w:t xml:space="preserve">criminal cases, </w:t>
      </w:r>
      <w:r w:rsidR="006B3497">
        <w:rPr>
          <w:rFonts w:eastAsia="Times New Roman" w:cs="Times New Roman"/>
          <w:color w:val="000000"/>
        </w:rPr>
        <w:t xml:space="preserve">plaintiffs’ claim focuses on </w:t>
      </w:r>
      <w:r w:rsidR="005534EE">
        <w:rPr>
          <w:rFonts w:eastAsia="Times New Roman" w:cs="Times New Roman"/>
          <w:color w:val="000000"/>
        </w:rPr>
        <w:t xml:space="preserve">the </w:t>
      </w:r>
      <w:r w:rsidR="005534EE">
        <w:rPr>
          <w:rFonts w:eastAsia="Times New Roman" w:cs="Times New Roman"/>
          <w:color w:val="000000"/>
        </w:rPr>
        <w:lastRenderedPageBreak/>
        <w:t xml:space="preserve">role of defendant court and the defendant presiding judge in </w:t>
      </w:r>
      <w:r w:rsidR="00B72D49">
        <w:rPr>
          <w:rFonts w:eastAsia="Times New Roman" w:cs="Times New Roman"/>
          <w:color w:val="000000"/>
        </w:rPr>
        <w:t xml:space="preserve">structuring and </w:t>
      </w:r>
      <w:r w:rsidR="001A434A">
        <w:rPr>
          <w:rFonts w:eastAsia="Times New Roman" w:cs="Times New Roman"/>
          <w:color w:val="000000"/>
        </w:rPr>
        <w:t xml:space="preserve">supervising </w:t>
      </w:r>
      <w:r w:rsidR="00B72D49">
        <w:rPr>
          <w:rFonts w:eastAsia="Times New Roman" w:cs="Times New Roman"/>
          <w:color w:val="000000"/>
        </w:rPr>
        <w:t>that process. (Cf. Cal. Rules of Court, rule</w:t>
      </w:r>
      <w:r w:rsidR="007D3EB1">
        <w:rPr>
          <w:rFonts w:eastAsia="Times New Roman" w:cs="Times New Roman"/>
          <w:color w:val="000000"/>
        </w:rPr>
        <w:t> </w:t>
      </w:r>
      <w:r w:rsidR="00B72D49">
        <w:rPr>
          <w:rFonts w:eastAsia="Times New Roman" w:cs="Times New Roman"/>
          <w:color w:val="000000"/>
        </w:rPr>
        <w:t>4.115</w:t>
      </w:r>
      <w:r w:rsidR="00C961FE">
        <w:rPr>
          <w:rFonts w:eastAsia="Times New Roman" w:cs="Times New Roman"/>
          <w:color w:val="000000"/>
        </w:rPr>
        <w:t>.</w:t>
      </w:r>
      <w:r w:rsidR="00720076">
        <w:rPr>
          <w:rFonts w:eastAsia="Times New Roman" w:cs="Times New Roman"/>
          <w:color w:val="000000"/>
        </w:rPr>
        <w:t xml:space="preserve">) </w:t>
      </w:r>
      <w:r w:rsidR="00501506">
        <w:t xml:space="preserve">If plaintiffs can prove defendants disseminated to defendant court’s </w:t>
      </w:r>
      <w:r w:rsidR="004907B0">
        <w:t>judge</w:t>
      </w:r>
      <w:r w:rsidR="00501506">
        <w:t>s</w:t>
      </w:r>
      <w:r w:rsidR="006B4FF8">
        <w:t xml:space="preserve"> </w:t>
      </w:r>
      <w:r w:rsidR="00501506">
        <w:t>a generic continuance “script”</w:t>
      </w:r>
      <w:r w:rsidR="008B3184">
        <w:t xml:space="preserve"> </w:t>
      </w:r>
      <w:r w:rsidR="008E3BFB">
        <w:t>for use</w:t>
      </w:r>
      <w:r w:rsidR="00501506">
        <w:t xml:space="preserve"> </w:t>
      </w:r>
      <w:r w:rsidR="00501506" w:rsidRPr="71612094">
        <w:rPr>
          <w:i/>
          <w:iCs/>
        </w:rPr>
        <w:t>in lieu of</w:t>
      </w:r>
      <w:r w:rsidR="00501506">
        <w:t xml:space="preserve"> </w:t>
      </w:r>
      <w:r w:rsidR="008B3184">
        <w:t xml:space="preserve">(not merely in aid of) </w:t>
      </w:r>
      <w:r w:rsidR="00501506">
        <w:t>compliance with the procedural requirements of sections</w:t>
      </w:r>
      <w:r w:rsidR="007D3EB1">
        <w:t> </w:t>
      </w:r>
      <w:r w:rsidR="00501506">
        <w:t>1382, 1049.5 and 1050(b)</w:t>
      </w:r>
      <w:r w:rsidR="006C320B">
        <w:t xml:space="preserve"> to</w:t>
      </w:r>
      <w:r w:rsidR="007D3EB1">
        <w:t> </w:t>
      </w:r>
      <w:r w:rsidR="00501506">
        <w:t>(</w:t>
      </w:r>
      <w:proofErr w:type="spellStart"/>
      <w:r w:rsidR="00501506">
        <w:t>i</w:t>
      </w:r>
      <w:proofErr w:type="spellEnd"/>
      <w:r w:rsidR="00501506">
        <w:t xml:space="preserve">), they may </w:t>
      </w:r>
      <w:r w:rsidR="00DF43C6">
        <w:t xml:space="preserve">prove </w:t>
      </w:r>
      <w:r w:rsidR="00463F73">
        <w:t>defendants</w:t>
      </w:r>
      <w:r w:rsidR="00EA7A78">
        <w:t xml:space="preserve"> </w:t>
      </w:r>
      <w:r w:rsidR="00E77437">
        <w:t xml:space="preserve">violated </w:t>
      </w:r>
      <w:r w:rsidR="00404652">
        <w:t xml:space="preserve">independent duties to enact policies and practices </w:t>
      </w:r>
      <w:r w:rsidR="00CB1367">
        <w:t xml:space="preserve">designed to avoid delays and statutory dismissals, and instead actively </w:t>
      </w:r>
      <w:r w:rsidR="6C1C1059">
        <w:t xml:space="preserve">facilitated and sanctioned </w:t>
      </w:r>
      <w:r w:rsidR="1BC8CE04">
        <w:t xml:space="preserve">the violation, </w:t>
      </w:r>
      <w:proofErr w:type="spellStart"/>
      <w:r w:rsidR="1BC8CE04" w:rsidRPr="71612094">
        <w:rPr>
          <w:i/>
          <w:iCs/>
        </w:rPr>
        <w:t>en</w:t>
      </w:r>
      <w:proofErr w:type="spellEnd"/>
      <w:r w:rsidR="1BC8CE04" w:rsidRPr="71612094">
        <w:rPr>
          <w:i/>
          <w:iCs/>
        </w:rPr>
        <w:t xml:space="preserve"> masse</w:t>
      </w:r>
      <w:r w:rsidR="1BC8CE04">
        <w:t xml:space="preserve">, of </w:t>
      </w:r>
      <w:r w:rsidR="00CB1367">
        <w:t>underlying</w:t>
      </w:r>
      <w:r w:rsidR="1BC8CE04">
        <w:t xml:space="preserve"> </w:t>
      </w:r>
      <w:r w:rsidR="00974480">
        <w:t xml:space="preserve">statutory </w:t>
      </w:r>
      <w:r w:rsidR="00F73A43">
        <w:t xml:space="preserve">procedural </w:t>
      </w:r>
      <w:r w:rsidR="1BC8CE04">
        <w:t>requirements</w:t>
      </w:r>
      <w:r w:rsidR="00F73A43">
        <w:t xml:space="preserve"> governing speedy trial motions</w:t>
      </w:r>
      <w:r w:rsidR="00501506">
        <w:t>.</w:t>
      </w:r>
      <w:r>
        <w:rPr>
          <w:rStyle w:val="FootnoteReference"/>
          <w:sz w:val="24"/>
          <w:szCs w:val="24"/>
        </w:rPr>
        <w:footnoteReference w:id="32"/>
      </w:r>
      <w:r w:rsidR="00745EA7">
        <w:t xml:space="preserve"> </w:t>
      </w:r>
    </w:p>
    <w:p w14:paraId="1DA45BD2" w14:textId="27393346" w:rsidR="0080647E" w:rsidRDefault="001B6997" w:rsidP="003F5F13">
      <w:pPr>
        <w:autoSpaceDE w:val="0"/>
        <w:autoSpaceDN w:val="0"/>
        <w:adjustRightInd w:val="0"/>
        <w:spacing w:line="360" w:lineRule="auto"/>
        <w:contextualSpacing/>
      </w:pPr>
      <w:r>
        <w:rPr>
          <w:rFonts w:eastAsia="Times New Roman" w:cs="Times New Roman"/>
          <w:color w:val="000000"/>
        </w:rPr>
        <w:tab/>
      </w:r>
      <w:r w:rsidR="25975A6A">
        <w:rPr>
          <w:rFonts w:eastAsia="Times New Roman" w:cs="Times New Roman"/>
          <w:color w:val="000000"/>
        </w:rPr>
        <w:t>Unlike plaintiffs’ section 1050(a)</w:t>
      </w:r>
      <w:r w:rsidR="009E5382">
        <w:rPr>
          <w:rFonts w:eastAsia="Times New Roman" w:cs="Times New Roman"/>
          <w:color w:val="000000"/>
        </w:rPr>
        <w:t xml:space="preserve"> theory of liability</w:t>
      </w:r>
      <w:r w:rsidR="25975A6A">
        <w:rPr>
          <w:rFonts w:eastAsia="Times New Roman" w:cs="Times New Roman"/>
          <w:color w:val="000000"/>
        </w:rPr>
        <w:t xml:space="preserve">, this theory implicitly </w:t>
      </w:r>
      <w:r w:rsidR="25975A6A" w:rsidRPr="00034551">
        <w:rPr>
          <w:rFonts w:eastAsia="Times New Roman" w:cs="Times New Roman"/>
          <w:color w:val="000000"/>
        </w:rPr>
        <w:t>challenges</w:t>
      </w:r>
      <w:r w:rsidR="604B7A79" w:rsidRPr="4B0E998B">
        <w:rPr>
          <w:rFonts w:cs="CenturySchoolbook"/>
        </w:rPr>
        <w:t>,</w:t>
      </w:r>
      <w:r w:rsidR="00B761EB">
        <w:rPr>
          <w:rFonts w:cs="CenturySchoolbook"/>
        </w:rPr>
        <w:t xml:space="preserve"> </w:t>
      </w:r>
      <w:r w:rsidR="04253686" w:rsidRPr="4B0E998B">
        <w:rPr>
          <w:rFonts w:cs="CenturySchoolbook"/>
        </w:rPr>
        <w:t xml:space="preserve">if not </w:t>
      </w:r>
      <w:r w:rsidR="25975A6A">
        <w:rPr>
          <w:rFonts w:eastAsia="Times New Roman" w:cs="Times New Roman"/>
          <w:color w:val="000000"/>
        </w:rPr>
        <w:t>the merits of trial judges’ rulings in various individual criminal cases</w:t>
      </w:r>
      <w:r w:rsidR="11F83FB9">
        <w:rPr>
          <w:rFonts w:eastAsia="Times New Roman" w:cs="Times New Roman"/>
          <w:color w:val="000000"/>
        </w:rPr>
        <w:t xml:space="preserve">, </w:t>
      </w:r>
      <w:r w:rsidR="0028132B">
        <w:rPr>
          <w:rFonts w:eastAsia="Times New Roman" w:cs="Times New Roman"/>
          <w:color w:val="000000"/>
        </w:rPr>
        <w:t xml:space="preserve">then </w:t>
      </w:r>
      <w:r w:rsidR="11F83FB9">
        <w:rPr>
          <w:rFonts w:eastAsia="Times New Roman" w:cs="Times New Roman"/>
          <w:color w:val="000000"/>
        </w:rPr>
        <w:t xml:space="preserve">the procedural </w:t>
      </w:r>
      <w:r w:rsidR="1FD5E218">
        <w:rPr>
          <w:rFonts w:eastAsia="Times New Roman" w:cs="Times New Roman"/>
          <w:color w:val="000000"/>
        </w:rPr>
        <w:t xml:space="preserve">foundation </w:t>
      </w:r>
      <w:r w:rsidR="11F83FB9">
        <w:rPr>
          <w:rFonts w:eastAsia="Times New Roman" w:cs="Times New Roman"/>
          <w:color w:val="000000"/>
        </w:rPr>
        <w:t>f</w:t>
      </w:r>
      <w:r w:rsidR="00244CDC">
        <w:rPr>
          <w:rFonts w:eastAsia="Times New Roman" w:cs="Times New Roman"/>
          <w:color w:val="000000"/>
        </w:rPr>
        <w:t>or</w:t>
      </w:r>
      <w:r w:rsidR="11F83FB9">
        <w:rPr>
          <w:rFonts w:eastAsia="Times New Roman" w:cs="Times New Roman"/>
          <w:color w:val="000000"/>
        </w:rPr>
        <w:t xml:space="preserve"> </w:t>
      </w:r>
      <w:r w:rsidR="1889C947">
        <w:rPr>
          <w:rFonts w:eastAsia="Times New Roman" w:cs="Times New Roman"/>
          <w:color w:val="000000"/>
        </w:rPr>
        <w:t>th</w:t>
      </w:r>
      <w:r w:rsidR="681FA8DC">
        <w:rPr>
          <w:rFonts w:eastAsia="Times New Roman" w:cs="Times New Roman"/>
          <w:color w:val="000000"/>
        </w:rPr>
        <w:t>os</w:t>
      </w:r>
      <w:r w:rsidR="1889C947">
        <w:rPr>
          <w:rFonts w:eastAsia="Times New Roman" w:cs="Times New Roman"/>
          <w:color w:val="000000"/>
        </w:rPr>
        <w:t>e determinations</w:t>
      </w:r>
      <w:r w:rsidR="25975A6A">
        <w:rPr>
          <w:rFonts w:eastAsia="Times New Roman" w:cs="Times New Roman"/>
          <w:color w:val="000000"/>
        </w:rPr>
        <w:t xml:space="preserve">. </w:t>
      </w:r>
      <w:r w:rsidR="00605725">
        <w:rPr>
          <w:rFonts w:eastAsia="Times New Roman" w:cs="Times New Roman"/>
          <w:color w:val="000000"/>
        </w:rPr>
        <w:t>Further, although</w:t>
      </w:r>
      <w:r w:rsidR="7D82931A">
        <w:rPr>
          <w:rFonts w:eastAsia="Times New Roman" w:cs="Times New Roman"/>
          <w:color w:val="000000"/>
        </w:rPr>
        <w:t xml:space="preserve"> p</w:t>
      </w:r>
      <w:r w:rsidR="25975A6A">
        <w:rPr>
          <w:rFonts w:eastAsia="Times New Roman" w:cs="Times New Roman"/>
          <w:color w:val="000000"/>
        </w:rPr>
        <w:t xml:space="preserve">laintiffs </w:t>
      </w:r>
      <w:r w:rsidR="00D31C0D">
        <w:rPr>
          <w:rFonts w:eastAsia="Times New Roman" w:cs="Times New Roman"/>
          <w:color w:val="000000"/>
        </w:rPr>
        <w:t>disclaim</w:t>
      </w:r>
      <w:r w:rsidR="25975A6A">
        <w:rPr>
          <w:rFonts w:eastAsia="Times New Roman" w:cs="Times New Roman"/>
          <w:color w:val="000000"/>
        </w:rPr>
        <w:t xml:space="preserve"> any </w:t>
      </w:r>
      <w:r w:rsidR="00D31C0D">
        <w:rPr>
          <w:rFonts w:eastAsia="Times New Roman" w:cs="Times New Roman"/>
          <w:color w:val="000000"/>
        </w:rPr>
        <w:t>request for</w:t>
      </w:r>
      <w:r w:rsidR="008A16AA">
        <w:rPr>
          <w:rFonts w:eastAsia="Times New Roman" w:cs="Times New Roman"/>
          <w:color w:val="000000"/>
        </w:rPr>
        <w:t xml:space="preserve"> </w:t>
      </w:r>
      <w:r w:rsidR="00020276">
        <w:rPr>
          <w:rFonts w:eastAsia="Times New Roman" w:cs="Times New Roman"/>
          <w:color w:val="000000"/>
        </w:rPr>
        <w:t>relief in any individual criminal case</w:t>
      </w:r>
      <w:r w:rsidR="00293EA7">
        <w:rPr>
          <w:rFonts w:eastAsia="Times New Roman" w:cs="Times New Roman"/>
          <w:color w:val="000000"/>
        </w:rPr>
        <w:t>,</w:t>
      </w:r>
      <w:r w:rsidR="25975A6A" w:rsidRPr="4B0E998B">
        <w:rPr>
          <w:rFonts w:cs="CenturySchoolbook"/>
        </w:rPr>
        <w:t xml:space="preserve"> </w:t>
      </w:r>
      <w:r w:rsidR="25975A6A">
        <w:rPr>
          <w:rFonts w:cs="CenturySchoolbook"/>
        </w:rPr>
        <w:t xml:space="preserve">criminal defendants </w:t>
      </w:r>
      <w:r w:rsidR="55CCEB02">
        <w:rPr>
          <w:rFonts w:cs="CenturySchoolbook"/>
        </w:rPr>
        <w:t>in pending cases (</w:t>
      </w:r>
      <w:r w:rsidR="00214641">
        <w:rPr>
          <w:rFonts w:cs="CenturySchoolbook"/>
        </w:rPr>
        <w:t>i.e</w:t>
      </w:r>
      <w:r w:rsidR="55CCEB02">
        <w:rPr>
          <w:rFonts w:cs="CenturySchoolbook"/>
        </w:rPr>
        <w:t xml:space="preserve">., </w:t>
      </w:r>
      <w:r w:rsidR="00214641">
        <w:rPr>
          <w:rFonts w:cs="CenturySchoolbook"/>
        </w:rPr>
        <w:t>those in which</w:t>
      </w:r>
      <w:r w:rsidR="55CCEB02">
        <w:rPr>
          <w:rFonts w:cs="CenturySchoolbook"/>
        </w:rPr>
        <w:t xml:space="preserve"> the trial court relied solely upon its recitation of the generic script in </w:t>
      </w:r>
      <w:r w:rsidR="6968467A">
        <w:rPr>
          <w:rFonts w:cs="CenturySchoolbook"/>
        </w:rPr>
        <w:t>denying a motion to dismiss under section 1382</w:t>
      </w:r>
      <w:r w:rsidR="55CCEB02">
        <w:rPr>
          <w:rFonts w:cs="CenturySchoolbook"/>
        </w:rPr>
        <w:t xml:space="preserve">) </w:t>
      </w:r>
      <w:r w:rsidR="25975A6A">
        <w:rPr>
          <w:rFonts w:cs="CenturySchoolbook"/>
        </w:rPr>
        <w:t xml:space="preserve">could </w:t>
      </w:r>
      <w:r w:rsidR="00020276">
        <w:rPr>
          <w:rFonts w:cs="CenturySchoolbook"/>
        </w:rPr>
        <w:t>conceivably</w:t>
      </w:r>
      <w:r w:rsidR="00020276" w:rsidRPr="4D00544E">
        <w:rPr>
          <w:rFonts w:cs="CenturySchoolbook"/>
        </w:rPr>
        <w:t xml:space="preserve"> </w:t>
      </w:r>
      <w:r w:rsidR="25975A6A">
        <w:rPr>
          <w:rFonts w:cs="CenturySchoolbook"/>
        </w:rPr>
        <w:t xml:space="preserve">seek to rely on </w:t>
      </w:r>
      <w:r w:rsidR="25975A6A" w:rsidRPr="4B0E998B">
        <w:rPr>
          <w:rFonts w:cs="CenturySchoolbook"/>
        </w:rPr>
        <w:t xml:space="preserve">findings or orders in </w:t>
      </w:r>
      <w:r w:rsidR="25975A6A" w:rsidRPr="00E810E9">
        <w:rPr>
          <w:rFonts w:cs="CenturySchoolbook"/>
        </w:rPr>
        <w:t>this</w:t>
      </w:r>
      <w:r w:rsidR="25975A6A" w:rsidRPr="4B0E998B">
        <w:rPr>
          <w:rFonts w:cs="CenturySchoolbook"/>
        </w:rPr>
        <w:t xml:space="preserve"> action </w:t>
      </w:r>
      <w:r w:rsidR="25975A6A">
        <w:rPr>
          <w:rFonts w:cs="CenturySchoolbook"/>
        </w:rPr>
        <w:t xml:space="preserve">to </w:t>
      </w:r>
      <w:r w:rsidR="00020276">
        <w:rPr>
          <w:rFonts w:cs="CenturySchoolbook"/>
        </w:rPr>
        <w:t>obtain</w:t>
      </w:r>
      <w:r w:rsidR="25975A6A" w:rsidRPr="4B0E998B">
        <w:rPr>
          <w:rFonts w:cs="CenturySchoolbook"/>
        </w:rPr>
        <w:t xml:space="preserve"> new or different rulings in </w:t>
      </w:r>
      <w:r w:rsidR="2695FEBE" w:rsidRPr="4B0E998B">
        <w:rPr>
          <w:rFonts w:cs="CenturySchoolbook"/>
        </w:rPr>
        <w:t>their</w:t>
      </w:r>
      <w:r w:rsidR="25975A6A" w:rsidRPr="4B0E998B">
        <w:rPr>
          <w:rFonts w:cs="CenturySchoolbook"/>
        </w:rPr>
        <w:t xml:space="preserve"> criminal cases.</w:t>
      </w:r>
      <w:r w:rsidR="00847363">
        <w:rPr>
          <w:rFonts w:cs="CenturySchoolbook"/>
        </w:rPr>
        <w:t xml:space="preserve"> </w:t>
      </w:r>
      <w:r w:rsidR="00E56E9E">
        <w:rPr>
          <w:rFonts w:cs="CenturySchoolbook"/>
        </w:rPr>
        <w:t xml:space="preserve">It is well-established, however, that </w:t>
      </w:r>
      <w:r w:rsidR="002B583C">
        <w:rPr>
          <w:rFonts w:cs="CenturySchoolbook"/>
        </w:rPr>
        <w:t xml:space="preserve">neither of </w:t>
      </w:r>
      <w:r w:rsidR="00E56E9E">
        <w:rPr>
          <w:rFonts w:cs="CenturySchoolbook"/>
        </w:rPr>
        <w:t xml:space="preserve">these </w:t>
      </w:r>
      <w:r w:rsidR="002B583C">
        <w:rPr>
          <w:rFonts w:cs="CenturySchoolbook"/>
        </w:rPr>
        <w:t>circumstances preclude a</w:t>
      </w:r>
      <w:r w:rsidR="00E56E9E">
        <w:rPr>
          <w:rFonts w:cs="CenturySchoolbook"/>
        </w:rPr>
        <w:t xml:space="preserve"> </w:t>
      </w:r>
      <w:r w:rsidR="25975A6A" w:rsidRPr="4B0E998B">
        <w:rPr>
          <w:rFonts w:cs="CenturySchoolbook"/>
        </w:rPr>
        <w:t>taxpayer standing</w:t>
      </w:r>
      <w:r w:rsidR="002B583C">
        <w:rPr>
          <w:rFonts w:cs="CenturySchoolbook"/>
        </w:rPr>
        <w:t xml:space="preserve"> </w:t>
      </w:r>
      <w:r w:rsidR="00D534ED">
        <w:rPr>
          <w:rFonts w:cs="CenturySchoolbook"/>
        </w:rPr>
        <w:t>claim</w:t>
      </w:r>
      <w:r w:rsidR="003D0D09">
        <w:rPr>
          <w:rFonts w:cs="CenturySchoolbook"/>
        </w:rPr>
        <w:t xml:space="preserve">. In </w:t>
      </w:r>
      <w:proofErr w:type="spellStart"/>
      <w:r w:rsidR="25975A6A" w:rsidRPr="797FBB80">
        <w:rPr>
          <w:i/>
          <w:iCs/>
        </w:rPr>
        <w:t>Wirin</w:t>
      </w:r>
      <w:proofErr w:type="spellEnd"/>
      <w:r w:rsidR="00293EA7" w:rsidRPr="00293EA7">
        <w:rPr>
          <w:i/>
          <w:iCs/>
        </w:rPr>
        <w:t xml:space="preserve"> </w:t>
      </w:r>
      <w:r w:rsidR="00293EA7" w:rsidRPr="797FBB80">
        <w:rPr>
          <w:i/>
          <w:iCs/>
        </w:rPr>
        <w:t>v. Parker</w:t>
      </w:r>
      <w:r w:rsidR="25975A6A">
        <w:rPr>
          <w:i/>
        </w:rPr>
        <w:t>,</w:t>
      </w:r>
      <w:r w:rsidR="25975A6A">
        <w:t xml:space="preserve"> </w:t>
      </w:r>
      <w:r w:rsidR="25975A6A" w:rsidRPr="797FBB80">
        <w:rPr>
          <w:i/>
          <w:iCs/>
        </w:rPr>
        <w:t>supra</w:t>
      </w:r>
      <w:r w:rsidR="25975A6A">
        <w:t xml:space="preserve">, </w:t>
      </w:r>
      <w:r w:rsidR="25975A6A" w:rsidRPr="00494413">
        <w:lastRenderedPageBreak/>
        <w:t>48</w:t>
      </w:r>
      <w:r w:rsidR="25975A6A">
        <w:t xml:space="preserve"> Cal.2d 890 (surveillance program alleged to violate Fourth Amendment), </w:t>
      </w:r>
      <w:r w:rsidR="25975A6A" w:rsidRPr="797FBB80">
        <w:rPr>
          <w:rFonts w:cs="CenturySchoolbook"/>
          <w:i/>
          <w:iCs/>
        </w:rPr>
        <w:t>Spitzer</w:t>
      </w:r>
      <w:r w:rsidR="25975A6A" w:rsidRPr="4B0E998B">
        <w:rPr>
          <w:rFonts w:cs="CenturySchoolbook"/>
        </w:rPr>
        <w:t xml:space="preserve">, </w:t>
      </w:r>
      <w:r w:rsidR="25975A6A" w:rsidRPr="797FBB80">
        <w:rPr>
          <w:rFonts w:cs="CenturySchoolbook"/>
          <w:i/>
          <w:iCs/>
        </w:rPr>
        <w:t>supra</w:t>
      </w:r>
      <w:r w:rsidR="25975A6A" w:rsidRPr="4B0E998B">
        <w:rPr>
          <w:rFonts w:cs="CenturySchoolbook"/>
        </w:rPr>
        <w:t>,</w:t>
      </w:r>
      <w:r w:rsidR="25975A6A" w:rsidRPr="797FBB80">
        <w:rPr>
          <w:rFonts w:cs="CenturySchoolbook"/>
          <w:i/>
          <w:iCs/>
        </w:rPr>
        <w:t xml:space="preserve"> </w:t>
      </w:r>
      <w:r w:rsidR="25975A6A">
        <w:t xml:space="preserve">53 Cal.App.5th 391 (confidential informant program alleged to elicit confessions in violation of constitutional rights), </w:t>
      </w:r>
      <w:r w:rsidR="007C4CE2">
        <w:t xml:space="preserve">and </w:t>
      </w:r>
      <w:r w:rsidR="25975A6A" w:rsidRPr="797FBB80">
        <w:rPr>
          <w:i/>
          <w:iCs/>
        </w:rPr>
        <w:t>Van Atta</w:t>
      </w:r>
      <w:r w:rsidR="25975A6A">
        <w:t xml:space="preserve">, </w:t>
      </w:r>
      <w:r w:rsidR="25975A6A" w:rsidRPr="797FBB80">
        <w:rPr>
          <w:i/>
          <w:iCs/>
        </w:rPr>
        <w:t>supra</w:t>
      </w:r>
      <w:r w:rsidR="25975A6A">
        <w:t>, 27 Cal.3d 424 (pretrial-release program alleged to deny due process of law)</w:t>
      </w:r>
      <w:r w:rsidR="005610D7">
        <w:t>,</w:t>
      </w:r>
      <w:r w:rsidR="0089501E">
        <w:t xml:space="preserve"> </w:t>
      </w:r>
      <w:r w:rsidR="25975A6A">
        <w:t>courts affirmed taxpayers’ ability to challenge the constitutionality of an alleged policy or pattern of official conduct</w:t>
      </w:r>
      <w:r w:rsidR="2D124475">
        <w:t>,</w:t>
      </w:r>
      <w:r w:rsidR="25975A6A">
        <w:t xml:space="preserve"> even though the challenges might </w:t>
      </w:r>
      <w:r w:rsidR="003D79A4">
        <w:t xml:space="preserve">implicitly </w:t>
      </w:r>
      <w:r w:rsidR="25975A6A">
        <w:t xml:space="preserve">undermine the propriety of past rulings or provide a basis to seek future relief in specific cases. </w:t>
      </w:r>
    </w:p>
    <w:p w14:paraId="58A45F56" w14:textId="4020B56B" w:rsidR="00BC0B43" w:rsidRDefault="001B6997" w:rsidP="001F698B">
      <w:pPr>
        <w:autoSpaceDE w:val="0"/>
        <w:autoSpaceDN w:val="0"/>
        <w:adjustRightInd w:val="0"/>
        <w:spacing w:line="360" w:lineRule="auto"/>
        <w:contextualSpacing/>
      </w:pPr>
      <w:r>
        <w:tab/>
      </w:r>
      <w:r w:rsidR="25975A6A" w:rsidRPr="4D00544E">
        <w:t xml:space="preserve">In </w:t>
      </w:r>
      <w:r w:rsidR="25975A6A" w:rsidRPr="797FBB80">
        <w:rPr>
          <w:i/>
          <w:iCs/>
        </w:rPr>
        <w:t xml:space="preserve">Spitzer, </w:t>
      </w:r>
      <w:r w:rsidR="25975A6A">
        <w:t xml:space="preserve">the defendants </w:t>
      </w:r>
      <w:r w:rsidR="00DE792B">
        <w:t>challenged</w:t>
      </w:r>
      <w:r w:rsidR="25975A6A">
        <w:t xml:space="preserve"> a taxpayer suit to enjoin a confidential-informant (CI) program that allegedly elicited confessions by unconstitutional means “because it will interfere with other pending criminal cases and thus fall afoul of the rule of exclusive concurrent jurisdiction.” (</w:t>
      </w:r>
      <w:r w:rsidR="25975A6A" w:rsidRPr="797FBB80">
        <w:rPr>
          <w:i/>
          <w:iCs/>
        </w:rPr>
        <w:t>Spitzer</w:t>
      </w:r>
      <w:r w:rsidR="25975A6A">
        <w:t xml:space="preserve">, </w:t>
      </w:r>
      <w:r w:rsidR="25975A6A" w:rsidRPr="797FBB80">
        <w:rPr>
          <w:i/>
          <w:iCs/>
        </w:rPr>
        <w:t>supra</w:t>
      </w:r>
      <w:r w:rsidR="25975A6A">
        <w:t>,</w:t>
      </w:r>
      <w:r w:rsidR="25975A6A" w:rsidRPr="797FBB80">
        <w:rPr>
          <w:i/>
          <w:iCs/>
        </w:rPr>
        <w:t xml:space="preserve"> </w:t>
      </w:r>
      <w:r w:rsidR="25975A6A">
        <w:t xml:space="preserve">53 Cal.App.5th at p. 405.) Rejecting that claim, the Fourth </w:t>
      </w:r>
      <w:r w:rsidR="00803E07">
        <w:t>Appellate</w:t>
      </w:r>
      <w:r w:rsidR="25975A6A">
        <w:t xml:space="preserve"> District noted that the court in the taxpayer action “</w:t>
      </w:r>
      <w:r w:rsidR="25975A6A" w:rsidRPr="005E6FE4">
        <w:t>will not be required to make a ruling</w:t>
      </w:r>
      <w:r w:rsidR="25975A6A">
        <w:t xml:space="preserve"> [regarding any specific confession or criminal case]</w:t>
      </w:r>
      <w:r w:rsidR="25975A6A" w:rsidRPr="005E6FE4">
        <w:t xml:space="preserve"> in a way that poses a risk of inconsistent directives</w:t>
      </w:r>
      <w:r w:rsidR="25975A6A">
        <w:t>.” (</w:t>
      </w:r>
      <w:r w:rsidR="25975A6A" w:rsidRPr="797FBB80">
        <w:rPr>
          <w:i/>
          <w:iCs/>
        </w:rPr>
        <w:t>I</w:t>
      </w:r>
      <w:r w:rsidR="00EF5FD6">
        <w:rPr>
          <w:i/>
          <w:iCs/>
        </w:rPr>
        <w:t>bi</w:t>
      </w:r>
      <w:r w:rsidR="25975A6A" w:rsidRPr="797FBB80">
        <w:rPr>
          <w:i/>
          <w:iCs/>
        </w:rPr>
        <w:t>d</w:t>
      </w:r>
      <w:r w:rsidR="25975A6A" w:rsidRPr="4D00544E">
        <w:t>.) But even if</w:t>
      </w:r>
      <w:r w:rsidR="25975A6A" w:rsidRPr="003C0565">
        <w:t xml:space="preserve"> </w:t>
      </w:r>
      <w:r w:rsidR="25975A6A">
        <w:t>“</w:t>
      </w:r>
      <w:r w:rsidR="25975A6A" w:rsidRPr="003C0565">
        <w:t xml:space="preserve">two departments </w:t>
      </w:r>
      <w:r w:rsidR="25975A6A">
        <w:t xml:space="preserve">. . . </w:t>
      </w:r>
      <w:r w:rsidR="25975A6A" w:rsidRPr="003C0565">
        <w:t>may form different legal opinions about the legality of the CI program</w:t>
      </w:r>
      <w:r w:rsidR="25975A6A">
        <w:t xml:space="preserve"> . . .</w:t>
      </w:r>
      <w:r w:rsidR="25975A6A" w:rsidRPr="003C0565">
        <w:t xml:space="preserve"> </w:t>
      </w:r>
      <w:r w:rsidR="00027F50">
        <w:t xml:space="preserve">[,] </w:t>
      </w:r>
      <w:r w:rsidR="25975A6A" w:rsidRPr="003C0565">
        <w:t xml:space="preserve">that sort of risk is inherent in judicial systems, like ours, that do not adhere to horizontal stare decisis. That is not a sufficient basis to deny plaintiffs standing </w:t>
      </w:r>
      <w:proofErr w:type="gramStart"/>
      <w:r w:rsidR="25975A6A">
        <w:t>. . . </w:t>
      </w:r>
      <w:r w:rsidR="25975A6A" w:rsidRPr="003C0565">
        <w:t>.</w:t>
      </w:r>
      <w:proofErr w:type="gramEnd"/>
      <w:r w:rsidR="25975A6A">
        <w:t>” (</w:t>
      </w:r>
      <w:r w:rsidR="25975A6A" w:rsidRPr="797FBB80">
        <w:rPr>
          <w:i/>
          <w:iCs/>
        </w:rPr>
        <w:t>Spitzer</w:t>
      </w:r>
      <w:r w:rsidR="25975A6A">
        <w:t xml:space="preserve">, </w:t>
      </w:r>
      <w:r w:rsidR="25975A6A" w:rsidRPr="797FBB80">
        <w:rPr>
          <w:i/>
          <w:iCs/>
        </w:rPr>
        <w:t>supra</w:t>
      </w:r>
      <w:r w:rsidR="25975A6A">
        <w:t>, 53 Cal.App.5th at p</w:t>
      </w:r>
      <w:r w:rsidR="00CB3EF2">
        <w:t>p</w:t>
      </w:r>
      <w:r w:rsidR="25975A6A">
        <w:t xml:space="preserve">. 406–407, citing </w:t>
      </w:r>
      <w:r w:rsidR="25975A6A" w:rsidRPr="797FBB80">
        <w:rPr>
          <w:i/>
          <w:iCs/>
        </w:rPr>
        <w:t>Van Atta</w:t>
      </w:r>
      <w:r w:rsidR="25975A6A">
        <w:t xml:space="preserve">, </w:t>
      </w:r>
      <w:r w:rsidR="25975A6A" w:rsidRPr="797FBB80">
        <w:rPr>
          <w:i/>
          <w:iCs/>
        </w:rPr>
        <w:t>supra</w:t>
      </w:r>
      <w:r w:rsidR="25975A6A">
        <w:t>, 27</w:t>
      </w:r>
      <w:r w:rsidR="00AF57F7">
        <w:t> </w:t>
      </w:r>
      <w:r w:rsidR="25975A6A">
        <w:t>Cal.3d 424</w:t>
      </w:r>
      <w:r w:rsidR="4CA5FBF9">
        <w:t xml:space="preserve"> </w:t>
      </w:r>
      <w:r w:rsidR="25975A6A">
        <w:t>[permitting taxpayer suit challenging pretrial release system].) We agree.</w:t>
      </w:r>
      <w:r>
        <w:rPr>
          <w:rStyle w:val="FootnoteReference"/>
        </w:rPr>
        <w:footnoteReference w:id="33"/>
      </w:r>
      <w:r w:rsidR="00A61865">
        <w:t xml:space="preserve"> </w:t>
      </w:r>
    </w:p>
    <w:p w14:paraId="26D2133C" w14:textId="707A72DA" w:rsidR="00AF0895" w:rsidRDefault="001B6997" w:rsidP="006A408C">
      <w:pPr>
        <w:autoSpaceDE w:val="0"/>
        <w:autoSpaceDN w:val="0"/>
        <w:adjustRightInd w:val="0"/>
        <w:spacing w:line="360" w:lineRule="auto"/>
        <w:contextualSpacing/>
      </w:pPr>
      <w:r>
        <w:lastRenderedPageBreak/>
        <w:tab/>
        <w:t>In any event, as we hav</w:t>
      </w:r>
      <w:r>
        <w:t>e noted throughout, the complaint expressly disclaims any intent to “c</w:t>
      </w:r>
      <w:r w:rsidR="00317BFF">
        <w:t xml:space="preserve">hallenge or seek to remedy any order in </w:t>
      </w:r>
      <w:proofErr w:type="gramStart"/>
      <w:r w:rsidR="00317BFF">
        <w:t>any</w:t>
      </w:r>
      <w:proofErr w:type="gramEnd"/>
      <w:r w:rsidR="00317BFF">
        <w:t xml:space="preserve"> </w:t>
      </w:r>
    </w:p>
    <w:p w14:paraId="450AB63D" w14:textId="7246F280" w:rsidR="006361AC" w:rsidRPr="007B57F1" w:rsidRDefault="001B6997" w:rsidP="006361AC">
      <w:pPr>
        <w:autoSpaceDE w:val="0"/>
        <w:autoSpaceDN w:val="0"/>
        <w:adjustRightInd w:val="0"/>
        <w:spacing w:line="360" w:lineRule="auto"/>
        <w:contextualSpacing/>
      </w:pPr>
      <w:proofErr w:type="gramStart"/>
      <w:r>
        <w:t>particular criminal</w:t>
      </w:r>
      <w:proofErr w:type="gramEnd"/>
      <w:r>
        <w:t xml:space="preserve"> case” or</w:t>
      </w:r>
      <w:r w:rsidR="00437D17">
        <w:t xml:space="preserve"> to “seek dismissal of</w:t>
      </w:r>
      <w:r w:rsidR="004719E3">
        <w:t xml:space="preserve"> any case.”</w:t>
      </w:r>
      <w:r w:rsidR="0080647E">
        <w:t xml:space="preserve"> On remand, we trust the trial court will manage the proceedings accordingly.</w:t>
      </w:r>
      <w:r w:rsidR="00A61865">
        <w:rPr>
          <w:rStyle w:val="FootnoteReference"/>
        </w:rPr>
        <w:t xml:space="preserve"> </w:t>
      </w:r>
    </w:p>
    <w:p w14:paraId="7D63BDDD" w14:textId="77777777" w:rsidR="0080647E" w:rsidRDefault="001B6997" w:rsidP="003F5F13">
      <w:pPr>
        <w:keepNext/>
        <w:spacing w:line="360" w:lineRule="auto"/>
        <w:contextualSpacing/>
        <w:jc w:val="center"/>
        <w:rPr>
          <w:b/>
        </w:rPr>
      </w:pPr>
      <w:r>
        <w:rPr>
          <w:b/>
        </w:rPr>
        <w:t>D</w:t>
      </w:r>
      <w:r>
        <w:rPr>
          <w:b/>
        </w:rPr>
        <w:t>isposition</w:t>
      </w:r>
    </w:p>
    <w:p w14:paraId="7677C802" w14:textId="59567302" w:rsidR="0080647E" w:rsidRDefault="001B6997" w:rsidP="003F5F13">
      <w:pPr>
        <w:autoSpaceDE w:val="0"/>
        <w:autoSpaceDN w:val="0"/>
        <w:adjustRightInd w:val="0"/>
        <w:spacing w:line="360" w:lineRule="auto"/>
        <w:contextualSpacing/>
      </w:pPr>
      <w:r>
        <w:rPr>
          <w:rFonts w:cs="Times New Roman"/>
        </w:rPr>
        <w:tab/>
        <w:t xml:space="preserve">The judgment of dismissal is </w:t>
      </w:r>
      <w:proofErr w:type="gramStart"/>
      <w:r>
        <w:rPr>
          <w:rFonts w:cs="Times New Roman"/>
        </w:rPr>
        <w:t>reversed</w:t>
      </w:r>
      <w:proofErr w:type="gramEnd"/>
      <w:r>
        <w:rPr>
          <w:rFonts w:cs="Times New Roman"/>
        </w:rPr>
        <w:t xml:space="preserve"> and the matter is remanded for further proceedings consistent with this opinion.</w:t>
      </w:r>
      <w:r w:rsidR="001F04FE">
        <w:rPr>
          <w:rFonts w:cs="Times New Roman"/>
        </w:rPr>
        <w:t xml:space="preserve"> </w:t>
      </w:r>
      <w:r w:rsidR="00DF26D4">
        <w:rPr>
          <w:rFonts w:cs="Times New Roman"/>
        </w:rPr>
        <w:t xml:space="preserve">Plaintiffs shall recover their costs on appeal. </w:t>
      </w:r>
    </w:p>
    <w:p w14:paraId="4C402A5C" w14:textId="3E0BA093" w:rsidR="00704A5B" w:rsidRDefault="001B6997">
      <w:pPr>
        <w:tabs>
          <w:tab w:val="left" w:pos="6120"/>
        </w:tabs>
        <w:spacing w:before="240" w:line="240" w:lineRule="auto"/>
      </w:pPr>
      <w:r>
        <w:tab/>
      </w:r>
      <w:r>
        <w:tab/>
        <w:t>WHITMAN, J.</w:t>
      </w:r>
      <w:r>
        <w:rPr>
          <w:rStyle w:val="FootnoteReference"/>
        </w:rPr>
        <w:footnoteReference w:customMarkFollows="1" w:id="34"/>
        <w:t>*</w:t>
      </w:r>
    </w:p>
    <w:p w14:paraId="54A5E782" w14:textId="77777777" w:rsidR="00704A5B" w:rsidRDefault="001B6997">
      <w:pPr>
        <w:tabs>
          <w:tab w:val="left" w:pos="1620"/>
        </w:tabs>
        <w:spacing w:before="240" w:after="240" w:line="240" w:lineRule="auto"/>
      </w:pPr>
      <w:r>
        <w:t>WE CONCUR:</w:t>
      </w:r>
    </w:p>
    <w:p w14:paraId="7BAF4921" w14:textId="0EB7DBAC" w:rsidR="00704A5B" w:rsidRDefault="001B6997">
      <w:pPr>
        <w:tabs>
          <w:tab w:val="left" w:pos="1620"/>
        </w:tabs>
        <w:spacing w:line="240" w:lineRule="auto"/>
      </w:pPr>
      <w:r>
        <w:t>STREETER,</w:t>
      </w:r>
      <w:r w:rsidR="00AD3FBC">
        <w:t xml:space="preserve"> Acting P. </w:t>
      </w:r>
      <w:r>
        <w:t>J.</w:t>
      </w:r>
    </w:p>
    <w:p w14:paraId="0E956E34" w14:textId="77777777" w:rsidR="00704A5B" w:rsidRDefault="001B6997">
      <w:pPr>
        <w:tabs>
          <w:tab w:val="left" w:pos="1620"/>
        </w:tabs>
        <w:spacing w:line="240" w:lineRule="auto"/>
      </w:pPr>
      <w:r>
        <w:t>GOLDMAN, J.</w:t>
      </w:r>
    </w:p>
    <w:p w14:paraId="7CA92C75" w14:textId="77777777" w:rsidR="00CB1850" w:rsidRDefault="00CB1850" w:rsidP="003F5F13">
      <w:pPr>
        <w:autoSpaceDE w:val="0"/>
        <w:autoSpaceDN w:val="0"/>
        <w:adjustRightInd w:val="0"/>
        <w:spacing w:line="360" w:lineRule="auto"/>
        <w:contextualSpacing/>
        <w:sectPr w:rsidR="00CB1850" w:rsidSect="00305C40">
          <w:footerReference w:type="default" r:id="rId18"/>
          <w:pgSz w:w="12240" w:h="15840"/>
          <w:pgMar w:top="1440" w:right="1440" w:bottom="1440" w:left="1440" w:header="720" w:footer="720" w:gutter="0"/>
          <w:pgNumType w:start="1"/>
          <w:cols w:space="720"/>
          <w:docGrid w:linePitch="360"/>
        </w:sectPr>
      </w:pPr>
    </w:p>
    <w:p w14:paraId="7C622790" w14:textId="12A9711C" w:rsidR="00EA2F79" w:rsidRDefault="001B6997" w:rsidP="00EA2F79">
      <w:r>
        <w:lastRenderedPageBreak/>
        <w:t>Trial Court:</w:t>
      </w:r>
      <w:r>
        <w:tab/>
      </w:r>
      <w:r>
        <w:tab/>
        <w:t xml:space="preserve">Superior Court of California, County of </w:t>
      </w:r>
      <w:r w:rsidR="001C77D3">
        <w:t>Contra Costa</w:t>
      </w:r>
    </w:p>
    <w:p w14:paraId="56F85195" w14:textId="77777777" w:rsidR="00DD104E" w:rsidRDefault="00DD104E" w:rsidP="00464B64">
      <w:pPr>
        <w:spacing w:line="240" w:lineRule="auto"/>
      </w:pPr>
    </w:p>
    <w:p w14:paraId="7C79D506" w14:textId="41F4FB45" w:rsidR="00440196" w:rsidRDefault="001B6997" w:rsidP="00435AD1">
      <w:pPr>
        <w:spacing w:line="240" w:lineRule="atLeast"/>
      </w:pPr>
      <w:r>
        <w:t>Trial Judge:</w:t>
      </w:r>
      <w:r>
        <w:tab/>
        <w:t>Hon</w:t>
      </w:r>
      <w:r w:rsidR="00DD104E">
        <w:t>. E</w:t>
      </w:r>
      <w:r w:rsidR="00E554A3">
        <w:t>dward</w:t>
      </w:r>
      <w:r w:rsidR="00C1440F">
        <w:t> G.</w:t>
      </w:r>
      <w:r w:rsidR="00E554A3">
        <w:t xml:space="preserve"> Weil</w:t>
      </w:r>
    </w:p>
    <w:p w14:paraId="7D4BCA02" w14:textId="77777777" w:rsidR="00DD104E" w:rsidRDefault="00DD104E" w:rsidP="00464B64">
      <w:pPr>
        <w:spacing w:line="240" w:lineRule="auto"/>
      </w:pPr>
    </w:p>
    <w:p w14:paraId="4E39C2AB" w14:textId="7000F8EA" w:rsidR="00EA2F79" w:rsidRDefault="001B6997" w:rsidP="00435AD1">
      <w:pPr>
        <w:spacing w:line="240" w:lineRule="auto"/>
        <w:ind w:left="2160" w:hanging="2160"/>
      </w:pPr>
      <w:r>
        <w:t>Counsel:</w:t>
      </w:r>
      <w:r>
        <w:tab/>
      </w:r>
      <w:r w:rsidR="00B62903">
        <w:t>Ol</w:t>
      </w:r>
      <w:r w:rsidR="009611E9">
        <w:t>ivier</w:t>
      </w:r>
      <w:r w:rsidR="00EE2D00">
        <w:t xml:space="preserve"> &amp; Schreiber</w:t>
      </w:r>
      <w:r w:rsidR="000844A8">
        <w:t xml:space="preserve">, </w:t>
      </w:r>
      <w:r w:rsidR="000E4626">
        <w:t>Monique Olivier</w:t>
      </w:r>
      <w:r w:rsidR="001930F6">
        <w:t xml:space="preserve">, </w:t>
      </w:r>
      <w:r w:rsidR="000E4626">
        <w:t xml:space="preserve">Christian </w:t>
      </w:r>
      <w:r w:rsidR="00A2588F">
        <w:t>Schreiber</w:t>
      </w:r>
      <w:r w:rsidR="00EE79D6">
        <w:t xml:space="preserve">; </w:t>
      </w:r>
      <w:r w:rsidR="0098063E">
        <w:t>Miller Shah</w:t>
      </w:r>
      <w:r w:rsidR="009A1B8F">
        <w:t xml:space="preserve">, </w:t>
      </w:r>
      <w:r w:rsidR="00CA5B2A">
        <w:t>James</w:t>
      </w:r>
      <w:r w:rsidR="00D86D96">
        <w:t> </w:t>
      </w:r>
      <w:r w:rsidR="00CA5B2A">
        <w:t>E. Miller</w:t>
      </w:r>
      <w:r w:rsidR="001F79D4">
        <w:t xml:space="preserve"> and </w:t>
      </w:r>
      <w:r w:rsidR="00BE265C">
        <w:t>Casey</w:t>
      </w:r>
      <w:r w:rsidR="009D7E3B">
        <w:t> </w:t>
      </w:r>
      <w:r w:rsidR="00BE265C">
        <w:t xml:space="preserve">T. </w:t>
      </w:r>
      <w:r w:rsidR="005D4D14">
        <w:t>Yamasaki</w:t>
      </w:r>
      <w:r w:rsidR="00696B56">
        <w:t xml:space="preserve"> for</w:t>
      </w:r>
      <w:r w:rsidR="0066307F">
        <w:t xml:space="preserve"> </w:t>
      </w:r>
      <w:r>
        <w:t>Plaintiffs and Appellants.</w:t>
      </w:r>
    </w:p>
    <w:p w14:paraId="18EDED4B" w14:textId="77777777" w:rsidR="00EA2F79" w:rsidRDefault="00EA2F79" w:rsidP="00EA2F79">
      <w:pPr>
        <w:spacing w:line="240" w:lineRule="auto"/>
        <w:ind w:left="2160"/>
      </w:pPr>
    </w:p>
    <w:p w14:paraId="7AB5218C" w14:textId="4C50977A" w:rsidR="00EA2F79" w:rsidRPr="00EB603A" w:rsidRDefault="001B6997" w:rsidP="00EA2F79">
      <w:pPr>
        <w:spacing w:line="240" w:lineRule="auto"/>
        <w:ind w:left="2160"/>
      </w:pPr>
      <w:r>
        <w:t xml:space="preserve">Clyde </w:t>
      </w:r>
      <w:r w:rsidR="00F27FF9">
        <w:t>&amp;</w:t>
      </w:r>
      <w:r w:rsidR="00A66389">
        <w:t xml:space="preserve"> </w:t>
      </w:r>
      <w:r w:rsidR="00F27FF9">
        <w:t>Co</w:t>
      </w:r>
      <w:r w:rsidR="007A4DE5">
        <w:t xml:space="preserve">, </w:t>
      </w:r>
      <w:r w:rsidR="007D04F2">
        <w:t>Alison</w:t>
      </w:r>
      <w:r w:rsidR="00D86D96">
        <w:t> </w:t>
      </w:r>
      <w:r w:rsidR="007D04F2">
        <w:t xml:space="preserve">K. </w:t>
      </w:r>
      <w:proofErr w:type="spellStart"/>
      <w:r w:rsidR="007D04F2">
        <w:t>Beanum</w:t>
      </w:r>
      <w:proofErr w:type="spellEnd"/>
      <w:r w:rsidR="00C84C7C">
        <w:t>, Douglas</w:t>
      </w:r>
      <w:r w:rsidR="00D86D96">
        <w:t> </w:t>
      </w:r>
      <w:r w:rsidR="00C84C7C">
        <w:t>J.</w:t>
      </w:r>
      <w:r w:rsidR="00D86D96">
        <w:t xml:space="preserve"> </w:t>
      </w:r>
      <w:proofErr w:type="spellStart"/>
      <w:r w:rsidR="00C84C7C">
        <w:t>Collodel</w:t>
      </w:r>
      <w:proofErr w:type="spellEnd"/>
      <w:r w:rsidR="0039798D">
        <w:t>, and Kevin</w:t>
      </w:r>
      <w:r w:rsidR="006F7078">
        <w:t> </w:t>
      </w:r>
      <w:r w:rsidR="0039798D">
        <w:t>R. Sutherland</w:t>
      </w:r>
      <w:r w:rsidR="00C21931">
        <w:t xml:space="preserve"> for</w:t>
      </w:r>
      <w:r w:rsidR="001E232D">
        <w:t xml:space="preserve"> </w:t>
      </w:r>
      <w:r>
        <w:t>Defendant</w:t>
      </w:r>
      <w:r w:rsidR="00131E0D">
        <w:t>s</w:t>
      </w:r>
      <w:r>
        <w:t xml:space="preserve"> and Respondent</w:t>
      </w:r>
      <w:r w:rsidR="00131E0D">
        <w:t>s</w:t>
      </w:r>
      <w:r>
        <w:t>.</w:t>
      </w:r>
    </w:p>
    <w:p w14:paraId="32815BE8" w14:textId="5C758539" w:rsidR="000B544A" w:rsidRDefault="000B544A" w:rsidP="003F5F13">
      <w:pPr>
        <w:autoSpaceDE w:val="0"/>
        <w:autoSpaceDN w:val="0"/>
        <w:adjustRightInd w:val="0"/>
        <w:spacing w:line="360" w:lineRule="auto"/>
        <w:contextualSpacing/>
      </w:pPr>
    </w:p>
    <w:sectPr w:rsidR="000B544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F98D5" w14:textId="77777777" w:rsidR="00000000" w:rsidRDefault="001B6997">
      <w:pPr>
        <w:spacing w:line="240" w:lineRule="auto"/>
      </w:pPr>
      <w:r>
        <w:separator/>
      </w:r>
    </w:p>
  </w:endnote>
  <w:endnote w:type="continuationSeparator" w:id="0">
    <w:p w14:paraId="34A22DC0" w14:textId="77777777" w:rsidR="00000000" w:rsidRDefault="001B69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enturySchoolbook">
    <w:altName w:val="Calibri"/>
    <w:panose1 w:val="00000000000000000000"/>
    <w:charset w:val="00"/>
    <w:family w:val="roman"/>
    <w:notTrueType/>
    <w:pitch w:val="default"/>
    <w:sig w:usb0="00000003" w:usb1="00000000" w:usb2="00000000" w:usb3="00000000" w:csb0="00000001" w:csb1="00000000"/>
  </w:font>
  <w:font w:name="PalatinoLinotype-Bold">
    <w:altName w:val="Palatino Linotype"/>
    <w:charset w:val="00"/>
    <w:family w:val="swiss"/>
    <w:pitch w:val="default"/>
    <w:sig w:usb0="00000003" w:usb1="00000000" w:usb2="00000000" w:usb3="00000000" w:csb0="00000001" w:csb1="00000000"/>
  </w:font>
  <w:font w:name="Calibri,Italic">
    <w:altName w:val="Calibri"/>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CFC3" w14:textId="77777777" w:rsidR="00CB5D11" w:rsidRDefault="00CB5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339544"/>
      <w:docPartObj>
        <w:docPartGallery w:val="Page Numbers (Bottom of Page)"/>
        <w:docPartUnique/>
      </w:docPartObj>
    </w:sdtPr>
    <w:sdtEndPr>
      <w:rPr>
        <w:noProof/>
      </w:rPr>
    </w:sdtEndPr>
    <w:sdtContent>
      <w:p w14:paraId="1114D8AB" w14:textId="77777777" w:rsidR="00305C40" w:rsidRDefault="001B6997" w:rsidP="009C47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ECF9" w14:textId="77777777" w:rsidR="00CB5D11" w:rsidRDefault="00CB5D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C45D" w14:textId="2E558832" w:rsidR="0080647E" w:rsidRDefault="001B699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6154927" w14:textId="75A6314F" w:rsidR="0080647E" w:rsidRDefault="001B699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660AEFB" w14:textId="77777777" w:rsidR="0080647E" w:rsidRDefault="0080647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2B18" w14:textId="6B2272D4" w:rsidR="0080647E" w:rsidRDefault="001B6997" w:rsidP="0080647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43</w:t>
    </w:r>
    <w:r>
      <w:rPr>
        <w:rStyle w:val="PageNumber"/>
      </w:rPr>
      <w:fldChar w:fldCharType="end"/>
    </w:r>
  </w:p>
  <w:p w14:paraId="4D12A05F" w14:textId="77777777" w:rsidR="0080647E" w:rsidRDefault="0080647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4055" w14:textId="0C7CE040" w:rsidR="00CB1850" w:rsidRPr="008F538D" w:rsidRDefault="001B6997">
    <w:pPr>
      <w:pStyle w:val="Footer"/>
      <w:rPr>
        <w:sz w:val="18"/>
        <w:szCs w:val="18"/>
      </w:rPr>
    </w:pPr>
    <w:r w:rsidRPr="008F538D">
      <w:rPr>
        <w:i/>
        <w:iCs/>
        <w:sz w:val="18"/>
        <w:szCs w:val="18"/>
      </w:rPr>
      <w:t>Raju et al. v. The Superior Court of California</w:t>
    </w:r>
    <w:r w:rsidR="004C55E3" w:rsidRPr="008F538D">
      <w:rPr>
        <w:i/>
        <w:iCs/>
        <w:sz w:val="18"/>
        <w:szCs w:val="18"/>
      </w:rPr>
      <w:t xml:space="preserve"> for the City and County of San Francisco</w:t>
    </w:r>
    <w:r w:rsidR="00143EF6" w:rsidRPr="008F538D">
      <w:rPr>
        <w:i/>
        <w:iCs/>
        <w:sz w:val="18"/>
        <w:szCs w:val="18"/>
      </w:rPr>
      <w:t xml:space="preserve"> et</w:t>
    </w:r>
    <w:r w:rsidR="00BF7B8B" w:rsidRPr="008F538D">
      <w:rPr>
        <w:i/>
        <w:iCs/>
        <w:sz w:val="18"/>
        <w:szCs w:val="18"/>
      </w:rPr>
      <w:t xml:space="preserve"> al</w:t>
    </w:r>
    <w:r w:rsidR="001E503A" w:rsidRPr="008F538D">
      <w:rPr>
        <w:i/>
        <w:iCs/>
        <w:sz w:val="18"/>
        <w:szCs w:val="18"/>
      </w:rPr>
      <w:t>.</w:t>
    </w:r>
    <w:r w:rsidR="004C55E3" w:rsidRPr="008F538D">
      <w:rPr>
        <w:sz w:val="18"/>
        <w:szCs w:val="18"/>
      </w:rPr>
      <w:t xml:space="preserve"> – A164736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28200" w14:textId="77777777" w:rsidR="00305C40" w:rsidRDefault="001B6997" w:rsidP="0080647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43</w:t>
    </w:r>
    <w:r>
      <w:rPr>
        <w:rStyle w:val="PageNumber"/>
      </w:rPr>
      <w:fldChar w:fldCharType="end"/>
    </w:r>
  </w:p>
  <w:p w14:paraId="04020FA6" w14:textId="77777777" w:rsidR="00305C40" w:rsidRDefault="00305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4914A" w14:textId="77777777" w:rsidR="008127E7" w:rsidRDefault="001B6997" w:rsidP="0080647E">
      <w:pPr>
        <w:spacing w:line="240" w:lineRule="auto"/>
      </w:pPr>
      <w:r>
        <w:separator/>
      </w:r>
    </w:p>
  </w:footnote>
  <w:footnote w:type="continuationSeparator" w:id="0">
    <w:p w14:paraId="7AD016A6" w14:textId="77777777" w:rsidR="008127E7" w:rsidRDefault="001B6997" w:rsidP="0080647E">
      <w:pPr>
        <w:spacing w:line="240" w:lineRule="auto"/>
      </w:pPr>
      <w:r>
        <w:continuationSeparator/>
      </w:r>
    </w:p>
  </w:footnote>
  <w:footnote w:type="continuationNotice" w:id="1">
    <w:p w14:paraId="1034C238" w14:textId="77777777" w:rsidR="008127E7" w:rsidRDefault="008127E7">
      <w:pPr>
        <w:spacing w:line="240" w:lineRule="auto"/>
      </w:pPr>
    </w:p>
  </w:footnote>
  <w:footnote w:id="2">
    <w:p w14:paraId="0619AD3C" w14:textId="4D3B9011" w:rsidR="0080647E" w:rsidRPr="00733734" w:rsidRDefault="001B6997" w:rsidP="00E50CDF">
      <w:pPr>
        <w:pStyle w:val="FootnoteText"/>
        <w:spacing w:after="120"/>
        <w:rPr>
          <w:szCs w:val="26"/>
        </w:rPr>
      </w:pPr>
      <w:r w:rsidRPr="00733734">
        <w:rPr>
          <w:szCs w:val="26"/>
        </w:rPr>
        <w:tab/>
      </w:r>
      <w:r w:rsidRPr="00733734">
        <w:rPr>
          <w:rStyle w:val="FootnoteReference"/>
          <w:szCs w:val="26"/>
        </w:rPr>
        <w:footnoteRef/>
      </w:r>
      <w:r w:rsidRPr="00733734">
        <w:rPr>
          <w:szCs w:val="26"/>
        </w:rPr>
        <w:t xml:space="preserve"> Plaintiffs </w:t>
      </w:r>
      <w:r>
        <w:rPr>
          <w:szCs w:val="26"/>
        </w:rPr>
        <w:t>initial</w:t>
      </w:r>
      <w:r w:rsidR="00AA4B52">
        <w:rPr>
          <w:szCs w:val="26"/>
        </w:rPr>
        <w:t xml:space="preserve">ly </w:t>
      </w:r>
      <w:r w:rsidRPr="00733734">
        <w:rPr>
          <w:szCs w:val="26"/>
        </w:rPr>
        <w:t xml:space="preserve">named </w:t>
      </w:r>
      <w:r w:rsidR="00777A5A">
        <w:rPr>
          <w:szCs w:val="26"/>
        </w:rPr>
        <w:t xml:space="preserve">as defendants </w:t>
      </w:r>
      <w:r w:rsidRPr="00733734">
        <w:rPr>
          <w:szCs w:val="26"/>
        </w:rPr>
        <w:t>then</w:t>
      </w:r>
      <w:r w:rsidR="003E7ED6">
        <w:rPr>
          <w:szCs w:val="26"/>
        </w:rPr>
        <w:t xml:space="preserve"> </w:t>
      </w:r>
      <w:r w:rsidRPr="00733734">
        <w:rPr>
          <w:szCs w:val="26"/>
        </w:rPr>
        <w:t xml:space="preserve">Presiding Judge </w:t>
      </w:r>
      <w:r w:rsidRPr="00733734">
        <w:rPr>
          <w:rFonts w:cs="CenturySchoolbook"/>
          <w:szCs w:val="26"/>
        </w:rPr>
        <w:t>Samuel</w:t>
      </w:r>
      <w:r w:rsidR="00BD156F">
        <w:rPr>
          <w:rFonts w:cs="CenturySchoolbook"/>
          <w:szCs w:val="26"/>
        </w:rPr>
        <w:t> </w:t>
      </w:r>
      <w:r w:rsidRPr="00733734">
        <w:rPr>
          <w:rFonts w:cs="CenturySchoolbook"/>
          <w:szCs w:val="26"/>
        </w:rPr>
        <w:t>K. Feng and then</w:t>
      </w:r>
      <w:r w:rsidR="002A566A">
        <w:rPr>
          <w:rFonts w:cs="CenturySchoolbook"/>
          <w:szCs w:val="26"/>
        </w:rPr>
        <w:t xml:space="preserve"> </w:t>
      </w:r>
      <w:r w:rsidRPr="00733734">
        <w:rPr>
          <w:rFonts w:cs="CenturySchoolbook"/>
          <w:szCs w:val="26"/>
        </w:rPr>
        <w:t xml:space="preserve">CEO T. Michael Yuen in their official capacities. While this appeal was pending, this court granted a motion </w:t>
      </w:r>
      <w:r>
        <w:rPr>
          <w:rFonts w:cs="CenturySchoolbook"/>
          <w:szCs w:val="26"/>
        </w:rPr>
        <w:t xml:space="preserve">to </w:t>
      </w:r>
      <w:r w:rsidRPr="00733734">
        <w:rPr>
          <w:rFonts w:cs="CenturySchoolbook"/>
          <w:szCs w:val="26"/>
        </w:rPr>
        <w:t>substitute current Presiding Judge Massullo and current Interim CEO Culkins, in their official capacities, as nominal defendants. (See</w:t>
      </w:r>
      <w:r>
        <w:rPr>
          <w:rFonts w:cs="CenturySchoolbook"/>
          <w:szCs w:val="26"/>
        </w:rPr>
        <w:t xml:space="preserve"> </w:t>
      </w:r>
      <w:r w:rsidRPr="00733734">
        <w:rPr>
          <w:rFonts w:cs="CenturySchoolbook"/>
          <w:szCs w:val="26"/>
        </w:rPr>
        <w:t>Cal</w:t>
      </w:r>
      <w:r w:rsidR="00E50CDF">
        <w:rPr>
          <w:rFonts w:cs="CenturySchoolbook"/>
          <w:szCs w:val="26"/>
        </w:rPr>
        <w:t>.</w:t>
      </w:r>
      <w:r w:rsidRPr="00733734">
        <w:rPr>
          <w:rFonts w:cs="CenturySchoolbook"/>
          <w:szCs w:val="26"/>
        </w:rPr>
        <w:t xml:space="preserve"> Rule</w:t>
      </w:r>
      <w:r w:rsidRPr="00733734">
        <w:rPr>
          <w:rFonts w:cs="CenturySchoolbook"/>
          <w:szCs w:val="26"/>
        </w:rPr>
        <w:t>s of Court, rule</w:t>
      </w:r>
      <w:r w:rsidR="00146A03">
        <w:rPr>
          <w:rFonts w:cs="CenturySchoolbook"/>
          <w:szCs w:val="26"/>
        </w:rPr>
        <w:t> </w:t>
      </w:r>
      <w:r w:rsidRPr="00733734">
        <w:rPr>
          <w:rFonts w:cs="CenturySchoolbook"/>
          <w:szCs w:val="26"/>
        </w:rPr>
        <w:t xml:space="preserve">8.36.) </w:t>
      </w:r>
    </w:p>
  </w:footnote>
  <w:footnote w:id="3">
    <w:p w14:paraId="22178062" w14:textId="71AC7569" w:rsidR="0080647E" w:rsidRPr="0085296A" w:rsidRDefault="001B6997" w:rsidP="00E50CDF">
      <w:pPr>
        <w:pStyle w:val="FootnoteText"/>
        <w:spacing w:after="120"/>
        <w:rPr>
          <w:szCs w:val="26"/>
        </w:rPr>
      </w:pPr>
      <w:r w:rsidRPr="0085296A">
        <w:tab/>
      </w:r>
      <w:r w:rsidRPr="2ED00FE3">
        <w:rPr>
          <w:rStyle w:val="FootnoteReference"/>
          <w:szCs w:val="26"/>
        </w:rPr>
        <w:footnoteRef/>
      </w:r>
      <w:r w:rsidRPr="2ED00FE3">
        <w:rPr>
          <w:szCs w:val="26"/>
        </w:rPr>
        <w:t xml:space="preserve"> </w:t>
      </w:r>
      <w:r w:rsidR="00F41058">
        <w:rPr>
          <w:szCs w:val="26"/>
        </w:rPr>
        <w:t>Although</w:t>
      </w:r>
      <w:r w:rsidRPr="2ED00FE3">
        <w:rPr>
          <w:szCs w:val="26"/>
        </w:rPr>
        <w:t xml:space="preserve"> Raju </w:t>
      </w:r>
      <w:r w:rsidR="00F41058">
        <w:rPr>
          <w:szCs w:val="26"/>
        </w:rPr>
        <w:t>is not listed</w:t>
      </w:r>
      <w:r w:rsidRPr="2ED00FE3">
        <w:rPr>
          <w:szCs w:val="26"/>
        </w:rPr>
        <w:t xml:space="preserve"> as a plaintiff only </w:t>
      </w:r>
      <w:r w:rsidRPr="2ED00FE3">
        <w:rPr>
          <w:spacing w:val="-2"/>
          <w:szCs w:val="26"/>
        </w:rPr>
        <w:t>on the taxpayer-standing</w:t>
      </w:r>
      <w:r w:rsidRPr="2ED00FE3">
        <w:rPr>
          <w:szCs w:val="26"/>
        </w:rPr>
        <w:t xml:space="preserve"> cause of action</w:t>
      </w:r>
      <w:r w:rsidR="00F41058">
        <w:rPr>
          <w:szCs w:val="26"/>
        </w:rPr>
        <w:t>,</w:t>
      </w:r>
      <w:r w:rsidRPr="2ED00FE3">
        <w:rPr>
          <w:szCs w:val="26"/>
        </w:rPr>
        <w:t xml:space="preserve"> he </w:t>
      </w:r>
      <w:r w:rsidR="00F41058">
        <w:rPr>
          <w:szCs w:val="26"/>
        </w:rPr>
        <w:t>asserts</w:t>
      </w:r>
      <w:r w:rsidR="00F41058" w:rsidRPr="2ED00FE3">
        <w:rPr>
          <w:szCs w:val="26"/>
        </w:rPr>
        <w:t xml:space="preserve"> </w:t>
      </w:r>
      <w:r w:rsidRPr="2ED00FE3">
        <w:rPr>
          <w:szCs w:val="26"/>
        </w:rPr>
        <w:t xml:space="preserve">that he would have standing to join the taxpayer action </w:t>
      </w:r>
      <w:r w:rsidRPr="2ED00FE3">
        <w:rPr>
          <w:spacing w:val="-2"/>
          <w:szCs w:val="26"/>
        </w:rPr>
        <w:t xml:space="preserve">and will seek leave to do so on remand. </w:t>
      </w:r>
      <w:r w:rsidRPr="2ED00FE3">
        <w:rPr>
          <w:szCs w:val="26"/>
        </w:rPr>
        <w:t xml:space="preserve">As </w:t>
      </w:r>
      <w:r w:rsidRPr="490EE589">
        <w:rPr>
          <w:szCs w:val="26"/>
        </w:rPr>
        <w:t xml:space="preserve">the </w:t>
      </w:r>
      <w:r w:rsidRPr="2ED00FE3">
        <w:rPr>
          <w:spacing w:val="-2"/>
          <w:szCs w:val="26"/>
        </w:rPr>
        <w:t>other appellants plainly</w:t>
      </w:r>
      <w:r w:rsidRPr="2ED00FE3">
        <w:rPr>
          <w:spacing w:val="-2"/>
          <w:szCs w:val="26"/>
        </w:rPr>
        <w:t xml:space="preserve"> have standing to appeal</w:t>
      </w:r>
      <w:r w:rsidRPr="2ED00FE3">
        <w:rPr>
          <w:szCs w:val="26"/>
        </w:rPr>
        <w:t xml:space="preserve">, </w:t>
      </w:r>
      <w:r w:rsidRPr="0E5941BA">
        <w:rPr>
          <w:szCs w:val="26"/>
        </w:rPr>
        <w:t xml:space="preserve">we need not address the </w:t>
      </w:r>
      <w:r w:rsidRPr="572A1C73">
        <w:rPr>
          <w:szCs w:val="26"/>
        </w:rPr>
        <w:t>issue</w:t>
      </w:r>
      <w:r w:rsidRPr="2ED00FE3">
        <w:rPr>
          <w:szCs w:val="26"/>
        </w:rPr>
        <w:t xml:space="preserve">. </w:t>
      </w:r>
    </w:p>
  </w:footnote>
  <w:footnote w:id="4">
    <w:p w14:paraId="7AA5022B" w14:textId="46EF7181" w:rsidR="0080647E" w:rsidRPr="00C01542" w:rsidRDefault="001B6997" w:rsidP="0080647E">
      <w:pPr>
        <w:pStyle w:val="FootnoteText"/>
        <w:spacing w:after="120"/>
        <w:rPr>
          <w:szCs w:val="26"/>
        </w:rPr>
      </w:pPr>
      <w:r w:rsidRPr="003D0C39">
        <w:tab/>
      </w:r>
      <w:r w:rsidRPr="003D0C39">
        <w:rPr>
          <w:rStyle w:val="FootnoteReference"/>
        </w:rPr>
        <w:footnoteRef/>
      </w:r>
      <w:r w:rsidRPr="003D0C39">
        <w:t xml:space="preserve"> </w:t>
      </w:r>
      <w:r w:rsidR="007C1D95">
        <w:rPr>
          <w:szCs w:val="26"/>
        </w:rPr>
        <w:t>As</w:t>
      </w:r>
      <w:r w:rsidRPr="00C01542">
        <w:rPr>
          <w:szCs w:val="26"/>
        </w:rPr>
        <w:t xml:space="preserve"> the judgment of dismissal followed an order sustaining a demurrer</w:t>
      </w:r>
      <w:r>
        <w:rPr>
          <w:szCs w:val="26"/>
        </w:rPr>
        <w:t xml:space="preserve"> without leave to amend</w:t>
      </w:r>
      <w:r w:rsidRPr="00C01542">
        <w:rPr>
          <w:szCs w:val="26"/>
        </w:rPr>
        <w:t>, we accept as true all facts properly alleged in the complaint. (</w:t>
      </w:r>
      <w:r w:rsidRPr="00C01542">
        <w:rPr>
          <w:i/>
          <w:iCs/>
          <w:szCs w:val="26"/>
        </w:rPr>
        <w:t xml:space="preserve">Minton v. Dignity Health </w:t>
      </w:r>
      <w:r w:rsidRPr="00C01542">
        <w:rPr>
          <w:szCs w:val="26"/>
        </w:rPr>
        <w:t>(2019) 39 Cal.App.5th 1155, 1161.)</w:t>
      </w:r>
    </w:p>
  </w:footnote>
  <w:footnote w:id="5">
    <w:p w14:paraId="7CE5EF53" w14:textId="00212526" w:rsidR="00842409" w:rsidRDefault="001B6997" w:rsidP="00691218">
      <w:pPr>
        <w:pStyle w:val="FootnoteText"/>
        <w:spacing w:after="120"/>
      </w:pPr>
      <w:r>
        <w:tab/>
      </w:r>
      <w:r w:rsidRPr="1D2EECFC">
        <w:rPr>
          <w:rStyle w:val="FootnoteReference"/>
        </w:rPr>
        <w:footnoteRef/>
      </w:r>
      <w:r>
        <w:t xml:space="preserve"> Defendant court continued to designate an additional four courtrooms as “satellites” for remote viewing of criminal trials. </w:t>
      </w:r>
    </w:p>
  </w:footnote>
  <w:footnote w:id="6">
    <w:p w14:paraId="1B1A5FF9" w14:textId="18DD9A8C" w:rsidR="00E20381" w:rsidRDefault="001B6997" w:rsidP="00E20381">
      <w:pPr>
        <w:pStyle w:val="FootnoteText"/>
        <w:ind w:firstLine="720"/>
      </w:pPr>
      <w:r w:rsidRPr="1D2EECFC">
        <w:rPr>
          <w:rStyle w:val="FootnoteReference"/>
        </w:rPr>
        <w:footnoteRef/>
      </w:r>
      <w:r>
        <w:t xml:space="preserve"> </w:t>
      </w:r>
      <w:r w:rsidR="00CE49F7" w:rsidRPr="00182CC7">
        <w:rPr>
          <w:szCs w:val="26"/>
        </w:rPr>
        <w:t>All u</w:t>
      </w:r>
      <w:r w:rsidRPr="00182CC7">
        <w:rPr>
          <w:szCs w:val="26"/>
        </w:rPr>
        <w:t>ndesignated statutory citations are to the Penal Code.</w:t>
      </w:r>
      <w:r w:rsidR="00953237" w:rsidRPr="00182CC7">
        <w:rPr>
          <w:szCs w:val="26"/>
        </w:rPr>
        <w:t xml:space="preserve"> </w:t>
      </w:r>
      <w:r w:rsidR="00B34FBD" w:rsidRPr="00182CC7">
        <w:rPr>
          <w:szCs w:val="26"/>
        </w:rPr>
        <w:t>For brevity</w:t>
      </w:r>
      <w:r w:rsidR="004D3D90" w:rsidRPr="00182CC7">
        <w:rPr>
          <w:szCs w:val="26"/>
        </w:rPr>
        <w:t>,</w:t>
      </w:r>
      <w:r w:rsidR="00B34FBD" w:rsidRPr="00182CC7">
        <w:rPr>
          <w:szCs w:val="26"/>
        </w:rPr>
        <w:t xml:space="preserve"> </w:t>
      </w:r>
      <w:r w:rsidR="0035157B" w:rsidRPr="00182CC7">
        <w:rPr>
          <w:szCs w:val="26"/>
        </w:rPr>
        <w:t>w</w:t>
      </w:r>
      <w:r w:rsidR="00953237" w:rsidRPr="00182CC7">
        <w:rPr>
          <w:szCs w:val="26"/>
        </w:rPr>
        <w:t xml:space="preserve">e refer to </w:t>
      </w:r>
      <w:r w:rsidR="00881017" w:rsidRPr="00182CC7">
        <w:rPr>
          <w:szCs w:val="26"/>
        </w:rPr>
        <w:t xml:space="preserve">subdivision (a) of section </w:t>
      </w:r>
      <w:r w:rsidR="003E378C" w:rsidRPr="00182CC7">
        <w:rPr>
          <w:szCs w:val="26"/>
        </w:rPr>
        <w:t xml:space="preserve">1050 </w:t>
      </w:r>
      <w:r w:rsidR="00881017" w:rsidRPr="00182CC7">
        <w:rPr>
          <w:szCs w:val="26"/>
        </w:rPr>
        <w:t>as section 1050(a).</w:t>
      </w:r>
    </w:p>
  </w:footnote>
  <w:footnote w:id="7">
    <w:p w14:paraId="0E6D92E0" w14:textId="70E53A1E" w:rsidR="1D2EECFC" w:rsidRDefault="001B6997" w:rsidP="00620388">
      <w:pPr>
        <w:spacing w:after="120" w:line="240" w:lineRule="auto"/>
      </w:pPr>
      <w:r>
        <w:tab/>
      </w:r>
      <w:r w:rsidRPr="1D2EECFC">
        <w:rPr>
          <w:rStyle w:val="FootnoteReference"/>
        </w:rPr>
        <w:footnoteRef/>
      </w:r>
      <w:r w:rsidR="205F293E">
        <w:t xml:space="preserve"> </w:t>
      </w:r>
      <w:r w:rsidR="007346B5">
        <w:t>On</w:t>
      </w:r>
      <w:r w:rsidR="205F293E">
        <w:t xml:space="preserve"> demurrer, the trial court dismissed plaintiffs’ remaining causes of action for a writ of mandate (Code Civ. Proc., § 1085, subd. (a)) to compel defendants to comply with assertedly ministerial duties to devote more resources to holding criminal trials, as well as a civil cause of action purportedly arising directly under the speedy trial clause (Cal. Const., art. I, § 15). Plaintiffs </w:t>
      </w:r>
      <w:r w:rsidR="00831D47">
        <w:t>do not appeal from</w:t>
      </w:r>
      <w:r w:rsidR="205F293E">
        <w:t xml:space="preserve"> </w:t>
      </w:r>
      <w:r w:rsidR="00386DDB">
        <w:t>this aspect of the order</w:t>
      </w:r>
      <w:r w:rsidR="205F293E">
        <w:t>.</w:t>
      </w:r>
    </w:p>
  </w:footnote>
  <w:footnote w:id="8">
    <w:p w14:paraId="59EE80B5" w14:textId="3F13F213" w:rsidR="43CBD6DA" w:rsidRDefault="001B6997" w:rsidP="00620388">
      <w:pPr>
        <w:spacing w:after="120" w:line="240" w:lineRule="auto"/>
      </w:pPr>
      <w:r>
        <w:tab/>
      </w:r>
      <w:r w:rsidRPr="43CBD6DA">
        <w:rPr>
          <w:rStyle w:val="FootnoteReference"/>
        </w:rPr>
        <w:footnoteRef/>
      </w:r>
      <w:r>
        <w:t xml:space="preserve"> </w:t>
      </w:r>
      <w:r>
        <w:t>We assume</w:t>
      </w:r>
      <w:r w:rsidR="00367659">
        <w:t xml:space="preserve"> </w:t>
      </w:r>
      <w:r w:rsidR="001E0FBB">
        <w:t>that by</w:t>
      </w:r>
      <w:r>
        <w:t xml:space="preserve"> </w:t>
      </w:r>
      <w:r w:rsidR="001E0FBB">
        <w:t>“</w:t>
      </w:r>
      <w:r>
        <w:t>specialized</w:t>
      </w:r>
      <w:r w:rsidR="001E0FBB">
        <w:t>”</w:t>
      </w:r>
      <w:r>
        <w:t xml:space="preserve"> </w:t>
      </w:r>
      <w:r w:rsidR="00367659">
        <w:t>civil matters</w:t>
      </w:r>
      <w:r>
        <w:t xml:space="preserve"> </w:t>
      </w:r>
      <w:r w:rsidR="001E0FBB">
        <w:t xml:space="preserve">plaintiffs </w:t>
      </w:r>
      <w:r w:rsidR="00367659">
        <w:t>mean</w:t>
      </w:r>
      <w:r>
        <w:t xml:space="preserve"> probate, juvenile justice, juvenile dependency, and family law</w:t>
      </w:r>
      <w:r w:rsidR="00367659">
        <w:t xml:space="preserve"> proceedings</w:t>
      </w:r>
      <w:r>
        <w:t>.</w:t>
      </w:r>
    </w:p>
  </w:footnote>
  <w:footnote w:id="9">
    <w:p w14:paraId="4151A53E" w14:textId="17DCB3A2" w:rsidR="005764CD" w:rsidRPr="003F3127" w:rsidRDefault="001B6997" w:rsidP="005764CD">
      <w:pPr>
        <w:spacing w:after="120" w:line="240" w:lineRule="auto"/>
      </w:pPr>
      <w:r>
        <w:tab/>
      </w:r>
      <w:r>
        <w:rPr>
          <w:rStyle w:val="FootnoteReference"/>
        </w:rPr>
        <w:footnoteRef/>
      </w:r>
      <w:r>
        <w:t xml:space="preserve"> </w:t>
      </w:r>
      <w:r w:rsidR="003F3127">
        <w:t>H</w:t>
      </w:r>
      <w:r w:rsidRPr="001E0FBB">
        <w:t xml:space="preserve">owever, plaintiffs’ counsel clarified at oral argument that with respect to the taxpayer cause of action, plaintiffs primarily seek declaratory relief and will seek injunctive relief </w:t>
      </w:r>
      <w:r w:rsidR="00A125C6" w:rsidRPr="001E0FBB">
        <w:t xml:space="preserve">only </w:t>
      </w:r>
      <w:r w:rsidRPr="001E0FBB">
        <w:t>“if necessary.”</w:t>
      </w:r>
      <w:r w:rsidR="00A125C6">
        <w:t xml:space="preserve"> (See fn. 2</w:t>
      </w:r>
      <w:r w:rsidR="00D72FD2">
        <w:t>9</w:t>
      </w:r>
      <w:r w:rsidR="00A125C6">
        <w:t xml:space="preserve">, </w:t>
      </w:r>
      <w:r w:rsidR="00A125C6">
        <w:rPr>
          <w:i/>
          <w:iCs/>
        </w:rPr>
        <w:t>post</w:t>
      </w:r>
      <w:r w:rsidR="003F3127">
        <w:t>.)</w:t>
      </w:r>
    </w:p>
  </w:footnote>
  <w:footnote w:id="10">
    <w:p w14:paraId="7F022F02" w14:textId="24F39167" w:rsidR="0080647E" w:rsidRPr="00477A29" w:rsidRDefault="001B6997" w:rsidP="0080647E">
      <w:pPr>
        <w:pStyle w:val="FootnoteText"/>
        <w:spacing w:after="120"/>
      </w:pPr>
      <w:r>
        <w:tab/>
      </w:r>
      <w:r w:rsidRPr="00477A29">
        <w:rPr>
          <w:rStyle w:val="FootnoteReference"/>
        </w:rPr>
        <w:footnoteRef/>
      </w:r>
      <w:r w:rsidRPr="00477A29">
        <w:t xml:space="preserve"> </w:t>
      </w:r>
      <w:r w:rsidRPr="00477A29">
        <w:rPr>
          <w:rFonts w:cs="CenturySchoolbook"/>
          <w:szCs w:val="25"/>
        </w:rPr>
        <w:t>All judges of defendant court</w:t>
      </w:r>
      <w:r w:rsidRPr="00477A29">
        <w:rPr>
          <w:rFonts w:cs="CenturySchoolbook"/>
          <w:szCs w:val="25"/>
        </w:rPr>
        <w:t xml:space="preserve"> disqualified themselves</w:t>
      </w:r>
      <w:r w:rsidR="0078695D">
        <w:rPr>
          <w:rFonts w:cs="CenturySchoolbook"/>
          <w:szCs w:val="25"/>
        </w:rPr>
        <w:t xml:space="preserve"> and</w:t>
      </w:r>
      <w:r w:rsidR="00041C5F">
        <w:rPr>
          <w:rFonts w:cs="CenturySchoolbook"/>
          <w:szCs w:val="25"/>
        </w:rPr>
        <w:t xml:space="preserve"> </w:t>
      </w:r>
      <w:r w:rsidR="00C0293B">
        <w:rPr>
          <w:rFonts w:cs="CenturySchoolbook"/>
          <w:szCs w:val="25"/>
        </w:rPr>
        <w:t>this case was</w:t>
      </w:r>
      <w:r w:rsidRPr="00477A29">
        <w:rPr>
          <w:rFonts w:cs="CenturySchoolbook"/>
          <w:szCs w:val="25"/>
        </w:rPr>
        <w:t xml:space="preserve"> assigned </w:t>
      </w:r>
      <w:r w:rsidR="00041C5F">
        <w:rPr>
          <w:rFonts w:cs="CenturySchoolbook"/>
          <w:szCs w:val="25"/>
        </w:rPr>
        <w:t>to</w:t>
      </w:r>
      <w:r w:rsidRPr="00477A29">
        <w:rPr>
          <w:rFonts w:cs="CenturySchoolbook"/>
          <w:szCs w:val="25"/>
        </w:rPr>
        <w:t xml:space="preserve"> a judge of Contra Costa County Superior Court.</w:t>
      </w:r>
    </w:p>
  </w:footnote>
  <w:footnote w:id="11">
    <w:p w14:paraId="4A36E292" w14:textId="77777777" w:rsidR="00EC1B33" w:rsidRDefault="001B6997" w:rsidP="00EC1B33">
      <w:pPr>
        <w:pStyle w:val="FootnoteText"/>
        <w:spacing w:after="120"/>
        <w:rPr>
          <w:rFonts w:cs="Calibri"/>
        </w:rPr>
      </w:pPr>
      <w:r>
        <w:rPr>
          <w:szCs w:val="26"/>
        </w:rPr>
        <w:tab/>
      </w:r>
      <w:r w:rsidRPr="0B0799C1">
        <w:rPr>
          <w:rStyle w:val="FootnoteReference"/>
        </w:rPr>
        <w:footnoteRef/>
      </w:r>
      <w:r w:rsidRPr="0B0799C1">
        <w:rPr>
          <w:szCs w:val="26"/>
        </w:rPr>
        <w:t xml:space="preserve"> See</w:t>
      </w:r>
      <w:r w:rsidRPr="0B0799C1">
        <w:rPr>
          <w:rFonts w:cs="Calibri"/>
          <w:szCs w:val="26"/>
        </w:rPr>
        <w:t xml:space="preserve"> </w:t>
      </w:r>
      <w:r w:rsidRPr="00C622D0">
        <w:rPr>
          <w:rFonts w:cs="Calibri"/>
          <w:i/>
          <w:szCs w:val="26"/>
        </w:rPr>
        <w:t>Ford</w:t>
      </w:r>
      <w:r w:rsidRPr="0B0799C1">
        <w:rPr>
          <w:rFonts w:cs="Calibri"/>
          <w:szCs w:val="26"/>
        </w:rPr>
        <w:t xml:space="preserve">, </w:t>
      </w:r>
      <w:r w:rsidRPr="008D6C30">
        <w:rPr>
          <w:rFonts w:cs="Calibri"/>
          <w:i/>
          <w:iCs/>
          <w:szCs w:val="26"/>
        </w:rPr>
        <w:t>supra</w:t>
      </w:r>
      <w:r w:rsidRPr="0B0799C1">
        <w:rPr>
          <w:rFonts w:cs="Calibri"/>
          <w:szCs w:val="26"/>
        </w:rPr>
        <w:t xml:space="preserve">, 188 Cal.App.3d at page 742; </w:t>
      </w:r>
      <w:r w:rsidRPr="0B0799C1">
        <w:rPr>
          <w:rFonts w:cs="Calibri,Italic"/>
          <w:i/>
          <w:iCs/>
          <w:szCs w:val="26"/>
        </w:rPr>
        <w:t>Haldane v. Superior Court of Los Angeles</w:t>
      </w:r>
      <w:r w:rsidRPr="0B0799C1">
        <w:rPr>
          <w:rFonts w:cs="Calibri,Italic"/>
          <w:i/>
          <w:iCs/>
        </w:rPr>
        <w:t xml:space="preserve"> </w:t>
      </w:r>
      <w:r w:rsidRPr="0B0799C1">
        <w:rPr>
          <w:rFonts w:cs="Calibri,Italic"/>
          <w:i/>
          <w:iCs/>
          <w:szCs w:val="26"/>
        </w:rPr>
        <w:t xml:space="preserve">County </w:t>
      </w:r>
      <w:r w:rsidRPr="0B0799C1">
        <w:rPr>
          <w:rFonts w:cs="Calibri"/>
          <w:szCs w:val="26"/>
        </w:rPr>
        <w:t>(1963) 221</w:t>
      </w:r>
      <w:r w:rsidRPr="0B0799C1">
        <w:rPr>
          <w:rFonts w:cs="Calibri"/>
        </w:rPr>
        <w:t> </w:t>
      </w:r>
      <w:r w:rsidRPr="0B0799C1">
        <w:rPr>
          <w:rFonts w:cs="Calibri"/>
          <w:szCs w:val="26"/>
        </w:rPr>
        <w:t>Cal.App.2d 483, 485</w:t>
      </w:r>
      <w:r w:rsidRPr="0B0799C1">
        <w:rPr>
          <w:rFonts w:cs="Calibri"/>
        </w:rPr>
        <w:t>–</w:t>
      </w:r>
      <w:r w:rsidRPr="0B0799C1">
        <w:rPr>
          <w:rFonts w:cs="Calibri"/>
          <w:szCs w:val="26"/>
        </w:rPr>
        <w:t xml:space="preserve">486; </w:t>
      </w:r>
      <w:r w:rsidRPr="0B0799C1">
        <w:rPr>
          <w:rFonts w:cs="Calibri,Italic"/>
          <w:i/>
          <w:iCs/>
          <w:szCs w:val="26"/>
        </w:rPr>
        <w:t xml:space="preserve">People v. Davis </w:t>
      </w:r>
      <w:r w:rsidRPr="0B0799C1">
        <w:rPr>
          <w:rFonts w:cs="Calibri"/>
          <w:szCs w:val="26"/>
        </w:rPr>
        <w:t>(2014) 226</w:t>
      </w:r>
      <w:r w:rsidRPr="0B0799C1">
        <w:rPr>
          <w:rFonts w:cs="Calibri"/>
        </w:rPr>
        <w:t> </w:t>
      </w:r>
      <w:r w:rsidRPr="0B0799C1">
        <w:rPr>
          <w:rFonts w:cs="Calibri"/>
          <w:szCs w:val="26"/>
        </w:rPr>
        <w:t xml:space="preserve">Cal.App.4th 1353, 1371; </w:t>
      </w:r>
      <w:r w:rsidRPr="0B0799C1">
        <w:rPr>
          <w:rFonts w:cs="Calibri,Italic"/>
          <w:i/>
          <w:iCs/>
          <w:szCs w:val="26"/>
        </w:rPr>
        <w:t>Alvarez v.</w:t>
      </w:r>
      <w:r w:rsidRPr="0B0799C1">
        <w:rPr>
          <w:rFonts w:cs="Calibri,Italic"/>
          <w:i/>
          <w:iCs/>
        </w:rPr>
        <w:t xml:space="preserve"> </w:t>
      </w:r>
      <w:r w:rsidRPr="0B0799C1">
        <w:rPr>
          <w:rFonts w:cs="Calibri,Italic"/>
          <w:i/>
          <w:iCs/>
          <w:szCs w:val="26"/>
        </w:rPr>
        <w:t>Superior Court</w:t>
      </w:r>
      <w:r w:rsidRPr="0B0799C1">
        <w:rPr>
          <w:rFonts w:ascii="Calibri,Italic" w:hAnsi="Calibri,Italic" w:cs="Calibri,Italic"/>
          <w:i/>
          <w:iCs/>
          <w:sz w:val="25"/>
          <w:szCs w:val="25"/>
        </w:rPr>
        <w:t xml:space="preserve"> </w:t>
      </w:r>
      <w:r w:rsidRPr="0B0799C1">
        <w:rPr>
          <w:rFonts w:cs="Calibri"/>
          <w:szCs w:val="26"/>
        </w:rPr>
        <w:t>(2010) 183 Cal.App.4th 969, 983</w:t>
      </w:r>
      <w:r w:rsidRPr="0B0799C1">
        <w:rPr>
          <w:rFonts w:cs="Calibri"/>
        </w:rPr>
        <w:t>.</w:t>
      </w:r>
    </w:p>
  </w:footnote>
  <w:footnote w:id="12">
    <w:p w14:paraId="4B6FA4F8" w14:textId="0509283F" w:rsidR="0080647E" w:rsidRPr="00A079C5" w:rsidRDefault="001B6997" w:rsidP="205F293E">
      <w:pPr>
        <w:autoSpaceDE w:val="0"/>
        <w:autoSpaceDN w:val="0"/>
        <w:adjustRightInd w:val="0"/>
        <w:spacing w:after="120" w:line="240" w:lineRule="auto"/>
        <w:rPr>
          <w:i/>
          <w:iCs/>
        </w:rPr>
      </w:pPr>
      <w:r>
        <w:tab/>
      </w:r>
      <w:r w:rsidRPr="4B0E998B">
        <w:rPr>
          <w:rStyle w:val="FootnoteReference"/>
        </w:rPr>
        <w:footnoteRef/>
      </w:r>
      <w:r w:rsidR="205F293E" w:rsidRPr="4B0E998B">
        <w:t xml:space="preserve"> Plaintiffs later filed such a petition invoking this court’s original jurisdiction, which </w:t>
      </w:r>
      <w:r w:rsidR="205F293E">
        <w:t>we</w:t>
      </w:r>
      <w:r w:rsidR="205F293E" w:rsidRPr="4B0E998B">
        <w:t xml:space="preserve"> summarily denied. Defendants seek judicial notice of this petition and this court’s order, but do not argue that such a denial </w:t>
      </w:r>
      <w:r w:rsidR="205F293E">
        <w:t>can have</w:t>
      </w:r>
      <w:r w:rsidR="205F293E" w:rsidRPr="4B0E998B">
        <w:t xml:space="preserve"> any preclusive effect. Nor can they. (</w:t>
      </w:r>
      <w:r w:rsidR="205F293E" w:rsidRPr="205F293E">
        <w:rPr>
          <w:i/>
          <w:iCs/>
        </w:rPr>
        <w:t xml:space="preserve">Kowis v. Howard </w:t>
      </w:r>
      <w:r w:rsidR="205F293E" w:rsidRPr="4B0E998B">
        <w:t xml:space="preserve">(1992) 3 Cal.4th 888, 899; </w:t>
      </w:r>
      <w:r w:rsidR="205F293E" w:rsidRPr="205F293E">
        <w:rPr>
          <w:i/>
          <w:iCs/>
        </w:rPr>
        <w:t>Franchise Tax Bd. Limited Liability Corp. Tax Refund Cases</w:t>
      </w:r>
      <w:r w:rsidR="205F293E" w:rsidRPr="4B0E998B">
        <w:t xml:space="preserve"> (2018) 25</w:t>
      </w:r>
      <w:r w:rsidR="205F293E">
        <w:t> </w:t>
      </w:r>
      <w:r w:rsidR="205F293E" w:rsidRPr="4B0E998B">
        <w:t>Cal.App.5th 369, 387, fn. 7.)</w:t>
      </w:r>
      <w:r w:rsidR="205F293E">
        <w:t xml:space="preserve"> </w:t>
      </w:r>
    </w:p>
  </w:footnote>
  <w:footnote w:id="13">
    <w:p w14:paraId="7C370E47" w14:textId="118C5690" w:rsidR="205F293E" w:rsidRDefault="001B6997" w:rsidP="008D6C30">
      <w:pPr>
        <w:pStyle w:val="FootnoteText"/>
        <w:spacing w:after="120"/>
      </w:pPr>
      <w:r>
        <w:tab/>
      </w:r>
      <w:r w:rsidRPr="205F293E">
        <w:rPr>
          <w:rStyle w:val="FootnoteReference"/>
        </w:rPr>
        <w:footnoteRef/>
      </w:r>
      <w:r w:rsidR="3DE41553">
        <w:t xml:space="preserve"> Defendants have also failed to provide legal authority, and we are aware of none, authorizing us to take judicial notice of the </w:t>
      </w:r>
      <w:r w:rsidR="004D275D">
        <w:t>truth of</w:t>
      </w:r>
      <w:r w:rsidR="3DE41553">
        <w:t xml:space="preserve"> facts recited in otherwise judicially noticeable documents. (</w:t>
      </w:r>
      <w:r w:rsidR="3DE41553" w:rsidRPr="00CE1DC4">
        <w:rPr>
          <w:i/>
        </w:rPr>
        <w:t xml:space="preserve">Johnson &amp; Johnson v. Superior </w:t>
      </w:r>
      <w:r>
        <w:rPr>
          <w:i/>
          <w:iCs/>
        </w:rPr>
        <w:t>Court</w:t>
      </w:r>
      <w:r w:rsidR="3DE41553">
        <w:t xml:space="preserve"> (2011) 192 Cal.App.4th 757, 768.)</w:t>
      </w:r>
    </w:p>
  </w:footnote>
  <w:footnote w:id="14">
    <w:p w14:paraId="6E9FF9EE" w14:textId="24310BD0" w:rsidR="0080647E" w:rsidRPr="00FE3FCE" w:rsidRDefault="001B6997" w:rsidP="0080647E">
      <w:pPr>
        <w:pStyle w:val="FootnoteText"/>
        <w:spacing w:after="120"/>
        <w:rPr>
          <w:szCs w:val="26"/>
        </w:rPr>
      </w:pPr>
      <w:r w:rsidRPr="00FE3FCE">
        <w:tab/>
      </w:r>
      <w:r w:rsidRPr="4B0E998B">
        <w:rPr>
          <w:rStyle w:val="FootnoteReference"/>
          <w:szCs w:val="26"/>
        </w:rPr>
        <w:footnoteRef/>
      </w:r>
      <w:r w:rsidRPr="4B0E998B">
        <w:rPr>
          <w:szCs w:val="26"/>
        </w:rPr>
        <w:t xml:space="preserve"> While the court referred to four mandamus cases (see </w:t>
      </w:r>
      <w:r w:rsidR="00525772">
        <w:rPr>
          <w:szCs w:val="26"/>
        </w:rPr>
        <w:t>f</w:t>
      </w:r>
      <w:r w:rsidRPr="4B0E998B">
        <w:rPr>
          <w:szCs w:val="26"/>
        </w:rPr>
        <w:t>n.</w:t>
      </w:r>
      <w:r w:rsidR="009667E9">
        <w:rPr>
          <w:szCs w:val="26"/>
        </w:rPr>
        <w:t xml:space="preserve"> </w:t>
      </w:r>
      <w:r w:rsidR="009B1242">
        <w:rPr>
          <w:szCs w:val="26"/>
        </w:rPr>
        <w:t>10</w:t>
      </w:r>
      <w:r w:rsidRPr="4B0E998B">
        <w:rPr>
          <w:szCs w:val="26"/>
        </w:rPr>
        <w:t xml:space="preserve">, </w:t>
      </w:r>
      <w:r w:rsidRPr="4B0E998B">
        <w:rPr>
          <w:i/>
          <w:iCs/>
          <w:szCs w:val="26"/>
        </w:rPr>
        <w:t>ante</w:t>
      </w:r>
      <w:r w:rsidRPr="4B0E998B">
        <w:rPr>
          <w:szCs w:val="26"/>
        </w:rPr>
        <w:t>)</w:t>
      </w:r>
      <w:r>
        <w:rPr>
          <w:szCs w:val="26"/>
        </w:rPr>
        <w:t xml:space="preserve"> in asserting that the taxpayer-standing cause of action</w:t>
      </w:r>
      <w:r w:rsidR="00ED328A">
        <w:rPr>
          <w:szCs w:val="26"/>
        </w:rPr>
        <w:t xml:space="preserve"> was likewise barred</w:t>
      </w:r>
      <w:r w:rsidRPr="4B0E998B">
        <w:rPr>
          <w:szCs w:val="26"/>
        </w:rPr>
        <w:t xml:space="preserve">, defendants </w:t>
      </w:r>
      <w:r w:rsidR="00A80C0D">
        <w:rPr>
          <w:szCs w:val="26"/>
        </w:rPr>
        <w:t xml:space="preserve">on appeal </w:t>
      </w:r>
      <w:r w:rsidRPr="4B0E998B">
        <w:rPr>
          <w:szCs w:val="26"/>
        </w:rPr>
        <w:t xml:space="preserve">rely solely on </w:t>
      </w:r>
      <w:r w:rsidRPr="0000099B">
        <w:rPr>
          <w:i/>
          <w:iCs/>
          <w:szCs w:val="26"/>
        </w:rPr>
        <w:t>Ford</w:t>
      </w:r>
      <w:r w:rsidRPr="4B0E998B">
        <w:rPr>
          <w:szCs w:val="26"/>
        </w:rPr>
        <w:t xml:space="preserve">, </w:t>
      </w:r>
      <w:r w:rsidR="00ED328A">
        <w:rPr>
          <w:szCs w:val="26"/>
        </w:rPr>
        <w:t>implicitly</w:t>
      </w:r>
      <w:r w:rsidR="00ED328A" w:rsidRPr="4B0E998B">
        <w:rPr>
          <w:szCs w:val="26"/>
        </w:rPr>
        <w:t xml:space="preserve"> </w:t>
      </w:r>
      <w:r w:rsidRPr="4B0E998B">
        <w:rPr>
          <w:szCs w:val="26"/>
        </w:rPr>
        <w:t xml:space="preserve">conceding that the other three </w:t>
      </w:r>
      <w:r w:rsidR="002325A7">
        <w:rPr>
          <w:szCs w:val="26"/>
        </w:rPr>
        <w:t>are inapposite</w:t>
      </w:r>
      <w:r w:rsidRPr="4B0E998B">
        <w:rPr>
          <w:szCs w:val="26"/>
        </w:rPr>
        <w:t>. We agree.</w:t>
      </w:r>
    </w:p>
  </w:footnote>
  <w:footnote w:id="15">
    <w:p w14:paraId="3978B164" w14:textId="119BB0DB" w:rsidR="001C037C" w:rsidRPr="001C037C" w:rsidRDefault="001B6997" w:rsidP="00C15A43">
      <w:pPr>
        <w:pStyle w:val="NormalWeb"/>
        <w:shd w:val="clear" w:color="auto" w:fill="FFFFFF"/>
        <w:spacing w:before="0" w:beforeAutospacing="0" w:after="0" w:afterAutospacing="0"/>
        <w:ind w:firstLine="720"/>
        <w:rPr>
          <w:rFonts w:ascii="Century Schoolbook" w:hAnsi="Century Schoolbook" w:cs="Segoe UI"/>
          <w:color w:val="333333"/>
          <w:sz w:val="26"/>
          <w:szCs w:val="18"/>
        </w:rPr>
      </w:pPr>
      <w:r w:rsidRPr="001C037C">
        <w:rPr>
          <w:rStyle w:val="FootnoteReference"/>
          <w:rFonts w:ascii="Century Schoolbook" w:hAnsi="Century Schoolbook"/>
          <w:sz w:val="26"/>
        </w:rPr>
        <w:footnoteRef/>
      </w:r>
      <w:r w:rsidRPr="001C037C">
        <w:rPr>
          <w:rFonts w:ascii="Century Schoolbook" w:hAnsi="Century Schoolbook"/>
          <w:sz w:val="26"/>
        </w:rPr>
        <w:t xml:space="preserve"> </w:t>
      </w:r>
      <w:r w:rsidRPr="001C037C">
        <w:rPr>
          <w:rFonts w:ascii="Century Schoolbook" w:hAnsi="Century Schoolbook"/>
          <w:sz w:val="26"/>
          <w:szCs w:val="26"/>
        </w:rPr>
        <w:t>The Legislature amended the statute in 2018, replacing the origina</w:t>
      </w:r>
      <w:r w:rsidRPr="001C037C">
        <w:rPr>
          <w:rFonts w:ascii="Century Schoolbook" w:hAnsi="Century Schoolbook"/>
          <w:sz w:val="26"/>
          <w:szCs w:val="26"/>
        </w:rPr>
        <w:t>l list of local entities with the phrase “local agency,” and defining that term to mean “a city, town, county, or city and county, or a district, public authority, or any other political subdivision in the state.” (Stats. 2018, ch. 319, § 1.) Defendants do</w:t>
      </w:r>
      <w:r w:rsidRPr="001C037C">
        <w:rPr>
          <w:rFonts w:ascii="Century Schoolbook" w:hAnsi="Century Schoolbook"/>
          <w:sz w:val="26"/>
          <w:szCs w:val="26"/>
        </w:rPr>
        <w:t xml:space="preserve"> not contend that the 2018 amendment narrowed the statute’s scope as determined by prior caselaw.</w:t>
      </w:r>
    </w:p>
  </w:footnote>
  <w:footnote w:id="16">
    <w:p w14:paraId="04A913F4" w14:textId="587A4419" w:rsidR="00EF0588" w:rsidRDefault="001B6997" w:rsidP="00DD3B44">
      <w:pPr>
        <w:pStyle w:val="FootnoteText"/>
      </w:pPr>
      <w:r w:rsidRPr="007F60E1">
        <w:rPr>
          <w:szCs w:val="26"/>
        </w:rPr>
        <w:tab/>
      </w:r>
      <w:r w:rsidRPr="797FBB80">
        <w:rPr>
          <w:rStyle w:val="FootnoteReference"/>
        </w:rPr>
        <w:footnoteRef/>
      </w:r>
      <w:r w:rsidR="797FBB80" w:rsidRPr="007F60E1">
        <w:rPr>
          <w:szCs w:val="26"/>
        </w:rPr>
        <w:t xml:space="preserve"> </w:t>
      </w:r>
      <w:r w:rsidR="797FBB80" w:rsidRPr="797FBB80">
        <w:t xml:space="preserve">The parties debate whether dicta in </w:t>
      </w:r>
      <w:r w:rsidR="797FBB80" w:rsidRPr="797FBB80">
        <w:rPr>
          <w:i/>
          <w:iCs/>
        </w:rPr>
        <w:t>Van Atta</w:t>
      </w:r>
      <w:r w:rsidR="00CE65B7">
        <w:rPr>
          <w:i/>
          <w:iCs/>
        </w:rPr>
        <w:t xml:space="preserve"> v. Scott</w:t>
      </w:r>
      <w:r w:rsidR="797FBB80" w:rsidRPr="797FBB80">
        <w:t xml:space="preserve"> (1980) 27 Cal.3d 424 (</w:t>
      </w:r>
      <w:r w:rsidR="797FBB80" w:rsidRPr="797FBB80">
        <w:rPr>
          <w:i/>
          <w:iCs/>
        </w:rPr>
        <w:t>Van Atta</w:t>
      </w:r>
      <w:r w:rsidR="797FBB80" w:rsidRPr="797FBB80">
        <w:t>)</w:t>
      </w:r>
      <w:r w:rsidR="009F1BC6">
        <w:t xml:space="preserve"> (plur. opn.)</w:t>
      </w:r>
      <w:r w:rsidR="00795602">
        <w:t xml:space="preserve">, </w:t>
      </w:r>
      <w:r w:rsidR="00795602">
        <w:rPr>
          <w:rFonts w:ascii="Source Sans Pro" w:hAnsi="Source Sans Pro"/>
          <w:color w:val="3D3D3D"/>
          <w:shd w:val="clear" w:color="auto" w:fill="FFFFFF"/>
        </w:rPr>
        <w:t>u</w:t>
      </w:r>
      <w:r w:rsidR="00795602" w:rsidRPr="00E1686E">
        <w:t>ndercut by subsequent change in Cal.</w:t>
      </w:r>
      <w:r w:rsidR="00795602">
        <w:t> </w:t>
      </w:r>
      <w:r w:rsidR="00795602" w:rsidRPr="00E1686E">
        <w:t>Const. as stated in </w:t>
      </w:r>
      <w:hyperlink r:id="rId1" w:anchor="co_pp_sp_4040_1143" w:history="1">
        <w:r w:rsidR="00795602" w:rsidRPr="00E1686E">
          <w:rPr>
            <w:i/>
            <w:iCs/>
          </w:rPr>
          <w:t>In re York</w:t>
        </w:r>
        <w:r w:rsidR="00795602" w:rsidRPr="00E1686E">
          <w:t> (1995) 9 Cal.4th 1133, 1143, fn. 7</w:t>
        </w:r>
      </w:hyperlink>
      <w:r w:rsidR="00D2629C">
        <w:t>,</w:t>
      </w:r>
      <w:r w:rsidR="797FBB80" w:rsidRPr="797FBB80">
        <w:t xml:space="preserve"> implicitly permits </w:t>
      </w:r>
      <w:r w:rsidR="00331372">
        <w:t>statutory</w:t>
      </w:r>
      <w:r w:rsidR="797FBB80" w:rsidRPr="797FBB80">
        <w:t xml:space="preserve"> taxpayer </w:t>
      </w:r>
      <w:r w:rsidR="00331372">
        <w:t>claims</w:t>
      </w:r>
      <w:r w:rsidR="797FBB80" w:rsidRPr="797FBB80">
        <w:t xml:space="preserve"> against courts. </w:t>
      </w:r>
      <w:r w:rsidR="797FBB80" w:rsidRPr="797FBB80">
        <w:rPr>
          <w:i/>
          <w:iCs/>
        </w:rPr>
        <w:t xml:space="preserve">Van Atta </w:t>
      </w:r>
      <w:r w:rsidR="797FBB80" w:rsidRPr="797FBB80">
        <w:t xml:space="preserve">addressed a </w:t>
      </w:r>
      <w:r w:rsidR="00331372">
        <w:t>statutory taxpayer claim</w:t>
      </w:r>
      <w:r w:rsidR="797FBB80" w:rsidRPr="797FBB80">
        <w:t xml:space="preserve"> against San Francisco’s police chief and sheriff (but no court or judge) challenging a pretrial release program. (</w:t>
      </w:r>
      <w:r w:rsidR="797FBB80" w:rsidRPr="797FBB80">
        <w:rPr>
          <w:i/>
          <w:iCs/>
        </w:rPr>
        <w:t>Id.</w:t>
      </w:r>
      <w:r w:rsidR="797FBB80" w:rsidRPr="797FBB80">
        <w:t xml:space="preserve"> at p. 433.) The defendants</w:t>
      </w:r>
      <w:r w:rsidR="797FBB80" w:rsidRPr="797FBB80">
        <w:rPr>
          <w:i/>
          <w:iCs/>
        </w:rPr>
        <w:t xml:space="preserve"> </w:t>
      </w:r>
      <w:r w:rsidR="797FBB80" w:rsidRPr="797FBB80">
        <w:t xml:space="preserve">cited two opinions rejecting taxpayer-standing actions against judges, </w:t>
      </w:r>
      <w:r w:rsidR="797FBB80" w:rsidRPr="797FBB80">
        <w:rPr>
          <w:i/>
          <w:iCs/>
        </w:rPr>
        <w:t>Di Suvero v. County of Los Angeles</w:t>
      </w:r>
      <w:r w:rsidR="797FBB80" w:rsidRPr="797FBB80">
        <w:t xml:space="preserve"> (1977) 73 Cal.App.3d 718 (</w:t>
      </w:r>
      <w:r w:rsidR="797FBB80" w:rsidRPr="797FBB80">
        <w:rPr>
          <w:i/>
          <w:iCs/>
        </w:rPr>
        <w:t>Di Suvero</w:t>
      </w:r>
      <w:r w:rsidR="797FBB80" w:rsidRPr="797FBB80">
        <w:t xml:space="preserve">) and </w:t>
      </w:r>
      <w:r w:rsidR="797FBB80" w:rsidRPr="797FBB80">
        <w:rPr>
          <w:i/>
          <w:iCs/>
        </w:rPr>
        <w:t xml:space="preserve">Gould v. People </w:t>
      </w:r>
      <w:r w:rsidR="797FBB80" w:rsidRPr="797FBB80">
        <w:t>(1976) 56 Cal.App.3d 909 (</w:t>
      </w:r>
      <w:r w:rsidR="797FBB80" w:rsidRPr="797FBB80">
        <w:rPr>
          <w:i/>
          <w:iCs/>
        </w:rPr>
        <w:t>Gould</w:t>
      </w:r>
      <w:r w:rsidR="797FBB80" w:rsidRPr="797FBB80">
        <w:t>), for the proposition that the existence of directly affected persons who may challenge an allegedly illegal act bars taxpayer standing. (</w:t>
      </w:r>
      <w:r w:rsidR="797FBB80" w:rsidRPr="797FBB80">
        <w:rPr>
          <w:i/>
          <w:iCs/>
        </w:rPr>
        <w:t xml:space="preserve">Van Atta, </w:t>
      </w:r>
      <w:r w:rsidR="797FBB80" w:rsidRPr="797FBB80">
        <w:t>at p.</w:t>
      </w:r>
      <w:r w:rsidR="00EE4A88">
        <w:t> </w:t>
      </w:r>
      <w:r w:rsidR="797FBB80" w:rsidRPr="797FBB80">
        <w:t xml:space="preserve">448.) The </w:t>
      </w:r>
      <w:r w:rsidR="797FBB80" w:rsidRPr="797FBB80">
        <w:rPr>
          <w:i/>
          <w:iCs/>
        </w:rPr>
        <w:t>Van Atta</w:t>
      </w:r>
      <w:r w:rsidR="797FBB80" w:rsidRPr="797FBB80">
        <w:t xml:space="preserve"> court </w:t>
      </w:r>
      <w:r w:rsidR="00066892">
        <w:t>disapproved</w:t>
      </w:r>
      <w:r w:rsidR="797FBB80" w:rsidRPr="797FBB80">
        <w:t xml:space="preserve"> </w:t>
      </w:r>
      <w:r w:rsidR="797FBB80" w:rsidRPr="797FBB80">
        <w:rPr>
          <w:i/>
          <w:iCs/>
        </w:rPr>
        <w:t xml:space="preserve">Di Suvero </w:t>
      </w:r>
      <w:r w:rsidR="797FBB80" w:rsidRPr="797FBB80">
        <w:t xml:space="preserve">and </w:t>
      </w:r>
      <w:r w:rsidR="797FBB80" w:rsidRPr="797FBB80">
        <w:rPr>
          <w:i/>
          <w:iCs/>
        </w:rPr>
        <w:t xml:space="preserve">Gould </w:t>
      </w:r>
      <w:r w:rsidR="797FBB80" w:rsidRPr="797FBB80">
        <w:t xml:space="preserve">insofar as </w:t>
      </w:r>
      <w:r w:rsidR="00066892">
        <w:t>they</w:t>
      </w:r>
      <w:r w:rsidR="797FBB80" w:rsidRPr="797FBB80">
        <w:t xml:space="preserve"> supported that proposition</w:t>
      </w:r>
      <w:r w:rsidR="797FBB80" w:rsidRPr="797FBB80">
        <w:rPr>
          <w:i/>
          <w:iCs/>
        </w:rPr>
        <w:t>.</w:t>
      </w:r>
      <w:r w:rsidR="797FBB80">
        <w:rPr>
          <w:szCs w:val="26"/>
        </w:rPr>
        <w:t xml:space="preserve"> (</w:t>
      </w:r>
      <w:r w:rsidR="797FBB80" w:rsidRPr="797FBB80">
        <w:rPr>
          <w:i/>
          <w:iCs/>
        </w:rPr>
        <w:t>Id.</w:t>
      </w:r>
      <w:r w:rsidR="797FBB80" w:rsidRPr="797FBB80">
        <w:t xml:space="preserve"> at p. 449.) </w:t>
      </w:r>
      <w:r w:rsidR="00F20BD2">
        <w:t xml:space="preserve">Under </w:t>
      </w:r>
      <w:r w:rsidR="00233951">
        <w:t>a</w:t>
      </w:r>
      <w:r w:rsidR="00F72CFE">
        <w:t xml:space="preserve"> p</w:t>
      </w:r>
      <w:r w:rsidR="00203274">
        <w:t>art</w:t>
      </w:r>
      <w:r w:rsidR="00F72CFE">
        <w:t xml:space="preserve"> of </w:t>
      </w:r>
      <w:r w:rsidR="00F72CFE">
        <w:rPr>
          <w:i/>
          <w:iCs/>
        </w:rPr>
        <w:t>Gould</w:t>
      </w:r>
      <w:r w:rsidR="00203274">
        <w:t>’s holding</w:t>
      </w:r>
      <w:r w:rsidR="00F72CFE">
        <w:rPr>
          <w:i/>
          <w:iCs/>
        </w:rPr>
        <w:t xml:space="preserve"> </w:t>
      </w:r>
      <w:r w:rsidR="00F72CFE">
        <w:t xml:space="preserve">approved in </w:t>
      </w:r>
      <w:r w:rsidR="00F72CFE">
        <w:rPr>
          <w:i/>
          <w:iCs/>
        </w:rPr>
        <w:t>Van Atta</w:t>
      </w:r>
      <w:r w:rsidR="00F72CFE">
        <w:t xml:space="preserve">, </w:t>
      </w:r>
      <w:r w:rsidR="00881EAD">
        <w:t xml:space="preserve">dismissal is proper </w:t>
      </w:r>
      <w:r w:rsidR="00F26C7A">
        <w:t>if a</w:t>
      </w:r>
      <w:r w:rsidR="00881EAD">
        <w:t xml:space="preserve"> litigant “ </w:t>
      </w:r>
      <w:r w:rsidR="005055B9">
        <w:t>‘</w:t>
      </w:r>
      <w:r w:rsidR="005E33F1">
        <w:t>[</w:t>
      </w:r>
      <w:r w:rsidR="005055B9" w:rsidRPr="00056DA4">
        <w:t>files] a collateral action against a judge under the guise of a taxpayer</w:t>
      </w:r>
      <w:r w:rsidR="005055B9">
        <w:t>’</w:t>
      </w:r>
      <w:r w:rsidR="005055B9" w:rsidRPr="00056DA4">
        <w:t xml:space="preserve">s suit contesting the outcome of any civil or criminal action in which he </w:t>
      </w:r>
      <w:r w:rsidR="00FC25A3">
        <w:t>[</w:t>
      </w:r>
      <w:r w:rsidR="005055B9" w:rsidRPr="00056DA4">
        <w:t>believes] the trial court ruled erroneously</w:t>
      </w:r>
      <w:r w:rsidR="005055B9">
        <w:t>.’ ”</w:t>
      </w:r>
      <w:r w:rsidR="005055B9" w:rsidRPr="00056DA4">
        <w:t xml:space="preserve"> </w:t>
      </w:r>
      <w:r w:rsidR="005055B9">
        <w:t>(</w:t>
      </w:r>
      <w:r w:rsidR="005055B9">
        <w:rPr>
          <w:i/>
          <w:iCs/>
        </w:rPr>
        <w:t>Van Atta</w:t>
      </w:r>
      <w:r w:rsidR="005055B9">
        <w:t>, at p.</w:t>
      </w:r>
      <w:r w:rsidR="008F35E4">
        <w:t> </w:t>
      </w:r>
      <w:r w:rsidR="005055B9">
        <w:t xml:space="preserve">448.) </w:t>
      </w:r>
    </w:p>
    <w:p w14:paraId="0F831BA2" w14:textId="6D605797" w:rsidR="00D53B51" w:rsidRPr="00F103B4" w:rsidRDefault="001B6997" w:rsidP="006A3362">
      <w:pPr>
        <w:pStyle w:val="FootnoteText"/>
        <w:spacing w:after="120"/>
      </w:pPr>
      <w:r>
        <w:tab/>
      </w:r>
      <w:r w:rsidR="00EF0588">
        <w:t>P</w:t>
      </w:r>
      <w:r w:rsidR="09459565" w:rsidRPr="797FBB80">
        <w:rPr>
          <w:spacing w:val="-2"/>
        </w:rPr>
        <w:t>laintiffs</w:t>
      </w:r>
      <w:r w:rsidR="797FBB80" w:rsidRPr="797FBB80">
        <w:rPr>
          <w:spacing w:val="-2"/>
        </w:rPr>
        <w:t xml:space="preserve"> argue that</w:t>
      </w:r>
      <w:r w:rsidR="00987B1C">
        <w:rPr>
          <w:spacing w:val="-2"/>
        </w:rPr>
        <w:t xml:space="preserve"> if a </w:t>
      </w:r>
      <w:r w:rsidR="00183E0C">
        <w:rPr>
          <w:spacing w:val="-2"/>
        </w:rPr>
        <w:t>statutory taxpayer</w:t>
      </w:r>
      <w:r w:rsidR="00987B1C">
        <w:rPr>
          <w:spacing w:val="-2"/>
        </w:rPr>
        <w:t xml:space="preserve"> action against a court or judge does </w:t>
      </w:r>
      <w:r w:rsidR="00987B1C" w:rsidRPr="00EC4E53">
        <w:rPr>
          <w:i/>
          <w:iCs/>
          <w:spacing w:val="-2"/>
        </w:rPr>
        <w:t>not</w:t>
      </w:r>
      <w:r w:rsidR="00987B1C">
        <w:rPr>
          <w:spacing w:val="-2"/>
        </w:rPr>
        <w:t xml:space="preserve"> amount to </w:t>
      </w:r>
      <w:r w:rsidR="007E3B40">
        <w:rPr>
          <w:spacing w:val="-2"/>
        </w:rPr>
        <w:t xml:space="preserve">such </w:t>
      </w:r>
      <w:r w:rsidR="00987B1C">
        <w:rPr>
          <w:spacing w:val="-2"/>
        </w:rPr>
        <w:t>a disguised collateral attack</w:t>
      </w:r>
      <w:r w:rsidR="00F97243">
        <w:rPr>
          <w:spacing w:val="-2"/>
        </w:rPr>
        <w:t xml:space="preserve"> on </w:t>
      </w:r>
      <w:r w:rsidR="00DC28F8">
        <w:rPr>
          <w:spacing w:val="-2"/>
        </w:rPr>
        <w:t>a ruling in an individual case,</w:t>
      </w:r>
      <w:r w:rsidR="797FBB80" w:rsidRPr="797FBB80">
        <w:rPr>
          <w:spacing w:val="-2"/>
        </w:rPr>
        <w:t xml:space="preserve"> </w:t>
      </w:r>
      <w:r w:rsidR="797FBB80" w:rsidRPr="797FBB80">
        <w:rPr>
          <w:i/>
          <w:iCs/>
          <w:spacing w:val="-2"/>
        </w:rPr>
        <w:t xml:space="preserve">Van </w:t>
      </w:r>
      <w:r w:rsidR="09459565" w:rsidRPr="09459565">
        <w:rPr>
          <w:i/>
          <w:iCs/>
          <w:spacing w:val="-2"/>
        </w:rPr>
        <w:t>Atta</w:t>
      </w:r>
      <w:r w:rsidR="797FBB80" w:rsidRPr="797FBB80">
        <w:t xml:space="preserve"> “strongly signals the </w:t>
      </w:r>
      <w:r w:rsidR="797FBB80" w:rsidRPr="797FBB80">
        <w:rPr>
          <w:spacing w:val="-2"/>
        </w:rPr>
        <w:t>viability” of</w:t>
      </w:r>
      <w:r w:rsidR="007E3B40">
        <w:rPr>
          <w:spacing w:val="-2"/>
        </w:rPr>
        <w:t xml:space="preserve"> such an action</w:t>
      </w:r>
      <w:r w:rsidR="00E77D60">
        <w:rPr>
          <w:spacing w:val="-2"/>
        </w:rPr>
        <w:t>,</w:t>
      </w:r>
      <w:r w:rsidR="797FBB80" w:rsidRPr="797FBB80">
        <w:rPr>
          <w:spacing w:val="-2"/>
        </w:rPr>
        <w:t xml:space="preserve"> </w:t>
      </w:r>
      <w:r w:rsidR="00304C67">
        <w:rPr>
          <w:spacing w:val="-2"/>
        </w:rPr>
        <w:t>in dicta that</w:t>
      </w:r>
      <w:r w:rsidR="00304C67" w:rsidRPr="797FBB80">
        <w:rPr>
          <w:spacing w:val="-2"/>
        </w:rPr>
        <w:t xml:space="preserve"> </w:t>
      </w:r>
      <w:r w:rsidR="797FBB80" w:rsidRPr="797FBB80">
        <w:rPr>
          <w:spacing w:val="-2"/>
        </w:rPr>
        <w:t>should be heeded.</w:t>
      </w:r>
      <w:r w:rsidR="797FBB80" w:rsidRPr="797FBB80">
        <w:t xml:space="preserve"> Were we to consider dicta, we might also note that </w:t>
      </w:r>
      <w:r w:rsidR="797FBB80">
        <w:t xml:space="preserve">Division </w:t>
      </w:r>
      <w:r w:rsidR="00AD4D07">
        <w:t>Two</w:t>
      </w:r>
      <w:r w:rsidR="797FBB80">
        <w:t xml:space="preserve"> of this court cited with approval a lower court’s conclusion that, “defendant judges and sheriff are proper candidates for an injunction under </w:t>
      </w:r>
      <w:r w:rsidR="00DF2098">
        <w:t>. . .</w:t>
      </w:r>
      <w:r w:rsidR="797FBB80">
        <w:t xml:space="preserve"> [Code Civ. Proc., §</w:t>
      </w:r>
      <w:r w:rsidR="00DF2098">
        <w:t> </w:t>
      </w:r>
      <w:r w:rsidR="797FBB80">
        <w:t xml:space="preserve">526a], since these officers are the instrumentalities bringing about the allegedly illegal expenditure of funds through the enforcement of </w:t>
      </w:r>
      <w:r w:rsidR="00722204">
        <w:t xml:space="preserve">[certain] </w:t>
      </w:r>
      <w:r w:rsidR="797FBB80">
        <w:t>allegedly unconstitutional provisions of the Penal Code.” (</w:t>
      </w:r>
      <w:r w:rsidR="797FBB80" w:rsidRPr="797FBB80">
        <w:rPr>
          <w:i/>
          <w:iCs/>
        </w:rPr>
        <w:t>Kawaichi v. Madigan</w:t>
      </w:r>
      <w:r w:rsidR="797FBB80">
        <w:t xml:space="preserve"> (1975) 53</w:t>
      </w:r>
      <w:r w:rsidR="005C4E62">
        <w:t> </w:t>
      </w:r>
      <w:r w:rsidR="797FBB80">
        <w:t>Cal.App.3d 461, 464</w:t>
      </w:r>
      <w:r w:rsidR="00322090">
        <w:t>,</w:t>
      </w:r>
      <w:r w:rsidR="797FBB80">
        <w:t xml:space="preserve"> fn.</w:t>
      </w:r>
      <w:r w:rsidR="005C4E62">
        <w:t> </w:t>
      </w:r>
      <w:r w:rsidR="797FBB80">
        <w:t xml:space="preserve">2, disapproved on other grounds by </w:t>
      </w:r>
      <w:r w:rsidR="797FBB80" w:rsidRPr="797FBB80">
        <w:rPr>
          <w:i/>
          <w:iCs/>
        </w:rPr>
        <w:t>Van Atta</w:t>
      </w:r>
      <w:r w:rsidR="0027752B">
        <w:t xml:space="preserve">, </w:t>
      </w:r>
      <w:r w:rsidR="0027752B">
        <w:rPr>
          <w:i/>
          <w:iCs/>
        </w:rPr>
        <w:t>supra</w:t>
      </w:r>
      <w:r w:rsidR="0027752B">
        <w:t>,</w:t>
      </w:r>
      <w:r w:rsidR="797FBB80" w:rsidRPr="797FBB80">
        <w:rPr>
          <w:i/>
          <w:iCs/>
        </w:rPr>
        <w:t xml:space="preserve"> </w:t>
      </w:r>
      <w:r w:rsidR="797FBB80">
        <w:t>27</w:t>
      </w:r>
      <w:r w:rsidR="005C4E62">
        <w:t> </w:t>
      </w:r>
      <w:r w:rsidR="797FBB80">
        <w:t xml:space="preserve">Cal.3d </w:t>
      </w:r>
      <w:r w:rsidR="00AC29C3">
        <w:t>at p.</w:t>
      </w:r>
      <w:r w:rsidR="005C4E62">
        <w:t> </w:t>
      </w:r>
      <w:r w:rsidR="00AC29C3">
        <w:t>446, fn.</w:t>
      </w:r>
      <w:r w:rsidR="005C4E62">
        <w:t> </w:t>
      </w:r>
      <w:r w:rsidR="00AC29C3">
        <w:t>19</w:t>
      </w:r>
      <w:r w:rsidR="797FBB80">
        <w:t xml:space="preserve">.) </w:t>
      </w:r>
      <w:r w:rsidR="00F40AAC">
        <w:rPr>
          <w:spacing w:val="-2"/>
        </w:rPr>
        <w:t>However</w:t>
      </w:r>
      <w:r w:rsidR="797FBB80" w:rsidRPr="797FBB80">
        <w:rPr>
          <w:spacing w:val="-2"/>
        </w:rPr>
        <w:t xml:space="preserve">, </w:t>
      </w:r>
      <w:r w:rsidR="00B6145A">
        <w:rPr>
          <w:spacing w:val="-2"/>
        </w:rPr>
        <w:t xml:space="preserve">given defendants’ failure to identify </w:t>
      </w:r>
      <w:r w:rsidR="797FBB80" w:rsidRPr="797FBB80">
        <w:rPr>
          <w:spacing w:val="-2"/>
        </w:rPr>
        <w:t>authority barring such actions as a matter</w:t>
      </w:r>
      <w:r w:rsidR="797FBB80" w:rsidRPr="797FBB80">
        <w:t xml:space="preserve"> of law</w:t>
      </w:r>
      <w:r w:rsidR="00B6145A">
        <w:t>,</w:t>
      </w:r>
      <w:r w:rsidR="797FBB80" w:rsidRPr="797FBB80">
        <w:t xml:space="preserve"> or a compelling reason to create </w:t>
      </w:r>
      <w:r w:rsidR="00223769">
        <w:t xml:space="preserve">a </w:t>
      </w:r>
      <w:r w:rsidR="797FBB80" w:rsidRPr="797FBB80">
        <w:t xml:space="preserve">new rule to that effect, we need not decide how much weight, if any, </w:t>
      </w:r>
      <w:r w:rsidR="00DA338A">
        <w:t>we should</w:t>
      </w:r>
      <w:r w:rsidR="797FBB80" w:rsidRPr="797FBB80">
        <w:t xml:space="preserve"> give t</w:t>
      </w:r>
      <w:r w:rsidR="00DA338A">
        <w:t>o</w:t>
      </w:r>
      <w:r w:rsidR="797FBB80" w:rsidRPr="797FBB80">
        <w:t xml:space="preserve"> dicta in</w:t>
      </w:r>
      <w:r w:rsidR="797FBB80">
        <w:rPr>
          <w:szCs w:val="26"/>
        </w:rPr>
        <w:t xml:space="preserve"> these cases.</w:t>
      </w:r>
    </w:p>
  </w:footnote>
  <w:footnote w:id="17">
    <w:p w14:paraId="4723D5EA" w14:textId="71D5A2EC" w:rsidR="00D3431B" w:rsidRDefault="001B6997" w:rsidP="00557D1F">
      <w:pPr>
        <w:pStyle w:val="FootnoteText"/>
        <w:spacing w:after="120"/>
      </w:pPr>
      <w:r>
        <w:tab/>
      </w:r>
      <w:r>
        <w:rPr>
          <w:rStyle w:val="FootnoteReference"/>
        </w:rPr>
        <w:footnoteRef/>
      </w:r>
      <w:r>
        <w:t xml:space="preserve"> </w:t>
      </w:r>
      <w:r>
        <w:rPr>
          <w:rFonts w:eastAsia="Times New Roman" w:cs="Times New Roman"/>
          <w:color w:val="000000"/>
        </w:rPr>
        <w:t>Subdivisions</w:t>
      </w:r>
      <w:r w:rsidR="00CA3BC2">
        <w:rPr>
          <w:rFonts w:eastAsia="Times New Roman" w:cs="Times New Roman"/>
          <w:color w:val="000000"/>
        </w:rPr>
        <w:t> </w:t>
      </w:r>
      <w:r>
        <w:rPr>
          <w:rFonts w:eastAsia="Times New Roman" w:cs="Times New Roman"/>
          <w:color w:val="000000"/>
        </w:rPr>
        <w:t>(b)</w:t>
      </w:r>
      <w:r w:rsidR="00537E60">
        <w:rPr>
          <w:rFonts w:eastAsia="Times New Roman" w:cs="Times New Roman"/>
          <w:color w:val="000000"/>
        </w:rPr>
        <w:t xml:space="preserve"> </w:t>
      </w:r>
      <w:r w:rsidR="001F0E0D">
        <w:rPr>
          <w:rFonts w:eastAsia="Times New Roman" w:cs="Times New Roman"/>
          <w:color w:val="000000"/>
        </w:rPr>
        <w:t xml:space="preserve">to </w:t>
      </w:r>
      <w:r>
        <w:rPr>
          <w:rFonts w:eastAsia="Times New Roman" w:cs="Times New Roman"/>
          <w:color w:val="000000"/>
        </w:rPr>
        <w:t xml:space="preserve">(i) of section 1050 set forth rules </w:t>
      </w:r>
      <w:r w:rsidRPr="00557D1F">
        <w:t>g</w:t>
      </w:r>
      <w:r w:rsidR="00982FBF">
        <w:t>overning</w:t>
      </w:r>
      <w:r>
        <w:rPr>
          <w:rFonts w:eastAsia="Times New Roman" w:cs="Times New Roman"/>
          <w:color w:val="000000"/>
        </w:rPr>
        <w:t xml:space="preserve"> motions to continue criminal hearings</w:t>
      </w:r>
      <w:r w:rsidRPr="7FA68319">
        <w:rPr>
          <w:rFonts w:eastAsia="Times New Roman" w:cs="Times New Roman"/>
          <w:color w:val="000000" w:themeColor="text1"/>
        </w:rPr>
        <w:t xml:space="preserve">, including </w:t>
      </w:r>
      <w:r>
        <w:rPr>
          <w:rFonts w:eastAsia="Times New Roman" w:cs="Times New Roman"/>
          <w:color w:val="000000"/>
        </w:rPr>
        <w:t xml:space="preserve">trials. </w:t>
      </w:r>
      <w:r w:rsidR="00982FBF">
        <w:rPr>
          <w:rFonts w:eastAsia="Times New Roman" w:cs="Times New Roman"/>
          <w:color w:val="000000"/>
        </w:rPr>
        <w:t>Such motions</w:t>
      </w:r>
      <w:r>
        <w:rPr>
          <w:rFonts w:eastAsia="Times New Roman" w:cs="Times New Roman"/>
          <w:color w:val="000000"/>
        </w:rPr>
        <w:t xml:space="preserve"> (</w:t>
      </w:r>
      <w:r w:rsidR="009D66EA">
        <w:rPr>
          <w:rFonts w:eastAsia="Times New Roman" w:cs="Times New Roman"/>
          <w:color w:val="000000"/>
        </w:rPr>
        <w:t>§</w:t>
      </w:r>
      <w:r w:rsidR="00CA3BC2">
        <w:t> </w:t>
      </w:r>
      <w:r w:rsidR="009D66EA">
        <w:rPr>
          <w:rFonts w:eastAsia="Times New Roman" w:cs="Times New Roman"/>
          <w:color w:val="000000"/>
        </w:rPr>
        <w:t>1050</w:t>
      </w:r>
      <w:r>
        <w:rPr>
          <w:rFonts w:eastAsia="Times New Roman" w:cs="Times New Roman"/>
          <w:color w:val="000000"/>
        </w:rPr>
        <w:t>, subds.</w:t>
      </w:r>
      <w:r w:rsidR="00CA3BC2">
        <w:rPr>
          <w:rFonts w:eastAsia="Times New Roman" w:cs="Times New Roman"/>
          <w:color w:val="000000"/>
        </w:rPr>
        <w:t> </w:t>
      </w:r>
      <w:r>
        <w:rPr>
          <w:rFonts w:eastAsia="Times New Roman" w:cs="Times New Roman"/>
          <w:color w:val="000000"/>
        </w:rPr>
        <w:t>(b)–(d)) “</w:t>
      </w:r>
      <w:r w:rsidRPr="00297997">
        <w:rPr>
          <w:rFonts w:eastAsia="Times New Roman" w:cs="Times New Roman"/>
          <w:color w:val="000000"/>
        </w:rPr>
        <w:t xml:space="preserve">shall be granted only upon a </w:t>
      </w:r>
      <w:r w:rsidRPr="00297997">
        <w:rPr>
          <w:rFonts w:eastAsia="Times New Roman" w:cs="Times New Roman"/>
          <w:color w:val="000000"/>
        </w:rPr>
        <w:t>showing of good cause</w:t>
      </w:r>
      <w:r>
        <w:rPr>
          <w:rFonts w:eastAsia="Times New Roman" w:cs="Times New Roman"/>
          <w:color w:val="000000"/>
        </w:rPr>
        <w:t>,” and, at the end of a hearing on such a motion, a court “s</w:t>
      </w:r>
      <w:r w:rsidRPr="00297997">
        <w:rPr>
          <w:rFonts w:eastAsia="Times New Roman" w:cs="Times New Roman"/>
          <w:color w:val="000000"/>
        </w:rPr>
        <w:t>hall make a finding whether good cause has been shown</w:t>
      </w:r>
      <w:r>
        <w:rPr>
          <w:rFonts w:eastAsia="Times New Roman" w:cs="Times New Roman"/>
          <w:color w:val="000000"/>
        </w:rPr>
        <w:t>” and, if so, “</w:t>
      </w:r>
      <w:r w:rsidRPr="00297997">
        <w:rPr>
          <w:rFonts w:eastAsia="Times New Roman" w:cs="Times New Roman"/>
          <w:color w:val="000000"/>
        </w:rPr>
        <w:t>shall state on the record the facts proved that justify its finding</w:t>
      </w:r>
      <w:r>
        <w:rPr>
          <w:rFonts w:eastAsia="Times New Roman" w:cs="Times New Roman"/>
          <w:color w:val="000000"/>
        </w:rPr>
        <w:t>” (</w:t>
      </w:r>
      <w:r w:rsidR="003B1928">
        <w:rPr>
          <w:rFonts w:eastAsia="Times New Roman" w:cs="Times New Roman"/>
          <w:i/>
          <w:iCs/>
          <w:color w:val="000000"/>
        </w:rPr>
        <w:t>i</w:t>
      </w:r>
      <w:r w:rsidRPr="7FA68319">
        <w:rPr>
          <w:rFonts w:eastAsia="Times New Roman" w:cs="Times New Roman"/>
          <w:i/>
          <w:iCs/>
          <w:color w:val="000000"/>
        </w:rPr>
        <w:t>d.</w:t>
      </w:r>
      <w:r>
        <w:rPr>
          <w:rFonts w:eastAsia="Times New Roman" w:cs="Times New Roman"/>
          <w:color w:val="000000"/>
        </w:rPr>
        <w:t>, subds. (e) &amp; (f))</w:t>
      </w:r>
      <w:r w:rsidR="003B1928">
        <w:rPr>
          <w:rFonts w:eastAsia="Times New Roman" w:cs="Times New Roman"/>
          <w:color w:val="000000"/>
        </w:rPr>
        <w:t>.</w:t>
      </w:r>
      <w:r>
        <w:rPr>
          <w:rFonts w:eastAsia="Times New Roman" w:cs="Times New Roman"/>
          <w:color w:val="000000"/>
        </w:rPr>
        <w:t xml:space="preserve"> Continuances are limited to a duration “</w:t>
      </w:r>
      <w:r w:rsidRPr="00297997">
        <w:rPr>
          <w:rFonts w:eastAsia="Times New Roman" w:cs="Times New Roman"/>
          <w:color w:val="000000"/>
        </w:rPr>
        <w:t>shown to be necessary by the evidence considered at the hearing</w:t>
      </w:r>
      <w:r w:rsidR="00217122">
        <w:rPr>
          <w:rFonts w:eastAsia="Times New Roman" w:cs="Times New Roman"/>
          <w:color w:val="000000"/>
        </w:rPr>
        <w:t>,</w:t>
      </w:r>
      <w:r>
        <w:rPr>
          <w:rFonts w:eastAsia="Times New Roman" w:cs="Times New Roman"/>
          <w:color w:val="000000"/>
        </w:rPr>
        <w:t>” and</w:t>
      </w:r>
      <w:r w:rsidR="00DE12A4">
        <w:rPr>
          <w:rFonts w:eastAsia="Times New Roman" w:cs="Times New Roman"/>
          <w:color w:val="000000"/>
        </w:rPr>
        <w:t>,</w:t>
      </w:r>
      <w:r>
        <w:rPr>
          <w:rFonts w:eastAsia="Times New Roman" w:cs="Times New Roman"/>
          <w:color w:val="000000"/>
        </w:rPr>
        <w:t xml:space="preserve"> </w:t>
      </w:r>
      <w:r w:rsidR="00DE12A4">
        <w:rPr>
          <w:rFonts w:eastAsia="Times New Roman" w:cs="Times New Roman"/>
          <w:color w:val="000000"/>
        </w:rPr>
        <w:t xml:space="preserve">when granted, </w:t>
      </w:r>
      <w:r w:rsidR="00E43DEE">
        <w:rPr>
          <w:rFonts w:eastAsia="Times New Roman" w:cs="Times New Roman"/>
          <w:color w:val="000000"/>
        </w:rPr>
        <w:t>“</w:t>
      </w:r>
      <w:r w:rsidR="00DE12A4">
        <w:rPr>
          <w:rFonts w:eastAsia="Times New Roman" w:cs="Times New Roman"/>
          <w:color w:val="000000"/>
        </w:rPr>
        <w:t xml:space="preserve">the court shall </w:t>
      </w:r>
      <w:r w:rsidR="001C0CB8">
        <w:rPr>
          <w:rFonts w:eastAsia="Times New Roman" w:cs="Times New Roman"/>
          <w:color w:val="000000"/>
        </w:rPr>
        <w:t>state on the record the facts proved that justify the length of the continuance . . . .”</w:t>
      </w:r>
      <w:r>
        <w:rPr>
          <w:rFonts w:eastAsia="Times New Roman" w:cs="Times New Roman"/>
          <w:color w:val="000000"/>
        </w:rPr>
        <w:t xml:space="preserve"> (</w:t>
      </w:r>
      <w:r w:rsidRPr="7FA68319">
        <w:rPr>
          <w:rFonts w:eastAsia="Times New Roman" w:cs="Times New Roman"/>
          <w:i/>
          <w:iCs/>
          <w:color w:val="000000"/>
        </w:rPr>
        <w:t>Id.</w:t>
      </w:r>
      <w:r>
        <w:rPr>
          <w:rFonts w:eastAsia="Times New Roman" w:cs="Times New Roman"/>
          <w:color w:val="000000"/>
        </w:rPr>
        <w:t>, subd. (i).)</w:t>
      </w:r>
    </w:p>
  </w:footnote>
  <w:footnote w:id="18">
    <w:p w14:paraId="20E8C8CC" w14:textId="606233EE" w:rsidR="00EB107E" w:rsidRPr="00F629BB" w:rsidRDefault="001B6997" w:rsidP="00EB107E">
      <w:pPr>
        <w:pStyle w:val="FootnoteText"/>
        <w:spacing w:after="120"/>
      </w:pPr>
      <w:r w:rsidRPr="00F629BB">
        <w:tab/>
      </w:r>
      <w:r w:rsidRPr="00F629BB">
        <w:rPr>
          <w:rStyle w:val="FootnoteReference"/>
        </w:rPr>
        <w:footnoteRef/>
      </w:r>
      <w:r w:rsidRPr="00F629BB">
        <w:t xml:space="preserve"> </w:t>
      </w:r>
      <w:r>
        <w:t>Oth</w:t>
      </w:r>
      <w:r>
        <w:t>er civil matters were tried b</w:t>
      </w:r>
      <w:r w:rsidRPr="00F629BB">
        <w:t xml:space="preserve">y out-of-county judges temporarily assigned </w:t>
      </w:r>
      <w:r>
        <w:t xml:space="preserve">to </w:t>
      </w:r>
      <w:r w:rsidRPr="00F629BB">
        <w:t>a facility at an elementary school</w:t>
      </w:r>
      <w:r>
        <w:t xml:space="preserve">, which lacked </w:t>
      </w:r>
      <w:r w:rsidRPr="00F629BB">
        <w:t xml:space="preserve">adequate security </w:t>
      </w:r>
      <w:r>
        <w:t xml:space="preserve">for </w:t>
      </w:r>
      <w:r w:rsidRPr="00F629BB">
        <w:t>criminal trials</w:t>
      </w:r>
      <w:r>
        <w:t>, and by one judge whom the district attorney had blanket-challenged in criminal cases.</w:t>
      </w:r>
      <w:r w:rsidRPr="00F629BB">
        <w:t xml:space="preserve"> (</w:t>
      </w:r>
      <w:r w:rsidRPr="00F629BB">
        <w:rPr>
          <w:i/>
          <w:iCs/>
        </w:rPr>
        <w:t>Engra</w:t>
      </w:r>
      <w:r w:rsidRPr="00F629BB">
        <w:rPr>
          <w:i/>
          <w:iCs/>
        </w:rPr>
        <w:t>m</w:t>
      </w:r>
      <w:r w:rsidRPr="00F629BB">
        <w:t xml:space="preserve">, </w:t>
      </w:r>
      <w:r w:rsidRPr="00F629BB">
        <w:rPr>
          <w:i/>
          <w:iCs/>
        </w:rPr>
        <w:t>supra</w:t>
      </w:r>
      <w:r w:rsidRPr="00F629BB">
        <w:t xml:space="preserve">, </w:t>
      </w:r>
      <w:r>
        <w:t xml:space="preserve">50 Cal.4th </w:t>
      </w:r>
      <w:r w:rsidRPr="00F629BB">
        <w:t>at p</w:t>
      </w:r>
      <w:r>
        <w:t>p</w:t>
      </w:r>
      <w:r w:rsidRPr="00F629BB">
        <w:t>.</w:t>
      </w:r>
      <w:r>
        <w:t> </w:t>
      </w:r>
      <w:r w:rsidRPr="00F629BB">
        <w:t>1144</w:t>
      </w:r>
      <w:r>
        <w:t>, 1158</w:t>
      </w:r>
      <w:r w:rsidRPr="00F629BB">
        <w:t xml:space="preserve">.) </w:t>
      </w:r>
    </w:p>
  </w:footnote>
  <w:footnote w:id="19">
    <w:p w14:paraId="68BAFAA5" w14:textId="0F6C0897" w:rsidR="0080647E" w:rsidRDefault="001B6997" w:rsidP="00E67857">
      <w:pPr>
        <w:pStyle w:val="FootnoteText"/>
        <w:spacing w:after="120"/>
        <w:rPr>
          <w:color w:val="000000" w:themeColor="text1"/>
          <w:szCs w:val="26"/>
        </w:rPr>
      </w:pPr>
      <w:r>
        <w:tab/>
      </w:r>
      <w:r w:rsidRPr="4E07C719">
        <w:rPr>
          <w:rStyle w:val="FootnoteReference"/>
        </w:rPr>
        <w:footnoteRef/>
      </w:r>
      <w:r>
        <w:t xml:space="preserve"> </w:t>
      </w:r>
      <w:r w:rsidRPr="4E07C719">
        <w:rPr>
          <w:color w:val="000000" w:themeColor="text1"/>
          <w:szCs w:val="26"/>
        </w:rPr>
        <w:t xml:space="preserve">In </w:t>
      </w:r>
      <w:r w:rsidRPr="0027752B">
        <w:rPr>
          <w:i/>
          <w:color w:val="000000" w:themeColor="text1"/>
          <w:szCs w:val="26"/>
        </w:rPr>
        <w:t>Echols</w:t>
      </w:r>
      <w:r w:rsidRPr="4E07C719">
        <w:rPr>
          <w:color w:val="000000" w:themeColor="text1"/>
          <w:szCs w:val="26"/>
        </w:rPr>
        <w:t>, defendant court had devoted 17</w:t>
      </w:r>
      <w:r w:rsidR="00E67857">
        <w:rPr>
          <w:color w:val="000000" w:themeColor="text1"/>
          <w:szCs w:val="26"/>
        </w:rPr>
        <w:t xml:space="preserve"> percent</w:t>
      </w:r>
      <w:r w:rsidRPr="4E07C719">
        <w:rPr>
          <w:color w:val="000000" w:themeColor="text1"/>
          <w:szCs w:val="26"/>
        </w:rPr>
        <w:t xml:space="preserve"> of its departments to criminal matters</w:t>
      </w:r>
      <w:r w:rsidR="004952D6">
        <w:rPr>
          <w:color w:val="000000" w:themeColor="text1"/>
          <w:szCs w:val="26"/>
        </w:rPr>
        <w:t xml:space="preserve"> (</w:t>
      </w:r>
      <w:r w:rsidR="00E22302">
        <w:rPr>
          <w:i/>
          <w:iCs/>
          <w:color w:val="000000" w:themeColor="text1"/>
          <w:szCs w:val="26"/>
        </w:rPr>
        <w:t>Echols</w:t>
      </w:r>
      <w:r w:rsidR="00E22302">
        <w:rPr>
          <w:color w:val="000000" w:themeColor="text1"/>
          <w:szCs w:val="26"/>
        </w:rPr>
        <w:t xml:space="preserve">, </w:t>
      </w:r>
      <w:r w:rsidR="00E22302">
        <w:rPr>
          <w:i/>
          <w:iCs/>
          <w:color w:val="000000" w:themeColor="text1"/>
          <w:szCs w:val="26"/>
        </w:rPr>
        <w:t>supra</w:t>
      </w:r>
      <w:r w:rsidR="00E22302">
        <w:rPr>
          <w:color w:val="000000" w:themeColor="text1"/>
          <w:szCs w:val="26"/>
        </w:rPr>
        <w:t>, 125 Cal.App.2d</w:t>
      </w:r>
      <w:r w:rsidR="0026257E">
        <w:rPr>
          <w:color w:val="000000" w:themeColor="text1"/>
          <w:szCs w:val="26"/>
        </w:rPr>
        <w:t xml:space="preserve"> at pp. 815-816)</w:t>
      </w:r>
      <w:r w:rsidRPr="4E07C719">
        <w:rPr>
          <w:color w:val="000000" w:themeColor="text1"/>
          <w:szCs w:val="26"/>
        </w:rPr>
        <w:t>; by comparison, in 2021, it nominally devoted only 14</w:t>
      </w:r>
      <w:r w:rsidR="00297C18">
        <w:rPr>
          <w:color w:val="000000" w:themeColor="text1"/>
          <w:szCs w:val="26"/>
        </w:rPr>
        <w:t> </w:t>
      </w:r>
      <w:r w:rsidR="007E6523">
        <w:rPr>
          <w:color w:val="000000" w:themeColor="text1"/>
          <w:szCs w:val="26"/>
        </w:rPr>
        <w:t>percent</w:t>
      </w:r>
      <w:r w:rsidRPr="4E07C719">
        <w:rPr>
          <w:color w:val="000000" w:themeColor="text1"/>
          <w:szCs w:val="26"/>
        </w:rPr>
        <w:t xml:space="preserve"> of its courtrooms to, and actually used only 8</w:t>
      </w:r>
      <w:r w:rsidR="00A86CE6">
        <w:rPr>
          <w:color w:val="000000" w:themeColor="text1"/>
          <w:szCs w:val="26"/>
        </w:rPr>
        <w:t xml:space="preserve"> to </w:t>
      </w:r>
      <w:r w:rsidRPr="4E07C719">
        <w:rPr>
          <w:color w:val="000000" w:themeColor="text1"/>
          <w:szCs w:val="26"/>
        </w:rPr>
        <w:t>11</w:t>
      </w:r>
      <w:r w:rsidR="00E67857">
        <w:rPr>
          <w:color w:val="000000" w:themeColor="text1"/>
          <w:szCs w:val="26"/>
        </w:rPr>
        <w:t xml:space="preserve"> percent</w:t>
      </w:r>
      <w:r w:rsidRPr="4E07C719">
        <w:rPr>
          <w:color w:val="000000" w:themeColor="text1"/>
          <w:szCs w:val="26"/>
        </w:rPr>
        <w:t xml:space="preserve"> of its courtrooms for conducting such trials.</w:t>
      </w:r>
      <w:r w:rsidR="00340B88">
        <w:rPr>
          <w:color w:val="000000" w:themeColor="text1"/>
          <w:szCs w:val="26"/>
        </w:rPr>
        <w:t xml:space="preserve"> </w:t>
      </w:r>
    </w:p>
  </w:footnote>
  <w:footnote w:id="20">
    <w:p w14:paraId="05664634" w14:textId="2F4239D4" w:rsidR="00401B97" w:rsidRPr="003C4A53" w:rsidRDefault="001B6997" w:rsidP="00401B97">
      <w:pPr>
        <w:pStyle w:val="FootnoteText"/>
        <w:spacing w:after="120"/>
      </w:pPr>
      <w:r>
        <w:tab/>
      </w:r>
      <w:r w:rsidRPr="003C4A53">
        <w:rPr>
          <w:rStyle w:val="FootnoteReference"/>
        </w:rPr>
        <w:footnoteRef/>
      </w:r>
      <w:r w:rsidRPr="003C4A53">
        <w:t xml:space="preserve"> </w:t>
      </w:r>
      <w:r w:rsidR="00846A00">
        <w:t xml:space="preserve">Along with </w:t>
      </w:r>
      <w:r w:rsidR="00846A00">
        <w:rPr>
          <w:i/>
          <w:iCs/>
        </w:rPr>
        <w:t xml:space="preserve">Echols </w:t>
      </w:r>
      <w:r w:rsidR="00846A00">
        <w:t xml:space="preserve">and </w:t>
      </w:r>
      <w:r w:rsidR="00846A00">
        <w:rPr>
          <w:i/>
          <w:iCs/>
        </w:rPr>
        <w:t>Dearth</w:t>
      </w:r>
      <w:r w:rsidR="003802BE">
        <w:rPr>
          <w:i/>
          <w:iCs/>
          <w:u w:val="single"/>
        </w:rPr>
        <w:t>,</w:t>
      </w:r>
      <w:r w:rsidR="00846A00">
        <w:rPr>
          <w:i/>
          <w:iCs/>
        </w:rPr>
        <w:t xml:space="preserve"> </w:t>
      </w:r>
      <w:r w:rsidRPr="003C4A53">
        <w:rPr>
          <w:i/>
          <w:iCs/>
          <w:color w:val="000000"/>
        </w:rPr>
        <w:t>Engram</w:t>
      </w:r>
      <w:r w:rsidRPr="003C4A53">
        <w:rPr>
          <w:color w:val="000000"/>
        </w:rPr>
        <w:t xml:space="preserve"> </w:t>
      </w:r>
      <w:r>
        <w:rPr>
          <w:color w:val="000000"/>
        </w:rPr>
        <w:t>discuss</w:t>
      </w:r>
      <w:r w:rsidRPr="003C4A53">
        <w:rPr>
          <w:color w:val="000000"/>
        </w:rPr>
        <w:t xml:space="preserve">ed </w:t>
      </w:r>
      <w:r w:rsidR="003802BE">
        <w:rPr>
          <w:color w:val="000000"/>
        </w:rPr>
        <w:t>an</w:t>
      </w:r>
      <w:r>
        <w:rPr>
          <w:color w:val="000000"/>
        </w:rPr>
        <w:t>other</w:t>
      </w:r>
      <w:r w:rsidRPr="003C4A53">
        <w:rPr>
          <w:color w:val="000000"/>
        </w:rPr>
        <w:t xml:space="preserve"> opinion of similar vintage</w:t>
      </w:r>
      <w:r w:rsidR="00BE74B7">
        <w:rPr>
          <w:color w:val="000000"/>
        </w:rPr>
        <w:t xml:space="preserve">, noting that all of those precedents </w:t>
      </w:r>
      <w:r w:rsidR="00CF38CD">
        <w:rPr>
          <w:color w:val="000000"/>
        </w:rPr>
        <w:t>“</w:t>
      </w:r>
      <w:r w:rsidR="00CF38CD" w:rsidRPr="002E35AC">
        <w:rPr>
          <w:color w:val="000000"/>
          <w:szCs w:val="26"/>
        </w:rPr>
        <w:t xml:space="preserve">demonstrate that </w:t>
      </w:r>
      <w:r w:rsidR="00CF38CD" w:rsidRPr="0091338E">
        <w:rPr>
          <w:color w:val="000000"/>
          <w:szCs w:val="26"/>
        </w:rPr>
        <w:t xml:space="preserve">a superior court may run afoul of section 1050 if it shortchanges criminal matters and does not devote a reasonable </w:t>
      </w:r>
      <w:bookmarkStart w:id="4" w:name="co_pp_sp_4040_1138_1"/>
      <w:bookmarkEnd w:id="4"/>
      <w:r w:rsidR="00CF38CD" w:rsidRPr="0091338E">
        <w:rPr>
          <w:color w:val="000000"/>
          <w:szCs w:val="26"/>
        </w:rPr>
        <w:t>proportion of its resources to the trial of criminal cases</w:t>
      </w:r>
      <w:r w:rsidR="00BA176D">
        <w:rPr>
          <w:color w:val="000000"/>
          <w:szCs w:val="26"/>
        </w:rPr>
        <w:t>.</w:t>
      </w:r>
      <w:r w:rsidR="00CF38CD">
        <w:rPr>
          <w:color w:val="000000"/>
          <w:szCs w:val="26"/>
        </w:rPr>
        <w:t>” (</w:t>
      </w:r>
      <w:r w:rsidR="00CF38CD" w:rsidRPr="00ED7E2F">
        <w:rPr>
          <w:i/>
          <w:iCs/>
          <w:color w:val="000000"/>
          <w:szCs w:val="26"/>
        </w:rPr>
        <w:t>Engram, supra</w:t>
      </w:r>
      <w:r w:rsidR="00CF38CD" w:rsidRPr="00ED7E2F">
        <w:rPr>
          <w:color w:val="000000"/>
          <w:szCs w:val="26"/>
        </w:rPr>
        <w:t xml:space="preserve">, </w:t>
      </w:r>
      <w:r w:rsidR="00856A9B" w:rsidRPr="00ED7E2F">
        <w:rPr>
          <w:color w:val="000000"/>
          <w:szCs w:val="26"/>
        </w:rPr>
        <w:t>50 Cal.4th at p</w:t>
      </w:r>
      <w:r w:rsidR="009273C0">
        <w:rPr>
          <w:color w:val="000000"/>
          <w:szCs w:val="26"/>
        </w:rPr>
        <w:t>p</w:t>
      </w:r>
      <w:r w:rsidR="00856A9B" w:rsidRPr="00ED7E2F">
        <w:rPr>
          <w:color w:val="000000"/>
          <w:szCs w:val="26"/>
        </w:rPr>
        <w:t>.</w:t>
      </w:r>
      <w:r w:rsidR="00930EDD" w:rsidRPr="00ED7E2F">
        <w:rPr>
          <w:color w:val="000000"/>
          <w:szCs w:val="26"/>
        </w:rPr>
        <w:t> 1137–1138</w:t>
      </w:r>
      <w:r w:rsidR="00BA176D" w:rsidRPr="00ED7E2F">
        <w:rPr>
          <w:color w:val="000000"/>
          <w:szCs w:val="26"/>
        </w:rPr>
        <w:t>; see</w:t>
      </w:r>
      <w:r w:rsidR="00ED7E2F" w:rsidRPr="00ED7E2F">
        <w:rPr>
          <w:color w:val="000000"/>
          <w:szCs w:val="26"/>
        </w:rPr>
        <w:t xml:space="preserve"> also</w:t>
      </w:r>
      <w:r w:rsidR="00BA176D" w:rsidRPr="00ED7E2F">
        <w:rPr>
          <w:color w:val="000000"/>
          <w:szCs w:val="26"/>
        </w:rPr>
        <w:t xml:space="preserve"> </w:t>
      </w:r>
      <w:r w:rsidR="00BA176D" w:rsidRPr="00ED7E2F">
        <w:rPr>
          <w:i/>
          <w:iCs/>
          <w:color w:val="000000"/>
          <w:szCs w:val="26"/>
        </w:rPr>
        <w:t>id.</w:t>
      </w:r>
      <w:r w:rsidR="00BA176D" w:rsidRPr="00ED7E2F">
        <w:rPr>
          <w:color w:val="000000"/>
          <w:szCs w:val="26"/>
        </w:rPr>
        <w:t xml:space="preserve"> </w:t>
      </w:r>
      <w:r w:rsidRPr="00ED7E2F">
        <w:rPr>
          <w:color w:val="000000"/>
          <w:spacing w:val="-2"/>
        </w:rPr>
        <w:t>at p. 1157,</w:t>
      </w:r>
      <w:r w:rsidRPr="003C4A53">
        <w:rPr>
          <w:color w:val="000000"/>
        </w:rPr>
        <w:t xml:space="preserve"> discussing </w:t>
      </w:r>
      <w:r w:rsidRPr="003C4A53">
        <w:rPr>
          <w:i/>
          <w:iCs/>
          <w:color w:val="000000"/>
        </w:rPr>
        <w:t>Stewart v. Superior Court</w:t>
      </w:r>
      <w:r w:rsidRPr="003C4A53">
        <w:rPr>
          <w:color w:val="000000"/>
        </w:rPr>
        <w:t xml:space="preserve"> (1955) 132</w:t>
      </w:r>
      <w:r w:rsidR="00BA176D">
        <w:rPr>
          <w:color w:val="000000"/>
        </w:rPr>
        <w:t> </w:t>
      </w:r>
      <w:r w:rsidRPr="003C4A53">
        <w:rPr>
          <w:color w:val="000000"/>
        </w:rPr>
        <w:t>Cal.App.2d 536</w:t>
      </w:r>
      <w:r w:rsidR="000403F1">
        <w:rPr>
          <w:color w:val="000000"/>
        </w:rPr>
        <w:t xml:space="preserve"> [</w:t>
      </w:r>
      <w:r w:rsidR="00FC6696">
        <w:rPr>
          <w:color w:val="000000"/>
        </w:rPr>
        <w:t xml:space="preserve">court </w:t>
      </w:r>
      <w:r w:rsidR="007866CA">
        <w:rPr>
          <w:color w:val="000000"/>
        </w:rPr>
        <w:t>violat</w:t>
      </w:r>
      <w:r w:rsidR="00FC6696">
        <w:rPr>
          <w:color w:val="000000"/>
        </w:rPr>
        <w:t xml:space="preserve">ed </w:t>
      </w:r>
      <w:r w:rsidR="007866CA">
        <w:rPr>
          <w:color w:val="000000"/>
        </w:rPr>
        <w:t>section 1050(a)</w:t>
      </w:r>
      <w:r w:rsidR="00FC6696">
        <w:rPr>
          <w:color w:val="000000"/>
        </w:rPr>
        <w:t xml:space="preserve"> by assigning only </w:t>
      </w:r>
      <w:r w:rsidR="00FC6696" w:rsidRPr="00BE74B7">
        <w:t>8</w:t>
      </w:r>
      <w:r w:rsidR="00BE74B7">
        <w:t> </w:t>
      </w:r>
      <w:r w:rsidR="00FC6696" w:rsidRPr="00BE74B7">
        <w:t>of</w:t>
      </w:r>
      <w:r w:rsidR="00FC6696">
        <w:rPr>
          <w:color w:val="000000"/>
        </w:rPr>
        <w:t xml:space="preserve"> 59 </w:t>
      </w:r>
      <w:r w:rsidR="000F5B4E">
        <w:rPr>
          <w:color w:val="000000"/>
        </w:rPr>
        <w:t>judges to criminal trials</w:t>
      </w:r>
      <w:r w:rsidR="00744557">
        <w:rPr>
          <w:color w:val="000000"/>
        </w:rPr>
        <w:t xml:space="preserve"> and sending 29 civil cases to trial on </w:t>
      </w:r>
      <w:r w:rsidR="00A4505D">
        <w:rPr>
          <w:color w:val="000000"/>
        </w:rPr>
        <w:t xml:space="preserve">the </w:t>
      </w:r>
      <w:r w:rsidR="00744557">
        <w:rPr>
          <w:color w:val="000000"/>
        </w:rPr>
        <w:t>date</w:t>
      </w:r>
      <w:r w:rsidR="00B0785B">
        <w:rPr>
          <w:color w:val="000000"/>
        </w:rPr>
        <w:t>s</w:t>
      </w:r>
      <w:r w:rsidR="00744557">
        <w:rPr>
          <w:color w:val="000000"/>
        </w:rPr>
        <w:t xml:space="preserve"> </w:t>
      </w:r>
      <w:r w:rsidR="004F2041">
        <w:rPr>
          <w:color w:val="000000"/>
        </w:rPr>
        <w:t xml:space="preserve">it continued </w:t>
      </w:r>
      <w:r w:rsidR="00744557">
        <w:rPr>
          <w:color w:val="000000"/>
        </w:rPr>
        <w:t xml:space="preserve">defendant’s </w:t>
      </w:r>
      <w:r w:rsidR="004F2041">
        <w:rPr>
          <w:color w:val="000000"/>
        </w:rPr>
        <w:t>criminal trial</w:t>
      </w:r>
      <w:r w:rsidR="008E1447">
        <w:rPr>
          <w:color w:val="000000"/>
        </w:rPr>
        <w:t>]</w:t>
      </w:r>
      <w:r w:rsidR="009273C0">
        <w:rPr>
          <w:color w:val="000000"/>
        </w:rPr>
        <w:t xml:space="preserve"> </w:t>
      </w:r>
      <w:r w:rsidRPr="003C4A53">
        <w:rPr>
          <w:color w:val="000000"/>
        </w:rPr>
        <w:t xml:space="preserve">and </w:t>
      </w:r>
      <w:r w:rsidRPr="003C4A53">
        <w:rPr>
          <w:i/>
          <w:iCs/>
          <w:color w:val="000000"/>
        </w:rPr>
        <w:t>Dearth v. Superior Court</w:t>
      </w:r>
      <w:r w:rsidR="003B4A43">
        <w:rPr>
          <w:color w:val="000000"/>
        </w:rPr>
        <w:t xml:space="preserve">, </w:t>
      </w:r>
      <w:r w:rsidR="003B4A43">
        <w:rPr>
          <w:i/>
          <w:iCs/>
          <w:color w:val="000000"/>
        </w:rPr>
        <w:t>supra</w:t>
      </w:r>
      <w:r w:rsidR="003B4A43">
        <w:rPr>
          <w:color w:val="000000"/>
        </w:rPr>
        <w:t>,</w:t>
      </w:r>
      <w:r w:rsidRPr="003C4A53">
        <w:rPr>
          <w:color w:val="000000"/>
        </w:rPr>
        <w:t xml:space="preserve"> 40 Cal.App.2d </w:t>
      </w:r>
      <w:r w:rsidR="003B4A43">
        <w:rPr>
          <w:color w:val="000000"/>
        </w:rPr>
        <w:t>at p. </w:t>
      </w:r>
      <w:r w:rsidR="00727BC4">
        <w:rPr>
          <w:color w:val="000000"/>
        </w:rPr>
        <w:t>59</w:t>
      </w:r>
      <w:r w:rsidRPr="003C4A53">
        <w:rPr>
          <w:color w:val="000000"/>
        </w:rPr>
        <w:t>.)</w:t>
      </w:r>
    </w:p>
  </w:footnote>
  <w:footnote w:id="21">
    <w:p w14:paraId="3876FD90" w14:textId="25F5EC51" w:rsidR="797FBB80" w:rsidRDefault="001B6997" w:rsidP="797FBB80">
      <w:pPr>
        <w:spacing w:line="320" w:lineRule="exact"/>
        <w:rPr>
          <w:rFonts w:eastAsiaTheme="minorEastAsia"/>
          <w:szCs w:val="26"/>
        </w:rPr>
      </w:pPr>
      <w:r>
        <w:t xml:space="preserve"> </w:t>
      </w:r>
      <w:r w:rsidR="00C5751F">
        <w:tab/>
      </w:r>
      <w:r w:rsidRPr="797FBB80">
        <w:rPr>
          <w:rStyle w:val="FootnoteReference"/>
        </w:rPr>
        <w:footnoteRef/>
      </w:r>
      <w:r>
        <w:t xml:space="preserve"> In </w:t>
      </w:r>
      <w:r w:rsidRPr="00C5751F">
        <w:rPr>
          <w:i/>
        </w:rPr>
        <w:t>Johnson</w:t>
      </w:r>
      <w:r>
        <w:t xml:space="preserve">, the court also distinguished between predictable, chronic causes for delay, on one hand, versus </w:t>
      </w:r>
      <w:r w:rsidRPr="797FBB80">
        <w:rPr>
          <w:color w:val="000000" w:themeColor="text1"/>
        </w:rPr>
        <w:t>“</w:t>
      </w:r>
      <w:r>
        <w:t xml:space="preserve">unforeseen events,” such as sudden illness, on the other; and held that </w:t>
      </w:r>
      <w:r w:rsidRPr="797FBB80">
        <w:rPr>
          <w:color w:val="000000" w:themeColor="text1"/>
        </w:rPr>
        <w:t>“</w:t>
      </w:r>
      <w:r>
        <w:t>exceptional circumstances” which could justify a delay of trial do not include routi</w:t>
      </w:r>
      <w:r>
        <w:t>ne overassignment of cases to public defender</w:t>
      </w:r>
      <w:r w:rsidR="00456E70">
        <w:t>s</w:t>
      </w:r>
      <w:r w:rsidR="00A819C5">
        <w:t>,</w:t>
      </w:r>
      <w:r>
        <w:t xml:space="preserve"> which would </w:t>
      </w:r>
      <w:r w:rsidRPr="797FBB80">
        <w:rPr>
          <w:color w:val="000000" w:themeColor="text1"/>
        </w:rPr>
        <w:t>“</w:t>
      </w:r>
      <w:r w:rsidRPr="797FBB80">
        <w:t>foreseeably</w:t>
      </w:r>
      <w:r>
        <w:t xml:space="preserve"> </w:t>
      </w:r>
      <w:r w:rsidR="00AE057D">
        <w:t>.</w:t>
      </w:r>
      <w:r w:rsidR="000205E1">
        <w:t> </w:t>
      </w:r>
      <w:r w:rsidR="00AE057D">
        <w:t>.</w:t>
      </w:r>
      <w:r w:rsidR="000205E1">
        <w:t> </w:t>
      </w:r>
      <w:r w:rsidR="00AE057D">
        <w:t>.</w:t>
      </w:r>
      <w:r>
        <w:t xml:space="preserve"> result in </w:t>
      </w:r>
      <w:r w:rsidR="003B1900">
        <w:t xml:space="preserve">the </w:t>
      </w:r>
      <w:r>
        <w:t>delays</w:t>
      </w:r>
      <w:r w:rsidR="003B1900">
        <w:t xml:space="preserve"> of trials</w:t>
      </w:r>
      <w:r>
        <w:t>.</w:t>
      </w:r>
      <w:r w:rsidR="00867BD2">
        <w:t>”</w:t>
      </w:r>
      <w:r>
        <w:t xml:space="preserve"> (</w:t>
      </w:r>
      <w:r w:rsidR="00D96E5E" w:rsidRPr="00C5751F">
        <w:rPr>
          <w:i/>
        </w:rPr>
        <w:t>Johnson</w:t>
      </w:r>
      <w:r w:rsidR="00D96E5E">
        <w:t xml:space="preserve">, </w:t>
      </w:r>
      <w:r w:rsidR="00D96E5E" w:rsidRPr="00D96E5E">
        <w:rPr>
          <w:i/>
          <w:iCs/>
        </w:rPr>
        <w:t>supra</w:t>
      </w:r>
      <w:r w:rsidR="00D96E5E">
        <w:t xml:space="preserve">, </w:t>
      </w:r>
      <w:r>
        <w:t>26</w:t>
      </w:r>
      <w:r w:rsidR="000205E1">
        <w:t> </w:t>
      </w:r>
      <w:r>
        <w:t xml:space="preserve">Cal.3d at </w:t>
      </w:r>
      <w:r w:rsidR="00F643D0">
        <w:t>pp. </w:t>
      </w:r>
      <w:r>
        <w:t>570</w:t>
      </w:r>
      <w:r w:rsidR="00F643D0">
        <w:t>–</w:t>
      </w:r>
      <w:r>
        <w:t xml:space="preserve">572.) Similarly, </w:t>
      </w:r>
      <w:r w:rsidR="008D43BD">
        <w:t>the Supreme Court</w:t>
      </w:r>
      <w:r>
        <w:t xml:space="preserve"> has observed that </w:t>
      </w:r>
      <w:r w:rsidR="008D43BD">
        <w:t>a trial</w:t>
      </w:r>
      <w:r>
        <w:t xml:space="preserve"> court’s failure to prepare for and address pr</w:t>
      </w:r>
      <w:r>
        <w:t>edictable obstacles cannot support a good cause finding for continuance</w:t>
      </w:r>
      <w:r w:rsidR="00DA7023">
        <w:t>,</w:t>
      </w:r>
      <w:r>
        <w:t xml:space="preserve"> rather than dismissal. (</w:t>
      </w:r>
      <w:r w:rsidRPr="008D43BD">
        <w:rPr>
          <w:rFonts w:eastAsiaTheme="minorEastAsia"/>
          <w:i/>
          <w:szCs w:val="26"/>
        </w:rPr>
        <w:t>People v. Hajjaj</w:t>
      </w:r>
      <w:r w:rsidRPr="008D43BD">
        <w:rPr>
          <w:rFonts w:eastAsiaTheme="minorEastAsia"/>
          <w:szCs w:val="26"/>
        </w:rPr>
        <w:t xml:space="preserve"> (2010) 50</w:t>
      </w:r>
      <w:r w:rsidR="000205E1">
        <w:rPr>
          <w:rFonts w:eastAsiaTheme="minorEastAsia"/>
          <w:szCs w:val="26"/>
        </w:rPr>
        <w:t> </w:t>
      </w:r>
      <w:r w:rsidRPr="008D43BD">
        <w:rPr>
          <w:rFonts w:eastAsiaTheme="minorEastAsia"/>
          <w:szCs w:val="26"/>
        </w:rPr>
        <w:t>Cal.4th 1184, 1201</w:t>
      </w:r>
      <w:r w:rsidR="00C151CE">
        <w:rPr>
          <w:rFonts w:eastAsiaTheme="minorEastAsia"/>
          <w:szCs w:val="26"/>
        </w:rPr>
        <w:t>–</w:t>
      </w:r>
      <w:r w:rsidR="0097661B">
        <w:rPr>
          <w:rFonts w:eastAsiaTheme="minorEastAsia"/>
          <w:szCs w:val="26"/>
        </w:rPr>
        <w:t>1202</w:t>
      </w:r>
      <w:r w:rsidRPr="008D43BD">
        <w:rPr>
          <w:rFonts w:eastAsiaTheme="minorEastAsia"/>
          <w:szCs w:val="26"/>
        </w:rPr>
        <w:t>.</w:t>
      </w:r>
      <w:r w:rsidRPr="797FBB80">
        <w:rPr>
          <w:rFonts w:eastAsiaTheme="minorEastAsia"/>
          <w:szCs w:val="26"/>
        </w:rPr>
        <w:t>) Rather, court administrators must plan for these contingencies. (</w:t>
      </w:r>
      <w:r w:rsidRPr="008D43BD">
        <w:rPr>
          <w:rFonts w:eastAsiaTheme="minorEastAsia"/>
          <w:i/>
          <w:szCs w:val="26"/>
        </w:rPr>
        <w:t>Id</w:t>
      </w:r>
      <w:r w:rsidRPr="797FBB80">
        <w:rPr>
          <w:rFonts w:eastAsiaTheme="minorEastAsia"/>
          <w:szCs w:val="26"/>
        </w:rPr>
        <w:t>.</w:t>
      </w:r>
      <w:r w:rsidR="009260B4">
        <w:rPr>
          <w:rFonts w:eastAsiaTheme="minorEastAsia"/>
          <w:szCs w:val="26"/>
        </w:rPr>
        <w:t xml:space="preserve"> at p.</w:t>
      </w:r>
      <w:r w:rsidR="00C151CE">
        <w:rPr>
          <w:rFonts w:eastAsiaTheme="minorEastAsia"/>
          <w:szCs w:val="26"/>
        </w:rPr>
        <w:t> </w:t>
      </w:r>
      <w:r w:rsidR="009260B4">
        <w:rPr>
          <w:rFonts w:eastAsiaTheme="minorEastAsia"/>
          <w:szCs w:val="26"/>
        </w:rPr>
        <w:t>1201</w:t>
      </w:r>
      <w:r w:rsidR="0077201F">
        <w:rPr>
          <w:rFonts w:eastAsiaTheme="minorEastAsia"/>
          <w:szCs w:val="26"/>
        </w:rPr>
        <w:t>.</w:t>
      </w:r>
      <w:r w:rsidRPr="797FBB80">
        <w:rPr>
          <w:rFonts w:eastAsiaTheme="minorEastAsia"/>
          <w:szCs w:val="26"/>
        </w:rPr>
        <w:t>)</w:t>
      </w:r>
    </w:p>
  </w:footnote>
  <w:footnote w:id="22">
    <w:p w14:paraId="0DDB5E01" w14:textId="29E9F3F7" w:rsidR="004B2B4B" w:rsidRDefault="001B6997" w:rsidP="00131128">
      <w:pPr>
        <w:pStyle w:val="FootnoteText"/>
        <w:spacing w:after="120"/>
      </w:pPr>
      <w:r>
        <w:tab/>
      </w:r>
      <w:r w:rsidRPr="797FBB80">
        <w:rPr>
          <w:rStyle w:val="FootnoteReference"/>
        </w:rPr>
        <w:footnoteRef/>
      </w:r>
      <w:r>
        <w:t xml:space="preserve"> Unlike the dissent, the majority opinion did not address the prejudice occasioned by the trial court’s decisions to continue petitioners’ trials beyond their statutory last dates or explain how that factor weighed in the analysis. </w:t>
      </w:r>
    </w:p>
  </w:footnote>
  <w:footnote w:id="23">
    <w:p w14:paraId="28295D21" w14:textId="7612742A" w:rsidR="00DB46BF" w:rsidRDefault="001B6997" w:rsidP="00131128">
      <w:pPr>
        <w:pStyle w:val="FootnoteText"/>
      </w:pPr>
      <w:r>
        <w:tab/>
      </w:r>
      <w:r>
        <w:rPr>
          <w:rStyle w:val="FootnoteReference"/>
        </w:rPr>
        <w:footnoteRef/>
      </w:r>
      <w:r>
        <w:t xml:space="preserve"> </w:t>
      </w:r>
      <w:r w:rsidR="007B450B">
        <w:t xml:space="preserve">Not only was </w:t>
      </w:r>
      <w:r w:rsidR="007B450B" w:rsidRPr="00D523AC">
        <w:rPr>
          <w:i/>
          <w:iCs/>
        </w:rPr>
        <w:t>Estrada</w:t>
      </w:r>
      <w:r w:rsidR="007B450B">
        <w:t xml:space="preserve"> decided </w:t>
      </w:r>
      <w:r w:rsidR="008625D6">
        <w:t xml:space="preserve">based upon </w:t>
      </w:r>
      <w:r w:rsidR="00340352">
        <w:t xml:space="preserve">markedly improved </w:t>
      </w:r>
      <w:r w:rsidR="00BF7809">
        <w:t>courtroom</w:t>
      </w:r>
      <w:r w:rsidR="00A80C0D">
        <w:t>-</w:t>
      </w:r>
      <w:r w:rsidR="00BF7809">
        <w:t xml:space="preserve">utilization </w:t>
      </w:r>
      <w:r w:rsidR="00340352">
        <w:t xml:space="preserve">rates </w:t>
      </w:r>
      <w:r w:rsidR="00BF7809">
        <w:t>since the timeframe addressed in</w:t>
      </w:r>
      <w:r w:rsidR="008625D6">
        <w:t xml:space="preserve"> </w:t>
      </w:r>
      <w:r w:rsidR="008625D6" w:rsidRPr="00D523AC">
        <w:rPr>
          <w:i/>
          <w:iCs/>
        </w:rPr>
        <w:t>Hernandez-Valenzuela</w:t>
      </w:r>
      <w:r w:rsidR="008625D6">
        <w:t xml:space="preserve">, </w:t>
      </w:r>
      <w:r w:rsidR="001B4E55">
        <w:t xml:space="preserve">the </w:t>
      </w:r>
      <w:r w:rsidRPr="00D523AC">
        <w:rPr>
          <w:i/>
          <w:iCs/>
          <w:color w:val="000000" w:themeColor="text1"/>
        </w:rPr>
        <w:t>Estrada</w:t>
      </w:r>
      <w:r>
        <w:rPr>
          <w:color w:val="000000" w:themeColor="text1"/>
        </w:rPr>
        <w:t xml:space="preserve"> </w:t>
      </w:r>
      <w:r w:rsidR="001B4E55">
        <w:rPr>
          <w:color w:val="000000" w:themeColor="text1"/>
        </w:rPr>
        <w:t>petition</w:t>
      </w:r>
      <w:r w:rsidR="00706CF4">
        <w:rPr>
          <w:color w:val="000000" w:themeColor="text1"/>
        </w:rPr>
        <w:t>ers</w:t>
      </w:r>
      <w:r w:rsidR="001B4E55">
        <w:rPr>
          <w:color w:val="000000" w:themeColor="text1"/>
        </w:rPr>
        <w:t xml:space="preserve"> </w:t>
      </w:r>
      <w:r>
        <w:rPr>
          <w:color w:val="000000" w:themeColor="text1"/>
        </w:rPr>
        <w:t>did not</w:t>
      </w:r>
      <w:r w:rsidR="00340352">
        <w:rPr>
          <w:color w:val="000000" w:themeColor="text1"/>
        </w:rPr>
        <w:t xml:space="preserve"> (unlike plaintiffs here)</w:t>
      </w:r>
      <w:r>
        <w:rPr>
          <w:color w:val="000000" w:themeColor="text1"/>
        </w:rPr>
        <w:t xml:space="preserve"> </w:t>
      </w:r>
      <w:r w:rsidR="00A12469">
        <w:rPr>
          <w:color w:val="000000" w:themeColor="text1"/>
        </w:rPr>
        <w:t xml:space="preserve">attribute the backlog to </w:t>
      </w:r>
      <w:r>
        <w:rPr>
          <w:color w:val="000000" w:themeColor="text1"/>
        </w:rPr>
        <w:t xml:space="preserve">defendants’ failure to </w:t>
      </w:r>
      <w:r w:rsidR="00A12469">
        <w:rPr>
          <w:color w:val="000000" w:themeColor="text1"/>
        </w:rPr>
        <w:t xml:space="preserve">try criminal cases at </w:t>
      </w:r>
      <w:r>
        <w:rPr>
          <w:color w:val="000000" w:themeColor="text1"/>
        </w:rPr>
        <w:t>Civic Center.</w:t>
      </w:r>
      <w:r w:rsidR="007B450B">
        <w:rPr>
          <w:color w:val="000000" w:themeColor="text1"/>
        </w:rPr>
        <w:t xml:space="preserve"> (</w:t>
      </w:r>
      <w:r w:rsidR="000F23AB">
        <w:rPr>
          <w:i/>
          <w:iCs/>
          <w:color w:val="000000" w:themeColor="text1"/>
        </w:rPr>
        <w:t xml:space="preserve">Estrada, supra, </w:t>
      </w:r>
      <w:r w:rsidR="007B450B">
        <w:rPr>
          <w:color w:val="000000" w:themeColor="text1"/>
        </w:rPr>
        <w:t>88</w:t>
      </w:r>
      <w:r w:rsidR="00AB5400">
        <w:rPr>
          <w:color w:val="000000" w:themeColor="text1"/>
        </w:rPr>
        <w:t> </w:t>
      </w:r>
      <w:r w:rsidR="007B450B">
        <w:rPr>
          <w:color w:val="000000" w:themeColor="text1"/>
        </w:rPr>
        <w:t>Cal.App.5th</w:t>
      </w:r>
      <w:r w:rsidR="008625D6">
        <w:rPr>
          <w:color w:val="000000" w:themeColor="text1"/>
        </w:rPr>
        <w:t xml:space="preserve"> at p.</w:t>
      </w:r>
      <w:r w:rsidR="00AB5400">
        <w:rPr>
          <w:color w:val="000000" w:themeColor="text1"/>
        </w:rPr>
        <w:t> </w:t>
      </w:r>
      <w:r w:rsidR="001B4E55">
        <w:rPr>
          <w:color w:val="000000" w:themeColor="text1"/>
        </w:rPr>
        <w:t>1115</w:t>
      </w:r>
      <w:r w:rsidR="008625D6">
        <w:rPr>
          <w:color w:val="000000" w:themeColor="text1"/>
        </w:rPr>
        <w:t>.)</w:t>
      </w:r>
      <w:r w:rsidR="000439AE">
        <w:rPr>
          <w:color w:val="000000" w:themeColor="text1"/>
        </w:rPr>
        <w:t xml:space="preserve"> </w:t>
      </w:r>
      <w:r w:rsidR="001B4E55">
        <w:rPr>
          <w:color w:val="000000" w:themeColor="text1"/>
        </w:rPr>
        <w:t xml:space="preserve">Rather, </w:t>
      </w:r>
      <w:r w:rsidR="006026CF">
        <w:rPr>
          <w:color w:val="000000" w:themeColor="text1"/>
        </w:rPr>
        <w:t xml:space="preserve">they blamed </w:t>
      </w:r>
      <w:r w:rsidR="00B55693">
        <w:rPr>
          <w:color w:val="000000" w:themeColor="text1"/>
        </w:rPr>
        <w:t>judicial vacations and a “remarkably inefficient</w:t>
      </w:r>
      <w:r w:rsidR="00BF7809">
        <w:rPr>
          <w:color w:val="000000" w:themeColor="text1"/>
        </w:rPr>
        <w:t xml:space="preserve"> trial assignment system.”</w:t>
      </w:r>
      <w:r w:rsidR="000439AE">
        <w:rPr>
          <w:color w:val="000000" w:themeColor="text1"/>
        </w:rPr>
        <w:t xml:space="preserve"> (</w:t>
      </w:r>
      <w:r w:rsidR="000439AE" w:rsidRPr="00D523AC">
        <w:rPr>
          <w:i/>
          <w:iCs/>
          <w:color w:val="000000" w:themeColor="text1"/>
        </w:rPr>
        <w:t>Id</w:t>
      </w:r>
      <w:r w:rsidR="000439AE">
        <w:rPr>
          <w:color w:val="000000" w:themeColor="text1"/>
        </w:rPr>
        <w:t xml:space="preserve">. at </w:t>
      </w:r>
      <w:r w:rsidR="003E6AB2">
        <w:rPr>
          <w:color w:val="000000" w:themeColor="text1"/>
        </w:rPr>
        <w:t>p. </w:t>
      </w:r>
      <w:r w:rsidR="000439AE">
        <w:rPr>
          <w:color w:val="000000" w:themeColor="text1"/>
        </w:rPr>
        <w:t>1112.)</w:t>
      </w:r>
    </w:p>
  </w:footnote>
  <w:footnote w:id="24">
    <w:p w14:paraId="68A5CE95" w14:textId="157C40EE" w:rsidR="0000612C" w:rsidRPr="00F634D1" w:rsidRDefault="001B6997" w:rsidP="00417C6C">
      <w:pPr>
        <w:pStyle w:val="FootnoteText"/>
        <w:spacing w:after="120"/>
        <w:rPr>
          <w:rFonts w:cs="Times New Roman"/>
        </w:rPr>
      </w:pPr>
      <w:r>
        <w:tab/>
      </w:r>
      <w:r>
        <w:rPr>
          <w:rStyle w:val="FootnoteReference"/>
        </w:rPr>
        <w:footnoteRef/>
      </w:r>
      <w:r>
        <w:t xml:space="preserve"> In </w:t>
      </w:r>
      <w:r w:rsidRPr="797FBB80">
        <w:rPr>
          <w:rFonts w:cs="Times New Roman"/>
          <w:i/>
          <w:iCs/>
        </w:rPr>
        <w:t>People v. Brown</w:t>
      </w:r>
      <w:r w:rsidRPr="797FBB80">
        <w:rPr>
          <w:rFonts w:cs="Times New Roman"/>
        </w:rPr>
        <w:t xml:space="preserve"> (2023) 14</w:t>
      </w:r>
      <w:r w:rsidR="00C260DA">
        <w:rPr>
          <w:rFonts w:cs="Times New Roman"/>
        </w:rPr>
        <w:t> </w:t>
      </w:r>
      <w:r w:rsidRPr="797FBB80">
        <w:rPr>
          <w:rFonts w:cs="Times New Roman"/>
        </w:rPr>
        <w:t xml:space="preserve">Cal.5th 530, </w:t>
      </w:r>
      <w:r>
        <w:rPr>
          <w:rFonts w:cs="Times New Roman"/>
        </w:rPr>
        <w:t>the Supreme Court</w:t>
      </w:r>
      <w:r>
        <w:rPr>
          <w:rFonts w:cs="Times New Roman"/>
        </w:rPr>
        <w:t xml:space="preserve"> analyzed subdivision</w:t>
      </w:r>
      <w:r w:rsidR="00C260DA">
        <w:rPr>
          <w:rFonts w:cs="Times New Roman"/>
        </w:rPr>
        <w:t> </w:t>
      </w:r>
      <w:r>
        <w:rPr>
          <w:rFonts w:cs="Times New Roman"/>
        </w:rPr>
        <w:t>(e) of section</w:t>
      </w:r>
      <w:r w:rsidR="00C260DA">
        <w:rPr>
          <w:rFonts w:cs="Times New Roman"/>
        </w:rPr>
        <w:t> </w:t>
      </w:r>
      <w:r>
        <w:rPr>
          <w:rFonts w:cs="Times New Roman"/>
        </w:rPr>
        <w:t>1050, one of the provisions governing requests for continuances in specific cases (§ 1050, subds.</w:t>
      </w:r>
      <w:r w:rsidR="00C260DA">
        <w:rPr>
          <w:rFonts w:cs="Times New Roman"/>
        </w:rPr>
        <w:t> </w:t>
      </w:r>
      <w:r>
        <w:rPr>
          <w:rFonts w:cs="Times New Roman"/>
        </w:rPr>
        <w:t>(b)–(i)), which states that “[c]</w:t>
      </w:r>
      <w:r w:rsidRPr="003506FE">
        <w:rPr>
          <w:rFonts w:cs="Times New Roman"/>
        </w:rPr>
        <w:t>ontinuances shall be granted only upon a showing of good cause</w:t>
      </w:r>
      <w:r>
        <w:rPr>
          <w:rFonts w:cs="Times New Roman"/>
        </w:rPr>
        <w:t xml:space="preserve">.” The question was </w:t>
      </w:r>
      <w:r>
        <w:rPr>
          <w:rFonts w:cs="Times New Roman"/>
        </w:rPr>
        <w:t>whether</w:t>
      </w:r>
      <w:r w:rsidR="00E113F6">
        <w:rPr>
          <w:rFonts w:cs="Times New Roman"/>
        </w:rPr>
        <w:t>, when</w:t>
      </w:r>
      <w:r>
        <w:rPr>
          <w:rFonts w:cs="Times New Roman"/>
        </w:rPr>
        <w:t xml:space="preserve"> “good cause”</w:t>
      </w:r>
      <w:r w:rsidR="00E113F6">
        <w:rPr>
          <w:rFonts w:cs="Times New Roman"/>
        </w:rPr>
        <w:t xml:space="preserve"> for a continuance is not shown, the court must deny</w:t>
      </w:r>
      <w:r>
        <w:rPr>
          <w:rFonts w:cs="Times New Roman"/>
        </w:rPr>
        <w:t xml:space="preserve"> a continuance </w:t>
      </w:r>
      <w:r w:rsidR="00E113F6">
        <w:rPr>
          <w:rFonts w:cs="Times New Roman"/>
        </w:rPr>
        <w:t xml:space="preserve">even when that </w:t>
      </w:r>
      <w:r>
        <w:rPr>
          <w:rFonts w:cs="Times New Roman"/>
        </w:rPr>
        <w:t>will foreseeably result in dismissal of the action. (14</w:t>
      </w:r>
      <w:r w:rsidR="00C260DA">
        <w:rPr>
          <w:rFonts w:cs="Times New Roman"/>
        </w:rPr>
        <w:t> </w:t>
      </w:r>
      <w:r>
        <w:rPr>
          <w:rFonts w:cs="Times New Roman"/>
        </w:rPr>
        <w:t>Cal.5th</w:t>
      </w:r>
      <w:r>
        <w:rPr>
          <w:rFonts w:cs="Times New Roman"/>
          <w:i/>
          <w:iCs/>
        </w:rPr>
        <w:t xml:space="preserve"> </w:t>
      </w:r>
      <w:r>
        <w:rPr>
          <w:rFonts w:cs="Times New Roman"/>
        </w:rPr>
        <w:t>at pp.</w:t>
      </w:r>
      <w:r w:rsidR="00C260DA">
        <w:rPr>
          <w:rFonts w:cs="Times New Roman"/>
        </w:rPr>
        <w:t> </w:t>
      </w:r>
      <w:r>
        <w:rPr>
          <w:rFonts w:cs="Times New Roman"/>
        </w:rPr>
        <w:t xml:space="preserve">533–534, 537.) Consistent with </w:t>
      </w:r>
      <w:r w:rsidRPr="00537537">
        <w:rPr>
          <w:rFonts w:cs="Times New Roman"/>
          <w:i/>
        </w:rPr>
        <w:t>Engram</w:t>
      </w:r>
      <w:r>
        <w:rPr>
          <w:rFonts w:cs="Times New Roman"/>
        </w:rPr>
        <w:t>, the court cited subdivision</w:t>
      </w:r>
      <w:r w:rsidR="007E3054">
        <w:rPr>
          <w:rFonts w:cs="Times New Roman"/>
        </w:rPr>
        <w:t> </w:t>
      </w:r>
      <w:r>
        <w:rPr>
          <w:rFonts w:cs="Times New Roman"/>
        </w:rPr>
        <w:t>(</w:t>
      </w:r>
      <w:r>
        <w:rPr>
          <w:rFonts w:cs="Times New Roman"/>
          <w:i/>
          <w:iCs/>
        </w:rPr>
        <w:t>l</w:t>
      </w:r>
      <w:r>
        <w:rPr>
          <w:rFonts w:cs="Times New Roman"/>
        </w:rPr>
        <w:t>), descr</w:t>
      </w:r>
      <w:r>
        <w:rPr>
          <w:rFonts w:cs="Times New Roman"/>
        </w:rPr>
        <w:t>ibing section</w:t>
      </w:r>
      <w:r w:rsidR="00C260DA">
        <w:rPr>
          <w:rFonts w:cs="Times New Roman"/>
        </w:rPr>
        <w:t> </w:t>
      </w:r>
      <w:r>
        <w:rPr>
          <w:rFonts w:cs="Times New Roman"/>
        </w:rPr>
        <w:t>1050 as “directory,” and reasoned that subdivision</w:t>
      </w:r>
      <w:r w:rsidR="007E3054">
        <w:rPr>
          <w:rFonts w:cs="Times New Roman"/>
        </w:rPr>
        <w:t> </w:t>
      </w:r>
      <w:r>
        <w:rPr>
          <w:rFonts w:cs="Times New Roman"/>
        </w:rPr>
        <w:t xml:space="preserve">(e) does not </w:t>
      </w:r>
      <w:r w:rsidRPr="00EF606D">
        <w:rPr>
          <w:rFonts w:cs="Times New Roman"/>
        </w:rPr>
        <w:t>require</w:t>
      </w:r>
      <w:r>
        <w:rPr>
          <w:rFonts w:cs="Times New Roman"/>
        </w:rPr>
        <w:t xml:space="preserve"> </w:t>
      </w:r>
      <w:r w:rsidR="00EF606D">
        <w:rPr>
          <w:rFonts w:cs="Times New Roman"/>
        </w:rPr>
        <w:t>denial</w:t>
      </w:r>
      <w:r w:rsidR="00B37D08">
        <w:rPr>
          <w:rFonts w:cs="Times New Roman"/>
        </w:rPr>
        <w:t xml:space="preserve"> where it</w:t>
      </w:r>
      <w:r>
        <w:rPr>
          <w:rFonts w:cs="Times New Roman"/>
        </w:rPr>
        <w:t xml:space="preserve"> would result in dismissal, since subdivision</w:t>
      </w:r>
      <w:r w:rsidR="007E3054">
        <w:rPr>
          <w:rFonts w:cs="Times New Roman"/>
        </w:rPr>
        <w:t> </w:t>
      </w:r>
      <w:r>
        <w:rPr>
          <w:rFonts w:cs="Times New Roman"/>
        </w:rPr>
        <w:t>(</w:t>
      </w:r>
      <w:r w:rsidRPr="009E0CCF">
        <w:rPr>
          <w:rFonts w:cs="Times New Roman"/>
          <w:i/>
          <w:iCs/>
        </w:rPr>
        <w:t>l</w:t>
      </w:r>
      <w:r>
        <w:rPr>
          <w:rFonts w:cs="Times New Roman"/>
        </w:rPr>
        <w:t>) specifies that section</w:t>
      </w:r>
      <w:r w:rsidR="00DC37C8">
        <w:rPr>
          <w:rFonts w:cs="Times New Roman"/>
        </w:rPr>
        <w:t> </w:t>
      </w:r>
      <w:r>
        <w:rPr>
          <w:rFonts w:cs="Times New Roman"/>
        </w:rPr>
        <w:t xml:space="preserve">1050 does not mandate </w:t>
      </w:r>
      <w:r w:rsidRPr="00D01382">
        <w:rPr>
          <w:rFonts w:cs="Times New Roman"/>
        </w:rPr>
        <w:t>dismissal</w:t>
      </w:r>
      <w:r>
        <w:rPr>
          <w:rFonts w:cs="Times New Roman"/>
        </w:rPr>
        <w:t xml:space="preserve"> as a remedy for a violation. (</w:t>
      </w:r>
      <w:r>
        <w:rPr>
          <w:rFonts w:cs="Times New Roman"/>
          <w:i/>
          <w:iCs/>
        </w:rPr>
        <w:t>Id.</w:t>
      </w:r>
      <w:r>
        <w:rPr>
          <w:rFonts w:cs="Times New Roman"/>
        </w:rPr>
        <w:t xml:space="preserve"> at p. 538.) The </w:t>
      </w:r>
      <w:r>
        <w:rPr>
          <w:rFonts w:cs="Times New Roman"/>
        </w:rPr>
        <w:t xml:space="preserve">court quoted with approval the passage in </w:t>
      </w:r>
      <w:r>
        <w:rPr>
          <w:rFonts w:cs="Times New Roman"/>
          <w:i/>
          <w:iCs/>
        </w:rPr>
        <w:t xml:space="preserve">Engram </w:t>
      </w:r>
      <w:r>
        <w:rPr>
          <w:rFonts w:cs="Times New Roman"/>
        </w:rPr>
        <w:t>distinguishing the two senses of the term “directory” (</w:t>
      </w:r>
      <w:r>
        <w:rPr>
          <w:rFonts w:cs="Times New Roman"/>
          <w:i/>
          <w:iCs/>
        </w:rPr>
        <w:t>ibid.</w:t>
      </w:r>
      <w:r>
        <w:rPr>
          <w:rFonts w:cs="Times New Roman"/>
        </w:rPr>
        <w:t>, fn.</w:t>
      </w:r>
      <w:r w:rsidR="00DC37C8">
        <w:rPr>
          <w:rFonts w:cs="Times New Roman"/>
        </w:rPr>
        <w:t> </w:t>
      </w:r>
      <w:r>
        <w:rPr>
          <w:rFonts w:cs="Times New Roman"/>
        </w:rPr>
        <w:t xml:space="preserve">3, quoting </w:t>
      </w:r>
      <w:r>
        <w:rPr>
          <w:rFonts w:cs="Times New Roman"/>
          <w:i/>
          <w:iCs/>
        </w:rPr>
        <w:t>Engram</w:t>
      </w:r>
      <w:r>
        <w:rPr>
          <w:rFonts w:cs="Times New Roman"/>
        </w:rPr>
        <w:t xml:space="preserve">, </w:t>
      </w:r>
      <w:r>
        <w:rPr>
          <w:rFonts w:cs="Times New Roman"/>
          <w:i/>
          <w:iCs/>
        </w:rPr>
        <w:t>supra</w:t>
      </w:r>
      <w:r>
        <w:rPr>
          <w:rFonts w:cs="Times New Roman"/>
        </w:rPr>
        <w:t>, 50</w:t>
      </w:r>
      <w:r w:rsidR="00DC37C8">
        <w:rPr>
          <w:rFonts w:cs="Times New Roman"/>
        </w:rPr>
        <w:t> </w:t>
      </w:r>
      <w:r>
        <w:rPr>
          <w:rFonts w:cs="Times New Roman"/>
        </w:rPr>
        <w:t>Cal.4th at p. 1148, fn.</w:t>
      </w:r>
      <w:r w:rsidR="00DC37C8">
        <w:rPr>
          <w:rFonts w:cs="Times New Roman"/>
        </w:rPr>
        <w:t> </w:t>
      </w:r>
      <w:r>
        <w:rPr>
          <w:rFonts w:cs="Times New Roman"/>
        </w:rPr>
        <w:t xml:space="preserve">7), and did not call into question </w:t>
      </w:r>
      <w:r>
        <w:rPr>
          <w:rFonts w:cs="Times New Roman"/>
          <w:i/>
          <w:iCs/>
        </w:rPr>
        <w:t>Engram</w:t>
      </w:r>
      <w:r>
        <w:rPr>
          <w:rFonts w:cs="Times New Roman"/>
        </w:rPr>
        <w:t>’s</w:t>
      </w:r>
      <w:r>
        <w:rPr>
          <w:rFonts w:cs="Times New Roman"/>
          <w:i/>
          <w:iCs/>
        </w:rPr>
        <w:t xml:space="preserve"> </w:t>
      </w:r>
      <w:r>
        <w:rPr>
          <w:rFonts w:cs="Times New Roman"/>
        </w:rPr>
        <w:t>holding that the duty set forth in subdivisi</w:t>
      </w:r>
      <w:r>
        <w:rPr>
          <w:rFonts w:cs="Times New Roman"/>
        </w:rPr>
        <w:t>on</w:t>
      </w:r>
      <w:r w:rsidR="00DC37C8">
        <w:rPr>
          <w:rFonts w:cs="Times New Roman"/>
        </w:rPr>
        <w:t> </w:t>
      </w:r>
      <w:r>
        <w:rPr>
          <w:rFonts w:cs="Times New Roman"/>
        </w:rPr>
        <w:t>(a) to give criminal cases calendar priority over civil cases “t</w:t>
      </w:r>
      <w:r w:rsidRPr="00E34078">
        <w:rPr>
          <w:rFonts w:cs="Times New Roman"/>
        </w:rPr>
        <w:t xml:space="preserve">o the greatest degree that is consistent with the ends of justice” is mandatory in the sense of compulsory, and directory in the sense that section 1050 does not mandate dismissal as a </w:t>
      </w:r>
      <w:r>
        <w:rPr>
          <w:rFonts w:cs="Times New Roman"/>
        </w:rPr>
        <w:t>reme</w:t>
      </w:r>
      <w:r>
        <w:rPr>
          <w:rFonts w:cs="Times New Roman"/>
        </w:rPr>
        <w:t>dy</w:t>
      </w:r>
      <w:r w:rsidRPr="00E34078">
        <w:rPr>
          <w:rFonts w:cs="Times New Roman"/>
        </w:rPr>
        <w:t xml:space="preserve"> for a violation.</w:t>
      </w:r>
      <w:r>
        <w:rPr>
          <w:rFonts w:cs="Times New Roman"/>
        </w:rPr>
        <w:t xml:space="preserve"> (</w:t>
      </w:r>
      <w:r>
        <w:rPr>
          <w:rFonts w:cs="Times New Roman"/>
          <w:i/>
          <w:iCs/>
        </w:rPr>
        <w:t>Engram</w:t>
      </w:r>
      <w:r>
        <w:rPr>
          <w:rFonts w:cs="Times New Roman"/>
        </w:rPr>
        <w:t xml:space="preserve">, at p. 1151.) </w:t>
      </w:r>
    </w:p>
  </w:footnote>
  <w:footnote w:id="25">
    <w:p w14:paraId="02ED5735" w14:textId="1A575D17" w:rsidR="0080647E" w:rsidRPr="00C91D6D" w:rsidRDefault="001B6997" w:rsidP="001068F9">
      <w:pPr>
        <w:pStyle w:val="FootnoteText"/>
        <w:spacing w:after="120"/>
      </w:pPr>
      <w:r>
        <w:tab/>
      </w:r>
      <w:r w:rsidRPr="4B0E998B">
        <w:rPr>
          <w:rStyle w:val="FootnoteReference"/>
        </w:rPr>
        <w:footnoteRef/>
      </w:r>
      <w:r w:rsidR="797FBB80">
        <w:t xml:space="preserve"> </w:t>
      </w:r>
      <w:r w:rsidR="00FF33CB">
        <w:t>N</w:t>
      </w:r>
      <w:r w:rsidR="797FBB80" w:rsidRPr="797FBB80">
        <w:t xml:space="preserve">one of </w:t>
      </w:r>
      <w:r w:rsidR="00FF0544">
        <w:t>defendants’</w:t>
      </w:r>
      <w:r w:rsidR="797FBB80" w:rsidRPr="797FBB80">
        <w:t xml:space="preserve"> precedents extend </w:t>
      </w:r>
      <w:r w:rsidR="00EC6650">
        <w:t>the</w:t>
      </w:r>
      <w:r w:rsidR="797FBB80" w:rsidRPr="797FBB80">
        <w:t xml:space="preserve"> </w:t>
      </w:r>
      <w:r w:rsidR="797FBB80" w:rsidRPr="797FBB80">
        <w:rPr>
          <w:i/>
          <w:iCs/>
        </w:rPr>
        <w:t>Sundance</w:t>
      </w:r>
      <w:r w:rsidR="797FBB80" w:rsidRPr="797FBB80">
        <w:t xml:space="preserve"> </w:t>
      </w:r>
      <w:r w:rsidR="00EC6650">
        <w:t>rule, grounded in</w:t>
      </w:r>
      <w:r w:rsidR="797FBB80" w:rsidRPr="797FBB80">
        <w:t xml:space="preserve"> separation</w:t>
      </w:r>
      <w:r w:rsidR="797FBB80">
        <w:rPr>
          <w:szCs w:val="26"/>
        </w:rPr>
        <w:t xml:space="preserve"> </w:t>
      </w:r>
      <w:r w:rsidR="797FBB80" w:rsidRPr="797FBB80">
        <w:t>of</w:t>
      </w:r>
      <w:r w:rsidR="797FBB80">
        <w:rPr>
          <w:szCs w:val="26"/>
        </w:rPr>
        <w:t xml:space="preserve"> </w:t>
      </w:r>
      <w:r w:rsidR="797FBB80" w:rsidRPr="797FBB80">
        <w:t>powers</w:t>
      </w:r>
      <w:r w:rsidR="00EC6650">
        <w:t>,</w:t>
      </w:r>
      <w:r w:rsidR="797FBB80" w:rsidRPr="797FBB80">
        <w:t xml:space="preserve"> to a taxpayer action challenging </w:t>
      </w:r>
      <w:r w:rsidR="797FBB80" w:rsidRPr="008E5125">
        <w:rPr>
          <w:i/>
        </w:rPr>
        <w:t>judicial</w:t>
      </w:r>
      <w:r w:rsidR="797FBB80" w:rsidRPr="797FBB80">
        <w:t xml:space="preserve"> acts. </w:t>
      </w:r>
    </w:p>
  </w:footnote>
  <w:footnote w:id="26">
    <w:p w14:paraId="777169DE" w14:textId="7D99267B" w:rsidR="797FBB80" w:rsidRDefault="001B6997" w:rsidP="00F60E72">
      <w:pPr>
        <w:pStyle w:val="FootnoteText"/>
        <w:spacing w:after="120"/>
        <w:rPr>
          <w:rFonts w:cs="Times New Roman"/>
          <w:color w:val="000000" w:themeColor="text1"/>
        </w:rPr>
      </w:pPr>
      <w:r>
        <w:tab/>
      </w:r>
      <w:r w:rsidRPr="797FBB80">
        <w:rPr>
          <w:rStyle w:val="FootnoteReference"/>
        </w:rPr>
        <w:footnoteRef/>
      </w:r>
      <w:r>
        <w:t xml:space="preserve"> </w:t>
      </w:r>
      <w:r w:rsidRPr="797FBB80">
        <w:rPr>
          <w:rFonts w:cs="Times New Roman"/>
          <w:color w:val="000000" w:themeColor="text1"/>
        </w:rPr>
        <w:t xml:space="preserve">In the other cases defendants cite, courts denied </w:t>
      </w:r>
      <w:r w:rsidRPr="797FBB80">
        <w:rPr>
          <w:rFonts w:cs="Times New Roman"/>
          <w:color w:val="000000" w:themeColor="text1"/>
        </w:rPr>
        <w:t>taxpayers standing to challenge a commission’s exercise of discretion “in deciding whether to report information concerning possible criminal conduct by judges to prosecutors” (</w:t>
      </w:r>
      <w:r w:rsidRPr="797FBB80">
        <w:rPr>
          <w:rFonts w:cs="Times New Roman"/>
          <w:i/>
          <w:iCs/>
          <w:color w:val="000000" w:themeColor="text1"/>
        </w:rPr>
        <w:t>Chodosh</w:t>
      </w:r>
      <w:r w:rsidRPr="797FBB80">
        <w:rPr>
          <w:rFonts w:cs="Times New Roman"/>
          <w:color w:val="000000" w:themeColor="text1"/>
        </w:rPr>
        <w:t xml:space="preserve">, </w:t>
      </w:r>
      <w:r w:rsidRPr="797FBB80">
        <w:rPr>
          <w:rFonts w:cs="Times New Roman"/>
          <w:i/>
          <w:iCs/>
          <w:color w:val="000000" w:themeColor="text1"/>
        </w:rPr>
        <w:t>supra</w:t>
      </w:r>
      <w:r w:rsidRPr="797FBB80">
        <w:rPr>
          <w:rFonts w:cs="Times New Roman"/>
          <w:color w:val="000000" w:themeColor="text1"/>
        </w:rPr>
        <w:t xml:space="preserve">, </w:t>
      </w:r>
      <w:r w:rsidR="00614002" w:rsidRPr="4B0E998B">
        <w:rPr>
          <w:rFonts w:eastAsia="Times New Roman" w:cs="Times New Roman"/>
          <w:color w:val="000000"/>
        </w:rPr>
        <w:t xml:space="preserve">81 Cal.App.5th </w:t>
      </w:r>
      <w:r w:rsidRPr="797FBB80">
        <w:rPr>
          <w:rFonts w:cs="Times New Roman"/>
          <w:color w:val="000000" w:themeColor="text1"/>
        </w:rPr>
        <w:t>at p. 268) and an arts commissioner’s exercise o</w:t>
      </w:r>
      <w:r w:rsidRPr="797FBB80">
        <w:rPr>
          <w:rFonts w:cs="Times New Roman"/>
          <w:color w:val="000000" w:themeColor="text1"/>
        </w:rPr>
        <w:t>f “discretion to remove works of art [from city land] that did not fit the Commission’s vision” (</w:t>
      </w:r>
      <w:r w:rsidRPr="797FBB80">
        <w:rPr>
          <w:rFonts w:cs="Times New Roman"/>
          <w:i/>
          <w:iCs/>
          <w:color w:val="000000" w:themeColor="text1"/>
        </w:rPr>
        <w:t>Schmid, supra</w:t>
      </w:r>
      <w:r w:rsidRPr="797FBB80">
        <w:rPr>
          <w:rFonts w:cs="Times New Roman"/>
          <w:color w:val="000000" w:themeColor="text1"/>
        </w:rPr>
        <w:t xml:space="preserve">, </w:t>
      </w:r>
      <w:r w:rsidR="00D37648" w:rsidRPr="00423A54">
        <w:rPr>
          <w:rFonts w:eastAsia="Times New Roman" w:cs="Times New Roman"/>
          <w:color w:val="000000"/>
        </w:rPr>
        <w:t>60</w:t>
      </w:r>
      <w:r w:rsidR="00D37648" w:rsidRPr="00877AAD">
        <w:rPr>
          <w:rFonts w:eastAsia="Times New Roman" w:cs="Times New Roman"/>
          <w:color w:val="000000"/>
        </w:rPr>
        <w:t> </w:t>
      </w:r>
      <w:r w:rsidR="00D37648" w:rsidRPr="00423A54">
        <w:rPr>
          <w:rFonts w:eastAsia="Times New Roman" w:cs="Times New Roman"/>
          <w:color w:val="000000"/>
        </w:rPr>
        <w:t xml:space="preserve">Cal.App.5th </w:t>
      </w:r>
      <w:r w:rsidRPr="797FBB80">
        <w:rPr>
          <w:rFonts w:cs="Times New Roman"/>
          <w:color w:val="000000" w:themeColor="text1"/>
        </w:rPr>
        <w:t xml:space="preserve">at p. 496). In those cases, too, the official </w:t>
      </w:r>
      <w:r w:rsidR="00324D5E">
        <w:rPr>
          <w:rFonts w:cs="Times New Roman"/>
          <w:color w:val="000000" w:themeColor="text1"/>
        </w:rPr>
        <w:t>enjoyed</w:t>
      </w:r>
      <w:r w:rsidR="00324D5E" w:rsidRPr="797FBB80">
        <w:rPr>
          <w:rFonts w:cs="Times New Roman"/>
          <w:color w:val="000000" w:themeColor="text1"/>
        </w:rPr>
        <w:t xml:space="preserve"> </w:t>
      </w:r>
      <w:r w:rsidRPr="797FBB80">
        <w:rPr>
          <w:rFonts w:cs="Times New Roman"/>
          <w:color w:val="000000" w:themeColor="text1"/>
        </w:rPr>
        <w:t xml:space="preserve">discretion to choose, on policy grounds, whether or not to perform the </w:t>
      </w:r>
      <w:r w:rsidRPr="797FBB80">
        <w:rPr>
          <w:rFonts w:cs="Times New Roman"/>
          <w:color w:val="000000" w:themeColor="text1"/>
        </w:rPr>
        <w:t>act</w:t>
      </w:r>
      <w:r w:rsidR="00324D5E">
        <w:rPr>
          <w:rFonts w:cs="Times New Roman"/>
          <w:color w:val="000000" w:themeColor="text1"/>
        </w:rPr>
        <w:t xml:space="preserve"> at issue</w:t>
      </w:r>
      <w:r w:rsidRPr="797FBB80">
        <w:rPr>
          <w:rFonts w:cs="Times New Roman"/>
          <w:color w:val="000000" w:themeColor="text1"/>
        </w:rPr>
        <w:t xml:space="preserve">, </w:t>
      </w:r>
      <w:r w:rsidR="00324D5E">
        <w:rPr>
          <w:rFonts w:cs="Times New Roman"/>
          <w:color w:val="000000" w:themeColor="text1"/>
        </w:rPr>
        <w:t xml:space="preserve">and </w:t>
      </w:r>
      <w:r w:rsidR="00324D5E" w:rsidRPr="00375B48">
        <w:rPr>
          <w:rFonts w:cs="Times New Roman"/>
          <w:i/>
          <w:color w:val="000000" w:themeColor="text1"/>
        </w:rPr>
        <w:t>that choice</w:t>
      </w:r>
      <w:r w:rsidR="00324D5E">
        <w:rPr>
          <w:rFonts w:cs="Times New Roman"/>
          <w:color w:val="000000" w:themeColor="text1"/>
        </w:rPr>
        <w:t xml:space="preserve"> </w:t>
      </w:r>
      <w:r w:rsidR="00161A8A">
        <w:rPr>
          <w:rFonts w:cs="Times New Roman"/>
          <w:color w:val="000000" w:themeColor="text1"/>
        </w:rPr>
        <w:t xml:space="preserve">(not the manner in which </w:t>
      </w:r>
      <w:r w:rsidR="006C77E7">
        <w:rPr>
          <w:rFonts w:cs="Times New Roman"/>
          <w:color w:val="000000" w:themeColor="text1"/>
        </w:rPr>
        <w:t>it</w:t>
      </w:r>
      <w:r w:rsidR="00161A8A">
        <w:rPr>
          <w:rFonts w:cs="Times New Roman"/>
          <w:color w:val="000000" w:themeColor="text1"/>
        </w:rPr>
        <w:t xml:space="preserve"> was carried out) </w:t>
      </w:r>
      <w:r w:rsidR="00324D5E">
        <w:rPr>
          <w:rFonts w:cs="Times New Roman"/>
          <w:color w:val="000000" w:themeColor="text1"/>
        </w:rPr>
        <w:t xml:space="preserve">was held </w:t>
      </w:r>
      <w:r w:rsidR="00463046">
        <w:rPr>
          <w:rFonts w:cs="Times New Roman"/>
          <w:color w:val="000000" w:themeColor="text1"/>
        </w:rPr>
        <w:t>immune</w:t>
      </w:r>
      <w:r w:rsidR="00324D5E">
        <w:rPr>
          <w:rFonts w:cs="Times New Roman"/>
          <w:color w:val="000000" w:themeColor="text1"/>
        </w:rPr>
        <w:t xml:space="preserve"> to taxpayer challenge.</w:t>
      </w:r>
    </w:p>
  </w:footnote>
  <w:footnote w:id="27">
    <w:p w14:paraId="54F76774" w14:textId="6B8BC620" w:rsidR="0080647E" w:rsidRDefault="001B6997" w:rsidP="003B1917">
      <w:pPr>
        <w:pStyle w:val="FootnoteText"/>
        <w:spacing w:after="120"/>
        <w:rPr>
          <w:szCs w:val="26"/>
        </w:rPr>
      </w:pPr>
      <w:r>
        <w:rPr>
          <w:szCs w:val="26"/>
        </w:rPr>
        <w:tab/>
      </w:r>
      <w:r w:rsidRPr="4B0E998B">
        <w:rPr>
          <w:rStyle w:val="FootnoteReference"/>
          <w:szCs w:val="26"/>
        </w:rPr>
        <w:footnoteRef/>
      </w:r>
      <w:r w:rsidRPr="4B0E998B">
        <w:rPr>
          <w:szCs w:val="26"/>
        </w:rPr>
        <w:t xml:space="preserve"> That</w:t>
      </w:r>
      <w:r w:rsidR="008A7896">
        <w:rPr>
          <w:szCs w:val="26"/>
        </w:rPr>
        <w:t xml:space="preserve"> </w:t>
      </w:r>
      <w:r w:rsidR="00F26575">
        <w:rPr>
          <w:szCs w:val="26"/>
        </w:rPr>
        <w:t>exercise of judgment</w:t>
      </w:r>
      <w:r w:rsidR="00C730B2">
        <w:rPr>
          <w:szCs w:val="26"/>
        </w:rPr>
        <w:t xml:space="preserve">, which was recognized in </w:t>
      </w:r>
      <w:r w:rsidR="00C730B2" w:rsidRPr="00E368C9">
        <w:rPr>
          <w:i/>
          <w:szCs w:val="26"/>
        </w:rPr>
        <w:t>Engram</w:t>
      </w:r>
      <w:r w:rsidR="003309FB">
        <w:rPr>
          <w:i/>
          <w:szCs w:val="26"/>
        </w:rPr>
        <w:t>, supra,</w:t>
      </w:r>
      <w:r w:rsidR="003309FB">
        <w:rPr>
          <w:szCs w:val="26"/>
        </w:rPr>
        <w:t xml:space="preserve"> </w:t>
      </w:r>
      <w:r w:rsidR="002E56E9">
        <w:rPr>
          <w:szCs w:val="26"/>
        </w:rPr>
        <w:t>50</w:t>
      </w:r>
      <w:r w:rsidR="00126C49">
        <w:rPr>
          <w:szCs w:val="26"/>
        </w:rPr>
        <w:t> </w:t>
      </w:r>
      <w:r w:rsidR="002E56E9">
        <w:rPr>
          <w:szCs w:val="26"/>
        </w:rPr>
        <w:t>Cal.4th at p</w:t>
      </w:r>
      <w:r w:rsidR="003309FB">
        <w:rPr>
          <w:szCs w:val="26"/>
        </w:rPr>
        <w:t>age</w:t>
      </w:r>
      <w:r w:rsidR="00126C49">
        <w:rPr>
          <w:szCs w:val="26"/>
        </w:rPr>
        <w:t> </w:t>
      </w:r>
      <w:r w:rsidR="002E56E9">
        <w:rPr>
          <w:szCs w:val="26"/>
        </w:rPr>
        <w:t>1146,</w:t>
      </w:r>
      <w:r w:rsidRPr="4B0E998B">
        <w:rPr>
          <w:szCs w:val="26"/>
        </w:rPr>
        <w:t xml:space="preserve"> is why the trial court</w:t>
      </w:r>
      <w:r w:rsidR="008A7896">
        <w:rPr>
          <w:szCs w:val="26"/>
        </w:rPr>
        <w:t>, in this case,</w:t>
      </w:r>
      <w:r w:rsidRPr="4B0E998B">
        <w:rPr>
          <w:szCs w:val="26"/>
        </w:rPr>
        <w:t xml:space="preserve"> relied on </w:t>
      </w:r>
      <w:r w:rsidRPr="4B0E998B">
        <w:rPr>
          <w:i/>
          <w:iCs/>
          <w:szCs w:val="26"/>
        </w:rPr>
        <w:t xml:space="preserve">Engram </w:t>
      </w:r>
      <w:r w:rsidRPr="4B0E998B">
        <w:rPr>
          <w:szCs w:val="26"/>
        </w:rPr>
        <w:t xml:space="preserve">to hold that a trial court’s duty to </w:t>
      </w:r>
      <w:r w:rsidR="001C1644">
        <w:rPr>
          <w:szCs w:val="26"/>
        </w:rPr>
        <w:t>allocate courtrooms</w:t>
      </w:r>
      <w:r w:rsidRPr="4B0E998B">
        <w:rPr>
          <w:rFonts w:cs="Times New Roman"/>
        </w:rPr>
        <w:t xml:space="preserve"> </w:t>
      </w:r>
      <w:r w:rsidR="001C1644">
        <w:rPr>
          <w:rFonts w:cs="Times New Roman"/>
        </w:rPr>
        <w:t>“</w:t>
      </w:r>
      <w:r w:rsidRPr="4B0E998B">
        <w:rPr>
          <w:rFonts w:cs="Times New Roman"/>
          <w:szCs w:val="26"/>
        </w:rPr>
        <w:t xml:space="preserve">is a matter of discretion” that is “anything but </w:t>
      </w:r>
      <w:r w:rsidRPr="4B0E998B">
        <w:rPr>
          <w:rFonts w:cs="Times New Roman"/>
        </w:rPr>
        <w:t>‘</w:t>
      </w:r>
      <w:r w:rsidRPr="4B0E998B">
        <w:rPr>
          <w:rFonts w:cs="Times New Roman"/>
          <w:szCs w:val="26"/>
        </w:rPr>
        <w:t>ministerial</w:t>
      </w:r>
      <w:r w:rsidRPr="4B0E998B">
        <w:rPr>
          <w:rFonts w:cs="Times New Roman"/>
        </w:rPr>
        <w:t>’</w:t>
      </w:r>
      <w:r w:rsidR="00DC5A63">
        <w:rPr>
          <w:rFonts w:cs="Times New Roman"/>
        </w:rPr>
        <w:t> </w:t>
      </w:r>
      <w:r w:rsidRPr="4B0E998B">
        <w:rPr>
          <w:rFonts w:cs="Times New Roman"/>
        </w:rPr>
        <w:t xml:space="preserve">” </w:t>
      </w:r>
      <w:r w:rsidRPr="4B0E998B">
        <w:rPr>
          <w:szCs w:val="26"/>
        </w:rPr>
        <w:t xml:space="preserve">in the sense </w:t>
      </w:r>
      <w:r w:rsidRPr="00F850D3">
        <w:rPr>
          <w:i/>
          <w:szCs w:val="26"/>
        </w:rPr>
        <w:t>required for mandamus relief</w:t>
      </w:r>
      <w:r w:rsidRPr="4B0E998B">
        <w:rPr>
          <w:szCs w:val="26"/>
        </w:rPr>
        <w:t xml:space="preserve">. </w:t>
      </w:r>
      <w:r w:rsidRPr="4B0E998B">
        <w:rPr>
          <w:color w:val="000000" w:themeColor="text1"/>
          <w:szCs w:val="26"/>
        </w:rPr>
        <w:t>(</w:t>
      </w:r>
      <w:r w:rsidRPr="4B0E998B">
        <w:rPr>
          <w:szCs w:val="26"/>
        </w:rPr>
        <w:t>See</w:t>
      </w:r>
      <w:r w:rsidRPr="4B0E998B">
        <w:rPr>
          <w:color w:val="000000" w:themeColor="text1"/>
          <w:szCs w:val="26"/>
        </w:rPr>
        <w:t xml:space="preserve"> </w:t>
      </w:r>
      <w:r w:rsidRPr="4B0E998B">
        <w:rPr>
          <w:i/>
          <w:iCs/>
          <w:color w:val="000000" w:themeColor="text1"/>
          <w:szCs w:val="26"/>
        </w:rPr>
        <w:t>County of San Diego v. State of California</w:t>
      </w:r>
      <w:r w:rsidRPr="4B0E998B">
        <w:rPr>
          <w:color w:val="000000" w:themeColor="text1"/>
          <w:szCs w:val="26"/>
        </w:rPr>
        <w:t xml:space="preserve"> (2008) 164</w:t>
      </w:r>
      <w:r w:rsidR="00084209">
        <w:rPr>
          <w:color w:val="000000" w:themeColor="text1"/>
          <w:szCs w:val="26"/>
        </w:rPr>
        <w:t> </w:t>
      </w:r>
      <w:r w:rsidRPr="4B0E998B">
        <w:rPr>
          <w:color w:val="000000" w:themeColor="text1"/>
          <w:szCs w:val="26"/>
        </w:rPr>
        <w:t xml:space="preserve">Cal.App.4th 580, 593 </w:t>
      </w:r>
      <w:r w:rsidRPr="4B0E998B">
        <w:rPr>
          <w:color w:val="000000" w:themeColor="text1"/>
          <w:szCs w:val="26"/>
        </w:rPr>
        <w:t>[ministerial duty is one that must be “performed in a prescribed manner under the mandate of legal authority without the exercise of discretion or judgment”].)</w:t>
      </w:r>
      <w:r w:rsidR="002E2088">
        <w:rPr>
          <w:color w:val="000000" w:themeColor="text1"/>
          <w:szCs w:val="26"/>
        </w:rPr>
        <w:t xml:space="preserve"> The fact that the duty is not ministerial, as </w:t>
      </w:r>
      <w:r w:rsidR="00C438BA">
        <w:rPr>
          <w:color w:val="000000" w:themeColor="text1"/>
          <w:szCs w:val="26"/>
        </w:rPr>
        <w:t xml:space="preserve">would </w:t>
      </w:r>
      <w:r w:rsidR="002E2088">
        <w:rPr>
          <w:color w:val="000000" w:themeColor="text1"/>
          <w:szCs w:val="26"/>
        </w:rPr>
        <w:t xml:space="preserve">support a writ of mandate, does not mean it is not mandatory. </w:t>
      </w:r>
    </w:p>
  </w:footnote>
  <w:footnote w:id="28">
    <w:p w14:paraId="0700D256" w14:textId="6BEA254B" w:rsidR="00F55003" w:rsidRDefault="001B6997" w:rsidP="00E27FA2">
      <w:pPr>
        <w:pStyle w:val="FootnoteText"/>
        <w:spacing w:after="120" w:line="259" w:lineRule="auto"/>
      </w:pPr>
      <w:r>
        <w:tab/>
      </w:r>
      <w:r w:rsidRPr="797FBB80">
        <w:rPr>
          <w:rStyle w:val="FootnoteReference"/>
        </w:rPr>
        <w:footnoteRef/>
      </w:r>
      <w:r>
        <w:t xml:space="preserve"> Defendants also</w:t>
      </w:r>
      <w:r w:rsidR="000930E6">
        <w:t xml:space="preserve"> seem to</w:t>
      </w:r>
      <w:r>
        <w:t xml:space="preserve"> suggest that the mere existence of many cases that have passed their “last date” for trial</w:t>
      </w:r>
      <w:r w:rsidR="00047299">
        <w:t>,</w:t>
      </w:r>
      <w:r>
        <w:t xml:space="preserve"> itself</w:t>
      </w:r>
      <w:r w:rsidR="00047299">
        <w:t>, cannot</w:t>
      </w:r>
      <w:r>
        <w:t xml:space="preserve"> prove </w:t>
      </w:r>
      <w:r w:rsidR="00085980">
        <w:t>that</w:t>
      </w:r>
      <w:r>
        <w:t xml:space="preserve"> defendants shortchanged the criminal caseload in violation of section</w:t>
      </w:r>
      <w:r w:rsidR="00084209">
        <w:t> </w:t>
      </w:r>
      <w:r>
        <w:t>1050(a)</w:t>
      </w:r>
      <w:r w:rsidR="00002BA3">
        <w:t xml:space="preserve"> without</w:t>
      </w:r>
      <w:r>
        <w:t xml:space="preserve"> an inq</w:t>
      </w:r>
      <w:r>
        <w:t>uiry into the individualized</w:t>
      </w:r>
      <w:r w:rsidR="00047299">
        <w:t xml:space="preserve"> </w:t>
      </w:r>
      <w:r>
        <w:t xml:space="preserve">circumstances of every such case, to determine whether there was </w:t>
      </w:r>
      <w:r w:rsidR="009E1F57">
        <w:t xml:space="preserve">no </w:t>
      </w:r>
      <w:r>
        <w:t xml:space="preserve">good cause for delay. </w:t>
      </w:r>
      <w:r w:rsidR="00C84E82">
        <w:t>There is some irony in this argument, given</w:t>
      </w:r>
      <w:r w:rsidR="00FC3A22">
        <w:t xml:space="preserve"> plaintiffs</w:t>
      </w:r>
      <w:r w:rsidR="00A21D3F">
        <w:t>’</w:t>
      </w:r>
      <w:r w:rsidR="00FC3A22">
        <w:t xml:space="preserve"> alleg</w:t>
      </w:r>
      <w:r w:rsidR="00A21D3F">
        <w:t>ation (which we must credit)</w:t>
      </w:r>
      <w:r w:rsidR="00FC3A22">
        <w:t xml:space="preserve"> that defendants</w:t>
      </w:r>
      <w:r w:rsidR="0039191A">
        <w:t xml:space="preserve"> systematic</w:t>
      </w:r>
      <w:r w:rsidR="000222B6">
        <w:t>ally</w:t>
      </w:r>
      <w:r w:rsidR="0039191A">
        <w:t xml:space="preserve"> bypass</w:t>
      </w:r>
      <w:r w:rsidR="000222B6">
        <w:t>ed</w:t>
      </w:r>
      <w:r w:rsidR="0039191A">
        <w:t xml:space="preserve"> this</w:t>
      </w:r>
      <w:r w:rsidR="00C84E82">
        <w:t xml:space="preserve"> very</w:t>
      </w:r>
      <w:r w:rsidR="0039191A">
        <w:t xml:space="preserve"> same inquiry by developing and circulating a “good cause”</w:t>
      </w:r>
      <w:r w:rsidR="00FC3A22">
        <w:t xml:space="preserve"> </w:t>
      </w:r>
      <w:r w:rsidR="0039191A">
        <w:t>script to utilize as the sole basis for numerous continuances</w:t>
      </w:r>
      <w:r w:rsidR="004A4F5B">
        <w:t>. More</w:t>
      </w:r>
      <w:r w:rsidR="009747B2">
        <w:t xml:space="preserve"> importantly</w:t>
      </w:r>
      <w:r w:rsidR="004A4F5B">
        <w:t xml:space="preserve">, </w:t>
      </w:r>
      <w:r w:rsidR="0039191A">
        <w:t>a</w:t>
      </w:r>
      <w:r>
        <w:t xml:space="preserve">s we have noted, </w:t>
      </w:r>
      <w:r w:rsidR="00085980">
        <w:t xml:space="preserve">defendants conflate two </w:t>
      </w:r>
      <w:r w:rsidR="00D62EFC">
        <w:t xml:space="preserve">analyses </w:t>
      </w:r>
      <w:r w:rsidR="00085980">
        <w:t>which are conceptually and legally</w:t>
      </w:r>
      <w:r>
        <w:t xml:space="preserve"> distinct (</w:t>
      </w:r>
      <w:r w:rsidRPr="00B227CE">
        <w:rPr>
          <w:i/>
          <w:iCs/>
        </w:rPr>
        <w:t>Engram</w:t>
      </w:r>
      <w:r>
        <w:t xml:space="preserve">, </w:t>
      </w:r>
      <w:r w:rsidR="009B61A0">
        <w:rPr>
          <w:i/>
          <w:iCs/>
        </w:rPr>
        <w:t xml:space="preserve">supra, </w:t>
      </w:r>
      <w:r>
        <w:rPr>
          <w:color w:val="000000"/>
        </w:rPr>
        <w:t>50 Cal.4th at p. 1160</w:t>
      </w:r>
      <w:r w:rsidR="00B15E15">
        <w:t>)</w:t>
      </w:r>
      <w:r w:rsidR="006D257D">
        <w:t xml:space="preserve"> (see p.</w:t>
      </w:r>
      <w:r w:rsidR="00084209">
        <w:t> </w:t>
      </w:r>
      <w:r w:rsidR="007102AB">
        <w:t xml:space="preserve">21, </w:t>
      </w:r>
      <w:r w:rsidR="007102AB">
        <w:rPr>
          <w:i/>
          <w:iCs/>
        </w:rPr>
        <w:t>ante</w:t>
      </w:r>
      <w:r w:rsidR="007102AB">
        <w:t>)</w:t>
      </w:r>
      <w:r w:rsidR="005947CC">
        <w:t>,</w:t>
      </w:r>
      <w:r w:rsidR="00B15E15">
        <w:t xml:space="preserve"> </w:t>
      </w:r>
      <w:r w:rsidR="00350E1D">
        <w:t>and</w:t>
      </w:r>
      <w:r w:rsidR="006D5C9B">
        <w:t xml:space="preserve"> s</w:t>
      </w:r>
      <w:r w:rsidR="00DC0344">
        <w:t>ection</w:t>
      </w:r>
      <w:r w:rsidR="00084209">
        <w:t> </w:t>
      </w:r>
      <w:r w:rsidR="00DC0344">
        <w:t>1050(a) protect</w:t>
      </w:r>
      <w:r w:rsidR="005947CC">
        <w:t>s</w:t>
      </w:r>
      <w:r w:rsidR="00DC0344">
        <w:t xml:space="preserve"> rights and interests </w:t>
      </w:r>
      <w:r w:rsidR="00D62EFC">
        <w:t>of the public</w:t>
      </w:r>
      <w:r w:rsidR="004F576C">
        <w:t xml:space="preserve">, </w:t>
      </w:r>
      <w:r w:rsidR="000A427C">
        <w:t>in addition to</w:t>
      </w:r>
      <w:r w:rsidR="00DC0344">
        <w:t xml:space="preserve"> those of</w:t>
      </w:r>
      <w:r w:rsidR="00B15E15">
        <w:t xml:space="preserve"> </w:t>
      </w:r>
      <w:r w:rsidR="00DC0344">
        <w:t>individual criminal defendants (</w:t>
      </w:r>
      <w:r w:rsidR="004B474D">
        <w:t>s</w:t>
      </w:r>
      <w:r w:rsidR="00DC0344">
        <w:t>ee p</w:t>
      </w:r>
      <w:r w:rsidR="00592E1E">
        <w:t>p</w:t>
      </w:r>
      <w:r w:rsidR="00DC0344">
        <w:t>.</w:t>
      </w:r>
      <w:r w:rsidR="00DC56C0">
        <w:t> </w:t>
      </w:r>
      <w:r w:rsidR="000762A1">
        <w:t>1</w:t>
      </w:r>
      <w:r w:rsidR="00592E1E">
        <w:t>5</w:t>
      </w:r>
      <w:r w:rsidR="00592E1E">
        <w:rPr>
          <w:rFonts w:eastAsia="Times New Roman" w:cs="Times New Roman"/>
          <w:color w:val="000000" w:themeColor="text1"/>
        </w:rPr>
        <w:t>–16</w:t>
      </w:r>
      <w:r w:rsidR="000762A1">
        <w:t>,</w:t>
      </w:r>
      <w:r w:rsidR="00DC0344">
        <w:t xml:space="preserve"> </w:t>
      </w:r>
      <w:r w:rsidR="00DC0344" w:rsidRPr="009B61A0">
        <w:rPr>
          <w:i/>
        </w:rPr>
        <w:t>ante</w:t>
      </w:r>
      <w:r w:rsidR="00DC0344">
        <w:t>)</w:t>
      </w:r>
      <w:r w:rsidR="004B474D">
        <w:t>.</w:t>
      </w:r>
      <w:r w:rsidR="001F1F05">
        <w:t xml:space="preserve"> Finally, w</w:t>
      </w:r>
      <w:r w:rsidR="005E5B2D">
        <w:t xml:space="preserve">e also </w:t>
      </w:r>
      <w:r w:rsidR="009817D1">
        <w:t>consider that</w:t>
      </w:r>
      <w:r>
        <w:t xml:space="preserve"> once a case has reached its statutory “last date,” </w:t>
      </w:r>
      <w:r w:rsidR="004B467D">
        <w:t xml:space="preserve">the </w:t>
      </w:r>
      <w:r>
        <w:t xml:space="preserve">time to commence trial can be extended (or a motion to dismiss denied) </w:t>
      </w:r>
      <w:r w:rsidR="00B36CF8">
        <w:t xml:space="preserve">only </w:t>
      </w:r>
      <w:r>
        <w:t>upon an affirmative showing of good cause. (§§</w:t>
      </w:r>
      <w:r w:rsidR="00B36CF8">
        <w:t> </w:t>
      </w:r>
      <w:r>
        <w:t xml:space="preserve">1049.5, 1382.) In other words, </w:t>
      </w:r>
      <w:r w:rsidR="00094C63">
        <w:t>even in an individual case</w:t>
      </w:r>
      <w:r>
        <w:t xml:space="preserve">, </w:t>
      </w:r>
      <w:r w:rsidR="00EB59FB">
        <w:t xml:space="preserve">the </w:t>
      </w:r>
      <w:r w:rsidR="004B467D">
        <w:t xml:space="preserve">court </w:t>
      </w:r>
      <w:r w:rsidRPr="00A34A18">
        <w:t>presume</w:t>
      </w:r>
      <w:r w:rsidR="004B467D" w:rsidRPr="00A34A18">
        <w:t>s</w:t>
      </w:r>
      <w:r>
        <w:t xml:space="preserve"> there is a speedy trial violation unless the People can demonstrate otherwise.</w:t>
      </w:r>
      <w:r w:rsidR="004B467D">
        <w:t xml:space="preserve"> </w:t>
      </w:r>
      <w:r w:rsidR="00DB1317">
        <w:t>(See also Cal. Rules of Court</w:t>
      </w:r>
      <w:r w:rsidR="00B86DB9">
        <w:t>,</w:t>
      </w:r>
      <w:r w:rsidR="00DB1317">
        <w:t xml:space="preserve"> rule</w:t>
      </w:r>
      <w:r w:rsidR="00051588">
        <w:t> </w:t>
      </w:r>
      <w:r w:rsidR="00DB1317">
        <w:t>4.113 [</w:t>
      </w:r>
      <w:r w:rsidR="00AD6669">
        <w:t xml:space="preserve">motion to continue trial of criminal case will be denied unless moving party “presents affirmative proof in open court that the ends of justice require a continuance”].) </w:t>
      </w:r>
      <w:r w:rsidR="00535FD3">
        <w:t>In some instances, then</w:t>
      </w:r>
      <w:r w:rsidR="004B467D">
        <w:t xml:space="preserve">, </w:t>
      </w:r>
      <w:r w:rsidR="0087324E">
        <w:t xml:space="preserve">a speedy trial violation </w:t>
      </w:r>
      <w:r w:rsidR="00535FD3">
        <w:t xml:space="preserve">could </w:t>
      </w:r>
      <w:r w:rsidR="0087324E">
        <w:t xml:space="preserve">be found </w:t>
      </w:r>
      <w:r w:rsidR="0087324E" w:rsidRPr="00BB7AD4">
        <w:t>without</w:t>
      </w:r>
      <w:r w:rsidR="0087324E">
        <w:t xml:space="preserve"> </w:t>
      </w:r>
      <w:r w:rsidR="00F97CD1">
        <w:t xml:space="preserve">any </w:t>
      </w:r>
      <w:r w:rsidR="0087324E">
        <w:t>inquiry into case-specific circumstances.</w:t>
      </w:r>
      <w:r w:rsidR="003365A0">
        <w:t xml:space="preserve"> </w:t>
      </w:r>
    </w:p>
  </w:footnote>
  <w:footnote w:id="29">
    <w:p w14:paraId="6EF137FD" w14:textId="67D847CF" w:rsidR="0080647E" w:rsidRDefault="001B6997" w:rsidP="205F293E">
      <w:pPr>
        <w:autoSpaceDE w:val="0"/>
        <w:autoSpaceDN w:val="0"/>
        <w:adjustRightInd w:val="0"/>
        <w:spacing w:after="120" w:line="240" w:lineRule="auto"/>
      </w:pPr>
      <w:r>
        <w:tab/>
      </w:r>
      <w:r>
        <w:rPr>
          <w:rStyle w:val="FootnoteReference"/>
        </w:rPr>
        <w:footnoteRef/>
      </w:r>
      <w:r w:rsidR="205F293E">
        <w:t xml:space="preserve"> As they did below, defendants cite </w:t>
      </w:r>
      <w:r w:rsidR="205F293E" w:rsidRPr="205F293E">
        <w:rPr>
          <w:rFonts w:cs="Times New Roman"/>
          <w:i/>
          <w:iCs/>
        </w:rPr>
        <w:t xml:space="preserve">Dix v. Superior Court </w:t>
      </w:r>
      <w:r w:rsidR="205F293E" w:rsidRPr="205F293E">
        <w:rPr>
          <w:rFonts w:cs="Times New Roman"/>
        </w:rPr>
        <w:t>(1991) 53</w:t>
      </w:r>
      <w:r w:rsidR="00A41DB1">
        <w:rPr>
          <w:rFonts w:cs="Times New Roman"/>
        </w:rPr>
        <w:t> </w:t>
      </w:r>
      <w:r w:rsidR="205F293E" w:rsidRPr="205F293E">
        <w:rPr>
          <w:rFonts w:cs="Times New Roman"/>
        </w:rPr>
        <w:t>Cal.3d 442 (</w:t>
      </w:r>
      <w:r w:rsidR="205F293E" w:rsidRPr="205F293E">
        <w:rPr>
          <w:rFonts w:cs="Times New Roman"/>
          <w:i/>
          <w:iCs/>
        </w:rPr>
        <w:t>Dix</w:t>
      </w:r>
      <w:r w:rsidR="205F293E" w:rsidRPr="205F293E">
        <w:rPr>
          <w:rFonts w:cs="Times New Roman"/>
        </w:rPr>
        <w:t>), for the proposition that nonparties lack standing to challenge rulings in individual criminal cases.</w:t>
      </w:r>
      <w:r w:rsidR="205F293E" w:rsidRPr="205F293E">
        <w:rPr>
          <w:rFonts w:cs="Times New Roman"/>
          <w:i/>
          <w:iCs/>
        </w:rPr>
        <w:t xml:space="preserve"> </w:t>
      </w:r>
      <w:r w:rsidR="205F293E" w:rsidRPr="00486018">
        <w:rPr>
          <w:rFonts w:cs="Times New Roman"/>
          <w:i/>
          <w:spacing w:val="-2"/>
        </w:rPr>
        <w:t>Dix</w:t>
      </w:r>
      <w:r w:rsidR="205F293E">
        <w:rPr>
          <w:rFonts w:cs="Times New Roman"/>
          <w:spacing w:val="-2"/>
        </w:rPr>
        <w:t xml:space="preserve"> held that a crime victim</w:t>
      </w:r>
      <w:r w:rsidR="205F293E" w:rsidRPr="009C37EE">
        <w:rPr>
          <w:rFonts w:cs="Times New Roman"/>
          <w:spacing w:val="-2"/>
        </w:rPr>
        <w:t xml:space="preserve"> </w:t>
      </w:r>
      <w:r w:rsidR="205F293E">
        <w:rPr>
          <w:rFonts w:cs="Times New Roman"/>
          <w:spacing w:val="-2"/>
        </w:rPr>
        <w:t>lack</w:t>
      </w:r>
      <w:r w:rsidR="205F293E" w:rsidRPr="009C37EE">
        <w:rPr>
          <w:rFonts w:cs="Times New Roman"/>
          <w:spacing w:val="-2"/>
        </w:rPr>
        <w:t xml:space="preserve">ed </w:t>
      </w:r>
      <w:r w:rsidR="205F293E">
        <w:rPr>
          <w:rFonts w:cs="Times New Roman"/>
        </w:rPr>
        <w:t>standing</w:t>
      </w:r>
      <w:r w:rsidR="205F293E" w:rsidRPr="00C13A02">
        <w:rPr>
          <w:rFonts w:cs="Times New Roman"/>
          <w:spacing w:val="-2"/>
        </w:rPr>
        <w:t xml:space="preserve"> to seek a writ of mandate to </w:t>
      </w:r>
      <w:r w:rsidR="205F293E" w:rsidRPr="205F293E">
        <w:rPr>
          <w:rFonts w:cs="Times New Roman"/>
          <w:spacing w:val="-2"/>
        </w:rPr>
        <w:t>stop a court from resentencing the defendant. (</w:t>
      </w:r>
      <w:r w:rsidR="205F293E" w:rsidRPr="205F293E">
        <w:rPr>
          <w:rFonts w:cs="Times New Roman"/>
          <w:i/>
          <w:iCs/>
          <w:spacing w:val="-2"/>
        </w:rPr>
        <w:t>Id.</w:t>
      </w:r>
      <w:r w:rsidR="205F293E">
        <w:rPr>
          <w:rFonts w:cs="Times New Roman"/>
        </w:rPr>
        <w:t xml:space="preserve"> at pp.</w:t>
      </w:r>
      <w:r w:rsidR="00E32522">
        <w:rPr>
          <w:rFonts w:cs="Times New Roman"/>
        </w:rPr>
        <w:t> </w:t>
      </w:r>
      <w:r w:rsidR="205F293E">
        <w:rPr>
          <w:rFonts w:cs="Times New Roman"/>
        </w:rPr>
        <w:t>447–450.)</w:t>
      </w:r>
      <w:r w:rsidR="205F293E" w:rsidRPr="205F293E">
        <w:rPr>
          <w:rFonts w:cs="Times New Roman"/>
        </w:rPr>
        <w:t xml:space="preserve"> </w:t>
      </w:r>
      <w:r w:rsidR="205F293E" w:rsidRPr="205F293E">
        <w:rPr>
          <w:rFonts w:cs="Times New Roman"/>
          <w:i/>
          <w:iCs/>
        </w:rPr>
        <w:t>Dix i</w:t>
      </w:r>
      <w:r w:rsidR="205F293E">
        <w:rPr>
          <w:rFonts w:cs="Times New Roman"/>
        </w:rPr>
        <w:t xml:space="preserve">s plainly </w:t>
      </w:r>
      <w:r w:rsidR="205F293E" w:rsidRPr="005C50E2">
        <w:rPr>
          <w:rFonts w:cs="Times New Roman"/>
        </w:rPr>
        <w:t>irrelevant, as the trial court explained, “</w:t>
      </w:r>
      <w:r w:rsidR="205F293E" w:rsidRPr="000B172B">
        <w:rPr>
          <w:rFonts w:cs="Times New Roman"/>
          <w:spacing w:val="-2"/>
        </w:rPr>
        <w:t>because it involved an effort . . .</w:t>
      </w:r>
      <w:r w:rsidR="205F293E">
        <w:rPr>
          <w:rFonts w:cs="Times New Roman"/>
          <w:spacing w:val="-2"/>
        </w:rPr>
        <w:t xml:space="preserve"> to compel a particular outcome in a </w:t>
      </w:r>
      <w:r w:rsidR="205F293E" w:rsidRPr="000B172B">
        <w:rPr>
          <w:rFonts w:cs="Times New Roman"/>
          <w:spacing w:val="-2"/>
        </w:rPr>
        <w:t xml:space="preserve">[specific] </w:t>
      </w:r>
      <w:r w:rsidR="205F293E" w:rsidRPr="005C50E2">
        <w:rPr>
          <w:rFonts w:cs="Times New Roman"/>
        </w:rPr>
        <w:t>criminal</w:t>
      </w:r>
      <w:r w:rsidR="205F293E">
        <w:rPr>
          <w:rFonts w:cs="Times New Roman"/>
        </w:rPr>
        <w:t xml:space="preserve"> case, which</w:t>
      </w:r>
      <w:r w:rsidR="205F293E" w:rsidRPr="005C50E2">
        <w:rPr>
          <w:rFonts w:cs="Times New Roman"/>
        </w:rPr>
        <w:t xml:space="preserve"> [plaintiffs] specifically foreswear</w:t>
      </w:r>
      <w:r w:rsidR="205F293E">
        <w:rPr>
          <w:rFonts w:cs="Times New Roman"/>
        </w:rPr>
        <w:t>.”</w:t>
      </w:r>
      <w:r w:rsidR="205F293E" w:rsidRPr="205F293E">
        <w:rPr>
          <w:rFonts w:cs="Times New Roman"/>
        </w:rPr>
        <w:t xml:space="preserve"> (See </w:t>
      </w:r>
      <w:r w:rsidR="00486018">
        <w:rPr>
          <w:rFonts w:cs="Times New Roman"/>
          <w:i/>
          <w:iCs/>
        </w:rPr>
        <w:t xml:space="preserve">id. </w:t>
      </w:r>
      <w:r w:rsidR="205F293E" w:rsidRPr="00BD52F0">
        <w:rPr>
          <w:rFonts w:cs="Times New Roman"/>
        </w:rPr>
        <w:t>at p. 454</w:t>
      </w:r>
      <w:r w:rsidR="00EE4418">
        <w:rPr>
          <w:rFonts w:cs="Times New Roman"/>
        </w:rPr>
        <w:t>, fn.</w:t>
      </w:r>
      <w:r w:rsidR="00A911B3">
        <w:rPr>
          <w:rFonts w:cs="Times New Roman"/>
        </w:rPr>
        <w:t> </w:t>
      </w:r>
      <w:r w:rsidR="00EE4418">
        <w:rPr>
          <w:rFonts w:cs="Times New Roman"/>
        </w:rPr>
        <w:t>7</w:t>
      </w:r>
      <w:r w:rsidR="205F293E" w:rsidRPr="00BD52F0">
        <w:rPr>
          <w:rFonts w:cs="Times New Roman"/>
        </w:rPr>
        <w:t xml:space="preserve"> [“</w:t>
      </w:r>
      <w:r w:rsidR="205F293E">
        <w:rPr>
          <w:rFonts w:cs="Times New Roman"/>
        </w:rPr>
        <w:t>nothing we say here affects</w:t>
      </w:r>
      <w:r w:rsidR="205F293E" w:rsidRPr="205F293E">
        <w:rPr>
          <w:rFonts w:cs="Times New Roman"/>
        </w:rPr>
        <w:t xml:space="preserve"> </w:t>
      </w:r>
      <w:r w:rsidR="205F293E" w:rsidRPr="205F293E">
        <w:rPr>
          <w:rFonts w:cs="Times New Roman"/>
          <w:i/>
          <w:iCs/>
        </w:rPr>
        <w:t>independent</w:t>
      </w:r>
      <w:r w:rsidR="205F293E" w:rsidRPr="00BD52F0">
        <w:rPr>
          <w:rFonts w:cs="Times New Roman"/>
        </w:rPr>
        <w:t xml:space="preserve"> </w:t>
      </w:r>
      <w:r w:rsidR="205F293E">
        <w:rPr>
          <w:rFonts w:cs="Times New Roman"/>
        </w:rPr>
        <w:t>citizen-taxpayer actions raising criminal justice issues</w:t>
      </w:r>
      <w:r w:rsidR="205F293E" w:rsidRPr="205F293E">
        <w:rPr>
          <w:rFonts w:cs="Times New Roman"/>
        </w:rPr>
        <w:t>”].)</w:t>
      </w:r>
    </w:p>
  </w:footnote>
  <w:footnote w:id="30">
    <w:p w14:paraId="1F8AA060" w14:textId="4E16A375" w:rsidR="3DE41553" w:rsidRDefault="001B6997" w:rsidP="00C163C6">
      <w:pPr>
        <w:pStyle w:val="FootnoteText"/>
        <w:spacing w:after="120"/>
      </w:pPr>
      <w:r>
        <w:tab/>
      </w:r>
      <w:r w:rsidRPr="3DE41553">
        <w:rPr>
          <w:rStyle w:val="FootnoteReference"/>
        </w:rPr>
        <w:footnoteRef/>
      </w:r>
      <w:r w:rsidR="797FBB80">
        <w:t xml:space="preserve"> While injunctive relief features prominently in the complaint and defendants’ responding brief on appeal, </w:t>
      </w:r>
      <w:r w:rsidR="00561886">
        <w:t>at oral argument</w:t>
      </w:r>
      <w:r w:rsidR="797FBB80">
        <w:t xml:space="preserve"> </w:t>
      </w:r>
      <w:r w:rsidR="0052315D">
        <w:t xml:space="preserve">plaintiffs’ counsel explained </w:t>
      </w:r>
      <w:r w:rsidR="797FBB80">
        <w:t xml:space="preserve">that plaintiffs primarily seek </w:t>
      </w:r>
      <w:r w:rsidR="797FBB80" w:rsidRPr="00752F63">
        <w:rPr>
          <w:i/>
        </w:rPr>
        <w:t>declaratory</w:t>
      </w:r>
      <w:r w:rsidR="797FBB80">
        <w:t xml:space="preserve"> relief</w:t>
      </w:r>
      <w:r w:rsidR="00855FF6">
        <w:t xml:space="preserve"> and</w:t>
      </w:r>
      <w:r w:rsidR="797FBB80">
        <w:t xml:space="preserve"> will seek injunctive relief </w:t>
      </w:r>
      <w:r w:rsidR="00B15684">
        <w:t xml:space="preserve">only </w:t>
      </w:r>
      <w:r w:rsidR="797FBB80">
        <w:t>“if necessary” (</w:t>
      </w:r>
      <w:r w:rsidR="004C33E5">
        <w:t>presumably</w:t>
      </w:r>
      <w:r w:rsidR="797FBB80">
        <w:t xml:space="preserve">, if defendants were to fail to comply with any resulting declaratory judgment). Thus, we focus </w:t>
      </w:r>
      <w:r w:rsidR="00154534">
        <w:t xml:space="preserve">primarily </w:t>
      </w:r>
      <w:r w:rsidR="797FBB80">
        <w:t xml:space="preserve">on </w:t>
      </w:r>
      <w:r w:rsidR="00154534">
        <w:t xml:space="preserve">the </w:t>
      </w:r>
      <w:r w:rsidR="797FBB80">
        <w:t>demand for declaratory judgment.</w:t>
      </w:r>
    </w:p>
  </w:footnote>
  <w:footnote w:id="31">
    <w:p w14:paraId="5DA50678" w14:textId="3A70E79B" w:rsidR="3DE41553" w:rsidRDefault="001B6997" w:rsidP="00C05EEC">
      <w:pPr>
        <w:spacing w:after="120" w:line="240" w:lineRule="auto"/>
        <w:contextualSpacing/>
        <w:rPr>
          <w:rFonts w:eastAsia="Times New Roman" w:cs="Times New Roman"/>
          <w:color w:val="000000" w:themeColor="text1"/>
        </w:rPr>
      </w:pPr>
      <w:r>
        <w:tab/>
      </w:r>
      <w:r w:rsidRPr="3DE41553">
        <w:rPr>
          <w:rStyle w:val="FootnoteReference"/>
        </w:rPr>
        <w:footnoteRef/>
      </w:r>
      <w:r>
        <w:t xml:space="preserve"> The plaintiff in </w:t>
      </w:r>
      <w:r w:rsidRPr="3DE41553">
        <w:rPr>
          <w:i/>
          <w:iCs/>
        </w:rPr>
        <w:t>Connerly</w:t>
      </w:r>
      <w:r>
        <w:t xml:space="preserve"> </w:t>
      </w:r>
      <w:r w:rsidRPr="3DE41553">
        <w:rPr>
          <w:rFonts w:eastAsia="Times New Roman" w:cs="Times New Roman"/>
          <w:color w:val="000000" w:themeColor="text1"/>
        </w:rPr>
        <w:t xml:space="preserve">sought </w:t>
      </w:r>
      <w:r w:rsidRPr="3DE41553">
        <w:rPr>
          <w:rFonts w:eastAsia="Times New Roman" w:cs="Times New Roman"/>
          <w:color w:val="000000" w:themeColor="text1"/>
        </w:rPr>
        <w:t xml:space="preserve">a declaration that a statute was unconstitutional and an injunction to bar </w:t>
      </w:r>
      <w:r w:rsidR="00E94B7E">
        <w:rPr>
          <w:rFonts w:eastAsia="Times New Roman" w:cs="Times New Roman"/>
          <w:color w:val="000000" w:themeColor="text1"/>
        </w:rPr>
        <w:t>s</w:t>
      </w:r>
      <w:r w:rsidRPr="3DE41553">
        <w:rPr>
          <w:rFonts w:eastAsia="Times New Roman" w:cs="Times New Roman"/>
          <w:color w:val="000000" w:themeColor="text1"/>
        </w:rPr>
        <w:t>tate officers from enforcing it. (</w:t>
      </w:r>
      <w:r>
        <w:rPr>
          <w:rFonts w:eastAsia="Times New Roman" w:cs="Times New Roman"/>
          <w:i/>
          <w:iCs/>
          <w:color w:val="000000" w:themeColor="text1"/>
        </w:rPr>
        <w:t xml:space="preserve">Connerly, supra, </w:t>
      </w:r>
      <w:r w:rsidRPr="797FBB80">
        <w:rPr>
          <w:rFonts w:eastAsia="Times New Roman" w:cs="Times New Roman"/>
          <w:color w:val="000000" w:themeColor="text1"/>
        </w:rPr>
        <w:t xml:space="preserve">146 Cal.App.4th </w:t>
      </w:r>
      <w:r w:rsidRPr="3DE41553">
        <w:rPr>
          <w:rFonts w:eastAsia="Times New Roman" w:cs="Times New Roman"/>
          <w:color w:val="000000" w:themeColor="text1"/>
        </w:rPr>
        <w:t xml:space="preserve">at p. 742.) While the case was pending, a </w:t>
      </w:r>
      <w:r w:rsidR="00060560">
        <w:rPr>
          <w:rFonts w:eastAsia="Times New Roman" w:cs="Times New Roman"/>
          <w:color w:val="000000" w:themeColor="text1"/>
        </w:rPr>
        <w:t xml:space="preserve">final decision </w:t>
      </w:r>
      <w:r w:rsidRPr="3DE41553">
        <w:rPr>
          <w:rFonts w:eastAsia="Times New Roman" w:cs="Times New Roman"/>
          <w:color w:val="000000" w:themeColor="text1"/>
        </w:rPr>
        <w:t xml:space="preserve">in another case held the statute unconstitutional, </w:t>
      </w:r>
      <w:r w:rsidR="00060560">
        <w:rPr>
          <w:rFonts w:eastAsia="Times New Roman" w:cs="Times New Roman"/>
          <w:color w:val="000000" w:themeColor="text1"/>
        </w:rPr>
        <w:t>making it</w:t>
      </w:r>
      <w:r w:rsidR="0047731A">
        <w:rPr>
          <w:rFonts w:eastAsia="Times New Roman" w:cs="Times New Roman"/>
          <w:color w:val="000000" w:themeColor="text1"/>
        </w:rPr>
        <w:t xml:space="preserve"> </w:t>
      </w:r>
      <w:r w:rsidR="00602538">
        <w:rPr>
          <w:rFonts w:eastAsia="Times New Roman" w:cs="Times New Roman"/>
          <w:color w:val="000000" w:themeColor="text1"/>
        </w:rPr>
        <w:t>“</w:t>
      </w:r>
      <w:r w:rsidRPr="3DE41553">
        <w:rPr>
          <w:rFonts w:eastAsia="Times New Roman" w:cs="Times New Roman"/>
          <w:color w:val="000000" w:themeColor="text1"/>
        </w:rPr>
        <w:t>for all purposes, invalid and unenforceable.” (</w:t>
      </w:r>
      <w:r w:rsidRPr="3DE41553">
        <w:rPr>
          <w:rFonts w:eastAsia="Times New Roman" w:cs="Times New Roman"/>
          <w:i/>
          <w:iCs/>
          <w:color w:val="000000" w:themeColor="text1"/>
        </w:rPr>
        <w:t>Ibid.</w:t>
      </w:r>
      <w:r w:rsidRPr="3DE41553">
        <w:rPr>
          <w:rFonts w:eastAsia="Times New Roman" w:cs="Times New Roman"/>
          <w:color w:val="000000" w:themeColor="text1"/>
        </w:rPr>
        <w:t xml:space="preserve">) </w:t>
      </w:r>
      <w:r w:rsidRPr="3DE41553">
        <w:rPr>
          <w:rFonts w:eastAsia="Times New Roman" w:cs="Times New Roman"/>
          <w:i/>
          <w:iCs/>
          <w:color w:val="000000" w:themeColor="text1"/>
        </w:rPr>
        <w:t xml:space="preserve">Connerly </w:t>
      </w:r>
      <w:r w:rsidRPr="3DE41553">
        <w:rPr>
          <w:rFonts w:eastAsia="Times New Roman" w:cs="Times New Roman"/>
          <w:color w:val="000000" w:themeColor="text1"/>
        </w:rPr>
        <w:t>held that</w:t>
      </w:r>
      <w:r w:rsidR="00AC3696">
        <w:rPr>
          <w:rFonts w:eastAsia="Times New Roman" w:cs="Times New Roman"/>
          <w:color w:val="000000" w:themeColor="text1"/>
        </w:rPr>
        <w:t>, at that point, the</w:t>
      </w:r>
      <w:r w:rsidRPr="3DE41553">
        <w:rPr>
          <w:rFonts w:eastAsia="Times New Roman" w:cs="Times New Roman"/>
          <w:color w:val="000000" w:themeColor="text1"/>
        </w:rPr>
        <w:t xml:space="preserve"> plaintiff </w:t>
      </w:r>
      <w:r w:rsidR="00AC3696">
        <w:rPr>
          <w:rFonts w:eastAsia="Times New Roman" w:cs="Times New Roman"/>
          <w:color w:val="000000" w:themeColor="text1"/>
        </w:rPr>
        <w:t xml:space="preserve">ceased to have </w:t>
      </w:r>
      <w:r w:rsidRPr="3DE41553">
        <w:rPr>
          <w:rFonts w:eastAsia="Times New Roman" w:cs="Times New Roman"/>
          <w:color w:val="000000" w:themeColor="text1"/>
        </w:rPr>
        <w:t xml:space="preserve">taxpayer standing and </w:t>
      </w:r>
      <w:r w:rsidR="008445CD">
        <w:rPr>
          <w:rFonts w:eastAsia="Times New Roman" w:cs="Times New Roman"/>
          <w:color w:val="000000" w:themeColor="text1"/>
        </w:rPr>
        <w:t>could no</w:t>
      </w:r>
      <w:r w:rsidR="000B440D">
        <w:rPr>
          <w:rFonts w:eastAsia="Times New Roman" w:cs="Times New Roman"/>
          <w:color w:val="000000" w:themeColor="text1"/>
        </w:rPr>
        <w:t xml:space="preserve"> longer</w:t>
      </w:r>
      <w:r w:rsidR="008445CD">
        <w:rPr>
          <w:rFonts w:eastAsia="Times New Roman" w:cs="Times New Roman"/>
          <w:color w:val="000000" w:themeColor="text1"/>
        </w:rPr>
        <w:t xml:space="preserve"> pursue </w:t>
      </w:r>
      <w:r w:rsidRPr="3DE41553">
        <w:rPr>
          <w:rFonts w:eastAsia="Times New Roman" w:cs="Times New Roman"/>
          <w:color w:val="000000" w:themeColor="text1"/>
        </w:rPr>
        <w:t>an injunction—</w:t>
      </w:r>
      <w:r w:rsidR="008445CD">
        <w:rPr>
          <w:rFonts w:eastAsia="Times New Roman" w:cs="Times New Roman"/>
          <w:color w:val="000000" w:themeColor="text1"/>
        </w:rPr>
        <w:t xml:space="preserve">not </w:t>
      </w:r>
      <w:r w:rsidR="00444953">
        <w:rPr>
          <w:rFonts w:eastAsia="Times New Roman" w:cs="Times New Roman"/>
          <w:color w:val="000000" w:themeColor="text1"/>
        </w:rPr>
        <w:t xml:space="preserve">for lack of </w:t>
      </w:r>
      <w:r w:rsidR="00946970">
        <w:rPr>
          <w:rFonts w:eastAsia="Times New Roman" w:cs="Times New Roman"/>
          <w:color w:val="000000" w:themeColor="text1"/>
        </w:rPr>
        <w:t xml:space="preserve">particularized injury to himself, </w:t>
      </w:r>
      <w:r w:rsidRPr="3DE41553">
        <w:rPr>
          <w:rFonts w:eastAsia="Times New Roman" w:cs="Times New Roman"/>
          <w:color w:val="000000" w:themeColor="text1"/>
        </w:rPr>
        <w:t xml:space="preserve">but because he </w:t>
      </w:r>
      <w:r w:rsidR="00D70525">
        <w:rPr>
          <w:rFonts w:eastAsia="Times New Roman" w:cs="Times New Roman"/>
          <w:color w:val="000000" w:themeColor="text1"/>
        </w:rPr>
        <w:t xml:space="preserve">could not </w:t>
      </w:r>
      <w:r w:rsidRPr="3DE41553">
        <w:rPr>
          <w:rFonts w:eastAsia="Times New Roman" w:cs="Times New Roman"/>
          <w:color w:val="000000" w:themeColor="text1"/>
        </w:rPr>
        <w:t>allege that defendants planned to waste public funds trying to enforce a statute that had already been declared void. (</w:t>
      </w:r>
      <w:r w:rsidRPr="3DE41553">
        <w:rPr>
          <w:rFonts w:eastAsia="Times New Roman" w:cs="Times New Roman"/>
          <w:i/>
          <w:iCs/>
          <w:color w:val="000000" w:themeColor="text1"/>
        </w:rPr>
        <w:t>Id.</w:t>
      </w:r>
      <w:r w:rsidRPr="3DE41553">
        <w:rPr>
          <w:rFonts w:eastAsia="Times New Roman" w:cs="Times New Roman"/>
          <w:color w:val="000000" w:themeColor="text1"/>
        </w:rPr>
        <w:t xml:space="preserve"> at pp.</w:t>
      </w:r>
      <w:r>
        <w:rPr>
          <w:rFonts w:eastAsia="Times New Roman" w:cs="Times New Roman"/>
          <w:color w:val="000000" w:themeColor="text1"/>
        </w:rPr>
        <w:t> </w:t>
      </w:r>
      <w:r w:rsidRPr="3DE41553">
        <w:rPr>
          <w:rFonts w:eastAsia="Times New Roman" w:cs="Times New Roman"/>
          <w:color w:val="000000" w:themeColor="text1"/>
        </w:rPr>
        <w:t>749–75</w:t>
      </w:r>
      <w:r w:rsidR="008470F8">
        <w:rPr>
          <w:rFonts w:eastAsia="Times New Roman" w:cs="Times New Roman"/>
          <w:color w:val="000000" w:themeColor="text1"/>
        </w:rPr>
        <w:t>1</w:t>
      </w:r>
      <w:r w:rsidRPr="3DE41553">
        <w:rPr>
          <w:rFonts w:eastAsia="Times New Roman" w:cs="Times New Roman"/>
          <w:color w:val="000000" w:themeColor="text1"/>
        </w:rPr>
        <w:t xml:space="preserve">.) </w:t>
      </w:r>
      <w:r w:rsidR="006425BD">
        <w:rPr>
          <w:rFonts w:eastAsia="Times New Roman" w:cs="Times New Roman"/>
          <w:color w:val="000000" w:themeColor="text1"/>
        </w:rPr>
        <w:t>Thus</w:t>
      </w:r>
      <w:r w:rsidRPr="3DE41553">
        <w:rPr>
          <w:rFonts w:eastAsia="Times New Roman" w:cs="Times New Roman"/>
          <w:color w:val="000000" w:themeColor="text1"/>
        </w:rPr>
        <w:t xml:space="preserve">, he could no longer allege a threat of injury “ ‘to </w:t>
      </w:r>
      <w:r w:rsidRPr="3DE41553">
        <w:rPr>
          <w:rFonts w:eastAsia="Times New Roman" w:cs="Times New Roman"/>
          <w:color w:val="000000" w:themeColor="text1"/>
        </w:rPr>
        <w:t>the public fisc.’ ” (</w:t>
      </w:r>
      <w:r w:rsidRPr="3DE41553">
        <w:rPr>
          <w:rFonts w:eastAsia="Times New Roman" w:cs="Times New Roman"/>
          <w:i/>
          <w:iCs/>
          <w:color w:val="000000" w:themeColor="text1"/>
        </w:rPr>
        <w:t>Id.</w:t>
      </w:r>
      <w:r w:rsidRPr="3DE41553">
        <w:rPr>
          <w:rFonts w:eastAsia="Times New Roman" w:cs="Times New Roman"/>
          <w:color w:val="000000" w:themeColor="text1"/>
        </w:rPr>
        <w:t xml:space="preserve"> at p.</w:t>
      </w:r>
      <w:r w:rsidR="00796986">
        <w:rPr>
          <w:rFonts w:eastAsia="Times New Roman" w:cs="Times New Roman"/>
          <w:color w:val="000000" w:themeColor="text1"/>
        </w:rPr>
        <w:t> </w:t>
      </w:r>
      <w:r w:rsidRPr="3DE41553">
        <w:rPr>
          <w:rFonts w:eastAsia="Times New Roman" w:cs="Times New Roman"/>
          <w:color w:val="000000" w:themeColor="text1"/>
        </w:rPr>
        <w:t>749</w:t>
      </w:r>
      <w:r w:rsidR="00255EEB">
        <w:rPr>
          <w:rFonts w:eastAsia="Times New Roman" w:cs="Times New Roman"/>
          <w:color w:val="000000" w:themeColor="text1"/>
        </w:rPr>
        <w:t>, italics omitted</w:t>
      </w:r>
      <w:r>
        <w:rPr>
          <w:rFonts w:eastAsia="Times New Roman" w:cs="Times New Roman"/>
          <w:color w:val="000000" w:themeColor="text1"/>
        </w:rPr>
        <w:t>.</w:t>
      </w:r>
      <w:r w:rsidRPr="3DE41553">
        <w:rPr>
          <w:rFonts w:eastAsia="Times New Roman" w:cs="Times New Roman"/>
          <w:color w:val="000000" w:themeColor="text1"/>
        </w:rPr>
        <w:t xml:space="preserve">) </w:t>
      </w:r>
    </w:p>
  </w:footnote>
  <w:footnote w:id="32">
    <w:p w14:paraId="3F9829C1" w14:textId="55E3D139" w:rsidR="007B3D61" w:rsidRDefault="001B6997" w:rsidP="000514C4">
      <w:pPr>
        <w:pStyle w:val="FootnoteText"/>
        <w:spacing w:after="120"/>
      </w:pPr>
      <w:r>
        <w:tab/>
      </w:r>
      <w:r>
        <w:rPr>
          <w:rStyle w:val="FootnoteReference"/>
        </w:rPr>
        <w:footnoteRef/>
      </w:r>
      <w:r>
        <w:t xml:space="preserve"> </w:t>
      </w:r>
      <w:r w:rsidR="0012052B">
        <w:t>W</w:t>
      </w:r>
      <w:r>
        <w:t xml:space="preserve">e are aware of the recent observation by our colleagues </w:t>
      </w:r>
      <w:r w:rsidR="00F9564E">
        <w:t>in Division One that</w:t>
      </w:r>
      <w:r w:rsidR="00DE0356">
        <w:t>, “[g]</w:t>
      </w:r>
      <w:r w:rsidR="00DE0356" w:rsidRPr="00DE0356">
        <w:t>iven the hundreds of cases in which defendants had not waived time, a boilerplate order setting forth the background of the COVID</w:t>
      </w:r>
      <w:r w:rsidR="00B51A8C">
        <w:noBreakHyphen/>
      </w:r>
      <w:r w:rsidR="00DE0356" w:rsidRPr="00DE0356">
        <w:t xml:space="preserve">19 pandemic and </w:t>
      </w:r>
      <w:r w:rsidR="00B51A8C">
        <w:t>[defendant]</w:t>
      </w:r>
      <w:r w:rsidR="00DE0356" w:rsidRPr="00DE0356">
        <w:t xml:space="preserve"> court</w:t>
      </w:r>
      <w:r w:rsidR="00B51A8C">
        <w:t>’</w:t>
      </w:r>
      <w:r w:rsidR="00DE0356" w:rsidRPr="00DE0356">
        <w:t>s response was not only within the trial court</w:t>
      </w:r>
      <w:r w:rsidR="00B51A8C">
        <w:t>’</w:t>
      </w:r>
      <w:r w:rsidR="00DE0356" w:rsidRPr="00DE0356">
        <w:t>s discretion, but a time-efficient way of addressing motions to dismiss.</w:t>
      </w:r>
      <w:r w:rsidR="00B51A8C">
        <w:t>” (</w:t>
      </w:r>
      <w:r w:rsidR="00B51A8C">
        <w:rPr>
          <w:i/>
          <w:iCs/>
        </w:rPr>
        <w:t>Estrada</w:t>
      </w:r>
      <w:r w:rsidR="00B51A8C">
        <w:t xml:space="preserve">, </w:t>
      </w:r>
      <w:r w:rsidR="00B51A8C">
        <w:rPr>
          <w:i/>
          <w:iCs/>
        </w:rPr>
        <w:t>supra</w:t>
      </w:r>
      <w:r w:rsidR="00B51A8C">
        <w:t xml:space="preserve">, </w:t>
      </w:r>
      <w:r w:rsidR="00661B58">
        <w:t>88</w:t>
      </w:r>
      <w:r w:rsidR="00893150">
        <w:t> </w:t>
      </w:r>
      <w:r w:rsidR="00661B58">
        <w:t>Cal.App.5th at p.</w:t>
      </w:r>
      <w:r w:rsidR="00893150">
        <w:t> </w:t>
      </w:r>
      <w:r w:rsidR="00661B58">
        <w:t>1118.) We agree that</w:t>
      </w:r>
      <w:r w:rsidR="00A83A78">
        <w:t xml:space="preserve"> it is permissible to </w:t>
      </w:r>
      <w:r w:rsidR="005F47FB">
        <w:t>utilize</w:t>
      </w:r>
      <w:r w:rsidR="00603B44">
        <w:t>,</w:t>
      </w:r>
      <w:r w:rsidR="00661B58">
        <w:t xml:space="preserve"> in orders </w:t>
      </w:r>
      <w:r w:rsidR="009C2EBC">
        <w:t xml:space="preserve">resolving </w:t>
      </w:r>
      <w:r w:rsidR="00661B58">
        <w:t>motions</w:t>
      </w:r>
      <w:r w:rsidR="009C2EBC">
        <w:t xml:space="preserve"> </w:t>
      </w:r>
      <w:r w:rsidR="0071328F">
        <w:t xml:space="preserve">to dismiss, </w:t>
      </w:r>
      <w:r w:rsidR="00603B44">
        <w:t xml:space="preserve">boilerplate language reflecting </w:t>
      </w:r>
      <w:r w:rsidR="00910F18">
        <w:t>general</w:t>
      </w:r>
      <w:r w:rsidR="00806D0E">
        <w:t>,</w:t>
      </w:r>
      <w:r w:rsidR="00603B44">
        <w:t xml:space="preserve"> </w:t>
      </w:r>
      <w:r w:rsidR="00806D0E">
        <w:t xml:space="preserve">judicially noticeable </w:t>
      </w:r>
      <w:r w:rsidR="00603B44">
        <w:t xml:space="preserve">facts </w:t>
      </w:r>
      <w:r w:rsidR="005F47FB">
        <w:t xml:space="preserve">regarding </w:t>
      </w:r>
      <w:r w:rsidR="00603B44">
        <w:t>the pandemic and the court’s response</w:t>
      </w:r>
      <w:r w:rsidR="002E3A91">
        <w:t xml:space="preserve">. However, </w:t>
      </w:r>
      <w:r w:rsidR="00CB205D">
        <w:t xml:space="preserve">we do not read </w:t>
      </w:r>
      <w:r w:rsidR="00CB205D">
        <w:rPr>
          <w:i/>
          <w:iCs/>
        </w:rPr>
        <w:t xml:space="preserve">Estrada </w:t>
      </w:r>
      <w:r w:rsidR="00CB205D">
        <w:t xml:space="preserve">to </w:t>
      </w:r>
      <w:r w:rsidR="00D94BEE">
        <w:t xml:space="preserve">endorse </w:t>
      </w:r>
      <w:r w:rsidR="003F3096">
        <w:t>a</w:t>
      </w:r>
      <w:r w:rsidR="00D94BEE">
        <w:t xml:space="preserve"> </w:t>
      </w:r>
      <w:r w:rsidR="00DD20F6">
        <w:t>trial court’</w:t>
      </w:r>
      <w:r w:rsidR="003F3096">
        <w:t>s</w:t>
      </w:r>
      <w:r w:rsidR="00DD20F6">
        <w:t xml:space="preserve"> </w:t>
      </w:r>
      <w:r w:rsidR="00D94BEE">
        <w:t xml:space="preserve">use of a generic script </w:t>
      </w:r>
      <w:r w:rsidR="00DA0685">
        <w:t>to avoid</w:t>
      </w:r>
      <w:r w:rsidR="00964DE7">
        <w:t xml:space="preserve"> </w:t>
      </w:r>
      <w:r w:rsidR="00DD20F6">
        <w:t xml:space="preserve">fulfilling </w:t>
      </w:r>
      <w:r w:rsidR="003F3096">
        <w:t>its</w:t>
      </w:r>
      <w:r w:rsidR="00DD20F6">
        <w:t xml:space="preserve"> </w:t>
      </w:r>
      <w:r w:rsidR="00030DD5">
        <w:t>statutory</w:t>
      </w:r>
      <w:r w:rsidR="00964DE7">
        <w:t xml:space="preserve"> duties to </w:t>
      </w:r>
      <w:r w:rsidR="00093FE9">
        <w:t>receive</w:t>
      </w:r>
      <w:r w:rsidR="00964DE7">
        <w:t>,</w:t>
      </w:r>
      <w:r w:rsidR="00093FE9">
        <w:t xml:space="preserve"> consider</w:t>
      </w:r>
      <w:r w:rsidR="00964DE7">
        <w:t>, and base its ruling on</w:t>
      </w:r>
      <w:r w:rsidR="00093FE9">
        <w:t xml:space="preserve"> </w:t>
      </w:r>
      <w:r w:rsidR="00337756">
        <w:t>case-specific facts and evidence</w:t>
      </w:r>
      <w:r w:rsidR="00A63FB4">
        <w:t xml:space="preserve"> (§ 105</w:t>
      </w:r>
      <w:r w:rsidR="007C2818">
        <w:t>0, subds.</w:t>
      </w:r>
      <w:r w:rsidR="00AF0895">
        <w:t> </w:t>
      </w:r>
      <w:r w:rsidR="007C2818">
        <w:t>(b)–(i))</w:t>
      </w:r>
      <w:r w:rsidR="00FE339A">
        <w:t>.</w:t>
      </w:r>
      <w:r w:rsidR="000014AD">
        <w:t xml:space="preserve"> </w:t>
      </w:r>
    </w:p>
  </w:footnote>
  <w:footnote w:id="33">
    <w:p w14:paraId="7A809452" w14:textId="76942EAB" w:rsidR="00A61865" w:rsidRDefault="001B6997" w:rsidP="000514C4">
      <w:pPr>
        <w:pStyle w:val="FootnoteText"/>
        <w:spacing w:after="120"/>
      </w:pPr>
      <w:r>
        <w:tab/>
      </w:r>
      <w:r>
        <w:rPr>
          <w:rStyle w:val="FootnoteReference"/>
        </w:rPr>
        <w:footnoteRef/>
      </w:r>
      <w:r>
        <w:t xml:space="preserve"> Plaintiffs have not </w:t>
      </w:r>
      <w:r w:rsidR="00E23067">
        <w:t>shown how</w:t>
      </w:r>
      <w:r>
        <w:t xml:space="preserve"> they can prove violations of the constitutional provi</w:t>
      </w:r>
      <w:r>
        <w:t>sions guaranteeing criminal defendants’ rights to a speedy trial in a way that is distinct from their theories grounded in sections 1050(a) and 1049.5 and</w:t>
      </w:r>
      <w:r w:rsidR="00E23067">
        <w:t xml:space="preserve"> </w:t>
      </w:r>
      <w:r>
        <w:t xml:space="preserve">will not entail challenging the rulings in </w:t>
      </w:r>
      <w:r w:rsidR="00FC78B4">
        <w:t xml:space="preserve">individual criminal </w:t>
      </w:r>
      <w:r>
        <w:t xml:space="preserve">cases. </w:t>
      </w:r>
      <w:r w:rsidR="00FC78B4">
        <w:t xml:space="preserve">However, </w:t>
      </w:r>
      <w:r w:rsidR="00BF38DF">
        <w:t>because</w:t>
      </w:r>
      <w:r w:rsidR="00F44F7A">
        <w:t xml:space="preserve"> </w:t>
      </w:r>
      <w:r>
        <w:t>their complain</w:t>
      </w:r>
      <w:r>
        <w:t xml:space="preserve">t states a cause of action </w:t>
      </w:r>
      <w:r w:rsidR="00FC78B4">
        <w:t xml:space="preserve">under </w:t>
      </w:r>
      <w:r w:rsidR="00603A2D">
        <w:t>other legal theories, we must reverse the judgment dismissing that cause of action.</w:t>
      </w:r>
      <w:r>
        <w:t xml:space="preserve"> (</w:t>
      </w:r>
      <w:r w:rsidRPr="797FBB80">
        <w:rPr>
          <w:i/>
          <w:iCs/>
        </w:rPr>
        <w:t>Amy’s Kitchen</w:t>
      </w:r>
      <w:r>
        <w:t xml:space="preserve">, </w:t>
      </w:r>
      <w:r w:rsidRPr="797FBB80">
        <w:rPr>
          <w:i/>
          <w:iCs/>
        </w:rPr>
        <w:t>supra</w:t>
      </w:r>
      <w:r>
        <w:t>, 83 Cal.App.5th at p. 1067</w:t>
      </w:r>
      <w:r w:rsidR="00603A2D">
        <w:t>.)</w:t>
      </w:r>
      <w:r>
        <w:t xml:space="preserve"> </w:t>
      </w:r>
    </w:p>
  </w:footnote>
  <w:footnote w:id="34">
    <w:p w14:paraId="5F1C018A" w14:textId="29F07395" w:rsidR="00331423" w:rsidRDefault="001B6997">
      <w:pPr>
        <w:pStyle w:val="FootnoteText"/>
      </w:pPr>
      <w:r>
        <w:rPr>
          <w:rStyle w:val="FootnoteReference"/>
        </w:rPr>
        <w:t>*</w:t>
      </w:r>
      <w:r>
        <w:t xml:space="preserve"> </w:t>
      </w:r>
      <w:r w:rsidR="00F03084">
        <w:t>Ju</w:t>
      </w:r>
      <w:r w:rsidR="003B3774">
        <w:t xml:space="preserve">dge of the Superior Court of California, County of Alameda, assigned by the Chief Justice pursuant to </w:t>
      </w:r>
      <w:r w:rsidR="007415F6">
        <w:t>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9BF7" w14:textId="77777777" w:rsidR="00CB5D11" w:rsidRDefault="00CB5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96EA" w14:textId="77777777" w:rsidR="00CB5D11" w:rsidRDefault="00CB5D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86F5" w14:textId="77777777" w:rsidR="00CB5D11" w:rsidRDefault="00CB5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C22C6"/>
    <w:multiLevelType w:val="hybridMultilevel"/>
    <w:tmpl w:val="69A08078"/>
    <w:lvl w:ilvl="0" w:tplc="A68232D8">
      <w:start w:val="1"/>
      <w:numFmt w:val="lowerLetter"/>
      <w:lvlText w:val="%1."/>
      <w:lvlJc w:val="left"/>
      <w:pPr>
        <w:ind w:left="2520" w:hanging="360"/>
      </w:pPr>
      <w:rPr>
        <w:rFonts w:hint="default"/>
      </w:rPr>
    </w:lvl>
    <w:lvl w:ilvl="1" w:tplc="FE84BB0A" w:tentative="1">
      <w:start w:val="1"/>
      <w:numFmt w:val="lowerLetter"/>
      <w:lvlText w:val="%2."/>
      <w:lvlJc w:val="left"/>
      <w:pPr>
        <w:ind w:left="3240" w:hanging="360"/>
      </w:pPr>
    </w:lvl>
    <w:lvl w:ilvl="2" w:tplc="11402B4C" w:tentative="1">
      <w:start w:val="1"/>
      <w:numFmt w:val="lowerRoman"/>
      <w:lvlText w:val="%3."/>
      <w:lvlJc w:val="right"/>
      <w:pPr>
        <w:ind w:left="3960" w:hanging="180"/>
      </w:pPr>
    </w:lvl>
    <w:lvl w:ilvl="3" w:tplc="80941E36" w:tentative="1">
      <w:start w:val="1"/>
      <w:numFmt w:val="decimal"/>
      <w:lvlText w:val="%4."/>
      <w:lvlJc w:val="left"/>
      <w:pPr>
        <w:ind w:left="4680" w:hanging="360"/>
      </w:pPr>
    </w:lvl>
    <w:lvl w:ilvl="4" w:tplc="3CE20A4C" w:tentative="1">
      <w:start w:val="1"/>
      <w:numFmt w:val="lowerLetter"/>
      <w:lvlText w:val="%5."/>
      <w:lvlJc w:val="left"/>
      <w:pPr>
        <w:ind w:left="5400" w:hanging="360"/>
      </w:pPr>
    </w:lvl>
    <w:lvl w:ilvl="5" w:tplc="41582578" w:tentative="1">
      <w:start w:val="1"/>
      <w:numFmt w:val="lowerRoman"/>
      <w:lvlText w:val="%6."/>
      <w:lvlJc w:val="right"/>
      <w:pPr>
        <w:ind w:left="6120" w:hanging="180"/>
      </w:pPr>
    </w:lvl>
    <w:lvl w:ilvl="6" w:tplc="ADECC732" w:tentative="1">
      <w:start w:val="1"/>
      <w:numFmt w:val="decimal"/>
      <w:lvlText w:val="%7."/>
      <w:lvlJc w:val="left"/>
      <w:pPr>
        <w:ind w:left="6840" w:hanging="360"/>
      </w:pPr>
    </w:lvl>
    <w:lvl w:ilvl="7" w:tplc="3E8CD9AA" w:tentative="1">
      <w:start w:val="1"/>
      <w:numFmt w:val="lowerLetter"/>
      <w:lvlText w:val="%8."/>
      <w:lvlJc w:val="left"/>
      <w:pPr>
        <w:ind w:left="7560" w:hanging="360"/>
      </w:pPr>
    </w:lvl>
    <w:lvl w:ilvl="8" w:tplc="F978F2E6" w:tentative="1">
      <w:start w:val="1"/>
      <w:numFmt w:val="lowerRoman"/>
      <w:lvlText w:val="%9."/>
      <w:lvlJc w:val="right"/>
      <w:pPr>
        <w:ind w:left="8280" w:hanging="180"/>
      </w:pPr>
    </w:lvl>
  </w:abstractNum>
  <w:abstractNum w:abstractNumId="1" w15:restartNumberingAfterBreak="0">
    <w:nsid w:val="2C94625D"/>
    <w:multiLevelType w:val="hybridMultilevel"/>
    <w:tmpl w:val="D6D2DD8A"/>
    <w:lvl w:ilvl="0" w:tplc="10A25CC4">
      <w:start w:val="1"/>
      <w:numFmt w:val="decimal"/>
      <w:lvlText w:val="%1."/>
      <w:lvlJc w:val="left"/>
      <w:pPr>
        <w:ind w:left="360" w:hanging="360"/>
      </w:pPr>
      <w:rPr>
        <w:rFonts w:hint="default"/>
      </w:rPr>
    </w:lvl>
    <w:lvl w:ilvl="1" w:tplc="3D0686DC" w:tentative="1">
      <w:start w:val="1"/>
      <w:numFmt w:val="lowerLetter"/>
      <w:lvlText w:val="%2."/>
      <w:lvlJc w:val="left"/>
      <w:pPr>
        <w:ind w:left="1080" w:hanging="360"/>
      </w:pPr>
    </w:lvl>
    <w:lvl w:ilvl="2" w:tplc="3C40F4E6" w:tentative="1">
      <w:start w:val="1"/>
      <w:numFmt w:val="lowerRoman"/>
      <w:lvlText w:val="%3."/>
      <w:lvlJc w:val="right"/>
      <w:pPr>
        <w:ind w:left="1800" w:hanging="180"/>
      </w:pPr>
    </w:lvl>
    <w:lvl w:ilvl="3" w:tplc="DF1E3BC0" w:tentative="1">
      <w:start w:val="1"/>
      <w:numFmt w:val="decimal"/>
      <w:lvlText w:val="%4."/>
      <w:lvlJc w:val="left"/>
      <w:pPr>
        <w:ind w:left="2520" w:hanging="360"/>
      </w:pPr>
    </w:lvl>
    <w:lvl w:ilvl="4" w:tplc="C52CCA32" w:tentative="1">
      <w:start w:val="1"/>
      <w:numFmt w:val="lowerLetter"/>
      <w:lvlText w:val="%5."/>
      <w:lvlJc w:val="left"/>
      <w:pPr>
        <w:ind w:left="3240" w:hanging="360"/>
      </w:pPr>
    </w:lvl>
    <w:lvl w:ilvl="5" w:tplc="8726307C" w:tentative="1">
      <w:start w:val="1"/>
      <w:numFmt w:val="lowerRoman"/>
      <w:lvlText w:val="%6."/>
      <w:lvlJc w:val="right"/>
      <w:pPr>
        <w:ind w:left="3960" w:hanging="180"/>
      </w:pPr>
    </w:lvl>
    <w:lvl w:ilvl="6" w:tplc="66F8CAC8" w:tentative="1">
      <w:start w:val="1"/>
      <w:numFmt w:val="decimal"/>
      <w:lvlText w:val="%7."/>
      <w:lvlJc w:val="left"/>
      <w:pPr>
        <w:ind w:left="4680" w:hanging="360"/>
      </w:pPr>
    </w:lvl>
    <w:lvl w:ilvl="7" w:tplc="FDDEB172" w:tentative="1">
      <w:start w:val="1"/>
      <w:numFmt w:val="lowerLetter"/>
      <w:lvlText w:val="%8."/>
      <w:lvlJc w:val="left"/>
      <w:pPr>
        <w:ind w:left="5400" w:hanging="360"/>
      </w:pPr>
    </w:lvl>
    <w:lvl w:ilvl="8" w:tplc="0130F350" w:tentative="1">
      <w:start w:val="1"/>
      <w:numFmt w:val="lowerRoman"/>
      <w:lvlText w:val="%9."/>
      <w:lvlJc w:val="right"/>
      <w:pPr>
        <w:ind w:left="6120" w:hanging="180"/>
      </w:pPr>
    </w:lvl>
  </w:abstractNum>
  <w:abstractNum w:abstractNumId="2" w15:restartNumberingAfterBreak="0">
    <w:nsid w:val="5DDC1CAF"/>
    <w:multiLevelType w:val="hybridMultilevel"/>
    <w:tmpl w:val="7D2467B0"/>
    <w:lvl w:ilvl="0" w:tplc="922044A6">
      <w:start w:val="2"/>
      <w:numFmt w:val="lowerRoman"/>
      <w:lvlText w:val="%1."/>
      <w:lvlJc w:val="left"/>
      <w:pPr>
        <w:ind w:left="2880" w:hanging="720"/>
      </w:pPr>
      <w:rPr>
        <w:rFonts w:hint="default"/>
        <w:i/>
      </w:rPr>
    </w:lvl>
    <w:lvl w:ilvl="1" w:tplc="14B48D8A" w:tentative="1">
      <w:start w:val="1"/>
      <w:numFmt w:val="lowerLetter"/>
      <w:lvlText w:val="%2."/>
      <w:lvlJc w:val="left"/>
      <w:pPr>
        <w:ind w:left="3240" w:hanging="360"/>
      </w:pPr>
    </w:lvl>
    <w:lvl w:ilvl="2" w:tplc="8B6C50F0" w:tentative="1">
      <w:start w:val="1"/>
      <w:numFmt w:val="lowerRoman"/>
      <w:lvlText w:val="%3."/>
      <w:lvlJc w:val="right"/>
      <w:pPr>
        <w:ind w:left="3960" w:hanging="180"/>
      </w:pPr>
    </w:lvl>
    <w:lvl w:ilvl="3" w:tplc="923215DE" w:tentative="1">
      <w:start w:val="1"/>
      <w:numFmt w:val="decimal"/>
      <w:lvlText w:val="%4."/>
      <w:lvlJc w:val="left"/>
      <w:pPr>
        <w:ind w:left="4680" w:hanging="360"/>
      </w:pPr>
    </w:lvl>
    <w:lvl w:ilvl="4" w:tplc="4D9E3526" w:tentative="1">
      <w:start w:val="1"/>
      <w:numFmt w:val="lowerLetter"/>
      <w:lvlText w:val="%5."/>
      <w:lvlJc w:val="left"/>
      <w:pPr>
        <w:ind w:left="5400" w:hanging="360"/>
      </w:pPr>
    </w:lvl>
    <w:lvl w:ilvl="5" w:tplc="4C9EC7A8" w:tentative="1">
      <w:start w:val="1"/>
      <w:numFmt w:val="lowerRoman"/>
      <w:lvlText w:val="%6."/>
      <w:lvlJc w:val="right"/>
      <w:pPr>
        <w:ind w:left="6120" w:hanging="180"/>
      </w:pPr>
    </w:lvl>
    <w:lvl w:ilvl="6" w:tplc="01C2B410" w:tentative="1">
      <w:start w:val="1"/>
      <w:numFmt w:val="decimal"/>
      <w:lvlText w:val="%7."/>
      <w:lvlJc w:val="left"/>
      <w:pPr>
        <w:ind w:left="6840" w:hanging="360"/>
      </w:pPr>
    </w:lvl>
    <w:lvl w:ilvl="7" w:tplc="7B46C984" w:tentative="1">
      <w:start w:val="1"/>
      <w:numFmt w:val="lowerLetter"/>
      <w:lvlText w:val="%8."/>
      <w:lvlJc w:val="left"/>
      <w:pPr>
        <w:ind w:left="7560" w:hanging="360"/>
      </w:pPr>
    </w:lvl>
    <w:lvl w:ilvl="8" w:tplc="4FC243DA" w:tentative="1">
      <w:start w:val="1"/>
      <w:numFmt w:val="lowerRoman"/>
      <w:lvlText w:val="%9."/>
      <w:lvlJc w:val="right"/>
      <w:pPr>
        <w:ind w:left="8280" w:hanging="180"/>
      </w:pPr>
    </w:lvl>
  </w:abstractNum>
  <w:abstractNum w:abstractNumId="3" w15:restartNumberingAfterBreak="0">
    <w:nsid w:val="78C92708"/>
    <w:multiLevelType w:val="hybridMultilevel"/>
    <w:tmpl w:val="25D4BB4E"/>
    <w:lvl w:ilvl="0" w:tplc="083AF9FA">
      <w:start w:val="1"/>
      <w:numFmt w:val="lowerLetter"/>
      <w:lvlText w:val="%1."/>
      <w:lvlJc w:val="left"/>
      <w:pPr>
        <w:ind w:left="720" w:hanging="360"/>
      </w:pPr>
    </w:lvl>
    <w:lvl w:ilvl="1" w:tplc="B45800FA">
      <w:start w:val="1"/>
      <w:numFmt w:val="lowerLetter"/>
      <w:lvlText w:val="%2."/>
      <w:lvlJc w:val="left"/>
      <w:pPr>
        <w:ind w:left="1440" w:hanging="360"/>
      </w:pPr>
    </w:lvl>
    <w:lvl w:ilvl="2" w:tplc="AEBE33E4">
      <w:start w:val="1"/>
      <w:numFmt w:val="lowerRoman"/>
      <w:lvlText w:val="%3."/>
      <w:lvlJc w:val="right"/>
      <w:pPr>
        <w:ind w:left="2160" w:hanging="180"/>
      </w:pPr>
    </w:lvl>
    <w:lvl w:ilvl="3" w:tplc="392CC3EC">
      <w:start w:val="1"/>
      <w:numFmt w:val="decimal"/>
      <w:lvlText w:val="%4."/>
      <w:lvlJc w:val="left"/>
      <w:pPr>
        <w:ind w:left="2880" w:hanging="360"/>
      </w:pPr>
    </w:lvl>
    <w:lvl w:ilvl="4" w:tplc="E020D9B8">
      <w:start w:val="1"/>
      <w:numFmt w:val="lowerLetter"/>
      <w:lvlText w:val="%5."/>
      <w:lvlJc w:val="left"/>
      <w:pPr>
        <w:ind w:left="3600" w:hanging="360"/>
      </w:pPr>
    </w:lvl>
    <w:lvl w:ilvl="5" w:tplc="015C6B0E">
      <w:start w:val="1"/>
      <w:numFmt w:val="lowerRoman"/>
      <w:lvlText w:val="%6."/>
      <w:lvlJc w:val="right"/>
      <w:pPr>
        <w:ind w:left="4320" w:hanging="180"/>
      </w:pPr>
    </w:lvl>
    <w:lvl w:ilvl="6" w:tplc="543A8A4E">
      <w:start w:val="1"/>
      <w:numFmt w:val="decimal"/>
      <w:lvlText w:val="%7."/>
      <w:lvlJc w:val="left"/>
      <w:pPr>
        <w:ind w:left="5040" w:hanging="360"/>
      </w:pPr>
    </w:lvl>
    <w:lvl w:ilvl="7" w:tplc="3EFCC62E">
      <w:start w:val="1"/>
      <w:numFmt w:val="lowerLetter"/>
      <w:lvlText w:val="%8."/>
      <w:lvlJc w:val="left"/>
      <w:pPr>
        <w:ind w:left="5760" w:hanging="360"/>
      </w:pPr>
    </w:lvl>
    <w:lvl w:ilvl="8" w:tplc="4C142C94">
      <w:start w:val="1"/>
      <w:numFmt w:val="lowerRoman"/>
      <w:lvlText w:val="%9."/>
      <w:lvlJc w:val="right"/>
      <w:pPr>
        <w:ind w:left="6480" w:hanging="180"/>
      </w:pPr>
    </w:lvl>
  </w:abstractNum>
  <w:abstractNum w:abstractNumId="4" w15:restartNumberingAfterBreak="0">
    <w:nsid w:val="7A9C7A76"/>
    <w:multiLevelType w:val="hybridMultilevel"/>
    <w:tmpl w:val="86305224"/>
    <w:lvl w:ilvl="0" w:tplc="06FAF95A">
      <w:start w:val="1"/>
      <w:numFmt w:val="lowerLetter"/>
      <w:lvlText w:val="%1."/>
      <w:lvlJc w:val="left"/>
      <w:pPr>
        <w:ind w:left="2520" w:hanging="360"/>
      </w:pPr>
      <w:rPr>
        <w:rFonts w:hint="default"/>
      </w:rPr>
    </w:lvl>
    <w:lvl w:ilvl="1" w:tplc="B82CF1E6" w:tentative="1">
      <w:start w:val="1"/>
      <w:numFmt w:val="lowerLetter"/>
      <w:lvlText w:val="%2."/>
      <w:lvlJc w:val="left"/>
      <w:pPr>
        <w:ind w:left="3240" w:hanging="360"/>
      </w:pPr>
    </w:lvl>
    <w:lvl w:ilvl="2" w:tplc="88768AA6" w:tentative="1">
      <w:start w:val="1"/>
      <w:numFmt w:val="lowerRoman"/>
      <w:lvlText w:val="%3."/>
      <w:lvlJc w:val="right"/>
      <w:pPr>
        <w:ind w:left="3960" w:hanging="180"/>
      </w:pPr>
    </w:lvl>
    <w:lvl w:ilvl="3" w:tplc="6B4E242A" w:tentative="1">
      <w:start w:val="1"/>
      <w:numFmt w:val="decimal"/>
      <w:lvlText w:val="%4."/>
      <w:lvlJc w:val="left"/>
      <w:pPr>
        <w:ind w:left="4680" w:hanging="360"/>
      </w:pPr>
    </w:lvl>
    <w:lvl w:ilvl="4" w:tplc="CEB2FC40" w:tentative="1">
      <w:start w:val="1"/>
      <w:numFmt w:val="lowerLetter"/>
      <w:lvlText w:val="%5."/>
      <w:lvlJc w:val="left"/>
      <w:pPr>
        <w:ind w:left="5400" w:hanging="360"/>
      </w:pPr>
    </w:lvl>
    <w:lvl w:ilvl="5" w:tplc="EA58C466" w:tentative="1">
      <w:start w:val="1"/>
      <w:numFmt w:val="lowerRoman"/>
      <w:lvlText w:val="%6."/>
      <w:lvlJc w:val="right"/>
      <w:pPr>
        <w:ind w:left="6120" w:hanging="180"/>
      </w:pPr>
    </w:lvl>
    <w:lvl w:ilvl="6" w:tplc="1FA8E814" w:tentative="1">
      <w:start w:val="1"/>
      <w:numFmt w:val="decimal"/>
      <w:lvlText w:val="%7."/>
      <w:lvlJc w:val="left"/>
      <w:pPr>
        <w:ind w:left="6840" w:hanging="360"/>
      </w:pPr>
    </w:lvl>
    <w:lvl w:ilvl="7" w:tplc="F0EC37D2" w:tentative="1">
      <w:start w:val="1"/>
      <w:numFmt w:val="lowerLetter"/>
      <w:lvlText w:val="%8."/>
      <w:lvlJc w:val="left"/>
      <w:pPr>
        <w:ind w:left="7560" w:hanging="360"/>
      </w:pPr>
    </w:lvl>
    <w:lvl w:ilvl="8" w:tplc="D422DAA0" w:tentative="1">
      <w:start w:val="1"/>
      <w:numFmt w:val="lowerRoman"/>
      <w:lvlText w:val="%9."/>
      <w:lvlJc w:val="right"/>
      <w:pPr>
        <w:ind w:left="8280" w:hanging="180"/>
      </w:pPr>
    </w:lvl>
  </w:abstractNum>
  <w:abstractNum w:abstractNumId="5" w15:restartNumberingAfterBreak="0">
    <w:nsid w:val="7E222AB3"/>
    <w:multiLevelType w:val="hybridMultilevel"/>
    <w:tmpl w:val="C840D2D6"/>
    <w:lvl w:ilvl="0" w:tplc="7250D1D8">
      <w:start w:val="1"/>
      <w:numFmt w:val="lowerLetter"/>
      <w:lvlText w:val="%1."/>
      <w:lvlJc w:val="left"/>
      <w:pPr>
        <w:ind w:left="2520" w:hanging="360"/>
      </w:pPr>
      <w:rPr>
        <w:rFonts w:hint="default"/>
      </w:rPr>
    </w:lvl>
    <w:lvl w:ilvl="1" w:tplc="CF06CAB6" w:tentative="1">
      <w:start w:val="1"/>
      <w:numFmt w:val="lowerLetter"/>
      <w:lvlText w:val="%2."/>
      <w:lvlJc w:val="left"/>
      <w:pPr>
        <w:ind w:left="3240" w:hanging="360"/>
      </w:pPr>
    </w:lvl>
    <w:lvl w:ilvl="2" w:tplc="568EF794" w:tentative="1">
      <w:start w:val="1"/>
      <w:numFmt w:val="lowerRoman"/>
      <w:lvlText w:val="%3."/>
      <w:lvlJc w:val="right"/>
      <w:pPr>
        <w:ind w:left="3960" w:hanging="180"/>
      </w:pPr>
    </w:lvl>
    <w:lvl w:ilvl="3" w:tplc="A5DC5656" w:tentative="1">
      <w:start w:val="1"/>
      <w:numFmt w:val="decimal"/>
      <w:lvlText w:val="%4."/>
      <w:lvlJc w:val="left"/>
      <w:pPr>
        <w:ind w:left="4680" w:hanging="360"/>
      </w:pPr>
    </w:lvl>
    <w:lvl w:ilvl="4" w:tplc="88E2B206" w:tentative="1">
      <w:start w:val="1"/>
      <w:numFmt w:val="lowerLetter"/>
      <w:lvlText w:val="%5."/>
      <w:lvlJc w:val="left"/>
      <w:pPr>
        <w:ind w:left="5400" w:hanging="360"/>
      </w:pPr>
    </w:lvl>
    <w:lvl w:ilvl="5" w:tplc="FF1A545C" w:tentative="1">
      <w:start w:val="1"/>
      <w:numFmt w:val="lowerRoman"/>
      <w:lvlText w:val="%6."/>
      <w:lvlJc w:val="right"/>
      <w:pPr>
        <w:ind w:left="6120" w:hanging="180"/>
      </w:pPr>
    </w:lvl>
    <w:lvl w:ilvl="6" w:tplc="B9825686" w:tentative="1">
      <w:start w:val="1"/>
      <w:numFmt w:val="decimal"/>
      <w:lvlText w:val="%7."/>
      <w:lvlJc w:val="left"/>
      <w:pPr>
        <w:ind w:left="6840" w:hanging="360"/>
      </w:pPr>
    </w:lvl>
    <w:lvl w:ilvl="7" w:tplc="BF582852" w:tentative="1">
      <w:start w:val="1"/>
      <w:numFmt w:val="lowerLetter"/>
      <w:lvlText w:val="%8."/>
      <w:lvlJc w:val="left"/>
      <w:pPr>
        <w:ind w:left="7560" w:hanging="360"/>
      </w:pPr>
    </w:lvl>
    <w:lvl w:ilvl="8" w:tplc="5DB8DC86" w:tentative="1">
      <w:start w:val="1"/>
      <w:numFmt w:val="lowerRoman"/>
      <w:lvlText w:val="%9."/>
      <w:lvlJc w:val="right"/>
      <w:pPr>
        <w:ind w:left="8280" w:hanging="180"/>
      </w:pPr>
    </w:lvl>
  </w:abstractNum>
  <w:num w:numId="1" w16cid:durableId="1309289461">
    <w:abstractNumId w:val="3"/>
  </w:num>
  <w:num w:numId="2" w16cid:durableId="602495297">
    <w:abstractNumId w:val="5"/>
  </w:num>
  <w:num w:numId="3" w16cid:durableId="21171554">
    <w:abstractNumId w:val="4"/>
  </w:num>
  <w:num w:numId="4" w16cid:durableId="989165658">
    <w:abstractNumId w:val="0"/>
  </w:num>
  <w:num w:numId="5" w16cid:durableId="917714698">
    <w:abstractNumId w:val="2"/>
  </w:num>
  <w:num w:numId="6" w16cid:durableId="322660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47E"/>
    <w:rsid w:val="00000466"/>
    <w:rsid w:val="000006D4"/>
    <w:rsid w:val="0000099B"/>
    <w:rsid w:val="00000A58"/>
    <w:rsid w:val="000014AD"/>
    <w:rsid w:val="00001A75"/>
    <w:rsid w:val="00002161"/>
    <w:rsid w:val="00002BA3"/>
    <w:rsid w:val="00002CCD"/>
    <w:rsid w:val="00002EC6"/>
    <w:rsid w:val="00002EEA"/>
    <w:rsid w:val="00003047"/>
    <w:rsid w:val="00003221"/>
    <w:rsid w:val="0000332C"/>
    <w:rsid w:val="000038E4"/>
    <w:rsid w:val="0000531C"/>
    <w:rsid w:val="000053B8"/>
    <w:rsid w:val="00005580"/>
    <w:rsid w:val="0000612C"/>
    <w:rsid w:val="000065CF"/>
    <w:rsid w:val="000065F4"/>
    <w:rsid w:val="000067D1"/>
    <w:rsid w:val="00006D4E"/>
    <w:rsid w:val="000071A8"/>
    <w:rsid w:val="000071D8"/>
    <w:rsid w:val="000079E9"/>
    <w:rsid w:val="00010E06"/>
    <w:rsid w:val="0001117B"/>
    <w:rsid w:val="000111B7"/>
    <w:rsid w:val="00011479"/>
    <w:rsid w:val="00011C1D"/>
    <w:rsid w:val="00011E90"/>
    <w:rsid w:val="00012625"/>
    <w:rsid w:val="00012B22"/>
    <w:rsid w:val="00012C12"/>
    <w:rsid w:val="000135C3"/>
    <w:rsid w:val="00013C6E"/>
    <w:rsid w:val="00013F6D"/>
    <w:rsid w:val="000142D8"/>
    <w:rsid w:val="000142E3"/>
    <w:rsid w:val="000143AE"/>
    <w:rsid w:val="0001448D"/>
    <w:rsid w:val="000146D1"/>
    <w:rsid w:val="00014889"/>
    <w:rsid w:val="000153A0"/>
    <w:rsid w:val="00015891"/>
    <w:rsid w:val="0001705B"/>
    <w:rsid w:val="000176EE"/>
    <w:rsid w:val="00017A9C"/>
    <w:rsid w:val="00017BB0"/>
    <w:rsid w:val="00020167"/>
    <w:rsid w:val="00020276"/>
    <w:rsid w:val="00020357"/>
    <w:rsid w:val="00020587"/>
    <w:rsid w:val="000205E1"/>
    <w:rsid w:val="000208B6"/>
    <w:rsid w:val="00020F75"/>
    <w:rsid w:val="00021462"/>
    <w:rsid w:val="000214C8"/>
    <w:rsid w:val="00022087"/>
    <w:rsid w:val="000222B6"/>
    <w:rsid w:val="00022855"/>
    <w:rsid w:val="00022904"/>
    <w:rsid w:val="0002290E"/>
    <w:rsid w:val="00022FAC"/>
    <w:rsid w:val="00023554"/>
    <w:rsid w:val="0002385D"/>
    <w:rsid w:val="000239BF"/>
    <w:rsid w:val="00024497"/>
    <w:rsid w:val="00024811"/>
    <w:rsid w:val="00024B31"/>
    <w:rsid w:val="00024CFB"/>
    <w:rsid w:val="00025C67"/>
    <w:rsid w:val="00026057"/>
    <w:rsid w:val="00027F50"/>
    <w:rsid w:val="000303C4"/>
    <w:rsid w:val="00030784"/>
    <w:rsid w:val="0003082A"/>
    <w:rsid w:val="00030DD5"/>
    <w:rsid w:val="0003180F"/>
    <w:rsid w:val="00031DA0"/>
    <w:rsid w:val="000320E4"/>
    <w:rsid w:val="0003267A"/>
    <w:rsid w:val="0003378B"/>
    <w:rsid w:val="00034551"/>
    <w:rsid w:val="00034853"/>
    <w:rsid w:val="00034C85"/>
    <w:rsid w:val="00034D9E"/>
    <w:rsid w:val="00035085"/>
    <w:rsid w:val="000354D6"/>
    <w:rsid w:val="00035683"/>
    <w:rsid w:val="00035771"/>
    <w:rsid w:val="00035899"/>
    <w:rsid w:val="00035B0A"/>
    <w:rsid w:val="000363B4"/>
    <w:rsid w:val="0003715B"/>
    <w:rsid w:val="000401D8"/>
    <w:rsid w:val="000403F1"/>
    <w:rsid w:val="000408E3"/>
    <w:rsid w:val="000415BA"/>
    <w:rsid w:val="00041BEF"/>
    <w:rsid w:val="00041C5F"/>
    <w:rsid w:val="00041DC9"/>
    <w:rsid w:val="0004259A"/>
    <w:rsid w:val="0004266C"/>
    <w:rsid w:val="0004374B"/>
    <w:rsid w:val="0004374D"/>
    <w:rsid w:val="000439AE"/>
    <w:rsid w:val="00043B33"/>
    <w:rsid w:val="00043D4F"/>
    <w:rsid w:val="00044CAB"/>
    <w:rsid w:val="000454B1"/>
    <w:rsid w:val="00045B92"/>
    <w:rsid w:val="00045E67"/>
    <w:rsid w:val="00045EB1"/>
    <w:rsid w:val="00045F37"/>
    <w:rsid w:val="0004634F"/>
    <w:rsid w:val="000465AB"/>
    <w:rsid w:val="00046747"/>
    <w:rsid w:val="00046945"/>
    <w:rsid w:val="00046A59"/>
    <w:rsid w:val="00047299"/>
    <w:rsid w:val="0004767F"/>
    <w:rsid w:val="0004784F"/>
    <w:rsid w:val="00047AC2"/>
    <w:rsid w:val="00050107"/>
    <w:rsid w:val="0005087C"/>
    <w:rsid w:val="000508CE"/>
    <w:rsid w:val="00050CC2"/>
    <w:rsid w:val="0005106D"/>
    <w:rsid w:val="00051126"/>
    <w:rsid w:val="000514C4"/>
    <w:rsid w:val="00051588"/>
    <w:rsid w:val="00051D7E"/>
    <w:rsid w:val="00051E09"/>
    <w:rsid w:val="0005246C"/>
    <w:rsid w:val="000525C6"/>
    <w:rsid w:val="00052DAD"/>
    <w:rsid w:val="00053647"/>
    <w:rsid w:val="00054031"/>
    <w:rsid w:val="00054157"/>
    <w:rsid w:val="0005430C"/>
    <w:rsid w:val="00054B15"/>
    <w:rsid w:val="0005561D"/>
    <w:rsid w:val="00055715"/>
    <w:rsid w:val="00055C0F"/>
    <w:rsid w:val="00055CEA"/>
    <w:rsid w:val="0005615A"/>
    <w:rsid w:val="00056878"/>
    <w:rsid w:val="00056BFB"/>
    <w:rsid w:val="00056DA4"/>
    <w:rsid w:val="000575A4"/>
    <w:rsid w:val="00057600"/>
    <w:rsid w:val="0005788A"/>
    <w:rsid w:val="0006049C"/>
    <w:rsid w:val="00060541"/>
    <w:rsid w:val="00060560"/>
    <w:rsid w:val="000611F7"/>
    <w:rsid w:val="00061569"/>
    <w:rsid w:val="00062204"/>
    <w:rsid w:val="000624AC"/>
    <w:rsid w:val="0006257A"/>
    <w:rsid w:val="00062749"/>
    <w:rsid w:val="000629E2"/>
    <w:rsid w:val="00062B48"/>
    <w:rsid w:val="00063401"/>
    <w:rsid w:val="00063D3B"/>
    <w:rsid w:val="00063DB0"/>
    <w:rsid w:val="00063E5E"/>
    <w:rsid w:val="0006411B"/>
    <w:rsid w:val="000645BE"/>
    <w:rsid w:val="00064CDA"/>
    <w:rsid w:val="00065103"/>
    <w:rsid w:val="00065313"/>
    <w:rsid w:val="00065917"/>
    <w:rsid w:val="00065D08"/>
    <w:rsid w:val="0006653B"/>
    <w:rsid w:val="00066892"/>
    <w:rsid w:val="00066E29"/>
    <w:rsid w:val="00067290"/>
    <w:rsid w:val="00071027"/>
    <w:rsid w:val="00071DC3"/>
    <w:rsid w:val="00072C38"/>
    <w:rsid w:val="00073044"/>
    <w:rsid w:val="000733DE"/>
    <w:rsid w:val="000740C7"/>
    <w:rsid w:val="000740F2"/>
    <w:rsid w:val="000747CA"/>
    <w:rsid w:val="000747E0"/>
    <w:rsid w:val="00074AAE"/>
    <w:rsid w:val="000756A4"/>
    <w:rsid w:val="000758ED"/>
    <w:rsid w:val="00076159"/>
    <w:rsid w:val="0007617D"/>
    <w:rsid w:val="000762A1"/>
    <w:rsid w:val="00076B71"/>
    <w:rsid w:val="000777FD"/>
    <w:rsid w:val="00077B36"/>
    <w:rsid w:val="000804FB"/>
    <w:rsid w:val="0008084A"/>
    <w:rsid w:val="00080EBC"/>
    <w:rsid w:val="000814F5"/>
    <w:rsid w:val="00081CEB"/>
    <w:rsid w:val="00081ECD"/>
    <w:rsid w:val="0008313B"/>
    <w:rsid w:val="00083285"/>
    <w:rsid w:val="00083DF0"/>
    <w:rsid w:val="00084209"/>
    <w:rsid w:val="000844A8"/>
    <w:rsid w:val="00084CF7"/>
    <w:rsid w:val="00084F99"/>
    <w:rsid w:val="000852A9"/>
    <w:rsid w:val="00085980"/>
    <w:rsid w:val="00085CBD"/>
    <w:rsid w:val="00085CF1"/>
    <w:rsid w:val="00085DEB"/>
    <w:rsid w:val="00085FF6"/>
    <w:rsid w:val="00086F6C"/>
    <w:rsid w:val="0008704C"/>
    <w:rsid w:val="0008781E"/>
    <w:rsid w:val="000878A1"/>
    <w:rsid w:val="00087C00"/>
    <w:rsid w:val="0009050C"/>
    <w:rsid w:val="000905EE"/>
    <w:rsid w:val="000907B8"/>
    <w:rsid w:val="000909F6"/>
    <w:rsid w:val="00091450"/>
    <w:rsid w:val="00091BEA"/>
    <w:rsid w:val="000920C0"/>
    <w:rsid w:val="00092E22"/>
    <w:rsid w:val="00093078"/>
    <w:rsid w:val="000930E6"/>
    <w:rsid w:val="0009313C"/>
    <w:rsid w:val="000933ED"/>
    <w:rsid w:val="00093FE9"/>
    <w:rsid w:val="000944E6"/>
    <w:rsid w:val="00094C63"/>
    <w:rsid w:val="000969E6"/>
    <w:rsid w:val="00096D1C"/>
    <w:rsid w:val="0009768B"/>
    <w:rsid w:val="00097797"/>
    <w:rsid w:val="000A0209"/>
    <w:rsid w:val="000A0363"/>
    <w:rsid w:val="000A153C"/>
    <w:rsid w:val="000A2C93"/>
    <w:rsid w:val="000A2F5A"/>
    <w:rsid w:val="000A3079"/>
    <w:rsid w:val="000A32E7"/>
    <w:rsid w:val="000A33B1"/>
    <w:rsid w:val="000A33ED"/>
    <w:rsid w:val="000A35A5"/>
    <w:rsid w:val="000A3E5D"/>
    <w:rsid w:val="000A3EE0"/>
    <w:rsid w:val="000A427C"/>
    <w:rsid w:val="000A45DA"/>
    <w:rsid w:val="000A5089"/>
    <w:rsid w:val="000A623E"/>
    <w:rsid w:val="000A67C5"/>
    <w:rsid w:val="000A6BCE"/>
    <w:rsid w:val="000A6ECB"/>
    <w:rsid w:val="000A75A5"/>
    <w:rsid w:val="000A7CA6"/>
    <w:rsid w:val="000B12A3"/>
    <w:rsid w:val="000B172B"/>
    <w:rsid w:val="000B185C"/>
    <w:rsid w:val="000B1B4D"/>
    <w:rsid w:val="000B1C34"/>
    <w:rsid w:val="000B24F1"/>
    <w:rsid w:val="000B25D0"/>
    <w:rsid w:val="000B2D8F"/>
    <w:rsid w:val="000B3024"/>
    <w:rsid w:val="000B3472"/>
    <w:rsid w:val="000B440D"/>
    <w:rsid w:val="000B4783"/>
    <w:rsid w:val="000B4EDB"/>
    <w:rsid w:val="000B4EDF"/>
    <w:rsid w:val="000B513A"/>
    <w:rsid w:val="000B51AE"/>
    <w:rsid w:val="000B544A"/>
    <w:rsid w:val="000B58CA"/>
    <w:rsid w:val="000B7320"/>
    <w:rsid w:val="000B7F7A"/>
    <w:rsid w:val="000C0805"/>
    <w:rsid w:val="000C0B14"/>
    <w:rsid w:val="000C195E"/>
    <w:rsid w:val="000C2132"/>
    <w:rsid w:val="000C2BA1"/>
    <w:rsid w:val="000C30A9"/>
    <w:rsid w:val="000C388A"/>
    <w:rsid w:val="000C3E79"/>
    <w:rsid w:val="000C41FB"/>
    <w:rsid w:val="000C4A79"/>
    <w:rsid w:val="000C4C0F"/>
    <w:rsid w:val="000C50AF"/>
    <w:rsid w:val="000C50BA"/>
    <w:rsid w:val="000C54A6"/>
    <w:rsid w:val="000C5C7F"/>
    <w:rsid w:val="000C5EEC"/>
    <w:rsid w:val="000C5F75"/>
    <w:rsid w:val="000C685B"/>
    <w:rsid w:val="000C6CAC"/>
    <w:rsid w:val="000C6F56"/>
    <w:rsid w:val="000C7230"/>
    <w:rsid w:val="000C7435"/>
    <w:rsid w:val="000C774E"/>
    <w:rsid w:val="000C7F6D"/>
    <w:rsid w:val="000D05B7"/>
    <w:rsid w:val="000D0A66"/>
    <w:rsid w:val="000D0D54"/>
    <w:rsid w:val="000D0E99"/>
    <w:rsid w:val="000D150C"/>
    <w:rsid w:val="000D1818"/>
    <w:rsid w:val="000D19AB"/>
    <w:rsid w:val="000D234A"/>
    <w:rsid w:val="000D291D"/>
    <w:rsid w:val="000D2AC6"/>
    <w:rsid w:val="000D2B8D"/>
    <w:rsid w:val="000D2ED6"/>
    <w:rsid w:val="000D30F1"/>
    <w:rsid w:val="000D3150"/>
    <w:rsid w:val="000D35E5"/>
    <w:rsid w:val="000D38A5"/>
    <w:rsid w:val="000D3E09"/>
    <w:rsid w:val="000D3E55"/>
    <w:rsid w:val="000D44C8"/>
    <w:rsid w:val="000D4762"/>
    <w:rsid w:val="000D4E1B"/>
    <w:rsid w:val="000D5F2E"/>
    <w:rsid w:val="000D63F2"/>
    <w:rsid w:val="000D696B"/>
    <w:rsid w:val="000D750F"/>
    <w:rsid w:val="000D759F"/>
    <w:rsid w:val="000D75FD"/>
    <w:rsid w:val="000D7B0D"/>
    <w:rsid w:val="000E08D6"/>
    <w:rsid w:val="000E0CF8"/>
    <w:rsid w:val="000E1676"/>
    <w:rsid w:val="000E205C"/>
    <w:rsid w:val="000E2123"/>
    <w:rsid w:val="000E2758"/>
    <w:rsid w:val="000E27D3"/>
    <w:rsid w:val="000E27F1"/>
    <w:rsid w:val="000E2CD7"/>
    <w:rsid w:val="000E2F9B"/>
    <w:rsid w:val="000E2FB8"/>
    <w:rsid w:val="000E3186"/>
    <w:rsid w:val="000E3249"/>
    <w:rsid w:val="000E34E8"/>
    <w:rsid w:val="000E41DB"/>
    <w:rsid w:val="000E4626"/>
    <w:rsid w:val="000E4D00"/>
    <w:rsid w:val="000E553C"/>
    <w:rsid w:val="000E5B4F"/>
    <w:rsid w:val="000E67F1"/>
    <w:rsid w:val="000E7032"/>
    <w:rsid w:val="000E7158"/>
    <w:rsid w:val="000E73DB"/>
    <w:rsid w:val="000E7B81"/>
    <w:rsid w:val="000E7ED3"/>
    <w:rsid w:val="000F01C9"/>
    <w:rsid w:val="000F0EB4"/>
    <w:rsid w:val="000F14D1"/>
    <w:rsid w:val="000F16DB"/>
    <w:rsid w:val="000F1EEF"/>
    <w:rsid w:val="000F23AB"/>
    <w:rsid w:val="000F247B"/>
    <w:rsid w:val="000F2D20"/>
    <w:rsid w:val="000F3413"/>
    <w:rsid w:val="000F3E31"/>
    <w:rsid w:val="000F3F2C"/>
    <w:rsid w:val="000F4108"/>
    <w:rsid w:val="000F4306"/>
    <w:rsid w:val="000F4602"/>
    <w:rsid w:val="000F4B98"/>
    <w:rsid w:val="000F50DA"/>
    <w:rsid w:val="000F543F"/>
    <w:rsid w:val="000F5B4E"/>
    <w:rsid w:val="000F5D27"/>
    <w:rsid w:val="000F6384"/>
    <w:rsid w:val="000F66C3"/>
    <w:rsid w:val="00100440"/>
    <w:rsid w:val="0010076F"/>
    <w:rsid w:val="00100E97"/>
    <w:rsid w:val="00100F11"/>
    <w:rsid w:val="00100FA3"/>
    <w:rsid w:val="00101887"/>
    <w:rsid w:val="00101906"/>
    <w:rsid w:val="00101FB4"/>
    <w:rsid w:val="00101FF3"/>
    <w:rsid w:val="0010218A"/>
    <w:rsid w:val="00102485"/>
    <w:rsid w:val="00102764"/>
    <w:rsid w:val="00103A34"/>
    <w:rsid w:val="00103B8E"/>
    <w:rsid w:val="00103C44"/>
    <w:rsid w:val="00103C4D"/>
    <w:rsid w:val="00104326"/>
    <w:rsid w:val="0010486F"/>
    <w:rsid w:val="001050A0"/>
    <w:rsid w:val="001055F8"/>
    <w:rsid w:val="001068F9"/>
    <w:rsid w:val="00106B42"/>
    <w:rsid w:val="00107D85"/>
    <w:rsid w:val="00110F48"/>
    <w:rsid w:val="00111388"/>
    <w:rsid w:val="00111976"/>
    <w:rsid w:val="00112132"/>
    <w:rsid w:val="0011223B"/>
    <w:rsid w:val="0011281D"/>
    <w:rsid w:val="00112EB7"/>
    <w:rsid w:val="0011377E"/>
    <w:rsid w:val="00113905"/>
    <w:rsid w:val="00113F53"/>
    <w:rsid w:val="00114082"/>
    <w:rsid w:val="00114433"/>
    <w:rsid w:val="00114956"/>
    <w:rsid w:val="00114E24"/>
    <w:rsid w:val="0011511E"/>
    <w:rsid w:val="00115245"/>
    <w:rsid w:val="00115253"/>
    <w:rsid w:val="0011693C"/>
    <w:rsid w:val="001172A4"/>
    <w:rsid w:val="00117484"/>
    <w:rsid w:val="00117543"/>
    <w:rsid w:val="00117B29"/>
    <w:rsid w:val="00117BE2"/>
    <w:rsid w:val="00117C42"/>
    <w:rsid w:val="0012030E"/>
    <w:rsid w:val="0012042C"/>
    <w:rsid w:val="0012052B"/>
    <w:rsid w:val="00121526"/>
    <w:rsid w:val="00121D75"/>
    <w:rsid w:val="00122DC0"/>
    <w:rsid w:val="001236D4"/>
    <w:rsid w:val="001236DE"/>
    <w:rsid w:val="00124B13"/>
    <w:rsid w:val="00125055"/>
    <w:rsid w:val="0012575F"/>
    <w:rsid w:val="001257F7"/>
    <w:rsid w:val="001258DB"/>
    <w:rsid w:val="00125D60"/>
    <w:rsid w:val="001261BB"/>
    <w:rsid w:val="00126C49"/>
    <w:rsid w:val="001275C5"/>
    <w:rsid w:val="00130097"/>
    <w:rsid w:val="00130670"/>
    <w:rsid w:val="001309C6"/>
    <w:rsid w:val="00130CC6"/>
    <w:rsid w:val="00131128"/>
    <w:rsid w:val="00131392"/>
    <w:rsid w:val="0013146B"/>
    <w:rsid w:val="00131BC9"/>
    <w:rsid w:val="00131E0D"/>
    <w:rsid w:val="00133230"/>
    <w:rsid w:val="00133D0E"/>
    <w:rsid w:val="00133F0C"/>
    <w:rsid w:val="00134118"/>
    <w:rsid w:val="001343BE"/>
    <w:rsid w:val="001344CD"/>
    <w:rsid w:val="0013467F"/>
    <w:rsid w:val="00134816"/>
    <w:rsid w:val="00134D10"/>
    <w:rsid w:val="001358B5"/>
    <w:rsid w:val="00135CBC"/>
    <w:rsid w:val="00136324"/>
    <w:rsid w:val="00136469"/>
    <w:rsid w:val="001364E8"/>
    <w:rsid w:val="00136E4B"/>
    <w:rsid w:val="00136EE5"/>
    <w:rsid w:val="00136F07"/>
    <w:rsid w:val="001374C7"/>
    <w:rsid w:val="00137946"/>
    <w:rsid w:val="0014112A"/>
    <w:rsid w:val="00141C4A"/>
    <w:rsid w:val="00142533"/>
    <w:rsid w:val="00142910"/>
    <w:rsid w:val="00142AD6"/>
    <w:rsid w:val="001431A2"/>
    <w:rsid w:val="001431EB"/>
    <w:rsid w:val="00143EF6"/>
    <w:rsid w:val="00144008"/>
    <w:rsid w:val="00144049"/>
    <w:rsid w:val="001449FE"/>
    <w:rsid w:val="00144F71"/>
    <w:rsid w:val="00145208"/>
    <w:rsid w:val="0014555D"/>
    <w:rsid w:val="00145AFE"/>
    <w:rsid w:val="00145BD4"/>
    <w:rsid w:val="00145E89"/>
    <w:rsid w:val="00146893"/>
    <w:rsid w:val="00146900"/>
    <w:rsid w:val="00146A03"/>
    <w:rsid w:val="00146AFA"/>
    <w:rsid w:val="00146C0F"/>
    <w:rsid w:val="00147690"/>
    <w:rsid w:val="001479FA"/>
    <w:rsid w:val="00147AAD"/>
    <w:rsid w:val="00147C50"/>
    <w:rsid w:val="0015003D"/>
    <w:rsid w:val="001502E9"/>
    <w:rsid w:val="0015043F"/>
    <w:rsid w:val="00150A3B"/>
    <w:rsid w:val="00150CF7"/>
    <w:rsid w:val="00150EF8"/>
    <w:rsid w:val="001510C7"/>
    <w:rsid w:val="001518F6"/>
    <w:rsid w:val="00152199"/>
    <w:rsid w:val="001522DD"/>
    <w:rsid w:val="00154058"/>
    <w:rsid w:val="00154189"/>
    <w:rsid w:val="00154534"/>
    <w:rsid w:val="0015482C"/>
    <w:rsid w:val="0015586F"/>
    <w:rsid w:val="00155BA6"/>
    <w:rsid w:val="00155D33"/>
    <w:rsid w:val="0015621C"/>
    <w:rsid w:val="00157541"/>
    <w:rsid w:val="00157622"/>
    <w:rsid w:val="001579FD"/>
    <w:rsid w:val="00157AC6"/>
    <w:rsid w:val="00160018"/>
    <w:rsid w:val="0016028D"/>
    <w:rsid w:val="001603FE"/>
    <w:rsid w:val="00161335"/>
    <w:rsid w:val="001614FE"/>
    <w:rsid w:val="00161A8A"/>
    <w:rsid w:val="00161EA1"/>
    <w:rsid w:val="00161FF0"/>
    <w:rsid w:val="001620B2"/>
    <w:rsid w:val="001623EB"/>
    <w:rsid w:val="00162422"/>
    <w:rsid w:val="0016283B"/>
    <w:rsid w:val="00163944"/>
    <w:rsid w:val="00163DBB"/>
    <w:rsid w:val="00164720"/>
    <w:rsid w:val="001651F6"/>
    <w:rsid w:val="00165481"/>
    <w:rsid w:val="00165F87"/>
    <w:rsid w:val="00166836"/>
    <w:rsid w:val="00166A5F"/>
    <w:rsid w:val="00166A9E"/>
    <w:rsid w:val="00166B78"/>
    <w:rsid w:val="0016740E"/>
    <w:rsid w:val="00167429"/>
    <w:rsid w:val="001676AB"/>
    <w:rsid w:val="0016776D"/>
    <w:rsid w:val="00167923"/>
    <w:rsid w:val="00167CCF"/>
    <w:rsid w:val="00167CD3"/>
    <w:rsid w:val="0017078B"/>
    <w:rsid w:val="00170F6A"/>
    <w:rsid w:val="0017132C"/>
    <w:rsid w:val="00171720"/>
    <w:rsid w:val="00171CAF"/>
    <w:rsid w:val="00172126"/>
    <w:rsid w:val="001748A1"/>
    <w:rsid w:val="001754C9"/>
    <w:rsid w:val="001759CA"/>
    <w:rsid w:val="00176471"/>
    <w:rsid w:val="00176A82"/>
    <w:rsid w:val="00176B1E"/>
    <w:rsid w:val="00176F2D"/>
    <w:rsid w:val="00177980"/>
    <w:rsid w:val="00177AE8"/>
    <w:rsid w:val="0018033D"/>
    <w:rsid w:val="00180A2A"/>
    <w:rsid w:val="00180EFC"/>
    <w:rsid w:val="0018147A"/>
    <w:rsid w:val="0018196A"/>
    <w:rsid w:val="00181A6C"/>
    <w:rsid w:val="00181DA7"/>
    <w:rsid w:val="001825BC"/>
    <w:rsid w:val="001828DE"/>
    <w:rsid w:val="00182B26"/>
    <w:rsid w:val="00182CC7"/>
    <w:rsid w:val="00182D7B"/>
    <w:rsid w:val="0018335F"/>
    <w:rsid w:val="00183A73"/>
    <w:rsid w:val="00183A82"/>
    <w:rsid w:val="00183E0C"/>
    <w:rsid w:val="00184658"/>
    <w:rsid w:val="00184AB4"/>
    <w:rsid w:val="00184EAD"/>
    <w:rsid w:val="00184F01"/>
    <w:rsid w:val="0018516C"/>
    <w:rsid w:val="00185511"/>
    <w:rsid w:val="00185B40"/>
    <w:rsid w:val="001866F5"/>
    <w:rsid w:val="00187820"/>
    <w:rsid w:val="001878A8"/>
    <w:rsid w:val="001903D6"/>
    <w:rsid w:val="00191BA4"/>
    <w:rsid w:val="00192746"/>
    <w:rsid w:val="001930F6"/>
    <w:rsid w:val="00194DF9"/>
    <w:rsid w:val="001951B2"/>
    <w:rsid w:val="001951DC"/>
    <w:rsid w:val="001951F9"/>
    <w:rsid w:val="001952B4"/>
    <w:rsid w:val="00195BD3"/>
    <w:rsid w:val="00196440"/>
    <w:rsid w:val="001964F0"/>
    <w:rsid w:val="00196C62"/>
    <w:rsid w:val="00196F15"/>
    <w:rsid w:val="001A09B5"/>
    <w:rsid w:val="001A11B7"/>
    <w:rsid w:val="001A1644"/>
    <w:rsid w:val="001A1682"/>
    <w:rsid w:val="001A1AA3"/>
    <w:rsid w:val="001A1BFA"/>
    <w:rsid w:val="001A1D77"/>
    <w:rsid w:val="001A270F"/>
    <w:rsid w:val="001A31F4"/>
    <w:rsid w:val="001A4176"/>
    <w:rsid w:val="001A434A"/>
    <w:rsid w:val="001A43D7"/>
    <w:rsid w:val="001A47A0"/>
    <w:rsid w:val="001A48B3"/>
    <w:rsid w:val="001A48B4"/>
    <w:rsid w:val="001A4D11"/>
    <w:rsid w:val="001A4DE6"/>
    <w:rsid w:val="001A54F8"/>
    <w:rsid w:val="001A5556"/>
    <w:rsid w:val="001A5C54"/>
    <w:rsid w:val="001A5E1F"/>
    <w:rsid w:val="001A6DF6"/>
    <w:rsid w:val="001A7E5B"/>
    <w:rsid w:val="001B00E9"/>
    <w:rsid w:val="001B03F3"/>
    <w:rsid w:val="001B0585"/>
    <w:rsid w:val="001B06C3"/>
    <w:rsid w:val="001B06F2"/>
    <w:rsid w:val="001B0B34"/>
    <w:rsid w:val="001B0DCF"/>
    <w:rsid w:val="001B0E7F"/>
    <w:rsid w:val="001B12A6"/>
    <w:rsid w:val="001B12C6"/>
    <w:rsid w:val="001B1304"/>
    <w:rsid w:val="001B156C"/>
    <w:rsid w:val="001B1752"/>
    <w:rsid w:val="001B1E32"/>
    <w:rsid w:val="001B257D"/>
    <w:rsid w:val="001B3167"/>
    <w:rsid w:val="001B3F5E"/>
    <w:rsid w:val="001B4477"/>
    <w:rsid w:val="001B4570"/>
    <w:rsid w:val="001B4674"/>
    <w:rsid w:val="001B4D3E"/>
    <w:rsid w:val="001B4E55"/>
    <w:rsid w:val="001B623D"/>
    <w:rsid w:val="001B6997"/>
    <w:rsid w:val="001B732A"/>
    <w:rsid w:val="001B7B23"/>
    <w:rsid w:val="001C0131"/>
    <w:rsid w:val="001C037C"/>
    <w:rsid w:val="001C0CB8"/>
    <w:rsid w:val="001C117B"/>
    <w:rsid w:val="001C1303"/>
    <w:rsid w:val="001C1644"/>
    <w:rsid w:val="001C166B"/>
    <w:rsid w:val="001C1844"/>
    <w:rsid w:val="001C1FBC"/>
    <w:rsid w:val="001C1FFE"/>
    <w:rsid w:val="001C2DA4"/>
    <w:rsid w:val="001C2F6B"/>
    <w:rsid w:val="001C3437"/>
    <w:rsid w:val="001C3DDA"/>
    <w:rsid w:val="001C4387"/>
    <w:rsid w:val="001C58E1"/>
    <w:rsid w:val="001C614E"/>
    <w:rsid w:val="001C6451"/>
    <w:rsid w:val="001C650B"/>
    <w:rsid w:val="001C6F24"/>
    <w:rsid w:val="001C6F74"/>
    <w:rsid w:val="001C7070"/>
    <w:rsid w:val="001C741C"/>
    <w:rsid w:val="001C77D3"/>
    <w:rsid w:val="001C7EBC"/>
    <w:rsid w:val="001C7F2C"/>
    <w:rsid w:val="001D1308"/>
    <w:rsid w:val="001D2362"/>
    <w:rsid w:val="001D24F7"/>
    <w:rsid w:val="001D2F79"/>
    <w:rsid w:val="001D346D"/>
    <w:rsid w:val="001D353D"/>
    <w:rsid w:val="001D389F"/>
    <w:rsid w:val="001D39FC"/>
    <w:rsid w:val="001D43EC"/>
    <w:rsid w:val="001D49C7"/>
    <w:rsid w:val="001D4BE5"/>
    <w:rsid w:val="001D4DF8"/>
    <w:rsid w:val="001D54C9"/>
    <w:rsid w:val="001D58CD"/>
    <w:rsid w:val="001D6528"/>
    <w:rsid w:val="001D70A7"/>
    <w:rsid w:val="001D711A"/>
    <w:rsid w:val="001D72DC"/>
    <w:rsid w:val="001D7688"/>
    <w:rsid w:val="001D770E"/>
    <w:rsid w:val="001D7F33"/>
    <w:rsid w:val="001E061E"/>
    <w:rsid w:val="001E065A"/>
    <w:rsid w:val="001E0F21"/>
    <w:rsid w:val="001E0FBB"/>
    <w:rsid w:val="001E1FF7"/>
    <w:rsid w:val="001E2060"/>
    <w:rsid w:val="001E22F6"/>
    <w:rsid w:val="001E232D"/>
    <w:rsid w:val="001E26AC"/>
    <w:rsid w:val="001E29EF"/>
    <w:rsid w:val="001E33CC"/>
    <w:rsid w:val="001E36B5"/>
    <w:rsid w:val="001E39DD"/>
    <w:rsid w:val="001E3B19"/>
    <w:rsid w:val="001E4170"/>
    <w:rsid w:val="001E503A"/>
    <w:rsid w:val="001E52CA"/>
    <w:rsid w:val="001E52F3"/>
    <w:rsid w:val="001E5704"/>
    <w:rsid w:val="001E5855"/>
    <w:rsid w:val="001E5A4C"/>
    <w:rsid w:val="001E5CEE"/>
    <w:rsid w:val="001E643E"/>
    <w:rsid w:val="001E7018"/>
    <w:rsid w:val="001E7065"/>
    <w:rsid w:val="001E7B4F"/>
    <w:rsid w:val="001E7DB9"/>
    <w:rsid w:val="001E7DFE"/>
    <w:rsid w:val="001E7E69"/>
    <w:rsid w:val="001E7F41"/>
    <w:rsid w:val="001F03DB"/>
    <w:rsid w:val="001F04FE"/>
    <w:rsid w:val="001F08C0"/>
    <w:rsid w:val="001F0E0D"/>
    <w:rsid w:val="001F19E5"/>
    <w:rsid w:val="001F1CA5"/>
    <w:rsid w:val="001F1F05"/>
    <w:rsid w:val="001F2147"/>
    <w:rsid w:val="001F2DC5"/>
    <w:rsid w:val="001F30DF"/>
    <w:rsid w:val="001F359E"/>
    <w:rsid w:val="001F3715"/>
    <w:rsid w:val="001F3823"/>
    <w:rsid w:val="001F4AB2"/>
    <w:rsid w:val="001F5102"/>
    <w:rsid w:val="001F5397"/>
    <w:rsid w:val="001F53BA"/>
    <w:rsid w:val="001F54B4"/>
    <w:rsid w:val="001F56BC"/>
    <w:rsid w:val="001F5C68"/>
    <w:rsid w:val="001F62FA"/>
    <w:rsid w:val="001F642B"/>
    <w:rsid w:val="001F698B"/>
    <w:rsid w:val="001F6D2A"/>
    <w:rsid w:val="001F79D4"/>
    <w:rsid w:val="0020088D"/>
    <w:rsid w:val="002016BF"/>
    <w:rsid w:val="00201AE8"/>
    <w:rsid w:val="002025A4"/>
    <w:rsid w:val="00202C21"/>
    <w:rsid w:val="00203077"/>
    <w:rsid w:val="00203274"/>
    <w:rsid w:val="0020397F"/>
    <w:rsid w:val="00203A80"/>
    <w:rsid w:val="002049C7"/>
    <w:rsid w:val="00205199"/>
    <w:rsid w:val="0020531F"/>
    <w:rsid w:val="0020559B"/>
    <w:rsid w:val="0020581C"/>
    <w:rsid w:val="00205A8A"/>
    <w:rsid w:val="00205BCA"/>
    <w:rsid w:val="0020602D"/>
    <w:rsid w:val="002061CD"/>
    <w:rsid w:val="002062CF"/>
    <w:rsid w:val="002063EA"/>
    <w:rsid w:val="00206416"/>
    <w:rsid w:val="0020679A"/>
    <w:rsid w:val="0020687E"/>
    <w:rsid w:val="002073B2"/>
    <w:rsid w:val="00207EDD"/>
    <w:rsid w:val="002103BB"/>
    <w:rsid w:val="002104CB"/>
    <w:rsid w:val="00210630"/>
    <w:rsid w:val="00210B41"/>
    <w:rsid w:val="002116F1"/>
    <w:rsid w:val="00211A15"/>
    <w:rsid w:val="00211D47"/>
    <w:rsid w:val="00211E24"/>
    <w:rsid w:val="00212150"/>
    <w:rsid w:val="00212219"/>
    <w:rsid w:val="00212233"/>
    <w:rsid w:val="00212BF2"/>
    <w:rsid w:val="0021312E"/>
    <w:rsid w:val="00213297"/>
    <w:rsid w:val="00213749"/>
    <w:rsid w:val="00213AE2"/>
    <w:rsid w:val="00213BFC"/>
    <w:rsid w:val="00213E64"/>
    <w:rsid w:val="00213F3E"/>
    <w:rsid w:val="00214030"/>
    <w:rsid w:val="00214641"/>
    <w:rsid w:val="00214868"/>
    <w:rsid w:val="00214876"/>
    <w:rsid w:val="00214E52"/>
    <w:rsid w:val="002156A4"/>
    <w:rsid w:val="00215E6C"/>
    <w:rsid w:val="00217122"/>
    <w:rsid w:val="002171E1"/>
    <w:rsid w:val="0021791A"/>
    <w:rsid w:val="00220173"/>
    <w:rsid w:val="002204D7"/>
    <w:rsid w:val="0022060B"/>
    <w:rsid w:val="00220DE8"/>
    <w:rsid w:val="00220F7B"/>
    <w:rsid w:val="00220FA9"/>
    <w:rsid w:val="0022109A"/>
    <w:rsid w:val="00221838"/>
    <w:rsid w:val="00221AC7"/>
    <w:rsid w:val="00221AD9"/>
    <w:rsid w:val="00221BE8"/>
    <w:rsid w:val="00221BEE"/>
    <w:rsid w:val="00221C32"/>
    <w:rsid w:val="00222139"/>
    <w:rsid w:val="0022230B"/>
    <w:rsid w:val="0022260E"/>
    <w:rsid w:val="00222724"/>
    <w:rsid w:val="00222810"/>
    <w:rsid w:val="002228D4"/>
    <w:rsid w:val="002229D6"/>
    <w:rsid w:val="00222C11"/>
    <w:rsid w:val="00222F90"/>
    <w:rsid w:val="002235E6"/>
    <w:rsid w:val="00223769"/>
    <w:rsid w:val="0022494D"/>
    <w:rsid w:val="00224984"/>
    <w:rsid w:val="002250BB"/>
    <w:rsid w:val="002256C4"/>
    <w:rsid w:val="00225723"/>
    <w:rsid w:val="00225DAA"/>
    <w:rsid w:val="00226D7E"/>
    <w:rsid w:val="00227001"/>
    <w:rsid w:val="00227135"/>
    <w:rsid w:val="002276E3"/>
    <w:rsid w:val="00227875"/>
    <w:rsid w:val="00230668"/>
    <w:rsid w:val="00231100"/>
    <w:rsid w:val="0023197E"/>
    <w:rsid w:val="00231B66"/>
    <w:rsid w:val="00231F2F"/>
    <w:rsid w:val="002325A7"/>
    <w:rsid w:val="00233951"/>
    <w:rsid w:val="00233AAD"/>
    <w:rsid w:val="002341E4"/>
    <w:rsid w:val="002356F2"/>
    <w:rsid w:val="00236030"/>
    <w:rsid w:val="00236055"/>
    <w:rsid w:val="00236089"/>
    <w:rsid w:val="00236240"/>
    <w:rsid w:val="002362EB"/>
    <w:rsid w:val="002362F8"/>
    <w:rsid w:val="00236857"/>
    <w:rsid w:val="002371EE"/>
    <w:rsid w:val="00237900"/>
    <w:rsid w:val="00237E49"/>
    <w:rsid w:val="0024067D"/>
    <w:rsid w:val="002406C5"/>
    <w:rsid w:val="00240C53"/>
    <w:rsid w:val="00240F1F"/>
    <w:rsid w:val="00240FAF"/>
    <w:rsid w:val="002410AC"/>
    <w:rsid w:val="002411A6"/>
    <w:rsid w:val="002415C0"/>
    <w:rsid w:val="0024205C"/>
    <w:rsid w:val="00242118"/>
    <w:rsid w:val="002428FE"/>
    <w:rsid w:val="0024307D"/>
    <w:rsid w:val="00243551"/>
    <w:rsid w:val="00243A0D"/>
    <w:rsid w:val="00243A98"/>
    <w:rsid w:val="00243F7B"/>
    <w:rsid w:val="00243FA4"/>
    <w:rsid w:val="00243FB1"/>
    <w:rsid w:val="00244063"/>
    <w:rsid w:val="0024469B"/>
    <w:rsid w:val="002447F1"/>
    <w:rsid w:val="002448C7"/>
    <w:rsid w:val="00244CDC"/>
    <w:rsid w:val="002451DB"/>
    <w:rsid w:val="00245622"/>
    <w:rsid w:val="002457A6"/>
    <w:rsid w:val="00245F9F"/>
    <w:rsid w:val="00246105"/>
    <w:rsid w:val="00246290"/>
    <w:rsid w:val="0024665D"/>
    <w:rsid w:val="00246CE1"/>
    <w:rsid w:val="00247100"/>
    <w:rsid w:val="00247190"/>
    <w:rsid w:val="002471A4"/>
    <w:rsid w:val="00247310"/>
    <w:rsid w:val="00247680"/>
    <w:rsid w:val="00247A49"/>
    <w:rsid w:val="00247D5F"/>
    <w:rsid w:val="00247D61"/>
    <w:rsid w:val="002502C0"/>
    <w:rsid w:val="002505B3"/>
    <w:rsid w:val="00250B8D"/>
    <w:rsid w:val="002511D0"/>
    <w:rsid w:val="002514E8"/>
    <w:rsid w:val="00251513"/>
    <w:rsid w:val="00251DE1"/>
    <w:rsid w:val="00251F96"/>
    <w:rsid w:val="00253B8C"/>
    <w:rsid w:val="002543A7"/>
    <w:rsid w:val="00254E6D"/>
    <w:rsid w:val="002553A2"/>
    <w:rsid w:val="00255C6A"/>
    <w:rsid w:val="00255EEB"/>
    <w:rsid w:val="00255F84"/>
    <w:rsid w:val="00256028"/>
    <w:rsid w:val="00256390"/>
    <w:rsid w:val="0025645F"/>
    <w:rsid w:val="002574B7"/>
    <w:rsid w:val="0025753E"/>
    <w:rsid w:val="00260362"/>
    <w:rsid w:val="0026051E"/>
    <w:rsid w:val="00260D55"/>
    <w:rsid w:val="00261678"/>
    <w:rsid w:val="002616EF"/>
    <w:rsid w:val="00261738"/>
    <w:rsid w:val="0026257E"/>
    <w:rsid w:val="0026287B"/>
    <w:rsid w:val="00262D06"/>
    <w:rsid w:val="0026338F"/>
    <w:rsid w:val="00264C30"/>
    <w:rsid w:val="00264E56"/>
    <w:rsid w:val="00265243"/>
    <w:rsid w:val="00265D2B"/>
    <w:rsid w:val="0026684E"/>
    <w:rsid w:val="002668DC"/>
    <w:rsid w:val="00266B62"/>
    <w:rsid w:val="00266F6E"/>
    <w:rsid w:val="00266FD6"/>
    <w:rsid w:val="002670B2"/>
    <w:rsid w:val="002672E8"/>
    <w:rsid w:val="0026758A"/>
    <w:rsid w:val="002675B4"/>
    <w:rsid w:val="00267FDA"/>
    <w:rsid w:val="0027016A"/>
    <w:rsid w:val="0027032D"/>
    <w:rsid w:val="0027034B"/>
    <w:rsid w:val="002706CC"/>
    <w:rsid w:val="00270731"/>
    <w:rsid w:val="00270966"/>
    <w:rsid w:val="00270BCD"/>
    <w:rsid w:val="00270E98"/>
    <w:rsid w:val="00271021"/>
    <w:rsid w:val="002710DF"/>
    <w:rsid w:val="00271397"/>
    <w:rsid w:val="002714DB"/>
    <w:rsid w:val="00271C44"/>
    <w:rsid w:val="00272003"/>
    <w:rsid w:val="002725AA"/>
    <w:rsid w:val="0027271A"/>
    <w:rsid w:val="00272A02"/>
    <w:rsid w:val="00272A49"/>
    <w:rsid w:val="00272ECC"/>
    <w:rsid w:val="00273187"/>
    <w:rsid w:val="00273737"/>
    <w:rsid w:val="00273A2C"/>
    <w:rsid w:val="00273DEF"/>
    <w:rsid w:val="002746E9"/>
    <w:rsid w:val="0027556C"/>
    <w:rsid w:val="002759AB"/>
    <w:rsid w:val="0027607B"/>
    <w:rsid w:val="00276C55"/>
    <w:rsid w:val="00276C96"/>
    <w:rsid w:val="002771E5"/>
    <w:rsid w:val="002772C7"/>
    <w:rsid w:val="0027752B"/>
    <w:rsid w:val="002776D9"/>
    <w:rsid w:val="00277D0E"/>
    <w:rsid w:val="00280455"/>
    <w:rsid w:val="002805BF"/>
    <w:rsid w:val="0028132B"/>
    <w:rsid w:val="002815CC"/>
    <w:rsid w:val="00281750"/>
    <w:rsid w:val="002817CA"/>
    <w:rsid w:val="002819EC"/>
    <w:rsid w:val="0028238C"/>
    <w:rsid w:val="0028258C"/>
    <w:rsid w:val="00282D10"/>
    <w:rsid w:val="00283177"/>
    <w:rsid w:val="00284434"/>
    <w:rsid w:val="00284435"/>
    <w:rsid w:val="0028446B"/>
    <w:rsid w:val="00284570"/>
    <w:rsid w:val="00284683"/>
    <w:rsid w:val="00284954"/>
    <w:rsid w:val="00285D0C"/>
    <w:rsid w:val="00286479"/>
    <w:rsid w:val="002869E0"/>
    <w:rsid w:val="00287072"/>
    <w:rsid w:val="002872BA"/>
    <w:rsid w:val="00287356"/>
    <w:rsid w:val="00287D16"/>
    <w:rsid w:val="00290208"/>
    <w:rsid w:val="0029028A"/>
    <w:rsid w:val="002911D3"/>
    <w:rsid w:val="0029139D"/>
    <w:rsid w:val="00291E7F"/>
    <w:rsid w:val="00292467"/>
    <w:rsid w:val="00292A0E"/>
    <w:rsid w:val="00293174"/>
    <w:rsid w:val="00293238"/>
    <w:rsid w:val="00293A91"/>
    <w:rsid w:val="00293EA7"/>
    <w:rsid w:val="002944AE"/>
    <w:rsid w:val="00294C8F"/>
    <w:rsid w:val="00295086"/>
    <w:rsid w:val="00295CDE"/>
    <w:rsid w:val="00295E62"/>
    <w:rsid w:val="002960AF"/>
    <w:rsid w:val="00296C76"/>
    <w:rsid w:val="00296E44"/>
    <w:rsid w:val="00296FD8"/>
    <w:rsid w:val="002970DD"/>
    <w:rsid w:val="00297997"/>
    <w:rsid w:val="00297A20"/>
    <w:rsid w:val="00297C18"/>
    <w:rsid w:val="002A0AF9"/>
    <w:rsid w:val="002A0BB4"/>
    <w:rsid w:val="002A102E"/>
    <w:rsid w:val="002A1490"/>
    <w:rsid w:val="002A1551"/>
    <w:rsid w:val="002A1798"/>
    <w:rsid w:val="002A17E8"/>
    <w:rsid w:val="002A189C"/>
    <w:rsid w:val="002A1F8B"/>
    <w:rsid w:val="002A2CD7"/>
    <w:rsid w:val="002A3C41"/>
    <w:rsid w:val="002A47BF"/>
    <w:rsid w:val="002A4F44"/>
    <w:rsid w:val="002A566A"/>
    <w:rsid w:val="002A67D8"/>
    <w:rsid w:val="002A68F0"/>
    <w:rsid w:val="002A6BB8"/>
    <w:rsid w:val="002A6FD2"/>
    <w:rsid w:val="002B0FEB"/>
    <w:rsid w:val="002B1296"/>
    <w:rsid w:val="002B14F6"/>
    <w:rsid w:val="002B1B2D"/>
    <w:rsid w:val="002B1C76"/>
    <w:rsid w:val="002B24B5"/>
    <w:rsid w:val="002B2540"/>
    <w:rsid w:val="002B2AE3"/>
    <w:rsid w:val="002B30DD"/>
    <w:rsid w:val="002B3205"/>
    <w:rsid w:val="002B32A8"/>
    <w:rsid w:val="002B3573"/>
    <w:rsid w:val="002B39D3"/>
    <w:rsid w:val="002B40B5"/>
    <w:rsid w:val="002B5386"/>
    <w:rsid w:val="002B583C"/>
    <w:rsid w:val="002B5C5B"/>
    <w:rsid w:val="002B632C"/>
    <w:rsid w:val="002B6379"/>
    <w:rsid w:val="002B6418"/>
    <w:rsid w:val="002B69F2"/>
    <w:rsid w:val="002B712B"/>
    <w:rsid w:val="002B7B3D"/>
    <w:rsid w:val="002C0244"/>
    <w:rsid w:val="002C05B7"/>
    <w:rsid w:val="002C09B3"/>
    <w:rsid w:val="002C09F6"/>
    <w:rsid w:val="002C0BEE"/>
    <w:rsid w:val="002C0E89"/>
    <w:rsid w:val="002C1052"/>
    <w:rsid w:val="002C1882"/>
    <w:rsid w:val="002C1BB2"/>
    <w:rsid w:val="002C2205"/>
    <w:rsid w:val="002C2A66"/>
    <w:rsid w:val="002C309C"/>
    <w:rsid w:val="002C3696"/>
    <w:rsid w:val="002C5406"/>
    <w:rsid w:val="002C6017"/>
    <w:rsid w:val="002C6A1E"/>
    <w:rsid w:val="002C6B8A"/>
    <w:rsid w:val="002C7218"/>
    <w:rsid w:val="002C72B4"/>
    <w:rsid w:val="002C72CB"/>
    <w:rsid w:val="002C77DA"/>
    <w:rsid w:val="002D038E"/>
    <w:rsid w:val="002D04D0"/>
    <w:rsid w:val="002D0918"/>
    <w:rsid w:val="002D13E9"/>
    <w:rsid w:val="002D186D"/>
    <w:rsid w:val="002D19FD"/>
    <w:rsid w:val="002D2117"/>
    <w:rsid w:val="002D2613"/>
    <w:rsid w:val="002D3C94"/>
    <w:rsid w:val="002D493E"/>
    <w:rsid w:val="002D50C4"/>
    <w:rsid w:val="002D5760"/>
    <w:rsid w:val="002D58C7"/>
    <w:rsid w:val="002D61BA"/>
    <w:rsid w:val="002D6232"/>
    <w:rsid w:val="002D6429"/>
    <w:rsid w:val="002D64B5"/>
    <w:rsid w:val="002D6579"/>
    <w:rsid w:val="002D665A"/>
    <w:rsid w:val="002D66A0"/>
    <w:rsid w:val="002D670E"/>
    <w:rsid w:val="002D6891"/>
    <w:rsid w:val="002D68FC"/>
    <w:rsid w:val="002D74BF"/>
    <w:rsid w:val="002D78CA"/>
    <w:rsid w:val="002E07C0"/>
    <w:rsid w:val="002E0E74"/>
    <w:rsid w:val="002E102D"/>
    <w:rsid w:val="002E12D2"/>
    <w:rsid w:val="002E1E48"/>
    <w:rsid w:val="002E2088"/>
    <w:rsid w:val="002E2ECA"/>
    <w:rsid w:val="002E3399"/>
    <w:rsid w:val="002E35AC"/>
    <w:rsid w:val="002E3736"/>
    <w:rsid w:val="002E3A91"/>
    <w:rsid w:val="002E3F90"/>
    <w:rsid w:val="002E4654"/>
    <w:rsid w:val="002E56E9"/>
    <w:rsid w:val="002E5A4A"/>
    <w:rsid w:val="002E5E1B"/>
    <w:rsid w:val="002E607C"/>
    <w:rsid w:val="002E656C"/>
    <w:rsid w:val="002E6EC9"/>
    <w:rsid w:val="002F1008"/>
    <w:rsid w:val="002F10BA"/>
    <w:rsid w:val="002F11E2"/>
    <w:rsid w:val="002F1D40"/>
    <w:rsid w:val="002F1E2E"/>
    <w:rsid w:val="002F2070"/>
    <w:rsid w:val="002F233A"/>
    <w:rsid w:val="002F2639"/>
    <w:rsid w:val="002F28E3"/>
    <w:rsid w:val="002F4282"/>
    <w:rsid w:val="002F4AAE"/>
    <w:rsid w:val="002F6013"/>
    <w:rsid w:val="002F6295"/>
    <w:rsid w:val="002F6328"/>
    <w:rsid w:val="002F6FA0"/>
    <w:rsid w:val="002F731F"/>
    <w:rsid w:val="00300503"/>
    <w:rsid w:val="003012FF"/>
    <w:rsid w:val="0030132B"/>
    <w:rsid w:val="00302AFA"/>
    <w:rsid w:val="00302D79"/>
    <w:rsid w:val="003035E3"/>
    <w:rsid w:val="0030381E"/>
    <w:rsid w:val="003038AB"/>
    <w:rsid w:val="003041BB"/>
    <w:rsid w:val="00304620"/>
    <w:rsid w:val="0030498E"/>
    <w:rsid w:val="00304C67"/>
    <w:rsid w:val="00304FB7"/>
    <w:rsid w:val="0030540F"/>
    <w:rsid w:val="00305483"/>
    <w:rsid w:val="003057DC"/>
    <w:rsid w:val="003058D0"/>
    <w:rsid w:val="00305A23"/>
    <w:rsid w:val="00305C40"/>
    <w:rsid w:val="00305E4F"/>
    <w:rsid w:val="00305ED8"/>
    <w:rsid w:val="0030668A"/>
    <w:rsid w:val="003066F7"/>
    <w:rsid w:val="00306E30"/>
    <w:rsid w:val="00306E36"/>
    <w:rsid w:val="00307610"/>
    <w:rsid w:val="0030773C"/>
    <w:rsid w:val="0031197B"/>
    <w:rsid w:val="00311A06"/>
    <w:rsid w:val="00311F4A"/>
    <w:rsid w:val="00311FBE"/>
    <w:rsid w:val="003132D5"/>
    <w:rsid w:val="0031379C"/>
    <w:rsid w:val="0031437D"/>
    <w:rsid w:val="00314540"/>
    <w:rsid w:val="0031493D"/>
    <w:rsid w:val="00315494"/>
    <w:rsid w:val="003159A3"/>
    <w:rsid w:val="00315B3C"/>
    <w:rsid w:val="00315BAE"/>
    <w:rsid w:val="00315E41"/>
    <w:rsid w:val="0031694A"/>
    <w:rsid w:val="00316C1D"/>
    <w:rsid w:val="0031752D"/>
    <w:rsid w:val="0031765F"/>
    <w:rsid w:val="00317BFF"/>
    <w:rsid w:val="00317CC7"/>
    <w:rsid w:val="00320598"/>
    <w:rsid w:val="0032067F"/>
    <w:rsid w:val="00322090"/>
    <w:rsid w:val="0032216B"/>
    <w:rsid w:val="0032224C"/>
    <w:rsid w:val="00322285"/>
    <w:rsid w:val="0032259A"/>
    <w:rsid w:val="003225AD"/>
    <w:rsid w:val="00322608"/>
    <w:rsid w:val="00323299"/>
    <w:rsid w:val="003239A5"/>
    <w:rsid w:val="003239CB"/>
    <w:rsid w:val="00323E74"/>
    <w:rsid w:val="003246DB"/>
    <w:rsid w:val="00324D5E"/>
    <w:rsid w:val="00324E54"/>
    <w:rsid w:val="0032559F"/>
    <w:rsid w:val="00325684"/>
    <w:rsid w:val="0032579D"/>
    <w:rsid w:val="00325ECD"/>
    <w:rsid w:val="0032602B"/>
    <w:rsid w:val="0032709F"/>
    <w:rsid w:val="00327955"/>
    <w:rsid w:val="003309FB"/>
    <w:rsid w:val="00331372"/>
    <w:rsid w:val="00331423"/>
    <w:rsid w:val="00331993"/>
    <w:rsid w:val="003332B0"/>
    <w:rsid w:val="00333ADA"/>
    <w:rsid w:val="00334005"/>
    <w:rsid w:val="00334359"/>
    <w:rsid w:val="0033441C"/>
    <w:rsid w:val="00334620"/>
    <w:rsid w:val="003352A9"/>
    <w:rsid w:val="00335541"/>
    <w:rsid w:val="003357B4"/>
    <w:rsid w:val="003358B1"/>
    <w:rsid w:val="00335978"/>
    <w:rsid w:val="00336109"/>
    <w:rsid w:val="003365A0"/>
    <w:rsid w:val="00337194"/>
    <w:rsid w:val="00337475"/>
    <w:rsid w:val="00337756"/>
    <w:rsid w:val="00337B14"/>
    <w:rsid w:val="00340139"/>
    <w:rsid w:val="003402E2"/>
    <w:rsid w:val="00340352"/>
    <w:rsid w:val="00340B88"/>
    <w:rsid w:val="00340F72"/>
    <w:rsid w:val="00341333"/>
    <w:rsid w:val="00341B0B"/>
    <w:rsid w:val="00341CFB"/>
    <w:rsid w:val="003421E9"/>
    <w:rsid w:val="00343050"/>
    <w:rsid w:val="00343C1B"/>
    <w:rsid w:val="00343EFF"/>
    <w:rsid w:val="00345067"/>
    <w:rsid w:val="00345258"/>
    <w:rsid w:val="003452E2"/>
    <w:rsid w:val="003453A1"/>
    <w:rsid w:val="003454B6"/>
    <w:rsid w:val="00345A0C"/>
    <w:rsid w:val="00345ECC"/>
    <w:rsid w:val="00346005"/>
    <w:rsid w:val="00346114"/>
    <w:rsid w:val="0034646E"/>
    <w:rsid w:val="003472A1"/>
    <w:rsid w:val="0034742A"/>
    <w:rsid w:val="003476A5"/>
    <w:rsid w:val="00347B86"/>
    <w:rsid w:val="00347D53"/>
    <w:rsid w:val="00347E50"/>
    <w:rsid w:val="00347FBC"/>
    <w:rsid w:val="00350185"/>
    <w:rsid w:val="003502C4"/>
    <w:rsid w:val="00350585"/>
    <w:rsid w:val="003506C1"/>
    <w:rsid w:val="003506FE"/>
    <w:rsid w:val="003507CF"/>
    <w:rsid w:val="00350B79"/>
    <w:rsid w:val="00350E1D"/>
    <w:rsid w:val="0035106F"/>
    <w:rsid w:val="00351250"/>
    <w:rsid w:val="0035157B"/>
    <w:rsid w:val="003515D5"/>
    <w:rsid w:val="00351893"/>
    <w:rsid w:val="00352BD0"/>
    <w:rsid w:val="00353D3A"/>
    <w:rsid w:val="00354138"/>
    <w:rsid w:val="003543FB"/>
    <w:rsid w:val="00354863"/>
    <w:rsid w:val="0035488C"/>
    <w:rsid w:val="00355031"/>
    <w:rsid w:val="00355712"/>
    <w:rsid w:val="00355A57"/>
    <w:rsid w:val="00355BBB"/>
    <w:rsid w:val="00355D41"/>
    <w:rsid w:val="0035636C"/>
    <w:rsid w:val="003566F0"/>
    <w:rsid w:val="003566F8"/>
    <w:rsid w:val="00357083"/>
    <w:rsid w:val="0035739F"/>
    <w:rsid w:val="0035761E"/>
    <w:rsid w:val="003576DB"/>
    <w:rsid w:val="00357C20"/>
    <w:rsid w:val="00360194"/>
    <w:rsid w:val="00360432"/>
    <w:rsid w:val="003606C1"/>
    <w:rsid w:val="00360742"/>
    <w:rsid w:val="00360744"/>
    <w:rsid w:val="00360E89"/>
    <w:rsid w:val="00360F9C"/>
    <w:rsid w:val="0036112D"/>
    <w:rsid w:val="00361C49"/>
    <w:rsid w:val="00361CA0"/>
    <w:rsid w:val="003622E1"/>
    <w:rsid w:val="00362345"/>
    <w:rsid w:val="00362993"/>
    <w:rsid w:val="00362DEF"/>
    <w:rsid w:val="0036310A"/>
    <w:rsid w:val="003637D9"/>
    <w:rsid w:val="003651A6"/>
    <w:rsid w:val="00365E09"/>
    <w:rsid w:val="00366412"/>
    <w:rsid w:val="003665D4"/>
    <w:rsid w:val="00366779"/>
    <w:rsid w:val="003670C2"/>
    <w:rsid w:val="0036764D"/>
    <w:rsid w:val="00367659"/>
    <w:rsid w:val="00370533"/>
    <w:rsid w:val="00370731"/>
    <w:rsid w:val="00370B73"/>
    <w:rsid w:val="00370D7F"/>
    <w:rsid w:val="003718D1"/>
    <w:rsid w:val="003721A3"/>
    <w:rsid w:val="0037282B"/>
    <w:rsid w:val="0037293F"/>
    <w:rsid w:val="00372DCA"/>
    <w:rsid w:val="00373201"/>
    <w:rsid w:val="003733A1"/>
    <w:rsid w:val="003739B2"/>
    <w:rsid w:val="003741DF"/>
    <w:rsid w:val="00375018"/>
    <w:rsid w:val="003750DE"/>
    <w:rsid w:val="003751A9"/>
    <w:rsid w:val="003756FD"/>
    <w:rsid w:val="003757E4"/>
    <w:rsid w:val="00375ABF"/>
    <w:rsid w:val="00375B48"/>
    <w:rsid w:val="00375F5A"/>
    <w:rsid w:val="00377398"/>
    <w:rsid w:val="003776AC"/>
    <w:rsid w:val="00377AEA"/>
    <w:rsid w:val="00377B02"/>
    <w:rsid w:val="003802BE"/>
    <w:rsid w:val="003807A5"/>
    <w:rsid w:val="00380E59"/>
    <w:rsid w:val="003816F5"/>
    <w:rsid w:val="00381A07"/>
    <w:rsid w:val="0038287A"/>
    <w:rsid w:val="00382E32"/>
    <w:rsid w:val="00383741"/>
    <w:rsid w:val="0038401A"/>
    <w:rsid w:val="0038410A"/>
    <w:rsid w:val="003847A0"/>
    <w:rsid w:val="00384BBE"/>
    <w:rsid w:val="00384C96"/>
    <w:rsid w:val="00384D1F"/>
    <w:rsid w:val="003850E9"/>
    <w:rsid w:val="00385C63"/>
    <w:rsid w:val="00385DB3"/>
    <w:rsid w:val="00385F8F"/>
    <w:rsid w:val="0038644F"/>
    <w:rsid w:val="00386777"/>
    <w:rsid w:val="00386AAD"/>
    <w:rsid w:val="00386DDB"/>
    <w:rsid w:val="00386F2F"/>
    <w:rsid w:val="003871DD"/>
    <w:rsid w:val="003875E9"/>
    <w:rsid w:val="0039020F"/>
    <w:rsid w:val="00390BF6"/>
    <w:rsid w:val="00390D6E"/>
    <w:rsid w:val="0039191A"/>
    <w:rsid w:val="00392888"/>
    <w:rsid w:val="00393A8C"/>
    <w:rsid w:val="00393D5D"/>
    <w:rsid w:val="00393DA5"/>
    <w:rsid w:val="00394034"/>
    <w:rsid w:val="00394061"/>
    <w:rsid w:val="0039485D"/>
    <w:rsid w:val="00394A32"/>
    <w:rsid w:val="003967A4"/>
    <w:rsid w:val="00396A5A"/>
    <w:rsid w:val="00396AC8"/>
    <w:rsid w:val="00396C78"/>
    <w:rsid w:val="00396CBD"/>
    <w:rsid w:val="003971FB"/>
    <w:rsid w:val="00397665"/>
    <w:rsid w:val="003978F2"/>
    <w:rsid w:val="0039798D"/>
    <w:rsid w:val="00397F07"/>
    <w:rsid w:val="00397F73"/>
    <w:rsid w:val="003A07E4"/>
    <w:rsid w:val="003A07F5"/>
    <w:rsid w:val="003A117C"/>
    <w:rsid w:val="003A16CD"/>
    <w:rsid w:val="003A18EE"/>
    <w:rsid w:val="003A1A10"/>
    <w:rsid w:val="003A1CEC"/>
    <w:rsid w:val="003A290B"/>
    <w:rsid w:val="003A2F23"/>
    <w:rsid w:val="003A3C04"/>
    <w:rsid w:val="003A3E90"/>
    <w:rsid w:val="003A444F"/>
    <w:rsid w:val="003A4D29"/>
    <w:rsid w:val="003A519C"/>
    <w:rsid w:val="003A5390"/>
    <w:rsid w:val="003A5615"/>
    <w:rsid w:val="003A5731"/>
    <w:rsid w:val="003A5AD6"/>
    <w:rsid w:val="003A5C7C"/>
    <w:rsid w:val="003A5E19"/>
    <w:rsid w:val="003A65F3"/>
    <w:rsid w:val="003A696A"/>
    <w:rsid w:val="003A6A98"/>
    <w:rsid w:val="003A6B8F"/>
    <w:rsid w:val="003A7154"/>
    <w:rsid w:val="003A7519"/>
    <w:rsid w:val="003A7529"/>
    <w:rsid w:val="003A7ABD"/>
    <w:rsid w:val="003A7CFC"/>
    <w:rsid w:val="003A7F71"/>
    <w:rsid w:val="003B035D"/>
    <w:rsid w:val="003B04B5"/>
    <w:rsid w:val="003B05DA"/>
    <w:rsid w:val="003B0B15"/>
    <w:rsid w:val="003B0BEB"/>
    <w:rsid w:val="003B0E79"/>
    <w:rsid w:val="003B1683"/>
    <w:rsid w:val="003B1716"/>
    <w:rsid w:val="003B1900"/>
    <w:rsid w:val="003B1917"/>
    <w:rsid w:val="003B1928"/>
    <w:rsid w:val="003B24A2"/>
    <w:rsid w:val="003B2642"/>
    <w:rsid w:val="003B27F7"/>
    <w:rsid w:val="003B2CE9"/>
    <w:rsid w:val="003B3256"/>
    <w:rsid w:val="003B3321"/>
    <w:rsid w:val="003B3774"/>
    <w:rsid w:val="003B3B32"/>
    <w:rsid w:val="003B3DF8"/>
    <w:rsid w:val="003B433B"/>
    <w:rsid w:val="003B44C3"/>
    <w:rsid w:val="003B44CC"/>
    <w:rsid w:val="003B46B4"/>
    <w:rsid w:val="003B484C"/>
    <w:rsid w:val="003B4A43"/>
    <w:rsid w:val="003B4FD9"/>
    <w:rsid w:val="003B5324"/>
    <w:rsid w:val="003B5F0C"/>
    <w:rsid w:val="003B69DC"/>
    <w:rsid w:val="003B6D23"/>
    <w:rsid w:val="003B6E63"/>
    <w:rsid w:val="003B70DF"/>
    <w:rsid w:val="003B71B1"/>
    <w:rsid w:val="003B734B"/>
    <w:rsid w:val="003B762A"/>
    <w:rsid w:val="003B78F1"/>
    <w:rsid w:val="003C0200"/>
    <w:rsid w:val="003C0565"/>
    <w:rsid w:val="003C0660"/>
    <w:rsid w:val="003C0733"/>
    <w:rsid w:val="003C0868"/>
    <w:rsid w:val="003C0E55"/>
    <w:rsid w:val="003C0FF0"/>
    <w:rsid w:val="003C2423"/>
    <w:rsid w:val="003C2840"/>
    <w:rsid w:val="003C2CC5"/>
    <w:rsid w:val="003C3028"/>
    <w:rsid w:val="003C3872"/>
    <w:rsid w:val="003C399A"/>
    <w:rsid w:val="003C3DD9"/>
    <w:rsid w:val="003C4116"/>
    <w:rsid w:val="003C46C4"/>
    <w:rsid w:val="003C4A53"/>
    <w:rsid w:val="003C582D"/>
    <w:rsid w:val="003C5E55"/>
    <w:rsid w:val="003C6B90"/>
    <w:rsid w:val="003C6F4E"/>
    <w:rsid w:val="003C7B22"/>
    <w:rsid w:val="003D0408"/>
    <w:rsid w:val="003D0C39"/>
    <w:rsid w:val="003D0D09"/>
    <w:rsid w:val="003D0D13"/>
    <w:rsid w:val="003D128E"/>
    <w:rsid w:val="003D16B2"/>
    <w:rsid w:val="003D1963"/>
    <w:rsid w:val="003D20A0"/>
    <w:rsid w:val="003D2C21"/>
    <w:rsid w:val="003D3216"/>
    <w:rsid w:val="003D3297"/>
    <w:rsid w:val="003D3442"/>
    <w:rsid w:val="003D3554"/>
    <w:rsid w:val="003D4122"/>
    <w:rsid w:val="003D45C8"/>
    <w:rsid w:val="003D47FB"/>
    <w:rsid w:val="003D4DBD"/>
    <w:rsid w:val="003D4E04"/>
    <w:rsid w:val="003D53DD"/>
    <w:rsid w:val="003D5982"/>
    <w:rsid w:val="003D5A2C"/>
    <w:rsid w:val="003D6566"/>
    <w:rsid w:val="003D6960"/>
    <w:rsid w:val="003D6FFB"/>
    <w:rsid w:val="003D79A4"/>
    <w:rsid w:val="003D7BD2"/>
    <w:rsid w:val="003E026D"/>
    <w:rsid w:val="003E124F"/>
    <w:rsid w:val="003E1551"/>
    <w:rsid w:val="003E18CF"/>
    <w:rsid w:val="003E1A5F"/>
    <w:rsid w:val="003E2194"/>
    <w:rsid w:val="003E247F"/>
    <w:rsid w:val="003E251B"/>
    <w:rsid w:val="003E2925"/>
    <w:rsid w:val="003E2B8E"/>
    <w:rsid w:val="003E2F37"/>
    <w:rsid w:val="003E378C"/>
    <w:rsid w:val="003E3901"/>
    <w:rsid w:val="003E3DE9"/>
    <w:rsid w:val="003E3E7B"/>
    <w:rsid w:val="003E4414"/>
    <w:rsid w:val="003E44B3"/>
    <w:rsid w:val="003E4EDF"/>
    <w:rsid w:val="003E50D4"/>
    <w:rsid w:val="003E55A8"/>
    <w:rsid w:val="003E5B05"/>
    <w:rsid w:val="003E5C01"/>
    <w:rsid w:val="003E66CE"/>
    <w:rsid w:val="003E6817"/>
    <w:rsid w:val="003E6AB2"/>
    <w:rsid w:val="003E6CFA"/>
    <w:rsid w:val="003E7003"/>
    <w:rsid w:val="003E786D"/>
    <w:rsid w:val="003E7ED6"/>
    <w:rsid w:val="003F028B"/>
    <w:rsid w:val="003F0440"/>
    <w:rsid w:val="003F070F"/>
    <w:rsid w:val="003F09B3"/>
    <w:rsid w:val="003F12CE"/>
    <w:rsid w:val="003F1FA1"/>
    <w:rsid w:val="003F23CC"/>
    <w:rsid w:val="003F2424"/>
    <w:rsid w:val="003F25DE"/>
    <w:rsid w:val="003F2F37"/>
    <w:rsid w:val="003F2F4C"/>
    <w:rsid w:val="003F3096"/>
    <w:rsid w:val="003F30CD"/>
    <w:rsid w:val="003F3127"/>
    <w:rsid w:val="003F315F"/>
    <w:rsid w:val="003F3192"/>
    <w:rsid w:val="003F31DC"/>
    <w:rsid w:val="003F31F4"/>
    <w:rsid w:val="003F3672"/>
    <w:rsid w:val="003F3B91"/>
    <w:rsid w:val="003F5353"/>
    <w:rsid w:val="003F5842"/>
    <w:rsid w:val="003F5E7F"/>
    <w:rsid w:val="003F5F13"/>
    <w:rsid w:val="003F62DF"/>
    <w:rsid w:val="003F6996"/>
    <w:rsid w:val="003F6BAA"/>
    <w:rsid w:val="003F6D0A"/>
    <w:rsid w:val="003F73A9"/>
    <w:rsid w:val="003F7643"/>
    <w:rsid w:val="00400095"/>
    <w:rsid w:val="0040024E"/>
    <w:rsid w:val="00400BDC"/>
    <w:rsid w:val="00401497"/>
    <w:rsid w:val="00401A98"/>
    <w:rsid w:val="00401B97"/>
    <w:rsid w:val="0040215F"/>
    <w:rsid w:val="00402468"/>
    <w:rsid w:val="004025B8"/>
    <w:rsid w:val="00402AB8"/>
    <w:rsid w:val="00402CFF"/>
    <w:rsid w:val="00402D24"/>
    <w:rsid w:val="00402E22"/>
    <w:rsid w:val="0040354E"/>
    <w:rsid w:val="00403703"/>
    <w:rsid w:val="00403893"/>
    <w:rsid w:val="00404652"/>
    <w:rsid w:val="00404BC5"/>
    <w:rsid w:val="00404D9B"/>
    <w:rsid w:val="00405ADA"/>
    <w:rsid w:val="00405C19"/>
    <w:rsid w:val="0040611C"/>
    <w:rsid w:val="004068C8"/>
    <w:rsid w:val="004068E7"/>
    <w:rsid w:val="004072C0"/>
    <w:rsid w:val="00407F29"/>
    <w:rsid w:val="00410D4C"/>
    <w:rsid w:val="00410D82"/>
    <w:rsid w:val="00411705"/>
    <w:rsid w:val="00411E9E"/>
    <w:rsid w:val="00412C8C"/>
    <w:rsid w:val="0041329A"/>
    <w:rsid w:val="004132B7"/>
    <w:rsid w:val="004134A9"/>
    <w:rsid w:val="004136EA"/>
    <w:rsid w:val="00414347"/>
    <w:rsid w:val="004143FC"/>
    <w:rsid w:val="00414BA4"/>
    <w:rsid w:val="0041516B"/>
    <w:rsid w:val="004154DF"/>
    <w:rsid w:val="004155C7"/>
    <w:rsid w:val="00416233"/>
    <w:rsid w:val="00416772"/>
    <w:rsid w:val="004168EC"/>
    <w:rsid w:val="00416AA1"/>
    <w:rsid w:val="00416E2E"/>
    <w:rsid w:val="004172E0"/>
    <w:rsid w:val="0041735B"/>
    <w:rsid w:val="0041757E"/>
    <w:rsid w:val="004175F6"/>
    <w:rsid w:val="0041782A"/>
    <w:rsid w:val="004178D9"/>
    <w:rsid w:val="00417C27"/>
    <w:rsid w:val="00417C6C"/>
    <w:rsid w:val="0042010E"/>
    <w:rsid w:val="004206FF"/>
    <w:rsid w:val="0042073F"/>
    <w:rsid w:val="00420FFB"/>
    <w:rsid w:val="0042116D"/>
    <w:rsid w:val="0042136C"/>
    <w:rsid w:val="004216A1"/>
    <w:rsid w:val="004219F0"/>
    <w:rsid w:val="00421B9B"/>
    <w:rsid w:val="00421CB6"/>
    <w:rsid w:val="00421F98"/>
    <w:rsid w:val="00422314"/>
    <w:rsid w:val="004226DD"/>
    <w:rsid w:val="00422DA8"/>
    <w:rsid w:val="004231E9"/>
    <w:rsid w:val="00423A54"/>
    <w:rsid w:val="00423F98"/>
    <w:rsid w:val="004246A9"/>
    <w:rsid w:val="004247B7"/>
    <w:rsid w:val="004248C5"/>
    <w:rsid w:val="0042491C"/>
    <w:rsid w:val="00424B62"/>
    <w:rsid w:val="00425401"/>
    <w:rsid w:val="00425462"/>
    <w:rsid w:val="004257A1"/>
    <w:rsid w:val="00425B75"/>
    <w:rsid w:val="00425EF4"/>
    <w:rsid w:val="004260E9"/>
    <w:rsid w:val="004260ED"/>
    <w:rsid w:val="00426D57"/>
    <w:rsid w:val="00427027"/>
    <w:rsid w:val="0042713E"/>
    <w:rsid w:val="00427324"/>
    <w:rsid w:val="00430879"/>
    <w:rsid w:val="00430D6D"/>
    <w:rsid w:val="00430EED"/>
    <w:rsid w:val="004317BD"/>
    <w:rsid w:val="00431919"/>
    <w:rsid w:val="00431A11"/>
    <w:rsid w:val="00432870"/>
    <w:rsid w:val="00433404"/>
    <w:rsid w:val="00433DF3"/>
    <w:rsid w:val="00434008"/>
    <w:rsid w:val="00434BB0"/>
    <w:rsid w:val="00434C47"/>
    <w:rsid w:val="00434D7F"/>
    <w:rsid w:val="00435068"/>
    <w:rsid w:val="004352EC"/>
    <w:rsid w:val="004353AB"/>
    <w:rsid w:val="00435411"/>
    <w:rsid w:val="00435AD1"/>
    <w:rsid w:val="00435AF3"/>
    <w:rsid w:val="00436421"/>
    <w:rsid w:val="004367E9"/>
    <w:rsid w:val="00436815"/>
    <w:rsid w:val="00436D69"/>
    <w:rsid w:val="004370EC"/>
    <w:rsid w:val="00437774"/>
    <w:rsid w:val="00437D17"/>
    <w:rsid w:val="00440196"/>
    <w:rsid w:val="00440B1E"/>
    <w:rsid w:val="00440F1B"/>
    <w:rsid w:val="00440F58"/>
    <w:rsid w:val="00441028"/>
    <w:rsid w:val="0044111F"/>
    <w:rsid w:val="00442185"/>
    <w:rsid w:val="0044254E"/>
    <w:rsid w:val="00442773"/>
    <w:rsid w:val="00442DAB"/>
    <w:rsid w:val="00443EBB"/>
    <w:rsid w:val="00444953"/>
    <w:rsid w:val="004449C6"/>
    <w:rsid w:val="00444AD2"/>
    <w:rsid w:val="00445133"/>
    <w:rsid w:val="004456EF"/>
    <w:rsid w:val="00445DEB"/>
    <w:rsid w:val="0044661B"/>
    <w:rsid w:val="00446670"/>
    <w:rsid w:val="004466FD"/>
    <w:rsid w:val="00446E93"/>
    <w:rsid w:val="0044758E"/>
    <w:rsid w:val="004479C2"/>
    <w:rsid w:val="0044B930"/>
    <w:rsid w:val="00450094"/>
    <w:rsid w:val="00450157"/>
    <w:rsid w:val="0045041A"/>
    <w:rsid w:val="0045064C"/>
    <w:rsid w:val="00450CF2"/>
    <w:rsid w:val="004511D7"/>
    <w:rsid w:val="0045129E"/>
    <w:rsid w:val="004514B5"/>
    <w:rsid w:val="00451E51"/>
    <w:rsid w:val="00452707"/>
    <w:rsid w:val="00452BEA"/>
    <w:rsid w:val="00452C34"/>
    <w:rsid w:val="00452C8A"/>
    <w:rsid w:val="004534D1"/>
    <w:rsid w:val="00453DDB"/>
    <w:rsid w:val="00454625"/>
    <w:rsid w:val="004546C5"/>
    <w:rsid w:val="00454A0C"/>
    <w:rsid w:val="00454ABE"/>
    <w:rsid w:val="0045503C"/>
    <w:rsid w:val="0045549B"/>
    <w:rsid w:val="004558F2"/>
    <w:rsid w:val="00455A21"/>
    <w:rsid w:val="004560E3"/>
    <w:rsid w:val="00456CF6"/>
    <w:rsid w:val="00456E70"/>
    <w:rsid w:val="0045793B"/>
    <w:rsid w:val="0046000F"/>
    <w:rsid w:val="00460F59"/>
    <w:rsid w:val="004613D3"/>
    <w:rsid w:val="004616BA"/>
    <w:rsid w:val="00461900"/>
    <w:rsid w:val="004628A7"/>
    <w:rsid w:val="00462DE9"/>
    <w:rsid w:val="00462F95"/>
    <w:rsid w:val="00463046"/>
    <w:rsid w:val="004636CE"/>
    <w:rsid w:val="00463F73"/>
    <w:rsid w:val="004649DB"/>
    <w:rsid w:val="00464A9B"/>
    <w:rsid w:val="00464B64"/>
    <w:rsid w:val="00464FE2"/>
    <w:rsid w:val="00465110"/>
    <w:rsid w:val="004651B1"/>
    <w:rsid w:val="004658E7"/>
    <w:rsid w:val="0046664C"/>
    <w:rsid w:val="00466898"/>
    <w:rsid w:val="0046699C"/>
    <w:rsid w:val="00470475"/>
    <w:rsid w:val="00470777"/>
    <w:rsid w:val="00471054"/>
    <w:rsid w:val="004719E3"/>
    <w:rsid w:val="00471BAA"/>
    <w:rsid w:val="00472281"/>
    <w:rsid w:val="004723D9"/>
    <w:rsid w:val="0047261B"/>
    <w:rsid w:val="00472686"/>
    <w:rsid w:val="00472A43"/>
    <w:rsid w:val="00472C46"/>
    <w:rsid w:val="00472EEC"/>
    <w:rsid w:val="00473300"/>
    <w:rsid w:val="00473432"/>
    <w:rsid w:val="004735A0"/>
    <w:rsid w:val="00473A47"/>
    <w:rsid w:val="00473D19"/>
    <w:rsid w:val="00473D55"/>
    <w:rsid w:val="004749FC"/>
    <w:rsid w:val="00474C43"/>
    <w:rsid w:val="00474CA2"/>
    <w:rsid w:val="00474CD4"/>
    <w:rsid w:val="00474D1B"/>
    <w:rsid w:val="004757CC"/>
    <w:rsid w:val="00475814"/>
    <w:rsid w:val="0047584F"/>
    <w:rsid w:val="00475949"/>
    <w:rsid w:val="00475C68"/>
    <w:rsid w:val="00475F13"/>
    <w:rsid w:val="00476551"/>
    <w:rsid w:val="00476A53"/>
    <w:rsid w:val="00476BE1"/>
    <w:rsid w:val="0047731A"/>
    <w:rsid w:val="004773A8"/>
    <w:rsid w:val="004773B3"/>
    <w:rsid w:val="00477A29"/>
    <w:rsid w:val="00477C9E"/>
    <w:rsid w:val="00477FCC"/>
    <w:rsid w:val="00480BBA"/>
    <w:rsid w:val="00481086"/>
    <w:rsid w:val="00481311"/>
    <w:rsid w:val="00482803"/>
    <w:rsid w:val="004835D3"/>
    <w:rsid w:val="004836C0"/>
    <w:rsid w:val="00483991"/>
    <w:rsid w:val="00483A24"/>
    <w:rsid w:val="00483C5C"/>
    <w:rsid w:val="00484A1A"/>
    <w:rsid w:val="00484DBB"/>
    <w:rsid w:val="00485648"/>
    <w:rsid w:val="00485ABD"/>
    <w:rsid w:val="00485CC8"/>
    <w:rsid w:val="00486018"/>
    <w:rsid w:val="0048637C"/>
    <w:rsid w:val="004863C4"/>
    <w:rsid w:val="00486F91"/>
    <w:rsid w:val="00487763"/>
    <w:rsid w:val="0048798A"/>
    <w:rsid w:val="00487EEA"/>
    <w:rsid w:val="004901AC"/>
    <w:rsid w:val="004905B7"/>
    <w:rsid w:val="004907B0"/>
    <w:rsid w:val="004908C5"/>
    <w:rsid w:val="0049202A"/>
    <w:rsid w:val="004926AD"/>
    <w:rsid w:val="00492B21"/>
    <w:rsid w:val="00492CB5"/>
    <w:rsid w:val="004938E1"/>
    <w:rsid w:val="00494413"/>
    <w:rsid w:val="0049490A"/>
    <w:rsid w:val="00494AB5"/>
    <w:rsid w:val="00494B26"/>
    <w:rsid w:val="00494BFD"/>
    <w:rsid w:val="00494CD4"/>
    <w:rsid w:val="00494D80"/>
    <w:rsid w:val="004952D6"/>
    <w:rsid w:val="0049553D"/>
    <w:rsid w:val="004958F9"/>
    <w:rsid w:val="004979BF"/>
    <w:rsid w:val="004A0053"/>
    <w:rsid w:val="004A06D6"/>
    <w:rsid w:val="004A07E5"/>
    <w:rsid w:val="004A0880"/>
    <w:rsid w:val="004A0A4A"/>
    <w:rsid w:val="004A0FAD"/>
    <w:rsid w:val="004A132E"/>
    <w:rsid w:val="004A1CA1"/>
    <w:rsid w:val="004A271E"/>
    <w:rsid w:val="004A2ADE"/>
    <w:rsid w:val="004A2EF4"/>
    <w:rsid w:val="004A306C"/>
    <w:rsid w:val="004A3171"/>
    <w:rsid w:val="004A379C"/>
    <w:rsid w:val="004A3A5E"/>
    <w:rsid w:val="004A3B5B"/>
    <w:rsid w:val="004A419B"/>
    <w:rsid w:val="004A4BA0"/>
    <w:rsid w:val="004A4F5B"/>
    <w:rsid w:val="004A4F88"/>
    <w:rsid w:val="004A5249"/>
    <w:rsid w:val="004A5513"/>
    <w:rsid w:val="004A5F51"/>
    <w:rsid w:val="004A656E"/>
    <w:rsid w:val="004A68FA"/>
    <w:rsid w:val="004A6FE4"/>
    <w:rsid w:val="004A7159"/>
    <w:rsid w:val="004A7402"/>
    <w:rsid w:val="004A7559"/>
    <w:rsid w:val="004A7AAE"/>
    <w:rsid w:val="004A7C8C"/>
    <w:rsid w:val="004A7CB8"/>
    <w:rsid w:val="004A7CCC"/>
    <w:rsid w:val="004B0819"/>
    <w:rsid w:val="004B1957"/>
    <w:rsid w:val="004B2675"/>
    <w:rsid w:val="004B2B4B"/>
    <w:rsid w:val="004B2BEE"/>
    <w:rsid w:val="004B2EF8"/>
    <w:rsid w:val="004B30A5"/>
    <w:rsid w:val="004B31D0"/>
    <w:rsid w:val="004B3557"/>
    <w:rsid w:val="004B3A83"/>
    <w:rsid w:val="004B3EF8"/>
    <w:rsid w:val="004B467D"/>
    <w:rsid w:val="004B474D"/>
    <w:rsid w:val="004B4953"/>
    <w:rsid w:val="004B4F68"/>
    <w:rsid w:val="004B5087"/>
    <w:rsid w:val="004B5F57"/>
    <w:rsid w:val="004B6907"/>
    <w:rsid w:val="004B6BAE"/>
    <w:rsid w:val="004B6E0C"/>
    <w:rsid w:val="004B7178"/>
    <w:rsid w:val="004B741C"/>
    <w:rsid w:val="004B749F"/>
    <w:rsid w:val="004B77E7"/>
    <w:rsid w:val="004B7F2C"/>
    <w:rsid w:val="004C0030"/>
    <w:rsid w:val="004C0A27"/>
    <w:rsid w:val="004C0B58"/>
    <w:rsid w:val="004C0F52"/>
    <w:rsid w:val="004C131F"/>
    <w:rsid w:val="004C16D9"/>
    <w:rsid w:val="004C1701"/>
    <w:rsid w:val="004C17DD"/>
    <w:rsid w:val="004C180D"/>
    <w:rsid w:val="004C1851"/>
    <w:rsid w:val="004C1885"/>
    <w:rsid w:val="004C1AB8"/>
    <w:rsid w:val="004C22F2"/>
    <w:rsid w:val="004C25E3"/>
    <w:rsid w:val="004C2713"/>
    <w:rsid w:val="004C278C"/>
    <w:rsid w:val="004C28AA"/>
    <w:rsid w:val="004C2999"/>
    <w:rsid w:val="004C2B70"/>
    <w:rsid w:val="004C2FE8"/>
    <w:rsid w:val="004C322E"/>
    <w:rsid w:val="004C33E5"/>
    <w:rsid w:val="004C3559"/>
    <w:rsid w:val="004C4045"/>
    <w:rsid w:val="004C4323"/>
    <w:rsid w:val="004C4EE2"/>
    <w:rsid w:val="004C5060"/>
    <w:rsid w:val="004C556B"/>
    <w:rsid w:val="004C55E3"/>
    <w:rsid w:val="004C57DB"/>
    <w:rsid w:val="004C5A2B"/>
    <w:rsid w:val="004C5D2C"/>
    <w:rsid w:val="004C5D6A"/>
    <w:rsid w:val="004C5E14"/>
    <w:rsid w:val="004C7029"/>
    <w:rsid w:val="004C76F1"/>
    <w:rsid w:val="004D0313"/>
    <w:rsid w:val="004D0488"/>
    <w:rsid w:val="004D111B"/>
    <w:rsid w:val="004D2266"/>
    <w:rsid w:val="004D25E5"/>
    <w:rsid w:val="004D275D"/>
    <w:rsid w:val="004D2BAF"/>
    <w:rsid w:val="004D2EDF"/>
    <w:rsid w:val="004D32EE"/>
    <w:rsid w:val="004D371B"/>
    <w:rsid w:val="004D3763"/>
    <w:rsid w:val="004D3A4D"/>
    <w:rsid w:val="004D3D10"/>
    <w:rsid w:val="004D3D90"/>
    <w:rsid w:val="004D3E1A"/>
    <w:rsid w:val="004D3E74"/>
    <w:rsid w:val="004D49E2"/>
    <w:rsid w:val="004D4E55"/>
    <w:rsid w:val="004D5C00"/>
    <w:rsid w:val="004D63F1"/>
    <w:rsid w:val="004D7539"/>
    <w:rsid w:val="004D7748"/>
    <w:rsid w:val="004D7980"/>
    <w:rsid w:val="004E007E"/>
    <w:rsid w:val="004E06E0"/>
    <w:rsid w:val="004E1450"/>
    <w:rsid w:val="004E184E"/>
    <w:rsid w:val="004E369D"/>
    <w:rsid w:val="004E3DD1"/>
    <w:rsid w:val="004E3E7E"/>
    <w:rsid w:val="004E40DE"/>
    <w:rsid w:val="004E45AA"/>
    <w:rsid w:val="004E4644"/>
    <w:rsid w:val="004E4874"/>
    <w:rsid w:val="004E4B14"/>
    <w:rsid w:val="004E51E5"/>
    <w:rsid w:val="004E5473"/>
    <w:rsid w:val="004E5941"/>
    <w:rsid w:val="004E5C10"/>
    <w:rsid w:val="004E5E18"/>
    <w:rsid w:val="004E68EE"/>
    <w:rsid w:val="004E7047"/>
    <w:rsid w:val="004E7748"/>
    <w:rsid w:val="004F0167"/>
    <w:rsid w:val="004F05DF"/>
    <w:rsid w:val="004F10AB"/>
    <w:rsid w:val="004F1796"/>
    <w:rsid w:val="004F2041"/>
    <w:rsid w:val="004F212E"/>
    <w:rsid w:val="004F213A"/>
    <w:rsid w:val="004F268A"/>
    <w:rsid w:val="004F31EB"/>
    <w:rsid w:val="004F343F"/>
    <w:rsid w:val="004F3737"/>
    <w:rsid w:val="004F397F"/>
    <w:rsid w:val="004F429D"/>
    <w:rsid w:val="004F4787"/>
    <w:rsid w:val="004F4CE1"/>
    <w:rsid w:val="004F576C"/>
    <w:rsid w:val="004F5842"/>
    <w:rsid w:val="004F5B03"/>
    <w:rsid w:val="004F603E"/>
    <w:rsid w:val="004F63B5"/>
    <w:rsid w:val="004F65EA"/>
    <w:rsid w:val="004F6935"/>
    <w:rsid w:val="004F7034"/>
    <w:rsid w:val="004F7062"/>
    <w:rsid w:val="00500260"/>
    <w:rsid w:val="00501219"/>
    <w:rsid w:val="00501506"/>
    <w:rsid w:val="00501CE2"/>
    <w:rsid w:val="00501DBB"/>
    <w:rsid w:val="005033C0"/>
    <w:rsid w:val="005038D5"/>
    <w:rsid w:val="0050418C"/>
    <w:rsid w:val="00504245"/>
    <w:rsid w:val="0050483A"/>
    <w:rsid w:val="005055B9"/>
    <w:rsid w:val="00505799"/>
    <w:rsid w:val="005057F7"/>
    <w:rsid w:val="00505913"/>
    <w:rsid w:val="00505DFD"/>
    <w:rsid w:val="00505ED3"/>
    <w:rsid w:val="00505F37"/>
    <w:rsid w:val="00506088"/>
    <w:rsid w:val="0050638C"/>
    <w:rsid w:val="005063F8"/>
    <w:rsid w:val="005065EF"/>
    <w:rsid w:val="00506711"/>
    <w:rsid w:val="00506781"/>
    <w:rsid w:val="00507069"/>
    <w:rsid w:val="005078C4"/>
    <w:rsid w:val="00507A8A"/>
    <w:rsid w:val="00507BC6"/>
    <w:rsid w:val="00507BEB"/>
    <w:rsid w:val="00507ED5"/>
    <w:rsid w:val="005109B3"/>
    <w:rsid w:val="005109DF"/>
    <w:rsid w:val="00510F3B"/>
    <w:rsid w:val="00512022"/>
    <w:rsid w:val="00512098"/>
    <w:rsid w:val="005121C0"/>
    <w:rsid w:val="00512230"/>
    <w:rsid w:val="005124FB"/>
    <w:rsid w:val="00512BB0"/>
    <w:rsid w:val="00512DCF"/>
    <w:rsid w:val="00513297"/>
    <w:rsid w:val="00513445"/>
    <w:rsid w:val="00513726"/>
    <w:rsid w:val="00513AB0"/>
    <w:rsid w:val="00513BEC"/>
    <w:rsid w:val="00513CAD"/>
    <w:rsid w:val="00513CFE"/>
    <w:rsid w:val="00513E7F"/>
    <w:rsid w:val="0051416D"/>
    <w:rsid w:val="005141AA"/>
    <w:rsid w:val="00514B3D"/>
    <w:rsid w:val="00515622"/>
    <w:rsid w:val="00515901"/>
    <w:rsid w:val="005159B8"/>
    <w:rsid w:val="00516178"/>
    <w:rsid w:val="0051653F"/>
    <w:rsid w:val="0051662F"/>
    <w:rsid w:val="0051683F"/>
    <w:rsid w:val="00516AC4"/>
    <w:rsid w:val="00516C5F"/>
    <w:rsid w:val="00516D49"/>
    <w:rsid w:val="0051728F"/>
    <w:rsid w:val="00520227"/>
    <w:rsid w:val="005206E1"/>
    <w:rsid w:val="005206F4"/>
    <w:rsid w:val="00520783"/>
    <w:rsid w:val="00520B20"/>
    <w:rsid w:val="005213E1"/>
    <w:rsid w:val="0052200E"/>
    <w:rsid w:val="00522328"/>
    <w:rsid w:val="0052246B"/>
    <w:rsid w:val="00522666"/>
    <w:rsid w:val="00522E08"/>
    <w:rsid w:val="0052315D"/>
    <w:rsid w:val="005238AE"/>
    <w:rsid w:val="0052460A"/>
    <w:rsid w:val="00524EB0"/>
    <w:rsid w:val="00525772"/>
    <w:rsid w:val="005258E9"/>
    <w:rsid w:val="00525EA2"/>
    <w:rsid w:val="005266D8"/>
    <w:rsid w:val="00526A75"/>
    <w:rsid w:val="00526E2C"/>
    <w:rsid w:val="0052723A"/>
    <w:rsid w:val="005275FE"/>
    <w:rsid w:val="0052784C"/>
    <w:rsid w:val="00527861"/>
    <w:rsid w:val="00527A6D"/>
    <w:rsid w:val="00527D9F"/>
    <w:rsid w:val="00530062"/>
    <w:rsid w:val="005307BF"/>
    <w:rsid w:val="005307CD"/>
    <w:rsid w:val="00530898"/>
    <w:rsid w:val="00530CB8"/>
    <w:rsid w:val="00530D07"/>
    <w:rsid w:val="00531476"/>
    <w:rsid w:val="00531740"/>
    <w:rsid w:val="00532745"/>
    <w:rsid w:val="0053288F"/>
    <w:rsid w:val="00532923"/>
    <w:rsid w:val="00533F9D"/>
    <w:rsid w:val="00534968"/>
    <w:rsid w:val="00534ECB"/>
    <w:rsid w:val="005350D3"/>
    <w:rsid w:val="00535FD3"/>
    <w:rsid w:val="00536088"/>
    <w:rsid w:val="005365AA"/>
    <w:rsid w:val="00536703"/>
    <w:rsid w:val="00537537"/>
    <w:rsid w:val="00537E60"/>
    <w:rsid w:val="00537FCE"/>
    <w:rsid w:val="005400D6"/>
    <w:rsid w:val="005403D7"/>
    <w:rsid w:val="00541160"/>
    <w:rsid w:val="00541460"/>
    <w:rsid w:val="0054292E"/>
    <w:rsid w:val="00542D0D"/>
    <w:rsid w:val="0054305B"/>
    <w:rsid w:val="005434E2"/>
    <w:rsid w:val="00543A92"/>
    <w:rsid w:val="00543B7B"/>
    <w:rsid w:val="0054416D"/>
    <w:rsid w:val="00544292"/>
    <w:rsid w:val="005442DB"/>
    <w:rsid w:val="0054497A"/>
    <w:rsid w:val="00544B62"/>
    <w:rsid w:val="0054526A"/>
    <w:rsid w:val="0054581F"/>
    <w:rsid w:val="005458E3"/>
    <w:rsid w:val="00545CD3"/>
    <w:rsid w:val="005468A6"/>
    <w:rsid w:val="00546D54"/>
    <w:rsid w:val="00546F25"/>
    <w:rsid w:val="00547091"/>
    <w:rsid w:val="005473ED"/>
    <w:rsid w:val="00547983"/>
    <w:rsid w:val="00547DF4"/>
    <w:rsid w:val="00547EF9"/>
    <w:rsid w:val="0055034F"/>
    <w:rsid w:val="005505D5"/>
    <w:rsid w:val="005507A5"/>
    <w:rsid w:val="0055192F"/>
    <w:rsid w:val="00551AE8"/>
    <w:rsid w:val="00552339"/>
    <w:rsid w:val="00552494"/>
    <w:rsid w:val="005526B5"/>
    <w:rsid w:val="00552815"/>
    <w:rsid w:val="00552D31"/>
    <w:rsid w:val="00552F87"/>
    <w:rsid w:val="00553417"/>
    <w:rsid w:val="005534EE"/>
    <w:rsid w:val="00553AC7"/>
    <w:rsid w:val="00553EBB"/>
    <w:rsid w:val="00553F41"/>
    <w:rsid w:val="005545F5"/>
    <w:rsid w:val="0055463E"/>
    <w:rsid w:val="00554B2C"/>
    <w:rsid w:val="00554D05"/>
    <w:rsid w:val="00554F52"/>
    <w:rsid w:val="005553CF"/>
    <w:rsid w:val="00555787"/>
    <w:rsid w:val="00555847"/>
    <w:rsid w:val="005560F4"/>
    <w:rsid w:val="005561A9"/>
    <w:rsid w:val="00556FCB"/>
    <w:rsid w:val="005571D9"/>
    <w:rsid w:val="0055728B"/>
    <w:rsid w:val="00557C47"/>
    <w:rsid w:val="00557D1F"/>
    <w:rsid w:val="00560208"/>
    <w:rsid w:val="005605D6"/>
    <w:rsid w:val="00560825"/>
    <w:rsid w:val="00560C3A"/>
    <w:rsid w:val="005610D7"/>
    <w:rsid w:val="00561886"/>
    <w:rsid w:val="005624C2"/>
    <w:rsid w:val="00562DB5"/>
    <w:rsid w:val="00562DF0"/>
    <w:rsid w:val="00563193"/>
    <w:rsid w:val="00563DFC"/>
    <w:rsid w:val="00564894"/>
    <w:rsid w:val="00564C3A"/>
    <w:rsid w:val="00565019"/>
    <w:rsid w:val="005659CA"/>
    <w:rsid w:val="00565D14"/>
    <w:rsid w:val="005660A3"/>
    <w:rsid w:val="005661E2"/>
    <w:rsid w:val="0056623C"/>
    <w:rsid w:val="00566841"/>
    <w:rsid w:val="00566ACA"/>
    <w:rsid w:val="00566B16"/>
    <w:rsid w:val="00566F69"/>
    <w:rsid w:val="00566F6D"/>
    <w:rsid w:val="005674CD"/>
    <w:rsid w:val="00567651"/>
    <w:rsid w:val="00567974"/>
    <w:rsid w:val="0057138C"/>
    <w:rsid w:val="005714C3"/>
    <w:rsid w:val="00571D1C"/>
    <w:rsid w:val="005738F9"/>
    <w:rsid w:val="00573D93"/>
    <w:rsid w:val="005741B7"/>
    <w:rsid w:val="0057504F"/>
    <w:rsid w:val="00575949"/>
    <w:rsid w:val="00575DA7"/>
    <w:rsid w:val="00575DD9"/>
    <w:rsid w:val="00576177"/>
    <w:rsid w:val="005764AE"/>
    <w:rsid w:val="005764CD"/>
    <w:rsid w:val="0057676E"/>
    <w:rsid w:val="0057742A"/>
    <w:rsid w:val="005774FC"/>
    <w:rsid w:val="0057C5C1"/>
    <w:rsid w:val="00580209"/>
    <w:rsid w:val="005802F2"/>
    <w:rsid w:val="0058046C"/>
    <w:rsid w:val="00580EF5"/>
    <w:rsid w:val="00580F58"/>
    <w:rsid w:val="00581472"/>
    <w:rsid w:val="00581B95"/>
    <w:rsid w:val="005823EC"/>
    <w:rsid w:val="005828A9"/>
    <w:rsid w:val="00582B58"/>
    <w:rsid w:val="00582C07"/>
    <w:rsid w:val="0058319E"/>
    <w:rsid w:val="005840F6"/>
    <w:rsid w:val="005843A6"/>
    <w:rsid w:val="00584912"/>
    <w:rsid w:val="0058524D"/>
    <w:rsid w:val="0058564E"/>
    <w:rsid w:val="00585CBB"/>
    <w:rsid w:val="005861AA"/>
    <w:rsid w:val="005861F5"/>
    <w:rsid w:val="00586BD3"/>
    <w:rsid w:val="00586C9F"/>
    <w:rsid w:val="005900DF"/>
    <w:rsid w:val="005901A7"/>
    <w:rsid w:val="00590416"/>
    <w:rsid w:val="005904EE"/>
    <w:rsid w:val="00590B01"/>
    <w:rsid w:val="00590C93"/>
    <w:rsid w:val="00590F90"/>
    <w:rsid w:val="00591202"/>
    <w:rsid w:val="0059161E"/>
    <w:rsid w:val="00592CA2"/>
    <w:rsid w:val="00592E1E"/>
    <w:rsid w:val="0059310C"/>
    <w:rsid w:val="0059314A"/>
    <w:rsid w:val="005936F5"/>
    <w:rsid w:val="00593D51"/>
    <w:rsid w:val="005944F6"/>
    <w:rsid w:val="005947CC"/>
    <w:rsid w:val="00594BC8"/>
    <w:rsid w:val="00595579"/>
    <w:rsid w:val="0059578C"/>
    <w:rsid w:val="0059612B"/>
    <w:rsid w:val="005964C5"/>
    <w:rsid w:val="0059716E"/>
    <w:rsid w:val="005977C3"/>
    <w:rsid w:val="005978CF"/>
    <w:rsid w:val="00597CBF"/>
    <w:rsid w:val="005A031C"/>
    <w:rsid w:val="005A0705"/>
    <w:rsid w:val="005A0DEA"/>
    <w:rsid w:val="005A0FC9"/>
    <w:rsid w:val="005A1041"/>
    <w:rsid w:val="005A120F"/>
    <w:rsid w:val="005A13A5"/>
    <w:rsid w:val="005A17B8"/>
    <w:rsid w:val="005A266C"/>
    <w:rsid w:val="005A27C8"/>
    <w:rsid w:val="005A29D1"/>
    <w:rsid w:val="005A2A90"/>
    <w:rsid w:val="005A2B8D"/>
    <w:rsid w:val="005A2C3E"/>
    <w:rsid w:val="005A388A"/>
    <w:rsid w:val="005A3C62"/>
    <w:rsid w:val="005A3EE9"/>
    <w:rsid w:val="005A4203"/>
    <w:rsid w:val="005A531E"/>
    <w:rsid w:val="005A5B56"/>
    <w:rsid w:val="005A5F62"/>
    <w:rsid w:val="005A6613"/>
    <w:rsid w:val="005A6ADD"/>
    <w:rsid w:val="005A7208"/>
    <w:rsid w:val="005A74AA"/>
    <w:rsid w:val="005A7AFD"/>
    <w:rsid w:val="005A7F37"/>
    <w:rsid w:val="005B00AD"/>
    <w:rsid w:val="005B0671"/>
    <w:rsid w:val="005B12C4"/>
    <w:rsid w:val="005B13E6"/>
    <w:rsid w:val="005B1ACC"/>
    <w:rsid w:val="005B2226"/>
    <w:rsid w:val="005B24FB"/>
    <w:rsid w:val="005B27B8"/>
    <w:rsid w:val="005B27DB"/>
    <w:rsid w:val="005B3A9A"/>
    <w:rsid w:val="005B3ACA"/>
    <w:rsid w:val="005B3DFF"/>
    <w:rsid w:val="005B4623"/>
    <w:rsid w:val="005B4C40"/>
    <w:rsid w:val="005B516B"/>
    <w:rsid w:val="005B51EA"/>
    <w:rsid w:val="005B6366"/>
    <w:rsid w:val="005B648F"/>
    <w:rsid w:val="005B67A3"/>
    <w:rsid w:val="005B7C22"/>
    <w:rsid w:val="005B7C67"/>
    <w:rsid w:val="005C014C"/>
    <w:rsid w:val="005C147C"/>
    <w:rsid w:val="005C14F2"/>
    <w:rsid w:val="005C1848"/>
    <w:rsid w:val="005C1B67"/>
    <w:rsid w:val="005C26D4"/>
    <w:rsid w:val="005C2AB7"/>
    <w:rsid w:val="005C2BE3"/>
    <w:rsid w:val="005C2CBF"/>
    <w:rsid w:val="005C371A"/>
    <w:rsid w:val="005C3A63"/>
    <w:rsid w:val="005C3FBA"/>
    <w:rsid w:val="005C441B"/>
    <w:rsid w:val="005C4E62"/>
    <w:rsid w:val="005C50E2"/>
    <w:rsid w:val="005C54DC"/>
    <w:rsid w:val="005C572C"/>
    <w:rsid w:val="005C5879"/>
    <w:rsid w:val="005C66F9"/>
    <w:rsid w:val="005C6CC2"/>
    <w:rsid w:val="005C6E84"/>
    <w:rsid w:val="005C72DD"/>
    <w:rsid w:val="005C750A"/>
    <w:rsid w:val="005C76FC"/>
    <w:rsid w:val="005C7E6C"/>
    <w:rsid w:val="005D0ACF"/>
    <w:rsid w:val="005D1BC7"/>
    <w:rsid w:val="005D2324"/>
    <w:rsid w:val="005D26CF"/>
    <w:rsid w:val="005D2E96"/>
    <w:rsid w:val="005D2EF8"/>
    <w:rsid w:val="005D3093"/>
    <w:rsid w:val="005D30CB"/>
    <w:rsid w:val="005D32E8"/>
    <w:rsid w:val="005D3B2D"/>
    <w:rsid w:val="005D401C"/>
    <w:rsid w:val="005D4D14"/>
    <w:rsid w:val="005D5918"/>
    <w:rsid w:val="005D5B42"/>
    <w:rsid w:val="005D5BB5"/>
    <w:rsid w:val="005D65B3"/>
    <w:rsid w:val="005D6FF4"/>
    <w:rsid w:val="005D764C"/>
    <w:rsid w:val="005D7734"/>
    <w:rsid w:val="005D773F"/>
    <w:rsid w:val="005E016C"/>
    <w:rsid w:val="005E0693"/>
    <w:rsid w:val="005E0921"/>
    <w:rsid w:val="005E0AFD"/>
    <w:rsid w:val="005E117D"/>
    <w:rsid w:val="005E1D69"/>
    <w:rsid w:val="005E217E"/>
    <w:rsid w:val="005E24DE"/>
    <w:rsid w:val="005E2A7F"/>
    <w:rsid w:val="005E2E54"/>
    <w:rsid w:val="005E31D1"/>
    <w:rsid w:val="005E33F1"/>
    <w:rsid w:val="005E34B0"/>
    <w:rsid w:val="005E3559"/>
    <w:rsid w:val="005E3593"/>
    <w:rsid w:val="005E3946"/>
    <w:rsid w:val="005E39A8"/>
    <w:rsid w:val="005E4587"/>
    <w:rsid w:val="005E48A0"/>
    <w:rsid w:val="005E544D"/>
    <w:rsid w:val="005E5B2D"/>
    <w:rsid w:val="005E60B5"/>
    <w:rsid w:val="005E65A7"/>
    <w:rsid w:val="005E6787"/>
    <w:rsid w:val="005E6FE4"/>
    <w:rsid w:val="005E709D"/>
    <w:rsid w:val="005E7FA6"/>
    <w:rsid w:val="005F060B"/>
    <w:rsid w:val="005F178A"/>
    <w:rsid w:val="005F1ABD"/>
    <w:rsid w:val="005F1E81"/>
    <w:rsid w:val="005F22E3"/>
    <w:rsid w:val="005F268A"/>
    <w:rsid w:val="005F2F98"/>
    <w:rsid w:val="005F3A20"/>
    <w:rsid w:val="005F3C4E"/>
    <w:rsid w:val="005F44DF"/>
    <w:rsid w:val="005F44F2"/>
    <w:rsid w:val="005F450B"/>
    <w:rsid w:val="005F4768"/>
    <w:rsid w:val="005F47FB"/>
    <w:rsid w:val="005F4B18"/>
    <w:rsid w:val="005F54BC"/>
    <w:rsid w:val="005F5803"/>
    <w:rsid w:val="005F5908"/>
    <w:rsid w:val="005F6214"/>
    <w:rsid w:val="005F64D5"/>
    <w:rsid w:val="005F6790"/>
    <w:rsid w:val="005F7020"/>
    <w:rsid w:val="005F74F4"/>
    <w:rsid w:val="005F77EE"/>
    <w:rsid w:val="006008AC"/>
    <w:rsid w:val="006009FF"/>
    <w:rsid w:val="00600E46"/>
    <w:rsid w:val="0060117D"/>
    <w:rsid w:val="00601461"/>
    <w:rsid w:val="0060169E"/>
    <w:rsid w:val="006018EF"/>
    <w:rsid w:val="00601D69"/>
    <w:rsid w:val="00602538"/>
    <w:rsid w:val="0060254B"/>
    <w:rsid w:val="006026CF"/>
    <w:rsid w:val="006031C6"/>
    <w:rsid w:val="00603A2D"/>
    <w:rsid w:val="00603B44"/>
    <w:rsid w:val="00603D06"/>
    <w:rsid w:val="00604525"/>
    <w:rsid w:val="00604A40"/>
    <w:rsid w:val="00604A76"/>
    <w:rsid w:val="00604B0D"/>
    <w:rsid w:val="00604D50"/>
    <w:rsid w:val="00605725"/>
    <w:rsid w:val="00605D66"/>
    <w:rsid w:val="00606612"/>
    <w:rsid w:val="006069D2"/>
    <w:rsid w:val="00606C89"/>
    <w:rsid w:val="00607172"/>
    <w:rsid w:val="0060739E"/>
    <w:rsid w:val="00610051"/>
    <w:rsid w:val="006100CB"/>
    <w:rsid w:val="00610175"/>
    <w:rsid w:val="00611EE4"/>
    <w:rsid w:val="00611F18"/>
    <w:rsid w:val="00612212"/>
    <w:rsid w:val="00612226"/>
    <w:rsid w:val="006124B0"/>
    <w:rsid w:val="00613539"/>
    <w:rsid w:val="00613579"/>
    <w:rsid w:val="00613707"/>
    <w:rsid w:val="00614002"/>
    <w:rsid w:val="006143F6"/>
    <w:rsid w:val="00614B39"/>
    <w:rsid w:val="00614B76"/>
    <w:rsid w:val="00614B8C"/>
    <w:rsid w:val="00615099"/>
    <w:rsid w:val="0061518C"/>
    <w:rsid w:val="006155E4"/>
    <w:rsid w:val="006162F2"/>
    <w:rsid w:val="006169F7"/>
    <w:rsid w:val="00617A14"/>
    <w:rsid w:val="00617D1E"/>
    <w:rsid w:val="00617E41"/>
    <w:rsid w:val="00617EC1"/>
    <w:rsid w:val="00617EE0"/>
    <w:rsid w:val="00620388"/>
    <w:rsid w:val="00621ED2"/>
    <w:rsid w:val="0062254E"/>
    <w:rsid w:val="0062289C"/>
    <w:rsid w:val="00622CA4"/>
    <w:rsid w:val="00622D11"/>
    <w:rsid w:val="00622EDE"/>
    <w:rsid w:val="0062307C"/>
    <w:rsid w:val="00623456"/>
    <w:rsid w:val="0062389C"/>
    <w:rsid w:val="00623B20"/>
    <w:rsid w:val="0062405E"/>
    <w:rsid w:val="006249F0"/>
    <w:rsid w:val="00624E65"/>
    <w:rsid w:val="006252B1"/>
    <w:rsid w:val="00625958"/>
    <w:rsid w:val="006266C0"/>
    <w:rsid w:val="00626F30"/>
    <w:rsid w:val="0062751A"/>
    <w:rsid w:val="00627730"/>
    <w:rsid w:val="006279BB"/>
    <w:rsid w:val="006307C4"/>
    <w:rsid w:val="00631A2D"/>
    <w:rsid w:val="00631CFC"/>
    <w:rsid w:val="0063225C"/>
    <w:rsid w:val="006329CB"/>
    <w:rsid w:val="00632EC0"/>
    <w:rsid w:val="00633934"/>
    <w:rsid w:val="006339FD"/>
    <w:rsid w:val="00633D34"/>
    <w:rsid w:val="006343F0"/>
    <w:rsid w:val="0063492B"/>
    <w:rsid w:val="0063495B"/>
    <w:rsid w:val="00634F3E"/>
    <w:rsid w:val="00635290"/>
    <w:rsid w:val="00635A0A"/>
    <w:rsid w:val="00635C78"/>
    <w:rsid w:val="006361AC"/>
    <w:rsid w:val="00636677"/>
    <w:rsid w:val="006366EB"/>
    <w:rsid w:val="0063697D"/>
    <w:rsid w:val="00636F75"/>
    <w:rsid w:val="00637670"/>
    <w:rsid w:val="00637B34"/>
    <w:rsid w:val="00637E5D"/>
    <w:rsid w:val="00637ED4"/>
    <w:rsid w:val="00640A39"/>
    <w:rsid w:val="0064131A"/>
    <w:rsid w:val="006425BD"/>
    <w:rsid w:val="00643151"/>
    <w:rsid w:val="0064322B"/>
    <w:rsid w:val="0064332B"/>
    <w:rsid w:val="006433DD"/>
    <w:rsid w:val="006435F8"/>
    <w:rsid w:val="006436B4"/>
    <w:rsid w:val="00643806"/>
    <w:rsid w:val="0064383F"/>
    <w:rsid w:val="006442F2"/>
    <w:rsid w:val="00644585"/>
    <w:rsid w:val="00644CD5"/>
    <w:rsid w:val="00645417"/>
    <w:rsid w:val="00645C48"/>
    <w:rsid w:val="00646019"/>
    <w:rsid w:val="00646850"/>
    <w:rsid w:val="00647082"/>
    <w:rsid w:val="006470BA"/>
    <w:rsid w:val="006478D4"/>
    <w:rsid w:val="00647C0C"/>
    <w:rsid w:val="00647F7B"/>
    <w:rsid w:val="006502FE"/>
    <w:rsid w:val="00650552"/>
    <w:rsid w:val="00650F10"/>
    <w:rsid w:val="00651863"/>
    <w:rsid w:val="006518E0"/>
    <w:rsid w:val="00651979"/>
    <w:rsid w:val="00651C35"/>
    <w:rsid w:val="006524B4"/>
    <w:rsid w:val="006525AB"/>
    <w:rsid w:val="00652D27"/>
    <w:rsid w:val="00652D5D"/>
    <w:rsid w:val="00653B1B"/>
    <w:rsid w:val="0065408F"/>
    <w:rsid w:val="0065488D"/>
    <w:rsid w:val="006550C5"/>
    <w:rsid w:val="00655A8D"/>
    <w:rsid w:val="00655EAC"/>
    <w:rsid w:val="00656386"/>
    <w:rsid w:val="00656ABE"/>
    <w:rsid w:val="00656ECC"/>
    <w:rsid w:val="006572B9"/>
    <w:rsid w:val="00657745"/>
    <w:rsid w:val="00657A06"/>
    <w:rsid w:val="00657AD5"/>
    <w:rsid w:val="00657FC6"/>
    <w:rsid w:val="00661B58"/>
    <w:rsid w:val="0066261E"/>
    <w:rsid w:val="00662C1A"/>
    <w:rsid w:val="00662D51"/>
    <w:rsid w:val="00662D5A"/>
    <w:rsid w:val="0066307F"/>
    <w:rsid w:val="006637FB"/>
    <w:rsid w:val="00664020"/>
    <w:rsid w:val="00664C1B"/>
    <w:rsid w:val="00664DBD"/>
    <w:rsid w:val="00665176"/>
    <w:rsid w:val="006654A2"/>
    <w:rsid w:val="006657B5"/>
    <w:rsid w:val="00666CC8"/>
    <w:rsid w:val="006705EF"/>
    <w:rsid w:val="00670F20"/>
    <w:rsid w:val="00671315"/>
    <w:rsid w:val="006715E1"/>
    <w:rsid w:val="006717CD"/>
    <w:rsid w:val="0067197D"/>
    <w:rsid w:val="00671FA8"/>
    <w:rsid w:val="00672339"/>
    <w:rsid w:val="00672F3E"/>
    <w:rsid w:val="00673700"/>
    <w:rsid w:val="00673A98"/>
    <w:rsid w:val="00673BD4"/>
    <w:rsid w:val="00673F2D"/>
    <w:rsid w:val="00674499"/>
    <w:rsid w:val="006744BE"/>
    <w:rsid w:val="0067466F"/>
    <w:rsid w:val="006751D2"/>
    <w:rsid w:val="0067576F"/>
    <w:rsid w:val="00675EE1"/>
    <w:rsid w:val="00676C23"/>
    <w:rsid w:val="00676E8C"/>
    <w:rsid w:val="00676F7C"/>
    <w:rsid w:val="00677604"/>
    <w:rsid w:val="0067774A"/>
    <w:rsid w:val="00677797"/>
    <w:rsid w:val="00677E62"/>
    <w:rsid w:val="00677FA8"/>
    <w:rsid w:val="00680557"/>
    <w:rsid w:val="006805BB"/>
    <w:rsid w:val="00680729"/>
    <w:rsid w:val="0068091C"/>
    <w:rsid w:val="00681002"/>
    <w:rsid w:val="006823A7"/>
    <w:rsid w:val="006825F6"/>
    <w:rsid w:val="00682FE2"/>
    <w:rsid w:val="0068321D"/>
    <w:rsid w:val="00684083"/>
    <w:rsid w:val="006840B6"/>
    <w:rsid w:val="00684298"/>
    <w:rsid w:val="00684838"/>
    <w:rsid w:val="00685148"/>
    <w:rsid w:val="0068548F"/>
    <w:rsid w:val="00685CD2"/>
    <w:rsid w:val="00685D23"/>
    <w:rsid w:val="00685F5C"/>
    <w:rsid w:val="00685F95"/>
    <w:rsid w:val="0068614E"/>
    <w:rsid w:val="00686946"/>
    <w:rsid w:val="00686949"/>
    <w:rsid w:val="006876E7"/>
    <w:rsid w:val="0068775A"/>
    <w:rsid w:val="00687785"/>
    <w:rsid w:val="00687918"/>
    <w:rsid w:val="00687F21"/>
    <w:rsid w:val="00687F47"/>
    <w:rsid w:val="006909AC"/>
    <w:rsid w:val="00690D1B"/>
    <w:rsid w:val="00690EF0"/>
    <w:rsid w:val="00691218"/>
    <w:rsid w:val="00692358"/>
    <w:rsid w:val="006933D7"/>
    <w:rsid w:val="0069370A"/>
    <w:rsid w:val="00693FDC"/>
    <w:rsid w:val="00693FE6"/>
    <w:rsid w:val="006941F5"/>
    <w:rsid w:val="0069487D"/>
    <w:rsid w:val="006950AE"/>
    <w:rsid w:val="006954CC"/>
    <w:rsid w:val="00695548"/>
    <w:rsid w:val="00695767"/>
    <w:rsid w:val="006957AD"/>
    <w:rsid w:val="00695A58"/>
    <w:rsid w:val="00695F0D"/>
    <w:rsid w:val="006960B9"/>
    <w:rsid w:val="00696256"/>
    <w:rsid w:val="00696504"/>
    <w:rsid w:val="00696B22"/>
    <w:rsid w:val="00696B56"/>
    <w:rsid w:val="006970B0"/>
    <w:rsid w:val="006973B9"/>
    <w:rsid w:val="00697A39"/>
    <w:rsid w:val="00697C0B"/>
    <w:rsid w:val="00697F29"/>
    <w:rsid w:val="006A0492"/>
    <w:rsid w:val="006A050E"/>
    <w:rsid w:val="006A0E5A"/>
    <w:rsid w:val="006A1C5C"/>
    <w:rsid w:val="006A1D8F"/>
    <w:rsid w:val="006A21B9"/>
    <w:rsid w:val="006A2203"/>
    <w:rsid w:val="006A2378"/>
    <w:rsid w:val="006A2807"/>
    <w:rsid w:val="006A2F16"/>
    <w:rsid w:val="006A2F17"/>
    <w:rsid w:val="006A3362"/>
    <w:rsid w:val="006A34BC"/>
    <w:rsid w:val="006A3699"/>
    <w:rsid w:val="006A3B8F"/>
    <w:rsid w:val="006A3C8A"/>
    <w:rsid w:val="006A408C"/>
    <w:rsid w:val="006A5075"/>
    <w:rsid w:val="006A55D6"/>
    <w:rsid w:val="006A6A03"/>
    <w:rsid w:val="006A6FEF"/>
    <w:rsid w:val="006A715C"/>
    <w:rsid w:val="006A799E"/>
    <w:rsid w:val="006A7DD2"/>
    <w:rsid w:val="006B0619"/>
    <w:rsid w:val="006B06BC"/>
    <w:rsid w:val="006B0728"/>
    <w:rsid w:val="006B0982"/>
    <w:rsid w:val="006B0BDA"/>
    <w:rsid w:val="006B1739"/>
    <w:rsid w:val="006B1D49"/>
    <w:rsid w:val="006B221A"/>
    <w:rsid w:val="006B251D"/>
    <w:rsid w:val="006B289B"/>
    <w:rsid w:val="006B33F6"/>
    <w:rsid w:val="006B3497"/>
    <w:rsid w:val="006B34F3"/>
    <w:rsid w:val="006B400E"/>
    <w:rsid w:val="006B4DD4"/>
    <w:rsid w:val="006B4EF2"/>
    <w:rsid w:val="006B4FF8"/>
    <w:rsid w:val="006B4FF9"/>
    <w:rsid w:val="006B5487"/>
    <w:rsid w:val="006B55E7"/>
    <w:rsid w:val="006B6A45"/>
    <w:rsid w:val="006B6CBD"/>
    <w:rsid w:val="006B75D2"/>
    <w:rsid w:val="006B7A0B"/>
    <w:rsid w:val="006B7F61"/>
    <w:rsid w:val="006C046B"/>
    <w:rsid w:val="006C07D5"/>
    <w:rsid w:val="006C08E2"/>
    <w:rsid w:val="006C122E"/>
    <w:rsid w:val="006C180E"/>
    <w:rsid w:val="006C1C6D"/>
    <w:rsid w:val="006C202F"/>
    <w:rsid w:val="006C21F4"/>
    <w:rsid w:val="006C22D8"/>
    <w:rsid w:val="006C2B0E"/>
    <w:rsid w:val="006C3035"/>
    <w:rsid w:val="006C320B"/>
    <w:rsid w:val="006C35FF"/>
    <w:rsid w:val="006C3701"/>
    <w:rsid w:val="006C536E"/>
    <w:rsid w:val="006C5748"/>
    <w:rsid w:val="006C5830"/>
    <w:rsid w:val="006C58CE"/>
    <w:rsid w:val="006C63AA"/>
    <w:rsid w:val="006C77E7"/>
    <w:rsid w:val="006C79A3"/>
    <w:rsid w:val="006C7D93"/>
    <w:rsid w:val="006D04E4"/>
    <w:rsid w:val="006D0C5B"/>
    <w:rsid w:val="006D0E70"/>
    <w:rsid w:val="006D1B80"/>
    <w:rsid w:val="006D1E57"/>
    <w:rsid w:val="006D1F2A"/>
    <w:rsid w:val="006D2158"/>
    <w:rsid w:val="006D257D"/>
    <w:rsid w:val="006D2588"/>
    <w:rsid w:val="006D31D0"/>
    <w:rsid w:val="006D419E"/>
    <w:rsid w:val="006D43E5"/>
    <w:rsid w:val="006D5C9B"/>
    <w:rsid w:val="006D5F8C"/>
    <w:rsid w:val="006D6EB1"/>
    <w:rsid w:val="006D72FF"/>
    <w:rsid w:val="006E053D"/>
    <w:rsid w:val="006E0624"/>
    <w:rsid w:val="006E0E55"/>
    <w:rsid w:val="006E1138"/>
    <w:rsid w:val="006E13F7"/>
    <w:rsid w:val="006E1D01"/>
    <w:rsid w:val="006E1D1B"/>
    <w:rsid w:val="006E2210"/>
    <w:rsid w:val="006E27ED"/>
    <w:rsid w:val="006E3098"/>
    <w:rsid w:val="006E330F"/>
    <w:rsid w:val="006E4155"/>
    <w:rsid w:val="006E5355"/>
    <w:rsid w:val="006E6D86"/>
    <w:rsid w:val="006E6E23"/>
    <w:rsid w:val="006E727E"/>
    <w:rsid w:val="006E75C8"/>
    <w:rsid w:val="006E76DD"/>
    <w:rsid w:val="006E76E3"/>
    <w:rsid w:val="006E78B3"/>
    <w:rsid w:val="006E7D32"/>
    <w:rsid w:val="006F00F8"/>
    <w:rsid w:val="006F07DB"/>
    <w:rsid w:val="006F0CB6"/>
    <w:rsid w:val="006F1246"/>
    <w:rsid w:val="006F167E"/>
    <w:rsid w:val="006F184A"/>
    <w:rsid w:val="006F1AF7"/>
    <w:rsid w:val="006F1BE7"/>
    <w:rsid w:val="006F1C65"/>
    <w:rsid w:val="006F20F7"/>
    <w:rsid w:val="006F234F"/>
    <w:rsid w:val="006F2902"/>
    <w:rsid w:val="006F2AC1"/>
    <w:rsid w:val="006F2B97"/>
    <w:rsid w:val="006F2C0E"/>
    <w:rsid w:val="006F2E86"/>
    <w:rsid w:val="006F3390"/>
    <w:rsid w:val="006F379F"/>
    <w:rsid w:val="006F45CF"/>
    <w:rsid w:val="006F4E19"/>
    <w:rsid w:val="006F570D"/>
    <w:rsid w:val="006F5F17"/>
    <w:rsid w:val="006F633B"/>
    <w:rsid w:val="006F63E8"/>
    <w:rsid w:val="006F6863"/>
    <w:rsid w:val="006F68E9"/>
    <w:rsid w:val="006F6D41"/>
    <w:rsid w:val="006F7078"/>
    <w:rsid w:val="006F70F2"/>
    <w:rsid w:val="006F7125"/>
    <w:rsid w:val="006F74FF"/>
    <w:rsid w:val="006F7B15"/>
    <w:rsid w:val="00700051"/>
    <w:rsid w:val="00700253"/>
    <w:rsid w:val="007004B1"/>
    <w:rsid w:val="00700BB6"/>
    <w:rsid w:val="007012C8"/>
    <w:rsid w:val="00701AC4"/>
    <w:rsid w:val="00702B48"/>
    <w:rsid w:val="00702F65"/>
    <w:rsid w:val="007037F8"/>
    <w:rsid w:val="00703C91"/>
    <w:rsid w:val="00703CCB"/>
    <w:rsid w:val="0070408C"/>
    <w:rsid w:val="007044F5"/>
    <w:rsid w:val="00704A5B"/>
    <w:rsid w:val="00704B71"/>
    <w:rsid w:val="00705301"/>
    <w:rsid w:val="00705339"/>
    <w:rsid w:val="0070539E"/>
    <w:rsid w:val="00705812"/>
    <w:rsid w:val="00705D6B"/>
    <w:rsid w:val="00706B70"/>
    <w:rsid w:val="00706CA2"/>
    <w:rsid w:val="00706CF4"/>
    <w:rsid w:val="00706D39"/>
    <w:rsid w:val="00706FD5"/>
    <w:rsid w:val="007074C8"/>
    <w:rsid w:val="00707600"/>
    <w:rsid w:val="007078BE"/>
    <w:rsid w:val="007102AB"/>
    <w:rsid w:val="00710DE3"/>
    <w:rsid w:val="00711152"/>
    <w:rsid w:val="00711BC2"/>
    <w:rsid w:val="00711C27"/>
    <w:rsid w:val="007124D5"/>
    <w:rsid w:val="00712CBA"/>
    <w:rsid w:val="00712CDC"/>
    <w:rsid w:val="007130B9"/>
    <w:rsid w:val="0071328F"/>
    <w:rsid w:val="00713CA3"/>
    <w:rsid w:val="007145CA"/>
    <w:rsid w:val="007147E1"/>
    <w:rsid w:val="0071600F"/>
    <w:rsid w:val="007164B6"/>
    <w:rsid w:val="007177F1"/>
    <w:rsid w:val="00717944"/>
    <w:rsid w:val="007179AF"/>
    <w:rsid w:val="00720076"/>
    <w:rsid w:val="007201A5"/>
    <w:rsid w:val="00720347"/>
    <w:rsid w:val="00720500"/>
    <w:rsid w:val="007205DD"/>
    <w:rsid w:val="00720DB2"/>
    <w:rsid w:val="00721097"/>
    <w:rsid w:val="00721B8E"/>
    <w:rsid w:val="00722204"/>
    <w:rsid w:val="0072237F"/>
    <w:rsid w:val="007226EF"/>
    <w:rsid w:val="007227F1"/>
    <w:rsid w:val="00722E2A"/>
    <w:rsid w:val="00723536"/>
    <w:rsid w:val="00723CF4"/>
    <w:rsid w:val="00725C5F"/>
    <w:rsid w:val="00725DA7"/>
    <w:rsid w:val="00725DAE"/>
    <w:rsid w:val="00726051"/>
    <w:rsid w:val="00726354"/>
    <w:rsid w:val="00726357"/>
    <w:rsid w:val="00726E52"/>
    <w:rsid w:val="00726EB7"/>
    <w:rsid w:val="007271C5"/>
    <w:rsid w:val="00727337"/>
    <w:rsid w:val="00727795"/>
    <w:rsid w:val="007279BA"/>
    <w:rsid w:val="00727A14"/>
    <w:rsid w:val="00727BC4"/>
    <w:rsid w:val="0073027F"/>
    <w:rsid w:val="0073060B"/>
    <w:rsid w:val="00730F03"/>
    <w:rsid w:val="00730FB0"/>
    <w:rsid w:val="007311E6"/>
    <w:rsid w:val="007321D8"/>
    <w:rsid w:val="00732DC5"/>
    <w:rsid w:val="00733199"/>
    <w:rsid w:val="0073367D"/>
    <w:rsid w:val="00733734"/>
    <w:rsid w:val="00733C40"/>
    <w:rsid w:val="00734607"/>
    <w:rsid w:val="007346B5"/>
    <w:rsid w:val="00734964"/>
    <w:rsid w:val="00734C6D"/>
    <w:rsid w:val="00735089"/>
    <w:rsid w:val="00735204"/>
    <w:rsid w:val="007353A1"/>
    <w:rsid w:val="00735F2B"/>
    <w:rsid w:val="00737140"/>
    <w:rsid w:val="0073734F"/>
    <w:rsid w:val="007373DC"/>
    <w:rsid w:val="007374C9"/>
    <w:rsid w:val="0073761C"/>
    <w:rsid w:val="0073765D"/>
    <w:rsid w:val="007376F6"/>
    <w:rsid w:val="0073786F"/>
    <w:rsid w:val="00740537"/>
    <w:rsid w:val="007405B6"/>
    <w:rsid w:val="007409A7"/>
    <w:rsid w:val="00740AED"/>
    <w:rsid w:val="00740B35"/>
    <w:rsid w:val="00740CE5"/>
    <w:rsid w:val="00741542"/>
    <w:rsid w:val="007415F6"/>
    <w:rsid w:val="00742ABF"/>
    <w:rsid w:val="00743329"/>
    <w:rsid w:val="0074335B"/>
    <w:rsid w:val="00744227"/>
    <w:rsid w:val="00744557"/>
    <w:rsid w:val="007445B8"/>
    <w:rsid w:val="00744618"/>
    <w:rsid w:val="0074530A"/>
    <w:rsid w:val="0074569D"/>
    <w:rsid w:val="00745B76"/>
    <w:rsid w:val="00745EA7"/>
    <w:rsid w:val="00746176"/>
    <w:rsid w:val="00746224"/>
    <w:rsid w:val="0074655B"/>
    <w:rsid w:val="0074665E"/>
    <w:rsid w:val="00746AA5"/>
    <w:rsid w:val="00746D2F"/>
    <w:rsid w:val="007477FF"/>
    <w:rsid w:val="00747DED"/>
    <w:rsid w:val="0075070C"/>
    <w:rsid w:val="00750723"/>
    <w:rsid w:val="00750A80"/>
    <w:rsid w:val="00750E2D"/>
    <w:rsid w:val="007510B2"/>
    <w:rsid w:val="00751452"/>
    <w:rsid w:val="00751658"/>
    <w:rsid w:val="00751E53"/>
    <w:rsid w:val="007527A4"/>
    <w:rsid w:val="00752F63"/>
    <w:rsid w:val="00753127"/>
    <w:rsid w:val="00753AC6"/>
    <w:rsid w:val="00753E1B"/>
    <w:rsid w:val="00754753"/>
    <w:rsid w:val="00754943"/>
    <w:rsid w:val="00754D88"/>
    <w:rsid w:val="007556A9"/>
    <w:rsid w:val="00755BD4"/>
    <w:rsid w:val="00757747"/>
    <w:rsid w:val="007577DF"/>
    <w:rsid w:val="00757A08"/>
    <w:rsid w:val="007600E4"/>
    <w:rsid w:val="0076038A"/>
    <w:rsid w:val="00760760"/>
    <w:rsid w:val="00761722"/>
    <w:rsid w:val="007618EB"/>
    <w:rsid w:val="00761E5A"/>
    <w:rsid w:val="00762266"/>
    <w:rsid w:val="00762AB0"/>
    <w:rsid w:val="00762C6E"/>
    <w:rsid w:val="00763346"/>
    <w:rsid w:val="00763366"/>
    <w:rsid w:val="00763451"/>
    <w:rsid w:val="00763828"/>
    <w:rsid w:val="00763AFA"/>
    <w:rsid w:val="00764FF8"/>
    <w:rsid w:val="00765050"/>
    <w:rsid w:val="00765A4B"/>
    <w:rsid w:val="00765B7B"/>
    <w:rsid w:val="00766A7B"/>
    <w:rsid w:val="00766D8C"/>
    <w:rsid w:val="0076733F"/>
    <w:rsid w:val="00767B52"/>
    <w:rsid w:val="007701CD"/>
    <w:rsid w:val="00770D3C"/>
    <w:rsid w:val="0077168F"/>
    <w:rsid w:val="007717D6"/>
    <w:rsid w:val="00771D1F"/>
    <w:rsid w:val="0077201F"/>
    <w:rsid w:val="007727C9"/>
    <w:rsid w:val="007728BA"/>
    <w:rsid w:val="00772CDD"/>
    <w:rsid w:val="00772D5F"/>
    <w:rsid w:val="00773D49"/>
    <w:rsid w:val="00773DDC"/>
    <w:rsid w:val="007742B1"/>
    <w:rsid w:val="00774673"/>
    <w:rsid w:val="00774A0F"/>
    <w:rsid w:val="00774A47"/>
    <w:rsid w:val="00775346"/>
    <w:rsid w:val="0077538B"/>
    <w:rsid w:val="007754B2"/>
    <w:rsid w:val="007754DD"/>
    <w:rsid w:val="00775808"/>
    <w:rsid w:val="007768C6"/>
    <w:rsid w:val="00777025"/>
    <w:rsid w:val="0077749F"/>
    <w:rsid w:val="007776A2"/>
    <w:rsid w:val="00777A5A"/>
    <w:rsid w:val="00780015"/>
    <w:rsid w:val="0078013B"/>
    <w:rsid w:val="007807C5"/>
    <w:rsid w:val="00780D99"/>
    <w:rsid w:val="00781541"/>
    <w:rsid w:val="00781771"/>
    <w:rsid w:val="00781B3D"/>
    <w:rsid w:val="00781B6F"/>
    <w:rsid w:val="00781BE0"/>
    <w:rsid w:val="00781F9F"/>
    <w:rsid w:val="007820BA"/>
    <w:rsid w:val="00782658"/>
    <w:rsid w:val="0078278C"/>
    <w:rsid w:val="007830B1"/>
    <w:rsid w:val="0078314B"/>
    <w:rsid w:val="007837E2"/>
    <w:rsid w:val="007837F7"/>
    <w:rsid w:val="00783D99"/>
    <w:rsid w:val="00784782"/>
    <w:rsid w:val="007849F6"/>
    <w:rsid w:val="00784A24"/>
    <w:rsid w:val="0078507B"/>
    <w:rsid w:val="00785EC0"/>
    <w:rsid w:val="007866CA"/>
    <w:rsid w:val="00786755"/>
    <w:rsid w:val="0078695D"/>
    <w:rsid w:val="007875B4"/>
    <w:rsid w:val="007876C9"/>
    <w:rsid w:val="00787C77"/>
    <w:rsid w:val="00787D69"/>
    <w:rsid w:val="00790572"/>
    <w:rsid w:val="007905B4"/>
    <w:rsid w:val="00790629"/>
    <w:rsid w:val="00790992"/>
    <w:rsid w:val="00790AB6"/>
    <w:rsid w:val="00790B1B"/>
    <w:rsid w:val="00790C28"/>
    <w:rsid w:val="00791128"/>
    <w:rsid w:val="00791F02"/>
    <w:rsid w:val="0079234A"/>
    <w:rsid w:val="007926D0"/>
    <w:rsid w:val="00792A1E"/>
    <w:rsid w:val="00793712"/>
    <w:rsid w:val="00793FEF"/>
    <w:rsid w:val="00795602"/>
    <w:rsid w:val="007959C5"/>
    <w:rsid w:val="00795C0E"/>
    <w:rsid w:val="00796986"/>
    <w:rsid w:val="00797061"/>
    <w:rsid w:val="0079737E"/>
    <w:rsid w:val="00797846"/>
    <w:rsid w:val="00797B0B"/>
    <w:rsid w:val="00797C0C"/>
    <w:rsid w:val="00797C77"/>
    <w:rsid w:val="007A0116"/>
    <w:rsid w:val="007A0460"/>
    <w:rsid w:val="007A055E"/>
    <w:rsid w:val="007A05F5"/>
    <w:rsid w:val="007A0BE6"/>
    <w:rsid w:val="007A1B25"/>
    <w:rsid w:val="007A1CE9"/>
    <w:rsid w:val="007A1EF1"/>
    <w:rsid w:val="007A2B50"/>
    <w:rsid w:val="007A2B9F"/>
    <w:rsid w:val="007A2D17"/>
    <w:rsid w:val="007A2D4D"/>
    <w:rsid w:val="007A3163"/>
    <w:rsid w:val="007A3C95"/>
    <w:rsid w:val="007A3D3A"/>
    <w:rsid w:val="007A409C"/>
    <w:rsid w:val="007A4340"/>
    <w:rsid w:val="007A472E"/>
    <w:rsid w:val="007A480A"/>
    <w:rsid w:val="007A4DE5"/>
    <w:rsid w:val="007A50A4"/>
    <w:rsid w:val="007A549D"/>
    <w:rsid w:val="007A56DC"/>
    <w:rsid w:val="007A5BA2"/>
    <w:rsid w:val="007A5F33"/>
    <w:rsid w:val="007A63A8"/>
    <w:rsid w:val="007A67EA"/>
    <w:rsid w:val="007A69DD"/>
    <w:rsid w:val="007A6A94"/>
    <w:rsid w:val="007A6AE6"/>
    <w:rsid w:val="007A6B6E"/>
    <w:rsid w:val="007A79CA"/>
    <w:rsid w:val="007B010E"/>
    <w:rsid w:val="007B03B4"/>
    <w:rsid w:val="007B045A"/>
    <w:rsid w:val="007B0484"/>
    <w:rsid w:val="007B0AD3"/>
    <w:rsid w:val="007B0D35"/>
    <w:rsid w:val="007B1194"/>
    <w:rsid w:val="007B37AE"/>
    <w:rsid w:val="007B3B5E"/>
    <w:rsid w:val="007B3D61"/>
    <w:rsid w:val="007B41D2"/>
    <w:rsid w:val="007B450B"/>
    <w:rsid w:val="007B479E"/>
    <w:rsid w:val="007B48BC"/>
    <w:rsid w:val="007B4937"/>
    <w:rsid w:val="007B49C4"/>
    <w:rsid w:val="007B5034"/>
    <w:rsid w:val="007B511D"/>
    <w:rsid w:val="007B57F1"/>
    <w:rsid w:val="007B593B"/>
    <w:rsid w:val="007B5A08"/>
    <w:rsid w:val="007B6028"/>
    <w:rsid w:val="007B6409"/>
    <w:rsid w:val="007B6573"/>
    <w:rsid w:val="007B6BEF"/>
    <w:rsid w:val="007B78A5"/>
    <w:rsid w:val="007B7EF6"/>
    <w:rsid w:val="007B7FE6"/>
    <w:rsid w:val="007C0160"/>
    <w:rsid w:val="007C06D3"/>
    <w:rsid w:val="007C0B8B"/>
    <w:rsid w:val="007C1BCE"/>
    <w:rsid w:val="007C1D95"/>
    <w:rsid w:val="007C20E2"/>
    <w:rsid w:val="007C22AD"/>
    <w:rsid w:val="007C2818"/>
    <w:rsid w:val="007C2886"/>
    <w:rsid w:val="007C2919"/>
    <w:rsid w:val="007C2BDD"/>
    <w:rsid w:val="007C2EEF"/>
    <w:rsid w:val="007C382A"/>
    <w:rsid w:val="007C3B59"/>
    <w:rsid w:val="007C4C28"/>
    <w:rsid w:val="007C4CD0"/>
    <w:rsid w:val="007C4CE2"/>
    <w:rsid w:val="007C4EE3"/>
    <w:rsid w:val="007C57F4"/>
    <w:rsid w:val="007C59F3"/>
    <w:rsid w:val="007C5F38"/>
    <w:rsid w:val="007C619A"/>
    <w:rsid w:val="007C728E"/>
    <w:rsid w:val="007C74CF"/>
    <w:rsid w:val="007C7BA9"/>
    <w:rsid w:val="007D0087"/>
    <w:rsid w:val="007D0399"/>
    <w:rsid w:val="007D04F2"/>
    <w:rsid w:val="007D0EC1"/>
    <w:rsid w:val="007D12D5"/>
    <w:rsid w:val="007D25A3"/>
    <w:rsid w:val="007D3212"/>
    <w:rsid w:val="007D39F2"/>
    <w:rsid w:val="007D3EB1"/>
    <w:rsid w:val="007D405E"/>
    <w:rsid w:val="007D4719"/>
    <w:rsid w:val="007D4917"/>
    <w:rsid w:val="007D4955"/>
    <w:rsid w:val="007D4DC5"/>
    <w:rsid w:val="007D50DF"/>
    <w:rsid w:val="007D5165"/>
    <w:rsid w:val="007D5961"/>
    <w:rsid w:val="007D5BBB"/>
    <w:rsid w:val="007D5F3C"/>
    <w:rsid w:val="007D62C2"/>
    <w:rsid w:val="007D660B"/>
    <w:rsid w:val="007D6E35"/>
    <w:rsid w:val="007D71AF"/>
    <w:rsid w:val="007D7229"/>
    <w:rsid w:val="007D7327"/>
    <w:rsid w:val="007D7547"/>
    <w:rsid w:val="007D75F3"/>
    <w:rsid w:val="007D76C7"/>
    <w:rsid w:val="007E0193"/>
    <w:rsid w:val="007E0341"/>
    <w:rsid w:val="007E0639"/>
    <w:rsid w:val="007E0A58"/>
    <w:rsid w:val="007E13FF"/>
    <w:rsid w:val="007E1A28"/>
    <w:rsid w:val="007E1BC9"/>
    <w:rsid w:val="007E20BE"/>
    <w:rsid w:val="007E2361"/>
    <w:rsid w:val="007E2675"/>
    <w:rsid w:val="007E2FEB"/>
    <w:rsid w:val="007E3054"/>
    <w:rsid w:val="007E328F"/>
    <w:rsid w:val="007E33A1"/>
    <w:rsid w:val="007E3B40"/>
    <w:rsid w:val="007E4073"/>
    <w:rsid w:val="007E42AD"/>
    <w:rsid w:val="007E439D"/>
    <w:rsid w:val="007E450B"/>
    <w:rsid w:val="007E46AB"/>
    <w:rsid w:val="007E48F7"/>
    <w:rsid w:val="007E4DE2"/>
    <w:rsid w:val="007E559E"/>
    <w:rsid w:val="007E5D9D"/>
    <w:rsid w:val="007E6277"/>
    <w:rsid w:val="007E6523"/>
    <w:rsid w:val="007E6675"/>
    <w:rsid w:val="007E719A"/>
    <w:rsid w:val="007E72E1"/>
    <w:rsid w:val="007E7D52"/>
    <w:rsid w:val="007F0432"/>
    <w:rsid w:val="007F04CA"/>
    <w:rsid w:val="007F0B3C"/>
    <w:rsid w:val="007F0FCC"/>
    <w:rsid w:val="007F16E2"/>
    <w:rsid w:val="007F20B2"/>
    <w:rsid w:val="007F31A4"/>
    <w:rsid w:val="007F43BC"/>
    <w:rsid w:val="007F51EB"/>
    <w:rsid w:val="007F52FC"/>
    <w:rsid w:val="007F60E1"/>
    <w:rsid w:val="007F6112"/>
    <w:rsid w:val="007F6912"/>
    <w:rsid w:val="007F6AFB"/>
    <w:rsid w:val="007F79DE"/>
    <w:rsid w:val="007F7A34"/>
    <w:rsid w:val="008006B1"/>
    <w:rsid w:val="00800974"/>
    <w:rsid w:val="008009B5"/>
    <w:rsid w:val="00800A99"/>
    <w:rsid w:val="00801748"/>
    <w:rsid w:val="0080347B"/>
    <w:rsid w:val="00803814"/>
    <w:rsid w:val="00803E07"/>
    <w:rsid w:val="00804004"/>
    <w:rsid w:val="00804941"/>
    <w:rsid w:val="00804AED"/>
    <w:rsid w:val="00804C7E"/>
    <w:rsid w:val="00804E2C"/>
    <w:rsid w:val="00805631"/>
    <w:rsid w:val="00805A12"/>
    <w:rsid w:val="00805BE1"/>
    <w:rsid w:val="00805F1A"/>
    <w:rsid w:val="0080647E"/>
    <w:rsid w:val="00806525"/>
    <w:rsid w:val="0080698E"/>
    <w:rsid w:val="00806D0E"/>
    <w:rsid w:val="0080740E"/>
    <w:rsid w:val="0080756F"/>
    <w:rsid w:val="008079D9"/>
    <w:rsid w:val="00807D97"/>
    <w:rsid w:val="008100EE"/>
    <w:rsid w:val="0081042E"/>
    <w:rsid w:val="0081097F"/>
    <w:rsid w:val="00810B73"/>
    <w:rsid w:val="00810C26"/>
    <w:rsid w:val="00810FFC"/>
    <w:rsid w:val="008116D8"/>
    <w:rsid w:val="00811730"/>
    <w:rsid w:val="00812035"/>
    <w:rsid w:val="00812162"/>
    <w:rsid w:val="00812262"/>
    <w:rsid w:val="00812334"/>
    <w:rsid w:val="008127E7"/>
    <w:rsid w:val="00812944"/>
    <w:rsid w:val="008133B0"/>
    <w:rsid w:val="008135E2"/>
    <w:rsid w:val="00814898"/>
    <w:rsid w:val="008148AC"/>
    <w:rsid w:val="00814C34"/>
    <w:rsid w:val="00815300"/>
    <w:rsid w:val="008158CC"/>
    <w:rsid w:val="008159DA"/>
    <w:rsid w:val="00815A7D"/>
    <w:rsid w:val="00816500"/>
    <w:rsid w:val="00816EE6"/>
    <w:rsid w:val="00816F51"/>
    <w:rsid w:val="0081725E"/>
    <w:rsid w:val="0082011D"/>
    <w:rsid w:val="00820150"/>
    <w:rsid w:val="00820436"/>
    <w:rsid w:val="00821CB4"/>
    <w:rsid w:val="00822279"/>
    <w:rsid w:val="008226AE"/>
    <w:rsid w:val="0082272B"/>
    <w:rsid w:val="008227FA"/>
    <w:rsid w:val="00822DA8"/>
    <w:rsid w:val="00822EAD"/>
    <w:rsid w:val="0082315D"/>
    <w:rsid w:val="00823331"/>
    <w:rsid w:val="00823BE9"/>
    <w:rsid w:val="00823D39"/>
    <w:rsid w:val="00823D9E"/>
    <w:rsid w:val="00823FE7"/>
    <w:rsid w:val="0082430A"/>
    <w:rsid w:val="00824647"/>
    <w:rsid w:val="0082520C"/>
    <w:rsid w:val="00825744"/>
    <w:rsid w:val="0082592C"/>
    <w:rsid w:val="00825C47"/>
    <w:rsid w:val="00825D07"/>
    <w:rsid w:val="008261C8"/>
    <w:rsid w:val="008262CA"/>
    <w:rsid w:val="00826385"/>
    <w:rsid w:val="0082654A"/>
    <w:rsid w:val="00826C87"/>
    <w:rsid w:val="00826FBE"/>
    <w:rsid w:val="008271B3"/>
    <w:rsid w:val="00827266"/>
    <w:rsid w:val="0082763B"/>
    <w:rsid w:val="0082772A"/>
    <w:rsid w:val="00827851"/>
    <w:rsid w:val="008308AE"/>
    <w:rsid w:val="00830C8C"/>
    <w:rsid w:val="00830ECE"/>
    <w:rsid w:val="00831363"/>
    <w:rsid w:val="00831448"/>
    <w:rsid w:val="00831D47"/>
    <w:rsid w:val="008320C0"/>
    <w:rsid w:val="00832F6B"/>
    <w:rsid w:val="00833200"/>
    <w:rsid w:val="0083322B"/>
    <w:rsid w:val="00833811"/>
    <w:rsid w:val="008341B1"/>
    <w:rsid w:val="00835969"/>
    <w:rsid w:val="008362B6"/>
    <w:rsid w:val="00836C78"/>
    <w:rsid w:val="00836D6B"/>
    <w:rsid w:val="00836ECE"/>
    <w:rsid w:val="0083705F"/>
    <w:rsid w:val="00837495"/>
    <w:rsid w:val="00837551"/>
    <w:rsid w:val="0083796A"/>
    <w:rsid w:val="00837D95"/>
    <w:rsid w:val="0084005F"/>
    <w:rsid w:val="00840803"/>
    <w:rsid w:val="008408D7"/>
    <w:rsid w:val="00840B57"/>
    <w:rsid w:val="0084174A"/>
    <w:rsid w:val="00841811"/>
    <w:rsid w:val="00841A29"/>
    <w:rsid w:val="00841DC5"/>
    <w:rsid w:val="00841E96"/>
    <w:rsid w:val="0084205C"/>
    <w:rsid w:val="00842409"/>
    <w:rsid w:val="008424EF"/>
    <w:rsid w:val="0084251A"/>
    <w:rsid w:val="008425F5"/>
    <w:rsid w:val="0084262A"/>
    <w:rsid w:val="00842E8E"/>
    <w:rsid w:val="00843DCC"/>
    <w:rsid w:val="008445CD"/>
    <w:rsid w:val="008446D7"/>
    <w:rsid w:val="00844E61"/>
    <w:rsid w:val="0084616F"/>
    <w:rsid w:val="008462F3"/>
    <w:rsid w:val="00846617"/>
    <w:rsid w:val="00846A00"/>
    <w:rsid w:val="008470F8"/>
    <w:rsid w:val="00847363"/>
    <w:rsid w:val="0084755B"/>
    <w:rsid w:val="00847BD9"/>
    <w:rsid w:val="00850A16"/>
    <w:rsid w:val="00850D4D"/>
    <w:rsid w:val="00851DB1"/>
    <w:rsid w:val="00851F6C"/>
    <w:rsid w:val="0085233E"/>
    <w:rsid w:val="0085296A"/>
    <w:rsid w:val="00852AC4"/>
    <w:rsid w:val="00853B7A"/>
    <w:rsid w:val="00853C51"/>
    <w:rsid w:val="00853C7E"/>
    <w:rsid w:val="00853D93"/>
    <w:rsid w:val="0085532C"/>
    <w:rsid w:val="008554B1"/>
    <w:rsid w:val="00855B93"/>
    <w:rsid w:val="00855C69"/>
    <w:rsid w:val="00855FF6"/>
    <w:rsid w:val="00856A9B"/>
    <w:rsid w:val="00856AEE"/>
    <w:rsid w:val="0085708D"/>
    <w:rsid w:val="00857AAF"/>
    <w:rsid w:val="00857C6E"/>
    <w:rsid w:val="00857C8E"/>
    <w:rsid w:val="00857CD5"/>
    <w:rsid w:val="008603A3"/>
    <w:rsid w:val="00861887"/>
    <w:rsid w:val="00861B51"/>
    <w:rsid w:val="00862226"/>
    <w:rsid w:val="008625D6"/>
    <w:rsid w:val="008627DF"/>
    <w:rsid w:val="00862A1B"/>
    <w:rsid w:val="00862A2F"/>
    <w:rsid w:val="00862E2E"/>
    <w:rsid w:val="008632E3"/>
    <w:rsid w:val="008636D5"/>
    <w:rsid w:val="008637FD"/>
    <w:rsid w:val="00864175"/>
    <w:rsid w:val="0086418F"/>
    <w:rsid w:val="008644F0"/>
    <w:rsid w:val="00864964"/>
    <w:rsid w:val="00864CC1"/>
    <w:rsid w:val="008651E2"/>
    <w:rsid w:val="008652CD"/>
    <w:rsid w:val="00865587"/>
    <w:rsid w:val="00865770"/>
    <w:rsid w:val="0086596C"/>
    <w:rsid w:val="0086598A"/>
    <w:rsid w:val="00866557"/>
    <w:rsid w:val="00866580"/>
    <w:rsid w:val="00866D5F"/>
    <w:rsid w:val="00866D83"/>
    <w:rsid w:val="00866DA3"/>
    <w:rsid w:val="00866F74"/>
    <w:rsid w:val="00867BD2"/>
    <w:rsid w:val="00870B13"/>
    <w:rsid w:val="00871558"/>
    <w:rsid w:val="00871749"/>
    <w:rsid w:val="008718DB"/>
    <w:rsid w:val="00871BCC"/>
    <w:rsid w:val="00872A9A"/>
    <w:rsid w:val="00872AE2"/>
    <w:rsid w:val="00872C37"/>
    <w:rsid w:val="0087324E"/>
    <w:rsid w:val="00874068"/>
    <w:rsid w:val="008744B8"/>
    <w:rsid w:val="00874902"/>
    <w:rsid w:val="00874C7D"/>
    <w:rsid w:val="0087549A"/>
    <w:rsid w:val="0087556E"/>
    <w:rsid w:val="008759BB"/>
    <w:rsid w:val="00875D07"/>
    <w:rsid w:val="0087683C"/>
    <w:rsid w:val="00876CEF"/>
    <w:rsid w:val="00877A9B"/>
    <w:rsid w:val="00877AAD"/>
    <w:rsid w:val="00877BAB"/>
    <w:rsid w:val="00877E9B"/>
    <w:rsid w:val="008801AA"/>
    <w:rsid w:val="00880398"/>
    <w:rsid w:val="00881017"/>
    <w:rsid w:val="00881350"/>
    <w:rsid w:val="0088190D"/>
    <w:rsid w:val="00881D09"/>
    <w:rsid w:val="00881EAD"/>
    <w:rsid w:val="008829D1"/>
    <w:rsid w:val="00882AEA"/>
    <w:rsid w:val="00883352"/>
    <w:rsid w:val="0088374E"/>
    <w:rsid w:val="00883877"/>
    <w:rsid w:val="00883AB8"/>
    <w:rsid w:val="00884154"/>
    <w:rsid w:val="00884262"/>
    <w:rsid w:val="00885D57"/>
    <w:rsid w:val="008863D6"/>
    <w:rsid w:val="00886A79"/>
    <w:rsid w:val="00886F46"/>
    <w:rsid w:val="00887416"/>
    <w:rsid w:val="008902D1"/>
    <w:rsid w:val="008905B2"/>
    <w:rsid w:val="00890605"/>
    <w:rsid w:val="00890DDD"/>
    <w:rsid w:val="00891792"/>
    <w:rsid w:val="00891E56"/>
    <w:rsid w:val="008924C0"/>
    <w:rsid w:val="0089308E"/>
    <w:rsid w:val="00893150"/>
    <w:rsid w:val="0089318F"/>
    <w:rsid w:val="0089349D"/>
    <w:rsid w:val="00893F32"/>
    <w:rsid w:val="0089501E"/>
    <w:rsid w:val="0089629C"/>
    <w:rsid w:val="00896810"/>
    <w:rsid w:val="00896A40"/>
    <w:rsid w:val="008978EA"/>
    <w:rsid w:val="008A1128"/>
    <w:rsid w:val="008A125A"/>
    <w:rsid w:val="008A1390"/>
    <w:rsid w:val="008A16AA"/>
    <w:rsid w:val="008A17DC"/>
    <w:rsid w:val="008A1B40"/>
    <w:rsid w:val="008A1D30"/>
    <w:rsid w:val="008A215B"/>
    <w:rsid w:val="008A21DC"/>
    <w:rsid w:val="008A3176"/>
    <w:rsid w:val="008A35B3"/>
    <w:rsid w:val="008A3E38"/>
    <w:rsid w:val="008A40D9"/>
    <w:rsid w:val="008A42DC"/>
    <w:rsid w:val="008A4549"/>
    <w:rsid w:val="008A4757"/>
    <w:rsid w:val="008A476D"/>
    <w:rsid w:val="008A559B"/>
    <w:rsid w:val="008A6252"/>
    <w:rsid w:val="008A635E"/>
    <w:rsid w:val="008A70CE"/>
    <w:rsid w:val="008A77FD"/>
    <w:rsid w:val="008A7896"/>
    <w:rsid w:val="008B006D"/>
    <w:rsid w:val="008B0A3A"/>
    <w:rsid w:val="008B0B0E"/>
    <w:rsid w:val="008B1569"/>
    <w:rsid w:val="008B1B13"/>
    <w:rsid w:val="008B1B56"/>
    <w:rsid w:val="008B1CD2"/>
    <w:rsid w:val="008B1E4A"/>
    <w:rsid w:val="008B2BB7"/>
    <w:rsid w:val="008B3184"/>
    <w:rsid w:val="008B3FE4"/>
    <w:rsid w:val="008B40A0"/>
    <w:rsid w:val="008B4C56"/>
    <w:rsid w:val="008B4FE6"/>
    <w:rsid w:val="008B5138"/>
    <w:rsid w:val="008B5264"/>
    <w:rsid w:val="008B5654"/>
    <w:rsid w:val="008B5B32"/>
    <w:rsid w:val="008B5DDE"/>
    <w:rsid w:val="008B6669"/>
    <w:rsid w:val="008B67C4"/>
    <w:rsid w:val="008B6FBE"/>
    <w:rsid w:val="008B73CF"/>
    <w:rsid w:val="008B7782"/>
    <w:rsid w:val="008B7814"/>
    <w:rsid w:val="008B7C05"/>
    <w:rsid w:val="008C15E1"/>
    <w:rsid w:val="008C1DF8"/>
    <w:rsid w:val="008C214E"/>
    <w:rsid w:val="008C22E4"/>
    <w:rsid w:val="008C23C7"/>
    <w:rsid w:val="008C2440"/>
    <w:rsid w:val="008C277C"/>
    <w:rsid w:val="008C295E"/>
    <w:rsid w:val="008C2F96"/>
    <w:rsid w:val="008C3724"/>
    <w:rsid w:val="008C3FCF"/>
    <w:rsid w:val="008C5157"/>
    <w:rsid w:val="008C5454"/>
    <w:rsid w:val="008C5E6C"/>
    <w:rsid w:val="008C612C"/>
    <w:rsid w:val="008C63A4"/>
    <w:rsid w:val="008C6742"/>
    <w:rsid w:val="008C675A"/>
    <w:rsid w:val="008C6B9E"/>
    <w:rsid w:val="008C717E"/>
    <w:rsid w:val="008C76AA"/>
    <w:rsid w:val="008C7F34"/>
    <w:rsid w:val="008D0334"/>
    <w:rsid w:val="008D0651"/>
    <w:rsid w:val="008D0786"/>
    <w:rsid w:val="008D0894"/>
    <w:rsid w:val="008D0983"/>
    <w:rsid w:val="008D0B9E"/>
    <w:rsid w:val="008D0EA2"/>
    <w:rsid w:val="008D0FA5"/>
    <w:rsid w:val="008D1176"/>
    <w:rsid w:val="008D16AE"/>
    <w:rsid w:val="008D1805"/>
    <w:rsid w:val="008D1BCF"/>
    <w:rsid w:val="008D239B"/>
    <w:rsid w:val="008D26AD"/>
    <w:rsid w:val="008D2B41"/>
    <w:rsid w:val="008D2E5F"/>
    <w:rsid w:val="008D3250"/>
    <w:rsid w:val="008D3610"/>
    <w:rsid w:val="008D3812"/>
    <w:rsid w:val="008D3AD2"/>
    <w:rsid w:val="008D3CA4"/>
    <w:rsid w:val="008D43BD"/>
    <w:rsid w:val="008D4625"/>
    <w:rsid w:val="008D4A5B"/>
    <w:rsid w:val="008D52F5"/>
    <w:rsid w:val="008D5741"/>
    <w:rsid w:val="008D5988"/>
    <w:rsid w:val="008D5AA8"/>
    <w:rsid w:val="008D6BF5"/>
    <w:rsid w:val="008D6C30"/>
    <w:rsid w:val="008D6CDF"/>
    <w:rsid w:val="008DF049"/>
    <w:rsid w:val="008E00A0"/>
    <w:rsid w:val="008E07A4"/>
    <w:rsid w:val="008E0885"/>
    <w:rsid w:val="008E09A6"/>
    <w:rsid w:val="008E0FBD"/>
    <w:rsid w:val="008E1447"/>
    <w:rsid w:val="008E16C3"/>
    <w:rsid w:val="008E1AAC"/>
    <w:rsid w:val="008E1F12"/>
    <w:rsid w:val="008E275A"/>
    <w:rsid w:val="008E2857"/>
    <w:rsid w:val="008E2D81"/>
    <w:rsid w:val="008E2E35"/>
    <w:rsid w:val="008E34EB"/>
    <w:rsid w:val="008E3BFB"/>
    <w:rsid w:val="008E5125"/>
    <w:rsid w:val="008E5771"/>
    <w:rsid w:val="008E5883"/>
    <w:rsid w:val="008E6E6A"/>
    <w:rsid w:val="008E7261"/>
    <w:rsid w:val="008E7289"/>
    <w:rsid w:val="008F0165"/>
    <w:rsid w:val="008F0A20"/>
    <w:rsid w:val="008F0A2B"/>
    <w:rsid w:val="008F0A4B"/>
    <w:rsid w:val="008F0C78"/>
    <w:rsid w:val="008F0F40"/>
    <w:rsid w:val="008F0F64"/>
    <w:rsid w:val="008F1661"/>
    <w:rsid w:val="008F2001"/>
    <w:rsid w:val="008F2103"/>
    <w:rsid w:val="008F2279"/>
    <w:rsid w:val="008F2691"/>
    <w:rsid w:val="008F2829"/>
    <w:rsid w:val="008F2ECE"/>
    <w:rsid w:val="008F309E"/>
    <w:rsid w:val="008F35E4"/>
    <w:rsid w:val="008F44FB"/>
    <w:rsid w:val="008F45EE"/>
    <w:rsid w:val="008F4AB2"/>
    <w:rsid w:val="008F50FA"/>
    <w:rsid w:val="008F538D"/>
    <w:rsid w:val="008F53A5"/>
    <w:rsid w:val="008F5445"/>
    <w:rsid w:val="008F56E2"/>
    <w:rsid w:val="008F5829"/>
    <w:rsid w:val="008F5D80"/>
    <w:rsid w:val="008F69A5"/>
    <w:rsid w:val="008F6E15"/>
    <w:rsid w:val="008F6F8A"/>
    <w:rsid w:val="008F704D"/>
    <w:rsid w:val="008F7232"/>
    <w:rsid w:val="008F75D3"/>
    <w:rsid w:val="0090009F"/>
    <w:rsid w:val="0090058E"/>
    <w:rsid w:val="00900719"/>
    <w:rsid w:val="0090110A"/>
    <w:rsid w:val="00901C07"/>
    <w:rsid w:val="00901F82"/>
    <w:rsid w:val="0090251B"/>
    <w:rsid w:val="00902668"/>
    <w:rsid w:val="00902756"/>
    <w:rsid w:val="00903327"/>
    <w:rsid w:val="009034AA"/>
    <w:rsid w:val="00903CAB"/>
    <w:rsid w:val="00903D5B"/>
    <w:rsid w:val="00903E19"/>
    <w:rsid w:val="00904222"/>
    <w:rsid w:val="009048CD"/>
    <w:rsid w:val="00904B75"/>
    <w:rsid w:val="0090541A"/>
    <w:rsid w:val="009058FA"/>
    <w:rsid w:val="00905D58"/>
    <w:rsid w:val="009060B6"/>
    <w:rsid w:val="00906435"/>
    <w:rsid w:val="00906966"/>
    <w:rsid w:val="0091004A"/>
    <w:rsid w:val="00910F18"/>
    <w:rsid w:val="00911424"/>
    <w:rsid w:val="00911840"/>
    <w:rsid w:val="00912065"/>
    <w:rsid w:val="0091272E"/>
    <w:rsid w:val="00912865"/>
    <w:rsid w:val="0091297E"/>
    <w:rsid w:val="0091338E"/>
    <w:rsid w:val="00913473"/>
    <w:rsid w:val="00913FEB"/>
    <w:rsid w:val="00914538"/>
    <w:rsid w:val="0091464E"/>
    <w:rsid w:val="00914BB0"/>
    <w:rsid w:val="00914BCA"/>
    <w:rsid w:val="00914BD7"/>
    <w:rsid w:val="00914C76"/>
    <w:rsid w:val="0091570A"/>
    <w:rsid w:val="00915930"/>
    <w:rsid w:val="00915A06"/>
    <w:rsid w:val="0091620D"/>
    <w:rsid w:val="0091678D"/>
    <w:rsid w:val="009173AF"/>
    <w:rsid w:val="00917D77"/>
    <w:rsid w:val="00920010"/>
    <w:rsid w:val="0092042C"/>
    <w:rsid w:val="009209FE"/>
    <w:rsid w:val="00921998"/>
    <w:rsid w:val="00921CCB"/>
    <w:rsid w:val="00921D44"/>
    <w:rsid w:val="00921D55"/>
    <w:rsid w:val="00921D8A"/>
    <w:rsid w:val="00921E75"/>
    <w:rsid w:val="00922239"/>
    <w:rsid w:val="00922DD5"/>
    <w:rsid w:val="00922FC4"/>
    <w:rsid w:val="00922FDA"/>
    <w:rsid w:val="00923537"/>
    <w:rsid w:val="00924A14"/>
    <w:rsid w:val="00924E26"/>
    <w:rsid w:val="00924FD1"/>
    <w:rsid w:val="00924FD8"/>
    <w:rsid w:val="00925120"/>
    <w:rsid w:val="009253B3"/>
    <w:rsid w:val="009260A7"/>
    <w:rsid w:val="009260B4"/>
    <w:rsid w:val="009269A5"/>
    <w:rsid w:val="009271CF"/>
    <w:rsid w:val="009273C0"/>
    <w:rsid w:val="00927569"/>
    <w:rsid w:val="009277FE"/>
    <w:rsid w:val="009301C7"/>
    <w:rsid w:val="009303CC"/>
    <w:rsid w:val="00930515"/>
    <w:rsid w:val="00930AE5"/>
    <w:rsid w:val="00930EDD"/>
    <w:rsid w:val="00931496"/>
    <w:rsid w:val="0093176D"/>
    <w:rsid w:val="00931F02"/>
    <w:rsid w:val="00932302"/>
    <w:rsid w:val="009325C5"/>
    <w:rsid w:val="00932AE5"/>
    <w:rsid w:val="00932C78"/>
    <w:rsid w:val="00932F78"/>
    <w:rsid w:val="00933D4A"/>
    <w:rsid w:val="00933F9D"/>
    <w:rsid w:val="009349DD"/>
    <w:rsid w:val="00934F5C"/>
    <w:rsid w:val="0093590F"/>
    <w:rsid w:val="00936BA1"/>
    <w:rsid w:val="00936F5A"/>
    <w:rsid w:val="009370A4"/>
    <w:rsid w:val="00937467"/>
    <w:rsid w:val="00937EE5"/>
    <w:rsid w:val="00937F93"/>
    <w:rsid w:val="009400D1"/>
    <w:rsid w:val="00940536"/>
    <w:rsid w:val="00940717"/>
    <w:rsid w:val="00940D21"/>
    <w:rsid w:val="00940F3D"/>
    <w:rsid w:val="00941208"/>
    <w:rsid w:val="009413E8"/>
    <w:rsid w:val="00941886"/>
    <w:rsid w:val="0094227E"/>
    <w:rsid w:val="009428A6"/>
    <w:rsid w:val="009428E8"/>
    <w:rsid w:val="009433AB"/>
    <w:rsid w:val="00943850"/>
    <w:rsid w:val="00943B9C"/>
    <w:rsid w:val="00943DF2"/>
    <w:rsid w:val="0094416A"/>
    <w:rsid w:val="00944CC2"/>
    <w:rsid w:val="00944D57"/>
    <w:rsid w:val="00945075"/>
    <w:rsid w:val="00945119"/>
    <w:rsid w:val="009455B2"/>
    <w:rsid w:val="00945FF7"/>
    <w:rsid w:val="009464FE"/>
    <w:rsid w:val="00946970"/>
    <w:rsid w:val="00946BA0"/>
    <w:rsid w:val="0095023E"/>
    <w:rsid w:val="00950414"/>
    <w:rsid w:val="009507C3"/>
    <w:rsid w:val="00950AA4"/>
    <w:rsid w:val="00950C84"/>
    <w:rsid w:val="0095170C"/>
    <w:rsid w:val="0095172D"/>
    <w:rsid w:val="009518E8"/>
    <w:rsid w:val="009519A2"/>
    <w:rsid w:val="00951CE5"/>
    <w:rsid w:val="00952F15"/>
    <w:rsid w:val="00953237"/>
    <w:rsid w:val="009534E4"/>
    <w:rsid w:val="00953A62"/>
    <w:rsid w:val="009542D1"/>
    <w:rsid w:val="00954F6B"/>
    <w:rsid w:val="009551DB"/>
    <w:rsid w:val="0095647A"/>
    <w:rsid w:val="009564DD"/>
    <w:rsid w:val="00956A28"/>
    <w:rsid w:val="00956E2F"/>
    <w:rsid w:val="00957089"/>
    <w:rsid w:val="009570F4"/>
    <w:rsid w:val="00957923"/>
    <w:rsid w:val="00957AC1"/>
    <w:rsid w:val="00957F41"/>
    <w:rsid w:val="0096061F"/>
    <w:rsid w:val="009611E9"/>
    <w:rsid w:val="00961C84"/>
    <w:rsid w:val="00961E9A"/>
    <w:rsid w:val="009636F1"/>
    <w:rsid w:val="00963CCB"/>
    <w:rsid w:val="00963EA0"/>
    <w:rsid w:val="0096498F"/>
    <w:rsid w:val="00964B4D"/>
    <w:rsid w:val="00964DE7"/>
    <w:rsid w:val="00964F1E"/>
    <w:rsid w:val="00965064"/>
    <w:rsid w:val="009653EB"/>
    <w:rsid w:val="00965618"/>
    <w:rsid w:val="009656A8"/>
    <w:rsid w:val="00965C7D"/>
    <w:rsid w:val="00965DC1"/>
    <w:rsid w:val="00965EB4"/>
    <w:rsid w:val="009667E9"/>
    <w:rsid w:val="00966819"/>
    <w:rsid w:val="00967773"/>
    <w:rsid w:val="00970AC2"/>
    <w:rsid w:val="00970BDB"/>
    <w:rsid w:val="00971733"/>
    <w:rsid w:val="009718FD"/>
    <w:rsid w:val="009719BB"/>
    <w:rsid w:val="00971BF1"/>
    <w:rsid w:val="00972011"/>
    <w:rsid w:val="009731AE"/>
    <w:rsid w:val="009732AB"/>
    <w:rsid w:val="00974233"/>
    <w:rsid w:val="00974480"/>
    <w:rsid w:val="0097464F"/>
    <w:rsid w:val="0097465C"/>
    <w:rsid w:val="009747B2"/>
    <w:rsid w:val="00974E00"/>
    <w:rsid w:val="00975054"/>
    <w:rsid w:val="0097575F"/>
    <w:rsid w:val="009757BF"/>
    <w:rsid w:val="00975EA9"/>
    <w:rsid w:val="00975F06"/>
    <w:rsid w:val="0097636D"/>
    <w:rsid w:val="0097661B"/>
    <w:rsid w:val="00976933"/>
    <w:rsid w:val="00976E77"/>
    <w:rsid w:val="0097765C"/>
    <w:rsid w:val="00977756"/>
    <w:rsid w:val="009777D7"/>
    <w:rsid w:val="009803DD"/>
    <w:rsid w:val="0098063E"/>
    <w:rsid w:val="00980DB5"/>
    <w:rsid w:val="009817D1"/>
    <w:rsid w:val="009821EE"/>
    <w:rsid w:val="009821F4"/>
    <w:rsid w:val="009827B9"/>
    <w:rsid w:val="009827E7"/>
    <w:rsid w:val="00982FBF"/>
    <w:rsid w:val="0098338E"/>
    <w:rsid w:val="009838B7"/>
    <w:rsid w:val="0098417E"/>
    <w:rsid w:val="00984292"/>
    <w:rsid w:val="0098491F"/>
    <w:rsid w:val="00985000"/>
    <w:rsid w:val="009861F8"/>
    <w:rsid w:val="0098630B"/>
    <w:rsid w:val="0098630C"/>
    <w:rsid w:val="00986A91"/>
    <w:rsid w:val="00986B88"/>
    <w:rsid w:val="00986DC0"/>
    <w:rsid w:val="00986FE0"/>
    <w:rsid w:val="009873B1"/>
    <w:rsid w:val="00987B1C"/>
    <w:rsid w:val="0099072B"/>
    <w:rsid w:val="00991D58"/>
    <w:rsid w:val="00993166"/>
    <w:rsid w:val="00993545"/>
    <w:rsid w:val="00994319"/>
    <w:rsid w:val="00994825"/>
    <w:rsid w:val="00994F44"/>
    <w:rsid w:val="00994F85"/>
    <w:rsid w:val="00995164"/>
    <w:rsid w:val="00995F4E"/>
    <w:rsid w:val="009962C2"/>
    <w:rsid w:val="00996636"/>
    <w:rsid w:val="00996BF4"/>
    <w:rsid w:val="00996C96"/>
    <w:rsid w:val="00996D0D"/>
    <w:rsid w:val="009970A3"/>
    <w:rsid w:val="00997355"/>
    <w:rsid w:val="0099784B"/>
    <w:rsid w:val="00997D18"/>
    <w:rsid w:val="00997D1E"/>
    <w:rsid w:val="00997D35"/>
    <w:rsid w:val="009A07B7"/>
    <w:rsid w:val="009A0D5D"/>
    <w:rsid w:val="009A11E4"/>
    <w:rsid w:val="009A1603"/>
    <w:rsid w:val="009A18B2"/>
    <w:rsid w:val="009A1B8F"/>
    <w:rsid w:val="009A1E89"/>
    <w:rsid w:val="009A2153"/>
    <w:rsid w:val="009A3279"/>
    <w:rsid w:val="009A3B83"/>
    <w:rsid w:val="009A3EE8"/>
    <w:rsid w:val="009A3F11"/>
    <w:rsid w:val="009A48DC"/>
    <w:rsid w:val="009A4CEA"/>
    <w:rsid w:val="009A4DC2"/>
    <w:rsid w:val="009A5016"/>
    <w:rsid w:val="009A561E"/>
    <w:rsid w:val="009A5807"/>
    <w:rsid w:val="009A5B94"/>
    <w:rsid w:val="009A6D6B"/>
    <w:rsid w:val="009A6D7C"/>
    <w:rsid w:val="009A70B2"/>
    <w:rsid w:val="009A7254"/>
    <w:rsid w:val="009A7803"/>
    <w:rsid w:val="009A7C95"/>
    <w:rsid w:val="009A7CF5"/>
    <w:rsid w:val="009B02AB"/>
    <w:rsid w:val="009B0A05"/>
    <w:rsid w:val="009B1242"/>
    <w:rsid w:val="009B15D9"/>
    <w:rsid w:val="009B188C"/>
    <w:rsid w:val="009B18E2"/>
    <w:rsid w:val="009B1B9D"/>
    <w:rsid w:val="009B2344"/>
    <w:rsid w:val="009B2418"/>
    <w:rsid w:val="009B2B77"/>
    <w:rsid w:val="009B349A"/>
    <w:rsid w:val="009B35E2"/>
    <w:rsid w:val="009B3A5B"/>
    <w:rsid w:val="009B3ACD"/>
    <w:rsid w:val="009B3B70"/>
    <w:rsid w:val="009B47BE"/>
    <w:rsid w:val="009B5010"/>
    <w:rsid w:val="009B566C"/>
    <w:rsid w:val="009B5932"/>
    <w:rsid w:val="009B5B2E"/>
    <w:rsid w:val="009B5F7E"/>
    <w:rsid w:val="009B61A0"/>
    <w:rsid w:val="009B6226"/>
    <w:rsid w:val="009B627C"/>
    <w:rsid w:val="009B6301"/>
    <w:rsid w:val="009B6659"/>
    <w:rsid w:val="009B6B26"/>
    <w:rsid w:val="009B775C"/>
    <w:rsid w:val="009B7CD4"/>
    <w:rsid w:val="009C0130"/>
    <w:rsid w:val="009C0CBE"/>
    <w:rsid w:val="009C15D4"/>
    <w:rsid w:val="009C19DA"/>
    <w:rsid w:val="009C19E5"/>
    <w:rsid w:val="009C1DB2"/>
    <w:rsid w:val="009C2564"/>
    <w:rsid w:val="009C2640"/>
    <w:rsid w:val="009C2EBC"/>
    <w:rsid w:val="009C322A"/>
    <w:rsid w:val="009C3758"/>
    <w:rsid w:val="009C37EE"/>
    <w:rsid w:val="009C408A"/>
    <w:rsid w:val="009C47D6"/>
    <w:rsid w:val="009C4A7A"/>
    <w:rsid w:val="009C4A87"/>
    <w:rsid w:val="009C4AE6"/>
    <w:rsid w:val="009C4BD7"/>
    <w:rsid w:val="009C4DF6"/>
    <w:rsid w:val="009C502E"/>
    <w:rsid w:val="009C563C"/>
    <w:rsid w:val="009C5675"/>
    <w:rsid w:val="009C5854"/>
    <w:rsid w:val="009C6210"/>
    <w:rsid w:val="009C627B"/>
    <w:rsid w:val="009C68B8"/>
    <w:rsid w:val="009C68C5"/>
    <w:rsid w:val="009C6FBD"/>
    <w:rsid w:val="009D0350"/>
    <w:rsid w:val="009D0780"/>
    <w:rsid w:val="009D0CF7"/>
    <w:rsid w:val="009D0E03"/>
    <w:rsid w:val="009D12FF"/>
    <w:rsid w:val="009D19A9"/>
    <w:rsid w:val="009D2068"/>
    <w:rsid w:val="009D20F2"/>
    <w:rsid w:val="009D2ABD"/>
    <w:rsid w:val="009D2CE4"/>
    <w:rsid w:val="009D3572"/>
    <w:rsid w:val="009D3B34"/>
    <w:rsid w:val="009D4271"/>
    <w:rsid w:val="009D48B0"/>
    <w:rsid w:val="009D4909"/>
    <w:rsid w:val="009D4D68"/>
    <w:rsid w:val="009D4D9A"/>
    <w:rsid w:val="009D4F64"/>
    <w:rsid w:val="009D5B6F"/>
    <w:rsid w:val="009D5BF5"/>
    <w:rsid w:val="009D5FE4"/>
    <w:rsid w:val="009D66EA"/>
    <w:rsid w:val="009D6C5B"/>
    <w:rsid w:val="009D7E3B"/>
    <w:rsid w:val="009E0033"/>
    <w:rsid w:val="009E0197"/>
    <w:rsid w:val="009E0299"/>
    <w:rsid w:val="009E0611"/>
    <w:rsid w:val="009E0CCF"/>
    <w:rsid w:val="009E0E94"/>
    <w:rsid w:val="009E1743"/>
    <w:rsid w:val="009E1990"/>
    <w:rsid w:val="009E1BF1"/>
    <w:rsid w:val="009E1C82"/>
    <w:rsid w:val="009E1D4D"/>
    <w:rsid w:val="009E1F57"/>
    <w:rsid w:val="009E2C01"/>
    <w:rsid w:val="009E32CC"/>
    <w:rsid w:val="009E38CB"/>
    <w:rsid w:val="009E42AC"/>
    <w:rsid w:val="009E49EC"/>
    <w:rsid w:val="009E4CEF"/>
    <w:rsid w:val="009E4DA2"/>
    <w:rsid w:val="009E5382"/>
    <w:rsid w:val="009E5425"/>
    <w:rsid w:val="009E55D5"/>
    <w:rsid w:val="009E5F0C"/>
    <w:rsid w:val="009E5F23"/>
    <w:rsid w:val="009E605C"/>
    <w:rsid w:val="009E63BB"/>
    <w:rsid w:val="009E65B8"/>
    <w:rsid w:val="009E6749"/>
    <w:rsid w:val="009E6A19"/>
    <w:rsid w:val="009E6BC4"/>
    <w:rsid w:val="009E6BF1"/>
    <w:rsid w:val="009E6F8A"/>
    <w:rsid w:val="009E7409"/>
    <w:rsid w:val="009E7608"/>
    <w:rsid w:val="009E7DD5"/>
    <w:rsid w:val="009F04E6"/>
    <w:rsid w:val="009F1492"/>
    <w:rsid w:val="009F1939"/>
    <w:rsid w:val="009F1A4E"/>
    <w:rsid w:val="009F1B74"/>
    <w:rsid w:val="009F1BC6"/>
    <w:rsid w:val="009F2169"/>
    <w:rsid w:val="009F22D7"/>
    <w:rsid w:val="009F268B"/>
    <w:rsid w:val="009F26BC"/>
    <w:rsid w:val="009F2718"/>
    <w:rsid w:val="009F28BF"/>
    <w:rsid w:val="009F2ABB"/>
    <w:rsid w:val="009F3F4A"/>
    <w:rsid w:val="009F4891"/>
    <w:rsid w:val="009F4E1A"/>
    <w:rsid w:val="009F54DA"/>
    <w:rsid w:val="009F5893"/>
    <w:rsid w:val="009F5AF6"/>
    <w:rsid w:val="009F5C26"/>
    <w:rsid w:val="009F692A"/>
    <w:rsid w:val="009F6FD5"/>
    <w:rsid w:val="009F725D"/>
    <w:rsid w:val="009F7657"/>
    <w:rsid w:val="009F7CD8"/>
    <w:rsid w:val="009F7DB4"/>
    <w:rsid w:val="009FCA50"/>
    <w:rsid w:val="00A00174"/>
    <w:rsid w:val="00A00330"/>
    <w:rsid w:val="00A006C0"/>
    <w:rsid w:val="00A00ECC"/>
    <w:rsid w:val="00A01043"/>
    <w:rsid w:val="00A013AE"/>
    <w:rsid w:val="00A02259"/>
    <w:rsid w:val="00A023C5"/>
    <w:rsid w:val="00A02458"/>
    <w:rsid w:val="00A02507"/>
    <w:rsid w:val="00A02B32"/>
    <w:rsid w:val="00A02C70"/>
    <w:rsid w:val="00A036A4"/>
    <w:rsid w:val="00A03F22"/>
    <w:rsid w:val="00A04C55"/>
    <w:rsid w:val="00A0500A"/>
    <w:rsid w:val="00A0523A"/>
    <w:rsid w:val="00A053B5"/>
    <w:rsid w:val="00A054FA"/>
    <w:rsid w:val="00A05ACB"/>
    <w:rsid w:val="00A060D1"/>
    <w:rsid w:val="00A06807"/>
    <w:rsid w:val="00A06849"/>
    <w:rsid w:val="00A069EA"/>
    <w:rsid w:val="00A06B1F"/>
    <w:rsid w:val="00A06B8C"/>
    <w:rsid w:val="00A06CA3"/>
    <w:rsid w:val="00A06D20"/>
    <w:rsid w:val="00A07703"/>
    <w:rsid w:val="00A078A9"/>
    <w:rsid w:val="00A079C5"/>
    <w:rsid w:val="00A108C6"/>
    <w:rsid w:val="00A1108F"/>
    <w:rsid w:val="00A110AB"/>
    <w:rsid w:val="00A11FC5"/>
    <w:rsid w:val="00A1241C"/>
    <w:rsid w:val="00A12469"/>
    <w:rsid w:val="00A125C6"/>
    <w:rsid w:val="00A1338A"/>
    <w:rsid w:val="00A133B1"/>
    <w:rsid w:val="00A1341D"/>
    <w:rsid w:val="00A135B5"/>
    <w:rsid w:val="00A1380A"/>
    <w:rsid w:val="00A13887"/>
    <w:rsid w:val="00A1424E"/>
    <w:rsid w:val="00A14F82"/>
    <w:rsid w:val="00A15680"/>
    <w:rsid w:val="00A15BBF"/>
    <w:rsid w:val="00A15D5A"/>
    <w:rsid w:val="00A15FDA"/>
    <w:rsid w:val="00A16216"/>
    <w:rsid w:val="00A1689E"/>
    <w:rsid w:val="00A16A86"/>
    <w:rsid w:val="00A16F76"/>
    <w:rsid w:val="00A16F9E"/>
    <w:rsid w:val="00A173D2"/>
    <w:rsid w:val="00A1758D"/>
    <w:rsid w:val="00A17619"/>
    <w:rsid w:val="00A17AE0"/>
    <w:rsid w:val="00A17DD8"/>
    <w:rsid w:val="00A17E97"/>
    <w:rsid w:val="00A20613"/>
    <w:rsid w:val="00A20D11"/>
    <w:rsid w:val="00A21630"/>
    <w:rsid w:val="00A21B2A"/>
    <w:rsid w:val="00A21D3F"/>
    <w:rsid w:val="00A22593"/>
    <w:rsid w:val="00A22852"/>
    <w:rsid w:val="00A22977"/>
    <w:rsid w:val="00A22BC4"/>
    <w:rsid w:val="00A22C81"/>
    <w:rsid w:val="00A23586"/>
    <w:rsid w:val="00A23617"/>
    <w:rsid w:val="00A23730"/>
    <w:rsid w:val="00A23BF6"/>
    <w:rsid w:val="00A24AA5"/>
    <w:rsid w:val="00A25390"/>
    <w:rsid w:val="00A2542A"/>
    <w:rsid w:val="00A25524"/>
    <w:rsid w:val="00A2579A"/>
    <w:rsid w:val="00A257A8"/>
    <w:rsid w:val="00A2588F"/>
    <w:rsid w:val="00A25920"/>
    <w:rsid w:val="00A262FD"/>
    <w:rsid w:val="00A2674A"/>
    <w:rsid w:val="00A274AA"/>
    <w:rsid w:val="00A30326"/>
    <w:rsid w:val="00A304A9"/>
    <w:rsid w:val="00A30A76"/>
    <w:rsid w:val="00A30CCC"/>
    <w:rsid w:val="00A33197"/>
    <w:rsid w:val="00A33365"/>
    <w:rsid w:val="00A3339C"/>
    <w:rsid w:val="00A340F7"/>
    <w:rsid w:val="00A343FC"/>
    <w:rsid w:val="00A345F7"/>
    <w:rsid w:val="00A348D2"/>
    <w:rsid w:val="00A34A18"/>
    <w:rsid w:val="00A355CD"/>
    <w:rsid w:val="00A358D3"/>
    <w:rsid w:val="00A35914"/>
    <w:rsid w:val="00A35F19"/>
    <w:rsid w:val="00A361B2"/>
    <w:rsid w:val="00A36388"/>
    <w:rsid w:val="00A3674C"/>
    <w:rsid w:val="00A36A37"/>
    <w:rsid w:val="00A37373"/>
    <w:rsid w:val="00A376F4"/>
    <w:rsid w:val="00A37978"/>
    <w:rsid w:val="00A40BE1"/>
    <w:rsid w:val="00A414C7"/>
    <w:rsid w:val="00A41658"/>
    <w:rsid w:val="00A41885"/>
    <w:rsid w:val="00A41BD7"/>
    <w:rsid w:val="00A41DB1"/>
    <w:rsid w:val="00A42412"/>
    <w:rsid w:val="00A42DBD"/>
    <w:rsid w:val="00A42F83"/>
    <w:rsid w:val="00A437D0"/>
    <w:rsid w:val="00A43A3A"/>
    <w:rsid w:val="00A44E57"/>
    <w:rsid w:val="00A44FFA"/>
    <w:rsid w:val="00A4505D"/>
    <w:rsid w:val="00A45A1C"/>
    <w:rsid w:val="00A45EF2"/>
    <w:rsid w:val="00A46C61"/>
    <w:rsid w:val="00A46CEC"/>
    <w:rsid w:val="00A46F28"/>
    <w:rsid w:val="00A47011"/>
    <w:rsid w:val="00A47610"/>
    <w:rsid w:val="00A479D8"/>
    <w:rsid w:val="00A47ADF"/>
    <w:rsid w:val="00A47F33"/>
    <w:rsid w:val="00A50ABA"/>
    <w:rsid w:val="00A50E11"/>
    <w:rsid w:val="00A50F08"/>
    <w:rsid w:val="00A51258"/>
    <w:rsid w:val="00A51B36"/>
    <w:rsid w:val="00A5202C"/>
    <w:rsid w:val="00A52624"/>
    <w:rsid w:val="00A52C15"/>
    <w:rsid w:val="00A52DE0"/>
    <w:rsid w:val="00A532B3"/>
    <w:rsid w:val="00A533A0"/>
    <w:rsid w:val="00A53629"/>
    <w:rsid w:val="00A53859"/>
    <w:rsid w:val="00A53A12"/>
    <w:rsid w:val="00A54025"/>
    <w:rsid w:val="00A54844"/>
    <w:rsid w:val="00A54A3C"/>
    <w:rsid w:val="00A550EE"/>
    <w:rsid w:val="00A557BD"/>
    <w:rsid w:val="00A561A3"/>
    <w:rsid w:val="00A56EB6"/>
    <w:rsid w:val="00A572FA"/>
    <w:rsid w:val="00A579DB"/>
    <w:rsid w:val="00A57DFC"/>
    <w:rsid w:val="00A60054"/>
    <w:rsid w:val="00A600AF"/>
    <w:rsid w:val="00A600C6"/>
    <w:rsid w:val="00A601B5"/>
    <w:rsid w:val="00A601FD"/>
    <w:rsid w:val="00A6064F"/>
    <w:rsid w:val="00A60944"/>
    <w:rsid w:val="00A60B30"/>
    <w:rsid w:val="00A60DC6"/>
    <w:rsid w:val="00A6150E"/>
    <w:rsid w:val="00A6164C"/>
    <w:rsid w:val="00A61705"/>
    <w:rsid w:val="00A61865"/>
    <w:rsid w:val="00A619DB"/>
    <w:rsid w:val="00A622A2"/>
    <w:rsid w:val="00A62308"/>
    <w:rsid w:val="00A62952"/>
    <w:rsid w:val="00A630D4"/>
    <w:rsid w:val="00A63533"/>
    <w:rsid w:val="00A635D2"/>
    <w:rsid w:val="00A63B9A"/>
    <w:rsid w:val="00A63FB4"/>
    <w:rsid w:val="00A650DD"/>
    <w:rsid w:val="00A65146"/>
    <w:rsid w:val="00A653EC"/>
    <w:rsid w:val="00A65649"/>
    <w:rsid w:val="00A65A36"/>
    <w:rsid w:val="00A66067"/>
    <w:rsid w:val="00A66389"/>
    <w:rsid w:val="00A66A7B"/>
    <w:rsid w:val="00A66C5D"/>
    <w:rsid w:val="00A66CAE"/>
    <w:rsid w:val="00A66CD1"/>
    <w:rsid w:val="00A66F9F"/>
    <w:rsid w:val="00A67402"/>
    <w:rsid w:val="00A67E10"/>
    <w:rsid w:val="00A7058B"/>
    <w:rsid w:val="00A709AB"/>
    <w:rsid w:val="00A70CEF"/>
    <w:rsid w:val="00A71083"/>
    <w:rsid w:val="00A713A1"/>
    <w:rsid w:val="00A72130"/>
    <w:rsid w:val="00A726AA"/>
    <w:rsid w:val="00A72DD7"/>
    <w:rsid w:val="00A72E87"/>
    <w:rsid w:val="00A72F7B"/>
    <w:rsid w:val="00A72F7D"/>
    <w:rsid w:val="00A74088"/>
    <w:rsid w:val="00A74AF4"/>
    <w:rsid w:val="00A74B25"/>
    <w:rsid w:val="00A751C9"/>
    <w:rsid w:val="00A75400"/>
    <w:rsid w:val="00A754BA"/>
    <w:rsid w:val="00A762F4"/>
    <w:rsid w:val="00A76468"/>
    <w:rsid w:val="00A76633"/>
    <w:rsid w:val="00A7692B"/>
    <w:rsid w:val="00A76D76"/>
    <w:rsid w:val="00A76E2B"/>
    <w:rsid w:val="00A76ECD"/>
    <w:rsid w:val="00A7711B"/>
    <w:rsid w:val="00A7778F"/>
    <w:rsid w:val="00A77795"/>
    <w:rsid w:val="00A802AA"/>
    <w:rsid w:val="00A80C0D"/>
    <w:rsid w:val="00A819C5"/>
    <w:rsid w:val="00A8238F"/>
    <w:rsid w:val="00A826BE"/>
    <w:rsid w:val="00A8283D"/>
    <w:rsid w:val="00A82B5E"/>
    <w:rsid w:val="00A82C11"/>
    <w:rsid w:val="00A82C38"/>
    <w:rsid w:val="00A82C3D"/>
    <w:rsid w:val="00A82F92"/>
    <w:rsid w:val="00A83697"/>
    <w:rsid w:val="00A83A78"/>
    <w:rsid w:val="00A83D5C"/>
    <w:rsid w:val="00A83EFD"/>
    <w:rsid w:val="00A83F41"/>
    <w:rsid w:val="00A84D33"/>
    <w:rsid w:val="00A84DAC"/>
    <w:rsid w:val="00A85060"/>
    <w:rsid w:val="00A850A6"/>
    <w:rsid w:val="00A8527A"/>
    <w:rsid w:val="00A855A0"/>
    <w:rsid w:val="00A857F3"/>
    <w:rsid w:val="00A85A62"/>
    <w:rsid w:val="00A865D1"/>
    <w:rsid w:val="00A86913"/>
    <w:rsid w:val="00A86CE6"/>
    <w:rsid w:val="00A86E7A"/>
    <w:rsid w:val="00A8718B"/>
    <w:rsid w:val="00A874A9"/>
    <w:rsid w:val="00A87980"/>
    <w:rsid w:val="00A87BA9"/>
    <w:rsid w:val="00A87BC3"/>
    <w:rsid w:val="00A87C56"/>
    <w:rsid w:val="00A87E91"/>
    <w:rsid w:val="00A90692"/>
    <w:rsid w:val="00A911B3"/>
    <w:rsid w:val="00A9124C"/>
    <w:rsid w:val="00A913AC"/>
    <w:rsid w:val="00A921BB"/>
    <w:rsid w:val="00A924E5"/>
    <w:rsid w:val="00A92820"/>
    <w:rsid w:val="00A92B22"/>
    <w:rsid w:val="00A92F27"/>
    <w:rsid w:val="00A9388D"/>
    <w:rsid w:val="00A93E73"/>
    <w:rsid w:val="00A94273"/>
    <w:rsid w:val="00A943A1"/>
    <w:rsid w:val="00A947E4"/>
    <w:rsid w:val="00A94BA1"/>
    <w:rsid w:val="00A94EA1"/>
    <w:rsid w:val="00A950E3"/>
    <w:rsid w:val="00A959A2"/>
    <w:rsid w:val="00A95B9D"/>
    <w:rsid w:val="00A95C9F"/>
    <w:rsid w:val="00A966CE"/>
    <w:rsid w:val="00A970AD"/>
    <w:rsid w:val="00A97AF7"/>
    <w:rsid w:val="00AA047C"/>
    <w:rsid w:val="00AA08BA"/>
    <w:rsid w:val="00AA0A8E"/>
    <w:rsid w:val="00AA1268"/>
    <w:rsid w:val="00AA1749"/>
    <w:rsid w:val="00AA1BC5"/>
    <w:rsid w:val="00AA22CE"/>
    <w:rsid w:val="00AA2446"/>
    <w:rsid w:val="00AA2533"/>
    <w:rsid w:val="00AA2E48"/>
    <w:rsid w:val="00AA3E1C"/>
    <w:rsid w:val="00AA4157"/>
    <w:rsid w:val="00AA4341"/>
    <w:rsid w:val="00AA4876"/>
    <w:rsid w:val="00AA4B52"/>
    <w:rsid w:val="00AA4E23"/>
    <w:rsid w:val="00AA4E8E"/>
    <w:rsid w:val="00AA5028"/>
    <w:rsid w:val="00AA546B"/>
    <w:rsid w:val="00AA5694"/>
    <w:rsid w:val="00AA6F93"/>
    <w:rsid w:val="00AA707F"/>
    <w:rsid w:val="00AA7475"/>
    <w:rsid w:val="00AA77E9"/>
    <w:rsid w:val="00AA7CEB"/>
    <w:rsid w:val="00AB00FC"/>
    <w:rsid w:val="00AB03BA"/>
    <w:rsid w:val="00AB0879"/>
    <w:rsid w:val="00AB0DEF"/>
    <w:rsid w:val="00AB123C"/>
    <w:rsid w:val="00AB1514"/>
    <w:rsid w:val="00AB22B6"/>
    <w:rsid w:val="00AB230B"/>
    <w:rsid w:val="00AB2865"/>
    <w:rsid w:val="00AB36A6"/>
    <w:rsid w:val="00AB38F3"/>
    <w:rsid w:val="00AB4047"/>
    <w:rsid w:val="00AB441B"/>
    <w:rsid w:val="00AB4625"/>
    <w:rsid w:val="00AB4F66"/>
    <w:rsid w:val="00AB53DF"/>
    <w:rsid w:val="00AB5400"/>
    <w:rsid w:val="00AB59C8"/>
    <w:rsid w:val="00AB5B20"/>
    <w:rsid w:val="00AB5D6B"/>
    <w:rsid w:val="00AB6014"/>
    <w:rsid w:val="00AB6041"/>
    <w:rsid w:val="00AB666A"/>
    <w:rsid w:val="00AB697F"/>
    <w:rsid w:val="00AB69B6"/>
    <w:rsid w:val="00AB70AE"/>
    <w:rsid w:val="00AB7186"/>
    <w:rsid w:val="00AB71DE"/>
    <w:rsid w:val="00AB7399"/>
    <w:rsid w:val="00AB7602"/>
    <w:rsid w:val="00AB786A"/>
    <w:rsid w:val="00AC01BE"/>
    <w:rsid w:val="00AC1102"/>
    <w:rsid w:val="00AC1CF8"/>
    <w:rsid w:val="00AC1E05"/>
    <w:rsid w:val="00AC2328"/>
    <w:rsid w:val="00AC26EE"/>
    <w:rsid w:val="00AC29C3"/>
    <w:rsid w:val="00AC2D78"/>
    <w:rsid w:val="00AC33F9"/>
    <w:rsid w:val="00AC34A4"/>
    <w:rsid w:val="00AC3696"/>
    <w:rsid w:val="00AC49F6"/>
    <w:rsid w:val="00AC4D32"/>
    <w:rsid w:val="00AC5092"/>
    <w:rsid w:val="00AC562C"/>
    <w:rsid w:val="00AC6174"/>
    <w:rsid w:val="00AD04E1"/>
    <w:rsid w:val="00AD058B"/>
    <w:rsid w:val="00AD0C10"/>
    <w:rsid w:val="00AD10A5"/>
    <w:rsid w:val="00AD1297"/>
    <w:rsid w:val="00AD16C5"/>
    <w:rsid w:val="00AD208F"/>
    <w:rsid w:val="00AD20A3"/>
    <w:rsid w:val="00AD28EA"/>
    <w:rsid w:val="00AD29E9"/>
    <w:rsid w:val="00AD2A59"/>
    <w:rsid w:val="00AD2AC8"/>
    <w:rsid w:val="00AD2CC5"/>
    <w:rsid w:val="00AD2E99"/>
    <w:rsid w:val="00AD33C0"/>
    <w:rsid w:val="00AD39DA"/>
    <w:rsid w:val="00AD3AED"/>
    <w:rsid w:val="00AD3FBC"/>
    <w:rsid w:val="00AD4CB1"/>
    <w:rsid w:val="00AD4D07"/>
    <w:rsid w:val="00AD51AF"/>
    <w:rsid w:val="00AD5799"/>
    <w:rsid w:val="00AD5AD7"/>
    <w:rsid w:val="00AD5DF0"/>
    <w:rsid w:val="00AD659A"/>
    <w:rsid w:val="00AD6669"/>
    <w:rsid w:val="00AD7908"/>
    <w:rsid w:val="00AD7911"/>
    <w:rsid w:val="00AE033F"/>
    <w:rsid w:val="00AE057D"/>
    <w:rsid w:val="00AE0892"/>
    <w:rsid w:val="00AE0C40"/>
    <w:rsid w:val="00AE0EE7"/>
    <w:rsid w:val="00AE10E2"/>
    <w:rsid w:val="00AE11FA"/>
    <w:rsid w:val="00AE1ABC"/>
    <w:rsid w:val="00AE1DA3"/>
    <w:rsid w:val="00AE22F3"/>
    <w:rsid w:val="00AE3028"/>
    <w:rsid w:val="00AE3099"/>
    <w:rsid w:val="00AE3129"/>
    <w:rsid w:val="00AE411F"/>
    <w:rsid w:val="00AE429A"/>
    <w:rsid w:val="00AE45DC"/>
    <w:rsid w:val="00AE4BFC"/>
    <w:rsid w:val="00AE5BA3"/>
    <w:rsid w:val="00AE5BED"/>
    <w:rsid w:val="00AE62DC"/>
    <w:rsid w:val="00AE65A8"/>
    <w:rsid w:val="00AE678D"/>
    <w:rsid w:val="00AE6984"/>
    <w:rsid w:val="00AE708F"/>
    <w:rsid w:val="00AE7262"/>
    <w:rsid w:val="00AE782D"/>
    <w:rsid w:val="00AF0895"/>
    <w:rsid w:val="00AF0ECF"/>
    <w:rsid w:val="00AF0EF2"/>
    <w:rsid w:val="00AF0FCA"/>
    <w:rsid w:val="00AF10B8"/>
    <w:rsid w:val="00AF1502"/>
    <w:rsid w:val="00AF18E0"/>
    <w:rsid w:val="00AF1B23"/>
    <w:rsid w:val="00AF1EEC"/>
    <w:rsid w:val="00AF25A4"/>
    <w:rsid w:val="00AF2B79"/>
    <w:rsid w:val="00AF2DD9"/>
    <w:rsid w:val="00AF3796"/>
    <w:rsid w:val="00AF384C"/>
    <w:rsid w:val="00AF3BE7"/>
    <w:rsid w:val="00AF3C78"/>
    <w:rsid w:val="00AF3EE8"/>
    <w:rsid w:val="00AF428F"/>
    <w:rsid w:val="00AF489E"/>
    <w:rsid w:val="00AF4C61"/>
    <w:rsid w:val="00AF4E8E"/>
    <w:rsid w:val="00AF500F"/>
    <w:rsid w:val="00AF51B5"/>
    <w:rsid w:val="00AF56D2"/>
    <w:rsid w:val="00AF57F7"/>
    <w:rsid w:val="00AF5A61"/>
    <w:rsid w:val="00AF653A"/>
    <w:rsid w:val="00AF66F7"/>
    <w:rsid w:val="00AF6B5B"/>
    <w:rsid w:val="00AF6BC1"/>
    <w:rsid w:val="00AF6C99"/>
    <w:rsid w:val="00AF731C"/>
    <w:rsid w:val="00AF73DD"/>
    <w:rsid w:val="00AF7656"/>
    <w:rsid w:val="00B00039"/>
    <w:rsid w:val="00B00080"/>
    <w:rsid w:val="00B001D4"/>
    <w:rsid w:val="00B00334"/>
    <w:rsid w:val="00B0076C"/>
    <w:rsid w:val="00B00B38"/>
    <w:rsid w:val="00B00F08"/>
    <w:rsid w:val="00B010D0"/>
    <w:rsid w:val="00B0163B"/>
    <w:rsid w:val="00B0188D"/>
    <w:rsid w:val="00B02034"/>
    <w:rsid w:val="00B020A5"/>
    <w:rsid w:val="00B0258C"/>
    <w:rsid w:val="00B028A6"/>
    <w:rsid w:val="00B02ABA"/>
    <w:rsid w:val="00B02E99"/>
    <w:rsid w:val="00B03703"/>
    <w:rsid w:val="00B03D6E"/>
    <w:rsid w:val="00B0419F"/>
    <w:rsid w:val="00B046D5"/>
    <w:rsid w:val="00B0486F"/>
    <w:rsid w:val="00B04C7F"/>
    <w:rsid w:val="00B050D1"/>
    <w:rsid w:val="00B0534A"/>
    <w:rsid w:val="00B05672"/>
    <w:rsid w:val="00B0628E"/>
    <w:rsid w:val="00B0646B"/>
    <w:rsid w:val="00B07693"/>
    <w:rsid w:val="00B077BD"/>
    <w:rsid w:val="00B0785B"/>
    <w:rsid w:val="00B07885"/>
    <w:rsid w:val="00B07B01"/>
    <w:rsid w:val="00B07B49"/>
    <w:rsid w:val="00B07CCE"/>
    <w:rsid w:val="00B0DD2E"/>
    <w:rsid w:val="00B10BC7"/>
    <w:rsid w:val="00B11326"/>
    <w:rsid w:val="00B115E2"/>
    <w:rsid w:val="00B11AA9"/>
    <w:rsid w:val="00B11EDC"/>
    <w:rsid w:val="00B128B3"/>
    <w:rsid w:val="00B1371E"/>
    <w:rsid w:val="00B13D21"/>
    <w:rsid w:val="00B13E61"/>
    <w:rsid w:val="00B14352"/>
    <w:rsid w:val="00B14A67"/>
    <w:rsid w:val="00B14DDA"/>
    <w:rsid w:val="00B155A6"/>
    <w:rsid w:val="00B15684"/>
    <w:rsid w:val="00B1588B"/>
    <w:rsid w:val="00B15E15"/>
    <w:rsid w:val="00B160AC"/>
    <w:rsid w:val="00B164CC"/>
    <w:rsid w:val="00B16E16"/>
    <w:rsid w:val="00B16EDB"/>
    <w:rsid w:val="00B171F8"/>
    <w:rsid w:val="00B1773F"/>
    <w:rsid w:val="00B177A5"/>
    <w:rsid w:val="00B17C4D"/>
    <w:rsid w:val="00B20334"/>
    <w:rsid w:val="00B20469"/>
    <w:rsid w:val="00B20915"/>
    <w:rsid w:val="00B209ED"/>
    <w:rsid w:val="00B20DFA"/>
    <w:rsid w:val="00B20F50"/>
    <w:rsid w:val="00B210FC"/>
    <w:rsid w:val="00B212F0"/>
    <w:rsid w:val="00B216FB"/>
    <w:rsid w:val="00B21731"/>
    <w:rsid w:val="00B21865"/>
    <w:rsid w:val="00B21E3F"/>
    <w:rsid w:val="00B22566"/>
    <w:rsid w:val="00B227CE"/>
    <w:rsid w:val="00B22E5E"/>
    <w:rsid w:val="00B23788"/>
    <w:rsid w:val="00B23CBA"/>
    <w:rsid w:val="00B2433F"/>
    <w:rsid w:val="00B248BF"/>
    <w:rsid w:val="00B2494C"/>
    <w:rsid w:val="00B24D5F"/>
    <w:rsid w:val="00B2534F"/>
    <w:rsid w:val="00B25AF4"/>
    <w:rsid w:val="00B25B34"/>
    <w:rsid w:val="00B266D6"/>
    <w:rsid w:val="00B269A9"/>
    <w:rsid w:val="00B274E9"/>
    <w:rsid w:val="00B27C67"/>
    <w:rsid w:val="00B30078"/>
    <w:rsid w:val="00B3030C"/>
    <w:rsid w:val="00B319AC"/>
    <w:rsid w:val="00B31A49"/>
    <w:rsid w:val="00B31BBE"/>
    <w:rsid w:val="00B329DF"/>
    <w:rsid w:val="00B32C4A"/>
    <w:rsid w:val="00B331D5"/>
    <w:rsid w:val="00B334E6"/>
    <w:rsid w:val="00B33CF4"/>
    <w:rsid w:val="00B34FBD"/>
    <w:rsid w:val="00B35C3A"/>
    <w:rsid w:val="00B364BE"/>
    <w:rsid w:val="00B36CF8"/>
    <w:rsid w:val="00B37A7B"/>
    <w:rsid w:val="00B37D08"/>
    <w:rsid w:val="00B4025A"/>
    <w:rsid w:val="00B4029F"/>
    <w:rsid w:val="00B4059F"/>
    <w:rsid w:val="00B4071E"/>
    <w:rsid w:val="00B4096D"/>
    <w:rsid w:val="00B40A11"/>
    <w:rsid w:val="00B426B6"/>
    <w:rsid w:val="00B42783"/>
    <w:rsid w:val="00B428EC"/>
    <w:rsid w:val="00B42AE4"/>
    <w:rsid w:val="00B4411E"/>
    <w:rsid w:val="00B442D8"/>
    <w:rsid w:val="00B44308"/>
    <w:rsid w:val="00B44490"/>
    <w:rsid w:val="00B44493"/>
    <w:rsid w:val="00B4467D"/>
    <w:rsid w:val="00B44C04"/>
    <w:rsid w:val="00B45183"/>
    <w:rsid w:val="00B451A9"/>
    <w:rsid w:val="00B45D41"/>
    <w:rsid w:val="00B46C98"/>
    <w:rsid w:val="00B46FED"/>
    <w:rsid w:val="00B4701A"/>
    <w:rsid w:val="00B47A2E"/>
    <w:rsid w:val="00B5029C"/>
    <w:rsid w:val="00B5042F"/>
    <w:rsid w:val="00B50D9F"/>
    <w:rsid w:val="00B50DF6"/>
    <w:rsid w:val="00B50E5C"/>
    <w:rsid w:val="00B515F3"/>
    <w:rsid w:val="00B51A8C"/>
    <w:rsid w:val="00B51C71"/>
    <w:rsid w:val="00B51DF8"/>
    <w:rsid w:val="00B52555"/>
    <w:rsid w:val="00B52588"/>
    <w:rsid w:val="00B52AA5"/>
    <w:rsid w:val="00B52DDB"/>
    <w:rsid w:val="00B53206"/>
    <w:rsid w:val="00B53634"/>
    <w:rsid w:val="00B53BBC"/>
    <w:rsid w:val="00B5407C"/>
    <w:rsid w:val="00B55693"/>
    <w:rsid w:val="00B55CD9"/>
    <w:rsid w:val="00B55EE8"/>
    <w:rsid w:val="00B5600D"/>
    <w:rsid w:val="00B5607B"/>
    <w:rsid w:val="00B568F5"/>
    <w:rsid w:val="00B5692B"/>
    <w:rsid w:val="00B570D4"/>
    <w:rsid w:val="00B5712C"/>
    <w:rsid w:val="00B5755F"/>
    <w:rsid w:val="00B602A8"/>
    <w:rsid w:val="00B604D6"/>
    <w:rsid w:val="00B60570"/>
    <w:rsid w:val="00B60A62"/>
    <w:rsid w:val="00B60B01"/>
    <w:rsid w:val="00B6145A"/>
    <w:rsid w:val="00B6196E"/>
    <w:rsid w:val="00B61B3F"/>
    <w:rsid w:val="00B61DA6"/>
    <w:rsid w:val="00B6213B"/>
    <w:rsid w:val="00B62903"/>
    <w:rsid w:val="00B62969"/>
    <w:rsid w:val="00B629BA"/>
    <w:rsid w:val="00B63443"/>
    <w:rsid w:val="00B63469"/>
    <w:rsid w:val="00B6347E"/>
    <w:rsid w:val="00B63890"/>
    <w:rsid w:val="00B63FC9"/>
    <w:rsid w:val="00B641F3"/>
    <w:rsid w:val="00B65AEB"/>
    <w:rsid w:val="00B65CD0"/>
    <w:rsid w:val="00B65D75"/>
    <w:rsid w:val="00B65DDD"/>
    <w:rsid w:val="00B66445"/>
    <w:rsid w:val="00B6650C"/>
    <w:rsid w:val="00B66606"/>
    <w:rsid w:val="00B66651"/>
    <w:rsid w:val="00B66D8C"/>
    <w:rsid w:val="00B67436"/>
    <w:rsid w:val="00B67798"/>
    <w:rsid w:val="00B7087E"/>
    <w:rsid w:val="00B71319"/>
    <w:rsid w:val="00B715FD"/>
    <w:rsid w:val="00B71F22"/>
    <w:rsid w:val="00B71F34"/>
    <w:rsid w:val="00B72252"/>
    <w:rsid w:val="00B723E4"/>
    <w:rsid w:val="00B72456"/>
    <w:rsid w:val="00B728BD"/>
    <w:rsid w:val="00B72D49"/>
    <w:rsid w:val="00B72E70"/>
    <w:rsid w:val="00B73364"/>
    <w:rsid w:val="00B743D1"/>
    <w:rsid w:val="00B74865"/>
    <w:rsid w:val="00B7487D"/>
    <w:rsid w:val="00B74967"/>
    <w:rsid w:val="00B75069"/>
    <w:rsid w:val="00B75252"/>
    <w:rsid w:val="00B761EB"/>
    <w:rsid w:val="00B76E05"/>
    <w:rsid w:val="00B77941"/>
    <w:rsid w:val="00B80EEB"/>
    <w:rsid w:val="00B81252"/>
    <w:rsid w:val="00B81281"/>
    <w:rsid w:val="00B812D1"/>
    <w:rsid w:val="00B8133C"/>
    <w:rsid w:val="00B81656"/>
    <w:rsid w:val="00B81A71"/>
    <w:rsid w:val="00B82529"/>
    <w:rsid w:val="00B826BD"/>
    <w:rsid w:val="00B82804"/>
    <w:rsid w:val="00B82A1A"/>
    <w:rsid w:val="00B82A5E"/>
    <w:rsid w:val="00B83048"/>
    <w:rsid w:val="00B832F1"/>
    <w:rsid w:val="00B840AC"/>
    <w:rsid w:val="00B85047"/>
    <w:rsid w:val="00B857CA"/>
    <w:rsid w:val="00B85A39"/>
    <w:rsid w:val="00B85B0C"/>
    <w:rsid w:val="00B85DD6"/>
    <w:rsid w:val="00B85ECA"/>
    <w:rsid w:val="00B861F9"/>
    <w:rsid w:val="00B86BFA"/>
    <w:rsid w:val="00B86DB9"/>
    <w:rsid w:val="00B870E0"/>
    <w:rsid w:val="00B902C8"/>
    <w:rsid w:val="00B905C6"/>
    <w:rsid w:val="00B90681"/>
    <w:rsid w:val="00B914DE"/>
    <w:rsid w:val="00B91666"/>
    <w:rsid w:val="00B917D8"/>
    <w:rsid w:val="00B91E0A"/>
    <w:rsid w:val="00B9221A"/>
    <w:rsid w:val="00B9277A"/>
    <w:rsid w:val="00B92A8E"/>
    <w:rsid w:val="00B9325F"/>
    <w:rsid w:val="00B937B1"/>
    <w:rsid w:val="00B93843"/>
    <w:rsid w:val="00B93D0E"/>
    <w:rsid w:val="00B93E12"/>
    <w:rsid w:val="00B94030"/>
    <w:rsid w:val="00B94472"/>
    <w:rsid w:val="00B944CF"/>
    <w:rsid w:val="00B94843"/>
    <w:rsid w:val="00B94C48"/>
    <w:rsid w:val="00B94D8F"/>
    <w:rsid w:val="00B94E55"/>
    <w:rsid w:val="00B94EC9"/>
    <w:rsid w:val="00B95149"/>
    <w:rsid w:val="00B95651"/>
    <w:rsid w:val="00B9568E"/>
    <w:rsid w:val="00B95B74"/>
    <w:rsid w:val="00B95C33"/>
    <w:rsid w:val="00B960D4"/>
    <w:rsid w:val="00B96195"/>
    <w:rsid w:val="00B96937"/>
    <w:rsid w:val="00B969F9"/>
    <w:rsid w:val="00B96B42"/>
    <w:rsid w:val="00B9719B"/>
    <w:rsid w:val="00B97323"/>
    <w:rsid w:val="00B975C1"/>
    <w:rsid w:val="00B97D64"/>
    <w:rsid w:val="00B97DA1"/>
    <w:rsid w:val="00B97E32"/>
    <w:rsid w:val="00BA030E"/>
    <w:rsid w:val="00BA03B4"/>
    <w:rsid w:val="00BA064B"/>
    <w:rsid w:val="00BA07B0"/>
    <w:rsid w:val="00BA0E90"/>
    <w:rsid w:val="00BA161F"/>
    <w:rsid w:val="00BA176D"/>
    <w:rsid w:val="00BA1BF1"/>
    <w:rsid w:val="00BA1C95"/>
    <w:rsid w:val="00BA1E47"/>
    <w:rsid w:val="00BA225A"/>
    <w:rsid w:val="00BA29E8"/>
    <w:rsid w:val="00BA2C9A"/>
    <w:rsid w:val="00BA2FA4"/>
    <w:rsid w:val="00BA3EDE"/>
    <w:rsid w:val="00BA4083"/>
    <w:rsid w:val="00BA4895"/>
    <w:rsid w:val="00BA4897"/>
    <w:rsid w:val="00BA4F82"/>
    <w:rsid w:val="00BA5202"/>
    <w:rsid w:val="00BA5B66"/>
    <w:rsid w:val="00BA6D97"/>
    <w:rsid w:val="00BA6F71"/>
    <w:rsid w:val="00BA73C2"/>
    <w:rsid w:val="00BA7F98"/>
    <w:rsid w:val="00BA7FB5"/>
    <w:rsid w:val="00BB0940"/>
    <w:rsid w:val="00BB0C93"/>
    <w:rsid w:val="00BB0E4C"/>
    <w:rsid w:val="00BB1B3D"/>
    <w:rsid w:val="00BB1D78"/>
    <w:rsid w:val="00BB2145"/>
    <w:rsid w:val="00BB2387"/>
    <w:rsid w:val="00BB23ED"/>
    <w:rsid w:val="00BB2573"/>
    <w:rsid w:val="00BB3349"/>
    <w:rsid w:val="00BB3C8B"/>
    <w:rsid w:val="00BB46CE"/>
    <w:rsid w:val="00BB51B1"/>
    <w:rsid w:val="00BB55C5"/>
    <w:rsid w:val="00BB6150"/>
    <w:rsid w:val="00BB6283"/>
    <w:rsid w:val="00BB65A8"/>
    <w:rsid w:val="00BB6620"/>
    <w:rsid w:val="00BB67E8"/>
    <w:rsid w:val="00BB68F4"/>
    <w:rsid w:val="00BB6BE7"/>
    <w:rsid w:val="00BB6D96"/>
    <w:rsid w:val="00BB7106"/>
    <w:rsid w:val="00BB7AD4"/>
    <w:rsid w:val="00BB7AFD"/>
    <w:rsid w:val="00BB7F1D"/>
    <w:rsid w:val="00BC018F"/>
    <w:rsid w:val="00BC07D4"/>
    <w:rsid w:val="00BC0B43"/>
    <w:rsid w:val="00BC127D"/>
    <w:rsid w:val="00BC13B9"/>
    <w:rsid w:val="00BC1439"/>
    <w:rsid w:val="00BC145B"/>
    <w:rsid w:val="00BC19DE"/>
    <w:rsid w:val="00BC201A"/>
    <w:rsid w:val="00BC208B"/>
    <w:rsid w:val="00BC2AE8"/>
    <w:rsid w:val="00BC3011"/>
    <w:rsid w:val="00BC3554"/>
    <w:rsid w:val="00BC4AA9"/>
    <w:rsid w:val="00BC5319"/>
    <w:rsid w:val="00BC5749"/>
    <w:rsid w:val="00BC5C16"/>
    <w:rsid w:val="00BC601C"/>
    <w:rsid w:val="00BC612D"/>
    <w:rsid w:val="00BC63B2"/>
    <w:rsid w:val="00BC69B2"/>
    <w:rsid w:val="00BC6E78"/>
    <w:rsid w:val="00BC7012"/>
    <w:rsid w:val="00BC703B"/>
    <w:rsid w:val="00BC70FB"/>
    <w:rsid w:val="00BC7125"/>
    <w:rsid w:val="00BC7508"/>
    <w:rsid w:val="00BC7F7E"/>
    <w:rsid w:val="00BD01F3"/>
    <w:rsid w:val="00BD086E"/>
    <w:rsid w:val="00BD0E84"/>
    <w:rsid w:val="00BD156F"/>
    <w:rsid w:val="00BD17CD"/>
    <w:rsid w:val="00BD1EA4"/>
    <w:rsid w:val="00BD2497"/>
    <w:rsid w:val="00BD2E9A"/>
    <w:rsid w:val="00BD342D"/>
    <w:rsid w:val="00BD35F0"/>
    <w:rsid w:val="00BD369B"/>
    <w:rsid w:val="00BD369F"/>
    <w:rsid w:val="00BD3D8A"/>
    <w:rsid w:val="00BD3EB6"/>
    <w:rsid w:val="00BD3FC3"/>
    <w:rsid w:val="00BD4163"/>
    <w:rsid w:val="00BD47C2"/>
    <w:rsid w:val="00BD4982"/>
    <w:rsid w:val="00BD4C60"/>
    <w:rsid w:val="00BD4FBF"/>
    <w:rsid w:val="00BD52F0"/>
    <w:rsid w:val="00BD53EC"/>
    <w:rsid w:val="00BD57C3"/>
    <w:rsid w:val="00BD59DA"/>
    <w:rsid w:val="00BD5BDD"/>
    <w:rsid w:val="00BD5CCA"/>
    <w:rsid w:val="00BD5E74"/>
    <w:rsid w:val="00BD6A36"/>
    <w:rsid w:val="00BD6BF2"/>
    <w:rsid w:val="00BD7085"/>
    <w:rsid w:val="00BD7860"/>
    <w:rsid w:val="00BD7A07"/>
    <w:rsid w:val="00BDF121"/>
    <w:rsid w:val="00BE0832"/>
    <w:rsid w:val="00BE0A1B"/>
    <w:rsid w:val="00BE0C66"/>
    <w:rsid w:val="00BE1111"/>
    <w:rsid w:val="00BE15C9"/>
    <w:rsid w:val="00BE196E"/>
    <w:rsid w:val="00BE1AF8"/>
    <w:rsid w:val="00BE265C"/>
    <w:rsid w:val="00BE2F02"/>
    <w:rsid w:val="00BE34BD"/>
    <w:rsid w:val="00BE3501"/>
    <w:rsid w:val="00BE3966"/>
    <w:rsid w:val="00BE3BF5"/>
    <w:rsid w:val="00BE3E73"/>
    <w:rsid w:val="00BE3E7F"/>
    <w:rsid w:val="00BE4142"/>
    <w:rsid w:val="00BE41E5"/>
    <w:rsid w:val="00BE4B21"/>
    <w:rsid w:val="00BE4C4C"/>
    <w:rsid w:val="00BE4DF8"/>
    <w:rsid w:val="00BE5892"/>
    <w:rsid w:val="00BE5992"/>
    <w:rsid w:val="00BE5BD3"/>
    <w:rsid w:val="00BE61E9"/>
    <w:rsid w:val="00BE6DA4"/>
    <w:rsid w:val="00BE7116"/>
    <w:rsid w:val="00BE715A"/>
    <w:rsid w:val="00BE74B7"/>
    <w:rsid w:val="00BE7C7B"/>
    <w:rsid w:val="00BEF57F"/>
    <w:rsid w:val="00BF0438"/>
    <w:rsid w:val="00BF16B8"/>
    <w:rsid w:val="00BF1782"/>
    <w:rsid w:val="00BF204C"/>
    <w:rsid w:val="00BF241A"/>
    <w:rsid w:val="00BF2446"/>
    <w:rsid w:val="00BF28A6"/>
    <w:rsid w:val="00BF2B74"/>
    <w:rsid w:val="00BF2BEA"/>
    <w:rsid w:val="00BF2D06"/>
    <w:rsid w:val="00BF2FF1"/>
    <w:rsid w:val="00BF32E9"/>
    <w:rsid w:val="00BF3889"/>
    <w:rsid w:val="00BF38DF"/>
    <w:rsid w:val="00BF4643"/>
    <w:rsid w:val="00BF47DC"/>
    <w:rsid w:val="00BF4CA9"/>
    <w:rsid w:val="00BF519E"/>
    <w:rsid w:val="00BF5ABD"/>
    <w:rsid w:val="00BF5F64"/>
    <w:rsid w:val="00BF66DB"/>
    <w:rsid w:val="00BF6D62"/>
    <w:rsid w:val="00BF7608"/>
    <w:rsid w:val="00BF761B"/>
    <w:rsid w:val="00BF76D6"/>
    <w:rsid w:val="00BF77C3"/>
    <w:rsid w:val="00BF7809"/>
    <w:rsid w:val="00BF7A44"/>
    <w:rsid w:val="00BF7B8B"/>
    <w:rsid w:val="00C001D0"/>
    <w:rsid w:val="00C01542"/>
    <w:rsid w:val="00C0171E"/>
    <w:rsid w:val="00C01AAB"/>
    <w:rsid w:val="00C01C7B"/>
    <w:rsid w:val="00C01F8D"/>
    <w:rsid w:val="00C02048"/>
    <w:rsid w:val="00C021D7"/>
    <w:rsid w:val="00C02488"/>
    <w:rsid w:val="00C025F5"/>
    <w:rsid w:val="00C0293B"/>
    <w:rsid w:val="00C02A65"/>
    <w:rsid w:val="00C03024"/>
    <w:rsid w:val="00C031D6"/>
    <w:rsid w:val="00C03828"/>
    <w:rsid w:val="00C0396C"/>
    <w:rsid w:val="00C03BFC"/>
    <w:rsid w:val="00C05161"/>
    <w:rsid w:val="00C053BF"/>
    <w:rsid w:val="00C053E2"/>
    <w:rsid w:val="00C0540F"/>
    <w:rsid w:val="00C05530"/>
    <w:rsid w:val="00C05676"/>
    <w:rsid w:val="00C058B9"/>
    <w:rsid w:val="00C05CFA"/>
    <w:rsid w:val="00C05DBE"/>
    <w:rsid w:val="00C05EEC"/>
    <w:rsid w:val="00C06227"/>
    <w:rsid w:val="00C076CF"/>
    <w:rsid w:val="00C07B3F"/>
    <w:rsid w:val="00C07CEA"/>
    <w:rsid w:val="00C07D0A"/>
    <w:rsid w:val="00C07DFE"/>
    <w:rsid w:val="00C103BA"/>
    <w:rsid w:val="00C10597"/>
    <w:rsid w:val="00C110E9"/>
    <w:rsid w:val="00C11E73"/>
    <w:rsid w:val="00C12303"/>
    <w:rsid w:val="00C12426"/>
    <w:rsid w:val="00C124C3"/>
    <w:rsid w:val="00C128FD"/>
    <w:rsid w:val="00C12ABA"/>
    <w:rsid w:val="00C12B82"/>
    <w:rsid w:val="00C12C06"/>
    <w:rsid w:val="00C13A02"/>
    <w:rsid w:val="00C1440F"/>
    <w:rsid w:val="00C14B0C"/>
    <w:rsid w:val="00C151CE"/>
    <w:rsid w:val="00C15417"/>
    <w:rsid w:val="00C15986"/>
    <w:rsid w:val="00C15A43"/>
    <w:rsid w:val="00C15F0F"/>
    <w:rsid w:val="00C163C6"/>
    <w:rsid w:val="00C17A18"/>
    <w:rsid w:val="00C2010B"/>
    <w:rsid w:val="00C201EF"/>
    <w:rsid w:val="00C2079B"/>
    <w:rsid w:val="00C2113C"/>
    <w:rsid w:val="00C218DE"/>
    <w:rsid w:val="00C21931"/>
    <w:rsid w:val="00C21AF8"/>
    <w:rsid w:val="00C22168"/>
    <w:rsid w:val="00C2253C"/>
    <w:rsid w:val="00C22DED"/>
    <w:rsid w:val="00C22DF7"/>
    <w:rsid w:val="00C2303A"/>
    <w:rsid w:val="00C23162"/>
    <w:rsid w:val="00C23595"/>
    <w:rsid w:val="00C23A05"/>
    <w:rsid w:val="00C23BF2"/>
    <w:rsid w:val="00C24FFF"/>
    <w:rsid w:val="00C25250"/>
    <w:rsid w:val="00C2552E"/>
    <w:rsid w:val="00C2585A"/>
    <w:rsid w:val="00C25FFC"/>
    <w:rsid w:val="00C260DA"/>
    <w:rsid w:val="00C261CD"/>
    <w:rsid w:val="00C263F8"/>
    <w:rsid w:val="00C2647A"/>
    <w:rsid w:val="00C265FD"/>
    <w:rsid w:val="00C266E5"/>
    <w:rsid w:val="00C27394"/>
    <w:rsid w:val="00C30929"/>
    <w:rsid w:val="00C30F04"/>
    <w:rsid w:val="00C31411"/>
    <w:rsid w:val="00C3234D"/>
    <w:rsid w:val="00C3253C"/>
    <w:rsid w:val="00C32722"/>
    <w:rsid w:val="00C32764"/>
    <w:rsid w:val="00C33444"/>
    <w:rsid w:val="00C33957"/>
    <w:rsid w:val="00C33985"/>
    <w:rsid w:val="00C3485F"/>
    <w:rsid w:val="00C34C05"/>
    <w:rsid w:val="00C3566C"/>
    <w:rsid w:val="00C35CEF"/>
    <w:rsid w:val="00C35DFE"/>
    <w:rsid w:val="00C361B5"/>
    <w:rsid w:val="00C36311"/>
    <w:rsid w:val="00C367C4"/>
    <w:rsid w:val="00C369CB"/>
    <w:rsid w:val="00C37FA0"/>
    <w:rsid w:val="00C40555"/>
    <w:rsid w:val="00C40865"/>
    <w:rsid w:val="00C40898"/>
    <w:rsid w:val="00C40A70"/>
    <w:rsid w:val="00C41093"/>
    <w:rsid w:val="00C419F5"/>
    <w:rsid w:val="00C41D23"/>
    <w:rsid w:val="00C41EAD"/>
    <w:rsid w:val="00C4209D"/>
    <w:rsid w:val="00C423C5"/>
    <w:rsid w:val="00C42D71"/>
    <w:rsid w:val="00C432E1"/>
    <w:rsid w:val="00C43304"/>
    <w:rsid w:val="00C43540"/>
    <w:rsid w:val="00C436CA"/>
    <w:rsid w:val="00C438BA"/>
    <w:rsid w:val="00C446AF"/>
    <w:rsid w:val="00C446F9"/>
    <w:rsid w:val="00C44995"/>
    <w:rsid w:val="00C45B14"/>
    <w:rsid w:val="00C45BCC"/>
    <w:rsid w:val="00C45D5B"/>
    <w:rsid w:val="00C45DD9"/>
    <w:rsid w:val="00C45DE6"/>
    <w:rsid w:val="00C4676A"/>
    <w:rsid w:val="00C500C2"/>
    <w:rsid w:val="00C508BC"/>
    <w:rsid w:val="00C50A47"/>
    <w:rsid w:val="00C50DE3"/>
    <w:rsid w:val="00C51865"/>
    <w:rsid w:val="00C52701"/>
    <w:rsid w:val="00C52A6F"/>
    <w:rsid w:val="00C52E42"/>
    <w:rsid w:val="00C531CA"/>
    <w:rsid w:val="00C5340F"/>
    <w:rsid w:val="00C53726"/>
    <w:rsid w:val="00C538B2"/>
    <w:rsid w:val="00C54526"/>
    <w:rsid w:val="00C54E45"/>
    <w:rsid w:val="00C558E7"/>
    <w:rsid w:val="00C559C0"/>
    <w:rsid w:val="00C56099"/>
    <w:rsid w:val="00C56123"/>
    <w:rsid w:val="00C5639C"/>
    <w:rsid w:val="00C563D3"/>
    <w:rsid w:val="00C56675"/>
    <w:rsid w:val="00C56C59"/>
    <w:rsid w:val="00C5751F"/>
    <w:rsid w:val="00C57D86"/>
    <w:rsid w:val="00C60151"/>
    <w:rsid w:val="00C60389"/>
    <w:rsid w:val="00C607B1"/>
    <w:rsid w:val="00C607EB"/>
    <w:rsid w:val="00C60A0A"/>
    <w:rsid w:val="00C6217C"/>
    <w:rsid w:val="00C622D0"/>
    <w:rsid w:val="00C625A8"/>
    <w:rsid w:val="00C62C6E"/>
    <w:rsid w:val="00C62E8D"/>
    <w:rsid w:val="00C62FF5"/>
    <w:rsid w:val="00C63223"/>
    <w:rsid w:val="00C63B97"/>
    <w:rsid w:val="00C63DCF"/>
    <w:rsid w:val="00C63DE3"/>
    <w:rsid w:val="00C63FAB"/>
    <w:rsid w:val="00C64BF4"/>
    <w:rsid w:val="00C654F2"/>
    <w:rsid w:val="00C659A4"/>
    <w:rsid w:val="00C65A88"/>
    <w:rsid w:val="00C65C80"/>
    <w:rsid w:val="00C65DFA"/>
    <w:rsid w:val="00C66E1D"/>
    <w:rsid w:val="00C67729"/>
    <w:rsid w:val="00C67D86"/>
    <w:rsid w:val="00C705D4"/>
    <w:rsid w:val="00C705E1"/>
    <w:rsid w:val="00C709CD"/>
    <w:rsid w:val="00C70ED6"/>
    <w:rsid w:val="00C71DF8"/>
    <w:rsid w:val="00C72697"/>
    <w:rsid w:val="00C72DC3"/>
    <w:rsid w:val="00C730B2"/>
    <w:rsid w:val="00C7328E"/>
    <w:rsid w:val="00C732BD"/>
    <w:rsid w:val="00C733C0"/>
    <w:rsid w:val="00C73D3F"/>
    <w:rsid w:val="00C74E89"/>
    <w:rsid w:val="00C752B5"/>
    <w:rsid w:val="00C7598E"/>
    <w:rsid w:val="00C76497"/>
    <w:rsid w:val="00C770B4"/>
    <w:rsid w:val="00C77579"/>
    <w:rsid w:val="00C775D0"/>
    <w:rsid w:val="00C7764E"/>
    <w:rsid w:val="00C778EE"/>
    <w:rsid w:val="00C77D41"/>
    <w:rsid w:val="00C8006D"/>
    <w:rsid w:val="00C800F4"/>
    <w:rsid w:val="00C80DF6"/>
    <w:rsid w:val="00C80FA7"/>
    <w:rsid w:val="00C81076"/>
    <w:rsid w:val="00C8154B"/>
    <w:rsid w:val="00C8163E"/>
    <w:rsid w:val="00C817C4"/>
    <w:rsid w:val="00C81861"/>
    <w:rsid w:val="00C81AF0"/>
    <w:rsid w:val="00C81FCC"/>
    <w:rsid w:val="00C821C6"/>
    <w:rsid w:val="00C823BB"/>
    <w:rsid w:val="00C82946"/>
    <w:rsid w:val="00C831ED"/>
    <w:rsid w:val="00C836FA"/>
    <w:rsid w:val="00C8376D"/>
    <w:rsid w:val="00C83930"/>
    <w:rsid w:val="00C8476A"/>
    <w:rsid w:val="00C84C7C"/>
    <w:rsid w:val="00C84E82"/>
    <w:rsid w:val="00C84ECE"/>
    <w:rsid w:val="00C85E74"/>
    <w:rsid w:val="00C85E76"/>
    <w:rsid w:val="00C85F38"/>
    <w:rsid w:val="00C8686D"/>
    <w:rsid w:val="00C871C8"/>
    <w:rsid w:val="00C871F7"/>
    <w:rsid w:val="00C87245"/>
    <w:rsid w:val="00C87992"/>
    <w:rsid w:val="00C87BA9"/>
    <w:rsid w:val="00C902E3"/>
    <w:rsid w:val="00C90446"/>
    <w:rsid w:val="00C90460"/>
    <w:rsid w:val="00C907DF"/>
    <w:rsid w:val="00C915F6"/>
    <w:rsid w:val="00C91D15"/>
    <w:rsid w:val="00C91D6D"/>
    <w:rsid w:val="00C91E2B"/>
    <w:rsid w:val="00C9203A"/>
    <w:rsid w:val="00C9253A"/>
    <w:rsid w:val="00C926B8"/>
    <w:rsid w:val="00C92717"/>
    <w:rsid w:val="00C929B7"/>
    <w:rsid w:val="00C92C4D"/>
    <w:rsid w:val="00C93231"/>
    <w:rsid w:val="00C935CF"/>
    <w:rsid w:val="00C937F8"/>
    <w:rsid w:val="00C93ED8"/>
    <w:rsid w:val="00C93F86"/>
    <w:rsid w:val="00C941B7"/>
    <w:rsid w:val="00C94511"/>
    <w:rsid w:val="00C94676"/>
    <w:rsid w:val="00C94BEC"/>
    <w:rsid w:val="00C94CC7"/>
    <w:rsid w:val="00C94D1E"/>
    <w:rsid w:val="00C9567F"/>
    <w:rsid w:val="00C957FD"/>
    <w:rsid w:val="00C9581C"/>
    <w:rsid w:val="00C961C7"/>
    <w:rsid w:val="00C961FE"/>
    <w:rsid w:val="00C96484"/>
    <w:rsid w:val="00C96626"/>
    <w:rsid w:val="00C9764F"/>
    <w:rsid w:val="00C9796F"/>
    <w:rsid w:val="00C979A9"/>
    <w:rsid w:val="00CA0259"/>
    <w:rsid w:val="00CA0372"/>
    <w:rsid w:val="00CA04E1"/>
    <w:rsid w:val="00CA0B18"/>
    <w:rsid w:val="00CA0CEF"/>
    <w:rsid w:val="00CA13EE"/>
    <w:rsid w:val="00CA1A63"/>
    <w:rsid w:val="00CA2567"/>
    <w:rsid w:val="00CA30F4"/>
    <w:rsid w:val="00CA3448"/>
    <w:rsid w:val="00CA3BC2"/>
    <w:rsid w:val="00CA4221"/>
    <w:rsid w:val="00CA43BB"/>
    <w:rsid w:val="00CA4AB1"/>
    <w:rsid w:val="00CA4FC5"/>
    <w:rsid w:val="00CA55A4"/>
    <w:rsid w:val="00CA5B2A"/>
    <w:rsid w:val="00CA601E"/>
    <w:rsid w:val="00CA61C9"/>
    <w:rsid w:val="00CA684A"/>
    <w:rsid w:val="00CA6919"/>
    <w:rsid w:val="00CA6A6B"/>
    <w:rsid w:val="00CA6AAD"/>
    <w:rsid w:val="00CA6AF7"/>
    <w:rsid w:val="00CA774B"/>
    <w:rsid w:val="00CA7906"/>
    <w:rsid w:val="00CA7D80"/>
    <w:rsid w:val="00CB0529"/>
    <w:rsid w:val="00CB0982"/>
    <w:rsid w:val="00CB1367"/>
    <w:rsid w:val="00CB17DB"/>
    <w:rsid w:val="00CB1850"/>
    <w:rsid w:val="00CB1B08"/>
    <w:rsid w:val="00CB1DA2"/>
    <w:rsid w:val="00CB205D"/>
    <w:rsid w:val="00CB248E"/>
    <w:rsid w:val="00CB31AD"/>
    <w:rsid w:val="00CB35C7"/>
    <w:rsid w:val="00CB3726"/>
    <w:rsid w:val="00CB3D30"/>
    <w:rsid w:val="00CB3EF2"/>
    <w:rsid w:val="00CB3F66"/>
    <w:rsid w:val="00CB44BB"/>
    <w:rsid w:val="00CB5B45"/>
    <w:rsid w:val="00CB5C22"/>
    <w:rsid w:val="00CB5D11"/>
    <w:rsid w:val="00CB5EFA"/>
    <w:rsid w:val="00CB5F1D"/>
    <w:rsid w:val="00CB5FBB"/>
    <w:rsid w:val="00CB63A1"/>
    <w:rsid w:val="00CB6893"/>
    <w:rsid w:val="00CB691E"/>
    <w:rsid w:val="00CB7A82"/>
    <w:rsid w:val="00CC039B"/>
    <w:rsid w:val="00CC06D9"/>
    <w:rsid w:val="00CC0938"/>
    <w:rsid w:val="00CC0A28"/>
    <w:rsid w:val="00CC105E"/>
    <w:rsid w:val="00CC125E"/>
    <w:rsid w:val="00CC158D"/>
    <w:rsid w:val="00CC1C8D"/>
    <w:rsid w:val="00CC2551"/>
    <w:rsid w:val="00CC2AAC"/>
    <w:rsid w:val="00CC3B0C"/>
    <w:rsid w:val="00CC40D3"/>
    <w:rsid w:val="00CC4254"/>
    <w:rsid w:val="00CC4F34"/>
    <w:rsid w:val="00CC5688"/>
    <w:rsid w:val="00CC58B7"/>
    <w:rsid w:val="00CC5CF0"/>
    <w:rsid w:val="00CC611B"/>
    <w:rsid w:val="00CC633F"/>
    <w:rsid w:val="00CC6A1B"/>
    <w:rsid w:val="00CC6D2F"/>
    <w:rsid w:val="00CC75BF"/>
    <w:rsid w:val="00CC7B19"/>
    <w:rsid w:val="00CC7FEC"/>
    <w:rsid w:val="00CD0883"/>
    <w:rsid w:val="00CD0CC0"/>
    <w:rsid w:val="00CD0F3E"/>
    <w:rsid w:val="00CD117B"/>
    <w:rsid w:val="00CD1562"/>
    <w:rsid w:val="00CD1696"/>
    <w:rsid w:val="00CD1847"/>
    <w:rsid w:val="00CD2024"/>
    <w:rsid w:val="00CD2632"/>
    <w:rsid w:val="00CD2AE0"/>
    <w:rsid w:val="00CD2BAF"/>
    <w:rsid w:val="00CD2DD3"/>
    <w:rsid w:val="00CD316C"/>
    <w:rsid w:val="00CD38C9"/>
    <w:rsid w:val="00CD40B2"/>
    <w:rsid w:val="00CD47F7"/>
    <w:rsid w:val="00CD4853"/>
    <w:rsid w:val="00CD4E0B"/>
    <w:rsid w:val="00CD5097"/>
    <w:rsid w:val="00CD557C"/>
    <w:rsid w:val="00CD57C1"/>
    <w:rsid w:val="00CD5961"/>
    <w:rsid w:val="00CD59FB"/>
    <w:rsid w:val="00CD5A59"/>
    <w:rsid w:val="00CD5E41"/>
    <w:rsid w:val="00CD5E7F"/>
    <w:rsid w:val="00CD6847"/>
    <w:rsid w:val="00CD6E2C"/>
    <w:rsid w:val="00CD6F59"/>
    <w:rsid w:val="00CD7319"/>
    <w:rsid w:val="00CE05CE"/>
    <w:rsid w:val="00CE06BE"/>
    <w:rsid w:val="00CE090E"/>
    <w:rsid w:val="00CE09F4"/>
    <w:rsid w:val="00CE1266"/>
    <w:rsid w:val="00CE14DD"/>
    <w:rsid w:val="00CE1523"/>
    <w:rsid w:val="00CE17D5"/>
    <w:rsid w:val="00CE1DC4"/>
    <w:rsid w:val="00CE1EA0"/>
    <w:rsid w:val="00CE2383"/>
    <w:rsid w:val="00CE3146"/>
    <w:rsid w:val="00CE347F"/>
    <w:rsid w:val="00CE37E8"/>
    <w:rsid w:val="00CE48C9"/>
    <w:rsid w:val="00CE49F7"/>
    <w:rsid w:val="00CE4B3D"/>
    <w:rsid w:val="00CE5014"/>
    <w:rsid w:val="00CE501F"/>
    <w:rsid w:val="00CE52FC"/>
    <w:rsid w:val="00CE5370"/>
    <w:rsid w:val="00CE62A8"/>
    <w:rsid w:val="00CE65B7"/>
    <w:rsid w:val="00CE6DD1"/>
    <w:rsid w:val="00CE7009"/>
    <w:rsid w:val="00CE7016"/>
    <w:rsid w:val="00CE79C2"/>
    <w:rsid w:val="00CE7A19"/>
    <w:rsid w:val="00CE7BBB"/>
    <w:rsid w:val="00CE7EB2"/>
    <w:rsid w:val="00CE7F05"/>
    <w:rsid w:val="00CF0810"/>
    <w:rsid w:val="00CF0970"/>
    <w:rsid w:val="00CF0ED6"/>
    <w:rsid w:val="00CF10FF"/>
    <w:rsid w:val="00CF1959"/>
    <w:rsid w:val="00CF1F58"/>
    <w:rsid w:val="00CF27E5"/>
    <w:rsid w:val="00CF2D93"/>
    <w:rsid w:val="00CF3580"/>
    <w:rsid w:val="00CF36AA"/>
    <w:rsid w:val="00CF38CD"/>
    <w:rsid w:val="00CF392F"/>
    <w:rsid w:val="00CF3E2A"/>
    <w:rsid w:val="00CF45BC"/>
    <w:rsid w:val="00CF47F9"/>
    <w:rsid w:val="00CF53AC"/>
    <w:rsid w:val="00CF548B"/>
    <w:rsid w:val="00CF554E"/>
    <w:rsid w:val="00CF58E4"/>
    <w:rsid w:val="00CF5AC9"/>
    <w:rsid w:val="00CF66DE"/>
    <w:rsid w:val="00CF678B"/>
    <w:rsid w:val="00CF698C"/>
    <w:rsid w:val="00CF6A4D"/>
    <w:rsid w:val="00CF7382"/>
    <w:rsid w:val="00CF799D"/>
    <w:rsid w:val="00CF7F25"/>
    <w:rsid w:val="00D0021C"/>
    <w:rsid w:val="00D00618"/>
    <w:rsid w:val="00D00EEE"/>
    <w:rsid w:val="00D011F5"/>
    <w:rsid w:val="00D01266"/>
    <w:rsid w:val="00D01382"/>
    <w:rsid w:val="00D01501"/>
    <w:rsid w:val="00D015CC"/>
    <w:rsid w:val="00D01BEE"/>
    <w:rsid w:val="00D01D60"/>
    <w:rsid w:val="00D0209B"/>
    <w:rsid w:val="00D02996"/>
    <w:rsid w:val="00D02BA2"/>
    <w:rsid w:val="00D02F92"/>
    <w:rsid w:val="00D03994"/>
    <w:rsid w:val="00D03A17"/>
    <w:rsid w:val="00D03C92"/>
    <w:rsid w:val="00D03DD7"/>
    <w:rsid w:val="00D04059"/>
    <w:rsid w:val="00D055D8"/>
    <w:rsid w:val="00D066ED"/>
    <w:rsid w:val="00D06BCA"/>
    <w:rsid w:val="00D06C21"/>
    <w:rsid w:val="00D06DAF"/>
    <w:rsid w:val="00D07153"/>
    <w:rsid w:val="00D0764D"/>
    <w:rsid w:val="00D076FE"/>
    <w:rsid w:val="00D10271"/>
    <w:rsid w:val="00D108B4"/>
    <w:rsid w:val="00D11766"/>
    <w:rsid w:val="00D11A33"/>
    <w:rsid w:val="00D12284"/>
    <w:rsid w:val="00D12662"/>
    <w:rsid w:val="00D1281F"/>
    <w:rsid w:val="00D12929"/>
    <w:rsid w:val="00D12B01"/>
    <w:rsid w:val="00D133E1"/>
    <w:rsid w:val="00D136AE"/>
    <w:rsid w:val="00D1427B"/>
    <w:rsid w:val="00D1431E"/>
    <w:rsid w:val="00D14B0A"/>
    <w:rsid w:val="00D1565C"/>
    <w:rsid w:val="00D15CFA"/>
    <w:rsid w:val="00D15E9D"/>
    <w:rsid w:val="00D15EC0"/>
    <w:rsid w:val="00D16A1D"/>
    <w:rsid w:val="00D16C46"/>
    <w:rsid w:val="00D16EDD"/>
    <w:rsid w:val="00D2060D"/>
    <w:rsid w:val="00D206A6"/>
    <w:rsid w:val="00D20999"/>
    <w:rsid w:val="00D20D9D"/>
    <w:rsid w:val="00D21C77"/>
    <w:rsid w:val="00D2229E"/>
    <w:rsid w:val="00D225B6"/>
    <w:rsid w:val="00D22A96"/>
    <w:rsid w:val="00D22B0C"/>
    <w:rsid w:val="00D22B8F"/>
    <w:rsid w:val="00D22BEF"/>
    <w:rsid w:val="00D2330F"/>
    <w:rsid w:val="00D235C0"/>
    <w:rsid w:val="00D23AE0"/>
    <w:rsid w:val="00D23CA9"/>
    <w:rsid w:val="00D23FE9"/>
    <w:rsid w:val="00D24D4D"/>
    <w:rsid w:val="00D2511E"/>
    <w:rsid w:val="00D25193"/>
    <w:rsid w:val="00D25572"/>
    <w:rsid w:val="00D25664"/>
    <w:rsid w:val="00D2575F"/>
    <w:rsid w:val="00D25BC5"/>
    <w:rsid w:val="00D25F32"/>
    <w:rsid w:val="00D2629C"/>
    <w:rsid w:val="00D26445"/>
    <w:rsid w:val="00D26CD6"/>
    <w:rsid w:val="00D27EE5"/>
    <w:rsid w:val="00D303EE"/>
    <w:rsid w:val="00D304E7"/>
    <w:rsid w:val="00D30672"/>
    <w:rsid w:val="00D314EE"/>
    <w:rsid w:val="00D31751"/>
    <w:rsid w:val="00D31C0D"/>
    <w:rsid w:val="00D32885"/>
    <w:rsid w:val="00D32A48"/>
    <w:rsid w:val="00D32FB9"/>
    <w:rsid w:val="00D33032"/>
    <w:rsid w:val="00D33922"/>
    <w:rsid w:val="00D3431B"/>
    <w:rsid w:val="00D34735"/>
    <w:rsid w:val="00D34B89"/>
    <w:rsid w:val="00D34F6C"/>
    <w:rsid w:val="00D34F9E"/>
    <w:rsid w:val="00D35D9C"/>
    <w:rsid w:val="00D35E14"/>
    <w:rsid w:val="00D36236"/>
    <w:rsid w:val="00D36247"/>
    <w:rsid w:val="00D367F0"/>
    <w:rsid w:val="00D36A0B"/>
    <w:rsid w:val="00D36E6E"/>
    <w:rsid w:val="00D37648"/>
    <w:rsid w:val="00D37FA6"/>
    <w:rsid w:val="00D400A8"/>
    <w:rsid w:val="00D4039B"/>
    <w:rsid w:val="00D40750"/>
    <w:rsid w:val="00D40886"/>
    <w:rsid w:val="00D40D78"/>
    <w:rsid w:val="00D4102F"/>
    <w:rsid w:val="00D41068"/>
    <w:rsid w:val="00D41CAD"/>
    <w:rsid w:val="00D41FAC"/>
    <w:rsid w:val="00D422EE"/>
    <w:rsid w:val="00D427DA"/>
    <w:rsid w:val="00D42E87"/>
    <w:rsid w:val="00D4319A"/>
    <w:rsid w:val="00D4336A"/>
    <w:rsid w:val="00D433A3"/>
    <w:rsid w:val="00D43AE0"/>
    <w:rsid w:val="00D43E6B"/>
    <w:rsid w:val="00D44222"/>
    <w:rsid w:val="00D44F50"/>
    <w:rsid w:val="00D450D4"/>
    <w:rsid w:val="00D45601"/>
    <w:rsid w:val="00D4563E"/>
    <w:rsid w:val="00D45DAC"/>
    <w:rsid w:val="00D45FC0"/>
    <w:rsid w:val="00D46029"/>
    <w:rsid w:val="00D46545"/>
    <w:rsid w:val="00D4678D"/>
    <w:rsid w:val="00D47C51"/>
    <w:rsid w:val="00D47F24"/>
    <w:rsid w:val="00D50061"/>
    <w:rsid w:val="00D50346"/>
    <w:rsid w:val="00D508BF"/>
    <w:rsid w:val="00D5100C"/>
    <w:rsid w:val="00D51710"/>
    <w:rsid w:val="00D51801"/>
    <w:rsid w:val="00D523AC"/>
    <w:rsid w:val="00D523E1"/>
    <w:rsid w:val="00D52F26"/>
    <w:rsid w:val="00D534ED"/>
    <w:rsid w:val="00D537C2"/>
    <w:rsid w:val="00D53B51"/>
    <w:rsid w:val="00D54AA2"/>
    <w:rsid w:val="00D55CB2"/>
    <w:rsid w:val="00D55DCD"/>
    <w:rsid w:val="00D561DB"/>
    <w:rsid w:val="00D5678C"/>
    <w:rsid w:val="00D56BCD"/>
    <w:rsid w:val="00D56DF7"/>
    <w:rsid w:val="00D57447"/>
    <w:rsid w:val="00D57B96"/>
    <w:rsid w:val="00D57C46"/>
    <w:rsid w:val="00D6015C"/>
    <w:rsid w:val="00D60D6C"/>
    <w:rsid w:val="00D6101E"/>
    <w:rsid w:val="00D613E5"/>
    <w:rsid w:val="00D6157D"/>
    <w:rsid w:val="00D61741"/>
    <w:rsid w:val="00D6183D"/>
    <w:rsid w:val="00D61B0A"/>
    <w:rsid w:val="00D61F86"/>
    <w:rsid w:val="00D6258B"/>
    <w:rsid w:val="00D62B27"/>
    <w:rsid w:val="00D62CCD"/>
    <w:rsid w:val="00D62D34"/>
    <w:rsid w:val="00D62EFC"/>
    <w:rsid w:val="00D6311E"/>
    <w:rsid w:val="00D63E72"/>
    <w:rsid w:val="00D6428E"/>
    <w:rsid w:val="00D64F89"/>
    <w:rsid w:val="00D650F2"/>
    <w:rsid w:val="00D65409"/>
    <w:rsid w:val="00D65513"/>
    <w:rsid w:val="00D6562F"/>
    <w:rsid w:val="00D656CD"/>
    <w:rsid w:val="00D66142"/>
    <w:rsid w:val="00D664A1"/>
    <w:rsid w:val="00D66FDB"/>
    <w:rsid w:val="00D67061"/>
    <w:rsid w:val="00D672DA"/>
    <w:rsid w:val="00D67771"/>
    <w:rsid w:val="00D67B22"/>
    <w:rsid w:val="00D70254"/>
    <w:rsid w:val="00D70525"/>
    <w:rsid w:val="00D70532"/>
    <w:rsid w:val="00D70699"/>
    <w:rsid w:val="00D709B1"/>
    <w:rsid w:val="00D70A6A"/>
    <w:rsid w:val="00D71372"/>
    <w:rsid w:val="00D7141F"/>
    <w:rsid w:val="00D7236A"/>
    <w:rsid w:val="00D7258F"/>
    <w:rsid w:val="00D72659"/>
    <w:rsid w:val="00D72FD2"/>
    <w:rsid w:val="00D738F5"/>
    <w:rsid w:val="00D73B25"/>
    <w:rsid w:val="00D73C04"/>
    <w:rsid w:val="00D750AB"/>
    <w:rsid w:val="00D75400"/>
    <w:rsid w:val="00D75D64"/>
    <w:rsid w:val="00D76101"/>
    <w:rsid w:val="00D76204"/>
    <w:rsid w:val="00D7693C"/>
    <w:rsid w:val="00D7735C"/>
    <w:rsid w:val="00D77524"/>
    <w:rsid w:val="00D77C2F"/>
    <w:rsid w:val="00D77D2D"/>
    <w:rsid w:val="00D8074E"/>
    <w:rsid w:val="00D80855"/>
    <w:rsid w:val="00D80BF8"/>
    <w:rsid w:val="00D80D57"/>
    <w:rsid w:val="00D80DD0"/>
    <w:rsid w:val="00D81622"/>
    <w:rsid w:val="00D82640"/>
    <w:rsid w:val="00D8283E"/>
    <w:rsid w:val="00D82D04"/>
    <w:rsid w:val="00D82FB0"/>
    <w:rsid w:val="00D82FE2"/>
    <w:rsid w:val="00D83D44"/>
    <w:rsid w:val="00D8416C"/>
    <w:rsid w:val="00D84B15"/>
    <w:rsid w:val="00D84DA7"/>
    <w:rsid w:val="00D85047"/>
    <w:rsid w:val="00D8506E"/>
    <w:rsid w:val="00D86452"/>
    <w:rsid w:val="00D866EE"/>
    <w:rsid w:val="00D86D73"/>
    <w:rsid w:val="00D86D96"/>
    <w:rsid w:val="00D87299"/>
    <w:rsid w:val="00D87565"/>
    <w:rsid w:val="00D877C1"/>
    <w:rsid w:val="00D87C34"/>
    <w:rsid w:val="00D905BD"/>
    <w:rsid w:val="00D90CAD"/>
    <w:rsid w:val="00D90F4E"/>
    <w:rsid w:val="00D911E3"/>
    <w:rsid w:val="00D91621"/>
    <w:rsid w:val="00D92252"/>
    <w:rsid w:val="00D922A9"/>
    <w:rsid w:val="00D925AD"/>
    <w:rsid w:val="00D925FF"/>
    <w:rsid w:val="00D92893"/>
    <w:rsid w:val="00D92C07"/>
    <w:rsid w:val="00D93782"/>
    <w:rsid w:val="00D93F77"/>
    <w:rsid w:val="00D9402B"/>
    <w:rsid w:val="00D94BEE"/>
    <w:rsid w:val="00D957CA"/>
    <w:rsid w:val="00D958BA"/>
    <w:rsid w:val="00D95AAB"/>
    <w:rsid w:val="00D966BA"/>
    <w:rsid w:val="00D96E5E"/>
    <w:rsid w:val="00D9750D"/>
    <w:rsid w:val="00D97996"/>
    <w:rsid w:val="00D97D15"/>
    <w:rsid w:val="00DA0685"/>
    <w:rsid w:val="00DA06E6"/>
    <w:rsid w:val="00DA1D21"/>
    <w:rsid w:val="00DA206F"/>
    <w:rsid w:val="00DA207F"/>
    <w:rsid w:val="00DA2552"/>
    <w:rsid w:val="00DA26D7"/>
    <w:rsid w:val="00DA2742"/>
    <w:rsid w:val="00DA2B9A"/>
    <w:rsid w:val="00DA338A"/>
    <w:rsid w:val="00DA3DE8"/>
    <w:rsid w:val="00DA3FB3"/>
    <w:rsid w:val="00DA4795"/>
    <w:rsid w:val="00DA4961"/>
    <w:rsid w:val="00DA49B5"/>
    <w:rsid w:val="00DA4C3E"/>
    <w:rsid w:val="00DA5213"/>
    <w:rsid w:val="00DA5445"/>
    <w:rsid w:val="00DA6303"/>
    <w:rsid w:val="00DA66CF"/>
    <w:rsid w:val="00DA67B9"/>
    <w:rsid w:val="00DA690E"/>
    <w:rsid w:val="00DA7023"/>
    <w:rsid w:val="00DA771A"/>
    <w:rsid w:val="00DA7AA1"/>
    <w:rsid w:val="00DB0425"/>
    <w:rsid w:val="00DB078D"/>
    <w:rsid w:val="00DB0C50"/>
    <w:rsid w:val="00DB129C"/>
    <w:rsid w:val="00DB1317"/>
    <w:rsid w:val="00DB15CC"/>
    <w:rsid w:val="00DB1D74"/>
    <w:rsid w:val="00DB34EE"/>
    <w:rsid w:val="00DB3FC8"/>
    <w:rsid w:val="00DB45C8"/>
    <w:rsid w:val="00DB46BF"/>
    <w:rsid w:val="00DB4AFC"/>
    <w:rsid w:val="00DB4E39"/>
    <w:rsid w:val="00DB4E5D"/>
    <w:rsid w:val="00DB527C"/>
    <w:rsid w:val="00DB53C7"/>
    <w:rsid w:val="00DB5660"/>
    <w:rsid w:val="00DB5890"/>
    <w:rsid w:val="00DB5D41"/>
    <w:rsid w:val="00DB6074"/>
    <w:rsid w:val="00DB6D35"/>
    <w:rsid w:val="00DB6F0B"/>
    <w:rsid w:val="00DB6F7B"/>
    <w:rsid w:val="00DB70DA"/>
    <w:rsid w:val="00DC023D"/>
    <w:rsid w:val="00DC0295"/>
    <w:rsid w:val="00DC0344"/>
    <w:rsid w:val="00DC0482"/>
    <w:rsid w:val="00DC0D32"/>
    <w:rsid w:val="00DC0D93"/>
    <w:rsid w:val="00DC1234"/>
    <w:rsid w:val="00DC1300"/>
    <w:rsid w:val="00DC1397"/>
    <w:rsid w:val="00DC1D27"/>
    <w:rsid w:val="00DC1DAC"/>
    <w:rsid w:val="00DC28F8"/>
    <w:rsid w:val="00DC2FBF"/>
    <w:rsid w:val="00DC3323"/>
    <w:rsid w:val="00DC37C8"/>
    <w:rsid w:val="00DC3B5E"/>
    <w:rsid w:val="00DC40B3"/>
    <w:rsid w:val="00DC489F"/>
    <w:rsid w:val="00DC4C44"/>
    <w:rsid w:val="00DC536B"/>
    <w:rsid w:val="00DC56C0"/>
    <w:rsid w:val="00DC5A63"/>
    <w:rsid w:val="00DC5AE7"/>
    <w:rsid w:val="00DC5E3C"/>
    <w:rsid w:val="00DC5F77"/>
    <w:rsid w:val="00DC6642"/>
    <w:rsid w:val="00DC712F"/>
    <w:rsid w:val="00DC746B"/>
    <w:rsid w:val="00DC79BC"/>
    <w:rsid w:val="00DC7BB0"/>
    <w:rsid w:val="00DD0240"/>
    <w:rsid w:val="00DD0532"/>
    <w:rsid w:val="00DD085C"/>
    <w:rsid w:val="00DD104E"/>
    <w:rsid w:val="00DD1C89"/>
    <w:rsid w:val="00DD20F6"/>
    <w:rsid w:val="00DD22CF"/>
    <w:rsid w:val="00DD24A8"/>
    <w:rsid w:val="00DD2FE9"/>
    <w:rsid w:val="00DD33A9"/>
    <w:rsid w:val="00DD33BA"/>
    <w:rsid w:val="00DD367F"/>
    <w:rsid w:val="00DD37A8"/>
    <w:rsid w:val="00DD385A"/>
    <w:rsid w:val="00DD3B44"/>
    <w:rsid w:val="00DD45E1"/>
    <w:rsid w:val="00DD498E"/>
    <w:rsid w:val="00DD4DF6"/>
    <w:rsid w:val="00DD4FA6"/>
    <w:rsid w:val="00DD5093"/>
    <w:rsid w:val="00DD6B8A"/>
    <w:rsid w:val="00DD6E89"/>
    <w:rsid w:val="00DD70BE"/>
    <w:rsid w:val="00DD7360"/>
    <w:rsid w:val="00DD736F"/>
    <w:rsid w:val="00DD7BFE"/>
    <w:rsid w:val="00DD7C47"/>
    <w:rsid w:val="00DE02D8"/>
    <w:rsid w:val="00DE0356"/>
    <w:rsid w:val="00DE03D3"/>
    <w:rsid w:val="00DE1111"/>
    <w:rsid w:val="00DE12A4"/>
    <w:rsid w:val="00DE2254"/>
    <w:rsid w:val="00DE2863"/>
    <w:rsid w:val="00DE3651"/>
    <w:rsid w:val="00DE3A4F"/>
    <w:rsid w:val="00DE3BE3"/>
    <w:rsid w:val="00DE506E"/>
    <w:rsid w:val="00DE5204"/>
    <w:rsid w:val="00DE532D"/>
    <w:rsid w:val="00DE565F"/>
    <w:rsid w:val="00DE5CBD"/>
    <w:rsid w:val="00DE5DBD"/>
    <w:rsid w:val="00DE6276"/>
    <w:rsid w:val="00DE6281"/>
    <w:rsid w:val="00DE63C5"/>
    <w:rsid w:val="00DE66E7"/>
    <w:rsid w:val="00DE6CBF"/>
    <w:rsid w:val="00DE78F5"/>
    <w:rsid w:val="00DE792B"/>
    <w:rsid w:val="00DE7FBB"/>
    <w:rsid w:val="00DF0847"/>
    <w:rsid w:val="00DF0CA4"/>
    <w:rsid w:val="00DF14E7"/>
    <w:rsid w:val="00DF2098"/>
    <w:rsid w:val="00DF2178"/>
    <w:rsid w:val="00DF2531"/>
    <w:rsid w:val="00DF2693"/>
    <w:rsid w:val="00DF26D4"/>
    <w:rsid w:val="00DF2C2E"/>
    <w:rsid w:val="00DF3D83"/>
    <w:rsid w:val="00DF40EF"/>
    <w:rsid w:val="00DF4230"/>
    <w:rsid w:val="00DF43C6"/>
    <w:rsid w:val="00DF4479"/>
    <w:rsid w:val="00DF484B"/>
    <w:rsid w:val="00DF4A51"/>
    <w:rsid w:val="00DF50D1"/>
    <w:rsid w:val="00DF5345"/>
    <w:rsid w:val="00DF5508"/>
    <w:rsid w:val="00DF5973"/>
    <w:rsid w:val="00DF68A3"/>
    <w:rsid w:val="00DF6AA5"/>
    <w:rsid w:val="00DF6B94"/>
    <w:rsid w:val="00DF6CF2"/>
    <w:rsid w:val="00DF72A6"/>
    <w:rsid w:val="00DF749D"/>
    <w:rsid w:val="00DF7A1D"/>
    <w:rsid w:val="00DF7C2E"/>
    <w:rsid w:val="00DF7E5F"/>
    <w:rsid w:val="00E00415"/>
    <w:rsid w:val="00E00FED"/>
    <w:rsid w:val="00E0128B"/>
    <w:rsid w:val="00E01CBF"/>
    <w:rsid w:val="00E01EEF"/>
    <w:rsid w:val="00E01F80"/>
    <w:rsid w:val="00E0230C"/>
    <w:rsid w:val="00E0257B"/>
    <w:rsid w:val="00E02EC3"/>
    <w:rsid w:val="00E03150"/>
    <w:rsid w:val="00E03435"/>
    <w:rsid w:val="00E03CCC"/>
    <w:rsid w:val="00E0479A"/>
    <w:rsid w:val="00E04D7B"/>
    <w:rsid w:val="00E0527F"/>
    <w:rsid w:val="00E055A4"/>
    <w:rsid w:val="00E05E60"/>
    <w:rsid w:val="00E06322"/>
    <w:rsid w:val="00E06606"/>
    <w:rsid w:val="00E06FCA"/>
    <w:rsid w:val="00E07326"/>
    <w:rsid w:val="00E10675"/>
    <w:rsid w:val="00E10841"/>
    <w:rsid w:val="00E108AF"/>
    <w:rsid w:val="00E10F09"/>
    <w:rsid w:val="00E11291"/>
    <w:rsid w:val="00E113F6"/>
    <w:rsid w:val="00E130A7"/>
    <w:rsid w:val="00E13374"/>
    <w:rsid w:val="00E136F3"/>
    <w:rsid w:val="00E1396E"/>
    <w:rsid w:val="00E13A0A"/>
    <w:rsid w:val="00E1470B"/>
    <w:rsid w:val="00E14B51"/>
    <w:rsid w:val="00E14C04"/>
    <w:rsid w:val="00E14E49"/>
    <w:rsid w:val="00E14F7E"/>
    <w:rsid w:val="00E15242"/>
    <w:rsid w:val="00E15547"/>
    <w:rsid w:val="00E156B1"/>
    <w:rsid w:val="00E15B24"/>
    <w:rsid w:val="00E15F19"/>
    <w:rsid w:val="00E165C3"/>
    <w:rsid w:val="00E1686E"/>
    <w:rsid w:val="00E16994"/>
    <w:rsid w:val="00E16A5F"/>
    <w:rsid w:val="00E1710E"/>
    <w:rsid w:val="00E17252"/>
    <w:rsid w:val="00E175E4"/>
    <w:rsid w:val="00E1772E"/>
    <w:rsid w:val="00E17EA6"/>
    <w:rsid w:val="00E20381"/>
    <w:rsid w:val="00E2069F"/>
    <w:rsid w:val="00E20FA7"/>
    <w:rsid w:val="00E21E4E"/>
    <w:rsid w:val="00E222F6"/>
    <w:rsid w:val="00E22302"/>
    <w:rsid w:val="00E225D3"/>
    <w:rsid w:val="00E2285E"/>
    <w:rsid w:val="00E22DE1"/>
    <w:rsid w:val="00E23067"/>
    <w:rsid w:val="00E230BA"/>
    <w:rsid w:val="00E23469"/>
    <w:rsid w:val="00E2372F"/>
    <w:rsid w:val="00E24D7B"/>
    <w:rsid w:val="00E25735"/>
    <w:rsid w:val="00E25885"/>
    <w:rsid w:val="00E25EE6"/>
    <w:rsid w:val="00E26112"/>
    <w:rsid w:val="00E2629B"/>
    <w:rsid w:val="00E27835"/>
    <w:rsid w:val="00E27F34"/>
    <w:rsid w:val="00E27FA2"/>
    <w:rsid w:val="00E30A5C"/>
    <w:rsid w:val="00E30D77"/>
    <w:rsid w:val="00E31C19"/>
    <w:rsid w:val="00E321DF"/>
    <w:rsid w:val="00E321EA"/>
    <w:rsid w:val="00E32412"/>
    <w:rsid w:val="00E32522"/>
    <w:rsid w:val="00E325A4"/>
    <w:rsid w:val="00E32727"/>
    <w:rsid w:val="00E329C7"/>
    <w:rsid w:val="00E33273"/>
    <w:rsid w:val="00E33B03"/>
    <w:rsid w:val="00E33CC2"/>
    <w:rsid w:val="00E34078"/>
    <w:rsid w:val="00E34790"/>
    <w:rsid w:val="00E34830"/>
    <w:rsid w:val="00E34B61"/>
    <w:rsid w:val="00E35056"/>
    <w:rsid w:val="00E35093"/>
    <w:rsid w:val="00E3624C"/>
    <w:rsid w:val="00E368C9"/>
    <w:rsid w:val="00E36FD6"/>
    <w:rsid w:val="00E37014"/>
    <w:rsid w:val="00E3706A"/>
    <w:rsid w:val="00E37CFB"/>
    <w:rsid w:val="00E4033F"/>
    <w:rsid w:val="00E409DA"/>
    <w:rsid w:val="00E40D5B"/>
    <w:rsid w:val="00E4131B"/>
    <w:rsid w:val="00E4171B"/>
    <w:rsid w:val="00E41DD4"/>
    <w:rsid w:val="00E4275B"/>
    <w:rsid w:val="00E42B4C"/>
    <w:rsid w:val="00E4312A"/>
    <w:rsid w:val="00E43B9B"/>
    <w:rsid w:val="00E43BB5"/>
    <w:rsid w:val="00E43DEE"/>
    <w:rsid w:val="00E444B5"/>
    <w:rsid w:val="00E4489F"/>
    <w:rsid w:val="00E4495B"/>
    <w:rsid w:val="00E44978"/>
    <w:rsid w:val="00E44E83"/>
    <w:rsid w:val="00E4531B"/>
    <w:rsid w:val="00E45C6C"/>
    <w:rsid w:val="00E46184"/>
    <w:rsid w:val="00E46285"/>
    <w:rsid w:val="00E462DF"/>
    <w:rsid w:val="00E463CF"/>
    <w:rsid w:val="00E46E10"/>
    <w:rsid w:val="00E47226"/>
    <w:rsid w:val="00E472F9"/>
    <w:rsid w:val="00E477E7"/>
    <w:rsid w:val="00E5029D"/>
    <w:rsid w:val="00E50CDF"/>
    <w:rsid w:val="00E510AC"/>
    <w:rsid w:val="00E51198"/>
    <w:rsid w:val="00E517D8"/>
    <w:rsid w:val="00E52058"/>
    <w:rsid w:val="00E522D4"/>
    <w:rsid w:val="00E52560"/>
    <w:rsid w:val="00E525D2"/>
    <w:rsid w:val="00E52886"/>
    <w:rsid w:val="00E534DA"/>
    <w:rsid w:val="00E538D4"/>
    <w:rsid w:val="00E53AA0"/>
    <w:rsid w:val="00E53D1A"/>
    <w:rsid w:val="00E53D1F"/>
    <w:rsid w:val="00E5505D"/>
    <w:rsid w:val="00E554A3"/>
    <w:rsid w:val="00E55700"/>
    <w:rsid w:val="00E55761"/>
    <w:rsid w:val="00E55F19"/>
    <w:rsid w:val="00E55F4E"/>
    <w:rsid w:val="00E560C2"/>
    <w:rsid w:val="00E561AB"/>
    <w:rsid w:val="00E56E9E"/>
    <w:rsid w:val="00E579DC"/>
    <w:rsid w:val="00E57C82"/>
    <w:rsid w:val="00E57D93"/>
    <w:rsid w:val="00E600EB"/>
    <w:rsid w:val="00E6041B"/>
    <w:rsid w:val="00E612E3"/>
    <w:rsid w:val="00E61A92"/>
    <w:rsid w:val="00E62AB2"/>
    <w:rsid w:val="00E630CF"/>
    <w:rsid w:val="00E63A86"/>
    <w:rsid w:val="00E63F2A"/>
    <w:rsid w:val="00E6426F"/>
    <w:rsid w:val="00E64A69"/>
    <w:rsid w:val="00E64C89"/>
    <w:rsid w:val="00E65523"/>
    <w:rsid w:val="00E658A3"/>
    <w:rsid w:val="00E66621"/>
    <w:rsid w:val="00E667E5"/>
    <w:rsid w:val="00E66956"/>
    <w:rsid w:val="00E672F7"/>
    <w:rsid w:val="00E67857"/>
    <w:rsid w:val="00E6797F"/>
    <w:rsid w:val="00E67F1F"/>
    <w:rsid w:val="00E704CA"/>
    <w:rsid w:val="00E70581"/>
    <w:rsid w:val="00E709CB"/>
    <w:rsid w:val="00E70BEF"/>
    <w:rsid w:val="00E710FA"/>
    <w:rsid w:val="00E71520"/>
    <w:rsid w:val="00E7185D"/>
    <w:rsid w:val="00E7192B"/>
    <w:rsid w:val="00E71B56"/>
    <w:rsid w:val="00E71E8C"/>
    <w:rsid w:val="00E71FE4"/>
    <w:rsid w:val="00E72105"/>
    <w:rsid w:val="00E72F29"/>
    <w:rsid w:val="00E732F5"/>
    <w:rsid w:val="00E73718"/>
    <w:rsid w:val="00E739DA"/>
    <w:rsid w:val="00E73DED"/>
    <w:rsid w:val="00E74284"/>
    <w:rsid w:val="00E74837"/>
    <w:rsid w:val="00E74954"/>
    <w:rsid w:val="00E74A95"/>
    <w:rsid w:val="00E74CCA"/>
    <w:rsid w:val="00E75E27"/>
    <w:rsid w:val="00E76189"/>
    <w:rsid w:val="00E76752"/>
    <w:rsid w:val="00E7691C"/>
    <w:rsid w:val="00E77437"/>
    <w:rsid w:val="00E775E4"/>
    <w:rsid w:val="00E77D60"/>
    <w:rsid w:val="00E810E9"/>
    <w:rsid w:val="00E81453"/>
    <w:rsid w:val="00E8162D"/>
    <w:rsid w:val="00E81DDC"/>
    <w:rsid w:val="00E82DD8"/>
    <w:rsid w:val="00E8319E"/>
    <w:rsid w:val="00E83B50"/>
    <w:rsid w:val="00E844A7"/>
    <w:rsid w:val="00E84B56"/>
    <w:rsid w:val="00E850EA"/>
    <w:rsid w:val="00E85893"/>
    <w:rsid w:val="00E859A6"/>
    <w:rsid w:val="00E8610B"/>
    <w:rsid w:val="00E8649B"/>
    <w:rsid w:val="00E868FB"/>
    <w:rsid w:val="00E86A39"/>
    <w:rsid w:val="00E8715A"/>
    <w:rsid w:val="00E874A2"/>
    <w:rsid w:val="00E87B40"/>
    <w:rsid w:val="00E87C79"/>
    <w:rsid w:val="00E90A2F"/>
    <w:rsid w:val="00E90AD8"/>
    <w:rsid w:val="00E90CCF"/>
    <w:rsid w:val="00E90D22"/>
    <w:rsid w:val="00E90F53"/>
    <w:rsid w:val="00E91125"/>
    <w:rsid w:val="00E914F6"/>
    <w:rsid w:val="00E915B7"/>
    <w:rsid w:val="00E91695"/>
    <w:rsid w:val="00E91ACA"/>
    <w:rsid w:val="00E923E6"/>
    <w:rsid w:val="00E92D52"/>
    <w:rsid w:val="00E93111"/>
    <w:rsid w:val="00E93655"/>
    <w:rsid w:val="00E93C01"/>
    <w:rsid w:val="00E9437A"/>
    <w:rsid w:val="00E9455C"/>
    <w:rsid w:val="00E948B3"/>
    <w:rsid w:val="00E94B7E"/>
    <w:rsid w:val="00E94BD2"/>
    <w:rsid w:val="00E94FE8"/>
    <w:rsid w:val="00E95277"/>
    <w:rsid w:val="00E953FC"/>
    <w:rsid w:val="00E95426"/>
    <w:rsid w:val="00E9684E"/>
    <w:rsid w:val="00E9733C"/>
    <w:rsid w:val="00EA0280"/>
    <w:rsid w:val="00EA0925"/>
    <w:rsid w:val="00EA0F87"/>
    <w:rsid w:val="00EA13D1"/>
    <w:rsid w:val="00EA2360"/>
    <w:rsid w:val="00EA2CED"/>
    <w:rsid w:val="00EA2F79"/>
    <w:rsid w:val="00EA3F65"/>
    <w:rsid w:val="00EA4090"/>
    <w:rsid w:val="00EA4A4E"/>
    <w:rsid w:val="00EA4BA5"/>
    <w:rsid w:val="00EA4D11"/>
    <w:rsid w:val="00EA4F81"/>
    <w:rsid w:val="00EA4FC2"/>
    <w:rsid w:val="00EA6040"/>
    <w:rsid w:val="00EA605F"/>
    <w:rsid w:val="00EA6C46"/>
    <w:rsid w:val="00EA6CEA"/>
    <w:rsid w:val="00EA7246"/>
    <w:rsid w:val="00EA7595"/>
    <w:rsid w:val="00EA78C9"/>
    <w:rsid w:val="00EA7A78"/>
    <w:rsid w:val="00EA7BB5"/>
    <w:rsid w:val="00EB05C6"/>
    <w:rsid w:val="00EB079C"/>
    <w:rsid w:val="00EB089C"/>
    <w:rsid w:val="00EB107E"/>
    <w:rsid w:val="00EB10E8"/>
    <w:rsid w:val="00EB168E"/>
    <w:rsid w:val="00EB16F4"/>
    <w:rsid w:val="00EB1E4B"/>
    <w:rsid w:val="00EB2163"/>
    <w:rsid w:val="00EB2596"/>
    <w:rsid w:val="00EB25C7"/>
    <w:rsid w:val="00EB26F2"/>
    <w:rsid w:val="00EB3168"/>
    <w:rsid w:val="00EB3CE9"/>
    <w:rsid w:val="00EB3D11"/>
    <w:rsid w:val="00EB3E18"/>
    <w:rsid w:val="00EB43D7"/>
    <w:rsid w:val="00EB4FDD"/>
    <w:rsid w:val="00EB59FB"/>
    <w:rsid w:val="00EB5A48"/>
    <w:rsid w:val="00EB5D36"/>
    <w:rsid w:val="00EB5E30"/>
    <w:rsid w:val="00EB5F27"/>
    <w:rsid w:val="00EB603A"/>
    <w:rsid w:val="00EB6094"/>
    <w:rsid w:val="00EB6884"/>
    <w:rsid w:val="00EB7120"/>
    <w:rsid w:val="00EB7D73"/>
    <w:rsid w:val="00EC00C1"/>
    <w:rsid w:val="00EC0CE8"/>
    <w:rsid w:val="00EC0D2A"/>
    <w:rsid w:val="00EC1117"/>
    <w:rsid w:val="00EC17FF"/>
    <w:rsid w:val="00EC1B33"/>
    <w:rsid w:val="00EC1B8E"/>
    <w:rsid w:val="00EC26C8"/>
    <w:rsid w:val="00EC29F3"/>
    <w:rsid w:val="00EC2F44"/>
    <w:rsid w:val="00EC3246"/>
    <w:rsid w:val="00EC376A"/>
    <w:rsid w:val="00EC3A0D"/>
    <w:rsid w:val="00EC4128"/>
    <w:rsid w:val="00EC4B2E"/>
    <w:rsid w:val="00EC4E53"/>
    <w:rsid w:val="00EC5CD9"/>
    <w:rsid w:val="00EC5EA1"/>
    <w:rsid w:val="00EC6650"/>
    <w:rsid w:val="00EC682A"/>
    <w:rsid w:val="00EC6918"/>
    <w:rsid w:val="00EC7338"/>
    <w:rsid w:val="00EC742F"/>
    <w:rsid w:val="00EC7D1C"/>
    <w:rsid w:val="00EC7ED4"/>
    <w:rsid w:val="00ED0459"/>
    <w:rsid w:val="00ED07FF"/>
    <w:rsid w:val="00ED08F8"/>
    <w:rsid w:val="00ED1825"/>
    <w:rsid w:val="00ED1962"/>
    <w:rsid w:val="00ED1988"/>
    <w:rsid w:val="00ED212E"/>
    <w:rsid w:val="00ED2FE8"/>
    <w:rsid w:val="00ED328A"/>
    <w:rsid w:val="00ED4559"/>
    <w:rsid w:val="00ED5C2F"/>
    <w:rsid w:val="00ED5E75"/>
    <w:rsid w:val="00ED6979"/>
    <w:rsid w:val="00ED6BDA"/>
    <w:rsid w:val="00ED6EBB"/>
    <w:rsid w:val="00ED7685"/>
    <w:rsid w:val="00ED7AEA"/>
    <w:rsid w:val="00ED7DB3"/>
    <w:rsid w:val="00ED7E2F"/>
    <w:rsid w:val="00EE02CB"/>
    <w:rsid w:val="00EE036B"/>
    <w:rsid w:val="00EE07B2"/>
    <w:rsid w:val="00EE0AE5"/>
    <w:rsid w:val="00EE0C80"/>
    <w:rsid w:val="00EE0E88"/>
    <w:rsid w:val="00EE0FFA"/>
    <w:rsid w:val="00EE13C0"/>
    <w:rsid w:val="00EE14DA"/>
    <w:rsid w:val="00EE1870"/>
    <w:rsid w:val="00EE2224"/>
    <w:rsid w:val="00EE2D00"/>
    <w:rsid w:val="00EE313C"/>
    <w:rsid w:val="00EE384F"/>
    <w:rsid w:val="00EE38F5"/>
    <w:rsid w:val="00EE3EDA"/>
    <w:rsid w:val="00EE4418"/>
    <w:rsid w:val="00EE4653"/>
    <w:rsid w:val="00EE4A25"/>
    <w:rsid w:val="00EE4A88"/>
    <w:rsid w:val="00EE4AE1"/>
    <w:rsid w:val="00EE4BCA"/>
    <w:rsid w:val="00EE4C7B"/>
    <w:rsid w:val="00EE5521"/>
    <w:rsid w:val="00EE554A"/>
    <w:rsid w:val="00EE5D5A"/>
    <w:rsid w:val="00EE5D87"/>
    <w:rsid w:val="00EE5F7E"/>
    <w:rsid w:val="00EE63E7"/>
    <w:rsid w:val="00EE6C66"/>
    <w:rsid w:val="00EE6F77"/>
    <w:rsid w:val="00EE7670"/>
    <w:rsid w:val="00EE7879"/>
    <w:rsid w:val="00EE79D6"/>
    <w:rsid w:val="00EF0588"/>
    <w:rsid w:val="00EF06A3"/>
    <w:rsid w:val="00EF0BD3"/>
    <w:rsid w:val="00EF0EA0"/>
    <w:rsid w:val="00EF135C"/>
    <w:rsid w:val="00EF25BE"/>
    <w:rsid w:val="00EF2D34"/>
    <w:rsid w:val="00EF2ED3"/>
    <w:rsid w:val="00EF3B6E"/>
    <w:rsid w:val="00EF3D96"/>
    <w:rsid w:val="00EF435E"/>
    <w:rsid w:val="00EF46F8"/>
    <w:rsid w:val="00EF49E0"/>
    <w:rsid w:val="00EF4FDE"/>
    <w:rsid w:val="00EF565B"/>
    <w:rsid w:val="00EF571C"/>
    <w:rsid w:val="00EF5763"/>
    <w:rsid w:val="00EF5FD6"/>
    <w:rsid w:val="00EF606D"/>
    <w:rsid w:val="00EF6D7E"/>
    <w:rsid w:val="00EF6E37"/>
    <w:rsid w:val="00EF7723"/>
    <w:rsid w:val="00EF77A5"/>
    <w:rsid w:val="00EF7D8F"/>
    <w:rsid w:val="00F00347"/>
    <w:rsid w:val="00F004D2"/>
    <w:rsid w:val="00F00FB5"/>
    <w:rsid w:val="00F013D1"/>
    <w:rsid w:val="00F01905"/>
    <w:rsid w:val="00F019B0"/>
    <w:rsid w:val="00F029FF"/>
    <w:rsid w:val="00F02EBF"/>
    <w:rsid w:val="00F03084"/>
    <w:rsid w:val="00F03300"/>
    <w:rsid w:val="00F03B7D"/>
    <w:rsid w:val="00F04935"/>
    <w:rsid w:val="00F04B57"/>
    <w:rsid w:val="00F04BED"/>
    <w:rsid w:val="00F04EF8"/>
    <w:rsid w:val="00F04FE4"/>
    <w:rsid w:val="00F05B39"/>
    <w:rsid w:val="00F05B74"/>
    <w:rsid w:val="00F05BDF"/>
    <w:rsid w:val="00F05FAA"/>
    <w:rsid w:val="00F06C35"/>
    <w:rsid w:val="00F076F3"/>
    <w:rsid w:val="00F07F63"/>
    <w:rsid w:val="00F100EB"/>
    <w:rsid w:val="00F103B4"/>
    <w:rsid w:val="00F106ED"/>
    <w:rsid w:val="00F10D0F"/>
    <w:rsid w:val="00F1103A"/>
    <w:rsid w:val="00F11328"/>
    <w:rsid w:val="00F11BBB"/>
    <w:rsid w:val="00F12452"/>
    <w:rsid w:val="00F12569"/>
    <w:rsid w:val="00F12AEB"/>
    <w:rsid w:val="00F12DE7"/>
    <w:rsid w:val="00F13563"/>
    <w:rsid w:val="00F137E4"/>
    <w:rsid w:val="00F1397D"/>
    <w:rsid w:val="00F13982"/>
    <w:rsid w:val="00F14293"/>
    <w:rsid w:val="00F147A0"/>
    <w:rsid w:val="00F147CA"/>
    <w:rsid w:val="00F148E8"/>
    <w:rsid w:val="00F14B2F"/>
    <w:rsid w:val="00F15492"/>
    <w:rsid w:val="00F158EF"/>
    <w:rsid w:val="00F15C34"/>
    <w:rsid w:val="00F15C91"/>
    <w:rsid w:val="00F15F59"/>
    <w:rsid w:val="00F1689E"/>
    <w:rsid w:val="00F16944"/>
    <w:rsid w:val="00F16D12"/>
    <w:rsid w:val="00F16D8C"/>
    <w:rsid w:val="00F172D5"/>
    <w:rsid w:val="00F205D0"/>
    <w:rsid w:val="00F20BD2"/>
    <w:rsid w:val="00F20DCD"/>
    <w:rsid w:val="00F21286"/>
    <w:rsid w:val="00F213A7"/>
    <w:rsid w:val="00F2188A"/>
    <w:rsid w:val="00F21A15"/>
    <w:rsid w:val="00F22399"/>
    <w:rsid w:val="00F22606"/>
    <w:rsid w:val="00F236A1"/>
    <w:rsid w:val="00F23AF9"/>
    <w:rsid w:val="00F23BFD"/>
    <w:rsid w:val="00F23C66"/>
    <w:rsid w:val="00F23F2E"/>
    <w:rsid w:val="00F2432D"/>
    <w:rsid w:val="00F244D5"/>
    <w:rsid w:val="00F24616"/>
    <w:rsid w:val="00F2525E"/>
    <w:rsid w:val="00F2561B"/>
    <w:rsid w:val="00F264C9"/>
    <w:rsid w:val="00F26575"/>
    <w:rsid w:val="00F269B8"/>
    <w:rsid w:val="00F26C7A"/>
    <w:rsid w:val="00F26CCB"/>
    <w:rsid w:val="00F275A8"/>
    <w:rsid w:val="00F27FF9"/>
    <w:rsid w:val="00F30159"/>
    <w:rsid w:val="00F3037B"/>
    <w:rsid w:val="00F318CC"/>
    <w:rsid w:val="00F320D4"/>
    <w:rsid w:val="00F3248D"/>
    <w:rsid w:val="00F329E6"/>
    <w:rsid w:val="00F32C2B"/>
    <w:rsid w:val="00F32D1C"/>
    <w:rsid w:val="00F32D25"/>
    <w:rsid w:val="00F32DBC"/>
    <w:rsid w:val="00F32DCD"/>
    <w:rsid w:val="00F33294"/>
    <w:rsid w:val="00F33427"/>
    <w:rsid w:val="00F33A10"/>
    <w:rsid w:val="00F33C94"/>
    <w:rsid w:val="00F3406B"/>
    <w:rsid w:val="00F34101"/>
    <w:rsid w:val="00F34198"/>
    <w:rsid w:val="00F348A2"/>
    <w:rsid w:val="00F34C8D"/>
    <w:rsid w:val="00F350E1"/>
    <w:rsid w:val="00F352DF"/>
    <w:rsid w:val="00F35824"/>
    <w:rsid w:val="00F36D70"/>
    <w:rsid w:val="00F37354"/>
    <w:rsid w:val="00F37489"/>
    <w:rsid w:val="00F37584"/>
    <w:rsid w:val="00F40031"/>
    <w:rsid w:val="00F40165"/>
    <w:rsid w:val="00F403CD"/>
    <w:rsid w:val="00F40AAC"/>
    <w:rsid w:val="00F40EE4"/>
    <w:rsid w:val="00F41058"/>
    <w:rsid w:val="00F419E4"/>
    <w:rsid w:val="00F41D77"/>
    <w:rsid w:val="00F41DE9"/>
    <w:rsid w:val="00F4327A"/>
    <w:rsid w:val="00F436E7"/>
    <w:rsid w:val="00F43ADB"/>
    <w:rsid w:val="00F43F95"/>
    <w:rsid w:val="00F44029"/>
    <w:rsid w:val="00F44952"/>
    <w:rsid w:val="00F44F7A"/>
    <w:rsid w:val="00F45034"/>
    <w:rsid w:val="00F450DC"/>
    <w:rsid w:val="00F45DF6"/>
    <w:rsid w:val="00F46035"/>
    <w:rsid w:val="00F463F6"/>
    <w:rsid w:val="00F46698"/>
    <w:rsid w:val="00F467AA"/>
    <w:rsid w:val="00F468F1"/>
    <w:rsid w:val="00F46A28"/>
    <w:rsid w:val="00F46EF3"/>
    <w:rsid w:val="00F471AF"/>
    <w:rsid w:val="00F473A3"/>
    <w:rsid w:val="00F47707"/>
    <w:rsid w:val="00F5045E"/>
    <w:rsid w:val="00F5060D"/>
    <w:rsid w:val="00F509C3"/>
    <w:rsid w:val="00F5134D"/>
    <w:rsid w:val="00F513E8"/>
    <w:rsid w:val="00F518B7"/>
    <w:rsid w:val="00F51A54"/>
    <w:rsid w:val="00F51EDB"/>
    <w:rsid w:val="00F52376"/>
    <w:rsid w:val="00F52FEE"/>
    <w:rsid w:val="00F53B56"/>
    <w:rsid w:val="00F53B79"/>
    <w:rsid w:val="00F53C27"/>
    <w:rsid w:val="00F5400A"/>
    <w:rsid w:val="00F5426F"/>
    <w:rsid w:val="00F54AF5"/>
    <w:rsid w:val="00F55003"/>
    <w:rsid w:val="00F55D4C"/>
    <w:rsid w:val="00F55D51"/>
    <w:rsid w:val="00F5608A"/>
    <w:rsid w:val="00F564B4"/>
    <w:rsid w:val="00F57254"/>
    <w:rsid w:val="00F575DF"/>
    <w:rsid w:val="00F57A20"/>
    <w:rsid w:val="00F57AFF"/>
    <w:rsid w:val="00F57BBD"/>
    <w:rsid w:val="00F57E95"/>
    <w:rsid w:val="00F60603"/>
    <w:rsid w:val="00F60848"/>
    <w:rsid w:val="00F60978"/>
    <w:rsid w:val="00F609CC"/>
    <w:rsid w:val="00F60D9F"/>
    <w:rsid w:val="00F60E72"/>
    <w:rsid w:val="00F61ACA"/>
    <w:rsid w:val="00F6259B"/>
    <w:rsid w:val="00F629BB"/>
    <w:rsid w:val="00F633D8"/>
    <w:rsid w:val="00F634D1"/>
    <w:rsid w:val="00F6392E"/>
    <w:rsid w:val="00F63B64"/>
    <w:rsid w:val="00F64206"/>
    <w:rsid w:val="00F642DE"/>
    <w:rsid w:val="00F643D0"/>
    <w:rsid w:val="00F64BE5"/>
    <w:rsid w:val="00F64F9F"/>
    <w:rsid w:val="00F65197"/>
    <w:rsid w:val="00F65A9D"/>
    <w:rsid w:val="00F66583"/>
    <w:rsid w:val="00F66713"/>
    <w:rsid w:val="00F66CCE"/>
    <w:rsid w:val="00F67600"/>
    <w:rsid w:val="00F67628"/>
    <w:rsid w:val="00F6793B"/>
    <w:rsid w:val="00F7070C"/>
    <w:rsid w:val="00F70EC9"/>
    <w:rsid w:val="00F71048"/>
    <w:rsid w:val="00F71139"/>
    <w:rsid w:val="00F713CE"/>
    <w:rsid w:val="00F7179A"/>
    <w:rsid w:val="00F71A49"/>
    <w:rsid w:val="00F72928"/>
    <w:rsid w:val="00F72CFE"/>
    <w:rsid w:val="00F73504"/>
    <w:rsid w:val="00F73A43"/>
    <w:rsid w:val="00F7471B"/>
    <w:rsid w:val="00F74851"/>
    <w:rsid w:val="00F74E3C"/>
    <w:rsid w:val="00F751FF"/>
    <w:rsid w:val="00F75308"/>
    <w:rsid w:val="00F753C4"/>
    <w:rsid w:val="00F7589C"/>
    <w:rsid w:val="00F758DB"/>
    <w:rsid w:val="00F75E53"/>
    <w:rsid w:val="00F761A8"/>
    <w:rsid w:val="00F76E52"/>
    <w:rsid w:val="00F779C0"/>
    <w:rsid w:val="00F8068A"/>
    <w:rsid w:val="00F80B11"/>
    <w:rsid w:val="00F80BBF"/>
    <w:rsid w:val="00F80FEB"/>
    <w:rsid w:val="00F82355"/>
    <w:rsid w:val="00F823B4"/>
    <w:rsid w:val="00F82588"/>
    <w:rsid w:val="00F82A56"/>
    <w:rsid w:val="00F82D7A"/>
    <w:rsid w:val="00F82F6E"/>
    <w:rsid w:val="00F82FE7"/>
    <w:rsid w:val="00F83011"/>
    <w:rsid w:val="00F83DAE"/>
    <w:rsid w:val="00F840F2"/>
    <w:rsid w:val="00F850D3"/>
    <w:rsid w:val="00F85F91"/>
    <w:rsid w:val="00F86184"/>
    <w:rsid w:val="00F8708D"/>
    <w:rsid w:val="00F87A14"/>
    <w:rsid w:val="00F903E9"/>
    <w:rsid w:val="00F90BBA"/>
    <w:rsid w:val="00F915A9"/>
    <w:rsid w:val="00F91D88"/>
    <w:rsid w:val="00F92074"/>
    <w:rsid w:val="00F9231A"/>
    <w:rsid w:val="00F9237B"/>
    <w:rsid w:val="00F9257C"/>
    <w:rsid w:val="00F92EBE"/>
    <w:rsid w:val="00F9334E"/>
    <w:rsid w:val="00F9343B"/>
    <w:rsid w:val="00F93533"/>
    <w:rsid w:val="00F93BEE"/>
    <w:rsid w:val="00F93CC8"/>
    <w:rsid w:val="00F94146"/>
    <w:rsid w:val="00F942C0"/>
    <w:rsid w:val="00F947DF"/>
    <w:rsid w:val="00F948BB"/>
    <w:rsid w:val="00F94C96"/>
    <w:rsid w:val="00F9564E"/>
    <w:rsid w:val="00F95884"/>
    <w:rsid w:val="00F95C8A"/>
    <w:rsid w:val="00F9605F"/>
    <w:rsid w:val="00F960B0"/>
    <w:rsid w:val="00F9675B"/>
    <w:rsid w:val="00F96888"/>
    <w:rsid w:val="00F96F0D"/>
    <w:rsid w:val="00F97243"/>
    <w:rsid w:val="00F9748E"/>
    <w:rsid w:val="00F97698"/>
    <w:rsid w:val="00F97CD1"/>
    <w:rsid w:val="00FA093E"/>
    <w:rsid w:val="00FA154E"/>
    <w:rsid w:val="00FA1971"/>
    <w:rsid w:val="00FA1B64"/>
    <w:rsid w:val="00FA1E7E"/>
    <w:rsid w:val="00FA2022"/>
    <w:rsid w:val="00FA22C7"/>
    <w:rsid w:val="00FA26EF"/>
    <w:rsid w:val="00FA27BE"/>
    <w:rsid w:val="00FA308D"/>
    <w:rsid w:val="00FA3256"/>
    <w:rsid w:val="00FA366E"/>
    <w:rsid w:val="00FA3D66"/>
    <w:rsid w:val="00FA4264"/>
    <w:rsid w:val="00FA436B"/>
    <w:rsid w:val="00FA446E"/>
    <w:rsid w:val="00FA46B8"/>
    <w:rsid w:val="00FA51BB"/>
    <w:rsid w:val="00FA54F0"/>
    <w:rsid w:val="00FA5BE6"/>
    <w:rsid w:val="00FA615E"/>
    <w:rsid w:val="00FA6A22"/>
    <w:rsid w:val="00FA6CC0"/>
    <w:rsid w:val="00FA7418"/>
    <w:rsid w:val="00FA7981"/>
    <w:rsid w:val="00FA7D24"/>
    <w:rsid w:val="00FB032D"/>
    <w:rsid w:val="00FB04B5"/>
    <w:rsid w:val="00FB1271"/>
    <w:rsid w:val="00FB13B5"/>
    <w:rsid w:val="00FB19B1"/>
    <w:rsid w:val="00FB1CEA"/>
    <w:rsid w:val="00FB2420"/>
    <w:rsid w:val="00FB2452"/>
    <w:rsid w:val="00FB2745"/>
    <w:rsid w:val="00FB283B"/>
    <w:rsid w:val="00FB28E1"/>
    <w:rsid w:val="00FB2AC2"/>
    <w:rsid w:val="00FB2F93"/>
    <w:rsid w:val="00FB3959"/>
    <w:rsid w:val="00FB3A87"/>
    <w:rsid w:val="00FB516C"/>
    <w:rsid w:val="00FB5403"/>
    <w:rsid w:val="00FB5DAF"/>
    <w:rsid w:val="00FB6727"/>
    <w:rsid w:val="00FB6775"/>
    <w:rsid w:val="00FB67EB"/>
    <w:rsid w:val="00FB6AB3"/>
    <w:rsid w:val="00FB6B8D"/>
    <w:rsid w:val="00FB70D0"/>
    <w:rsid w:val="00FB7A88"/>
    <w:rsid w:val="00FB7EE2"/>
    <w:rsid w:val="00FC0133"/>
    <w:rsid w:val="00FC06B3"/>
    <w:rsid w:val="00FC1013"/>
    <w:rsid w:val="00FC13AB"/>
    <w:rsid w:val="00FC16F6"/>
    <w:rsid w:val="00FC25A3"/>
    <w:rsid w:val="00FC2B2A"/>
    <w:rsid w:val="00FC3040"/>
    <w:rsid w:val="00FC35F1"/>
    <w:rsid w:val="00FC3A22"/>
    <w:rsid w:val="00FC3B43"/>
    <w:rsid w:val="00FC45F8"/>
    <w:rsid w:val="00FC525C"/>
    <w:rsid w:val="00FC6696"/>
    <w:rsid w:val="00FC6E3E"/>
    <w:rsid w:val="00FC6EA9"/>
    <w:rsid w:val="00FC78B4"/>
    <w:rsid w:val="00FC7B53"/>
    <w:rsid w:val="00FD0A3B"/>
    <w:rsid w:val="00FD0EBF"/>
    <w:rsid w:val="00FD16A5"/>
    <w:rsid w:val="00FD186A"/>
    <w:rsid w:val="00FD1EF8"/>
    <w:rsid w:val="00FD2968"/>
    <w:rsid w:val="00FD3147"/>
    <w:rsid w:val="00FD34E9"/>
    <w:rsid w:val="00FD3626"/>
    <w:rsid w:val="00FD3778"/>
    <w:rsid w:val="00FD395A"/>
    <w:rsid w:val="00FD3C93"/>
    <w:rsid w:val="00FD3D09"/>
    <w:rsid w:val="00FD3DFB"/>
    <w:rsid w:val="00FD4C92"/>
    <w:rsid w:val="00FD5277"/>
    <w:rsid w:val="00FD56BB"/>
    <w:rsid w:val="00FD59A0"/>
    <w:rsid w:val="00FD5D0D"/>
    <w:rsid w:val="00FD5F50"/>
    <w:rsid w:val="00FD6E05"/>
    <w:rsid w:val="00FD7324"/>
    <w:rsid w:val="00FD762C"/>
    <w:rsid w:val="00FD7DC2"/>
    <w:rsid w:val="00FD7EB1"/>
    <w:rsid w:val="00FE063C"/>
    <w:rsid w:val="00FE06C1"/>
    <w:rsid w:val="00FE09B4"/>
    <w:rsid w:val="00FE0BAE"/>
    <w:rsid w:val="00FE0CAE"/>
    <w:rsid w:val="00FE0CF6"/>
    <w:rsid w:val="00FE0EDF"/>
    <w:rsid w:val="00FE130E"/>
    <w:rsid w:val="00FE1660"/>
    <w:rsid w:val="00FE1E6A"/>
    <w:rsid w:val="00FE22B8"/>
    <w:rsid w:val="00FE22C6"/>
    <w:rsid w:val="00FE2578"/>
    <w:rsid w:val="00FE2988"/>
    <w:rsid w:val="00FE2C58"/>
    <w:rsid w:val="00FE2D07"/>
    <w:rsid w:val="00FE339A"/>
    <w:rsid w:val="00FE350C"/>
    <w:rsid w:val="00FE388D"/>
    <w:rsid w:val="00FE3FCE"/>
    <w:rsid w:val="00FE42CD"/>
    <w:rsid w:val="00FE4452"/>
    <w:rsid w:val="00FE46BE"/>
    <w:rsid w:val="00FE480D"/>
    <w:rsid w:val="00FE4DC6"/>
    <w:rsid w:val="00FE5BBD"/>
    <w:rsid w:val="00FE7495"/>
    <w:rsid w:val="00FE771D"/>
    <w:rsid w:val="00FF0012"/>
    <w:rsid w:val="00FF0544"/>
    <w:rsid w:val="00FF0662"/>
    <w:rsid w:val="00FF088A"/>
    <w:rsid w:val="00FF08DA"/>
    <w:rsid w:val="00FF0F03"/>
    <w:rsid w:val="00FF0F30"/>
    <w:rsid w:val="00FF1936"/>
    <w:rsid w:val="00FF2E86"/>
    <w:rsid w:val="00FF2EF2"/>
    <w:rsid w:val="00FF2FD3"/>
    <w:rsid w:val="00FF33CB"/>
    <w:rsid w:val="00FF3511"/>
    <w:rsid w:val="00FF3E65"/>
    <w:rsid w:val="00FF4050"/>
    <w:rsid w:val="00FF506F"/>
    <w:rsid w:val="00FF54AD"/>
    <w:rsid w:val="00FF5FBC"/>
    <w:rsid w:val="00FF640C"/>
    <w:rsid w:val="00FF7350"/>
    <w:rsid w:val="00FF75B4"/>
    <w:rsid w:val="01039DF2"/>
    <w:rsid w:val="010917F3"/>
    <w:rsid w:val="010F28D2"/>
    <w:rsid w:val="011AD9F2"/>
    <w:rsid w:val="012B21F4"/>
    <w:rsid w:val="012DC028"/>
    <w:rsid w:val="0130932A"/>
    <w:rsid w:val="013C13E2"/>
    <w:rsid w:val="013CD4E4"/>
    <w:rsid w:val="01494417"/>
    <w:rsid w:val="014A8813"/>
    <w:rsid w:val="014AEBCA"/>
    <w:rsid w:val="015ACB13"/>
    <w:rsid w:val="015D2CF7"/>
    <w:rsid w:val="015DA46D"/>
    <w:rsid w:val="01612FEE"/>
    <w:rsid w:val="016A25FE"/>
    <w:rsid w:val="016D8FAD"/>
    <w:rsid w:val="01740B24"/>
    <w:rsid w:val="01787C1F"/>
    <w:rsid w:val="01812B86"/>
    <w:rsid w:val="01918A27"/>
    <w:rsid w:val="019513B4"/>
    <w:rsid w:val="01A5526C"/>
    <w:rsid w:val="01BD52AF"/>
    <w:rsid w:val="01C4CB18"/>
    <w:rsid w:val="01CA0351"/>
    <w:rsid w:val="01CD7EC7"/>
    <w:rsid w:val="01E261AB"/>
    <w:rsid w:val="01EC01E1"/>
    <w:rsid w:val="01ECC082"/>
    <w:rsid w:val="01EE3F35"/>
    <w:rsid w:val="01EF735F"/>
    <w:rsid w:val="01FE3E07"/>
    <w:rsid w:val="0200041C"/>
    <w:rsid w:val="0201375C"/>
    <w:rsid w:val="023B4AF8"/>
    <w:rsid w:val="024BABA4"/>
    <w:rsid w:val="0252D8FC"/>
    <w:rsid w:val="0262FE15"/>
    <w:rsid w:val="0264C1CF"/>
    <w:rsid w:val="0267C0C4"/>
    <w:rsid w:val="028645F6"/>
    <w:rsid w:val="028DE30D"/>
    <w:rsid w:val="02A12655"/>
    <w:rsid w:val="02A23B27"/>
    <w:rsid w:val="02AEB37A"/>
    <w:rsid w:val="02B1F71B"/>
    <w:rsid w:val="02B265FE"/>
    <w:rsid w:val="02C59AF8"/>
    <w:rsid w:val="02C753B6"/>
    <w:rsid w:val="02D2764D"/>
    <w:rsid w:val="02DB131B"/>
    <w:rsid w:val="02ED5AA5"/>
    <w:rsid w:val="02FBFE08"/>
    <w:rsid w:val="0300F383"/>
    <w:rsid w:val="0305F65F"/>
    <w:rsid w:val="031245E6"/>
    <w:rsid w:val="0315EED5"/>
    <w:rsid w:val="0317AC08"/>
    <w:rsid w:val="031FDF89"/>
    <w:rsid w:val="0329DD9D"/>
    <w:rsid w:val="032B6009"/>
    <w:rsid w:val="0335BA85"/>
    <w:rsid w:val="03371C46"/>
    <w:rsid w:val="0345058B"/>
    <w:rsid w:val="036EBCFC"/>
    <w:rsid w:val="039510A9"/>
    <w:rsid w:val="03ABCBE0"/>
    <w:rsid w:val="03B043D5"/>
    <w:rsid w:val="03CBEA9D"/>
    <w:rsid w:val="03CE2AB2"/>
    <w:rsid w:val="03D4C3CA"/>
    <w:rsid w:val="03F156F6"/>
    <w:rsid w:val="03F95609"/>
    <w:rsid w:val="03FAC246"/>
    <w:rsid w:val="0407D70A"/>
    <w:rsid w:val="0418FBEA"/>
    <w:rsid w:val="04253686"/>
    <w:rsid w:val="04260573"/>
    <w:rsid w:val="0429DAA5"/>
    <w:rsid w:val="042FA607"/>
    <w:rsid w:val="043271B5"/>
    <w:rsid w:val="0434F058"/>
    <w:rsid w:val="04520F68"/>
    <w:rsid w:val="0454CE46"/>
    <w:rsid w:val="0460938F"/>
    <w:rsid w:val="0462B5D3"/>
    <w:rsid w:val="04668C96"/>
    <w:rsid w:val="04694A16"/>
    <w:rsid w:val="046AFEBD"/>
    <w:rsid w:val="047E110F"/>
    <w:rsid w:val="047F5A47"/>
    <w:rsid w:val="0483B221"/>
    <w:rsid w:val="0487A9EA"/>
    <w:rsid w:val="04A3F7D8"/>
    <w:rsid w:val="04A42158"/>
    <w:rsid w:val="04C3D065"/>
    <w:rsid w:val="04CC8CFD"/>
    <w:rsid w:val="04F7BA6E"/>
    <w:rsid w:val="04F8D97A"/>
    <w:rsid w:val="05027DB0"/>
    <w:rsid w:val="05102B46"/>
    <w:rsid w:val="05119448"/>
    <w:rsid w:val="05154645"/>
    <w:rsid w:val="052910BC"/>
    <w:rsid w:val="05312D7F"/>
    <w:rsid w:val="053C4643"/>
    <w:rsid w:val="05526166"/>
    <w:rsid w:val="05535E22"/>
    <w:rsid w:val="0562C857"/>
    <w:rsid w:val="056E8068"/>
    <w:rsid w:val="0579D94F"/>
    <w:rsid w:val="057EC3E8"/>
    <w:rsid w:val="057FF3D7"/>
    <w:rsid w:val="0585182A"/>
    <w:rsid w:val="058896B1"/>
    <w:rsid w:val="05A83F8F"/>
    <w:rsid w:val="05B3A3E5"/>
    <w:rsid w:val="05B89B23"/>
    <w:rsid w:val="05C4D3A4"/>
    <w:rsid w:val="05CBE88B"/>
    <w:rsid w:val="05CD550D"/>
    <w:rsid w:val="05CE5424"/>
    <w:rsid w:val="05D03B19"/>
    <w:rsid w:val="05D0A8A3"/>
    <w:rsid w:val="05D0C0B9"/>
    <w:rsid w:val="05D35BA7"/>
    <w:rsid w:val="05D53BBA"/>
    <w:rsid w:val="05D928C3"/>
    <w:rsid w:val="05DB345A"/>
    <w:rsid w:val="05E0AA63"/>
    <w:rsid w:val="05E0B9A1"/>
    <w:rsid w:val="05E9CA83"/>
    <w:rsid w:val="05EEA3A4"/>
    <w:rsid w:val="05F661B2"/>
    <w:rsid w:val="05F91717"/>
    <w:rsid w:val="05F9DCA5"/>
    <w:rsid w:val="0604507B"/>
    <w:rsid w:val="06047005"/>
    <w:rsid w:val="06061B00"/>
    <w:rsid w:val="06083244"/>
    <w:rsid w:val="06178E08"/>
    <w:rsid w:val="062373D0"/>
    <w:rsid w:val="0623930A"/>
    <w:rsid w:val="0637EAB6"/>
    <w:rsid w:val="064AA43E"/>
    <w:rsid w:val="06542B22"/>
    <w:rsid w:val="065B65D7"/>
    <w:rsid w:val="06777CA1"/>
    <w:rsid w:val="06840501"/>
    <w:rsid w:val="069B4846"/>
    <w:rsid w:val="069D0A3D"/>
    <w:rsid w:val="06A527FE"/>
    <w:rsid w:val="06AB83C9"/>
    <w:rsid w:val="06AE175B"/>
    <w:rsid w:val="06C39C84"/>
    <w:rsid w:val="06C4A914"/>
    <w:rsid w:val="06CA6AE0"/>
    <w:rsid w:val="06CB813E"/>
    <w:rsid w:val="06DC46E0"/>
    <w:rsid w:val="06FD6A88"/>
    <w:rsid w:val="06FFD49E"/>
    <w:rsid w:val="0700ED63"/>
    <w:rsid w:val="070CF9F9"/>
    <w:rsid w:val="070DE414"/>
    <w:rsid w:val="0714D238"/>
    <w:rsid w:val="0716F95A"/>
    <w:rsid w:val="07181F63"/>
    <w:rsid w:val="071C0425"/>
    <w:rsid w:val="071D0A4D"/>
    <w:rsid w:val="07386193"/>
    <w:rsid w:val="074A770E"/>
    <w:rsid w:val="075B6B73"/>
    <w:rsid w:val="07624D83"/>
    <w:rsid w:val="0764A394"/>
    <w:rsid w:val="0768FC40"/>
    <w:rsid w:val="07695B3E"/>
    <w:rsid w:val="076A1277"/>
    <w:rsid w:val="076AB505"/>
    <w:rsid w:val="0777CB30"/>
    <w:rsid w:val="07822A07"/>
    <w:rsid w:val="0788714C"/>
    <w:rsid w:val="0790C857"/>
    <w:rsid w:val="07A5E18D"/>
    <w:rsid w:val="07AFE309"/>
    <w:rsid w:val="07AFF217"/>
    <w:rsid w:val="07BA86E4"/>
    <w:rsid w:val="07BB4A50"/>
    <w:rsid w:val="07BE8CC6"/>
    <w:rsid w:val="07C514ED"/>
    <w:rsid w:val="07C9DF38"/>
    <w:rsid w:val="07CB917D"/>
    <w:rsid w:val="07E5D1DA"/>
    <w:rsid w:val="07E96F65"/>
    <w:rsid w:val="07EA52C1"/>
    <w:rsid w:val="07EBFD67"/>
    <w:rsid w:val="07FEA8EC"/>
    <w:rsid w:val="08062549"/>
    <w:rsid w:val="080B6667"/>
    <w:rsid w:val="0818F734"/>
    <w:rsid w:val="08299418"/>
    <w:rsid w:val="082DA9BD"/>
    <w:rsid w:val="082FDB1E"/>
    <w:rsid w:val="0840CD82"/>
    <w:rsid w:val="0842C9BB"/>
    <w:rsid w:val="0844959C"/>
    <w:rsid w:val="084E7E0A"/>
    <w:rsid w:val="0850A9E9"/>
    <w:rsid w:val="0854A7E1"/>
    <w:rsid w:val="086079EC"/>
    <w:rsid w:val="086F45A0"/>
    <w:rsid w:val="0874A019"/>
    <w:rsid w:val="088FC56E"/>
    <w:rsid w:val="089411B8"/>
    <w:rsid w:val="0894E8AB"/>
    <w:rsid w:val="08AC6E3E"/>
    <w:rsid w:val="08B1B607"/>
    <w:rsid w:val="08C77AAD"/>
    <w:rsid w:val="08E5E457"/>
    <w:rsid w:val="08F5877A"/>
    <w:rsid w:val="08F718E5"/>
    <w:rsid w:val="08F982F7"/>
    <w:rsid w:val="090F2D07"/>
    <w:rsid w:val="0920C7F5"/>
    <w:rsid w:val="09276A88"/>
    <w:rsid w:val="092E48B6"/>
    <w:rsid w:val="09300602"/>
    <w:rsid w:val="09349C00"/>
    <w:rsid w:val="09459565"/>
    <w:rsid w:val="0949CF43"/>
    <w:rsid w:val="0956D27B"/>
    <w:rsid w:val="095DFBEE"/>
    <w:rsid w:val="0966A1CC"/>
    <w:rsid w:val="097C8E91"/>
    <w:rsid w:val="09846E7F"/>
    <w:rsid w:val="098B55DC"/>
    <w:rsid w:val="09936868"/>
    <w:rsid w:val="099C6078"/>
    <w:rsid w:val="09AB3C8E"/>
    <w:rsid w:val="09ABB007"/>
    <w:rsid w:val="09B777DE"/>
    <w:rsid w:val="09C82D4B"/>
    <w:rsid w:val="09CA11C7"/>
    <w:rsid w:val="09CCF9B2"/>
    <w:rsid w:val="09D669F1"/>
    <w:rsid w:val="09E3EDC2"/>
    <w:rsid w:val="09E5B81D"/>
    <w:rsid w:val="09E6E8E4"/>
    <w:rsid w:val="09FABBC7"/>
    <w:rsid w:val="0A2BBD44"/>
    <w:rsid w:val="0A3B82B2"/>
    <w:rsid w:val="0A4AB128"/>
    <w:rsid w:val="0A4AB641"/>
    <w:rsid w:val="0AA09D02"/>
    <w:rsid w:val="0AA1C547"/>
    <w:rsid w:val="0AA5F1D3"/>
    <w:rsid w:val="0AAA132F"/>
    <w:rsid w:val="0ABB4D63"/>
    <w:rsid w:val="0ABC3A1A"/>
    <w:rsid w:val="0ABFAB8B"/>
    <w:rsid w:val="0ABFE699"/>
    <w:rsid w:val="0ABFEB5A"/>
    <w:rsid w:val="0AC2534B"/>
    <w:rsid w:val="0ACA1917"/>
    <w:rsid w:val="0ACFE92F"/>
    <w:rsid w:val="0AD54813"/>
    <w:rsid w:val="0AE5EB6D"/>
    <w:rsid w:val="0AED5293"/>
    <w:rsid w:val="0B0799C1"/>
    <w:rsid w:val="0B1580F0"/>
    <w:rsid w:val="0B1C151B"/>
    <w:rsid w:val="0B210DBB"/>
    <w:rsid w:val="0B21F764"/>
    <w:rsid w:val="0B249FAD"/>
    <w:rsid w:val="0B2DFC6E"/>
    <w:rsid w:val="0B2ED6FA"/>
    <w:rsid w:val="0B2F8F21"/>
    <w:rsid w:val="0B3C8316"/>
    <w:rsid w:val="0B3E716B"/>
    <w:rsid w:val="0B431D54"/>
    <w:rsid w:val="0B54C71D"/>
    <w:rsid w:val="0B5ABC1B"/>
    <w:rsid w:val="0B6723AF"/>
    <w:rsid w:val="0B744C0A"/>
    <w:rsid w:val="0B78C617"/>
    <w:rsid w:val="0B928DCA"/>
    <w:rsid w:val="0BB008C0"/>
    <w:rsid w:val="0BBCEB7B"/>
    <w:rsid w:val="0BD05CA6"/>
    <w:rsid w:val="0BD45E86"/>
    <w:rsid w:val="0BD75313"/>
    <w:rsid w:val="0BEC62C1"/>
    <w:rsid w:val="0C016231"/>
    <w:rsid w:val="0C077118"/>
    <w:rsid w:val="0C11828E"/>
    <w:rsid w:val="0C1F4883"/>
    <w:rsid w:val="0C20677E"/>
    <w:rsid w:val="0C292F70"/>
    <w:rsid w:val="0C3107A5"/>
    <w:rsid w:val="0C34F12F"/>
    <w:rsid w:val="0C3FB8D6"/>
    <w:rsid w:val="0C40023D"/>
    <w:rsid w:val="0C4907AE"/>
    <w:rsid w:val="0C49F21D"/>
    <w:rsid w:val="0C5B2AFC"/>
    <w:rsid w:val="0C5F0B4A"/>
    <w:rsid w:val="0C6D3071"/>
    <w:rsid w:val="0C7474E9"/>
    <w:rsid w:val="0C7B6C2E"/>
    <w:rsid w:val="0C80F13B"/>
    <w:rsid w:val="0C8D9868"/>
    <w:rsid w:val="0C9CB9D8"/>
    <w:rsid w:val="0CA4F779"/>
    <w:rsid w:val="0CA54B51"/>
    <w:rsid w:val="0CBD0298"/>
    <w:rsid w:val="0CC49DDE"/>
    <w:rsid w:val="0CC85491"/>
    <w:rsid w:val="0CDCD870"/>
    <w:rsid w:val="0CDF7BBF"/>
    <w:rsid w:val="0CFE960D"/>
    <w:rsid w:val="0D0C3B06"/>
    <w:rsid w:val="0D1B160F"/>
    <w:rsid w:val="0D1DF1BA"/>
    <w:rsid w:val="0D22A053"/>
    <w:rsid w:val="0D2523DA"/>
    <w:rsid w:val="0D4B5A1D"/>
    <w:rsid w:val="0D54B1DF"/>
    <w:rsid w:val="0D58A2C5"/>
    <w:rsid w:val="0D5E6212"/>
    <w:rsid w:val="0D7ABEF5"/>
    <w:rsid w:val="0D8C5788"/>
    <w:rsid w:val="0D951C89"/>
    <w:rsid w:val="0D96DDF7"/>
    <w:rsid w:val="0D9D3115"/>
    <w:rsid w:val="0D9EA35F"/>
    <w:rsid w:val="0DBBACE2"/>
    <w:rsid w:val="0DC18CED"/>
    <w:rsid w:val="0DC8126A"/>
    <w:rsid w:val="0DC8F89D"/>
    <w:rsid w:val="0DCD35F9"/>
    <w:rsid w:val="0DE2DB93"/>
    <w:rsid w:val="0DE598E4"/>
    <w:rsid w:val="0DEDCBF0"/>
    <w:rsid w:val="0DF2EE25"/>
    <w:rsid w:val="0DFCDAD4"/>
    <w:rsid w:val="0E0A805D"/>
    <w:rsid w:val="0E0DBCBB"/>
    <w:rsid w:val="0E109674"/>
    <w:rsid w:val="0E18F979"/>
    <w:rsid w:val="0E2136FD"/>
    <w:rsid w:val="0E23A471"/>
    <w:rsid w:val="0E2D3602"/>
    <w:rsid w:val="0E46308C"/>
    <w:rsid w:val="0E4CE83C"/>
    <w:rsid w:val="0E4D21EA"/>
    <w:rsid w:val="0E5941BA"/>
    <w:rsid w:val="0E63F42B"/>
    <w:rsid w:val="0E78B558"/>
    <w:rsid w:val="0E80153E"/>
    <w:rsid w:val="0E80E308"/>
    <w:rsid w:val="0E87DC67"/>
    <w:rsid w:val="0E964778"/>
    <w:rsid w:val="0E96FBDF"/>
    <w:rsid w:val="0E9B1584"/>
    <w:rsid w:val="0EA7FF7C"/>
    <w:rsid w:val="0EC15660"/>
    <w:rsid w:val="0ECC11D7"/>
    <w:rsid w:val="0ECC6424"/>
    <w:rsid w:val="0ECD4C4D"/>
    <w:rsid w:val="0ED32E5C"/>
    <w:rsid w:val="0EE4BF79"/>
    <w:rsid w:val="0EE5B0D0"/>
    <w:rsid w:val="0EE7C738"/>
    <w:rsid w:val="0EFDCDDD"/>
    <w:rsid w:val="0F0027BA"/>
    <w:rsid w:val="0F01E1FA"/>
    <w:rsid w:val="0F05C169"/>
    <w:rsid w:val="0F0C103A"/>
    <w:rsid w:val="0F10D068"/>
    <w:rsid w:val="0F162CC7"/>
    <w:rsid w:val="0F1672B0"/>
    <w:rsid w:val="0F1C0C54"/>
    <w:rsid w:val="0F27A886"/>
    <w:rsid w:val="0F2D58E2"/>
    <w:rsid w:val="0F3FAB14"/>
    <w:rsid w:val="0F432858"/>
    <w:rsid w:val="0F53F9AE"/>
    <w:rsid w:val="0F5D437E"/>
    <w:rsid w:val="0F5E5B5F"/>
    <w:rsid w:val="0F666975"/>
    <w:rsid w:val="0F684987"/>
    <w:rsid w:val="0F6999EE"/>
    <w:rsid w:val="0F7156EB"/>
    <w:rsid w:val="0F77126C"/>
    <w:rsid w:val="0F81DFA5"/>
    <w:rsid w:val="0F84BE61"/>
    <w:rsid w:val="0FA5BFCC"/>
    <w:rsid w:val="0FA7E6E3"/>
    <w:rsid w:val="0FB8C7AB"/>
    <w:rsid w:val="0FBFD8BB"/>
    <w:rsid w:val="0FC984FC"/>
    <w:rsid w:val="0FCBC772"/>
    <w:rsid w:val="0FCF28EE"/>
    <w:rsid w:val="0FD2EAEF"/>
    <w:rsid w:val="0FE76411"/>
    <w:rsid w:val="0FEC110D"/>
    <w:rsid w:val="100F7443"/>
    <w:rsid w:val="1028EBE1"/>
    <w:rsid w:val="103DAF3A"/>
    <w:rsid w:val="10430D97"/>
    <w:rsid w:val="104CB04E"/>
    <w:rsid w:val="10538AEC"/>
    <w:rsid w:val="106260E1"/>
    <w:rsid w:val="10662325"/>
    <w:rsid w:val="1076F51B"/>
    <w:rsid w:val="10790157"/>
    <w:rsid w:val="10793946"/>
    <w:rsid w:val="1080A6AA"/>
    <w:rsid w:val="108821FF"/>
    <w:rsid w:val="108A9E69"/>
    <w:rsid w:val="10935D6E"/>
    <w:rsid w:val="1095140D"/>
    <w:rsid w:val="109E59A8"/>
    <w:rsid w:val="10A4F727"/>
    <w:rsid w:val="10BCB1E2"/>
    <w:rsid w:val="10C0582F"/>
    <w:rsid w:val="10C5DBC2"/>
    <w:rsid w:val="10FB9289"/>
    <w:rsid w:val="11072063"/>
    <w:rsid w:val="110C84A2"/>
    <w:rsid w:val="111B369F"/>
    <w:rsid w:val="111BB5DD"/>
    <w:rsid w:val="112D456D"/>
    <w:rsid w:val="11318199"/>
    <w:rsid w:val="11387B52"/>
    <w:rsid w:val="113D9020"/>
    <w:rsid w:val="113E6941"/>
    <w:rsid w:val="113EC67D"/>
    <w:rsid w:val="114331B7"/>
    <w:rsid w:val="11466DC9"/>
    <w:rsid w:val="11497981"/>
    <w:rsid w:val="114A7B89"/>
    <w:rsid w:val="1150B4BF"/>
    <w:rsid w:val="1162DB31"/>
    <w:rsid w:val="11761622"/>
    <w:rsid w:val="118DD70C"/>
    <w:rsid w:val="118FD468"/>
    <w:rsid w:val="11A9AD99"/>
    <w:rsid w:val="11AB44A4"/>
    <w:rsid w:val="11B8E82B"/>
    <w:rsid w:val="11C46D01"/>
    <w:rsid w:val="11D049DD"/>
    <w:rsid w:val="11D1229B"/>
    <w:rsid w:val="11E4B92F"/>
    <w:rsid w:val="11E4E18F"/>
    <w:rsid w:val="11F23011"/>
    <w:rsid w:val="11F3EA15"/>
    <w:rsid w:val="11F7B7D7"/>
    <w:rsid w:val="11F83FB9"/>
    <w:rsid w:val="1202CBC0"/>
    <w:rsid w:val="120A12F7"/>
    <w:rsid w:val="120DE21E"/>
    <w:rsid w:val="1218C247"/>
    <w:rsid w:val="121E51DA"/>
    <w:rsid w:val="12270EAF"/>
    <w:rsid w:val="122896BC"/>
    <w:rsid w:val="122C565F"/>
    <w:rsid w:val="122D1DBE"/>
    <w:rsid w:val="12437CDE"/>
    <w:rsid w:val="1252905F"/>
    <w:rsid w:val="126BCB35"/>
    <w:rsid w:val="12712098"/>
    <w:rsid w:val="127A721C"/>
    <w:rsid w:val="1290D4BA"/>
    <w:rsid w:val="1291A1C2"/>
    <w:rsid w:val="129A9665"/>
    <w:rsid w:val="12A7EF13"/>
    <w:rsid w:val="12B009B4"/>
    <w:rsid w:val="12B216EB"/>
    <w:rsid w:val="12C11DAC"/>
    <w:rsid w:val="12CAF6BC"/>
    <w:rsid w:val="12D0C18E"/>
    <w:rsid w:val="12D37FD7"/>
    <w:rsid w:val="12E93315"/>
    <w:rsid w:val="12ED97FB"/>
    <w:rsid w:val="12EEA8CB"/>
    <w:rsid w:val="12F57A61"/>
    <w:rsid w:val="12FAC9F5"/>
    <w:rsid w:val="12FC13D7"/>
    <w:rsid w:val="13058207"/>
    <w:rsid w:val="1306B43D"/>
    <w:rsid w:val="13070EB5"/>
    <w:rsid w:val="130E1E6D"/>
    <w:rsid w:val="132332D3"/>
    <w:rsid w:val="132A1A61"/>
    <w:rsid w:val="132E5CB2"/>
    <w:rsid w:val="133C8525"/>
    <w:rsid w:val="133D8F7F"/>
    <w:rsid w:val="133E7228"/>
    <w:rsid w:val="13471505"/>
    <w:rsid w:val="135D9A4B"/>
    <w:rsid w:val="137532E9"/>
    <w:rsid w:val="1398C0D9"/>
    <w:rsid w:val="13AD5404"/>
    <w:rsid w:val="13B05BC9"/>
    <w:rsid w:val="13B5C07D"/>
    <w:rsid w:val="13B7C62E"/>
    <w:rsid w:val="13B8D378"/>
    <w:rsid w:val="13BC4BBE"/>
    <w:rsid w:val="13C132AF"/>
    <w:rsid w:val="13C49124"/>
    <w:rsid w:val="13DCD4AE"/>
    <w:rsid w:val="13E4D65B"/>
    <w:rsid w:val="13EE97FA"/>
    <w:rsid w:val="13F76DB3"/>
    <w:rsid w:val="13FB8D55"/>
    <w:rsid w:val="14061ED4"/>
    <w:rsid w:val="140E373E"/>
    <w:rsid w:val="1427430B"/>
    <w:rsid w:val="142D53FE"/>
    <w:rsid w:val="142DF3BB"/>
    <w:rsid w:val="14308484"/>
    <w:rsid w:val="14368F1D"/>
    <w:rsid w:val="14453987"/>
    <w:rsid w:val="1446C530"/>
    <w:rsid w:val="144EE751"/>
    <w:rsid w:val="1457007F"/>
    <w:rsid w:val="1459B836"/>
    <w:rsid w:val="145ED21F"/>
    <w:rsid w:val="14691DBF"/>
    <w:rsid w:val="146FDE7B"/>
    <w:rsid w:val="148A634E"/>
    <w:rsid w:val="1497778F"/>
    <w:rsid w:val="14A6D43E"/>
    <w:rsid w:val="14A83D16"/>
    <w:rsid w:val="14B2FEA2"/>
    <w:rsid w:val="14BC1FBB"/>
    <w:rsid w:val="14C4B69D"/>
    <w:rsid w:val="14CB2066"/>
    <w:rsid w:val="14D5EE8E"/>
    <w:rsid w:val="14DDA6C6"/>
    <w:rsid w:val="14E20554"/>
    <w:rsid w:val="14E646E7"/>
    <w:rsid w:val="14F2647F"/>
    <w:rsid w:val="1518DC8F"/>
    <w:rsid w:val="153027E3"/>
    <w:rsid w:val="15371271"/>
    <w:rsid w:val="153DC45F"/>
    <w:rsid w:val="154A1629"/>
    <w:rsid w:val="15582A69"/>
    <w:rsid w:val="155E59F9"/>
    <w:rsid w:val="157018A7"/>
    <w:rsid w:val="1571237E"/>
    <w:rsid w:val="1587E9DB"/>
    <w:rsid w:val="158BB47B"/>
    <w:rsid w:val="15B851B1"/>
    <w:rsid w:val="15BED141"/>
    <w:rsid w:val="15D32B09"/>
    <w:rsid w:val="15D8801A"/>
    <w:rsid w:val="15DDF070"/>
    <w:rsid w:val="15DF3964"/>
    <w:rsid w:val="15E52092"/>
    <w:rsid w:val="160C3908"/>
    <w:rsid w:val="1618818A"/>
    <w:rsid w:val="161B25D0"/>
    <w:rsid w:val="161CD0B5"/>
    <w:rsid w:val="162211F6"/>
    <w:rsid w:val="162264C6"/>
    <w:rsid w:val="162958BC"/>
    <w:rsid w:val="163863A7"/>
    <w:rsid w:val="16439613"/>
    <w:rsid w:val="1655F2F1"/>
    <w:rsid w:val="1660DDA1"/>
    <w:rsid w:val="166AE0F2"/>
    <w:rsid w:val="16797727"/>
    <w:rsid w:val="167F3F90"/>
    <w:rsid w:val="168C4D41"/>
    <w:rsid w:val="169E0447"/>
    <w:rsid w:val="16B2BD09"/>
    <w:rsid w:val="16B5C255"/>
    <w:rsid w:val="16C17F19"/>
    <w:rsid w:val="16C517E4"/>
    <w:rsid w:val="16CF0825"/>
    <w:rsid w:val="16D59251"/>
    <w:rsid w:val="16E2E27D"/>
    <w:rsid w:val="16E9928E"/>
    <w:rsid w:val="16EA96EB"/>
    <w:rsid w:val="16FC53BC"/>
    <w:rsid w:val="17144E90"/>
    <w:rsid w:val="1744FB9E"/>
    <w:rsid w:val="1746F8C1"/>
    <w:rsid w:val="1747CEA9"/>
    <w:rsid w:val="174B245F"/>
    <w:rsid w:val="174BB8FA"/>
    <w:rsid w:val="175396EB"/>
    <w:rsid w:val="1754B053"/>
    <w:rsid w:val="1755B964"/>
    <w:rsid w:val="176A1569"/>
    <w:rsid w:val="176E90AD"/>
    <w:rsid w:val="1775ADAD"/>
    <w:rsid w:val="1775F50E"/>
    <w:rsid w:val="1776E9FF"/>
    <w:rsid w:val="17797CC3"/>
    <w:rsid w:val="177A4D58"/>
    <w:rsid w:val="177AE0CC"/>
    <w:rsid w:val="178B2F94"/>
    <w:rsid w:val="178E3B35"/>
    <w:rsid w:val="179037BD"/>
    <w:rsid w:val="179E5AE9"/>
    <w:rsid w:val="17A18217"/>
    <w:rsid w:val="17A33781"/>
    <w:rsid w:val="17A9C061"/>
    <w:rsid w:val="17B3A2E2"/>
    <w:rsid w:val="17BC3F9E"/>
    <w:rsid w:val="17CF1819"/>
    <w:rsid w:val="17EBE1B9"/>
    <w:rsid w:val="17EDCE5A"/>
    <w:rsid w:val="17EF86E8"/>
    <w:rsid w:val="17F21FF1"/>
    <w:rsid w:val="17F362FE"/>
    <w:rsid w:val="17F83B4E"/>
    <w:rsid w:val="1807B7BA"/>
    <w:rsid w:val="181002AD"/>
    <w:rsid w:val="1825198D"/>
    <w:rsid w:val="182709FF"/>
    <w:rsid w:val="18378374"/>
    <w:rsid w:val="183E3680"/>
    <w:rsid w:val="184E33E2"/>
    <w:rsid w:val="18518CA7"/>
    <w:rsid w:val="18570366"/>
    <w:rsid w:val="1858AAE0"/>
    <w:rsid w:val="185D515F"/>
    <w:rsid w:val="18677D3F"/>
    <w:rsid w:val="186891E7"/>
    <w:rsid w:val="1880F1BD"/>
    <w:rsid w:val="188562EF"/>
    <w:rsid w:val="188657A9"/>
    <w:rsid w:val="1889C947"/>
    <w:rsid w:val="189E8A51"/>
    <w:rsid w:val="18A2FEA4"/>
    <w:rsid w:val="18A7B969"/>
    <w:rsid w:val="18B3D9C9"/>
    <w:rsid w:val="18B96F5D"/>
    <w:rsid w:val="18CD8F91"/>
    <w:rsid w:val="18DD913F"/>
    <w:rsid w:val="18DF441C"/>
    <w:rsid w:val="18E2E9A0"/>
    <w:rsid w:val="18E52119"/>
    <w:rsid w:val="18EB7913"/>
    <w:rsid w:val="18EE9944"/>
    <w:rsid w:val="18FDCF7F"/>
    <w:rsid w:val="19109EC5"/>
    <w:rsid w:val="19154D24"/>
    <w:rsid w:val="1934B2BF"/>
    <w:rsid w:val="19387DC2"/>
    <w:rsid w:val="195E402D"/>
    <w:rsid w:val="19600400"/>
    <w:rsid w:val="196B9001"/>
    <w:rsid w:val="196DC0D4"/>
    <w:rsid w:val="1973CFE0"/>
    <w:rsid w:val="198A5FBE"/>
    <w:rsid w:val="198DB90B"/>
    <w:rsid w:val="1997EF8C"/>
    <w:rsid w:val="1999FA23"/>
    <w:rsid w:val="19A1551C"/>
    <w:rsid w:val="19AB8279"/>
    <w:rsid w:val="19ACBEFB"/>
    <w:rsid w:val="19B705C5"/>
    <w:rsid w:val="19B852F4"/>
    <w:rsid w:val="19C58695"/>
    <w:rsid w:val="19CAE78F"/>
    <w:rsid w:val="19D2723B"/>
    <w:rsid w:val="19E2724F"/>
    <w:rsid w:val="19F1315E"/>
    <w:rsid w:val="19F47B41"/>
    <w:rsid w:val="19F6A138"/>
    <w:rsid w:val="19FD5149"/>
    <w:rsid w:val="19FEA065"/>
    <w:rsid w:val="1A064914"/>
    <w:rsid w:val="1A167DB3"/>
    <w:rsid w:val="1A21C1F6"/>
    <w:rsid w:val="1A21D9C2"/>
    <w:rsid w:val="1A2F2E40"/>
    <w:rsid w:val="1A314F4C"/>
    <w:rsid w:val="1A339BDA"/>
    <w:rsid w:val="1A3653C5"/>
    <w:rsid w:val="1A3B7927"/>
    <w:rsid w:val="1A40F911"/>
    <w:rsid w:val="1A4A6671"/>
    <w:rsid w:val="1A4A8C44"/>
    <w:rsid w:val="1A4CD68B"/>
    <w:rsid w:val="1A5B7F9D"/>
    <w:rsid w:val="1A5E3EFD"/>
    <w:rsid w:val="1A68BE70"/>
    <w:rsid w:val="1A75A939"/>
    <w:rsid w:val="1A7DFC5E"/>
    <w:rsid w:val="1A8B37AD"/>
    <w:rsid w:val="1A8CB0C9"/>
    <w:rsid w:val="1A94952D"/>
    <w:rsid w:val="1A950B63"/>
    <w:rsid w:val="1A9AAD17"/>
    <w:rsid w:val="1A9BE69F"/>
    <w:rsid w:val="1AA087E9"/>
    <w:rsid w:val="1AA27FDF"/>
    <w:rsid w:val="1ABEAE52"/>
    <w:rsid w:val="1ABFFA7C"/>
    <w:rsid w:val="1ACFFE59"/>
    <w:rsid w:val="1ADBBE7E"/>
    <w:rsid w:val="1ADBCCE8"/>
    <w:rsid w:val="1ADF11F8"/>
    <w:rsid w:val="1AE9127D"/>
    <w:rsid w:val="1AEF29F0"/>
    <w:rsid w:val="1AEF3FB3"/>
    <w:rsid w:val="1AEFAD94"/>
    <w:rsid w:val="1B0B9CE4"/>
    <w:rsid w:val="1B174507"/>
    <w:rsid w:val="1B20463A"/>
    <w:rsid w:val="1B2F7D1C"/>
    <w:rsid w:val="1B4E4910"/>
    <w:rsid w:val="1B56C390"/>
    <w:rsid w:val="1B5E7FE8"/>
    <w:rsid w:val="1B5EEBAA"/>
    <w:rsid w:val="1B5FB3F8"/>
    <w:rsid w:val="1B639608"/>
    <w:rsid w:val="1B6E1416"/>
    <w:rsid w:val="1B904BA2"/>
    <w:rsid w:val="1BAD5CF3"/>
    <w:rsid w:val="1BC8CE04"/>
    <w:rsid w:val="1BD18366"/>
    <w:rsid w:val="1BD3A5BF"/>
    <w:rsid w:val="1BD9B459"/>
    <w:rsid w:val="1BDF5A2B"/>
    <w:rsid w:val="1BE4938F"/>
    <w:rsid w:val="1C0E90DF"/>
    <w:rsid w:val="1C1475CA"/>
    <w:rsid w:val="1C1D71C1"/>
    <w:rsid w:val="1C20EEB0"/>
    <w:rsid w:val="1C25E35E"/>
    <w:rsid w:val="1C2B2430"/>
    <w:rsid w:val="1C33C589"/>
    <w:rsid w:val="1C5BCADD"/>
    <w:rsid w:val="1C5D6B47"/>
    <w:rsid w:val="1C60C3FB"/>
    <w:rsid w:val="1C62C8E9"/>
    <w:rsid w:val="1C630F68"/>
    <w:rsid w:val="1C72E378"/>
    <w:rsid w:val="1C74F33A"/>
    <w:rsid w:val="1C7BFE1C"/>
    <w:rsid w:val="1C828243"/>
    <w:rsid w:val="1C83B486"/>
    <w:rsid w:val="1C8B0321"/>
    <w:rsid w:val="1C8CF3D4"/>
    <w:rsid w:val="1C90D92E"/>
    <w:rsid w:val="1CA683C3"/>
    <w:rsid w:val="1CAF94C7"/>
    <w:rsid w:val="1CB33CC2"/>
    <w:rsid w:val="1CBAA76E"/>
    <w:rsid w:val="1CD1C9CC"/>
    <w:rsid w:val="1CD2DB44"/>
    <w:rsid w:val="1CDB28DD"/>
    <w:rsid w:val="1CE34A4D"/>
    <w:rsid w:val="1CE3EEB8"/>
    <w:rsid w:val="1CE409A4"/>
    <w:rsid w:val="1CE87461"/>
    <w:rsid w:val="1CF03B12"/>
    <w:rsid w:val="1CFF2FA5"/>
    <w:rsid w:val="1D04BAA5"/>
    <w:rsid w:val="1D19EDD0"/>
    <w:rsid w:val="1D264EF4"/>
    <w:rsid w:val="1D2EECFC"/>
    <w:rsid w:val="1D34CA71"/>
    <w:rsid w:val="1D378035"/>
    <w:rsid w:val="1D397B6A"/>
    <w:rsid w:val="1D3D6D0D"/>
    <w:rsid w:val="1D4868EB"/>
    <w:rsid w:val="1D4B7E2C"/>
    <w:rsid w:val="1D51BEE3"/>
    <w:rsid w:val="1D58A425"/>
    <w:rsid w:val="1D610481"/>
    <w:rsid w:val="1D61D6D4"/>
    <w:rsid w:val="1D8F2347"/>
    <w:rsid w:val="1D98B286"/>
    <w:rsid w:val="1DA62ABE"/>
    <w:rsid w:val="1DAA00A0"/>
    <w:rsid w:val="1DAABA67"/>
    <w:rsid w:val="1DABD2D1"/>
    <w:rsid w:val="1DAEC28B"/>
    <w:rsid w:val="1DC467E9"/>
    <w:rsid w:val="1DC9B36C"/>
    <w:rsid w:val="1DCAC4FA"/>
    <w:rsid w:val="1DD7C9E2"/>
    <w:rsid w:val="1DD95D79"/>
    <w:rsid w:val="1DF3B7C2"/>
    <w:rsid w:val="1DF7B1E5"/>
    <w:rsid w:val="1DF7D98A"/>
    <w:rsid w:val="1E0EA048"/>
    <w:rsid w:val="1E1348B9"/>
    <w:rsid w:val="1E1D49B9"/>
    <w:rsid w:val="1E2851CB"/>
    <w:rsid w:val="1E498FB4"/>
    <w:rsid w:val="1E4BF0D6"/>
    <w:rsid w:val="1E4FB2A0"/>
    <w:rsid w:val="1E50D114"/>
    <w:rsid w:val="1E74D21C"/>
    <w:rsid w:val="1E76F93E"/>
    <w:rsid w:val="1E7F5AE1"/>
    <w:rsid w:val="1E7FF31F"/>
    <w:rsid w:val="1E846734"/>
    <w:rsid w:val="1E942E75"/>
    <w:rsid w:val="1E96373A"/>
    <w:rsid w:val="1E9E4AD3"/>
    <w:rsid w:val="1EB0F8F0"/>
    <w:rsid w:val="1EB9B6FD"/>
    <w:rsid w:val="1EC3FABD"/>
    <w:rsid w:val="1ECA125B"/>
    <w:rsid w:val="1ECB248C"/>
    <w:rsid w:val="1EDB937C"/>
    <w:rsid w:val="1EEE91FE"/>
    <w:rsid w:val="1EF0F3D0"/>
    <w:rsid w:val="1EF63799"/>
    <w:rsid w:val="1EFD796F"/>
    <w:rsid w:val="1EFE5808"/>
    <w:rsid w:val="1F0460F2"/>
    <w:rsid w:val="1F0FC564"/>
    <w:rsid w:val="1F11DE8B"/>
    <w:rsid w:val="1F124028"/>
    <w:rsid w:val="1F16FAED"/>
    <w:rsid w:val="1F19D4B5"/>
    <w:rsid w:val="1F26B465"/>
    <w:rsid w:val="1F377693"/>
    <w:rsid w:val="1F378113"/>
    <w:rsid w:val="1F3F1C01"/>
    <w:rsid w:val="1F4974B3"/>
    <w:rsid w:val="1F620C23"/>
    <w:rsid w:val="1F673768"/>
    <w:rsid w:val="1F6CE95D"/>
    <w:rsid w:val="1F6CF7CD"/>
    <w:rsid w:val="1F6EC502"/>
    <w:rsid w:val="1F72870E"/>
    <w:rsid w:val="1F88C1C7"/>
    <w:rsid w:val="1FA959B4"/>
    <w:rsid w:val="1FB86D9E"/>
    <w:rsid w:val="1FD3C7C6"/>
    <w:rsid w:val="1FD3F251"/>
    <w:rsid w:val="1FD5E218"/>
    <w:rsid w:val="1FE138B7"/>
    <w:rsid w:val="1FF44CD9"/>
    <w:rsid w:val="1FFA68FD"/>
    <w:rsid w:val="2018777A"/>
    <w:rsid w:val="201D68AC"/>
    <w:rsid w:val="20222CCB"/>
    <w:rsid w:val="2027FD77"/>
    <w:rsid w:val="20483BA3"/>
    <w:rsid w:val="204886B5"/>
    <w:rsid w:val="204BEEC6"/>
    <w:rsid w:val="204F3902"/>
    <w:rsid w:val="2054F344"/>
    <w:rsid w:val="2059767A"/>
    <w:rsid w:val="205F293E"/>
    <w:rsid w:val="208898FC"/>
    <w:rsid w:val="20BD7EB4"/>
    <w:rsid w:val="20C685A0"/>
    <w:rsid w:val="20CD8506"/>
    <w:rsid w:val="20D04E4E"/>
    <w:rsid w:val="20F1FFC6"/>
    <w:rsid w:val="210BAFEB"/>
    <w:rsid w:val="2111EC9E"/>
    <w:rsid w:val="21134D26"/>
    <w:rsid w:val="2113B82B"/>
    <w:rsid w:val="211CD465"/>
    <w:rsid w:val="211E1C72"/>
    <w:rsid w:val="21548070"/>
    <w:rsid w:val="217177C9"/>
    <w:rsid w:val="217772EC"/>
    <w:rsid w:val="217D1BA7"/>
    <w:rsid w:val="217F5896"/>
    <w:rsid w:val="218F724B"/>
    <w:rsid w:val="21988E09"/>
    <w:rsid w:val="21A4FF0C"/>
    <w:rsid w:val="21B4AAF3"/>
    <w:rsid w:val="21D1FFE7"/>
    <w:rsid w:val="21E88D07"/>
    <w:rsid w:val="21EBE84D"/>
    <w:rsid w:val="21EE4622"/>
    <w:rsid w:val="2200B48B"/>
    <w:rsid w:val="2201C52B"/>
    <w:rsid w:val="220431C0"/>
    <w:rsid w:val="2204C2A7"/>
    <w:rsid w:val="2206F346"/>
    <w:rsid w:val="2207CA8B"/>
    <w:rsid w:val="220A08D1"/>
    <w:rsid w:val="220E4793"/>
    <w:rsid w:val="222974E9"/>
    <w:rsid w:val="223086B7"/>
    <w:rsid w:val="223475A4"/>
    <w:rsid w:val="224FA686"/>
    <w:rsid w:val="2251BB08"/>
    <w:rsid w:val="2264A5E7"/>
    <w:rsid w:val="2268F5D5"/>
    <w:rsid w:val="2269A1C7"/>
    <w:rsid w:val="22713D22"/>
    <w:rsid w:val="22768759"/>
    <w:rsid w:val="227B1E5F"/>
    <w:rsid w:val="22855542"/>
    <w:rsid w:val="2291A2FA"/>
    <w:rsid w:val="22A01121"/>
    <w:rsid w:val="22A1052B"/>
    <w:rsid w:val="22ACF0F1"/>
    <w:rsid w:val="22CB476E"/>
    <w:rsid w:val="22E3E515"/>
    <w:rsid w:val="22F6153D"/>
    <w:rsid w:val="2312AF0A"/>
    <w:rsid w:val="23165A4D"/>
    <w:rsid w:val="231902CC"/>
    <w:rsid w:val="233716A8"/>
    <w:rsid w:val="233CD4B3"/>
    <w:rsid w:val="233FB1F4"/>
    <w:rsid w:val="2345D857"/>
    <w:rsid w:val="23464486"/>
    <w:rsid w:val="234B56FF"/>
    <w:rsid w:val="234D4823"/>
    <w:rsid w:val="2351B4B2"/>
    <w:rsid w:val="23665E7D"/>
    <w:rsid w:val="238A3072"/>
    <w:rsid w:val="238AAC9B"/>
    <w:rsid w:val="2396CA00"/>
    <w:rsid w:val="239B1FAF"/>
    <w:rsid w:val="23A4ADA0"/>
    <w:rsid w:val="23B966EC"/>
    <w:rsid w:val="23CE3797"/>
    <w:rsid w:val="23E5B14B"/>
    <w:rsid w:val="23F3D16B"/>
    <w:rsid w:val="23FF39EC"/>
    <w:rsid w:val="24045486"/>
    <w:rsid w:val="2412BE91"/>
    <w:rsid w:val="241BFB02"/>
    <w:rsid w:val="244350AD"/>
    <w:rsid w:val="2461E3BB"/>
    <w:rsid w:val="24623202"/>
    <w:rsid w:val="24747971"/>
    <w:rsid w:val="247E763F"/>
    <w:rsid w:val="2480E242"/>
    <w:rsid w:val="248579DD"/>
    <w:rsid w:val="248D45CF"/>
    <w:rsid w:val="2493B981"/>
    <w:rsid w:val="2496C94B"/>
    <w:rsid w:val="2497E8F8"/>
    <w:rsid w:val="24A1845A"/>
    <w:rsid w:val="24A90408"/>
    <w:rsid w:val="24AD46A9"/>
    <w:rsid w:val="24B755D2"/>
    <w:rsid w:val="24DE2A64"/>
    <w:rsid w:val="24E53082"/>
    <w:rsid w:val="24F29FC0"/>
    <w:rsid w:val="250169C2"/>
    <w:rsid w:val="25047654"/>
    <w:rsid w:val="2506F85D"/>
    <w:rsid w:val="2512C49C"/>
    <w:rsid w:val="25141C00"/>
    <w:rsid w:val="251FC187"/>
    <w:rsid w:val="2523806E"/>
    <w:rsid w:val="25272526"/>
    <w:rsid w:val="25286C5A"/>
    <w:rsid w:val="252DEC92"/>
    <w:rsid w:val="25323E5B"/>
    <w:rsid w:val="2548B306"/>
    <w:rsid w:val="2561B9BD"/>
    <w:rsid w:val="256817D2"/>
    <w:rsid w:val="256C1666"/>
    <w:rsid w:val="2583A455"/>
    <w:rsid w:val="258408FC"/>
    <w:rsid w:val="25975A6A"/>
    <w:rsid w:val="259CCFBA"/>
    <w:rsid w:val="259FB0A5"/>
    <w:rsid w:val="25A547D5"/>
    <w:rsid w:val="25B35E4B"/>
    <w:rsid w:val="25B57E95"/>
    <w:rsid w:val="25B7933F"/>
    <w:rsid w:val="25BC2C2A"/>
    <w:rsid w:val="25E0BAEF"/>
    <w:rsid w:val="25E0FB2B"/>
    <w:rsid w:val="25E25982"/>
    <w:rsid w:val="260C992B"/>
    <w:rsid w:val="2612A061"/>
    <w:rsid w:val="261AA175"/>
    <w:rsid w:val="261E3C75"/>
    <w:rsid w:val="26233DCD"/>
    <w:rsid w:val="2624F251"/>
    <w:rsid w:val="262523CC"/>
    <w:rsid w:val="2640D94E"/>
    <w:rsid w:val="265705C1"/>
    <w:rsid w:val="2669CF64"/>
    <w:rsid w:val="266C17AB"/>
    <w:rsid w:val="266DDF3E"/>
    <w:rsid w:val="266E5ECB"/>
    <w:rsid w:val="267274DF"/>
    <w:rsid w:val="2676AFC5"/>
    <w:rsid w:val="268DBC28"/>
    <w:rsid w:val="26908D30"/>
    <w:rsid w:val="2694357D"/>
    <w:rsid w:val="2695FEBE"/>
    <w:rsid w:val="26B6B27B"/>
    <w:rsid w:val="26BDC124"/>
    <w:rsid w:val="26C83D75"/>
    <w:rsid w:val="26C8A84B"/>
    <w:rsid w:val="26CC99C2"/>
    <w:rsid w:val="26CD28BF"/>
    <w:rsid w:val="26CFE2C0"/>
    <w:rsid w:val="26D337B4"/>
    <w:rsid w:val="26DAABC7"/>
    <w:rsid w:val="26E17590"/>
    <w:rsid w:val="26E68648"/>
    <w:rsid w:val="26F488EB"/>
    <w:rsid w:val="26FC8351"/>
    <w:rsid w:val="26FE5780"/>
    <w:rsid w:val="2704144A"/>
    <w:rsid w:val="2705BD3E"/>
    <w:rsid w:val="2707E6C7"/>
    <w:rsid w:val="2714F6E2"/>
    <w:rsid w:val="2719268D"/>
    <w:rsid w:val="271B07C9"/>
    <w:rsid w:val="27280946"/>
    <w:rsid w:val="272B052F"/>
    <w:rsid w:val="272FD080"/>
    <w:rsid w:val="2743DDCF"/>
    <w:rsid w:val="274603FE"/>
    <w:rsid w:val="274CCD93"/>
    <w:rsid w:val="2760F8E3"/>
    <w:rsid w:val="2761414A"/>
    <w:rsid w:val="27646D3D"/>
    <w:rsid w:val="2766BF7A"/>
    <w:rsid w:val="27889C84"/>
    <w:rsid w:val="278B6C76"/>
    <w:rsid w:val="27A14971"/>
    <w:rsid w:val="27AB2126"/>
    <w:rsid w:val="27B23B0E"/>
    <w:rsid w:val="27B6CEA5"/>
    <w:rsid w:val="27DA50EE"/>
    <w:rsid w:val="27E0F959"/>
    <w:rsid w:val="27E5846A"/>
    <w:rsid w:val="27F4F9E5"/>
    <w:rsid w:val="27F7209B"/>
    <w:rsid w:val="28208E40"/>
    <w:rsid w:val="2844F2B0"/>
    <w:rsid w:val="284546DF"/>
    <w:rsid w:val="2847C1ED"/>
    <w:rsid w:val="28569541"/>
    <w:rsid w:val="285B7D72"/>
    <w:rsid w:val="285F48F6"/>
    <w:rsid w:val="2866AFBF"/>
    <w:rsid w:val="286C4758"/>
    <w:rsid w:val="28819897"/>
    <w:rsid w:val="28850EDB"/>
    <w:rsid w:val="28995A7F"/>
    <w:rsid w:val="289FFA11"/>
    <w:rsid w:val="28A22103"/>
    <w:rsid w:val="28AA81A6"/>
    <w:rsid w:val="28C988C1"/>
    <w:rsid w:val="28CA1CF9"/>
    <w:rsid w:val="28CD8473"/>
    <w:rsid w:val="28D5D553"/>
    <w:rsid w:val="28DA1881"/>
    <w:rsid w:val="28E357E2"/>
    <w:rsid w:val="290182E6"/>
    <w:rsid w:val="2901D5DC"/>
    <w:rsid w:val="2908DE9A"/>
    <w:rsid w:val="290F587B"/>
    <w:rsid w:val="29186517"/>
    <w:rsid w:val="291E0375"/>
    <w:rsid w:val="291E62CF"/>
    <w:rsid w:val="2929D3BD"/>
    <w:rsid w:val="292A50D4"/>
    <w:rsid w:val="292DE81E"/>
    <w:rsid w:val="29423B6B"/>
    <w:rsid w:val="2956FDFA"/>
    <w:rsid w:val="296D4894"/>
    <w:rsid w:val="2974DD18"/>
    <w:rsid w:val="297F37D0"/>
    <w:rsid w:val="298AD302"/>
    <w:rsid w:val="298D8A6B"/>
    <w:rsid w:val="29A02AE8"/>
    <w:rsid w:val="29A68B97"/>
    <w:rsid w:val="29B1AD4C"/>
    <w:rsid w:val="29E2B966"/>
    <w:rsid w:val="29F267DE"/>
    <w:rsid w:val="2A0C0E2A"/>
    <w:rsid w:val="2A0CD710"/>
    <w:rsid w:val="2A17AD1E"/>
    <w:rsid w:val="2A1AC9F6"/>
    <w:rsid w:val="2A1D4C85"/>
    <w:rsid w:val="2A21BE7F"/>
    <w:rsid w:val="2A3BB23E"/>
    <w:rsid w:val="2A3DF164"/>
    <w:rsid w:val="2A44DA77"/>
    <w:rsid w:val="2A4946D8"/>
    <w:rsid w:val="2A4C2899"/>
    <w:rsid w:val="2A54FB34"/>
    <w:rsid w:val="2A591037"/>
    <w:rsid w:val="2A6FD7CC"/>
    <w:rsid w:val="2A727F33"/>
    <w:rsid w:val="2A7B7D15"/>
    <w:rsid w:val="2A947D5A"/>
    <w:rsid w:val="2A9A654A"/>
    <w:rsid w:val="2A9EE1D1"/>
    <w:rsid w:val="2AAB0814"/>
    <w:rsid w:val="2AAC4CEA"/>
    <w:rsid w:val="2AAE7AFF"/>
    <w:rsid w:val="2AB222EC"/>
    <w:rsid w:val="2AB596CE"/>
    <w:rsid w:val="2AB81EEB"/>
    <w:rsid w:val="2ABC6B38"/>
    <w:rsid w:val="2AC27311"/>
    <w:rsid w:val="2AC4425C"/>
    <w:rsid w:val="2AD269A7"/>
    <w:rsid w:val="2AE7AD54"/>
    <w:rsid w:val="2AEBF612"/>
    <w:rsid w:val="2AEC6B84"/>
    <w:rsid w:val="2AFDAE9D"/>
    <w:rsid w:val="2B027806"/>
    <w:rsid w:val="2B04BE82"/>
    <w:rsid w:val="2B069F63"/>
    <w:rsid w:val="2B0C1804"/>
    <w:rsid w:val="2B1AEC00"/>
    <w:rsid w:val="2B1B79DC"/>
    <w:rsid w:val="2B1CC7A4"/>
    <w:rsid w:val="2B2AC941"/>
    <w:rsid w:val="2B2D1BB7"/>
    <w:rsid w:val="2B3741A2"/>
    <w:rsid w:val="2B39DC44"/>
    <w:rsid w:val="2B3B696A"/>
    <w:rsid w:val="2B3B807A"/>
    <w:rsid w:val="2B557C46"/>
    <w:rsid w:val="2B5E2441"/>
    <w:rsid w:val="2B75B2D0"/>
    <w:rsid w:val="2B78F209"/>
    <w:rsid w:val="2B7E6EC0"/>
    <w:rsid w:val="2B814F27"/>
    <w:rsid w:val="2B8192A9"/>
    <w:rsid w:val="2B8FE3CF"/>
    <w:rsid w:val="2B9027B6"/>
    <w:rsid w:val="2B908468"/>
    <w:rsid w:val="2B96F194"/>
    <w:rsid w:val="2BAF93E5"/>
    <w:rsid w:val="2BB3AFAC"/>
    <w:rsid w:val="2BBB3C93"/>
    <w:rsid w:val="2BD9C1C5"/>
    <w:rsid w:val="2BEDB4A6"/>
    <w:rsid w:val="2BF344B7"/>
    <w:rsid w:val="2BFDABB9"/>
    <w:rsid w:val="2BFE276F"/>
    <w:rsid w:val="2C0A4B2E"/>
    <w:rsid w:val="2C0FA6A5"/>
    <w:rsid w:val="2C1BC22D"/>
    <w:rsid w:val="2C30BE33"/>
    <w:rsid w:val="2C31AF22"/>
    <w:rsid w:val="2C39EC1B"/>
    <w:rsid w:val="2C43A0C5"/>
    <w:rsid w:val="2C5489B0"/>
    <w:rsid w:val="2C564485"/>
    <w:rsid w:val="2C5B38C6"/>
    <w:rsid w:val="2C9358F4"/>
    <w:rsid w:val="2CA0AAE1"/>
    <w:rsid w:val="2CAC725E"/>
    <w:rsid w:val="2CCEB07D"/>
    <w:rsid w:val="2CD55870"/>
    <w:rsid w:val="2CD8079E"/>
    <w:rsid w:val="2CEDA19E"/>
    <w:rsid w:val="2CF14CA7"/>
    <w:rsid w:val="2CF38DBD"/>
    <w:rsid w:val="2CF9C997"/>
    <w:rsid w:val="2CFC6F69"/>
    <w:rsid w:val="2D03295E"/>
    <w:rsid w:val="2D04EAE9"/>
    <w:rsid w:val="2D0B35F2"/>
    <w:rsid w:val="2D124475"/>
    <w:rsid w:val="2D128B82"/>
    <w:rsid w:val="2D2A5E4D"/>
    <w:rsid w:val="2D2C3EA0"/>
    <w:rsid w:val="2D3596D8"/>
    <w:rsid w:val="2D4477D2"/>
    <w:rsid w:val="2D47B0C6"/>
    <w:rsid w:val="2D4B74E8"/>
    <w:rsid w:val="2D4CAEFF"/>
    <w:rsid w:val="2D5852E1"/>
    <w:rsid w:val="2D5BC4F1"/>
    <w:rsid w:val="2D608F08"/>
    <w:rsid w:val="2D736B34"/>
    <w:rsid w:val="2D736E06"/>
    <w:rsid w:val="2D73A761"/>
    <w:rsid w:val="2D759226"/>
    <w:rsid w:val="2D811A7A"/>
    <w:rsid w:val="2D8F9684"/>
    <w:rsid w:val="2D97E4B3"/>
    <w:rsid w:val="2D9D8729"/>
    <w:rsid w:val="2DA6411F"/>
    <w:rsid w:val="2DAB319D"/>
    <w:rsid w:val="2DBE3B38"/>
    <w:rsid w:val="2DBFDEA9"/>
    <w:rsid w:val="2DC5FD58"/>
    <w:rsid w:val="2DC9E27D"/>
    <w:rsid w:val="2DDC4FBD"/>
    <w:rsid w:val="2DDCB4F1"/>
    <w:rsid w:val="2DE9A3A9"/>
    <w:rsid w:val="2DF70927"/>
    <w:rsid w:val="2DFE3BF8"/>
    <w:rsid w:val="2E061862"/>
    <w:rsid w:val="2E29DD42"/>
    <w:rsid w:val="2E2DE784"/>
    <w:rsid w:val="2E315293"/>
    <w:rsid w:val="2E324D5A"/>
    <w:rsid w:val="2E343D37"/>
    <w:rsid w:val="2E385E16"/>
    <w:rsid w:val="2E3DE1B4"/>
    <w:rsid w:val="2E400012"/>
    <w:rsid w:val="2E472D97"/>
    <w:rsid w:val="2E4C8DFC"/>
    <w:rsid w:val="2E50AB66"/>
    <w:rsid w:val="2E540D47"/>
    <w:rsid w:val="2E584E17"/>
    <w:rsid w:val="2E66621F"/>
    <w:rsid w:val="2E672E27"/>
    <w:rsid w:val="2E7735D7"/>
    <w:rsid w:val="2E85753B"/>
    <w:rsid w:val="2E951913"/>
    <w:rsid w:val="2EAEFB14"/>
    <w:rsid w:val="2EBE06B2"/>
    <w:rsid w:val="2EBE834A"/>
    <w:rsid w:val="2ED00FE3"/>
    <w:rsid w:val="2ED35BCE"/>
    <w:rsid w:val="2ED47B58"/>
    <w:rsid w:val="2EF4207F"/>
    <w:rsid w:val="2EF8EB1F"/>
    <w:rsid w:val="2F061046"/>
    <w:rsid w:val="2F0A7562"/>
    <w:rsid w:val="2F22F82D"/>
    <w:rsid w:val="2F327143"/>
    <w:rsid w:val="2F35FF26"/>
    <w:rsid w:val="2F3B991B"/>
    <w:rsid w:val="2F40DFBB"/>
    <w:rsid w:val="2F43CF22"/>
    <w:rsid w:val="2F4D1032"/>
    <w:rsid w:val="2F4E280C"/>
    <w:rsid w:val="2F4FA046"/>
    <w:rsid w:val="2F5A35C9"/>
    <w:rsid w:val="2F67A774"/>
    <w:rsid w:val="2F6985D3"/>
    <w:rsid w:val="2F73D7E7"/>
    <w:rsid w:val="2F7735CD"/>
    <w:rsid w:val="2F88D923"/>
    <w:rsid w:val="2F92D988"/>
    <w:rsid w:val="2F9E0E8B"/>
    <w:rsid w:val="2FB651FF"/>
    <w:rsid w:val="2FC73D2B"/>
    <w:rsid w:val="2FC8107E"/>
    <w:rsid w:val="2FCF4F7B"/>
    <w:rsid w:val="2FD0C6EC"/>
    <w:rsid w:val="2FD7C645"/>
    <w:rsid w:val="2FE41320"/>
    <w:rsid w:val="2FE6635F"/>
    <w:rsid w:val="2FF09235"/>
    <w:rsid w:val="2FFE4088"/>
    <w:rsid w:val="2FFE8A35"/>
    <w:rsid w:val="3004C287"/>
    <w:rsid w:val="30078DF2"/>
    <w:rsid w:val="300A6B53"/>
    <w:rsid w:val="3015886E"/>
    <w:rsid w:val="30179130"/>
    <w:rsid w:val="301EEEC2"/>
    <w:rsid w:val="30219B48"/>
    <w:rsid w:val="3030DAC3"/>
    <w:rsid w:val="3035F28E"/>
    <w:rsid w:val="303A316C"/>
    <w:rsid w:val="303B4519"/>
    <w:rsid w:val="303EA530"/>
    <w:rsid w:val="30415990"/>
    <w:rsid w:val="3051C4DE"/>
    <w:rsid w:val="30688D07"/>
    <w:rsid w:val="30716FBB"/>
    <w:rsid w:val="307CFBA7"/>
    <w:rsid w:val="308EADB6"/>
    <w:rsid w:val="30BAF6B6"/>
    <w:rsid w:val="30D001DB"/>
    <w:rsid w:val="30D0E21E"/>
    <w:rsid w:val="30D1C120"/>
    <w:rsid w:val="30D952D0"/>
    <w:rsid w:val="30DEE586"/>
    <w:rsid w:val="30F578D7"/>
    <w:rsid w:val="30F85F03"/>
    <w:rsid w:val="30FDCE8D"/>
    <w:rsid w:val="31077D5D"/>
    <w:rsid w:val="3116EC42"/>
    <w:rsid w:val="311C234C"/>
    <w:rsid w:val="311DD802"/>
    <w:rsid w:val="3139B6F7"/>
    <w:rsid w:val="313E51B1"/>
    <w:rsid w:val="314B6625"/>
    <w:rsid w:val="314CB62E"/>
    <w:rsid w:val="314FCAF8"/>
    <w:rsid w:val="315078E8"/>
    <w:rsid w:val="315D45A2"/>
    <w:rsid w:val="317333B5"/>
    <w:rsid w:val="317EFC62"/>
    <w:rsid w:val="31821837"/>
    <w:rsid w:val="318EC1F3"/>
    <w:rsid w:val="31A02F30"/>
    <w:rsid w:val="31A3140D"/>
    <w:rsid w:val="31ABEF09"/>
    <w:rsid w:val="31AF503D"/>
    <w:rsid w:val="31C283FF"/>
    <w:rsid w:val="31C6F35B"/>
    <w:rsid w:val="31CFD249"/>
    <w:rsid w:val="31D30086"/>
    <w:rsid w:val="31D48F46"/>
    <w:rsid w:val="31DEA01A"/>
    <w:rsid w:val="31E37DEB"/>
    <w:rsid w:val="31ECAF35"/>
    <w:rsid w:val="31F7F50C"/>
    <w:rsid w:val="32028823"/>
    <w:rsid w:val="320B2514"/>
    <w:rsid w:val="32148B2C"/>
    <w:rsid w:val="3221B317"/>
    <w:rsid w:val="3228FED5"/>
    <w:rsid w:val="322FE9DE"/>
    <w:rsid w:val="32379723"/>
    <w:rsid w:val="324131C0"/>
    <w:rsid w:val="32480C8E"/>
    <w:rsid w:val="324919AB"/>
    <w:rsid w:val="324A996E"/>
    <w:rsid w:val="326AB8A1"/>
    <w:rsid w:val="326D415E"/>
    <w:rsid w:val="326DB7D6"/>
    <w:rsid w:val="326E3791"/>
    <w:rsid w:val="3278270A"/>
    <w:rsid w:val="3285C8CE"/>
    <w:rsid w:val="32893834"/>
    <w:rsid w:val="32999EEE"/>
    <w:rsid w:val="329E4F1B"/>
    <w:rsid w:val="32ACE82E"/>
    <w:rsid w:val="32CFF554"/>
    <w:rsid w:val="32D7506B"/>
    <w:rsid w:val="32DFB50A"/>
    <w:rsid w:val="32F0BEEE"/>
    <w:rsid w:val="32F7DE02"/>
    <w:rsid w:val="3308CEE8"/>
    <w:rsid w:val="330BCF39"/>
    <w:rsid w:val="330F3279"/>
    <w:rsid w:val="331D0395"/>
    <w:rsid w:val="332D15F8"/>
    <w:rsid w:val="332D4B2A"/>
    <w:rsid w:val="3330B615"/>
    <w:rsid w:val="333A9F4A"/>
    <w:rsid w:val="333F1C50"/>
    <w:rsid w:val="334F0CE2"/>
    <w:rsid w:val="33505A92"/>
    <w:rsid w:val="33508F36"/>
    <w:rsid w:val="33573934"/>
    <w:rsid w:val="33603E84"/>
    <w:rsid w:val="337CA479"/>
    <w:rsid w:val="337DC5A0"/>
    <w:rsid w:val="33815198"/>
    <w:rsid w:val="33844E1A"/>
    <w:rsid w:val="338A4360"/>
    <w:rsid w:val="338F1BA4"/>
    <w:rsid w:val="339D07F1"/>
    <w:rsid w:val="33A0304F"/>
    <w:rsid w:val="33A48973"/>
    <w:rsid w:val="33A6DB18"/>
    <w:rsid w:val="33B28D30"/>
    <w:rsid w:val="33B7701C"/>
    <w:rsid w:val="33BCD375"/>
    <w:rsid w:val="33C139A4"/>
    <w:rsid w:val="33CDACE8"/>
    <w:rsid w:val="33D137F7"/>
    <w:rsid w:val="33ECEB40"/>
    <w:rsid w:val="33ED443F"/>
    <w:rsid w:val="33F12907"/>
    <w:rsid w:val="33F43F86"/>
    <w:rsid w:val="33F64265"/>
    <w:rsid w:val="34027BBC"/>
    <w:rsid w:val="34072637"/>
    <w:rsid w:val="34356F4F"/>
    <w:rsid w:val="3437F97E"/>
    <w:rsid w:val="344272F9"/>
    <w:rsid w:val="3444FBAF"/>
    <w:rsid w:val="345CE8BE"/>
    <w:rsid w:val="3464041F"/>
    <w:rsid w:val="347DC04F"/>
    <w:rsid w:val="347F57F2"/>
    <w:rsid w:val="348070A9"/>
    <w:rsid w:val="34829DAE"/>
    <w:rsid w:val="3489F9EE"/>
    <w:rsid w:val="348DD592"/>
    <w:rsid w:val="349BDB19"/>
    <w:rsid w:val="349DD9EC"/>
    <w:rsid w:val="34A2A0AB"/>
    <w:rsid w:val="34A9E8DE"/>
    <w:rsid w:val="34CC8366"/>
    <w:rsid w:val="34D8A7EE"/>
    <w:rsid w:val="34DDD95A"/>
    <w:rsid w:val="34E144A0"/>
    <w:rsid w:val="34EADD43"/>
    <w:rsid w:val="34EC5C53"/>
    <w:rsid w:val="34EDAEB8"/>
    <w:rsid w:val="34EF4EC4"/>
    <w:rsid w:val="34F788B3"/>
    <w:rsid w:val="34F92784"/>
    <w:rsid w:val="3514A0F2"/>
    <w:rsid w:val="351750EB"/>
    <w:rsid w:val="351C4B8E"/>
    <w:rsid w:val="351E3E51"/>
    <w:rsid w:val="353A2192"/>
    <w:rsid w:val="35481666"/>
    <w:rsid w:val="35521537"/>
    <w:rsid w:val="35530AC4"/>
    <w:rsid w:val="3559215E"/>
    <w:rsid w:val="35618419"/>
    <w:rsid w:val="3562B646"/>
    <w:rsid w:val="3565B218"/>
    <w:rsid w:val="35780E9C"/>
    <w:rsid w:val="35883DFD"/>
    <w:rsid w:val="358CD305"/>
    <w:rsid w:val="3595D19B"/>
    <w:rsid w:val="35993A96"/>
    <w:rsid w:val="359ED09E"/>
    <w:rsid w:val="35A0C228"/>
    <w:rsid w:val="35A21A4C"/>
    <w:rsid w:val="35A8A141"/>
    <w:rsid w:val="35B1E6AA"/>
    <w:rsid w:val="35B2E4FC"/>
    <w:rsid w:val="35BEBD63"/>
    <w:rsid w:val="35CACB67"/>
    <w:rsid w:val="35D6B2B0"/>
    <w:rsid w:val="35E924B3"/>
    <w:rsid w:val="3606126B"/>
    <w:rsid w:val="360C5C67"/>
    <w:rsid w:val="36233C1B"/>
    <w:rsid w:val="36277C39"/>
    <w:rsid w:val="362C90DD"/>
    <w:rsid w:val="3637042E"/>
    <w:rsid w:val="363A2C47"/>
    <w:rsid w:val="364047D0"/>
    <w:rsid w:val="3645755D"/>
    <w:rsid w:val="3654A457"/>
    <w:rsid w:val="365672E4"/>
    <w:rsid w:val="365DA8EB"/>
    <w:rsid w:val="3674C75C"/>
    <w:rsid w:val="367754E0"/>
    <w:rsid w:val="36845AC5"/>
    <w:rsid w:val="3686ADA4"/>
    <w:rsid w:val="368945B3"/>
    <w:rsid w:val="36962B10"/>
    <w:rsid w:val="3697DF46"/>
    <w:rsid w:val="36A793AB"/>
    <w:rsid w:val="36BD9DD1"/>
    <w:rsid w:val="36CA9673"/>
    <w:rsid w:val="36E494CE"/>
    <w:rsid w:val="36E75FC6"/>
    <w:rsid w:val="36E8395A"/>
    <w:rsid w:val="36F33590"/>
    <w:rsid w:val="36FDA46D"/>
    <w:rsid w:val="36FEA1C8"/>
    <w:rsid w:val="37000B4B"/>
    <w:rsid w:val="370E6B08"/>
    <w:rsid w:val="3712C34C"/>
    <w:rsid w:val="37153717"/>
    <w:rsid w:val="3716E01B"/>
    <w:rsid w:val="371BBA05"/>
    <w:rsid w:val="371C967C"/>
    <w:rsid w:val="371D4A8F"/>
    <w:rsid w:val="371DB88C"/>
    <w:rsid w:val="37251E5C"/>
    <w:rsid w:val="3749623E"/>
    <w:rsid w:val="37590DBC"/>
    <w:rsid w:val="3762495E"/>
    <w:rsid w:val="3776465B"/>
    <w:rsid w:val="37805951"/>
    <w:rsid w:val="37862656"/>
    <w:rsid w:val="37877B16"/>
    <w:rsid w:val="3789013E"/>
    <w:rsid w:val="378928A2"/>
    <w:rsid w:val="37943125"/>
    <w:rsid w:val="37948FE2"/>
    <w:rsid w:val="379BEC05"/>
    <w:rsid w:val="37A55CE7"/>
    <w:rsid w:val="37B55FC9"/>
    <w:rsid w:val="37BF0C7C"/>
    <w:rsid w:val="37C94D3C"/>
    <w:rsid w:val="37D0DDCC"/>
    <w:rsid w:val="37D4C9CA"/>
    <w:rsid w:val="37D948C4"/>
    <w:rsid w:val="37DAA73B"/>
    <w:rsid w:val="37EC12D7"/>
    <w:rsid w:val="37F9F0B5"/>
    <w:rsid w:val="3803E3DB"/>
    <w:rsid w:val="3815C5D7"/>
    <w:rsid w:val="38233926"/>
    <w:rsid w:val="3824CD81"/>
    <w:rsid w:val="382B7DED"/>
    <w:rsid w:val="3844F7B0"/>
    <w:rsid w:val="384F41CC"/>
    <w:rsid w:val="38549D1A"/>
    <w:rsid w:val="385A7915"/>
    <w:rsid w:val="385B3B58"/>
    <w:rsid w:val="38785C37"/>
    <w:rsid w:val="38865EDF"/>
    <w:rsid w:val="3887017E"/>
    <w:rsid w:val="388CD8F9"/>
    <w:rsid w:val="388E120F"/>
    <w:rsid w:val="388F05F1"/>
    <w:rsid w:val="389485D1"/>
    <w:rsid w:val="38971C3C"/>
    <w:rsid w:val="3898437C"/>
    <w:rsid w:val="38A63BAC"/>
    <w:rsid w:val="38A946F0"/>
    <w:rsid w:val="38ABE3EA"/>
    <w:rsid w:val="38AF3CBD"/>
    <w:rsid w:val="38B7D164"/>
    <w:rsid w:val="38B9DAF2"/>
    <w:rsid w:val="38CAA3C8"/>
    <w:rsid w:val="38CE9E2D"/>
    <w:rsid w:val="38DE24E1"/>
    <w:rsid w:val="38F046F7"/>
    <w:rsid w:val="38F8D4BA"/>
    <w:rsid w:val="38F95820"/>
    <w:rsid w:val="38FBAAFA"/>
    <w:rsid w:val="38FC1400"/>
    <w:rsid w:val="38FC7E76"/>
    <w:rsid w:val="390A4B50"/>
    <w:rsid w:val="390D909F"/>
    <w:rsid w:val="3919E45B"/>
    <w:rsid w:val="39298491"/>
    <w:rsid w:val="392A61A5"/>
    <w:rsid w:val="392AA0AF"/>
    <w:rsid w:val="3931100B"/>
    <w:rsid w:val="39398336"/>
    <w:rsid w:val="393DA227"/>
    <w:rsid w:val="393EDA4A"/>
    <w:rsid w:val="3946FBF4"/>
    <w:rsid w:val="3950E08E"/>
    <w:rsid w:val="39510538"/>
    <w:rsid w:val="3963D0C7"/>
    <w:rsid w:val="39709284"/>
    <w:rsid w:val="3971A402"/>
    <w:rsid w:val="3972240D"/>
    <w:rsid w:val="39861304"/>
    <w:rsid w:val="39872E0A"/>
    <w:rsid w:val="39882279"/>
    <w:rsid w:val="398CDFAF"/>
    <w:rsid w:val="39A24FA6"/>
    <w:rsid w:val="39A63436"/>
    <w:rsid w:val="39A8F7C7"/>
    <w:rsid w:val="39AD64E3"/>
    <w:rsid w:val="39AEF5A2"/>
    <w:rsid w:val="39C8E070"/>
    <w:rsid w:val="39D0BC4D"/>
    <w:rsid w:val="39DAD2EF"/>
    <w:rsid w:val="39E0E137"/>
    <w:rsid w:val="39E98940"/>
    <w:rsid w:val="39F1A762"/>
    <w:rsid w:val="3A022EEF"/>
    <w:rsid w:val="3A0917E4"/>
    <w:rsid w:val="3A129B26"/>
    <w:rsid w:val="3A142C98"/>
    <w:rsid w:val="3A23FD74"/>
    <w:rsid w:val="3A26DFDC"/>
    <w:rsid w:val="3A307B28"/>
    <w:rsid w:val="3A3C2420"/>
    <w:rsid w:val="3A3EE86C"/>
    <w:rsid w:val="3A4443E3"/>
    <w:rsid w:val="3A48D578"/>
    <w:rsid w:val="3A4C70A4"/>
    <w:rsid w:val="3A55AB53"/>
    <w:rsid w:val="3A62B5B7"/>
    <w:rsid w:val="3A638626"/>
    <w:rsid w:val="3A6B6C69"/>
    <w:rsid w:val="3A75B72E"/>
    <w:rsid w:val="3A764A9A"/>
    <w:rsid w:val="3A8630AA"/>
    <w:rsid w:val="3A88EC95"/>
    <w:rsid w:val="3A8B8876"/>
    <w:rsid w:val="3A8C2FA1"/>
    <w:rsid w:val="3AA1F3DB"/>
    <w:rsid w:val="3ABD38B3"/>
    <w:rsid w:val="3ABEBE29"/>
    <w:rsid w:val="3AD56263"/>
    <w:rsid w:val="3AEB6A90"/>
    <w:rsid w:val="3AEE4609"/>
    <w:rsid w:val="3AF42F96"/>
    <w:rsid w:val="3AF63736"/>
    <w:rsid w:val="3AFAB2C4"/>
    <w:rsid w:val="3B25FB3D"/>
    <w:rsid w:val="3B27A110"/>
    <w:rsid w:val="3B2A444A"/>
    <w:rsid w:val="3B37136B"/>
    <w:rsid w:val="3B375F7A"/>
    <w:rsid w:val="3B3B2995"/>
    <w:rsid w:val="3B48387F"/>
    <w:rsid w:val="3B496E46"/>
    <w:rsid w:val="3B4AC603"/>
    <w:rsid w:val="3B4C9DF3"/>
    <w:rsid w:val="3B7CF38D"/>
    <w:rsid w:val="3BA4E845"/>
    <w:rsid w:val="3BA70B4A"/>
    <w:rsid w:val="3BA7B737"/>
    <w:rsid w:val="3BAD7E56"/>
    <w:rsid w:val="3BC29A40"/>
    <w:rsid w:val="3BC75424"/>
    <w:rsid w:val="3BCBB1B6"/>
    <w:rsid w:val="3BE13F90"/>
    <w:rsid w:val="3BE98932"/>
    <w:rsid w:val="3BF62D05"/>
    <w:rsid w:val="3BFFA293"/>
    <w:rsid w:val="3C02B68B"/>
    <w:rsid w:val="3C040123"/>
    <w:rsid w:val="3C0A4A02"/>
    <w:rsid w:val="3C1FDCC2"/>
    <w:rsid w:val="3C216E36"/>
    <w:rsid w:val="3C27D99F"/>
    <w:rsid w:val="3C2DE704"/>
    <w:rsid w:val="3C441384"/>
    <w:rsid w:val="3C803195"/>
    <w:rsid w:val="3C94C8DD"/>
    <w:rsid w:val="3CA22979"/>
    <w:rsid w:val="3CAE095C"/>
    <w:rsid w:val="3CB32561"/>
    <w:rsid w:val="3CBB2F08"/>
    <w:rsid w:val="3CBE23E1"/>
    <w:rsid w:val="3CC69AB5"/>
    <w:rsid w:val="3CE55584"/>
    <w:rsid w:val="3CFC468D"/>
    <w:rsid w:val="3D36093B"/>
    <w:rsid w:val="3D4436CA"/>
    <w:rsid w:val="3D4F2975"/>
    <w:rsid w:val="3D591007"/>
    <w:rsid w:val="3D5F0356"/>
    <w:rsid w:val="3D618332"/>
    <w:rsid w:val="3D633DEC"/>
    <w:rsid w:val="3D6FB971"/>
    <w:rsid w:val="3D7D0EEC"/>
    <w:rsid w:val="3D8C0134"/>
    <w:rsid w:val="3D8D4C15"/>
    <w:rsid w:val="3DA1E1CF"/>
    <w:rsid w:val="3DA23FD9"/>
    <w:rsid w:val="3DA2FF05"/>
    <w:rsid w:val="3DB35B9F"/>
    <w:rsid w:val="3DB8A3C2"/>
    <w:rsid w:val="3DBBE31B"/>
    <w:rsid w:val="3DBFAD8C"/>
    <w:rsid w:val="3DC30C70"/>
    <w:rsid w:val="3DC89C38"/>
    <w:rsid w:val="3DE41553"/>
    <w:rsid w:val="3DEDECF6"/>
    <w:rsid w:val="3DEE7BF2"/>
    <w:rsid w:val="3E0DC642"/>
    <w:rsid w:val="3E0DDEF4"/>
    <w:rsid w:val="3E1C157B"/>
    <w:rsid w:val="3E2196D5"/>
    <w:rsid w:val="3E2B21B4"/>
    <w:rsid w:val="3E33C749"/>
    <w:rsid w:val="3E353632"/>
    <w:rsid w:val="3E3FDF28"/>
    <w:rsid w:val="3E5C3729"/>
    <w:rsid w:val="3E62AE72"/>
    <w:rsid w:val="3E779459"/>
    <w:rsid w:val="3E7EA015"/>
    <w:rsid w:val="3E80259D"/>
    <w:rsid w:val="3E85C78F"/>
    <w:rsid w:val="3EA53265"/>
    <w:rsid w:val="3EABE344"/>
    <w:rsid w:val="3EDE72D1"/>
    <w:rsid w:val="3EE18FA2"/>
    <w:rsid w:val="3EF8F326"/>
    <w:rsid w:val="3F00EFE4"/>
    <w:rsid w:val="3F01C698"/>
    <w:rsid w:val="3F0236B0"/>
    <w:rsid w:val="3F09C076"/>
    <w:rsid w:val="3F295E8E"/>
    <w:rsid w:val="3F39F7B0"/>
    <w:rsid w:val="3F3B664A"/>
    <w:rsid w:val="3F4119B1"/>
    <w:rsid w:val="3F4DE3ED"/>
    <w:rsid w:val="3F62415E"/>
    <w:rsid w:val="3F63A9C6"/>
    <w:rsid w:val="3F658425"/>
    <w:rsid w:val="3F67581B"/>
    <w:rsid w:val="3F72F4AE"/>
    <w:rsid w:val="3F7505E3"/>
    <w:rsid w:val="3F7F6016"/>
    <w:rsid w:val="3F85C8EE"/>
    <w:rsid w:val="3F98110C"/>
    <w:rsid w:val="3FA308C5"/>
    <w:rsid w:val="3FA50BB0"/>
    <w:rsid w:val="3FBD823F"/>
    <w:rsid w:val="3FC6D253"/>
    <w:rsid w:val="3FD528D6"/>
    <w:rsid w:val="3FE78699"/>
    <w:rsid w:val="3FF77D0D"/>
    <w:rsid w:val="3FFFC81F"/>
    <w:rsid w:val="40071343"/>
    <w:rsid w:val="400770C8"/>
    <w:rsid w:val="40125135"/>
    <w:rsid w:val="4017E57E"/>
    <w:rsid w:val="401BA9A2"/>
    <w:rsid w:val="4028C46F"/>
    <w:rsid w:val="4034A133"/>
    <w:rsid w:val="404689C3"/>
    <w:rsid w:val="405B4BE6"/>
    <w:rsid w:val="405C4C83"/>
    <w:rsid w:val="4081A679"/>
    <w:rsid w:val="4089E7F2"/>
    <w:rsid w:val="4098ABC5"/>
    <w:rsid w:val="409B69E8"/>
    <w:rsid w:val="40A135FB"/>
    <w:rsid w:val="40A859CF"/>
    <w:rsid w:val="40B6FDDE"/>
    <w:rsid w:val="40B9BB48"/>
    <w:rsid w:val="40BCC472"/>
    <w:rsid w:val="40BEC70D"/>
    <w:rsid w:val="40C0BB5B"/>
    <w:rsid w:val="40C317E4"/>
    <w:rsid w:val="40D618B9"/>
    <w:rsid w:val="40D86AD9"/>
    <w:rsid w:val="40ECC70E"/>
    <w:rsid w:val="40ECEC72"/>
    <w:rsid w:val="40F779FF"/>
    <w:rsid w:val="41017857"/>
    <w:rsid w:val="411E4267"/>
    <w:rsid w:val="4120EB7E"/>
    <w:rsid w:val="413287A6"/>
    <w:rsid w:val="4136658F"/>
    <w:rsid w:val="413E773E"/>
    <w:rsid w:val="4140298D"/>
    <w:rsid w:val="4140E61F"/>
    <w:rsid w:val="41420D7A"/>
    <w:rsid w:val="41445183"/>
    <w:rsid w:val="414B12D9"/>
    <w:rsid w:val="4153B63D"/>
    <w:rsid w:val="415C3B68"/>
    <w:rsid w:val="4160C4BE"/>
    <w:rsid w:val="4162A2B4"/>
    <w:rsid w:val="416C2941"/>
    <w:rsid w:val="416CD6F4"/>
    <w:rsid w:val="4170A7BB"/>
    <w:rsid w:val="4177310F"/>
    <w:rsid w:val="417832C6"/>
    <w:rsid w:val="417DD87F"/>
    <w:rsid w:val="418834B3"/>
    <w:rsid w:val="418E4C96"/>
    <w:rsid w:val="419901C0"/>
    <w:rsid w:val="419B9880"/>
    <w:rsid w:val="41ACD1C8"/>
    <w:rsid w:val="41B640D7"/>
    <w:rsid w:val="41BA509D"/>
    <w:rsid w:val="41C2EBC1"/>
    <w:rsid w:val="41C9FBBC"/>
    <w:rsid w:val="41D32DDF"/>
    <w:rsid w:val="41D3C23A"/>
    <w:rsid w:val="41D6F033"/>
    <w:rsid w:val="41E423C7"/>
    <w:rsid w:val="41EAD086"/>
    <w:rsid w:val="420B2668"/>
    <w:rsid w:val="4214397F"/>
    <w:rsid w:val="421BA9A3"/>
    <w:rsid w:val="4231879B"/>
    <w:rsid w:val="423890A6"/>
    <w:rsid w:val="423AB82C"/>
    <w:rsid w:val="424277F7"/>
    <w:rsid w:val="4246FA87"/>
    <w:rsid w:val="424ACBD5"/>
    <w:rsid w:val="4260BD38"/>
    <w:rsid w:val="426445CB"/>
    <w:rsid w:val="42655081"/>
    <w:rsid w:val="42679286"/>
    <w:rsid w:val="42765637"/>
    <w:rsid w:val="4297437C"/>
    <w:rsid w:val="42A27475"/>
    <w:rsid w:val="42A6C00D"/>
    <w:rsid w:val="42A99948"/>
    <w:rsid w:val="42B358A8"/>
    <w:rsid w:val="42C8CD66"/>
    <w:rsid w:val="42D0381E"/>
    <w:rsid w:val="42D7D3EF"/>
    <w:rsid w:val="42ECE05D"/>
    <w:rsid w:val="42F72218"/>
    <w:rsid w:val="430C0DB4"/>
    <w:rsid w:val="43269B0C"/>
    <w:rsid w:val="4337C960"/>
    <w:rsid w:val="4346207C"/>
    <w:rsid w:val="434B457C"/>
    <w:rsid w:val="434BBF69"/>
    <w:rsid w:val="43629928"/>
    <w:rsid w:val="43700BC9"/>
    <w:rsid w:val="4375227B"/>
    <w:rsid w:val="437B8557"/>
    <w:rsid w:val="437C071A"/>
    <w:rsid w:val="437FDEC6"/>
    <w:rsid w:val="438B3E3D"/>
    <w:rsid w:val="439D0A2F"/>
    <w:rsid w:val="43BB38AA"/>
    <w:rsid w:val="43BDB15E"/>
    <w:rsid w:val="43BFDFEC"/>
    <w:rsid w:val="43C15D3A"/>
    <w:rsid w:val="43CBD6DA"/>
    <w:rsid w:val="43D740C8"/>
    <w:rsid w:val="43E8BD43"/>
    <w:rsid w:val="43F177BA"/>
    <w:rsid w:val="43F17B6F"/>
    <w:rsid w:val="43FE3450"/>
    <w:rsid w:val="43FE590D"/>
    <w:rsid w:val="440DC1F5"/>
    <w:rsid w:val="44180251"/>
    <w:rsid w:val="44196F29"/>
    <w:rsid w:val="44253787"/>
    <w:rsid w:val="443719EB"/>
    <w:rsid w:val="444011B4"/>
    <w:rsid w:val="4440B2D1"/>
    <w:rsid w:val="444721DC"/>
    <w:rsid w:val="4448254D"/>
    <w:rsid w:val="4449E957"/>
    <w:rsid w:val="44518838"/>
    <w:rsid w:val="44618484"/>
    <w:rsid w:val="44622AD2"/>
    <w:rsid w:val="4464D4B4"/>
    <w:rsid w:val="446BD167"/>
    <w:rsid w:val="446CA120"/>
    <w:rsid w:val="4472D000"/>
    <w:rsid w:val="4481E505"/>
    <w:rsid w:val="4484816E"/>
    <w:rsid w:val="44865C65"/>
    <w:rsid w:val="44961BBD"/>
    <w:rsid w:val="4497F966"/>
    <w:rsid w:val="449B257D"/>
    <w:rsid w:val="44A4A161"/>
    <w:rsid w:val="44A7AEFC"/>
    <w:rsid w:val="44ACC226"/>
    <w:rsid w:val="44B0046B"/>
    <w:rsid w:val="44B588D7"/>
    <w:rsid w:val="44BA03A8"/>
    <w:rsid w:val="44BA10E5"/>
    <w:rsid w:val="44BBD167"/>
    <w:rsid w:val="44C53C91"/>
    <w:rsid w:val="44C5ED58"/>
    <w:rsid w:val="44DB876D"/>
    <w:rsid w:val="44EA53B2"/>
    <w:rsid w:val="44ED9B27"/>
    <w:rsid w:val="44FD6FCD"/>
    <w:rsid w:val="4516D03B"/>
    <w:rsid w:val="451C99AE"/>
    <w:rsid w:val="45200749"/>
    <w:rsid w:val="453C4FA1"/>
    <w:rsid w:val="455B716F"/>
    <w:rsid w:val="455C4E22"/>
    <w:rsid w:val="45A1FCAE"/>
    <w:rsid w:val="45A3D0F1"/>
    <w:rsid w:val="45A5433D"/>
    <w:rsid w:val="45A8A908"/>
    <w:rsid w:val="45B80094"/>
    <w:rsid w:val="45CEE248"/>
    <w:rsid w:val="45D09DAA"/>
    <w:rsid w:val="45D2EB4A"/>
    <w:rsid w:val="45DA7959"/>
    <w:rsid w:val="45DC5D40"/>
    <w:rsid w:val="45F2EA91"/>
    <w:rsid w:val="4606BD31"/>
    <w:rsid w:val="460E0F57"/>
    <w:rsid w:val="4614BE03"/>
    <w:rsid w:val="4622BA21"/>
    <w:rsid w:val="4639DF3E"/>
    <w:rsid w:val="463CE75B"/>
    <w:rsid w:val="4650F08E"/>
    <w:rsid w:val="4652D53C"/>
    <w:rsid w:val="4652DD39"/>
    <w:rsid w:val="465C9998"/>
    <w:rsid w:val="4661BDB9"/>
    <w:rsid w:val="4668803C"/>
    <w:rsid w:val="4668D985"/>
    <w:rsid w:val="4674B4A7"/>
    <w:rsid w:val="46753A6A"/>
    <w:rsid w:val="467B7516"/>
    <w:rsid w:val="469071EB"/>
    <w:rsid w:val="469DB4C9"/>
    <w:rsid w:val="46A05D98"/>
    <w:rsid w:val="46A3492C"/>
    <w:rsid w:val="46AC8742"/>
    <w:rsid w:val="46B44220"/>
    <w:rsid w:val="46C92E43"/>
    <w:rsid w:val="46D1A242"/>
    <w:rsid w:val="46DA037B"/>
    <w:rsid w:val="46EB1E8E"/>
    <w:rsid w:val="46F81E83"/>
    <w:rsid w:val="4712126B"/>
    <w:rsid w:val="471E7B78"/>
    <w:rsid w:val="47325C60"/>
    <w:rsid w:val="47431F57"/>
    <w:rsid w:val="474614EF"/>
    <w:rsid w:val="474BA136"/>
    <w:rsid w:val="474EC506"/>
    <w:rsid w:val="47503687"/>
    <w:rsid w:val="47581584"/>
    <w:rsid w:val="47677055"/>
    <w:rsid w:val="476A928A"/>
    <w:rsid w:val="4784E235"/>
    <w:rsid w:val="478CB62A"/>
    <w:rsid w:val="4790DAD3"/>
    <w:rsid w:val="4796F049"/>
    <w:rsid w:val="47AE896F"/>
    <w:rsid w:val="47C0BA49"/>
    <w:rsid w:val="47C3F56F"/>
    <w:rsid w:val="47C414C8"/>
    <w:rsid w:val="47CB70FC"/>
    <w:rsid w:val="47CD7B97"/>
    <w:rsid w:val="47CF2596"/>
    <w:rsid w:val="47D73CF7"/>
    <w:rsid w:val="47DD1DCC"/>
    <w:rsid w:val="47DE850D"/>
    <w:rsid w:val="47E13E96"/>
    <w:rsid w:val="47EB14E5"/>
    <w:rsid w:val="47EB7840"/>
    <w:rsid w:val="47EEAD9A"/>
    <w:rsid w:val="47F40DF8"/>
    <w:rsid w:val="47FD8E1A"/>
    <w:rsid w:val="47FEC358"/>
    <w:rsid w:val="480D00F6"/>
    <w:rsid w:val="480EC8F1"/>
    <w:rsid w:val="48113CD6"/>
    <w:rsid w:val="4831E759"/>
    <w:rsid w:val="48352842"/>
    <w:rsid w:val="4835D7F8"/>
    <w:rsid w:val="48552F68"/>
    <w:rsid w:val="4859968F"/>
    <w:rsid w:val="486FBF64"/>
    <w:rsid w:val="487010FA"/>
    <w:rsid w:val="4873F063"/>
    <w:rsid w:val="4893EEE4"/>
    <w:rsid w:val="4896C27E"/>
    <w:rsid w:val="48975B92"/>
    <w:rsid w:val="48CCB676"/>
    <w:rsid w:val="48E9E518"/>
    <w:rsid w:val="48F8041F"/>
    <w:rsid w:val="48F90461"/>
    <w:rsid w:val="49097569"/>
    <w:rsid w:val="490EB1B7"/>
    <w:rsid w:val="490EE589"/>
    <w:rsid w:val="49117EEC"/>
    <w:rsid w:val="491286B8"/>
    <w:rsid w:val="4915BE1E"/>
    <w:rsid w:val="49174035"/>
    <w:rsid w:val="494B6CB2"/>
    <w:rsid w:val="49512E0C"/>
    <w:rsid w:val="4955FBEC"/>
    <w:rsid w:val="49697B66"/>
    <w:rsid w:val="4978EE2D"/>
    <w:rsid w:val="497A556E"/>
    <w:rsid w:val="49802F51"/>
    <w:rsid w:val="4983F556"/>
    <w:rsid w:val="49A75183"/>
    <w:rsid w:val="49B3D3A5"/>
    <w:rsid w:val="49BE129A"/>
    <w:rsid w:val="49CD65A9"/>
    <w:rsid w:val="49D1E772"/>
    <w:rsid w:val="49DD1FBC"/>
    <w:rsid w:val="49DD2BFE"/>
    <w:rsid w:val="49DE56B7"/>
    <w:rsid w:val="49E215E0"/>
    <w:rsid w:val="49ED6E8C"/>
    <w:rsid w:val="49EDC0E7"/>
    <w:rsid w:val="49F67422"/>
    <w:rsid w:val="4A062B57"/>
    <w:rsid w:val="4A0F58C7"/>
    <w:rsid w:val="4A15A6ED"/>
    <w:rsid w:val="4A1BEB05"/>
    <w:rsid w:val="4A2AA96E"/>
    <w:rsid w:val="4A2FBF45"/>
    <w:rsid w:val="4A33F51A"/>
    <w:rsid w:val="4A436E9D"/>
    <w:rsid w:val="4A5810B7"/>
    <w:rsid w:val="4A63CBCA"/>
    <w:rsid w:val="4A78DE46"/>
    <w:rsid w:val="4A7BB021"/>
    <w:rsid w:val="4A838E06"/>
    <w:rsid w:val="4A94DA99"/>
    <w:rsid w:val="4A965F01"/>
    <w:rsid w:val="4AA134F7"/>
    <w:rsid w:val="4AADD11B"/>
    <w:rsid w:val="4ABE9D98"/>
    <w:rsid w:val="4AC7EC82"/>
    <w:rsid w:val="4AD3C60C"/>
    <w:rsid w:val="4AE17026"/>
    <w:rsid w:val="4AE38254"/>
    <w:rsid w:val="4AF53E17"/>
    <w:rsid w:val="4B000D9D"/>
    <w:rsid w:val="4B01149D"/>
    <w:rsid w:val="4B049C12"/>
    <w:rsid w:val="4B0E998B"/>
    <w:rsid w:val="4B1348B4"/>
    <w:rsid w:val="4B17D79A"/>
    <w:rsid w:val="4B3283E1"/>
    <w:rsid w:val="4B3614A2"/>
    <w:rsid w:val="4B3A8BB1"/>
    <w:rsid w:val="4B552725"/>
    <w:rsid w:val="4B5CDCAB"/>
    <w:rsid w:val="4B665655"/>
    <w:rsid w:val="4B7ED895"/>
    <w:rsid w:val="4B8267CC"/>
    <w:rsid w:val="4BCA8823"/>
    <w:rsid w:val="4BD10C5F"/>
    <w:rsid w:val="4BD7D66E"/>
    <w:rsid w:val="4BD844A9"/>
    <w:rsid w:val="4BDBF503"/>
    <w:rsid w:val="4BF7B7A9"/>
    <w:rsid w:val="4C09841B"/>
    <w:rsid w:val="4C0BEB3B"/>
    <w:rsid w:val="4C1A0DDC"/>
    <w:rsid w:val="4C29F860"/>
    <w:rsid w:val="4C384102"/>
    <w:rsid w:val="4C4B2399"/>
    <w:rsid w:val="4C5B15E8"/>
    <w:rsid w:val="4C5C2EC9"/>
    <w:rsid w:val="4C5E2F3B"/>
    <w:rsid w:val="4C64BA19"/>
    <w:rsid w:val="4C762232"/>
    <w:rsid w:val="4C7904B7"/>
    <w:rsid w:val="4C79FAF4"/>
    <w:rsid w:val="4C7A511F"/>
    <w:rsid w:val="4C7BC08D"/>
    <w:rsid w:val="4C8C6D80"/>
    <w:rsid w:val="4C97E852"/>
    <w:rsid w:val="4CA5FBF9"/>
    <w:rsid w:val="4CAB335A"/>
    <w:rsid w:val="4CB23BD7"/>
    <w:rsid w:val="4CCAB0E1"/>
    <w:rsid w:val="4CD1D190"/>
    <w:rsid w:val="4CD8102D"/>
    <w:rsid w:val="4CEB2548"/>
    <w:rsid w:val="4CF047BE"/>
    <w:rsid w:val="4CF64D6D"/>
    <w:rsid w:val="4CF726B0"/>
    <w:rsid w:val="4CF7553C"/>
    <w:rsid w:val="4D00544E"/>
    <w:rsid w:val="4D03046D"/>
    <w:rsid w:val="4D0CF3EF"/>
    <w:rsid w:val="4D1F9A2F"/>
    <w:rsid w:val="4D1FF432"/>
    <w:rsid w:val="4D243785"/>
    <w:rsid w:val="4D25321A"/>
    <w:rsid w:val="4D30D055"/>
    <w:rsid w:val="4D34D9C1"/>
    <w:rsid w:val="4D40FA16"/>
    <w:rsid w:val="4D478DC1"/>
    <w:rsid w:val="4D4E85B0"/>
    <w:rsid w:val="4D50F321"/>
    <w:rsid w:val="4D517F09"/>
    <w:rsid w:val="4D53E813"/>
    <w:rsid w:val="4D676007"/>
    <w:rsid w:val="4D6AB216"/>
    <w:rsid w:val="4D6C0465"/>
    <w:rsid w:val="4D6D4A32"/>
    <w:rsid w:val="4D72502D"/>
    <w:rsid w:val="4D7D260B"/>
    <w:rsid w:val="4D80BE57"/>
    <w:rsid w:val="4D898E41"/>
    <w:rsid w:val="4D8B3C47"/>
    <w:rsid w:val="4DBC983C"/>
    <w:rsid w:val="4DD587C4"/>
    <w:rsid w:val="4DDD2FB6"/>
    <w:rsid w:val="4E07C719"/>
    <w:rsid w:val="4E0CC82A"/>
    <w:rsid w:val="4E25B8ED"/>
    <w:rsid w:val="4E37D0F5"/>
    <w:rsid w:val="4E4106BB"/>
    <w:rsid w:val="4E42DA16"/>
    <w:rsid w:val="4E48EA66"/>
    <w:rsid w:val="4E5A5935"/>
    <w:rsid w:val="4E5DA66F"/>
    <w:rsid w:val="4E5DEF1E"/>
    <w:rsid w:val="4E697087"/>
    <w:rsid w:val="4E6CCF9E"/>
    <w:rsid w:val="4E6F18E2"/>
    <w:rsid w:val="4E726DAD"/>
    <w:rsid w:val="4E793099"/>
    <w:rsid w:val="4E7B9B82"/>
    <w:rsid w:val="4E8870D2"/>
    <w:rsid w:val="4EA356E1"/>
    <w:rsid w:val="4ECE2440"/>
    <w:rsid w:val="4ECF6DCC"/>
    <w:rsid w:val="4ED0C107"/>
    <w:rsid w:val="4ED393C7"/>
    <w:rsid w:val="4EDC0250"/>
    <w:rsid w:val="4EDC59FC"/>
    <w:rsid w:val="4EEF28C1"/>
    <w:rsid w:val="4EEFE3AC"/>
    <w:rsid w:val="4EFF44F0"/>
    <w:rsid w:val="4F03665B"/>
    <w:rsid w:val="4F0C43D1"/>
    <w:rsid w:val="4F279E6C"/>
    <w:rsid w:val="4F2A59A6"/>
    <w:rsid w:val="4F2E348B"/>
    <w:rsid w:val="4F34A0E6"/>
    <w:rsid w:val="4F3EF136"/>
    <w:rsid w:val="4F427028"/>
    <w:rsid w:val="4F4430C3"/>
    <w:rsid w:val="4F477785"/>
    <w:rsid w:val="4F620645"/>
    <w:rsid w:val="4F6DE2B8"/>
    <w:rsid w:val="4F7764AD"/>
    <w:rsid w:val="4F77AFED"/>
    <w:rsid w:val="4F7BE681"/>
    <w:rsid w:val="4F83F0FC"/>
    <w:rsid w:val="4F88D54E"/>
    <w:rsid w:val="4F8B234B"/>
    <w:rsid w:val="4F99C596"/>
    <w:rsid w:val="4FA07A50"/>
    <w:rsid w:val="4FA177A7"/>
    <w:rsid w:val="4FBBAF0D"/>
    <w:rsid w:val="4FC2A138"/>
    <w:rsid w:val="4FC512E8"/>
    <w:rsid w:val="4FD5DD78"/>
    <w:rsid w:val="4FD96A48"/>
    <w:rsid w:val="4FE1864E"/>
    <w:rsid w:val="4FEE11F3"/>
    <w:rsid w:val="4FEF0F5D"/>
    <w:rsid w:val="4FF547DF"/>
    <w:rsid w:val="4FF82FA6"/>
    <w:rsid w:val="4FFEA940"/>
    <w:rsid w:val="5002BF62"/>
    <w:rsid w:val="50097252"/>
    <w:rsid w:val="501E0B45"/>
    <w:rsid w:val="501FDEA3"/>
    <w:rsid w:val="5020F9A8"/>
    <w:rsid w:val="503A973E"/>
    <w:rsid w:val="503C1BA7"/>
    <w:rsid w:val="5056A960"/>
    <w:rsid w:val="505796C3"/>
    <w:rsid w:val="505DC4C6"/>
    <w:rsid w:val="50643554"/>
    <w:rsid w:val="50679688"/>
    <w:rsid w:val="507A73F5"/>
    <w:rsid w:val="507D00C7"/>
    <w:rsid w:val="5082AC07"/>
    <w:rsid w:val="508CA9B1"/>
    <w:rsid w:val="509D9960"/>
    <w:rsid w:val="50A155DB"/>
    <w:rsid w:val="50A40C7A"/>
    <w:rsid w:val="50A7199B"/>
    <w:rsid w:val="50B53DDC"/>
    <w:rsid w:val="50BAF86C"/>
    <w:rsid w:val="50BDEFD7"/>
    <w:rsid w:val="50CCEC15"/>
    <w:rsid w:val="50CE6DDB"/>
    <w:rsid w:val="50DE728A"/>
    <w:rsid w:val="50EA163B"/>
    <w:rsid w:val="50EA716A"/>
    <w:rsid w:val="50EC44FD"/>
    <w:rsid w:val="50F547BF"/>
    <w:rsid w:val="50FFCA3D"/>
    <w:rsid w:val="5102FADE"/>
    <w:rsid w:val="5117A73E"/>
    <w:rsid w:val="5132ADD0"/>
    <w:rsid w:val="513C619D"/>
    <w:rsid w:val="514B5875"/>
    <w:rsid w:val="5150C2CA"/>
    <w:rsid w:val="51568720"/>
    <w:rsid w:val="515A1D50"/>
    <w:rsid w:val="5166CEA4"/>
    <w:rsid w:val="5170B643"/>
    <w:rsid w:val="5171E46A"/>
    <w:rsid w:val="517DCE25"/>
    <w:rsid w:val="517E66EA"/>
    <w:rsid w:val="5182F469"/>
    <w:rsid w:val="518D54D9"/>
    <w:rsid w:val="51910F21"/>
    <w:rsid w:val="5191CFDA"/>
    <w:rsid w:val="51AA60D0"/>
    <w:rsid w:val="51B75A37"/>
    <w:rsid w:val="51C4988A"/>
    <w:rsid w:val="51C92A30"/>
    <w:rsid w:val="51CED394"/>
    <w:rsid w:val="51DD7D41"/>
    <w:rsid w:val="51DEFFFB"/>
    <w:rsid w:val="51E50519"/>
    <w:rsid w:val="51E8315D"/>
    <w:rsid w:val="51ECD0B9"/>
    <w:rsid w:val="51F55886"/>
    <w:rsid w:val="51FDCAE3"/>
    <w:rsid w:val="5209491B"/>
    <w:rsid w:val="522A75CC"/>
    <w:rsid w:val="522D0A5F"/>
    <w:rsid w:val="522E78E1"/>
    <w:rsid w:val="5239DD48"/>
    <w:rsid w:val="5251831E"/>
    <w:rsid w:val="5252FBE0"/>
    <w:rsid w:val="526B4456"/>
    <w:rsid w:val="52736A00"/>
    <w:rsid w:val="52744151"/>
    <w:rsid w:val="5276B3B3"/>
    <w:rsid w:val="5278AA0E"/>
    <w:rsid w:val="529E43BB"/>
    <w:rsid w:val="52A364C5"/>
    <w:rsid w:val="52A5CA43"/>
    <w:rsid w:val="52B68E74"/>
    <w:rsid w:val="52BBECCE"/>
    <w:rsid w:val="52C253E5"/>
    <w:rsid w:val="52D38D7A"/>
    <w:rsid w:val="52D98A6B"/>
    <w:rsid w:val="52F303E4"/>
    <w:rsid w:val="530E6338"/>
    <w:rsid w:val="53102EE7"/>
    <w:rsid w:val="53131D90"/>
    <w:rsid w:val="53162B1B"/>
    <w:rsid w:val="5323484F"/>
    <w:rsid w:val="532FDACB"/>
    <w:rsid w:val="53349FFE"/>
    <w:rsid w:val="5343ED82"/>
    <w:rsid w:val="53495333"/>
    <w:rsid w:val="534F0E2F"/>
    <w:rsid w:val="5358881E"/>
    <w:rsid w:val="53749A00"/>
    <w:rsid w:val="537957EA"/>
    <w:rsid w:val="5381C201"/>
    <w:rsid w:val="53822071"/>
    <w:rsid w:val="5382F2B1"/>
    <w:rsid w:val="538C08E8"/>
    <w:rsid w:val="539E9D13"/>
    <w:rsid w:val="53A61D59"/>
    <w:rsid w:val="53A83E2B"/>
    <w:rsid w:val="53ADF92C"/>
    <w:rsid w:val="53BEE575"/>
    <w:rsid w:val="53C13CBB"/>
    <w:rsid w:val="53C7FA87"/>
    <w:rsid w:val="53CA4BD0"/>
    <w:rsid w:val="53CD81FB"/>
    <w:rsid w:val="53D15C74"/>
    <w:rsid w:val="53D9A080"/>
    <w:rsid w:val="53DD6439"/>
    <w:rsid w:val="53E39A14"/>
    <w:rsid w:val="53EA1DF3"/>
    <w:rsid w:val="53ECED03"/>
    <w:rsid w:val="53EF24A3"/>
    <w:rsid w:val="53FC896F"/>
    <w:rsid w:val="5403E5E6"/>
    <w:rsid w:val="5406A283"/>
    <w:rsid w:val="540D8F9C"/>
    <w:rsid w:val="541938F7"/>
    <w:rsid w:val="5425B014"/>
    <w:rsid w:val="542880C2"/>
    <w:rsid w:val="542BD9C0"/>
    <w:rsid w:val="543810F7"/>
    <w:rsid w:val="543C5828"/>
    <w:rsid w:val="5446F1B0"/>
    <w:rsid w:val="5456357E"/>
    <w:rsid w:val="545742F5"/>
    <w:rsid w:val="5463E8EB"/>
    <w:rsid w:val="54674FD0"/>
    <w:rsid w:val="546F5DDB"/>
    <w:rsid w:val="547AD5F5"/>
    <w:rsid w:val="54862CB7"/>
    <w:rsid w:val="548A05C3"/>
    <w:rsid w:val="548DBBE3"/>
    <w:rsid w:val="5498676B"/>
    <w:rsid w:val="54A08CF8"/>
    <w:rsid w:val="54A08FA0"/>
    <w:rsid w:val="54A4A1F7"/>
    <w:rsid w:val="54A67D1F"/>
    <w:rsid w:val="54A7438E"/>
    <w:rsid w:val="54ABCD3E"/>
    <w:rsid w:val="54B0B782"/>
    <w:rsid w:val="54BF158F"/>
    <w:rsid w:val="54D6E0A4"/>
    <w:rsid w:val="54DCE375"/>
    <w:rsid w:val="54E7CA7C"/>
    <w:rsid w:val="54ED4BF9"/>
    <w:rsid w:val="54F9205A"/>
    <w:rsid w:val="54FA0A92"/>
    <w:rsid w:val="54FB692D"/>
    <w:rsid w:val="550662F7"/>
    <w:rsid w:val="5509DDF6"/>
    <w:rsid w:val="5513EE46"/>
    <w:rsid w:val="5523EF05"/>
    <w:rsid w:val="552714AD"/>
    <w:rsid w:val="5527EF2D"/>
    <w:rsid w:val="5534ADBC"/>
    <w:rsid w:val="55356BA5"/>
    <w:rsid w:val="553FCFA0"/>
    <w:rsid w:val="55409866"/>
    <w:rsid w:val="5547ED42"/>
    <w:rsid w:val="5551E20C"/>
    <w:rsid w:val="55555692"/>
    <w:rsid w:val="555F2F57"/>
    <w:rsid w:val="55634BF9"/>
    <w:rsid w:val="55641FE4"/>
    <w:rsid w:val="5567ED60"/>
    <w:rsid w:val="55723BC2"/>
    <w:rsid w:val="558923E0"/>
    <w:rsid w:val="5591CB9F"/>
    <w:rsid w:val="559F42F2"/>
    <w:rsid w:val="559FC698"/>
    <w:rsid w:val="55A2E518"/>
    <w:rsid w:val="55A88970"/>
    <w:rsid w:val="55AC5FB2"/>
    <w:rsid w:val="55AE81C4"/>
    <w:rsid w:val="55B16D0D"/>
    <w:rsid w:val="55B18173"/>
    <w:rsid w:val="55CA90C7"/>
    <w:rsid w:val="55CCEB02"/>
    <w:rsid w:val="55D459B9"/>
    <w:rsid w:val="55D5D610"/>
    <w:rsid w:val="55D69698"/>
    <w:rsid w:val="55D7E163"/>
    <w:rsid w:val="55FE6ADD"/>
    <w:rsid w:val="56017A43"/>
    <w:rsid w:val="561E0B08"/>
    <w:rsid w:val="562E1ED2"/>
    <w:rsid w:val="562E9814"/>
    <w:rsid w:val="5637449F"/>
    <w:rsid w:val="56404A8B"/>
    <w:rsid w:val="56440B5B"/>
    <w:rsid w:val="5651CA7D"/>
    <w:rsid w:val="56578DDB"/>
    <w:rsid w:val="56607691"/>
    <w:rsid w:val="56656073"/>
    <w:rsid w:val="5674CF05"/>
    <w:rsid w:val="5675F5C3"/>
    <w:rsid w:val="5679B700"/>
    <w:rsid w:val="567CF7E6"/>
    <w:rsid w:val="56841278"/>
    <w:rsid w:val="5685330B"/>
    <w:rsid w:val="56AAF2B7"/>
    <w:rsid w:val="56B5D3A8"/>
    <w:rsid w:val="56BFEE8D"/>
    <w:rsid w:val="56CBD695"/>
    <w:rsid w:val="56DD7E7D"/>
    <w:rsid w:val="56F0FAAD"/>
    <w:rsid w:val="56F9A6E2"/>
    <w:rsid w:val="57055A5F"/>
    <w:rsid w:val="570683AB"/>
    <w:rsid w:val="570AEA2B"/>
    <w:rsid w:val="570BF13D"/>
    <w:rsid w:val="57179D54"/>
    <w:rsid w:val="5719136F"/>
    <w:rsid w:val="571E0CB3"/>
    <w:rsid w:val="572746CA"/>
    <w:rsid w:val="572A1C73"/>
    <w:rsid w:val="575FC803"/>
    <w:rsid w:val="57682B8E"/>
    <w:rsid w:val="576B779D"/>
    <w:rsid w:val="576E7E8B"/>
    <w:rsid w:val="576F3232"/>
    <w:rsid w:val="57703617"/>
    <w:rsid w:val="5772C051"/>
    <w:rsid w:val="577C8447"/>
    <w:rsid w:val="578043B4"/>
    <w:rsid w:val="578D2C56"/>
    <w:rsid w:val="5793841B"/>
    <w:rsid w:val="579D969E"/>
    <w:rsid w:val="57A77EA9"/>
    <w:rsid w:val="57AF8105"/>
    <w:rsid w:val="57BC54C5"/>
    <w:rsid w:val="57BF7634"/>
    <w:rsid w:val="57CF53DF"/>
    <w:rsid w:val="57D129D0"/>
    <w:rsid w:val="57D7571F"/>
    <w:rsid w:val="57D90081"/>
    <w:rsid w:val="57E3F6B0"/>
    <w:rsid w:val="57E4E298"/>
    <w:rsid w:val="57F9573B"/>
    <w:rsid w:val="57FA1337"/>
    <w:rsid w:val="57FC965D"/>
    <w:rsid w:val="58016B9E"/>
    <w:rsid w:val="58087265"/>
    <w:rsid w:val="5819F1D3"/>
    <w:rsid w:val="581D97DB"/>
    <w:rsid w:val="582B58DD"/>
    <w:rsid w:val="582CDA41"/>
    <w:rsid w:val="5832919C"/>
    <w:rsid w:val="583EADCC"/>
    <w:rsid w:val="584285D3"/>
    <w:rsid w:val="58461108"/>
    <w:rsid w:val="586A7477"/>
    <w:rsid w:val="586D0C67"/>
    <w:rsid w:val="5876E9E8"/>
    <w:rsid w:val="587795F8"/>
    <w:rsid w:val="58825177"/>
    <w:rsid w:val="58870701"/>
    <w:rsid w:val="588E57BD"/>
    <w:rsid w:val="588EAE2F"/>
    <w:rsid w:val="5894CE61"/>
    <w:rsid w:val="589E62D2"/>
    <w:rsid w:val="58A683E9"/>
    <w:rsid w:val="58A79C45"/>
    <w:rsid w:val="58B5C586"/>
    <w:rsid w:val="58B6CDC8"/>
    <w:rsid w:val="58B9F757"/>
    <w:rsid w:val="58C14B3D"/>
    <w:rsid w:val="58CBAF48"/>
    <w:rsid w:val="58D90B54"/>
    <w:rsid w:val="58DBC21F"/>
    <w:rsid w:val="58DBFC77"/>
    <w:rsid w:val="58F0B6BE"/>
    <w:rsid w:val="58F86B36"/>
    <w:rsid w:val="59026003"/>
    <w:rsid w:val="59092D82"/>
    <w:rsid w:val="5915DAEA"/>
    <w:rsid w:val="5918444B"/>
    <w:rsid w:val="59185D39"/>
    <w:rsid w:val="5928D824"/>
    <w:rsid w:val="59290022"/>
    <w:rsid w:val="59333F59"/>
    <w:rsid w:val="59429F0B"/>
    <w:rsid w:val="594B3995"/>
    <w:rsid w:val="594EE05A"/>
    <w:rsid w:val="595D9FA4"/>
    <w:rsid w:val="596D200F"/>
    <w:rsid w:val="5977DB1C"/>
    <w:rsid w:val="59823840"/>
    <w:rsid w:val="59AAE198"/>
    <w:rsid w:val="59B2CF87"/>
    <w:rsid w:val="59C8AAA2"/>
    <w:rsid w:val="59CB42F5"/>
    <w:rsid w:val="59D07DF3"/>
    <w:rsid w:val="59DC234A"/>
    <w:rsid w:val="59E73342"/>
    <w:rsid w:val="59EB7156"/>
    <w:rsid w:val="5A044864"/>
    <w:rsid w:val="5A0632CA"/>
    <w:rsid w:val="5A077B27"/>
    <w:rsid w:val="5A1E686F"/>
    <w:rsid w:val="5A214975"/>
    <w:rsid w:val="5A215DFD"/>
    <w:rsid w:val="5A24DF3A"/>
    <w:rsid w:val="5A26B45C"/>
    <w:rsid w:val="5A2E0C83"/>
    <w:rsid w:val="5A4624C0"/>
    <w:rsid w:val="5A46ED86"/>
    <w:rsid w:val="5A6F1A83"/>
    <w:rsid w:val="5A7B744C"/>
    <w:rsid w:val="5A821A87"/>
    <w:rsid w:val="5A8F1726"/>
    <w:rsid w:val="5AAD1660"/>
    <w:rsid w:val="5AB33C42"/>
    <w:rsid w:val="5AB7D28D"/>
    <w:rsid w:val="5ABACABE"/>
    <w:rsid w:val="5ABDC509"/>
    <w:rsid w:val="5ACF2392"/>
    <w:rsid w:val="5AE03256"/>
    <w:rsid w:val="5AE11665"/>
    <w:rsid w:val="5AE68B8A"/>
    <w:rsid w:val="5B00FCD0"/>
    <w:rsid w:val="5B09BDBD"/>
    <w:rsid w:val="5B246F50"/>
    <w:rsid w:val="5B33BE11"/>
    <w:rsid w:val="5B34371F"/>
    <w:rsid w:val="5B3652A8"/>
    <w:rsid w:val="5B4A3F90"/>
    <w:rsid w:val="5B611FF8"/>
    <w:rsid w:val="5B63908E"/>
    <w:rsid w:val="5B642F79"/>
    <w:rsid w:val="5B651435"/>
    <w:rsid w:val="5B6E8681"/>
    <w:rsid w:val="5B719CB2"/>
    <w:rsid w:val="5B73DD34"/>
    <w:rsid w:val="5B7C1F2E"/>
    <w:rsid w:val="5B877F85"/>
    <w:rsid w:val="5BA655A5"/>
    <w:rsid w:val="5BA9CE5B"/>
    <w:rsid w:val="5BB8072C"/>
    <w:rsid w:val="5BC13DEA"/>
    <w:rsid w:val="5BC7009C"/>
    <w:rsid w:val="5BCC72B9"/>
    <w:rsid w:val="5BCD6DAE"/>
    <w:rsid w:val="5BE358AF"/>
    <w:rsid w:val="5BE733AB"/>
    <w:rsid w:val="5BF07DB2"/>
    <w:rsid w:val="5BFAA248"/>
    <w:rsid w:val="5C078A61"/>
    <w:rsid w:val="5C16C19C"/>
    <w:rsid w:val="5C1709E2"/>
    <w:rsid w:val="5C21ADFE"/>
    <w:rsid w:val="5C27CB39"/>
    <w:rsid w:val="5C406939"/>
    <w:rsid w:val="5C4B3B6C"/>
    <w:rsid w:val="5C517C2E"/>
    <w:rsid w:val="5C55FDF7"/>
    <w:rsid w:val="5C5C5406"/>
    <w:rsid w:val="5C675856"/>
    <w:rsid w:val="5C734197"/>
    <w:rsid w:val="5C8080B3"/>
    <w:rsid w:val="5C9B3ADE"/>
    <w:rsid w:val="5C9ECEF4"/>
    <w:rsid w:val="5CA27C70"/>
    <w:rsid w:val="5CA48904"/>
    <w:rsid w:val="5CA90AD2"/>
    <w:rsid w:val="5CB71C8C"/>
    <w:rsid w:val="5CBB99EA"/>
    <w:rsid w:val="5CCBE519"/>
    <w:rsid w:val="5CCD36FC"/>
    <w:rsid w:val="5CD5E830"/>
    <w:rsid w:val="5CE9D608"/>
    <w:rsid w:val="5CF7A492"/>
    <w:rsid w:val="5CFEB53F"/>
    <w:rsid w:val="5D0BC983"/>
    <w:rsid w:val="5D0EAF18"/>
    <w:rsid w:val="5D17574E"/>
    <w:rsid w:val="5D2A9F5B"/>
    <w:rsid w:val="5D2CA2BF"/>
    <w:rsid w:val="5D30F963"/>
    <w:rsid w:val="5D3ECAFF"/>
    <w:rsid w:val="5D42719F"/>
    <w:rsid w:val="5D4AE4B7"/>
    <w:rsid w:val="5D4DA722"/>
    <w:rsid w:val="5D5E9DE5"/>
    <w:rsid w:val="5D6E62F9"/>
    <w:rsid w:val="5D85A74A"/>
    <w:rsid w:val="5D89898B"/>
    <w:rsid w:val="5D98E09D"/>
    <w:rsid w:val="5D9AA683"/>
    <w:rsid w:val="5DA047FB"/>
    <w:rsid w:val="5DA3AD8D"/>
    <w:rsid w:val="5DA8CA54"/>
    <w:rsid w:val="5DAC921A"/>
    <w:rsid w:val="5DBCCA65"/>
    <w:rsid w:val="5DC37BF0"/>
    <w:rsid w:val="5DC88020"/>
    <w:rsid w:val="5DCCE08D"/>
    <w:rsid w:val="5DD761C5"/>
    <w:rsid w:val="5DDC399A"/>
    <w:rsid w:val="5DDF5154"/>
    <w:rsid w:val="5DE5952B"/>
    <w:rsid w:val="5DE9F3AE"/>
    <w:rsid w:val="5DF40EFC"/>
    <w:rsid w:val="5E069CD7"/>
    <w:rsid w:val="5E08C6E7"/>
    <w:rsid w:val="5E1455B9"/>
    <w:rsid w:val="5E293930"/>
    <w:rsid w:val="5E36B536"/>
    <w:rsid w:val="5E4CABC9"/>
    <w:rsid w:val="5E630389"/>
    <w:rsid w:val="5E6844CF"/>
    <w:rsid w:val="5E6E1EDD"/>
    <w:rsid w:val="5E985EAE"/>
    <w:rsid w:val="5E9BC549"/>
    <w:rsid w:val="5E9C1BC5"/>
    <w:rsid w:val="5E9DCC74"/>
    <w:rsid w:val="5EB7DEA7"/>
    <w:rsid w:val="5EBAF8F1"/>
    <w:rsid w:val="5EBCD82D"/>
    <w:rsid w:val="5EC38B6A"/>
    <w:rsid w:val="5ED0A3A8"/>
    <w:rsid w:val="5ED977FF"/>
    <w:rsid w:val="5EDE2C5C"/>
    <w:rsid w:val="5EE6C911"/>
    <w:rsid w:val="5EE792C8"/>
    <w:rsid w:val="5F03A925"/>
    <w:rsid w:val="5F0CA6AB"/>
    <w:rsid w:val="5F0F39A0"/>
    <w:rsid w:val="5F111B8A"/>
    <w:rsid w:val="5F19AF7E"/>
    <w:rsid w:val="5F3785D0"/>
    <w:rsid w:val="5F4A0B42"/>
    <w:rsid w:val="5F540DDC"/>
    <w:rsid w:val="5F556B1B"/>
    <w:rsid w:val="5F5F3C7A"/>
    <w:rsid w:val="5F5F7880"/>
    <w:rsid w:val="5F7189CA"/>
    <w:rsid w:val="5F75DC67"/>
    <w:rsid w:val="5F79CDDD"/>
    <w:rsid w:val="5F7A8BD1"/>
    <w:rsid w:val="5F82DC2E"/>
    <w:rsid w:val="5F836C99"/>
    <w:rsid w:val="5F8A788C"/>
    <w:rsid w:val="5FA4CA14"/>
    <w:rsid w:val="5FAD3AA9"/>
    <w:rsid w:val="5FBADE63"/>
    <w:rsid w:val="5FD328EB"/>
    <w:rsid w:val="5FD92A8A"/>
    <w:rsid w:val="5FE076D4"/>
    <w:rsid w:val="5FE8F3B1"/>
    <w:rsid w:val="5FF0695D"/>
    <w:rsid w:val="5FF11A6F"/>
    <w:rsid w:val="6000FABF"/>
    <w:rsid w:val="6010E250"/>
    <w:rsid w:val="601190AC"/>
    <w:rsid w:val="6020FF03"/>
    <w:rsid w:val="6022C771"/>
    <w:rsid w:val="60240CD7"/>
    <w:rsid w:val="603156FA"/>
    <w:rsid w:val="603200E1"/>
    <w:rsid w:val="6039CAA2"/>
    <w:rsid w:val="6043083D"/>
    <w:rsid w:val="604B7A79"/>
    <w:rsid w:val="6052D72A"/>
    <w:rsid w:val="60572033"/>
    <w:rsid w:val="605DD647"/>
    <w:rsid w:val="6075865C"/>
    <w:rsid w:val="60865129"/>
    <w:rsid w:val="609C0E44"/>
    <w:rsid w:val="60A41FAF"/>
    <w:rsid w:val="60A93483"/>
    <w:rsid w:val="60AE3942"/>
    <w:rsid w:val="60B2C3B1"/>
    <w:rsid w:val="60B7CD02"/>
    <w:rsid w:val="60B8F92B"/>
    <w:rsid w:val="60C46214"/>
    <w:rsid w:val="60D30CBA"/>
    <w:rsid w:val="60D6C12D"/>
    <w:rsid w:val="60E6EFE4"/>
    <w:rsid w:val="60F02BBC"/>
    <w:rsid w:val="610FD9E3"/>
    <w:rsid w:val="611352E3"/>
    <w:rsid w:val="611E157F"/>
    <w:rsid w:val="611EAC8F"/>
    <w:rsid w:val="612DA924"/>
    <w:rsid w:val="61302294"/>
    <w:rsid w:val="6132E95B"/>
    <w:rsid w:val="613AC979"/>
    <w:rsid w:val="6163C4ED"/>
    <w:rsid w:val="6168C2F4"/>
    <w:rsid w:val="617509F9"/>
    <w:rsid w:val="61813A5E"/>
    <w:rsid w:val="619461F9"/>
    <w:rsid w:val="619F9EF5"/>
    <w:rsid w:val="61A0FACB"/>
    <w:rsid w:val="61AE7CD9"/>
    <w:rsid w:val="61CBB196"/>
    <w:rsid w:val="61CBCF01"/>
    <w:rsid w:val="61D3FA61"/>
    <w:rsid w:val="61E762EE"/>
    <w:rsid w:val="61F22686"/>
    <w:rsid w:val="61F549A5"/>
    <w:rsid w:val="62040445"/>
    <w:rsid w:val="62082C5F"/>
    <w:rsid w:val="620BEE78"/>
    <w:rsid w:val="621680EC"/>
    <w:rsid w:val="62252A1D"/>
    <w:rsid w:val="62280524"/>
    <w:rsid w:val="62306E1C"/>
    <w:rsid w:val="6239AB24"/>
    <w:rsid w:val="623A12C0"/>
    <w:rsid w:val="623B49E7"/>
    <w:rsid w:val="623FE735"/>
    <w:rsid w:val="623FF010"/>
    <w:rsid w:val="624D3B21"/>
    <w:rsid w:val="625C04B8"/>
    <w:rsid w:val="625C49FB"/>
    <w:rsid w:val="6265FBB3"/>
    <w:rsid w:val="62781E81"/>
    <w:rsid w:val="62817D4A"/>
    <w:rsid w:val="6281DB01"/>
    <w:rsid w:val="6285B2CF"/>
    <w:rsid w:val="6288DC0F"/>
    <w:rsid w:val="628E671E"/>
    <w:rsid w:val="629BF143"/>
    <w:rsid w:val="629F9EE8"/>
    <w:rsid w:val="62A0E889"/>
    <w:rsid w:val="62A5620F"/>
    <w:rsid w:val="62A8799E"/>
    <w:rsid w:val="62CC07AB"/>
    <w:rsid w:val="62D088E7"/>
    <w:rsid w:val="62D08BF2"/>
    <w:rsid w:val="62D17585"/>
    <w:rsid w:val="62D23C3B"/>
    <w:rsid w:val="62D699DA"/>
    <w:rsid w:val="6308DC32"/>
    <w:rsid w:val="630A1E38"/>
    <w:rsid w:val="630FBA65"/>
    <w:rsid w:val="63181796"/>
    <w:rsid w:val="63184787"/>
    <w:rsid w:val="631C7A78"/>
    <w:rsid w:val="631EE7E9"/>
    <w:rsid w:val="6335CA7D"/>
    <w:rsid w:val="6349C2EA"/>
    <w:rsid w:val="634C5F0C"/>
    <w:rsid w:val="6351087B"/>
    <w:rsid w:val="635B1386"/>
    <w:rsid w:val="636F8CE8"/>
    <w:rsid w:val="6377840B"/>
    <w:rsid w:val="637E9EEB"/>
    <w:rsid w:val="63800E48"/>
    <w:rsid w:val="63A08772"/>
    <w:rsid w:val="63A56A0B"/>
    <w:rsid w:val="63A7A0E7"/>
    <w:rsid w:val="63A96354"/>
    <w:rsid w:val="63B3AE60"/>
    <w:rsid w:val="63B84120"/>
    <w:rsid w:val="63B8B34B"/>
    <w:rsid w:val="63BA5B38"/>
    <w:rsid w:val="63C025FF"/>
    <w:rsid w:val="63C0DBDC"/>
    <w:rsid w:val="63C3AA05"/>
    <w:rsid w:val="63C93045"/>
    <w:rsid w:val="63DBC071"/>
    <w:rsid w:val="63E0D545"/>
    <w:rsid w:val="63EC0E78"/>
    <w:rsid w:val="63EF6DC4"/>
    <w:rsid w:val="63F41CC9"/>
    <w:rsid w:val="63FC9625"/>
    <w:rsid w:val="6404F315"/>
    <w:rsid w:val="642031F6"/>
    <w:rsid w:val="64252607"/>
    <w:rsid w:val="64262952"/>
    <w:rsid w:val="6428274B"/>
    <w:rsid w:val="643F8493"/>
    <w:rsid w:val="644A9796"/>
    <w:rsid w:val="644B978B"/>
    <w:rsid w:val="64533A91"/>
    <w:rsid w:val="645CEF52"/>
    <w:rsid w:val="64646D8C"/>
    <w:rsid w:val="646E4C97"/>
    <w:rsid w:val="64726A3B"/>
    <w:rsid w:val="6473D7F1"/>
    <w:rsid w:val="6473F70B"/>
    <w:rsid w:val="6476D89E"/>
    <w:rsid w:val="6484D4F4"/>
    <w:rsid w:val="648B2465"/>
    <w:rsid w:val="6493192E"/>
    <w:rsid w:val="6496E711"/>
    <w:rsid w:val="649AC56C"/>
    <w:rsid w:val="64A0C108"/>
    <w:rsid w:val="64A3E381"/>
    <w:rsid w:val="64B5475D"/>
    <w:rsid w:val="64BD9D48"/>
    <w:rsid w:val="64C1F108"/>
    <w:rsid w:val="64D5F77C"/>
    <w:rsid w:val="64D6C657"/>
    <w:rsid w:val="64D94E5C"/>
    <w:rsid w:val="64DE3AC1"/>
    <w:rsid w:val="64DF5CBB"/>
    <w:rsid w:val="64DF8A11"/>
    <w:rsid w:val="6502DC5A"/>
    <w:rsid w:val="650A6869"/>
    <w:rsid w:val="650B5D49"/>
    <w:rsid w:val="6519291D"/>
    <w:rsid w:val="651AB6D7"/>
    <w:rsid w:val="651C8473"/>
    <w:rsid w:val="6528B162"/>
    <w:rsid w:val="653906C3"/>
    <w:rsid w:val="653AE3EF"/>
    <w:rsid w:val="65413A6C"/>
    <w:rsid w:val="6545F7BF"/>
    <w:rsid w:val="655FD5C9"/>
    <w:rsid w:val="6561E094"/>
    <w:rsid w:val="6572EAA9"/>
    <w:rsid w:val="65794B61"/>
    <w:rsid w:val="65864FE6"/>
    <w:rsid w:val="6587073B"/>
    <w:rsid w:val="658B3E25"/>
    <w:rsid w:val="6590B92F"/>
    <w:rsid w:val="659336D7"/>
    <w:rsid w:val="65B94CC6"/>
    <w:rsid w:val="65BA0073"/>
    <w:rsid w:val="65C0F668"/>
    <w:rsid w:val="65C3178E"/>
    <w:rsid w:val="65C990AA"/>
    <w:rsid w:val="65CDD3D0"/>
    <w:rsid w:val="65DBC9E3"/>
    <w:rsid w:val="65E755F2"/>
    <w:rsid w:val="65E8C298"/>
    <w:rsid w:val="65E8C300"/>
    <w:rsid w:val="65F23307"/>
    <w:rsid w:val="65F3D46E"/>
    <w:rsid w:val="65F3F2A8"/>
    <w:rsid w:val="65F6EED2"/>
    <w:rsid w:val="65FCFF8E"/>
    <w:rsid w:val="65FDEA75"/>
    <w:rsid w:val="6607D5D6"/>
    <w:rsid w:val="66091647"/>
    <w:rsid w:val="6618FDB5"/>
    <w:rsid w:val="66191AC2"/>
    <w:rsid w:val="6630A0B1"/>
    <w:rsid w:val="663A0590"/>
    <w:rsid w:val="663D9C9A"/>
    <w:rsid w:val="6647F031"/>
    <w:rsid w:val="66519449"/>
    <w:rsid w:val="666034F6"/>
    <w:rsid w:val="6665203E"/>
    <w:rsid w:val="6665A25A"/>
    <w:rsid w:val="66717F0E"/>
    <w:rsid w:val="6674DF4C"/>
    <w:rsid w:val="66871253"/>
    <w:rsid w:val="66883B20"/>
    <w:rsid w:val="668E3FA4"/>
    <w:rsid w:val="66917AAE"/>
    <w:rsid w:val="669D4C19"/>
    <w:rsid w:val="669F4024"/>
    <w:rsid w:val="66AD9ABE"/>
    <w:rsid w:val="66B8A21F"/>
    <w:rsid w:val="66BC6FB3"/>
    <w:rsid w:val="66C10C20"/>
    <w:rsid w:val="66CF95E7"/>
    <w:rsid w:val="66D18CA3"/>
    <w:rsid w:val="66D8D39D"/>
    <w:rsid w:val="66DD0ACD"/>
    <w:rsid w:val="66E7CF5C"/>
    <w:rsid w:val="66E8FA4B"/>
    <w:rsid w:val="66F262AD"/>
    <w:rsid w:val="66F2A8DF"/>
    <w:rsid w:val="6701B51A"/>
    <w:rsid w:val="6704BBAB"/>
    <w:rsid w:val="6708F1E8"/>
    <w:rsid w:val="670EBB0A"/>
    <w:rsid w:val="67136133"/>
    <w:rsid w:val="671C9177"/>
    <w:rsid w:val="672F0738"/>
    <w:rsid w:val="6732857C"/>
    <w:rsid w:val="674E1E52"/>
    <w:rsid w:val="6767A499"/>
    <w:rsid w:val="67697236"/>
    <w:rsid w:val="676D5895"/>
    <w:rsid w:val="678314D8"/>
    <w:rsid w:val="678599AB"/>
    <w:rsid w:val="678DEE13"/>
    <w:rsid w:val="679C74F2"/>
    <w:rsid w:val="67AFEFCA"/>
    <w:rsid w:val="67C7B676"/>
    <w:rsid w:val="67CD8FAD"/>
    <w:rsid w:val="67DA26ED"/>
    <w:rsid w:val="67EB0DF9"/>
    <w:rsid w:val="67EB88B9"/>
    <w:rsid w:val="67F6DD7A"/>
    <w:rsid w:val="67F88DA1"/>
    <w:rsid w:val="681FA8DC"/>
    <w:rsid w:val="682EFDE2"/>
    <w:rsid w:val="6831E522"/>
    <w:rsid w:val="68349D99"/>
    <w:rsid w:val="6836215C"/>
    <w:rsid w:val="68377424"/>
    <w:rsid w:val="683B1085"/>
    <w:rsid w:val="684E1317"/>
    <w:rsid w:val="68639B33"/>
    <w:rsid w:val="68732115"/>
    <w:rsid w:val="687E94A0"/>
    <w:rsid w:val="688A2A71"/>
    <w:rsid w:val="68903702"/>
    <w:rsid w:val="6891630E"/>
    <w:rsid w:val="689608EA"/>
    <w:rsid w:val="68A4D0F1"/>
    <w:rsid w:val="68B406A4"/>
    <w:rsid w:val="68BA916D"/>
    <w:rsid w:val="68CCC239"/>
    <w:rsid w:val="68D89BC9"/>
    <w:rsid w:val="68FAFCFC"/>
    <w:rsid w:val="69047044"/>
    <w:rsid w:val="6908077C"/>
    <w:rsid w:val="691721E2"/>
    <w:rsid w:val="6921A7AA"/>
    <w:rsid w:val="69238D0F"/>
    <w:rsid w:val="69286BB5"/>
    <w:rsid w:val="69324889"/>
    <w:rsid w:val="693F1963"/>
    <w:rsid w:val="693F5256"/>
    <w:rsid w:val="6945F974"/>
    <w:rsid w:val="694776FC"/>
    <w:rsid w:val="694A5DBF"/>
    <w:rsid w:val="694A7AAF"/>
    <w:rsid w:val="6950268A"/>
    <w:rsid w:val="695EF59A"/>
    <w:rsid w:val="6961A148"/>
    <w:rsid w:val="69657294"/>
    <w:rsid w:val="6968467A"/>
    <w:rsid w:val="6970F72F"/>
    <w:rsid w:val="6976F324"/>
    <w:rsid w:val="697B2640"/>
    <w:rsid w:val="697F6C8F"/>
    <w:rsid w:val="69B5C2F5"/>
    <w:rsid w:val="69B88B3E"/>
    <w:rsid w:val="69BF80D3"/>
    <w:rsid w:val="69C86429"/>
    <w:rsid w:val="69CE9143"/>
    <w:rsid w:val="69D266FD"/>
    <w:rsid w:val="69E326EF"/>
    <w:rsid w:val="69E94432"/>
    <w:rsid w:val="69EE321C"/>
    <w:rsid w:val="69EE7A0F"/>
    <w:rsid w:val="69F0B379"/>
    <w:rsid w:val="69FB2681"/>
    <w:rsid w:val="6A0E8255"/>
    <w:rsid w:val="6A152014"/>
    <w:rsid w:val="6A181D44"/>
    <w:rsid w:val="6A2697F5"/>
    <w:rsid w:val="6A27F4CF"/>
    <w:rsid w:val="6A2E8446"/>
    <w:rsid w:val="6A36EEFA"/>
    <w:rsid w:val="6A4B01F5"/>
    <w:rsid w:val="6A55A63C"/>
    <w:rsid w:val="6A66F354"/>
    <w:rsid w:val="6A6E3E46"/>
    <w:rsid w:val="6A733571"/>
    <w:rsid w:val="6AA06E8D"/>
    <w:rsid w:val="6AA80712"/>
    <w:rsid w:val="6AB85B6D"/>
    <w:rsid w:val="6AE4EA74"/>
    <w:rsid w:val="6AE7FFCA"/>
    <w:rsid w:val="6AE8A539"/>
    <w:rsid w:val="6AEE7E4A"/>
    <w:rsid w:val="6AF7A9ED"/>
    <w:rsid w:val="6AF82BEE"/>
    <w:rsid w:val="6AFCF441"/>
    <w:rsid w:val="6B04792E"/>
    <w:rsid w:val="6B149EF5"/>
    <w:rsid w:val="6B1B3CF0"/>
    <w:rsid w:val="6B1CBB38"/>
    <w:rsid w:val="6B315C58"/>
    <w:rsid w:val="6B379275"/>
    <w:rsid w:val="6B3F1FD2"/>
    <w:rsid w:val="6B40A693"/>
    <w:rsid w:val="6B44377B"/>
    <w:rsid w:val="6B4856A1"/>
    <w:rsid w:val="6B499C8E"/>
    <w:rsid w:val="6B4B8FA6"/>
    <w:rsid w:val="6B4FFFBF"/>
    <w:rsid w:val="6B58B3FB"/>
    <w:rsid w:val="6B5B6D87"/>
    <w:rsid w:val="6B65B8A6"/>
    <w:rsid w:val="6B665099"/>
    <w:rsid w:val="6B693A50"/>
    <w:rsid w:val="6B72AAD3"/>
    <w:rsid w:val="6B776FB0"/>
    <w:rsid w:val="6B8232D8"/>
    <w:rsid w:val="6B96D857"/>
    <w:rsid w:val="6BAC3C2E"/>
    <w:rsid w:val="6BAEE061"/>
    <w:rsid w:val="6BAFAFF8"/>
    <w:rsid w:val="6BD3F22C"/>
    <w:rsid w:val="6BF407EC"/>
    <w:rsid w:val="6BF4705F"/>
    <w:rsid w:val="6BFE3BDD"/>
    <w:rsid w:val="6C05E06D"/>
    <w:rsid w:val="6C0F7447"/>
    <w:rsid w:val="6C1C1059"/>
    <w:rsid w:val="6C21C2DB"/>
    <w:rsid w:val="6C2F5DC6"/>
    <w:rsid w:val="6C3037EC"/>
    <w:rsid w:val="6C3CE359"/>
    <w:rsid w:val="6C3E5A4A"/>
    <w:rsid w:val="6C3F5BD8"/>
    <w:rsid w:val="6C40964A"/>
    <w:rsid w:val="6C49E3B2"/>
    <w:rsid w:val="6C4A9678"/>
    <w:rsid w:val="6C509F7D"/>
    <w:rsid w:val="6C51DB3A"/>
    <w:rsid w:val="6C563711"/>
    <w:rsid w:val="6C5A5CF8"/>
    <w:rsid w:val="6C6210ED"/>
    <w:rsid w:val="6C6970F9"/>
    <w:rsid w:val="6C69E3A2"/>
    <w:rsid w:val="6C87C1B1"/>
    <w:rsid w:val="6C99AC6D"/>
    <w:rsid w:val="6C9ABEC6"/>
    <w:rsid w:val="6C9BE21E"/>
    <w:rsid w:val="6CAAECEE"/>
    <w:rsid w:val="6CAE1AFB"/>
    <w:rsid w:val="6CB68186"/>
    <w:rsid w:val="6CBAE141"/>
    <w:rsid w:val="6CC1AB09"/>
    <w:rsid w:val="6CC9DCD2"/>
    <w:rsid w:val="6CCFDFDC"/>
    <w:rsid w:val="6CD063F7"/>
    <w:rsid w:val="6CDA4AF1"/>
    <w:rsid w:val="6CDB891F"/>
    <w:rsid w:val="6CDD2B7A"/>
    <w:rsid w:val="6CE923C4"/>
    <w:rsid w:val="6CEB68EC"/>
    <w:rsid w:val="6CEF167B"/>
    <w:rsid w:val="6CF03191"/>
    <w:rsid w:val="6D09CD8D"/>
    <w:rsid w:val="6D1C33A4"/>
    <w:rsid w:val="6D301955"/>
    <w:rsid w:val="6D3BD420"/>
    <w:rsid w:val="6D3CDC27"/>
    <w:rsid w:val="6D4CF528"/>
    <w:rsid w:val="6D5BE4DC"/>
    <w:rsid w:val="6D5CEF18"/>
    <w:rsid w:val="6D5D0FFC"/>
    <w:rsid w:val="6D62EBE3"/>
    <w:rsid w:val="6D683A42"/>
    <w:rsid w:val="6D69BFD7"/>
    <w:rsid w:val="6D7031BC"/>
    <w:rsid w:val="6D79EA5F"/>
    <w:rsid w:val="6D7D90DD"/>
    <w:rsid w:val="6D8DAE88"/>
    <w:rsid w:val="6D9BE69A"/>
    <w:rsid w:val="6D9E6562"/>
    <w:rsid w:val="6DA68491"/>
    <w:rsid w:val="6DAE690F"/>
    <w:rsid w:val="6DB2DFF0"/>
    <w:rsid w:val="6DB3B057"/>
    <w:rsid w:val="6DBDF246"/>
    <w:rsid w:val="6DC77B71"/>
    <w:rsid w:val="6DCC2BCC"/>
    <w:rsid w:val="6DD13491"/>
    <w:rsid w:val="6DDAB124"/>
    <w:rsid w:val="6DDAD550"/>
    <w:rsid w:val="6DDBE8E5"/>
    <w:rsid w:val="6DDFCEED"/>
    <w:rsid w:val="6DE7B551"/>
    <w:rsid w:val="6DED4CAD"/>
    <w:rsid w:val="6DF15354"/>
    <w:rsid w:val="6DF1C1CF"/>
    <w:rsid w:val="6DF22514"/>
    <w:rsid w:val="6DF26181"/>
    <w:rsid w:val="6DF626A2"/>
    <w:rsid w:val="6E0811AA"/>
    <w:rsid w:val="6E0B9BD3"/>
    <w:rsid w:val="6E1CA057"/>
    <w:rsid w:val="6E239A86"/>
    <w:rsid w:val="6E342611"/>
    <w:rsid w:val="6E486F4A"/>
    <w:rsid w:val="6E4CCA05"/>
    <w:rsid w:val="6E5524D2"/>
    <w:rsid w:val="6E564997"/>
    <w:rsid w:val="6E86D21B"/>
    <w:rsid w:val="6E8ABA38"/>
    <w:rsid w:val="6E8E7E59"/>
    <w:rsid w:val="6EA1D43C"/>
    <w:rsid w:val="6EA9D4E3"/>
    <w:rsid w:val="6EAACF72"/>
    <w:rsid w:val="6EC5AEE6"/>
    <w:rsid w:val="6ECDC846"/>
    <w:rsid w:val="6ED57582"/>
    <w:rsid w:val="6EE4858A"/>
    <w:rsid w:val="6EE57860"/>
    <w:rsid w:val="6F0EFF08"/>
    <w:rsid w:val="6F1C54B7"/>
    <w:rsid w:val="6F212374"/>
    <w:rsid w:val="6F25165E"/>
    <w:rsid w:val="6F2BFADC"/>
    <w:rsid w:val="6F2CBC34"/>
    <w:rsid w:val="6F3E9570"/>
    <w:rsid w:val="6F3EC94A"/>
    <w:rsid w:val="6F46D7EC"/>
    <w:rsid w:val="6F4CFB68"/>
    <w:rsid w:val="6F512AE5"/>
    <w:rsid w:val="6F5C9641"/>
    <w:rsid w:val="6F5E2F7B"/>
    <w:rsid w:val="6F621381"/>
    <w:rsid w:val="6F682DE5"/>
    <w:rsid w:val="6F76D1EE"/>
    <w:rsid w:val="6F93E47A"/>
    <w:rsid w:val="6FA5AFC7"/>
    <w:rsid w:val="6FB2EC75"/>
    <w:rsid w:val="6FC19D5B"/>
    <w:rsid w:val="6FC27F9E"/>
    <w:rsid w:val="6FD585B6"/>
    <w:rsid w:val="6FDA0C4A"/>
    <w:rsid w:val="6FDE116A"/>
    <w:rsid w:val="6FDF75DA"/>
    <w:rsid w:val="6FE19917"/>
    <w:rsid w:val="6FE7AE09"/>
    <w:rsid w:val="6FE83D72"/>
    <w:rsid w:val="6FED91D3"/>
    <w:rsid w:val="6FF2D3EE"/>
    <w:rsid w:val="6FF56A5E"/>
    <w:rsid w:val="6FFB6B8E"/>
    <w:rsid w:val="7004484E"/>
    <w:rsid w:val="7005681F"/>
    <w:rsid w:val="7010F413"/>
    <w:rsid w:val="70133BDC"/>
    <w:rsid w:val="701AD45A"/>
    <w:rsid w:val="701F2823"/>
    <w:rsid w:val="70260181"/>
    <w:rsid w:val="7027F1E6"/>
    <w:rsid w:val="702A5914"/>
    <w:rsid w:val="7046226A"/>
    <w:rsid w:val="70598C6E"/>
    <w:rsid w:val="705B09AF"/>
    <w:rsid w:val="7067D217"/>
    <w:rsid w:val="708BAA26"/>
    <w:rsid w:val="70A2B8E5"/>
    <w:rsid w:val="70A69592"/>
    <w:rsid w:val="70B05494"/>
    <w:rsid w:val="70B644A4"/>
    <w:rsid w:val="70B9DB0B"/>
    <w:rsid w:val="70CF997C"/>
    <w:rsid w:val="70D0BF7A"/>
    <w:rsid w:val="70D43524"/>
    <w:rsid w:val="70DC791B"/>
    <w:rsid w:val="70DCD956"/>
    <w:rsid w:val="70E73033"/>
    <w:rsid w:val="70EA5BAE"/>
    <w:rsid w:val="70FDB323"/>
    <w:rsid w:val="71013C17"/>
    <w:rsid w:val="71062543"/>
    <w:rsid w:val="710A6C28"/>
    <w:rsid w:val="710F8229"/>
    <w:rsid w:val="711CEB98"/>
    <w:rsid w:val="711E7AE1"/>
    <w:rsid w:val="712A0243"/>
    <w:rsid w:val="712A4627"/>
    <w:rsid w:val="713AD565"/>
    <w:rsid w:val="713F2947"/>
    <w:rsid w:val="71410283"/>
    <w:rsid w:val="7141A717"/>
    <w:rsid w:val="715277D1"/>
    <w:rsid w:val="71530CE0"/>
    <w:rsid w:val="71604DF6"/>
    <w:rsid w:val="71605188"/>
    <w:rsid w:val="71612094"/>
    <w:rsid w:val="716C7285"/>
    <w:rsid w:val="71708479"/>
    <w:rsid w:val="7175D833"/>
    <w:rsid w:val="718A4207"/>
    <w:rsid w:val="718AA747"/>
    <w:rsid w:val="71B1146B"/>
    <w:rsid w:val="71B4B520"/>
    <w:rsid w:val="71CB62C1"/>
    <w:rsid w:val="71D224D0"/>
    <w:rsid w:val="71D42359"/>
    <w:rsid w:val="71DCF39D"/>
    <w:rsid w:val="71E0A5A2"/>
    <w:rsid w:val="71E2CFEE"/>
    <w:rsid w:val="71E555F0"/>
    <w:rsid w:val="71ECB5D6"/>
    <w:rsid w:val="720016E0"/>
    <w:rsid w:val="7201D9B7"/>
    <w:rsid w:val="721225E1"/>
    <w:rsid w:val="7217E45A"/>
    <w:rsid w:val="72197A83"/>
    <w:rsid w:val="721B7F66"/>
    <w:rsid w:val="721E1A1E"/>
    <w:rsid w:val="72259CB3"/>
    <w:rsid w:val="72262A13"/>
    <w:rsid w:val="7228934C"/>
    <w:rsid w:val="7231FFFD"/>
    <w:rsid w:val="72374D22"/>
    <w:rsid w:val="723FBCFA"/>
    <w:rsid w:val="725D13A1"/>
    <w:rsid w:val="725D3CEA"/>
    <w:rsid w:val="726978D4"/>
    <w:rsid w:val="726F83F1"/>
    <w:rsid w:val="72700585"/>
    <w:rsid w:val="72787D5A"/>
    <w:rsid w:val="727EE7D3"/>
    <w:rsid w:val="7281ACA9"/>
    <w:rsid w:val="72873853"/>
    <w:rsid w:val="728AFEE2"/>
    <w:rsid w:val="72943C6D"/>
    <w:rsid w:val="729900E8"/>
    <w:rsid w:val="729AF0BE"/>
    <w:rsid w:val="72A54D23"/>
    <w:rsid w:val="72AB528A"/>
    <w:rsid w:val="72AC24DD"/>
    <w:rsid w:val="72B126B5"/>
    <w:rsid w:val="72B752FF"/>
    <w:rsid w:val="72C0E412"/>
    <w:rsid w:val="72C42F5D"/>
    <w:rsid w:val="72C4E31D"/>
    <w:rsid w:val="72C5DEBA"/>
    <w:rsid w:val="72CA5713"/>
    <w:rsid w:val="72E08771"/>
    <w:rsid w:val="72EE4832"/>
    <w:rsid w:val="72F6BC1E"/>
    <w:rsid w:val="72F6C2B1"/>
    <w:rsid w:val="730B4610"/>
    <w:rsid w:val="733628E6"/>
    <w:rsid w:val="73387329"/>
    <w:rsid w:val="7343734F"/>
    <w:rsid w:val="73471497"/>
    <w:rsid w:val="734B5BD2"/>
    <w:rsid w:val="735D9920"/>
    <w:rsid w:val="736903B0"/>
    <w:rsid w:val="73719A3D"/>
    <w:rsid w:val="73739A0A"/>
    <w:rsid w:val="737A724F"/>
    <w:rsid w:val="737E1914"/>
    <w:rsid w:val="73979CB5"/>
    <w:rsid w:val="73A0691D"/>
    <w:rsid w:val="73A5B280"/>
    <w:rsid w:val="73A75AA5"/>
    <w:rsid w:val="73AA2EE8"/>
    <w:rsid w:val="73B0752D"/>
    <w:rsid w:val="73B71499"/>
    <w:rsid w:val="73BD1B17"/>
    <w:rsid w:val="73C14747"/>
    <w:rsid w:val="73D31D83"/>
    <w:rsid w:val="73D41AE1"/>
    <w:rsid w:val="73D74361"/>
    <w:rsid w:val="73D86017"/>
    <w:rsid w:val="73DA1FFD"/>
    <w:rsid w:val="73DD058D"/>
    <w:rsid w:val="73DEBDC8"/>
    <w:rsid w:val="73E33585"/>
    <w:rsid w:val="73E99D9D"/>
    <w:rsid w:val="7404D83C"/>
    <w:rsid w:val="7407E56A"/>
    <w:rsid w:val="74091C87"/>
    <w:rsid w:val="740FE1A8"/>
    <w:rsid w:val="7410B41E"/>
    <w:rsid w:val="7413E867"/>
    <w:rsid w:val="7419B6C7"/>
    <w:rsid w:val="741C1C70"/>
    <w:rsid w:val="7420C914"/>
    <w:rsid w:val="742DCB46"/>
    <w:rsid w:val="742E0806"/>
    <w:rsid w:val="74455A42"/>
    <w:rsid w:val="7449E974"/>
    <w:rsid w:val="744A5F65"/>
    <w:rsid w:val="744C5B50"/>
    <w:rsid w:val="7450355D"/>
    <w:rsid w:val="74778D6F"/>
    <w:rsid w:val="7480C52D"/>
    <w:rsid w:val="74AA3BA3"/>
    <w:rsid w:val="74B34669"/>
    <w:rsid w:val="74C34521"/>
    <w:rsid w:val="74DA44B7"/>
    <w:rsid w:val="74DAF2B0"/>
    <w:rsid w:val="74E198A7"/>
    <w:rsid w:val="74F23955"/>
    <w:rsid w:val="750282F5"/>
    <w:rsid w:val="7505E993"/>
    <w:rsid w:val="750F4B35"/>
    <w:rsid w:val="7515325C"/>
    <w:rsid w:val="75176ACF"/>
    <w:rsid w:val="751C7750"/>
    <w:rsid w:val="75276322"/>
    <w:rsid w:val="753E6182"/>
    <w:rsid w:val="7540D833"/>
    <w:rsid w:val="75484B3F"/>
    <w:rsid w:val="7557D235"/>
    <w:rsid w:val="75591481"/>
    <w:rsid w:val="755A21BB"/>
    <w:rsid w:val="755BF617"/>
    <w:rsid w:val="755D17A8"/>
    <w:rsid w:val="756DC33B"/>
    <w:rsid w:val="75828597"/>
    <w:rsid w:val="75881CBC"/>
    <w:rsid w:val="759583EF"/>
    <w:rsid w:val="75962905"/>
    <w:rsid w:val="759EC75C"/>
    <w:rsid w:val="75D5587D"/>
    <w:rsid w:val="75DBACAF"/>
    <w:rsid w:val="75DE0E26"/>
    <w:rsid w:val="75DF1412"/>
    <w:rsid w:val="75ED20E1"/>
    <w:rsid w:val="75F83B99"/>
    <w:rsid w:val="75FD7366"/>
    <w:rsid w:val="76067749"/>
    <w:rsid w:val="76142EB6"/>
    <w:rsid w:val="7616D3A2"/>
    <w:rsid w:val="76216520"/>
    <w:rsid w:val="762C9F14"/>
    <w:rsid w:val="762CB7A5"/>
    <w:rsid w:val="762E4C34"/>
    <w:rsid w:val="763FFF54"/>
    <w:rsid w:val="765B148A"/>
    <w:rsid w:val="765BFC1D"/>
    <w:rsid w:val="765F1582"/>
    <w:rsid w:val="766D8A3A"/>
    <w:rsid w:val="7679528D"/>
    <w:rsid w:val="7685240F"/>
    <w:rsid w:val="768AA7C6"/>
    <w:rsid w:val="7694744A"/>
    <w:rsid w:val="769785B4"/>
    <w:rsid w:val="7697F9B4"/>
    <w:rsid w:val="769BF333"/>
    <w:rsid w:val="769C00B2"/>
    <w:rsid w:val="769F7769"/>
    <w:rsid w:val="76A13213"/>
    <w:rsid w:val="76B27655"/>
    <w:rsid w:val="76BED2B7"/>
    <w:rsid w:val="76E01179"/>
    <w:rsid w:val="76F2AC95"/>
    <w:rsid w:val="76FE640E"/>
    <w:rsid w:val="7702B7D5"/>
    <w:rsid w:val="770E655D"/>
    <w:rsid w:val="771442B7"/>
    <w:rsid w:val="771D162D"/>
    <w:rsid w:val="77202555"/>
    <w:rsid w:val="7723ED1D"/>
    <w:rsid w:val="772572F4"/>
    <w:rsid w:val="772864AA"/>
    <w:rsid w:val="772A9723"/>
    <w:rsid w:val="773010C2"/>
    <w:rsid w:val="773969E1"/>
    <w:rsid w:val="774000FE"/>
    <w:rsid w:val="774376A8"/>
    <w:rsid w:val="7747FF97"/>
    <w:rsid w:val="7752FACA"/>
    <w:rsid w:val="77530995"/>
    <w:rsid w:val="77557A61"/>
    <w:rsid w:val="775A1879"/>
    <w:rsid w:val="775E99BD"/>
    <w:rsid w:val="775F8FC7"/>
    <w:rsid w:val="77615C12"/>
    <w:rsid w:val="776893DA"/>
    <w:rsid w:val="7769373F"/>
    <w:rsid w:val="776BA9F4"/>
    <w:rsid w:val="777D2D88"/>
    <w:rsid w:val="7786B133"/>
    <w:rsid w:val="77BFCAD6"/>
    <w:rsid w:val="77D0F99C"/>
    <w:rsid w:val="77EED139"/>
    <w:rsid w:val="77F1CE55"/>
    <w:rsid w:val="77FAB950"/>
    <w:rsid w:val="7801184E"/>
    <w:rsid w:val="781421E8"/>
    <w:rsid w:val="7827CBA7"/>
    <w:rsid w:val="783FF978"/>
    <w:rsid w:val="78410BDC"/>
    <w:rsid w:val="7846742A"/>
    <w:rsid w:val="784B2756"/>
    <w:rsid w:val="784C29ED"/>
    <w:rsid w:val="784CD790"/>
    <w:rsid w:val="784EC349"/>
    <w:rsid w:val="785921D5"/>
    <w:rsid w:val="7875B006"/>
    <w:rsid w:val="787A9CE7"/>
    <w:rsid w:val="787EA255"/>
    <w:rsid w:val="787F40C7"/>
    <w:rsid w:val="787FDD2A"/>
    <w:rsid w:val="78906582"/>
    <w:rsid w:val="78916573"/>
    <w:rsid w:val="78A3A193"/>
    <w:rsid w:val="78A49813"/>
    <w:rsid w:val="78ADE0C7"/>
    <w:rsid w:val="78AE6A06"/>
    <w:rsid w:val="78AEA831"/>
    <w:rsid w:val="78AF5B43"/>
    <w:rsid w:val="78BB6911"/>
    <w:rsid w:val="78BBC5FA"/>
    <w:rsid w:val="78BE9B60"/>
    <w:rsid w:val="78C53DFE"/>
    <w:rsid w:val="78DCB928"/>
    <w:rsid w:val="78EECB2B"/>
    <w:rsid w:val="78F3F0B0"/>
    <w:rsid w:val="79037887"/>
    <w:rsid w:val="790F9807"/>
    <w:rsid w:val="7913A114"/>
    <w:rsid w:val="7918B7D6"/>
    <w:rsid w:val="79421581"/>
    <w:rsid w:val="795469B1"/>
    <w:rsid w:val="795920B0"/>
    <w:rsid w:val="795F39BC"/>
    <w:rsid w:val="79647C0F"/>
    <w:rsid w:val="797FBB80"/>
    <w:rsid w:val="799127D4"/>
    <w:rsid w:val="79A48C0B"/>
    <w:rsid w:val="79AF21DC"/>
    <w:rsid w:val="79CCBE95"/>
    <w:rsid w:val="79D240AE"/>
    <w:rsid w:val="79D9EA3A"/>
    <w:rsid w:val="79F5419C"/>
    <w:rsid w:val="7A04D6DF"/>
    <w:rsid w:val="7A2146A6"/>
    <w:rsid w:val="7A3088CB"/>
    <w:rsid w:val="7A38B104"/>
    <w:rsid w:val="7A46061F"/>
    <w:rsid w:val="7A49B128"/>
    <w:rsid w:val="7A4BAF15"/>
    <w:rsid w:val="7A4CC5C8"/>
    <w:rsid w:val="7A4F546F"/>
    <w:rsid w:val="7A52D571"/>
    <w:rsid w:val="7A53FD81"/>
    <w:rsid w:val="7A58CB93"/>
    <w:rsid w:val="7A5EC3EA"/>
    <w:rsid w:val="7A6DF186"/>
    <w:rsid w:val="7A7221A0"/>
    <w:rsid w:val="7A781F86"/>
    <w:rsid w:val="7A861C94"/>
    <w:rsid w:val="7A8B465C"/>
    <w:rsid w:val="7A8BF329"/>
    <w:rsid w:val="7AAA9762"/>
    <w:rsid w:val="7AB782A8"/>
    <w:rsid w:val="7ABE51F5"/>
    <w:rsid w:val="7AD3BD3B"/>
    <w:rsid w:val="7AD6A6AC"/>
    <w:rsid w:val="7AEB08B4"/>
    <w:rsid w:val="7AEC5255"/>
    <w:rsid w:val="7AEFAB91"/>
    <w:rsid w:val="7AF7BE0F"/>
    <w:rsid w:val="7AFD3F12"/>
    <w:rsid w:val="7B13DDC4"/>
    <w:rsid w:val="7B250D11"/>
    <w:rsid w:val="7B2CE35E"/>
    <w:rsid w:val="7B6B5270"/>
    <w:rsid w:val="7B6F00B5"/>
    <w:rsid w:val="7B7835B8"/>
    <w:rsid w:val="7B88CE96"/>
    <w:rsid w:val="7B91AFE7"/>
    <w:rsid w:val="7B98ADD0"/>
    <w:rsid w:val="7B9FE35B"/>
    <w:rsid w:val="7BADE9F5"/>
    <w:rsid w:val="7BB2278A"/>
    <w:rsid w:val="7BB64D35"/>
    <w:rsid w:val="7BB66C5D"/>
    <w:rsid w:val="7BB74B00"/>
    <w:rsid w:val="7BB8ACD4"/>
    <w:rsid w:val="7BCC270E"/>
    <w:rsid w:val="7BD446B2"/>
    <w:rsid w:val="7BE87353"/>
    <w:rsid w:val="7BEB1A84"/>
    <w:rsid w:val="7BF75E40"/>
    <w:rsid w:val="7C08C7D0"/>
    <w:rsid w:val="7C1C13E8"/>
    <w:rsid w:val="7C32226E"/>
    <w:rsid w:val="7C3430FA"/>
    <w:rsid w:val="7C3973C8"/>
    <w:rsid w:val="7C40F9F9"/>
    <w:rsid w:val="7C5264B4"/>
    <w:rsid w:val="7C6A6DD7"/>
    <w:rsid w:val="7C6CC2C4"/>
    <w:rsid w:val="7C6CCAFB"/>
    <w:rsid w:val="7C6ECB51"/>
    <w:rsid w:val="7C6FCF0E"/>
    <w:rsid w:val="7C751D18"/>
    <w:rsid w:val="7C7EA655"/>
    <w:rsid w:val="7C82BDB2"/>
    <w:rsid w:val="7C858C32"/>
    <w:rsid w:val="7C86A2DB"/>
    <w:rsid w:val="7C8E7B95"/>
    <w:rsid w:val="7C8FC467"/>
    <w:rsid w:val="7CA4526E"/>
    <w:rsid w:val="7CADA4EE"/>
    <w:rsid w:val="7CB75C42"/>
    <w:rsid w:val="7CC67397"/>
    <w:rsid w:val="7CC6AD4F"/>
    <w:rsid w:val="7CC8194D"/>
    <w:rsid w:val="7CCD216B"/>
    <w:rsid w:val="7CE4C459"/>
    <w:rsid w:val="7CF44A65"/>
    <w:rsid w:val="7CF69241"/>
    <w:rsid w:val="7D028997"/>
    <w:rsid w:val="7D042EE2"/>
    <w:rsid w:val="7D09E170"/>
    <w:rsid w:val="7D0CFB65"/>
    <w:rsid w:val="7D1387AC"/>
    <w:rsid w:val="7D14D67D"/>
    <w:rsid w:val="7D1A87C5"/>
    <w:rsid w:val="7D1D749E"/>
    <w:rsid w:val="7D4412F9"/>
    <w:rsid w:val="7D549ED1"/>
    <w:rsid w:val="7D5ABED1"/>
    <w:rsid w:val="7D6353B4"/>
    <w:rsid w:val="7D6E10BF"/>
    <w:rsid w:val="7D80D3A2"/>
    <w:rsid w:val="7D82931A"/>
    <w:rsid w:val="7D8D88B0"/>
    <w:rsid w:val="7D9A9871"/>
    <w:rsid w:val="7D9C3F83"/>
    <w:rsid w:val="7DAFCA39"/>
    <w:rsid w:val="7DB0EFA5"/>
    <w:rsid w:val="7DBFCAF5"/>
    <w:rsid w:val="7DC0F40E"/>
    <w:rsid w:val="7DC83EE6"/>
    <w:rsid w:val="7DCD329A"/>
    <w:rsid w:val="7DD3AEF5"/>
    <w:rsid w:val="7DD7D007"/>
    <w:rsid w:val="7DDA5708"/>
    <w:rsid w:val="7DFB424C"/>
    <w:rsid w:val="7E087FE5"/>
    <w:rsid w:val="7E0FA5B5"/>
    <w:rsid w:val="7E1018C2"/>
    <w:rsid w:val="7E10CA69"/>
    <w:rsid w:val="7E1B9591"/>
    <w:rsid w:val="7E2B9F67"/>
    <w:rsid w:val="7E2C7337"/>
    <w:rsid w:val="7E2C7705"/>
    <w:rsid w:val="7E39C2E8"/>
    <w:rsid w:val="7E41921E"/>
    <w:rsid w:val="7E4B5653"/>
    <w:rsid w:val="7E59139D"/>
    <w:rsid w:val="7E5ED218"/>
    <w:rsid w:val="7E648420"/>
    <w:rsid w:val="7E918E99"/>
    <w:rsid w:val="7EAF3AFC"/>
    <w:rsid w:val="7EB867E6"/>
    <w:rsid w:val="7EB8C56F"/>
    <w:rsid w:val="7EBBCEAB"/>
    <w:rsid w:val="7EBC758B"/>
    <w:rsid w:val="7EBD2734"/>
    <w:rsid w:val="7ECC0FF1"/>
    <w:rsid w:val="7ECC7080"/>
    <w:rsid w:val="7EDE48D2"/>
    <w:rsid w:val="7EE5D325"/>
    <w:rsid w:val="7EF7AB5C"/>
    <w:rsid w:val="7EFFA039"/>
    <w:rsid w:val="7F1017DC"/>
    <w:rsid w:val="7F2938CD"/>
    <w:rsid w:val="7F346B8E"/>
    <w:rsid w:val="7F43A37E"/>
    <w:rsid w:val="7F4DD2E0"/>
    <w:rsid w:val="7F4FA8E8"/>
    <w:rsid w:val="7F56C916"/>
    <w:rsid w:val="7F57C669"/>
    <w:rsid w:val="7F588D85"/>
    <w:rsid w:val="7F5CA344"/>
    <w:rsid w:val="7F6DD892"/>
    <w:rsid w:val="7F84DA4E"/>
    <w:rsid w:val="7F8626C4"/>
    <w:rsid w:val="7F87FC9F"/>
    <w:rsid w:val="7F8ACFF1"/>
    <w:rsid w:val="7F8CD723"/>
    <w:rsid w:val="7F92956B"/>
    <w:rsid w:val="7F93CCE9"/>
    <w:rsid w:val="7FA68319"/>
    <w:rsid w:val="7FA7E8C6"/>
    <w:rsid w:val="7FAAA0D3"/>
    <w:rsid w:val="7FD532A0"/>
    <w:rsid w:val="7FDF65A0"/>
    <w:rsid w:val="7FE391D0"/>
    <w:rsid w:val="7FE6725C"/>
    <w:rsid w:val="7FE84041"/>
    <w:rsid w:val="7FF02B8A"/>
    <w:rsid w:val="7FF04FE4"/>
    <w:rsid w:val="7FF39706"/>
    <w:rsid w:val="7FF776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00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273"/>
    <w:pPr>
      <w:tabs>
        <w:tab w:val="left" w:pos="720"/>
      </w:tabs>
      <w:spacing w:line="480" w:lineRule="atLeast"/>
    </w:pPr>
    <w:rPr>
      <w:rFonts w:ascii="Century Schoolbook" w:hAnsi="Century Schoolbook"/>
      <w:sz w:val="26"/>
    </w:rPr>
  </w:style>
  <w:style w:type="paragraph" w:styleId="Heading2">
    <w:name w:val="heading 2"/>
    <w:basedOn w:val="Normal"/>
    <w:next w:val="Normal"/>
    <w:link w:val="Heading2Char"/>
    <w:uiPriority w:val="9"/>
    <w:unhideWhenUsed/>
    <w:qFormat/>
    <w:rsid w:val="0073734F"/>
    <w:pPr>
      <w:keepNext/>
      <w:keepLines/>
      <w:ind w:left="72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734F"/>
    <w:rPr>
      <w:rFonts w:ascii="Century Schoolbook" w:eastAsiaTheme="majorEastAsia" w:hAnsi="Century Schoolbook" w:cstheme="majorBidi"/>
      <w:sz w:val="26"/>
      <w:szCs w:val="26"/>
    </w:rPr>
  </w:style>
  <w:style w:type="paragraph" w:styleId="Header">
    <w:name w:val="header"/>
    <w:basedOn w:val="Normal"/>
    <w:link w:val="HeaderChar"/>
    <w:uiPriority w:val="99"/>
    <w:unhideWhenUsed/>
    <w:rsid w:val="0080647E"/>
    <w:pPr>
      <w:tabs>
        <w:tab w:val="center" w:pos="4680"/>
        <w:tab w:val="right" w:pos="9360"/>
      </w:tabs>
    </w:pPr>
  </w:style>
  <w:style w:type="character" w:customStyle="1" w:styleId="HeaderChar">
    <w:name w:val="Header Char"/>
    <w:basedOn w:val="DefaultParagraphFont"/>
    <w:link w:val="Header"/>
    <w:uiPriority w:val="99"/>
    <w:rsid w:val="0080647E"/>
  </w:style>
  <w:style w:type="paragraph" w:styleId="Footer">
    <w:name w:val="footer"/>
    <w:basedOn w:val="Normal"/>
    <w:link w:val="FooterChar"/>
    <w:uiPriority w:val="99"/>
    <w:unhideWhenUsed/>
    <w:rsid w:val="0080647E"/>
    <w:pPr>
      <w:tabs>
        <w:tab w:val="center" w:pos="4680"/>
        <w:tab w:val="right" w:pos="9360"/>
      </w:tabs>
    </w:pPr>
  </w:style>
  <w:style w:type="character" w:customStyle="1" w:styleId="FooterChar">
    <w:name w:val="Footer Char"/>
    <w:basedOn w:val="DefaultParagraphFont"/>
    <w:link w:val="Footer"/>
    <w:uiPriority w:val="99"/>
    <w:rsid w:val="0080647E"/>
  </w:style>
  <w:style w:type="character" w:styleId="PageNumber">
    <w:name w:val="page number"/>
    <w:basedOn w:val="DefaultParagraphFont"/>
    <w:uiPriority w:val="99"/>
    <w:semiHidden/>
    <w:unhideWhenUsed/>
    <w:rsid w:val="0080647E"/>
  </w:style>
  <w:style w:type="paragraph" w:styleId="FootnoteText">
    <w:name w:val="footnote text"/>
    <w:link w:val="FootnoteTextChar"/>
    <w:uiPriority w:val="99"/>
    <w:unhideWhenUsed/>
    <w:rsid w:val="0080647E"/>
    <w:rPr>
      <w:rFonts w:ascii="Century Schoolbook" w:hAnsi="Century Schoolbook"/>
      <w:sz w:val="26"/>
      <w:szCs w:val="20"/>
    </w:rPr>
  </w:style>
  <w:style w:type="character" w:customStyle="1" w:styleId="FootnoteTextChar">
    <w:name w:val="Footnote Text Char"/>
    <w:basedOn w:val="DefaultParagraphFont"/>
    <w:link w:val="FootnoteText"/>
    <w:uiPriority w:val="99"/>
    <w:rsid w:val="0080647E"/>
    <w:rPr>
      <w:rFonts w:ascii="Century Schoolbook" w:hAnsi="Century Schoolbook"/>
      <w:sz w:val="26"/>
      <w:szCs w:val="20"/>
    </w:rPr>
  </w:style>
  <w:style w:type="character" w:styleId="FootnoteReference">
    <w:name w:val="footnote reference"/>
    <w:basedOn w:val="DefaultParagraphFont"/>
    <w:uiPriority w:val="99"/>
    <w:semiHidden/>
    <w:unhideWhenUsed/>
    <w:rsid w:val="0080647E"/>
    <w:rPr>
      <w:vertAlign w:val="superscript"/>
    </w:rPr>
  </w:style>
  <w:style w:type="character" w:styleId="CommentReference">
    <w:name w:val="annotation reference"/>
    <w:basedOn w:val="DefaultParagraphFont"/>
    <w:uiPriority w:val="99"/>
    <w:semiHidden/>
    <w:unhideWhenUsed/>
    <w:rsid w:val="0080647E"/>
    <w:rPr>
      <w:sz w:val="16"/>
      <w:szCs w:val="16"/>
    </w:rPr>
  </w:style>
  <w:style w:type="paragraph" w:styleId="CommentText">
    <w:name w:val="annotation text"/>
    <w:basedOn w:val="Normal"/>
    <w:link w:val="CommentTextChar"/>
    <w:uiPriority w:val="99"/>
    <w:unhideWhenUsed/>
    <w:rsid w:val="0080647E"/>
    <w:pPr>
      <w:tabs>
        <w:tab w:val="clear" w:pos="720"/>
      </w:tabs>
      <w:spacing w:line="240" w:lineRule="auto"/>
    </w:pPr>
    <w:rPr>
      <w:sz w:val="20"/>
      <w:szCs w:val="20"/>
    </w:rPr>
  </w:style>
  <w:style w:type="character" w:customStyle="1" w:styleId="CommentTextChar">
    <w:name w:val="Comment Text Char"/>
    <w:basedOn w:val="DefaultParagraphFont"/>
    <w:link w:val="CommentText"/>
    <w:uiPriority w:val="99"/>
    <w:rsid w:val="0080647E"/>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80647E"/>
    <w:rPr>
      <w:b/>
      <w:bCs/>
    </w:rPr>
  </w:style>
  <w:style w:type="character" w:customStyle="1" w:styleId="CommentSubjectChar">
    <w:name w:val="Comment Subject Char"/>
    <w:basedOn w:val="CommentTextChar"/>
    <w:link w:val="CommentSubject"/>
    <w:uiPriority w:val="99"/>
    <w:semiHidden/>
    <w:rsid w:val="0080647E"/>
    <w:rPr>
      <w:rFonts w:ascii="Century Schoolbook" w:hAnsi="Century Schoolbook"/>
      <w:b/>
      <w:bCs/>
      <w:sz w:val="20"/>
      <w:szCs w:val="20"/>
    </w:rPr>
  </w:style>
  <w:style w:type="character" w:customStyle="1" w:styleId="coconcept4148">
    <w:name w:val="co_concept_41_48"/>
    <w:basedOn w:val="DefaultParagraphFont"/>
    <w:rsid w:val="0080647E"/>
  </w:style>
  <w:style w:type="character" w:styleId="Emphasis">
    <w:name w:val="Emphasis"/>
    <w:basedOn w:val="DefaultParagraphFont"/>
    <w:uiPriority w:val="20"/>
    <w:qFormat/>
    <w:rsid w:val="0080647E"/>
    <w:rPr>
      <w:i/>
      <w:iCs/>
    </w:rPr>
  </w:style>
  <w:style w:type="character" w:styleId="Hyperlink">
    <w:name w:val="Hyperlink"/>
    <w:basedOn w:val="DefaultParagraphFont"/>
    <w:uiPriority w:val="99"/>
    <w:semiHidden/>
    <w:unhideWhenUsed/>
    <w:rsid w:val="0080647E"/>
    <w:rPr>
      <w:color w:val="0000FF"/>
      <w:u w:val="single"/>
    </w:rPr>
  </w:style>
  <w:style w:type="character" w:customStyle="1" w:styleId="costarpage">
    <w:name w:val="co_starpage"/>
    <w:basedOn w:val="DefaultParagraphFont"/>
    <w:rsid w:val="0080647E"/>
  </w:style>
  <w:style w:type="character" w:customStyle="1" w:styleId="coinlinekeyciteflag">
    <w:name w:val="co_inlinekeyciteflag"/>
    <w:basedOn w:val="DefaultParagraphFont"/>
    <w:rsid w:val="0080647E"/>
  </w:style>
  <w:style w:type="paragraph" w:styleId="Revision">
    <w:name w:val="Revision"/>
    <w:hidden/>
    <w:uiPriority w:val="99"/>
    <w:semiHidden/>
    <w:rsid w:val="0080647E"/>
    <w:rPr>
      <w:rFonts w:ascii="Century Schoolbook" w:hAnsi="Century Schoolbook"/>
      <w:sz w:val="26"/>
      <w:szCs w:val="26"/>
    </w:rPr>
  </w:style>
  <w:style w:type="paragraph" w:styleId="ListParagraph">
    <w:name w:val="List Paragraph"/>
    <w:basedOn w:val="Normal"/>
    <w:uiPriority w:val="34"/>
    <w:qFormat/>
    <w:rsid w:val="00E321DF"/>
    <w:pPr>
      <w:ind w:left="720"/>
      <w:contextualSpacing/>
    </w:pPr>
  </w:style>
  <w:style w:type="character" w:customStyle="1" w:styleId="coconcept19">
    <w:name w:val="co_concept_1_9"/>
    <w:basedOn w:val="DefaultParagraphFont"/>
    <w:rsid w:val="009E1743"/>
  </w:style>
  <w:style w:type="character" w:customStyle="1" w:styleId="coconcept4553">
    <w:name w:val="co_concept_45_53"/>
    <w:basedOn w:val="DefaultParagraphFont"/>
    <w:rsid w:val="009E1743"/>
  </w:style>
  <w:style w:type="character" w:customStyle="1" w:styleId="coconcept1417">
    <w:name w:val="co_concept_14_17"/>
    <w:basedOn w:val="DefaultParagraphFont"/>
    <w:rsid w:val="009E1743"/>
  </w:style>
  <w:style w:type="character" w:customStyle="1" w:styleId="coconcept2230">
    <w:name w:val="co_concept_22_30"/>
    <w:basedOn w:val="DefaultParagraphFont"/>
    <w:rsid w:val="009E1743"/>
  </w:style>
  <w:style w:type="character" w:customStyle="1" w:styleId="sschangeadd">
    <w:name w:val="ss_changeadd"/>
    <w:basedOn w:val="DefaultParagraphFont"/>
    <w:rsid w:val="000B7F7A"/>
  </w:style>
  <w:style w:type="character" w:customStyle="1" w:styleId="sschangedelete">
    <w:name w:val="ss_changedelete"/>
    <w:basedOn w:val="DefaultParagraphFont"/>
    <w:rsid w:val="000B7F7A"/>
  </w:style>
  <w:style w:type="paragraph" w:styleId="NormalWeb">
    <w:name w:val="Normal (Web)"/>
    <w:basedOn w:val="Normal"/>
    <w:uiPriority w:val="99"/>
    <w:unhideWhenUsed/>
    <w:rsid w:val="00DE63C5"/>
    <w:pPr>
      <w:tabs>
        <w:tab w:val="clear" w:pos="720"/>
      </w:tabs>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westlaw.com/Link/Document/FullText?findType=Y&amp;pubNum=226&amp;cite=7CAAPP3D390&amp;originatingDoc=Ib37d7196face11d98ac8f235252e36df&amp;refType=RP&amp;fi=co_pp_sp_226_395&amp;originationContext=document&amp;vr=3.0&amp;rs=cblt1.0&amp;transitionType=DocumentItem&amp;contextData=(sc.Default)"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1.next.westlaw.com/Link/Document/FullText?findType=Y&amp;serNum=1995097639&amp;pubNum=0004040&amp;originatingDoc=I786e9a804a6b11e7b7978f65e9bf93b3&amp;refType=RP&amp;fi=co_pp_sp_4040_1143&amp;originationContext=document&amp;transitionType=DocumentItem&amp;ppcid=c2152ea7b28946e5bf8b1cb24da89a96&amp;contextData=(sc.Keyc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D80FF-2522-46E6-A50D-BF04E5CD9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11325</Words>
  <Characters>61385</Characters>
  <Application>Microsoft Office Word</Application>
  <DocSecurity>0</DocSecurity>
  <Lines>1058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2023-09-14T21:17:00Z</dcterms:created>
  <dcterms:modified xsi:type="dcterms:W3CDTF">2023-09-14T21:17:00Z</dcterms:modified>
</cp:coreProperties>
</file>