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094A" w14:textId="48D0807B" w:rsidR="00630DB9" w:rsidRPr="001F4151" w:rsidRDefault="00B45E56" w:rsidP="00B45E56">
      <w:pPr>
        <w:spacing w:line="240" w:lineRule="auto"/>
        <w:jc w:val="center"/>
        <w:rPr>
          <w:sz w:val="20"/>
        </w:rPr>
      </w:pPr>
      <w:r w:rsidRPr="001F4151">
        <w:rPr>
          <w:sz w:val="20"/>
        </w:rPr>
        <w:t>Filed 8/</w:t>
      </w:r>
      <w:r>
        <w:rPr>
          <w:sz w:val="20"/>
        </w:rPr>
        <w:t>29</w:t>
      </w:r>
      <w:r w:rsidRPr="001F4151">
        <w:rPr>
          <w:sz w:val="20"/>
        </w:rPr>
        <w:t>/23</w:t>
      </w:r>
      <w:r w:rsidRPr="00B45E56">
        <w:rPr>
          <w:sz w:val="20"/>
        </w:rPr>
        <w:t>; REVIEW GRANTED.  See Cal. Rules of Court, rules 8.1105 and 8.1115 (and corresponding Comment, par. 2, concerning rule 8.1115(e)(3)).</w:t>
      </w:r>
    </w:p>
    <w:p w14:paraId="79431BA5" w14:textId="77777777" w:rsidR="00630DB9" w:rsidRDefault="00B45E56" w:rsidP="00630DB9">
      <w:pPr>
        <w:spacing w:line="240" w:lineRule="auto"/>
        <w:jc w:val="center"/>
        <w:rPr>
          <w:b/>
        </w:rPr>
      </w:pPr>
      <w:r>
        <w:rPr>
          <w:b/>
        </w:rPr>
        <w:t>CERTIFIED FOR PUBLICATION</w:t>
      </w:r>
    </w:p>
    <w:p w14:paraId="1E8878E3" w14:textId="77777777" w:rsidR="00630DB9" w:rsidRDefault="00B45E56" w:rsidP="00630DB9">
      <w:pPr>
        <w:spacing w:line="240" w:lineRule="auto"/>
        <w:jc w:val="center"/>
      </w:pPr>
    </w:p>
    <w:p w14:paraId="74925E53" w14:textId="77777777" w:rsidR="00742C58" w:rsidRDefault="00B45E56" w:rsidP="00630DB9">
      <w:pPr>
        <w:spacing w:line="240" w:lineRule="auto"/>
        <w:jc w:val="center"/>
      </w:pPr>
      <w:r>
        <w:t>IN THE COURT OF APPEAL OF THE STATE OF CALIFORNIA</w:t>
      </w:r>
    </w:p>
    <w:p w14:paraId="2E398965" w14:textId="77777777" w:rsidR="00742C58" w:rsidRDefault="00B45E56" w:rsidP="00734DD8">
      <w:pPr>
        <w:spacing w:line="240" w:lineRule="auto"/>
        <w:jc w:val="center"/>
      </w:pPr>
    </w:p>
    <w:p w14:paraId="7058A940" w14:textId="77777777" w:rsidR="00742C58" w:rsidRDefault="00B45E56" w:rsidP="00734DD8">
      <w:pPr>
        <w:spacing w:line="240" w:lineRule="auto"/>
        <w:jc w:val="center"/>
      </w:pPr>
      <w:r>
        <w:t>FIRST APPELLATE DISTRICT</w:t>
      </w:r>
    </w:p>
    <w:p w14:paraId="1461F9FC" w14:textId="77777777" w:rsidR="00742C58" w:rsidRDefault="00B45E56" w:rsidP="00734DD8">
      <w:pPr>
        <w:spacing w:line="240" w:lineRule="auto"/>
        <w:jc w:val="center"/>
      </w:pPr>
    </w:p>
    <w:p w14:paraId="0DBFE43C" w14:textId="77777777" w:rsidR="00742C58" w:rsidRDefault="00B45E56" w:rsidP="00734DD8">
      <w:pPr>
        <w:spacing w:line="240" w:lineRule="auto"/>
        <w:jc w:val="center"/>
      </w:pPr>
      <w:r>
        <w:t>DIVISION FOUR</w:t>
      </w:r>
    </w:p>
    <w:p w14:paraId="15A3814E" w14:textId="77777777" w:rsidR="00742C58" w:rsidRDefault="00B45E56" w:rsidP="001F4151">
      <w:pPr>
        <w:spacing w:line="240" w:lineRule="auto"/>
        <w:jc w:val="center"/>
      </w:pPr>
    </w:p>
    <w:p w14:paraId="3CA446F5" w14:textId="77777777" w:rsidR="00742C58" w:rsidRDefault="00B45E56" w:rsidP="00742C58">
      <w:pPr>
        <w:spacing w:line="240" w:lineRule="auto"/>
        <w:jc w:val="center"/>
      </w:pPr>
    </w:p>
    <w:tbl>
      <w:tblPr>
        <w:tblW w:w="9450" w:type="dxa"/>
        <w:tblLayout w:type="fixed"/>
        <w:tblLook w:val="0000" w:firstRow="0" w:lastRow="0" w:firstColumn="0" w:lastColumn="0" w:noHBand="0" w:noVBand="0"/>
      </w:tblPr>
      <w:tblGrid>
        <w:gridCol w:w="4770"/>
        <w:gridCol w:w="4680"/>
      </w:tblGrid>
      <w:tr w:rsidR="00D10A17" w14:paraId="4956ACBF" w14:textId="77777777" w:rsidTr="000B7A76">
        <w:tc>
          <w:tcPr>
            <w:tcW w:w="4770" w:type="dxa"/>
            <w:tcBorders>
              <w:bottom w:val="single" w:sz="4" w:space="0" w:color="auto"/>
              <w:right w:val="single" w:sz="4" w:space="0" w:color="auto"/>
            </w:tcBorders>
            <w:shd w:val="clear" w:color="auto" w:fill="auto"/>
          </w:tcPr>
          <w:p w14:paraId="0542F2A2" w14:textId="77777777" w:rsidR="00742C58" w:rsidRDefault="00B45E56" w:rsidP="00742C58">
            <w:pPr>
              <w:spacing w:after="120" w:line="240" w:lineRule="auto"/>
            </w:pPr>
            <w:r>
              <w:t xml:space="preserve">RYAN </w:t>
            </w:r>
            <w:proofErr w:type="spellStart"/>
            <w:r>
              <w:t>ACCURSO</w:t>
            </w:r>
            <w:proofErr w:type="spellEnd"/>
            <w:r>
              <w:t>,</w:t>
            </w:r>
          </w:p>
          <w:p w14:paraId="7462EB38" w14:textId="77777777" w:rsidR="00742C58" w:rsidRDefault="00B45E56" w:rsidP="00742C58">
            <w:pPr>
              <w:spacing w:after="120" w:line="240" w:lineRule="auto"/>
            </w:pPr>
            <w:r>
              <w:tab/>
              <w:t>Plaintiff and Respondent,</w:t>
            </w:r>
          </w:p>
          <w:p w14:paraId="11E6B04B" w14:textId="77777777" w:rsidR="00742C58" w:rsidRDefault="00B45E56" w:rsidP="006D2CB3">
            <w:pPr>
              <w:spacing w:after="120" w:line="240" w:lineRule="auto"/>
            </w:pPr>
            <w:r>
              <w:t xml:space="preserve">                           v.</w:t>
            </w:r>
          </w:p>
          <w:p w14:paraId="5A05E4EB" w14:textId="77777777" w:rsidR="00742C58" w:rsidRDefault="00B45E56" w:rsidP="00E96275">
            <w:pPr>
              <w:spacing w:line="240" w:lineRule="auto"/>
            </w:pPr>
            <w:r>
              <w:t>IN-N-OUT BURGERS,</w:t>
            </w:r>
          </w:p>
          <w:p w14:paraId="2F2BE3A3" w14:textId="77777777" w:rsidR="00742C58" w:rsidRDefault="00B45E56" w:rsidP="00E96275">
            <w:pPr>
              <w:spacing w:line="240" w:lineRule="auto"/>
            </w:pPr>
            <w:r>
              <w:tab/>
              <w:t xml:space="preserve">Defendant and </w:t>
            </w:r>
            <w:proofErr w:type="gramStart"/>
            <w:r>
              <w:t>Respondent</w:t>
            </w:r>
            <w:r>
              <w:t>;</w:t>
            </w:r>
            <w:proofErr w:type="gramEnd"/>
          </w:p>
          <w:p w14:paraId="41C8BD01" w14:textId="77777777" w:rsidR="000F74D4" w:rsidRDefault="00B45E56" w:rsidP="00E96275">
            <w:pPr>
              <w:spacing w:line="240" w:lineRule="auto"/>
            </w:pPr>
          </w:p>
          <w:p w14:paraId="4D07B291" w14:textId="77777777" w:rsidR="00FF76C3" w:rsidRDefault="00B45E56" w:rsidP="00E96275">
            <w:pPr>
              <w:spacing w:line="240" w:lineRule="auto"/>
            </w:pPr>
            <w:r w:rsidRPr="000F74D4">
              <w:t xml:space="preserve">CALIFORNIA LABOR </w:t>
            </w:r>
            <w:r>
              <w:t>AND</w:t>
            </w:r>
            <w:r w:rsidRPr="000F74D4">
              <w:t xml:space="preserve"> WORKFORCE DEVELOPMENT AGENCY ex rel. TOM </w:t>
            </w:r>
            <w:proofErr w:type="spellStart"/>
            <w:r w:rsidRPr="000F74D4">
              <w:t>PIPLACK</w:t>
            </w:r>
            <w:proofErr w:type="spellEnd"/>
            <w:r w:rsidRPr="000F74D4">
              <w:t xml:space="preserve"> </w:t>
            </w:r>
            <w:r>
              <w:t>et al.</w:t>
            </w:r>
            <w:r w:rsidRPr="000F74D4">
              <w:t>,</w:t>
            </w:r>
            <w:r>
              <w:t xml:space="preserve"> </w:t>
            </w:r>
          </w:p>
          <w:p w14:paraId="3B5A5166" w14:textId="77777777" w:rsidR="00742C58" w:rsidRDefault="00B45E56" w:rsidP="00E96275">
            <w:pPr>
              <w:spacing w:line="240" w:lineRule="auto"/>
            </w:pPr>
            <w:r>
              <w:t xml:space="preserve">          </w:t>
            </w:r>
            <w:r>
              <w:t xml:space="preserve">Movants </w:t>
            </w:r>
            <w:r>
              <w:t>and</w:t>
            </w:r>
            <w:r w:rsidRPr="000F74D4">
              <w:t xml:space="preserve"> Appellants.</w:t>
            </w:r>
          </w:p>
        </w:tc>
        <w:tc>
          <w:tcPr>
            <w:tcW w:w="4680" w:type="dxa"/>
            <w:tcBorders>
              <w:left w:val="single" w:sz="4" w:space="0" w:color="auto"/>
            </w:tcBorders>
            <w:shd w:val="clear" w:color="auto" w:fill="auto"/>
          </w:tcPr>
          <w:p w14:paraId="12F17F0A" w14:textId="77777777" w:rsidR="00742C58" w:rsidRDefault="00B45E56" w:rsidP="00742C58">
            <w:pPr>
              <w:spacing w:line="240" w:lineRule="auto"/>
            </w:pPr>
          </w:p>
          <w:p w14:paraId="55A352F6" w14:textId="77777777" w:rsidR="00742C58" w:rsidRDefault="00B45E56" w:rsidP="00742C58">
            <w:pPr>
              <w:spacing w:line="240" w:lineRule="auto"/>
            </w:pPr>
          </w:p>
          <w:p w14:paraId="75B28746" w14:textId="77777777" w:rsidR="00742C58" w:rsidRDefault="00B45E56" w:rsidP="00742C58">
            <w:pPr>
              <w:spacing w:line="240" w:lineRule="auto"/>
            </w:pPr>
            <w:r>
              <w:t xml:space="preserve">        A165320</w:t>
            </w:r>
          </w:p>
          <w:p w14:paraId="5CFC7573" w14:textId="77777777" w:rsidR="00742C58" w:rsidRDefault="00B45E56" w:rsidP="00742C58">
            <w:pPr>
              <w:spacing w:line="240" w:lineRule="auto"/>
            </w:pPr>
          </w:p>
          <w:p w14:paraId="5C32A1B4" w14:textId="77777777" w:rsidR="00742C58" w:rsidRDefault="00B45E56" w:rsidP="000B7A76">
            <w:pPr>
              <w:spacing w:line="240" w:lineRule="auto"/>
            </w:pPr>
            <w:r>
              <w:t xml:space="preserve">        (Sonoma County Super. Ct. </w:t>
            </w:r>
            <w:r>
              <w:br/>
              <w:t xml:space="preserve">        No. SCV-268956)</w:t>
            </w:r>
          </w:p>
          <w:p w14:paraId="1D7269EF" w14:textId="77777777" w:rsidR="00742C58" w:rsidRDefault="00B45E56" w:rsidP="00742C58">
            <w:pPr>
              <w:spacing w:line="240" w:lineRule="auto"/>
            </w:pPr>
          </w:p>
        </w:tc>
      </w:tr>
    </w:tbl>
    <w:p w14:paraId="1D2DFAB3" w14:textId="77777777" w:rsidR="00742C58" w:rsidRDefault="00B45E56" w:rsidP="000F74D4">
      <w:pPr>
        <w:spacing w:line="360" w:lineRule="auto"/>
      </w:pPr>
    </w:p>
    <w:p w14:paraId="07F75A4E" w14:textId="77777777" w:rsidR="00936330" w:rsidRPr="00936330" w:rsidRDefault="00B45E56" w:rsidP="002F0041">
      <w:pPr>
        <w:pStyle w:val="Heading1"/>
        <w:numPr>
          <w:ilvl w:val="0"/>
          <w:numId w:val="3"/>
        </w:numPr>
        <w:tabs>
          <w:tab w:val="clear" w:pos="720"/>
          <w:tab w:val="left" w:pos="270"/>
        </w:tabs>
        <w:spacing w:before="0" w:line="360" w:lineRule="auto"/>
        <w:ind w:left="0" w:firstLine="0"/>
        <w:jc w:val="center"/>
        <w:rPr>
          <w:rFonts w:ascii="Century Schoolbook" w:hAnsi="Century Schoolbook"/>
          <w:b/>
          <w:bCs/>
          <w:color w:val="auto"/>
          <w:sz w:val="26"/>
          <w:szCs w:val="26"/>
        </w:rPr>
      </w:pPr>
      <w:r w:rsidRPr="00936330">
        <w:rPr>
          <w:rFonts w:ascii="Century Schoolbook" w:hAnsi="Century Schoolbook"/>
          <w:b/>
          <w:bCs/>
          <w:color w:val="auto"/>
          <w:sz w:val="26"/>
          <w:szCs w:val="26"/>
        </w:rPr>
        <w:t>INTRODUCTION</w:t>
      </w:r>
    </w:p>
    <w:p w14:paraId="37501B6F" w14:textId="77777777" w:rsidR="00AA7E92" w:rsidRPr="00B10689" w:rsidRDefault="00B45E56" w:rsidP="004C6810">
      <w:pPr>
        <w:spacing w:line="360" w:lineRule="auto"/>
        <w:ind w:firstLine="720"/>
        <w:rPr>
          <w:szCs w:val="26"/>
        </w:rPr>
      </w:pPr>
      <w:r>
        <w:rPr>
          <w:szCs w:val="26"/>
        </w:rPr>
        <w:t xml:space="preserve">Appellants </w:t>
      </w:r>
      <w:r w:rsidRPr="00433FB8">
        <w:rPr>
          <w:szCs w:val="26"/>
        </w:rPr>
        <w:t xml:space="preserve">Tom </w:t>
      </w:r>
      <w:proofErr w:type="spellStart"/>
      <w:r w:rsidRPr="00433FB8">
        <w:rPr>
          <w:szCs w:val="26"/>
        </w:rPr>
        <w:t>Piplack</w:t>
      </w:r>
      <w:proofErr w:type="spellEnd"/>
      <w:r w:rsidRPr="00433FB8">
        <w:rPr>
          <w:szCs w:val="26"/>
        </w:rPr>
        <w:t xml:space="preserve"> and Brianna Marie Taylor are </w:t>
      </w:r>
      <w:r>
        <w:rPr>
          <w:szCs w:val="26"/>
        </w:rPr>
        <w:t xml:space="preserve">lead plaintiffs in </w:t>
      </w:r>
      <w:r w:rsidRPr="00433FB8">
        <w:rPr>
          <w:rFonts w:eastAsia="Times New Roman" w:cs="Times New Roman"/>
          <w:color w:val="000000"/>
          <w:szCs w:val="26"/>
        </w:rPr>
        <w:t>Private Attorneys General Act (</w:t>
      </w:r>
      <w:proofErr w:type="spellStart"/>
      <w:r w:rsidRPr="00433FB8">
        <w:rPr>
          <w:rFonts w:eastAsia="Times New Roman" w:cs="Times New Roman"/>
          <w:color w:val="000000"/>
          <w:szCs w:val="26"/>
        </w:rPr>
        <w:t>PAGA</w:t>
      </w:r>
      <w:proofErr w:type="spellEnd"/>
      <w:r w:rsidRPr="00433FB8">
        <w:rPr>
          <w:rFonts w:eastAsia="Times New Roman" w:cs="Times New Roman"/>
          <w:color w:val="000000"/>
          <w:szCs w:val="26"/>
        </w:rPr>
        <w:t>) (Lab. Code, §</w:t>
      </w:r>
      <w:r>
        <w:rPr>
          <w:rFonts w:eastAsia="Times New Roman" w:cs="Times New Roman"/>
          <w:color w:val="000000"/>
          <w:szCs w:val="26"/>
        </w:rPr>
        <w:t> </w:t>
      </w:r>
      <w:r w:rsidRPr="00433FB8">
        <w:rPr>
          <w:rFonts w:eastAsia="Times New Roman" w:cs="Times New Roman"/>
          <w:color w:val="000000"/>
          <w:szCs w:val="26"/>
        </w:rPr>
        <w:t>2698 et seq.)</w:t>
      </w:r>
      <w:r w:rsidRPr="00433FB8">
        <w:rPr>
          <w:szCs w:val="26"/>
        </w:rPr>
        <w:t xml:space="preserve"> representative actions in Orange and Los Angeles Counties</w:t>
      </w:r>
      <w:r w:rsidRPr="000D75B5">
        <w:rPr>
          <w:szCs w:val="26"/>
        </w:rPr>
        <w:t xml:space="preserve"> against respondent In-N-Out Burgers</w:t>
      </w:r>
      <w:r>
        <w:rPr>
          <w:szCs w:val="26"/>
        </w:rPr>
        <w:t xml:space="preserve"> (In-N-Out)</w:t>
      </w:r>
      <w:r w:rsidRPr="000D75B5">
        <w:rPr>
          <w:szCs w:val="26"/>
        </w:rPr>
        <w:t>.</w:t>
      </w:r>
      <w:r>
        <w:rPr>
          <w:szCs w:val="26"/>
        </w:rPr>
        <w:t xml:space="preserve">  </w:t>
      </w:r>
      <w:r w:rsidRPr="000D75B5">
        <w:rPr>
          <w:szCs w:val="26"/>
        </w:rPr>
        <w:t>Upon learning of settlem</w:t>
      </w:r>
      <w:r w:rsidRPr="000D75B5">
        <w:rPr>
          <w:szCs w:val="26"/>
        </w:rPr>
        <w:t xml:space="preserve">ent negotiations in a subsequent, overlapping </w:t>
      </w:r>
      <w:proofErr w:type="spellStart"/>
      <w:r w:rsidRPr="000D75B5">
        <w:rPr>
          <w:szCs w:val="26"/>
        </w:rPr>
        <w:t>PAGA</w:t>
      </w:r>
      <w:proofErr w:type="spellEnd"/>
      <w:r w:rsidRPr="000D75B5">
        <w:rPr>
          <w:szCs w:val="26"/>
        </w:rPr>
        <w:t xml:space="preserve"> action brought by respondent Ryan </w:t>
      </w:r>
      <w:proofErr w:type="spellStart"/>
      <w:r w:rsidRPr="000D75B5">
        <w:rPr>
          <w:szCs w:val="26"/>
        </w:rPr>
        <w:t>Accurso</w:t>
      </w:r>
      <w:proofErr w:type="spellEnd"/>
      <w:r w:rsidRPr="000D75B5">
        <w:rPr>
          <w:szCs w:val="26"/>
        </w:rPr>
        <w:t xml:space="preserve"> against </w:t>
      </w:r>
      <w:r>
        <w:rPr>
          <w:szCs w:val="26"/>
        </w:rPr>
        <w:t>In-N-Out</w:t>
      </w:r>
      <w:r w:rsidRPr="000D75B5">
        <w:rPr>
          <w:szCs w:val="26"/>
        </w:rPr>
        <w:t xml:space="preserve"> in Sonoma County, </w:t>
      </w:r>
      <w:proofErr w:type="spellStart"/>
      <w:r w:rsidRPr="000D75B5">
        <w:rPr>
          <w:szCs w:val="26"/>
        </w:rPr>
        <w:t>Piplack</w:t>
      </w:r>
      <w:proofErr w:type="spellEnd"/>
      <w:r w:rsidRPr="000D75B5">
        <w:rPr>
          <w:szCs w:val="26"/>
        </w:rPr>
        <w:t xml:space="preserve"> and Taylor </w:t>
      </w:r>
      <w:r>
        <w:rPr>
          <w:szCs w:val="26"/>
        </w:rPr>
        <w:t xml:space="preserve">filed a proposed complaint in intervention in the </w:t>
      </w:r>
      <w:r w:rsidRPr="000D75B5">
        <w:rPr>
          <w:szCs w:val="26"/>
        </w:rPr>
        <w:t xml:space="preserve">Sonoma County </w:t>
      </w:r>
      <w:r w:rsidRPr="00B10689">
        <w:rPr>
          <w:szCs w:val="26"/>
        </w:rPr>
        <w:t>action</w:t>
      </w:r>
      <w:r>
        <w:rPr>
          <w:szCs w:val="26"/>
        </w:rPr>
        <w:t xml:space="preserve">, and moved to intervene under Code of </w:t>
      </w:r>
      <w:r>
        <w:rPr>
          <w:szCs w:val="26"/>
        </w:rPr>
        <w:t xml:space="preserve">Civil Procedure section 387 and </w:t>
      </w:r>
      <w:r>
        <w:rPr>
          <w:szCs w:val="26"/>
        </w:rPr>
        <w:lastRenderedPageBreak/>
        <w:t>for a stay.</w:t>
      </w:r>
      <w:r>
        <w:rPr>
          <w:rStyle w:val="FootnoteReference"/>
          <w:szCs w:val="26"/>
        </w:rPr>
        <w:footnoteReference w:id="2"/>
      </w:r>
      <w:r w:rsidRPr="00B10689">
        <w:rPr>
          <w:szCs w:val="26"/>
        </w:rPr>
        <w:t xml:space="preserve">  The trial court denied the motion</w:t>
      </w:r>
      <w:r>
        <w:rPr>
          <w:szCs w:val="26"/>
        </w:rPr>
        <w:t>s</w:t>
      </w:r>
      <w:r w:rsidRPr="00B10689">
        <w:rPr>
          <w:szCs w:val="26"/>
        </w:rPr>
        <w:t xml:space="preserve">, relying </w:t>
      </w:r>
      <w:r>
        <w:rPr>
          <w:szCs w:val="26"/>
        </w:rPr>
        <w:t xml:space="preserve">principally </w:t>
      </w:r>
      <w:r w:rsidRPr="00B10689">
        <w:rPr>
          <w:szCs w:val="26"/>
        </w:rPr>
        <w:t xml:space="preserve">on </w:t>
      </w:r>
      <w:proofErr w:type="spellStart"/>
      <w:r w:rsidRPr="00A81E3C">
        <w:rPr>
          <w:rFonts w:eastAsia="Times New Roman" w:cs="Times New Roman"/>
          <w:i/>
          <w:szCs w:val="26"/>
          <w:bdr w:val="none" w:sz="0" w:space="0" w:color="auto" w:frame="1"/>
        </w:rPr>
        <w:t>Turrieta</w:t>
      </w:r>
      <w:proofErr w:type="spellEnd"/>
      <w:r w:rsidRPr="00A81E3C">
        <w:rPr>
          <w:rFonts w:eastAsia="Times New Roman" w:cs="Times New Roman"/>
          <w:i/>
          <w:szCs w:val="26"/>
          <w:bdr w:val="none" w:sz="0" w:space="0" w:color="auto" w:frame="1"/>
        </w:rPr>
        <w:t xml:space="preserve"> v. Lyft, Inc.</w:t>
      </w:r>
      <w:r w:rsidRPr="00A81E3C">
        <w:rPr>
          <w:rFonts w:eastAsia="Times New Roman" w:cs="Times New Roman"/>
          <w:szCs w:val="26"/>
        </w:rPr>
        <w:t xml:space="preserve"> (2021) 69</w:t>
      </w:r>
      <w:r>
        <w:rPr>
          <w:rFonts w:eastAsia="Times New Roman" w:cs="Times New Roman"/>
          <w:szCs w:val="26"/>
        </w:rPr>
        <w:t> </w:t>
      </w:r>
      <w:r w:rsidRPr="00A81E3C">
        <w:rPr>
          <w:rFonts w:eastAsia="Times New Roman" w:cs="Times New Roman"/>
          <w:szCs w:val="26"/>
        </w:rPr>
        <w:t>Cal.App.5th 955, review granted Jan.</w:t>
      </w:r>
      <w:r>
        <w:rPr>
          <w:rFonts w:eastAsia="Times New Roman" w:cs="Times New Roman"/>
          <w:szCs w:val="26"/>
        </w:rPr>
        <w:t> </w:t>
      </w:r>
      <w:r w:rsidRPr="00A81E3C">
        <w:rPr>
          <w:rFonts w:eastAsia="Times New Roman" w:cs="Times New Roman"/>
          <w:szCs w:val="26"/>
        </w:rPr>
        <w:t>5, 2022, S271721 (</w:t>
      </w:r>
      <w:proofErr w:type="spellStart"/>
      <w:r w:rsidRPr="00A81E3C">
        <w:rPr>
          <w:rFonts w:eastAsia="Times New Roman" w:cs="Times New Roman"/>
          <w:i/>
          <w:szCs w:val="26"/>
        </w:rPr>
        <w:t>Turrieta</w:t>
      </w:r>
      <w:proofErr w:type="spellEnd"/>
      <w:r w:rsidRPr="00A81E3C">
        <w:rPr>
          <w:rFonts w:eastAsia="Times New Roman" w:cs="Times New Roman"/>
          <w:szCs w:val="26"/>
        </w:rPr>
        <w:t xml:space="preserve">) </w:t>
      </w:r>
      <w:r w:rsidRPr="00B10689">
        <w:rPr>
          <w:rFonts w:eastAsia="Times New Roman" w:cs="Times New Roman"/>
          <w:color w:val="000000"/>
          <w:szCs w:val="26"/>
        </w:rPr>
        <w:t xml:space="preserve">and </w:t>
      </w:r>
      <w:r w:rsidRPr="00B10689">
        <w:rPr>
          <w:szCs w:val="26"/>
        </w:rPr>
        <w:t xml:space="preserve">distinguishing our decision in </w:t>
      </w:r>
      <w:r w:rsidRPr="00A81E3C">
        <w:rPr>
          <w:rFonts w:eastAsia="Times New Roman" w:cs="Times New Roman"/>
          <w:i/>
          <w:szCs w:val="26"/>
          <w:bdr w:val="none" w:sz="0" w:space="0" w:color="auto" w:frame="1"/>
        </w:rPr>
        <w:t xml:space="preserve">Moniz v. </w:t>
      </w:r>
      <w:r w:rsidRPr="00A81E3C">
        <w:rPr>
          <w:rFonts w:eastAsia="Times New Roman" w:cs="Times New Roman"/>
          <w:i/>
          <w:szCs w:val="26"/>
          <w:bdr w:val="none" w:sz="0" w:space="0" w:color="auto" w:frame="1"/>
        </w:rPr>
        <w:t>Adecco USA, Inc.</w:t>
      </w:r>
      <w:r w:rsidRPr="00A81E3C">
        <w:rPr>
          <w:rFonts w:eastAsia="Times New Roman" w:cs="Times New Roman"/>
          <w:szCs w:val="26"/>
        </w:rPr>
        <w:t xml:space="preserve"> (202</w:t>
      </w:r>
      <w:r>
        <w:rPr>
          <w:rFonts w:eastAsia="Times New Roman" w:cs="Times New Roman"/>
          <w:szCs w:val="26"/>
        </w:rPr>
        <w:t>1</w:t>
      </w:r>
      <w:r w:rsidRPr="00A81E3C">
        <w:rPr>
          <w:rFonts w:eastAsia="Times New Roman" w:cs="Times New Roman"/>
          <w:szCs w:val="26"/>
        </w:rPr>
        <w:t xml:space="preserve">) </w:t>
      </w:r>
      <w:r>
        <w:rPr>
          <w:rFonts w:eastAsia="Times New Roman" w:cs="Times New Roman"/>
          <w:color w:val="000000"/>
          <w:szCs w:val="26"/>
        </w:rPr>
        <w:t>72 Cal.App.5</w:t>
      </w:r>
      <w:r w:rsidRPr="00183CA4">
        <w:rPr>
          <w:rFonts w:eastAsia="Times New Roman" w:cs="Times New Roman"/>
          <w:color w:val="000000"/>
          <w:szCs w:val="26"/>
        </w:rPr>
        <w:t>th</w:t>
      </w:r>
      <w:r>
        <w:rPr>
          <w:rFonts w:eastAsia="Times New Roman" w:cs="Times New Roman"/>
          <w:color w:val="000000"/>
          <w:szCs w:val="26"/>
        </w:rPr>
        <w:t xml:space="preserve"> 56</w:t>
      </w:r>
      <w:r w:rsidRPr="00B10689">
        <w:rPr>
          <w:rFonts w:eastAsia="Times New Roman" w:cs="Times New Roman"/>
          <w:color w:val="000000"/>
          <w:szCs w:val="26"/>
        </w:rPr>
        <w:t xml:space="preserve"> (</w:t>
      </w:r>
      <w:r w:rsidRPr="00907B27">
        <w:rPr>
          <w:rFonts w:eastAsia="Times New Roman" w:cs="Times New Roman"/>
          <w:i/>
          <w:iCs/>
          <w:color w:val="000000"/>
          <w:szCs w:val="26"/>
        </w:rPr>
        <w:t>Moniz</w:t>
      </w:r>
      <w:r w:rsidRPr="00B10689">
        <w:rPr>
          <w:rFonts w:eastAsia="Times New Roman" w:cs="Times New Roman"/>
          <w:color w:val="000000"/>
          <w:szCs w:val="26"/>
        </w:rPr>
        <w:t>).</w:t>
      </w:r>
      <w:r w:rsidRPr="00B10689">
        <w:rPr>
          <w:szCs w:val="26"/>
        </w:rPr>
        <w:t xml:space="preserve">  Before us now is an appeal from </w:t>
      </w:r>
      <w:proofErr w:type="spellStart"/>
      <w:r w:rsidRPr="00B10689">
        <w:rPr>
          <w:szCs w:val="26"/>
        </w:rPr>
        <w:t>Piplack</w:t>
      </w:r>
      <w:proofErr w:type="spellEnd"/>
      <w:r w:rsidRPr="00B10689">
        <w:rPr>
          <w:szCs w:val="26"/>
        </w:rPr>
        <w:t xml:space="preserve"> and Taylor arguing that the denial </w:t>
      </w:r>
      <w:r>
        <w:rPr>
          <w:szCs w:val="26"/>
        </w:rPr>
        <w:t>of these two motions</w:t>
      </w:r>
      <w:r w:rsidRPr="00B10689">
        <w:rPr>
          <w:szCs w:val="26"/>
        </w:rPr>
        <w:t xml:space="preserve"> was erroneous. </w:t>
      </w:r>
      <w:r>
        <w:rPr>
          <w:szCs w:val="26"/>
        </w:rPr>
        <w:t xml:space="preserve"> </w:t>
      </w:r>
      <w:proofErr w:type="spellStart"/>
      <w:r>
        <w:rPr>
          <w:szCs w:val="26"/>
        </w:rPr>
        <w:t>Accurso</w:t>
      </w:r>
      <w:proofErr w:type="spellEnd"/>
      <w:r>
        <w:rPr>
          <w:szCs w:val="26"/>
        </w:rPr>
        <w:t xml:space="preserve"> and In-N-Out have responded urging affirmance in separate briefs. </w:t>
      </w:r>
      <w:r w:rsidRPr="00B10689">
        <w:rPr>
          <w:szCs w:val="26"/>
        </w:rPr>
        <w:t xml:space="preserve"> We </w:t>
      </w:r>
      <w:r>
        <w:rPr>
          <w:szCs w:val="26"/>
        </w:rPr>
        <w:t>will vacate th</w:t>
      </w:r>
      <w:r>
        <w:rPr>
          <w:szCs w:val="26"/>
        </w:rPr>
        <w:t xml:space="preserve">e denial order and remand for reconsideration.  </w:t>
      </w:r>
    </w:p>
    <w:p w14:paraId="1739348A" w14:textId="77777777" w:rsidR="00AA7E92" w:rsidRPr="00C32F73" w:rsidRDefault="00B45E56" w:rsidP="0038373B">
      <w:pPr>
        <w:pStyle w:val="Heading1"/>
        <w:numPr>
          <w:ilvl w:val="0"/>
          <w:numId w:val="3"/>
        </w:numPr>
        <w:tabs>
          <w:tab w:val="clear" w:pos="720"/>
          <w:tab w:val="left" w:pos="360"/>
        </w:tabs>
        <w:spacing w:before="0" w:line="360" w:lineRule="auto"/>
        <w:ind w:left="0" w:firstLine="0"/>
        <w:jc w:val="center"/>
        <w:rPr>
          <w:rFonts w:ascii="Century Schoolbook" w:hAnsi="Century Schoolbook"/>
          <w:b/>
          <w:bCs/>
          <w:color w:val="auto"/>
          <w:sz w:val="26"/>
          <w:szCs w:val="26"/>
        </w:rPr>
      </w:pPr>
      <w:r w:rsidRPr="00C32F73">
        <w:rPr>
          <w:rFonts w:ascii="Century Schoolbook" w:hAnsi="Century Schoolbook"/>
          <w:b/>
          <w:bCs/>
          <w:color w:val="auto"/>
          <w:sz w:val="26"/>
          <w:szCs w:val="26"/>
        </w:rPr>
        <w:t>BACKGROUND</w:t>
      </w:r>
    </w:p>
    <w:p w14:paraId="08A142FD" w14:textId="77777777" w:rsidR="00DA6794" w:rsidRDefault="00B45E56" w:rsidP="000D75B5">
      <w:pPr>
        <w:spacing w:line="360" w:lineRule="auto"/>
        <w:ind w:firstLine="720"/>
        <w:rPr>
          <w:szCs w:val="26"/>
        </w:rPr>
      </w:pPr>
      <w:r w:rsidRPr="000D75B5">
        <w:rPr>
          <w:szCs w:val="26"/>
        </w:rPr>
        <w:t xml:space="preserve">Between February 2019 and </w:t>
      </w:r>
      <w:r>
        <w:rPr>
          <w:szCs w:val="26"/>
        </w:rPr>
        <w:t xml:space="preserve">December </w:t>
      </w:r>
      <w:r w:rsidRPr="000D75B5">
        <w:rPr>
          <w:szCs w:val="26"/>
        </w:rPr>
        <w:t xml:space="preserve">2021, plaintiffs in four counties filed six separate </w:t>
      </w:r>
      <w:proofErr w:type="spellStart"/>
      <w:r w:rsidRPr="000D75B5">
        <w:rPr>
          <w:szCs w:val="26"/>
        </w:rPr>
        <w:t>PAGA</w:t>
      </w:r>
      <w:proofErr w:type="spellEnd"/>
      <w:r w:rsidRPr="000D75B5">
        <w:rPr>
          <w:szCs w:val="26"/>
        </w:rPr>
        <w:t xml:space="preserve"> actions against </w:t>
      </w:r>
      <w:r>
        <w:rPr>
          <w:szCs w:val="26"/>
        </w:rPr>
        <w:t>In-N-Out</w:t>
      </w:r>
      <w:r w:rsidRPr="000D75B5">
        <w:rPr>
          <w:szCs w:val="26"/>
        </w:rPr>
        <w:t xml:space="preserve">.  </w:t>
      </w:r>
      <w:proofErr w:type="gramStart"/>
      <w:r w:rsidRPr="000D75B5">
        <w:rPr>
          <w:szCs w:val="26"/>
        </w:rPr>
        <w:t>All of</w:t>
      </w:r>
      <w:proofErr w:type="gramEnd"/>
      <w:r w:rsidRPr="000D75B5">
        <w:rPr>
          <w:szCs w:val="26"/>
        </w:rPr>
        <w:t xml:space="preserve"> </w:t>
      </w:r>
      <w:r>
        <w:rPr>
          <w:szCs w:val="26"/>
        </w:rPr>
        <w:t>the plaintiffs in these actions a</w:t>
      </w:r>
      <w:r w:rsidRPr="000D75B5">
        <w:rPr>
          <w:szCs w:val="26"/>
        </w:rPr>
        <w:t>lleged violations of the Labor Code</w:t>
      </w:r>
      <w:r>
        <w:rPr>
          <w:szCs w:val="26"/>
        </w:rPr>
        <w:t xml:space="preserve"> </w:t>
      </w:r>
      <w:r>
        <w:rPr>
          <w:szCs w:val="26"/>
        </w:rPr>
        <w:t xml:space="preserve">and sought civil penalties on behalf of the State of California. </w:t>
      </w:r>
      <w:r w:rsidRPr="000D75B5">
        <w:rPr>
          <w:szCs w:val="26"/>
        </w:rPr>
        <w:t xml:space="preserve"> By August 2021,</w:t>
      </w:r>
      <w:r>
        <w:rPr>
          <w:szCs w:val="26"/>
        </w:rPr>
        <w:t xml:space="preserve"> when </w:t>
      </w:r>
      <w:proofErr w:type="spellStart"/>
      <w:r>
        <w:rPr>
          <w:szCs w:val="26"/>
        </w:rPr>
        <w:t>Accurso’s</w:t>
      </w:r>
      <w:proofErr w:type="spellEnd"/>
      <w:r>
        <w:rPr>
          <w:szCs w:val="26"/>
        </w:rPr>
        <w:t xml:space="preserve"> case in Sonoma County was filed, </w:t>
      </w:r>
      <w:r w:rsidRPr="000D75B5">
        <w:rPr>
          <w:szCs w:val="26"/>
        </w:rPr>
        <w:t>t</w:t>
      </w:r>
      <w:r>
        <w:rPr>
          <w:szCs w:val="26"/>
        </w:rPr>
        <w:t xml:space="preserve">wo </w:t>
      </w:r>
      <w:proofErr w:type="spellStart"/>
      <w:r>
        <w:rPr>
          <w:szCs w:val="26"/>
        </w:rPr>
        <w:t>PAGA</w:t>
      </w:r>
      <w:proofErr w:type="spellEnd"/>
      <w:r>
        <w:rPr>
          <w:szCs w:val="26"/>
        </w:rPr>
        <w:t xml:space="preserve"> </w:t>
      </w:r>
      <w:r w:rsidRPr="000D75B5">
        <w:rPr>
          <w:szCs w:val="26"/>
        </w:rPr>
        <w:t xml:space="preserve">cases </w:t>
      </w:r>
      <w:r>
        <w:rPr>
          <w:szCs w:val="26"/>
        </w:rPr>
        <w:t xml:space="preserve">against In-N-Out </w:t>
      </w:r>
      <w:r w:rsidRPr="000D75B5">
        <w:rPr>
          <w:szCs w:val="26"/>
        </w:rPr>
        <w:t>were pending in Los Angeles County; one case was pending in San Bernadino County; and one case</w:t>
      </w:r>
      <w:r w:rsidRPr="000D75B5">
        <w:rPr>
          <w:szCs w:val="26"/>
        </w:rPr>
        <w:t xml:space="preserve"> was pending in Orange County. </w:t>
      </w:r>
    </w:p>
    <w:p w14:paraId="2D93A7DF" w14:textId="77777777" w:rsidR="00AE6D9F" w:rsidRDefault="00B45E56" w:rsidP="00AE6D9F">
      <w:pPr>
        <w:spacing w:line="360" w:lineRule="auto"/>
        <w:ind w:firstLine="720"/>
        <w:rPr>
          <w:szCs w:val="26"/>
        </w:rPr>
      </w:pPr>
      <w:proofErr w:type="spellStart"/>
      <w:r>
        <w:rPr>
          <w:szCs w:val="26"/>
        </w:rPr>
        <w:t>Piplack’s</w:t>
      </w:r>
      <w:proofErr w:type="spellEnd"/>
      <w:r>
        <w:rPr>
          <w:szCs w:val="26"/>
        </w:rPr>
        <w:t xml:space="preserve"> case (which was originally filed in San Francisco County and then transferred to Orange County) was the first of the six </w:t>
      </w:r>
      <w:proofErr w:type="spellStart"/>
      <w:r>
        <w:rPr>
          <w:szCs w:val="26"/>
        </w:rPr>
        <w:t>PAGA</w:t>
      </w:r>
      <w:proofErr w:type="spellEnd"/>
      <w:r>
        <w:rPr>
          <w:szCs w:val="26"/>
        </w:rPr>
        <w:t xml:space="preserve"> actions to be filed against In-N-Out.  </w:t>
      </w:r>
      <w:r w:rsidRPr="000D75B5">
        <w:rPr>
          <w:szCs w:val="26"/>
        </w:rPr>
        <w:t xml:space="preserve">Following the filing of </w:t>
      </w:r>
      <w:proofErr w:type="spellStart"/>
      <w:r>
        <w:rPr>
          <w:szCs w:val="26"/>
        </w:rPr>
        <w:t>Piplack’s</w:t>
      </w:r>
      <w:proofErr w:type="spellEnd"/>
      <w:r>
        <w:rPr>
          <w:szCs w:val="26"/>
        </w:rPr>
        <w:t xml:space="preserve"> case, </w:t>
      </w:r>
      <w:r w:rsidRPr="000D75B5">
        <w:rPr>
          <w:szCs w:val="26"/>
        </w:rPr>
        <w:t xml:space="preserve">additional </w:t>
      </w:r>
      <w:proofErr w:type="spellStart"/>
      <w:r w:rsidRPr="000D75B5">
        <w:rPr>
          <w:szCs w:val="26"/>
        </w:rPr>
        <w:t>PAGA</w:t>
      </w:r>
      <w:proofErr w:type="spellEnd"/>
      <w:r w:rsidRPr="000D75B5">
        <w:rPr>
          <w:szCs w:val="26"/>
        </w:rPr>
        <w:t xml:space="preserve"> lawsuits were filed in Los Angeles (</w:t>
      </w:r>
      <w:r w:rsidRPr="002702EE">
        <w:rPr>
          <w:i/>
          <w:iCs/>
          <w:szCs w:val="26"/>
        </w:rPr>
        <w:t>Taylor</w:t>
      </w:r>
      <w:r>
        <w:rPr>
          <w:szCs w:val="26"/>
        </w:rPr>
        <w:t xml:space="preserve">, </w:t>
      </w:r>
      <w:r w:rsidRPr="00CA71DE">
        <w:rPr>
          <w:i/>
          <w:iCs/>
          <w:szCs w:val="26"/>
        </w:rPr>
        <w:t>Becerra</w:t>
      </w:r>
      <w:r w:rsidRPr="000D75B5">
        <w:rPr>
          <w:szCs w:val="26"/>
        </w:rPr>
        <w:t>) and San Bernadino County (</w:t>
      </w:r>
      <w:r w:rsidRPr="00CA71DE">
        <w:rPr>
          <w:i/>
          <w:iCs/>
          <w:szCs w:val="26"/>
        </w:rPr>
        <w:t>Car</w:t>
      </w:r>
      <w:r>
        <w:rPr>
          <w:i/>
          <w:iCs/>
          <w:szCs w:val="26"/>
        </w:rPr>
        <w:t>r</w:t>
      </w:r>
      <w:r w:rsidRPr="00CA71DE">
        <w:rPr>
          <w:i/>
          <w:iCs/>
          <w:szCs w:val="26"/>
        </w:rPr>
        <w:t>era</w:t>
      </w:r>
      <w:r w:rsidRPr="000D75B5">
        <w:rPr>
          <w:szCs w:val="26"/>
        </w:rPr>
        <w:t>).</w:t>
      </w:r>
      <w:r>
        <w:rPr>
          <w:szCs w:val="26"/>
        </w:rPr>
        <w:t xml:space="preserve"> </w:t>
      </w:r>
      <w:r w:rsidRPr="000D75B5">
        <w:rPr>
          <w:szCs w:val="26"/>
        </w:rPr>
        <w:t xml:space="preserve"> </w:t>
      </w:r>
      <w:proofErr w:type="spellStart"/>
      <w:r w:rsidRPr="00B830FF">
        <w:rPr>
          <w:i/>
          <w:iCs/>
          <w:szCs w:val="26"/>
        </w:rPr>
        <w:t>Accurso</w:t>
      </w:r>
      <w:proofErr w:type="spellEnd"/>
      <w:r>
        <w:rPr>
          <w:szCs w:val="26"/>
        </w:rPr>
        <w:t xml:space="preserve"> </w:t>
      </w:r>
      <w:r w:rsidRPr="000D75B5">
        <w:rPr>
          <w:szCs w:val="26"/>
        </w:rPr>
        <w:t xml:space="preserve">was the </w:t>
      </w:r>
      <w:r>
        <w:rPr>
          <w:szCs w:val="26"/>
        </w:rPr>
        <w:t xml:space="preserve">fifth of the six to be filed, followed by </w:t>
      </w:r>
      <w:r w:rsidRPr="00BE1AAB">
        <w:rPr>
          <w:i/>
          <w:iCs/>
          <w:szCs w:val="26"/>
        </w:rPr>
        <w:t>Andrews</w:t>
      </w:r>
      <w:r>
        <w:rPr>
          <w:szCs w:val="26"/>
        </w:rPr>
        <w:t xml:space="preserve"> in Los Angeles County. </w:t>
      </w:r>
    </w:p>
    <w:p w14:paraId="149BE630" w14:textId="77777777" w:rsidR="00AE6D9F" w:rsidRDefault="00B45E56" w:rsidP="00AE6D9F">
      <w:pPr>
        <w:pStyle w:val="FootnoteText"/>
        <w:spacing w:line="360" w:lineRule="auto"/>
        <w:ind w:firstLine="720"/>
        <w:rPr>
          <w:szCs w:val="26"/>
        </w:rPr>
      </w:pPr>
      <w:r>
        <w:rPr>
          <w:szCs w:val="26"/>
        </w:rPr>
        <w:t xml:space="preserve">The operative complaint in </w:t>
      </w:r>
      <w:proofErr w:type="spellStart"/>
      <w:r w:rsidRPr="00252366">
        <w:rPr>
          <w:i/>
          <w:iCs/>
          <w:szCs w:val="26"/>
        </w:rPr>
        <w:t>Piplack</w:t>
      </w:r>
      <w:proofErr w:type="spellEnd"/>
      <w:r>
        <w:rPr>
          <w:szCs w:val="26"/>
        </w:rPr>
        <w:t xml:space="preserve"> alleges a single </w:t>
      </w:r>
      <w:proofErr w:type="spellStart"/>
      <w:r>
        <w:rPr>
          <w:szCs w:val="26"/>
        </w:rPr>
        <w:t>PAGA</w:t>
      </w:r>
      <w:proofErr w:type="spellEnd"/>
      <w:r>
        <w:rPr>
          <w:szCs w:val="26"/>
        </w:rPr>
        <w:t xml:space="preserve"> cla</w:t>
      </w:r>
      <w:r>
        <w:rPr>
          <w:szCs w:val="26"/>
        </w:rPr>
        <w:t xml:space="preserve">im </w:t>
      </w:r>
      <w:r w:rsidRPr="00830942">
        <w:rPr>
          <w:szCs w:val="26"/>
        </w:rPr>
        <w:t>arising from In-</w:t>
      </w:r>
      <w:r>
        <w:rPr>
          <w:szCs w:val="26"/>
        </w:rPr>
        <w:t>N</w:t>
      </w:r>
      <w:r w:rsidRPr="00830942">
        <w:rPr>
          <w:szCs w:val="26"/>
        </w:rPr>
        <w:t xml:space="preserve">-Out’s policy of requiring its restaurant employees to report to work each shift wearing white pants and failing to reimburse employees for both </w:t>
      </w:r>
      <w:r w:rsidRPr="00830942">
        <w:rPr>
          <w:szCs w:val="26"/>
        </w:rPr>
        <w:lastRenderedPageBreak/>
        <w:t xml:space="preserve">the cost of purchasing those pants and the cost of cleaning them after each shift. </w:t>
      </w:r>
      <w:r>
        <w:rPr>
          <w:szCs w:val="26"/>
        </w:rPr>
        <w:t xml:space="preserve"> Legally</w:t>
      </w:r>
      <w:r>
        <w:rPr>
          <w:szCs w:val="26"/>
        </w:rPr>
        <w:t xml:space="preserve">, plaintiff </w:t>
      </w:r>
      <w:proofErr w:type="spellStart"/>
      <w:r>
        <w:rPr>
          <w:szCs w:val="26"/>
        </w:rPr>
        <w:t>Piplack’s</w:t>
      </w:r>
      <w:proofErr w:type="spellEnd"/>
      <w:r>
        <w:rPr>
          <w:szCs w:val="26"/>
        </w:rPr>
        <w:t xml:space="preserve"> uniform expense theory is based primarily on alleged violation of Labor Code section 2802, a statute requiring reimbursement of employees’ business expenses while discharging their duties. </w:t>
      </w:r>
    </w:p>
    <w:p w14:paraId="3BDA808D" w14:textId="77777777" w:rsidR="009755AF" w:rsidRDefault="00B45E56" w:rsidP="000D75B5">
      <w:pPr>
        <w:spacing w:line="360" w:lineRule="auto"/>
        <w:ind w:firstLine="720"/>
        <w:rPr>
          <w:szCs w:val="26"/>
        </w:rPr>
      </w:pPr>
      <w:r w:rsidRPr="000D75B5">
        <w:rPr>
          <w:szCs w:val="26"/>
        </w:rPr>
        <w:t>Without detailing the exact contours of each</w:t>
      </w:r>
      <w:r w:rsidRPr="000D75B5">
        <w:rPr>
          <w:szCs w:val="26"/>
        </w:rPr>
        <w:t xml:space="preserve"> of the</w:t>
      </w:r>
      <w:r>
        <w:rPr>
          <w:szCs w:val="26"/>
        </w:rPr>
        <w:t xml:space="preserve"> six cases, </w:t>
      </w:r>
      <w:r w:rsidRPr="000D75B5">
        <w:rPr>
          <w:szCs w:val="26"/>
        </w:rPr>
        <w:t>suffice it to say that</w:t>
      </w:r>
      <w:r>
        <w:rPr>
          <w:szCs w:val="26"/>
        </w:rPr>
        <w:t xml:space="preserve">, as originally filed, </w:t>
      </w:r>
      <w:r w:rsidRPr="000D75B5">
        <w:rPr>
          <w:szCs w:val="26"/>
        </w:rPr>
        <w:t>some of the a</w:t>
      </w:r>
      <w:r>
        <w:rPr>
          <w:szCs w:val="26"/>
        </w:rPr>
        <w:t xml:space="preserve">ctions made particularized factual allegations of wage-and-hour violations relating to policies requiring employees to wear uniforms </w:t>
      </w:r>
      <w:r w:rsidRPr="000D75B5">
        <w:rPr>
          <w:szCs w:val="26"/>
        </w:rPr>
        <w:t>(e.g.</w:t>
      </w:r>
      <w:r>
        <w:rPr>
          <w:szCs w:val="26"/>
        </w:rPr>
        <w:t>,</w:t>
      </w:r>
      <w:r w:rsidRPr="000D75B5">
        <w:rPr>
          <w:szCs w:val="26"/>
        </w:rPr>
        <w:t xml:space="preserve"> </w:t>
      </w:r>
      <w:proofErr w:type="spellStart"/>
      <w:r w:rsidRPr="00CA71DE">
        <w:rPr>
          <w:i/>
          <w:iCs/>
          <w:szCs w:val="26"/>
        </w:rPr>
        <w:t>Piplack</w:t>
      </w:r>
      <w:proofErr w:type="spellEnd"/>
      <w:r>
        <w:rPr>
          <w:szCs w:val="26"/>
        </w:rPr>
        <w:t xml:space="preserve"> in Orange County, </w:t>
      </w:r>
      <w:r w:rsidRPr="00CA71DE">
        <w:rPr>
          <w:i/>
          <w:iCs/>
          <w:szCs w:val="26"/>
        </w:rPr>
        <w:t>Taylor</w:t>
      </w:r>
      <w:r>
        <w:rPr>
          <w:szCs w:val="26"/>
        </w:rPr>
        <w:t xml:space="preserve"> in Los</w:t>
      </w:r>
      <w:r>
        <w:rPr>
          <w:szCs w:val="26"/>
        </w:rPr>
        <w:t xml:space="preserve"> Angeles County</w:t>
      </w:r>
      <w:r>
        <w:rPr>
          <w:rStyle w:val="FootnoteReference"/>
          <w:szCs w:val="26"/>
        </w:rPr>
        <w:footnoteReference w:id="3"/>
      </w:r>
      <w:r>
        <w:rPr>
          <w:szCs w:val="26"/>
        </w:rPr>
        <w:t xml:space="preserve">) while others made more generalized allegations of violations that might arguably encompass uniform-wearing policies but do not specifically mention that topic (e.g., </w:t>
      </w:r>
      <w:proofErr w:type="spellStart"/>
      <w:r w:rsidRPr="00CA71DE">
        <w:rPr>
          <w:i/>
          <w:iCs/>
          <w:szCs w:val="26"/>
        </w:rPr>
        <w:t>Accurso</w:t>
      </w:r>
      <w:proofErr w:type="spellEnd"/>
      <w:r w:rsidRPr="00CA71DE">
        <w:rPr>
          <w:i/>
          <w:iCs/>
          <w:szCs w:val="26"/>
        </w:rPr>
        <w:t xml:space="preserve"> </w:t>
      </w:r>
      <w:r>
        <w:rPr>
          <w:szCs w:val="26"/>
        </w:rPr>
        <w:t>in Sonoma County).</w:t>
      </w:r>
      <w:r>
        <w:rPr>
          <w:rStyle w:val="FootnoteReference"/>
          <w:szCs w:val="26"/>
        </w:rPr>
        <w:footnoteReference w:id="4"/>
      </w:r>
    </w:p>
    <w:p w14:paraId="48827524" w14:textId="77777777" w:rsidR="003233E4" w:rsidRPr="000C6F4A" w:rsidRDefault="00B45E56" w:rsidP="000C6F4A">
      <w:pPr>
        <w:shd w:val="clear" w:color="auto" w:fill="FFFFFF"/>
        <w:spacing w:line="360" w:lineRule="auto"/>
        <w:ind w:firstLine="720"/>
        <w:rPr>
          <w:rFonts w:eastAsia="Times New Roman" w:cs="Times New Roman"/>
          <w:color w:val="000000"/>
          <w:szCs w:val="26"/>
        </w:rPr>
      </w:pPr>
      <w:r>
        <w:rPr>
          <w:szCs w:val="26"/>
        </w:rPr>
        <w:t>All parties to this appeal concede overlap</w:t>
      </w:r>
      <w:r>
        <w:rPr>
          <w:szCs w:val="26"/>
        </w:rPr>
        <w:t xml:space="preserve"> among the cases, presumably because each case pleads one or more </w:t>
      </w:r>
      <w:proofErr w:type="spellStart"/>
      <w:r>
        <w:rPr>
          <w:szCs w:val="26"/>
        </w:rPr>
        <w:t>PAGA</w:t>
      </w:r>
      <w:proofErr w:type="spellEnd"/>
      <w:r>
        <w:rPr>
          <w:szCs w:val="26"/>
        </w:rPr>
        <w:t xml:space="preserve"> claims arising from Labor Code violations suffered by current or former In-N-Out employees under </w:t>
      </w:r>
      <w:r w:rsidRPr="000C6F4A">
        <w:rPr>
          <w:szCs w:val="26"/>
        </w:rPr>
        <w:t>common legal theories.  The</w:t>
      </w:r>
      <w:r>
        <w:rPr>
          <w:szCs w:val="26"/>
        </w:rPr>
        <w:t xml:space="preserve"> cases</w:t>
      </w:r>
      <w:r w:rsidRPr="000C6F4A">
        <w:rPr>
          <w:szCs w:val="26"/>
        </w:rPr>
        <w:t xml:space="preserve"> all allege, </w:t>
      </w:r>
      <w:r>
        <w:rPr>
          <w:szCs w:val="26"/>
        </w:rPr>
        <w:t xml:space="preserve">for example, </w:t>
      </w:r>
      <w:r w:rsidRPr="000C6F4A">
        <w:rPr>
          <w:szCs w:val="26"/>
        </w:rPr>
        <w:t xml:space="preserve">failure to pay minimum wages </w:t>
      </w:r>
      <w:r w:rsidRPr="000C6F4A">
        <w:rPr>
          <w:szCs w:val="26"/>
        </w:rPr>
        <w:t>(Lab. Cod</w:t>
      </w:r>
      <w:r>
        <w:rPr>
          <w:szCs w:val="26"/>
        </w:rPr>
        <w:t>e,</w:t>
      </w:r>
      <w:r w:rsidRPr="000C6F4A">
        <w:rPr>
          <w:szCs w:val="26"/>
        </w:rPr>
        <w:t xml:space="preserve"> §§</w:t>
      </w:r>
      <w:r>
        <w:rPr>
          <w:szCs w:val="26"/>
        </w:rPr>
        <w:t> </w:t>
      </w:r>
      <w:r w:rsidRPr="000C6F4A">
        <w:rPr>
          <w:szCs w:val="26"/>
        </w:rPr>
        <w:t>1194, 1197.1), failure to pay overtime (</w:t>
      </w:r>
      <w:r w:rsidRPr="000C6F4A">
        <w:rPr>
          <w:i/>
          <w:iCs/>
          <w:szCs w:val="26"/>
        </w:rPr>
        <w:t>id</w:t>
      </w:r>
      <w:r w:rsidRPr="000C6F4A">
        <w:rPr>
          <w:szCs w:val="26"/>
        </w:rPr>
        <w:t>.</w:t>
      </w:r>
      <w:r>
        <w:rPr>
          <w:szCs w:val="26"/>
        </w:rPr>
        <w:t>,</w:t>
      </w:r>
      <w:r w:rsidRPr="000C6F4A">
        <w:rPr>
          <w:szCs w:val="26"/>
        </w:rPr>
        <w:t xml:space="preserve"> §§</w:t>
      </w:r>
      <w:r>
        <w:rPr>
          <w:szCs w:val="26"/>
        </w:rPr>
        <w:t> </w:t>
      </w:r>
      <w:r w:rsidRPr="000C6F4A">
        <w:rPr>
          <w:szCs w:val="26"/>
        </w:rPr>
        <w:t xml:space="preserve">510, 1194, </w:t>
      </w:r>
      <w:r w:rsidRPr="000C6F4A">
        <w:rPr>
          <w:szCs w:val="26"/>
        </w:rPr>
        <w:lastRenderedPageBreak/>
        <w:t>1198), failure to pay all wages on time (</w:t>
      </w:r>
      <w:r w:rsidRPr="00544181">
        <w:rPr>
          <w:i/>
          <w:iCs/>
          <w:szCs w:val="26"/>
        </w:rPr>
        <w:t>id</w:t>
      </w:r>
      <w:r w:rsidRPr="000C6F4A">
        <w:rPr>
          <w:szCs w:val="26"/>
        </w:rPr>
        <w:t>.</w:t>
      </w:r>
      <w:r>
        <w:rPr>
          <w:szCs w:val="26"/>
        </w:rPr>
        <w:t>,</w:t>
      </w:r>
      <w:r w:rsidRPr="000C6F4A">
        <w:rPr>
          <w:szCs w:val="26"/>
        </w:rPr>
        <w:t xml:space="preserve"> §§</w:t>
      </w:r>
      <w:r>
        <w:rPr>
          <w:szCs w:val="26"/>
        </w:rPr>
        <w:t> </w:t>
      </w:r>
      <w:r w:rsidRPr="000C6F4A">
        <w:rPr>
          <w:szCs w:val="26"/>
        </w:rPr>
        <w:t>204, 210), failure to provide accurate wage statements (</w:t>
      </w:r>
      <w:r w:rsidRPr="00544181">
        <w:rPr>
          <w:i/>
          <w:iCs/>
          <w:szCs w:val="26"/>
        </w:rPr>
        <w:t>id</w:t>
      </w:r>
      <w:r w:rsidRPr="000C6F4A">
        <w:rPr>
          <w:szCs w:val="26"/>
        </w:rPr>
        <w:t>.</w:t>
      </w:r>
      <w:r>
        <w:rPr>
          <w:szCs w:val="26"/>
        </w:rPr>
        <w:t>,</w:t>
      </w:r>
      <w:r w:rsidRPr="000C6F4A">
        <w:rPr>
          <w:szCs w:val="26"/>
        </w:rPr>
        <w:t xml:space="preserve"> §§</w:t>
      </w:r>
      <w:r>
        <w:rPr>
          <w:szCs w:val="26"/>
        </w:rPr>
        <w:t> </w:t>
      </w:r>
      <w:r w:rsidRPr="000C6F4A">
        <w:rPr>
          <w:szCs w:val="26"/>
        </w:rPr>
        <w:t>226</w:t>
      </w:r>
      <w:r>
        <w:rPr>
          <w:szCs w:val="26"/>
        </w:rPr>
        <w:t>, subd. </w:t>
      </w:r>
      <w:r w:rsidRPr="000C6F4A">
        <w:rPr>
          <w:szCs w:val="26"/>
        </w:rPr>
        <w:t xml:space="preserve">(a), 226.3), and failure to pay all wages when due </w:t>
      </w:r>
      <w:r w:rsidRPr="000C6F4A">
        <w:rPr>
          <w:szCs w:val="26"/>
        </w:rPr>
        <w:t>upon separation of employment (</w:t>
      </w:r>
      <w:r w:rsidRPr="00544181">
        <w:rPr>
          <w:i/>
          <w:iCs/>
          <w:szCs w:val="26"/>
        </w:rPr>
        <w:t>id</w:t>
      </w:r>
      <w:r w:rsidRPr="000C6F4A">
        <w:rPr>
          <w:szCs w:val="26"/>
        </w:rPr>
        <w:t>.</w:t>
      </w:r>
      <w:r>
        <w:rPr>
          <w:szCs w:val="26"/>
        </w:rPr>
        <w:t>,</w:t>
      </w:r>
      <w:r w:rsidRPr="000C6F4A">
        <w:rPr>
          <w:szCs w:val="26"/>
        </w:rPr>
        <w:t xml:space="preserve"> §§</w:t>
      </w:r>
      <w:r>
        <w:rPr>
          <w:szCs w:val="26"/>
        </w:rPr>
        <w:t> 201–203</w:t>
      </w:r>
      <w:r w:rsidRPr="000C6F4A">
        <w:rPr>
          <w:szCs w:val="26"/>
        </w:rPr>
        <w:t>).</w:t>
      </w:r>
      <w:r>
        <w:rPr>
          <w:rStyle w:val="FootnoteReference"/>
          <w:szCs w:val="26"/>
        </w:rPr>
        <w:footnoteReference w:id="5"/>
      </w:r>
      <w:r w:rsidRPr="000C6F4A">
        <w:rPr>
          <w:szCs w:val="26"/>
        </w:rPr>
        <w:t xml:space="preserve"> </w:t>
      </w:r>
      <w:r w:rsidRPr="000C6F4A">
        <w:rPr>
          <w:rFonts w:eastAsia="Times New Roman" w:cs="Times New Roman"/>
          <w:color w:val="000000"/>
          <w:szCs w:val="26"/>
        </w:rPr>
        <w:t xml:space="preserve"> </w:t>
      </w:r>
    </w:p>
    <w:p w14:paraId="4FD4D0B3" w14:textId="77777777" w:rsidR="00C67A6C" w:rsidRPr="009E05A4" w:rsidRDefault="00B45E56" w:rsidP="009E05A4">
      <w:pPr>
        <w:spacing w:line="360" w:lineRule="auto"/>
        <w:ind w:firstLine="720"/>
        <w:rPr>
          <w:szCs w:val="26"/>
        </w:rPr>
      </w:pPr>
      <w:r w:rsidRPr="009E05A4">
        <w:rPr>
          <w:szCs w:val="26"/>
        </w:rPr>
        <w:t xml:space="preserve">When plaintiff’s counsel in </w:t>
      </w:r>
      <w:proofErr w:type="spellStart"/>
      <w:r w:rsidRPr="009E05A4">
        <w:rPr>
          <w:i/>
          <w:iCs/>
          <w:szCs w:val="26"/>
        </w:rPr>
        <w:t>Piplack</w:t>
      </w:r>
      <w:proofErr w:type="spellEnd"/>
      <w:r w:rsidRPr="009E05A4">
        <w:rPr>
          <w:szCs w:val="26"/>
        </w:rPr>
        <w:t xml:space="preserve"> and </w:t>
      </w:r>
      <w:r w:rsidRPr="009E05A4">
        <w:rPr>
          <w:i/>
          <w:iCs/>
          <w:szCs w:val="26"/>
        </w:rPr>
        <w:t>Taylor</w:t>
      </w:r>
      <w:r w:rsidRPr="009E05A4">
        <w:rPr>
          <w:szCs w:val="26"/>
        </w:rPr>
        <w:t xml:space="preserve"> learned of mediation activity in </w:t>
      </w:r>
      <w:proofErr w:type="spellStart"/>
      <w:r w:rsidRPr="009E05A4">
        <w:rPr>
          <w:i/>
          <w:iCs/>
          <w:szCs w:val="26"/>
        </w:rPr>
        <w:t>Accurso</w:t>
      </w:r>
      <w:proofErr w:type="spellEnd"/>
      <w:r w:rsidRPr="009E05A4">
        <w:rPr>
          <w:szCs w:val="26"/>
        </w:rPr>
        <w:t xml:space="preserve">, they, along with counsel for </w:t>
      </w:r>
      <w:proofErr w:type="spellStart"/>
      <w:r w:rsidRPr="009E05A4">
        <w:rPr>
          <w:szCs w:val="26"/>
        </w:rPr>
        <w:t>PAGA</w:t>
      </w:r>
      <w:proofErr w:type="spellEnd"/>
      <w:r w:rsidRPr="009E05A4">
        <w:rPr>
          <w:szCs w:val="26"/>
        </w:rPr>
        <w:t xml:space="preserve"> claimants in </w:t>
      </w:r>
      <w:r w:rsidRPr="009E05A4">
        <w:rPr>
          <w:i/>
          <w:iCs/>
          <w:szCs w:val="26"/>
        </w:rPr>
        <w:t>Andrews</w:t>
      </w:r>
      <w:r w:rsidRPr="009E05A4">
        <w:rPr>
          <w:szCs w:val="26"/>
        </w:rPr>
        <w:t xml:space="preserve">, </w:t>
      </w:r>
      <w:r w:rsidRPr="009E05A4">
        <w:rPr>
          <w:i/>
          <w:iCs/>
          <w:szCs w:val="26"/>
        </w:rPr>
        <w:t>Becerra</w:t>
      </w:r>
      <w:r w:rsidRPr="009E05A4">
        <w:rPr>
          <w:szCs w:val="26"/>
        </w:rPr>
        <w:t xml:space="preserve">, and </w:t>
      </w:r>
      <w:r w:rsidRPr="009E05A4">
        <w:rPr>
          <w:i/>
          <w:iCs/>
          <w:szCs w:val="26"/>
        </w:rPr>
        <w:t>Carrera</w:t>
      </w:r>
      <w:r w:rsidRPr="009E05A4">
        <w:rPr>
          <w:szCs w:val="26"/>
        </w:rPr>
        <w:t>—attempted to negotiate a collaborativ</w:t>
      </w:r>
      <w:r w:rsidRPr="009E05A4">
        <w:rPr>
          <w:szCs w:val="26"/>
        </w:rPr>
        <w:t xml:space="preserve">e arrangement with plaintiff </w:t>
      </w:r>
      <w:proofErr w:type="spellStart"/>
      <w:r w:rsidRPr="009E05A4">
        <w:rPr>
          <w:szCs w:val="26"/>
        </w:rPr>
        <w:t>Accurso’s</w:t>
      </w:r>
      <w:proofErr w:type="spellEnd"/>
      <w:r w:rsidRPr="009E05A4">
        <w:rPr>
          <w:szCs w:val="26"/>
        </w:rPr>
        <w:t xml:space="preserve"> counsel to settle all pending </w:t>
      </w:r>
      <w:proofErr w:type="spellStart"/>
      <w:r w:rsidRPr="009E05A4">
        <w:rPr>
          <w:szCs w:val="26"/>
        </w:rPr>
        <w:t>PAGA</w:t>
      </w:r>
      <w:proofErr w:type="spellEnd"/>
      <w:r w:rsidRPr="009E05A4">
        <w:rPr>
          <w:szCs w:val="26"/>
        </w:rPr>
        <w:t xml:space="preserve"> claims with </w:t>
      </w:r>
      <w:r>
        <w:rPr>
          <w:szCs w:val="26"/>
        </w:rPr>
        <w:t>In-N-Out</w:t>
      </w:r>
      <w:r w:rsidRPr="009E05A4">
        <w:rPr>
          <w:szCs w:val="26"/>
        </w:rPr>
        <w:t xml:space="preserve"> on a global basis.  But the negotiations foundered when no agreement could be reached on the proportionate sharing of attorney’s fees recovery. </w:t>
      </w:r>
    </w:p>
    <w:p w14:paraId="32574F13" w14:textId="77777777" w:rsidR="006A795A" w:rsidRPr="009E05A4" w:rsidRDefault="00B45E56" w:rsidP="00B9152D">
      <w:pPr>
        <w:shd w:val="clear" w:color="auto" w:fill="FFFFFF"/>
        <w:spacing w:line="360" w:lineRule="auto"/>
        <w:ind w:firstLine="720"/>
        <w:rPr>
          <w:szCs w:val="26"/>
        </w:rPr>
      </w:pPr>
      <w:r w:rsidRPr="009E05A4">
        <w:rPr>
          <w:szCs w:val="26"/>
        </w:rPr>
        <w:t xml:space="preserve">Plaintiff </w:t>
      </w:r>
      <w:proofErr w:type="spellStart"/>
      <w:r w:rsidRPr="009E05A4">
        <w:rPr>
          <w:szCs w:val="26"/>
        </w:rPr>
        <w:t>Accurs</w:t>
      </w:r>
      <w:r w:rsidRPr="009E05A4">
        <w:rPr>
          <w:szCs w:val="26"/>
        </w:rPr>
        <w:t>o</w:t>
      </w:r>
      <w:proofErr w:type="spellEnd"/>
      <w:r w:rsidRPr="009E05A4">
        <w:rPr>
          <w:szCs w:val="26"/>
        </w:rPr>
        <w:t xml:space="preserve"> then proceeded to mediate his case with </w:t>
      </w:r>
      <w:r>
        <w:rPr>
          <w:szCs w:val="26"/>
        </w:rPr>
        <w:t>In-N-Out</w:t>
      </w:r>
      <w:r w:rsidRPr="009E05A4">
        <w:rPr>
          <w:szCs w:val="26"/>
        </w:rPr>
        <w:t xml:space="preserve"> individually, without the participation of plaintiffs </w:t>
      </w:r>
      <w:proofErr w:type="spellStart"/>
      <w:r w:rsidRPr="009E05A4">
        <w:rPr>
          <w:szCs w:val="26"/>
        </w:rPr>
        <w:t>Piplack</w:t>
      </w:r>
      <w:proofErr w:type="spellEnd"/>
      <w:r w:rsidRPr="009E05A4">
        <w:rPr>
          <w:szCs w:val="26"/>
        </w:rPr>
        <w:t>, Taylor</w:t>
      </w:r>
      <w:r>
        <w:rPr>
          <w:szCs w:val="26"/>
        </w:rPr>
        <w:t>,</w:t>
      </w:r>
      <w:r w:rsidRPr="009E05A4">
        <w:rPr>
          <w:szCs w:val="26"/>
        </w:rPr>
        <w:t xml:space="preserve"> or any of the other </w:t>
      </w:r>
      <w:proofErr w:type="spellStart"/>
      <w:r w:rsidRPr="009E05A4">
        <w:rPr>
          <w:szCs w:val="26"/>
        </w:rPr>
        <w:t>PAGA</w:t>
      </w:r>
      <w:proofErr w:type="spellEnd"/>
      <w:r w:rsidRPr="009E05A4">
        <w:rPr>
          <w:szCs w:val="26"/>
        </w:rPr>
        <w:t xml:space="preserve"> claimants against </w:t>
      </w:r>
      <w:r>
        <w:rPr>
          <w:szCs w:val="26"/>
        </w:rPr>
        <w:t>In-N-Out</w:t>
      </w:r>
      <w:r w:rsidRPr="009E05A4">
        <w:rPr>
          <w:szCs w:val="26"/>
        </w:rPr>
        <w:t xml:space="preserve">.  </w:t>
      </w:r>
      <w:proofErr w:type="gramStart"/>
      <w:r w:rsidRPr="009E05A4">
        <w:rPr>
          <w:szCs w:val="26"/>
        </w:rPr>
        <w:t>In light of</w:t>
      </w:r>
      <w:proofErr w:type="gramEnd"/>
      <w:r w:rsidRPr="009E05A4">
        <w:rPr>
          <w:szCs w:val="26"/>
        </w:rPr>
        <w:t xml:space="preserve"> what appeared to be an imminent settlement, plaintiffs </w:t>
      </w:r>
      <w:proofErr w:type="spellStart"/>
      <w:r w:rsidRPr="009E05A4">
        <w:rPr>
          <w:szCs w:val="26"/>
        </w:rPr>
        <w:t>Piplack</w:t>
      </w:r>
      <w:proofErr w:type="spellEnd"/>
      <w:r w:rsidRPr="009E05A4">
        <w:rPr>
          <w:szCs w:val="26"/>
        </w:rPr>
        <w:t xml:space="preserve"> and T</w:t>
      </w:r>
      <w:r w:rsidRPr="009E05A4">
        <w:rPr>
          <w:szCs w:val="26"/>
        </w:rPr>
        <w:t xml:space="preserve">aylor moved to intervene in </w:t>
      </w:r>
      <w:proofErr w:type="spellStart"/>
      <w:r w:rsidRPr="009E05A4">
        <w:rPr>
          <w:i/>
          <w:iCs/>
          <w:szCs w:val="26"/>
        </w:rPr>
        <w:t>Accurso</w:t>
      </w:r>
      <w:proofErr w:type="spellEnd"/>
      <w:r w:rsidRPr="009E05A4">
        <w:rPr>
          <w:szCs w:val="26"/>
        </w:rPr>
        <w:t xml:space="preserve">.  They also requested a stay of proceedings in </w:t>
      </w:r>
      <w:proofErr w:type="spellStart"/>
      <w:r w:rsidRPr="009E05A4">
        <w:rPr>
          <w:i/>
          <w:iCs/>
          <w:szCs w:val="26"/>
        </w:rPr>
        <w:t>Accurso</w:t>
      </w:r>
      <w:proofErr w:type="spellEnd"/>
      <w:r w:rsidRPr="009E05A4">
        <w:rPr>
          <w:szCs w:val="26"/>
        </w:rPr>
        <w:t xml:space="preserve"> based on the doctrine of exclusive concurrent jurisdiction</w:t>
      </w:r>
      <w:r>
        <w:rPr>
          <w:szCs w:val="26"/>
        </w:rPr>
        <w:t xml:space="preserve"> (</w:t>
      </w:r>
      <w:r>
        <w:t>s</w:t>
      </w:r>
      <w:r w:rsidRPr="00B14CC8">
        <w:rPr>
          <w:szCs w:val="26"/>
        </w:rPr>
        <w:t xml:space="preserve">ee </w:t>
      </w:r>
      <w:r w:rsidRPr="00B14CC8">
        <w:rPr>
          <w:rFonts w:eastAsia="Times New Roman" w:cs="Times New Roman"/>
          <w:i/>
          <w:iCs/>
          <w:szCs w:val="26"/>
          <w:bdr w:val="none" w:sz="0" w:space="0" w:color="auto" w:frame="1"/>
        </w:rPr>
        <w:t>Shaw v. Superior Court</w:t>
      </w:r>
      <w:r w:rsidRPr="00B14CC8">
        <w:rPr>
          <w:rFonts w:eastAsia="Times New Roman" w:cs="Times New Roman"/>
          <w:szCs w:val="26"/>
        </w:rPr>
        <w:t xml:space="preserve"> </w:t>
      </w:r>
      <w:r w:rsidRPr="00B07F7D">
        <w:rPr>
          <w:rFonts w:eastAsia="Times New Roman" w:cs="Times New Roman"/>
          <w:color w:val="000000"/>
          <w:szCs w:val="26"/>
        </w:rPr>
        <w:t>(2022) 78</w:t>
      </w:r>
      <w:r>
        <w:rPr>
          <w:rFonts w:eastAsia="Times New Roman" w:cs="Times New Roman"/>
          <w:color w:val="000000"/>
          <w:szCs w:val="26"/>
        </w:rPr>
        <w:t> </w:t>
      </w:r>
      <w:r w:rsidRPr="00B07F7D">
        <w:rPr>
          <w:rFonts w:eastAsia="Times New Roman" w:cs="Times New Roman"/>
          <w:color w:val="000000"/>
          <w:szCs w:val="26"/>
        </w:rPr>
        <w:t>Cal.App.5th 245</w:t>
      </w:r>
      <w:r>
        <w:rPr>
          <w:rFonts w:eastAsia="Times New Roman" w:cs="Times New Roman"/>
          <w:color w:val="000000"/>
          <w:szCs w:val="26"/>
        </w:rPr>
        <w:t xml:space="preserve"> (</w:t>
      </w:r>
      <w:r w:rsidRPr="00C57DB2">
        <w:rPr>
          <w:rFonts w:eastAsia="Times New Roman" w:cs="Times New Roman"/>
          <w:i/>
          <w:iCs/>
          <w:color w:val="000000"/>
          <w:szCs w:val="26"/>
        </w:rPr>
        <w:t>Shaw</w:t>
      </w:r>
      <w:r>
        <w:rPr>
          <w:rFonts w:eastAsia="Times New Roman" w:cs="Times New Roman"/>
          <w:color w:val="000000"/>
          <w:szCs w:val="26"/>
        </w:rPr>
        <w:t>))</w:t>
      </w:r>
      <w:r>
        <w:rPr>
          <w:szCs w:val="26"/>
        </w:rPr>
        <w:t>,</w:t>
      </w:r>
      <w:r w:rsidRPr="009E05A4">
        <w:rPr>
          <w:szCs w:val="26"/>
        </w:rPr>
        <w:t xml:space="preserve"> arguing that </w:t>
      </w:r>
      <w:proofErr w:type="spellStart"/>
      <w:r w:rsidRPr="009E05A4">
        <w:rPr>
          <w:i/>
          <w:iCs/>
          <w:szCs w:val="26"/>
        </w:rPr>
        <w:t>Accurso</w:t>
      </w:r>
      <w:proofErr w:type="spellEnd"/>
      <w:r w:rsidRPr="009E05A4">
        <w:rPr>
          <w:szCs w:val="26"/>
        </w:rPr>
        <w:t xml:space="preserve"> should be stayed </w:t>
      </w:r>
      <w:r>
        <w:rPr>
          <w:szCs w:val="26"/>
        </w:rPr>
        <w:t xml:space="preserve">as a later-filed action. </w:t>
      </w:r>
    </w:p>
    <w:p w14:paraId="5A8162E5" w14:textId="77777777" w:rsidR="002C5710" w:rsidRPr="000D75B5" w:rsidRDefault="00B45E56" w:rsidP="009E05A4">
      <w:pPr>
        <w:spacing w:line="360" w:lineRule="auto"/>
        <w:ind w:firstLine="720"/>
        <w:rPr>
          <w:szCs w:val="26"/>
        </w:rPr>
      </w:pPr>
      <w:r w:rsidRPr="009E05A4">
        <w:rPr>
          <w:szCs w:val="26"/>
        </w:rPr>
        <w:t xml:space="preserve">According to post-briefing evidence submitted by counsel for </w:t>
      </w:r>
      <w:proofErr w:type="spellStart"/>
      <w:r w:rsidRPr="009E05A4">
        <w:rPr>
          <w:szCs w:val="26"/>
        </w:rPr>
        <w:t>Piplack</w:t>
      </w:r>
      <w:proofErr w:type="spellEnd"/>
      <w:r w:rsidRPr="009E05A4">
        <w:rPr>
          <w:szCs w:val="26"/>
        </w:rPr>
        <w:t xml:space="preserve"> and Taylor (</w:t>
      </w:r>
      <w:r>
        <w:rPr>
          <w:szCs w:val="26"/>
        </w:rPr>
        <w:t xml:space="preserve">their final </w:t>
      </w:r>
      <w:r w:rsidRPr="009E05A4">
        <w:rPr>
          <w:szCs w:val="26"/>
        </w:rPr>
        <w:t xml:space="preserve">email exchange </w:t>
      </w:r>
      <w:r>
        <w:rPr>
          <w:szCs w:val="26"/>
        </w:rPr>
        <w:t xml:space="preserve">with </w:t>
      </w:r>
      <w:proofErr w:type="spellStart"/>
      <w:r>
        <w:rPr>
          <w:szCs w:val="26"/>
        </w:rPr>
        <w:t>Accurso’s</w:t>
      </w:r>
      <w:proofErr w:type="spellEnd"/>
      <w:r>
        <w:rPr>
          <w:szCs w:val="26"/>
        </w:rPr>
        <w:t xml:space="preserve"> counsel in the unsuccessful discussions of a joint approach to global settlement</w:t>
      </w:r>
      <w:r w:rsidRPr="000D75B5">
        <w:rPr>
          <w:szCs w:val="26"/>
        </w:rPr>
        <w:t>)</w:t>
      </w:r>
      <w:r>
        <w:rPr>
          <w:szCs w:val="26"/>
        </w:rPr>
        <w:t>, the me</w:t>
      </w:r>
      <w:r>
        <w:rPr>
          <w:szCs w:val="26"/>
        </w:rPr>
        <w:t xml:space="preserve">diation produced a settlement that would </w:t>
      </w:r>
      <w:r w:rsidRPr="000D75B5">
        <w:rPr>
          <w:szCs w:val="26"/>
        </w:rPr>
        <w:t>“resolve all</w:t>
      </w:r>
      <w:r>
        <w:rPr>
          <w:szCs w:val="26"/>
        </w:rPr>
        <w:t xml:space="preserve"> the</w:t>
      </w:r>
      <w:r w:rsidRPr="000D75B5">
        <w:rPr>
          <w:szCs w:val="26"/>
        </w:rPr>
        <w:t xml:space="preserve"> </w:t>
      </w:r>
      <w:proofErr w:type="spellStart"/>
      <w:r w:rsidRPr="000D75B5">
        <w:rPr>
          <w:szCs w:val="26"/>
        </w:rPr>
        <w:t>PAGA</w:t>
      </w:r>
      <w:proofErr w:type="spellEnd"/>
      <w:r w:rsidRPr="000D75B5">
        <w:rPr>
          <w:szCs w:val="26"/>
        </w:rPr>
        <w:t xml:space="preserve"> claims against </w:t>
      </w:r>
      <w:r>
        <w:rPr>
          <w:szCs w:val="26"/>
        </w:rPr>
        <w:t xml:space="preserve">[In-N-Out] </w:t>
      </w:r>
      <w:r w:rsidRPr="000D75B5">
        <w:rPr>
          <w:szCs w:val="26"/>
        </w:rPr>
        <w:t>for $2.0</w:t>
      </w:r>
      <w:r>
        <w:rPr>
          <w:szCs w:val="26"/>
        </w:rPr>
        <w:t>5</w:t>
      </w:r>
      <w:r w:rsidRPr="000D75B5">
        <w:rPr>
          <w:szCs w:val="26"/>
        </w:rPr>
        <w:t xml:space="preserve"> million,” </w:t>
      </w:r>
      <w:r>
        <w:rPr>
          <w:szCs w:val="26"/>
        </w:rPr>
        <w:t xml:space="preserve">with a release that </w:t>
      </w:r>
      <w:r w:rsidRPr="000D75B5">
        <w:rPr>
          <w:szCs w:val="26"/>
        </w:rPr>
        <w:t xml:space="preserve">would “wipe out” all </w:t>
      </w:r>
      <w:proofErr w:type="spellStart"/>
      <w:r w:rsidRPr="000D75B5">
        <w:rPr>
          <w:szCs w:val="26"/>
        </w:rPr>
        <w:t>PAGA</w:t>
      </w:r>
      <w:proofErr w:type="spellEnd"/>
      <w:r w:rsidRPr="000D75B5">
        <w:rPr>
          <w:szCs w:val="26"/>
        </w:rPr>
        <w:t xml:space="preserve"> claims against In-</w:t>
      </w:r>
      <w:r>
        <w:rPr>
          <w:szCs w:val="26"/>
        </w:rPr>
        <w:t>N</w:t>
      </w:r>
      <w:r w:rsidRPr="000D75B5">
        <w:rPr>
          <w:szCs w:val="26"/>
        </w:rPr>
        <w:t xml:space="preserve">-Out.  At the hearing on the motion to intervene, </w:t>
      </w:r>
      <w:proofErr w:type="spellStart"/>
      <w:r>
        <w:rPr>
          <w:szCs w:val="26"/>
        </w:rPr>
        <w:lastRenderedPageBreak/>
        <w:t>Accurso’s</w:t>
      </w:r>
      <w:proofErr w:type="spellEnd"/>
      <w:r>
        <w:rPr>
          <w:szCs w:val="26"/>
        </w:rPr>
        <w:t xml:space="preserve"> </w:t>
      </w:r>
      <w:r w:rsidRPr="000D75B5">
        <w:rPr>
          <w:szCs w:val="26"/>
        </w:rPr>
        <w:t xml:space="preserve">counsel </w:t>
      </w:r>
      <w:r>
        <w:rPr>
          <w:szCs w:val="26"/>
        </w:rPr>
        <w:t>implicitly con</w:t>
      </w:r>
      <w:r>
        <w:rPr>
          <w:szCs w:val="26"/>
        </w:rPr>
        <w:t xml:space="preserve">ceded an agreed case resolution, telling the court, </w:t>
      </w:r>
      <w:r w:rsidRPr="000D75B5">
        <w:rPr>
          <w:szCs w:val="26"/>
        </w:rPr>
        <w:t>“</w:t>
      </w:r>
      <w:r>
        <w:rPr>
          <w:szCs w:val="26"/>
        </w:rPr>
        <w:t>w</w:t>
      </w:r>
      <w:r w:rsidRPr="000D75B5">
        <w:rPr>
          <w:szCs w:val="26"/>
        </w:rPr>
        <w:t>e think we have obtained a very, very favorable settlement.”</w:t>
      </w:r>
      <w:r>
        <w:rPr>
          <w:szCs w:val="26"/>
        </w:rPr>
        <w:t xml:space="preserve">  </w:t>
      </w:r>
      <w:r w:rsidRPr="000D75B5">
        <w:rPr>
          <w:szCs w:val="26"/>
        </w:rPr>
        <w:t>Counsel for In-</w:t>
      </w:r>
      <w:r>
        <w:rPr>
          <w:szCs w:val="26"/>
        </w:rPr>
        <w:t>N</w:t>
      </w:r>
      <w:r w:rsidRPr="000D75B5">
        <w:rPr>
          <w:szCs w:val="26"/>
        </w:rPr>
        <w:t>-Out agreed, stating, “I would just echo what plaintif</w:t>
      </w:r>
      <w:r w:rsidRPr="00C6787D">
        <w:rPr>
          <w:spacing w:val="20"/>
          <w:szCs w:val="26"/>
        </w:rPr>
        <w:t>f</w:t>
      </w:r>
      <w:r w:rsidRPr="00C6787D">
        <w:rPr>
          <w:szCs w:val="26"/>
        </w:rPr>
        <w:t>’s</w:t>
      </w:r>
      <w:r w:rsidRPr="000D75B5">
        <w:rPr>
          <w:szCs w:val="26"/>
        </w:rPr>
        <w:t xml:space="preserve"> counsel said.” </w:t>
      </w:r>
    </w:p>
    <w:p w14:paraId="30BBC09C" w14:textId="77777777" w:rsidR="00AA4D6D" w:rsidRDefault="00B45E56" w:rsidP="000D75B5">
      <w:pPr>
        <w:spacing w:line="360" w:lineRule="auto"/>
        <w:ind w:firstLine="720"/>
        <w:rPr>
          <w:szCs w:val="26"/>
        </w:rPr>
      </w:pPr>
      <w:r w:rsidRPr="000D75B5">
        <w:rPr>
          <w:szCs w:val="26"/>
        </w:rPr>
        <w:t xml:space="preserve">The trial court </w:t>
      </w:r>
      <w:r>
        <w:rPr>
          <w:szCs w:val="26"/>
        </w:rPr>
        <w:t xml:space="preserve">declined to consider any </w:t>
      </w:r>
      <w:r>
        <w:rPr>
          <w:szCs w:val="26"/>
        </w:rPr>
        <w:t>post-briefing evidence of the alleged settlement,</w:t>
      </w:r>
      <w:r w:rsidRPr="000D75B5">
        <w:rPr>
          <w:szCs w:val="26"/>
        </w:rPr>
        <w:t xml:space="preserve"> </w:t>
      </w:r>
      <w:r>
        <w:rPr>
          <w:szCs w:val="26"/>
        </w:rPr>
        <w:t xml:space="preserve">concluded that </w:t>
      </w:r>
      <w:proofErr w:type="spellStart"/>
      <w:r>
        <w:rPr>
          <w:szCs w:val="26"/>
        </w:rPr>
        <w:t>Piplack</w:t>
      </w:r>
      <w:proofErr w:type="spellEnd"/>
      <w:r>
        <w:rPr>
          <w:szCs w:val="26"/>
        </w:rPr>
        <w:t xml:space="preserve"> and Taylor </w:t>
      </w:r>
      <w:r w:rsidRPr="000D75B5">
        <w:rPr>
          <w:szCs w:val="26"/>
        </w:rPr>
        <w:t>lack</w:t>
      </w:r>
      <w:r>
        <w:rPr>
          <w:szCs w:val="26"/>
        </w:rPr>
        <w:t>ed</w:t>
      </w:r>
      <w:r w:rsidRPr="000D75B5">
        <w:rPr>
          <w:szCs w:val="26"/>
        </w:rPr>
        <w:t xml:space="preserve"> standing to intervene</w:t>
      </w:r>
      <w:r>
        <w:rPr>
          <w:szCs w:val="26"/>
        </w:rPr>
        <w:t>,</w:t>
      </w:r>
      <w:r w:rsidRPr="000D75B5">
        <w:rPr>
          <w:szCs w:val="26"/>
        </w:rPr>
        <w:t xml:space="preserve"> and on that basis denied </w:t>
      </w:r>
      <w:r>
        <w:rPr>
          <w:szCs w:val="26"/>
        </w:rPr>
        <w:t>both motions.  It explained, “[T]he Court finds that neither [</w:t>
      </w:r>
      <w:proofErr w:type="spellStart"/>
      <w:r>
        <w:rPr>
          <w:szCs w:val="26"/>
        </w:rPr>
        <w:t>Piplack</w:t>
      </w:r>
      <w:proofErr w:type="spellEnd"/>
      <w:r>
        <w:rPr>
          <w:szCs w:val="26"/>
        </w:rPr>
        <w:t xml:space="preserve"> nor Taylor] has a personal interest in the </w:t>
      </w:r>
      <w:proofErr w:type="spellStart"/>
      <w:r>
        <w:rPr>
          <w:szCs w:val="26"/>
        </w:rPr>
        <w:t>PAGA</w:t>
      </w:r>
      <w:proofErr w:type="spellEnd"/>
      <w:r>
        <w:rPr>
          <w:szCs w:val="26"/>
        </w:rPr>
        <w:t xml:space="preserve"> claims being prosecuted by </w:t>
      </w:r>
      <w:proofErr w:type="spellStart"/>
      <w:r>
        <w:rPr>
          <w:szCs w:val="26"/>
        </w:rPr>
        <w:t>Accurso</w:t>
      </w:r>
      <w:proofErr w:type="spellEnd"/>
      <w:r>
        <w:rPr>
          <w:szCs w:val="26"/>
        </w:rPr>
        <w:t>, but rather the interest lies with the State, as the real party in interest, and thus [</w:t>
      </w:r>
      <w:proofErr w:type="spellStart"/>
      <w:r>
        <w:rPr>
          <w:szCs w:val="26"/>
        </w:rPr>
        <w:t>Piplack</w:t>
      </w:r>
      <w:proofErr w:type="spellEnd"/>
      <w:r>
        <w:rPr>
          <w:szCs w:val="26"/>
        </w:rPr>
        <w:t xml:space="preserve"> and Tayl</w:t>
      </w:r>
      <w:r>
        <w:rPr>
          <w:szCs w:val="26"/>
        </w:rPr>
        <w:t>or] do not have standing to intervene.”  “[L]</w:t>
      </w:r>
      <w:proofErr w:type="spellStart"/>
      <w:r>
        <w:rPr>
          <w:szCs w:val="26"/>
        </w:rPr>
        <w:t>ikewise</w:t>
      </w:r>
      <w:proofErr w:type="spellEnd"/>
      <w:r>
        <w:rPr>
          <w:szCs w:val="26"/>
        </w:rPr>
        <w:t xml:space="preserve">,” the court ruled, they “do not have standing to request a stay.” </w:t>
      </w:r>
    </w:p>
    <w:p w14:paraId="2DD8FD36" w14:textId="77777777" w:rsidR="00ED2B9A" w:rsidRPr="00ED2B9A" w:rsidRDefault="00B45E56" w:rsidP="008E1C45">
      <w:pPr>
        <w:shd w:val="clear" w:color="auto" w:fill="FFFFFF"/>
        <w:spacing w:line="360" w:lineRule="auto"/>
        <w:ind w:firstLine="720"/>
        <w:rPr>
          <w:rFonts w:eastAsia="Times New Roman" w:cs="Times New Roman"/>
          <w:color w:val="000000"/>
          <w:szCs w:val="26"/>
        </w:rPr>
      </w:pPr>
      <w:r w:rsidRPr="003A28F2">
        <w:rPr>
          <w:szCs w:val="26"/>
        </w:rPr>
        <w:t xml:space="preserve">In so ruling, the </w:t>
      </w:r>
      <w:r>
        <w:rPr>
          <w:szCs w:val="26"/>
        </w:rPr>
        <w:t xml:space="preserve">trial </w:t>
      </w:r>
      <w:r w:rsidRPr="003A28F2">
        <w:rPr>
          <w:szCs w:val="26"/>
        </w:rPr>
        <w:t xml:space="preserve">court followed </w:t>
      </w:r>
      <w:proofErr w:type="spellStart"/>
      <w:r w:rsidRPr="003A28F2">
        <w:rPr>
          <w:i/>
          <w:iCs/>
          <w:szCs w:val="26"/>
        </w:rPr>
        <w:t>Tur</w:t>
      </w:r>
      <w:r>
        <w:rPr>
          <w:i/>
          <w:iCs/>
          <w:szCs w:val="26"/>
        </w:rPr>
        <w:t>r</w:t>
      </w:r>
      <w:r w:rsidRPr="003A28F2">
        <w:rPr>
          <w:i/>
          <w:iCs/>
          <w:szCs w:val="26"/>
        </w:rPr>
        <w:t>ieta</w:t>
      </w:r>
      <w:proofErr w:type="spellEnd"/>
      <w:r>
        <w:rPr>
          <w:szCs w:val="26"/>
        </w:rPr>
        <w:t xml:space="preserve">.  It noted that our Supreme Court has granted review in </w:t>
      </w:r>
      <w:proofErr w:type="spellStart"/>
      <w:proofErr w:type="gramStart"/>
      <w:r w:rsidRPr="003A28F2">
        <w:rPr>
          <w:i/>
          <w:iCs/>
          <w:szCs w:val="26"/>
        </w:rPr>
        <w:t>Tur</w:t>
      </w:r>
      <w:r>
        <w:rPr>
          <w:i/>
          <w:iCs/>
          <w:szCs w:val="26"/>
        </w:rPr>
        <w:t>r</w:t>
      </w:r>
      <w:r w:rsidRPr="003A28F2">
        <w:rPr>
          <w:i/>
          <w:iCs/>
          <w:szCs w:val="26"/>
        </w:rPr>
        <w:t>ieta</w:t>
      </w:r>
      <w:proofErr w:type="spellEnd"/>
      <w:r>
        <w:rPr>
          <w:szCs w:val="26"/>
        </w:rPr>
        <w:t>, but</w:t>
      </w:r>
      <w:proofErr w:type="gramEnd"/>
      <w:r>
        <w:rPr>
          <w:szCs w:val="26"/>
        </w:rPr>
        <w:t xml:space="preserve"> found the Court of</w:t>
      </w:r>
      <w:r>
        <w:rPr>
          <w:szCs w:val="26"/>
        </w:rPr>
        <w:t xml:space="preserve"> Appeal’s reasoning in </w:t>
      </w:r>
      <w:proofErr w:type="spellStart"/>
      <w:r w:rsidRPr="003A28F2">
        <w:rPr>
          <w:i/>
          <w:iCs/>
          <w:szCs w:val="26"/>
        </w:rPr>
        <w:t>Tur</w:t>
      </w:r>
      <w:r>
        <w:rPr>
          <w:i/>
          <w:iCs/>
          <w:szCs w:val="26"/>
        </w:rPr>
        <w:t>r</w:t>
      </w:r>
      <w:r w:rsidRPr="003A28F2">
        <w:rPr>
          <w:i/>
          <w:iCs/>
          <w:szCs w:val="26"/>
        </w:rPr>
        <w:t>ieta</w:t>
      </w:r>
      <w:proofErr w:type="spellEnd"/>
      <w:r w:rsidRPr="003A28F2">
        <w:rPr>
          <w:szCs w:val="26"/>
        </w:rPr>
        <w:t xml:space="preserve"> to be persuasive.  </w:t>
      </w:r>
      <w:r>
        <w:rPr>
          <w:szCs w:val="26"/>
        </w:rPr>
        <w:t xml:space="preserve">While </w:t>
      </w:r>
      <w:r w:rsidRPr="003A28F2">
        <w:rPr>
          <w:szCs w:val="26"/>
        </w:rPr>
        <w:t>acknowledg</w:t>
      </w:r>
      <w:r>
        <w:rPr>
          <w:szCs w:val="26"/>
        </w:rPr>
        <w:t xml:space="preserve">ing </w:t>
      </w:r>
      <w:r w:rsidRPr="003A28F2">
        <w:rPr>
          <w:szCs w:val="26"/>
        </w:rPr>
        <w:t>decisions in</w:t>
      </w:r>
      <w:r>
        <w:rPr>
          <w:szCs w:val="26"/>
        </w:rPr>
        <w:t xml:space="preserve"> tension with </w:t>
      </w:r>
      <w:proofErr w:type="spellStart"/>
      <w:r w:rsidRPr="00775DDB">
        <w:rPr>
          <w:i/>
          <w:iCs/>
          <w:szCs w:val="26"/>
        </w:rPr>
        <w:t>Turrieta</w:t>
      </w:r>
      <w:proofErr w:type="spellEnd"/>
      <w:r>
        <w:rPr>
          <w:rFonts w:eastAsia="Times New Roman" w:cs="Times New Roman"/>
          <w:szCs w:val="26"/>
        </w:rPr>
        <w:t>—</w:t>
      </w:r>
      <w:r>
        <w:rPr>
          <w:szCs w:val="26"/>
        </w:rPr>
        <w:t>including ours in</w:t>
      </w:r>
      <w:r w:rsidRPr="003A28F2">
        <w:rPr>
          <w:szCs w:val="26"/>
        </w:rPr>
        <w:t xml:space="preserve"> </w:t>
      </w:r>
      <w:r w:rsidRPr="003A28F2">
        <w:rPr>
          <w:i/>
          <w:iCs/>
          <w:szCs w:val="26"/>
        </w:rPr>
        <w:t>Moniz</w:t>
      </w:r>
      <w:r>
        <w:rPr>
          <w:rFonts w:eastAsia="Times New Roman" w:cs="Times New Roman"/>
          <w:szCs w:val="26"/>
        </w:rPr>
        <w:t>—</w:t>
      </w:r>
      <w:r>
        <w:rPr>
          <w:rFonts w:eastAsia="Times New Roman" w:cs="Times New Roman"/>
          <w:color w:val="000000"/>
          <w:szCs w:val="26"/>
        </w:rPr>
        <w:t xml:space="preserve">the court </w:t>
      </w:r>
      <w:r w:rsidRPr="003A28F2">
        <w:rPr>
          <w:rFonts w:eastAsia="Times New Roman" w:cs="Times New Roman"/>
          <w:color w:val="000000"/>
          <w:szCs w:val="26"/>
        </w:rPr>
        <w:t xml:space="preserve">concluded that </w:t>
      </w:r>
      <w:r>
        <w:rPr>
          <w:rFonts w:eastAsia="Times New Roman" w:cs="Times New Roman"/>
          <w:color w:val="000000"/>
          <w:szCs w:val="26"/>
        </w:rPr>
        <w:t xml:space="preserve">none of these cases </w:t>
      </w:r>
      <w:r w:rsidRPr="003A28F2">
        <w:rPr>
          <w:rFonts w:eastAsia="Times New Roman" w:cs="Times New Roman"/>
          <w:color w:val="000000"/>
          <w:szCs w:val="26"/>
        </w:rPr>
        <w:t xml:space="preserve">addresses the issue </w:t>
      </w:r>
      <w:r>
        <w:rPr>
          <w:rFonts w:eastAsia="Times New Roman" w:cs="Times New Roman"/>
          <w:color w:val="000000"/>
          <w:szCs w:val="26"/>
        </w:rPr>
        <w:t>presented here</w:t>
      </w:r>
      <w:proofErr w:type="gramStart"/>
      <w:r w:rsidRPr="003A28F2">
        <w:rPr>
          <w:rFonts w:eastAsia="Times New Roman" w:cs="Times New Roman"/>
          <w:color w:val="000000"/>
          <w:szCs w:val="26"/>
        </w:rPr>
        <w:t xml:space="preserve">:  </w:t>
      </w:r>
      <w:r>
        <w:rPr>
          <w:rFonts w:eastAsia="Times New Roman" w:cs="Times New Roman"/>
          <w:color w:val="000000"/>
          <w:szCs w:val="26"/>
        </w:rPr>
        <w:t>“</w:t>
      </w:r>
      <w:proofErr w:type="gramEnd"/>
      <w:r>
        <w:rPr>
          <w:rFonts w:eastAsia="Times New Roman" w:cs="Times New Roman"/>
          <w:color w:val="000000"/>
          <w:szCs w:val="26"/>
        </w:rPr>
        <w:t>[D]</w:t>
      </w:r>
      <w:r w:rsidRPr="003A28F2">
        <w:rPr>
          <w:rFonts w:eastAsia="Times New Roman" w:cs="Times New Roman"/>
          <w:color w:val="000000"/>
          <w:szCs w:val="26"/>
        </w:rPr>
        <w:t xml:space="preserve">o non-party </w:t>
      </w:r>
      <w:r>
        <w:rPr>
          <w:rFonts w:eastAsia="Times New Roman" w:cs="Times New Roman"/>
          <w:color w:val="000000"/>
          <w:szCs w:val="26"/>
        </w:rPr>
        <w:t>P</w:t>
      </w:r>
      <w:r w:rsidRPr="003A28F2">
        <w:rPr>
          <w:rFonts w:eastAsia="Times New Roman" w:cs="Times New Roman"/>
          <w:color w:val="000000"/>
          <w:szCs w:val="26"/>
        </w:rPr>
        <w:t>laintiff</w:t>
      </w:r>
      <w:r>
        <w:rPr>
          <w:rFonts w:eastAsia="Times New Roman" w:cs="Times New Roman"/>
          <w:color w:val="000000"/>
          <w:szCs w:val="26"/>
        </w:rPr>
        <w:t>s</w:t>
      </w:r>
      <w:r w:rsidRPr="003A28F2">
        <w:rPr>
          <w:rFonts w:eastAsia="Times New Roman" w:cs="Times New Roman"/>
          <w:color w:val="000000"/>
          <w:szCs w:val="26"/>
        </w:rPr>
        <w:t xml:space="preserve"> with overlapping </w:t>
      </w:r>
      <w:proofErr w:type="spellStart"/>
      <w:r w:rsidRPr="003A28F2">
        <w:rPr>
          <w:rFonts w:eastAsia="Times New Roman" w:cs="Times New Roman"/>
          <w:color w:val="000000"/>
          <w:szCs w:val="26"/>
        </w:rPr>
        <w:t>PAGA</w:t>
      </w:r>
      <w:proofErr w:type="spellEnd"/>
      <w:r w:rsidRPr="003A28F2">
        <w:rPr>
          <w:rFonts w:eastAsia="Times New Roman" w:cs="Times New Roman"/>
          <w:color w:val="000000"/>
          <w:szCs w:val="26"/>
        </w:rPr>
        <w:t xml:space="preserve"> claims have standing to intervene?”  </w:t>
      </w:r>
    </w:p>
    <w:p w14:paraId="7876C09A" w14:textId="77777777" w:rsidR="004C1532" w:rsidRPr="000D75B5" w:rsidRDefault="00B45E56" w:rsidP="002D3C2A">
      <w:pPr>
        <w:spacing w:after="120" w:line="360" w:lineRule="auto"/>
        <w:ind w:firstLine="720"/>
        <w:rPr>
          <w:szCs w:val="26"/>
        </w:rPr>
      </w:pPr>
      <w:proofErr w:type="spellStart"/>
      <w:r w:rsidRPr="000D75B5">
        <w:rPr>
          <w:szCs w:val="26"/>
        </w:rPr>
        <w:t>Piplack</w:t>
      </w:r>
      <w:proofErr w:type="spellEnd"/>
      <w:r w:rsidRPr="000D75B5">
        <w:rPr>
          <w:szCs w:val="26"/>
        </w:rPr>
        <w:t xml:space="preserve"> and Taylor appealed the order denying their motion to intervene.</w:t>
      </w:r>
      <w:r>
        <w:rPr>
          <w:rStyle w:val="FootnoteReference"/>
          <w:szCs w:val="26"/>
        </w:rPr>
        <w:footnoteReference w:id="6"/>
      </w:r>
      <w:r>
        <w:rPr>
          <w:szCs w:val="26"/>
        </w:rPr>
        <w:t xml:space="preserve">  They </w:t>
      </w:r>
      <w:r w:rsidRPr="000D75B5">
        <w:rPr>
          <w:szCs w:val="26"/>
        </w:rPr>
        <w:t xml:space="preserve">also filed a petition for a writ of </w:t>
      </w:r>
      <w:r>
        <w:rPr>
          <w:szCs w:val="26"/>
        </w:rPr>
        <w:t xml:space="preserve">prohibition </w:t>
      </w:r>
      <w:r w:rsidRPr="000D75B5">
        <w:rPr>
          <w:szCs w:val="26"/>
        </w:rPr>
        <w:t xml:space="preserve">challenging </w:t>
      </w:r>
      <w:r>
        <w:rPr>
          <w:szCs w:val="26"/>
        </w:rPr>
        <w:t xml:space="preserve">the </w:t>
      </w:r>
      <w:r w:rsidRPr="000D75B5">
        <w:rPr>
          <w:szCs w:val="26"/>
        </w:rPr>
        <w:t xml:space="preserve">denial of their request to stay </w:t>
      </w:r>
      <w:r>
        <w:rPr>
          <w:szCs w:val="26"/>
        </w:rPr>
        <w:t xml:space="preserve">the proceedings in </w:t>
      </w:r>
      <w:proofErr w:type="spellStart"/>
      <w:r w:rsidRPr="00361885">
        <w:rPr>
          <w:i/>
          <w:iCs/>
          <w:szCs w:val="26"/>
        </w:rPr>
        <w:t>Accurso</w:t>
      </w:r>
      <w:proofErr w:type="spellEnd"/>
      <w:r>
        <w:rPr>
          <w:szCs w:val="26"/>
        </w:rPr>
        <w:t>.  We gran</w:t>
      </w:r>
      <w:r>
        <w:rPr>
          <w:szCs w:val="26"/>
        </w:rPr>
        <w:t xml:space="preserve">ted a stay </w:t>
      </w:r>
      <w:r>
        <w:rPr>
          <w:szCs w:val="26"/>
        </w:rPr>
        <w:lastRenderedPageBreak/>
        <w:t xml:space="preserve">of supersedeas pending our resolution of the appeal and dismissed the writ petition as moot.  </w:t>
      </w:r>
      <w:r w:rsidRPr="000D75B5">
        <w:rPr>
          <w:szCs w:val="26"/>
        </w:rPr>
        <w:t xml:space="preserve">We </w:t>
      </w:r>
      <w:r>
        <w:rPr>
          <w:szCs w:val="26"/>
        </w:rPr>
        <w:t xml:space="preserve">now conclude the court was correct to deny </w:t>
      </w:r>
      <w:proofErr w:type="spellStart"/>
      <w:r>
        <w:rPr>
          <w:szCs w:val="26"/>
        </w:rPr>
        <w:t>Piplack</w:t>
      </w:r>
      <w:proofErr w:type="spellEnd"/>
      <w:r>
        <w:rPr>
          <w:szCs w:val="26"/>
        </w:rPr>
        <w:t xml:space="preserve"> and Taylor’s section 387 motion to the extent it sought intervention as-of-right, but we vacate </w:t>
      </w:r>
      <w:r w:rsidRPr="000D75B5">
        <w:rPr>
          <w:szCs w:val="26"/>
        </w:rPr>
        <w:t xml:space="preserve">the order </w:t>
      </w:r>
      <w:r>
        <w:rPr>
          <w:szCs w:val="26"/>
        </w:rPr>
        <w:t xml:space="preserve">to the extent </w:t>
      </w:r>
      <w:proofErr w:type="spellStart"/>
      <w:r>
        <w:rPr>
          <w:szCs w:val="26"/>
        </w:rPr>
        <w:t>Piplack</w:t>
      </w:r>
      <w:proofErr w:type="spellEnd"/>
      <w:r>
        <w:rPr>
          <w:szCs w:val="26"/>
        </w:rPr>
        <w:t xml:space="preserve"> and Taylor sought permissive intervention and remand for further consideration of that issue as well as the issue of a possible stay in some form.</w:t>
      </w:r>
      <w:r>
        <w:rPr>
          <w:rStyle w:val="FootnoteReference"/>
          <w:szCs w:val="26"/>
        </w:rPr>
        <w:footnoteReference w:id="7"/>
      </w:r>
      <w:r>
        <w:rPr>
          <w:szCs w:val="26"/>
        </w:rPr>
        <w:t xml:space="preserve"> </w:t>
      </w:r>
    </w:p>
    <w:p w14:paraId="7EC7D8CA" w14:textId="77777777" w:rsidR="00C146FC" w:rsidRPr="002D3C2A" w:rsidRDefault="00B45E56" w:rsidP="00B5478C">
      <w:pPr>
        <w:pStyle w:val="Heading1"/>
        <w:tabs>
          <w:tab w:val="clear" w:pos="720"/>
          <w:tab w:val="left" w:pos="360"/>
        </w:tabs>
        <w:spacing w:before="0" w:line="240" w:lineRule="auto"/>
        <w:jc w:val="center"/>
        <w:rPr>
          <w:rFonts w:ascii="Century Schoolbook" w:hAnsi="Century Schoolbook"/>
          <w:b/>
          <w:bCs/>
          <w:color w:val="auto"/>
          <w:sz w:val="26"/>
          <w:szCs w:val="26"/>
        </w:rPr>
      </w:pPr>
      <w:r w:rsidRPr="002D3C2A">
        <w:rPr>
          <w:rFonts w:ascii="Century Schoolbook" w:hAnsi="Century Schoolbook"/>
          <w:b/>
          <w:bCs/>
          <w:color w:val="auto"/>
          <w:sz w:val="26"/>
          <w:szCs w:val="26"/>
        </w:rPr>
        <w:t>III.</w:t>
      </w:r>
      <w:r>
        <w:rPr>
          <w:rFonts w:ascii="Century Schoolbook" w:hAnsi="Century Schoolbook"/>
          <w:b/>
          <w:bCs/>
          <w:color w:val="auto"/>
          <w:sz w:val="26"/>
          <w:szCs w:val="26"/>
        </w:rPr>
        <w:t xml:space="preserve"> </w:t>
      </w:r>
      <w:r w:rsidRPr="002D3C2A">
        <w:rPr>
          <w:rFonts w:ascii="Century Schoolbook" w:hAnsi="Century Schoolbook"/>
          <w:b/>
          <w:bCs/>
          <w:color w:val="auto"/>
          <w:sz w:val="26"/>
          <w:szCs w:val="26"/>
        </w:rPr>
        <w:t>DISCUSSION</w:t>
      </w:r>
    </w:p>
    <w:p w14:paraId="53D4BF88" w14:textId="77777777" w:rsidR="00B62DCA" w:rsidRPr="00886DA9" w:rsidRDefault="00B45E56" w:rsidP="00B5478C">
      <w:pPr>
        <w:pStyle w:val="Heading2"/>
        <w:spacing w:before="120" w:after="120" w:line="240" w:lineRule="auto"/>
        <w:ind w:left="720" w:hanging="360"/>
        <w:rPr>
          <w:rFonts w:ascii="Century Schoolbook" w:hAnsi="Century Schoolbook"/>
          <w:b/>
          <w:bCs/>
          <w:color w:val="auto"/>
        </w:rPr>
      </w:pPr>
      <w:r w:rsidRPr="00886DA9">
        <w:rPr>
          <w:rFonts w:ascii="Century Schoolbook" w:hAnsi="Century Schoolbook"/>
          <w:b/>
          <w:bCs/>
          <w:color w:val="auto"/>
        </w:rPr>
        <w:t xml:space="preserve">A. </w:t>
      </w:r>
      <w:r w:rsidRPr="00886DA9">
        <w:rPr>
          <w:rFonts w:ascii="Century Schoolbook" w:hAnsi="Century Schoolbook"/>
          <w:b/>
          <w:bCs/>
          <w:i/>
          <w:iCs/>
          <w:color w:val="auto"/>
        </w:rPr>
        <w:t>Legal Principles:  Intervention</w:t>
      </w:r>
    </w:p>
    <w:p w14:paraId="23C4B1E1" w14:textId="77777777" w:rsidR="001C7936" w:rsidRPr="00791FBA" w:rsidRDefault="00B45E56" w:rsidP="00B5478C">
      <w:pPr>
        <w:pStyle w:val="Heading3"/>
        <w:spacing w:before="120" w:after="120" w:line="240" w:lineRule="auto"/>
        <w:ind w:left="720"/>
        <w:rPr>
          <w:rFonts w:ascii="Century Schoolbook" w:eastAsia="Times New Roman" w:hAnsi="Century Schoolbook"/>
          <w:b/>
          <w:bCs/>
          <w:color w:val="auto"/>
          <w:sz w:val="26"/>
          <w:szCs w:val="26"/>
        </w:rPr>
      </w:pPr>
      <w:r w:rsidRPr="00791FBA">
        <w:rPr>
          <w:rFonts w:ascii="Century Schoolbook" w:eastAsia="Times New Roman" w:hAnsi="Century Schoolbook"/>
          <w:b/>
          <w:bCs/>
          <w:color w:val="auto"/>
          <w:sz w:val="26"/>
          <w:szCs w:val="26"/>
        </w:rPr>
        <w:t>1. Intervention Statute</w:t>
      </w:r>
    </w:p>
    <w:p w14:paraId="4BE8C6AD" w14:textId="77777777" w:rsidR="00A5005C" w:rsidRDefault="00B45E56" w:rsidP="00886DA9">
      <w:pPr>
        <w:shd w:val="clear" w:color="auto" w:fill="FFFFFF"/>
        <w:spacing w:line="360" w:lineRule="auto"/>
        <w:ind w:firstLine="720"/>
        <w:rPr>
          <w:rFonts w:eastAsia="Times New Roman" w:cs="Times New Roman"/>
          <w:color w:val="000000"/>
          <w:szCs w:val="26"/>
        </w:rPr>
      </w:pPr>
      <w:r>
        <w:rPr>
          <w:rFonts w:eastAsia="Times New Roman" w:cs="Times New Roman"/>
          <w:color w:val="000000"/>
          <w:szCs w:val="26"/>
        </w:rPr>
        <w:t>For more than a century following the enactment of section 387 in 1872, intervention was permitted on a purely discretionary basis.  With some minor wording variations as it evolved, the statute stated, “At any time before trial, any person, who has an in</w:t>
      </w:r>
      <w:r>
        <w:rPr>
          <w:rFonts w:eastAsia="Times New Roman" w:cs="Times New Roman"/>
          <w:color w:val="000000"/>
          <w:szCs w:val="26"/>
        </w:rPr>
        <w:t xml:space="preserve">terest in the matter in litigation, or in the success of either of the parties, or an interest against both, </w:t>
      </w:r>
      <w:r w:rsidRPr="00B80EEE">
        <w:rPr>
          <w:rFonts w:eastAsia="Times New Roman" w:cs="Times New Roman"/>
          <w:i/>
          <w:iCs/>
          <w:color w:val="000000"/>
          <w:szCs w:val="26"/>
        </w:rPr>
        <w:t xml:space="preserve">may </w:t>
      </w:r>
      <w:r>
        <w:rPr>
          <w:rFonts w:eastAsia="Times New Roman" w:cs="Times New Roman"/>
          <w:color w:val="000000"/>
          <w:szCs w:val="26"/>
        </w:rPr>
        <w:t>intervene in the action or proceeding.”</w:t>
      </w:r>
      <w:r w:rsidRPr="009A76D1">
        <w:rPr>
          <w:rFonts w:eastAsia="Times New Roman" w:cs="Times New Roman"/>
          <w:color w:val="000000"/>
          <w:szCs w:val="26"/>
        </w:rPr>
        <w:t xml:space="preserve"> </w:t>
      </w:r>
      <w:r>
        <w:rPr>
          <w:rFonts w:eastAsia="Times New Roman" w:cs="Times New Roman"/>
          <w:color w:val="000000"/>
          <w:szCs w:val="26"/>
        </w:rPr>
        <w:t xml:space="preserve"> (Former § 387</w:t>
      </w:r>
      <w:r>
        <w:rPr>
          <w:rStyle w:val="FootnoteReference"/>
          <w:rFonts w:eastAsia="Times New Roman" w:cs="Times New Roman"/>
          <w:color w:val="000000"/>
          <w:szCs w:val="26"/>
        </w:rPr>
        <w:footnoteReference w:id="8"/>
      </w:r>
      <w:r>
        <w:rPr>
          <w:rFonts w:eastAsia="Times New Roman" w:cs="Times New Roman"/>
          <w:color w:val="000000"/>
          <w:szCs w:val="26"/>
        </w:rPr>
        <w:t xml:space="preserve">, italics added.)  That changed in </w:t>
      </w:r>
      <w:r>
        <w:rPr>
          <w:rFonts w:eastAsia="Times New Roman" w:cs="Times New Roman"/>
          <w:color w:val="000000"/>
          <w:szCs w:val="26"/>
        </w:rPr>
        <w:lastRenderedPageBreak/>
        <w:t>1977, when the Legislature amended section 387</w:t>
      </w:r>
      <w:r>
        <w:rPr>
          <w:rStyle w:val="FootnoteReference"/>
          <w:rFonts w:eastAsia="Times New Roman" w:cs="Times New Roman"/>
          <w:color w:val="000000"/>
          <w:szCs w:val="26"/>
        </w:rPr>
        <w:footnoteReference w:id="9"/>
      </w:r>
      <w:r>
        <w:rPr>
          <w:rFonts w:eastAsia="Times New Roman" w:cs="Times New Roman"/>
          <w:color w:val="000000"/>
          <w:szCs w:val="26"/>
        </w:rPr>
        <w:t xml:space="preserve"> to conform the statute to the structure of Federal Rules of Civil Procedure, rule 24 (28 U.S.C.), which provides for intervention as-of-right in some instances under rule 24(a) (mandatory intervention), and intervention in the discretion of the court in o</w:t>
      </w:r>
      <w:r>
        <w:rPr>
          <w:rFonts w:eastAsia="Times New Roman" w:cs="Times New Roman"/>
          <w:color w:val="000000"/>
          <w:szCs w:val="26"/>
        </w:rPr>
        <w:t>ther instances</w:t>
      </w:r>
      <w:r w:rsidRPr="00F3041E">
        <w:rPr>
          <w:rFonts w:eastAsia="Times New Roman" w:cs="Times New Roman"/>
          <w:color w:val="000000"/>
          <w:szCs w:val="26"/>
        </w:rPr>
        <w:t xml:space="preserve"> </w:t>
      </w:r>
      <w:r>
        <w:rPr>
          <w:rFonts w:eastAsia="Times New Roman" w:cs="Times New Roman"/>
          <w:color w:val="000000"/>
          <w:szCs w:val="26"/>
        </w:rPr>
        <w:t xml:space="preserve">under rule 24(b) </w:t>
      </w:r>
      <w:r w:rsidRPr="00F3041E">
        <w:rPr>
          <w:rFonts w:eastAsia="Times New Roman" w:cs="Times New Roman"/>
          <w:color w:val="000000"/>
          <w:szCs w:val="26"/>
        </w:rPr>
        <w:t>(permissive intervention)</w:t>
      </w:r>
      <w:r>
        <w:rPr>
          <w:rFonts w:eastAsia="Times New Roman" w:cs="Times New Roman"/>
          <w:color w:val="000000"/>
          <w:szCs w:val="26"/>
        </w:rPr>
        <w:t>.</w:t>
      </w:r>
    </w:p>
    <w:p w14:paraId="3C1AAEB1" w14:textId="77777777" w:rsidR="0033176F" w:rsidRDefault="00B45E56" w:rsidP="00A5005C">
      <w:pPr>
        <w:shd w:val="clear" w:color="auto" w:fill="FFFFFF"/>
        <w:spacing w:line="360" w:lineRule="auto"/>
        <w:ind w:firstLine="720"/>
        <w:rPr>
          <w:rFonts w:eastAsia="Times New Roman" w:cs="Times New Roman"/>
          <w:color w:val="000000"/>
          <w:szCs w:val="26"/>
        </w:rPr>
      </w:pPr>
      <w:r w:rsidRPr="00E97B8B">
        <w:rPr>
          <w:rFonts w:eastAsia="Times New Roman" w:cs="Times New Roman"/>
          <w:szCs w:val="26"/>
        </w:rPr>
        <w:t xml:space="preserve">Section 387, subdivision (d) now provides: </w:t>
      </w:r>
      <w:r>
        <w:rPr>
          <w:rFonts w:eastAsia="Times New Roman" w:cs="Times New Roman"/>
          <w:szCs w:val="26"/>
        </w:rPr>
        <w:t xml:space="preserve"> “(1) </w:t>
      </w:r>
      <w:r w:rsidRPr="0006206A">
        <w:rPr>
          <w:rFonts w:eastAsia="Times New Roman" w:cs="Times New Roman"/>
          <w:szCs w:val="26"/>
          <w:bdr w:val="none" w:sz="0" w:space="0" w:color="auto" w:frame="1"/>
          <w:shd w:val="clear" w:color="auto" w:fill="FFFFFF"/>
        </w:rPr>
        <w:t xml:space="preserve">The court shall, upon timely application, permit a nonparty to intervene in the action or proceeding </w:t>
      </w:r>
      <w:r>
        <w:rPr>
          <w:rFonts w:eastAsia="Times New Roman" w:cs="Times New Roman"/>
          <w:szCs w:val="26"/>
          <w:bdr w:val="none" w:sz="0" w:space="0" w:color="auto" w:frame="1"/>
          <w:shd w:val="clear" w:color="auto" w:fill="FFFFFF"/>
        </w:rPr>
        <w:t xml:space="preserve">[where] . . . [¶] . . . [¶] </w:t>
      </w:r>
      <w:r w:rsidRPr="0006206A">
        <w:rPr>
          <w:rFonts w:eastAsia="Times New Roman" w:cs="Times New Roman"/>
          <w:szCs w:val="26"/>
          <w:bdr w:val="none" w:sz="0" w:space="0" w:color="auto" w:frame="1"/>
          <w:shd w:val="clear" w:color="auto" w:fill="FFFFFF"/>
        </w:rPr>
        <w:t>(B)</w:t>
      </w:r>
      <w:r>
        <w:rPr>
          <w:rFonts w:eastAsia="Times New Roman" w:cs="Times New Roman"/>
          <w:szCs w:val="26"/>
          <w:bdr w:val="none" w:sz="0" w:space="0" w:color="auto" w:frame="1"/>
          <w:shd w:val="clear" w:color="auto" w:fill="FFFFFF"/>
        </w:rPr>
        <w:t> </w:t>
      </w:r>
      <w:r w:rsidRPr="0006206A">
        <w:rPr>
          <w:rFonts w:eastAsia="Times New Roman" w:cs="Times New Roman"/>
          <w:szCs w:val="26"/>
          <w:bdr w:val="none" w:sz="0" w:space="0" w:color="auto" w:frame="1"/>
          <w:shd w:val="clear" w:color="auto" w:fill="FFFFFF"/>
        </w:rPr>
        <w:t>The</w:t>
      </w:r>
      <w:r w:rsidRPr="0006206A">
        <w:rPr>
          <w:rFonts w:eastAsia="Times New Roman" w:cs="Times New Roman"/>
          <w:szCs w:val="26"/>
        </w:rPr>
        <w:t xml:space="preserve"> person seek</w:t>
      </w:r>
      <w:r w:rsidRPr="0006206A">
        <w:rPr>
          <w:rFonts w:eastAsia="Times New Roman" w:cs="Times New Roman"/>
          <w:szCs w:val="26"/>
        </w:rPr>
        <w:t xml:space="preserve">ing intervention claims an interest relating to the property or transaction </w:t>
      </w:r>
      <w:r w:rsidRPr="0006206A">
        <w:rPr>
          <w:rFonts w:eastAsia="Times New Roman" w:cs="Times New Roman"/>
          <w:szCs w:val="26"/>
          <w:bdr w:val="none" w:sz="0" w:space="0" w:color="auto" w:frame="1"/>
          <w:shd w:val="clear" w:color="auto" w:fill="FFFFFF"/>
        </w:rPr>
        <w:t>that</w:t>
      </w:r>
      <w:r w:rsidRPr="0006206A">
        <w:rPr>
          <w:rFonts w:eastAsia="Times New Roman" w:cs="Times New Roman"/>
          <w:szCs w:val="26"/>
        </w:rPr>
        <w:t xml:space="preserve"> is the subject of the action and that person is so situated that the disposition of the action may impair or impede that person</w:t>
      </w:r>
      <w:r>
        <w:rPr>
          <w:rFonts w:eastAsia="Times New Roman" w:cs="Times New Roman"/>
          <w:szCs w:val="26"/>
        </w:rPr>
        <w:t>’</w:t>
      </w:r>
      <w:r w:rsidRPr="0006206A">
        <w:rPr>
          <w:rFonts w:eastAsia="Times New Roman" w:cs="Times New Roman"/>
          <w:szCs w:val="26"/>
        </w:rPr>
        <w:t>s ability to protect that interest, unless that</w:t>
      </w:r>
      <w:r w:rsidRPr="0006206A">
        <w:rPr>
          <w:rFonts w:eastAsia="Times New Roman" w:cs="Times New Roman"/>
          <w:szCs w:val="26"/>
        </w:rPr>
        <w:t xml:space="preserve"> person</w:t>
      </w:r>
      <w:r>
        <w:rPr>
          <w:rFonts w:eastAsia="Times New Roman" w:cs="Times New Roman"/>
          <w:szCs w:val="26"/>
        </w:rPr>
        <w:t>’</w:t>
      </w:r>
      <w:r w:rsidRPr="0006206A">
        <w:rPr>
          <w:rFonts w:eastAsia="Times New Roman" w:cs="Times New Roman"/>
          <w:szCs w:val="26"/>
        </w:rPr>
        <w:t xml:space="preserve">s interest is adequately represented by </w:t>
      </w:r>
      <w:r w:rsidRPr="0006206A">
        <w:rPr>
          <w:rFonts w:eastAsia="Times New Roman" w:cs="Times New Roman"/>
          <w:szCs w:val="26"/>
          <w:bdr w:val="none" w:sz="0" w:space="0" w:color="auto" w:frame="1"/>
          <w:shd w:val="clear" w:color="auto" w:fill="FFFFFF"/>
        </w:rPr>
        <w:t>one or more of the</w:t>
      </w:r>
      <w:r w:rsidRPr="0006206A">
        <w:rPr>
          <w:rFonts w:eastAsia="Times New Roman" w:cs="Times New Roman"/>
          <w:szCs w:val="26"/>
        </w:rPr>
        <w:t xml:space="preserve"> existing parties</w:t>
      </w:r>
      <w:r w:rsidRPr="0006206A">
        <w:rPr>
          <w:rFonts w:eastAsia="Times New Roman" w:cs="Times New Roman"/>
          <w:szCs w:val="26"/>
          <w:bdr w:val="none" w:sz="0" w:space="0" w:color="auto" w:frame="1"/>
          <w:shd w:val="clear" w:color="auto" w:fill="FFFFFF"/>
        </w:rPr>
        <w:t>.</w:t>
      </w:r>
      <w:r w:rsidRPr="001C4619">
        <w:rPr>
          <w:rFonts w:eastAsia="Times New Roman" w:cs="Times New Roman"/>
          <w:szCs w:val="26"/>
          <w:bdr w:val="none" w:sz="0" w:space="0" w:color="auto" w:frame="1"/>
          <w:shd w:val="clear" w:color="auto" w:fill="FFFFFF"/>
          <w:vertAlign w:val="superscript"/>
        </w:rPr>
        <w:t>[</w:t>
      </w:r>
      <w:r>
        <w:rPr>
          <w:rStyle w:val="FootnoteReference"/>
          <w:rFonts w:eastAsia="Times New Roman" w:cs="Times New Roman"/>
          <w:szCs w:val="26"/>
          <w:bdr w:val="none" w:sz="0" w:space="0" w:color="auto" w:frame="1"/>
          <w:shd w:val="clear" w:color="auto" w:fill="FFFFFF"/>
        </w:rPr>
        <w:footnoteReference w:id="10"/>
      </w:r>
      <w:r w:rsidRPr="001C4619">
        <w:rPr>
          <w:rFonts w:eastAsia="Times New Roman" w:cs="Times New Roman"/>
          <w:szCs w:val="26"/>
          <w:bdr w:val="none" w:sz="0" w:space="0" w:color="auto" w:frame="1"/>
          <w:shd w:val="clear" w:color="auto" w:fill="FFFFFF"/>
          <w:vertAlign w:val="superscript"/>
        </w:rPr>
        <w:t>]</w:t>
      </w:r>
      <w:r w:rsidRPr="001C4619">
        <w:rPr>
          <w:rFonts w:eastAsia="Times New Roman" w:cs="Times New Roman"/>
          <w:szCs w:val="26"/>
          <w:vertAlign w:val="superscript"/>
        </w:rPr>
        <w:t xml:space="preserve"> </w:t>
      </w:r>
      <w:r w:rsidRPr="00E97B8B">
        <w:rPr>
          <w:rFonts w:eastAsia="Times New Roman" w:cs="Times New Roman"/>
          <w:szCs w:val="26"/>
        </w:rPr>
        <w:t xml:space="preserve"> </w:t>
      </w:r>
      <w:r>
        <w:rPr>
          <w:rFonts w:eastAsia="Times New Roman" w:cs="Times New Roman"/>
          <w:szCs w:val="26"/>
        </w:rPr>
        <w:t xml:space="preserve">[¶] </w:t>
      </w:r>
      <w:r w:rsidRPr="0006206A">
        <w:rPr>
          <w:rFonts w:eastAsia="Times New Roman" w:cs="Times New Roman"/>
          <w:szCs w:val="26"/>
          <w:bdr w:val="none" w:sz="0" w:space="0" w:color="auto" w:frame="1"/>
          <w:shd w:val="clear" w:color="auto" w:fill="FFFFFF"/>
        </w:rPr>
        <w:t>(2)</w:t>
      </w:r>
      <w:r>
        <w:rPr>
          <w:rFonts w:eastAsia="Times New Roman" w:cs="Times New Roman"/>
          <w:szCs w:val="26"/>
          <w:bdr w:val="none" w:sz="0" w:space="0" w:color="auto" w:frame="1"/>
          <w:shd w:val="clear" w:color="auto" w:fill="FFFFFF"/>
        </w:rPr>
        <w:t> </w:t>
      </w:r>
      <w:r w:rsidRPr="0006206A">
        <w:rPr>
          <w:rFonts w:eastAsia="Times New Roman" w:cs="Times New Roman"/>
          <w:szCs w:val="26"/>
          <w:bdr w:val="none" w:sz="0" w:space="0" w:color="auto" w:frame="1"/>
          <w:shd w:val="clear" w:color="auto" w:fill="FFFFFF"/>
        </w:rPr>
        <w:t>The</w:t>
      </w:r>
      <w:r w:rsidRPr="0006206A">
        <w:rPr>
          <w:rFonts w:eastAsia="Times New Roman" w:cs="Times New Roman"/>
          <w:szCs w:val="26"/>
        </w:rPr>
        <w:t xml:space="preserve"> court </w:t>
      </w:r>
      <w:r w:rsidRPr="0006206A">
        <w:rPr>
          <w:rFonts w:eastAsia="Times New Roman" w:cs="Times New Roman"/>
          <w:szCs w:val="26"/>
          <w:bdr w:val="none" w:sz="0" w:space="0" w:color="auto" w:frame="1"/>
          <w:shd w:val="clear" w:color="auto" w:fill="FFFFFF"/>
        </w:rPr>
        <w:t>may</w:t>
      </w:r>
      <w:r w:rsidRPr="0006206A">
        <w:rPr>
          <w:rFonts w:eastAsia="Times New Roman" w:cs="Times New Roman"/>
          <w:szCs w:val="26"/>
        </w:rPr>
        <w:t xml:space="preserve">, upon timely application, permit </w:t>
      </w:r>
      <w:r w:rsidRPr="0006206A">
        <w:rPr>
          <w:rFonts w:eastAsia="Times New Roman" w:cs="Times New Roman"/>
          <w:szCs w:val="26"/>
          <w:bdr w:val="none" w:sz="0" w:space="0" w:color="auto" w:frame="1"/>
          <w:shd w:val="clear" w:color="auto" w:fill="FFFFFF"/>
        </w:rPr>
        <w:t>a nonparty</w:t>
      </w:r>
      <w:r w:rsidRPr="0006206A">
        <w:rPr>
          <w:rFonts w:eastAsia="Times New Roman" w:cs="Times New Roman"/>
          <w:szCs w:val="26"/>
        </w:rPr>
        <w:t xml:space="preserve"> to intervene </w:t>
      </w:r>
      <w:r w:rsidRPr="0006206A">
        <w:rPr>
          <w:rFonts w:eastAsia="Times New Roman" w:cs="Times New Roman"/>
          <w:szCs w:val="26"/>
          <w:bdr w:val="none" w:sz="0" w:space="0" w:color="auto" w:frame="1"/>
          <w:shd w:val="clear" w:color="auto" w:fill="FFFFFF"/>
        </w:rPr>
        <w:t xml:space="preserve">in the action or proceeding if the person has an interest in the matter in </w:t>
      </w:r>
      <w:r w:rsidRPr="0006206A">
        <w:rPr>
          <w:rFonts w:eastAsia="Times New Roman" w:cs="Times New Roman"/>
          <w:szCs w:val="26"/>
          <w:bdr w:val="none" w:sz="0" w:space="0" w:color="auto" w:frame="1"/>
          <w:shd w:val="clear" w:color="auto" w:fill="FFFFFF"/>
        </w:rPr>
        <w:t>litigation, or in the success of either of the parties, or an interest against both</w:t>
      </w:r>
      <w:r w:rsidRPr="0006206A">
        <w:rPr>
          <w:rFonts w:eastAsia="Times New Roman" w:cs="Times New Roman"/>
          <w:szCs w:val="26"/>
        </w:rPr>
        <w:t>.</w:t>
      </w:r>
      <w:r>
        <w:rPr>
          <w:rFonts w:eastAsia="Times New Roman" w:cs="Times New Roman"/>
          <w:szCs w:val="26"/>
        </w:rPr>
        <w:t>”</w:t>
      </w:r>
    </w:p>
    <w:p w14:paraId="66AC9FF4" w14:textId="77777777" w:rsidR="005F76BF" w:rsidRDefault="00B45E56" w:rsidP="00183E82">
      <w:pPr>
        <w:shd w:val="clear" w:color="auto" w:fill="FFFFFF"/>
        <w:spacing w:line="360" w:lineRule="auto"/>
        <w:ind w:firstLine="720"/>
        <w:rPr>
          <w:rFonts w:eastAsia="Times New Roman"/>
          <w:color w:val="000000"/>
          <w:szCs w:val="26"/>
        </w:rPr>
      </w:pPr>
      <w:r>
        <w:rPr>
          <w:rFonts w:eastAsia="Times New Roman" w:cs="Times New Roman"/>
          <w:color w:val="000000"/>
          <w:szCs w:val="26"/>
        </w:rPr>
        <w:t>This statute has an extensive case law gloss.  It is designed to “</w:t>
      </w:r>
      <w:proofErr w:type="gramStart"/>
      <w:r w:rsidRPr="00CF3CD5">
        <w:rPr>
          <w:rFonts w:eastAsia="Times New Roman" w:cs="Times New Roman"/>
          <w:color w:val="000000"/>
          <w:szCs w:val="26"/>
        </w:rPr>
        <w:t>protect</w:t>
      </w:r>
      <w:r w:rsidRPr="007504FD">
        <w:rPr>
          <w:rFonts w:eastAsia="Times New Roman" w:cs="Times New Roman"/>
          <w:color w:val="000000"/>
          <w:spacing w:val="20"/>
          <w:szCs w:val="26"/>
        </w:rPr>
        <w:t>[</w:t>
      </w:r>
      <w:proofErr w:type="gramEnd"/>
      <w:r w:rsidRPr="007504FD">
        <w:rPr>
          <w:rFonts w:eastAsia="Times New Roman" w:cs="Times New Roman"/>
          <w:color w:val="000000"/>
          <w:spacing w:val="20"/>
          <w:szCs w:val="26"/>
        </w:rPr>
        <w:t>]</w:t>
      </w:r>
      <w:r w:rsidRPr="00CF3CD5">
        <w:rPr>
          <w:rFonts w:eastAsia="Times New Roman" w:cs="Times New Roman"/>
          <w:color w:val="000000"/>
          <w:szCs w:val="26"/>
        </w:rPr>
        <w:t xml:space="preserve"> the interests of others affected by the judgment, obviating delay </w:t>
      </w:r>
      <w:r w:rsidRPr="000D22D7">
        <w:rPr>
          <w:rFonts w:eastAsia="Times New Roman" w:cs="Times New Roman"/>
          <w:szCs w:val="26"/>
        </w:rPr>
        <w:lastRenderedPageBreak/>
        <w:t>and multiplicity.”  (</w:t>
      </w:r>
      <w:r w:rsidRPr="000D22D7">
        <w:rPr>
          <w:rFonts w:eastAsia="Times New Roman" w:cs="Times New Roman"/>
          <w:i/>
          <w:iCs/>
          <w:szCs w:val="26"/>
          <w:bdr w:val="none" w:sz="0" w:space="0" w:color="auto" w:frame="1"/>
        </w:rPr>
        <w:t>People v. Superior Court (Good)</w:t>
      </w:r>
      <w:r w:rsidRPr="000D22D7">
        <w:rPr>
          <w:rFonts w:eastAsia="Times New Roman" w:cs="Times New Roman"/>
          <w:szCs w:val="26"/>
        </w:rPr>
        <w:t xml:space="preserve"> (1976) 17</w:t>
      </w:r>
      <w:r>
        <w:rPr>
          <w:rFonts w:eastAsia="Times New Roman" w:cs="Times New Roman"/>
          <w:szCs w:val="26"/>
        </w:rPr>
        <w:t> </w:t>
      </w:r>
      <w:r w:rsidRPr="000D22D7">
        <w:rPr>
          <w:rFonts w:eastAsia="Times New Roman" w:cs="Times New Roman"/>
          <w:szCs w:val="26"/>
        </w:rPr>
        <w:t xml:space="preserve">Cal.3d 732, 736; see </w:t>
      </w:r>
      <w:r w:rsidRPr="000D22D7">
        <w:rPr>
          <w:rFonts w:eastAsia="Times New Roman" w:cs="Times New Roman"/>
          <w:i/>
          <w:iCs/>
          <w:szCs w:val="26"/>
          <w:bdr w:val="none" w:sz="0" w:space="0" w:color="auto" w:frame="1"/>
        </w:rPr>
        <w:t>Belt Casualty Co. v. Furman</w:t>
      </w:r>
      <w:r w:rsidRPr="000D22D7">
        <w:rPr>
          <w:rFonts w:eastAsia="Times New Roman" w:cs="Times New Roman"/>
          <w:szCs w:val="26"/>
        </w:rPr>
        <w:t xml:space="preserve"> </w:t>
      </w:r>
      <w:r w:rsidRPr="001455DE">
        <w:rPr>
          <w:rFonts w:eastAsia="Times New Roman" w:cs="Times New Roman"/>
          <w:color w:val="000000"/>
          <w:szCs w:val="26"/>
        </w:rPr>
        <w:t>(1933) 218</w:t>
      </w:r>
      <w:r>
        <w:rPr>
          <w:rFonts w:eastAsia="Times New Roman" w:cs="Times New Roman"/>
          <w:color w:val="000000"/>
          <w:szCs w:val="26"/>
        </w:rPr>
        <w:t> </w:t>
      </w:r>
      <w:r w:rsidRPr="001455DE">
        <w:rPr>
          <w:rFonts w:eastAsia="Times New Roman" w:cs="Times New Roman"/>
          <w:color w:val="000000"/>
          <w:szCs w:val="26"/>
        </w:rPr>
        <w:t>Cal. 359, 362.</w:t>
      </w:r>
      <w:r w:rsidRPr="00506B3E">
        <w:rPr>
          <w:rFonts w:eastAsia="Times New Roman" w:cs="Times New Roman"/>
          <w:color w:val="000000"/>
          <w:szCs w:val="26"/>
        </w:rPr>
        <w:t>)</w:t>
      </w:r>
      <w:r>
        <w:rPr>
          <w:rFonts w:eastAsia="Times New Roman" w:cs="Times New Roman"/>
          <w:color w:val="000000"/>
          <w:szCs w:val="26"/>
        </w:rPr>
        <w:t xml:space="preserve">  </w:t>
      </w:r>
      <w:r>
        <w:rPr>
          <w:rFonts w:eastAsia="Times New Roman"/>
          <w:color w:val="000000"/>
          <w:szCs w:val="26"/>
        </w:rPr>
        <w:t>T</w:t>
      </w:r>
      <w:r w:rsidRPr="00506B3E">
        <w:rPr>
          <w:rFonts w:eastAsia="Times New Roman" w:cs="Times New Roman"/>
          <w:color w:val="000000"/>
          <w:szCs w:val="26"/>
        </w:rPr>
        <w:t xml:space="preserve">he moving party seeking intervention </w:t>
      </w:r>
      <w:r>
        <w:rPr>
          <w:rFonts w:eastAsia="Times New Roman" w:cs="Times New Roman"/>
          <w:color w:val="000000"/>
          <w:szCs w:val="26"/>
        </w:rPr>
        <w:t xml:space="preserve">always </w:t>
      </w:r>
      <w:r w:rsidRPr="00506B3E">
        <w:rPr>
          <w:rFonts w:eastAsia="Times New Roman" w:cs="Times New Roman"/>
          <w:color w:val="000000"/>
          <w:szCs w:val="26"/>
        </w:rPr>
        <w:t xml:space="preserve">bears the burden of proving entitlement to </w:t>
      </w:r>
      <w:r>
        <w:rPr>
          <w:rFonts w:eastAsia="Times New Roman" w:cs="Times New Roman"/>
          <w:color w:val="000000"/>
          <w:szCs w:val="26"/>
        </w:rPr>
        <w:t xml:space="preserve">party status.  </w:t>
      </w:r>
      <w:r w:rsidRPr="00506B3E">
        <w:rPr>
          <w:rFonts w:eastAsia="Times New Roman" w:cs="Times New Roman"/>
          <w:color w:val="000000"/>
          <w:szCs w:val="26"/>
        </w:rPr>
        <w:t>(</w:t>
      </w:r>
      <w:r w:rsidRPr="00506B3E">
        <w:rPr>
          <w:rFonts w:eastAsia="Times New Roman" w:cs="Times New Roman"/>
          <w:i/>
          <w:iCs/>
          <w:color w:val="000000"/>
          <w:szCs w:val="26"/>
          <w:bdr w:val="none" w:sz="0" w:space="0" w:color="auto" w:frame="1"/>
          <w:shd w:val="clear" w:color="auto" w:fill="FFFFFF"/>
        </w:rPr>
        <w:t>People v</w:t>
      </w:r>
      <w:r w:rsidRPr="00506B3E">
        <w:rPr>
          <w:rFonts w:eastAsia="Times New Roman" w:cs="Times New Roman"/>
          <w:i/>
          <w:iCs/>
          <w:color w:val="3D3D3D"/>
          <w:szCs w:val="26"/>
          <w:bdr w:val="none" w:sz="0" w:space="0" w:color="auto" w:frame="1"/>
          <w:shd w:val="clear" w:color="auto" w:fill="FFFFFF"/>
        </w:rPr>
        <w:t xml:space="preserve">. </w:t>
      </w:r>
      <w:r w:rsidRPr="00506B3E">
        <w:rPr>
          <w:rFonts w:eastAsia="Times New Roman" w:cs="Times New Roman"/>
          <w:i/>
          <w:iCs/>
          <w:color w:val="000000"/>
          <w:szCs w:val="26"/>
          <w:bdr w:val="none" w:sz="0" w:space="0" w:color="auto" w:frame="1"/>
          <w:shd w:val="clear" w:color="auto" w:fill="FFFFFF"/>
        </w:rPr>
        <w:t>Brophy</w:t>
      </w:r>
      <w:r w:rsidRPr="00506B3E">
        <w:rPr>
          <w:rFonts w:eastAsia="Times New Roman" w:cs="Times New Roman"/>
          <w:color w:val="000000"/>
          <w:szCs w:val="26"/>
          <w:bdr w:val="none" w:sz="0" w:space="0" w:color="auto" w:frame="1"/>
          <w:shd w:val="clear" w:color="auto" w:fill="FFFFFF"/>
        </w:rPr>
        <w:t xml:space="preserve"> (1942) 49</w:t>
      </w:r>
      <w:r>
        <w:rPr>
          <w:rFonts w:eastAsia="Times New Roman" w:cs="Times New Roman"/>
          <w:color w:val="000000"/>
          <w:szCs w:val="26"/>
          <w:bdr w:val="none" w:sz="0" w:space="0" w:color="auto" w:frame="1"/>
          <w:shd w:val="clear" w:color="auto" w:fill="FFFFFF"/>
        </w:rPr>
        <w:t> </w:t>
      </w:r>
      <w:r w:rsidRPr="00506B3E">
        <w:rPr>
          <w:rFonts w:eastAsia="Times New Roman" w:cs="Times New Roman"/>
          <w:color w:val="000000"/>
          <w:szCs w:val="26"/>
          <w:bdr w:val="none" w:sz="0" w:space="0" w:color="auto" w:frame="1"/>
          <w:shd w:val="clear" w:color="auto" w:fill="FFFFFF"/>
        </w:rPr>
        <w:t>Cal.App.2d 15, 34</w:t>
      </w:r>
      <w:r>
        <w:rPr>
          <w:rFonts w:eastAsia="Times New Roman" w:cs="Times New Roman"/>
          <w:color w:val="000000"/>
          <w:szCs w:val="26"/>
          <w:bdr w:val="none" w:sz="0" w:space="0" w:color="auto" w:frame="1"/>
          <w:shd w:val="clear" w:color="auto" w:fill="FFFFFF"/>
        </w:rPr>
        <w:t xml:space="preserve">.)  </w:t>
      </w:r>
      <w:r w:rsidRPr="00BA6637">
        <w:rPr>
          <w:rFonts w:eastAsia="Times New Roman"/>
          <w:szCs w:val="26"/>
        </w:rPr>
        <w:t xml:space="preserve">California courts consider </w:t>
      </w:r>
      <w:r w:rsidRPr="005C2952">
        <w:rPr>
          <w:rFonts w:eastAsia="Times New Roman"/>
          <w:szCs w:val="26"/>
        </w:rPr>
        <w:t>federal precedent under F</w:t>
      </w:r>
      <w:r>
        <w:rPr>
          <w:rFonts w:eastAsia="Times New Roman"/>
          <w:szCs w:val="26"/>
        </w:rPr>
        <w:t xml:space="preserve">ederal </w:t>
      </w:r>
      <w:r w:rsidRPr="005C2952">
        <w:rPr>
          <w:rFonts w:eastAsia="Times New Roman"/>
          <w:szCs w:val="26"/>
        </w:rPr>
        <w:t>R</w:t>
      </w:r>
      <w:r>
        <w:rPr>
          <w:rFonts w:eastAsia="Times New Roman"/>
          <w:szCs w:val="26"/>
        </w:rPr>
        <w:t xml:space="preserve">ules of </w:t>
      </w:r>
      <w:r w:rsidRPr="005C2952">
        <w:rPr>
          <w:rFonts w:eastAsia="Times New Roman"/>
          <w:szCs w:val="26"/>
        </w:rPr>
        <w:t>C</w:t>
      </w:r>
      <w:r>
        <w:rPr>
          <w:rFonts w:eastAsia="Times New Roman"/>
          <w:szCs w:val="26"/>
        </w:rPr>
        <w:t xml:space="preserve">ivil </w:t>
      </w:r>
      <w:r w:rsidRPr="005C2952">
        <w:rPr>
          <w:rFonts w:eastAsia="Times New Roman"/>
          <w:szCs w:val="26"/>
        </w:rPr>
        <w:t>P</w:t>
      </w:r>
      <w:r>
        <w:rPr>
          <w:rFonts w:eastAsia="Times New Roman"/>
          <w:szCs w:val="26"/>
        </w:rPr>
        <w:t>rocedure, rule</w:t>
      </w:r>
      <w:r w:rsidRPr="005C2952">
        <w:rPr>
          <w:rFonts w:eastAsia="Times New Roman"/>
          <w:szCs w:val="26"/>
        </w:rPr>
        <w:t xml:space="preserve"> 24 when analyzing section 387 motions.  (</w:t>
      </w:r>
      <w:r w:rsidRPr="005C2952">
        <w:rPr>
          <w:rFonts w:eastAsia="Times New Roman"/>
          <w:i/>
          <w:iCs/>
          <w:szCs w:val="26"/>
          <w:bdr w:val="none" w:sz="0" w:space="0" w:color="auto" w:frame="1"/>
        </w:rPr>
        <w:t>Edwards v. Heartland Payment Systems, Inc.</w:t>
      </w:r>
      <w:r w:rsidRPr="005C2952">
        <w:rPr>
          <w:rFonts w:eastAsia="Times New Roman"/>
          <w:szCs w:val="26"/>
        </w:rPr>
        <w:t xml:space="preserve"> (2018) 29</w:t>
      </w:r>
      <w:r>
        <w:rPr>
          <w:rFonts w:eastAsia="Times New Roman"/>
          <w:szCs w:val="26"/>
        </w:rPr>
        <w:t> </w:t>
      </w:r>
      <w:r w:rsidRPr="005C2952">
        <w:rPr>
          <w:rFonts w:eastAsia="Times New Roman"/>
          <w:szCs w:val="26"/>
        </w:rPr>
        <w:t>Cal.App.5th 725, 732 (</w:t>
      </w:r>
      <w:r w:rsidRPr="005C2952">
        <w:rPr>
          <w:rFonts w:eastAsia="Times New Roman"/>
          <w:i/>
          <w:iCs/>
          <w:szCs w:val="26"/>
        </w:rPr>
        <w:t>Edwards</w:t>
      </w:r>
      <w:r w:rsidRPr="005C2952">
        <w:rPr>
          <w:rFonts w:eastAsia="Times New Roman"/>
          <w:szCs w:val="26"/>
        </w:rPr>
        <w:t>).)</w:t>
      </w:r>
      <w:r>
        <w:rPr>
          <w:rFonts w:eastAsia="Times New Roman"/>
          <w:color w:val="000000"/>
          <w:szCs w:val="26"/>
        </w:rPr>
        <w:t xml:space="preserve"> </w:t>
      </w:r>
      <w:r>
        <w:rPr>
          <w:rFonts w:eastAsia="Times New Roman" w:cs="Times New Roman"/>
          <w:color w:val="000000"/>
          <w:szCs w:val="26"/>
          <w:bdr w:val="none" w:sz="0" w:space="0" w:color="auto" w:frame="1"/>
          <w:shd w:val="clear" w:color="auto" w:fill="FFFFFF"/>
        </w:rPr>
        <w:t xml:space="preserve"> And we </w:t>
      </w:r>
      <w:proofErr w:type="gramStart"/>
      <w:r w:rsidRPr="006076AF">
        <w:rPr>
          <w:rFonts w:eastAsia="Times New Roman"/>
          <w:color w:val="000000"/>
          <w:szCs w:val="26"/>
        </w:rPr>
        <w:t>“</w:t>
      </w:r>
      <w:r>
        <w:rPr>
          <w:rFonts w:eastAsia="Times New Roman"/>
          <w:color w:val="000000"/>
          <w:szCs w:val="26"/>
        </w:rPr>
        <w:t> </w:t>
      </w:r>
      <w:r w:rsidRPr="006076AF">
        <w:rPr>
          <w:rFonts w:eastAsia="Times New Roman"/>
          <w:color w:val="000000"/>
          <w:szCs w:val="26"/>
        </w:rPr>
        <w:t>‘</w:t>
      </w:r>
      <w:proofErr w:type="gramEnd"/>
      <w:r w:rsidRPr="006076AF">
        <w:rPr>
          <w:rFonts w:eastAsia="Times New Roman"/>
          <w:color w:val="000000"/>
          <w:szCs w:val="26"/>
        </w:rPr>
        <w:t>liberally construe</w:t>
      </w:r>
      <w:r w:rsidRPr="00A83E95">
        <w:rPr>
          <w:rFonts w:eastAsia="Times New Roman"/>
          <w:color w:val="000000"/>
          <w:spacing w:val="20"/>
          <w:szCs w:val="26"/>
        </w:rPr>
        <w:t>[]</w:t>
      </w:r>
      <w:r w:rsidRPr="006076AF">
        <w:rPr>
          <w:rFonts w:eastAsia="Times New Roman"/>
          <w:color w:val="000000"/>
          <w:szCs w:val="26"/>
        </w:rPr>
        <w:t>’</w:t>
      </w:r>
      <w:r>
        <w:rPr>
          <w:rFonts w:eastAsia="Times New Roman"/>
          <w:color w:val="000000"/>
          <w:szCs w:val="26"/>
        </w:rPr>
        <w:t> </w:t>
      </w:r>
      <w:r w:rsidRPr="006076AF">
        <w:rPr>
          <w:rFonts w:eastAsia="Times New Roman"/>
          <w:color w:val="000000"/>
          <w:szCs w:val="26"/>
        </w:rPr>
        <w:t xml:space="preserve">” </w:t>
      </w:r>
      <w:r>
        <w:rPr>
          <w:rFonts w:eastAsia="Times New Roman"/>
          <w:color w:val="000000"/>
          <w:szCs w:val="26"/>
        </w:rPr>
        <w:t xml:space="preserve">section 387 in favor of non-party movants </w:t>
      </w:r>
      <w:r w:rsidRPr="006076AF">
        <w:rPr>
          <w:rFonts w:eastAsia="Times New Roman"/>
          <w:color w:val="000000"/>
          <w:szCs w:val="26"/>
        </w:rPr>
        <w:t>(</w:t>
      </w:r>
      <w:r w:rsidRPr="008B20D4">
        <w:rPr>
          <w:rFonts w:eastAsia="Times New Roman"/>
          <w:i/>
          <w:iCs/>
          <w:szCs w:val="26"/>
          <w:bdr w:val="none" w:sz="0" w:space="0" w:color="auto" w:frame="1"/>
        </w:rPr>
        <w:t>City of Malibu v. California Coastal Com.</w:t>
      </w:r>
      <w:r w:rsidRPr="008B20D4">
        <w:rPr>
          <w:rFonts w:eastAsia="Times New Roman"/>
          <w:szCs w:val="26"/>
        </w:rPr>
        <w:t xml:space="preserve"> </w:t>
      </w:r>
      <w:r w:rsidRPr="006076AF">
        <w:rPr>
          <w:rFonts w:eastAsia="Times New Roman"/>
          <w:color w:val="000000"/>
          <w:szCs w:val="26"/>
        </w:rPr>
        <w:t>(2005) 1</w:t>
      </w:r>
      <w:r w:rsidRPr="006076AF">
        <w:rPr>
          <w:rFonts w:eastAsia="Times New Roman"/>
          <w:color w:val="000000"/>
          <w:szCs w:val="26"/>
        </w:rPr>
        <w:t>28</w:t>
      </w:r>
      <w:r>
        <w:rPr>
          <w:rFonts w:eastAsia="Times New Roman"/>
          <w:color w:val="000000"/>
          <w:szCs w:val="26"/>
        </w:rPr>
        <w:t> </w:t>
      </w:r>
      <w:r w:rsidRPr="006076AF">
        <w:rPr>
          <w:rFonts w:eastAsia="Times New Roman"/>
          <w:color w:val="000000"/>
          <w:szCs w:val="26"/>
        </w:rPr>
        <w:t>Cal.App.4th 897, 902)</w:t>
      </w:r>
      <w:r>
        <w:rPr>
          <w:rFonts w:eastAsia="Times New Roman"/>
          <w:color w:val="000000"/>
          <w:szCs w:val="26"/>
        </w:rPr>
        <w:t xml:space="preserve">, </w:t>
      </w:r>
      <w:r w:rsidRPr="006076AF">
        <w:rPr>
          <w:rFonts w:eastAsia="Times New Roman"/>
          <w:color w:val="000000"/>
          <w:szCs w:val="26"/>
        </w:rPr>
        <w:t>“</w:t>
      </w:r>
      <w:r>
        <w:rPr>
          <w:rFonts w:eastAsia="Times New Roman"/>
          <w:color w:val="000000"/>
          <w:szCs w:val="26"/>
        </w:rPr>
        <w:t> </w:t>
      </w:r>
      <w:r w:rsidRPr="006076AF">
        <w:rPr>
          <w:rFonts w:eastAsia="Times New Roman"/>
          <w:color w:val="000000"/>
          <w:szCs w:val="26"/>
        </w:rPr>
        <w:t>‘</w:t>
      </w:r>
      <w:r>
        <w:rPr>
          <w:rFonts w:eastAsia="Times New Roman"/>
          <w:color w:val="000000"/>
          <w:szCs w:val="26"/>
        </w:rPr>
        <w:t> </w:t>
      </w:r>
      <w:r w:rsidRPr="006076AF">
        <w:rPr>
          <w:rFonts w:eastAsia="Times New Roman"/>
          <w:color w:val="000000"/>
          <w:szCs w:val="26"/>
        </w:rPr>
        <w:t>“guided primarily by practical and equitable considerations</w:t>
      </w:r>
      <w:r>
        <w:rPr>
          <w:rFonts w:eastAsia="Times New Roman"/>
          <w:color w:val="000000"/>
          <w:szCs w:val="26"/>
        </w:rPr>
        <w:t>.</w:t>
      </w:r>
      <w:r w:rsidRPr="006076AF">
        <w:rPr>
          <w:rFonts w:eastAsia="Times New Roman"/>
          <w:color w:val="000000"/>
          <w:szCs w:val="26"/>
        </w:rPr>
        <w:t>”</w:t>
      </w:r>
      <w:r>
        <w:rPr>
          <w:rFonts w:eastAsia="Times New Roman"/>
          <w:color w:val="000000"/>
          <w:szCs w:val="26"/>
        </w:rPr>
        <w:t> </w:t>
      </w:r>
      <w:r w:rsidRPr="006076AF">
        <w:rPr>
          <w:rFonts w:eastAsia="Times New Roman"/>
          <w:color w:val="000000"/>
          <w:szCs w:val="26"/>
        </w:rPr>
        <w:t>’</w:t>
      </w:r>
      <w:r>
        <w:rPr>
          <w:rFonts w:eastAsia="Times New Roman"/>
          <w:color w:val="000000"/>
          <w:szCs w:val="26"/>
        </w:rPr>
        <w:t> </w:t>
      </w:r>
      <w:r w:rsidRPr="006076AF">
        <w:rPr>
          <w:rFonts w:eastAsia="Times New Roman"/>
          <w:color w:val="000000"/>
          <w:szCs w:val="26"/>
        </w:rPr>
        <w:t>”  (</w:t>
      </w:r>
      <w:r w:rsidRPr="00127560">
        <w:rPr>
          <w:rFonts w:eastAsia="Times New Roman"/>
          <w:i/>
          <w:iCs/>
          <w:szCs w:val="26"/>
          <w:bdr w:val="none" w:sz="0" w:space="0" w:color="auto" w:frame="1"/>
        </w:rPr>
        <w:t>Callahan</w:t>
      </w:r>
      <w:r w:rsidRPr="00127560">
        <w:rPr>
          <w:rFonts w:eastAsia="Times New Roman"/>
          <w:szCs w:val="26"/>
        </w:rPr>
        <w:t xml:space="preserve"> </w:t>
      </w:r>
      <w:r w:rsidRPr="00127560">
        <w:rPr>
          <w:rFonts w:eastAsia="Times New Roman"/>
          <w:i/>
          <w:iCs/>
          <w:color w:val="000000"/>
          <w:szCs w:val="26"/>
        </w:rPr>
        <w:t>v. Brookdale Senior Living Communities, Inc.</w:t>
      </w:r>
      <w:r>
        <w:rPr>
          <w:rFonts w:eastAsia="Times New Roman"/>
          <w:color w:val="000000"/>
          <w:szCs w:val="26"/>
        </w:rPr>
        <w:t xml:space="preserve"> (9</w:t>
      </w:r>
      <w:r w:rsidRPr="00FF6312">
        <w:rPr>
          <w:rFonts w:eastAsia="Times New Roman"/>
          <w:color w:val="000000"/>
          <w:szCs w:val="26"/>
        </w:rPr>
        <w:t>th</w:t>
      </w:r>
      <w:r>
        <w:rPr>
          <w:rFonts w:eastAsia="Times New Roman"/>
          <w:color w:val="000000"/>
          <w:szCs w:val="26"/>
        </w:rPr>
        <w:t xml:space="preserve"> Cir. 2022) </w:t>
      </w:r>
      <w:r w:rsidRPr="006076AF">
        <w:rPr>
          <w:rFonts w:eastAsia="Times New Roman"/>
          <w:color w:val="000000"/>
          <w:szCs w:val="26"/>
        </w:rPr>
        <w:t>42</w:t>
      </w:r>
      <w:r>
        <w:rPr>
          <w:rFonts w:eastAsia="Times New Roman"/>
          <w:color w:val="000000"/>
          <w:szCs w:val="26"/>
        </w:rPr>
        <w:t> </w:t>
      </w:r>
      <w:r w:rsidRPr="006076AF">
        <w:rPr>
          <w:rFonts w:eastAsia="Times New Roman"/>
          <w:color w:val="000000"/>
          <w:szCs w:val="26"/>
        </w:rPr>
        <w:t xml:space="preserve">F.4th </w:t>
      </w:r>
      <w:r>
        <w:rPr>
          <w:rFonts w:eastAsia="Times New Roman"/>
          <w:color w:val="000000"/>
          <w:szCs w:val="26"/>
        </w:rPr>
        <w:t xml:space="preserve">1013, </w:t>
      </w:r>
      <w:r w:rsidRPr="006076AF">
        <w:rPr>
          <w:rFonts w:eastAsia="Times New Roman"/>
          <w:color w:val="000000"/>
          <w:szCs w:val="26"/>
        </w:rPr>
        <w:t>1020</w:t>
      </w:r>
      <w:r>
        <w:rPr>
          <w:rFonts w:eastAsia="Times New Roman"/>
          <w:color w:val="000000"/>
          <w:szCs w:val="26"/>
        </w:rPr>
        <w:t xml:space="preserve"> (</w:t>
      </w:r>
      <w:r w:rsidRPr="00826AFE">
        <w:rPr>
          <w:rFonts w:eastAsia="Times New Roman"/>
          <w:i/>
          <w:iCs/>
          <w:color w:val="000000"/>
          <w:szCs w:val="26"/>
        </w:rPr>
        <w:t>Callahan</w:t>
      </w:r>
      <w:r>
        <w:rPr>
          <w:rFonts w:eastAsia="Times New Roman"/>
          <w:color w:val="000000"/>
          <w:szCs w:val="26"/>
        </w:rPr>
        <w:t xml:space="preserve">).) </w:t>
      </w:r>
    </w:p>
    <w:p w14:paraId="078143D0" w14:textId="77777777" w:rsidR="001B7881" w:rsidRPr="004259F0" w:rsidRDefault="00B45E56" w:rsidP="00BA73FB">
      <w:pPr>
        <w:shd w:val="clear" w:color="auto" w:fill="FFFFFF"/>
        <w:spacing w:line="360" w:lineRule="auto"/>
        <w:ind w:firstLine="720"/>
        <w:rPr>
          <w:rFonts w:eastAsia="Times New Roman"/>
          <w:szCs w:val="26"/>
        </w:rPr>
      </w:pPr>
      <w:r>
        <w:rPr>
          <w:rFonts w:eastAsia="Times New Roman" w:cs="Times New Roman"/>
          <w:color w:val="000000"/>
          <w:szCs w:val="26"/>
        </w:rPr>
        <w:t xml:space="preserve">The threshold requirement that the non-party possess an “interest” in the litigation—textually defined under section 387, subdivision (d)(1)(B) as “an interest </w:t>
      </w:r>
      <w:r w:rsidRPr="0006206A">
        <w:rPr>
          <w:rFonts w:eastAsia="Times New Roman" w:cs="Times New Roman"/>
          <w:szCs w:val="26"/>
        </w:rPr>
        <w:t xml:space="preserve">relating to the property or transaction </w:t>
      </w:r>
      <w:r w:rsidRPr="0006206A">
        <w:rPr>
          <w:rFonts w:eastAsia="Times New Roman" w:cs="Times New Roman"/>
          <w:szCs w:val="26"/>
          <w:bdr w:val="none" w:sz="0" w:space="0" w:color="auto" w:frame="1"/>
          <w:shd w:val="clear" w:color="auto" w:fill="FFFFFF"/>
        </w:rPr>
        <w:t>that</w:t>
      </w:r>
      <w:r w:rsidRPr="0006206A">
        <w:rPr>
          <w:rFonts w:eastAsia="Times New Roman" w:cs="Times New Roman"/>
          <w:szCs w:val="26"/>
        </w:rPr>
        <w:t xml:space="preserve"> is the subject of the action</w:t>
      </w:r>
      <w:r>
        <w:rPr>
          <w:rFonts w:eastAsia="Times New Roman" w:cs="Times New Roman"/>
          <w:szCs w:val="26"/>
        </w:rPr>
        <w:t xml:space="preserve">” and under </w:t>
      </w:r>
      <w:r>
        <w:rPr>
          <w:rFonts w:eastAsia="Times New Roman" w:cs="Times New Roman"/>
          <w:color w:val="000000"/>
          <w:szCs w:val="26"/>
        </w:rPr>
        <w:t>subdivision</w:t>
      </w:r>
      <w:r>
        <w:rPr>
          <w:rFonts w:eastAsia="Times New Roman" w:cs="Times New Roman"/>
          <w:color w:val="000000"/>
          <w:szCs w:val="26"/>
        </w:rPr>
        <w:t xml:space="preserve"> (d)(2) as</w:t>
      </w:r>
      <w:r>
        <w:rPr>
          <w:rFonts w:eastAsia="Times New Roman" w:cs="Times New Roman"/>
          <w:szCs w:val="26"/>
        </w:rPr>
        <w:t xml:space="preserve"> an “interest in the matter in litigation”—requires the non-</w:t>
      </w:r>
      <w:r w:rsidRPr="00945D74">
        <w:rPr>
          <w:rFonts w:eastAsia="Times New Roman" w:cs="Times New Roman"/>
          <w:szCs w:val="26"/>
        </w:rPr>
        <w:t xml:space="preserve">party’s interest </w:t>
      </w:r>
      <w:r>
        <w:rPr>
          <w:rFonts w:eastAsia="Times New Roman" w:cs="Times New Roman"/>
          <w:szCs w:val="26"/>
        </w:rPr>
        <w:t xml:space="preserve">to “be </w:t>
      </w:r>
      <w:r w:rsidRPr="004259F0">
        <w:rPr>
          <w:rFonts w:eastAsia="Times New Roman"/>
          <w:szCs w:val="26"/>
        </w:rPr>
        <w:t>direct rather than consequential</w:t>
      </w:r>
      <w:r>
        <w:rPr>
          <w:rFonts w:eastAsia="Times New Roman"/>
          <w:szCs w:val="26"/>
        </w:rPr>
        <w:t>.</w:t>
      </w:r>
      <w:r w:rsidRPr="004259F0">
        <w:rPr>
          <w:rFonts w:eastAsia="Times New Roman"/>
          <w:szCs w:val="26"/>
        </w:rPr>
        <w:t xml:space="preserve">” </w:t>
      </w:r>
      <w:r>
        <w:rPr>
          <w:rFonts w:eastAsia="Times New Roman"/>
          <w:szCs w:val="26"/>
        </w:rPr>
        <w:t xml:space="preserve"> </w:t>
      </w:r>
      <w:r w:rsidRPr="004259F0">
        <w:rPr>
          <w:rFonts w:eastAsia="Times New Roman"/>
          <w:szCs w:val="26"/>
        </w:rPr>
        <w:t>(</w:t>
      </w:r>
      <w:r w:rsidRPr="004259F0">
        <w:rPr>
          <w:rFonts w:eastAsia="Times New Roman"/>
          <w:i/>
          <w:iCs/>
          <w:szCs w:val="26"/>
          <w:bdr w:val="none" w:sz="0" w:space="0" w:color="auto" w:frame="1"/>
        </w:rPr>
        <w:t>People v. Superior Court (Good)</w:t>
      </w:r>
      <w:r>
        <w:rPr>
          <w:rFonts w:eastAsia="Times New Roman"/>
          <w:szCs w:val="26"/>
        </w:rPr>
        <w:t xml:space="preserve">, </w:t>
      </w:r>
      <w:r w:rsidRPr="00052C8F">
        <w:rPr>
          <w:rFonts w:eastAsia="Times New Roman"/>
          <w:i/>
          <w:iCs/>
          <w:szCs w:val="26"/>
        </w:rPr>
        <w:t>supra</w:t>
      </w:r>
      <w:r>
        <w:rPr>
          <w:rFonts w:eastAsia="Times New Roman"/>
          <w:szCs w:val="26"/>
        </w:rPr>
        <w:t>,</w:t>
      </w:r>
      <w:r w:rsidRPr="004259F0">
        <w:rPr>
          <w:rFonts w:eastAsia="Times New Roman"/>
          <w:szCs w:val="26"/>
        </w:rPr>
        <w:t xml:space="preserve"> 17</w:t>
      </w:r>
      <w:r>
        <w:rPr>
          <w:rFonts w:eastAsia="Times New Roman"/>
          <w:szCs w:val="26"/>
        </w:rPr>
        <w:t> </w:t>
      </w:r>
      <w:r w:rsidRPr="004259F0">
        <w:rPr>
          <w:rFonts w:eastAsia="Times New Roman"/>
          <w:szCs w:val="26"/>
        </w:rPr>
        <w:t xml:space="preserve">Cal.3d </w:t>
      </w:r>
      <w:r>
        <w:rPr>
          <w:rFonts w:eastAsia="Times New Roman"/>
          <w:szCs w:val="26"/>
        </w:rPr>
        <w:t>at p. </w:t>
      </w:r>
      <w:r w:rsidRPr="004259F0">
        <w:rPr>
          <w:rFonts w:eastAsia="Times New Roman"/>
          <w:szCs w:val="26"/>
        </w:rPr>
        <w:t>736</w:t>
      </w:r>
      <w:r>
        <w:rPr>
          <w:rFonts w:eastAsia="Times New Roman"/>
          <w:szCs w:val="26"/>
        </w:rPr>
        <w:t>.</w:t>
      </w:r>
      <w:r w:rsidRPr="004259F0">
        <w:rPr>
          <w:rFonts w:eastAsia="Times New Roman"/>
          <w:szCs w:val="26"/>
        </w:rPr>
        <w:t>)</w:t>
      </w:r>
      <w:r>
        <w:rPr>
          <w:rFonts w:eastAsia="Times New Roman"/>
          <w:szCs w:val="26"/>
        </w:rPr>
        <w:t xml:space="preserve">  Consistent with the approach courts take to construction of the statute generally, the standard is a practical one, requiring that we look to whether </w:t>
      </w:r>
      <w:proofErr w:type="gramStart"/>
      <w:r w:rsidRPr="004259F0">
        <w:rPr>
          <w:rFonts w:eastAsia="Times New Roman" w:cs="Times New Roman"/>
          <w:szCs w:val="26"/>
        </w:rPr>
        <w:t>“</w:t>
      </w:r>
      <w:r>
        <w:rPr>
          <w:rFonts w:eastAsia="Times New Roman" w:cs="Times New Roman"/>
          <w:szCs w:val="26"/>
        </w:rPr>
        <w:t> ‘</w:t>
      </w:r>
      <w:proofErr w:type="gramEnd"/>
      <w:r w:rsidRPr="004259F0">
        <w:rPr>
          <w:rFonts w:eastAsia="Times New Roman" w:cs="Times New Roman"/>
          <w:szCs w:val="26"/>
        </w:rPr>
        <w:t>the intervener will either gain or lose by the direct legal operation and effect of the judgment</w:t>
      </w:r>
      <w:r>
        <w:rPr>
          <w:rFonts w:eastAsia="Times New Roman" w:cs="Times New Roman"/>
          <w:szCs w:val="26"/>
        </w:rPr>
        <w:t>.’ </w:t>
      </w:r>
      <w:r w:rsidRPr="004259F0">
        <w:rPr>
          <w:rFonts w:eastAsia="Times New Roman" w:cs="Times New Roman"/>
          <w:szCs w:val="26"/>
        </w:rPr>
        <w:t xml:space="preserve">” </w:t>
      </w:r>
      <w:r>
        <w:rPr>
          <w:rFonts w:eastAsia="Times New Roman" w:cs="Times New Roman"/>
          <w:szCs w:val="26"/>
        </w:rPr>
        <w:t xml:space="preserve"> </w:t>
      </w:r>
      <w:r w:rsidRPr="004259F0">
        <w:rPr>
          <w:rFonts w:eastAsia="Times New Roman" w:cs="Times New Roman"/>
          <w:szCs w:val="26"/>
        </w:rPr>
        <w:t>(</w:t>
      </w:r>
      <w:r w:rsidRPr="004259F0">
        <w:rPr>
          <w:rFonts w:eastAsia="Times New Roman" w:cs="Times New Roman"/>
          <w:i/>
          <w:iCs/>
          <w:szCs w:val="26"/>
        </w:rPr>
        <w:t>J</w:t>
      </w:r>
      <w:r w:rsidRPr="004259F0">
        <w:rPr>
          <w:rFonts w:eastAsia="Times New Roman" w:cs="Times New Roman"/>
          <w:i/>
          <w:iCs/>
          <w:szCs w:val="26"/>
          <w:bdr w:val="none" w:sz="0" w:space="0" w:color="auto" w:frame="1"/>
        </w:rPr>
        <w:t>ersey Maid Milk Products Co. v. Brock</w:t>
      </w:r>
      <w:r w:rsidRPr="004259F0">
        <w:rPr>
          <w:rFonts w:eastAsia="Times New Roman" w:cs="Times New Roman"/>
          <w:szCs w:val="26"/>
        </w:rPr>
        <w:t xml:space="preserve"> (1939) 13</w:t>
      </w:r>
      <w:r>
        <w:rPr>
          <w:rFonts w:eastAsia="Times New Roman" w:cs="Times New Roman"/>
          <w:szCs w:val="26"/>
        </w:rPr>
        <w:t> </w:t>
      </w:r>
      <w:r w:rsidRPr="004259F0">
        <w:rPr>
          <w:rFonts w:eastAsia="Times New Roman" w:cs="Times New Roman"/>
          <w:szCs w:val="26"/>
        </w:rPr>
        <w:t xml:space="preserve">Cal.2d 661, 663; see </w:t>
      </w:r>
      <w:r w:rsidRPr="004259F0">
        <w:rPr>
          <w:rFonts w:eastAsia="Times New Roman" w:cs="Times New Roman"/>
          <w:i/>
          <w:iCs/>
          <w:szCs w:val="26"/>
          <w:bdr w:val="none" w:sz="0" w:space="0" w:color="auto" w:frame="1"/>
        </w:rPr>
        <w:t>Elliott v. Superior Court</w:t>
      </w:r>
      <w:r w:rsidRPr="004259F0">
        <w:rPr>
          <w:rFonts w:eastAsia="Times New Roman" w:cs="Times New Roman"/>
          <w:szCs w:val="26"/>
        </w:rPr>
        <w:t xml:space="preserve"> (1914) 168</w:t>
      </w:r>
      <w:r>
        <w:rPr>
          <w:rFonts w:eastAsia="Times New Roman" w:cs="Times New Roman"/>
          <w:szCs w:val="26"/>
        </w:rPr>
        <w:t> </w:t>
      </w:r>
      <w:r w:rsidRPr="004259F0">
        <w:rPr>
          <w:rFonts w:eastAsia="Times New Roman" w:cs="Times New Roman"/>
          <w:szCs w:val="26"/>
        </w:rPr>
        <w:t>Cal. 727, 734.)</w:t>
      </w:r>
      <w:r w:rsidRPr="004259F0">
        <w:rPr>
          <w:rFonts w:ascii="Source Sans Pro" w:eastAsia="Times New Roman" w:hAnsi="Source Sans Pro" w:cs="Times New Roman"/>
          <w:sz w:val="24"/>
          <w:szCs w:val="24"/>
        </w:rPr>
        <w:t xml:space="preserve"> </w:t>
      </w:r>
    </w:p>
    <w:p w14:paraId="051332D2" w14:textId="77777777" w:rsidR="00BF54E2" w:rsidRPr="00BF54E2" w:rsidRDefault="00B45E56" w:rsidP="00DB7BA4">
      <w:pPr>
        <w:shd w:val="clear" w:color="auto" w:fill="FFFFFF"/>
        <w:spacing w:line="360" w:lineRule="auto"/>
        <w:ind w:firstLine="720"/>
        <w:rPr>
          <w:szCs w:val="26"/>
        </w:rPr>
      </w:pPr>
      <w:r>
        <w:rPr>
          <w:rFonts w:eastAsia="Times New Roman"/>
          <w:szCs w:val="26"/>
        </w:rPr>
        <w:t>These foundational principles, all enunciated prior to 1977, continue to govern construction of the statute today.  What is differ</w:t>
      </w:r>
      <w:r>
        <w:rPr>
          <w:rFonts w:eastAsia="Times New Roman"/>
          <w:szCs w:val="26"/>
        </w:rPr>
        <w:t>ent now is that, u</w:t>
      </w:r>
      <w:r w:rsidRPr="004259F0">
        <w:rPr>
          <w:rFonts w:eastAsia="Times New Roman"/>
          <w:szCs w:val="26"/>
        </w:rPr>
        <w:t>nder the bifurcated scheme taken from F</w:t>
      </w:r>
      <w:r>
        <w:rPr>
          <w:rFonts w:eastAsia="Times New Roman"/>
          <w:szCs w:val="26"/>
        </w:rPr>
        <w:t xml:space="preserve">ederal </w:t>
      </w:r>
      <w:r w:rsidRPr="004259F0">
        <w:rPr>
          <w:rFonts w:eastAsia="Times New Roman"/>
          <w:szCs w:val="26"/>
        </w:rPr>
        <w:t>R</w:t>
      </w:r>
      <w:r>
        <w:rPr>
          <w:rFonts w:eastAsia="Times New Roman"/>
          <w:szCs w:val="26"/>
        </w:rPr>
        <w:t xml:space="preserve">ules of </w:t>
      </w:r>
      <w:r w:rsidRPr="004259F0">
        <w:rPr>
          <w:rFonts w:eastAsia="Times New Roman"/>
          <w:szCs w:val="26"/>
        </w:rPr>
        <w:t>C</w:t>
      </w:r>
      <w:r>
        <w:rPr>
          <w:rFonts w:eastAsia="Times New Roman"/>
          <w:szCs w:val="26"/>
        </w:rPr>
        <w:t xml:space="preserve">ivil </w:t>
      </w:r>
      <w:r w:rsidRPr="004259F0">
        <w:rPr>
          <w:rFonts w:eastAsia="Times New Roman"/>
          <w:szCs w:val="26"/>
        </w:rPr>
        <w:t>P</w:t>
      </w:r>
      <w:r>
        <w:rPr>
          <w:rFonts w:eastAsia="Times New Roman"/>
          <w:szCs w:val="26"/>
        </w:rPr>
        <w:t>rocedure, rule</w:t>
      </w:r>
      <w:r w:rsidRPr="004259F0">
        <w:rPr>
          <w:rFonts w:eastAsia="Times New Roman"/>
          <w:szCs w:val="26"/>
        </w:rPr>
        <w:t xml:space="preserve"> 24, nonparties </w:t>
      </w:r>
      <w:r w:rsidRPr="004259F0">
        <w:rPr>
          <w:rFonts w:eastAsia="Times New Roman"/>
          <w:i/>
          <w:iCs/>
          <w:szCs w:val="26"/>
        </w:rPr>
        <w:t>must</w:t>
      </w:r>
      <w:r w:rsidRPr="004259F0">
        <w:rPr>
          <w:rFonts w:eastAsia="Times New Roman"/>
          <w:szCs w:val="26"/>
        </w:rPr>
        <w:t xml:space="preserve"> be permitted to intervene </w:t>
      </w:r>
      <w:r>
        <w:rPr>
          <w:rFonts w:eastAsia="Times New Roman"/>
          <w:szCs w:val="26"/>
        </w:rPr>
        <w:t xml:space="preserve">under section 387, subdivision </w:t>
      </w:r>
      <w:r>
        <w:rPr>
          <w:rFonts w:eastAsia="Times New Roman"/>
          <w:szCs w:val="26"/>
        </w:rPr>
        <w:lastRenderedPageBreak/>
        <w:t xml:space="preserve">(d)(1)(B) </w:t>
      </w:r>
      <w:r w:rsidRPr="004259F0">
        <w:rPr>
          <w:rFonts w:eastAsia="Times New Roman"/>
          <w:szCs w:val="26"/>
        </w:rPr>
        <w:t xml:space="preserve">if they: </w:t>
      </w:r>
      <w:r>
        <w:rPr>
          <w:rFonts w:eastAsia="Times New Roman"/>
          <w:szCs w:val="26"/>
        </w:rPr>
        <w:t xml:space="preserve"> </w:t>
      </w:r>
      <w:r w:rsidRPr="004259F0">
        <w:rPr>
          <w:rFonts w:eastAsia="Times New Roman"/>
          <w:szCs w:val="26"/>
        </w:rPr>
        <w:t>(1)</w:t>
      </w:r>
      <w:r>
        <w:rPr>
          <w:rFonts w:eastAsia="Times New Roman"/>
          <w:szCs w:val="26"/>
        </w:rPr>
        <w:t> </w:t>
      </w:r>
      <w:r w:rsidRPr="004259F0">
        <w:rPr>
          <w:rFonts w:eastAsia="Times New Roman"/>
          <w:szCs w:val="26"/>
        </w:rPr>
        <w:t xml:space="preserve">file </w:t>
      </w:r>
      <w:r w:rsidRPr="007C0389">
        <w:rPr>
          <w:rFonts w:eastAsia="Times New Roman"/>
          <w:szCs w:val="26"/>
        </w:rPr>
        <w:t xml:space="preserve">a timely </w:t>
      </w:r>
      <w:r w:rsidRPr="004259F0">
        <w:rPr>
          <w:rFonts w:eastAsia="Times New Roman"/>
          <w:szCs w:val="26"/>
        </w:rPr>
        <w:t>application, (2)</w:t>
      </w:r>
      <w:r>
        <w:rPr>
          <w:rFonts w:eastAsia="Times New Roman"/>
          <w:szCs w:val="26"/>
        </w:rPr>
        <w:t> </w:t>
      </w:r>
      <w:r w:rsidRPr="004259F0">
        <w:rPr>
          <w:rFonts w:eastAsia="Times New Roman"/>
          <w:szCs w:val="26"/>
        </w:rPr>
        <w:t xml:space="preserve">have </w:t>
      </w:r>
      <w:r>
        <w:rPr>
          <w:rFonts w:eastAsia="Times New Roman"/>
          <w:szCs w:val="26"/>
        </w:rPr>
        <w:t>“</w:t>
      </w:r>
      <w:r w:rsidRPr="004259F0">
        <w:rPr>
          <w:rFonts w:eastAsia="Times New Roman"/>
          <w:szCs w:val="26"/>
        </w:rPr>
        <w:t xml:space="preserve">an interest relating </w:t>
      </w:r>
      <w:r w:rsidRPr="00506B3E">
        <w:rPr>
          <w:rFonts w:eastAsia="Times New Roman"/>
          <w:color w:val="000000"/>
          <w:szCs w:val="26"/>
        </w:rPr>
        <w:t>to the property or transaction that is the subject of the action</w:t>
      </w:r>
      <w:r w:rsidRPr="00BF54E2">
        <w:rPr>
          <w:rFonts w:eastAsia="Times New Roman"/>
          <w:color w:val="000000"/>
          <w:szCs w:val="26"/>
        </w:rPr>
        <w:t>,”</w:t>
      </w:r>
      <w:r w:rsidRPr="00506B3E">
        <w:rPr>
          <w:rFonts w:eastAsia="Times New Roman"/>
          <w:color w:val="000000"/>
          <w:szCs w:val="26"/>
        </w:rPr>
        <w:t xml:space="preserve"> (3)</w:t>
      </w:r>
      <w:r>
        <w:rPr>
          <w:rFonts w:eastAsia="Times New Roman"/>
          <w:color w:val="000000"/>
          <w:szCs w:val="26"/>
        </w:rPr>
        <w:t> </w:t>
      </w:r>
      <w:r w:rsidRPr="00506B3E">
        <w:rPr>
          <w:rFonts w:eastAsia="Times New Roman"/>
          <w:color w:val="000000"/>
          <w:szCs w:val="26"/>
        </w:rPr>
        <w:t xml:space="preserve">are </w:t>
      </w:r>
      <w:r w:rsidRPr="00BF54E2">
        <w:rPr>
          <w:rFonts w:eastAsia="Times New Roman"/>
          <w:color w:val="000000"/>
          <w:szCs w:val="26"/>
        </w:rPr>
        <w:t>“</w:t>
      </w:r>
      <w:r w:rsidRPr="00506B3E">
        <w:rPr>
          <w:rFonts w:eastAsia="Times New Roman"/>
          <w:color w:val="000000"/>
          <w:szCs w:val="26"/>
        </w:rPr>
        <w:t>so situated that the disposition of the action may impair or impede [their] ability to protect that interest</w:t>
      </w:r>
      <w:r w:rsidRPr="00BF54E2">
        <w:rPr>
          <w:rFonts w:eastAsia="Times New Roman"/>
          <w:color w:val="000000"/>
          <w:szCs w:val="26"/>
        </w:rPr>
        <w:t>,”</w:t>
      </w:r>
      <w:r>
        <w:rPr>
          <w:rFonts w:eastAsia="Times New Roman"/>
          <w:color w:val="000000"/>
          <w:szCs w:val="26"/>
        </w:rPr>
        <w:t xml:space="preserve"> and (4) show that their interest is not “adequat</w:t>
      </w:r>
      <w:r>
        <w:rPr>
          <w:rFonts w:eastAsia="Times New Roman"/>
          <w:color w:val="000000"/>
          <w:szCs w:val="26"/>
        </w:rPr>
        <w:t xml:space="preserve">ely represented by one or more of the existing </w:t>
      </w:r>
      <w:r w:rsidRPr="00BF54E2">
        <w:rPr>
          <w:szCs w:val="26"/>
        </w:rPr>
        <w:t>parties.</w:t>
      </w:r>
      <w:r>
        <w:rPr>
          <w:szCs w:val="26"/>
        </w:rPr>
        <w:t>”</w:t>
      </w:r>
      <w:r w:rsidRPr="00BF54E2">
        <w:rPr>
          <w:szCs w:val="26"/>
        </w:rPr>
        <w:t xml:space="preserve"> </w:t>
      </w:r>
      <w:r>
        <w:rPr>
          <w:szCs w:val="26"/>
        </w:rPr>
        <w:t xml:space="preserve"> </w:t>
      </w:r>
      <w:r w:rsidRPr="00D56FD2">
        <w:rPr>
          <w:rFonts w:eastAsia="Times New Roman" w:cs="Times New Roman"/>
          <w:color w:val="212121"/>
          <w:szCs w:val="26"/>
        </w:rPr>
        <w:t>(</w:t>
      </w:r>
      <w:r w:rsidRPr="00D56FD2">
        <w:rPr>
          <w:rFonts w:eastAsia="Times New Roman" w:cs="Times New Roman"/>
          <w:i/>
          <w:iCs/>
          <w:szCs w:val="26"/>
          <w:bdr w:val="none" w:sz="0" w:space="0" w:color="auto" w:frame="1"/>
        </w:rPr>
        <w:t xml:space="preserve">United States v. </w:t>
      </w:r>
      <w:proofErr w:type="spellStart"/>
      <w:r w:rsidRPr="00D56FD2">
        <w:rPr>
          <w:rFonts w:eastAsia="Times New Roman" w:cs="Times New Roman"/>
          <w:i/>
          <w:iCs/>
          <w:szCs w:val="26"/>
          <w:bdr w:val="none" w:sz="0" w:space="0" w:color="auto" w:frame="1"/>
        </w:rPr>
        <w:t>Alisal</w:t>
      </w:r>
      <w:proofErr w:type="spellEnd"/>
      <w:r w:rsidRPr="00D56FD2">
        <w:rPr>
          <w:rFonts w:eastAsia="Times New Roman" w:cs="Times New Roman"/>
          <w:i/>
          <w:iCs/>
          <w:szCs w:val="26"/>
          <w:bdr w:val="none" w:sz="0" w:space="0" w:color="auto" w:frame="1"/>
        </w:rPr>
        <w:t xml:space="preserve"> Water Corp</w:t>
      </w:r>
      <w:r w:rsidRPr="00D56FD2">
        <w:rPr>
          <w:rFonts w:eastAsia="Times New Roman" w:cs="Times New Roman"/>
          <w:szCs w:val="26"/>
          <w:bdr w:val="none" w:sz="0" w:space="0" w:color="auto" w:frame="1"/>
        </w:rPr>
        <w:t>.</w:t>
      </w:r>
      <w:r>
        <w:rPr>
          <w:rFonts w:eastAsia="Times New Roman" w:cs="Times New Roman"/>
          <w:szCs w:val="26"/>
          <w:bdr w:val="none" w:sz="0" w:space="0" w:color="auto" w:frame="1"/>
        </w:rPr>
        <w:t xml:space="preserve"> (9</w:t>
      </w:r>
      <w:r w:rsidRPr="007A6724">
        <w:rPr>
          <w:rFonts w:eastAsia="Times New Roman" w:cs="Times New Roman"/>
          <w:szCs w:val="26"/>
          <w:bdr w:val="none" w:sz="0" w:space="0" w:color="auto" w:frame="1"/>
        </w:rPr>
        <w:t>th</w:t>
      </w:r>
      <w:r>
        <w:rPr>
          <w:rFonts w:eastAsia="Times New Roman" w:cs="Times New Roman"/>
          <w:szCs w:val="26"/>
          <w:bdr w:val="none" w:sz="0" w:space="0" w:color="auto" w:frame="1"/>
        </w:rPr>
        <w:t xml:space="preserve"> Cir. 2004)</w:t>
      </w:r>
      <w:r w:rsidRPr="00D56FD2">
        <w:rPr>
          <w:rFonts w:eastAsia="Times New Roman" w:cs="Times New Roman"/>
          <w:szCs w:val="26"/>
          <w:bdr w:val="none" w:sz="0" w:space="0" w:color="auto" w:frame="1"/>
        </w:rPr>
        <w:t xml:space="preserve"> 370</w:t>
      </w:r>
      <w:r>
        <w:rPr>
          <w:rFonts w:eastAsia="Times New Roman" w:cs="Times New Roman"/>
          <w:szCs w:val="26"/>
          <w:bdr w:val="none" w:sz="0" w:space="0" w:color="auto" w:frame="1"/>
        </w:rPr>
        <w:t> </w:t>
      </w:r>
      <w:r w:rsidRPr="00D56FD2">
        <w:rPr>
          <w:rFonts w:eastAsia="Times New Roman" w:cs="Times New Roman"/>
          <w:szCs w:val="26"/>
          <w:bdr w:val="none" w:sz="0" w:space="0" w:color="auto" w:frame="1"/>
        </w:rPr>
        <w:t>F.3d 915, 919</w:t>
      </w:r>
      <w:r>
        <w:rPr>
          <w:rFonts w:eastAsia="Times New Roman" w:cs="Times New Roman"/>
          <w:szCs w:val="26"/>
          <w:bdr w:val="none" w:sz="0" w:space="0" w:color="auto" w:frame="1"/>
        </w:rPr>
        <w:t>.)</w:t>
      </w:r>
    </w:p>
    <w:p w14:paraId="4C9154DD" w14:textId="77777777" w:rsidR="00477FB4" w:rsidRDefault="00B45E56" w:rsidP="00477FB4">
      <w:pPr>
        <w:shd w:val="clear" w:color="auto" w:fill="FFFFFF"/>
        <w:spacing w:line="360" w:lineRule="auto"/>
        <w:ind w:firstLine="720"/>
        <w:rPr>
          <w:rFonts w:eastAsia="Times New Roman" w:cs="Times New Roman"/>
          <w:color w:val="000000"/>
          <w:szCs w:val="26"/>
          <w:bdr w:val="none" w:sz="0" w:space="0" w:color="auto" w:frame="1"/>
          <w:shd w:val="clear" w:color="auto" w:fill="FFFFFF"/>
        </w:rPr>
      </w:pPr>
      <w:r w:rsidRPr="000B5F2C">
        <w:rPr>
          <w:szCs w:val="26"/>
        </w:rPr>
        <w:t xml:space="preserve">The burden </w:t>
      </w:r>
      <w:r>
        <w:rPr>
          <w:szCs w:val="26"/>
        </w:rPr>
        <w:t>to qualify for intervention as-of-right</w:t>
      </w:r>
      <w:r w:rsidRPr="000B5F2C">
        <w:rPr>
          <w:szCs w:val="26"/>
        </w:rPr>
        <w:t xml:space="preserve"> is “minimal” and evidence showing that existing representation “may be” in</w:t>
      </w:r>
      <w:r w:rsidRPr="000B5F2C">
        <w:rPr>
          <w:szCs w:val="26"/>
        </w:rPr>
        <w:t>adequate suffices.</w:t>
      </w:r>
      <w:r>
        <w:rPr>
          <w:szCs w:val="26"/>
        </w:rPr>
        <w:t xml:space="preserve">  (</w:t>
      </w:r>
      <w:proofErr w:type="spellStart"/>
      <w:r w:rsidRPr="000B5F2C">
        <w:rPr>
          <w:i/>
          <w:iCs/>
          <w:szCs w:val="26"/>
        </w:rPr>
        <w:t>Trbovich</w:t>
      </w:r>
      <w:proofErr w:type="spellEnd"/>
      <w:r w:rsidRPr="000B5F2C">
        <w:rPr>
          <w:i/>
          <w:iCs/>
          <w:szCs w:val="26"/>
        </w:rPr>
        <w:t xml:space="preserve"> v. U</w:t>
      </w:r>
      <w:r>
        <w:rPr>
          <w:i/>
          <w:iCs/>
          <w:szCs w:val="26"/>
        </w:rPr>
        <w:t>nited Mine Workers</w:t>
      </w:r>
      <w:r w:rsidRPr="000B5F2C">
        <w:rPr>
          <w:szCs w:val="26"/>
        </w:rPr>
        <w:t xml:space="preserve"> (1972) 404</w:t>
      </w:r>
      <w:r>
        <w:rPr>
          <w:szCs w:val="26"/>
        </w:rPr>
        <w:t> </w:t>
      </w:r>
      <w:r w:rsidRPr="000B5F2C">
        <w:rPr>
          <w:szCs w:val="26"/>
        </w:rPr>
        <w:t xml:space="preserve">U.S. 528, 538, </w:t>
      </w:r>
      <w:r>
        <w:rPr>
          <w:szCs w:val="26"/>
        </w:rPr>
        <w:t>f</w:t>
      </w:r>
      <w:r w:rsidRPr="000B5F2C">
        <w:rPr>
          <w:szCs w:val="26"/>
        </w:rPr>
        <w:t>n.</w:t>
      </w:r>
      <w:r>
        <w:rPr>
          <w:szCs w:val="26"/>
        </w:rPr>
        <w:t> </w:t>
      </w:r>
      <w:r w:rsidRPr="000B5F2C">
        <w:rPr>
          <w:szCs w:val="26"/>
        </w:rPr>
        <w:t xml:space="preserve">10; </w:t>
      </w:r>
      <w:r w:rsidRPr="000B5F2C">
        <w:rPr>
          <w:i/>
          <w:iCs/>
          <w:szCs w:val="26"/>
        </w:rPr>
        <w:t>Barnes v. Security Life of Denver Ins. Co.</w:t>
      </w:r>
      <w:r w:rsidRPr="000B5F2C">
        <w:rPr>
          <w:szCs w:val="26"/>
        </w:rPr>
        <w:t xml:space="preserve"> (10th Cir. 2019) 945</w:t>
      </w:r>
      <w:r>
        <w:rPr>
          <w:szCs w:val="26"/>
        </w:rPr>
        <w:t> </w:t>
      </w:r>
      <w:r w:rsidRPr="000B5F2C">
        <w:rPr>
          <w:szCs w:val="26"/>
        </w:rPr>
        <w:t>F.3d 1112, 1124–</w:t>
      </w:r>
      <w:r>
        <w:rPr>
          <w:szCs w:val="26"/>
        </w:rPr>
        <w:t>11</w:t>
      </w:r>
      <w:r w:rsidRPr="000B5F2C">
        <w:rPr>
          <w:szCs w:val="26"/>
        </w:rPr>
        <w:t>25.</w:t>
      </w:r>
      <w:r>
        <w:rPr>
          <w:szCs w:val="26"/>
        </w:rPr>
        <w:t xml:space="preserve">)  </w:t>
      </w:r>
      <w:r w:rsidRPr="003E6F78">
        <w:rPr>
          <w:rFonts w:eastAsia="Times New Roman" w:cs="Times New Roman"/>
          <w:color w:val="000000"/>
          <w:szCs w:val="26"/>
        </w:rPr>
        <w:t>“[T]</w:t>
      </w:r>
      <w:proofErr w:type="spellStart"/>
      <w:r w:rsidRPr="00403FD8">
        <w:rPr>
          <w:rFonts w:eastAsia="Times New Roman" w:cs="Times New Roman"/>
          <w:color w:val="000000"/>
          <w:szCs w:val="26"/>
        </w:rPr>
        <w:t>hree</w:t>
      </w:r>
      <w:proofErr w:type="spellEnd"/>
      <w:r w:rsidRPr="00403FD8">
        <w:rPr>
          <w:rFonts w:eastAsia="Times New Roman" w:cs="Times New Roman"/>
          <w:color w:val="000000"/>
          <w:szCs w:val="26"/>
        </w:rPr>
        <w:t xml:space="preserve"> factors</w:t>
      </w:r>
      <w:r>
        <w:rPr>
          <w:rFonts w:eastAsia="Times New Roman" w:cs="Times New Roman"/>
          <w:color w:val="000000"/>
          <w:szCs w:val="26"/>
        </w:rPr>
        <w:t xml:space="preserve"> . . . </w:t>
      </w:r>
      <w:proofErr w:type="spellStart"/>
      <w:r w:rsidRPr="003E6F78">
        <w:rPr>
          <w:rFonts w:eastAsia="Times New Roman" w:cs="Times New Roman"/>
          <w:color w:val="000000"/>
          <w:szCs w:val="26"/>
        </w:rPr>
        <w:t>determin</w:t>
      </w:r>
      <w:proofErr w:type="spellEnd"/>
      <w:r w:rsidRPr="003E6F78">
        <w:rPr>
          <w:rFonts w:eastAsia="Times New Roman" w:cs="Times New Roman"/>
          <w:color w:val="000000"/>
          <w:szCs w:val="26"/>
        </w:rPr>
        <w:t>[e]</w:t>
      </w:r>
      <w:r w:rsidRPr="00403FD8">
        <w:rPr>
          <w:rFonts w:eastAsia="Times New Roman" w:cs="Times New Roman"/>
          <w:color w:val="000000"/>
          <w:szCs w:val="26"/>
        </w:rPr>
        <w:t xml:space="preserve"> the adequacy of representation</w:t>
      </w:r>
      <w:proofErr w:type="gramStart"/>
      <w:r w:rsidRPr="00403FD8">
        <w:rPr>
          <w:rFonts w:eastAsia="Times New Roman" w:cs="Times New Roman"/>
          <w:color w:val="000000"/>
          <w:szCs w:val="26"/>
        </w:rPr>
        <w:t xml:space="preserve">: </w:t>
      </w:r>
      <w:r>
        <w:rPr>
          <w:rFonts w:eastAsia="Times New Roman" w:cs="Times New Roman"/>
          <w:color w:val="000000"/>
          <w:szCs w:val="26"/>
        </w:rPr>
        <w:t xml:space="preserve"> </w:t>
      </w:r>
      <w:r w:rsidRPr="00403FD8">
        <w:rPr>
          <w:rFonts w:eastAsia="Times New Roman" w:cs="Times New Roman"/>
          <w:color w:val="000000"/>
          <w:szCs w:val="26"/>
        </w:rPr>
        <w:t>(</w:t>
      </w:r>
      <w:proofErr w:type="gramEnd"/>
      <w:r w:rsidRPr="00403FD8">
        <w:rPr>
          <w:rFonts w:eastAsia="Times New Roman" w:cs="Times New Roman"/>
          <w:color w:val="000000"/>
          <w:szCs w:val="26"/>
        </w:rPr>
        <w:t>1)</w:t>
      </w:r>
      <w:r>
        <w:rPr>
          <w:rFonts w:eastAsia="Times New Roman" w:cs="Times New Roman"/>
          <w:color w:val="000000"/>
          <w:szCs w:val="26"/>
        </w:rPr>
        <w:t> </w:t>
      </w:r>
      <w:r w:rsidRPr="00403FD8">
        <w:rPr>
          <w:rFonts w:eastAsia="Times New Roman" w:cs="Times New Roman"/>
          <w:color w:val="000000"/>
          <w:szCs w:val="26"/>
        </w:rPr>
        <w:t>whether the interest of a present party is such that it will undoubtedly make all of a proposed intervenor</w:t>
      </w:r>
      <w:r>
        <w:rPr>
          <w:rFonts w:eastAsia="Times New Roman" w:cs="Times New Roman"/>
          <w:color w:val="000000"/>
          <w:szCs w:val="26"/>
        </w:rPr>
        <w:t>’</w:t>
      </w:r>
      <w:r w:rsidRPr="00403FD8">
        <w:rPr>
          <w:rFonts w:eastAsia="Times New Roman" w:cs="Times New Roman"/>
          <w:color w:val="000000"/>
          <w:szCs w:val="26"/>
        </w:rPr>
        <w:t>s arguments; (2)</w:t>
      </w:r>
      <w:r>
        <w:rPr>
          <w:rFonts w:eastAsia="Times New Roman" w:cs="Times New Roman"/>
          <w:color w:val="000000"/>
          <w:szCs w:val="26"/>
        </w:rPr>
        <w:t> </w:t>
      </w:r>
      <w:r w:rsidRPr="00403FD8">
        <w:rPr>
          <w:rFonts w:eastAsia="Times New Roman" w:cs="Times New Roman"/>
          <w:color w:val="000000"/>
          <w:szCs w:val="26"/>
        </w:rPr>
        <w:t>whether the present party is capable and willing to make such arguments; and (3)</w:t>
      </w:r>
      <w:r>
        <w:rPr>
          <w:rFonts w:eastAsia="Times New Roman" w:cs="Times New Roman"/>
          <w:color w:val="000000"/>
          <w:szCs w:val="26"/>
        </w:rPr>
        <w:t> </w:t>
      </w:r>
      <w:r w:rsidRPr="00403FD8">
        <w:rPr>
          <w:rFonts w:eastAsia="Times New Roman" w:cs="Times New Roman"/>
          <w:color w:val="000000"/>
          <w:szCs w:val="26"/>
        </w:rPr>
        <w:t>whether a pro</w:t>
      </w:r>
      <w:r w:rsidRPr="00403FD8">
        <w:rPr>
          <w:rFonts w:eastAsia="Times New Roman" w:cs="Times New Roman"/>
          <w:color w:val="000000"/>
          <w:szCs w:val="26"/>
        </w:rPr>
        <w:t xml:space="preserve">posed intervenor would offer any necessary elements to the proceeding that other parties would neglect. </w:t>
      </w:r>
      <w:r>
        <w:rPr>
          <w:rFonts w:eastAsia="Times New Roman" w:cs="Times New Roman"/>
          <w:color w:val="000000"/>
          <w:szCs w:val="26"/>
        </w:rPr>
        <w:t xml:space="preserve"> [¶] </w:t>
      </w:r>
      <w:r w:rsidRPr="00403FD8">
        <w:rPr>
          <w:rFonts w:eastAsia="Times New Roman" w:cs="Times New Roman"/>
          <w:color w:val="000000"/>
          <w:szCs w:val="26"/>
        </w:rPr>
        <w:t>The most important factor in determining the adequacy of representation is how the interest compares with the interests of existing parties.</w:t>
      </w:r>
      <w:r w:rsidRPr="003E6F78">
        <w:rPr>
          <w:rFonts w:eastAsia="Times New Roman" w:cs="Times New Roman"/>
          <w:color w:val="000000"/>
          <w:szCs w:val="26"/>
        </w:rPr>
        <w:t>”  (</w:t>
      </w:r>
      <w:r w:rsidRPr="001F7C01">
        <w:rPr>
          <w:rFonts w:eastAsia="Times New Roman" w:cs="Times New Roman"/>
          <w:i/>
          <w:iCs/>
          <w:color w:val="000000"/>
          <w:szCs w:val="26"/>
          <w:bdr w:val="none" w:sz="0" w:space="0" w:color="auto" w:frame="1"/>
          <w:shd w:val="clear" w:color="auto" w:fill="FFFFFF"/>
        </w:rPr>
        <w:t>Ara</w:t>
      </w:r>
      <w:r w:rsidRPr="001F7C01">
        <w:rPr>
          <w:rFonts w:eastAsia="Times New Roman" w:cs="Times New Roman"/>
          <w:i/>
          <w:iCs/>
          <w:color w:val="000000"/>
          <w:szCs w:val="26"/>
          <w:bdr w:val="none" w:sz="0" w:space="0" w:color="auto" w:frame="1"/>
          <w:shd w:val="clear" w:color="auto" w:fill="FFFFFF"/>
        </w:rPr>
        <w:t>kaki v. Cayetano</w:t>
      </w:r>
      <w:r>
        <w:rPr>
          <w:rFonts w:eastAsia="Times New Roman" w:cs="Times New Roman"/>
          <w:color w:val="000000"/>
          <w:szCs w:val="26"/>
          <w:bdr w:val="none" w:sz="0" w:space="0" w:color="auto" w:frame="1"/>
          <w:shd w:val="clear" w:color="auto" w:fill="FFFFFF"/>
        </w:rPr>
        <w:t xml:space="preserve"> (9</w:t>
      </w:r>
      <w:r w:rsidRPr="00AD1C6B">
        <w:rPr>
          <w:rFonts w:eastAsia="Times New Roman" w:cs="Times New Roman"/>
          <w:color w:val="000000"/>
          <w:szCs w:val="26"/>
          <w:bdr w:val="none" w:sz="0" w:space="0" w:color="auto" w:frame="1"/>
          <w:shd w:val="clear" w:color="auto" w:fill="FFFFFF"/>
        </w:rPr>
        <w:t>th</w:t>
      </w:r>
      <w:r>
        <w:rPr>
          <w:rFonts w:eastAsia="Times New Roman" w:cs="Times New Roman"/>
          <w:color w:val="000000"/>
          <w:szCs w:val="26"/>
          <w:bdr w:val="none" w:sz="0" w:space="0" w:color="auto" w:frame="1"/>
          <w:shd w:val="clear" w:color="auto" w:fill="FFFFFF"/>
        </w:rPr>
        <w:t xml:space="preserve"> Cir. 2003)</w:t>
      </w:r>
      <w:r w:rsidRPr="003E6F78">
        <w:rPr>
          <w:rFonts w:eastAsia="Times New Roman" w:cs="Times New Roman"/>
          <w:color w:val="000000"/>
          <w:szCs w:val="26"/>
          <w:bdr w:val="none" w:sz="0" w:space="0" w:color="auto" w:frame="1"/>
          <w:shd w:val="clear" w:color="auto" w:fill="FFFFFF"/>
        </w:rPr>
        <w:t xml:space="preserve"> 324</w:t>
      </w:r>
      <w:r>
        <w:rPr>
          <w:rFonts w:eastAsia="Times New Roman" w:cs="Times New Roman"/>
          <w:color w:val="000000"/>
          <w:szCs w:val="26"/>
          <w:bdr w:val="none" w:sz="0" w:space="0" w:color="auto" w:frame="1"/>
          <w:shd w:val="clear" w:color="auto" w:fill="FFFFFF"/>
        </w:rPr>
        <w:t> </w:t>
      </w:r>
      <w:r w:rsidRPr="003E6F78">
        <w:rPr>
          <w:rFonts w:eastAsia="Times New Roman" w:cs="Times New Roman"/>
          <w:color w:val="000000"/>
          <w:szCs w:val="26"/>
          <w:bdr w:val="none" w:sz="0" w:space="0" w:color="auto" w:frame="1"/>
          <w:shd w:val="clear" w:color="auto" w:fill="FFFFFF"/>
        </w:rPr>
        <w:t>F.3d 1078, 108</w:t>
      </w:r>
      <w:r>
        <w:rPr>
          <w:rFonts w:eastAsia="Times New Roman" w:cs="Times New Roman"/>
          <w:color w:val="000000"/>
          <w:szCs w:val="26"/>
          <w:bdr w:val="none" w:sz="0" w:space="0" w:color="auto" w:frame="1"/>
          <w:shd w:val="clear" w:color="auto" w:fill="FFFFFF"/>
        </w:rPr>
        <w:t>6</w:t>
      </w:r>
      <w:r w:rsidRPr="003E6F78">
        <w:rPr>
          <w:rFonts w:eastAsia="Times New Roman" w:cs="Times New Roman"/>
          <w:color w:val="000000"/>
          <w:szCs w:val="26"/>
          <w:bdr w:val="none" w:sz="0" w:space="0" w:color="auto" w:frame="1"/>
          <w:shd w:val="clear" w:color="auto" w:fill="FFFFFF"/>
        </w:rPr>
        <w:t>.)</w:t>
      </w:r>
      <w:r>
        <w:rPr>
          <w:rFonts w:eastAsia="Times New Roman" w:cs="Times New Roman"/>
          <w:color w:val="000000"/>
          <w:szCs w:val="26"/>
          <w:bdr w:val="none" w:sz="0" w:space="0" w:color="auto" w:frame="1"/>
          <w:shd w:val="clear" w:color="auto" w:fill="FFFFFF"/>
        </w:rPr>
        <w:t xml:space="preserve">  “</w:t>
      </w:r>
      <w:r w:rsidRPr="003C5F07">
        <w:rPr>
          <w:rFonts w:eastAsia="Times New Roman" w:cs="Times New Roman"/>
          <w:color w:val="000000"/>
          <w:szCs w:val="26"/>
          <w:bdr w:val="none" w:sz="0" w:space="0" w:color="auto" w:frame="1"/>
          <w:shd w:val="clear" w:color="auto" w:fill="FFFFFF"/>
        </w:rPr>
        <w:t>[T]</w:t>
      </w:r>
      <w:r w:rsidRPr="00897439">
        <w:rPr>
          <w:rFonts w:eastAsia="Times New Roman" w:cs="Times New Roman"/>
          <w:color w:val="212121"/>
          <w:szCs w:val="26"/>
        </w:rPr>
        <w:t>he requirements for intervention are broadly interpreted in favor of intervention.”  (</w:t>
      </w:r>
      <w:r w:rsidRPr="00897439">
        <w:rPr>
          <w:rFonts w:eastAsia="Times New Roman" w:cs="Times New Roman"/>
          <w:i/>
          <w:iCs/>
          <w:szCs w:val="26"/>
          <w:bdr w:val="none" w:sz="0" w:space="0" w:color="auto" w:frame="1"/>
        </w:rPr>
        <w:t xml:space="preserve">United States v. </w:t>
      </w:r>
      <w:proofErr w:type="spellStart"/>
      <w:r w:rsidRPr="00897439">
        <w:rPr>
          <w:rFonts w:eastAsia="Times New Roman" w:cs="Times New Roman"/>
          <w:i/>
          <w:iCs/>
          <w:szCs w:val="26"/>
          <w:bdr w:val="none" w:sz="0" w:space="0" w:color="auto" w:frame="1"/>
        </w:rPr>
        <w:t>Alisal</w:t>
      </w:r>
      <w:proofErr w:type="spellEnd"/>
      <w:r w:rsidRPr="00897439">
        <w:rPr>
          <w:rFonts w:eastAsia="Times New Roman" w:cs="Times New Roman"/>
          <w:i/>
          <w:iCs/>
          <w:szCs w:val="26"/>
          <w:bdr w:val="none" w:sz="0" w:space="0" w:color="auto" w:frame="1"/>
        </w:rPr>
        <w:t xml:space="preserve"> Water Corp</w:t>
      </w:r>
      <w:r w:rsidRPr="00897439">
        <w:rPr>
          <w:rFonts w:eastAsia="Times New Roman" w:cs="Times New Roman"/>
          <w:szCs w:val="26"/>
          <w:bdr w:val="none" w:sz="0" w:space="0" w:color="auto" w:frame="1"/>
        </w:rPr>
        <w:t xml:space="preserve">., </w:t>
      </w:r>
      <w:r w:rsidRPr="00897439">
        <w:rPr>
          <w:rFonts w:eastAsia="Times New Roman" w:cs="Times New Roman"/>
          <w:i/>
          <w:iCs/>
          <w:szCs w:val="26"/>
          <w:bdr w:val="none" w:sz="0" w:space="0" w:color="auto" w:frame="1"/>
        </w:rPr>
        <w:t>supra</w:t>
      </w:r>
      <w:r w:rsidRPr="00897439">
        <w:rPr>
          <w:rFonts w:eastAsia="Times New Roman" w:cs="Times New Roman"/>
          <w:szCs w:val="26"/>
          <w:bdr w:val="none" w:sz="0" w:space="0" w:color="auto" w:frame="1"/>
        </w:rPr>
        <w:t>, 370</w:t>
      </w:r>
      <w:r>
        <w:rPr>
          <w:rFonts w:eastAsia="Times New Roman" w:cs="Times New Roman"/>
          <w:szCs w:val="26"/>
          <w:bdr w:val="none" w:sz="0" w:space="0" w:color="auto" w:frame="1"/>
        </w:rPr>
        <w:t> </w:t>
      </w:r>
      <w:r w:rsidRPr="00897439">
        <w:rPr>
          <w:rFonts w:eastAsia="Times New Roman" w:cs="Times New Roman"/>
          <w:szCs w:val="26"/>
          <w:bdr w:val="none" w:sz="0" w:space="0" w:color="auto" w:frame="1"/>
        </w:rPr>
        <w:t>F.3d at p.</w:t>
      </w:r>
      <w:r>
        <w:rPr>
          <w:rFonts w:eastAsia="Times New Roman" w:cs="Times New Roman"/>
          <w:szCs w:val="26"/>
          <w:bdr w:val="none" w:sz="0" w:space="0" w:color="auto" w:frame="1"/>
        </w:rPr>
        <w:t> </w:t>
      </w:r>
      <w:r w:rsidRPr="00897439">
        <w:rPr>
          <w:rFonts w:eastAsia="Times New Roman" w:cs="Times New Roman"/>
          <w:szCs w:val="26"/>
          <w:bdr w:val="none" w:sz="0" w:space="0" w:color="auto" w:frame="1"/>
        </w:rPr>
        <w:t>919.)</w:t>
      </w:r>
    </w:p>
    <w:p w14:paraId="7E71936C" w14:textId="77777777" w:rsidR="000028CA" w:rsidRDefault="00B45E56" w:rsidP="00FE6511">
      <w:pPr>
        <w:shd w:val="clear" w:color="auto" w:fill="FFFFFF"/>
        <w:spacing w:line="360" w:lineRule="auto"/>
        <w:ind w:firstLine="720"/>
        <w:rPr>
          <w:rFonts w:eastAsia="Times New Roman"/>
          <w:color w:val="000000"/>
          <w:szCs w:val="26"/>
        </w:rPr>
      </w:pPr>
      <w:r>
        <w:rPr>
          <w:szCs w:val="26"/>
        </w:rPr>
        <w:t xml:space="preserve">In some circumstances, the outcome of this three-factor test for adequacy of representation is determined by a presumption.  </w:t>
      </w:r>
      <w:r w:rsidRPr="00934E59">
        <w:rPr>
          <w:szCs w:val="26"/>
        </w:rPr>
        <w:t>“</w:t>
      </w:r>
      <w:r w:rsidRPr="00934E59">
        <w:rPr>
          <w:color w:val="000000"/>
          <w:szCs w:val="26"/>
          <w:bdr w:val="none" w:sz="0" w:space="0" w:color="auto" w:frame="1"/>
        </w:rPr>
        <w:t>When an applicant for intervention and an existing party have the same ultimate objective, a presumption of adequacy of representa</w:t>
      </w:r>
      <w:r w:rsidRPr="00934E59">
        <w:rPr>
          <w:color w:val="000000"/>
          <w:szCs w:val="26"/>
          <w:bdr w:val="none" w:sz="0" w:space="0" w:color="auto" w:frame="1"/>
        </w:rPr>
        <w:t>tion arises.</w:t>
      </w:r>
      <w:r>
        <w:rPr>
          <w:color w:val="000000"/>
          <w:szCs w:val="26"/>
          <w:bdr w:val="none" w:sz="0" w:space="0" w:color="auto" w:frame="1"/>
        </w:rPr>
        <w:t xml:space="preserve">”  </w:t>
      </w:r>
      <w:r w:rsidRPr="00934E59">
        <w:rPr>
          <w:color w:val="000000"/>
          <w:szCs w:val="26"/>
        </w:rPr>
        <w:t>(</w:t>
      </w:r>
      <w:r w:rsidRPr="00934E59">
        <w:rPr>
          <w:i/>
          <w:iCs/>
          <w:color w:val="000000"/>
          <w:szCs w:val="26"/>
          <w:bdr w:val="none" w:sz="0" w:space="0" w:color="auto" w:frame="1"/>
          <w:shd w:val="clear" w:color="auto" w:fill="FFFFFF"/>
        </w:rPr>
        <w:t>Arakaki v. Cayetano</w:t>
      </w:r>
      <w:r w:rsidRPr="00934E59">
        <w:rPr>
          <w:color w:val="000000"/>
          <w:szCs w:val="26"/>
          <w:bdr w:val="none" w:sz="0" w:space="0" w:color="auto" w:frame="1"/>
          <w:shd w:val="clear" w:color="auto" w:fill="FFFFFF"/>
        </w:rPr>
        <w:t>,</w:t>
      </w:r>
      <w:r>
        <w:rPr>
          <w:color w:val="000000"/>
          <w:szCs w:val="26"/>
          <w:bdr w:val="none" w:sz="0" w:space="0" w:color="auto" w:frame="1"/>
          <w:shd w:val="clear" w:color="auto" w:fill="FFFFFF"/>
        </w:rPr>
        <w:t xml:space="preserve"> </w:t>
      </w:r>
      <w:r w:rsidRPr="001C2539">
        <w:rPr>
          <w:i/>
          <w:iCs/>
          <w:color w:val="000000"/>
          <w:szCs w:val="26"/>
          <w:bdr w:val="none" w:sz="0" w:space="0" w:color="auto" w:frame="1"/>
          <w:shd w:val="clear" w:color="auto" w:fill="FFFFFF"/>
        </w:rPr>
        <w:t>supra</w:t>
      </w:r>
      <w:r>
        <w:rPr>
          <w:color w:val="000000"/>
          <w:szCs w:val="26"/>
          <w:bdr w:val="none" w:sz="0" w:space="0" w:color="auto" w:frame="1"/>
          <w:shd w:val="clear" w:color="auto" w:fill="FFFFFF"/>
        </w:rPr>
        <w:t>,</w:t>
      </w:r>
      <w:r w:rsidRPr="00934E59">
        <w:rPr>
          <w:color w:val="000000"/>
          <w:szCs w:val="26"/>
          <w:bdr w:val="none" w:sz="0" w:space="0" w:color="auto" w:frame="1"/>
          <w:shd w:val="clear" w:color="auto" w:fill="FFFFFF"/>
        </w:rPr>
        <w:t xml:space="preserve"> 324</w:t>
      </w:r>
      <w:r>
        <w:rPr>
          <w:color w:val="000000"/>
          <w:szCs w:val="26"/>
          <w:bdr w:val="none" w:sz="0" w:space="0" w:color="auto" w:frame="1"/>
          <w:shd w:val="clear" w:color="auto" w:fill="FFFFFF"/>
        </w:rPr>
        <w:t> </w:t>
      </w:r>
      <w:r w:rsidRPr="00934E59">
        <w:rPr>
          <w:color w:val="000000"/>
          <w:szCs w:val="26"/>
          <w:bdr w:val="none" w:sz="0" w:space="0" w:color="auto" w:frame="1"/>
          <w:shd w:val="clear" w:color="auto" w:fill="FFFFFF"/>
        </w:rPr>
        <w:t xml:space="preserve">F.3d </w:t>
      </w:r>
      <w:r>
        <w:rPr>
          <w:color w:val="000000"/>
          <w:szCs w:val="26"/>
          <w:bdr w:val="none" w:sz="0" w:space="0" w:color="auto" w:frame="1"/>
          <w:shd w:val="clear" w:color="auto" w:fill="FFFFFF"/>
        </w:rPr>
        <w:t>at p. </w:t>
      </w:r>
      <w:r w:rsidRPr="00934E59">
        <w:rPr>
          <w:color w:val="000000"/>
          <w:szCs w:val="26"/>
          <w:bdr w:val="none" w:sz="0" w:space="0" w:color="auto" w:frame="1"/>
          <w:shd w:val="clear" w:color="auto" w:fill="FFFFFF"/>
        </w:rPr>
        <w:t>1086</w:t>
      </w:r>
      <w:r>
        <w:rPr>
          <w:color w:val="000000"/>
          <w:szCs w:val="26"/>
          <w:bdr w:val="none" w:sz="0" w:space="0" w:color="auto" w:frame="1"/>
          <w:shd w:val="clear" w:color="auto" w:fill="FFFFFF"/>
        </w:rPr>
        <w:t>.</w:t>
      </w:r>
      <w:r w:rsidRPr="00934E59">
        <w:rPr>
          <w:color w:val="000000"/>
          <w:szCs w:val="26"/>
          <w:bdr w:val="none" w:sz="0" w:space="0" w:color="auto" w:frame="1"/>
          <w:shd w:val="clear" w:color="auto" w:fill="FFFFFF"/>
        </w:rPr>
        <w:t xml:space="preserve">) </w:t>
      </w:r>
      <w:r w:rsidRPr="00934E59">
        <w:rPr>
          <w:color w:val="000000"/>
          <w:szCs w:val="26"/>
          <w:bdr w:val="none" w:sz="0" w:space="0" w:color="auto" w:frame="1"/>
        </w:rPr>
        <w:t xml:space="preserve"> </w:t>
      </w:r>
      <w:r>
        <w:rPr>
          <w:color w:val="000000"/>
          <w:szCs w:val="26"/>
          <w:bdr w:val="none" w:sz="0" w:space="0" w:color="auto" w:frame="1"/>
        </w:rPr>
        <w:t xml:space="preserve">“If </w:t>
      </w:r>
      <w:r w:rsidRPr="00934E59">
        <w:rPr>
          <w:color w:val="000000"/>
          <w:szCs w:val="26"/>
        </w:rPr>
        <w:t>the applicant</w:t>
      </w:r>
      <w:r>
        <w:rPr>
          <w:color w:val="000000"/>
          <w:szCs w:val="26"/>
        </w:rPr>
        <w:t>’</w:t>
      </w:r>
      <w:r w:rsidRPr="00934E59">
        <w:rPr>
          <w:color w:val="000000"/>
          <w:szCs w:val="26"/>
        </w:rPr>
        <w:t xml:space="preserve">s interest is identical to that of one of the present parties, a compelling showing </w:t>
      </w:r>
      <w:r>
        <w:rPr>
          <w:color w:val="000000"/>
          <w:szCs w:val="26"/>
        </w:rPr>
        <w:t>[is] . . .</w:t>
      </w:r>
      <w:r w:rsidRPr="00934E59">
        <w:rPr>
          <w:color w:val="000000"/>
          <w:szCs w:val="26"/>
        </w:rPr>
        <w:t xml:space="preserve"> required to </w:t>
      </w:r>
      <w:r w:rsidRPr="00934E59">
        <w:rPr>
          <w:color w:val="000000"/>
          <w:szCs w:val="26"/>
        </w:rPr>
        <w:lastRenderedPageBreak/>
        <w:t>demonstrate inadequate representation.</w:t>
      </w:r>
      <w:r>
        <w:rPr>
          <w:color w:val="000000"/>
          <w:szCs w:val="26"/>
        </w:rPr>
        <w:t>”</w:t>
      </w:r>
      <w:r w:rsidRPr="00934E59">
        <w:rPr>
          <w:color w:val="000000"/>
          <w:szCs w:val="26"/>
        </w:rPr>
        <w:t xml:space="preserve">  (</w:t>
      </w:r>
      <w:r>
        <w:rPr>
          <w:i/>
          <w:iCs/>
          <w:color w:val="000000"/>
          <w:szCs w:val="26"/>
          <w:bdr w:val="none" w:sz="0" w:space="0" w:color="auto" w:frame="1"/>
          <w:shd w:val="clear" w:color="auto" w:fill="FFFFFF"/>
        </w:rPr>
        <w:t>Ibid.</w:t>
      </w:r>
      <w:r w:rsidRPr="00934E59">
        <w:rPr>
          <w:color w:val="000000"/>
          <w:szCs w:val="26"/>
          <w:bdr w:val="none" w:sz="0" w:space="0" w:color="auto" w:frame="1"/>
          <w:shd w:val="clear" w:color="auto" w:fill="FFFFFF"/>
        </w:rPr>
        <w:t xml:space="preserve">)  </w:t>
      </w:r>
      <w:r>
        <w:rPr>
          <w:color w:val="000000"/>
          <w:szCs w:val="26"/>
          <w:bdr w:val="none" w:sz="0" w:space="0" w:color="auto" w:frame="1"/>
          <w:shd w:val="clear" w:color="auto" w:fill="FFFFFF"/>
        </w:rPr>
        <w:t>But whe</w:t>
      </w:r>
      <w:r w:rsidRPr="00934E59">
        <w:rPr>
          <w:color w:val="000000"/>
          <w:szCs w:val="26"/>
        </w:rPr>
        <w:t xml:space="preserve">re </w:t>
      </w:r>
      <w:proofErr w:type="gramStart"/>
      <w:r w:rsidRPr="00934E59">
        <w:rPr>
          <w:color w:val="000000"/>
          <w:szCs w:val="26"/>
        </w:rPr>
        <w:t>“</w:t>
      </w:r>
      <w:r>
        <w:rPr>
          <w:color w:val="000000"/>
          <w:szCs w:val="26"/>
        </w:rPr>
        <w:t> ‘</w:t>
      </w:r>
      <w:proofErr w:type="gramEnd"/>
      <w:r w:rsidRPr="00934E59">
        <w:rPr>
          <w:color w:val="000000"/>
          <w:szCs w:val="26"/>
        </w:rPr>
        <w:t>the absentee</w:t>
      </w:r>
      <w:r>
        <w:rPr>
          <w:color w:val="000000"/>
          <w:szCs w:val="26"/>
        </w:rPr>
        <w:t>’</w:t>
      </w:r>
      <w:r w:rsidRPr="00934E59">
        <w:rPr>
          <w:color w:val="000000"/>
          <w:szCs w:val="26"/>
        </w:rPr>
        <w:t>s interest is similar to, but not identical with, that of one of the parties,</w:t>
      </w:r>
      <w:r>
        <w:rPr>
          <w:color w:val="000000"/>
          <w:szCs w:val="26"/>
        </w:rPr>
        <w:t xml:space="preserve">’ </w:t>
      </w:r>
      <w:r w:rsidRPr="00934E59">
        <w:rPr>
          <w:color w:val="000000"/>
          <w:szCs w:val="26"/>
        </w:rPr>
        <w:t>that normally is not enough to trigger a presumption of adequate representation.</w:t>
      </w:r>
      <w:r>
        <w:rPr>
          <w:color w:val="000000"/>
          <w:szCs w:val="26"/>
        </w:rPr>
        <w:t>”</w:t>
      </w:r>
      <w:r w:rsidRPr="00934E59">
        <w:rPr>
          <w:color w:val="000000"/>
          <w:szCs w:val="26"/>
        </w:rPr>
        <w:t xml:space="preserve">  (</w:t>
      </w:r>
      <w:r w:rsidRPr="00334C69">
        <w:rPr>
          <w:i/>
          <w:iCs/>
          <w:color w:val="3D3D3D"/>
          <w:szCs w:val="26"/>
          <w:bdr w:val="none" w:sz="0" w:space="0" w:color="auto" w:frame="1"/>
        </w:rPr>
        <w:t>Berg</w:t>
      </w:r>
      <w:r w:rsidRPr="00334C69">
        <w:rPr>
          <w:i/>
          <w:iCs/>
          <w:color w:val="3D3D3D"/>
          <w:szCs w:val="26"/>
          <w:bdr w:val="none" w:sz="0" w:space="0" w:color="auto" w:frame="1"/>
        </w:rPr>
        <w:t>er</w:t>
      </w:r>
      <w:r w:rsidRPr="00334C69">
        <w:rPr>
          <w:color w:val="000000"/>
          <w:szCs w:val="26"/>
        </w:rPr>
        <w:t xml:space="preserve"> </w:t>
      </w:r>
      <w:r w:rsidRPr="008475CF">
        <w:rPr>
          <w:i/>
          <w:iCs/>
          <w:color w:val="000000"/>
          <w:szCs w:val="26"/>
        </w:rPr>
        <w:t>v. North Carolina</w:t>
      </w:r>
      <w:r>
        <w:rPr>
          <w:i/>
          <w:iCs/>
          <w:color w:val="000000"/>
          <w:szCs w:val="26"/>
        </w:rPr>
        <w:t xml:space="preserve"> State</w:t>
      </w:r>
      <w:r w:rsidRPr="008475CF">
        <w:rPr>
          <w:i/>
          <w:iCs/>
          <w:color w:val="000000"/>
          <w:szCs w:val="26"/>
        </w:rPr>
        <w:t xml:space="preserve"> </w:t>
      </w:r>
      <w:r>
        <w:rPr>
          <w:i/>
          <w:iCs/>
          <w:color w:val="000000"/>
          <w:szCs w:val="26"/>
        </w:rPr>
        <w:t xml:space="preserve">Conference of the </w:t>
      </w:r>
      <w:r w:rsidRPr="008475CF">
        <w:rPr>
          <w:i/>
          <w:iCs/>
          <w:color w:val="000000"/>
          <w:szCs w:val="26"/>
        </w:rPr>
        <w:t>NAACP</w:t>
      </w:r>
      <w:r>
        <w:rPr>
          <w:color w:val="000000"/>
          <w:szCs w:val="26"/>
        </w:rPr>
        <w:t xml:space="preserve"> (2022) 597 U.S.__ [</w:t>
      </w:r>
      <w:r w:rsidRPr="00934E59">
        <w:rPr>
          <w:color w:val="000000"/>
          <w:szCs w:val="26"/>
        </w:rPr>
        <w:t>142</w:t>
      </w:r>
      <w:r>
        <w:rPr>
          <w:color w:val="000000"/>
          <w:szCs w:val="26"/>
        </w:rPr>
        <w:t> </w:t>
      </w:r>
      <w:proofErr w:type="spellStart"/>
      <w:r w:rsidRPr="00934E59">
        <w:rPr>
          <w:color w:val="000000"/>
          <w:szCs w:val="26"/>
        </w:rPr>
        <w:t>S.Ct</w:t>
      </w:r>
      <w:proofErr w:type="spellEnd"/>
      <w:r w:rsidRPr="00934E59">
        <w:rPr>
          <w:color w:val="000000"/>
          <w:szCs w:val="26"/>
        </w:rPr>
        <w:t>. 2191</w:t>
      </w:r>
      <w:r>
        <w:rPr>
          <w:color w:val="000000"/>
          <w:szCs w:val="26"/>
        </w:rPr>
        <w:t>, 2204] (</w:t>
      </w:r>
      <w:r w:rsidRPr="008475CF">
        <w:rPr>
          <w:i/>
          <w:iCs/>
          <w:color w:val="000000"/>
          <w:szCs w:val="26"/>
        </w:rPr>
        <w:t>Berger</w:t>
      </w:r>
      <w:r>
        <w:rPr>
          <w:color w:val="000000"/>
          <w:szCs w:val="26"/>
        </w:rPr>
        <w:t>)</w:t>
      </w:r>
      <w:r w:rsidRPr="00934E59">
        <w:rPr>
          <w:color w:val="000000"/>
          <w:szCs w:val="26"/>
        </w:rPr>
        <w:t xml:space="preserve">; see </w:t>
      </w:r>
      <w:proofErr w:type="spellStart"/>
      <w:r w:rsidRPr="00B31B4D">
        <w:rPr>
          <w:i/>
          <w:iCs/>
          <w:szCs w:val="26"/>
          <w:bdr w:val="none" w:sz="0" w:space="0" w:color="auto" w:frame="1"/>
        </w:rPr>
        <w:t>Trbovich</w:t>
      </w:r>
      <w:proofErr w:type="spellEnd"/>
      <w:r>
        <w:rPr>
          <w:color w:val="000000"/>
          <w:szCs w:val="26"/>
        </w:rPr>
        <w:t>,</w:t>
      </w:r>
      <w:r w:rsidRPr="00707139">
        <w:rPr>
          <w:color w:val="000000"/>
          <w:szCs w:val="26"/>
        </w:rPr>
        <w:t xml:space="preserve"> </w:t>
      </w:r>
      <w:r w:rsidRPr="001A3A49">
        <w:rPr>
          <w:i/>
          <w:iCs/>
          <w:color w:val="000000"/>
          <w:szCs w:val="26"/>
        </w:rPr>
        <w:t>supra</w:t>
      </w:r>
      <w:r>
        <w:rPr>
          <w:color w:val="000000"/>
          <w:szCs w:val="26"/>
        </w:rPr>
        <w:t xml:space="preserve">, </w:t>
      </w:r>
      <w:r w:rsidRPr="00707139">
        <w:rPr>
          <w:color w:val="000000"/>
          <w:szCs w:val="26"/>
        </w:rPr>
        <w:t>404</w:t>
      </w:r>
      <w:r>
        <w:rPr>
          <w:color w:val="000000"/>
          <w:szCs w:val="26"/>
        </w:rPr>
        <w:t> </w:t>
      </w:r>
      <w:r w:rsidRPr="00707139">
        <w:rPr>
          <w:color w:val="000000"/>
          <w:szCs w:val="26"/>
        </w:rPr>
        <w:t xml:space="preserve">U.S. </w:t>
      </w:r>
      <w:r>
        <w:rPr>
          <w:color w:val="000000"/>
          <w:szCs w:val="26"/>
        </w:rPr>
        <w:t>at p. </w:t>
      </w:r>
      <w:r w:rsidRPr="00707139">
        <w:rPr>
          <w:color w:val="000000"/>
          <w:szCs w:val="26"/>
        </w:rPr>
        <w:t>538</w:t>
      </w:r>
      <w:r w:rsidRPr="00934E59">
        <w:rPr>
          <w:color w:val="000000"/>
          <w:szCs w:val="26"/>
        </w:rPr>
        <w:t>.)</w:t>
      </w:r>
      <w:r w:rsidRPr="003E6F78">
        <w:rPr>
          <w:rFonts w:eastAsia="Times New Roman" w:cs="Times New Roman"/>
          <w:color w:val="000000"/>
          <w:szCs w:val="26"/>
          <w:bdr w:val="none" w:sz="0" w:space="0" w:color="auto" w:frame="1"/>
          <w:shd w:val="clear" w:color="auto" w:fill="FFFFFF"/>
        </w:rPr>
        <w:t xml:space="preserve"> </w:t>
      </w:r>
    </w:p>
    <w:p w14:paraId="6631A113" w14:textId="77777777" w:rsidR="00127E0C" w:rsidRPr="00713BB1" w:rsidRDefault="00B45E56" w:rsidP="00127E0C">
      <w:pPr>
        <w:shd w:val="clear" w:color="auto" w:fill="FFFFFF"/>
        <w:spacing w:line="360" w:lineRule="auto"/>
        <w:ind w:firstLine="720"/>
        <w:rPr>
          <w:rFonts w:eastAsia="Times New Roman"/>
          <w:szCs w:val="26"/>
        </w:rPr>
      </w:pPr>
      <w:r>
        <w:rPr>
          <w:rFonts w:eastAsia="Times New Roman"/>
          <w:color w:val="000000"/>
          <w:szCs w:val="26"/>
        </w:rPr>
        <w:t xml:space="preserve">Permissive intervention, which works quite differently than intervention as-of-right, essentially carries forward the discretionary regime on which section 387 was originally founded.  “A trial court </w:t>
      </w:r>
      <w:r>
        <w:rPr>
          <w:rFonts w:eastAsia="Times New Roman"/>
          <w:i/>
          <w:iCs/>
          <w:color w:val="000000"/>
          <w:szCs w:val="26"/>
        </w:rPr>
        <w:t xml:space="preserve">may </w:t>
      </w:r>
      <w:r>
        <w:rPr>
          <w:rFonts w:eastAsia="Times New Roman"/>
          <w:color w:val="000000"/>
          <w:szCs w:val="26"/>
        </w:rPr>
        <w:t>. . . ‘permit a nonparty to intervene in [an] action</w:t>
      </w:r>
      <w:r>
        <w:rPr>
          <w:rFonts w:eastAsia="Times New Roman"/>
          <w:color w:val="000000"/>
          <w:szCs w:val="26"/>
        </w:rPr>
        <w:t xml:space="preserve"> . . . if the [nonparty] has an interest in the matter in litigation, or in the success of either of the parties, or an interest against both.</w:t>
      </w:r>
      <w:proofErr w:type="gramStart"/>
      <w:r>
        <w:rPr>
          <w:rFonts w:eastAsia="Times New Roman"/>
          <w:color w:val="000000"/>
          <w:szCs w:val="26"/>
        </w:rPr>
        <w:t>’ ”</w:t>
      </w:r>
      <w:proofErr w:type="gramEnd"/>
      <w:r>
        <w:rPr>
          <w:rFonts w:eastAsia="Times New Roman"/>
          <w:color w:val="000000"/>
          <w:szCs w:val="26"/>
        </w:rPr>
        <w:t xml:space="preserve">  (§ 387, subd. (d)(2), italics added.)  Intervention will generally be permitted if</w:t>
      </w:r>
      <w:proofErr w:type="gramStart"/>
      <w:r>
        <w:rPr>
          <w:rFonts w:eastAsia="Times New Roman"/>
          <w:color w:val="000000"/>
          <w:szCs w:val="26"/>
        </w:rPr>
        <w:t>:  “</w:t>
      </w:r>
      <w:proofErr w:type="gramEnd"/>
      <w:r>
        <w:rPr>
          <w:rFonts w:eastAsia="Times New Roman"/>
          <w:color w:val="000000"/>
          <w:szCs w:val="26"/>
        </w:rPr>
        <w:t> ‘(1) the proper proced</w:t>
      </w:r>
      <w:r>
        <w:rPr>
          <w:rFonts w:eastAsia="Times New Roman"/>
          <w:color w:val="000000"/>
          <w:szCs w:val="26"/>
        </w:rPr>
        <w:t>ures have been followed[,] (2) the nonparty has a direct and immediate interest in the action[,] (3) the intervention will not enlarge the issues in the litigation[,] and (4) the reasons for the intervention outweigh any opposition by the parties presently</w:t>
      </w:r>
      <w:r>
        <w:rPr>
          <w:rFonts w:eastAsia="Times New Roman"/>
          <w:color w:val="000000"/>
          <w:szCs w:val="26"/>
        </w:rPr>
        <w:t xml:space="preserve"> in the action.’ ”  (</w:t>
      </w:r>
      <w:r w:rsidRPr="00713BB1">
        <w:rPr>
          <w:rFonts w:eastAsia="Times New Roman"/>
          <w:i/>
          <w:iCs/>
          <w:szCs w:val="26"/>
          <w:bdr w:val="none" w:sz="0" w:space="0" w:color="auto" w:frame="1"/>
        </w:rPr>
        <w:t>City and County of San Francisco v. State of California</w:t>
      </w:r>
      <w:r w:rsidRPr="00713BB1">
        <w:rPr>
          <w:rFonts w:eastAsia="Times New Roman"/>
          <w:szCs w:val="26"/>
        </w:rPr>
        <w:t xml:space="preserve"> (2005) 128</w:t>
      </w:r>
      <w:r>
        <w:rPr>
          <w:rFonts w:eastAsia="Times New Roman"/>
          <w:szCs w:val="26"/>
        </w:rPr>
        <w:t> </w:t>
      </w:r>
      <w:r w:rsidRPr="00713BB1">
        <w:rPr>
          <w:rFonts w:eastAsia="Times New Roman"/>
          <w:szCs w:val="26"/>
        </w:rPr>
        <w:t>Cal.App.4th 1030, 1036.)</w:t>
      </w:r>
    </w:p>
    <w:p w14:paraId="18FD4613" w14:textId="77777777" w:rsidR="001C7936" w:rsidRDefault="00B45E56" w:rsidP="00F202C7">
      <w:pPr>
        <w:shd w:val="clear" w:color="auto" w:fill="FFFFFF"/>
        <w:spacing w:line="360" w:lineRule="auto"/>
        <w:ind w:firstLine="720"/>
        <w:rPr>
          <w:rFonts w:eastAsia="Times New Roman"/>
          <w:color w:val="000000"/>
          <w:szCs w:val="26"/>
        </w:rPr>
      </w:pPr>
      <w:r>
        <w:rPr>
          <w:rFonts w:eastAsia="Times New Roman"/>
          <w:color w:val="000000"/>
          <w:szCs w:val="26"/>
        </w:rPr>
        <w:t xml:space="preserve">While a comparison of </w:t>
      </w:r>
      <w:proofErr w:type="gramStart"/>
      <w:r>
        <w:rPr>
          <w:rFonts w:eastAsia="Times New Roman"/>
          <w:color w:val="000000"/>
          <w:szCs w:val="26"/>
        </w:rPr>
        <w:t>interests</w:t>
      </w:r>
      <w:proofErr w:type="gramEnd"/>
      <w:r>
        <w:rPr>
          <w:rFonts w:eastAsia="Times New Roman"/>
          <w:color w:val="000000"/>
          <w:szCs w:val="26"/>
        </w:rPr>
        <w:t xml:space="preserve"> analysis focused on the non-party intervenor is required for mandatory intervention under </w:t>
      </w:r>
      <w:r>
        <w:rPr>
          <w:rFonts w:eastAsia="Times New Roman"/>
          <w:szCs w:val="26"/>
        </w:rPr>
        <w:t>section 387, subdivision (d)(1)(B)</w:t>
      </w:r>
      <w:r>
        <w:rPr>
          <w:rFonts w:eastAsia="Times New Roman"/>
          <w:color w:val="000000"/>
          <w:szCs w:val="26"/>
        </w:rPr>
        <w:t>, courts undertake a balancing of party and non-party interests under section 387, subdivision (d)(2</w:t>
      </w:r>
      <w:r>
        <w:rPr>
          <w:rFonts w:eastAsia="Times New Roman"/>
          <w:color w:val="000000"/>
          <w:szCs w:val="26"/>
        </w:rPr>
        <w:t xml:space="preserve">).  </w:t>
      </w:r>
      <w:r w:rsidRPr="00FE5633">
        <w:rPr>
          <w:rFonts w:eastAsia="Times New Roman"/>
          <w:szCs w:val="26"/>
        </w:rPr>
        <w:t>Here, too, we take federal precedent under Federal Rules of Civil Procedure, rule 24 into account.</w:t>
      </w:r>
      <w:r>
        <w:rPr>
          <w:rFonts w:eastAsia="Times New Roman"/>
          <w:color w:val="000000"/>
          <w:szCs w:val="26"/>
        </w:rPr>
        <w:t xml:space="preserve">  Permissive intervention requires “</w:t>
      </w:r>
      <w:proofErr w:type="spellStart"/>
      <w:r>
        <w:rPr>
          <w:rFonts w:eastAsia="Times New Roman"/>
          <w:color w:val="000000"/>
          <w:szCs w:val="26"/>
        </w:rPr>
        <w:t>balanc</w:t>
      </w:r>
      <w:proofErr w:type="spellEnd"/>
      <w:r>
        <w:rPr>
          <w:rFonts w:eastAsia="Times New Roman"/>
          <w:color w:val="000000"/>
          <w:szCs w:val="26"/>
        </w:rPr>
        <w:t>[</w:t>
      </w:r>
      <w:proofErr w:type="spellStart"/>
      <w:r>
        <w:rPr>
          <w:rFonts w:eastAsia="Times New Roman"/>
          <w:color w:val="000000"/>
          <w:szCs w:val="26"/>
        </w:rPr>
        <w:t>ing</w:t>
      </w:r>
      <w:proofErr w:type="spellEnd"/>
      <w:r>
        <w:rPr>
          <w:rFonts w:eastAsia="Times New Roman"/>
          <w:color w:val="000000"/>
          <w:szCs w:val="26"/>
        </w:rPr>
        <w:t>] the interests of [nonparties] affected by a judgment against the interests of the original parties in purs</w:t>
      </w:r>
      <w:r>
        <w:rPr>
          <w:rFonts w:eastAsia="Times New Roman"/>
          <w:color w:val="000000"/>
          <w:szCs w:val="26"/>
        </w:rPr>
        <w:t>uing their case unburdened by others.”</w:t>
      </w:r>
      <w:r w:rsidRPr="00FE5633">
        <w:rPr>
          <w:rFonts w:eastAsia="Times New Roman"/>
          <w:szCs w:val="26"/>
        </w:rPr>
        <w:t xml:space="preserve">  (</w:t>
      </w:r>
      <w:r w:rsidRPr="00FE5633">
        <w:rPr>
          <w:rFonts w:eastAsia="Times New Roman"/>
          <w:i/>
          <w:iCs/>
          <w:szCs w:val="26"/>
          <w:bdr w:val="none" w:sz="0" w:space="0" w:color="auto" w:frame="1"/>
        </w:rPr>
        <w:t>South Coast Air Quality Management District v. City of Los Angeles</w:t>
      </w:r>
      <w:r w:rsidRPr="00FE5633">
        <w:rPr>
          <w:rFonts w:eastAsia="Times New Roman"/>
          <w:szCs w:val="26"/>
        </w:rPr>
        <w:t xml:space="preserve"> (2021) 71 Cal.App.5th 314, 320</w:t>
      </w:r>
      <w:r>
        <w:rPr>
          <w:rFonts w:eastAsia="Times New Roman"/>
          <w:szCs w:val="26"/>
        </w:rPr>
        <w:t>, review den. Feb. 16, 2022</w:t>
      </w:r>
      <w:r w:rsidRPr="00FE5633">
        <w:rPr>
          <w:rFonts w:eastAsia="Times New Roman"/>
          <w:szCs w:val="26"/>
        </w:rPr>
        <w:t xml:space="preserve">.) </w:t>
      </w:r>
      <w:r>
        <w:rPr>
          <w:rFonts w:eastAsia="Times New Roman"/>
          <w:szCs w:val="26"/>
        </w:rPr>
        <w:t xml:space="preserve"> </w:t>
      </w:r>
      <w:r w:rsidRPr="00FE5633">
        <w:rPr>
          <w:rFonts w:eastAsia="Times New Roman"/>
          <w:szCs w:val="26"/>
        </w:rPr>
        <w:t xml:space="preserve">A trial court has broad discretion to strike this </w:t>
      </w:r>
      <w:r w:rsidRPr="00FE5633">
        <w:rPr>
          <w:rFonts w:eastAsia="Times New Roman"/>
          <w:szCs w:val="26"/>
        </w:rPr>
        <w:lastRenderedPageBreak/>
        <w:t>balance.</w:t>
      </w:r>
      <w:r>
        <w:rPr>
          <w:rFonts w:eastAsia="Times New Roman"/>
          <w:szCs w:val="26"/>
        </w:rPr>
        <w:t xml:space="preserve">  (</w:t>
      </w:r>
      <w:r w:rsidRPr="000764C4">
        <w:rPr>
          <w:i/>
          <w:iCs/>
          <w:szCs w:val="26"/>
        </w:rPr>
        <w:t>City and County of San Fra</w:t>
      </w:r>
      <w:r w:rsidRPr="000764C4">
        <w:rPr>
          <w:i/>
          <w:iCs/>
          <w:szCs w:val="26"/>
        </w:rPr>
        <w:t>ncisco v. State of California</w:t>
      </w:r>
      <w:r w:rsidRPr="000764C4">
        <w:rPr>
          <w:szCs w:val="26"/>
        </w:rPr>
        <w:t xml:space="preserve">, </w:t>
      </w:r>
      <w:r w:rsidRPr="000764C4">
        <w:rPr>
          <w:i/>
          <w:iCs/>
          <w:szCs w:val="26"/>
        </w:rPr>
        <w:t>supra</w:t>
      </w:r>
      <w:r w:rsidRPr="000764C4">
        <w:rPr>
          <w:szCs w:val="26"/>
        </w:rPr>
        <w:t>, 128 Cal.App.4th at p</w:t>
      </w:r>
      <w:r>
        <w:rPr>
          <w:szCs w:val="26"/>
        </w:rPr>
        <w:t>. </w:t>
      </w:r>
      <w:r w:rsidRPr="000764C4">
        <w:rPr>
          <w:szCs w:val="26"/>
        </w:rPr>
        <w:t xml:space="preserve">1037.)  </w:t>
      </w:r>
      <w:r>
        <w:rPr>
          <w:szCs w:val="26"/>
        </w:rPr>
        <w:t>And w</w:t>
      </w:r>
      <w:r w:rsidRPr="00FE5633">
        <w:rPr>
          <w:rFonts w:eastAsia="Times New Roman"/>
          <w:szCs w:val="26"/>
        </w:rPr>
        <w:t xml:space="preserve">e </w:t>
      </w:r>
      <w:r>
        <w:rPr>
          <w:rFonts w:eastAsia="Times New Roman"/>
          <w:szCs w:val="26"/>
        </w:rPr>
        <w:t>may</w:t>
      </w:r>
      <w:r w:rsidRPr="00FE5633">
        <w:rPr>
          <w:rFonts w:eastAsia="Times New Roman"/>
          <w:szCs w:val="26"/>
        </w:rPr>
        <w:t xml:space="preserve"> </w:t>
      </w:r>
      <w:r>
        <w:rPr>
          <w:rFonts w:eastAsia="Times New Roman"/>
          <w:color w:val="000000"/>
          <w:szCs w:val="26"/>
        </w:rPr>
        <w:t>find that the trial court abused its discretion only if its decision exceeds the bounds of reason.</w:t>
      </w:r>
    </w:p>
    <w:p w14:paraId="4775F728" w14:textId="77777777" w:rsidR="00F202C7" w:rsidRDefault="00B45E56" w:rsidP="00FF6395">
      <w:pPr>
        <w:pStyle w:val="FootnoteText"/>
        <w:spacing w:line="360" w:lineRule="auto"/>
        <w:ind w:firstLine="720"/>
        <w:rPr>
          <w:rFonts w:eastAsia="Times New Roman"/>
          <w:color w:val="000000"/>
          <w:szCs w:val="26"/>
        </w:rPr>
      </w:pPr>
      <w:r w:rsidRPr="00D9406C">
        <w:rPr>
          <w:szCs w:val="26"/>
        </w:rPr>
        <w:t xml:space="preserve">Although some courts refer to discretionary balancing </w:t>
      </w:r>
      <w:r>
        <w:rPr>
          <w:szCs w:val="26"/>
        </w:rPr>
        <w:t xml:space="preserve">of </w:t>
      </w:r>
      <w:r w:rsidRPr="00D9406C">
        <w:rPr>
          <w:szCs w:val="26"/>
        </w:rPr>
        <w:t xml:space="preserve">the interests of the </w:t>
      </w:r>
      <w:r w:rsidRPr="00D9406C">
        <w:rPr>
          <w:szCs w:val="26"/>
        </w:rPr>
        <w:t>non-party movant and the existing parties as the objective of section 387</w:t>
      </w:r>
      <w:r>
        <w:rPr>
          <w:szCs w:val="26"/>
        </w:rPr>
        <w:t xml:space="preserve"> generally</w:t>
      </w:r>
      <w:r w:rsidRPr="00D9406C">
        <w:rPr>
          <w:szCs w:val="26"/>
        </w:rPr>
        <w:t xml:space="preserve">, </w:t>
      </w:r>
      <w:r>
        <w:rPr>
          <w:szCs w:val="26"/>
        </w:rPr>
        <w:t xml:space="preserve">the text of </w:t>
      </w:r>
      <w:r w:rsidRPr="00D9406C">
        <w:rPr>
          <w:szCs w:val="26"/>
        </w:rPr>
        <w:t xml:space="preserve">subdivisions (d)(1)(B) </w:t>
      </w:r>
      <w:r>
        <w:rPr>
          <w:szCs w:val="26"/>
        </w:rPr>
        <w:t>(</w:t>
      </w:r>
      <w:r w:rsidRPr="00D9406C">
        <w:rPr>
          <w:szCs w:val="26"/>
        </w:rPr>
        <w:t>mandatory intervention</w:t>
      </w:r>
      <w:r>
        <w:rPr>
          <w:szCs w:val="26"/>
        </w:rPr>
        <w:t>)</w:t>
      </w:r>
      <w:r w:rsidRPr="00D9406C">
        <w:rPr>
          <w:szCs w:val="26"/>
        </w:rPr>
        <w:t xml:space="preserve"> and (d)(2) </w:t>
      </w:r>
      <w:r>
        <w:rPr>
          <w:szCs w:val="26"/>
        </w:rPr>
        <w:t>(</w:t>
      </w:r>
      <w:r w:rsidRPr="00D9406C">
        <w:rPr>
          <w:szCs w:val="26"/>
        </w:rPr>
        <w:t>permissive intervention</w:t>
      </w:r>
      <w:r>
        <w:rPr>
          <w:szCs w:val="26"/>
        </w:rPr>
        <w:t>) indicates that the analysis under these two provisions has a sharply diffe</w:t>
      </w:r>
      <w:r>
        <w:rPr>
          <w:szCs w:val="26"/>
        </w:rPr>
        <w:t xml:space="preserve">rent focus.  The commentary on </w:t>
      </w:r>
      <w:r w:rsidRPr="00D9406C">
        <w:rPr>
          <w:szCs w:val="26"/>
        </w:rPr>
        <w:t>F</w:t>
      </w:r>
      <w:r>
        <w:rPr>
          <w:szCs w:val="26"/>
        </w:rPr>
        <w:t xml:space="preserve">ederal </w:t>
      </w:r>
      <w:r w:rsidRPr="00D9406C">
        <w:rPr>
          <w:szCs w:val="26"/>
        </w:rPr>
        <w:t>R</w:t>
      </w:r>
      <w:r>
        <w:rPr>
          <w:szCs w:val="26"/>
        </w:rPr>
        <w:t xml:space="preserve">ules of </w:t>
      </w:r>
      <w:r w:rsidRPr="00D9406C">
        <w:rPr>
          <w:szCs w:val="26"/>
        </w:rPr>
        <w:t>C</w:t>
      </w:r>
      <w:r>
        <w:rPr>
          <w:szCs w:val="26"/>
        </w:rPr>
        <w:t xml:space="preserve">ivil </w:t>
      </w:r>
      <w:r w:rsidRPr="00D9406C">
        <w:rPr>
          <w:szCs w:val="26"/>
        </w:rPr>
        <w:t>P</w:t>
      </w:r>
      <w:r>
        <w:rPr>
          <w:szCs w:val="26"/>
        </w:rPr>
        <w:t>rocedure, rule</w:t>
      </w:r>
      <w:r w:rsidRPr="00D9406C">
        <w:rPr>
          <w:szCs w:val="26"/>
        </w:rPr>
        <w:t xml:space="preserve"> 24(a)</w:t>
      </w:r>
      <w:r>
        <w:rPr>
          <w:szCs w:val="26"/>
        </w:rPr>
        <w:t>(2)</w:t>
      </w:r>
      <w:r w:rsidRPr="00D9406C">
        <w:rPr>
          <w:szCs w:val="26"/>
        </w:rPr>
        <w:t xml:space="preserve"> and (b)</w:t>
      </w:r>
      <w:r>
        <w:rPr>
          <w:szCs w:val="26"/>
        </w:rPr>
        <w:t xml:space="preserve"> in a leading federal treatise, as transposed onto section 387, is </w:t>
      </w:r>
      <w:r w:rsidRPr="00D9406C">
        <w:rPr>
          <w:szCs w:val="26"/>
        </w:rPr>
        <w:t>apt</w:t>
      </w:r>
      <w:r>
        <w:rPr>
          <w:szCs w:val="26"/>
        </w:rPr>
        <w:t xml:space="preserve">.  </w:t>
      </w:r>
      <w:r w:rsidRPr="00D9406C">
        <w:rPr>
          <w:szCs w:val="26"/>
        </w:rPr>
        <w:t>The sole focus of the mandatory intervention analysis is on whether</w:t>
      </w:r>
      <w:r>
        <w:rPr>
          <w:szCs w:val="26"/>
        </w:rPr>
        <w:t xml:space="preserve"> “denial of intervention [will] have a significant enough effect on the movant</w:t>
      </w:r>
      <w:proofErr w:type="gramStart"/>
      <w:r>
        <w:rPr>
          <w:szCs w:val="26"/>
        </w:rPr>
        <w:t>[.]  Considerations</w:t>
      </w:r>
      <w:proofErr w:type="gramEnd"/>
      <w:r>
        <w:rPr>
          <w:szCs w:val="26"/>
        </w:rPr>
        <w:t xml:space="preserve"> regarding prejudice to original parties are not incorporated in the [subdivision (d)(1)(B)] criteria.  The chief focus of [subdivision (d)(1)(B)] is on the mo</w:t>
      </w:r>
      <w:r>
        <w:rPr>
          <w:szCs w:val="26"/>
        </w:rPr>
        <w:t>vant.” (6 </w:t>
      </w:r>
      <w:r w:rsidRPr="00285125">
        <w:rPr>
          <w:i/>
          <w:iCs/>
          <w:szCs w:val="26"/>
          <w:bdr w:val="none" w:sz="0" w:space="0" w:color="auto" w:frame="1"/>
        </w:rPr>
        <w:t>Moore</w:t>
      </w:r>
      <w:r>
        <w:rPr>
          <w:i/>
          <w:iCs/>
          <w:szCs w:val="26"/>
          <w:bdr w:val="none" w:sz="0" w:space="0" w:color="auto" w:frame="1"/>
        </w:rPr>
        <w:t>’</w:t>
      </w:r>
      <w:r w:rsidRPr="00285125">
        <w:rPr>
          <w:i/>
          <w:iCs/>
          <w:szCs w:val="26"/>
          <w:bdr w:val="none" w:sz="0" w:space="0" w:color="auto" w:frame="1"/>
        </w:rPr>
        <w:t xml:space="preserve">s Federal Practice </w:t>
      </w:r>
      <w:r>
        <w:rPr>
          <w:i/>
          <w:iCs/>
          <w:szCs w:val="26"/>
          <w:bdr w:val="none" w:sz="0" w:space="0" w:color="auto" w:frame="1"/>
        </w:rPr>
        <w:t>–</w:t>
      </w:r>
      <w:r w:rsidRPr="00285125">
        <w:rPr>
          <w:i/>
          <w:iCs/>
          <w:szCs w:val="26"/>
          <w:bdr w:val="none" w:sz="0" w:space="0" w:color="auto" w:frame="1"/>
        </w:rPr>
        <w:t xml:space="preserve"> Civil</w:t>
      </w:r>
      <w:r>
        <w:rPr>
          <w:i/>
          <w:iCs/>
          <w:szCs w:val="26"/>
          <w:bdr w:val="none" w:sz="0" w:space="0" w:color="auto" w:frame="1"/>
        </w:rPr>
        <w:t xml:space="preserve"> </w:t>
      </w:r>
      <w:r w:rsidRPr="00734566">
        <w:rPr>
          <w:szCs w:val="26"/>
          <w:bdr w:val="none" w:sz="0" w:space="0" w:color="auto" w:frame="1"/>
        </w:rPr>
        <w:t>(2023)</w:t>
      </w:r>
      <w:r w:rsidRPr="00285125">
        <w:rPr>
          <w:szCs w:val="26"/>
          <w:bdr w:val="none" w:sz="0" w:space="0" w:color="auto" w:frame="1"/>
        </w:rPr>
        <w:t xml:space="preserve"> §</w:t>
      </w:r>
      <w:r>
        <w:rPr>
          <w:szCs w:val="26"/>
          <w:bdr w:val="none" w:sz="0" w:space="0" w:color="auto" w:frame="1"/>
        </w:rPr>
        <w:t> </w:t>
      </w:r>
      <w:r w:rsidRPr="00285125">
        <w:rPr>
          <w:szCs w:val="26"/>
          <w:bdr w:val="none" w:sz="0" w:space="0" w:color="auto" w:frame="1"/>
        </w:rPr>
        <w:t>24.03 [1][c].)</w:t>
      </w:r>
      <w:r>
        <w:rPr>
          <w:szCs w:val="26"/>
        </w:rPr>
        <w:t xml:space="preserve">  In contrast, subdivision (d)(2) permissive intervention examines what the movant proposes to add to the litigation, while </w:t>
      </w:r>
      <w:proofErr w:type="gramStart"/>
      <w:r>
        <w:rPr>
          <w:szCs w:val="26"/>
        </w:rPr>
        <w:t>taking into account</w:t>
      </w:r>
      <w:proofErr w:type="gramEnd"/>
      <w:r>
        <w:rPr>
          <w:szCs w:val="26"/>
        </w:rPr>
        <w:t xml:space="preserve"> “other factors, such as harm to the existing p</w:t>
      </w:r>
      <w:r>
        <w:rPr>
          <w:szCs w:val="26"/>
        </w:rPr>
        <w:t>arties and delays.”  (6 </w:t>
      </w:r>
      <w:r w:rsidRPr="00285125">
        <w:rPr>
          <w:i/>
          <w:iCs/>
          <w:szCs w:val="26"/>
          <w:bdr w:val="none" w:sz="0" w:space="0" w:color="auto" w:frame="1"/>
        </w:rPr>
        <w:t>Moore</w:t>
      </w:r>
      <w:r>
        <w:rPr>
          <w:i/>
          <w:iCs/>
          <w:szCs w:val="26"/>
          <w:bdr w:val="none" w:sz="0" w:space="0" w:color="auto" w:frame="1"/>
        </w:rPr>
        <w:t>’</w:t>
      </w:r>
      <w:r w:rsidRPr="00285125">
        <w:rPr>
          <w:i/>
          <w:iCs/>
          <w:szCs w:val="26"/>
          <w:bdr w:val="none" w:sz="0" w:space="0" w:color="auto" w:frame="1"/>
        </w:rPr>
        <w:t xml:space="preserve">s Federal Practice </w:t>
      </w:r>
      <w:r>
        <w:rPr>
          <w:i/>
          <w:iCs/>
          <w:szCs w:val="26"/>
          <w:bdr w:val="none" w:sz="0" w:space="0" w:color="auto" w:frame="1"/>
        </w:rPr>
        <w:t>–</w:t>
      </w:r>
      <w:r w:rsidRPr="00285125">
        <w:rPr>
          <w:i/>
          <w:iCs/>
          <w:szCs w:val="26"/>
          <w:bdr w:val="none" w:sz="0" w:space="0" w:color="auto" w:frame="1"/>
        </w:rPr>
        <w:t xml:space="preserve"> Civil</w:t>
      </w:r>
      <w:r>
        <w:rPr>
          <w:szCs w:val="26"/>
          <w:bdr w:val="none" w:sz="0" w:space="0" w:color="auto" w:frame="1"/>
        </w:rPr>
        <w:t xml:space="preserve">, </w:t>
      </w:r>
      <w:r w:rsidRPr="000B684A">
        <w:rPr>
          <w:i/>
          <w:iCs/>
          <w:szCs w:val="26"/>
          <w:bdr w:val="none" w:sz="0" w:space="0" w:color="auto" w:frame="1"/>
        </w:rPr>
        <w:t>supra</w:t>
      </w:r>
      <w:r>
        <w:rPr>
          <w:szCs w:val="26"/>
          <w:bdr w:val="none" w:sz="0" w:space="0" w:color="auto" w:frame="1"/>
        </w:rPr>
        <w:t>,</w:t>
      </w:r>
      <w:r w:rsidRPr="00285125">
        <w:rPr>
          <w:szCs w:val="26"/>
          <w:bdr w:val="none" w:sz="0" w:space="0" w:color="auto" w:frame="1"/>
        </w:rPr>
        <w:t xml:space="preserve"> §</w:t>
      </w:r>
      <w:r>
        <w:rPr>
          <w:szCs w:val="26"/>
          <w:bdr w:val="none" w:sz="0" w:space="0" w:color="auto" w:frame="1"/>
        </w:rPr>
        <w:t> </w:t>
      </w:r>
      <w:r w:rsidRPr="00285125">
        <w:rPr>
          <w:szCs w:val="26"/>
          <w:bdr w:val="none" w:sz="0" w:space="0" w:color="auto" w:frame="1"/>
        </w:rPr>
        <w:t>24.03 [1][c].)</w:t>
      </w:r>
    </w:p>
    <w:p w14:paraId="13979279" w14:textId="77777777" w:rsidR="00CF3CD5" w:rsidRPr="002D09EE" w:rsidRDefault="00B45E56" w:rsidP="0085486C">
      <w:pPr>
        <w:pStyle w:val="Heading3"/>
        <w:spacing w:line="360" w:lineRule="auto"/>
        <w:ind w:left="1440" w:hanging="720"/>
        <w:rPr>
          <w:rFonts w:ascii="Century Schoolbook" w:eastAsia="Times New Roman" w:hAnsi="Century Schoolbook"/>
          <w:b/>
          <w:bCs/>
          <w:color w:val="auto"/>
          <w:sz w:val="26"/>
          <w:szCs w:val="26"/>
        </w:rPr>
      </w:pPr>
      <w:r w:rsidRPr="002D09EE">
        <w:rPr>
          <w:rFonts w:ascii="Century Schoolbook" w:eastAsia="Times New Roman" w:hAnsi="Century Schoolbook"/>
          <w:b/>
          <w:bCs/>
          <w:color w:val="auto"/>
          <w:sz w:val="26"/>
          <w:szCs w:val="26"/>
        </w:rPr>
        <w:t>2. Standard of Review</w:t>
      </w:r>
    </w:p>
    <w:p w14:paraId="38DAF6BC" w14:textId="77777777" w:rsidR="00CC413F" w:rsidRPr="00BB5A4B" w:rsidRDefault="00B45E56" w:rsidP="000F74D4">
      <w:pPr>
        <w:shd w:val="clear" w:color="auto" w:fill="FFFFFF"/>
        <w:spacing w:line="360" w:lineRule="auto"/>
        <w:ind w:firstLine="720"/>
        <w:rPr>
          <w:szCs w:val="26"/>
        </w:rPr>
      </w:pPr>
      <w:r w:rsidRPr="006703CB">
        <w:rPr>
          <w:rFonts w:eastAsia="Times New Roman" w:cs="Times New Roman"/>
          <w:color w:val="000000"/>
          <w:szCs w:val="26"/>
        </w:rPr>
        <w:t>The parties dispute the standard of review</w:t>
      </w:r>
      <w:r w:rsidRPr="00C767E1">
        <w:rPr>
          <w:rFonts w:eastAsia="Times New Roman" w:cs="Times New Roman"/>
          <w:color w:val="000000"/>
          <w:szCs w:val="26"/>
        </w:rPr>
        <w:t xml:space="preserve"> </w:t>
      </w:r>
      <w:r>
        <w:rPr>
          <w:rFonts w:eastAsia="Times New Roman" w:cs="Times New Roman"/>
          <w:color w:val="000000"/>
          <w:szCs w:val="26"/>
        </w:rPr>
        <w:t xml:space="preserve">applicable to </w:t>
      </w:r>
      <w:r w:rsidRPr="00C767E1">
        <w:rPr>
          <w:rFonts w:eastAsia="Times New Roman" w:cs="Times New Roman"/>
          <w:color w:val="000000"/>
          <w:szCs w:val="26"/>
        </w:rPr>
        <w:t>an order denying intervention.</w:t>
      </w:r>
      <w:r w:rsidRPr="006703CB">
        <w:rPr>
          <w:rFonts w:eastAsia="Times New Roman" w:cs="Times New Roman"/>
          <w:color w:val="000000"/>
          <w:szCs w:val="26"/>
        </w:rPr>
        <w:t xml:space="preserve"> </w:t>
      </w:r>
      <w:r w:rsidRPr="00C767E1">
        <w:rPr>
          <w:rFonts w:eastAsia="Times New Roman" w:cs="Times New Roman"/>
          <w:color w:val="000000"/>
          <w:szCs w:val="26"/>
        </w:rPr>
        <w:t xml:space="preserve"> </w:t>
      </w:r>
      <w:proofErr w:type="spellStart"/>
      <w:r w:rsidRPr="006F4953">
        <w:rPr>
          <w:rFonts w:eastAsia="Times New Roman" w:cs="Times New Roman"/>
          <w:color w:val="000000"/>
          <w:szCs w:val="26"/>
        </w:rPr>
        <w:t>Piplack</w:t>
      </w:r>
      <w:proofErr w:type="spellEnd"/>
      <w:r w:rsidRPr="006F4953">
        <w:rPr>
          <w:rFonts w:eastAsia="Times New Roman" w:cs="Times New Roman"/>
          <w:color w:val="000000"/>
          <w:szCs w:val="26"/>
        </w:rPr>
        <w:t xml:space="preserve"> and Taylor urge us to undertake de novo review, </w:t>
      </w:r>
      <w:r w:rsidRPr="006F4953">
        <w:rPr>
          <w:rFonts w:eastAsia="Times New Roman" w:cs="Times New Roman"/>
          <w:color w:val="000000"/>
          <w:szCs w:val="26"/>
        </w:rPr>
        <w:t>while</w:t>
      </w:r>
      <w:r w:rsidRPr="006F4953">
        <w:rPr>
          <w:szCs w:val="26"/>
        </w:rPr>
        <w:t xml:space="preserve"> </w:t>
      </w:r>
      <w:proofErr w:type="spellStart"/>
      <w:r w:rsidRPr="006F4953">
        <w:rPr>
          <w:rFonts w:eastAsia="Times New Roman" w:cs="Times New Roman"/>
          <w:color w:val="000000"/>
          <w:szCs w:val="26"/>
        </w:rPr>
        <w:t>Accurso</w:t>
      </w:r>
      <w:proofErr w:type="spellEnd"/>
      <w:r w:rsidRPr="006F4953">
        <w:rPr>
          <w:rFonts w:eastAsia="Times New Roman" w:cs="Times New Roman"/>
          <w:color w:val="000000"/>
          <w:szCs w:val="26"/>
        </w:rPr>
        <w:t xml:space="preserve"> </w:t>
      </w:r>
      <w:r>
        <w:rPr>
          <w:rFonts w:eastAsia="Times New Roman" w:cs="Times New Roman"/>
          <w:color w:val="000000"/>
          <w:szCs w:val="26"/>
        </w:rPr>
        <w:t xml:space="preserve">and In-N-Out </w:t>
      </w:r>
      <w:r w:rsidRPr="006F4953">
        <w:rPr>
          <w:rFonts w:eastAsia="Times New Roman" w:cs="Times New Roman"/>
          <w:color w:val="000000"/>
          <w:szCs w:val="26"/>
        </w:rPr>
        <w:t xml:space="preserve">advocate </w:t>
      </w:r>
      <w:r w:rsidRPr="006703CB">
        <w:rPr>
          <w:rFonts w:eastAsia="Times New Roman" w:cs="Times New Roman"/>
          <w:color w:val="000000"/>
          <w:szCs w:val="26"/>
        </w:rPr>
        <w:t>abuse of discretion</w:t>
      </w:r>
      <w:r w:rsidRPr="006F4953">
        <w:rPr>
          <w:rFonts w:eastAsia="Times New Roman" w:cs="Times New Roman"/>
          <w:color w:val="000000"/>
          <w:szCs w:val="26"/>
        </w:rPr>
        <w:t xml:space="preserve"> review.  Courts have not settled on which of these </w:t>
      </w:r>
      <w:r>
        <w:rPr>
          <w:rFonts w:eastAsia="Times New Roman" w:cs="Times New Roman"/>
          <w:color w:val="000000"/>
          <w:szCs w:val="26"/>
        </w:rPr>
        <w:t xml:space="preserve">standards is </w:t>
      </w:r>
      <w:r w:rsidRPr="006F4953">
        <w:rPr>
          <w:rFonts w:eastAsia="Times New Roman" w:cs="Times New Roman"/>
          <w:color w:val="000000"/>
          <w:szCs w:val="26"/>
        </w:rPr>
        <w:t>correct (</w:t>
      </w:r>
      <w:r w:rsidRPr="006F4953">
        <w:rPr>
          <w:i/>
          <w:iCs/>
          <w:szCs w:val="26"/>
        </w:rPr>
        <w:t>Edwards</w:t>
      </w:r>
      <w:r>
        <w:rPr>
          <w:szCs w:val="26"/>
        </w:rPr>
        <w:t xml:space="preserve">, </w:t>
      </w:r>
      <w:r w:rsidRPr="003C3151">
        <w:rPr>
          <w:i/>
          <w:iCs/>
          <w:szCs w:val="26"/>
        </w:rPr>
        <w:t>supra</w:t>
      </w:r>
      <w:r>
        <w:rPr>
          <w:szCs w:val="26"/>
        </w:rPr>
        <w:t xml:space="preserve">, </w:t>
      </w:r>
      <w:r w:rsidRPr="006F4953">
        <w:rPr>
          <w:szCs w:val="26"/>
        </w:rPr>
        <w:t>29</w:t>
      </w:r>
      <w:r>
        <w:rPr>
          <w:szCs w:val="26"/>
        </w:rPr>
        <w:t> </w:t>
      </w:r>
      <w:r w:rsidRPr="006F4953">
        <w:rPr>
          <w:szCs w:val="26"/>
        </w:rPr>
        <w:t xml:space="preserve">Cal.App.5th </w:t>
      </w:r>
      <w:r>
        <w:rPr>
          <w:szCs w:val="26"/>
        </w:rPr>
        <w:t>at p. </w:t>
      </w:r>
      <w:r w:rsidRPr="006F4953">
        <w:rPr>
          <w:szCs w:val="26"/>
        </w:rPr>
        <w:t xml:space="preserve">732) or indeed whether it may be said that there </w:t>
      </w:r>
      <w:r w:rsidRPr="003B1620">
        <w:rPr>
          <w:i/>
          <w:iCs/>
          <w:szCs w:val="26"/>
        </w:rPr>
        <w:t>is</w:t>
      </w:r>
      <w:r w:rsidRPr="00BB5A4B">
        <w:rPr>
          <w:szCs w:val="26"/>
        </w:rPr>
        <w:t xml:space="preserve"> a generally applicable standard.  </w:t>
      </w:r>
      <w:r>
        <w:rPr>
          <w:szCs w:val="26"/>
        </w:rPr>
        <w:t xml:space="preserve">We </w:t>
      </w:r>
      <w:r w:rsidRPr="00BB5A4B">
        <w:rPr>
          <w:szCs w:val="26"/>
        </w:rPr>
        <w:t>t</w:t>
      </w:r>
      <w:r w:rsidRPr="00BB5A4B">
        <w:rPr>
          <w:szCs w:val="26"/>
        </w:rPr>
        <w:t xml:space="preserve">hink this lack of clarity in the </w:t>
      </w:r>
      <w:r>
        <w:rPr>
          <w:szCs w:val="26"/>
        </w:rPr>
        <w:t xml:space="preserve">case </w:t>
      </w:r>
      <w:r>
        <w:rPr>
          <w:szCs w:val="26"/>
        </w:rPr>
        <w:lastRenderedPageBreak/>
        <w:t xml:space="preserve">law elucidating the </w:t>
      </w:r>
      <w:r w:rsidRPr="00BB5A4B">
        <w:rPr>
          <w:szCs w:val="26"/>
        </w:rPr>
        <w:t xml:space="preserve">applicable standard of review stems from </w:t>
      </w:r>
      <w:r>
        <w:rPr>
          <w:szCs w:val="26"/>
        </w:rPr>
        <w:t xml:space="preserve">a lag in the case law in catching up to the significance of the 1977 amendment of the </w:t>
      </w:r>
      <w:r w:rsidRPr="00BB5A4B">
        <w:rPr>
          <w:szCs w:val="26"/>
        </w:rPr>
        <w:t xml:space="preserve">statute.  </w:t>
      </w:r>
    </w:p>
    <w:p w14:paraId="43386EC7" w14:textId="77777777" w:rsidR="00432D38" w:rsidRPr="00E60996" w:rsidRDefault="00B45E56" w:rsidP="00604FBA">
      <w:pPr>
        <w:shd w:val="clear" w:color="auto" w:fill="FFFFFF"/>
        <w:spacing w:line="360" w:lineRule="auto"/>
        <w:ind w:firstLine="720"/>
        <w:rPr>
          <w:rFonts w:eastAsia="Times New Roman" w:cs="Times New Roman"/>
          <w:szCs w:val="26"/>
        </w:rPr>
      </w:pPr>
      <w:r w:rsidRPr="00A527F2">
        <w:rPr>
          <w:rFonts w:eastAsia="Times New Roman" w:cs="Times New Roman"/>
          <w:color w:val="000000"/>
          <w:szCs w:val="26"/>
        </w:rPr>
        <w:t xml:space="preserve">For many years, the </w:t>
      </w:r>
      <w:r>
        <w:rPr>
          <w:rFonts w:eastAsia="Times New Roman" w:cs="Times New Roman"/>
          <w:color w:val="000000"/>
          <w:szCs w:val="26"/>
        </w:rPr>
        <w:t xml:space="preserve">uniformly </w:t>
      </w:r>
      <w:r w:rsidRPr="00A527F2">
        <w:rPr>
          <w:rFonts w:eastAsia="Times New Roman" w:cs="Times New Roman"/>
          <w:color w:val="000000"/>
          <w:szCs w:val="26"/>
        </w:rPr>
        <w:t>accepted standard was abuse of</w:t>
      </w:r>
      <w:r w:rsidRPr="00A527F2">
        <w:rPr>
          <w:rFonts w:eastAsia="Times New Roman" w:cs="Times New Roman"/>
          <w:color w:val="000000"/>
          <w:szCs w:val="26"/>
        </w:rPr>
        <w:t xml:space="preserve"> discretion</w:t>
      </w:r>
      <w:r>
        <w:rPr>
          <w:rFonts w:eastAsia="Times New Roman" w:cs="Times New Roman"/>
          <w:color w:val="000000"/>
          <w:szCs w:val="26"/>
        </w:rPr>
        <w:t xml:space="preserve">. </w:t>
      </w:r>
      <w:r w:rsidRPr="00A527F2">
        <w:rPr>
          <w:rFonts w:eastAsia="Times New Roman" w:cs="Times New Roman"/>
          <w:color w:val="000000"/>
          <w:szCs w:val="26"/>
        </w:rPr>
        <w:t xml:space="preserve"> (</w:t>
      </w:r>
      <w:r>
        <w:rPr>
          <w:rFonts w:eastAsia="Times New Roman" w:cs="Times New Roman"/>
          <w:color w:val="000000"/>
          <w:szCs w:val="26"/>
        </w:rPr>
        <w:t>E</w:t>
      </w:r>
      <w:r w:rsidRPr="00A527F2">
        <w:rPr>
          <w:rFonts w:eastAsia="Times New Roman" w:cs="Times New Roman"/>
          <w:color w:val="000000"/>
          <w:szCs w:val="26"/>
        </w:rPr>
        <w:t>.g.</w:t>
      </w:r>
      <w:r>
        <w:rPr>
          <w:rFonts w:eastAsia="Times New Roman" w:cs="Times New Roman"/>
          <w:color w:val="000000"/>
          <w:szCs w:val="26"/>
        </w:rPr>
        <w:t>,</w:t>
      </w:r>
      <w:r w:rsidRPr="00A527F2">
        <w:rPr>
          <w:rFonts w:eastAsia="Times New Roman" w:cs="Times New Roman"/>
          <w:color w:val="000000"/>
          <w:szCs w:val="26"/>
        </w:rPr>
        <w:t xml:space="preserve"> </w:t>
      </w:r>
      <w:r w:rsidRPr="00596E86">
        <w:rPr>
          <w:rFonts w:eastAsia="Times New Roman" w:cs="Times New Roman"/>
          <w:i/>
          <w:iCs/>
          <w:szCs w:val="26"/>
          <w:bdr w:val="none" w:sz="0" w:space="0" w:color="auto" w:frame="1"/>
        </w:rPr>
        <w:t>People v. Superior Court (Good)</w:t>
      </w:r>
      <w:r w:rsidRPr="00596E86">
        <w:rPr>
          <w:rFonts w:eastAsia="Times New Roman" w:cs="Times New Roman"/>
          <w:szCs w:val="26"/>
        </w:rPr>
        <w:t xml:space="preserve">, </w:t>
      </w:r>
      <w:r w:rsidRPr="00596E86">
        <w:rPr>
          <w:rFonts w:eastAsia="Times New Roman" w:cs="Times New Roman"/>
          <w:i/>
          <w:iCs/>
          <w:szCs w:val="26"/>
        </w:rPr>
        <w:t>supra</w:t>
      </w:r>
      <w:r w:rsidRPr="00596E86">
        <w:rPr>
          <w:rFonts w:eastAsia="Times New Roman" w:cs="Times New Roman"/>
          <w:szCs w:val="26"/>
        </w:rPr>
        <w:t>, 17</w:t>
      </w:r>
      <w:r>
        <w:rPr>
          <w:rFonts w:eastAsia="Times New Roman" w:cs="Times New Roman"/>
          <w:szCs w:val="26"/>
        </w:rPr>
        <w:t> </w:t>
      </w:r>
      <w:r w:rsidRPr="00596E86">
        <w:rPr>
          <w:rFonts w:eastAsia="Times New Roman" w:cs="Times New Roman"/>
          <w:szCs w:val="26"/>
        </w:rPr>
        <w:t>Cal.3d at p.</w:t>
      </w:r>
      <w:r>
        <w:rPr>
          <w:rFonts w:eastAsia="Times New Roman" w:cs="Times New Roman"/>
          <w:szCs w:val="26"/>
        </w:rPr>
        <w:t> </w:t>
      </w:r>
      <w:r w:rsidRPr="00596E86">
        <w:rPr>
          <w:rFonts w:eastAsia="Times New Roman" w:cs="Times New Roman"/>
          <w:szCs w:val="26"/>
        </w:rPr>
        <w:t>737</w:t>
      </w:r>
      <w:r w:rsidRPr="006224CC">
        <w:rPr>
          <w:rFonts w:eastAsia="Times New Roman" w:cs="Times New Roman"/>
          <w:szCs w:val="26"/>
        </w:rPr>
        <w:t xml:space="preserve">); </w:t>
      </w:r>
      <w:r w:rsidRPr="002D09EE">
        <w:rPr>
          <w:rFonts w:eastAsia="Times New Roman" w:cs="Times New Roman"/>
          <w:szCs w:val="26"/>
        </w:rPr>
        <w:t xml:space="preserve">see </w:t>
      </w:r>
      <w:r w:rsidRPr="002D09EE">
        <w:rPr>
          <w:rFonts w:eastAsia="Times New Roman" w:cs="Times New Roman"/>
          <w:i/>
          <w:iCs/>
          <w:szCs w:val="26"/>
          <w:bdr w:val="none" w:sz="0" w:space="0" w:color="auto" w:frame="1"/>
        </w:rPr>
        <w:t>Isaacs v. Jones</w:t>
      </w:r>
      <w:r w:rsidRPr="002D09EE">
        <w:rPr>
          <w:rFonts w:eastAsia="Times New Roman" w:cs="Times New Roman"/>
          <w:szCs w:val="26"/>
        </w:rPr>
        <w:t xml:space="preserve"> (1898</w:t>
      </w:r>
      <w:r w:rsidRPr="006224CC">
        <w:rPr>
          <w:rFonts w:eastAsia="Times New Roman" w:cs="Times New Roman"/>
          <w:szCs w:val="26"/>
        </w:rPr>
        <w:t>) 121</w:t>
      </w:r>
      <w:r>
        <w:rPr>
          <w:rFonts w:eastAsia="Times New Roman" w:cs="Times New Roman"/>
          <w:szCs w:val="26"/>
        </w:rPr>
        <w:t> </w:t>
      </w:r>
      <w:r w:rsidRPr="006224CC">
        <w:rPr>
          <w:rFonts w:eastAsia="Times New Roman" w:cs="Times New Roman"/>
          <w:szCs w:val="26"/>
        </w:rPr>
        <w:t>Cal. 257</w:t>
      </w:r>
      <w:r w:rsidRPr="002D09EE">
        <w:rPr>
          <w:rFonts w:eastAsia="Times New Roman" w:cs="Times New Roman"/>
          <w:szCs w:val="26"/>
        </w:rPr>
        <w:t>, 261 [“[w]</w:t>
      </w:r>
      <w:proofErr w:type="spellStart"/>
      <w:r w:rsidRPr="002D09EE">
        <w:rPr>
          <w:rFonts w:eastAsia="Times New Roman" w:cs="Times New Roman"/>
          <w:szCs w:val="26"/>
        </w:rPr>
        <w:t>hether</w:t>
      </w:r>
      <w:proofErr w:type="spellEnd"/>
      <w:r w:rsidRPr="002D09EE">
        <w:rPr>
          <w:rFonts w:eastAsia="Times New Roman" w:cs="Times New Roman"/>
          <w:szCs w:val="26"/>
        </w:rPr>
        <w:t xml:space="preserve"> any particular </w:t>
      </w:r>
      <w:r w:rsidRPr="001627AF">
        <w:rPr>
          <w:rFonts w:eastAsia="Times New Roman" w:cs="Times New Roman"/>
          <w:color w:val="000000"/>
          <w:szCs w:val="26"/>
        </w:rPr>
        <w:t xml:space="preserve">case is within the terms of the premises is best determined by a consideration of the facts of </w:t>
      </w:r>
      <w:r w:rsidRPr="001627AF">
        <w:rPr>
          <w:rFonts w:eastAsia="Times New Roman" w:cs="Times New Roman"/>
          <w:color w:val="000000"/>
          <w:szCs w:val="26"/>
        </w:rPr>
        <w:t>that case</w:t>
      </w:r>
      <w:r w:rsidRPr="00A527F2">
        <w:rPr>
          <w:rFonts w:eastAsia="Times New Roman" w:cs="Times New Roman"/>
          <w:color w:val="000000"/>
          <w:szCs w:val="26"/>
        </w:rPr>
        <w:t>”]</w:t>
      </w:r>
      <w:r>
        <w:rPr>
          <w:rFonts w:eastAsia="Times New Roman" w:cs="Times New Roman"/>
          <w:color w:val="000000"/>
          <w:szCs w:val="26"/>
        </w:rPr>
        <w:t>.</w:t>
      </w:r>
      <w:r w:rsidRPr="00A527F2">
        <w:rPr>
          <w:rFonts w:eastAsia="Times New Roman" w:cs="Times New Roman"/>
          <w:color w:val="000000"/>
          <w:szCs w:val="26"/>
        </w:rPr>
        <w:t>)</w:t>
      </w:r>
      <w:r>
        <w:rPr>
          <w:rFonts w:eastAsia="Times New Roman" w:cs="Times New Roman"/>
          <w:color w:val="000000"/>
          <w:szCs w:val="26"/>
        </w:rPr>
        <w:t xml:space="preserve">  </w:t>
      </w:r>
      <w:r w:rsidRPr="00A527F2">
        <w:rPr>
          <w:rFonts w:eastAsia="Times New Roman" w:cs="Times New Roman"/>
          <w:color w:val="000000"/>
          <w:szCs w:val="26"/>
        </w:rPr>
        <w:t xml:space="preserve">But once the statute was amended in 1977 to track the bifurcated federal scheme of mandatory and permissive intervention, the terminology of de novo review began to appear in </w:t>
      </w:r>
      <w:r>
        <w:rPr>
          <w:rFonts w:eastAsia="Times New Roman" w:cs="Times New Roman"/>
          <w:color w:val="000000"/>
          <w:szCs w:val="26"/>
        </w:rPr>
        <w:t xml:space="preserve">some </w:t>
      </w:r>
      <w:r w:rsidRPr="00A527F2">
        <w:rPr>
          <w:rFonts w:eastAsia="Times New Roman" w:cs="Times New Roman"/>
          <w:color w:val="000000"/>
          <w:szCs w:val="26"/>
        </w:rPr>
        <w:t>mandatory intervention cases (e.g.</w:t>
      </w:r>
      <w:r>
        <w:rPr>
          <w:rFonts w:eastAsia="Times New Roman" w:cs="Times New Roman"/>
          <w:color w:val="000000"/>
          <w:szCs w:val="26"/>
        </w:rPr>
        <w:t>,</w:t>
      </w:r>
      <w:r w:rsidRPr="00A527F2">
        <w:rPr>
          <w:rFonts w:eastAsia="Times New Roman" w:cs="Times New Roman"/>
          <w:color w:val="000000"/>
          <w:szCs w:val="26"/>
        </w:rPr>
        <w:t xml:space="preserve"> </w:t>
      </w:r>
      <w:r w:rsidRPr="001E4A25">
        <w:rPr>
          <w:rFonts w:eastAsia="Times New Roman" w:cs="Times New Roman"/>
          <w:i/>
          <w:iCs/>
          <w:szCs w:val="26"/>
          <w:bdr w:val="none" w:sz="0" w:space="0" w:color="auto" w:frame="1"/>
        </w:rPr>
        <w:t>Hodge v. Kirkpatrick Deve</w:t>
      </w:r>
      <w:r w:rsidRPr="001E4A25">
        <w:rPr>
          <w:rFonts w:eastAsia="Times New Roman" w:cs="Times New Roman"/>
          <w:i/>
          <w:iCs/>
          <w:szCs w:val="26"/>
          <w:bdr w:val="none" w:sz="0" w:space="0" w:color="auto" w:frame="1"/>
        </w:rPr>
        <w:t>lopment, Inc.</w:t>
      </w:r>
      <w:r w:rsidRPr="001E4A25">
        <w:rPr>
          <w:rFonts w:eastAsia="Times New Roman" w:cs="Times New Roman"/>
          <w:szCs w:val="26"/>
        </w:rPr>
        <w:t xml:space="preserve"> (2005) 130</w:t>
      </w:r>
      <w:r>
        <w:rPr>
          <w:rFonts w:eastAsia="Times New Roman" w:cs="Times New Roman"/>
          <w:szCs w:val="26"/>
        </w:rPr>
        <w:t> </w:t>
      </w:r>
      <w:r w:rsidRPr="00A527F2">
        <w:rPr>
          <w:rFonts w:eastAsia="Times New Roman" w:cs="Times New Roman"/>
          <w:color w:val="000000"/>
          <w:szCs w:val="26"/>
        </w:rPr>
        <w:t>Cal.App.4th 540, 547</w:t>
      </w:r>
      <w:r>
        <w:rPr>
          <w:rFonts w:eastAsia="Times New Roman" w:cs="Times New Roman"/>
          <w:color w:val="000000"/>
          <w:szCs w:val="26"/>
        </w:rPr>
        <w:t>,</w:t>
      </w:r>
      <w:r w:rsidRPr="00A527F2">
        <w:rPr>
          <w:rFonts w:eastAsia="Times New Roman" w:cs="Times New Roman"/>
          <w:color w:val="000000"/>
          <w:szCs w:val="26"/>
        </w:rPr>
        <w:t xml:space="preserve"> fn.</w:t>
      </w:r>
      <w:r>
        <w:rPr>
          <w:rFonts w:eastAsia="Times New Roman" w:cs="Times New Roman"/>
          <w:color w:val="000000"/>
          <w:szCs w:val="26"/>
        </w:rPr>
        <w:t> </w:t>
      </w:r>
      <w:r w:rsidRPr="00A527F2">
        <w:rPr>
          <w:rFonts w:eastAsia="Times New Roman" w:cs="Times New Roman"/>
          <w:color w:val="000000"/>
          <w:szCs w:val="26"/>
        </w:rPr>
        <w:t>2), typically where the nature and character of the proposed interven</w:t>
      </w:r>
      <w:r>
        <w:rPr>
          <w:rFonts w:eastAsia="Times New Roman" w:cs="Times New Roman"/>
          <w:color w:val="000000"/>
          <w:szCs w:val="26"/>
        </w:rPr>
        <w:t>e</w:t>
      </w:r>
      <w:r w:rsidRPr="00A527F2">
        <w:rPr>
          <w:rFonts w:eastAsia="Times New Roman" w:cs="Times New Roman"/>
          <w:color w:val="000000"/>
          <w:szCs w:val="26"/>
        </w:rPr>
        <w:t xml:space="preserve">r’s interest in joining the litigation was a question of statutory interpretation </w:t>
      </w:r>
      <w:r w:rsidRPr="00E60996">
        <w:rPr>
          <w:rFonts w:eastAsia="Times New Roman" w:cs="Times New Roman"/>
          <w:szCs w:val="26"/>
        </w:rPr>
        <w:t xml:space="preserve">(e.g., </w:t>
      </w:r>
      <w:proofErr w:type="spellStart"/>
      <w:r w:rsidRPr="00E60996">
        <w:rPr>
          <w:rFonts w:eastAsia="Times New Roman" w:cs="Times New Roman"/>
          <w:i/>
          <w:iCs/>
          <w:szCs w:val="26"/>
          <w:bdr w:val="none" w:sz="0" w:space="0" w:color="auto" w:frame="1"/>
        </w:rPr>
        <w:t>Lindelli</w:t>
      </w:r>
      <w:proofErr w:type="spellEnd"/>
      <w:r w:rsidRPr="00E60996">
        <w:rPr>
          <w:rFonts w:eastAsia="Times New Roman" w:cs="Times New Roman"/>
          <w:i/>
          <w:iCs/>
          <w:szCs w:val="26"/>
          <w:bdr w:val="none" w:sz="0" w:space="0" w:color="auto" w:frame="1"/>
        </w:rPr>
        <w:t xml:space="preserve"> v. Town of San Anselmo</w:t>
      </w:r>
      <w:r w:rsidRPr="00E60996">
        <w:rPr>
          <w:rFonts w:eastAsia="Times New Roman" w:cs="Times New Roman"/>
          <w:szCs w:val="26"/>
        </w:rPr>
        <w:t xml:space="preserve"> (2006) 139</w:t>
      </w:r>
      <w:r>
        <w:rPr>
          <w:rFonts w:eastAsia="Times New Roman" w:cs="Times New Roman"/>
          <w:szCs w:val="26"/>
        </w:rPr>
        <w:t> </w:t>
      </w:r>
      <w:r w:rsidRPr="00E60996">
        <w:rPr>
          <w:rFonts w:eastAsia="Times New Roman" w:cs="Times New Roman"/>
          <w:szCs w:val="26"/>
        </w:rPr>
        <w:t xml:space="preserve">Cal.App.4th 1499, 1504), as it is here.  </w:t>
      </w:r>
    </w:p>
    <w:p w14:paraId="66FE9205" w14:textId="77777777" w:rsidR="00E05DD5" w:rsidRDefault="00B45E56" w:rsidP="008441E1">
      <w:pPr>
        <w:shd w:val="clear" w:color="auto" w:fill="FFFFFF"/>
        <w:tabs>
          <w:tab w:val="clear" w:pos="720"/>
        </w:tabs>
        <w:spacing w:line="360" w:lineRule="auto"/>
        <w:ind w:firstLine="720"/>
        <w:rPr>
          <w:szCs w:val="26"/>
        </w:rPr>
      </w:pPr>
      <w:r>
        <w:rPr>
          <w:rFonts w:eastAsia="Times New Roman" w:cs="Times New Roman"/>
          <w:color w:val="000000"/>
          <w:szCs w:val="26"/>
        </w:rPr>
        <w:t xml:space="preserve">In this case, we will review the denial of mandatory intervention de novo, not just because an issue of statutory interpretation is at stake, but also because </w:t>
      </w:r>
      <w:r w:rsidRPr="00F62EFE">
        <w:rPr>
          <w:rFonts w:eastAsia="Times New Roman" w:cs="Times New Roman"/>
          <w:color w:val="000000"/>
          <w:szCs w:val="26"/>
        </w:rPr>
        <w:t>de novo review</w:t>
      </w:r>
      <w:r w:rsidRPr="00BC4336">
        <w:rPr>
          <w:rFonts w:eastAsia="Times New Roman" w:cs="Times New Roman"/>
          <w:color w:val="000000"/>
          <w:szCs w:val="26"/>
        </w:rPr>
        <w:t xml:space="preserve"> best accords with the Legislative intent</w:t>
      </w:r>
      <w:r w:rsidRPr="00BC4336">
        <w:rPr>
          <w:rFonts w:eastAsia="Times New Roman" w:cs="Times New Roman"/>
          <w:color w:val="000000"/>
          <w:szCs w:val="26"/>
        </w:rPr>
        <w:t xml:space="preserve"> in 1977 to correct what the Legislature perceived as a reluctance by courts to exe</w:t>
      </w:r>
      <w:r>
        <w:rPr>
          <w:rFonts w:eastAsia="Times New Roman" w:cs="Times New Roman"/>
          <w:color w:val="000000"/>
          <w:szCs w:val="26"/>
        </w:rPr>
        <w:t xml:space="preserve">rcise their discretion in a manner that </w:t>
      </w:r>
      <w:r w:rsidRPr="00F62EFE">
        <w:rPr>
          <w:rFonts w:eastAsia="Times New Roman" w:cs="Times New Roman"/>
          <w:color w:val="000000"/>
          <w:szCs w:val="26"/>
        </w:rPr>
        <w:t>gives</w:t>
      </w:r>
      <w:r>
        <w:rPr>
          <w:rFonts w:eastAsia="Times New Roman" w:cs="Times New Roman"/>
          <w:color w:val="000000"/>
          <w:szCs w:val="26"/>
        </w:rPr>
        <w:t xml:space="preserve"> unrepresented </w:t>
      </w:r>
      <w:r w:rsidRPr="00604FBA">
        <w:rPr>
          <w:rFonts w:eastAsia="Times New Roman" w:cs="Times New Roman"/>
          <w:color w:val="000000"/>
          <w:szCs w:val="26"/>
        </w:rPr>
        <w:t>or underrepresented parties access to court to protect their interests.</w:t>
      </w:r>
      <w:r>
        <w:rPr>
          <w:rStyle w:val="FootnoteReference"/>
          <w:rFonts w:eastAsia="Times New Roman" w:cs="Times New Roman"/>
          <w:color w:val="000000"/>
          <w:szCs w:val="26"/>
        </w:rPr>
        <w:footnoteReference w:id="11"/>
      </w:r>
      <w:r w:rsidRPr="00604FBA">
        <w:rPr>
          <w:rFonts w:eastAsia="Times New Roman" w:cs="Times New Roman"/>
          <w:color w:val="000000"/>
          <w:szCs w:val="26"/>
        </w:rPr>
        <w:t xml:space="preserve"> </w:t>
      </w:r>
      <w:r>
        <w:rPr>
          <w:rFonts w:eastAsia="Times New Roman" w:cs="Times New Roman"/>
          <w:color w:val="000000"/>
          <w:szCs w:val="26"/>
        </w:rPr>
        <w:t xml:space="preserve"> </w:t>
      </w:r>
      <w:r w:rsidRPr="00F62EFE">
        <w:rPr>
          <w:rFonts w:eastAsia="Times New Roman" w:cs="Times New Roman"/>
          <w:color w:val="000000"/>
          <w:szCs w:val="26"/>
        </w:rPr>
        <w:t>“[C]</w:t>
      </w:r>
      <w:proofErr w:type="spellStart"/>
      <w:r w:rsidRPr="007E36EE">
        <w:rPr>
          <w:rFonts w:eastAsia="Times New Roman" w:cs="Times New Roman"/>
          <w:color w:val="000000"/>
          <w:szCs w:val="26"/>
        </w:rPr>
        <w:t>oncerns</w:t>
      </w:r>
      <w:proofErr w:type="spellEnd"/>
      <w:r w:rsidRPr="007E36EE">
        <w:rPr>
          <w:rFonts w:eastAsia="Times New Roman" w:cs="Times New Roman"/>
          <w:color w:val="000000"/>
          <w:szCs w:val="26"/>
        </w:rPr>
        <w:t xml:space="preserve"> of judicial </w:t>
      </w:r>
      <w:r w:rsidRPr="007E36EE">
        <w:rPr>
          <w:rFonts w:eastAsia="Times New Roman" w:cs="Times New Roman"/>
          <w:color w:val="000000"/>
          <w:szCs w:val="26"/>
        </w:rPr>
        <w:lastRenderedPageBreak/>
        <w:t>administration</w:t>
      </w:r>
      <w:r w:rsidRPr="007E36EE">
        <w:rPr>
          <w:rFonts w:eastAsia="Times New Roman" w:cs="Times New Roman"/>
          <w:color w:val="000000"/>
          <w:szCs w:val="26"/>
        </w:rPr>
        <w:t>—‘</w:t>
      </w:r>
      <w:r>
        <w:rPr>
          <w:rFonts w:eastAsia="Times New Roman" w:cs="Times New Roman"/>
          <w:color w:val="000000"/>
          <w:szCs w:val="26"/>
        </w:rPr>
        <w:t> </w:t>
      </w:r>
      <w:r w:rsidRPr="007E36EE">
        <w:rPr>
          <w:rFonts w:eastAsia="Times New Roman" w:cs="Times New Roman"/>
          <w:color w:val="000000"/>
          <w:szCs w:val="26"/>
        </w:rPr>
        <w:t>“efficiency, accuracy, and precedential weight</w:t>
      </w:r>
      <w:r>
        <w:rPr>
          <w:rFonts w:eastAsia="Times New Roman" w:cs="Times New Roman"/>
          <w:color w:val="000000"/>
          <w:szCs w:val="26"/>
        </w:rPr>
        <w:t>” </w:t>
      </w:r>
      <w:r w:rsidRPr="007E36EE">
        <w:rPr>
          <w:rFonts w:eastAsia="Times New Roman" w:cs="Times New Roman"/>
          <w:color w:val="000000"/>
          <w:szCs w:val="26"/>
        </w:rPr>
        <w:t>’</w:t>
      </w:r>
      <w:r>
        <w:rPr>
          <w:rFonts w:eastAsia="Times New Roman" w:cs="Times New Roman"/>
          <w:color w:val="000000"/>
          <w:szCs w:val="26"/>
        </w:rPr>
        <w:t> </w:t>
      </w:r>
      <w:r w:rsidRPr="007E36EE">
        <w:rPr>
          <w:rFonts w:eastAsia="Times New Roman" w:cs="Times New Roman"/>
          <w:color w:val="000000"/>
          <w:szCs w:val="26"/>
        </w:rPr>
        <w:t>”</w:t>
      </w:r>
      <w:r w:rsidRPr="00F62EFE">
        <w:rPr>
          <w:rFonts w:eastAsia="Times New Roman" w:cs="Times New Roman"/>
          <w:color w:val="000000"/>
          <w:szCs w:val="26"/>
        </w:rPr>
        <w:t xml:space="preserve"> </w:t>
      </w:r>
      <w:r>
        <w:rPr>
          <w:rFonts w:eastAsia="Times New Roman" w:cs="Times New Roman"/>
          <w:color w:val="000000"/>
          <w:szCs w:val="26"/>
        </w:rPr>
        <w:t xml:space="preserve"> </w:t>
      </w:r>
      <w:r w:rsidRPr="00F62EFE">
        <w:rPr>
          <w:rFonts w:eastAsia="Times New Roman" w:cs="Times New Roman"/>
          <w:color w:val="000000"/>
          <w:szCs w:val="26"/>
        </w:rPr>
        <w:t>(</w:t>
      </w:r>
      <w:r w:rsidRPr="00AF5D5E">
        <w:rPr>
          <w:rFonts w:eastAsia="Times New Roman" w:cs="Times New Roman"/>
          <w:i/>
          <w:iCs/>
          <w:szCs w:val="26"/>
          <w:bdr w:val="none" w:sz="0" w:space="0" w:color="auto" w:frame="1"/>
        </w:rPr>
        <w:t>Haworth v. Superior Court</w:t>
      </w:r>
      <w:r w:rsidRPr="00AF5D5E">
        <w:rPr>
          <w:rFonts w:eastAsia="Times New Roman" w:cs="Times New Roman"/>
          <w:szCs w:val="26"/>
        </w:rPr>
        <w:t xml:space="preserve"> (2010) 50 Cal.4th 372, 384</w:t>
      </w:r>
      <w:r w:rsidRPr="007E36EE">
        <w:rPr>
          <w:rFonts w:eastAsia="Times New Roman" w:cs="Times New Roman"/>
          <w:color w:val="000000"/>
          <w:szCs w:val="26"/>
        </w:rPr>
        <w:t xml:space="preserve">)—favor a standard that allows appellate courts to ensure all parties who have a right to participate in judicial proceedings have the opportunity </w:t>
      </w:r>
      <w:r w:rsidRPr="007E36EE">
        <w:rPr>
          <w:rFonts w:eastAsia="Times New Roman" w:cs="Times New Roman"/>
          <w:color w:val="000000"/>
          <w:szCs w:val="26"/>
        </w:rPr>
        <w:t xml:space="preserve">to </w:t>
      </w:r>
      <w:r>
        <w:rPr>
          <w:rFonts w:eastAsia="Times New Roman" w:cs="Times New Roman"/>
          <w:color w:val="000000"/>
          <w:szCs w:val="26"/>
        </w:rPr>
        <w:t xml:space="preserve">do so </w:t>
      </w:r>
      <w:r w:rsidRPr="007E36EE">
        <w:rPr>
          <w:rFonts w:eastAsia="Times New Roman" w:cs="Times New Roman"/>
          <w:color w:val="000000"/>
          <w:szCs w:val="26"/>
        </w:rPr>
        <w:t xml:space="preserve">where the Legislature has expressed </w:t>
      </w:r>
      <w:r>
        <w:rPr>
          <w:rFonts w:eastAsia="Times New Roman" w:cs="Times New Roman"/>
          <w:color w:val="000000"/>
          <w:szCs w:val="26"/>
        </w:rPr>
        <w:t xml:space="preserve">a </w:t>
      </w:r>
      <w:r w:rsidRPr="007E36EE">
        <w:rPr>
          <w:rFonts w:eastAsia="Times New Roman" w:cs="Times New Roman"/>
          <w:color w:val="000000"/>
          <w:szCs w:val="26"/>
        </w:rPr>
        <w:t xml:space="preserve">categorical preference </w:t>
      </w:r>
      <w:r w:rsidRPr="00F62EFE">
        <w:rPr>
          <w:rFonts w:eastAsia="Times New Roman" w:cs="Times New Roman"/>
          <w:color w:val="000000"/>
          <w:szCs w:val="26"/>
        </w:rPr>
        <w:t xml:space="preserve">on the issue. </w:t>
      </w:r>
      <w:r>
        <w:rPr>
          <w:rFonts w:eastAsia="Times New Roman" w:cs="Times New Roman"/>
          <w:color w:val="000000"/>
          <w:szCs w:val="26"/>
        </w:rPr>
        <w:t xml:space="preserve"> </w:t>
      </w:r>
      <w:proofErr w:type="gramStart"/>
      <w:r>
        <w:rPr>
          <w:rFonts w:eastAsia="Times New Roman" w:cs="Times New Roman"/>
          <w:color w:val="000000"/>
          <w:szCs w:val="26"/>
        </w:rPr>
        <w:t>Thus</w:t>
      </w:r>
      <w:proofErr w:type="gramEnd"/>
      <w:r>
        <w:rPr>
          <w:rFonts w:eastAsia="Times New Roman" w:cs="Times New Roman"/>
          <w:color w:val="000000"/>
          <w:szCs w:val="26"/>
        </w:rPr>
        <w:t xml:space="preserve"> we </w:t>
      </w:r>
      <w:r w:rsidRPr="008E7C75">
        <w:rPr>
          <w:rFonts w:eastAsia="Times New Roman" w:cs="Times New Roman"/>
          <w:color w:val="000000"/>
          <w:szCs w:val="26"/>
        </w:rPr>
        <w:t>have what may be fairly described as a “mixed question of law and fact.”  (</w:t>
      </w:r>
      <w:r w:rsidRPr="008E7C75">
        <w:rPr>
          <w:rFonts w:eastAsia="Times New Roman" w:cs="Times New Roman"/>
          <w:i/>
          <w:iCs/>
          <w:color w:val="000000"/>
          <w:szCs w:val="26"/>
        </w:rPr>
        <w:t>Ibid</w:t>
      </w:r>
      <w:r w:rsidRPr="008E7C75">
        <w:rPr>
          <w:rFonts w:eastAsia="Times New Roman" w:cs="Times New Roman"/>
          <w:color w:val="000000"/>
          <w:szCs w:val="26"/>
        </w:rPr>
        <w:t xml:space="preserve">.) </w:t>
      </w:r>
      <w:r>
        <w:rPr>
          <w:rFonts w:eastAsia="Times New Roman" w:cs="Times New Roman"/>
          <w:color w:val="000000"/>
          <w:szCs w:val="26"/>
        </w:rPr>
        <w:t xml:space="preserve"> This is consistent with the federal approach to the standard of review under Federal Rules of Civil Procedure, rule 24.  </w:t>
      </w:r>
      <w:r w:rsidRPr="00595A82">
        <w:rPr>
          <w:rFonts w:eastAsia="Times New Roman" w:cs="Times New Roman"/>
          <w:color w:val="000000"/>
          <w:szCs w:val="26"/>
        </w:rPr>
        <w:t xml:space="preserve">(See </w:t>
      </w:r>
      <w:r w:rsidRPr="00C57DB2">
        <w:rPr>
          <w:rFonts w:eastAsia="Times New Roman" w:cs="Times New Roman"/>
          <w:i/>
          <w:iCs/>
          <w:color w:val="3D3D3D"/>
          <w:szCs w:val="26"/>
          <w:bdr w:val="none" w:sz="0" w:space="0" w:color="auto" w:frame="1"/>
        </w:rPr>
        <w:t>Callahan</w:t>
      </w:r>
      <w:r>
        <w:rPr>
          <w:rFonts w:eastAsia="Times New Roman" w:cs="Times New Roman"/>
          <w:color w:val="000000"/>
          <w:szCs w:val="26"/>
        </w:rPr>
        <w:t xml:space="preserve">, </w:t>
      </w:r>
      <w:r w:rsidRPr="004916BC">
        <w:rPr>
          <w:rFonts w:eastAsia="Times New Roman" w:cs="Times New Roman"/>
          <w:i/>
          <w:iCs/>
          <w:color w:val="000000"/>
          <w:szCs w:val="26"/>
        </w:rPr>
        <w:t>supra</w:t>
      </w:r>
      <w:r>
        <w:rPr>
          <w:rFonts w:eastAsia="Times New Roman" w:cs="Times New Roman"/>
          <w:color w:val="000000"/>
          <w:szCs w:val="26"/>
        </w:rPr>
        <w:t xml:space="preserve">, </w:t>
      </w:r>
      <w:r w:rsidRPr="00C57DB2">
        <w:rPr>
          <w:rFonts w:eastAsia="Times New Roman" w:cs="Times New Roman"/>
          <w:color w:val="000000"/>
          <w:szCs w:val="26"/>
        </w:rPr>
        <w:t>42</w:t>
      </w:r>
      <w:r>
        <w:rPr>
          <w:rFonts w:eastAsia="Times New Roman" w:cs="Times New Roman"/>
          <w:color w:val="000000"/>
          <w:szCs w:val="26"/>
        </w:rPr>
        <w:t> </w:t>
      </w:r>
      <w:r w:rsidRPr="00C57DB2">
        <w:rPr>
          <w:rFonts w:eastAsia="Times New Roman" w:cs="Times New Roman"/>
          <w:color w:val="000000"/>
          <w:szCs w:val="26"/>
        </w:rPr>
        <w:t xml:space="preserve">F.4th </w:t>
      </w:r>
      <w:r>
        <w:rPr>
          <w:rFonts w:eastAsia="Times New Roman" w:cs="Times New Roman"/>
          <w:color w:val="000000"/>
          <w:szCs w:val="26"/>
        </w:rPr>
        <w:t>at p. </w:t>
      </w:r>
      <w:r w:rsidRPr="00C57DB2">
        <w:rPr>
          <w:rFonts w:eastAsia="Times New Roman" w:cs="Times New Roman"/>
          <w:color w:val="000000"/>
          <w:szCs w:val="26"/>
        </w:rPr>
        <w:t>1019</w:t>
      </w:r>
      <w:r>
        <w:rPr>
          <w:rFonts w:eastAsia="Times New Roman" w:cs="Times New Roman"/>
          <w:color w:val="000000"/>
          <w:szCs w:val="26"/>
        </w:rPr>
        <w:t xml:space="preserve"> [“</w:t>
      </w:r>
      <w:r w:rsidRPr="004916BC">
        <w:rPr>
          <w:rFonts w:eastAsia="Times New Roman" w:cs="Times New Roman"/>
          <w:color w:val="000000"/>
          <w:szCs w:val="26"/>
        </w:rPr>
        <w:t>We review de novo a district court</w:t>
      </w:r>
      <w:r>
        <w:rPr>
          <w:rFonts w:eastAsia="Times New Roman" w:cs="Times New Roman"/>
          <w:color w:val="000000"/>
          <w:szCs w:val="26"/>
        </w:rPr>
        <w:t>’</w:t>
      </w:r>
      <w:r w:rsidRPr="004916BC">
        <w:rPr>
          <w:rFonts w:eastAsia="Times New Roman" w:cs="Times New Roman"/>
          <w:color w:val="000000"/>
          <w:szCs w:val="26"/>
        </w:rPr>
        <w:t>s denial of a motion to intervene as a matter of right,</w:t>
      </w:r>
      <w:r w:rsidRPr="004916BC">
        <w:rPr>
          <w:rFonts w:eastAsia="Times New Roman" w:cs="Times New Roman"/>
          <w:color w:val="000000"/>
          <w:szCs w:val="26"/>
        </w:rPr>
        <w:t xml:space="preserve"> with the exception of a denial based on timeliness, which is reviewed for abuse of discretion.</w:t>
      </w:r>
      <w:r>
        <w:rPr>
          <w:rFonts w:eastAsia="Times New Roman" w:cs="Times New Roman"/>
          <w:color w:val="000000"/>
          <w:szCs w:val="26"/>
        </w:rPr>
        <w:t>”].)</w:t>
      </w:r>
    </w:p>
    <w:p w14:paraId="4F34BFD4" w14:textId="77777777" w:rsidR="00382CE9" w:rsidRPr="008E7C75" w:rsidRDefault="00B45E56" w:rsidP="008441E1">
      <w:pPr>
        <w:shd w:val="clear" w:color="auto" w:fill="FFFFFF"/>
        <w:tabs>
          <w:tab w:val="clear" w:pos="720"/>
        </w:tabs>
        <w:spacing w:line="360" w:lineRule="auto"/>
        <w:ind w:firstLine="720"/>
        <w:rPr>
          <w:szCs w:val="26"/>
        </w:rPr>
      </w:pPr>
      <w:r w:rsidRPr="008E7C75">
        <w:rPr>
          <w:szCs w:val="26"/>
        </w:rPr>
        <w:t>We will review the denial of permissive intervention, on the other hand, for abuse of discretion</w:t>
      </w:r>
      <w:r>
        <w:rPr>
          <w:szCs w:val="26"/>
        </w:rPr>
        <w:t xml:space="preserve"> as traditionally understood</w:t>
      </w:r>
      <w:r w:rsidRPr="008E7C75">
        <w:rPr>
          <w:szCs w:val="26"/>
        </w:rPr>
        <w:t>.  Without exception, courts tod</w:t>
      </w:r>
      <w:r w:rsidRPr="008E7C75">
        <w:rPr>
          <w:szCs w:val="26"/>
        </w:rPr>
        <w:t xml:space="preserve">ay </w:t>
      </w:r>
      <w:r w:rsidRPr="008E7C75">
        <w:rPr>
          <w:rFonts w:eastAsia="Times New Roman" w:cs="Times New Roman"/>
          <w:color w:val="000000"/>
          <w:szCs w:val="26"/>
        </w:rPr>
        <w:t xml:space="preserve">continue to apply the traditional, more deferential abuse of discretion standard </w:t>
      </w:r>
      <w:r>
        <w:rPr>
          <w:rFonts w:eastAsia="Times New Roman" w:cs="Times New Roman"/>
          <w:color w:val="000000"/>
          <w:szCs w:val="26"/>
        </w:rPr>
        <w:t>for permissive intervention</w:t>
      </w:r>
      <w:r w:rsidRPr="008E7C75">
        <w:rPr>
          <w:rFonts w:eastAsia="Times New Roman" w:cs="Times New Roman"/>
          <w:color w:val="000000"/>
          <w:szCs w:val="26"/>
        </w:rPr>
        <w:t>.  (E.g.</w:t>
      </w:r>
      <w:r>
        <w:rPr>
          <w:rFonts w:eastAsia="Times New Roman" w:cs="Times New Roman"/>
          <w:color w:val="000000"/>
          <w:szCs w:val="26"/>
        </w:rPr>
        <w:t>,</w:t>
      </w:r>
      <w:r w:rsidRPr="008E7C75">
        <w:rPr>
          <w:rFonts w:eastAsia="Times New Roman" w:cs="Times New Roman"/>
          <w:color w:val="000000"/>
          <w:szCs w:val="26"/>
        </w:rPr>
        <w:t xml:space="preserve"> </w:t>
      </w:r>
      <w:r w:rsidRPr="008952FF">
        <w:rPr>
          <w:rFonts w:eastAsia="Times New Roman" w:cs="Times New Roman"/>
          <w:i/>
          <w:iCs/>
          <w:szCs w:val="26"/>
          <w:bdr w:val="none" w:sz="0" w:space="0" w:color="auto" w:frame="1"/>
        </w:rPr>
        <w:t>South Coast Air Quality Management District v. City of Los Angeles</w:t>
      </w:r>
      <w:r>
        <w:rPr>
          <w:rFonts w:eastAsia="Times New Roman" w:cs="Times New Roman"/>
          <w:szCs w:val="26"/>
        </w:rPr>
        <w:t xml:space="preserve">, </w:t>
      </w:r>
      <w:r w:rsidRPr="008F1ED1">
        <w:rPr>
          <w:rFonts w:eastAsia="Times New Roman" w:cs="Times New Roman"/>
          <w:i/>
          <w:iCs/>
          <w:szCs w:val="26"/>
        </w:rPr>
        <w:t>supra</w:t>
      </w:r>
      <w:r>
        <w:rPr>
          <w:rFonts w:eastAsia="Times New Roman" w:cs="Times New Roman"/>
          <w:szCs w:val="26"/>
        </w:rPr>
        <w:t xml:space="preserve">, </w:t>
      </w:r>
      <w:r w:rsidRPr="008952FF">
        <w:rPr>
          <w:rFonts w:eastAsia="Times New Roman" w:cs="Times New Roman"/>
          <w:szCs w:val="26"/>
        </w:rPr>
        <w:t>71</w:t>
      </w:r>
      <w:r>
        <w:rPr>
          <w:rFonts w:eastAsia="Times New Roman" w:cs="Times New Roman"/>
          <w:szCs w:val="26"/>
        </w:rPr>
        <w:t> </w:t>
      </w:r>
      <w:r w:rsidRPr="008952FF">
        <w:rPr>
          <w:rFonts w:eastAsia="Times New Roman" w:cs="Times New Roman"/>
          <w:szCs w:val="26"/>
        </w:rPr>
        <w:t>Cal.App.5th 314, 320</w:t>
      </w:r>
      <w:r>
        <w:rPr>
          <w:rFonts w:eastAsia="Times New Roman" w:cs="Times New Roman"/>
          <w:szCs w:val="26"/>
          <w:bdr w:val="none" w:sz="0" w:space="0" w:color="auto" w:frame="1"/>
        </w:rPr>
        <w:t>;</w:t>
      </w:r>
      <w:r w:rsidRPr="008952FF">
        <w:rPr>
          <w:rFonts w:eastAsia="Times New Roman" w:cs="Times New Roman"/>
          <w:i/>
          <w:iCs/>
          <w:szCs w:val="26"/>
          <w:bdr w:val="none" w:sz="0" w:space="0" w:color="auto" w:frame="1"/>
        </w:rPr>
        <w:t xml:space="preserve"> </w:t>
      </w:r>
      <w:r w:rsidRPr="009C78BC">
        <w:rPr>
          <w:rFonts w:eastAsia="Times New Roman" w:cs="Times New Roman"/>
          <w:i/>
          <w:iCs/>
          <w:szCs w:val="26"/>
          <w:bdr w:val="none" w:sz="0" w:space="0" w:color="auto" w:frame="1"/>
        </w:rPr>
        <w:t xml:space="preserve">Siena Court Homeowners Assn. v. </w:t>
      </w:r>
      <w:r w:rsidRPr="009C78BC">
        <w:rPr>
          <w:rFonts w:eastAsia="Times New Roman" w:cs="Times New Roman"/>
          <w:i/>
          <w:iCs/>
          <w:szCs w:val="26"/>
          <w:bdr w:val="none" w:sz="0" w:space="0" w:color="auto" w:frame="1"/>
        </w:rPr>
        <w:t>Green Valley Corp.</w:t>
      </w:r>
      <w:r w:rsidRPr="009C78BC">
        <w:rPr>
          <w:rFonts w:eastAsia="Times New Roman" w:cs="Times New Roman"/>
          <w:szCs w:val="26"/>
        </w:rPr>
        <w:t xml:space="preserve"> (2008) 164</w:t>
      </w:r>
      <w:r>
        <w:rPr>
          <w:rFonts w:eastAsia="Times New Roman" w:cs="Times New Roman"/>
          <w:szCs w:val="26"/>
        </w:rPr>
        <w:t> </w:t>
      </w:r>
      <w:r w:rsidRPr="009C78BC">
        <w:rPr>
          <w:rFonts w:eastAsia="Times New Roman" w:cs="Times New Roman"/>
          <w:szCs w:val="26"/>
        </w:rPr>
        <w:t xml:space="preserve">Cal.App.4th 1416, 1428.)  </w:t>
      </w:r>
      <w:r w:rsidRPr="008E7C75">
        <w:rPr>
          <w:rFonts w:eastAsia="Times New Roman" w:cs="Times New Roman"/>
          <w:color w:val="000000"/>
          <w:szCs w:val="26"/>
        </w:rPr>
        <w:t>That is as it should be, we think, because in striking the requisite balancing of party and non-party interests, the range of criteria courts may reasonably consider is inherently case-specific.  (</w:t>
      </w:r>
      <w:r w:rsidRPr="000764C4">
        <w:rPr>
          <w:rFonts w:eastAsia="Times New Roman" w:cs="Times New Roman"/>
          <w:szCs w:val="26"/>
        </w:rPr>
        <w:t>See</w:t>
      </w:r>
      <w:r w:rsidRPr="000764C4">
        <w:rPr>
          <w:rFonts w:eastAsia="Times New Roman" w:cs="Times New Roman"/>
          <w:szCs w:val="26"/>
        </w:rPr>
        <w:t xml:space="preserve"> </w:t>
      </w:r>
      <w:r w:rsidRPr="000764C4">
        <w:rPr>
          <w:i/>
          <w:iCs/>
          <w:szCs w:val="26"/>
        </w:rPr>
        <w:t xml:space="preserve">City and </w:t>
      </w:r>
      <w:r w:rsidRPr="000764C4">
        <w:rPr>
          <w:i/>
          <w:iCs/>
          <w:szCs w:val="26"/>
        </w:rPr>
        <w:lastRenderedPageBreak/>
        <w:t>County of San Francisco v. State of California</w:t>
      </w:r>
      <w:r w:rsidRPr="000764C4">
        <w:rPr>
          <w:szCs w:val="26"/>
        </w:rPr>
        <w:t xml:space="preserve">, </w:t>
      </w:r>
      <w:r w:rsidRPr="000764C4">
        <w:rPr>
          <w:i/>
          <w:iCs/>
          <w:szCs w:val="26"/>
        </w:rPr>
        <w:t>supra</w:t>
      </w:r>
      <w:r w:rsidRPr="000764C4">
        <w:rPr>
          <w:szCs w:val="26"/>
        </w:rPr>
        <w:t xml:space="preserve">, 128 Cal.App.4th at pp. 1036–1037.)  Even where the abuse of discretion standard applies, however, we must bear in mind the </w:t>
      </w:r>
      <w:r w:rsidRPr="008E7C75">
        <w:rPr>
          <w:szCs w:val="26"/>
        </w:rPr>
        <w:t>caveat that a court necessarily abuses its discretion where it relie</w:t>
      </w:r>
      <w:r w:rsidRPr="008E7C75">
        <w:rPr>
          <w:szCs w:val="26"/>
        </w:rPr>
        <w:t xml:space="preserve">s on a mistaken legal premise.  </w:t>
      </w:r>
      <w:r w:rsidRPr="00530580">
        <w:rPr>
          <w:rFonts w:eastAsia="Times New Roman" w:cs="Times New Roman"/>
          <w:color w:val="000000"/>
          <w:szCs w:val="26"/>
        </w:rPr>
        <w:t>(</w:t>
      </w:r>
      <w:r w:rsidRPr="000764C4">
        <w:rPr>
          <w:rFonts w:eastAsia="Times New Roman" w:cs="Times New Roman"/>
          <w:i/>
          <w:iCs/>
          <w:szCs w:val="26"/>
          <w:bdr w:val="none" w:sz="0" w:space="0" w:color="auto" w:frame="1"/>
        </w:rPr>
        <w:t>Sargon Enterprises, Inc. v. University of Southern California</w:t>
      </w:r>
      <w:r w:rsidRPr="000764C4">
        <w:rPr>
          <w:rFonts w:eastAsia="Times New Roman" w:cs="Times New Roman"/>
          <w:szCs w:val="26"/>
        </w:rPr>
        <w:t xml:space="preserve"> (2012) 55</w:t>
      </w:r>
      <w:r>
        <w:rPr>
          <w:rFonts w:eastAsia="Times New Roman" w:cs="Times New Roman"/>
          <w:szCs w:val="26"/>
        </w:rPr>
        <w:t> </w:t>
      </w:r>
      <w:r w:rsidRPr="000764C4">
        <w:rPr>
          <w:rFonts w:eastAsia="Times New Roman" w:cs="Times New Roman"/>
          <w:szCs w:val="26"/>
        </w:rPr>
        <w:t xml:space="preserve">Cal.4th 747, 773.)  And of course, the range of discretion </w:t>
      </w:r>
      <w:r w:rsidRPr="008E7C75">
        <w:rPr>
          <w:rFonts w:eastAsia="Times New Roman" w:cs="Times New Roman"/>
          <w:color w:val="000000"/>
          <w:szCs w:val="26"/>
        </w:rPr>
        <w:t>is not limitless, as there are circumstances in which, on the facts presented, discretion ma</w:t>
      </w:r>
      <w:r w:rsidRPr="008E7C75">
        <w:rPr>
          <w:rFonts w:eastAsia="Times New Roman" w:cs="Times New Roman"/>
          <w:color w:val="000000"/>
          <w:szCs w:val="26"/>
        </w:rPr>
        <w:t xml:space="preserve">y reasonably be </w:t>
      </w:r>
      <w:r w:rsidRPr="00530580">
        <w:rPr>
          <w:rFonts w:eastAsia="Times New Roman" w:cs="Times New Roman"/>
          <w:szCs w:val="26"/>
        </w:rPr>
        <w:t xml:space="preserve">exercised in only one way. </w:t>
      </w:r>
      <w:r w:rsidRPr="008E7C75">
        <w:rPr>
          <w:szCs w:val="26"/>
        </w:rPr>
        <w:t xml:space="preserve"> (</w:t>
      </w:r>
      <w:r w:rsidRPr="000764C4">
        <w:rPr>
          <w:rFonts w:eastAsia="Times New Roman" w:cs="Times New Roman"/>
          <w:i/>
          <w:iCs/>
          <w:szCs w:val="26"/>
          <w:bdr w:val="none" w:sz="0" w:space="0" w:color="auto" w:frame="1"/>
        </w:rPr>
        <w:t>Hurtado v. Superior Court</w:t>
      </w:r>
      <w:r w:rsidRPr="000764C4">
        <w:rPr>
          <w:rFonts w:eastAsia="Times New Roman" w:cs="Times New Roman"/>
          <w:szCs w:val="26"/>
        </w:rPr>
        <w:t xml:space="preserve"> </w:t>
      </w:r>
      <w:r w:rsidRPr="00530580">
        <w:rPr>
          <w:rFonts w:eastAsia="Times New Roman" w:cs="Times New Roman"/>
          <w:color w:val="000000"/>
          <w:szCs w:val="26"/>
        </w:rPr>
        <w:t>(1974) 11</w:t>
      </w:r>
      <w:r>
        <w:rPr>
          <w:rFonts w:eastAsia="Times New Roman" w:cs="Times New Roman"/>
          <w:color w:val="000000"/>
          <w:szCs w:val="26"/>
        </w:rPr>
        <w:t> </w:t>
      </w:r>
      <w:r w:rsidRPr="00530580">
        <w:rPr>
          <w:rFonts w:eastAsia="Times New Roman" w:cs="Times New Roman"/>
          <w:color w:val="000000"/>
          <w:szCs w:val="26"/>
        </w:rPr>
        <w:t>Cal.3d 574, 579.)</w:t>
      </w:r>
    </w:p>
    <w:p w14:paraId="35B00514" w14:textId="77777777" w:rsidR="00735B24" w:rsidRPr="0024055E" w:rsidRDefault="00B45E56" w:rsidP="00ED653C">
      <w:pPr>
        <w:pStyle w:val="Heading2"/>
        <w:spacing w:line="360" w:lineRule="auto"/>
        <w:ind w:firstLine="360"/>
        <w:rPr>
          <w:iCs/>
        </w:rPr>
      </w:pPr>
      <w:r w:rsidRPr="000764C4">
        <w:rPr>
          <w:rFonts w:ascii="Century Schoolbook" w:hAnsi="Century Schoolbook"/>
          <w:b/>
          <w:bCs/>
          <w:color w:val="auto"/>
        </w:rPr>
        <w:t>B.</w:t>
      </w:r>
      <w:r w:rsidRPr="000764C4">
        <w:rPr>
          <w:rFonts w:ascii="Century Schoolbook" w:hAnsi="Century Schoolbook"/>
          <w:b/>
          <w:bCs/>
          <w:i/>
          <w:iCs/>
          <w:color w:val="auto"/>
        </w:rPr>
        <w:t xml:space="preserve"> </w:t>
      </w:r>
      <w:r w:rsidRPr="000764C4">
        <w:rPr>
          <w:rFonts w:ascii="Century Schoolbook" w:hAnsi="Century Schoolbook"/>
          <w:b/>
          <w:bCs/>
          <w:i/>
          <w:color w:val="auto"/>
        </w:rPr>
        <w:t xml:space="preserve">Legal Principles: </w:t>
      </w:r>
      <w:r>
        <w:rPr>
          <w:rFonts w:ascii="Century Schoolbook" w:hAnsi="Century Schoolbook"/>
          <w:b/>
          <w:bCs/>
          <w:i/>
          <w:color w:val="auto"/>
        </w:rPr>
        <w:t xml:space="preserve"> </w:t>
      </w:r>
      <w:proofErr w:type="spellStart"/>
      <w:r w:rsidRPr="000764C4">
        <w:rPr>
          <w:rFonts w:ascii="Century Schoolbook" w:hAnsi="Century Schoolbook"/>
          <w:b/>
          <w:bCs/>
          <w:i/>
          <w:color w:val="auto"/>
        </w:rPr>
        <w:t>PAGA</w:t>
      </w:r>
      <w:proofErr w:type="spellEnd"/>
    </w:p>
    <w:p w14:paraId="3CBF9AAC" w14:textId="77777777" w:rsidR="00C146FC" w:rsidRPr="00604FBA" w:rsidRDefault="00B45E56" w:rsidP="00930A53">
      <w:pPr>
        <w:spacing w:line="360" w:lineRule="auto"/>
        <w:ind w:firstLine="720"/>
        <w:rPr>
          <w:szCs w:val="26"/>
        </w:rPr>
      </w:pPr>
      <w:r w:rsidRPr="00930A53">
        <w:rPr>
          <w:szCs w:val="26"/>
        </w:rPr>
        <w:t xml:space="preserve">Before turning to </w:t>
      </w:r>
      <w:r>
        <w:rPr>
          <w:szCs w:val="26"/>
        </w:rPr>
        <w:t xml:space="preserve">the trial court’s </w:t>
      </w:r>
      <w:r w:rsidRPr="00604FBA">
        <w:rPr>
          <w:szCs w:val="26"/>
        </w:rPr>
        <w:t xml:space="preserve">intervention </w:t>
      </w:r>
      <w:r>
        <w:rPr>
          <w:szCs w:val="26"/>
        </w:rPr>
        <w:t>rulings on the merits</w:t>
      </w:r>
      <w:r w:rsidRPr="00604FBA">
        <w:rPr>
          <w:szCs w:val="26"/>
        </w:rPr>
        <w:t xml:space="preserve">, we </w:t>
      </w:r>
      <w:r>
        <w:rPr>
          <w:szCs w:val="26"/>
        </w:rPr>
        <w:t>sketch out</w:t>
      </w:r>
      <w:r w:rsidRPr="00604FBA">
        <w:rPr>
          <w:szCs w:val="26"/>
        </w:rPr>
        <w:t xml:space="preserve"> some </w:t>
      </w:r>
      <w:proofErr w:type="spellStart"/>
      <w:r w:rsidRPr="00604FBA">
        <w:rPr>
          <w:szCs w:val="26"/>
        </w:rPr>
        <w:t>PAGA</w:t>
      </w:r>
      <w:proofErr w:type="spellEnd"/>
      <w:r w:rsidRPr="00604FBA">
        <w:rPr>
          <w:szCs w:val="26"/>
        </w:rPr>
        <w:t xml:space="preserve"> background principles that provide the foundation for our intervention analysis.  A </w:t>
      </w:r>
      <w:proofErr w:type="spellStart"/>
      <w:r w:rsidRPr="00604FBA">
        <w:rPr>
          <w:szCs w:val="26"/>
        </w:rPr>
        <w:t>PAGA</w:t>
      </w:r>
      <w:proofErr w:type="spellEnd"/>
      <w:r w:rsidRPr="00604FBA">
        <w:rPr>
          <w:szCs w:val="26"/>
        </w:rPr>
        <w:t xml:space="preserve"> action is designed to protect the public, not to benefit private parties.  (</w:t>
      </w:r>
      <w:r w:rsidRPr="00604FBA">
        <w:rPr>
          <w:i/>
          <w:iCs/>
          <w:szCs w:val="26"/>
        </w:rPr>
        <w:t>Amalgamated Transit Union</w:t>
      </w:r>
      <w:r>
        <w:rPr>
          <w:i/>
          <w:iCs/>
          <w:szCs w:val="26"/>
        </w:rPr>
        <w:t>, Local 1756, AFL-CIO</w:t>
      </w:r>
      <w:r w:rsidRPr="00604FBA">
        <w:rPr>
          <w:i/>
          <w:iCs/>
          <w:szCs w:val="26"/>
        </w:rPr>
        <w:t xml:space="preserve"> v. Superior Court </w:t>
      </w:r>
      <w:r w:rsidRPr="00604FBA">
        <w:rPr>
          <w:szCs w:val="26"/>
        </w:rPr>
        <w:t>(2009) 46</w:t>
      </w:r>
      <w:r>
        <w:rPr>
          <w:szCs w:val="26"/>
        </w:rPr>
        <w:t> </w:t>
      </w:r>
      <w:r w:rsidRPr="00604FBA">
        <w:rPr>
          <w:szCs w:val="26"/>
        </w:rPr>
        <w:t>Cal.4</w:t>
      </w:r>
      <w:r w:rsidRPr="00604FBA">
        <w:rPr>
          <w:szCs w:val="26"/>
        </w:rPr>
        <w:t>th 993, 1003.</w:t>
      </w:r>
      <w:r>
        <w:rPr>
          <w:szCs w:val="26"/>
        </w:rPr>
        <w:t>)</w:t>
      </w:r>
      <w:r w:rsidRPr="00604FBA">
        <w:rPr>
          <w:szCs w:val="26"/>
        </w:rPr>
        <w:t xml:space="preserve">  </w:t>
      </w:r>
      <w:proofErr w:type="spellStart"/>
      <w:r w:rsidRPr="00604FBA">
        <w:rPr>
          <w:szCs w:val="26"/>
        </w:rPr>
        <w:t>PAGA</w:t>
      </w:r>
      <w:proofErr w:type="spellEnd"/>
      <w:r w:rsidRPr="00604FBA">
        <w:rPr>
          <w:szCs w:val="26"/>
        </w:rPr>
        <w:t xml:space="preserve"> “does not create property rights, or any other substantive rights” for aggrieved employees.  (</w:t>
      </w:r>
      <w:r w:rsidRPr="00604FBA">
        <w:rPr>
          <w:i/>
          <w:iCs/>
          <w:szCs w:val="26"/>
        </w:rPr>
        <w:t>I</w:t>
      </w:r>
      <w:r>
        <w:rPr>
          <w:i/>
          <w:iCs/>
          <w:szCs w:val="26"/>
        </w:rPr>
        <w:t>bi</w:t>
      </w:r>
      <w:r w:rsidRPr="00604FBA">
        <w:rPr>
          <w:i/>
          <w:iCs/>
          <w:szCs w:val="26"/>
        </w:rPr>
        <w:t>d</w:t>
      </w:r>
      <w:r w:rsidRPr="00604FBA">
        <w:rPr>
          <w:szCs w:val="26"/>
        </w:rPr>
        <w:t>.)  It is a procedural statute authorizing private citizens to seek civil penalties that State agencies otherwise would recover.  (</w:t>
      </w:r>
      <w:proofErr w:type="spellStart"/>
      <w:r w:rsidRPr="006B56E6">
        <w:rPr>
          <w:rFonts w:eastAsia="Times New Roman" w:cs="Times New Roman"/>
          <w:i/>
          <w:iCs/>
          <w:szCs w:val="26"/>
          <w:bdr w:val="none" w:sz="0" w:space="0" w:color="auto" w:frame="1"/>
        </w:rPr>
        <w:t>LaFace</w:t>
      </w:r>
      <w:proofErr w:type="spellEnd"/>
      <w:r w:rsidRPr="006B56E6">
        <w:rPr>
          <w:rFonts w:eastAsia="Times New Roman" w:cs="Times New Roman"/>
          <w:i/>
          <w:iCs/>
          <w:szCs w:val="26"/>
          <w:bdr w:val="none" w:sz="0" w:space="0" w:color="auto" w:frame="1"/>
        </w:rPr>
        <w:t xml:space="preserve"> v. Ralphs Grocery Co.</w:t>
      </w:r>
      <w:r w:rsidRPr="006B56E6">
        <w:rPr>
          <w:rFonts w:eastAsia="Times New Roman" w:cs="Times New Roman"/>
          <w:szCs w:val="26"/>
        </w:rPr>
        <w:t xml:space="preserve"> (2022) 75</w:t>
      </w:r>
      <w:r>
        <w:rPr>
          <w:rFonts w:eastAsia="Times New Roman" w:cs="Times New Roman"/>
          <w:szCs w:val="26"/>
        </w:rPr>
        <w:t> </w:t>
      </w:r>
      <w:r w:rsidRPr="006B56E6">
        <w:rPr>
          <w:rFonts w:eastAsia="Times New Roman" w:cs="Times New Roman"/>
          <w:szCs w:val="26"/>
        </w:rPr>
        <w:t xml:space="preserve">Cal.App.5th 388, 397.)  </w:t>
      </w:r>
      <w:r w:rsidRPr="00032283">
        <w:rPr>
          <w:szCs w:val="26"/>
        </w:rPr>
        <w:t>T</w:t>
      </w:r>
      <w:r w:rsidRPr="00604FBA">
        <w:rPr>
          <w:szCs w:val="26"/>
        </w:rPr>
        <w:t xml:space="preserve">he </w:t>
      </w:r>
      <w:proofErr w:type="spellStart"/>
      <w:r w:rsidRPr="00604FBA">
        <w:rPr>
          <w:szCs w:val="26"/>
        </w:rPr>
        <w:t>PAGA</w:t>
      </w:r>
      <w:proofErr w:type="spellEnd"/>
      <w:r w:rsidRPr="00604FBA">
        <w:rPr>
          <w:szCs w:val="26"/>
        </w:rPr>
        <w:t xml:space="preserve"> statutory scheme permits the deputization of multiple </w:t>
      </w:r>
      <w:r>
        <w:rPr>
          <w:szCs w:val="26"/>
        </w:rPr>
        <w:t>private parties to</w:t>
      </w:r>
      <w:r w:rsidRPr="00604FBA">
        <w:rPr>
          <w:szCs w:val="26"/>
        </w:rPr>
        <w:t xml:space="preserve"> pursue “s</w:t>
      </w:r>
      <w:r w:rsidRPr="00604FBA">
        <w:rPr>
          <w:rFonts w:eastAsia="Times New Roman" w:cs="Times New Roman"/>
          <w:color w:val="000000"/>
          <w:szCs w:val="26"/>
        </w:rPr>
        <w:t>eparate but similar actions by different employees against the same employer.”  (</w:t>
      </w:r>
      <w:r w:rsidRPr="006B56E6">
        <w:rPr>
          <w:rFonts w:eastAsia="Times New Roman" w:cs="Times New Roman"/>
          <w:i/>
          <w:iCs/>
          <w:szCs w:val="26"/>
          <w:bdr w:val="none" w:sz="0" w:space="0" w:color="auto" w:frame="1"/>
        </w:rPr>
        <w:t xml:space="preserve">Julian v. </w:t>
      </w:r>
      <w:proofErr w:type="spellStart"/>
      <w:r w:rsidRPr="006B56E6">
        <w:rPr>
          <w:rFonts w:eastAsia="Times New Roman" w:cs="Times New Roman"/>
          <w:i/>
          <w:iCs/>
          <w:szCs w:val="26"/>
          <w:bdr w:val="none" w:sz="0" w:space="0" w:color="auto" w:frame="1"/>
        </w:rPr>
        <w:t>Glenair</w:t>
      </w:r>
      <w:proofErr w:type="spellEnd"/>
      <w:r w:rsidRPr="006B56E6">
        <w:rPr>
          <w:rFonts w:eastAsia="Times New Roman" w:cs="Times New Roman"/>
          <w:i/>
          <w:iCs/>
          <w:szCs w:val="26"/>
          <w:bdr w:val="none" w:sz="0" w:space="0" w:color="auto" w:frame="1"/>
        </w:rPr>
        <w:t>, Inc.</w:t>
      </w:r>
      <w:r w:rsidRPr="006B56E6">
        <w:rPr>
          <w:rFonts w:eastAsia="Times New Roman" w:cs="Times New Roman"/>
          <w:szCs w:val="26"/>
        </w:rPr>
        <w:t xml:space="preserve"> (2017) 17</w:t>
      </w:r>
      <w:r>
        <w:rPr>
          <w:rFonts w:eastAsia="Times New Roman" w:cs="Times New Roman"/>
          <w:szCs w:val="26"/>
        </w:rPr>
        <w:t> </w:t>
      </w:r>
      <w:r w:rsidRPr="006B56E6">
        <w:rPr>
          <w:rFonts w:eastAsia="Times New Roman" w:cs="Times New Roman"/>
          <w:szCs w:val="26"/>
        </w:rPr>
        <w:t>Cal</w:t>
      </w:r>
      <w:r w:rsidRPr="00604FBA">
        <w:rPr>
          <w:rFonts w:eastAsia="Times New Roman" w:cs="Times New Roman"/>
          <w:color w:val="000000"/>
          <w:szCs w:val="26"/>
        </w:rPr>
        <w:t xml:space="preserve">.App.5th 853, 866.)  </w:t>
      </w:r>
    </w:p>
    <w:p w14:paraId="1D9D7A20" w14:textId="77777777" w:rsidR="000B767D" w:rsidRPr="00604FBA" w:rsidRDefault="00B45E56" w:rsidP="00604FBA">
      <w:pPr>
        <w:spacing w:line="360" w:lineRule="auto"/>
        <w:ind w:firstLine="720"/>
        <w:rPr>
          <w:szCs w:val="26"/>
        </w:rPr>
      </w:pPr>
      <w:r w:rsidRPr="00604FBA">
        <w:rPr>
          <w:szCs w:val="26"/>
        </w:rPr>
        <w:t xml:space="preserve">But this </w:t>
      </w:r>
      <w:r>
        <w:rPr>
          <w:szCs w:val="26"/>
        </w:rPr>
        <w:t>deputization</w:t>
      </w:r>
      <w:r w:rsidRPr="00604FBA">
        <w:rPr>
          <w:szCs w:val="26"/>
        </w:rPr>
        <w:t xml:space="preserve"> occurs only after (1)</w:t>
      </w:r>
      <w:r>
        <w:rPr>
          <w:szCs w:val="26"/>
        </w:rPr>
        <w:t> </w:t>
      </w:r>
      <w:r w:rsidRPr="00604FBA">
        <w:rPr>
          <w:szCs w:val="26"/>
        </w:rPr>
        <w:t xml:space="preserve">the deputized proxy satisfies </w:t>
      </w:r>
      <w:proofErr w:type="spellStart"/>
      <w:r w:rsidRPr="00604FBA">
        <w:rPr>
          <w:szCs w:val="26"/>
        </w:rPr>
        <w:t>PAGA’s</w:t>
      </w:r>
      <w:proofErr w:type="spellEnd"/>
      <w:r w:rsidRPr="00604FBA">
        <w:rPr>
          <w:szCs w:val="26"/>
        </w:rPr>
        <w:t xml:space="preserve"> notice requirements, and (2)</w:t>
      </w:r>
      <w:r>
        <w:rPr>
          <w:szCs w:val="26"/>
        </w:rPr>
        <w:t> </w:t>
      </w:r>
      <w:r w:rsidRPr="00604FBA">
        <w:rPr>
          <w:szCs w:val="26"/>
        </w:rPr>
        <w:t xml:space="preserve">the </w:t>
      </w:r>
      <w:r>
        <w:rPr>
          <w:szCs w:val="26"/>
        </w:rPr>
        <w:t>Labor Workforce and Development Agency</w:t>
      </w:r>
      <w:r w:rsidRPr="00604FBA">
        <w:rPr>
          <w:szCs w:val="26"/>
        </w:rPr>
        <w:t xml:space="preserve"> </w:t>
      </w:r>
      <w:r>
        <w:rPr>
          <w:szCs w:val="26"/>
        </w:rPr>
        <w:t>(</w:t>
      </w:r>
      <w:proofErr w:type="spellStart"/>
      <w:r w:rsidRPr="00604FBA">
        <w:rPr>
          <w:szCs w:val="26"/>
        </w:rPr>
        <w:t>LWDA</w:t>
      </w:r>
      <w:proofErr w:type="spellEnd"/>
      <w:r>
        <w:rPr>
          <w:szCs w:val="26"/>
        </w:rPr>
        <w:t>)</w:t>
      </w:r>
      <w:r w:rsidRPr="00604FBA">
        <w:rPr>
          <w:szCs w:val="26"/>
        </w:rPr>
        <w:t xml:space="preserve"> indicates “it does not intend to investigate the alleged vio</w:t>
      </w:r>
      <w:r w:rsidRPr="00604FBA">
        <w:rPr>
          <w:szCs w:val="26"/>
        </w:rPr>
        <w:t xml:space="preserve">lation” or does not timely respond.  </w:t>
      </w:r>
      <w:r w:rsidRPr="00A17E8B">
        <w:rPr>
          <w:szCs w:val="26"/>
        </w:rPr>
        <w:t>(</w:t>
      </w:r>
      <w:proofErr w:type="spellStart"/>
      <w:r w:rsidRPr="00DA65C4">
        <w:rPr>
          <w:rFonts w:eastAsia="Times New Roman" w:cs="Times New Roman"/>
          <w:i/>
          <w:iCs/>
          <w:szCs w:val="26"/>
          <w:bdr w:val="none" w:sz="0" w:space="0" w:color="auto" w:frame="1"/>
        </w:rPr>
        <w:t>LaFace</w:t>
      </w:r>
      <w:proofErr w:type="spellEnd"/>
      <w:r w:rsidRPr="00DA65C4">
        <w:rPr>
          <w:rFonts w:eastAsia="Times New Roman" w:cs="Times New Roman"/>
          <w:i/>
          <w:iCs/>
          <w:szCs w:val="26"/>
          <w:bdr w:val="none" w:sz="0" w:space="0" w:color="auto" w:frame="1"/>
        </w:rPr>
        <w:t xml:space="preserve"> v. Ralphs Grocery Co.</w:t>
      </w:r>
      <w:r w:rsidRPr="00DA65C4">
        <w:rPr>
          <w:rFonts w:eastAsia="Times New Roman" w:cs="Times New Roman"/>
          <w:szCs w:val="26"/>
        </w:rPr>
        <w:t xml:space="preserve">, </w:t>
      </w:r>
      <w:r w:rsidRPr="00DA65C4">
        <w:rPr>
          <w:rFonts w:eastAsia="Times New Roman" w:cs="Times New Roman"/>
          <w:i/>
          <w:iCs/>
          <w:szCs w:val="26"/>
        </w:rPr>
        <w:t>supra</w:t>
      </w:r>
      <w:r w:rsidRPr="00DA65C4">
        <w:rPr>
          <w:rFonts w:eastAsia="Times New Roman" w:cs="Times New Roman"/>
          <w:szCs w:val="26"/>
        </w:rPr>
        <w:t>,</w:t>
      </w:r>
      <w:r>
        <w:rPr>
          <w:rFonts w:eastAsia="Times New Roman" w:cs="Times New Roman"/>
          <w:szCs w:val="26"/>
        </w:rPr>
        <w:t xml:space="preserve"> </w:t>
      </w:r>
      <w:r w:rsidRPr="00A433E4">
        <w:t>75</w:t>
      </w:r>
      <w:r>
        <w:t> </w:t>
      </w:r>
      <w:r w:rsidRPr="00A433E4">
        <w:t>Cal</w:t>
      </w:r>
      <w:r>
        <w:rPr>
          <w:rFonts w:eastAsia="Times New Roman" w:cs="Times New Roman"/>
          <w:szCs w:val="26"/>
        </w:rPr>
        <w:t>.App.5th</w:t>
      </w:r>
      <w:r w:rsidRPr="00DA65C4">
        <w:rPr>
          <w:rFonts w:eastAsia="Times New Roman" w:cs="Times New Roman"/>
          <w:szCs w:val="26"/>
        </w:rPr>
        <w:t xml:space="preserve"> at p.</w:t>
      </w:r>
      <w:r>
        <w:rPr>
          <w:rFonts w:eastAsia="Times New Roman" w:cs="Times New Roman"/>
          <w:szCs w:val="26"/>
        </w:rPr>
        <w:t> </w:t>
      </w:r>
      <w:r w:rsidRPr="00DA65C4">
        <w:rPr>
          <w:rFonts w:eastAsia="Times New Roman" w:cs="Times New Roman"/>
          <w:szCs w:val="26"/>
        </w:rPr>
        <w:t>3</w:t>
      </w:r>
      <w:r w:rsidRPr="002B1A43">
        <w:rPr>
          <w:rFonts w:eastAsia="Times New Roman" w:cs="Times New Roman"/>
          <w:color w:val="000000"/>
          <w:szCs w:val="26"/>
        </w:rPr>
        <w:t>9</w:t>
      </w:r>
      <w:r>
        <w:rPr>
          <w:rFonts w:eastAsia="Times New Roman" w:cs="Times New Roman"/>
          <w:color w:val="000000"/>
          <w:szCs w:val="26"/>
        </w:rPr>
        <w:t>4</w:t>
      </w:r>
      <w:r w:rsidRPr="002B1A43">
        <w:rPr>
          <w:rFonts w:eastAsia="Times New Roman" w:cs="Times New Roman"/>
          <w:color w:val="000000"/>
          <w:szCs w:val="26"/>
        </w:rPr>
        <w:t>; see</w:t>
      </w:r>
      <w:r w:rsidRPr="00604FBA">
        <w:rPr>
          <w:szCs w:val="26"/>
        </w:rPr>
        <w:t xml:space="preserve"> Lab. Code §</w:t>
      </w:r>
      <w:r>
        <w:rPr>
          <w:szCs w:val="26"/>
        </w:rPr>
        <w:t> </w:t>
      </w:r>
      <w:r w:rsidRPr="00604FBA">
        <w:rPr>
          <w:szCs w:val="26"/>
        </w:rPr>
        <w:t>2699.3</w:t>
      </w:r>
      <w:r>
        <w:rPr>
          <w:szCs w:val="26"/>
        </w:rPr>
        <w:t>, subd. </w:t>
      </w:r>
      <w:r w:rsidRPr="00604FBA">
        <w:rPr>
          <w:szCs w:val="26"/>
        </w:rPr>
        <w:t xml:space="preserve">(a)(2)(A).)  Notice to the </w:t>
      </w:r>
      <w:proofErr w:type="spellStart"/>
      <w:r w:rsidRPr="00604FBA">
        <w:rPr>
          <w:szCs w:val="26"/>
        </w:rPr>
        <w:t>LWDA</w:t>
      </w:r>
      <w:proofErr w:type="spellEnd"/>
      <w:r w:rsidRPr="00604FBA">
        <w:rPr>
          <w:szCs w:val="26"/>
        </w:rPr>
        <w:t xml:space="preserve"> in this scheme is required as a matter of administrative </w:t>
      </w:r>
      <w:r w:rsidRPr="00604FBA">
        <w:rPr>
          <w:szCs w:val="26"/>
        </w:rPr>
        <w:lastRenderedPageBreak/>
        <w:t xml:space="preserve">exhaustion before </w:t>
      </w:r>
      <w:r w:rsidRPr="00604FBA">
        <w:rPr>
          <w:szCs w:val="26"/>
        </w:rPr>
        <w:t xml:space="preserve">litigation may proceed.  </w:t>
      </w:r>
      <w:proofErr w:type="gramStart"/>
      <w:r w:rsidRPr="00604FBA">
        <w:rPr>
          <w:szCs w:val="26"/>
        </w:rPr>
        <w:t>“</w:t>
      </w:r>
      <w:r>
        <w:rPr>
          <w:rFonts w:eastAsia="Times New Roman" w:cs="Times New Roman"/>
          <w:color w:val="000000"/>
          <w:szCs w:val="26"/>
        </w:rPr>
        <w:t> </w:t>
      </w:r>
      <w:r w:rsidRPr="00604FBA">
        <w:rPr>
          <w:rFonts w:eastAsia="Times New Roman" w:cs="Times New Roman"/>
          <w:color w:val="000000"/>
          <w:szCs w:val="26"/>
        </w:rPr>
        <w:t>‘</w:t>
      </w:r>
      <w:proofErr w:type="gramEnd"/>
      <w:r w:rsidRPr="00604FBA">
        <w:rPr>
          <w:rFonts w:eastAsia="Times New Roman" w:cs="Times New Roman"/>
          <w:color w:val="000000"/>
          <w:szCs w:val="26"/>
        </w:rPr>
        <w:t>B</w:t>
      </w:r>
      <w:r w:rsidRPr="000B767D">
        <w:rPr>
          <w:rFonts w:eastAsia="Times New Roman" w:cs="Times New Roman"/>
          <w:color w:val="000000"/>
          <w:szCs w:val="26"/>
        </w:rPr>
        <w:t>efore bringing a civil action for statutory penalties, an employee must comply with Labor Code section 2699.3.</w:t>
      </w:r>
      <w:r w:rsidRPr="00604FBA">
        <w:rPr>
          <w:rFonts w:eastAsia="Times New Roman" w:cs="Times New Roman"/>
          <w:color w:val="000000"/>
          <w:szCs w:val="26"/>
        </w:rPr>
        <w:t>’</w:t>
      </w:r>
      <w:r>
        <w:rPr>
          <w:rFonts w:eastAsia="Times New Roman" w:cs="Times New Roman"/>
          <w:color w:val="000000"/>
          <w:szCs w:val="26"/>
        </w:rPr>
        <w:t xml:space="preserve"> </w:t>
      </w:r>
      <w:r w:rsidRPr="000B767D">
        <w:rPr>
          <w:rFonts w:eastAsia="Times New Roman" w:cs="Times New Roman"/>
          <w:color w:val="000000"/>
          <w:szCs w:val="26"/>
        </w:rPr>
        <w:t xml:space="preserve"> </w:t>
      </w:r>
      <w:r w:rsidRPr="00604FBA">
        <w:rPr>
          <w:rFonts w:eastAsia="Times New Roman" w:cs="Times New Roman"/>
          <w:color w:val="000000"/>
          <w:szCs w:val="26"/>
        </w:rPr>
        <w:t xml:space="preserve">[Citation.]  </w:t>
      </w:r>
      <w:r w:rsidRPr="000B767D">
        <w:rPr>
          <w:rFonts w:eastAsia="Times New Roman" w:cs="Times New Roman"/>
          <w:color w:val="000000"/>
          <w:szCs w:val="26"/>
        </w:rPr>
        <w:t xml:space="preserve">That section </w:t>
      </w:r>
      <w:r w:rsidRPr="00604FBA">
        <w:rPr>
          <w:rFonts w:eastAsia="Times New Roman" w:cs="Times New Roman"/>
          <w:color w:val="000000"/>
          <w:szCs w:val="26"/>
        </w:rPr>
        <w:t>‘</w:t>
      </w:r>
      <w:r w:rsidRPr="000B767D">
        <w:rPr>
          <w:rFonts w:eastAsia="Times New Roman" w:cs="Times New Roman"/>
          <w:color w:val="000000"/>
          <w:szCs w:val="26"/>
        </w:rPr>
        <w:t>requires the employee to give written notice of the alleged Labor Code violation to bot</w:t>
      </w:r>
      <w:r w:rsidRPr="000B767D">
        <w:rPr>
          <w:rFonts w:eastAsia="Times New Roman" w:cs="Times New Roman"/>
          <w:color w:val="000000"/>
          <w:szCs w:val="26"/>
        </w:rPr>
        <w:t>h the employer and the [</w:t>
      </w:r>
      <w:proofErr w:type="spellStart"/>
      <w:r w:rsidRPr="000B767D">
        <w:rPr>
          <w:rFonts w:eastAsia="Times New Roman" w:cs="Times New Roman"/>
          <w:color w:val="000000"/>
          <w:szCs w:val="26"/>
        </w:rPr>
        <w:t>LWDA</w:t>
      </w:r>
      <w:proofErr w:type="spellEnd"/>
      <w:r w:rsidRPr="000B767D">
        <w:rPr>
          <w:rFonts w:eastAsia="Times New Roman" w:cs="Times New Roman"/>
          <w:color w:val="000000"/>
          <w:szCs w:val="26"/>
        </w:rPr>
        <w:t>], and the notice must describe facts and theories supporting the violation.</w:t>
      </w:r>
      <w:r w:rsidRPr="00604FBA">
        <w:rPr>
          <w:rFonts w:eastAsia="Times New Roman" w:cs="Times New Roman"/>
          <w:color w:val="000000"/>
          <w:szCs w:val="26"/>
        </w:rPr>
        <w:t>’</w:t>
      </w:r>
      <w:r w:rsidRPr="000B767D">
        <w:rPr>
          <w:rFonts w:eastAsia="Times New Roman" w:cs="Times New Roman"/>
          <w:color w:val="000000"/>
          <w:szCs w:val="26"/>
        </w:rPr>
        <w:t xml:space="preserve"> </w:t>
      </w:r>
      <w:r w:rsidRPr="00604FBA">
        <w:rPr>
          <w:rFonts w:eastAsia="Times New Roman" w:cs="Times New Roman"/>
          <w:color w:val="000000"/>
          <w:szCs w:val="26"/>
        </w:rPr>
        <w:t xml:space="preserve"> [Citation].</w:t>
      </w:r>
      <w:r w:rsidRPr="000B767D">
        <w:rPr>
          <w:rFonts w:eastAsia="Times New Roman" w:cs="Times New Roman"/>
          <w:color w:val="000000"/>
          <w:szCs w:val="26"/>
        </w:rPr>
        <w:t xml:space="preserve"> </w:t>
      </w:r>
      <w:r w:rsidRPr="00604FBA">
        <w:rPr>
          <w:rFonts w:eastAsia="Times New Roman" w:cs="Times New Roman"/>
          <w:color w:val="000000"/>
          <w:szCs w:val="26"/>
        </w:rPr>
        <w:t xml:space="preserve"> ‘</w:t>
      </w:r>
      <w:r w:rsidRPr="000B767D">
        <w:rPr>
          <w:rFonts w:eastAsia="Times New Roman" w:cs="Times New Roman"/>
          <w:color w:val="000000"/>
          <w:szCs w:val="26"/>
        </w:rPr>
        <w:t xml:space="preserve">Proper notice under section 2699.3 is a </w:t>
      </w:r>
      <w:r w:rsidRPr="00604FBA">
        <w:rPr>
          <w:rFonts w:eastAsia="Times New Roman" w:cs="Times New Roman"/>
          <w:color w:val="000000"/>
          <w:szCs w:val="26"/>
        </w:rPr>
        <w:t>“</w:t>
      </w:r>
      <w:r w:rsidRPr="000B767D">
        <w:rPr>
          <w:rFonts w:eastAsia="Times New Roman" w:cs="Times New Roman"/>
          <w:color w:val="000000"/>
          <w:szCs w:val="26"/>
        </w:rPr>
        <w:t>condition</w:t>
      </w:r>
      <w:r w:rsidRPr="00604FBA">
        <w:rPr>
          <w:rFonts w:eastAsia="Times New Roman" w:cs="Times New Roman"/>
          <w:color w:val="000000"/>
          <w:szCs w:val="26"/>
        </w:rPr>
        <w:t>”</w:t>
      </w:r>
      <w:r w:rsidRPr="000B767D">
        <w:rPr>
          <w:rFonts w:eastAsia="Times New Roman" w:cs="Times New Roman"/>
          <w:color w:val="000000"/>
          <w:szCs w:val="26"/>
        </w:rPr>
        <w:t xml:space="preserve"> of a </w:t>
      </w:r>
      <w:proofErr w:type="spellStart"/>
      <w:r w:rsidRPr="000B767D">
        <w:rPr>
          <w:rFonts w:eastAsia="Times New Roman" w:cs="Times New Roman"/>
          <w:color w:val="000000"/>
          <w:szCs w:val="26"/>
        </w:rPr>
        <w:t>PAGA</w:t>
      </w:r>
      <w:proofErr w:type="spellEnd"/>
      <w:r w:rsidRPr="000B767D">
        <w:rPr>
          <w:rFonts w:eastAsia="Times New Roman" w:cs="Times New Roman"/>
          <w:color w:val="000000"/>
          <w:szCs w:val="26"/>
        </w:rPr>
        <w:t xml:space="preserve"> lawsuit.</w:t>
      </w:r>
      <w:proofErr w:type="gramStart"/>
      <w:r>
        <w:rPr>
          <w:rFonts w:eastAsia="Times New Roman" w:cs="Times New Roman"/>
          <w:color w:val="000000"/>
          <w:szCs w:val="26"/>
        </w:rPr>
        <w:t>’ </w:t>
      </w:r>
      <w:r w:rsidRPr="000B767D">
        <w:rPr>
          <w:rFonts w:eastAsia="Times New Roman" w:cs="Times New Roman"/>
          <w:color w:val="000000"/>
          <w:szCs w:val="26"/>
        </w:rPr>
        <w:t>”</w:t>
      </w:r>
      <w:proofErr w:type="gramEnd"/>
      <w:r w:rsidRPr="000B767D">
        <w:rPr>
          <w:rFonts w:eastAsia="Times New Roman" w:cs="Times New Roman"/>
          <w:color w:val="000000"/>
          <w:szCs w:val="26"/>
        </w:rPr>
        <w:t xml:space="preserve"> </w:t>
      </w:r>
      <w:r w:rsidRPr="00604FBA">
        <w:rPr>
          <w:rFonts w:eastAsia="Times New Roman" w:cs="Times New Roman"/>
          <w:color w:val="000000"/>
          <w:szCs w:val="26"/>
        </w:rPr>
        <w:t xml:space="preserve"> (</w:t>
      </w:r>
      <w:r w:rsidRPr="008E0FCB">
        <w:rPr>
          <w:rFonts w:eastAsia="Times New Roman" w:cs="Times New Roman"/>
          <w:i/>
          <w:iCs/>
          <w:szCs w:val="26"/>
          <w:bdr w:val="none" w:sz="0" w:space="0" w:color="auto" w:frame="1"/>
        </w:rPr>
        <w:t>Uribe v. Crown Building Maintenance Co.</w:t>
      </w:r>
      <w:r w:rsidRPr="008E0FCB">
        <w:rPr>
          <w:rFonts w:eastAsia="Times New Roman" w:cs="Times New Roman"/>
          <w:szCs w:val="26"/>
        </w:rPr>
        <w:t xml:space="preserve"> </w:t>
      </w:r>
      <w:r w:rsidRPr="000B767D">
        <w:rPr>
          <w:rFonts w:eastAsia="Times New Roman" w:cs="Times New Roman"/>
          <w:color w:val="000000"/>
          <w:szCs w:val="26"/>
        </w:rPr>
        <w:t>(2021) 70</w:t>
      </w:r>
      <w:r>
        <w:rPr>
          <w:rFonts w:eastAsia="Times New Roman" w:cs="Times New Roman"/>
          <w:color w:val="000000"/>
          <w:szCs w:val="26"/>
        </w:rPr>
        <w:t> </w:t>
      </w:r>
      <w:r w:rsidRPr="000B767D">
        <w:rPr>
          <w:rFonts w:eastAsia="Times New Roman" w:cs="Times New Roman"/>
          <w:color w:val="000000"/>
          <w:szCs w:val="26"/>
        </w:rPr>
        <w:t>Cal.App.5</w:t>
      </w:r>
      <w:r w:rsidRPr="000B767D">
        <w:rPr>
          <w:rFonts w:eastAsia="Times New Roman" w:cs="Times New Roman"/>
          <w:color w:val="000000"/>
          <w:szCs w:val="26"/>
        </w:rPr>
        <w:t>th 986, 1003</w:t>
      </w:r>
      <w:r>
        <w:rPr>
          <w:rFonts w:eastAsia="Times New Roman" w:cs="Times New Roman"/>
          <w:color w:val="000000"/>
          <w:szCs w:val="26"/>
        </w:rPr>
        <w:t xml:space="preserve"> (</w:t>
      </w:r>
      <w:r w:rsidRPr="008E0FCB">
        <w:rPr>
          <w:rFonts w:eastAsia="Times New Roman" w:cs="Times New Roman"/>
          <w:i/>
          <w:iCs/>
          <w:color w:val="000000"/>
          <w:szCs w:val="26"/>
        </w:rPr>
        <w:t>Uribe</w:t>
      </w:r>
      <w:r>
        <w:rPr>
          <w:rFonts w:eastAsia="Times New Roman" w:cs="Times New Roman"/>
          <w:color w:val="000000"/>
          <w:szCs w:val="26"/>
        </w:rPr>
        <w:t>)</w:t>
      </w:r>
      <w:r w:rsidRPr="00604FBA">
        <w:rPr>
          <w:rFonts w:eastAsia="Times New Roman" w:cs="Times New Roman"/>
          <w:color w:val="000000"/>
          <w:szCs w:val="26"/>
        </w:rPr>
        <w:t xml:space="preserve">.) </w:t>
      </w:r>
    </w:p>
    <w:p w14:paraId="3D62D599" w14:textId="77777777" w:rsidR="00B65CEF" w:rsidRPr="001E247D" w:rsidRDefault="00B45E56" w:rsidP="001E247D">
      <w:pPr>
        <w:spacing w:line="360" w:lineRule="auto"/>
        <w:ind w:firstLine="720"/>
        <w:rPr>
          <w:szCs w:val="26"/>
        </w:rPr>
      </w:pPr>
      <w:r w:rsidRPr="00604FBA">
        <w:rPr>
          <w:szCs w:val="26"/>
        </w:rPr>
        <w:t xml:space="preserve">The </w:t>
      </w:r>
      <w:r>
        <w:rPr>
          <w:szCs w:val="26"/>
        </w:rPr>
        <w:t xml:space="preserve">delegation </w:t>
      </w:r>
      <w:r w:rsidRPr="00604FBA">
        <w:rPr>
          <w:szCs w:val="26"/>
        </w:rPr>
        <w:t xml:space="preserve">of enforcement power from the </w:t>
      </w:r>
      <w:proofErr w:type="spellStart"/>
      <w:r w:rsidRPr="00604FBA">
        <w:rPr>
          <w:szCs w:val="26"/>
        </w:rPr>
        <w:t>LWDA</w:t>
      </w:r>
      <w:proofErr w:type="spellEnd"/>
      <w:r w:rsidRPr="00604FBA">
        <w:rPr>
          <w:szCs w:val="26"/>
        </w:rPr>
        <w:t xml:space="preserve"> to the aggrieved employee is not open-ended</w:t>
      </w:r>
      <w:r>
        <w:rPr>
          <w:szCs w:val="26"/>
        </w:rPr>
        <w:t xml:space="preserve">.  </w:t>
      </w:r>
      <w:r w:rsidRPr="00604FBA">
        <w:rPr>
          <w:szCs w:val="26"/>
        </w:rPr>
        <w:t xml:space="preserve">It gives the proxy control of the penalty claims identified </w:t>
      </w:r>
      <w:r>
        <w:rPr>
          <w:szCs w:val="26"/>
        </w:rPr>
        <w:t>in</w:t>
      </w:r>
      <w:r w:rsidRPr="00604FBA">
        <w:rPr>
          <w:szCs w:val="26"/>
        </w:rPr>
        <w:t xml:space="preserve"> his written notice to </w:t>
      </w:r>
      <w:r>
        <w:rPr>
          <w:szCs w:val="26"/>
        </w:rPr>
        <w:t xml:space="preserve">the </w:t>
      </w:r>
      <w:proofErr w:type="spellStart"/>
      <w:proofErr w:type="gramStart"/>
      <w:r w:rsidRPr="00604FBA">
        <w:rPr>
          <w:szCs w:val="26"/>
        </w:rPr>
        <w:t>LWDA</w:t>
      </w:r>
      <w:proofErr w:type="spellEnd"/>
      <w:r w:rsidRPr="00604FBA">
        <w:rPr>
          <w:szCs w:val="26"/>
        </w:rPr>
        <w:t>, but</w:t>
      </w:r>
      <w:proofErr w:type="gramEnd"/>
      <w:r w:rsidRPr="00604FBA">
        <w:rPr>
          <w:szCs w:val="26"/>
        </w:rPr>
        <w:t xml:space="preserve"> is limited in scope to the specific f</w:t>
      </w:r>
      <w:r w:rsidRPr="00604FBA">
        <w:rPr>
          <w:szCs w:val="26"/>
        </w:rPr>
        <w:t xml:space="preserve">acts and theories stated in the notice. </w:t>
      </w:r>
      <w:r>
        <w:rPr>
          <w:szCs w:val="26"/>
        </w:rPr>
        <w:t xml:space="preserve"> (</w:t>
      </w:r>
      <w:r w:rsidRPr="00FE3345">
        <w:rPr>
          <w:i/>
          <w:iCs/>
          <w:szCs w:val="26"/>
        </w:rPr>
        <w:t>Uribe</w:t>
      </w:r>
      <w:r>
        <w:rPr>
          <w:szCs w:val="26"/>
        </w:rPr>
        <w:t xml:space="preserve">, </w:t>
      </w:r>
      <w:r w:rsidRPr="00FE3345">
        <w:rPr>
          <w:i/>
          <w:iCs/>
          <w:szCs w:val="26"/>
        </w:rPr>
        <w:t>supra</w:t>
      </w:r>
      <w:r>
        <w:rPr>
          <w:szCs w:val="26"/>
        </w:rPr>
        <w:t>, 70 Cal.App.5</w:t>
      </w:r>
      <w:r w:rsidRPr="003B0D7D">
        <w:rPr>
          <w:szCs w:val="26"/>
        </w:rPr>
        <w:t>th</w:t>
      </w:r>
      <w:r>
        <w:rPr>
          <w:szCs w:val="26"/>
        </w:rPr>
        <w:t xml:space="preserve"> at p. 1003; </w:t>
      </w:r>
      <w:r w:rsidRPr="0057667F">
        <w:rPr>
          <w:rFonts w:eastAsia="Times New Roman" w:cs="Times New Roman"/>
          <w:i/>
          <w:bdr w:val="none" w:sz="0" w:space="0" w:color="auto" w:frame="1"/>
        </w:rPr>
        <w:t>Brown v. Ralphs Grocery Co.</w:t>
      </w:r>
      <w:r w:rsidRPr="0057667F">
        <w:rPr>
          <w:rFonts w:eastAsia="Times New Roman" w:cs="Times New Roman"/>
        </w:rPr>
        <w:t xml:space="preserve"> (2018) 28</w:t>
      </w:r>
      <w:r>
        <w:rPr>
          <w:rFonts w:eastAsia="Times New Roman" w:cs="Times New Roman"/>
        </w:rPr>
        <w:t> </w:t>
      </w:r>
      <w:r w:rsidRPr="0057667F">
        <w:rPr>
          <w:rFonts w:eastAsia="Times New Roman" w:cs="Times New Roman"/>
          <w:bdr w:val="none" w:sz="0" w:space="0" w:color="auto" w:frame="1"/>
          <w:shd w:val="clear" w:color="auto" w:fill="FFFFFF"/>
        </w:rPr>
        <w:t>Cal.App</w:t>
      </w:r>
      <w:r w:rsidRPr="0057667F">
        <w:rPr>
          <w:rFonts w:eastAsia="Times New Roman" w:cs="Times New Roman"/>
        </w:rPr>
        <w:t>.</w:t>
      </w:r>
      <w:r w:rsidRPr="0057667F">
        <w:rPr>
          <w:rFonts w:eastAsia="Times New Roman" w:cs="Times New Roman"/>
          <w:bdr w:val="none" w:sz="0" w:space="0" w:color="auto" w:frame="1"/>
          <w:shd w:val="clear" w:color="auto" w:fill="FFFFFF"/>
        </w:rPr>
        <w:t>5th</w:t>
      </w:r>
      <w:r w:rsidRPr="0057667F">
        <w:rPr>
          <w:rFonts w:eastAsia="Times New Roman" w:cs="Times New Roman"/>
        </w:rPr>
        <w:t xml:space="preserve"> 824.)  </w:t>
      </w:r>
      <w:r w:rsidRPr="00604FBA">
        <w:rPr>
          <w:szCs w:val="26"/>
        </w:rPr>
        <w:t xml:space="preserve">Because a proxy’s </w:t>
      </w:r>
      <w:proofErr w:type="spellStart"/>
      <w:r w:rsidRPr="00604FBA">
        <w:rPr>
          <w:szCs w:val="26"/>
        </w:rPr>
        <w:t>PAGA</w:t>
      </w:r>
      <w:proofErr w:type="spellEnd"/>
      <w:r w:rsidRPr="00604FBA">
        <w:rPr>
          <w:szCs w:val="26"/>
        </w:rPr>
        <w:t xml:space="preserve"> authority derives from and is bounded by the </w:t>
      </w:r>
      <w:proofErr w:type="spellStart"/>
      <w:r w:rsidRPr="00604FBA">
        <w:rPr>
          <w:szCs w:val="26"/>
        </w:rPr>
        <w:t>LWDA</w:t>
      </w:r>
      <w:proofErr w:type="spellEnd"/>
      <w:r w:rsidRPr="00604FBA">
        <w:rPr>
          <w:szCs w:val="26"/>
        </w:rPr>
        <w:t xml:space="preserve"> </w:t>
      </w:r>
      <w:r>
        <w:rPr>
          <w:szCs w:val="26"/>
        </w:rPr>
        <w:t xml:space="preserve">notice </w:t>
      </w:r>
      <w:r w:rsidRPr="00604FBA">
        <w:rPr>
          <w:szCs w:val="26"/>
        </w:rPr>
        <w:t xml:space="preserve">on which </w:t>
      </w:r>
      <w:r>
        <w:rPr>
          <w:szCs w:val="26"/>
        </w:rPr>
        <w:t xml:space="preserve">it </w:t>
      </w:r>
      <w:r w:rsidRPr="00604FBA">
        <w:rPr>
          <w:szCs w:val="26"/>
        </w:rPr>
        <w:t>is founded (</w:t>
      </w:r>
      <w:r w:rsidRPr="00604FBA">
        <w:rPr>
          <w:i/>
          <w:iCs/>
          <w:szCs w:val="26"/>
        </w:rPr>
        <w:t>Khan v. Dunn-Edwards Corp</w:t>
      </w:r>
      <w:r w:rsidRPr="00604FBA">
        <w:rPr>
          <w:szCs w:val="26"/>
        </w:rPr>
        <w:t>. (2018) 19</w:t>
      </w:r>
      <w:r>
        <w:rPr>
          <w:szCs w:val="26"/>
        </w:rPr>
        <w:t> </w:t>
      </w:r>
      <w:r w:rsidRPr="00604FBA">
        <w:rPr>
          <w:szCs w:val="26"/>
        </w:rPr>
        <w:t>Cal.App.5th 804, 808</w:t>
      </w:r>
      <w:r>
        <w:rPr>
          <w:szCs w:val="26"/>
        </w:rPr>
        <w:t>–8</w:t>
      </w:r>
      <w:r w:rsidRPr="00604FBA">
        <w:rPr>
          <w:szCs w:val="26"/>
        </w:rPr>
        <w:t xml:space="preserve">10; </w:t>
      </w:r>
      <w:r w:rsidRPr="00604FBA">
        <w:rPr>
          <w:i/>
          <w:iCs/>
          <w:szCs w:val="26"/>
        </w:rPr>
        <w:t>Esparza v. Safeway, Inc.</w:t>
      </w:r>
      <w:r w:rsidRPr="00604FBA">
        <w:rPr>
          <w:szCs w:val="26"/>
        </w:rPr>
        <w:t xml:space="preserve"> (2019) 36</w:t>
      </w:r>
      <w:r>
        <w:rPr>
          <w:szCs w:val="26"/>
        </w:rPr>
        <w:t> </w:t>
      </w:r>
      <w:r w:rsidRPr="00604FBA">
        <w:rPr>
          <w:szCs w:val="26"/>
        </w:rPr>
        <w:t xml:space="preserve">Cal.App.5th 42, 59), the enforcement power a </w:t>
      </w:r>
      <w:proofErr w:type="spellStart"/>
      <w:r w:rsidRPr="00604FBA">
        <w:rPr>
          <w:szCs w:val="26"/>
        </w:rPr>
        <w:t>PAGA</w:t>
      </w:r>
      <w:proofErr w:type="spellEnd"/>
      <w:r w:rsidRPr="00604FBA">
        <w:rPr>
          <w:szCs w:val="26"/>
        </w:rPr>
        <w:t xml:space="preserve"> clai</w:t>
      </w:r>
      <w:r w:rsidRPr="00604FBA">
        <w:rPr>
          <w:szCs w:val="26"/>
        </w:rPr>
        <w:t xml:space="preserve">mant receives upon perfecting a </w:t>
      </w:r>
      <w:proofErr w:type="spellStart"/>
      <w:r w:rsidRPr="00604FBA">
        <w:rPr>
          <w:szCs w:val="26"/>
        </w:rPr>
        <w:t>PAGA</w:t>
      </w:r>
      <w:proofErr w:type="spellEnd"/>
      <w:r w:rsidRPr="00604FBA">
        <w:rPr>
          <w:szCs w:val="26"/>
        </w:rPr>
        <w:t xml:space="preserve"> claim is not a roving warrant to collect penalties for any violation of the Labor Code that may be discovered in subsequent litigation, or that may be raised in settlement </w:t>
      </w:r>
      <w:r w:rsidRPr="001E247D">
        <w:rPr>
          <w:szCs w:val="26"/>
        </w:rPr>
        <w:t xml:space="preserve">negotiations by rogue </w:t>
      </w:r>
      <w:proofErr w:type="spellStart"/>
      <w:r w:rsidRPr="001E247D">
        <w:rPr>
          <w:szCs w:val="26"/>
        </w:rPr>
        <w:t>PAGA</w:t>
      </w:r>
      <w:proofErr w:type="spellEnd"/>
      <w:r w:rsidRPr="001E247D">
        <w:rPr>
          <w:szCs w:val="26"/>
        </w:rPr>
        <w:t xml:space="preserve"> claimants purporting</w:t>
      </w:r>
      <w:r w:rsidRPr="001E247D">
        <w:rPr>
          <w:szCs w:val="26"/>
        </w:rPr>
        <w:t xml:space="preserve"> to deal with matters beyond their authority. </w:t>
      </w:r>
    </w:p>
    <w:p w14:paraId="13A91C5C" w14:textId="77777777" w:rsidR="00C146FC" w:rsidRPr="008B39BE" w:rsidRDefault="00B45E56" w:rsidP="00A46514">
      <w:pPr>
        <w:pStyle w:val="Heading2"/>
        <w:spacing w:after="120" w:line="240" w:lineRule="auto"/>
        <w:ind w:left="720" w:hanging="360"/>
        <w:rPr>
          <w:rFonts w:ascii="Century Schoolbook" w:hAnsi="Century Schoolbook"/>
          <w:b/>
          <w:bCs/>
          <w:i/>
          <w:iCs/>
          <w:color w:val="auto"/>
        </w:rPr>
      </w:pPr>
      <w:r w:rsidRPr="00920BAD">
        <w:rPr>
          <w:rFonts w:ascii="Century Schoolbook" w:hAnsi="Century Schoolbook"/>
          <w:b/>
          <w:color w:val="auto"/>
        </w:rPr>
        <w:t>C</w:t>
      </w:r>
      <w:r w:rsidRPr="008B39BE">
        <w:rPr>
          <w:rFonts w:ascii="Century Schoolbook" w:hAnsi="Century Schoolbook"/>
          <w:b/>
          <w:bCs/>
          <w:i/>
          <w:iCs/>
          <w:color w:val="auto"/>
        </w:rPr>
        <w:t xml:space="preserve">. </w:t>
      </w:r>
      <w:proofErr w:type="spellStart"/>
      <w:r w:rsidRPr="008B39BE">
        <w:rPr>
          <w:rFonts w:ascii="Century Schoolbook" w:hAnsi="Century Schoolbook"/>
          <w:b/>
          <w:bCs/>
          <w:color w:val="auto"/>
        </w:rPr>
        <w:t>Turrieta</w:t>
      </w:r>
      <w:proofErr w:type="spellEnd"/>
      <w:r w:rsidRPr="008B39BE">
        <w:rPr>
          <w:rFonts w:ascii="Century Schoolbook" w:hAnsi="Century Schoolbook"/>
          <w:b/>
          <w:bCs/>
          <w:color w:val="auto"/>
        </w:rPr>
        <w:t xml:space="preserve"> v. Lyft</w:t>
      </w:r>
      <w:r w:rsidRPr="008B39BE">
        <w:rPr>
          <w:rFonts w:ascii="Century Schoolbook" w:hAnsi="Century Schoolbook"/>
          <w:b/>
          <w:bCs/>
          <w:i/>
          <w:iCs/>
          <w:color w:val="auto"/>
        </w:rPr>
        <w:t xml:space="preserve"> and the Threshold Interest-in-the-Litigation Requirement</w:t>
      </w:r>
    </w:p>
    <w:p w14:paraId="59B1BDBA" w14:textId="77777777" w:rsidR="007737F0" w:rsidRPr="00604FBA" w:rsidRDefault="00B45E56" w:rsidP="0078088B">
      <w:pPr>
        <w:shd w:val="clear" w:color="auto" w:fill="FFFFFF"/>
        <w:spacing w:line="360" w:lineRule="auto"/>
        <w:ind w:firstLine="720"/>
        <w:rPr>
          <w:rFonts w:eastAsia="Times New Roman" w:cs="Times New Roman"/>
          <w:color w:val="000000"/>
          <w:szCs w:val="26"/>
        </w:rPr>
      </w:pPr>
      <w:r w:rsidRPr="008B39BE">
        <w:rPr>
          <w:rFonts w:eastAsia="Times New Roman" w:cs="Times New Roman"/>
          <w:szCs w:val="26"/>
        </w:rPr>
        <w:t xml:space="preserve">Against this legal </w:t>
      </w:r>
      <w:r w:rsidRPr="003312E7">
        <w:rPr>
          <w:rFonts w:eastAsia="Times New Roman" w:cs="Times New Roman"/>
          <w:color w:val="000000"/>
          <w:szCs w:val="26"/>
        </w:rPr>
        <w:t xml:space="preserve">backdrop, the trial court decided that </w:t>
      </w:r>
      <w:proofErr w:type="spellStart"/>
      <w:r w:rsidRPr="003312E7">
        <w:rPr>
          <w:rFonts w:eastAsia="Times New Roman" w:cs="Times New Roman"/>
          <w:color w:val="000000"/>
          <w:szCs w:val="26"/>
        </w:rPr>
        <w:t>Piplack</w:t>
      </w:r>
      <w:proofErr w:type="spellEnd"/>
      <w:r w:rsidRPr="003312E7">
        <w:rPr>
          <w:rFonts w:eastAsia="Times New Roman" w:cs="Times New Roman"/>
          <w:color w:val="000000"/>
          <w:szCs w:val="26"/>
        </w:rPr>
        <w:t xml:space="preserve"> and Taylor have</w:t>
      </w:r>
      <w:r w:rsidRPr="00604FBA">
        <w:rPr>
          <w:rFonts w:eastAsia="Times New Roman" w:cs="Times New Roman"/>
          <w:color w:val="000000"/>
          <w:szCs w:val="26"/>
        </w:rPr>
        <w:t xml:space="preserve"> no “personal” interest in </w:t>
      </w:r>
      <w:r>
        <w:rPr>
          <w:rFonts w:eastAsia="Times New Roman" w:cs="Times New Roman"/>
          <w:color w:val="000000"/>
          <w:szCs w:val="26"/>
        </w:rPr>
        <w:t xml:space="preserve">the </w:t>
      </w:r>
      <w:proofErr w:type="spellStart"/>
      <w:r>
        <w:rPr>
          <w:rFonts w:eastAsia="Times New Roman" w:cs="Times New Roman"/>
          <w:color w:val="000000"/>
          <w:szCs w:val="26"/>
        </w:rPr>
        <w:t>PAGA</w:t>
      </w:r>
      <w:proofErr w:type="spellEnd"/>
      <w:r>
        <w:rPr>
          <w:rFonts w:eastAsia="Times New Roman" w:cs="Times New Roman"/>
          <w:color w:val="000000"/>
          <w:szCs w:val="26"/>
        </w:rPr>
        <w:t xml:space="preserve"> claims</w:t>
      </w:r>
      <w:r w:rsidRPr="00604FBA">
        <w:rPr>
          <w:rFonts w:eastAsia="Times New Roman" w:cs="Times New Roman"/>
          <w:color w:val="000000"/>
          <w:szCs w:val="26"/>
        </w:rPr>
        <w:t xml:space="preserve"> between plaintiff </w:t>
      </w:r>
      <w:proofErr w:type="spellStart"/>
      <w:r w:rsidRPr="00604FBA">
        <w:rPr>
          <w:rFonts w:eastAsia="Times New Roman" w:cs="Times New Roman"/>
          <w:color w:val="000000"/>
          <w:szCs w:val="26"/>
        </w:rPr>
        <w:t>Accurso</w:t>
      </w:r>
      <w:proofErr w:type="spellEnd"/>
      <w:r w:rsidRPr="00604FBA">
        <w:rPr>
          <w:rFonts w:eastAsia="Times New Roman" w:cs="Times New Roman"/>
          <w:color w:val="000000"/>
          <w:szCs w:val="26"/>
        </w:rPr>
        <w:t xml:space="preserve"> and In-N-Out, and thus that they cannot satisfy the threshold standing requirement for </w:t>
      </w:r>
      <w:r>
        <w:rPr>
          <w:rFonts w:eastAsia="Times New Roman" w:cs="Times New Roman"/>
          <w:color w:val="000000"/>
          <w:szCs w:val="26"/>
        </w:rPr>
        <w:t xml:space="preserve">mandatory or permissive </w:t>
      </w:r>
      <w:r w:rsidRPr="00604FBA">
        <w:rPr>
          <w:rFonts w:eastAsia="Times New Roman" w:cs="Times New Roman"/>
          <w:color w:val="000000"/>
          <w:szCs w:val="26"/>
        </w:rPr>
        <w:t xml:space="preserve">intervention, even though </w:t>
      </w:r>
      <w:r w:rsidRPr="00604FBA">
        <w:rPr>
          <w:rFonts w:eastAsia="Times New Roman" w:cs="Times New Roman"/>
          <w:color w:val="000000"/>
          <w:szCs w:val="26"/>
        </w:rPr>
        <w:lastRenderedPageBreak/>
        <w:t xml:space="preserve">they are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xml:space="preserve"> claimants in separate actions that overlap with </w:t>
      </w:r>
      <w:proofErr w:type="spellStart"/>
      <w:r w:rsidRPr="00604FBA">
        <w:rPr>
          <w:rFonts w:eastAsia="Times New Roman" w:cs="Times New Roman"/>
          <w:i/>
          <w:iCs/>
          <w:color w:val="000000"/>
          <w:szCs w:val="26"/>
        </w:rPr>
        <w:t>Accurso</w:t>
      </w:r>
      <w:proofErr w:type="spellEnd"/>
      <w:r w:rsidRPr="00604FBA">
        <w:rPr>
          <w:rFonts w:eastAsia="Times New Roman" w:cs="Times New Roman"/>
          <w:color w:val="000000"/>
          <w:szCs w:val="26"/>
        </w:rPr>
        <w:t>.  As noted above, in s</w:t>
      </w:r>
      <w:r w:rsidRPr="00604FBA">
        <w:rPr>
          <w:rFonts w:eastAsia="Times New Roman" w:cs="Times New Roman"/>
          <w:color w:val="000000"/>
          <w:szCs w:val="26"/>
        </w:rPr>
        <w:t xml:space="preserve">upport of this ruling, the court relied on </w:t>
      </w:r>
      <w:proofErr w:type="spellStart"/>
      <w:r w:rsidRPr="002352E6">
        <w:rPr>
          <w:rFonts w:eastAsia="Times New Roman" w:cs="Times New Roman"/>
          <w:i/>
          <w:iCs/>
          <w:szCs w:val="26"/>
          <w:bdr w:val="none" w:sz="0" w:space="0" w:color="auto" w:frame="1"/>
        </w:rPr>
        <w:t>Turrieta</w:t>
      </w:r>
      <w:proofErr w:type="spellEnd"/>
      <w:r w:rsidRPr="002352E6">
        <w:rPr>
          <w:rFonts w:eastAsia="Times New Roman" w:cs="Times New Roman"/>
          <w:szCs w:val="26"/>
        </w:rPr>
        <w:t>,</w:t>
      </w:r>
      <w:r w:rsidRPr="00604FBA">
        <w:rPr>
          <w:rFonts w:eastAsia="Times New Roman" w:cs="Times New Roman"/>
          <w:color w:val="000000"/>
          <w:szCs w:val="26"/>
        </w:rPr>
        <w:t xml:space="preserve"> finding that case more closely on point than our decision in </w:t>
      </w:r>
      <w:r w:rsidRPr="00604FBA">
        <w:rPr>
          <w:rFonts w:eastAsia="Times New Roman" w:cs="Times New Roman"/>
          <w:i/>
          <w:iCs/>
          <w:color w:val="000000"/>
          <w:szCs w:val="26"/>
        </w:rPr>
        <w:t>Moniz</w:t>
      </w:r>
      <w:r w:rsidRPr="00604FBA">
        <w:rPr>
          <w:rFonts w:eastAsia="Times New Roman" w:cs="Times New Roman"/>
          <w:color w:val="000000"/>
          <w:szCs w:val="26"/>
        </w:rPr>
        <w:t>.  We disagree.</w:t>
      </w:r>
    </w:p>
    <w:p w14:paraId="12C86D47" w14:textId="77777777" w:rsidR="004425E3" w:rsidRPr="00604FBA" w:rsidRDefault="00B45E56" w:rsidP="00604FBA">
      <w:pPr>
        <w:shd w:val="clear" w:color="auto" w:fill="FFFFFF"/>
        <w:spacing w:line="360" w:lineRule="auto"/>
        <w:rPr>
          <w:rFonts w:eastAsia="Times New Roman" w:cs="Times New Roman"/>
          <w:color w:val="000000"/>
          <w:szCs w:val="26"/>
        </w:rPr>
      </w:pPr>
      <w:r w:rsidRPr="00604FBA">
        <w:rPr>
          <w:rFonts w:eastAsia="Times New Roman" w:cs="Times New Roman"/>
          <w:color w:val="000000"/>
          <w:szCs w:val="26"/>
        </w:rPr>
        <w:tab/>
        <w:t xml:space="preserve">In </w:t>
      </w:r>
      <w:proofErr w:type="spellStart"/>
      <w:r w:rsidRPr="00604FBA">
        <w:rPr>
          <w:rFonts w:eastAsia="Times New Roman" w:cs="Times New Roman"/>
          <w:i/>
          <w:iCs/>
          <w:color w:val="000000"/>
          <w:szCs w:val="26"/>
          <w:bdr w:val="none" w:sz="0" w:space="0" w:color="auto" w:frame="1"/>
          <w:shd w:val="clear" w:color="auto" w:fill="FFFFFF"/>
        </w:rPr>
        <w:t>Turrieta</w:t>
      </w:r>
      <w:proofErr w:type="spellEnd"/>
      <w:r w:rsidRPr="00604FBA">
        <w:rPr>
          <w:rFonts w:eastAsia="Times New Roman" w:cs="Times New Roman"/>
          <w:color w:val="000000"/>
          <w:szCs w:val="26"/>
          <w:bdr w:val="none" w:sz="0" w:space="0" w:color="auto" w:frame="1"/>
          <w:shd w:val="clear" w:color="auto" w:fill="FFFFFF"/>
        </w:rPr>
        <w:t xml:space="preserve">, </w:t>
      </w:r>
      <w:r w:rsidRPr="00604FBA">
        <w:rPr>
          <w:rFonts w:eastAsia="Times New Roman" w:cs="Times New Roman"/>
          <w:color w:val="000000"/>
          <w:szCs w:val="26"/>
        </w:rPr>
        <w:t xml:space="preserve">the appellants, Olson and </w:t>
      </w:r>
      <w:proofErr w:type="spellStart"/>
      <w:r>
        <w:rPr>
          <w:rFonts w:eastAsia="Times New Roman" w:cs="Times New Roman"/>
          <w:color w:val="000000"/>
          <w:szCs w:val="26"/>
        </w:rPr>
        <w:t>Seifu</w:t>
      </w:r>
      <w:proofErr w:type="spellEnd"/>
      <w:r w:rsidRPr="00604FBA">
        <w:rPr>
          <w:rFonts w:eastAsia="Times New Roman" w:cs="Times New Roman"/>
          <w:color w:val="000000"/>
          <w:szCs w:val="26"/>
        </w:rPr>
        <w:t xml:space="preserve">, and plaintiff </w:t>
      </w:r>
      <w:proofErr w:type="spellStart"/>
      <w:r w:rsidRPr="00604FBA">
        <w:rPr>
          <w:rFonts w:eastAsia="Times New Roman" w:cs="Times New Roman"/>
          <w:color w:val="000000"/>
          <w:szCs w:val="26"/>
        </w:rPr>
        <w:t>Turrieta</w:t>
      </w:r>
      <w:proofErr w:type="spellEnd"/>
      <w:r w:rsidRPr="00604FBA">
        <w:rPr>
          <w:rFonts w:eastAsia="Times New Roman" w:cs="Times New Roman"/>
          <w:color w:val="000000"/>
          <w:szCs w:val="26"/>
        </w:rPr>
        <w:t xml:space="preserve"> filed separate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xml:space="preserve"> actions alleging </w:t>
      </w:r>
      <w:r w:rsidRPr="00604FBA">
        <w:rPr>
          <w:rFonts w:eastAsia="Times New Roman" w:cs="Times New Roman"/>
          <w:color w:val="000000"/>
          <w:szCs w:val="26"/>
        </w:rPr>
        <w:t>overlapping claims relating to Lyft</w:t>
      </w:r>
      <w:r>
        <w:rPr>
          <w:rFonts w:eastAsia="Times New Roman" w:cs="Times New Roman"/>
          <w:color w:val="000000"/>
          <w:szCs w:val="26"/>
        </w:rPr>
        <w:t>’</w:t>
      </w:r>
      <w:r w:rsidRPr="00604FBA">
        <w:rPr>
          <w:rFonts w:eastAsia="Times New Roman" w:cs="Times New Roman"/>
          <w:color w:val="000000"/>
          <w:szCs w:val="26"/>
        </w:rPr>
        <w:t xml:space="preserve">s alleged misclassification of its drivers as independent contractors.  When </w:t>
      </w:r>
      <w:proofErr w:type="spellStart"/>
      <w:r w:rsidRPr="00604FBA">
        <w:rPr>
          <w:rFonts w:eastAsia="Times New Roman" w:cs="Times New Roman"/>
          <w:color w:val="000000"/>
          <w:szCs w:val="26"/>
        </w:rPr>
        <w:t>Turrieta</w:t>
      </w:r>
      <w:proofErr w:type="spellEnd"/>
      <w:r w:rsidRPr="00604FBA">
        <w:rPr>
          <w:rFonts w:eastAsia="Times New Roman" w:cs="Times New Roman"/>
          <w:color w:val="000000"/>
          <w:szCs w:val="26"/>
        </w:rPr>
        <w:t xml:space="preserve"> reached a settlement in her action, the appellants unsuccessfully moved to intervene and to vacate the judgment approving </w:t>
      </w:r>
      <w:proofErr w:type="spellStart"/>
      <w:r w:rsidRPr="00604FBA">
        <w:rPr>
          <w:rFonts w:eastAsia="Times New Roman" w:cs="Times New Roman"/>
          <w:color w:val="000000"/>
          <w:szCs w:val="26"/>
        </w:rPr>
        <w:t>Turrieta</w:t>
      </w:r>
      <w:r>
        <w:rPr>
          <w:rFonts w:eastAsia="Times New Roman" w:cs="Times New Roman"/>
          <w:color w:val="000000"/>
          <w:szCs w:val="26"/>
        </w:rPr>
        <w:t>’</w:t>
      </w:r>
      <w:r w:rsidRPr="00604FBA">
        <w:rPr>
          <w:rFonts w:eastAsia="Times New Roman" w:cs="Times New Roman"/>
          <w:color w:val="000000"/>
          <w:szCs w:val="26"/>
        </w:rPr>
        <w:t>s</w:t>
      </w:r>
      <w:proofErr w:type="spellEnd"/>
      <w:r w:rsidRPr="00604FBA">
        <w:rPr>
          <w:rFonts w:eastAsia="Times New Roman" w:cs="Times New Roman"/>
          <w:color w:val="000000"/>
          <w:szCs w:val="26"/>
        </w:rPr>
        <w:t xml:space="preserve"> s</w:t>
      </w:r>
      <w:r w:rsidRPr="00604FBA">
        <w:rPr>
          <w:rFonts w:eastAsia="Times New Roman" w:cs="Times New Roman"/>
          <w:color w:val="000000"/>
          <w:szCs w:val="26"/>
        </w:rPr>
        <w:t>ettlement.  (</w:t>
      </w:r>
      <w:proofErr w:type="spellStart"/>
      <w:r w:rsidRPr="00604FBA">
        <w:rPr>
          <w:rFonts w:eastAsia="Times New Roman" w:cs="Times New Roman"/>
          <w:i/>
          <w:iCs/>
          <w:color w:val="000000"/>
          <w:szCs w:val="26"/>
          <w:bdr w:val="none" w:sz="0" w:space="0" w:color="auto" w:frame="1"/>
          <w:shd w:val="clear" w:color="auto" w:fill="FFFFFF"/>
        </w:rPr>
        <w:t>Turrieta</w:t>
      </w:r>
      <w:proofErr w:type="spellEnd"/>
      <w:r w:rsidRPr="00604FBA">
        <w:rPr>
          <w:rFonts w:eastAsia="Times New Roman" w:cs="Times New Roman"/>
          <w:color w:val="000000"/>
          <w:szCs w:val="26"/>
          <w:bdr w:val="none" w:sz="0" w:space="0" w:color="auto" w:frame="1"/>
          <w:shd w:val="clear" w:color="auto" w:fill="FFFFFF"/>
        </w:rPr>
        <w:t>,</w:t>
      </w:r>
      <w:r>
        <w:rPr>
          <w:rFonts w:eastAsia="Times New Roman" w:cs="Times New Roman"/>
          <w:color w:val="000000"/>
          <w:szCs w:val="26"/>
          <w:bdr w:val="none" w:sz="0" w:space="0" w:color="auto" w:frame="1"/>
          <w:shd w:val="clear" w:color="auto" w:fill="FFFFFF"/>
        </w:rPr>
        <w:t xml:space="preserve"> </w:t>
      </w:r>
      <w:r w:rsidRPr="002928BC">
        <w:rPr>
          <w:rFonts w:eastAsia="Times New Roman" w:cs="Times New Roman"/>
          <w:i/>
          <w:iCs/>
          <w:color w:val="000000"/>
          <w:szCs w:val="26"/>
          <w:bdr w:val="none" w:sz="0" w:space="0" w:color="auto" w:frame="1"/>
          <w:shd w:val="clear" w:color="auto" w:fill="FFFFFF"/>
        </w:rPr>
        <w:t>supra</w:t>
      </w:r>
      <w:r>
        <w:rPr>
          <w:rFonts w:eastAsia="Times New Roman" w:cs="Times New Roman"/>
          <w:color w:val="000000"/>
          <w:szCs w:val="26"/>
          <w:bdr w:val="none" w:sz="0" w:space="0" w:color="auto" w:frame="1"/>
          <w:shd w:val="clear" w:color="auto" w:fill="FFFFFF"/>
        </w:rPr>
        <w:t>, 69 Cal.App.5th</w:t>
      </w:r>
      <w:r w:rsidRPr="00604FBA">
        <w:rPr>
          <w:rFonts w:eastAsia="Times New Roman" w:cs="Times New Roman"/>
          <w:color w:val="000000"/>
          <w:szCs w:val="26"/>
          <w:bdr w:val="none" w:sz="0" w:space="0" w:color="auto" w:frame="1"/>
          <w:shd w:val="clear" w:color="auto" w:fill="FFFFFF"/>
        </w:rPr>
        <w:t xml:space="preserve"> at pp.</w:t>
      </w:r>
      <w:r>
        <w:rPr>
          <w:rFonts w:eastAsia="Times New Roman" w:cs="Times New Roman"/>
          <w:color w:val="000000"/>
          <w:szCs w:val="26"/>
          <w:bdr w:val="none" w:sz="0" w:space="0" w:color="auto" w:frame="1"/>
          <w:shd w:val="clear" w:color="auto" w:fill="FFFFFF"/>
        </w:rPr>
        <w:t> </w:t>
      </w:r>
      <w:r w:rsidRPr="00604FBA">
        <w:rPr>
          <w:rFonts w:eastAsia="Times New Roman" w:cs="Times New Roman"/>
          <w:color w:val="000000"/>
          <w:szCs w:val="26"/>
          <w:bdr w:val="none" w:sz="0" w:space="0" w:color="auto" w:frame="1"/>
          <w:shd w:val="clear" w:color="auto" w:fill="FFFFFF"/>
        </w:rPr>
        <w:t>964</w:t>
      </w:r>
      <w:r>
        <w:rPr>
          <w:rFonts w:eastAsia="Times New Roman" w:cs="Times New Roman"/>
          <w:color w:val="000000"/>
          <w:szCs w:val="26"/>
          <w:bdr w:val="none" w:sz="0" w:space="0" w:color="auto" w:frame="1"/>
          <w:shd w:val="clear" w:color="auto" w:fill="FFFFFF"/>
        </w:rPr>
        <w:t>–</w:t>
      </w:r>
      <w:r w:rsidRPr="00604FBA">
        <w:rPr>
          <w:rFonts w:eastAsia="Times New Roman" w:cs="Times New Roman"/>
          <w:color w:val="000000"/>
          <w:szCs w:val="26"/>
          <w:bdr w:val="none" w:sz="0" w:space="0" w:color="auto" w:frame="1"/>
          <w:shd w:val="clear" w:color="auto" w:fill="FFFFFF"/>
        </w:rPr>
        <w:t>965, 967</w:t>
      </w:r>
      <w:r>
        <w:rPr>
          <w:rFonts w:eastAsia="Times New Roman" w:cs="Times New Roman"/>
          <w:color w:val="000000"/>
          <w:szCs w:val="26"/>
          <w:bdr w:val="none" w:sz="0" w:space="0" w:color="auto" w:frame="1"/>
          <w:shd w:val="clear" w:color="auto" w:fill="FFFFFF"/>
        </w:rPr>
        <w:t>, rev.gr</w:t>
      </w:r>
      <w:r w:rsidRPr="00604FBA">
        <w:rPr>
          <w:rFonts w:eastAsia="Times New Roman" w:cs="Times New Roman"/>
          <w:color w:val="000000"/>
          <w:szCs w:val="26"/>
        </w:rPr>
        <w:t xml:space="preserve">.)  On appeal, </w:t>
      </w:r>
      <w:proofErr w:type="spellStart"/>
      <w:r w:rsidRPr="00604FBA">
        <w:rPr>
          <w:rFonts w:eastAsia="Times New Roman" w:cs="Times New Roman"/>
          <w:color w:val="000000"/>
          <w:szCs w:val="26"/>
        </w:rPr>
        <w:t>Turrieta</w:t>
      </w:r>
      <w:proofErr w:type="spellEnd"/>
      <w:r w:rsidRPr="00604FBA">
        <w:rPr>
          <w:rFonts w:eastAsia="Times New Roman" w:cs="Times New Roman"/>
          <w:color w:val="000000"/>
          <w:szCs w:val="26"/>
        </w:rPr>
        <w:t xml:space="preserve"> and Lyft</w:t>
      </w:r>
      <w:r>
        <w:rPr>
          <w:rFonts w:eastAsia="Times New Roman" w:cs="Times New Roman"/>
          <w:color w:val="000000"/>
          <w:szCs w:val="26"/>
        </w:rPr>
        <w:t xml:space="preserve"> successfully</w:t>
      </w:r>
      <w:r w:rsidRPr="00604FBA">
        <w:rPr>
          <w:rFonts w:eastAsia="Times New Roman" w:cs="Times New Roman"/>
          <w:color w:val="000000"/>
          <w:szCs w:val="26"/>
        </w:rPr>
        <w:t xml:space="preserve"> moved to dismiss for lack of appellate standing under section 902 (</w:t>
      </w:r>
      <w:proofErr w:type="spellStart"/>
      <w:r>
        <w:rPr>
          <w:rFonts w:eastAsia="Times New Roman" w:cs="Times New Roman"/>
          <w:i/>
          <w:iCs/>
          <w:color w:val="000000"/>
          <w:szCs w:val="26"/>
          <w:bdr w:val="none" w:sz="0" w:space="0" w:color="auto" w:frame="1"/>
          <w:shd w:val="clear" w:color="auto" w:fill="FFFFFF"/>
        </w:rPr>
        <w:t>Turrieta</w:t>
      </w:r>
      <w:proofErr w:type="spellEnd"/>
      <w:r>
        <w:rPr>
          <w:rFonts w:eastAsia="Times New Roman" w:cs="Times New Roman"/>
          <w:i/>
          <w:iCs/>
          <w:color w:val="000000"/>
          <w:szCs w:val="26"/>
          <w:bdr w:val="none" w:sz="0" w:space="0" w:color="auto" w:frame="1"/>
          <w:shd w:val="clear" w:color="auto" w:fill="FFFFFF"/>
        </w:rPr>
        <w:t>,</w:t>
      </w:r>
      <w:r w:rsidRPr="00604FBA">
        <w:rPr>
          <w:rFonts w:eastAsia="Times New Roman" w:cs="Times New Roman"/>
          <w:color w:val="000000"/>
          <w:szCs w:val="26"/>
          <w:bdr w:val="none" w:sz="0" w:space="0" w:color="auto" w:frame="1"/>
          <w:shd w:val="clear" w:color="auto" w:fill="FFFFFF"/>
        </w:rPr>
        <w:t xml:space="preserve"> at p.</w:t>
      </w:r>
      <w:r>
        <w:rPr>
          <w:rFonts w:eastAsia="Times New Roman" w:cs="Times New Roman"/>
          <w:color w:val="000000"/>
          <w:szCs w:val="26"/>
          <w:bdr w:val="none" w:sz="0" w:space="0" w:color="auto" w:frame="1"/>
          <w:shd w:val="clear" w:color="auto" w:fill="FFFFFF"/>
        </w:rPr>
        <w:t> </w:t>
      </w:r>
      <w:r w:rsidRPr="00604FBA">
        <w:rPr>
          <w:rFonts w:eastAsia="Times New Roman" w:cs="Times New Roman"/>
          <w:color w:val="000000"/>
          <w:szCs w:val="26"/>
          <w:bdr w:val="none" w:sz="0" w:space="0" w:color="auto" w:frame="1"/>
          <w:shd w:val="clear" w:color="auto" w:fill="FFFFFF"/>
        </w:rPr>
        <w:t>967</w:t>
      </w:r>
      <w:r w:rsidRPr="00604FBA">
        <w:rPr>
          <w:rFonts w:eastAsia="Times New Roman" w:cs="Times New Roman"/>
          <w:color w:val="000000"/>
          <w:szCs w:val="26"/>
        </w:rPr>
        <w:t>)</w:t>
      </w:r>
      <w:r>
        <w:rPr>
          <w:rFonts w:eastAsia="Times New Roman" w:cs="Times New Roman"/>
          <w:color w:val="000000"/>
          <w:szCs w:val="26"/>
        </w:rPr>
        <w:t xml:space="preserve">, and thus the issue of </w:t>
      </w:r>
      <w:r w:rsidRPr="00604FBA">
        <w:rPr>
          <w:rFonts w:eastAsia="Times New Roman" w:cs="Times New Roman"/>
          <w:color w:val="000000"/>
          <w:szCs w:val="26"/>
        </w:rPr>
        <w:t xml:space="preserve">Olson and </w:t>
      </w:r>
      <w:proofErr w:type="spellStart"/>
      <w:r>
        <w:rPr>
          <w:rFonts w:eastAsia="Times New Roman" w:cs="Times New Roman"/>
          <w:color w:val="000000"/>
          <w:szCs w:val="26"/>
        </w:rPr>
        <w:t>Seifu’s</w:t>
      </w:r>
      <w:proofErr w:type="spellEnd"/>
      <w:r>
        <w:rPr>
          <w:rFonts w:eastAsia="Times New Roman" w:cs="Times New Roman"/>
          <w:color w:val="000000"/>
          <w:szCs w:val="26"/>
        </w:rPr>
        <w:t xml:space="preserve"> </w:t>
      </w:r>
      <w:r>
        <w:rPr>
          <w:rFonts w:eastAsia="Times New Roman" w:cs="Times New Roman"/>
          <w:color w:val="000000"/>
          <w:szCs w:val="26"/>
        </w:rPr>
        <w:t>standing to pursue the appeal was</w:t>
      </w:r>
      <w:r w:rsidRPr="00604FBA">
        <w:rPr>
          <w:rFonts w:eastAsia="Times New Roman" w:cs="Times New Roman"/>
          <w:color w:val="000000"/>
          <w:szCs w:val="26"/>
        </w:rPr>
        <w:t xml:space="preserve"> the primary </w:t>
      </w:r>
      <w:r>
        <w:rPr>
          <w:rFonts w:eastAsia="Times New Roman" w:cs="Times New Roman"/>
          <w:color w:val="000000"/>
          <w:szCs w:val="26"/>
        </w:rPr>
        <w:t>focus of</w:t>
      </w:r>
      <w:r w:rsidRPr="00604FBA">
        <w:rPr>
          <w:rFonts w:eastAsia="Times New Roman" w:cs="Times New Roman"/>
          <w:color w:val="000000"/>
          <w:szCs w:val="26"/>
        </w:rPr>
        <w:t xml:space="preserve"> the </w:t>
      </w:r>
      <w:r>
        <w:rPr>
          <w:rFonts w:eastAsia="Times New Roman" w:cs="Times New Roman"/>
          <w:color w:val="000000"/>
          <w:szCs w:val="26"/>
        </w:rPr>
        <w:t>appellate</w:t>
      </w:r>
      <w:r w:rsidRPr="00604FBA">
        <w:rPr>
          <w:rFonts w:eastAsia="Times New Roman" w:cs="Times New Roman"/>
          <w:color w:val="000000"/>
          <w:szCs w:val="26"/>
        </w:rPr>
        <w:t xml:space="preserve"> court’s opinion (</w:t>
      </w:r>
      <w:r>
        <w:rPr>
          <w:rFonts w:eastAsia="Times New Roman" w:cs="Times New Roman"/>
          <w:i/>
          <w:iCs/>
          <w:color w:val="000000"/>
          <w:szCs w:val="26"/>
          <w:bdr w:val="none" w:sz="0" w:space="0" w:color="auto" w:frame="1"/>
          <w:shd w:val="clear" w:color="auto" w:fill="FFFFFF"/>
        </w:rPr>
        <w:t>i</w:t>
      </w:r>
      <w:r w:rsidRPr="00604FBA">
        <w:rPr>
          <w:rFonts w:eastAsia="Times New Roman" w:cs="Times New Roman"/>
          <w:i/>
          <w:iCs/>
          <w:color w:val="000000"/>
          <w:szCs w:val="26"/>
          <w:bdr w:val="none" w:sz="0" w:space="0" w:color="auto" w:frame="1"/>
          <w:shd w:val="clear" w:color="auto" w:fill="FFFFFF"/>
        </w:rPr>
        <w:t xml:space="preserve">d. </w:t>
      </w:r>
      <w:r w:rsidRPr="00604FBA">
        <w:rPr>
          <w:rFonts w:eastAsia="Times New Roman" w:cs="Times New Roman"/>
          <w:color w:val="000000"/>
          <w:szCs w:val="26"/>
          <w:bdr w:val="none" w:sz="0" w:space="0" w:color="auto" w:frame="1"/>
          <w:shd w:val="clear" w:color="auto" w:fill="FFFFFF"/>
        </w:rPr>
        <w:t>at pp.</w:t>
      </w:r>
      <w:r>
        <w:rPr>
          <w:rFonts w:eastAsia="Times New Roman" w:cs="Times New Roman"/>
          <w:color w:val="000000"/>
          <w:szCs w:val="26"/>
          <w:bdr w:val="none" w:sz="0" w:space="0" w:color="auto" w:frame="1"/>
          <w:shd w:val="clear" w:color="auto" w:fill="FFFFFF"/>
        </w:rPr>
        <w:t> </w:t>
      </w:r>
      <w:r w:rsidRPr="00604FBA">
        <w:rPr>
          <w:rFonts w:eastAsia="Times New Roman" w:cs="Times New Roman"/>
          <w:color w:val="000000"/>
          <w:szCs w:val="26"/>
          <w:bdr w:val="none" w:sz="0" w:space="0" w:color="auto" w:frame="1"/>
          <w:shd w:val="clear" w:color="auto" w:fill="FFFFFF"/>
        </w:rPr>
        <w:t>967</w:t>
      </w:r>
      <w:r>
        <w:rPr>
          <w:rFonts w:eastAsia="Times New Roman" w:cs="Times New Roman"/>
          <w:color w:val="000000"/>
          <w:szCs w:val="26"/>
          <w:bdr w:val="none" w:sz="0" w:space="0" w:color="auto" w:frame="1"/>
          <w:shd w:val="clear" w:color="auto" w:fill="FFFFFF"/>
        </w:rPr>
        <w:t>–</w:t>
      </w:r>
      <w:r w:rsidRPr="00604FBA">
        <w:rPr>
          <w:rFonts w:eastAsia="Times New Roman" w:cs="Times New Roman"/>
          <w:color w:val="000000"/>
          <w:szCs w:val="26"/>
          <w:bdr w:val="none" w:sz="0" w:space="0" w:color="auto" w:frame="1"/>
          <w:shd w:val="clear" w:color="auto" w:fill="FFFFFF"/>
        </w:rPr>
        <w:t>968</w:t>
      </w:r>
      <w:r w:rsidRPr="00604FBA">
        <w:rPr>
          <w:rFonts w:eastAsia="Times New Roman" w:cs="Times New Roman"/>
          <w:color w:val="000000"/>
          <w:szCs w:val="26"/>
        </w:rPr>
        <w:t>)</w:t>
      </w:r>
      <w:r>
        <w:rPr>
          <w:rFonts w:eastAsia="Times New Roman" w:cs="Times New Roman"/>
          <w:color w:val="000000"/>
          <w:szCs w:val="26"/>
        </w:rPr>
        <w:t>.</w:t>
      </w:r>
      <w:r w:rsidRPr="00604FBA">
        <w:rPr>
          <w:rFonts w:eastAsia="Times New Roman" w:cs="Times New Roman"/>
          <w:color w:val="000000"/>
          <w:szCs w:val="26"/>
        </w:rPr>
        <w:t xml:space="preserve">  </w:t>
      </w:r>
    </w:p>
    <w:p w14:paraId="2E14F511" w14:textId="77777777" w:rsidR="004425E3" w:rsidRPr="00604FBA" w:rsidRDefault="00B45E56" w:rsidP="00604FBA">
      <w:pPr>
        <w:shd w:val="clear" w:color="auto" w:fill="FFFFFF"/>
        <w:spacing w:line="360" w:lineRule="auto"/>
        <w:ind w:firstLine="720"/>
        <w:rPr>
          <w:rFonts w:eastAsia="Times New Roman" w:cs="Times New Roman"/>
          <w:color w:val="000000"/>
          <w:szCs w:val="26"/>
        </w:rPr>
      </w:pPr>
      <w:r w:rsidRPr="00604FBA">
        <w:rPr>
          <w:rFonts w:eastAsia="Times New Roman" w:cs="Times New Roman"/>
          <w:color w:val="000000"/>
          <w:szCs w:val="26"/>
        </w:rPr>
        <w:t xml:space="preserve">The court reasoned that Olson and </w:t>
      </w:r>
      <w:proofErr w:type="spellStart"/>
      <w:r>
        <w:rPr>
          <w:rFonts w:eastAsia="Times New Roman" w:cs="Times New Roman"/>
          <w:color w:val="000000"/>
          <w:szCs w:val="26"/>
        </w:rPr>
        <w:t>Seifu</w:t>
      </w:r>
      <w:proofErr w:type="spellEnd"/>
      <w:r w:rsidRPr="00604FBA">
        <w:rPr>
          <w:rFonts w:eastAsia="Times New Roman" w:cs="Times New Roman"/>
          <w:color w:val="000000"/>
          <w:szCs w:val="26"/>
        </w:rPr>
        <w:t xml:space="preserve"> were not “aggrieved parties” pursuant to section 902.  A party is aggrieved </w:t>
      </w:r>
      <w:proofErr w:type="gramStart"/>
      <w:r w:rsidRPr="00604FBA">
        <w:rPr>
          <w:rFonts w:eastAsia="Times New Roman" w:cs="Times New Roman"/>
          <w:color w:val="000000"/>
          <w:szCs w:val="26"/>
          <w:bdr w:val="none" w:sz="0" w:space="0" w:color="auto" w:frame="1"/>
          <w:shd w:val="clear" w:color="auto" w:fill="FFFFFF"/>
        </w:rPr>
        <w:t>“</w:t>
      </w:r>
      <w:r>
        <w:rPr>
          <w:rFonts w:eastAsia="Times New Roman" w:cs="Times New Roman"/>
          <w:color w:val="000000"/>
          <w:szCs w:val="26"/>
          <w:bdr w:val="none" w:sz="0" w:space="0" w:color="auto" w:frame="1"/>
          <w:shd w:val="clear" w:color="auto" w:fill="FFFFFF"/>
        </w:rPr>
        <w:t> </w:t>
      </w:r>
      <w:r w:rsidRPr="00604FBA">
        <w:rPr>
          <w:rFonts w:eastAsia="Times New Roman" w:cs="Times New Roman"/>
          <w:color w:val="000000"/>
          <w:szCs w:val="26"/>
          <w:bdr w:val="none" w:sz="0" w:space="0" w:color="auto" w:frame="1"/>
          <w:shd w:val="clear" w:color="auto" w:fill="FFFFFF"/>
        </w:rPr>
        <w:t>‘</w:t>
      </w:r>
      <w:proofErr w:type="gramEnd"/>
      <w:r w:rsidRPr="00604FBA">
        <w:rPr>
          <w:rFonts w:eastAsia="Times New Roman" w:cs="Times New Roman"/>
          <w:color w:val="000000"/>
          <w:szCs w:val="26"/>
          <w:bdr w:val="none" w:sz="0" w:space="0" w:color="auto" w:frame="1"/>
          <w:shd w:val="clear" w:color="auto" w:fill="FFFFFF"/>
        </w:rPr>
        <w:t>only if its “rights or interests are injuriously affected by the judgment.</w:t>
      </w:r>
      <w:r w:rsidRPr="00604FBA">
        <w:rPr>
          <w:rFonts w:eastAsia="Times New Roman" w:cs="Times New Roman"/>
          <w:color w:val="000000"/>
          <w:szCs w:val="26"/>
        </w:rPr>
        <w:t>”</w:t>
      </w:r>
      <w:r>
        <w:rPr>
          <w:rFonts w:eastAsia="Times New Roman" w:cs="Times New Roman"/>
          <w:color w:val="000000"/>
          <w:szCs w:val="26"/>
        </w:rPr>
        <w:t> ’ ”</w:t>
      </w:r>
      <w:r w:rsidRPr="00604FBA">
        <w:rPr>
          <w:rFonts w:eastAsia="Times New Roman" w:cs="Times New Roman"/>
          <w:color w:val="000000"/>
          <w:szCs w:val="26"/>
        </w:rPr>
        <w:t xml:space="preserve">  (</w:t>
      </w:r>
      <w:proofErr w:type="spellStart"/>
      <w:r w:rsidRPr="00604FBA">
        <w:rPr>
          <w:rFonts w:eastAsia="Times New Roman" w:cs="Times New Roman"/>
          <w:i/>
          <w:iCs/>
          <w:color w:val="000000"/>
          <w:szCs w:val="26"/>
          <w:bdr w:val="none" w:sz="0" w:space="0" w:color="auto" w:frame="1"/>
          <w:shd w:val="clear" w:color="auto" w:fill="FFFFFF"/>
        </w:rPr>
        <w:t>Turrieta</w:t>
      </w:r>
      <w:proofErr w:type="spellEnd"/>
      <w:r w:rsidRPr="00604FBA">
        <w:rPr>
          <w:rFonts w:eastAsia="Times New Roman" w:cs="Times New Roman"/>
          <w:color w:val="000000"/>
          <w:szCs w:val="26"/>
          <w:bdr w:val="none" w:sz="0" w:space="0" w:color="auto" w:frame="1"/>
          <w:shd w:val="clear" w:color="auto" w:fill="FFFFFF"/>
        </w:rPr>
        <w:t>,</w:t>
      </w:r>
      <w:r>
        <w:rPr>
          <w:rFonts w:eastAsia="Times New Roman" w:cs="Times New Roman"/>
          <w:color w:val="000000"/>
          <w:szCs w:val="26"/>
          <w:bdr w:val="none" w:sz="0" w:space="0" w:color="auto" w:frame="1"/>
          <w:shd w:val="clear" w:color="auto" w:fill="FFFFFF"/>
        </w:rPr>
        <w:t xml:space="preserve"> </w:t>
      </w:r>
      <w:r w:rsidRPr="000242DA">
        <w:rPr>
          <w:rFonts w:eastAsia="Times New Roman" w:cs="Times New Roman"/>
          <w:i/>
          <w:iCs/>
          <w:color w:val="000000"/>
          <w:szCs w:val="26"/>
          <w:bdr w:val="none" w:sz="0" w:space="0" w:color="auto" w:frame="1"/>
          <w:shd w:val="clear" w:color="auto" w:fill="FFFFFF"/>
        </w:rPr>
        <w:t>supra</w:t>
      </w:r>
      <w:r>
        <w:rPr>
          <w:rFonts w:eastAsia="Times New Roman" w:cs="Times New Roman"/>
          <w:color w:val="000000"/>
          <w:szCs w:val="26"/>
          <w:bdr w:val="none" w:sz="0" w:space="0" w:color="auto" w:frame="1"/>
          <w:shd w:val="clear" w:color="auto" w:fill="FFFFFF"/>
        </w:rPr>
        <w:t>, 69 Cal.App.5th</w:t>
      </w:r>
      <w:r w:rsidRPr="00604FBA">
        <w:rPr>
          <w:rFonts w:eastAsia="Times New Roman" w:cs="Times New Roman"/>
          <w:color w:val="000000"/>
          <w:szCs w:val="26"/>
          <w:bdr w:val="none" w:sz="0" w:space="0" w:color="auto" w:frame="1"/>
          <w:shd w:val="clear" w:color="auto" w:fill="FFFFFF"/>
        </w:rPr>
        <w:t xml:space="preserve"> at p.</w:t>
      </w:r>
      <w:r>
        <w:rPr>
          <w:rFonts w:eastAsia="Times New Roman" w:cs="Times New Roman"/>
          <w:color w:val="000000"/>
          <w:szCs w:val="26"/>
          <w:bdr w:val="none" w:sz="0" w:space="0" w:color="auto" w:frame="1"/>
          <w:shd w:val="clear" w:color="auto" w:fill="FFFFFF"/>
        </w:rPr>
        <w:t> </w:t>
      </w:r>
      <w:r w:rsidRPr="00604FBA">
        <w:rPr>
          <w:rFonts w:eastAsia="Times New Roman" w:cs="Times New Roman"/>
          <w:color w:val="000000"/>
          <w:szCs w:val="26"/>
          <w:bdr w:val="none" w:sz="0" w:space="0" w:color="auto" w:frame="1"/>
          <w:shd w:val="clear" w:color="auto" w:fill="FFFFFF"/>
        </w:rPr>
        <w:t>971</w:t>
      </w:r>
      <w:r>
        <w:rPr>
          <w:rFonts w:eastAsia="Times New Roman" w:cs="Times New Roman"/>
          <w:color w:val="000000"/>
          <w:szCs w:val="26"/>
          <w:bdr w:val="none" w:sz="0" w:space="0" w:color="auto" w:frame="1"/>
          <w:shd w:val="clear" w:color="auto" w:fill="FFFFFF"/>
        </w:rPr>
        <w:t>, rev.gr</w:t>
      </w:r>
      <w:r w:rsidRPr="00604FBA">
        <w:rPr>
          <w:rFonts w:eastAsia="Times New Roman" w:cs="Times New Roman"/>
          <w:color w:val="000000"/>
          <w:szCs w:val="26"/>
        </w:rPr>
        <w:t>.)  The court rejected the appellants’ conten</w:t>
      </w:r>
      <w:r w:rsidRPr="00604FBA">
        <w:rPr>
          <w:rFonts w:eastAsia="Times New Roman" w:cs="Times New Roman"/>
          <w:color w:val="000000"/>
          <w:szCs w:val="26"/>
        </w:rPr>
        <w:t>tion that they were aggrieved in their capacity as designated proxies for the state.  (</w:t>
      </w:r>
      <w:r w:rsidRPr="00604FBA">
        <w:rPr>
          <w:rFonts w:eastAsia="Times New Roman" w:cs="Times New Roman"/>
          <w:i/>
          <w:iCs/>
          <w:color w:val="000000"/>
          <w:szCs w:val="26"/>
          <w:bdr w:val="none" w:sz="0" w:space="0" w:color="auto" w:frame="1"/>
          <w:shd w:val="clear" w:color="auto" w:fill="FFFFFF"/>
        </w:rPr>
        <w:t>Ibid</w:t>
      </w:r>
      <w:r w:rsidRPr="00604FBA">
        <w:rPr>
          <w:rFonts w:eastAsia="Times New Roman" w:cs="Times New Roman"/>
          <w:i/>
          <w:iCs/>
          <w:color w:val="3D3D3D"/>
          <w:szCs w:val="26"/>
          <w:bdr w:val="none" w:sz="0" w:space="0" w:color="auto" w:frame="1"/>
          <w:shd w:val="clear" w:color="auto" w:fill="FFFFFF"/>
        </w:rPr>
        <w:t>.</w:t>
      </w:r>
      <w:r w:rsidRPr="00604FBA">
        <w:rPr>
          <w:rFonts w:eastAsia="Times New Roman" w:cs="Times New Roman"/>
          <w:color w:val="000000"/>
          <w:szCs w:val="26"/>
        </w:rPr>
        <w:t xml:space="preserve">)  The court reasoned that in a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xml:space="preserve"> action, the state is the real party in interest, and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xml:space="preserve"> representatives who file a claim on behalf of the state do “not conve</w:t>
      </w:r>
      <w:r w:rsidRPr="00604FBA">
        <w:rPr>
          <w:rFonts w:eastAsia="Times New Roman" w:cs="Times New Roman"/>
          <w:color w:val="000000"/>
          <w:szCs w:val="26"/>
        </w:rPr>
        <w:t>rt the state</w:t>
      </w:r>
      <w:r>
        <w:rPr>
          <w:rFonts w:eastAsia="Times New Roman" w:cs="Times New Roman"/>
          <w:color w:val="000000"/>
          <w:szCs w:val="26"/>
        </w:rPr>
        <w:t>’</w:t>
      </w:r>
      <w:r w:rsidRPr="00604FBA">
        <w:rPr>
          <w:rFonts w:eastAsia="Times New Roman" w:cs="Times New Roman"/>
          <w:color w:val="000000"/>
          <w:szCs w:val="26"/>
        </w:rPr>
        <w:t>s interests into their own or render them real parties in interest.”  (</w:t>
      </w:r>
      <w:proofErr w:type="spellStart"/>
      <w:r w:rsidRPr="00604FBA">
        <w:rPr>
          <w:rFonts w:eastAsia="Times New Roman" w:cs="Times New Roman"/>
          <w:i/>
          <w:iCs/>
          <w:color w:val="000000"/>
          <w:szCs w:val="26"/>
          <w:bdr w:val="none" w:sz="0" w:space="0" w:color="auto" w:frame="1"/>
          <w:shd w:val="clear" w:color="auto" w:fill="FFFFFF"/>
        </w:rPr>
        <w:t>Turrieta</w:t>
      </w:r>
      <w:proofErr w:type="spellEnd"/>
      <w:r w:rsidRPr="00604FBA">
        <w:rPr>
          <w:rFonts w:eastAsia="Times New Roman" w:cs="Times New Roman"/>
          <w:color w:val="000000"/>
          <w:szCs w:val="26"/>
          <w:bdr w:val="none" w:sz="0" w:space="0" w:color="auto" w:frame="1"/>
          <w:shd w:val="clear" w:color="auto" w:fill="FFFFFF"/>
        </w:rPr>
        <w:t>, at p.</w:t>
      </w:r>
      <w:r>
        <w:rPr>
          <w:rFonts w:eastAsia="Times New Roman" w:cs="Times New Roman"/>
          <w:color w:val="000000"/>
          <w:szCs w:val="26"/>
          <w:bdr w:val="none" w:sz="0" w:space="0" w:color="auto" w:frame="1"/>
          <w:shd w:val="clear" w:color="auto" w:fill="FFFFFF"/>
        </w:rPr>
        <w:t> </w:t>
      </w:r>
      <w:r w:rsidRPr="00604FBA">
        <w:rPr>
          <w:rFonts w:eastAsia="Times New Roman" w:cs="Times New Roman"/>
          <w:color w:val="000000"/>
          <w:szCs w:val="26"/>
          <w:bdr w:val="none" w:sz="0" w:space="0" w:color="auto" w:frame="1"/>
          <w:shd w:val="clear" w:color="auto" w:fill="FFFFFF"/>
        </w:rPr>
        <w:t>972</w:t>
      </w:r>
      <w:r w:rsidRPr="00604FBA">
        <w:rPr>
          <w:rFonts w:eastAsia="Times New Roman" w:cs="Times New Roman"/>
          <w:color w:val="000000"/>
          <w:szCs w:val="26"/>
        </w:rPr>
        <w:t xml:space="preserve">.) </w:t>
      </w:r>
      <w:r>
        <w:rPr>
          <w:rFonts w:eastAsia="Times New Roman" w:cs="Times New Roman"/>
          <w:color w:val="000000"/>
          <w:szCs w:val="26"/>
        </w:rPr>
        <w:t xml:space="preserve"> </w:t>
      </w:r>
      <w:r w:rsidRPr="00604FBA">
        <w:rPr>
          <w:rFonts w:eastAsia="Times New Roman" w:cs="Times New Roman"/>
          <w:color w:val="000000"/>
          <w:szCs w:val="26"/>
        </w:rPr>
        <w:t xml:space="preserve">Thus, because </w:t>
      </w:r>
      <w:r w:rsidRPr="00604FBA">
        <w:rPr>
          <w:rFonts w:eastAsia="Times New Roman" w:cs="Times New Roman"/>
          <w:color w:val="000000"/>
          <w:szCs w:val="26"/>
          <w:bdr w:val="none" w:sz="0" w:space="0" w:color="auto" w:frame="1"/>
          <w:shd w:val="clear" w:color="auto" w:fill="FFFFFF"/>
        </w:rPr>
        <w:t>“it is the state</w:t>
      </w:r>
      <w:r>
        <w:rPr>
          <w:rFonts w:eastAsia="Times New Roman" w:cs="Times New Roman"/>
          <w:color w:val="000000"/>
          <w:szCs w:val="26"/>
          <w:bdr w:val="none" w:sz="0" w:space="0" w:color="auto" w:frame="1"/>
          <w:shd w:val="clear" w:color="auto" w:fill="FFFFFF"/>
        </w:rPr>
        <w:t>’</w:t>
      </w:r>
      <w:r w:rsidRPr="00604FBA">
        <w:rPr>
          <w:rFonts w:eastAsia="Times New Roman" w:cs="Times New Roman"/>
          <w:color w:val="000000"/>
          <w:szCs w:val="26"/>
          <w:bdr w:val="none" w:sz="0" w:space="0" w:color="auto" w:frame="1"/>
          <w:shd w:val="clear" w:color="auto" w:fill="FFFFFF"/>
        </w:rPr>
        <w:t xml:space="preserve">s rights, and not appellants’, that are affected by a parallel </w:t>
      </w:r>
      <w:proofErr w:type="spellStart"/>
      <w:r w:rsidRPr="00604FBA">
        <w:rPr>
          <w:rFonts w:eastAsia="Times New Roman" w:cs="Times New Roman"/>
          <w:color w:val="000000"/>
          <w:szCs w:val="26"/>
          <w:bdr w:val="none" w:sz="0" w:space="0" w:color="auto" w:frame="1"/>
          <w:shd w:val="clear" w:color="auto" w:fill="FFFFFF"/>
        </w:rPr>
        <w:t>PAGA</w:t>
      </w:r>
      <w:proofErr w:type="spellEnd"/>
      <w:r w:rsidRPr="00604FBA">
        <w:rPr>
          <w:rFonts w:eastAsia="Times New Roman" w:cs="Times New Roman"/>
          <w:color w:val="000000"/>
          <w:szCs w:val="26"/>
          <w:bdr w:val="none" w:sz="0" w:space="0" w:color="auto" w:frame="1"/>
          <w:shd w:val="clear" w:color="auto" w:fill="FFFFFF"/>
        </w:rPr>
        <w:t xml:space="preserve"> settlement, appellants are not aggrieved </w:t>
      </w:r>
      <w:r w:rsidRPr="00604FBA">
        <w:rPr>
          <w:rFonts w:eastAsia="Times New Roman" w:cs="Times New Roman"/>
          <w:color w:val="000000"/>
          <w:szCs w:val="26"/>
          <w:bdr w:val="none" w:sz="0" w:space="0" w:color="auto" w:frame="1"/>
          <w:shd w:val="clear" w:color="auto" w:fill="FFFFFF"/>
        </w:rPr>
        <w:t xml:space="preserve">parties </w:t>
      </w:r>
      <w:proofErr w:type="gramStart"/>
      <w:r w:rsidRPr="00604FBA">
        <w:rPr>
          <w:rFonts w:eastAsia="Times New Roman" w:cs="Times New Roman"/>
          <w:color w:val="000000"/>
          <w:szCs w:val="26"/>
          <w:bdr w:val="none" w:sz="0" w:space="0" w:color="auto" w:frame="1"/>
          <w:shd w:val="clear" w:color="auto" w:fill="FFFFFF"/>
        </w:rPr>
        <w:t>with standing</w:t>
      </w:r>
      <w:proofErr w:type="gramEnd"/>
      <w:r w:rsidRPr="00604FBA">
        <w:rPr>
          <w:rFonts w:eastAsia="Times New Roman" w:cs="Times New Roman"/>
          <w:color w:val="000000"/>
          <w:szCs w:val="26"/>
          <w:bdr w:val="none" w:sz="0" w:space="0" w:color="auto" w:frame="1"/>
          <w:shd w:val="clear" w:color="auto" w:fill="FFFFFF"/>
        </w:rPr>
        <w:t xml:space="preserve"> to seek to vacate the judgment or appeal.”</w:t>
      </w:r>
      <w:r w:rsidRPr="00604FBA">
        <w:rPr>
          <w:rFonts w:eastAsia="Times New Roman" w:cs="Times New Roman"/>
          <w:color w:val="000000"/>
          <w:szCs w:val="26"/>
        </w:rPr>
        <w:t xml:space="preserve"> </w:t>
      </w:r>
      <w:r>
        <w:rPr>
          <w:rFonts w:eastAsia="Times New Roman" w:cs="Times New Roman"/>
          <w:color w:val="000000"/>
          <w:szCs w:val="26"/>
        </w:rPr>
        <w:t xml:space="preserve"> </w:t>
      </w:r>
      <w:r w:rsidRPr="00783393">
        <w:rPr>
          <w:rFonts w:eastAsia="Times New Roman" w:cs="Times New Roman"/>
          <w:szCs w:val="26"/>
        </w:rPr>
        <w:t>(</w:t>
      </w:r>
      <w:proofErr w:type="spellStart"/>
      <w:r w:rsidRPr="00783393">
        <w:rPr>
          <w:rFonts w:eastAsia="Times New Roman" w:cs="Times New Roman"/>
          <w:i/>
          <w:iCs/>
          <w:szCs w:val="26"/>
          <w:bdr w:val="none" w:sz="0" w:space="0" w:color="auto" w:frame="1"/>
          <w:shd w:val="clear" w:color="auto" w:fill="FFFFFF"/>
        </w:rPr>
        <w:t>Turrieta</w:t>
      </w:r>
      <w:proofErr w:type="spellEnd"/>
      <w:r w:rsidRPr="00783393">
        <w:rPr>
          <w:rFonts w:eastAsia="Times New Roman" w:cs="Times New Roman"/>
          <w:szCs w:val="26"/>
          <w:bdr w:val="none" w:sz="0" w:space="0" w:color="auto" w:frame="1"/>
          <w:shd w:val="clear" w:color="auto" w:fill="FFFFFF"/>
        </w:rPr>
        <w:t>, at p. 972.</w:t>
      </w:r>
      <w:r w:rsidRPr="00783393">
        <w:rPr>
          <w:rFonts w:eastAsia="Times New Roman" w:cs="Times New Roman"/>
          <w:szCs w:val="26"/>
        </w:rPr>
        <w:t xml:space="preserve">)  </w:t>
      </w:r>
    </w:p>
    <w:p w14:paraId="750A5075" w14:textId="77777777" w:rsidR="00A547BF" w:rsidRPr="00604FBA" w:rsidRDefault="00B45E56" w:rsidP="00604FBA">
      <w:pPr>
        <w:shd w:val="clear" w:color="auto" w:fill="FFFFFF"/>
        <w:spacing w:line="360" w:lineRule="auto"/>
        <w:ind w:firstLine="720"/>
        <w:rPr>
          <w:rFonts w:eastAsia="Times New Roman" w:cs="Times New Roman"/>
          <w:color w:val="000000"/>
          <w:szCs w:val="26"/>
        </w:rPr>
      </w:pPr>
      <w:r w:rsidRPr="00604FBA">
        <w:rPr>
          <w:rFonts w:eastAsia="Times New Roman" w:cs="Times New Roman"/>
          <w:color w:val="000000"/>
          <w:szCs w:val="26"/>
        </w:rPr>
        <w:t xml:space="preserve">Having determined that the </w:t>
      </w:r>
      <w:proofErr w:type="spellStart"/>
      <w:r w:rsidRPr="00604FBA">
        <w:rPr>
          <w:rFonts w:eastAsia="Times New Roman" w:cs="Times New Roman"/>
          <w:i/>
          <w:iCs/>
          <w:color w:val="000000"/>
          <w:szCs w:val="26"/>
        </w:rPr>
        <w:t>Turrieta</w:t>
      </w:r>
      <w:proofErr w:type="spellEnd"/>
      <w:r w:rsidRPr="00604FBA">
        <w:rPr>
          <w:rFonts w:eastAsia="Times New Roman" w:cs="Times New Roman"/>
          <w:i/>
          <w:iCs/>
          <w:color w:val="000000"/>
          <w:szCs w:val="26"/>
        </w:rPr>
        <w:t xml:space="preserve"> </w:t>
      </w:r>
      <w:r w:rsidRPr="00604FBA">
        <w:rPr>
          <w:rFonts w:eastAsia="Times New Roman" w:cs="Times New Roman"/>
          <w:color w:val="000000"/>
          <w:szCs w:val="26"/>
        </w:rPr>
        <w:t xml:space="preserve">appellants had no standing to appeal, the court then proceeded to decide the issue presented for merits </w:t>
      </w:r>
      <w:r w:rsidRPr="00604FBA">
        <w:rPr>
          <w:rFonts w:eastAsia="Times New Roman" w:cs="Times New Roman"/>
          <w:color w:val="000000"/>
          <w:szCs w:val="26"/>
        </w:rPr>
        <w:lastRenderedPageBreak/>
        <w:t>review, addressing whethe</w:t>
      </w:r>
      <w:r w:rsidRPr="00604FBA">
        <w:rPr>
          <w:rFonts w:eastAsia="Times New Roman" w:cs="Times New Roman"/>
          <w:color w:val="000000"/>
          <w:szCs w:val="26"/>
        </w:rPr>
        <w:t>r, under section 387, the trial court correctly denied the appellants’ motion to intervene in the trial.  On that issue, the appellate court effectively collapsed its ruling on appellate standing into its ruling on intervention in the trial court.  For the</w:t>
      </w:r>
      <w:r w:rsidRPr="00604FBA">
        <w:rPr>
          <w:rFonts w:eastAsia="Times New Roman" w:cs="Times New Roman"/>
          <w:color w:val="000000"/>
          <w:szCs w:val="26"/>
        </w:rPr>
        <w:t xml:space="preserve"> same reason the panel found no standing to appeal—the appellants had no “personal” rights at stake in a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xml:space="preserve"> action filed by another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xml:space="preserve"> claimant—it concluded the appellants did not have a right to intervene because they could not show they had a </w:t>
      </w:r>
      <w:r w:rsidRPr="00604FBA">
        <w:rPr>
          <w:rFonts w:eastAsia="Times New Roman" w:cs="Times New Roman"/>
          <w:color w:val="000000"/>
          <w:szCs w:val="26"/>
          <w:bdr w:val="none" w:sz="0" w:space="0" w:color="auto" w:frame="1"/>
          <w:shd w:val="clear" w:color="auto" w:fill="FFFFFF"/>
        </w:rPr>
        <w:t>“direct</w:t>
      </w:r>
      <w:r w:rsidRPr="00604FBA">
        <w:rPr>
          <w:rFonts w:eastAsia="Times New Roman" w:cs="Times New Roman"/>
          <w:color w:val="000000"/>
          <w:szCs w:val="26"/>
          <w:bdr w:val="none" w:sz="0" w:space="0" w:color="auto" w:frame="1"/>
          <w:shd w:val="clear" w:color="auto" w:fill="FFFFFF"/>
        </w:rPr>
        <w:t xml:space="preserve"> and immediate interest in the settlement.”</w:t>
      </w:r>
      <w:r w:rsidRPr="00604FBA">
        <w:rPr>
          <w:rFonts w:eastAsia="Times New Roman" w:cs="Times New Roman"/>
          <w:color w:val="000000"/>
          <w:szCs w:val="26"/>
        </w:rPr>
        <w:t xml:space="preserve">  (</w:t>
      </w:r>
      <w:proofErr w:type="spellStart"/>
      <w:r>
        <w:rPr>
          <w:rFonts w:eastAsia="Times New Roman" w:cs="Times New Roman"/>
          <w:i/>
          <w:iCs/>
          <w:color w:val="000000"/>
          <w:szCs w:val="26"/>
          <w:bdr w:val="none" w:sz="0" w:space="0" w:color="auto" w:frame="1"/>
          <w:shd w:val="clear" w:color="auto" w:fill="FFFFFF"/>
        </w:rPr>
        <w:t>Turrieta</w:t>
      </w:r>
      <w:proofErr w:type="spellEnd"/>
      <w:r w:rsidRPr="00611D6C">
        <w:rPr>
          <w:rFonts w:eastAsia="Times New Roman" w:cs="Times New Roman"/>
          <w:color w:val="000000"/>
          <w:szCs w:val="26"/>
          <w:bdr w:val="none" w:sz="0" w:space="0" w:color="auto" w:frame="1"/>
          <w:shd w:val="clear" w:color="auto" w:fill="FFFFFF"/>
        </w:rPr>
        <w:t>,</w:t>
      </w:r>
      <w:r>
        <w:rPr>
          <w:rFonts w:eastAsia="Times New Roman" w:cs="Times New Roman"/>
          <w:i/>
          <w:iCs/>
          <w:color w:val="000000"/>
          <w:szCs w:val="26"/>
          <w:bdr w:val="none" w:sz="0" w:space="0" w:color="auto" w:frame="1"/>
          <w:shd w:val="clear" w:color="auto" w:fill="FFFFFF"/>
        </w:rPr>
        <w:t xml:space="preserve"> supra</w:t>
      </w:r>
      <w:r w:rsidRPr="00611D6C">
        <w:rPr>
          <w:rFonts w:eastAsia="Times New Roman" w:cs="Times New Roman"/>
          <w:color w:val="000000"/>
          <w:szCs w:val="26"/>
          <w:bdr w:val="none" w:sz="0" w:space="0" w:color="auto" w:frame="1"/>
          <w:shd w:val="clear" w:color="auto" w:fill="FFFFFF"/>
        </w:rPr>
        <w:t>,</w:t>
      </w:r>
      <w:r>
        <w:rPr>
          <w:rFonts w:eastAsia="Times New Roman" w:cs="Times New Roman"/>
          <w:i/>
          <w:iCs/>
          <w:color w:val="000000"/>
          <w:szCs w:val="26"/>
          <w:bdr w:val="none" w:sz="0" w:space="0" w:color="auto" w:frame="1"/>
          <w:shd w:val="clear" w:color="auto" w:fill="FFFFFF"/>
        </w:rPr>
        <w:t xml:space="preserve"> </w:t>
      </w:r>
      <w:r>
        <w:rPr>
          <w:rFonts w:eastAsia="Times New Roman" w:cs="Times New Roman"/>
          <w:color w:val="000000"/>
          <w:szCs w:val="26"/>
          <w:bdr w:val="none" w:sz="0" w:space="0" w:color="auto" w:frame="1"/>
          <w:shd w:val="clear" w:color="auto" w:fill="FFFFFF"/>
        </w:rPr>
        <w:t>69 Cal.App.5th</w:t>
      </w:r>
      <w:r w:rsidRPr="00604FBA">
        <w:rPr>
          <w:rFonts w:eastAsia="Times New Roman" w:cs="Times New Roman"/>
          <w:color w:val="000000"/>
          <w:szCs w:val="26"/>
          <w:bdr w:val="none" w:sz="0" w:space="0" w:color="auto" w:frame="1"/>
          <w:shd w:val="clear" w:color="auto" w:fill="FFFFFF"/>
        </w:rPr>
        <w:t xml:space="preserve"> at p.</w:t>
      </w:r>
      <w:r>
        <w:rPr>
          <w:rFonts w:eastAsia="Times New Roman" w:cs="Times New Roman"/>
          <w:color w:val="000000"/>
          <w:szCs w:val="26"/>
          <w:bdr w:val="none" w:sz="0" w:space="0" w:color="auto" w:frame="1"/>
          <w:shd w:val="clear" w:color="auto" w:fill="FFFFFF"/>
        </w:rPr>
        <w:t> </w:t>
      </w:r>
      <w:r w:rsidRPr="00604FBA">
        <w:rPr>
          <w:rFonts w:eastAsia="Times New Roman" w:cs="Times New Roman"/>
          <w:color w:val="000000"/>
          <w:szCs w:val="26"/>
          <w:bdr w:val="none" w:sz="0" w:space="0" w:color="auto" w:frame="1"/>
          <w:shd w:val="clear" w:color="auto" w:fill="FFFFFF"/>
        </w:rPr>
        <w:t>977</w:t>
      </w:r>
      <w:r>
        <w:rPr>
          <w:rFonts w:eastAsia="Times New Roman" w:cs="Times New Roman"/>
          <w:color w:val="000000"/>
          <w:szCs w:val="26"/>
          <w:bdr w:val="none" w:sz="0" w:space="0" w:color="auto" w:frame="1"/>
          <w:shd w:val="clear" w:color="auto" w:fill="FFFFFF"/>
        </w:rPr>
        <w:t>, rev.gr</w:t>
      </w:r>
      <w:r w:rsidRPr="00604FBA">
        <w:rPr>
          <w:rFonts w:eastAsia="Times New Roman" w:cs="Times New Roman"/>
          <w:color w:val="000000"/>
          <w:szCs w:val="26"/>
        </w:rPr>
        <w:t>.)</w:t>
      </w:r>
    </w:p>
    <w:p w14:paraId="27BD9D0E" w14:textId="77777777" w:rsidR="005C4602" w:rsidRPr="00604FBA" w:rsidRDefault="00B45E56" w:rsidP="00604FBA">
      <w:pPr>
        <w:shd w:val="clear" w:color="auto" w:fill="FFFFFF"/>
        <w:spacing w:line="360" w:lineRule="auto"/>
        <w:ind w:firstLine="720"/>
        <w:rPr>
          <w:rFonts w:eastAsia="Times New Roman" w:cs="Times New Roman"/>
          <w:color w:val="000000"/>
          <w:szCs w:val="26"/>
        </w:rPr>
      </w:pPr>
      <w:r>
        <w:rPr>
          <w:rFonts w:eastAsia="Times New Roman" w:cs="Times New Roman"/>
          <w:color w:val="000000"/>
          <w:szCs w:val="26"/>
        </w:rPr>
        <w:t>T</w:t>
      </w:r>
      <w:r w:rsidRPr="00604FBA">
        <w:rPr>
          <w:rFonts w:eastAsia="Times New Roman" w:cs="Times New Roman"/>
          <w:color w:val="000000"/>
          <w:szCs w:val="26"/>
        </w:rPr>
        <w:t xml:space="preserve">his analysis conflates a series of distinct legal issues under the rubric of standing.  </w:t>
      </w:r>
      <w:r>
        <w:rPr>
          <w:rFonts w:eastAsia="Times New Roman" w:cs="Times New Roman"/>
          <w:color w:val="000000"/>
          <w:szCs w:val="26"/>
        </w:rPr>
        <w:t>W</w:t>
      </w:r>
      <w:r w:rsidRPr="00604FBA">
        <w:rPr>
          <w:rFonts w:eastAsia="Times New Roman" w:cs="Times New Roman"/>
          <w:color w:val="000000"/>
          <w:szCs w:val="26"/>
        </w:rPr>
        <w:t xml:space="preserve">hether an appellant has standing as “a party aggrieved” under section 902 (which is where we parted ways with </w:t>
      </w:r>
      <w:proofErr w:type="spellStart"/>
      <w:r w:rsidRPr="00604FBA">
        <w:rPr>
          <w:rFonts w:eastAsia="Times New Roman" w:cs="Times New Roman"/>
          <w:i/>
          <w:iCs/>
          <w:color w:val="000000"/>
          <w:szCs w:val="26"/>
        </w:rPr>
        <w:t>Turrieta</w:t>
      </w:r>
      <w:proofErr w:type="spellEnd"/>
      <w:r w:rsidRPr="00604FBA">
        <w:rPr>
          <w:rFonts w:eastAsia="Times New Roman" w:cs="Times New Roman"/>
          <w:color w:val="000000"/>
          <w:szCs w:val="26"/>
        </w:rPr>
        <w:t xml:space="preserve"> in </w:t>
      </w:r>
      <w:r w:rsidRPr="00604FBA">
        <w:rPr>
          <w:rFonts w:eastAsia="Times New Roman" w:cs="Times New Roman"/>
          <w:i/>
          <w:iCs/>
          <w:color w:val="000000"/>
          <w:szCs w:val="26"/>
        </w:rPr>
        <w:t>Moniz</w:t>
      </w:r>
      <w:r w:rsidRPr="00604FBA">
        <w:rPr>
          <w:rFonts w:eastAsia="Times New Roman" w:cs="Times New Roman"/>
          <w:color w:val="000000"/>
          <w:szCs w:val="26"/>
        </w:rPr>
        <w:t>) is not the same as whether a non-party</w:t>
      </w:r>
      <w:r w:rsidRPr="00604FBA">
        <w:rPr>
          <w:rFonts w:eastAsia="Times New Roman" w:cs="Times New Roman"/>
          <w:color w:val="000000"/>
          <w:szCs w:val="26"/>
        </w:rPr>
        <w:t xml:space="preserve"> must or may be allowed to intervene under section 387.  These issues are separate.  Though they are related and in outcome may often be resolved the same way, they should not be equated.</w:t>
      </w:r>
      <w:r>
        <w:rPr>
          <w:rFonts w:eastAsia="Times New Roman" w:cs="Times New Roman"/>
          <w:color w:val="000000"/>
          <w:szCs w:val="26"/>
        </w:rPr>
        <w:t xml:space="preserve">  W</w:t>
      </w:r>
      <w:r w:rsidRPr="00604FBA">
        <w:rPr>
          <w:rFonts w:eastAsia="Times New Roman" w:cs="Times New Roman"/>
          <w:color w:val="000000"/>
          <w:szCs w:val="26"/>
        </w:rPr>
        <w:t xml:space="preserve">hen dealing with section 387 intervention issues, </w:t>
      </w:r>
      <w:r>
        <w:rPr>
          <w:rFonts w:eastAsia="Times New Roman" w:cs="Times New Roman"/>
          <w:color w:val="000000"/>
          <w:szCs w:val="26"/>
        </w:rPr>
        <w:t xml:space="preserve">we believe </w:t>
      </w:r>
      <w:r w:rsidRPr="00604FBA">
        <w:rPr>
          <w:rFonts w:eastAsia="Times New Roman" w:cs="Times New Roman"/>
          <w:color w:val="000000"/>
          <w:szCs w:val="26"/>
        </w:rPr>
        <w:t>the u</w:t>
      </w:r>
      <w:r w:rsidRPr="00604FBA">
        <w:rPr>
          <w:rFonts w:eastAsia="Times New Roman" w:cs="Times New Roman"/>
          <w:color w:val="000000"/>
          <w:szCs w:val="26"/>
        </w:rPr>
        <w:t xml:space="preserve">se of standing terminology obscures the correct analysis in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xml:space="preserve"> cases.  </w:t>
      </w:r>
      <w:r>
        <w:rPr>
          <w:rFonts w:eastAsia="Times New Roman" w:cs="Times New Roman"/>
          <w:color w:val="000000"/>
          <w:szCs w:val="26"/>
        </w:rPr>
        <w:t>T</w:t>
      </w:r>
      <w:r w:rsidRPr="00604FBA">
        <w:rPr>
          <w:rFonts w:eastAsia="Times New Roman" w:cs="Times New Roman"/>
          <w:color w:val="000000"/>
          <w:szCs w:val="26"/>
        </w:rPr>
        <w:t>he</w:t>
      </w:r>
      <w:r>
        <w:rPr>
          <w:rFonts w:eastAsia="Times New Roman" w:cs="Times New Roman"/>
          <w:color w:val="000000"/>
          <w:szCs w:val="26"/>
        </w:rPr>
        <w:t xml:space="preserve"> resulting</w:t>
      </w:r>
      <w:r w:rsidRPr="00604FBA">
        <w:rPr>
          <w:rFonts w:eastAsia="Times New Roman" w:cs="Times New Roman"/>
          <w:color w:val="000000"/>
          <w:szCs w:val="26"/>
        </w:rPr>
        <w:t xml:space="preserve"> lack of clarity</w:t>
      </w:r>
      <w:r>
        <w:rPr>
          <w:rFonts w:eastAsia="Times New Roman" w:cs="Times New Roman"/>
          <w:color w:val="000000"/>
          <w:szCs w:val="26"/>
        </w:rPr>
        <w:t xml:space="preserve">, in our view, </w:t>
      </w:r>
      <w:r w:rsidRPr="00604FBA">
        <w:rPr>
          <w:rFonts w:eastAsia="Times New Roman" w:cs="Times New Roman"/>
          <w:color w:val="000000"/>
          <w:szCs w:val="26"/>
        </w:rPr>
        <w:t xml:space="preserve">is evident in </w:t>
      </w:r>
      <w:proofErr w:type="spellStart"/>
      <w:r w:rsidRPr="00604FBA">
        <w:rPr>
          <w:rFonts w:eastAsia="Times New Roman" w:cs="Times New Roman"/>
          <w:i/>
          <w:iCs/>
          <w:color w:val="000000"/>
          <w:szCs w:val="26"/>
        </w:rPr>
        <w:t>Tu</w:t>
      </w:r>
      <w:r>
        <w:rPr>
          <w:rFonts w:eastAsia="Times New Roman" w:cs="Times New Roman"/>
          <w:i/>
          <w:iCs/>
          <w:color w:val="000000"/>
          <w:szCs w:val="26"/>
        </w:rPr>
        <w:t>r</w:t>
      </w:r>
      <w:r w:rsidRPr="00604FBA">
        <w:rPr>
          <w:rFonts w:eastAsia="Times New Roman" w:cs="Times New Roman"/>
          <w:i/>
          <w:iCs/>
          <w:color w:val="000000"/>
          <w:szCs w:val="26"/>
        </w:rPr>
        <w:t>rieta</w:t>
      </w:r>
      <w:proofErr w:type="spellEnd"/>
      <w:r w:rsidRPr="00604FBA">
        <w:rPr>
          <w:rFonts w:eastAsia="Times New Roman" w:cs="Times New Roman"/>
          <w:color w:val="000000"/>
          <w:szCs w:val="26"/>
        </w:rPr>
        <w:t xml:space="preserve">, where the court found it dispositive that Olson and </w:t>
      </w:r>
      <w:proofErr w:type="spellStart"/>
      <w:r>
        <w:rPr>
          <w:rFonts w:eastAsia="Times New Roman" w:cs="Times New Roman"/>
          <w:color w:val="000000"/>
          <w:szCs w:val="26"/>
        </w:rPr>
        <w:t>Seifu</w:t>
      </w:r>
      <w:proofErr w:type="spellEnd"/>
      <w:r w:rsidRPr="00604FBA">
        <w:rPr>
          <w:rFonts w:eastAsia="Times New Roman" w:cs="Times New Roman"/>
          <w:color w:val="000000"/>
          <w:szCs w:val="26"/>
        </w:rPr>
        <w:t xml:space="preserve"> had no “personal” interest in plaintiff </w:t>
      </w:r>
      <w:proofErr w:type="spellStart"/>
      <w:r w:rsidRPr="00604FBA">
        <w:rPr>
          <w:rFonts w:eastAsia="Times New Roman" w:cs="Times New Roman"/>
          <w:color w:val="000000"/>
          <w:szCs w:val="26"/>
        </w:rPr>
        <w:t>Turrieta’s</w:t>
      </w:r>
      <w:proofErr w:type="spellEnd"/>
      <w:r w:rsidRPr="00604FBA">
        <w:rPr>
          <w:rFonts w:eastAsia="Times New Roman" w:cs="Times New Roman"/>
          <w:color w:val="000000"/>
          <w:szCs w:val="26"/>
        </w:rPr>
        <w:t xml:space="preserve"> case for purposes of both section 902 and section 387 analysis.  </w:t>
      </w:r>
      <w:r>
        <w:rPr>
          <w:rFonts w:eastAsia="Times New Roman" w:cs="Times New Roman"/>
          <w:color w:val="000000"/>
          <w:szCs w:val="26"/>
        </w:rPr>
        <w:t>But n</w:t>
      </w:r>
      <w:r w:rsidRPr="00604FBA">
        <w:rPr>
          <w:rFonts w:eastAsia="Times New Roman" w:cs="Times New Roman"/>
          <w:color w:val="000000"/>
          <w:szCs w:val="26"/>
        </w:rPr>
        <w:t>othing in the pertinent statutory language requires that an “interest” (section 387) or an “aggrievement” (section 902) be “personal.”</w:t>
      </w:r>
      <w:r w:rsidRPr="00604FBA">
        <w:rPr>
          <w:rFonts w:eastAsia="Times New Roman" w:cs="Times New Roman"/>
          <w:color w:val="000000"/>
          <w:szCs w:val="26"/>
        </w:rPr>
        <w:t xml:space="preserve">  Nor does the relevant case law under either statute</w:t>
      </w:r>
      <w:r>
        <w:rPr>
          <w:rFonts w:eastAsia="Times New Roman" w:cs="Times New Roman"/>
          <w:color w:val="000000"/>
          <w:szCs w:val="26"/>
        </w:rPr>
        <w:t xml:space="preserve"> impose any such requirement</w:t>
      </w:r>
      <w:r w:rsidRPr="00604FBA">
        <w:rPr>
          <w:rFonts w:eastAsia="Times New Roman" w:cs="Times New Roman"/>
          <w:color w:val="000000"/>
          <w:szCs w:val="26"/>
        </w:rPr>
        <w:t>.</w:t>
      </w:r>
      <w:r>
        <w:rPr>
          <w:rStyle w:val="FootnoteReference"/>
          <w:rFonts w:eastAsia="Times New Roman" w:cs="Times New Roman"/>
          <w:color w:val="000000"/>
          <w:szCs w:val="26"/>
        </w:rPr>
        <w:footnoteReference w:id="12"/>
      </w:r>
      <w:r w:rsidRPr="00604FBA">
        <w:rPr>
          <w:rFonts w:eastAsia="Times New Roman" w:cs="Times New Roman"/>
          <w:color w:val="000000"/>
          <w:szCs w:val="26"/>
        </w:rPr>
        <w:t xml:space="preserve">  </w:t>
      </w:r>
    </w:p>
    <w:p w14:paraId="303EE200" w14:textId="77777777" w:rsidR="00437C28" w:rsidRPr="00604FBA" w:rsidRDefault="00B45E56" w:rsidP="00604FBA">
      <w:pPr>
        <w:shd w:val="clear" w:color="auto" w:fill="FFFFFF"/>
        <w:spacing w:line="360" w:lineRule="auto"/>
        <w:ind w:firstLine="720"/>
        <w:rPr>
          <w:rFonts w:eastAsia="Times New Roman" w:cs="Times New Roman"/>
          <w:color w:val="000000"/>
          <w:szCs w:val="26"/>
        </w:rPr>
      </w:pPr>
      <w:r w:rsidRPr="00604FBA">
        <w:rPr>
          <w:rFonts w:eastAsia="Times New Roman" w:cs="Times New Roman"/>
          <w:color w:val="000000"/>
          <w:szCs w:val="26"/>
        </w:rPr>
        <w:lastRenderedPageBreak/>
        <w:t xml:space="preserve">As we observed in </w:t>
      </w:r>
      <w:r w:rsidRPr="00604FBA">
        <w:rPr>
          <w:rFonts w:eastAsia="Times New Roman" w:cs="Times New Roman"/>
          <w:i/>
          <w:iCs/>
          <w:color w:val="000000"/>
          <w:szCs w:val="26"/>
        </w:rPr>
        <w:t>Moniz</w:t>
      </w:r>
      <w:r w:rsidRPr="00604FBA">
        <w:rPr>
          <w:rFonts w:eastAsia="Times New Roman" w:cs="Times New Roman"/>
          <w:color w:val="000000"/>
          <w:szCs w:val="26"/>
        </w:rPr>
        <w:t xml:space="preserve">, the </w:t>
      </w:r>
      <w:proofErr w:type="spellStart"/>
      <w:r w:rsidRPr="00604FBA">
        <w:rPr>
          <w:rFonts w:eastAsia="Times New Roman" w:cs="Times New Roman"/>
          <w:i/>
          <w:iCs/>
          <w:color w:val="000000"/>
          <w:szCs w:val="26"/>
        </w:rPr>
        <w:t>Tur</w:t>
      </w:r>
      <w:r>
        <w:rPr>
          <w:rFonts w:eastAsia="Times New Roman" w:cs="Times New Roman"/>
          <w:i/>
          <w:iCs/>
          <w:color w:val="000000"/>
          <w:szCs w:val="26"/>
        </w:rPr>
        <w:t>r</w:t>
      </w:r>
      <w:r w:rsidRPr="00604FBA">
        <w:rPr>
          <w:rFonts w:eastAsia="Times New Roman" w:cs="Times New Roman"/>
          <w:i/>
          <w:iCs/>
          <w:color w:val="000000"/>
          <w:szCs w:val="26"/>
        </w:rPr>
        <w:t>ieta</w:t>
      </w:r>
      <w:proofErr w:type="spellEnd"/>
      <w:r w:rsidRPr="00604FBA">
        <w:rPr>
          <w:rFonts w:eastAsia="Times New Roman" w:cs="Times New Roman"/>
          <w:i/>
          <w:iCs/>
          <w:color w:val="000000"/>
          <w:szCs w:val="26"/>
        </w:rPr>
        <w:t xml:space="preserve"> </w:t>
      </w:r>
      <w:r w:rsidRPr="00604FBA">
        <w:rPr>
          <w:rFonts w:eastAsia="Times New Roman" w:cs="Times New Roman"/>
          <w:color w:val="000000"/>
          <w:szCs w:val="26"/>
        </w:rPr>
        <w:t>court appear</w:t>
      </w:r>
      <w:r>
        <w:rPr>
          <w:rFonts w:eastAsia="Times New Roman" w:cs="Times New Roman"/>
          <w:color w:val="000000"/>
          <w:szCs w:val="26"/>
        </w:rPr>
        <w:t>ed</w:t>
      </w:r>
      <w:r w:rsidRPr="00604FBA">
        <w:rPr>
          <w:rFonts w:eastAsia="Times New Roman" w:cs="Times New Roman"/>
          <w:color w:val="000000"/>
          <w:szCs w:val="26"/>
        </w:rPr>
        <w:t xml:space="preserve"> to “discount” the role of deputized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xml:space="preserve"> claimants as “designated proxies of the state.”  (</w:t>
      </w:r>
      <w:r w:rsidRPr="00604FBA">
        <w:rPr>
          <w:rFonts w:eastAsia="Times New Roman" w:cs="Times New Roman"/>
          <w:i/>
          <w:iCs/>
          <w:color w:val="000000"/>
          <w:szCs w:val="26"/>
        </w:rPr>
        <w:t>Moniz</w:t>
      </w:r>
      <w:r w:rsidRPr="00604FBA">
        <w:rPr>
          <w:rFonts w:eastAsia="Times New Roman" w:cs="Times New Roman"/>
          <w:color w:val="000000"/>
          <w:szCs w:val="26"/>
        </w:rPr>
        <w:t xml:space="preserve">, </w:t>
      </w:r>
      <w:r w:rsidRPr="00604FBA">
        <w:rPr>
          <w:rFonts w:eastAsia="Times New Roman" w:cs="Times New Roman"/>
          <w:i/>
          <w:iCs/>
          <w:color w:val="000000"/>
          <w:szCs w:val="26"/>
        </w:rPr>
        <w:t>supra</w:t>
      </w:r>
      <w:r w:rsidRPr="00604FBA">
        <w:rPr>
          <w:rFonts w:eastAsia="Times New Roman" w:cs="Times New Roman"/>
          <w:color w:val="000000"/>
          <w:szCs w:val="26"/>
        </w:rPr>
        <w:t xml:space="preserve">, </w:t>
      </w:r>
      <w:r w:rsidRPr="0099259B">
        <w:rPr>
          <w:rFonts w:eastAsia="Times New Roman" w:cs="Times New Roman"/>
          <w:color w:val="000000"/>
          <w:szCs w:val="26"/>
        </w:rPr>
        <w:t>72</w:t>
      </w:r>
      <w:r>
        <w:rPr>
          <w:rFonts w:eastAsia="Times New Roman" w:cs="Times New Roman"/>
          <w:color w:val="000000"/>
          <w:szCs w:val="26"/>
        </w:rPr>
        <w:t> </w:t>
      </w:r>
      <w:r w:rsidRPr="0099259B">
        <w:rPr>
          <w:rFonts w:eastAsia="Times New Roman" w:cs="Times New Roman"/>
          <w:color w:val="000000"/>
          <w:szCs w:val="26"/>
        </w:rPr>
        <w:t>Cal.App.</w:t>
      </w:r>
      <w:r w:rsidRPr="0099259B">
        <w:rPr>
          <w:rFonts w:eastAsia="Times New Roman" w:cs="Times New Roman"/>
          <w:color w:val="000000"/>
          <w:szCs w:val="26"/>
        </w:rPr>
        <w:t xml:space="preserve">5th </w:t>
      </w:r>
      <w:r w:rsidRPr="00604FBA">
        <w:rPr>
          <w:rFonts w:eastAsia="Times New Roman" w:cs="Times New Roman"/>
          <w:color w:val="000000"/>
          <w:szCs w:val="26"/>
        </w:rPr>
        <w:t>at p.</w:t>
      </w:r>
      <w:r>
        <w:rPr>
          <w:rFonts w:eastAsia="Times New Roman" w:cs="Times New Roman"/>
          <w:color w:val="000000"/>
          <w:szCs w:val="26"/>
        </w:rPr>
        <w:t> </w:t>
      </w:r>
      <w:r w:rsidRPr="0099259B">
        <w:rPr>
          <w:rFonts w:eastAsia="Times New Roman" w:cs="Times New Roman"/>
          <w:color w:val="000000"/>
          <w:szCs w:val="26"/>
        </w:rPr>
        <w:t>73</w:t>
      </w:r>
      <w:r w:rsidRPr="00604FBA">
        <w:rPr>
          <w:rFonts w:eastAsia="Times New Roman" w:cs="Times New Roman"/>
          <w:color w:val="000000"/>
          <w:szCs w:val="26"/>
        </w:rPr>
        <w:t xml:space="preserve">.)  </w:t>
      </w:r>
      <w:r w:rsidRPr="00604FBA">
        <w:rPr>
          <w:szCs w:val="26"/>
        </w:rPr>
        <w:t xml:space="preserve">Where </w:t>
      </w:r>
      <w:r>
        <w:rPr>
          <w:szCs w:val="26"/>
        </w:rPr>
        <w:t xml:space="preserve">our esteemed colleagues in </w:t>
      </w:r>
      <w:proofErr w:type="spellStart"/>
      <w:r w:rsidRPr="00604FBA">
        <w:rPr>
          <w:i/>
          <w:iCs/>
          <w:szCs w:val="26"/>
        </w:rPr>
        <w:t>Turrieta</w:t>
      </w:r>
      <w:proofErr w:type="spellEnd"/>
      <w:r w:rsidRPr="00604FBA">
        <w:rPr>
          <w:i/>
          <w:iCs/>
          <w:szCs w:val="26"/>
        </w:rPr>
        <w:t xml:space="preserve"> </w:t>
      </w:r>
      <w:r w:rsidRPr="00604FBA">
        <w:rPr>
          <w:szCs w:val="26"/>
        </w:rPr>
        <w:t xml:space="preserve">went off track, we think, was </w:t>
      </w:r>
      <w:r>
        <w:rPr>
          <w:szCs w:val="26"/>
        </w:rPr>
        <w:t>their</w:t>
      </w:r>
      <w:r w:rsidRPr="00604FBA">
        <w:rPr>
          <w:szCs w:val="26"/>
        </w:rPr>
        <w:t xml:space="preserve"> implicit premise that a putative intervenor must have a pecuniary or property interest in potential recovery to warrant intervention.  That sort of test will ofte</w:t>
      </w:r>
      <w:r w:rsidRPr="00604FBA">
        <w:rPr>
          <w:szCs w:val="26"/>
        </w:rPr>
        <w:t>n be met in purely private litigation where the spoils are measured in money damages or where property ownership is at stake, but where litigants have a legitimate claim to representation of the public interest, “</w:t>
      </w:r>
      <w:r w:rsidRPr="00604FBA">
        <w:rPr>
          <w:rFonts w:eastAsia="Times New Roman" w:cs="Times New Roman"/>
          <w:color w:val="000000"/>
          <w:szCs w:val="26"/>
          <w:bdr w:val="none" w:sz="0" w:space="0" w:color="auto" w:frame="1"/>
          <w:shd w:val="clear" w:color="auto" w:fill="FFFFFF"/>
        </w:rPr>
        <w:t>the intervener need neither claim a pecunia</w:t>
      </w:r>
      <w:r w:rsidRPr="00604FBA">
        <w:rPr>
          <w:rFonts w:eastAsia="Times New Roman" w:cs="Times New Roman"/>
          <w:color w:val="000000"/>
          <w:szCs w:val="26"/>
          <w:bdr w:val="none" w:sz="0" w:space="0" w:color="auto" w:frame="1"/>
          <w:shd w:val="clear" w:color="auto" w:fill="FFFFFF"/>
        </w:rPr>
        <w:t xml:space="preserve">ry interest nor a specific legal or equitable interest in the subject matter of the litigation.”  </w:t>
      </w:r>
      <w:r>
        <w:rPr>
          <w:rFonts w:eastAsia="Times New Roman" w:cs="Times New Roman"/>
          <w:color w:val="000000"/>
          <w:szCs w:val="26"/>
          <w:bdr w:val="none" w:sz="0" w:space="0" w:color="auto" w:frame="1"/>
          <w:shd w:val="clear" w:color="auto" w:fill="FFFFFF"/>
        </w:rPr>
        <w:t>(</w:t>
      </w:r>
      <w:r w:rsidRPr="00D4277C">
        <w:rPr>
          <w:rFonts w:eastAsia="Times New Roman" w:cs="Times New Roman"/>
          <w:szCs w:val="26"/>
          <w:bdr w:val="none" w:sz="0" w:space="0" w:color="auto" w:frame="1"/>
          <w:shd w:val="clear" w:color="auto" w:fill="FFFFFF"/>
        </w:rPr>
        <w:t xml:space="preserve">See </w:t>
      </w:r>
      <w:r w:rsidRPr="00D4277C">
        <w:rPr>
          <w:rFonts w:eastAsia="Times New Roman" w:cs="Times New Roman"/>
          <w:i/>
          <w:iCs/>
          <w:szCs w:val="26"/>
          <w:bdr w:val="none" w:sz="0" w:space="0" w:color="auto" w:frame="1"/>
        </w:rPr>
        <w:t>Simpson Redwood Co. v. State of California</w:t>
      </w:r>
      <w:r w:rsidRPr="00D4277C">
        <w:rPr>
          <w:rFonts w:eastAsia="Times New Roman" w:cs="Times New Roman"/>
          <w:szCs w:val="26"/>
        </w:rPr>
        <w:t xml:space="preserve"> (1987) 196</w:t>
      </w:r>
      <w:r>
        <w:rPr>
          <w:rFonts w:eastAsia="Times New Roman" w:cs="Times New Roman"/>
          <w:szCs w:val="26"/>
        </w:rPr>
        <w:t> </w:t>
      </w:r>
      <w:r w:rsidRPr="00D4277C">
        <w:rPr>
          <w:rFonts w:eastAsia="Times New Roman" w:cs="Times New Roman"/>
          <w:szCs w:val="26"/>
        </w:rPr>
        <w:t>Cal.App.3d 1192, 1200 [S</w:t>
      </w:r>
      <w:r>
        <w:rPr>
          <w:rFonts w:eastAsia="Times New Roman" w:cs="Times New Roman"/>
          <w:szCs w:val="26"/>
        </w:rPr>
        <w:t>ave-The-Redwoods League</w:t>
      </w:r>
      <w:r w:rsidRPr="00D4277C">
        <w:rPr>
          <w:rFonts w:eastAsia="Times New Roman" w:cs="Times New Roman"/>
          <w:szCs w:val="26"/>
        </w:rPr>
        <w:t xml:space="preserve"> </w:t>
      </w:r>
      <w:proofErr w:type="gramStart"/>
      <w:r w:rsidRPr="00D4277C">
        <w:rPr>
          <w:rFonts w:eastAsia="Times New Roman" w:cs="Times New Roman"/>
          <w:szCs w:val="26"/>
        </w:rPr>
        <w:t>members’</w:t>
      </w:r>
      <w:proofErr w:type="gramEnd"/>
      <w:r w:rsidRPr="00D4277C">
        <w:rPr>
          <w:rFonts w:eastAsia="Times New Roman" w:cs="Times New Roman"/>
          <w:szCs w:val="26"/>
        </w:rPr>
        <w:t xml:space="preserve"> claimed rig</w:t>
      </w:r>
      <w:r w:rsidRPr="00604FBA">
        <w:rPr>
          <w:rFonts w:eastAsia="Times New Roman" w:cs="Times New Roman"/>
          <w:color w:val="000000"/>
          <w:szCs w:val="26"/>
        </w:rPr>
        <w:t xml:space="preserve">ht to use public lands]; </w:t>
      </w:r>
      <w:r>
        <w:rPr>
          <w:rFonts w:eastAsia="Times New Roman" w:cs="Times New Roman"/>
          <w:i/>
          <w:iCs/>
          <w:szCs w:val="26"/>
          <w:bdr w:val="none" w:sz="0" w:space="0" w:color="auto" w:frame="1"/>
        </w:rPr>
        <w:t>County of San Bernadino</w:t>
      </w:r>
      <w:r w:rsidRPr="00265AE0">
        <w:rPr>
          <w:rFonts w:eastAsia="Times New Roman" w:cs="Times New Roman"/>
          <w:i/>
          <w:iCs/>
          <w:szCs w:val="26"/>
          <w:bdr w:val="none" w:sz="0" w:space="0" w:color="auto" w:frame="1"/>
        </w:rPr>
        <w:t xml:space="preserve"> v. Harsh </w:t>
      </w:r>
      <w:r w:rsidRPr="00265AE0">
        <w:rPr>
          <w:rFonts w:eastAsia="Times New Roman" w:cs="Times New Roman"/>
          <w:i/>
          <w:iCs/>
          <w:szCs w:val="26"/>
          <w:bdr w:val="none" w:sz="0" w:space="0" w:color="auto" w:frame="1"/>
        </w:rPr>
        <w:lastRenderedPageBreak/>
        <w:t>Cal</w:t>
      </w:r>
      <w:r>
        <w:rPr>
          <w:rFonts w:eastAsia="Times New Roman" w:cs="Times New Roman"/>
          <w:i/>
          <w:iCs/>
          <w:szCs w:val="26"/>
          <w:bdr w:val="none" w:sz="0" w:space="0" w:color="auto" w:frame="1"/>
        </w:rPr>
        <w:t>ifornia</w:t>
      </w:r>
      <w:r w:rsidRPr="00265AE0">
        <w:rPr>
          <w:rFonts w:eastAsia="Times New Roman" w:cs="Times New Roman"/>
          <w:i/>
          <w:iCs/>
          <w:szCs w:val="26"/>
          <w:bdr w:val="none" w:sz="0" w:space="0" w:color="auto" w:frame="1"/>
        </w:rPr>
        <w:t xml:space="preserve"> Corp</w:t>
      </w:r>
      <w:r w:rsidRPr="00604FBA">
        <w:rPr>
          <w:rFonts w:eastAsia="Times New Roman" w:cs="Times New Roman"/>
          <w:i/>
          <w:iCs/>
          <w:color w:val="3D3D3D"/>
          <w:szCs w:val="26"/>
          <w:bdr w:val="none" w:sz="0" w:space="0" w:color="auto" w:frame="1"/>
        </w:rPr>
        <w:t>.</w:t>
      </w:r>
      <w:r w:rsidRPr="00604FBA">
        <w:rPr>
          <w:rFonts w:eastAsia="Times New Roman" w:cs="Times New Roman"/>
          <w:color w:val="000000"/>
          <w:szCs w:val="26"/>
        </w:rPr>
        <w:t xml:space="preserve"> (1959) 52</w:t>
      </w:r>
      <w:r>
        <w:rPr>
          <w:rFonts w:eastAsia="Times New Roman" w:cs="Times New Roman"/>
          <w:color w:val="000000"/>
          <w:szCs w:val="26"/>
        </w:rPr>
        <w:t> </w:t>
      </w:r>
      <w:r w:rsidRPr="00604FBA">
        <w:rPr>
          <w:rFonts w:eastAsia="Times New Roman" w:cs="Times New Roman"/>
          <w:color w:val="000000"/>
          <w:szCs w:val="26"/>
        </w:rPr>
        <w:t xml:space="preserve">Cal.2d 341, 346 [right of the United States to protect its fiscal policy].) </w:t>
      </w:r>
      <w:r>
        <w:rPr>
          <w:rFonts w:eastAsia="Times New Roman" w:cs="Times New Roman"/>
          <w:color w:val="000000"/>
          <w:szCs w:val="26"/>
        </w:rPr>
        <w:t xml:space="preserve"> A major objective of the 1977 amendment of section 387, as we read the Legislative history, wa</w:t>
      </w:r>
      <w:r>
        <w:rPr>
          <w:rFonts w:eastAsia="Times New Roman" w:cs="Times New Roman"/>
          <w:color w:val="000000"/>
          <w:szCs w:val="26"/>
        </w:rPr>
        <w:t xml:space="preserve">s to facilitate intervention by third parties claiming stakes imbued with the public interest as a basis for participation in the litigation of others.  </w:t>
      </w:r>
      <w:r w:rsidRPr="00604FBA">
        <w:rPr>
          <w:rFonts w:eastAsia="Times New Roman" w:cs="Times New Roman"/>
          <w:color w:val="000000"/>
          <w:szCs w:val="26"/>
        </w:rPr>
        <w:t xml:space="preserve"> </w:t>
      </w:r>
    </w:p>
    <w:p w14:paraId="7770F183" w14:textId="77777777" w:rsidR="00AE407F" w:rsidRPr="00232C01" w:rsidRDefault="00B45E56" w:rsidP="009B7845">
      <w:pPr>
        <w:shd w:val="clear" w:color="auto" w:fill="FFFFFF"/>
        <w:spacing w:line="360" w:lineRule="auto"/>
        <w:ind w:firstLine="720"/>
        <w:rPr>
          <w:rFonts w:eastAsia="Times New Roman" w:cs="Times New Roman"/>
          <w:szCs w:val="26"/>
        </w:rPr>
      </w:pPr>
      <w:r>
        <w:rPr>
          <w:rFonts w:eastAsia="Times New Roman" w:cs="Times New Roman"/>
          <w:color w:val="000000"/>
          <w:szCs w:val="26"/>
        </w:rPr>
        <w:t>To accommodate a broad understanding of the range of cognizable interests that may justify interventi</w:t>
      </w:r>
      <w:r>
        <w:rPr>
          <w:rFonts w:eastAsia="Times New Roman" w:cs="Times New Roman"/>
          <w:color w:val="000000"/>
          <w:szCs w:val="26"/>
        </w:rPr>
        <w:t>on under section 387, t</w:t>
      </w:r>
      <w:r w:rsidRPr="00604FBA">
        <w:rPr>
          <w:rFonts w:eastAsia="Times New Roman" w:cs="Times New Roman"/>
          <w:color w:val="000000"/>
          <w:szCs w:val="26"/>
        </w:rPr>
        <w:t>he case law under Federal Rule</w:t>
      </w:r>
      <w:r>
        <w:rPr>
          <w:rFonts w:eastAsia="Times New Roman" w:cs="Times New Roman"/>
          <w:color w:val="000000"/>
          <w:szCs w:val="26"/>
        </w:rPr>
        <w:t>s</w:t>
      </w:r>
      <w:r w:rsidRPr="00604FBA">
        <w:rPr>
          <w:rFonts w:eastAsia="Times New Roman" w:cs="Times New Roman"/>
          <w:color w:val="000000"/>
          <w:szCs w:val="26"/>
        </w:rPr>
        <w:t xml:space="preserve"> of Civil Procedure supplies some helpful terminology.  Federal courts speak of a “significantly protectable interest.”</w:t>
      </w:r>
      <w:r>
        <w:rPr>
          <w:rStyle w:val="FootnoteReference"/>
          <w:rFonts w:eastAsia="Times New Roman" w:cs="Times New Roman"/>
          <w:color w:val="000000"/>
          <w:szCs w:val="26"/>
        </w:rPr>
        <w:footnoteReference w:id="13"/>
      </w:r>
      <w:r w:rsidRPr="00604FBA">
        <w:rPr>
          <w:rFonts w:eastAsia="Times New Roman" w:cs="Times New Roman"/>
          <w:color w:val="000000"/>
          <w:szCs w:val="26"/>
        </w:rPr>
        <w:t xml:space="preserve">  That </w:t>
      </w:r>
      <w:r>
        <w:rPr>
          <w:rFonts w:eastAsia="Times New Roman" w:cs="Times New Roman"/>
          <w:color w:val="000000"/>
          <w:szCs w:val="26"/>
        </w:rPr>
        <w:t>phrase</w:t>
      </w:r>
      <w:r w:rsidRPr="00604FBA">
        <w:rPr>
          <w:rFonts w:eastAsia="Times New Roman" w:cs="Times New Roman"/>
          <w:color w:val="000000"/>
          <w:szCs w:val="26"/>
        </w:rPr>
        <w:t xml:space="preserve"> is capacious enough to encompass the narrow, pocket-book objectives of most private litigants, the broader objectives of public interest advocates,</w:t>
      </w:r>
      <w:r>
        <w:rPr>
          <w:rStyle w:val="FootnoteReference"/>
          <w:rFonts w:eastAsia="Times New Roman" w:cs="Times New Roman"/>
          <w:color w:val="000000"/>
          <w:szCs w:val="26"/>
        </w:rPr>
        <w:footnoteReference w:id="14"/>
      </w:r>
      <w:r w:rsidRPr="00604FBA">
        <w:rPr>
          <w:rFonts w:eastAsia="Times New Roman" w:cs="Times New Roman"/>
          <w:color w:val="000000"/>
          <w:szCs w:val="26"/>
        </w:rPr>
        <w:t xml:space="preserve"> and the </w:t>
      </w:r>
      <w:proofErr w:type="spellStart"/>
      <w:r w:rsidRPr="00604FBA">
        <w:rPr>
          <w:rFonts w:eastAsia="Times New Roman" w:cs="Times New Roman"/>
          <w:color w:val="000000"/>
          <w:szCs w:val="26"/>
        </w:rPr>
        <w:t>parens</w:t>
      </w:r>
      <w:proofErr w:type="spellEnd"/>
      <w:r w:rsidRPr="00604FBA">
        <w:rPr>
          <w:rFonts w:eastAsia="Times New Roman" w:cs="Times New Roman"/>
          <w:color w:val="000000"/>
          <w:szCs w:val="26"/>
        </w:rPr>
        <w:t xml:space="preserve"> </w:t>
      </w:r>
      <w:proofErr w:type="spellStart"/>
      <w:r w:rsidRPr="00604FBA">
        <w:rPr>
          <w:rFonts w:eastAsia="Times New Roman" w:cs="Times New Roman"/>
          <w:color w:val="000000"/>
          <w:szCs w:val="26"/>
        </w:rPr>
        <w:t>patrie</w:t>
      </w:r>
      <w:proofErr w:type="spellEnd"/>
      <w:r w:rsidRPr="00604FBA">
        <w:rPr>
          <w:rFonts w:eastAsia="Times New Roman" w:cs="Times New Roman"/>
          <w:color w:val="000000"/>
          <w:szCs w:val="26"/>
        </w:rPr>
        <w:t xml:space="preserve"> objectives of those who seek to fulfill duties conferred upon </w:t>
      </w:r>
      <w:r w:rsidRPr="00604FBA">
        <w:rPr>
          <w:rFonts w:eastAsia="Times New Roman" w:cs="Times New Roman"/>
          <w:color w:val="000000"/>
          <w:szCs w:val="26"/>
        </w:rPr>
        <w:lastRenderedPageBreak/>
        <w:t>them by law.</w:t>
      </w:r>
      <w:r>
        <w:rPr>
          <w:rStyle w:val="FootnoteReference"/>
          <w:rFonts w:eastAsia="Times New Roman" w:cs="Times New Roman"/>
          <w:color w:val="000000"/>
          <w:szCs w:val="26"/>
        </w:rPr>
        <w:footnoteReference w:id="15"/>
      </w:r>
      <w:r w:rsidRPr="00604FBA">
        <w:rPr>
          <w:rFonts w:eastAsia="Times New Roman" w:cs="Times New Roman"/>
          <w:color w:val="000000"/>
          <w:szCs w:val="26"/>
        </w:rPr>
        <w:t xml:space="preserve">  Calif</w:t>
      </w:r>
      <w:r w:rsidRPr="00604FBA">
        <w:rPr>
          <w:rFonts w:eastAsia="Times New Roman" w:cs="Times New Roman"/>
          <w:color w:val="000000"/>
          <w:szCs w:val="26"/>
        </w:rPr>
        <w:t xml:space="preserve">ornia courts recognize that a </w:t>
      </w:r>
      <w:r>
        <w:rPr>
          <w:rFonts w:eastAsia="Times New Roman" w:cs="Times New Roman"/>
          <w:color w:val="000000"/>
          <w:szCs w:val="26"/>
        </w:rPr>
        <w:t>wide</w:t>
      </w:r>
      <w:r w:rsidRPr="00604FBA">
        <w:rPr>
          <w:rFonts w:eastAsia="Times New Roman" w:cs="Times New Roman"/>
          <w:color w:val="000000"/>
          <w:szCs w:val="26"/>
        </w:rPr>
        <w:t xml:space="preserve"> range of interests qualify under section 387,</w:t>
      </w:r>
      <w:r>
        <w:rPr>
          <w:rStyle w:val="FootnoteReference"/>
          <w:rFonts w:eastAsia="Times New Roman" w:cs="Times New Roman"/>
          <w:color w:val="000000"/>
          <w:szCs w:val="26"/>
        </w:rPr>
        <w:footnoteReference w:id="16"/>
      </w:r>
      <w:r w:rsidRPr="00604FBA">
        <w:rPr>
          <w:rFonts w:eastAsia="Times New Roman" w:cs="Times New Roman"/>
          <w:color w:val="000000"/>
          <w:szCs w:val="26"/>
        </w:rPr>
        <w:t xml:space="preserve"> but to date have not adopted a consistently used phraseology.</w:t>
      </w:r>
      <w:r>
        <w:rPr>
          <w:rFonts w:eastAsia="Times New Roman" w:cs="Times New Roman"/>
          <w:color w:val="000000"/>
          <w:szCs w:val="26"/>
        </w:rPr>
        <w:t xml:space="preserve">  </w:t>
      </w:r>
      <w:r w:rsidRPr="00604FBA">
        <w:rPr>
          <w:rFonts w:eastAsia="Times New Roman" w:cs="Times New Roman"/>
          <w:color w:val="000000"/>
          <w:szCs w:val="26"/>
        </w:rPr>
        <w:t>We join other courts that have adopted the phrasing used in F</w:t>
      </w:r>
      <w:r>
        <w:rPr>
          <w:rFonts w:eastAsia="Times New Roman" w:cs="Times New Roman"/>
          <w:color w:val="000000"/>
          <w:szCs w:val="26"/>
        </w:rPr>
        <w:t xml:space="preserve">ederal </w:t>
      </w:r>
      <w:r w:rsidRPr="00604FBA">
        <w:rPr>
          <w:rFonts w:eastAsia="Times New Roman" w:cs="Times New Roman"/>
          <w:color w:val="000000"/>
          <w:szCs w:val="26"/>
        </w:rPr>
        <w:t>R</w:t>
      </w:r>
      <w:r>
        <w:rPr>
          <w:rFonts w:eastAsia="Times New Roman" w:cs="Times New Roman"/>
          <w:color w:val="000000"/>
          <w:szCs w:val="26"/>
        </w:rPr>
        <w:t xml:space="preserve">ules of </w:t>
      </w:r>
      <w:r w:rsidRPr="00604FBA">
        <w:rPr>
          <w:rFonts w:eastAsia="Times New Roman" w:cs="Times New Roman"/>
          <w:color w:val="000000"/>
          <w:szCs w:val="26"/>
        </w:rPr>
        <w:t>C</w:t>
      </w:r>
      <w:r>
        <w:rPr>
          <w:rFonts w:eastAsia="Times New Roman" w:cs="Times New Roman"/>
          <w:color w:val="000000"/>
          <w:szCs w:val="26"/>
        </w:rPr>
        <w:t xml:space="preserve">ivil </w:t>
      </w:r>
      <w:r w:rsidRPr="00604FBA">
        <w:rPr>
          <w:rFonts w:eastAsia="Times New Roman" w:cs="Times New Roman"/>
          <w:color w:val="000000"/>
          <w:szCs w:val="26"/>
        </w:rPr>
        <w:t>P</w:t>
      </w:r>
      <w:r>
        <w:rPr>
          <w:rFonts w:eastAsia="Times New Roman" w:cs="Times New Roman"/>
          <w:color w:val="000000"/>
          <w:szCs w:val="26"/>
        </w:rPr>
        <w:t>rocedure, rule</w:t>
      </w:r>
      <w:r w:rsidRPr="00604FBA">
        <w:rPr>
          <w:rFonts w:eastAsia="Times New Roman" w:cs="Times New Roman"/>
          <w:color w:val="000000"/>
          <w:szCs w:val="26"/>
        </w:rPr>
        <w:t xml:space="preserve"> 24 cases </w:t>
      </w:r>
      <w:r w:rsidRPr="006F3D8C">
        <w:rPr>
          <w:rFonts w:eastAsia="Times New Roman" w:cs="Times New Roman"/>
          <w:szCs w:val="26"/>
        </w:rPr>
        <w:t>(</w:t>
      </w:r>
      <w:r w:rsidRPr="006F3D8C">
        <w:rPr>
          <w:rFonts w:eastAsia="Times New Roman" w:cs="Times New Roman"/>
          <w:i/>
          <w:iCs/>
          <w:szCs w:val="26"/>
          <w:bdr w:val="none" w:sz="0" w:space="0" w:color="auto" w:frame="1"/>
        </w:rPr>
        <w:t>C</w:t>
      </w:r>
      <w:r w:rsidRPr="006F3D8C">
        <w:rPr>
          <w:rFonts w:eastAsia="Times New Roman" w:cs="Times New Roman"/>
          <w:i/>
          <w:iCs/>
          <w:szCs w:val="26"/>
          <w:bdr w:val="none" w:sz="0" w:space="0" w:color="auto" w:frame="1"/>
        </w:rPr>
        <w:t>arlsbad Police Officers Assn. v. City of Carlsbad</w:t>
      </w:r>
      <w:r w:rsidRPr="006F3D8C">
        <w:rPr>
          <w:rFonts w:eastAsia="Times New Roman" w:cs="Times New Roman"/>
          <w:szCs w:val="26"/>
        </w:rPr>
        <w:t xml:space="preserve"> (2020) 49 Cal.App.5th 135, 148; </w:t>
      </w:r>
      <w:r w:rsidRPr="006F3D8C">
        <w:rPr>
          <w:rFonts w:eastAsia="Times New Roman" w:cs="Times New Roman"/>
          <w:i/>
          <w:iCs/>
          <w:szCs w:val="26"/>
          <w:bdr w:val="none" w:sz="0" w:space="0" w:color="auto" w:frame="1"/>
        </w:rPr>
        <w:t>Edwards</w:t>
      </w:r>
      <w:r w:rsidRPr="006F3D8C">
        <w:rPr>
          <w:rFonts w:eastAsia="Times New Roman" w:cs="Times New Roman"/>
          <w:szCs w:val="26"/>
        </w:rPr>
        <w:t xml:space="preserve">, </w:t>
      </w:r>
      <w:r w:rsidRPr="006F3D8C">
        <w:rPr>
          <w:rFonts w:eastAsia="Times New Roman" w:cs="Times New Roman"/>
          <w:i/>
          <w:iCs/>
          <w:szCs w:val="26"/>
        </w:rPr>
        <w:t>supra</w:t>
      </w:r>
      <w:r w:rsidRPr="006F3D8C">
        <w:rPr>
          <w:rFonts w:eastAsia="Times New Roman" w:cs="Times New Roman"/>
          <w:szCs w:val="26"/>
        </w:rPr>
        <w:t xml:space="preserve">, </w:t>
      </w:r>
      <w:r w:rsidRPr="00E16159">
        <w:rPr>
          <w:rFonts w:eastAsia="Times New Roman" w:cs="Times New Roman"/>
          <w:color w:val="000000"/>
          <w:szCs w:val="26"/>
        </w:rPr>
        <w:t>29</w:t>
      </w:r>
      <w:r>
        <w:rPr>
          <w:rFonts w:eastAsia="Times New Roman" w:cs="Times New Roman"/>
          <w:color w:val="000000"/>
          <w:szCs w:val="26"/>
        </w:rPr>
        <w:t> </w:t>
      </w:r>
      <w:r w:rsidRPr="00E16159">
        <w:rPr>
          <w:rFonts w:eastAsia="Times New Roman" w:cs="Times New Roman"/>
          <w:color w:val="000000"/>
          <w:szCs w:val="26"/>
        </w:rPr>
        <w:t xml:space="preserve">Cal.App.5th </w:t>
      </w:r>
      <w:r>
        <w:rPr>
          <w:rFonts w:eastAsia="Times New Roman" w:cs="Times New Roman"/>
          <w:color w:val="000000"/>
          <w:szCs w:val="26"/>
        </w:rPr>
        <w:t>at p. </w:t>
      </w:r>
      <w:r w:rsidRPr="00E16159">
        <w:rPr>
          <w:rFonts w:eastAsia="Times New Roman" w:cs="Times New Roman"/>
          <w:color w:val="000000"/>
          <w:szCs w:val="26"/>
        </w:rPr>
        <w:t>732</w:t>
      </w:r>
      <w:r w:rsidRPr="00604FBA">
        <w:rPr>
          <w:rFonts w:eastAsia="Times New Roman" w:cs="Times New Roman"/>
          <w:color w:val="000000"/>
          <w:szCs w:val="26"/>
        </w:rPr>
        <w:t xml:space="preserve">) and hold that non-party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xml:space="preserve"> claimants who seek to intervene in overlapping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xml:space="preserve"> cases </w:t>
      </w:r>
      <w:r>
        <w:rPr>
          <w:rFonts w:eastAsia="Times New Roman" w:cs="Times New Roman"/>
          <w:color w:val="000000"/>
          <w:szCs w:val="26"/>
        </w:rPr>
        <w:t xml:space="preserve">must </w:t>
      </w:r>
      <w:r w:rsidRPr="00604FBA">
        <w:rPr>
          <w:rFonts w:eastAsia="Times New Roman" w:cs="Times New Roman"/>
          <w:color w:val="000000"/>
          <w:szCs w:val="26"/>
        </w:rPr>
        <w:t>have a “significantly protectable intere</w:t>
      </w:r>
      <w:r w:rsidRPr="00604FBA">
        <w:rPr>
          <w:rFonts w:eastAsia="Times New Roman" w:cs="Times New Roman"/>
          <w:color w:val="000000"/>
          <w:szCs w:val="26"/>
        </w:rPr>
        <w:t xml:space="preserve">st” that meets the threshold requirements of section 387.  A personal interest is not required.  </w:t>
      </w:r>
    </w:p>
    <w:p w14:paraId="42EE34C9" w14:textId="77777777" w:rsidR="00391664" w:rsidRPr="00232C01" w:rsidRDefault="00B45E56" w:rsidP="00341FE3">
      <w:pPr>
        <w:pStyle w:val="Heading2"/>
        <w:spacing w:line="360" w:lineRule="auto"/>
        <w:ind w:left="720" w:hanging="360"/>
        <w:rPr>
          <w:rFonts w:ascii="Century Schoolbook" w:eastAsia="Times New Roman" w:hAnsi="Century Schoolbook" w:cs="Times New Roman"/>
          <w:b/>
          <w:bCs/>
          <w:i/>
          <w:color w:val="auto"/>
        </w:rPr>
      </w:pPr>
      <w:r w:rsidRPr="00232C01">
        <w:rPr>
          <w:rFonts w:ascii="Century Schoolbook" w:hAnsi="Century Schoolbook"/>
          <w:b/>
          <w:bCs/>
          <w:iCs/>
          <w:color w:val="auto"/>
        </w:rPr>
        <w:t>D</w:t>
      </w:r>
      <w:r w:rsidRPr="00232C01">
        <w:rPr>
          <w:rFonts w:ascii="Century Schoolbook" w:hAnsi="Century Schoolbook"/>
          <w:b/>
          <w:bCs/>
          <w:i/>
          <w:color w:val="auto"/>
        </w:rPr>
        <w:t>. Intervention Analysis</w:t>
      </w:r>
    </w:p>
    <w:p w14:paraId="476BE926" w14:textId="77777777" w:rsidR="00391664" w:rsidRPr="00604FBA" w:rsidRDefault="00B45E56" w:rsidP="009B7845">
      <w:pPr>
        <w:shd w:val="clear" w:color="auto" w:fill="FFFFFF"/>
        <w:spacing w:line="360" w:lineRule="auto"/>
        <w:ind w:firstLine="720"/>
        <w:rPr>
          <w:rFonts w:eastAsia="Times New Roman" w:cs="Times New Roman"/>
          <w:color w:val="000000"/>
          <w:szCs w:val="26"/>
        </w:rPr>
      </w:pPr>
      <w:r>
        <w:rPr>
          <w:rFonts w:eastAsia="Times New Roman" w:cs="Times New Roman"/>
          <w:szCs w:val="26"/>
        </w:rPr>
        <w:t>Turning to our intervention analysis under section 387, w</w:t>
      </w:r>
      <w:r w:rsidRPr="00232C01">
        <w:rPr>
          <w:rFonts w:eastAsia="Times New Roman" w:cs="Times New Roman"/>
          <w:szCs w:val="26"/>
        </w:rPr>
        <w:t xml:space="preserve">e summarize our </w:t>
      </w:r>
      <w:r>
        <w:rPr>
          <w:rFonts w:eastAsia="Times New Roman" w:cs="Times New Roman"/>
          <w:szCs w:val="26"/>
        </w:rPr>
        <w:t>conclusions</w:t>
      </w:r>
      <w:r>
        <w:rPr>
          <w:rFonts w:eastAsia="Times New Roman" w:cs="Times New Roman"/>
          <w:color w:val="000000"/>
          <w:szCs w:val="26"/>
        </w:rPr>
        <w:t>, in two steps,</w:t>
      </w:r>
      <w:r w:rsidRPr="00604FBA">
        <w:rPr>
          <w:rFonts w:eastAsia="Times New Roman" w:cs="Times New Roman"/>
          <w:color w:val="000000"/>
          <w:szCs w:val="26"/>
        </w:rPr>
        <w:t xml:space="preserve"> as follows.   </w:t>
      </w:r>
    </w:p>
    <w:p w14:paraId="11DC2063" w14:textId="77777777" w:rsidR="00391664" w:rsidRPr="00604FBA" w:rsidRDefault="00B45E56" w:rsidP="002A2CC2">
      <w:pPr>
        <w:shd w:val="clear" w:color="auto" w:fill="FFFFFF"/>
        <w:tabs>
          <w:tab w:val="clear" w:pos="720"/>
        </w:tabs>
        <w:spacing w:line="360" w:lineRule="auto"/>
        <w:rPr>
          <w:rFonts w:eastAsia="Times New Roman" w:cs="Times New Roman"/>
          <w:color w:val="000000"/>
          <w:szCs w:val="26"/>
        </w:rPr>
      </w:pPr>
      <w:r>
        <w:rPr>
          <w:rFonts w:eastAsia="Times New Roman" w:cs="Times New Roman"/>
          <w:i/>
          <w:iCs/>
          <w:color w:val="000000"/>
          <w:szCs w:val="26"/>
        </w:rPr>
        <w:tab/>
      </w:r>
      <w:r w:rsidRPr="00604FBA">
        <w:rPr>
          <w:rFonts w:eastAsia="Times New Roman" w:cs="Times New Roman"/>
          <w:i/>
          <w:iCs/>
          <w:color w:val="000000"/>
          <w:szCs w:val="26"/>
        </w:rPr>
        <w:t>First</w:t>
      </w:r>
      <w:r w:rsidRPr="00604FBA">
        <w:rPr>
          <w:rFonts w:eastAsia="Times New Roman" w:cs="Times New Roman"/>
          <w:color w:val="000000"/>
          <w:szCs w:val="26"/>
        </w:rPr>
        <w:t xml:space="preserve">, applying de novo review, we agree with the trial court’s decision to deny mandatory intervention, though not for the reason the trial court gave.  (See </w:t>
      </w:r>
      <w:r w:rsidRPr="00F877CC">
        <w:rPr>
          <w:rFonts w:eastAsia="Times New Roman" w:cs="Times New Roman"/>
          <w:i/>
          <w:iCs/>
          <w:color w:val="3D3D3D"/>
          <w:szCs w:val="26"/>
          <w:bdr w:val="none" w:sz="0" w:space="0" w:color="auto" w:frame="1"/>
        </w:rPr>
        <w:t>Ross v. Superior Court</w:t>
      </w:r>
      <w:r w:rsidRPr="00F877CC">
        <w:rPr>
          <w:rFonts w:eastAsia="Times New Roman" w:cs="Times New Roman"/>
          <w:color w:val="000000"/>
          <w:szCs w:val="26"/>
        </w:rPr>
        <w:t xml:space="preserve"> (2022) 77</w:t>
      </w:r>
      <w:r>
        <w:rPr>
          <w:rFonts w:eastAsia="Times New Roman" w:cs="Times New Roman"/>
          <w:color w:val="000000"/>
          <w:szCs w:val="26"/>
        </w:rPr>
        <w:t> </w:t>
      </w:r>
      <w:r w:rsidRPr="00F877CC">
        <w:rPr>
          <w:rFonts w:eastAsia="Times New Roman" w:cs="Times New Roman"/>
          <w:color w:val="000000"/>
          <w:szCs w:val="26"/>
        </w:rPr>
        <w:t>Cal.App.5th 667, 681</w:t>
      </w:r>
      <w:r>
        <w:rPr>
          <w:rFonts w:eastAsia="Times New Roman" w:cs="Times New Roman"/>
          <w:color w:val="000000"/>
          <w:szCs w:val="26"/>
        </w:rPr>
        <w:t xml:space="preserve"> </w:t>
      </w:r>
      <w:proofErr w:type="gramStart"/>
      <w:r>
        <w:rPr>
          <w:rFonts w:eastAsia="Times New Roman" w:cs="Times New Roman"/>
          <w:color w:val="000000"/>
          <w:szCs w:val="26"/>
        </w:rPr>
        <w:t>[</w:t>
      </w:r>
      <w:r w:rsidRPr="00CE6C13">
        <w:rPr>
          <w:rFonts w:eastAsia="Times New Roman" w:cs="Times New Roman"/>
          <w:color w:val="000000"/>
          <w:szCs w:val="26"/>
        </w:rPr>
        <w:t>“</w:t>
      </w:r>
      <w:r>
        <w:rPr>
          <w:rFonts w:eastAsia="Times New Roman" w:cs="Times New Roman"/>
          <w:color w:val="000000"/>
          <w:szCs w:val="26"/>
        </w:rPr>
        <w:t> ‘</w:t>
      </w:r>
      <w:proofErr w:type="gramEnd"/>
      <w:r w:rsidRPr="00341FE3">
        <w:rPr>
          <w:rFonts w:eastAsia="Times New Roman" w:cs="Times New Roman"/>
          <w:color w:val="000000"/>
          <w:szCs w:val="26"/>
        </w:rPr>
        <w:t xml:space="preserve">It is well </w:t>
      </w:r>
      <w:r w:rsidRPr="00341FE3">
        <w:rPr>
          <w:rFonts w:eastAsia="Times New Roman" w:cs="Times New Roman"/>
          <w:color w:val="000000"/>
          <w:szCs w:val="26"/>
        </w:rPr>
        <w:lastRenderedPageBreak/>
        <w:t>settled that an appellate court r</w:t>
      </w:r>
      <w:r w:rsidRPr="00341FE3">
        <w:rPr>
          <w:rFonts w:eastAsia="Times New Roman" w:cs="Times New Roman"/>
          <w:color w:val="000000"/>
          <w:szCs w:val="26"/>
        </w:rPr>
        <w:t>eviews the ruling of the trial court, not its rationale’</w:t>
      </w:r>
      <w:r>
        <w:rPr>
          <w:rFonts w:eastAsia="Times New Roman" w:cs="Times New Roman"/>
          <w:color w:val="000000"/>
          <w:szCs w:val="26"/>
        </w:rPr>
        <w:t xml:space="preserve"> ”].) </w:t>
      </w:r>
      <w:r w:rsidRPr="00CE6C13">
        <w:rPr>
          <w:rFonts w:eastAsia="Times New Roman" w:cs="Times New Roman"/>
          <w:color w:val="000000"/>
          <w:szCs w:val="26"/>
        </w:rPr>
        <w:t xml:space="preserve"> </w:t>
      </w:r>
      <w:r>
        <w:rPr>
          <w:rFonts w:eastAsia="Times New Roman" w:cs="Times New Roman"/>
          <w:color w:val="000000"/>
          <w:szCs w:val="26"/>
        </w:rPr>
        <w:t>Here, t</w:t>
      </w:r>
      <w:r w:rsidRPr="00604FBA">
        <w:rPr>
          <w:rFonts w:eastAsia="Times New Roman" w:cs="Times New Roman"/>
          <w:color w:val="000000"/>
          <w:szCs w:val="26"/>
        </w:rPr>
        <w:t xml:space="preserve">he court was right to reject most of the arguments </w:t>
      </w:r>
      <w:proofErr w:type="spellStart"/>
      <w:r w:rsidRPr="00604FBA">
        <w:rPr>
          <w:rFonts w:eastAsia="Times New Roman" w:cs="Times New Roman"/>
          <w:color w:val="000000"/>
          <w:szCs w:val="26"/>
        </w:rPr>
        <w:t>Piplack</w:t>
      </w:r>
      <w:proofErr w:type="spellEnd"/>
      <w:r w:rsidRPr="00604FBA">
        <w:rPr>
          <w:rFonts w:eastAsia="Times New Roman" w:cs="Times New Roman"/>
          <w:color w:val="000000"/>
          <w:szCs w:val="26"/>
        </w:rPr>
        <w:t xml:space="preserve"> and Taylor made </w:t>
      </w:r>
      <w:proofErr w:type="gramStart"/>
      <w:r w:rsidRPr="00604FBA">
        <w:rPr>
          <w:rFonts w:eastAsia="Times New Roman" w:cs="Times New Roman"/>
          <w:color w:val="000000"/>
          <w:szCs w:val="26"/>
        </w:rPr>
        <w:t>in an effort to</w:t>
      </w:r>
      <w:proofErr w:type="gramEnd"/>
      <w:r w:rsidRPr="00604FBA">
        <w:rPr>
          <w:rFonts w:eastAsia="Times New Roman" w:cs="Times New Roman"/>
          <w:color w:val="000000"/>
          <w:szCs w:val="26"/>
        </w:rPr>
        <w:t xml:space="preserve"> justify their </w:t>
      </w:r>
      <w:r>
        <w:rPr>
          <w:rFonts w:eastAsia="Times New Roman" w:cs="Times New Roman"/>
          <w:color w:val="000000"/>
          <w:szCs w:val="26"/>
        </w:rPr>
        <w:t>claim to intervention as-of-</w:t>
      </w:r>
      <w:r w:rsidRPr="00604FBA">
        <w:rPr>
          <w:rFonts w:eastAsia="Times New Roman" w:cs="Times New Roman"/>
          <w:color w:val="000000"/>
          <w:szCs w:val="26"/>
        </w:rPr>
        <w:t>right</w:t>
      </w:r>
      <w:r>
        <w:rPr>
          <w:rFonts w:eastAsia="Times New Roman" w:cs="Times New Roman"/>
          <w:color w:val="000000"/>
          <w:szCs w:val="26"/>
        </w:rPr>
        <w:t>,</w:t>
      </w:r>
      <w:r w:rsidRPr="00604FBA">
        <w:rPr>
          <w:rFonts w:eastAsia="Times New Roman" w:cs="Times New Roman"/>
          <w:color w:val="000000"/>
          <w:szCs w:val="26"/>
        </w:rPr>
        <w:t xml:space="preserve"> but not because they lack a “personal interest</w:t>
      </w:r>
      <w:r w:rsidRPr="00604FBA">
        <w:rPr>
          <w:rFonts w:eastAsia="Times New Roman" w:cs="Times New Roman"/>
          <w:color w:val="000000"/>
          <w:szCs w:val="26"/>
        </w:rPr>
        <w:t xml:space="preserve">” in joining </w:t>
      </w:r>
      <w:proofErr w:type="spellStart"/>
      <w:r w:rsidRPr="00604FBA">
        <w:rPr>
          <w:rFonts w:eastAsia="Times New Roman" w:cs="Times New Roman"/>
          <w:color w:val="000000"/>
          <w:szCs w:val="26"/>
        </w:rPr>
        <w:t>Accurso’s</w:t>
      </w:r>
      <w:proofErr w:type="spellEnd"/>
      <w:r w:rsidRPr="00604FBA">
        <w:rPr>
          <w:rFonts w:eastAsia="Times New Roman" w:cs="Times New Roman"/>
          <w:color w:val="000000"/>
          <w:szCs w:val="26"/>
        </w:rPr>
        <w:t xml:space="preserve"> case.  Having been deputized to pursue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xml:space="preserve"> claims on behalf of the State of California that may be foreclosed by a settlement or adjudication of this case, they have </w:t>
      </w:r>
      <w:r>
        <w:rPr>
          <w:rFonts w:eastAsia="Times New Roman" w:cs="Times New Roman"/>
          <w:color w:val="000000"/>
          <w:szCs w:val="26"/>
        </w:rPr>
        <w:t xml:space="preserve">significantly </w:t>
      </w:r>
      <w:r w:rsidRPr="00604FBA">
        <w:rPr>
          <w:rFonts w:eastAsia="Times New Roman" w:cs="Times New Roman"/>
          <w:color w:val="000000"/>
          <w:szCs w:val="26"/>
        </w:rPr>
        <w:t>protectable interest</w:t>
      </w:r>
      <w:r>
        <w:rPr>
          <w:rFonts w:eastAsia="Times New Roman" w:cs="Times New Roman"/>
          <w:color w:val="000000"/>
          <w:szCs w:val="26"/>
        </w:rPr>
        <w:t>s</w:t>
      </w:r>
      <w:r w:rsidRPr="00604FBA">
        <w:rPr>
          <w:rFonts w:eastAsia="Times New Roman" w:cs="Times New Roman"/>
          <w:color w:val="000000"/>
          <w:szCs w:val="26"/>
        </w:rPr>
        <w:t xml:space="preserve"> </w:t>
      </w:r>
      <w:r>
        <w:rPr>
          <w:rFonts w:eastAsia="Times New Roman" w:cs="Times New Roman"/>
          <w:color w:val="000000"/>
          <w:szCs w:val="26"/>
        </w:rPr>
        <w:t>for purposes of section 387.</w:t>
      </w:r>
      <w:r w:rsidRPr="00604FBA">
        <w:rPr>
          <w:rFonts w:eastAsia="Times New Roman" w:cs="Times New Roman"/>
          <w:color w:val="000000"/>
          <w:szCs w:val="26"/>
        </w:rPr>
        <w:t xml:space="preserve"> </w:t>
      </w:r>
      <w:r>
        <w:rPr>
          <w:rFonts w:eastAsia="Times New Roman" w:cs="Times New Roman"/>
          <w:color w:val="000000"/>
          <w:szCs w:val="26"/>
        </w:rPr>
        <w:t xml:space="preserve"> </w:t>
      </w:r>
      <w:r w:rsidRPr="00604FBA">
        <w:rPr>
          <w:rFonts w:eastAsia="Times New Roman" w:cs="Times New Roman"/>
          <w:color w:val="000000"/>
          <w:szCs w:val="26"/>
        </w:rPr>
        <w:t xml:space="preserve"> </w:t>
      </w:r>
      <w:r>
        <w:rPr>
          <w:rFonts w:eastAsia="Times New Roman" w:cs="Times New Roman"/>
          <w:color w:val="000000"/>
          <w:szCs w:val="26"/>
        </w:rPr>
        <w:t xml:space="preserve">Although we believe </w:t>
      </w:r>
      <w:proofErr w:type="spellStart"/>
      <w:r>
        <w:rPr>
          <w:rFonts w:eastAsia="Times New Roman" w:cs="Times New Roman"/>
          <w:color w:val="000000"/>
          <w:szCs w:val="26"/>
        </w:rPr>
        <w:t>Piplack</w:t>
      </w:r>
      <w:proofErr w:type="spellEnd"/>
      <w:r>
        <w:rPr>
          <w:rFonts w:eastAsia="Times New Roman" w:cs="Times New Roman"/>
          <w:color w:val="000000"/>
          <w:szCs w:val="26"/>
        </w:rPr>
        <w:t xml:space="preserve"> and Taylor as deputized </w:t>
      </w:r>
      <w:proofErr w:type="spellStart"/>
      <w:r>
        <w:rPr>
          <w:rFonts w:eastAsia="Times New Roman" w:cs="Times New Roman"/>
          <w:color w:val="000000"/>
          <w:szCs w:val="26"/>
        </w:rPr>
        <w:t>LWDA</w:t>
      </w:r>
      <w:proofErr w:type="spellEnd"/>
      <w:r>
        <w:rPr>
          <w:rFonts w:eastAsia="Times New Roman" w:cs="Times New Roman"/>
          <w:color w:val="000000"/>
          <w:szCs w:val="26"/>
        </w:rPr>
        <w:t xml:space="preserve"> proxies have significantly protectable interests, i</w:t>
      </w:r>
      <w:r w:rsidRPr="00604FBA">
        <w:rPr>
          <w:rFonts w:eastAsia="Times New Roman" w:cs="Times New Roman"/>
          <w:color w:val="000000"/>
          <w:szCs w:val="26"/>
        </w:rPr>
        <w:t>n the end</w:t>
      </w:r>
      <w:r>
        <w:rPr>
          <w:rFonts w:eastAsia="Times New Roman" w:cs="Times New Roman"/>
          <w:color w:val="000000"/>
          <w:szCs w:val="26"/>
        </w:rPr>
        <w:t xml:space="preserve"> </w:t>
      </w:r>
      <w:r w:rsidRPr="00604FBA">
        <w:rPr>
          <w:rFonts w:eastAsia="Times New Roman" w:cs="Times New Roman"/>
          <w:color w:val="000000"/>
          <w:szCs w:val="26"/>
        </w:rPr>
        <w:t>we conclude that</w:t>
      </w:r>
      <w:r>
        <w:rPr>
          <w:rFonts w:eastAsia="Times New Roman" w:cs="Times New Roman"/>
          <w:color w:val="000000"/>
          <w:szCs w:val="26"/>
        </w:rPr>
        <w:t xml:space="preserve"> </w:t>
      </w:r>
      <w:r w:rsidRPr="00604FBA">
        <w:rPr>
          <w:rFonts w:eastAsia="Times New Roman" w:cs="Times New Roman"/>
          <w:color w:val="000000"/>
          <w:szCs w:val="26"/>
        </w:rPr>
        <w:t xml:space="preserve">they failed to bear their burden of proving inadequate representation </w:t>
      </w:r>
      <w:r>
        <w:rPr>
          <w:rFonts w:eastAsia="Times New Roman" w:cs="Times New Roman"/>
          <w:color w:val="000000"/>
          <w:szCs w:val="26"/>
        </w:rPr>
        <w:t>or potential impairment of their protectable inter</w:t>
      </w:r>
      <w:r>
        <w:rPr>
          <w:rFonts w:eastAsia="Times New Roman" w:cs="Times New Roman"/>
          <w:color w:val="000000"/>
          <w:szCs w:val="26"/>
        </w:rPr>
        <w:t xml:space="preserve">ests.  The prospect that </w:t>
      </w:r>
      <w:proofErr w:type="spellStart"/>
      <w:r>
        <w:rPr>
          <w:rFonts w:eastAsia="Times New Roman" w:cs="Times New Roman"/>
          <w:color w:val="000000"/>
          <w:szCs w:val="26"/>
        </w:rPr>
        <w:t>Accurso</w:t>
      </w:r>
      <w:proofErr w:type="spellEnd"/>
      <w:r>
        <w:rPr>
          <w:rFonts w:eastAsia="Times New Roman" w:cs="Times New Roman"/>
          <w:color w:val="000000"/>
          <w:szCs w:val="26"/>
        </w:rPr>
        <w:t xml:space="preserve"> might someday </w:t>
      </w:r>
      <w:proofErr w:type="gramStart"/>
      <w:r>
        <w:rPr>
          <w:rFonts w:eastAsia="Times New Roman" w:cs="Times New Roman"/>
          <w:color w:val="000000"/>
          <w:szCs w:val="26"/>
        </w:rPr>
        <w:t>enter into</w:t>
      </w:r>
      <w:proofErr w:type="gramEnd"/>
      <w:r>
        <w:rPr>
          <w:rFonts w:eastAsia="Times New Roman" w:cs="Times New Roman"/>
          <w:color w:val="000000"/>
          <w:szCs w:val="26"/>
        </w:rPr>
        <w:t xml:space="preserve"> a settlement purporting to resolve </w:t>
      </w:r>
      <w:proofErr w:type="spellStart"/>
      <w:r>
        <w:rPr>
          <w:rFonts w:eastAsia="Times New Roman" w:cs="Times New Roman"/>
          <w:color w:val="000000"/>
          <w:szCs w:val="26"/>
        </w:rPr>
        <w:t>PAGA</w:t>
      </w:r>
      <w:proofErr w:type="spellEnd"/>
      <w:r>
        <w:rPr>
          <w:rFonts w:eastAsia="Times New Roman" w:cs="Times New Roman"/>
          <w:color w:val="000000"/>
          <w:szCs w:val="26"/>
        </w:rPr>
        <w:t xml:space="preserve"> claims he is not authorized to resolve fails to satisfy that burden in either respect. </w:t>
      </w:r>
    </w:p>
    <w:p w14:paraId="44D337AD" w14:textId="77777777" w:rsidR="00391664" w:rsidRPr="00604FBA" w:rsidRDefault="00B45E56" w:rsidP="00EB7CF4">
      <w:pPr>
        <w:shd w:val="clear" w:color="auto" w:fill="FFFFFF"/>
        <w:spacing w:line="360" w:lineRule="auto"/>
        <w:ind w:firstLine="720"/>
        <w:rPr>
          <w:rFonts w:eastAsia="Times New Roman" w:cs="Times New Roman"/>
          <w:color w:val="000000"/>
          <w:szCs w:val="26"/>
        </w:rPr>
      </w:pPr>
      <w:r w:rsidRPr="00604FBA">
        <w:rPr>
          <w:rFonts w:eastAsia="Times New Roman" w:cs="Times New Roman"/>
          <w:i/>
          <w:iCs/>
          <w:color w:val="000000"/>
          <w:szCs w:val="26"/>
        </w:rPr>
        <w:t>Second</w:t>
      </w:r>
      <w:r w:rsidRPr="00604FBA">
        <w:rPr>
          <w:rFonts w:eastAsia="Times New Roman" w:cs="Times New Roman"/>
          <w:color w:val="000000"/>
          <w:szCs w:val="26"/>
        </w:rPr>
        <w:t>, the denial of permissive intervention was an abuse of discreti</w:t>
      </w:r>
      <w:r w:rsidRPr="00604FBA">
        <w:rPr>
          <w:rFonts w:eastAsia="Times New Roman" w:cs="Times New Roman"/>
          <w:color w:val="000000"/>
          <w:szCs w:val="26"/>
        </w:rPr>
        <w:t xml:space="preserve">on.  In relying on </w:t>
      </w:r>
      <w:proofErr w:type="spellStart"/>
      <w:r w:rsidRPr="00604FBA">
        <w:rPr>
          <w:rFonts w:eastAsia="Times New Roman" w:cs="Times New Roman"/>
          <w:i/>
          <w:iCs/>
          <w:color w:val="000000"/>
          <w:szCs w:val="26"/>
        </w:rPr>
        <w:t>Turrieta’s</w:t>
      </w:r>
      <w:proofErr w:type="spellEnd"/>
      <w:r w:rsidRPr="00604FBA">
        <w:rPr>
          <w:rFonts w:eastAsia="Times New Roman" w:cs="Times New Roman"/>
          <w:i/>
          <w:iCs/>
          <w:color w:val="000000"/>
          <w:szCs w:val="26"/>
        </w:rPr>
        <w:t xml:space="preserve"> </w:t>
      </w:r>
      <w:r w:rsidRPr="00604FBA">
        <w:rPr>
          <w:rFonts w:eastAsia="Times New Roman" w:cs="Times New Roman"/>
          <w:color w:val="000000"/>
          <w:szCs w:val="26"/>
        </w:rPr>
        <w:t xml:space="preserve">holding that a non-party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xml:space="preserve"> claimant seeking to intervene in another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xml:space="preserve"> case has no interest warranting intervention, the court based its exercise of discretion on an erroneous legal premise, and as a result effectively fa</w:t>
      </w:r>
      <w:r w:rsidRPr="00604FBA">
        <w:rPr>
          <w:rFonts w:eastAsia="Times New Roman" w:cs="Times New Roman"/>
          <w:color w:val="000000"/>
          <w:szCs w:val="26"/>
        </w:rPr>
        <w:t xml:space="preserve">iled to exercise discretion at all. </w:t>
      </w:r>
      <w:r w:rsidRPr="00604FBA">
        <w:rPr>
          <w:rFonts w:eastAsia="Times New Roman" w:cs="Times New Roman"/>
          <w:szCs w:val="26"/>
        </w:rPr>
        <w:t xml:space="preserve"> </w:t>
      </w:r>
      <w:r w:rsidRPr="00604FBA">
        <w:rPr>
          <w:rFonts w:eastAsia="Times New Roman" w:cs="Times New Roman"/>
          <w:color w:val="000000"/>
          <w:szCs w:val="26"/>
        </w:rPr>
        <w:t xml:space="preserve">Had the court moved past </w:t>
      </w:r>
      <w:proofErr w:type="spellStart"/>
      <w:proofErr w:type="gramStart"/>
      <w:r w:rsidRPr="00604FBA">
        <w:rPr>
          <w:rFonts w:eastAsia="Times New Roman" w:cs="Times New Roman"/>
          <w:i/>
          <w:iCs/>
          <w:color w:val="000000"/>
          <w:szCs w:val="26"/>
        </w:rPr>
        <w:t>Turrieta</w:t>
      </w:r>
      <w:proofErr w:type="spellEnd"/>
      <w:r w:rsidRPr="00604FBA">
        <w:rPr>
          <w:rFonts w:eastAsia="Times New Roman" w:cs="Times New Roman"/>
          <w:color w:val="000000"/>
          <w:szCs w:val="26"/>
        </w:rPr>
        <w:t>, and</w:t>
      </w:r>
      <w:proofErr w:type="gramEnd"/>
      <w:r w:rsidRPr="00604FBA">
        <w:rPr>
          <w:rFonts w:eastAsia="Times New Roman" w:cs="Times New Roman"/>
          <w:color w:val="000000"/>
          <w:szCs w:val="26"/>
        </w:rPr>
        <w:t xml:space="preserve"> found a</w:t>
      </w:r>
      <w:r>
        <w:rPr>
          <w:rFonts w:eastAsia="Times New Roman" w:cs="Times New Roman"/>
          <w:color w:val="000000"/>
          <w:szCs w:val="26"/>
        </w:rPr>
        <w:t>n interest</w:t>
      </w:r>
      <w:r w:rsidRPr="00604FBA">
        <w:rPr>
          <w:rFonts w:eastAsia="Times New Roman" w:cs="Times New Roman"/>
          <w:color w:val="000000"/>
          <w:szCs w:val="26"/>
        </w:rPr>
        <w:t xml:space="preserve"> sufficient to </w:t>
      </w:r>
      <w:r>
        <w:rPr>
          <w:rFonts w:eastAsia="Times New Roman" w:cs="Times New Roman"/>
          <w:color w:val="000000"/>
          <w:szCs w:val="26"/>
        </w:rPr>
        <w:t>satisfy the threshold requirement for</w:t>
      </w:r>
      <w:r w:rsidRPr="00604FBA">
        <w:rPr>
          <w:rFonts w:eastAsia="Times New Roman" w:cs="Times New Roman"/>
          <w:color w:val="000000"/>
          <w:szCs w:val="26"/>
        </w:rPr>
        <w:t xml:space="preserve"> intervention, as we conclude it should have, the permissive intervention standard does not require a showing o</w:t>
      </w:r>
      <w:r w:rsidRPr="00604FBA">
        <w:rPr>
          <w:rFonts w:eastAsia="Times New Roman" w:cs="Times New Roman"/>
          <w:color w:val="000000"/>
          <w:szCs w:val="26"/>
        </w:rPr>
        <w:t xml:space="preserve">f inadequate representation, which is the stumbling block </w:t>
      </w:r>
      <w:proofErr w:type="spellStart"/>
      <w:r w:rsidRPr="00604FBA">
        <w:rPr>
          <w:rFonts w:eastAsia="Times New Roman" w:cs="Times New Roman"/>
          <w:color w:val="000000"/>
          <w:szCs w:val="26"/>
        </w:rPr>
        <w:t>Piplack</w:t>
      </w:r>
      <w:proofErr w:type="spellEnd"/>
      <w:r w:rsidRPr="00604FBA">
        <w:rPr>
          <w:rFonts w:eastAsia="Times New Roman" w:cs="Times New Roman"/>
          <w:color w:val="000000"/>
          <w:szCs w:val="26"/>
        </w:rPr>
        <w:t xml:space="preserve"> and Taylor fail to overcome for mandatory intervention.  The governing permissive intervention statute, section 387, subdivision (</w:t>
      </w:r>
      <w:r>
        <w:rPr>
          <w:rFonts w:eastAsia="Times New Roman" w:cs="Times New Roman"/>
          <w:color w:val="000000"/>
          <w:szCs w:val="26"/>
        </w:rPr>
        <w:t>d</w:t>
      </w:r>
      <w:r w:rsidRPr="00604FBA">
        <w:rPr>
          <w:rFonts w:eastAsia="Times New Roman" w:cs="Times New Roman"/>
          <w:color w:val="000000"/>
          <w:szCs w:val="26"/>
        </w:rPr>
        <w:t xml:space="preserve">)(2), does </w:t>
      </w:r>
      <w:r>
        <w:rPr>
          <w:rFonts w:eastAsia="Times New Roman" w:cs="Times New Roman"/>
          <w:color w:val="000000"/>
          <w:szCs w:val="26"/>
        </w:rPr>
        <w:t>not</w:t>
      </w:r>
      <w:r w:rsidRPr="00604FBA">
        <w:rPr>
          <w:rFonts w:eastAsia="Times New Roman" w:cs="Times New Roman"/>
          <w:color w:val="000000"/>
          <w:szCs w:val="26"/>
        </w:rPr>
        <w:t xml:space="preserve"> mention that issue.  </w:t>
      </w:r>
      <w:r>
        <w:rPr>
          <w:rFonts w:eastAsia="Times New Roman" w:cs="Times New Roman"/>
          <w:color w:val="000000"/>
          <w:szCs w:val="26"/>
        </w:rPr>
        <w:t>Because t</w:t>
      </w:r>
      <w:r w:rsidRPr="00604FBA">
        <w:rPr>
          <w:rFonts w:eastAsia="Times New Roman" w:cs="Times New Roman"/>
          <w:color w:val="000000"/>
          <w:szCs w:val="26"/>
        </w:rPr>
        <w:t xml:space="preserve">he </w:t>
      </w:r>
      <w:r>
        <w:rPr>
          <w:rFonts w:eastAsia="Times New Roman" w:cs="Times New Roman"/>
          <w:color w:val="000000"/>
          <w:szCs w:val="26"/>
        </w:rPr>
        <w:t xml:space="preserve">analysis </w:t>
      </w:r>
      <w:r w:rsidRPr="00604FBA">
        <w:rPr>
          <w:rFonts w:eastAsia="Times New Roman" w:cs="Times New Roman"/>
          <w:color w:val="000000"/>
          <w:szCs w:val="26"/>
        </w:rPr>
        <w:t>of</w:t>
      </w:r>
      <w:r w:rsidRPr="00604FBA">
        <w:rPr>
          <w:rFonts w:eastAsia="Times New Roman" w:cs="Times New Roman"/>
          <w:color w:val="000000"/>
          <w:szCs w:val="26"/>
        </w:rPr>
        <w:t xml:space="preserve"> permissive intervention fundamentally boils down to a discretionary weighing of whether </w:t>
      </w:r>
      <w:proofErr w:type="spellStart"/>
      <w:r w:rsidRPr="00604FBA">
        <w:rPr>
          <w:rFonts w:eastAsia="Times New Roman" w:cs="Times New Roman"/>
          <w:color w:val="000000"/>
          <w:szCs w:val="26"/>
        </w:rPr>
        <w:t>Piplack</w:t>
      </w:r>
      <w:proofErr w:type="spellEnd"/>
      <w:r w:rsidRPr="00604FBA">
        <w:rPr>
          <w:rFonts w:eastAsia="Times New Roman" w:cs="Times New Roman"/>
          <w:color w:val="000000"/>
          <w:szCs w:val="26"/>
        </w:rPr>
        <w:t xml:space="preserve"> and Taylor propose to add anything to this case the importance of which outweighs any objections </w:t>
      </w:r>
      <w:proofErr w:type="spellStart"/>
      <w:r w:rsidRPr="00604FBA">
        <w:rPr>
          <w:rFonts w:eastAsia="Times New Roman" w:cs="Times New Roman"/>
          <w:color w:val="000000"/>
          <w:szCs w:val="26"/>
        </w:rPr>
        <w:lastRenderedPageBreak/>
        <w:t>Accurso</w:t>
      </w:r>
      <w:proofErr w:type="spellEnd"/>
      <w:r w:rsidRPr="00604FBA">
        <w:rPr>
          <w:rFonts w:eastAsia="Times New Roman" w:cs="Times New Roman"/>
          <w:color w:val="000000"/>
          <w:szCs w:val="26"/>
        </w:rPr>
        <w:t xml:space="preserve"> and In-N-Out may have to the court hearing it</w:t>
      </w:r>
      <w:r>
        <w:rPr>
          <w:rFonts w:eastAsia="Times New Roman" w:cs="Times New Roman"/>
          <w:color w:val="000000"/>
          <w:szCs w:val="26"/>
        </w:rPr>
        <w:t xml:space="preserve">, we </w:t>
      </w:r>
      <w:r>
        <w:t>shal</w:t>
      </w:r>
      <w:r>
        <w:t xml:space="preserve">l remand for the court to conduct the appropriate analysis and balancing. </w:t>
      </w:r>
      <w:r w:rsidRPr="00604FBA">
        <w:rPr>
          <w:rFonts w:eastAsia="Times New Roman" w:cs="Times New Roman"/>
          <w:color w:val="000000"/>
          <w:szCs w:val="26"/>
        </w:rPr>
        <w:t xml:space="preserve"> </w:t>
      </w:r>
    </w:p>
    <w:p w14:paraId="760BCD26" w14:textId="77777777" w:rsidR="002029EB" w:rsidRPr="00604FBA" w:rsidRDefault="00B45E56" w:rsidP="00EB7CF4">
      <w:pPr>
        <w:shd w:val="clear" w:color="auto" w:fill="FFFFFF"/>
        <w:spacing w:line="360" w:lineRule="auto"/>
        <w:ind w:firstLine="720"/>
        <w:rPr>
          <w:rFonts w:eastAsia="Times New Roman" w:cs="Times New Roman"/>
          <w:color w:val="000000"/>
          <w:szCs w:val="26"/>
        </w:rPr>
      </w:pPr>
      <w:r>
        <w:rPr>
          <w:rFonts w:eastAsia="Times New Roman" w:cs="Times New Roman"/>
          <w:color w:val="000000"/>
          <w:szCs w:val="26"/>
        </w:rPr>
        <w:t>We now turn to a more in-depth elaboration of our reasoning under each of the relevant provisions of section 387.</w:t>
      </w:r>
    </w:p>
    <w:p w14:paraId="3DCA1AD3" w14:textId="77777777" w:rsidR="00067C1C" w:rsidRPr="00A21474" w:rsidRDefault="00B45E56" w:rsidP="00826D73">
      <w:pPr>
        <w:pStyle w:val="Heading3"/>
        <w:tabs>
          <w:tab w:val="clear" w:pos="720"/>
          <w:tab w:val="left" w:pos="1440"/>
        </w:tabs>
        <w:spacing w:line="360" w:lineRule="auto"/>
        <w:ind w:left="720" w:hanging="360"/>
        <w:rPr>
          <w:rFonts w:ascii="Century Schoolbook" w:hAnsi="Century Schoolbook"/>
          <w:b/>
          <w:bCs/>
          <w:color w:val="auto"/>
        </w:rPr>
      </w:pPr>
      <w:r>
        <w:rPr>
          <w:rFonts w:ascii="Century Schoolbook" w:hAnsi="Century Schoolbook"/>
          <w:b/>
          <w:bCs/>
          <w:color w:val="auto"/>
          <w:sz w:val="26"/>
          <w:szCs w:val="26"/>
        </w:rPr>
        <w:tab/>
      </w:r>
      <w:r w:rsidRPr="00A21474">
        <w:rPr>
          <w:rFonts w:ascii="Century Schoolbook" w:hAnsi="Century Schoolbook"/>
          <w:b/>
          <w:bCs/>
          <w:color w:val="auto"/>
          <w:sz w:val="26"/>
          <w:szCs w:val="26"/>
        </w:rPr>
        <w:t>1.</w:t>
      </w:r>
      <w:r w:rsidRPr="00A21474">
        <w:rPr>
          <w:b/>
          <w:bCs/>
          <w:color w:val="auto"/>
        </w:rPr>
        <w:t xml:space="preserve"> </w:t>
      </w:r>
      <w:r w:rsidRPr="00A21474">
        <w:rPr>
          <w:rFonts w:ascii="Century Schoolbook" w:hAnsi="Century Schoolbook"/>
          <w:b/>
          <w:bCs/>
          <w:color w:val="auto"/>
          <w:sz w:val="26"/>
          <w:szCs w:val="26"/>
        </w:rPr>
        <w:t xml:space="preserve">Mandatory Intervention </w:t>
      </w:r>
    </w:p>
    <w:p w14:paraId="0D73D969" w14:textId="77777777" w:rsidR="001C7936" w:rsidRPr="00547F02" w:rsidRDefault="00B45E56" w:rsidP="002720CD">
      <w:pPr>
        <w:pStyle w:val="Heading4"/>
        <w:tabs>
          <w:tab w:val="left" w:pos="1800"/>
        </w:tabs>
        <w:spacing w:line="360" w:lineRule="auto"/>
        <w:ind w:left="1440" w:hanging="360"/>
        <w:rPr>
          <w:rFonts w:ascii="Century Schoolbook" w:hAnsi="Century Schoolbook"/>
          <w:color w:val="auto"/>
          <w:szCs w:val="26"/>
        </w:rPr>
      </w:pPr>
      <w:r w:rsidRPr="002720CD">
        <w:rPr>
          <w:rFonts w:ascii="Century Schoolbook" w:hAnsi="Century Schoolbook"/>
          <w:i w:val="0"/>
          <w:iCs w:val="0"/>
          <w:color w:val="auto"/>
          <w:szCs w:val="26"/>
        </w:rPr>
        <w:t>a.</w:t>
      </w:r>
      <w:r w:rsidRPr="00547F02">
        <w:rPr>
          <w:rFonts w:ascii="Century Schoolbook" w:hAnsi="Century Schoolbook"/>
          <w:color w:val="auto"/>
          <w:szCs w:val="26"/>
        </w:rPr>
        <w:t xml:space="preserve"> Exclusive Delegation and Joint Agency</w:t>
      </w:r>
    </w:p>
    <w:p w14:paraId="306852EF" w14:textId="77777777" w:rsidR="00D650EE" w:rsidRDefault="00B45E56" w:rsidP="00EB7CF4">
      <w:pPr>
        <w:shd w:val="clear" w:color="auto" w:fill="FFFFFF"/>
        <w:spacing w:line="360" w:lineRule="auto"/>
        <w:ind w:firstLine="720"/>
        <w:rPr>
          <w:szCs w:val="26"/>
        </w:rPr>
      </w:pPr>
      <w:r>
        <w:rPr>
          <w:szCs w:val="26"/>
        </w:rPr>
        <w:t xml:space="preserve">As deputized proxies for the </w:t>
      </w:r>
      <w:proofErr w:type="spellStart"/>
      <w:r>
        <w:rPr>
          <w:szCs w:val="26"/>
        </w:rPr>
        <w:t>LWDA</w:t>
      </w:r>
      <w:proofErr w:type="spellEnd"/>
      <w:r>
        <w:rPr>
          <w:szCs w:val="26"/>
        </w:rPr>
        <w:t xml:space="preserve">, </w:t>
      </w:r>
      <w:proofErr w:type="spellStart"/>
      <w:r>
        <w:rPr>
          <w:szCs w:val="26"/>
        </w:rPr>
        <w:t>Piplack</w:t>
      </w:r>
      <w:proofErr w:type="spellEnd"/>
      <w:r>
        <w:rPr>
          <w:szCs w:val="26"/>
        </w:rPr>
        <w:t xml:space="preserve"> and Taylor each have a public enforcement charge that qualifies as a significantly protectable interest.  Any settlement of a </w:t>
      </w:r>
      <w:proofErr w:type="spellStart"/>
      <w:r>
        <w:rPr>
          <w:szCs w:val="26"/>
        </w:rPr>
        <w:t>PAGA</w:t>
      </w:r>
      <w:proofErr w:type="spellEnd"/>
      <w:r>
        <w:rPr>
          <w:szCs w:val="26"/>
        </w:rPr>
        <w:t xml:space="preserve"> claim within the ambit of their </w:t>
      </w:r>
      <w:proofErr w:type="spellStart"/>
      <w:r>
        <w:rPr>
          <w:szCs w:val="26"/>
        </w:rPr>
        <w:t>LWDA</w:t>
      </w:r>
      <w:proofErr w:type="spellEnd"/>
      <w:r>
        <w:rPr>
          <w:szCs w:val="26"/>
        </w:rPr>
        <w:t xml:space="preserve"> proxy </w:t>
      </w:r>
      <w:r>
        <w:rPr>
          <w:szCs w:val="26"/>
        </w:rPr>
        <w:t xml:space="preserve">authorizations by an interloper acting ultra vires—which is what </w:t>
      </w:r>
      <w:proofErr w:type="spellStart"/>
      <w:r>
        <w:rPr>
          <w:szCs w:val="26"/>
        </w:rPr>
        <w:t>Piplack</w:t>
      </w:r>
      <w:proofErr w:type="spellEnd"/>
      <w:r>
        <w:rPr>
          <w:szCs w:val="26"/>
        </w:rPr>
        <w:t xml:space="preserve"> and Taylor accuse </w:t>
      </w:r>
      <w:proofErr w:type="spellStart"/>
      <w:r>
        <w:rPr>
          <w:szCs w:val="26"/>
        </w:rPr>
        <w:t>Accurso</w:t>
      </w:r>
      <w:proofErr w:type="spellEnd"/>
      <w:r>
        <w:rPr>
          <w:szCs w:val="26"/>
        </w:rPr>
        <w:t xml:space="preserve"> of being—could potentially impair the legitimate proxy authority conferred upon </w:t>
      </w:r>
      <w:proofErr w:type="spellStart"/>
      <w:r>
        <w:rPr>
          <w:szCs w:val="26"/>
        </w:rPr>
        <w:t>Piplack</w:t>
      </w:r>
      <w:proofErr w:type="spellEnd"/>
      <w:r>
        <w:rPr>
          <w:szCs w:val="26"/>
        </w:rPr>
        <w:t xml:space="preserve"> and Taylor. </w:t>
      </w:r>
    </w:p>
    <w:p w14:paraId="2D4260BC" w14:textId="77777777" w:rsidR="005F6CAE" w:rsidRPr="00604FBA" w:rsidRDefault="00B45E56" w:rsidP="00EB7CF4">
      <w:pPr>
        <w:shd w:val="clear" w:color="auto" w:fill="FFFFFF"/>
        <w:spacing w:line="360" w:lineRule="auto"/>
        <w:ind w:firstLine="720"/>
        <w:rPr>
          <w:szCs w:val="26"/>
        </w:rPr>
      </w:pPr>
      <w:r>
        <w:rPr>
          <w:szCs w:val="26"/>
        </w:rPr>
        <w:t xml:space="preserve">Since </w:t>
      </w:r>
      <w:proofErr w:type="spellStart"/>
      <w:r>
        <w:rPr>
          <w:szCs w:val="26"/>
        </w:rPr>
        <w:t>Piplack</w:t>
      </w:r>
      <w:proofErr w:type="spellEnd"/>
      <w:r>
        <w:rPr>
          <w:szCs w:val="26"/>
        </w:rPr>
        <w:t xml:space="preserve"> and Taylor </w:t>
      </w:r>
      <w:r w:rsidRPr="00604FBA">
        <w:rPr>
          <w:szCs w:val="26"/>
        </w:rPr>
        <w:t xml:space="preserve">possess </w:t>
      </w:r>
      <w:r>
        <w:rPr>
          <w:szCs w:val="26"/>
        </w:rPr>
        <w:t>a legal interest suffic</w:t>
      </w:r>
      <w:r>
        <w:rPr>
          <w:szCs w:val="26"/>
        </w:rPr>
        <w:t>ient to trigger eligibility for intervention as-of-right,</w:t>
      </w:r>
      <w:r w:rsidRPr="00604FBA">
        <w:rPr>
          <w:szCs w:val="26"/>
        </w:rPr>
        <w:t xml:space="preserve"> </w:t>
      </w:r>
      <w:r>
        <w:rPr>
          <w:szCs w:val="26"/>
        </w:rPr>
        <w:t xml:space="preserve">their entitlement to mandatory intervention turns on </w:t>
      </w:r>
      <w:r w:rsidRPr="00604FBA">
        <w:rPr>
          <w:szCs w:val="26"/>
        </w:rPr>
        <w:t>the</w:t>
      </w:r>
      <w:r>
        <w:rPr>
          <w:szCs w:val="26"/>
        </w:rPr>
        <w:t xml:space="preserve"> issues of adequacy of representation and whether they </w:t>
      </w:r>
      <w:r w:rsidRPr="00604FBA">
        <w:rPr>
          <w:szCs w:val="26"/>
        </w:rPr>
        <w:t xml:space="preserve">are “so situated that the disposition of the action may impair or impede” their </w:t>
      </w:r>
      <w:r>
        <w:rPr>
          <w:szCs w:val="26"/>
        </w:rPr>
        <w:t>protect</w:t>
      </w:r>
      <w:r>
        <w:rPr>
          <w:szCs w:val="26"/>
        </w:rPr>
        <w:t>able interests.</w:t>
      </w:r>
      <w:r w:rsidRPr="00604FBA">
        <w:rPr>
          <w:szCs w:val="26"/>
        </w:rPr>
        <w:t xml:space="preserve">  </w:t>
      </w:r>
      <w:r>
        <w:rPr>
          <w:szCs w:val="26"/>
        </w:rPr>
        <w:t xml:space="preserve">(§ 387, subd. (d)(1)(B).) </w:t>
      </w:r>
      <w:r w:rsidRPr="00604FBA">
        <w:rPr>
          <w:szCs w:val="26"/>
        </w:rPr>
        <w:t xml:space="preserve"> </w:t>
      </w:r>
      <w:proofErr w:type="spellStart"/>
      <w:r w:rsidRPr="00604FBA">
        <w:rPr>
          <w:szCs w:val="26"/>
        </w:rPr>
        <w:t>Piplack</w:t>
      </w:r>
      <w:proofErr w:type="spellEnd"/>
      <w:r w:rsidRPr="00604FBA">
        <w:rPr>
          <w:szCs w:val="26"/>
        </w:rPr>
        <w:t xml:space="preserve"> and Taylor claim to have the </w:t>
      </w:r>
      <w:r w:rsidRPr="00AB793E">
        <w:rPr>
          <w:i/>
          <w:szCs w:val="26"/>
        </w:rPr>
        <w:t>exclusive</w:t>
      </w:r>
      <w:r w:rsidRPr="00604FBA">
        <w:rPr>
          <w:szCs w:val="26"/>
        </w:rPr>
        <w:t xml:space="preserve"> right to litigate </w:t>
      </w:r>
      <w:proofErr w:type="spellStart"/>
      <w:r w:rsidRPr="00604FBA">
        <w:rPr>
          <w:szCs w:val="26"/>
        </w:rPr>
        <w:t>PAGA</w:t>
      </w:r>
      <w:proofErr w:type="spellEnd"/>
      <w:r w:rsidRPr="00604FBA">
        <w:rPr>
          <w:szCs w:val="26"/>
        </w:rPr>
        <w:t xml:space="preserve"> claims within the scope of their own </w:t>
      </w:r>
      <w:proofErr w:type="spellStart"/>
      <w:r w:rsidRPr="00604FBA">
        <w:rPr>
          <w:szCs w:val="26"/>
        </w:rPr>
        <w:t>LWDA</w:t>
      </w:r>
      <w:proofErr w:type="spellEnd"/>
      <w:r w:rsidRPr="00604FBA">
        <w:rPr>
          <w:szCs w:val="26"/>
        </w:rPr>
        <w:t xml:space="preserve"> notices</w:t>
      </w:r>
      <w:r>
        <w:rPr>
          <w:szCs w:val="26"/>
        </w:rPr>
        <w:t xml:space="preserve">.  According to them, </w:t>
      </w:r>
      <w:r w:rsidRPr="00604FBA">
        <w:rPr>
          <w:szCs w:val="26"/>
        </w:rPr>
        <w:t xml:space="preserve">as first-to-file </w:t>
      </w:r>
      <w:proofErr w:type="spellStart"/>
      <w:r w:rsidRPr="00604FBA">
        <w:rPr>
          <w:szCs w:val="26"/>
        </w:rPr>
        <w:t>PAGA</w:t>
      </w:r>
      <w:proofErr w:type="spellEnd"/>
      <w:r w:rsidRPr="00604FBA">
        <w:rPr>
          <w:szCs w:val="26"/>
        </w:rPr>
        <w:t xml:space="preserve"> claimants on legal theories falling within the pu</w:t>
      </w:r>
      <w:r w:rsidRPr="00604FBA">
        <w:rPr>
          <w:szCs w:val="26"/>
        </w:rPr>
        <w:t xml:space="preserve">rview of </w:t>
      </w:r>
      <w:proofErr w:type="spellStart"/>
      <w:r w:rsidRPr="00604FBA">
        <w:rPr>
          <w:szCs w:val="26"/>
        </w:rPr>
        <w:t>Accurso’s</w:t>
      </w:r>
      <w:proofErr w:type="spellEnd"/>
      <w:r w:rsidRPr="00604FBA">
        <w:rPr>
          <w:szCs w:val="26"/>
        </w:rPr>
        <w:t xml:space="preserve"> case, they have primacy over </w:t>
      </w:r>
      <w:proofErr w:type="spellStart"/>
      <w:r w:rsidRPr="00604FBA">
        <w:rPr>
          <w:szCs w:val="26"/>
        </w:rPr>
        <w:t>Accurso</w:t>
      </w:r>
      <w:proofErr w:type="spellEnd"/>
      <w:r w:rsidRPr="00604FBA">
        <w:rPr>
          <w:szCs w:val="26"/>
        </w:rPr>
        <w:t xml:space="preserve">, </w:t>
      </w:r>
      <w:r>
        <w:rPr>
          <w:szCs w:val="26"/>
        </w:rPr>
        <w:t xml:space="preserve">who is </w:t>
      </w:r>
      <w:r w:rsidRPr="00604FBA">
        <w:rPr>
          <w:szCs w:val="26"/>
        </w:rPr>
        <w:t xml:space="preserve">a subsequent </w:t>
      </w:r>
      <w:proofErr w:type="spellStart"/>
      <w:r w:rsidRPr="00604FBA">
        <w:rPr>
          <w:szCs w:val="26"/>
        </w:rPr>
        <w:t>PAGA</w:t>
      </w:r>
      <w:proofErr w:type="spellEnd"/>
      <w:r w:rsidRPr="00604FBA">
        <w:rPr>
          <w:szCs w:val="26"/>
        </w:rPr>
        <w:t xml:space="preserve"> claimant against the same employer.  </w:t>
      </w:r>
      <w:proofErr w:type="spellStart"/>
      <w:r w:rsidRPr="00604FBA">
        <w:rPr>
          <w:szCs w:val="26"/>
        </w:rPr>
        <w:t>Accurso’s</w:t>
      </w:r>
      <w:proofErr w:type="spellEnd"/>
      <w:r w:rsidRPr="00604FBA">
        <w:rPr>
          <w:szCs w:val="26"/>
        </w:rPr>
        <w:t xml:space="preserve"> case, they suggest, </w:t>
      </w:r>
      <w:r>
        <w:rPr>
          <w:szCs w:val="26"/>
        </w:rPr>
        <w:t>cannot</w:t>
      </w:r>
      <w:r w:rsidRPr="00604FBA">
        <w:rPr>
          <w:szCs w:val="26"/>
        </w:rPr>
        <w:t xml:space="preserve"> cover claims only </w:t>
      </w:r>
      <w:proofErr w:type="spellStart"/>
      <w:r w:rsidRPr="00604FBA">
        <w:rPr>
          <w:szCs w:val="26"/>
        </w:rPr>
        <w:t>Piplack</w:t>
      </w:r>
      <w:proofErr w:type="spellEnd"/>
      <w:r w:rsidRPr="00604FBA">
        <w:rPr>
          <w:szCs w:val="26"/>
        </w:rPr>
        <w:t xml:space="preserve"> and Taylor are authorized to pursue, yet </w:t>
      </w:r>
      <w:proofErr w:type="spellStart"/>
      <w:r w:rsidRPr="00604FBA">
        <w:rPr>
          <w:szCs w:val="26"/>
        </w:rPr>
        <w:t>Accurso</w:t>
      </w:r>
      <w:proofErr w:type="spellEnd"/>
      <w:r w:rsidRPr="00604FBA">
        <w:rPr>
          <w:szCs w:val="26"/>
        </w:rPr>
        <w:t xml:space="preserve"> appears to be attempting </w:t>
      </w:r>
      <w:r w:rsidRPr="00604FBA">
        <w:rPr>
          <w:szCs w:val="26"/>
        </w:rPr>
        <w:t xml:space="preserve">to litigate—and settle—those claims anyway. </w:t>
      </w:r>
    </w:p>
    <w:p w14:paraId="6685D1D4" w14:textId="77777777" w:rsidR="008B6FB6" w:rsidRPr="00604FBA" w:rsidRDefault="00B45E56" w:rsidP="00604FBA">
      <w:pPr>
        <w:shd w:val="clear" w:color="auto" w:fill="FFFFFF"/>
        <w:spacing w:line="360" w:lineRule="auto"/>
        <w:ind w:firstLine="720"/>
        <w:rPr>
          <w:rFonts w:eastAsia="Times New Roman" w:cs="Times New Roman"/>
          <w:color w:val="000000"/>
          <w:szCs w:val="26"/>
        </w:rPr>
      </w:pPr>
      <w:r w:rsidRPr="00604FBA">
        <w:rPr>
          <w:szCs w:val="26"/>
        </w:rPr>
        <w:t xml:space="preserve">We view this </w:t>
      </w:r>
      <w:r>
        <w:rPr>
          <w:szCs w:val="26"/>
        </w:rPr>
        <w:t xml:space="preserve">claim </w:t>
      </w:r>
      <w:r w:rsidRPr="00604FBA">
        <w:rPr>
          <w:szCs w:val="26"/>
        </w:rPr>
        <w:t xml:space="preserve">of </w:t>
      </w:r>
      <w:r>
        <w:rPr>
          <w:szCs w:val="26"/>
        </w:rPr>
        <w:t>“first-to-file” exclusivity a</w:t>
      </w:r>
      <w:r w:rsidRPr="00604FBA">
        <w:rPr>
          <w:szCs w:val="26"/>
        </w:rPr>
        <w:t xml:space="preserve">s an overreach.  The precedent </w:t>
      </w:r>
      <w:proofErr w:type="spellStart"/>
      <w:r w:rsidRPr="00604FBA">
        <w:rPr>
          <w:szCs w:val="26"/>
        </w:rPr>
        <w:t>Piplack</w:t>
      </w:r>
      <w:proofErr w:type="spellEnd"/>
      <w:r w:rsidRPr="00604FBA">
        <w:rPr>
          <w:szCs w:val="26"/>
        </w:rPr>
        <w:t xml:space="preserve"> and Taylor rely upon stands for the proposition (at least in their reading of the law) that any delegation of discretiona</w:t>
      </w:r>
      <w:r w:rsidRPr="00604FBA">
        <w:rPr>
          <w:szCs w:val="26"/>
        </w:rPr>
        <w:t xml:space="preserve">ry governmental </w:t>
      </w:r>
      <w:r w:rsidRPr="00604FBA">
        <w:rPr>
          <w:szCs w:val="26"/>
        </w:rPr>
        <w:lastRenderedPageBreak/>
        <w:t xml:space="preserve">power is </w:t>
      </w:r>
      <w:proofErr w:type="gramStart"/>
      <w:r w:rsidRPr="00604FBA">
        <w:rPr>
          <w:szCs w:val="26"/>
        </w:rPr>
        <w:t>in the nature of a</w:t>
      </w:r>
      <w:proofErr w:type="gramEnd"/>
      <w:r w:rsidRPr="00604FBA">
        <w:rPr>
          <w:szCs w:val="26"/>
        </w:rPr>
        <w:t xml:space="preserve"> public trust and must be confined to one delegee.  (See </w:t>
      </w:r>
      <w:r w:rsidRPr="006046B6">
        <w:rPr>
          <w:rFonts w:eastAsia="Times New Roman" w:cs="Times New Roman"/>
          <w:i/>
          <w:iCs/>
          <w:szCs w:val="26"/>
          <w:bdr w:val="none" w:sz="0" w:space="0" w:color="auto" w:frame="1"/>
        </w:rPr>
        <w:t>County of Kern v. Pacific Gas &amp; Electric Co.</w:t>
      </w:r>
      <w:r w:rsidRPr="006046B6">
        <w:rPr>
          <w:rFonts w:eastAsia="Times New Roman" w:cs="Times New Roman"/>
          <w:szCs w:val="26"/>
        </w:rPr>
        <w:t xml:space="preserve"> (1980) 108 Cal.App.3d 418, 421; </w:t>
      </w:r>
      <w:r w:rsidRPr="006046B6">
        <w:rPr>
          <w:rFonts w:eastAsia="Times New Roman" w:cs="Times New Roman"/>
          <w:i/>
          <w:iCs/>
          <w:szCs w:val="26"/>
          <w:bdr w:val="none" w:sz="0" w:space="0" w:color="auto" w:frame="1"/>
        </w:rPr>
        <w:t>Sacramento Chamber of Commerce v. Stephens</w:t>
      </w:r>
      <w:r w:rsidRPr="006046B6">
        <w:rPr>
          <w:rFonts w:eastAsia="Times New Roman" w:cs="Times New Roman"/>
          <w:szCs w:val="26"/>
        </w:rPr>
        <w:t xml:space="preserve"> (1931) 212 Cal. 607, 609; </w:t>
      </w:r>
      <w:r w:rsidRPr="006046B6">
        <w:rPr>
          <w:rFonts w:eastAsia="Times New Roman" w:cs="Times New Roman"/>
          <w:i/>
          <w:iCs/>
          <w:szCs w:val="26"/>
          <w:bdr w:val="none" w:sz="0" w:space="0" w:color="auto" w:frame="1"/>
        </w:rPr>
        <w:t>City of Bu</w:t>
      </w:r>
      <w:r w:rsidRPr="006046B6">
        <w:rPr>
          <w:rFonts w:eastAsia="Times New Roman" w:cs="Times New Roman"/>
          <w:i/>
          <w:iCs/>
          <w:szCs w:val="26"/>
          <w:bdr w:val="none" w:sz="0" w:space="0" w:color="auto" w:frame="1"/>
        </w:rPr>
        <w:t>rbank v. Burbank-Glendale-Pasadena Airport Authority</w:t>
      </w:r>
      <w:r w:rsidRPr="006046B6">
        <w:rPr>
          <w:rFonts w:eastAsia="Times New Roman" w:cs="Times New Roman"/>
          <w:szCs w:val="26"/>
        </w:rPr>
        <w:t xml:space="preserve"> (2003) </w:t>
      </w:r>
      <w:r w:rsidRPr="00604FBA">
        <w:rPr>
          <w:rFonts w:eastAsia="Times New Roman" w:cs="Times New Roman"/>
          <w:color w:val="000000"/>
          <w:szCs w:val="26"/>
        </w:rPr>
        <w:t>113</w:t>
      </w:r>
      <w:r>
        <w:rPr>
          <w:rFonts w:eastAsia="Times New Roman" w:cs="Times New Roman"/>
          <w:color w:val="000000"/>
          <w:szCs w:val="26"/>
        </w:rPr>
        <w:t> </w:t>
      </w:r>
      <w:r w:rsidRPr="00604FBA">
        <w:rPr>
          <w:rFonts w:eastAsia="Times New Roman" w:cs="Times New Roman"/>
          <w:color w:val="000000"/>
          <w:szCs w:val="26"/>
        </w:rPr>
        <w:t xml:space="preserve">Cal.App.4th 465, 477.)  We should apply this principle, </w:t>
      </w:r>
      <w:proofErr w:type="spellStart"/>
      <w:r w:rsidRPr="00604FBA">
        <w:rPr>
          <w:rFonts w:eastAsia="Times New Roman" w:cs="Times New Roman"/>
          <w:color w:val="000000"/>
          <w:szCs w:val="26"/>
        </w:rPr>
        <w:t>Piplack</w:t>
      </w:r>
      <w:proofErr w:type="spellEnd"/>
      <w:r w:rsidRPr="00604FBA">
        <w:rPr>
          <w:rFonts w:eastAsia="Times New Roman" w:cs="Times New Roman"/>
          <w:color w:val="000000"/>
          <w:szCs w:val="26"/>
        </w:rPr>
        <w:t xml:space="preserve"> and Taylor </w:t>
      </w:r>
      <w:r>
        <w:rPr>
          <w:rFonts w:eastAsia="Times New Roman" w:cs="Times New Roman"/>
          <w:color w:val="000000"/>
          <w:szCs w:val="26"/>
        </w:rPr>
        <w:t>contend</w:t>
      </w:r>
      <w:r w:rsidRPr="00604FBA">
        <w:rPr>
          <w:rFonts w:eastAsia="Times New Roman" w:cs="Times New Roman"/>
          <w:color w:val="000000"/>
          <w:szCs w:val="26"/>
        </w:rPr>
        <w:t xml:space="preserve">, because, if we do not, </w:t>
      </w:r>
      <w:proofErr w:type="spellStart"/>
      <w:r w:rsidRPr="00604FBA">
        <w:rPr>
          <w:rFonts w:eastAsia="Times New Roman" w:cs="Times New Roman"/>
          <w:color w:val="000000"/>
          <w:szCs w:val="26"/>
        </w:rPr>
        <w:t>Accurso’s</w:t>
      </w:r>
      <w:proofErr w:type="spellEnd"/>
      <w:r w:rsidRPr="00604FBA">
        <w:rPr>
          <w:rFonts w:eastAsia="Times New Roman" w:cs="Times New Roman"/>
          <w:color w:val="000000"/>
          <w:szCs w:val="26"/>
        </w:rPr>
        <w:t xml:space="preserve"> attempt to pursue an independent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xml:space="preserve"> claim that they alone have been </w:t>
      </w:r>
      <w:r w:rsidRPr="00604FBA">
        <w:rPr>
          <w:rFonts w:eastAsia="Times New Roman" w:cs="Times New Roman"/>
          <w:color w:val="000000"/>
          <w:szCs w:val="26"/>
        </w:rPr>
        <w:t>given authorization to prosecute by an executive branch agency would violate the doctrine of separation of powers.</w:t>
      </w:r>
    </w:p>
    <w:p w14:paraId="36CFA16F" w14:textId="77777777" w:rsidR="00E24806" w:rsidRPr="00E24806" w:rsidRDefault="00B45E56" w:rsidP="001E7F1D">
      <w:pPr>
        <w:shd w:val="clear" w:color="auto" w:fill="FFFFFF"/>
        <w:spacing w:line="360" w:lineRule="auto"/>
        <w:ind w:firstLine="720"/>
        <w:rPr>
          <w:rFonts w:eastAsia="Times New Roman" w:cs="Times New Roman"/>
          <w:color w:val="000000"/>
          <w:szCs w:val="26"/>
        </w:rPr>
      </w:pPr>
      <w:r>
        <w:rPr>
          <w:rFonts w:eastAsia="Times New Roman" w:cs="Times New Roman"/>
          <w:color w:val="000000"/>
          <w:szCs w:val="26"/>
        </w:rPr>
        <w:t xml:space="preserve">We are unpersuaded.  </w:t>
      </w:r>
      <w:r w:rsidRPr="00604FBA">
        <w:rPr>
          <w:rFonts w:eastAsia="Times New Roman" w:cs="Times New Roman"/>
          <w:i/>
          <w:iCs/>
          <w:color w:val="000000"/>
          <w:szCs w:val="26"/>
        </w:rPr>
        <w:t>County of Kern</w:t>
      </w:r>
      <w:r w:rsidRPr="00604FBA">
        <w:rPr>
          <w:rFonts w:eastAsia="Times New Roman" w:cs="Times New Roman"/>
          <w:color w:val="000000"/>
          <w:szCs w:val="26"/>
        </w:rPr>
        <w:t xml:space="preserve">, </w:t>
      </w:r>
      <w:r w:rsidRPr="00604FBA">
        <w:rPr>
          <w:rFonts w:eastAsia="Times New Roman" w:cs="Times New Roman"/>
          <w:i/>
          <w:iCs/>
          <w:color w:val="000000"/>
          <w:szCs w:val="26"/>
        </w:rPr>
        <w:t>Sacramento Chamber of Commerce</w:t>
      </w:r>
      <w:r w:rsidRPr="00604FBA">
        <w:rPr>
          <w:rFonts w:eastAsia="Times New Roman" w:cs="Times New Roman"/>
          <w:color w:val="000000"/>
          <w:szCs w:val="26"/>
        </w:rPr>
        <w:t xml:space="preserve">, and </w:t>
      </w:r>
      <w:r w:rsidRPr="00604FBA">
        <w:rPr>
          <w:rFonts w:eastAsia="Times New Roman" w:cs="Times New Roman"/>
          <w:i/>
          <w:iCs/>
          <w:color w:val="000000"/>
          <w:szCs w:val="26"/>
        </w:rPr>
        <w:t>City of Burbank</w:t>
      </w:r>
      <w:r w:rsidRPr="00604FBA">
        <w:rPr>
          <w:rFonts w:eastAsia="Times New Roman" w:cs="Times New Roman"/>
          <w:color w:val="000000"/>
          <w:szCs w:val="26"/>
        </w:rPr>
        <w:t xml:space="preserve"> all involve delegations of some form of legislative </w:t>
      </w:r>
      <w:r w:rsidRPr="00604FBA">
        <w:rPr>
          <w:rFonts w:eastAsia="Times New Roman" w:cs="Times New Roman"/>
          <w:color w:val="000000"/>
          <w:szCs w:val="26"/>
        </w:rPr>
        <w:t xml:space="preserve">power.  Whatever the reach of their holdings in that setting, this line of cases has never been applied to delegations of law enforcement power.  We decline the invitation to rely on it as a basis for giving primacy to one dueling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xml:space="preserve"> claimant over anothe</w:t>
      </w:r>
      <w:r w:rsidRPr="00604FBA">
        <w:rPr>
          <w:rFonts w:eastAsia="Times New Roman" w:cs="Times New Roman"/>
          <w:color w:val="000000"/>
          <w:szCs w:val="26"/>
        </w:rPr>
        <w:t xml:space="preserve">r.  The premise of the argument is that, when the </w:t>
      </w:r>
      <w:proofErr w:type="spellStart"/>
      <w:r w:rsidRPr="00604FBA">
        <w:rPr>
          <w:rFonts w:eastAsia="Times New Roman" w:cs="Times New Roman"/>
          <w:color w:val="000000"/>
          <w:szCs w:val="26"/>
        </w:rPr>
        <w:t>LW</w:t>
      </w:r>
      <w:r>
        <w:rPr>
          <w:rFonts w:eastAsia="Times New Roman" w:cs="Times New Roman"/>
          <w:color w:val="000000"/>
          <w:szCs w:val="26"/>
        </w:rPr>
        <w:t>D</w:t>
      </w:r>
      <w:r w:rsidRPr="00604FBA">
        <w:rPr>
          <w:rFonts w:eastAsia="Times New Roman" w:cs="Times New Roman"/>
          <w:color w:val="000000"/>
          <w:szCs w:val="26"/>
        </w:rPr>
        <w:t>A</w:t>
      </w:r>
      <w:proofErr w:type="spellEnd"/>
      <w:r w:rsidRPr="00604FBA">
        <w:rPr>
          <w:rFonts w:eastAsia="Times New Roman" w:cs="Times New Roman"/>
          <w:color w:val="000000"/>
          <w:szCs w:val="26"/>
        </w:rPr>
        <w:t xml:space="preserve"> deputizes a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xml:space="preserve"> claimant, the authority it confers must be construed as exclusive </w:t>
      </w:r>
      <w:proofErr w:type="gramStart"/>
      <w:r w:rsidRPr="00604FBA">
        <w:rPr>
          <w:rFonts w:eastAsia="Times New Roman" w:cs="Times New Roman"/>
          <w:color w:val="000000"/>
          <w:szCs w:val="26"/>
        </w:rPr>
        <w:t>in light of</w:t>
      </w:r>
      <w:proofErr w:type="gramEnd"/>
      <w:r w:rsidRPr="00604FBA">
        <w:rPr>
          <w:rFonts w:eastAsia="Times New Roman" w:cs="Times New Roman"/>
          <w:color w:val="000000"/>
          <w:szCs w:val="26"/>
        </w:rPr>
        <w:t xml:space="preserve"> these cases.  But that is not how we read the statutory </w:t>
      </w:r>
      <w:r w:rsidRPr="00E24806">
        <w:rPr>
          <w:rFonts w:eastAsia="Times New Roman" w:cs="Times New Roman"/>
          <w:color w:val="000000"/>
          <w:szCs w:val="26"/>
        </w:rPr>
        <w:t xml:space="preserve">scheme.  A basic objective of </w:t>
      </w:r>
      <w:proofErr w:type="spellStart"/>
      <w:r w:rsidRPr="00E24806">
        <w:rPr>
          <w:rFonts w:eastAsia="Times New Roman" w:cs="Times New Roman"/>
          <w:color w:val="000000"/>
          <w:szCs w:val="26"/>
        </w:rPr>
        <w:t>PAGA</w:t>
      </w:r>
      <w:proofErr w:type="spellEnd"/>
      <w:r w:rsidRPr="00E24806">
        <w:rPr>
          <w:rFonts w:eastAsia="Times New Roman" w:cs="Times New Roman"/>
          <w:color w:val="000000"/>
          <w:szCs w:val="26"/>
        </w:rPr>
        <w:t xml:space="preserve"> is to supplemen</w:t>
      </w:r>
      <w:r w:rsidRPr="00E24806">
        <w:rPr>
          <w:rFonts w:eastAsia="Times New Roman" w:cs="Times New Roman"/>
          <w:color w:val="000000"/>
          <w:szCs w:val="26"/>
        </w:rPr>
        <w:t xml:space="preserve">t the limited enforcement resources of the </w:t>
      </w:r>
      <w:proofErr w:type="spellStart"/>
      <w:r w:rsidRPr="00E24806">
        <w:rPr>
          <w:rFonts w:eastAsia="Times New Roman" w:cs="Times New Roman"/>
          <w:color w:val="000000"/>
          <w:szCs w:val="26"/>
        </w:rPr>
        <w:t>LW</w:t>
      </w:r>
      <w:r>
        <w:rPr>
          <w:rFonts w:eastAsia="Times New Roman" w:cs="Times New Roman"/>
          <w:color w:val="000000"/>
          <w:szCs w:val="26"/>
        </w:rPr>
        <w:t>D</w:t>
      </w:r>
      <w:r w:rsidRPr="00E24806">
        <w:rPr>
          <w:rFonts w:eastAsia="Times New Roman" w:cs="Times New Roman"/>
          <w:color w:val="000000"/>
          <w:szCs w:val="26"/>
        </w:rPr>
        <w:t>A</w:t>
      </w:r>
      <w:proofErr w:type="spellEnd"/>
      <w:r w:rsidRPr="00E24806">
        <w:rPr>
          <w:rFonts w:eastAsia="Times New Roman" w:cs="Times New Roman"/>
          <w:color w:val="000000"/>
          <w:szCs w:val="26"/>
        </w:rPr>
        <w:t xml:space="preserve"> by leveraging the cumulative resources of private parties.  </w:t>
      </w:r>
    </w:p>
    <w:p w14:paraId="5670FCFC" w14:textId="77777777" w:rsidR="00741EBB" w:rsidRPr="00E24806" w:rsidRDefault="00B45E56" w:rsidP="00EA1DF8">
      <w:pPr>
        <w:shd w:val="clear" w:color="auto" w:fill="FFFFFF"/>
        <w:tabs>
          <w:tab w:val="clear" w:pos="720"/>
        </w:tabs>
        <w:spacing w:line="360" w:lineRule="auto"/>
        <w:ind w:firstLine="720"/>
        <w:rPr>
          <w:rFonts w:eastAsia="Times New Roman" w:cs="Times New Roman"/>
          <w:color w:val="000000"/>
          <w:szCs w:val="26"/>
        </w:rPr>
      </w:pPr>
      <w:r w:rsidRPr="00E24806">
        <w:rPr>
          <w:rFonts w:eastAsia="Times New Roman" w:cs="Times New Roman"/>
          <w:color w:val="000000"/>
          <w:szCs w:val="26"/>
        </w:rPr>
        <w:t>Because th</w:t>
      </w:r>
      <w:r>
        <w:rPr>
          <w:rFonts w:eastAsia="Times New Roman" w:cs="Times New Roman"/>
          <w:color w:val="000000"/>
          <w:szCs w:val="26"/>
        </w:rPr>
        <w:t>e</w:t>
      </w:r>
      <w:r w:rsidRPr="00E24806">
        <w:rPr>
          <w:rFonts w:eastAsia="Times New Roman" w:cs="Times New Roman"/>
          <w:color w:val="000000"/>
          <w:szCs w:val="26"/>
        </w:rPr>
        <w:t xml:space="preserve"> </w:t>
      </w:r>
      <w:r>
        <w:rPr>
          <w:rFonts w:eastAsia="Times New Roman" w:cs="Times New Roman"/>
          <w:color w:val="000000"/>
          <w:szCs w:val="26"/>
        </w:rPr>
        <w:t>“first to file”</w:t>
      </w:r>
      <w:r w:rsidRPr="00E24806">
        <w:rPr>
          <w:rFonts w:eastAsia="Times New Roman" w:cs="Times New Roman"/>
          <w:color w:val="000000"/>
          <w:szCs w:val="26"/>
        </w:rPr>
        <w:t xml:space="preserve"> theory </w:t>
      </w:r>
      <w:proofErr w:type="spellStart"/>
      <w:r>
        <w:rPr>
          <w:rFonts w:eastAsia="Times New Roman" w:cs="Times New Roman"/>
          <w:color w:val="000000"/>
          <w:szCs w:val="26"/>
        </w:rPr>
        <w:t>Piplack</w:t>
      </w:r>
      <w:proofErr w:type="spellEnd"/>
      <w:r>
        <w:rPr>
          <w:rFonts w:eastAsia="Times New Roman" w:cs="Times New Roman"/>
          <w:color w:val="000000"/>
          <w:szCs w:val="26"/>
        </w:rPr>
        <w:t xml:space="preserve"> and Taylor propose </w:t>
      </w:r>
      <w:r w:rsidRPr="00E24806">
        <w:rPr>
          <w:rFonts w:eastAsia="Times New Roman" w:cs="Times New Roman"/>
          <w:color w:val="000000"/>
          <w:szCs w:val="26"/>
        </w:rPr>
        <w:t>would severely limit the number of private prosecutors the State may unleash to pursu</w:t>
      </w:r>
      <w:r w:rsidRPr="00E24806">
        <w:rPr>
          <w:rFonts w:eastAsia="Times New Roman" w:cs="Times New Roman"/>
          <w:color w:val="000000"/>
          <w:szCs w:val="26"/>
        </w:rPr>
        <w:t>e any given employer—including large scale employers such as In-N-Out—</w:t>
      </w:r>
      <w:r>
        <w:rPr>
          <w:rFonts w:eastAsia="Times New Roman" w:cs="Times New Roman"/>
          <w:color w:val="000000"/>
          <w:szCs w:val="26"/>
        </w:rPr>
        <w:t xml:space="preserve">their </w:t>
      </w:r>
      <w:r w:rsidRPr="00E24806">
        <w:rPr>
          <w:rFonts w:eastAsia="Times New Roman" w:cs="Times New Roman"/>
          <w:color w:val="000000"/>
          <w:szCs w:val="26"/>
        </w:rPr>
        <w:t>interpretation runs contrary to the statutory purpose.  (</w:t>
      </w:r>
      <w:r w:rsidRPr="007914C0">
        <w:rPr>
          <w:rFonts w:eastAsia="Times New Roman" w:cs="Times New Roman"/>
          <w:i/>
          <w:iCs/>
          <w:szCs w:val="26"/>
          <w:bdr w:val="none" w:sz="0" w:space="0" w:color="auto" w:frame="1"/>
        </w:rPr>
        <w:t>Adolph v. Uber Technologies, Inc.</w:t>
      </w:r>
      <w:r w:rsidRPr="007914C0">
        <w:rPr>
          <w:rFonts w:eastAsia="Times New Roman" w:cs="Times New Roman"/>
          <w:i/>
          <w:szCs w:val="26"/>
          <w:bdr w:val="none" w:sz="0" w:space="0" w:color="auto" w:frame="1"/>
        </w:rPr>
        <w:t xml:space="preserve"> </w:t>
      </w:r>
      <w:r w:rsidRPr="007914C0">
        <w:rPr>
          <w:rFonts w:eastAsia="Times New Roman" w:cs="Times New Roman"/>
          <w:szCs w:val="26"/>
        </w:rPr>
        <w:t xml:space="preserve">(2023) 14 Cal.5th 1104, 1122 [“ ‘The Legislature’s sole purpose in enacting </w:t>
      </w:r>
      <w:proofErr w:type="spellStart"/>
      <w:r w:rsidRPr="00EA62CB">
        <w:rPr>
          <w:rFonts w:eastAsia="Times New Roman" w:cs="Times New Roman"/>
          <w:color w:val="000000"/>
          <w:szCs w:val="26"/>
        </w:rPr>
        <w:t>PAGA</w:t>
      </w:r>
      <w:proofErr w:type="spellEnd"/>
      <w:r w:rsidRPr="00EA62CB">
        <w:rPr>
          <w:rFonts w:eastAsia="Times New Roman" w:cs="Times New Roman"/>
          <w:color w:val="000000"/>
          <w:szCs w:val="26"/>
        </w:rPr>
        <w:t xml:space="preserve"> was </w:t>
      </w:r>
      <w:r>
        <w:rPr>
          <w:rFonts w:eastAsia="Times New Roman" w:cs="Times New Roman"/>
          <w:color w:val="000000"/>
          <w:szCs w:val="26"/>
        </w:rPr>
        <w:t>“</w:t>
      </w:r>
      <w:r w:rsidRPr="00EA62CB">
        <w:rPr>
          <w:rFonts w:eastAsia="Times New Roman" w:cs="Times New Roman"/>
          <w:color w:val="000000"/>
          <w:szCs w:val="26"/>
        </w:rPr>
        <w:t xml:space="preserve">to </w:t>
      </w:r>
      <w:r w:rsidRPr="00EA62CB">
        <w:rPr>
          <w:rFonts w:eastAsia="Times New Roman" w:cs="Times New Roman"/>
          <w:color w:val="000000"/>
          <w:szCs w:val="26"/>
        </w:rPr>
        <w:t>augment the limited enforcement capability of the [</w:t>
      </w:r>
      <w:proofErr w:type="spellStart"/>
      <w:r w:rsidRPr="00EA62CB">
        <w:rPr>
          <w:rFonts w:eastAsia="Times New Roman" w:cs="Times New Roman"/>
          <w:color w:val="000000"/>
          <w:szCs w:val="26"/>
        </w:rPr>
        <w:t>LWDA</w:t>
      </w:r>
      <w:proofErr w:type="spellEnd"/>
      <w:r w:rsidRPr="00EA62CB">
        <w:rPr>
          <w:rFonts w:eastAsia="Times New Roman" w:cs="Times New Roman"/>
          <w:color w:val="000000"/>
          <w:szCs w:val="26"/>
        </w:rPr>
        <w:t xml:space="preserve">] by empowering employees to enforce the Labor </w:t>
      </w:r>
      <w:r w:rsidRPr="00EA62CB">
        <w:rPr>
          <w:rFonts w:eastAsia="Times New Roman" w:cs="Times New Roman"/>
          <w:color w:val="000000"/>
          <w:szCs w:val="26"/>
        </w:rPr>
        <w:lastRenderedPageBreak/>
        <w:t>Code as representatives of the Agency.</w:t>
      </w:r>
      <w:r>
        <w:rPr>
          <w:rFonts w:eastAsia="Times New Roman" w:cs="Times New Roman"/>
          <w:color w:val="000000"/>
          <w:szCs w:val="26"/>
        </w:rPr>
        <w:t>” </w:t>
      </w:r>
      <w:r w:rsidRPr="00EA62CB">
        <w:rPr>
          <w:rFonts w:eastAsia="Times New Roman" w:cs="Times New Roman"/>
          <w:color w:val="000000"/>
          <w:szCs w:val="26"/>
        </w:rPr>
        <w:t>’</w:t>
      </w:r>
      <w:r>
        <w:rPr>
          <w:rFonts w:eastAsia="Times New Roman" w:cs="Times New Roman"/>
          <w:color w:val="000000"/>
          <w:szCs w:val="26"/>
        </w:rPr>
        <w:t> </w:t>
      </w:r>
      <w:r w:rsidRPr="00EA62CB">
        <w:rPr>
          <w:rFonts w:eastAsia="Times New Roman" w:cs="Times New Roman"/>
          <w:color w:val="000000"/>
          <w:szCs w:val="26"/>
        </w:rPr>
        <w:t xml:space="preserve">”]; </w:t>
      </w:r>
      <w:r w:rsidRPr="00E24806">
        <w:rPr>
          <w:rFonts w:eastAsia="Times New Roman" w:cs="Times New Roman"/>
          <w:i/>
          <w:iCs/>
          <w:color w:val="000000"/>
          <w:szCs w:val="26"/>
        </w:rPr>
        <w:t>Williams v. Superior Court</w:t>
      </w:r>
      <w:r w:rsidRPr="00E24806">
        <w:rPr>
          <w:rFonts w:eastAsia="Times New Roman" w:cs="Times New Roman"/>
          <w:color w:val="000000"/>
          <w:szCs w:val="26"/>
        </w:rPr>
        <w:t xml:space="preserve"> (2017) 3</w:t>
      </w:r>
      <w:r>
        <w:rPr>
          <w:rFonts w:eastAsia="Times New Roman" w:cs="Times New Roman"/>
          <w:color w:val="000000"/>
          <w:szCs w:val="26"/>
        </w:rPr>
        <w:t> </w:t>
      </w:r>
      <w:r w:rsidRPr="00E24806">
        <w:rPr>
          <w:rFonts w:eastAsia="Times New Roman" w:cs="Times New Roman"/>
          <w:color w:val="000000"/>
          <w:szCs w:val="26"/>
        </w:rPr>
        <w:t>Cal.5th 531, 54</w:t>
      </w:r>
      <w:r>
        <w:rPr>
          <w:rFonts w:eastAsia="Times New Roman" w:cs="Times New Roman"/>
          <w:color w:val="000000"/>
          <w:szCs w:val="26"/>
        </w:rPr>
        <w:t>6</w:t>
      </w:r>
      <w:r w:rsidRPr="00E24806">
        <w:rPr>
          <w:rFonts w:eastAsia="Times New Roman" w:cs="Times New Roman"/>
          <w:color w:val="000000"/>
          <w:szCs w:val="26"/>
        </w:rPr>
        <w:t xml:space="preserve"> </w:t>
      </w:r>
      <w:r>
        <w:rPr>
          <w:rFonts w:eastAsia="Times New Roman" w:cs="Times New Roman"/>
          <w:color w:val="000000"/>
          <w:szCs w:val="26"/>
        </w:rPr>
        <w:t>[</w:t>
      </w:r>
      <w:r w:rsidRPr="00E24806">
        <w:rPr>
          <w:rFonts w:eastAsia="Times New Roman" w:cs="Times New Roman"/>
          <w:color w:val="000000"/>
          <w:szCs w:val="26"/>
        </w:rPr>
        <w:t xml:space="preserve">the legislature enacted </w:t>
      </w:r>
      <w:proofErr w:type="spellStart"/>
      <w:r w:rsidRPr="00E24806">
        <w:rPr>
          <w:rFonts w:eastAsia="Times New Roman" w:cs="Times New Roman"/>
          <w:color w:val="000000"/>
          <w:szCs w:val="26"/>
        </w:rPr>
        <w:t>PAGA</w:t>
      </w:r>
      <w:proofErr w:type="spellEnd"/>
      <w:r w:rsidRPr="00E24806">
        <w:rPr>
          <w:rFonts w:eastAsia="Times New Roman" w:cs="Times New Roman"/>
          <w:color w:val="000000"/>
          <w:szCs w:val="26"/>
        </w:rPr>
        <w:t xml:space="preserve"> to “expand</w:t>
      </w:r>
      <w:r w:rsidRPr="00182702">
        <w:rPr>
          <w:rFonts w:eastAsia="Times New Roman" w:cs="Times New Roman"/>
          <w:color w:val="000000"/>
          <w:spacing w:val="20"/>
          <w:szCs w:val="26"/>
        </w:rPr>
        <w:t>[]</w:t>
      </w:r>
      <w:r w:rsidRPr="00E24806">
        <w:rPr>
          <w:rFonts w:eastAsia="Times New Roman" w:cs="Times New Roman"/>
          <w:color w:val="000000"/>
          <w:szCs w:val="26"/>
        </w:rPr>
        <w:t xml:space="preserve"> the universe of those who might enforce the law, and the sanctions violators might be subject to,</w:t>
      </w:r>
      <w:r>
        <w:rPr>
          <w:rFonts w:eastAsia="Times New Roman" w:cs="Times New Roman"/>
          <w:color w:val="000000"/>
          <w:szCs w:val="26"/>
        </w:rPr>
        <w:t xml:space="preserve"> . . . </w:t>
      </w:r>
      <w:r w:rsidRPr="00E24806">
        <w:rPr>
          <w:rFonts w:eastAsia="Times New Roman" w:cs="Times New Roman"/>
          <w:color w:val="000000"/>
          <w:szCs w:val="26"/>
        </w:rPr>
        <w:t>to remediate present violations [of the Labor Code] and deter future ones.”</w:t>
      </w:r>
      <w:r>
        <w:rPr>
          <w:rFonts w:eastAsia="Times New Roman" w:cs="Times New Roman"/>
          <w:color w:val="000000"/>
          <w:szCs w:val="26"/>
        </w:rPr>
        <w:t>].</w:t>
      </w:r>
      <w:r w:rsidRPr="00E24806">
        <w:rPr>
          <w:rFonts w:eastAsia="Times New Roman" w:cs="Times New Roman"/>
          <w:color w:val="000000"/>
          <w:szCs w:val="26"/>
        </w:rPr>
        <w:t xml:space="preserve">)  </w:t>
      </w:r>
    </w:p>
    <w:p w14:paraId="47A62B55" w14:textId="77777777" w:rsidR="007A3FD6" w:rsidRPr="00604FBA" w:rsidRDefault="00B45E56" w:rsidP="00BF60CD">
      <w:pPr>
        <w:shd w:val="clear" w:color="auto" w:fill="FFFFFF"/>
        <w:spacing w:line="360" w:lineRule="auto"/>
        <w:ind w:firstLine="720"/>
        <w:rPr>
          <w:rFonts w:eastAsia="Times New Roman" w:cs="Times New Roman"/>
          <w:color w:val="000000"/>
          <w:szCs w:val="26"/>
        </w:rPr>
      </w:pPr>
      <w:r w:rsidRPr="00E24806">
        <w:rPr>
          <w:rFonts w:eastAsia="Times New Roman" w:cs="Times New Roman"/>
          <w:color w:val="000000"/>
          <w:szCs w:val="26"/>
        </w:rPr>
        <w:t>Statutes conferring law enforcement</w:t>
      </w:r>
      <w:r w:rsidRPr="00604FBA">
        <w:rPr>
          <w:rFonts w:eastAsia="Times New Roman" w:cs="Times New Roman"/>
          <w:color w:val="000000"/>
          <w:szCs w:val="26"/>
        </w:rPr>
        <w:t xml:space="preserve"> authority on multiple civil prosec</w:t>
      </w:r>
      <w:r w:rsidRPr="00604FBA">
        <w:rPr>
          <w:rFonts w:eastAsia="Times New Roman" w:cs="Times New Roman"/>
          <w:color w:val="000000"/>
          <w:szCs w:val="26"/>
        </w:rPr>
        <w:t xml:space="preserve">utors to pursue the same defendant for conduct arising from the same </w:t>
      </w:r>
      <w:r w:rsidRPr="00BF60CD">
        <w:rPr>
          <w:rFonts w:eastAsia="Times New Roman" w:cs="Times New Roman"/>
          <w:color w:val="000000"/>
          <w:szCs w:val="26"/>
        </w:rPr>
        <w:t>act or series of related acts are common.</w:t>
      </w:r>
      <w:r>
        <w:rPr>
          <w:rStyle w:val="FootnoteReference"/>
          <w:rFonts w:eastAsia="Times New Roman" w:cs="Times New Roman"/>
          <w:color w:val="000000"/>
          <w:szCs w:val="26"/>
        </w:rPr>
        <w:footnoteReference w:id="17"/>
      </w:r>
      <w:r w:rsidRPr="00BF60CD">
        <w:rPr>
          <w:rFonts w:eastAsia="Times New Roman" w:cs="Times New Roman"/>
          <w:color w:val="000000"/>
          <w:szCs w:val="26"/>
        </w:rPr>
        <w:t xml:space="preserve">  Nothing about </w:t>
      </w:r>
      <w:proofErr w:type="spellStart"/>
      <w:r w:rsidRPr="00BF60CD">
        <w:rPr>
          <w:rFonts w:eastAsia="Times New Roman" w:cs="Times New Roman"/>
          <w:color w:val="000000"/>
          <w:szCs w:val="26"/>
        </w:rPr>
        <w:t>PAGA</w:t>
      </w:r>
      <w:proofErr w:type="spellEnd"/>
      <w:r w:rsidRPr="00BF60CD">
        <w:rPr>
          <w:rFonts w:eastAsia="Times New Roman" w:cs="Times New Roman"/>
          <w:color w:val="000000"/>
          <w:szCs w:val="26"/>
        </w:rPr>
        <w:t xml:space="preserve"> implicates separation of powers concerns simply because the Legislature chose to use a </w:t>
      </w:r>
      <w:r w:rsidRPr="00512F18">
        <w:rPr>
          <w:rFonts w:eastAsia="Times New Roman" w:cs="Times New Roman"/>
          <w:szCs w:val="26"/>
        </w:rPr>
        <w:t xml:space="preserve">scheme of </w:t>
      </w:r>
      <w:r>
        <w:rPr>
          <w:rFonts w:eastAsia="Times New Roman" w:cs="Times New Roman"/>
          <w:szCs w:val="26"/>
        </w:rPr>
        <w:t xml:space="preserve">private </w:t>
      </w:r>
      <w:r w:rsidRPr="00512F18">
        <w:rPr>
          <w:rFonts w:eastAsia="Times New Roman" w:cs="Times New Roman"/>
          <w:szCs w:val="26"/>
        </w:rPr>
        <w:t>deputization model</w:t>
      </w:r>
      <w:r w:rsidRPr="00512F18">
        <w:rPr>
          <w:rFonts w:eastAsia="Times New Roman" w:cs="Times New Roman"/>
          <w:szCs w:val="26"/>
        </w:rPr>
        <w:t>led on a</w:t>
      </w:r>
      <w:r>
        <w:rPr>
          <w:rFonts w:eastAsia="Times New Roman" w:cs="Times New Roman"/>
          <w:szCs w:val="26"/>
        </w:rPr>
        <w:t xml:space="preserve"> traditional</w:t>
      </w:r>
      <w:r w:rsidRPr="00512F18">
        <w:rPr>
          <w:rFonts w:eastAsia="Times New Roman" w:cs="Times New Roman"/>
          <w:szCs w:val="26"/>
        </w:rPr>
        <w:t xml:space="preserve"> qui tam mode of enforcement.  (</w:t>
      </w:r>
      <w:proofErr w:type="spellStart"/>
      <w:r w:rsidRPr="00512F18">
        <w:rPr>
          <w:rFonts w:eastAsia="Times New Roman" w:cs="Times New Roman"/>
          <w:i/>
          <w:iCs/>
          <w:szCs w:val="26"/>
          <w:bdr w:val="none" w:sz="0" w:space="0" w:color="auto" w:frame="1"/>
        </w:rPr>
        <w:t>Iskanian</w:t>
      </w:r>
      <w:proofErr w:type="spellEnd"/>
      <w:r w:rsidRPr="00512F18">
        <w:rPr>
          <w:rFonts w:eastAsia="Times New Roman" w:cs="Times New Roman"/>
          <w:i/>
          <w:iCs/>
          <w:szCs w:val="26"/>
          <w:bdr w:val="none" w:sz="0" w:space="0" w:color="auto" w:frame="1"/>
        </w:rPr>
        <w:t xml:space="preserve"> v. CLS Transportation Los Angeles, LLC</w:t>
      </w:r>
      <w:r w:rsidRPr="00512F18">
        <w:rPr>
          <w:rFonts w:eastAsia="Times New Roman" w:cs="Times New Roman"/>
          <w:szCs w:val="26"/>
        </w:rPr>
        <w:t xml:space="preserve"> (2014) 59</w:t>
      </w:r>
      <w:r>
        <w:rPr>
          <w:rFonts w:eastAsia="Times New Roman" w:cs="Times New Roman"/>
          <w:szCs w:val="26"/>
        </w:rPr>
        <w:t> </w:t>
      </w:r>
      <w:r w:rsidRPr="00512F18">
        <w:rPr>
          <w:rFonts w:eastAsia="Times New Roman" w:cs="Times New Roman"/>
          <w:szCs w:val="26"/>
        </w:rPr>
        <w:t xml:space="preserve">Cal.4th 348, 382 </w:t>
      </w:r>
      <w:r w:rsidRPr="00512F18">
        <w:rPr>
          <w:rFonts w:eastAsia="Times New Roman" w:cs="Times New Roman"/>
          <w:color w:val="000000"/>
          <w:szCs w:val="26"/>
        </w:rPr>
        <w:t>[“[a]</w:t>
      </w:r>
      <w:proofErr w:type="spellStart"/>
      <w:r w:rsidRPr="00512F18">
        <w:rPr>
          <w:rFonts w:eastAsia="Times New Roman" w:cs="Times New Roman"/>
          <w:color w:val="000000"/>
          <w:szCs w:val="26"/>
        </w:rPr>
        <w:t>lthough</w:t>
      </w:r>
      <w:proofErr w:type="spellEnd"/>
      <w:r w:rsidRPr="00512F18">
        <w:rPr>
          <w:rFonts w:eastAsia="Times New Roman" w:cs="Times New Roman"/>
          <w:color w:val="000000"/>
          <w:szCs w:val="26"/>
        </w:rPr>
        <w:t xml:space="preserve"> the </w:t>
      </w:r>
      <w:proofErr w:type="spellStart"/>
      <w:r w:rsidRPr="00512F18">
        <w:rPr>
          <w:rFonts w:eastAsia="Times New Roman" w:cs="Times New Roman"/>
          <w:color w:val="000000"/>
          <w:szCs w:val="26"/>
        </w:rPr>
        <w:t>PAGA</w:t>
      </w:r>
      <w:proofErr w:type="spellEnd"/>
      <w:r w:rsidRPr="00512F18">
        <w:rPr>
          <w:rFonts w:eastAsia="Times New Roman" w:cs="Times New Roman"/>
          <w:color w:val="000000"/>
          <w:szCs w:val="26"/>
        </w:rPr>
        <w:t xml:space="preserve"> was enacted relatively recently, the use of qui tam actions is venerable, dating back to </w:t>
      </w:r>
      <w:r w:rsidRPr="00512F18">
        <w:rPr>
          <w:rFonts w:eastAsia="Times New Roman" w:cs="Times New Roman"/>
          <w:szCs w:val="26"/>
        </w:rPr>
        <w:t xml:space="preserve">colonial times”], </w:t>
      </w:r>
      <w:r w:rsidRPr="00512F18">
        <w:rPr>
          <w:rFonts w:eastAsia="Times New Roman" w:cs="Times New Roman"/>
          <w:i/>
          <w:iCs/>
          <w:szCs w:val="26"/>
          <w:bdr w:val="none" w:sz="0" w:space="0" w:color="auto" w:frame="1"/>
        </w:rPr>
        <w:t>abrogated on other grounds</w:t>
      </w:r>
      <w:r w:rsidRPr="00512F18">
        <w:rPr>
          <w:rFonts w:eastAsia="Times New Roman" w:cs="Times New Roman"/>
          <w:szCs w:val="26"/>
          <w:bdr w:val="none" w:sz="0" w:space="0" w:color="auto" w:frame="1"/>
        </w:rPr>
        <w:t xml:space="preserve">, </w:t>
      </w:r>
      <w:r w:rsidRPr="00512F18">
        <w:rPr>
          <w:rFonts w:eastAsia="Times New Roman" w:cs="Times New Roman"/>
          <w:i/>
          <w:iCs/>
          <w:szCs w:val="26"/>
          <w:bdr w:val="none" w:sz="0" w:space="0" w:color="auto" w:frame="1"/>
        </w:rPr>
        <w:t xml:space="preserve">Viking River Cruises, Inc. v. </w:t>
      </w:r>
      <w:proofErr w:type="spellStart"/>
      <w:r w:rsidRPr="00512F18">
        <w:rPr>
          <w:rFonts w:eastAsia="Times New Roman" w:cs="Times New Roman"/>
          <w:i/>
          <w:iCs/>
          <w:szCs w:val="26"/>
          <w:bdr w:val="none" w:sz="0" w:space="0" w:color="auto" w:frame="1"/>
        </w:rPr>
        <w:t>Moriana</w:t>
      </w:r>
      <w:proofErr w:type="spellEnd"/>
      <w:r w:rsidRPr="00512F18">
        <w:rPr>
          <w:rFonts w:eastAsia="Times New Roman" w:cs="Times New Roman"/>
          <w:szCs w:val="26"/>
        </w:rPr>
        <w:t xml:space="preserve"> (2022) </w:t>
      </w:r>
      <w:r>
        <w:rPr>
          <w:rFonts w:eastAsia="Times New Roman" w:cs="Times New Roman"/>
          <w:szCs w:val="26"/>
        </w:rPr>
        <w:t>596 </w:t>
      </w:r>
      <w:r w:rsidRPr="00512F18">
        <w:rPr>
          <w:rFonts w:eastAsia="Times New Roman" w:cs="Times New Roman"/>
          <w:szCs w:val="26"/>
        </w:rPr>
        <w:t xml:space="preserve">U.S. ___ </w:t>
      </w:r>
      <w:r>
        <w:rPr>
          <w:rFonts w:eastAsia="Times New Roman" w:cs="Times New Roman"/>
          <w:szCs w:val="26"/>
        </w:rPr>
        <w:t>[</w:t>
      </w:r>
      <w:r w:rsidRPr="00512F18">
        <w:rPr>
          <w:rFonts w:eastAsia="Times New Roman" w:cs="Times New Roman"/>
          <w:szCs w:val="26"/>
        </w:rPr>
        <w:t>142</w:t>
      </w:r>
      <w:r>
        <w:rPr>
          <w:rFonts w:eastAsia="Times New Roman" w:cs="Times New Roman"/>
          <w:szCs w:val="26"/>
        </w:rPr>
        <w:t> </w:t>
      </w:r>
      <w:proofErr w:type="spellStart"/>
      <w:r w:rsidRPr="00512F18">
        <w:rPr>
          <w:rFonts w:eastAsia="Times New Roman" w:cs="Times New Roman"/>
          <w:szCs w:val="26"/>
        </w:rPr>
        <w:t>S.Ct</w:t>
      </w:r>
      <w:proofErr w:type="spellEnd"/>
      <w:r w:rsidRPr="00512F18">
        <w:rPr>
          <w:rFonts w:eastAsia="Times New Roman" w:cs="Times New Roman"/>
          <w:szCs w:val="26"/>
        </w:rPr>
        <w:t>. 1906, 1923</w:t>
      </w:r>
      <w:r>
        <w:rPr>
          <w:rFonts w:eastAsia="Times New Roman" w:cs="Times New Roman"/>
          <w:szCs w:val="26"/>
        </w:rPr>
        <w:t>–</w:t>
      </w:r>
      <w:r w:rsidRPr="00512F18">
        <w:rPr>
          <w:rFonts w:eastAsia="Times New Roman" w:cs="Times New Roman"/>
          <w:szCs w:val="26"/>
        </w:rPr>
        <w:t>1925</w:t>
      </w:r>
      <w:r>
        <w:rPr>
          <w:rFonts w:eastAsia="Times New Roman" w:cs="Times New Roman"/>
          <w:szCs w:val="26"/>
        </w:rPr>
        <w:t>]</w:t>
      </w:r>
      <w:r w:rsidRPr="00512F18">
        <w:rPr>
          <w:rFonts w:eastAsia="Times New Roman" w:cs="Times New Roman"/>
          <w:szCs w:val="26"/>
        </w:rPr>
        <w:t>.)</w:t>
      </w:r>
      <w:r w:rsidRPr="00512F18">
        <w:rPr>
          <w:rFonts w:ascii="Source Sans Pro" w:eastAsia="Times New Roman" w:hAnsi="Source Sans Pro" w:cs="Times New Roman"/>
          <w:sz w:val="24"/>
          <w:szCs w:val="24"/>
        </w:rPr>
        <w:br/>
      </w:r>
      <w:r>
        <w:rPr>
          <w:rFonts w:eastAsia="Times New Roman" w:cs="Times New Roman"/>
          <w:color w:val="000000"/>
          <w:szCs w:val="26"/>
        </w:rPr>
        <w:tab/>
        <w:t>Without doubt, t</w:t>
      </w:r>
      <w:r w:rsidRPr="00604FBA">
        <w:rPr>
          <w:rFonts w:eastAsia="Times New Roman" w:cs="Times New Roman"/>
          <w:color w:val="000000"/>
          <w:szCs w:val="26"/>
        </w:rPr>
        <w:t xml:space="preserve">he problems of case management created by the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xml:space="preserve"> scheme can </w:t>
      </w:r>
      <w:r>
        <w:rPr>
          <w:rFonts w:eastAsia="Times New Roman" w:cs="Times New Roman"/>
          <w:color w:val="000000"/>
          <w:szCs w:val="26"/>
        </w:rPr>
        <w:t>sometimes present novel and challenging issues.</w:t>
      </w:r>
      <w:r>
        <w:rPr>
          <w:rStyle w:val="FootnoteReference"/>
          <w:rFonts w:eastAsia="Times New Roman" w:cs="Times New Roman"/>
          <w:color w:val="000000"/>
          <w:szCs w:val="26"/>
        </w:rPr>
        <w:footnoteReference w:id="18"/>
      </w:r>
      <w:r>
        <w:rPr>
          <w:rFonts w:eastAsia="Times New Roman" w:cs="Times New Roman"/>
          <w:color w:val="000000"/>
          <w:szCs w:val="26"/>
        </w:rPr>
        <w:t xml:space="preserve">  But we</w:t>
      </w:r>
      <w:r w:rsidRPr="00604FBA">
        <w:rPr>
          <w:rFonts w:eastAsia="Times New Roman" w:cs="Times New Roman"/>
          <w:color w:val="000000"/>
          <w:szCs w:val="26"/>
        </w:rPr>
        <w:t xml:space="preserve"> think </w:t>
      </w:r>
      <w:r w:rsidRPr="00604FBA">
        <w:rPr>
          <w:rFonts w:eastAsia="Times New Roman" w:cs="Times New Roman"/>
          <w:color w:val="000000"/>
          <w:szCs w:val="26"/>
        </w:rPr>
        <w:lastRenderedPageBreak/>
        <w:t>ordinary rules of civil procedure, supplemented where necessary and appropriate by rules governing coordination of complex cases,</w:t>
      </w:r>
      <w:r>
        <w:rPr>
          <w:rStyle w:val="FootnoteReference"/>
          <w:rFonts w:eastAsia="Times New Roman" w:cs="Times New Roman"/>
          <w:color w:val="000000"/>
          <w:szCs w:val="26"/>
        </w:rPr>
        <w:footnoteReference w:id="19"/>
      </w:r>
      <w:r w:rsidRPr="00604FBA">
        <w:rPr>
          <w:rFonts w:eastAsia="Times New Roman" w:cs="Times New Roman"/>
          <w:color w:val="000000"/>
          <w:szCs w:val="26"/>
        </w:rPr>
        <w:t xml:space="preserve"> are adequate to the task of resolving the difficult procedural problems that arise when multiple </w:t>
      </w:r>
      <w:proofErr w:type="spellStart"/>
      <w:r>
        <w:rPr>
          <w:rFonts w:eastAsia="Times New Roman" w:cs="Times New Roman"/>
          <w:color w:val="000000"/>
          <w:szCs w:val="26"/>
        </w:rPr>
        <w:t>LWDA</w:t>
      </w:r>
      <w:proofErr w:type="spellEnd"/>
      <w:r>
        <w:rPr>
          <w:rFonts w:eastAsia="Times New Roman" w:cs="Times New Roman"/>
          <w:color w:val="000000"/>
          <w:szCs w:val="26"/>
        </w:rPr>
        <w:t>-</w:t>
      </w:r>
      <w:r w:rsidRPr="00604FBA">
        <w:rPr>
          <w:rFonts w:eastAsia="Times New Roman" w:cs="Times New Roman"/>
          <w:color w:val="000000"/>
          <w:szCs w:val="26"/>
        </w:rPr>
        <w:t xml:space="preserve">deputized </w:t>
      </w:r>
      <w:proofErr w:type="spellStart"/>
      <w:r>
        <w:rPr>
          <w:rFonts w:eastAsia="Times New Roman" w:cs="Times New Roman"/>
          <w:color w:val="000000"/>
          <w:szCs w:val="26"/>
        </w:rPr>
        <w:t>PAGA</w:t>
      </w:r>
      <w:proofErr w:type="spellEnd"/>
      <w:r>
        <w:rPr>
          <w:rFonts w:eastAsia="Times New Roman" w:cs="Times New Roman"/>
          <w:color w:val="000000"/>
          <w:szCs w:val="26"/>
        </w:rPr>
        <w:t xml:space="preserve"> </w:t>
      </w:r>
      <w:r w:rsidRPr="00604FBA">
        <w:rPr>
          <w:rFonts w:eastAsia="Times New Roman" w:cs="Times New Roman"/>
          <w:color w:val="000000"/>
          <w:szCs w:val="26"/>
        </w:rPr>
        <w:t xml:space="preserve">claimants sue the same target employer in different courts.  </w:t>
      </w:r>
      <w:r>
        <w:rPr>
          <w:rFonts w:eastAsia="Times New Roman" w:cs="Times New Roman"/>
          <w:color w:val="000000"/>
          <w:szCs w:val="26"/>
        </w:rPr>
        <w:t xml:space="preserve">(E.g. </w:t>
      </w:r>
      <w:r w:rsidRPr="009A00F3">
        <w:rPr>
          <w:rFonts w:eastAsia="Times New Roman" w:cs="Times New Roman"/>
          <w:i/>
          <w:iCs/>
          <w:szCs w:val="26"/>
          <w:bdr w:val="none" w:sz="0" w:space="0" w:color="auto" w:frame="1"/>
        </w:rPr>
        <w:t>Arias v. Superior Court</w:t>
      </w:r>
      <w:r w:rsidRPr="009A00F3">
        <w:rPr>
          <w:rFonts w:eastAsia="Times New Roman" w:cs="Times New Roman"/>
          <w:szCs w:val="26"/>
        </w:rPr>
        <w:t xml:space="preserve"> (2009</w:t>
      </w:r>
      <w:r w:rsidRPr="00AE3A6E">
        <w:rPr>
          <w:rFonts w:eastAsia="Times New Roman" w:cs="Times New Roman"/>
          <w:color w:val="000000"/>
          <w:szCs w:val="26"/>
        </w:rPr>
        <w:t>) 46</w:t>
      </w:r>
      <w:r>
        <w:rPr>
          <w:rFonts w:eastAsia="Times New Roman" w:cs="Times New Roman"/>
          <w:color w:val="000000"/>
          <w:szCs w:val="26"/>
        </w:rPr>
        <w:t> </w:t>
      </w:r>
      <w:r w:rsidRPr="00AE3A6E">
        <w:rPr>
          <w:rFonts w:eastAsia="Times New Roman" w:cs="Times New Roman"/>
          <w:color w:val="000000"/>
          <w:szCs w:val="26"/>
        </w:rPr>
        <w:t>Cal.4th 969, 98</w:t>
      </w:r>
      <w:r>
        <w:rPr>
          <w:rFonts w:eastAsia="Times New Roman" w:cs="Times New Roman"/>
          <w:color w:val="000000"/>
          <w:szCs w:val="26"/>
        </w:rPr>
        <w:t>6</w:t>
      </w:r>
      <w:r w:rsidRPr="00716760">
        <w:rPr>
          <w:rFonts w:eastAsia="Times New Roman" w:cs="Times New Roman"/>
          <w:color w:val="000000"/>
          <w:szCs w:val="26"/>
        </w:rPr>
        <w:t xml:space="preserve"> </w:t>
      </w:r>
      <w:r>
        <w:rPr>
          <w:rFonts w:eastAsia="Times New Roman" w:cs="Times New Roman"/>
          <w:color w:val="000000"/>
          <w:szCs w:val="26"/>
        </w:rPr>
        <w:t>[</w:t>
      </w:r>
      <w:r w:rsidRPr="00716760">
        <w:rPr>
          <w:rFonts w:eastAsia="Times New Roman" w:cs="Times New Roman"/>
          <w:color w:val="000000"/>
          <w:szCs w:val="26"/>
        </w:rPr>
        <w:t xml:space="preserve">“Because an </w:t>
      </w:r>
      <w:r w:rsidRPr="00716760">
        <w:rPr>
          <w:rFonts w:eastAsia="Times New Roman" w:cs="Times New Roman"/>
          <w:color w:val="000000"/>
          <w:szCs w:val="26"/>
        </w:rPr>
        <w:t>aggrieved employee</w:t>
      </w:r>
      <w:r>
        <w:rPr>
          <w:rFonts w:eastAsia="Times New Roman" w:cs="Times New Roman"/>
          <w:color w:val="000000"/>
          <w:szCs w:val="26"/>
        </w:rPr>
        <w:t>’</w:t>
      </w:r>
      <w:r w:rsidRPr="00716760">
        <w:rPr>
          <w:rFonts w:eastAsia="Times New Roman" w:cs="Times New Roman"/>
          <w:color w:val="000000"/>
          <w:szCs w:val="26"/>
        </w:rPr>
        <w:t>s action under [</w:t>
      </w:r>
      <w:proofErr w:type="spellStart"/>
      <w:r w:rsidRPr="00716760">
        <w:rPr>
          <w:rFonts w:eastAsia="Times New Roman" w:cs="Times New Roman"/>
          <w:color w:val="000000"/>
          <w:szCs w:val="26"/>
        </w:rPr>
        <w:t>PAGA</w:t>
      </w:r>
      <w:proofErr w:type="spellEnd"/>
      <w:r w:rsidRPr="00716760">
        <w:rPr>
          <w:rFonts w:eastAsia="Times New Roman" w:cs="Times New Roman"/>
          <w:color w:val="000000"/>
          <w:szCs w:val="26"/>
        </w:rPr>
        <w:t>] functions as a substitute for an action brought by the government itself, a judgment in that action binds all those, including nonparty aggrieved employees, who would be bound by a judgment in an action brought by t</w:t>
      </w:r>
      <w:r w:rsidRPr="00716760">
        <w:rPr>
          <w:rFonts w:eastAsia="Times New Roman" w:cs="Times New Roman"/>
          <w:color w:val="000000"/>
          <w:szCs w:val="26"/>
        </w:rPr>
        <w:t>he government</w:t>
      </w:r>
      <w:r>
        <w:rPr>
          <w:rFonts w:eastAsia="Times New Roman" w:cs="Times New Roman"/>
          <w:color w:val="000000"/>
          <w:szCs w:val="26"/>
        </w:rPr>
        <w:t>.</w:t>
      </w:r>
      <w:r w:rsidRPr="00716760">
        <w:rPr>
          <w:rFonts w:eastAsia="Times New Roman" w:cs="Times New Roman"/>
          <w:color w:val="000000"/>
          <w:szCs w:val="26"/>
        </w:rPr>
        <w:t>”</w:t>
      </w:r>
      <w:r>
        <w:rPr>
          <w:rFonts w:eastAsia="Times New Roman" w:cs="Times New Roman"/>
          <w:color w:val="000000"/>
          <w:szCs w:val="26"/>
        </w:rPr>
        <w:t>].)</w:t>
      </w:r>
      <w:r>
        <w:rPr>
          <w:rStyle w:val="FootnoteReference"/>
          <w:rFonts w:eastAsia="Times New Roman" w:cs="Times New Roman"/>
          <w:color w:val="000000"/>
          <w:szCs w:val="26"/>
        </w:rPr>
        <w:footnoteReference w:id="20"/>
      </w:r>
      <w:r w:rsidRPr="00604FBA">
        <w:rPr>
          <w:rFonts w:eastAsia="Times New Roman" w:cs="Times New Roman"/>
          <w:color w:val="000000"/>
          <w:szCs w:val="26"/>
        </w:rPr>
        <w:t xml:space="preserve">  We see no need to employ the heavy artillery of constitutional argument to accomplish that end. </w:t>
      </w:r>
    </w:p>
    <w:p w14:paraId="4CD94946" w14:textId="77777777" w:rsidR="00BD10B8" w:rsidRPr="00604FBA" w:rsidRDefault="00B45E56" w:rsidP="00604FBA">
      <w:pPr>
        <w:shd w:val="clear" w:color="auto" w:fill="FFFFFF"/>
        <w:spacing w:line="360" w:lineRule="auto"/>
        <w:ind w:firstLine="720"/>
        <w:rPr>
          <w:szCs w:val="26"/>
        </w:rPr>
      </w:pPr>
      <w:r w:rsidRPr="00604FBA">
        <w:rPr>
          <w:rFonts w:eastAsia="Times New Roman" w:cs="Times New Roman"/>
          <w:color w:val="000000"/>
          <w:szCs w:val="26"/>
        </w:rPr>
        <w:t xml:space="preserve">Alternatively, </w:t>
      </w:r>
      <w:proofErr w:type="spellStart"/>
      <w:r w:rsidRPr="00604FBA">
        <w:rPr>
          <w:rFonts w:eastAsia="Times New Roman" w:cs="Times New Roman"/>
          <w:color w:val="000000"/>
          <w:szCs w:val="26"/>
        </w:rPr>
        <w:t>Piplack</w:t>
      </w:r>
      <w:proofErr w:type="spellEnd"/>
      <w:r w:rsidRPr="00604FBA">
        <w:rPr>
          <w:rFonts w:eastAsia="Times New Roman" w:cs="Times New Roman"/>
          <w:color w:val="000000"/>
          <w:szCs w:val="26"/>
        </w:rPr>
        <w:t xml:space="preserve"> and Taylor offer a “joint agency” argument to justify their intervention in </w:t>
      </w:r>
      <w:proofErr w:type="spellStart"/>
      <w:r w:rsidRPr="00604FBA">
        <w:rPr>
          <w:rFonts w:eastAsia="Times New Roman" w:cs="Times New Roman"/>
          <w:color w:val="000000"/>
          <w:szCs w:val="26"/>
        </w:rPr>
        <w:t>Accurso’s</w:t>
      </w:r>
      <w:proofErr w:type="spellEnd"/>
      <w:r w:rsidRPr="00604FBA">
        <w:rPr>
          <w:rFonts w:eastAsia="Times New Roman" w:cs="Times New Roman"/>
          <w:color w:val="000000"/>
          <w:szCs w:val="26"/>
        </w:rPr>
        <w:t xml:space="preserve"> case, but we find th</w:t>
      </w:r>
      <w:r>
        <w:rPr>
          <w:rFonts w:eastAsia="Times New Roman" w:cs="Times New Roman"/>
          <w:color w:val="000000"/>
          <w:szCs w:val="26"/>
        </w:rPr>
        <w:t>at</w:t>
      </w:r>
      <w:r w:rsidRPr="00604FBA">
        <w:rPr>
          <w:rFonts w:eastAsia="Times New Roman" w:cs="Times New Roman"/>
          <w:color w:val="000000"/>
          <w:szCs w:val="26"/>
        </w:rPr>
        <w:t xml:space="preserve"> </w:t>
      </w:r>
      <w:r>
        <w:rPr>
          <w:rFonts w:eastAsia="Times New Roman" w:cs="Times New Roman"/>
          <w:color w:val="000000"/>
          <w:szCs w:val="26"/>
        </w:rPr>
        <w:t xml:space="preserve">argument </w:t>
      </w:r>
      <w:r w:rsidRPr="00604FBA">
        <w:rPr>
          <w:rFonts w:eastAsia="Times New Roman" w:cs="Times New Roman"/>
          <w:color w:val="000000"/>
          <w:szCs w:val="26"/>
        </w:rPr>
        <w:t xml:space="preserve">to be </w:t>
      </w:r>
      <w:r>
        <w:rPr>
          <w:rFonts w:eastAsia="Times New Roman" w:cs="Times New Roman"/>
          <w:color w:val="000000"/>
          <w:szCs w:val="26"/>
        </w:rPr>
        <w:t xml:space="preserve">no more </w:t>
      </w:r>
      <w:r w:rsidRPr="00604FBA">
        <w:rPr>
          <w:rFonts w:eastAsia="Times New Roman" w:cs="Times New Roman"/>
          <w:color w:val="000000"/>
          <w:szCs w:val="26"/>
        </w:rPr>
        <w:t>persuasive</w:t>
      </w:r>
      <w:r>
        <w:rPr>
          <w:rFonts w:eastAsia="Times New Roman" w:cs="Times New Roman"/>
          <w:color w:val="000000"/>
          <w:szCs w:val="26"/>
        </w:rPr>
        <w:t xml:space="preserve"> than their more ambitious, constitutional effort to justify what they call exclusive delegation</w:t>
      </w:r>
      <w:r w:rsidRPr="00604FBA">
        <w:rPr>
          <w:rFonts w:eastAsia="Times New Roman" w:cs="Times New Roman"/>
          <w:color w:val="000000"/>
          <w:szCs w:val="26"/>
        </w:rPr>
        <w:t xml:space="preserve">.  This secondary line of argument rests on the common law of agency.  A background principle of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xml:space="preserve"> procedure enunciated in </w:t>
      </w:r>
      <w:r w:rsidRPr="00604FBA">
        <w:rPr>
          <w:rFonts w:eastAsia="Times New Roman" w:cs="Times New Roman"/>
          <w:i/>
          <w:iCs/>
          <w:color w:val="3D3D3D"/>
          <w:szCs w:val="26"/>
          <w:bdr w:val="none" w:sz="0" w:space="0" w:color="auto" w:frame="1"/>
        </w:rPr>
        <w:t>J</w:t>
      </w:r>
      <w:r w:rsidRPr="00604FBA">
        <w:rPr>
          <w:rFonts w:eastAsia="Times New Roman" w:cs="Times New Roman"/>
          <w:i/>
          <w:iCs/>
          <w:color w:val="3D3D3D"/>
          <w:szCs w:val="26"/>
          <w:bdr w:val="none" w:sz="0" w:space="0" w:color="auto" w:frame="1"/>
        </w:rPr>
        <w:t xml:space="preserve">ulian </w:t>
      </w:r>
      <w:r w:rsidRPr="00604FBA">
        <w:rPr>
          <w:rFonts w:eastAsia="Times New Roman" w:cs="Times New Roman"/>
          <w:color w:val="000000"/>
          <w:szCs w:val="26"/>
        </w:rPr>
        <w:t xml:space="preserve">is that more than one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xml:space="preserve"> claimant may be deputized to pursue overlapping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xml:space="preserve"> claims against a single employer.  If this </w:t>
      </w:r>
      <w:r w:rsidRPr="00604FBA">
        <w:rPr>
          <w:rFonts w:eastAsia="Times New Roman" w:cs="Times New Roman"/>
          <w:color w:val="000000"/>
          <w:szCs w:val="26"/>
        </w:rPr>
        <w:lastRenderedPageBreak/>
        <w:t>principle is sound—and we think it</w:t>
      </w:r>
      <w:r>
        <w:rPr>
          <w:rFonts w:eastAsia="Times New Roman" w:cs="Times New Roman"/>
          <w:color w:val="000000"/>
          <w:szCs w:val="26"/>
        </w:rPr>
        <w:t xml:space="preserve"> is</w:t>
      </w:r>
      <w:r w:rsidRPr="00604FBA">
        <w:rPr>
          <w:rFonts w:eastAsia="Times New Roman" w:cs="Times New Roman"/>
          <w:color w:val="000000"/>
          <w:szCs w:val="26"/>
        </w:rPr>
        <w:t>—</w:t>
      </w:r>
      <w:proofErr w:type="spellStart"/>
      <w:r w:rsidRPr="00604FBA">
        <w:rPr>
          <w:rFonts w:eastAsia="Times New Roman" w:cs="Times New Roman"/>
          <w:color w:val="000000"/>
          <w:szCs w:val="26"/>
        </w:rPr>
        <w:t>Piplack</w:t>
      </w:r>
      <w:proofErr w:type="spellEnd"/>
      <w:r w:rsidRPr="00604FBA">
        <w:rPr>
          <w:rFonts w:eastAsia="Times New Roman" w:cs="Times New Roman"/>
          <w:color w:val="000000"/>
          <w:szCs w:val="26"/>
        </w:rPr>
        <w:t xml:space="preserve"> and Taylor contend they should be viewed as joint agents, which means that </w:t>
      </w:r>
      <w:proofErr w:type="spellStart"/>
      <w:r w:rsidRPr="00604FBA">
        <w:rPr>
          <w:rFonts w:eastAsia="Times New Roman" w:cs="Times New Roman"/>
          <w:color w:val="000000"/>
          <w:szCs w:val="26"/>
        </w:rPr>
        <w:t>Accurs</w:t>
      </w:r>
      <w:r w:rsidRPr="00604FBA">
        <w:rPr>
          <w:rFonts w:eastAsia="Times New Roman" w:cs="Times New Roman"/>
          <w:color w:val="000000"/>
          <w:szCs w:val="26"/>
        </w:rPr>
        <w:t>o</w:t>
      </w:r>
      <w:proofErr w:type="spellEnd"/>
      <w:r w:rsidRPr="00604FBA">
        <w:rPr>
          <w:rFonts w:eastAsia="Times New Roman" w:cs="Times New Roman"/>
          <w:color w:val="000000"/>
          <w:szCs w:val="26"/>
        </w:rPr>
        <w:t xml:space="preserve"> cannot act alone.  (See </w:t>
      </w:r>
      <w:r w:rsidRPr="00604FBA">
        <w:rPr>
          <w:i/>
          <w:iCs/>
          <w:szCs w:val="26"/>
        </w:rPr>
        <w:t>Hill v. Den</w:t>
      </w:r>
      <w:r w:rsidRPr="00604FBA">
        <w:rPr>
          <w:szCs w:val="26"/>
        </w:rPr>
        <w:t xml:space="preserve"> (1879) 54</w:t>
      </w:r>
      <w:r>
        <w:rPr>
          <w:szCs w:val="26"/>
        </w:rPr>
        <w:t> </w:t>
      </w:r>
      <w:r w:rsidRPr="00604FBA">
        <w:rPr>
          <w:szCs w:val="26"/>
        </w:rPr>
        <w:t>Cal. 6 [the sole act of one of two joint agents under a delegation from a trustee is void]; Rest.2d Agency §</w:t>
      </w:r>
      <w:r>
        <w:rPr>
          <w:szCs w:val="26"/>
        </w:rPr>
        <w:t> </w:t>
      </w:r>
      <w:r w:rsidRPr="00604FBA">
        <w:rPr>
          <w:szCs w:val="26"/>
        </w:rPr>
        <w:t>41.</w:t>
      </w:r>
      <w:r>
        <w:rPr>
          <w:szCs w:val="26"/>
        </w:rPr>
        <w:t>,</w:t>
      </w:r>
      <w:r w:rsidRPr="00604FBA">
        <w:rPr>
          <w:szCs w:val="26"/>
        </w:rPr>
        <w:t xml:space="preserve"> </w:t>
      </w:r>
      <w:r>
        <w:rPr>
          <w:szCs w:val="26"/>
        </w:rPr>
        <w:t>c</w:t>
      </w:r>
      <w:r w:rsidRPr="00604FBA">
        <w:rPr>
          <w:szCs w:val="26"/>
        </w:rPr>
        <w:t xml:space="preserve">om. </w:t>
      </w:r>
      <w:r w:rsidRPr="00D51473">
        <w:rPr>
          <w:szCs w:val="26"/>
        </w:rPr>
        <w:t>a</w:t>
      </w:r>
      <w:r>
        <w:rPr>
          <w:szCs w:val="26"/>
        </w:rPr>
        <w:t>.</w:t>
      </w:r>
      <w:r w:rsidRPr="00604FBA">
        <w:rPr>
          <w:szCs w:val="26"/>
        </w:rPr>
        <w:t xml:space="preserve">) </w:t>
      </w:r>
    </w:p>
    <w:p w14:paraId="46DCE3C3" w14:textId="77777777" w:rsidR="00217897" w:rsidRPr="00604FBA" w:rsidRDefault="00B45E56" w:rsidP="0041791A">
      <w:pPr>
        <w:shd w:val="clear" w:color="auto" w:fill="FFFFFF"/>
        <w:spacing w:line="360" w:lineRule="auto"/>
        <w:ind w:firstLine="720"/>
        <w:rPr>
          <w:rFonts w:eastAsia="Times New Roman" w:cs="Times New Roman"/>
          <w:color w:val="000000"/>
          <w:szCs w:val="26"/>
        </w:rPr>
      </w:pPr>
      <w:r w:rsidRPr="00604FBA">
        <w:rPr>
          <w:szCs w:val="26"/>
        </w:rPr>
        <w:t xml:space="preserve">It is true, of course, that our Supreme Court has described </w:t>
      </w:r>
      <w:r w:rsidRPr="00C0761D">
        <w:rPr>
          <w:szCs w:val="26"/>
        </w:rPr>
        <w:t xml:space="preserve">authorized </w:t>
      </w:r>
      <w:proofErr w:type="spellStart"/>
      <w:r w:rsidRPr="00C0761D">
        <w:rPr>
          <w:szCs w:val="26"/>
        </w:rPr>
        <w:t>PAGA</w:t>
      </w:r>
      <w:proofErr w:type="spellEnd"/>
      <w:r w:rsidRPr="00C0761D">
        <w:rPr>
          <w:szCs w:val="26"/>
        </w:rPr>
        <w:t xml:space="preserve"> claimant</w:t>
      </w:r>
      <w:r w:rsidRPr="00C0761D">
        <w:rPr>
          <w:szCs w:val="26"/>
        </w:rPr>
        <w:t xml:space="preserve">s as “agents” of </w:t>
      </w:r>
      <w:r>
        <w:rPr>
          <w:szCs w:val="26"/>
        </w:rPr>
        <w:t xml:space="preserve">the </w:t>
      </w:r>
      <w:proofErr w:type="spellStart"/>
      <w:r w:rsidRPr="00C0761D">
        <w:rPr>
          <w:szCs w:val="26"/>
        </w:rPr>
        <w:t>LWDA</w:t>
      </w:r>
      <w:proofErr w:type="spellEnd"/>
      <w:r w:rsidRPr="00C0761D">
        <w:rPr>
          <w:szCs w:val="26"/>
        </w:rPr>
        <w:t xml:space="preserve"> (</w:t>
      </w:r>
      <w:r w:rsidRPr="005A7415">
        <w:rPr>
          <w:rFonts w:eastAsia="Times New Roman" w:cs="Times New Roman"/>
          <w:i/>
          <w:szCs w:val="26"/>
          <w:bdr w:val="none" w:sz="0" w:space="0" w:color="auto" w:frame="1"/>
        </w:rPr>
        <w:t>Arias</w:t>
      </w:r>
      <w:r w:rsidRPr="005A7415">
        <w:rPr>
          <w:rFonts w:eastAsia="Times New Roman" w:cs="Times New Roman"/>
          <w:i/>
          <w:iCs/>
          <w:szCs w:val="26"/>
          <w:bdr w:val="none" w:sz="0" w:space="0" w:color="auto" w:frame="1"/>
        </w:rPr>
        <w:t xml:space="preserve"> v. Superior Court</w:t>
      </w:r>
      <w:r>
        <w:rPr>
          <w:rFonts w:eastAsia="Times New Roman" w:cs="Times New Roman"/>
          <w:color w:val="000000"/>
          <w:szCs w:val="26"/>
        </w:rPr>
        <w:t xml:space="preserve">, </w:t>
      </w:r>
      <w:r w:rsidRPr="005A7415">
        <w:rPr>
          <w:rFonts w:eastAsia="Times New Roman" w:cs="Times New Roman"/>
          <w:i/>
          <w:iCs/>
          <w:color w:val="000000"/>
          <w:szCs w:val="26"/>
        </w:rPr>
        <w:t>supra</w:t>
      </w:r>
      <w:r>
        <w:rPr>
          <w:rFonts w:eastAsia="Times New Roman" w:cs="Times New Roman"/>
          <w:color w:val="000000"/>
          <w:szCs w:val="26"/>
        </w:rPr>
        <w:t xml:space="preserve">, </w:t>
      </w:r>
      <w:r w:rsidRPr="00C0761D">
        <w:rPr>
          <w:rFonts w:eastAsia="Times New Roman" w:cs="Times New Roman"/>
          <w:color w:val="000000"/>
          <w:szCs w:val="26"/>
        </w:rPr>
        <w:t>46</w:t>
      </w:r>
      <w:r>
        <w:rPr>
          <w:rFonts w:eastAsia="Times New Roman" w:cs="Times New Roman"/>
          <w:color w:val="000000"/>
          <w:szCs w:val="26"/>
        </w:rPr>
        <w:t> </w:t>
      </w:r>
      <w:r w:rsidRPr="00C0761D">
        <w:rPr>
          <w:rFonts w:eastAsia="Times New Roman" w:cs="Times New Roman"/>
          <w:color w:val="000000"/>
          <w:szCs w:val="26"/>
        </w:rPr>
        <w:t>Cal.4th 969, 986</w:t>
      </w:r>
      <w:r w:rsidRPr="00C0761D">
        <w:rPr>
          <w:szCs w:val="26"/>
        </w:rPr>
        <w:t xml:space="preserve">), but we doubt that in using this nomenclature the court intended to signal </w:t>
      </w:r>
      <w:r>
        <w:rPr>
          <w:szCs w:val="26"/>
        </w:rPr>
        <w:t>an intent to</w:t>
      </w:r>
      <w:r w:rsidRPr="00C0761D">
        <w:rPr>
          <w:szCs w:val="26"/>
        </w:rPr>
        <w:t xml:space="preserve"> superimpo</w:t>
      </w:r>
      <w:r>
        <w:rPr>
          <w:szCs w:val="26"/>
        </w:rPr>
        <w:t>se</w:t>
      </w:r>
      <w:r w:rsidRPr="00C0761D">
        <w:rPr>
          <w:szCs w:val="26"/>
        </w:rPr>
        <w:t xml:space="preserve"> every intricacy of the common</w:t>
      </w:r>
      <w:r w:rsidRPr="00604FBA">
        <w:rPr>
          <w:szCs w:val="26"/>
        </w:rPr>
        <w:t xml:space="preserve"> law of agency onto the </w:t>
      </w:r>
      <w:proofErr w:type="spellStart"/>
      <w:r>
        <w:rPr>
          <w:szCs w:val="26"/>
        </w:rPr>
        <w:t>PAGA</w:t>
      </w:r>
      <w:proofErr w:type="spellEnd"/>
      <w:r>
        <w:rPr>
          <w:szCs w:val="26"/>
        </w:rPr>
        <w:t xml:space="preserve"> </w:t>
      </w:r>
      <w:r w:rsidRPr="00604FBA">
        <w:rPr>
          <w:szCs w:val="26"/>
        </w:rPr>
        <w:t>statut</w:t>
      </w:r>
      <w:r>
        <w:rPr>
          <w:szCs w:val="26"/>
        </w:rPr>
        <w:t>ory scheme</w:t>
      </w:r>
      <w:r w:rsidRPr="00604FBA">
        <w:rPr>
          <w:szCs w:val="26"/>
        </w:rPr>
        <w:t xml:space="preserve">.  If </w:t>
      </w:r>
      <w:proofErr w:type="spellStart"/>
      <w:r w:rsidRPr="00604FBA">
        <w:rPr>
          <w:szCs w:val="26"/>
        </w:rPr>
        <w:t>Piplack</w:t>
      </w:r>
      <w:proofErr w:type="spellEnd"/>
      <w:r w:rsidRPr="00604FBA">
        <w:rPr>
          <w:szCs w:val="26"/>
        </w:rPr>
        <w:t xml:space="preserve"> and Taylor are viewed as joint agents pursuing a common enterprise with </w:t>
      </w:r>
      <w:proofErr w:type="spellStart"/>
      <w:r w:rsidRPr="00604FBA">
        <w:rPr>
          <w:szCs w:val="26"/>
        </w:rPr>
        <w:t>Accurso</w:t>
      </w:r>
      <w:proofErr w:type="spellEnd"/>
      <w:r w:rsidRPr="00604FBA">
        <w:rPr>
          <w:szCs w:val="26"/>
        </w:rPr>
        <w:t xml:space="preserve">, they would have not just a right to enter plaintiff </w:t>
      </w:r>
      <w:proofErr w:type="spellStart"/>
      <w:r w:rsidRPr="00604FBA">
        <w:rPr>
          <w:szCs w:val="26"/>
        </w:rPr>
        <w:t>Accurso’s</w:t>
      </w:r>
      <w:proofErr w:type="spellEnd"/>
      <w:r w:rsidRPr="00604FBA">
        <w:rPr>
          <w:szCs w:val="26"/>
        </w:rPr>
        <w:t xml:space="preserve"> case as interven</w:t>
      </w:r>
      <w:r>
        <w:rPr>
          <w:szCs w:val="26"/>
        </w:rPr>
        <w:t>e</w:t>
      </w:r>
      <w:r w:rsidRPr="00604FBA">
        <w:rPr>
          <w:szCs w:val="26"/>
        </w:rPr>
        <w:t>rs, but a veto right over any settlem</w:t>
      </w:r>
      <w:r w:rsidRPr="00604FBA">
        <w:rPr>
          <w:szCs w:val="26"/>
        </w:rPr>
        <w:t>ent to which they objected.  We reject that notion.  It has long been recognized that “</w:t>
      </w:r>
      <w:r w:rsidRPr="00604FBA">
        <w:rPr>
          <w:rFonts w:eastAsia="Times New Roman" w:cs="Times New Roman"/>
          <w:color w:val="000000"/>
          <w:szCs w:val="26"/>
        </w:rPr>
        <w:t>common-law agency doctrines are inapplicable in certain statutory contexts” (Rest.3d Agency, Introduction), and we think this is one of them, particularly since a deputi</w:t>
      </w:r>
      <w:r w:rsidRPr="00604FBA">
        <w:rPr>
          <w:rFonts w:eastAsia="Times New Roman" w:cs="Times New Roman"/>
          <w:color w:val="000000"/>
          <w:szCs w:val="26"/>
        </w:rPr>
        <w:t xml:space="preserve">zed proxy for the </w:t>
      </w:r>
      <w:proofErr w:type="spellStart"/>
      <w:r w:rsidRPr="00604FBA">
        <w:rPr>
          <w:rFonts w:eastAsia="Times New Roman" w:cs="Times New Roman"/>
          <w:color w:val="000000"/>
          <w:szCs w:val="26"/>
        </w:rPr>
        <w:t>LWDA</w:t>
      </w:r>
      <w:proofErr w:type="spellEnd"/>
      <w:r w:rsidRPr="00604FBA">
        <w:rPr>
          <w:rFonts w:eastAsia="Times New Roman" w:cs="Times New Roman"/>
          <w:color w:val="000000"/>
          <w:szCs w:val="26"/>
        </w:rPr>
        <w:t xml:space="preserve"> is not a “true agent.”  (See Rest.3d Agency, §</w:t>
      </w:r>
      <w:r>
        <w:rPr>
          <w:rFonts w:eastAsia="Times New Roman" w:cs="Times New Roman"/>
          <w:color w:val="000000"/>
          <w:szCs w:val="26"/>
        </w:rPr>
        <w:t> </w:t>
      </w:r>
      <w:r w:rsidRPr="00604FBA">
        <w:rPr>
          <w:rFonts w:eastAsia="Times New Roman" w:cs="Times New Roman"/>
          <w:color w:val="000000"/>
          <w:szCs w:val="26"/>
        </w:rPr>
        <w:t xml:space="preserve">1.01; </w:t>
      </w:r>
      <w:r w:rsidRPr="00DF5544">
        <w:rPr>
          <w:rFonts w:eastAsia="Times New Roman" w:cs="Times New Roman"/>
          <w:i/>
          <w:iCs/>
          <w:color w:val="000000"/>
          <w:szCs w:val="26"/>
        </w:rPr>
        <w:t>id</w:t>
      </w:r>
      <w:r w:rsidRPr="00DF5544">
        <w:rPr>
          <w:rFonts w:eastAsia="Times New Roman" w:cs="Times New Roman"/>
          <w:color w:val="000000"/>
          <w:szCs w:val="26"/>
        </w:rPr>
        <w:t>.</w:t>
      </w:r>
      <w:r w:rsidRPr="00604FBA">
        <w:rPr>
          <w:rFonts w:eastAsia="Times New Roman" w:cs="Times New Roman"/>
          <w:color w:val="000000"/>
          <w:szCs w:val="26"/>
        </w:rPr>
        <w:t xml:space="preserve">, </w:t>
      </w:r>
      <w:r>
        <w:rPr>
          <w:rFonts w:eastAsia="Times New Roman" w:cs="Times New Roman"/>
          <w:color w:val="000000"/>
          <w:szCs w:val="26"/>
        </w:rPr>
        <w:t>c</w:t>
      </w:r>
      <w:r w:rsidRPr="00604FBA">
        <w:rPr>
          <w:rFonts w:eastAsia="Times New Roman" w:cs="Times New Roman"/>
          <w:color w:val="000000"/>
          <w:szCs w:val="26"/>
        </w:rPr>
        <w:t xml:space="preserve">om. </w:t>
      </w:r>
      <w:r w:rsidRPr="001A643E">
        <w:rPr>
          <w:rFonts w:eastAsia="Times New Roman" w:cs="Times New Roman"/>
          <w:color w:val="000000"/>
          <w:szCs w:val="26"/>
        </w:rPr>
        <w:t>b</w:t>
      </w:r>
      <w:r w:rsidRPr="00604FBA">
        <w:rPr>
          <w:rFonts w:eastAsia="Times New Roman" w:cs="Times New Roman"/>
          <w:color w:val="000000"/>
          <w:szCs w:val="26"/>
        </w:rPr>
        <w:t>. [“Some statutes and many cases use agency terminology when the underlying relationship falls outside the common-law definition.”].)</w:t>
      </w:r>
    </w:p>
    <w:p w14:paraId="231A87CF" w14:textId="77777777" w:rsidR="008307EC" w:rsidRPr="00DF5544" w:rsidRDefault="00B45E56" w:rsidP="001E2AA1">
      <w:pPr>
        <w:pStyle w:val="Heading4"/>
        <w:spacing w:before="120" w:after="120" w:line="240" w:lineRule="auto"/>
        <w:ind w:left="1350" w:hanging="270"/>
        <w:rPr>
          <w:rFonts w:ascii="Century Schoolbook" w:hAnsi="Century Schoolbook"/>
          <w:color w:val="auto"/>
        </w:rPr>
      </w:pPr>
      <w:r w:rsidRPr="00EF3167">
        <w:rPr>
          <w:rFonts w:ascii="Century Schoolbook" w:hAnsi="Century Schoolbook"/>
          <w:i w:val="0"/>
          <w:iCs w:val="0"/>
          <w:color w:val="auto"/>
        </w:rPr>
        <w:t>b.</w:t>
      </w:r>
      <w:r w:rsidRPr="00DF5544">
        <w:rPr>
          <w:rFonts w:ascii="Century Schoolbook" w:hAnsi="Century Schoolbook"/>
          <w:color w:val="auto"/>
        </w:rPr>
        <w:t xml:space="preserve"> </w:t>
      </w:r>
      <w:r>
        <w:rPr>
          <w:rFonts w:ascii="Century Schoolbook" w:hAnsi="Century Schoolbook"/>
          <w:color w:val="auto"/>
        </w:rPr>
        <w:t xml:space="preserve">Potential Impairment of </w:t>
      </w:r>
      <w:r>
        <w:rPr>
          <w:rFonts w:ascii="Century Schoolbook" w:hAnsi="Century Schoolbook"/>
          <w:color w:val="auto"/>
        </w:rPr>
        <w:t>Significantly Protectable Interests and Adequacy of Representation</w:t>
      </w:r>
    </w:p>
    <w:p w14:paraId="4BD8CD1E" w14:textId="77777777" w:rsidR="00F70209" w:rsidRDefault="00B45E56" w:rsidP="00DF5544">
      <w:pPr>
        <w:shd w:val="clear" w:color="auto" w:fill="FFFFFF"/>
        <w:spacing w:before="240" w:line="360" w:lineRule="auto"/>
        <w:ind w:firstLine="720"/>
        <w:rPr>
          <w:szCs w:val="26"/>
        </w:rPr>
      </w:pPr>
      <w:r w:rsidRPr="00604FBA">
        <w:rPr>
          <w:szCs w:val="26"/>
        </w:rPr>
        <w:t>Retreating to narrower</w:t>
      </w:r>
      <w:r>
        <w:rPr>
          <w:szCs w:val="26"/>
        </w:rPr>
        <w:t>, more conventional</w:t>
      </w:r>
      <w:r w:rsidRPr="00604FBA">
        <w:rPr>
          <w:szCs w:val="26"/>
        </w:rPr>
        <w:t xml:space="preserve"> ground</w:t>
      </w:r>
      <w:r>
        <w:rPr>
          <w:szCs w:val="26"/>
        </w:rPr>
        <w:t>s</w:t>
      </w:r>
      <w:r w:rsidRPr="00604FBA">
        <w:rPr>
          <w:szCs w:val="26"/>
        </w:rPr>
        <w:t xml:space="preserve"> that they say establish their interest</w:t>
      </w:r>
      <w:r>
        <w:rPr>
          <w:szCs w:val="26"/>
        </w:rPr>
        <w:t>s</w:t>
      </w:r>
      <w:r w:rsidRPr="00604FBA">
        <w:rPr>
          <w:szCs w:val="26"/>
        </w:rPr>
        <w:t xml:space="preserve"> stand to be impaired or impeded</w:t>
      </w:r>
      <w:r>
        <w:rPr>
          <w:szCs w:val="26"/>
        </w:rPr>
        <w:t xml:space="preserve"> by an inadequate representative</w:t>
      </w:r>
      <w:r w:rsidRPr="00604FBA">
        <w:rPr>
          <w:szCs w:val="26"/>
        </w:rPr>
        <w:t xml:space="preserve">, </w:t>
      </w:r>
      <w:proofErr w:type="spellStart"/>
      <w:r w:rsidRPr="00604FBA">
        <w:rPr>
          <w:szCs w:val="26"/>
        </w:rPr>
        <w:t>Piplack</w:t>
      </w:r>
      <w:proofErr w:type="spellEnd"/>
      <w:r w:rsidRPr="00604FBA">
        <w:rPr>
          <w:szCs w:val="26"/>
        </w:rPr>
        <w:t xml:space="preserve"> and Taylor emphasize that </w:t>
      </w:r>
      <w:r w:rsidRPr="00604FBA">
        <w:rPr>
          <w:szCs w:val="26"/>
        </w:rPr>
        <w:t xml:space="preserve">they are </w:t>
      </w:r>
      <w:r w:rsidRPr="00115F22">
        <w:rPr>
          <w:szCs w:val="26"/>
        </w:rPr>
        <w:t>at risk</w:t>
      </w:r>
      <w:r w:rsidRPr="00604FBA">
        <w:rPr>
          <w:szCs w:val="26"/>
        </w:rPr>
        <w:t xml:space="preserve"> of any adjudication or stipulated judgment </w:t>
      </w:r>
      <w:r>
        <w:rPr>
          <w:szCs w:val="26"/>
        </w:rPr>
        <w:t xml:space="preserve">entered by a claimant without proper authority </w:t>
      </w:r>
      <w:r w:rsidRPr="00604FBA">
        <w:rPr>
          <w:szCs w:val="26"/>
        </w:rPr>
        <w:t xml:space="preserve">foreclosing their claims.  </w:t>
      </w:r>
      <w:r>
        <w:rPr>
          <w:szCs w:val="26"/>
        </w:rPr>
        <w:t>Taking the issue of impairment first, w</w:t>
      </w:r>
      <w:r w:rsidRPr="00604FBA">
        <w:rPr>
          <w:szCs w:val="26"/>
        </w:rPr>
        <w:t xml:space="preserve">e agree that </w:t>
      </w:r>
      <w:proofErr w:type="spellStart"/>
      <w:r w:rsidRPr="00604FBA">
        <w:rPr>
          <w:szCs w:val="26"/>
        </w:rPr>
        <w:t>Piplack</w:t>
      </w:r>
      <w:proofErr w:type="spellEnd"/>
      <w:r w:rsidRPr="00604FBA">
        <w:rPr>
          <w:szCs w:val="26"/>
        </w:rPr>
        <w:t xml:space="preserve"> and Taylor do not need to establish that their interests </w:t>
      </w:r>
      <w:r w:rsidRPr="00604FBA">
        <w:rPr>
          <w:i/>
          <w:iCs/>
          <w:szCs w:val="26"/>
        </w:rPr>
        <w:t>will</w:t>
      </w:r>
      <w:r w:rsidRPr="00604FBA">
        <w:rPr>
          <w:szCs w:val="26"/>
        </w:rPr>
        <w:t xml:space="preserve"> </w:t>
      </w:r>
      <w:r w:rsidRPr="00604FBA">
        <w:rPr>
          <w:szCs w:val="26"/>
        </w:rPr>
        <w:t xml:space="preserve">be impaired.  The requisite showing is </w:t>
      </w:r>
      <w:proofErr w:type="gramStart"/>
      <w:r w:rsidRPr="00604FBA">
        <w:rPr>
          <w:szCs w:val="26"/>
        </w:rPr>
        <w:t>minimal, and</w:t>
      </w:r>
      <w:proofErr w:type="gramEnd"/>
      <w:r w:rsidRPr="00604FBA">
        <w:rPr>
          <w:szCs w:val="26"/>
        </w:rPr>
        <w:t xml:space="preserve"> is met where there </w:t>
      </w:r>
      <w:r w:rsidRPr="00604FBA">
        <w:rPr>
          <w:szCs w:val="26"/>
        </w:rPr>
        <w:lastRenderedPageBreak/>
        <w:t xml:space="preserve">is a “substantial </w:t>
      </w:r>
      <w:r w:rsidRPr="009B52BA">
        <w:rPr>
          <w:i/>
          <w:iCs/>
          <w:szCs w:val="26"/>
        </w:rPr>
        <w:t>probability</w:t>
      </w:r>
      <w:r w:rsidRPr="00604FBA">
        <w:rPr>
          <w:szCs w:val="26"/>
        </w:rPr>
        <w:t>” that the interest will be so affected.  (</w:t>
      </w:r>
      <w:r w:rsidRPr="00604FBA">
        <w:rPr>
          <w:i/>
          <w:iCs/>
          <w:szCs w:val="26"/>
        </w:rPr>
        <w:t>Simpson Redwood</w:t>
      </w:r>
      <w:r>
        <w:rPr>
          <w:i/>
          <w:iCs/>
          <w:szCs w:val="26"/>
        </w:rPr>
        <w:t xml:space="preserve"> Co. v. State of California</w:t>
      </w:r>
      <w:r w:rsidRPr="00604FBA">
        <w:rPr>
          <w:szCs w:val="26"/>
        </w:rPr>
        <w:t xml:space="preserve">, </w:t>
      </w:r>
      <w:r w:rsidRPr="00DC4348">
        <w:rPr>
          <w:i/>
          <w:iCs/>
          <w:szCs w:val="26"/>
        </w:rPr>
        <w:t>supra</w:t>
      </w:r>
      <w:r w:rsidRPr="00604FBA">
        <w:rPr>
          <w:szCs w:val="26"/>
        </w:rPr>
        <w:t>, 196</w:t>
      </w:r>
      <w:r>
        <w:rPr>
          <w:szCs w:val="26"/>
        </w:rPr>
        <w:t> </w:t>
      </w:r>
      <w:r w:rsidRPr="00604FBA">
        <w:rPr>
          <w:szCs w:val="26"/>
        </w:rPr>
        <w:t>Cal.App.3d at</w:t>
      </w:r>
      <w:r>
        <w:rPr>
          <w:szCs w:val="26"/>
        </w:rPr>
        <w:t xml:space="preserve"> p. </w:t>
      </w:r>
      <w:r w:rsidRPr="00604FBA">
        <w:rPr>
          <w:szCs w:val="26"/>
        </w:rPr>
        <w:t xml:space="preserve">1201; </w:t>
      </w:r>
      <w:proofErr w:type="spellStart"/>
      <w:r w:rsidRPr="00604FBA">
        <w:rPr>
          <w:i/>
          <w:iCs/>
          <w:szCs w:val="26"/>
        </w:rPr>
        <w:t>WildEarth</w:t>
      </w:r>
      <w:proofErr w:type="spellEnd"/>
      <w:r w:rsidRPr="00604FBA">
        <w:rPr>
          <w:i/>
          <w:iCs/>
          <w:szCs w:val="26"/>
        </w:rPr>
        <w:t xml:space="preserve"> Guardians v. U.S. Forest </w:t>
      </w:r>
      <w:r w:rsidRPr="00604FBA">
        <w:rPr>
          <w:i/>
          <w:iCs/>
          <w:szCs w:val="26"/>
        </w:rPr>
        <w:t>Service</w:t>
      </w:r>
      <w:r w:rsidRPr="00604FBA">
        <w:rPr>
          <w:szCs w:val="26"/>
        </w:rPr>
        <w:t xml:space="preserve"> (10th Cir. 2009) 573</w:t>
      </w:r>
      <w:r>
        <w:rPr>
          <w:szCs w:val="26"/>
        </w:rPr>
        <w:t> </w:t>
      </w:r>
      <w:r w:rsidRPr="00604FBA">
        <w:rPr>
          <w:szCs w:val="26"/>
        </w:rPr>
        <w:t xml:space="preserve">F.3d 992, 995 </w:t>
      </w:r>
      <w:r>
        <w:rPr>
          <w:szCs w:val="26"/>
        </w:rPr>
        <w:t>[</w:t>
      </w:r>
      <w:r w:rsidRPr="00604FBA">
        <w:rPr>
          <w:szCs w:val="26"/>
        </w:rPr>
        <w:t>establishing impairment element presents a minimal burden</w:t>
      </w:r>
      <w:r>
        <w:rPr>
          <w:szCs w:val="26"/>
        </w:rPr>
        <w:t>]</w:t>
      </w:r>
      <w:r w:rsidRPr="00604FBA">
        <w:rPr>
          <w:szCs w:val="26"/>
        </w:rPr>
        <w:t>.</w:t>
      </w:r>
      <w:r>
        <w:rPr>
          <w:szCs w:val="26"/>
        </w:rPr>
        <w:t>)</w:t>
      </w:r>
      <w:r w:rsidRPr="00604FBA">
        <w:rPr>
          <w:szCs w:val="26"/>
        </w:rPr>
        <w:t xml:space="preserve">  But on this record, we cannot say </w:t>
      </w:r>
      <w:proofErr w:type="spellStart"/>
      <w:r w:rsidRPr="00604FBA">
        <w:rPr>
          <w:szCs w:val="26"/>
        </w:rPr>
        <w:t>Piplack</w:t>
      </w:r>
      <w:proofErr w:type="spellEnd"/>
      <w:r w:rsidRPr="00604FBA">
        <w:rPr>
          <w:szCs w:val="26"/>
        </w:rPr>
        <w:t xml:space="preserve"> and Taylor have met </w:t>
      </w:r>
      <w:r>
        <w:rPr>
          <w:szCs w:val="26"/>
        </w:rPr>
        <w:t xml:space="preserve">even </w:t>
      </w:r>
      <w:r w:rsidRPr="00604FBA">
        <w:rPr>
          <w:szCs w:val="26"/>
        </w:rPr>
        <w:t>th</w:t>
      </w:r>
      <w:r>
        <w:rPr>
          <w:szCs w:val="26"/>
        </w:rPr>
        <w:t xml:space="preserve">at </w:t>
      </w:r>
      <w:r w:rsidRPr="00604FBA">
        <w:rPr>
          <w:szCs w:val="26"/>
        </w:rPr>
        <w:t xml:space="preserve">modest burden.  </w:t>
      </w:r>
    </w:p>
    <w:p w14:paraId="5741C539" w14:textId="77777777" w:rsidR="00F71BF1" w:rsidRDefault="00B45E56" w:rsidP="00097A5C">
      <w:pPr>
        <w:pStyle w:val="CommentText"/>
        <w:spacing w:line="360" w:lineRule="auto"/>
        <w:rPr>
          <w:sz w:val="26"/>
          <w:szCs w:val="26"/>
        </w:rPr>
      </w:pPr>
      <w:r w:rsidRPr="00097A5C">
        <w:rPr>
          <w:sz w:val="26"/>
          <w:szCs w:val="26"/>
        </w:rPr>
        <w:tab/>
      </w:r>
      <w:r>
        <w:rPr>
          <w:sz w:val="26"/>
          <w:szCs w:val="26"/>
        </w:rPr>
        <w:t>Inadequacy of representation presents a closer issue.  W</w:t>
      </w:r>
      <w:r w:rsidRPr="00097A5C">
        <w:rPr>
          <w:sz w:val="26"/>
          <w:szCs w:val="26"/>
        </w:rPr>
        <w:t>itho</w:t>
      </w:r>
      <w:r w:rsidRPr="00097A5C">
        <w:rPr>
          <w:sz w:val="26"/>
          <w:szCs w:val="26"/>
        </w:rPr>
        <w:t xml:space="preserve">ut </w:t>
      </w:r>
      <w:r w:rsidRPr="00F555D3">
        <w:rPr>
          <w:sz w:val="26"/>
          <w:szCs w:val="26"/>
        </w:rPr>
        <w:t xml:space="preserve">viable penalty claims covering expense reimbursement (which </w:t>
      </w:r>
      <w:proofErr w:type="spellStart"/>
      <w:r w:rsidRPr="00F555D3">
        <w:rPr>
          <w:sz w:val="26"/>
          <w:szCs w:val="26"/>
        </w:rPr>
        <w:t>Piplack</w:t>
      </w:r>
      <w:proofErr w:type="spellEnd"/>
      <w:r w:rsidRPr="00F555D3">
        <w:rPr>
          <w:sz w:val="26"/>
          <w:szCs w:val="26"/>
        </w:rPr>
        <w:t xml:space="preserve"> is pursuing) or claims for uniform donning and doffing time (which Taylor </w:t>
      </w:r>
      <w:r>
        <w:rPr>
          <w:sz w:val="26"/>
          <w:szCs w:val="26"/>
        </w:rPr>
        <w:t xml:space="preserve">sought to pursue in her original complaint before deferring, procedurally, to </w:t>
      </w:r>
      <w:proofErr w:type="spellStart"/>
      <w:r>
        <w:rPr>
          <w:sz w:val="26"/>
          <w:szCs w:val="26"/>
        </w:rPr>
        <w:t>Piplack</w:t>
      </w:r>
      <w:proofErr w:type="spellEnd"/>
      <w:r w:rsidRPr="00F555D3">
        <w:rPr>
          <w:sz w:val="26"/>
          <w:szCs w:val="26"/>
        </w:rPr>
        <w:t xml:space="preserve">), </w:t>
      </w:r>
      <w:r>
        <w:rPr>
          <w:sz w:val="26"/>
          <w:szCs w:val="26"/>
        </w:rPr>
        <w:t xml:space="preserve">they insist that </w:t>
      </w:r>
      <w:proofErr w:type="spellStart"/>
      <w:r w:rsidRPr="00F555D3">
        <w:rPr>
          <w:sz w:val="26"/>
          <w:szCs w:val="26"/>
        </w:rPr>
        <w:t>Accurso</w:t>
      </w:r>
      <w:proofErr w:type="spellEnd"/>
      <w:r>
        <w:rPr>
          <w:sz w:val="26"/>
          <w:szCs w:val="26"/>
        </w:rPr>
        <w:t>—</w:t>
      </w:r>
      <w:r w:rsidRPr="00F555D3">
        <w:rPr>
          <w:sz w:val="26"/>
          <w:szCs w:val="26"/>
        </w:rPr>
        <w:t xml:space="preserve">as the self-appointed private attorney general for all </w:t>
      </w:r>
      <w:proofErr w:type="spellStart"/>
      <w:r w:rsidRPr="00F555D3">
        <w:rPr>
          <w:sz w:val="26"/>
          <w:szCs w:val="26"/>
        </w:rPr>
        <w:t>PAGA</w:t>
      </w:r>
      <w:proofErr w:type="spellEnd"/>
      <w:r w:rsidRPr="00F555D3">
        <w:rPr>
          <w:sz w:val="26"/>
          <w:szCs w:val="26"/>
        </w:rPr>
        <w:t xml:space="preserve"> claims against In-N-Out</w:t>
      </w:r>
      <w:r>
        <w:rPr>
          <w:sz w:val="26"/>
          <w:szCs w:val="26"/>
        </w:rPr>
        <w:t>—</w:t>
      </w:r>
      <w:r w:rsidRPr="00F555D3">
        <w:rPr>
          <w:sz w:val="26"/>
          <w:szCs w:val="26"/>
        </w:rPr>
        <w:t xml:space="preserve">has very little negotiating leverage against In-N-Out and cannot maximize the settlement value of his penalty claims because he failed to obtain </w:t>
      </w:r>
      <w:proofErr w:type="spellStart"/>
      <w:r w:rsidRPr="00F555D3">
        <w:rPr>
          <w:sz w:val="26"/>
          <w:szCs w:val="26"/>
        </w:rPr>
        <w:t>LWDA</w:t>
      </w:r>
      <w:proofErr w:type="spellEnd"/>
      <w:r w:rsidRPr="00F555D3">
        <w:rPr>
          <w:sz w:val="26"/>
          <w:szCs w:val="26"/>
        </w:rPr>
        <w:t xml:space="preserve"> authorization </w:t>
      </w:r>
      <w:r w:rsidRPr="00F555D3">
        <w:rPr>
          <w:sz w:val="26"/>
          <w:szCs w:val="26"/>
        </w:rPr>
        <w:t xml:space="preserve">to cover uniform-related claims against In-N-Out.  And, so they argue, because </w:t>
      </w:r>
      <w:proofErr w:type="spellStart"/>
      <w:r w:rsidRPr="00F555D3">
        <w:rPr>
          <w:sz w:val="26"/>
          <w:szCs w:val="26"/>
        </w:rPr>
        <w:t>Accurso</w:t>
      </w:r>
      <w:proofErr w:type="spellEnd"/>
      <w:r w:rsidRPr="00F555D3">
        <w:rPr>
          <w:sz w:val="26"/>
          <w:szCs w:val="26"/>
        </w:rPr>
        <w:t xml:space="preserve"> has no meaningful leverage and no authority to act as the State’s proxy for </w:t>
      </w:r>
      <w:proofErr w:type="gramStart"/>
      <w:r w:rsidRPr="00F555D3">
        <w:rPr>
          <w:sz w:val="26"/>
          <w:szCs w:val="26"/>
        </w:rPr>
        <w:t>the majority of</w:t>
      </w:r>
      <w:proofErr w:type="gramEnd"/>
      <w:r w:rsidRPr="00F555D3">
        <w:rPr>
          <w:sz w:val="26"/>
          <w:szCs w:val="26"/>
        </w:rPr>
        <w:t xml:space="preserve"> Labor Code violations or for periods of time earlier than those covered by hi</w:t>
      </w:r>
      <w:r w:rsidRPr="00F555D3">
        <w:rPr>
          <w:sz w:val="26"/>
          <w:szCs w:val="26"/>
        </w:rPr>
        <w:t xml:space="preserve">s </w:t>
      </w:r>
      <w:proofErr w:type="spellStart"/>
      <w:r w:rsidRPr="00F555D3">
        <w:rPr>
          <w:sz w:val="26"/>
          <w:szCs w:val="26"/>
        </w:rPr>
        <w:t>LWDA</w:t>
      </w:r>
      <w:proofErr w:type="spellEnd"/>
      <w:r w:rsidRPr="00F555D3">
        <w:rPr>
          <w:sz w:val="26"/>
          <w:szCs w:val="26"/>
        </w:rPr>
        <w:t xml:space="preserve"> notice, he likely was (and still remains) willing to compromise the State’s interest too cheaply.</w:t>
      </w:r>
      <w:r>
        <w:rPr>
          <w:rStyle w:val="FootnoteReference"/>
          <w:sz w:val="26"/>
          <w:szCs w:val="26"/>
        </w:rPr>
        <w:footnoteReference w:id="21"/>
      </w:r>
    </w:p>
    <w:p w14:paraId="113806EF" w14:textId="77777777" w:rsidR="003657B5" w:rsidRPr="00276E15" w:rsidRDefault="00B45E56" w:rsidP="00C63F41">
      <w:pPr>
        <w:pStyle w:val="CommentText"/>
        <w:spacing w:line="360" w:lineRule="auto"/>
        <w:rPr>
          <w:szCs w:val="26"/>
        </w:rPr>
      </w:pPr>
      <w:r>
        <w:rPr>
          <w:sz w:val="26"/>
          <w:szCs w:val="26"/>
        </w:rPr>
        <w:lastRenderedPageBreak/>
        <w:tab/>
        <w:t>Relying heavily on the presumption of adequate representation where an existing party is pursuing the same litigation objectives as the putative int</w:t>
      </w:r>
      <w:r>
        <w:rPr>
          <w:sz w:val="26"/>
          <w:szCs w:val="26"/>
        </w:rPr>
        <w:t>ervenor,</w:t>
      </w:r>
      <w:r w:rsidRPr="00097A5C">
        <w:rPr>
          <w:sz w:val="26"/>
          <w:szCs w:val="26"/>
        </w:rPr>
        <w:t xml:space="preserve"> </w:t>
      </w:r>
      <w:proofErr w:type="spellStart"/>
      <w:r w:rsidRPr="00097A5C">
        <w:rPr>
          <w:sz w:val="26"/>
          <w:szCs w:val="26"/>
        </w:rPr>
        <w:t>Accurso</w:t>
      </w:r>
      <w:proofErr w:type="spellEnd"/>
      <w:r w:rsidRPr="00097A5C">
        <w:rPr>
          <w:sz w:val="26"/>
          <w:szCs w:val="26"/>
        </w:rPr>
        <w:t xml:space="preserve"> </w:t>
      </w:r>
      <w:r>
        <w:rPr>
          <w:sz w:val="26"/>
          <w:szCs w:val="26"/>
        </w:rPr>
        <w:t xml:space="preserve">and In-N-Out </w:t>
      </w:r>
      <w:r w:rsidRPr="00097A5C">
        <w:rPr>
          <w:sz w:val="26"/>
          <w:szCs w:val="26"/>
        </w:rPr>
        <w:t xml:space="preserve">argue that </w:t>
      </w:r>
      <w:proofErr w:type="spellStart"/>
      <w:r>
        <w:rPr>
          <w:sz w:val="26"/>
          <w:szCs w:val="26"/>
        </w:rPr>
        <w:t>Accurso</w:t>
      </w:r>
      <w:proofErr w:type="spellEnd"/>
      <w:r>
        <w:rPr>
          <w:sz w:val="26"/>
          <w:szCs w:val="26"/>
        </w:rPr>
        <w:t xml:space="preserve"> </w:t>
      </w:r>
      <w:r w:rsidRPr="00097A5C">
        <w:rPr>
          <w:sz w:val="26"/>
          <w:szCs w:val="26"/>
        </w:rPr>
        <w:t xml:space="preserve">shares the same objective with </w:t>
      </w:r>
      <w:proofErr w:type="spellStart"/>
      <w:r w:rsidRPr="00097A5C">
        <w:rPr>
          <w:sz w:val="26"/>
          <w:szCs w:val="26"/>
        </w:rPr>
        <w:t>Piplack</w:t>
      </w:r>
      <w:proofErr w:type="spellEnd"/>
      <w:r w:rsidRPr="00097A5C">
        <w:rPr>
          <w:sz w:val="26"/>
          <w:szCs w:val="26"/>
        </w:rPr>
        <w:t xml:space="preserve"> and Taylor as a deputized </w:t>
      </w:r>
      <w:proofErr w:type="spellStart"/>
      <w:r w:rsidRPr="00097A5C">
        <w:rPr>
          <w:sz w:val="26"/>
          <w:szCs w:val="26"/>
        </w:rPr>
        <w:t>PAGA</w:t>
      </w:r>
      <w:proofErr w:type="spellEnd"/>
      <w:r w:rsidRPr="00097A5C">
        <w:rPr>
          <w:sz w:val="26"/>
          <w:szCs w:val="26"/>
        </w:rPr>
        <w:t xml:space="preserve"> enforcement proxy and that the only </w:t>
      </w:r>
      <w:r w:rsidRPr="00F71BF1">
        <w:rPr>
          <w:sz w:val="26"/>
          <w:szCs w:val="26"/>
        </w:rPr>
        <w:t>daylight between him and these two are mere differences of strategy.</w:t>
      </w:r>
      <w:r>
        <w:rPr>
          <w:rStyle w:val="FootnoteReference"/>
          <w:sz w:val="26"/>
          <w:szCs w:val="26"/>
        </w:rPr>
        <w:footnoteReference w:id="22"/>
      </w:r>
      <w:r w:rsidRPr="00F71BF1">
        <w:rPr>
          <w:sz w:val="26"/>
          <w:szCs w:val="26"/>
        </w:rPr>
        <w:t xml:space="preserve">  </w:t>
      </w:r>
      <w:r>
        <w:rPr>
          <w:sz w:val="26"/>
          <w:szCs w:val="26"/>
        </w:rPr>
        <w:t xml:space="preserve">They </w:t>
      </w:r>
      <w:r w:rsidRPr="00C63F41">
        <w:rPr>
          <w:sz w:val="26"/>
          <w:szCs w:val="26"/>
        </w:rPr>
        <w:t xml:space="preserve">also point out that, in </w:t>
      </w:r>
      <w:r w:rsidRPr="00C63F41">
        <w:rPr>
          <w:sz w:val="26"/>
          <w:szCs w:val="26"/>
        </w:rPr>
        <w:t xml:space="preserve">the end, there was no settlement here; that </w:t>
      </w:r>
      <w:proofErr w:type="spellStart"/>
      <w:r w:rsidRPr="00C63F41">
        <w:rPr>
          <w:sz w:val="26"/>
          <w:szCs w:val="26"/>
        </w:rPr>
        <w:t>Piplack</w:t>
      </w:r>
      <w:proofErr w:type="spellEnd"/>
      <w:r w:rsidRPr="00C63F41">
        <w:rPr>
          <w:sz w:val="26"/>
          <w:szCs w:val="26"/>
        </w:rPr>
        <w:t xml:space="preserve"> and Taylor have no valid basis to speculate about what might have been in an unconsummated settlement; and thus that the entire basis of the intervention motion from </w:t>
      </w:r>
      <w:proofErr w:type="spellStart"/>
      <w:r w:rsidRPr="00C63F41">
        <w:rPr>
          <w:sz w:val="26"/>
          <w:szCs w:val="26"/>
        </w:rPr>
        <w:t>Piplack</w:t>
      </w:r>
      <w:proofErr w:type="spellEnd"/>
      <w:r w:rsidRPr="00C63F41">
        <w:rPr>
          <w:sz w:val="26"/>
          <w:szCs w:val="26"/>
        </w:rPr>
        <w:t xml:space="preserve"> and Taylor—their asserted need</w:t>
      </w:r>
      <w:r w:rsidRPr="00C63F41">
        <w:rPr>
          <w:sz w:val="26"/>
          <w:szCs w:val="26"/>
        </w:rPr>
        <w:t xml:space="preserve"> to participate in the settlement approval process to guard against overbreadth—has evaporated.  </w:t>
      </w:r>
      <w:r>
        <w:rPr>
          <w:sz w:val="26"/>
          <w:szCs w:val="26"/>
        </w:rPr>
        <w:t xml:space="preserve">According to </w:t>
      </w:r>
      <w:proofErr w:type="spellStart"/>
      <w:r w:rsidRPr="0033458D">
        <w:rPr>
          <w:sz w:val="26"/>
          <w:szCs w:val="26"/>
        </w:rPr>
        <w:t>Accurso</w:t>
      </w:r>
      <w:proofErr w:type="spellEnd"/>
      <w:r>
        <w:rPr>
          <w:sz w:val="26"/>
          <w:szCs w:val="26"/>
        </w:rPr>
        <w:t xml:space="preserve"> and In-N-Out, </w:t>
      </w:r>
      <w:proofErr w:type="spellStart"/>
      <w:r>
        <w:rPr>
          <w:sz w:val="26"/>
          <w:szCs w:val="26"/>
        </w:rPr>
        <w:t>Accurso’s</w:t>
      </w:r>
      <w:proofErr w:type="spellEnd"/>
      <w:r>
        <w:rPr>
          <w:sz w:val="26"/>
          <w:szCs w:val="26"/>
        </w:rPr>
        <w:t xml:space="preserve"> </w:t>
      </w:r>
      <w:r w:rsidRPr="0033458D">
        <w:rPr>
          <w:sz w:val="26"/>
          <w:szCs w:val="26"/>
        </w:rPr>
        <w:t xml:space="preserve">case is still at an early stage and nothing in his litigation record so far indicates a lack of zealousness. </w:t>
      </w:r>
    </w:p>
    <w:p w14:paraId="2D6EAF87" w14:textId="77777777" w:rsidR="00203CE8" w:rsidRDefault="00B45E56" w:rsidP="00604FBA">
      <w:pPr>
        <w:shd w:val="clear" w:color="auto" w:fill="FFFFFF"/>
        <w:spacing w:line="360" w:lineRule="auto"/>
        <w:ind w:firstLine="720"/>
        <w:rPr>
          <w:szCs w:val="26"/>
        </w:rPr>
      </w:pPr>
      <w:proofErr w:type="spellStart"/>
      <w:r w:rsidRPr="00604FBA">
        <w:rPr>
          <w:szCs w:val="26"/>
        </w:rPr>
        <w:t>Pipl</w:t>
      </w:r>
      <w:r w:rsidRPr="00604FBA">
        <w:rPr>
          <w:szCs w:val="26"/>
        </w:rPr>
        <w:t>ack</w:t>
      </w:r>
      <w:proofErr w:type="spellEnd"/>
      <w:r w:rsidRPr="00604FBA">
        <w:rPr>
          <w:szCs w:val="26"/>
        </w:rPr>
        <w:t xml:space="preserve"> and Taylor </w:t>
      </w:r>
      <w:r>
        <w:rPr>
          <w:szCs w:val="26"/>
        </w:rPr>
        <w:t xml:space="preserve">have a different view, of course.  Arguing against any presumption of adequate representation, they rely on </w:t>
      </w:r>
      <w:r w:rsidRPr="007C638B">
        <w:rPr>
          <w:i/>
          <w:iCs/>
          <w:szCs w:val="26"/>
        </w:rPr>
        <w:t>Berger</w:t>
      </w:r>
      <w:r w:rsidRPr="00604FBA">
        <w:rPr>
          <w:szCs w:val="26"/>
        </w:rPr>
        <w:t xml:space="preserve">, </w:t>
      </w:r>
      <w:r>
        <w:rPr>
          <w:szCs w:val="26"/>
        </w:rPr>
        <w:t xml:space="preserve">a Federal </w:t>
      </w:r>
      <w:r>
        <w:rPr>
          <w:szCs w:val="26"/>
        </w:rPr>
        <w:lastRenderedPageBreak/>
        <w:t xml:space="preserve">Rule of Civil Procedure 24(a)(2) mandatory intervention case </w:t>
      </w:r>
      <w:r w:rsidRPr="00604FBA">
        <w:rPr>
          <w:szCs w:val="26"/>
        </w:rPr>
        <w:t xml:space="preserve">where two North Carolina legislators </w:t>
      </w:r>
      <w:r>
        <w:rPr>
          <w:szCs w:val="26"/>
        </w:rPr>
        <w:t>successfully forc</w:t>
      </w:r>
      <w:r>
        <w:rPr>
          <w:szCs w:val="26"/>
        </w:rPr>
        <w:t xml:space="preserve">ed their way into </w:t>
      </w:r>
      <w:r w:rsidRPr="00604FBA">
        <w:rPr>
          <w:szCs w:val="26"/>
        </w:rPr>
        <w:t>a voting rights lawsuit against the North Carolina board of elections</w:t>
      </w:r>
      <w:r>
        <w:rPr>
          <w:szCs w:val="26"/>
        </w:rPr>
        <w:t xml:space="preserve"> in which t</w:t>
      </w:r>
      <w:r w:rsidRPr="00604FBA">
        <w:rPr>
          <w:szCs w:val="26"/>
        </w:rPr>
        <w:t xml:space="preserve">he board was defended by the state attorney general.  The legislators pointed out that </w:t>
      </w:r>
      <w:r w:rsidRPr="00604FBA">
        <w:rPr>
          <w:rFonts w:eastAsia="Times New Roman" w:cs="Times New Roman"/>
          <w:color w:val="000000"/>
          <w:szCs w:val="26"/>
        </w:rPr>
        <w:t>North Carolina law expressly authorize</w:t>
      </w:r>
      <w:r>
        <w:rPr>
          <w:rFonts w:eastAsia="Times New Roman" w:cs="Times New Roman"/>
          <w:color w:val="000000"/>
          <w:szCs w:val="26"/>
        </w:rPr>
        <w:t>d</w:t>
      </w:r>
      <w:r w:rsidRPr="00604FBA">
        <w:rPr>
          <w:rFonts w:eastAsia="Times New Roman" w:cs="Times New Roman"/>
          <w:color w:val="000000"/>
          <w:szCs w:val="26"/>
        </w:rPr>
        <w:t xml:space="preserve"> them “to intervene on behalf of</w:t>
      </w:r>
      <w:r w:rsidRPr="00604FBA">
        <w:rPr>
          <w:rFonts w:eastAsia="Times New Roman" w:cs="Times New Roman"/>
          <w:color w:val="000000"/>
          <w:szCs w:val="26"/>
        </w:rPr>
        <w:t xml:space="preserve"> the General Assembly as a party in any judicial proceeding challenging a North Carolina statute or provision of the North Carolina Constitution.” </w:t>
      </w:r>
      <w:r>
        <w:rPr>
          <w:rFonts w:eastAsia="Times New Roman" w:cs="Times New Roman"/>
          <w:color w:val="000000"/>
          <w:szCs w:val="26"/>
        </w:rPr>
        <w:t xml:space="preserve"> </w:t>
      </w:r>
      <w:r w:rsidRPr="00604FBA">
        <w:rPr>
          <w:rFonts w:eastAsia="Times New Roman" w:cs="Times New Roman"/>
          <w:color w:val="000000"/>
          <w:szCs w:val="26"/>
        </w:rPr>
        <w:t>(</w:t>
      </w:r>
      <w:r w:rsidRPr="00334C69">
        <w:rPr>
          <w:rFonts w:eastAsia="Times New Roman" w:cs="Times New Roman"/>
          <w:i/>
          <w:iCs/>
          <w:color w:val="3D3D3D"/>
          <w:szCs w:val="26"/>
          <w:bdr w:val="none" w:sz="0" w:space="0" w:color="auto" w:frame="1"/>
        </w:rPr>
        <w:t>Berger</w:t>
      </w:r>
      <w:r w:rsidRPr="007C638B">
        <w:rPr>
          <w:rFonts w:eastAsia="Times New Roman" w:cs="Times New Roman"/>
          <w:color w:val="3D3D3D"/>
          <w:szCs w:val="26"/>
          <w:bdr w:val="none" w:sz="0" w:space="0" w:color="auto" w:frame="1"/>
        </w:rPr>
        <w:t>,</w:t>
      </w:r>
      <w:r>
        <w:rPr>
          <w:rFonts w:eastAsia="Times New Roman" w:cs="Times New Roman"/>
          <w:i/>
          <w:iCs/>
          <w:color w:val="3D3D3D"/>
          <w:szCs w:val="26"/>
          <w:bdr w:val="none" w:sz="0" w:space="0" w:color="auto" w:frame="1"/>
        </w:rPr>
        <w:t xml:space="preserve"> </w:t>
      </w:r>
      <w:r w:rsidRPr="00604FBA">
        <w:rPr>
          <w:rFonts w:eastAsia="Times New Roman" w:cs="Times New Roman"/>
          <w:i/>
          <w:iCs/>
          <w:color w:val="000000"/>
          <w:szCs w:val="26"/>
        </w:rPr>
        <w:t>supra</w:t>
      </w:r>
      <w:r w:rsidRPr="00604FBA">
        <w:rPr>
          <w:rFonts w:eastAsia="Times New Roman" w:cs="Times New Roman"/>
          <w:color w:val="000000"/>
          <w:szCs w:val="26"/>
        </w:rPr>
        <w:t>,</w:t>
      </w:r>
      <w:r w:rsidRPr="00334C69">
        <w:rPr>
          <w:rFonts w:eastAsia="Times New Roman" w:cs="Times New Roman"/>
          <w:color w:val="000000"/>
          <w:szCs w:val="26"/>
        </w:rPr>
        <w:t xml:space="preserve"> </w:t>
      </w:r>
      <w:r w:rsidRPr="00604FBA">
        <w:rPr>
          <w:rFonts w:eastAsia="Times New Roman" w:cs="Times New Roman"/>
          <w:color w:val="000000"/>
          <w:szCs w:val="26"/>
        </w:rPr>
        <w:t>142</w:t>
      </w:r>
      <w:r>
        <w:rPr>
          <w:rFonts w:eastAsia="Times New Roman" w:cs="Times New Roman"/>
          <w:color w:val="000000"/>
          <w:szCs w:val="26"/>
        </w:rPr>
        <w:t> </w:t>
      </w:r>
      <w:proofErr w:type="spellStart"/>
      <w:r w:rsidRPr="00604FBA">
        <w:rPr>
          <w:rFonts w:eastAsia="Times New Roman" w:cs="Times New Roman"/>
          <w:color w:val="000000"/>
          <w:szCs w:val="26"/>
        </w:rPr>
        <w:t>S.Ct</w:t>
      </w:r>
      <w:proofErr w:type="spellEnd"/>
      <w:r w:rsidRPr="00604FBA">
        <w:rPr>
          <w:rFonts w:eastAsia="Times New Roman" w:cs="Times New Roman"/>
          <w:color w:val="000000"/>
          <w:szCs w:val="26"/>
        </w:rPr>
        <w:t>. at p.</w:t>
      </w:r>
      <w:r>
        <w:rPr>
          <w:rFonts w:eastAsia="Times New Roman" w:cs="Times New Roman"/>
          <w:color w:val="000000"/>
          <w:szCs w:val="26"/>
        </w:rPr>
        <w:t> </w:t>
      </w:r>
      <w:r w:rsidRPr="00604FBA">
        <w:rPr>
          <w:rFonts w:eastAsia="Times New Roman" w:cs="Times New Roman"/>
          <w:color w:val="000000"/>
          <w:szCs w:val="26"/>
        </w:rPr>
        <w:t>220</w:t>
      </w:r>
      <w:r>
        <w:rPr>
          <w:rFonts w:eastAsia="Times New Roman" w:cs="Times New Roman"/>
          <w:color w:val="000000"/>
          <w:szCs w:val="26"/>
        </w:rPr>
        <w:t>2</w:t>
      </w:r>
      <w:r w:rsidRPr="00604FBA">
        <w:rPr>
          <w:rFonts w:eastAsia="Times New Roman" w:cs="Times New Roman"/>
          <w:color w:val="000000"/>
          <w:szCs w:val="26"/>
        </w:rPr>
        <w:t>.)</w:t>
      </w:r>
      <w:r>
        <w:rPr>
          <w:rFonts w:eastAsia="Times New Roman" w:cs="Times New Roman"/>
          <w:color w:val="000000"/>
          <w:szCs w:val="26"/>
        </w:rPr>
        <w:t xml:space="preserve">  </w:t>
      </w:r>
      <w:r w:rsidRPr="00604FBA">
        <w:rPr>
          <w:rFonts w:eastAsia="Times New Roman" w:cs="Times New Roman"/>
          <w:color w:val="000000"/>
          <w:szCs w:val="26"/>
        </w:rPr>
        <w:t xml:space="preserve">The </w:t>
      </w:r>
      <w:r>
        <w:rPr>
          <w:rFonts w:eastAsia="Times New Roman" w:cs="Times New Roman"/>
          <w:color w:val="000000"/>
          <w:szCs w:val="26"/>
        </w:rPr>
        <w:t>h</w:t>
      </w:r>
      <w:r w:rsidRPr="00604FBA">
        <w:rPr>
          <w:szCs w:val="26"/>
        </w:rPr>
        <w:t xml:space="preserve">igh </w:t>
      </w:r>
      <w:r>
        <w:rPr>
          <w:szCs w:val="26"/>
        </w:rPr>
        <w:t>c</w:t>
      </w:r>
      <w:r w:rsidRPr="00604FBA">
        <w:rPr>
          <w:szCs w:val="26"/>
        </w:rPr>
        <w:t xml:space="preserve">ourt </w:t>
      </w:r>
      <w:r>
        <w:rPr>
          <w:szCs w:val="26"/>
        </w:rPr>
        <w:t>explained</w:t>
      </w:r>
      <w:r w:rsidRPr="00604FBA">
        <w:rPr>
          <w:szCs w:val="26"/>
        </w:rPr>
        <w:t xml:space="preserve"> that, where a state has conferred the power to represent it </w:t>
      </w:r>
      <w:r>
        <w:rPr>
          <w:szCs w:val="26"/>
        </w:rPr>
        <w:t>on</w:t>
      </w:r>
      <w:r w:rsidRPr="00604FBA">
        <w:rPr>
          <w:szCs w:val="26"/>
        </w:rPr>
        <w:t xml:space="preserve"> two agents of government, one in the legislative branch and one in the executive branch, it is inappropriate to apply a presumption that only one of these designated champions of the state’s i</w:t>
      </w:r>
      <w:r w:rsidRPr="00604FBA">
        <w:rPr>
          <w:szCs w:val="26"/>
        </w:rPr>
        <w:t>nterest will adequately represent all relevant perspectives of the state.  (</w:t>
      </w:r>
      <w:r w:rsidRPr="00604FBA">
        <w:rPr>
          <w:i/>
          <w:iCs/>
          <w:szCs w:val="26"/>
        </w:rPr>
        <w:t>Id</w:t>
      </w:r>
      <w:r w:rsidRPr="00604FBA">
        <w:rPr>
          <w:szCs w:val="26"/>
        </w:rPr>
        <w:t>.</w:t>
      </w:r>
      <w:r>
        <w:rPr>
          <w:szCs w:val="26"/>
        </w:rPr>
        <w:t xml:space="preserve"> at p. 2203.</w:t>
      </w:r>
      <w:r w:rsidRPr="00604FBA">
        <w:rPr>
          <w:szCs w:val="26"/>
        </w:rPr>
        <w:t>)</w:t>
      </w:r>
      <w:r>
        <w:rPr>
          <w:szCs w:val="26"/>
        </w:rPr>
        <w:t xml:space="preserve">  As a policy matter, the high court recognized the dangers of the race-to-the-bottom phenomenon some courts have described in the </w:t>
      </w:r>
      <w:proofErr w:type="spellStart"/>
      <w:r>
        <w:rPr>
          <w:szCs w:val="26"/>
        </w:rPr>
        <w:t>PAGA</w:t>
      </w:r>
      <w:proofErr w:type="spellEnd"/>
      <w:r>
        <w:rPr>
          <w:szCs w:val="26"/>
        </w:rPr>
        <w:t xml:space="preserve"> context using the rubric of </w:t>
      </w:r>
      <w:r>
        <w:rPr>
          <w:szCs w:val="26"/>
        </w:rPr>
        <w:t>“reverse auctions.”</w:t>
      </w:r>
      <w:r>
        <w:rPr>
          <w:rStyle w:val="FootnoteReference"/>
          <w:szCs w:val="26"/>
        </w:rPr>
        <w:footnoteReference w:id="23"/>
      </w:r>
      <w:r>
        <w:rPr>
          <w:szCs w:val="26"/>
        </w:rPr>
        <w:t xml:space="preserve">  </w:t>
      </w:r>
    </w:p>
    <w:p w14:paraId="0A50AA6F" w14:textId="77777777" w:rsidR="00906863" w:rsidRPr="00906863" w:rsidRDefault="00B45E56" w:rsidP="00604FBA">
      <w:pPr>
        <w:shd w:val="clear" w:color="auto" w:fill="FFFFFF"/>
        <w:spacing w:line="360" w:lineRule="auto"/>
        <w:ind w:firstLine="720"/>
        <w:rPr>
          <w:rFonts w:eastAsia="Times New Roman" w:cs="Times New Roman"/>
          <w:color w:val="000000"/>
          <w:szCs w:val="26"/>
        </w:rPr>
      </w:pPr>
      <w:r>
        <w:rPr>
          <w:szCs w:val="26"/>
        </w:rPr>
        <w:lastRenderedPageBreak/>
        <w:t xml:space="preserve">This effort by </w:t>
      </w:r>
      <w:proofErr w:type="spellStart"/>
      <w:r>
        <w:rPr>
          <w:szCs w:val="26"/>
        </w:rPr>
        <w:t>Piplack</w:t>
      </w:r>
      <w:proofErr w:type="spellEnd"/>
      <w:r>
        <w:rPr>
          <w:szCs w:val="26"/>
        </w:rPr>
        <w:t xml:space="preserve"> and Taylor to invoke </w:t>
      </w:r>
      <w:r w:rsidRPr="00027783">
        <w:rPr>
          <w:i/>
          <w:iCs/>
          <w:szCs w:val="26"/>
        </w:rPr>
        <w:t>Berger</w:t>
      </w:r>
      <w:r>
        <w:rPr>
          <w:szCs w:val="26"/>
        </w:rPr>
        <w:t>—the United States Supreme Court’s most recent application of Federal Rules of Civil Procedure, rule 24(a)(2)—is not without force.  But in the end, w</w:t>
      </w:r>
      <w:r w:rsidRPr="00604FBA">
        <w:rPr>
          <w:szCs w:val="26"/>
        </w:rPr>
        <w:t xml:space="preserve">e are unconvinced that </w:t>
      </w:r>
      <w:r w:rsidRPr="007C638B">
        <w:rPr>
          <w:i/>
          <w:iCs/>
          <w:szCs w:val="26"/>
        </w:rPr>
        <w:t>Berger</w:t>
      </w:r>
      <w:r w:rsidRPr="00604FBA">
        <w:rPr>
          <w:szCs w:val="26"/>
        </w:rPr>
        <w:t xml:space="preserve"> co</w:t>
      </w:r>
      <w:r w:rsidRPr="00604FBA">
        <w:rPr>
          <w:szCs w:val="26"/>
        </w:rPr>
        <w:t>ntrols</w:t>
      </w:r>
      <w:r>
        <w:rPr>
          <w:szCs w:val="26"/>
        </w:rPr>
        <w:t xml:space="preserve">. </w:t>
      </w:r>
      <w:r w:rsidRPr="00604FBA">
        <w:rPr>
          <w:szCs w:val="26"/>
        </w:rPr>
        <w:t xml:space="preserve"> The principal teaching of that case is that federal courts may not second-guess choices made by sovereign states about how to allocate governmental power.</w:t>
      </w:r>
      <w:r>
        <w:rPr>
          <w:szCs w:val="26"/>
        </w:rPr>
        <w:t xml:space="preserve"> </w:t>
      </w:r>
      <w:r w:rsidRPr="00604FBA">
        <w:rPr>
          <w:szCs w:val="26"/>
        </w:rPr>
        <w:t xml:space="preserve"> </w:t>
      </w:r>
      <w:r w:rsidRPr="00604FBA">
        <w:rPr>
          <w:rFonts w:eastAsia="Times New Roman" w:cs="Times New Roman"/>
          <w:color w:val="000000"/>
          <w:szCs w:val="26"/>
        </w:rPr>
        <w:t>(</w:t>
      </w:r>
      <w:r w:rsidRPr="00B8639C">
        <w:rPr>
          <w:rFonts w:eastAsia="Times New Roman" w:cs="Times New Roman"/>
          <w:i/>
          <w:iCs/>
          <w:szCs w:val="26"/>
          <w:bdr w:val="none" w:sz="0" w:space="0" w:color="auto" w:frame="1"/>
        </w:rPr>
        <w:t>Berger</w:t>
      </w:r>
      <w:r w:rsidRPr="00B8639C">
        <w:rPr>
          <w:rFonts w:eastAsia="Times New Roman" w:cs="Times New Roman"/>
          <w:szCs w:val="26"/>
        </w:rPr>
        <w:t xml:space="preserve">, </w:t>
      </w:r>
      <w:r w:rsidRPr="00B8639C">
        <w:rPr>
          <w:rFonts w:eastAsia="Times New Roman" w:cs="Times New Roman"/>
          <w:i/>
          <w:iCs/>
          <w:szCs w:val="26"/>
        </w:rPr>
        <w:t>supra</w:t>
      </w:r>
      <w:r w:rsidRPr="00B8639C">
        <w:rPr>
          <w:rFonts w:eastAsia="Times New Roman" w:cs="Times New Roman"/>
          <w:szCs w:val="26"/>
        </w:rPr>
        <w:t>, 142 </w:t>
      </w:r>
      <w:proofErr w:type="spellStart"/>
      <w:r w:rsidRPr="00604FBA">
        <w:rPr>
          <w:rFonts w:eastAsia="Times New Roman" w:cs="Times New Roman"/>
          <w:color w:val="000000"/>
          <w:szCs w:val="26"/>
        </w:rPr>
        <w:t>S.Ct</w:t>
      </w:r>
      <w:proofErr w:type="spellEnd"/>
      <w:r w:rsidRPr="00604FBA">
        <w:rPr>
          <w:rFonts w:eastAsia="Times New Roman" w:cs="Times New Roman"/>
          <w:color w:val="000000"/>
          <w:szCs w:val="26"/>
        </w:rPr>
        <w:t>. at p.</w:t>
      </w:r>
      <w:r>
        <w:rPr>
          <w:rFonts w:eastAsia="Times New Roman" w:cs="Times New Roman"/>
          <w:color w:val="000000"/>
          <w:szCs w:val="26"/>
        </w:rPr>
        <w:t> </w:t>
      </w:r>
      <w:r w:rsidRPr="00604FBA">
        <w:rPr>
          <w:rFonts w:eastAsia="Times New Roman" w:cs="Times New Roman"/>
          <w:color w:val="000000"/>
          <w:szCs w:val="26"/>
        </w:rPr>
        <w:t xml:space="preserve">2201.)  </w:t>
      </w:r>
      <w:r>
        <w:rPr>
          <w:rFonts w:eastAsia="Times New Roman" w:cs="Times New Roman"/>
          <w:color w:val="000000"/>
          <w:szCs w:val="26"/>
        </w:rPr>
        <w:t xml:space="preserve">At issue there was a contest between legislative branch and executive branch representatives vying to represent North Carolina’s interests.  We have no such issue of inter-branch dispersion of power in this case.  </w:t>
      </w:r>
      <w:r w:rsidRPr="00604FBA">
        <w:rPr>
          <w:rFonts w:eastAsia="Times New Roman" w:cs="Times New Roman"/>
          <w:color w:val="000000"/>
          <w:szCs w:val="26"/>
        </w:rPr>
        <w:t>To privilege a state executive over a legi</w:t>
      </w:r>
      <w:r w:rsidRPr="00604FBA">
        <w:rPr>
          <w:rFonts w:eastAsia="Times New Roman" w:cs="Times New Roman"/>
          <w:color w:val="000000"/>
          <w:szCs w:val="26"/>
        </w:rPr>
        <w:t xml:space="preserve">slature, the </w:t>
      </w:r>
      <w:r>
        <w:rPr>
          <w:rFonts w:eastAsia="Times New Roman" w:cs="Times New Roman"/>
          <w:color w:val="000000"/>
          <w:szCs w:val="26"/>
        </w:rPr>
        <w:t>high c</w:t>
      </w:r>
      <w:r w:rsidRPr="00604FBA">
        <w:rPr>
          <w:rFonts w:eastAsia="Times New Roman" w:cs="Times New Roman"/>
          <w:color w:val="000000"/>
          <w:szCs w:val="26"/>
        </w:rPr>
        <w:t xml:space="preserve">ourt </w:t>
      </w:r>
      <w:r>
        <w:rPr>
          <w:rFonts w:eastAsia="Times New Roman" w:cs="Times New Roman"/>
          <w:color w:val="000000"/>
          <w:szCs w:val="26"/>
        </w:rPr>
        <w:t>explained</w:t>
      </w:r>
      <w:r w:rsidRPr="00604FBA">
        <w:rPr>
          <w:rFonts w:eastAsia="Times New Roman" w:cs="Times New Roman"/>
          <w:color w:val="000000"/>
          <w:szCs w:val="26"/>
        </w:rPr>
        <w:t>, “would</w:t>
      </w:r>
      <w:r>
        <w:rPr>
          <w:rFonts w:eastAsia="Times New Roman" w:cs="Times New Roman"/>
          <w:color w:val="000000"/>
          <w:szCs w:val="26"/>
        </w:rPr>
        <w:t xml:space="preserve"> . . . </w:t>
      </w:r>
      <w:r w:rsidRPr="00604FBA">
        <w:rPr>
          <w:rFonts w:eastAsia="Times New Roman" w:cs="Times New Roman"/>
          <w:color w:val="000000"/>
          <w:szCs w:val="26"/>
        </w:rPr>
        <w:t>evince disrespect for a State</w:t>
      </w:r>
      <w:r>
        <w:rPr>
          <w:rFonts w:eastAsia="Times New Roman" w:cs="Times New Roman"/>
          <w:color w:val="000000"/>
          <w:szCs w:val="26"/>
        </w:rPr>
        <w:t>’</w:t>
      </w:r>
      <w:r w:rsidRPr="00604FBA">
        <w:rPr>
          <w:rFonts w:eastAsia="Times New Roman" w:cs="Times New Roman"/>
          <w:color w:val="000000"/>
          <w:szCs w:val="26"/>
        </w:rPr>
        <w:t>s chosen means of diffusing its sovereign powers among various branches and officials” and “risk turning a deaf federal ear to voices the State has deemed crucial to understandin</w:t>
      </w:r>
      <w:r w:rsidRPr="00604FBA">
        <w:rPr>
          <w:rFonts w:eastAsia="Times New Roman" w:cs="Times New Roman"/>
          <w:color w:val="000000"/>
          <w:szCs w:val="26"/>
        </w:rPr>
        <w:t xml:space="preserve">g the full range of its interests.” </w:t>
      </w:r>
      <w:r>
        <w:rPr>
          <w:rFonts w:eastAsia="Times New Roman" w:cs="Times New Roman"/>
          <w:color w:val="000000"/>
          <w:szCs w:val="26"/>
        </w:rPr>
        <w:t xml:space="preserve"> </w:t>
      </w:r>
      <w:r w:rsidRPr="00604FBA">
        <w:rPr>
          <w:rFonts w:eastAsia="Times New Roman" w:cs="Times New Roman"/>
          <w:color w:val="000000"/>
          <w:szCs w:val="26"/>
        </w:rPr>
        <w:t>(</w:t>
      </w:r>
      <w:r w:rsidRPr="00604FBA">
        <w:rPr>
          <w:rFonts w:eastAsia="Times New Roman" w:cs="Times New Roman"/>
          <w:i/>
          <w:iCs/>
          <w:color w:val="000000"/>
          <w:szCs w:val="26"/>
        </w:rPr>
        <w:t>I</w:t>
      </w:r>
      <w:r>
        <w:rPr>
          <w:rFonts w:eastAsia="Times New Roman" w:cs="Times New Roman"/>
          <w:i/>
          <w:iCs/>
          <w:color w:val="000000"/>
          <w:szCs w:val="26"/>
        </w:rPr>
        <w:t>bi</w:t>
      </w:r>
      <w:r w:rsidRPr="00604FBA">
        <w:rPr>
          <w:rFonts w:eastAsia="Times New Roman" w:cs="Times New Roman"/>
          <w:i/>
          <w:iCs/>
          <w:color w:val="000000"/>
          <w:szCs w:val="26"/>
        </w:rPr>
        <w:t>d</w:t>
      </w:r>
      <w:r w:rsidRPr="00604FBA">
        <w:rPr>
          <w:rFonts w:eastAsia="Times New Roman" w:cs="Times New Roman"/>
          <w:color w:val="000000"/>
          <w:szCs w:val="26"/>
        </w:rPr>
        <w:t xml:space="preserve">.)  “Nor are state interests the only interests at stake,” the </w:t>
      </w:r>
      <w:r>
        <w:rPr>
          <w:rFonts w:eastAsia="Times New Roman" w:cs="Times New Roman"/>
          <w:color w:val="000000"/>
          <w:szCs w:val="26"/>
        </w:rPr>
        <w:t>c</w:t>
      </w:r>
      <w:r w:rsidRPr="00604FBA">
        <w:rPr>
          <w:rFonts w:eastAsia="Times New Roman" w:cs="Times New Roman"/>
          <w:color w:val="000000"/>
          <w:szCs w:val="26"/>
        </w:rPr>
        <w:t xml:space="preserve">ourt </w:t>
      </w:r>
      <w:r>
        <w:rPr>
          <w:rFonts w:eastAsia="Times New Roman" w:cs="Times New Roman"/>
          <w:color w:val="000000"/>
          <w:szCs w:val="26"/>
        </w:rPr>
        <w:t>said</w:t>
      </w:r>
      <w:r w:rsidRPr="00604FBA">
        <w:rPr>
          <w:rFonts w:eastAsia="Times New Roman" w:cs="Times New Roman"/>
          <w:color w:val="000000"/>
          <w:szCs w:val="26"/>
        </w:rPr>
        <w:t xml:space="preserve">. </w:t>
      </w:r>
      <w:r>
        <w:rPr>
          <w:rFonts w:eastAsia="Times New Roman" w:cs="Times New Roman"/>
          <w:color w:val="000000"/>
          <w:szCs w:val="26"/>
        </w:rPr>
        <w:t xml:space="preserve"> </w:t>
      </w:r>
      <w:r w:rsidRPr="00604FBA">
        <w:rPr>
          <w:rFonts w:eastAsia="Times New Roman" w:cs="Times New Roman"/>
          <w:color w:val="000000"/>
          <w:szCs w:val="26"/>
        </w:rPr>
        <w:t xml:space="preserve">“Respecting the States’ </w:t>
      </w:r>
      <w:r>
        <w:rPr>
          <w:rFonts w:eastAsia="Times New Roman" w:cs="Times New Roman"/>
          <w:color w:val="000000"/>
          <w:szCs w:val="26"/>
        </w:rPr>
        <w:t>‘</w:t>
      </w:r>
      <w:r w:rsidRPr="00604FBA">
        <w:rPr>
          <w:rFonts w:eastAsia="Times New Roman" w:cs="Times New Roman"/>
          <w:color w:val="000000"/>
          <w:szCs w:val="26"/>
        </w:rPr>
        <w:t>plan[s] for the distribution of governmental powers</w:t>
      </w:r>
      <w:r>
        <w:rPr>
          <w:rFonts w:eastAsia="Times New Roman" w:cs="Times New Roman"/>
          <w:color w:val="000000"/>
          <w:szCs w:val="26"/>
        </w:rPr>
        <w:t>’</w:t>
      </w:r>
      <w:r w:rsidRPr="00604FBA">
        <w:rPr>
          <w:rFonts w:eastAsia="Times New Roman" w:cs="Times New Roman"/>
          <w:color w:val="000000"/>
          <w:szCs w:val="26"/>
        </w:rPr>
        <w:t xml:space="preserve"> also serves important national interests.” </w:t>
      </w:r>
      <w:r>
        <w:rPr>
          <w:rFonts w:eastAsia="Times New Roman" w:cs="Times New Roman"/>
          <w:color w:val="000000"/>
          <w:szCs w:val="26"/>
        </w:rPr>
        <w:t xml:space="preserve"> </w:t>
      </w:r>
      <w:r w:rsidRPr="00604FBA">
        <w:rPr>
          <w:rFonts w:eastAsia="Times New Roman" w:cs="Times New Roman"/>
          <w:color w:val="000000"/>
          <w:szCs w:val="26"/>
        </w:rPr>
        <w:t>(</w:t>
      </w:r>
      <w:r w:rsidRPr="00604FBA">
        <w:rPr>
          <w:rFonts w:eastAsia="Times New Roman" w:cs="Times New Roman"/>
          <w:i/>
          <w:iCs/>
          <w:color w:val="000000"/>
          <w:szCs w:val="26"/>
        </w:rPr>
        <w:t>Ibid</w:t>
      </w:r>
      <w:r w:rsidRPr="00604FBA">
        <w:rPr>
          <w:rFonts w:eastAsia="Times New Roman" w:cs="Times New Roman"/>
          <w:color w:val="000000"/>
          <w:szCs w:val="26"/>
        </w:rPr>
        <w:t>.)</w:t>
      </w:r>
      <w:r>
        <w:rPr>
          <w:rFonts w:eastAsia="Times New Roman" w:cs="Times New Roman"/>
          <w:color w:val="000000"/>
          <w:szCs w:val="26"/>
        </w:rPr>
        <w:t xml:space="preserve">  </w:t>
      </w:r>
      <w:r w:rsidRPr="00604FBA">
        <w:rPr>
          <w:rFonts w:eastAsia="Times New Roman" w:cs="Times New Roman"/>
          <w:color w:val="000000"/>
          <w:szCs w:val="26"/>
        </w:rPr>
        <w:t>Thus, t</w:t>
      </w:r>
      <w:r w:rsidRPr="00604FBA">
        <w:rPr>
          <w:rFonts w:eastAsia="Times New Roman" w:cs="Times New Roman"/>
          <w:color w:val="000000"/>
          <w:szCs w:val="26"/>
        </w:rPr>
        <w:t xml:space="preserve">he </w:t>
      </w:r>
      <w:r>
        <w:rPr>
          <w:rFonts w:eastAsia="Times New Roman" w:cs="Times New Roman"/>
          <w:color w:val="000000"/>
          <w:szCs w:val="26"/>
        </w:rPr>
        <w:t>c</w:t>
      </w:r>
      <w:r w:rsidRPr="00604FBA">
        <w:rPr>
          <w:rFonts w:eastAsia="Times New Roman" w:cs="Times New Roman"/>
          <w:color w:val="000000"/>
          <w:szCs w:val="26"/>
        </w:rPr>
        <w:t>ourt held, “[p]</w:t>
      </w:r>
      <w:proofErr w:type="spellStart"/>
      <w:r w:rsidRPr="00604FBA">
        <w:rPr>
          <w:rFonts w:eastAsia="Times New Roman" w:cs="Times New Roman"/>
          <w:color w:val="000000"/>
          <w:szCs w:val="26"/>
        </w:rPr>
        <w:t>ermitting</w:t>
      </w:r>
      <w:proofErr w:type="spellEnd"/>
      <w:r w:rsidRPr="00604FBA">
        <w:rPr>
          <w:rFonts w:eastAsia="Times New Roman" w:cs="Times New Roman"/>
          <w:color w:val="000000"/>
          <w:szCs w:val="26"/>
        </w:rPr>
        <w:t xml:space="preserve"> the participation of lawfully authorized state agents promotes informed </w:t>
      </w:r>
      <w:proofErr w:type="gramStart"/>
      <w:r w:rsidRPr="00604FBA">
        <w:rPr>
          <w:rFonts w:eastAsia="Times New Roman" w:cs="Times New Roman"/>
          <w:color w:val="000000"/>
          <w:szCs w:val="26"/>
        </w:rPr>
        <w:t>federal-court</w:t>
      </w:r>
      <w:proofErr w:type="gramEnd"/>
      <w:r w:rsidRPr="00604FBA">
        <w:rPr>
          <w:rFonts w:eastAsia="Times New Roman" w:cs="Times New Roman"/>
          <w:color w:val="000000"/>
          <w:szCs w:val="26"/>
        </w:rPr>
        <w:t xml:space="preserve"> </w:t>
      </w:r>
      <w:proofErr w:type="spellStart"/>
      <w:r w:rsidRPr="00604FBA">
        <w:rPr>
          <w:rFonts w:eastAsia="Times New Roman" w:cs="Times New Roman"/>
          <w:color w:val="000000"/>
          <w:szCs w:val="26"/>
        </w:rPr>
        <w:t>decisionmaking</w:t>
      </w:r>
      <w:proofErr w:type="spellEnd"/>
      <w:r w:rsidRPr="00604FBA">
        <w:rPr>
          <w:rFonts w:eastAsia="Times New Roman" w:cs="Times New Roman"/>
          <w:color w:val="000000"/>
          <w:szCs w:val="26"/>
        </w:rPr>
        <w:t xml:space="preserve"> and avoids the risk of setting aside duly enacted state law based on an incomplete understanding of relevant state interests.”</w:t>
      </w:r>
      <w:r w:rsidRPr="00604FBA">
        <w:rPr>
          <w:rFonts w:eastAsia="Times New Roman" w:cs="Times New Roman"/>
          <w:color w:val="000000"/>
          <w:szCs w:val="26"/>
        </w:rPr>
        <w:t xml:space="preserve"> </w:t>
      </w:r>
      <w:r>
        <w:rPr>
          <w:rFonts w:eastAsia="Times New Roman" w:cs="Times New Roman"/>
          <w:color w:val="000000"/>
          <w:szCs w:val="26"/>
        </w:rPr>
        <w:t xml:space="preserve"> </w:t>
      </w:r>
      <w:r w:rsidRPr="00604FBA">
        <w:rPr>
          <w:rFonts w:eastAsia="Times New Roman" w:cs="Times New Roman"/>
          <w:color w:val="000000"/>
          <w:szCs w:val="26"/>
        </w:rPr>
        <w:t>(</w:t>
      </w:r>
      <w:r w:rsidRPr="00C5556A">
        <w:rPr>
          <w:rFonts w:eastAsia="Times New Roman" w:cs="Times New Roman"/>
          <w:i/>
          <w:iCs/>
          <w:color w:val="000000"/>
          <w:szCs w:val="26"/>
        </w:rPr>
        <w:t>Id</w:t>
      </w:r>
      <w:r w:rsidRPr="00604FBA">
        <w:rPr>
          <w:rFonts w:eastAsia="Times New Roman" w:cs="Times New Roman"/>
          <w:color w:val="000000"/>
          <w:szCs w:val="26"/>
        </w:rPr>
        <w:t>.</w:t>
      </w:r>
      <w:r>
        <w:rPr>
          <w:rFonts w:eastAsia="Times New Roman" w:cs="Times New Roman"/>
          <w:color w:val="000000"/>
          <w:szCs w:val="26"/>
        </w:rPr>
        <w:t xml:space="preserve"> at p. 2202.</w:t>
      </w:r>
      <w:r w:rsidRPr="00604FBA">
        <w:rPr>
          <w:rFonts w:eastAsia="Times New Roman" w:cs="Times New Roman"/>
          <w:color w:val="000000"/>
          <w:szCs w:val="26"/>
        </w:rPr>
        <w:t xml:space="preserve">) </w:t>
      </w:r>
    </w:p>
    <w:p w14:paraId="53A71660" w14:textId="77777777" w:rsidR="00C84CD2" w:rsidRDefault="00B45E56" w:rsidP="00604FBA">
      <w:pPr>
        <w:shd w:val="clear" w:color="auto" w:fill="FFFFFF"/>
        <w:spacing w:line="360" w:lineRule="auto"/>
        <w:ind w:firstLine="720"/>
        <w:rPr>
          <w:rFonts w:eastAsia="Times New Roman" w:cs="Times New Roman"/>
          <w:color w:val="000000"/>
          <w:szCs w:val="26"/>
        </w:rPr>
      </w:pPr>
      <w:r>
        <w:rPr>
          <w:rFonts w:eastAsia="Times New Roman" w:cs="Times New Roman"/>
          <w:color w:val="000000"/>
          <w:szCs w:val="26"/>
        </w:rPr>
        <w:t xml:space="preserve">There is no such titanic structural clash of governmental interests at issue here.  Though we agree with </w:t>
      </w:r>
      <w:proofErr w:type="spellStart"/>
      <w:r>
        <w:rPr>
          <w:rFonts w:eastAsia="Times New Roman" w:cs="Times New Roman"/>
          <w:color w:val="000000"/>
          <w:szCs w:val="26"/>
        </w:rPr>
        <w:t>Accurso</w:t>
      </w:r>
      <w:proofErr w:type="spellEnd"/>
      <w:r>
        <w:rPr>
          <w:rFonts w:eastAsia="Times New Roman" w:cs="Times New Roman"/>
          <w:color w:val="000000"/>
          <w:szCs w:val="26"/>
        </w:rPr>
        <w:t xml:space="preserve"> and In-N-Out that </w:t>
      </w:r>
      <w:r w:rsidRPr="00927976">
        <w:rPr>
          <w:rFonts w:eastAsia="Times New Roman" w:cs="Times New Roman"/>
          <w:i/>
          <w:iCs/>
          <w:color w:val="000000"/>
          <w:szCs w:val="26"/>
        </w:rPr>
        <w:t>Berger</w:t>
      </w:r>
      <w:r>
        <w:rPr>
          <w:rFonts w:eastAsia="Times New Roman" w:cs="Times New Roman"/>
          <w:color w:val="000000"/>
          <w:szCs w:val="26"/>
        </w:rPr>
        <w:t xml:space="preserve"> is distinguishable, we see no need to take the path they urge and apply a presumption in this case.  We will instead resolve the adequacy of representation issue presented here, just as we do with the issue of potential impairment, under </w:t>
      </w:r>
      <w:r w:rsidRPr="00604FBA">
        <w:rPr>
          <w:rFonts w:eastAsia="Times New Roman" w:cs="Times New Roman"/>
          <w:color w:val="000000"/>
          <w:szCs w:val="26"/>
        </w:rPr>
        <w:t xml:space="preserve">the </w:t>
      </w:r>
      <w:r>
        <w:rPr>
          <w:rFonts w:eastAsia="Times New Roman" w:cs="Times New Roman"/>
          <w:color w:val="000000"/>
          <w:szCs w:val="26"/>
        </w:rPr>
        <w:t>basic rule th</w:t>
      </w:r>
      <w:r>
        <w:rPr>
          <w:rFonts w:eastAsia="Times New Roman" w:cs="Times New Roman"/>
          <w:color w:val="000000"/>
          <w:szCs w:val="26"/>
        </w:rPr>
        <w:t xml:space="preserve">at a section 387 movant always bears the burden of proof.  Here, we conclude </w:t>
      </w:r>
      <w:proofErr w:type="spellStart"/>
      <w:r>
        <w:rPr>
          <w:rFonts w:eastAsia="Times New Roman" w:cs="Times New Roman"/>
          <w:color w:val="000000"/>
          <w:szCs w:val="26"/>
        </w:rPr>
        <w:t>Piplack</w:t>
      </w:r>
      <w:proofErr w:type="spellEnd"/>
      <w:r>
        <w:rPr>
          <w:rFonts w:eastAsia="Times New Roman" w:cs="Times New Roman"/>
          <w:color w:val="000000"/>
          <w:szCs w:val="26"/>
        </w:rPr>
        <w:t xml:space="preserve"> and Taylor fail to meet their </w:t>
      </w:r>
      <w:r>
        <w:rPr>
          <w:rFonts w:eastAsia="Times New Roman" w:cs="Times New Roman"/>
          <w:color w:val="000000"/>
          <w:szCs w:val="26"/>
        </w:rPr>
        <w:lastRenderedPageBreak/>
        <w:t>burden</w:t>
      </w:r>
      <w:r w:rsidRPr="00604FBA">
        <w:rPr>
          <w:rFonts w:eastAsia="Times New Roman" w:cs="Times New Roman"/>
          <w:color w:val="000000"/>
          <w:szCs w:val="26"/>
        </w:rPr>
        <w:t xml:space="preserve"> </w:t>
      </w:r>
      <w:r w:rsidRPr="008D0095">
        <w:rPr>
          <w:rFonts w:eastAsia="Times New Roman" w:cs="Times New Roman"/>
          <w:color w:val="000000"/>
          <w:szCs w:val="26"/>
        </w:rPr>
        <w:t xml:space="preserve">for two reasons.  </w:t>
      </w:r>
      <w:r w:rsidRPr="00C5556A">
        <w:rPr>
          <w:rFonts w:eastAsia="Times New Roman" w:cs="Times New Roman"/>
          <w:i/>
          <w:iCs/>
          <w:color w:val="000000"/>
          <w:szCs w:val="26"/>
        </w:rPr>
        <w:t>First</w:t>
      </w:r>
      <w:r w:rsidRPr="008D0095">
        <w:rPr>
          <w:rFonts w:eastAsia="Times New Roman" w:cs="Times New Roman"/>
          <w:color w:val="000000"/>
          <w:szCs w:val="26"/>
        </w:rPr>
        <w:t xml:space="preserve">, </w:t>
      </w:r>
      <w:r>
        <w:rPr>
          <w:rFonts w:eastAsia="Times New Roman" w:cs="Times New Roman"/>
          <w:color w:val="000000"/>
          <w:szCs w:val="26"/>
        </w:rPr>
        <w:t>and most fundamentally, they did not</w:t>
      </w:r>
      <w:r w:rsidRPr="008D0095">
        <w:rPr>
          <w:rFonts w:eastAsia="Times New Roman" w:cs="Times New Roman"/>
          <w:color w:val="000000"/>
          <w:szCs w:val="26"/>
        </w:rPr>
        <w:t xml:space="preserve"> provide the trial court with </w:t>
      </w:r>
      <w:r w:rsidRPr="008D0095">
        <w:rPr>
          <w:rFonts w:eastAsia="Times New Roman" w:cs="Times New Roman"/>
          <w:i/>
          <w:iCs/>
          <w:color w:val="000000"/>
          <w:szCs w:val="26"/>
        </w:rPr>
        <w:t>any</w:t>
      </w:r>
      <w:r w:rsidRPr="008D0095">
        <w:rPr>
          <w:rFonts w:eastAsia="Times New Roman" w:cs="Times New Roman"/>
          <w:color w:val="000000"/>
          <w:szCs w:val="26"/>
        </w:rPr>
        <w:t xml:space="preserve"> of the pertinent </w:t>
      </w:r>
      <w:proofErr w:type="spellStart"/>
      <w:r w:rsidRPr="008D0095">
        <w:rPr>
          <w:rFonts w:eastAsia="Times New Roman" w:cs="Times New Roman"/>
          <w:color w:val="000000"/>
          <w:szCs w:val="26"/>
        </w:rPr>
        <w:t>LWDA</w:t>
      </w:r>
      <w:proofErr w:type="spellEnd"/>
      <w:r w:rsidRPr="008D0095">
        <w:rPr>
          <w:rFonts w:eastAsia="Times New Roman" w:cs="Times New Roman"/>
          <w:color w:val="000000"/>
          <w:szCs w:val="26"/>
        </w:rPr>
        <w:t xml:space="preserve"> notices, </w:t>
      </w:r>
      <w:proofErr w:type="spellStart"/>
      <w:r w:rsidRPr="008D0095">
        <w:rPr>
          <w:rFonts w:eastAsia="Times New Roman" w:cs="Times New Roman"/>
          <w:color w:val="000000"/>
          <w:szCs w:val="26"/>
        </w:rPr>
        <w:t>Accurso’</w:t>
      </w:r>
      <w:r w:rsidRPr="008D0095">
        <w:rPr>
          <w:rFonts w:eastAsia="Times New Roman" w:cs="Times New Roman"/>
          <w:color w:val="000000"/>
          <w:szCs w:val="26"/>
        </w:rPr>
        <w:t>s</w:t>
      </w:r>
      <w:proofErr w:type="spellEnd"/>
      <w:r w:rsidRPr="008D0095">
        <w:rPr>
          <w:rFonts w:eastAsia="Times New Roman" w:cs="Times New Roman"/>
          <w:color w:val="000000"/>
          <w:szCs w:val="26"/>
        </w:rPr>
        <w:t xml:space="preserve"> or theirs.</w:t>
      </w:r>
      <w:r>
        <w:rPr>
          <w:rStyle w:val="FootnoteReference"/>
          <w:rFonts w:eastAsia="Times New Roman" w:cs="Times New Roman"/>
          <w:color w:val="000000"/>
          <w:szCs w:val="26"/>
        </w:rPr>
        <w:footnoteReference w:id="24"/>
      </w:r>
      <w:r w:rsidRPr="008D0095">
        <w:rPr>
          <w:rFonts w:eastAsia="Times New Roman" w:cs="Times New Roman"/>
          <w:color w:val="000000"/>
          <w:szCs w:val="26"/>
        </w:rPr>
        <w:t xml:space="preserve">  Compare, for example, the detailed record on this point in </w:t>
      </w:r>
      <w:r w:rsidRPr="008D0095">
        <w:rPr>
          <w:rFonts w:eastAsia="Times New Roman" w:cs="Times New Roman"/>
          <w:i/>
          <w:iCs/>
          <w:color w:val="3D3D3D"/>
          <w:szCs w:val="26"/>
          <w:bdr w:val="none" w:sz="0" w:space="0" w:color="auto" w:frame="1"/>
        </w:rPr>
        <w:t>Uribe</w:t>
      </w:r>
      <w:r>
        <w:rPr>
          <w:rFonts w:eastAsia="Times New Roman" w:cs="Times New Roman"/>
          <w:color w:val="000000"/>
          <w:szCs w:val="26"/>
        </w:rPr>
        <w:t xml:space="preserve">, </w:t>
      </w:r>
      <w:r w:rsidRPr="00E75AE1">
        <w:rPr>
          <w:rFonts w:eastAsia="Times New Roman" w:cs="Times New Roman"/>
          <w:i/>
          <w:iCs/>
          <w:color w:val="000000"/>
          <w:szCs w:val="26"/>
        </w:rPr>
        <w:t>supra</w:t>
      </w:r>
      <w:r>
        <w:rPr>
          <w:rFonts w:eastAsia="Times New Roman" w:cs="Times New Roman"/>
          <w:color w:val="000000"/>
          <w:szCs w:val="26"/>
        </w:rPr>
        <w:t>,</w:t>
      </w:r>
      <w:r w:rsidRPr="008D0095">
        <w:rPr>
          <w:rFonts w:eastAsia="Times New Roman" w:cs="Times New Roman"/>
          <w:color w:val="000000"/>
          <w:szCs w:val="26"/>
        </w:rPr>
        <w:t xml:space="preserve"> 70</w:t>
      </w:r>
      <w:r>
        <w:rPr>
          <w:rFonts w:eastAsia="Times New Roman" w:cs="Times New Roman"/>
          <w:color w:val="000000"/>
          <w:szCs w:val="26"/>
        </w:rPr>
        <w:t> </w:t>
      </w:r>
      <w:r w:rsidRPr="008D0095">
        <w:rPr>
          <w:rFonts w:eastAsia="Times New Roman" w:cs="Times New Roman"/>
          <w:color w:val="000000"/>
          <w:szCs w:val="26"/>
        </w:rPr>
        <w:t>Cal.App.5th 986, 992</w:t>
      </w:r>
      <w:r>
        <w:rPr>
          <w:rFonts w:eastAsia="Times New Roman" w:cs="Times New Roman"/>
          <w:color w:val="000000"/>
          <w:szCs w:val="26"/>
        </w:rPr>
        <w:t>–993, 1003–1005</w:t>
      </w:r>
      <w:r w:rsidRPr="008D0095">
        <w:rPr>
          <w:rFonts w:eastAsia="Times New Roman" w:cs="Times New Roman"/>
          <w:color w:val="000000"/>
          <w:szCs w:val="26"/>
        </w:rPr>
        <w:t xml:space="preserve">.  That case—which </w:t>
      </w:r>
      <w:proofErr w:type="spellStart"/>
      <w:r w:rsidRPr="008D0095">
        <w:rPr>
          <w:rFonts w:eastAsia="Times New Roman" w:cs="Times New Roman"/>
          <w:color w:val="000000"/>
          <w:szCs w:val="26"/>
        </w:rPr>
        <w:t>Piplack</w:t>
      </w:r>
      <w:proofErr w:type="spellEnd"/>
      <w:r w:rsidRPr="008D0095">
        <w:rPr>
          <w:rFonts w:eastAsia="Times New Roman" w:cs="Times New Roman"/>
          <w:color w:val="000000"/>
          <w:szCs w:val="26"/>
        </w:rPr>
        <w:t xml:space="preserve"> and Taylor featured prominently in their arguments before </w:t>
      </w:r>
      <w:r>
        <w:rPr>
          <w:rFonts w:eastAsia="Times New Roman" w:cs="Times New Roman"/>
          <w:color w:val="000000"/>
          <w:szCs w:val="26"/>
        </w:rPr>
        <w:t xml:space="preserve">the </w:t>
      </w:r>
      <w:r w:rsidRPr="008D0095">
        <w:rPr>
          <w:rFonts w:eastAsia="Times New Roman" w:cs="Times New Roman"/>
          <w:color w:val="000000"/>
          <w:szCs w:val="26"/>
        </w:rPr>
        <w:t xml:space="preserve">trial court—should have provided a road </w:t>
      </w:r>
      <w:r w:rsidRPr="008D0095">
        <w:rPr>
          <w:rFonts w:eastAsia="Times New Roman" w:cs="Times New Roman"/>
          <w:color w:val="000000"/>
          <w:szCs w:val="26"/>
        </w:rPr>
        <w:t xml:space="preserve">map on the issue of inadequate representation.  All we </w:t>
      </w:r>
      <w:r>
        <w:rPr>
          <w:rFonts w:eastAsia="Times New Roman" w:cs="Times New Roman"/>
          <w:color w:val="000000"/>
          <w:szCs w:val="26"/>
        </w:rPr>
        <w:t>have</w:t>
      </w:r>
      <w:r w:rsidRPr="008D0095">
        <w:rPr>
          <w:rFonts w:eastAsia="Times New Roman" w:cs="Times New Roman"/>
          <w:color w:val="000000"/>
          <w:szCs w:val="26"/>
        </w:rPr>
        <w:t xml:space="preserve"> here, by contrast, is argument from counsel unsupported by record citations.  </w:t>
      </w:r>
    </w:p>
    <w:p w14:paraId="4C12479A" w14:textId="77777777" w:rsidR="000D6228" w:rsidRPr="00604FBA" w:rsidRDefault="00B45E56" w:rsidP="00604FBA">
      <w:pPr>
        <w:shd w:val="clear" w:color="auto" w:fill="FFFFFF"/>
        <w:spacing w:line="360" w:lineRule="auto"/>
        <w:ind w:firstLine="720"/>
        <w:rPr>
          <w:rFonts w:eastAsia="Times New Roman" w:cs="Times New Roman"/>
          <w:color w:val="000000"/>
          <w:szCs w:val="26"/>
        </w:rPr>
      </w:pPr>
      <w:r w:rsidRPr="008D0095">
        <w:rPr>
          <w:rFonts w:eastAsia="Times New Roman" w:cs="Times New Roman"/>
          <w:color w:val="000000"/>
          <w:szCs w:val="26"/>
        </w:rPr>
        <w:t xml:space="preserve">Counsel for </w:t>
      </w:r>
      <w:proofErr w:type="spellStart"/>
      <w:r w:rsidRPr="008D0095">
        <w:rPr>
          <w:rFonts w:eastAsia="Times New Roman" w:cs="Times New Roman"/>
          <w:color w:val="000000"/>
          <w:szCs w:val="26"/>
        </w:rPr>
        <w:t>Piplack</w:t>
      </w:r>
      <w:proofErr w:type="spellEnd"/>
      <w:r w:rsidRPr="008D0095">
        <w:rPr>
          <w:rFonts w:eastAsia="Times New Roman" w:cs="Times New Roman"/>
          <w:color w:val="000000"/>
          <w:szCs w:val="26"/>
        </w:rPr>
        <w:t xml:space="preserve"> and Taylor made various representations to the trial court about </w:t>
      </w:r>
      <w:proofErr w:type="spellStart"/>
      <w:r w:rsidRPr="008D0095">
        <w:rPr>
          <w:rFonts w:eastAsia="Times New Roman" w:cs="Times New Roman"/>
          <w:color w:val="000000"/>
          <w:szCs w:val="26"/>
        </w:rPr>
        <w:t>Accurso</w:t>
      </w:r>
      <w:proofErr w:type="spellEnd"/>
      <w:r w:rsidRPr="008D0095">
        <w:rPr>
          <w:rFonts w:eastAsia="Times New Roman" w:cs="Times New Roman"/>
          <w:color w:val="000000"/>
          <w:szCs w:val="26"/>
        </w:rPr>
        <w:t xml:space="preserve"> attempting to </w:t>
      </w:r>
      <w:r w:rsidRPr="008D0095">
        <w:rPr>
          <w:rFonts w:eastAsia="Times New Roman" w:cs="Times New Roman"/>
          <w:color w:val="000000"/>
          <w:szCs w:val="26"/>
        </w:rPr>
        <w:t xml:space="preserve">litigate and settle </w:t>
      </w:r>
      <w:proofErr w:type="spellStart"/>
      <w:r w:rsidRPr="008D0095">
        <w:rPr>
          <w:rFonts w:eastAsia="Times New Roman" w:cs="Times New Roman"/>
          <w:color w:val="000000"/>
          <w:szCs w:val="26"/>
        </w:rPr>
        <w:t>PAGA</w:t>
      </w:r>
      <w:proofErr w:type="spellEnd"/>
      <w:r w:rsidRPr="008D0095">
        <w:rPr>
          <w:rFonts w:eastAsia="Times New Roman" w:cs="Times New Roman"/>
          <w:color w:val="000000"/>
          <w:szCs w:val="26"/>
        </w:rPr>
        <w:t xml:space="preserve"> claims</w:t>
      </w:r>
      <w:r w:rsidRPr="00604FBA">
        <w:rPr>
          <w:rFonts w:eastAsia="Times New Roman" w:cs="Times New Roman"/>
          <w:color w:val="000000"/>
          <w:szCs w:val="26"/>
        </w:rPr>
        <w:t xml:space="preserve"> exceeding the scope of his </w:t>
      </w:r>
      <w:proofErr w:type="spellStart"/>
      <w:r w:rsidRPr="00604FBA">
        <w:rPr>
          <w:rFonts w:eastAsia="Times New Roman" w:cs="Times New Roman"/>
          <w:color w:val="000000"/>
          <w:szCs w:val="26"/>
        </w:rPr>
        <w:t>LWDA</w:t>
      </w:r>
      <w:proofErr w:type="spellEnd"/>
      <w:r w:rsidRPr="00604FBA">
        <w:rPr>
          <w:rFonts w:eastAsia="Times New Roman" w:cs="Times New Roman"/>
          <w:color w:val="000000"/>
          <w:szCs w:val="26"/>
        </w:rPr>
        <w:t xml:space="preserve"> authorization, and they repeat those representations on appeal, but they appear to have been so determined to swing for the fences with broad legal arguments designed to secure a paramount rol</w:t>
      </w:r>
      <w:r w:rsidRPr="00604FBA">
        <w:rPr>
          <w:rFonts w:eastAsia="Times New Roman" w:cs="Times New Roman"/>
          <w:color w:val="000000"/>
          <w:szCs w:val="26"/>
        </w:rPr>
        <w:t xml:space="preserve">e for themselves in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xml:space="preserve"> litigation against In-N-Out that they overlooked the basic task of delineating what they claim is the limited scope of </w:t>
      </w:r>
      <w:proofErr w:type="spellStart"/>
      <w:r w:rsidRPr="00604FBA">
        <w:rPr>
          <w:rFonts w:eastAsia="Times New Roman" w:cs="Times New Roman"/>
          <w:color w:val="000000"/>
          <w:szCs w:val="26"/>
        </w:rPr>
        <w:t>Accurso’s</w:t>
      </w:r>
      <w:proofErr w:type="spellEnd"/>
      <w:r w:rsidRPr="00604FBA">
        <w:rPr>
          <w:rFonts w:eastAsia="Times New Roman" w:cs="Times New Roman"/>
          <w:color w:val="000000"/>
          <w:szCs w:val="26"/>
        </w:rPr>
        <w:t xml:space="preserve"> </w:t>
      </w:r>
      <w:proofErr w:type="spellStart"/>
      <w:r w:rsidRPr="00604FBA">
        <w:rPr>
          <w:rFonts w:eastAsia="Times New Roman" w:cs="Times New Roman"/>
          <w:color w:val="000000"/>
          <w:szCs w:val="26"/>
        </w:rPr>
        <w:t>LWDA</w:t>
      </w:r>
      <w:proofErr w:type="spellEnd"/>
      <w:r w:rsidRPr="00604FBA">
        <w:rPr>
          <w:rFonts w:eastAsia="Times New Roman" w:cs="Times New Roman"/>
          <w:color w:val="000000"/>
          <w:szCs w:val="26"/>
        </w:rPr>
        <w:t xml:space="preserve"> authorization, which was the key to backing up their claims of inadequate representation.  To car</w:t>
      </w:r>
      <w:r w:rsidRPr="00604FBA">
        <w:rPr>
          <w:rFonts w:eastAsia="Times New Roman" w:cs="Times New Roman"/>
          <w:color w:val="000000"/>
          <w:szCs w:val="26"/>
        </w:rPr>
        <w:t xml:space="preserve">ry out that task, they needed to produce competent, timely-produced evidence in support of their motion to intervene.  Given their failure to do so, the trial court properly denied </w:t>
      </w:r>
      <w:r w:rsidRPr="00604FBA">
        <w:rPr>
          <w:rFonts w:eastAsia="Times New Roman" w:cs="Times New Roman"/>
          <w:color w:val="000000"/>
          <w:szCs w:val="26"/>
        </w:rPr>
        <w:lastRenderedPageBreak/>
        <w:t xml:space="preserve">mandatory intervention—not because </w:t>
      </w:r>
      <w:proofErr w:type="spellStart"/>
      <w:r w:rsidRPr="009F61BD">
        <w:rPr>
          <w:rFonts w:eastAsia="Times New Roman" w:cs="Times New Roman"/>
          <w:i/>
          <w:color w:val="000000"/>
          <w:szCs w:val="26"/>
        </w:rPr>
        <w:t>Turrieta</w:t>
      </w:r>
      <w:proofErr w:type="spellEnd"/>
      <w:r w:rsidRPr="00604FBA">
        <w:rPr>
          <w:rFonts w:eastAsia="Times New Roman" w:cs="Times New Roman"/>
          <w:color w:val="000000"/>
          <w:szCs w:val="26"/>
        </w:rPr>
        <w:t xml:space="preserve"> governs, but for the more prosa</w:t>
      </w:r>
      <w:r w:rsidRPr="00604FBA">
        <w:rPr>
          <w:rFonts w:eastAsia="Times New Roman" w:cs="Times New Roman"/>
          <w:color w:val="000000"/>
          <w:szCs w:val="26"/>
        </w:rPr>
        <w:t xml:space="preserve">ic reason that </w:t>
      </w:r>
      <w:proofErr w:type="spellStart"/>
      <w:r w:rsidRPr="00604FBA">
        <w:rPr>
          <w:rFonts w:eastAsia="Times New Roman" w:cs="Times New Roman"/>
          <w:color w:val="000000"/>
          <w:szCs w:val="26"/>
        </w:rPr>
        <w:t>Piplack</w:t>
      </w:r>
      <w:proofErr w:type="spellEnd"/>
      <w:r w:rsidRPr="00604FBA">
        <w:rPr>
          <w:rFonts w:eastAsia="Times New Roman" w:cs="Times New Roman"/>
          <w:color w:val="000000"/>
          <w:szCs w:val="26"/>
        </w:rPr>
        <w:t xml:space="preserve"> and Taylor failed to bear their burden of proof.</w:t>
      </w:r>
      <w:r>
        <w:rPr>
          <w:rStyle w:val="FootnoteReference"/>
          <w:rFonts w:eastAsia="Times New Roman" w:cs="Times New Roman"/>
          <w:color w:val="000000"/>
          <w:szCs w:val="26"/>
        </w:rPr>
        <w:footnoteReference w:id="25"/>
      </w:r>
      <w:r w:rsidRPr="00604FBA">
        <w:rPr>
          <w:rFonts w:eastAsia="Times New Roman" w:cs="Times New Roman"/>
          <w:color w:val="000000"/>
          <w:szCs w:val="26"/>
        </w:rPr>
        <w:t xml:space="preserve">  </w:t>
      </w:r>
    </w:p>
    <w:p w14:paraId="7451B9E8" w14:textId="77777777" w:rsidR="00EC78B8" w:rsidRDefault="00B45E56" w:rsidP="00243C88">
      <w:pPr>
        <w:shd w:val="clear" w:color="auto" w:fill="FFFFFF"/>
        <w:spacing w:line="360" w:lineRule="auto"/>
        <w:ind w:firstLine="720"/>
        <w:rPr>
          <w:rFonts w:eastAsia="Times New Roman" w:cs="Times New Roman"/>
          <w:color w:val="000000"/>
          <w:szCs w:val="26"/>
        </w:rPr>
      </w:pPr>
      <w:r w:rsidRPr="00781BEF">
        <w:rPr>
          <w:rFonts w:eastAsia="Times New Roman" w:cs="Times New Roman"/>
          <w:i/>
          <w:iCs/>
          <w:color w:val="000000"/>
          <w:szCs w:val="26"/>
        </w:rPr>
        <w:t>Second</w:t>
      </w:r>
      <w:r w:rsidRPr="00604FBA">
        <w:rPr>
          <w:rFonts w:eastAsia="Times New Roman" w:cs="Times New Roman"/>
          <w:color w:val="000000"/>
          <w:szCs w:val="26"/>
        </w:rPr>
        <w:t xml:space="preserve">, the position </w:t>
      </w:r>
      <w:proofErr w:type="spellStart"/>
      <w:r w:rsidRPr="00604FBA">
        <w:rPr>
          <w:rFonts w:eastAsia="Times New Roman" w:cs="Times New Roman"/>
          <w:color w:val="000000"/>
          <w:szCs w:val="26"/>
        </w:rPr>
        <w:t>Piplack</w:t>
      </w:r>
      <w:proofErr w:type="spellEnd"/>
      <w:r w:rsidRPr="00604FBA">
        <w:rPr>
          <w:rFonts w:eastAsia="Times New Roman" w:cs="Times New Roman"/>
          <w:color w:val="000000"/>
          <w:szCs w:val="26"/>
        </w:rPr>
        <w:t xml:space="preserve"> and Taylor take on adequacy of representation </w:t>
      </w:r>
      <w:r>
        <w:rPr>
          <w:rFonts w:eastAsia="Times New Roman" w:cs="Times New Roman"/>
          <w:color w:val="000000"/>
          <w:szCs w:val="26"/>
        </w:rPr>
        <w:t>reduces</w:t>
      </w:r>
      <w:r w:rsidRPr="00604FBA">
        <w:rPr>
          <w:rFonts w:eastAsia="Times New Roman" w:cs="Times New Roman"/>
          <w:color w:val="000000"/>
          <w:szCs w:val="26"/>
        </w:rPr>
        <w:t xml:space="preserve"> to a claim that </w:t>
      </w:r>
      <w:proofErr w:type="spellStart"/>
      <w:r w:rsidRPr="00604FBA">
        <w:rPr>
          <w:rFonts w:eastAsia="Times New Roman" w:cs="Times New Roman"/>
          <w:color w:val="000000"/>
          <w:szCs w:val="26"/>
        </w:rPr>
        <w:t>Accurso</w:t>
      </w:r>
      <w:proofErr w:type="spellEnd"/>
      <w:r w:rsidRPr="00604FBA">
        <w:rPr>
          <w:rFonts w:eastAsia="Times New Roman" w:cs="Times New Roman"/>
          <w:color w:val="000000"/>
          <w:szCs w:val="26"/>
        </w:rPr>
        <w:t xml:space="preserve"> </w:t>
      </w:r>
      <w:r w:rsidRPr="00604FBA">
        <w:rPr>
          <w:rFonts w:eastAsia="Times New Roman" w:cs="Times New Roman"/>
          <w:i/>
          <w:iCs/>
          <w:color w:val="000000"/>
          <w:szCs w:val="26"/>
        </w:rPr>
        <w:t xml:space="preserve">attempted </w:t>
      </w:r>
      <w:r w:rsidRPr="00604FBA">
        <w:rPr>
          <w:rFonts w:eastAsia="Times New Roman" w:cs="Times New Roman"/>
          <w:color w:val="000000"/>
          <w:szCs w:val="26"/>
        </w:rPr>
        <w:t xml:space="preserve">to settle his case on terms to which they would have </w:t>
      </w:r>
      <w:r w:rsidRPr="00604FBA">
        <w:rPr>
          <w:rFonts w:eastAsia="Times New Roman" w:cs="Times New Roman"/>
          <w:color w:val="000000"/>
          <w:szCs w:val="26"/>
        </w:rPr>
        <w:t xml:space="preserve">objected and thus, as the proceedings in his case move forward, </w:t>
      </w:r>
      <w:proofErr w:type="spellStart"/>
      <w:r w:rsidRPr="00604FBA">
        <w:rPr>
          <w:rFonts w:eastAsia="Times New Roman" w:cs="Times New Roman"/>
          <w:color w:val="000000"/>
          <w:szCs w:val="26"/>
        </w:rPr>
        <w:t>Accurso</w:t>
      </w:r>
      <w:proofErr w:type="spellEnd"/>
      <w:r w:rsidRPr="00604FBA">
        <w:rPr>
          <w:rFonts w:eastAsia="Times New Roman" w:cs="Times New Roman"/>
          <w:color w:val="000000"/>
          <w:szCs w:val="26"/>
        </w:rPr>
        <w:t xml:space="preserve"> cannot be trusted to stay within the boundaries of his </w:t>
      </w:r>
      <w:proofErr w:type="spellStart"/>
      <w:r w:rsidRPr="00604FBA">
        <w:rPr>
          <w:rFonts w:eastAsia="Times New Roman" w:cs="Times New Roman"/>
          <w:color w:val="000000"/>
          <w:szCs w:val="26"/>
        </w:rPr>
        <w:t>LWDA</w:t>
      </w:r>
      <w:proofErr w:type="spellEnd"/>
      <w:r w:rsidRPr="00604FBA">
        <w:rPr>
          <w:rFonts w:eastAsia="Times New Roman" w:cs="Times New Roman"/>
          <w:color w:val="000000"/>
          <w:szCs w:val="26"/>
        </w:rPr>
        <w:t xml:space="preserve"> authorization.</w:t>
      </w:r>
      <w:r>
        <w:rPr>
          <w:rFonts w:eastAsia="Times New Roman" w:cs="Times New Roman"/>
          <w:color w:val="000000"/>
          <w:szCs w:val="26"/>
        </w:rPr>
        <w:t xml:space="preserve">  </w:t>
      </w:r>
      <w:r w:rsidRPr="00604FBA">
        <w:rPr>
          <w:rFonts w:eastAsia="Times New Roman" w:cs="Times New Roman"/>
          <w:color w:val="000000"/>
          <w:szCs w:val="26"/>
        </w:rPr>
        <w:t>These suspicions about what might happen as the case proceeds are insufficient to justify mandatory interven</w:t>
      </w:r>
      <w:r w:rsidRPr="00604FBA">
        <w:rPr>
          <w:rFonts w:eastAsia="Times New Roman" w:cs="Times New Roman"/>
          <w:color w:val="000000"/>
          <w:szCs w:val="26"/>
        </w:rPr>
        <w:t>tion at this stage of the case.  Although the requisite showing a proposed interven</w:t>
      </w:r>
      <w:r>
        <w:rPr>
          <w:rFonts w:eastAsia="Times New Roman" w:cs="Times New Roman"/>
          <w:color w:val="000000"/>
          <w:szCs w:val="26"/>
        </w:rPr>
        <w:t>e</w:t>
      </w:r>
      <w:r w:rsidRPr="00604FBA">
        <w:rPr>
          <w:rFonts w:eastAsia="Times New Roman" w:cs="Times New Roman"/>
          <w:color w:val="000000"/>
          <w:szCs w:val="26"/>
        </w:rPr>
        <w:t>r must make is a modest one</w:t>
      </w:r>
      <w:r>
        <w:rPr>
          <w:rFonts w:eastAsia="Times New Roman" w:cs="Times New Roman"/>
          <w:color w:val="000000"/>
          <w:szCs w:val="26"/>
        </w:rPr>
        <w:t>,</w:t>
      </w:r>
      <w:r w:rsidRPr="00604FBA">
        <w:rPr>
          <w:rFonts w:eastAsia="Times New Roman" w:cs="Times New Roman"/>
          <w:color w:val="000000"/>
          <w:szCs w:val="26"/>
        </w:rPr>
        <w:t xml:space="preserve"> we agree with </w:t>
      </w:r>
      <w:proofErr w:type="spellStart"/>
      <w:r w:rsidRPr="00604FBA">
        <w:rPr>
          <w:rFonts w:eastAsia="Times New Roman" w:cs="Times New Roman"/>
          <w:color w:val="000000"/>
          <w:szCs w:val="26"/>
        </w:rPr>
        <w:t>Accurso</w:t>
      </w:r>
      <w:proofErr w:type="spellEnd"/>
      <w:r w:rsidRPr="00604FBA">
        <w:rPr>
          <w:rFonts w:eastAsia="Times New Roman" w:cs="Times New Roman"/>
          <w:color w:val="000000"/>
          <w:szCs w:val="26"/>
        </w:rPr>
        <w:t xml:space="preserve"> and In-N-Out that </w:t>
      </w:r>
      <w:proofErr w:type="spellStart"/>
      <w:r w:rsidRPr="00604FBA">
        <w:rPr>
          <w:rFonts w:eastAsia="Times New Roman" w:cs="Times New Roman"/>
          <w:color w:val="000000"/>
          <w:szCs w:val="26"/>
        </w:rPr>
        <w:t>Piplack</w:t>
      </w:r>
      <w:proofErr w:type="spellEnd"/>
      <w:r w:rsidRPr="00604FBA">
        <w:rPr>
          <w:rFonts w:eastAsia="Times New Roman" w:cs="Times New Roman"/>
          <w:color w:val="000000"/>
          <w:szCs w:val="26"/>
        </w:rPr>
        <w:t xml:space="preserve"> and Taylor have </w:t>
      </w:r>
      <w:r>
        <w:rPr>
          <w:rFonts w:eastAsia="Times New Roman" w:cs="Times New Roman"/>
          <w:color w:val="000000"/>
          <w:szCs w:val="26"/>
        </w:rPr>
        <w:t xml:space="preserve">failed to meet it.  </w:t>
      </w:r>
      <w:r w:rsidRPr="00604FBA">
        <w:rPr>
          <w:rFonts w:eastAsia="Times New Roman" w:cs="Times New Roman"/>
          <w:color w:val="000000"/>
          <w:szCs w:val="26"/>
        </w:rPr>
        <w:t xml:space="preserve">In the absence of </w:t>
      </w:r>
      <w:r>
        <w:rPr>
          <w:rFonts w:eastAsia="Times New Roman" w:cs="Times New Roman"/>
          <w:color w:val="000000"/>
          <w:szCs w:val="26"/>
        </w:rPr>
        <w:t xml:space="preserve">an actual settlement demonstrating that </w:t>
      </w:r>
      <w:proofErr w:type="spellStart"/>
      <w:r>
        <w:rPr>
          <w:rFonts w:eastAsia="Times New Roman" w:cs="Times New Roman"/>
          <w:color w:val="000000"/>
          <w:szCs w:val="26"/>
        </w:rPr>
        <w:t>A</w:t>
      </w:r>
      <w:r>
        <w:rPr>
          <w:rFonts w:eastAsia="Times New Roman" w:cs="Times New Roman"/>
          <w:color w:val="000000"/>
          <w:szCs w:val="26"/>
        </w:rPr>
        <w:t>ccurso</w:t>
      </w:r>
      <w:proofErr w:type="spellEnd"/>
      <w:r>
        <w:rPr>
          <w:rFonts w:eastAsia="Times New Roman" w:cs="Times New Roman"/>
          <w:color w:val="000000"/>
          <w:szCs w:val="26"/>
        </w:rPr>
        <w:t xml:space="preserve"> exceeded the scope of his </w:t>
      </w:r>
      <w:proofErr w:type="spellStart"/>
      <w:r>
        <w:rPr>
          <w:rFonts w:eastAsia="Times New Roman" w:cs="Times New Roman"/>
          <w:color w:val="000000"/>
          <w:szCs w:val="26"/>
        </w:rPr>
        <w:t>LWDA</w:t>
      </w:r>
      <w:proofErr w:type="spellEnd"/>
      <w:r>
        <w:rPr>
          <w:rFonts w:eastAsia="Times New Roman" w:cs="Times New Roman"/>
          <w:color w:val="000000"/>
          <w:szCs w:val="26"/>
        </w:rPr>
        <w:t xml:space="preserve"> authorization, </w:t>
      </w:r>
      <w:r w:rsidRPr="00604FBA">
        <w:rPr>
          <w:rFonts w:eastAsia="Times New Roman" w:cs="Times New Roman"/>
          <w:color w:val="000000"/>
          <w:szCs w:val="26"/>
        </w:rPr>
        <w:t xml:space="preserve">the </w:t>
      </w:r>
      <w:r>
        <w:rPr>
          <w:rFonts w:eastAsia="Times New Roman" w:cs="Times New Roman"/>
          <w:color w:val="000000"/>
          <w:szCs w:val="26"/>
        </w:rPr>
        <w:t xml:space="preserve">mere </w:t>
      </w:r>
      <w:r w:rsidRPr="00604FBA">
        <w:rPr>
          <w:rFonts w:eastAsia="Times New Roman" w:cs="Times New Roman"/>
          <w:color w:val="000000"/>
          <w:szCs w:val="26"/>
        </w:rPr>
        <w:t>potential th</w:t>
      </w:r>
      <w:r>
        <w:rPr>
          <w:rFonts w:eastAsia="Times New Roman" w:cs="Times New Roman"/>
          <w:color w:val="000000"/>
          <w:szCs w:val="26"/>
        </w:rPr>
        <w:t xml:space="preserve">at </w:t>
      </w:r>
      <w:proofErr w:type="spellStart"/>
      <w:r>
        <w:rPr>
          <w:rFonts w:eastAsia="Times New Roman" w:cs="Times New Roman"/>
          <w:color w:val="000000"/>
          <w:szCs w:val="26"/>
        </w:rPr>
        <w:t>Piplack’s</w:t>
      </w:r>
      <w:proofErr w:type="spellEnd"/>
      <w:r>
        <w:rPr>
          <w:rFonts w:eastAsia="Times New Roman" w:cs="Times New Roman"/>
          <w:color w:val="000000"/>
          <w:szCs w:val="26"/>
        </w:rPr>
        <w:t xml:space="preserve"> and Taylor’s</w:t>
      </w:r>
      <w:r w:rsidRPr="00604FBA">
        <w:rPr>
          <w:rFonts w:eastAsia="Times New Roman" w:cs="Times New Roman"/>
          <w:color w:val="000000"/>
          <w:szCs w:val="26"/>
        </w:rPr>
        <w:t xml:space="preserve"> interests “may be” </w:t>
      </w:r>
      <w:r>
        <w:rPr>
          <w:rFonts w:eastAsia="Times New Roman" w:cs="Times New Roman"/>
          <w:color w:val="000000"/>
          <w:szCs w:val="26"/>
        </w:rPr>
        <w:t>unable or unwilling to represent their interests in a future, hypothetical settlement</w:t>
      </w:r>
      <w:r w:rsidRPr="00604FBA">
        <w:rPr>
          <w:rFonts w:eastAsia="Times New Roman" w:cs="Times New Roman"/>
          <w:color w:val="000000"/>
          <w:szCs w:val="26"/>
        </w:rPr>
        <w:t xml:space="preserve"> is speculative.</w:t>
      </w:r>
      <w:r>
        <w:rPr>
          <w:rFonts w:eastAsia="Times New Roman" w:cs="Times New Roman"/>
          <w:color w:val="000000"/>
          <w:szCs w:val="26"/>
        </w:rPr>
        <w:t xml:space="preserve">  </w:t>
      </w:r>
      <w:r w:rsidRPr="00604FBA">
        <w:rPr>
          <w:rFonts w:eastAsia="Times New Roman" w:cs="Times New Roman"/>
          <w:color w:val="000000"/>
          <w:szCs w:val="26"/>
        </w:rPr>
        <w:t xml:space="preserve">  </w:t>
      </w:r>
    </w:p>
    <w:p w14:paraId="7E55E6BF" w14:textId="77777777" w:rsidR="005E7CC6" w:rsidRPr="00540877" w:rsidRDefault="00B45E56" w:rsidP="00243C88">
      <w:pPr>
        <w:shd w:val="clear" w:color="auto" w:fill="FFFFFF"/>
        <w:spacing w:line="360" w:lineRule="auto"/>
        <w:ind w:firstLine="720"/>
        <w:rPr>
          <w:rFonts w:eastAsia="Times New Roman" w:cs="Times New Roman"/>
          <w:szCs w:val="26"/>
        </w:rPr>
      </w:pPr>
      <w:r>
        <w:rPr>
          <w:rFonts w:eastAsia="Times New Roman" w:cs="Times New Roman"/>
          <w:color w:val="000000"/>
          <w:szCs w:val="26"/>
        </w:rPr>
        <w:t>Boiled down to its essence, the</w:t>
      </w:r>
      <w:r>
        <w:rPr>
          <w:rFonts w:eastAsia="Times New Roman" w:cs="Times New Roman"/>
          <w:color w:val="000000"/>
          <w:szCs w:val="26"/>
        </w:rPr>
        <w:t xml:space="preserve">n, our analysis of mandatory intervention is simple and straightforward:  </w:t>
      </w:r>
      <w:proofErr w:type="spellStart"/>
      <w:r>
        <w:rPr>
          <w:szCs w:val="26"/>
        </w:rPr>
        <w:t>Piplack</w:t>
      </w:r>
      <w:proofErr w:type="spellEnd"/>
      <w:r>
        <w:rPr>
          <w:szCs w:val="26"/>
        </w:rPr>
        <w:t xml:space="preserve"> and Taylor failed to support their intervention motion properly and they filed it </w:t>
      </w:r>
      <w:proofErr w:type="gramStart"/>
      <w:r>
        <w:rPr>
          <w:szCs w:val="26"/>
        </w:rPr>
        <w:t>prematurely, before</w:t>
      </w:r>
      <w:proofErr w:type="gramEnd"/>
      <w:r>
        <w:rPr>
          <w:szCs w:val="26"/>
        </w:rPr>
        <w:t xml:space="preserve"> any settlement was submitted for approval.</w:t>
      </w:r>
    </w:p>
    <w:p w14:paraId="40823C20" w14:textId="77777777" w:rsidR="00F56265" w:rsidRPr="00540877" w:rsidRDefault="00B45E56" w:rsidP="00701162">
      <w:pPr>
        <w:pStyle w:val="Heading3"/>
        <w:spacing w:line="360" w:lineRule="auto"/>
        <w:ind w:left="720"/>
        <w:rPr>
          <w:rFonts w:ascii="Century Schoolbook" w:hAnsi="Century Schoolbook"/>
          <w:b/>
          <w:bCs/>
          <w:color w:val="auto"/>
        </w:rPr>
      </w:pPr>
      <w:r w:rsidRPr="00540877">
        <w:rPr>
          <w:rFonts w:ascii="Century Schoolbook" w:hAnsi="Century Schoolbook"/>
          <w:b/>
          <w:bCs/>
          <w:color w:val="auto"/>
          <w:sz w:val="26"/>
          <w:szCs w:val="26"/>
        </w:rPr>
        <w:lastRenderedPageBreak/>
        <w:t xml:space="preserve">2. Permissive </w:t>
      </w:r>
      <w:r w:rsidRPr="00540877">
        <w:rPr>
          <w:rFonts w:ascii="Century Schoolbook" w:hAnsi="Century Schoolbook"/>
          <w:b/>
          <w:bCs/>
          <w:color w:val="auto"/>
          <w:sz w:val="26"/>
          <w:szCs w:val="26"/>
        </w:rPr>
        <w:t>Intervention</w:t>
      </w:r>
    </w:p>
    <w:p w14:paraId="5F497283" w14:textId="77777777" w:rsidR="003504BC" w:rsidRDefault="00B45E56" w:rsidP="00243C88">
      <w:pPr>
        <w:shd w:val="clear" w:color="auto" w:fill="FFFFFF"/>
        <w:spacing w:line="360" w:lineRule="auto"/>
        <w:ind w:firstLine="720"/>
        <w:rPr>
          <w:rFonts w:eastAsia="Times New Roman" w:cs="Times New Roman"/>
          <w:color w:val="000000"/>
          <w:szCs w:val="26"/>
        </w:rPr>
      </w:pPr>
      <w:r>
        <w:rPr>
          <w:szCs w:val="26"/>
        </w:rPr>
        <w:t xml:space="preserve">Our analysis differs with respect to permissive intervention.  To begin with, we touch briefly on the demands of the </w:t>
      </w:r>
      <w:proofErr w:type="spellStart"/>
      <w:r>
        <w:rPr>
          <w:szCs w:val="26"/>
        </w:rPr>
        <w:t>PAGA</w:t>
      </w:r>
      <w:proofErr w:type="spellEnd"/>
      <w:r>
        <w:rPr>
          <w:szCs w:val="26"/>
        </w:rPr>
        <w:t xml:space="preserve"> settlement process.  </w:t>
      </w:r>
      <w:r w:rsidRPr="00604FBA">
        <w:rPr>
          <w:szCs w:val="26"/>
        </w:rPr>
        <w:t>We emphasized</w:t>
      </w:r>
      <w:r>
        <w:rPr>
          <w:szCs w:val="26"/>
        </w:rPr>
        <w:t xml:space="preserve"> in</w:t>
      </w:r>
      <w:r w:rsidRPr="00604FBA">
        <w:rPr>
          <w:szCs w:val="26"/>
        </w:rPr>
        <w:t xml:space="preserve"> </w:t>
      </w:r>
      <w:r w:rsidRPr="008762D8">
        <w:rPr>
          <w:i/>
          <w:iCs/>
          <w:szCs w:val="26"/>
        </w:rPr>
        <w:t>Moniz</w:t>
      </w:r>
      <w:r w:rsidRPr="00604FBA">
        <w:rPr>
          <w:szCs w:val="26"/>
        </w:rPr>
        <w:t xml:space="preserve"> that, “[</w:t>
      </w:r>
      <w:proofErr w:type="spellStart"/>
      <w:r w:rsidRPr="00604FBA">
        <w:rPr>
          <w:szCs w:val="26"/>
        </w:rPr>
        <w:t>i</w:t>
      </w:r>
      <w:proofErr w:type="spellEnd"/>
      <w:r w:rsidRPr="00604FBA">
        <w:rPr>
          <w:szCs w:val="26"/>
        </w:rPr>
        <w:t>]</w:t>
      </w:r>
      <w:r w:rsidRPr="00604FBA">
        <w:rPr>
          <w:rFonts w:eastAsia="Times New Roman" w:cs="Times New Roman"/>
          <w:color w:val="000000"/>
          <w:szCs w:val="26"/>
        </w:rPr>
        <w:t>n review and approval of a proposed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settlement</w:t>
      </w:r>
      <w:r>
        <w:rPr>
          <w:rFonts w:eastAsia="Times New Roman" w:cs="Times New Roman"/>
          <w:color w:val="000000"/>
          <w:szCs w:val="26"/>
        </w:rPr>
        <w:t xml:space="preserve"> </w:t>
      </w:r>
      <w:proofErr w:type="gramStart"/>
      <w:r>
        <w:rPr>
          <w:rFonts w:eastAsia="Times New Roman" w:cs="Times New Roman"/>
          <w:color w:val="000000"/>
          <w:szCs w:val="26"/>
        </w:rPr>
        <w:t xml:space="preserve">. . . </w:t>
      </w:r>
      <w:r w:rsidRPr="00604FBA">
        <w:rPr>
          <w:rFonts w:eastAsia="Times New Roman" w:cs="Times New Roman"/>
          <w:color w:val="000000"/>
          <w:szCs w:val="26"/>
        </w:rPr>
        <w:t>,</w:t>
      </w:r>
      <w:proofErr w:type="gramEnd"/>
      <w:r w:rsidRPr="00604FBA">
        <w:rPr>
          <w:rFonts w:eastAsia="Times New Roman" w:cs="Times New Roman"/>
          <w:color w:val="000000"/>
          <w:szCs w:val="26"/>
        </w:rPr>
        <w:t xml:space="preserve"> a tri</w:t>
      </w:r>
      <w:r w:rsidRPr="00604FBA">
        <w:rPr>
          <w:rFonts w:eastAsia="Times New Roman" w:cs="Times New Roman"/>
          <w:color w:val="000000"/>
          <w:szCs w:val="26"/>
        </w:rPr>
        <w:t>al court</w:t>
      </w:r>
      <w:r>
        <w:rPr>
          <w:rFonts w:eastAsia="Times New Roman" w:cs="Times New Roman"/>
          <w:color w:val="000000"/>
          <w:szCs w:val="26"/>
        </w:rPr>
        <w:t xml:space="preserve"> . . . </w:t>
      </w:r>
      <w:r w:rsidRPr="00604FBA">
        <w:rPr>
          <w:rFonts w:eastAsia="Times New Roman" w:cs="Times New Roman"/>
          <w:color w:val="000000"/>
          <w:szCs w:val="26"/>
        </w:rPr>
        <w:t xml:space="preserve">must scrutinize whether, in resolving the action, a </w:t>
      </w:r>
      <w:proofErr w:type="spellStart"/>
      <w:r w:rsidRPr="00604FBA">
        <w:rPr>
          <w:rFonts w:eastAsia="Times New Roman" w:cs="Times New Roman"/>
          <w:color w:val="000000"/>
          <w:szCs w:val="26"/>
        </w:rPr>
        <w:t>PAGA</w:t>
      </w:r>
      <w:proofErr w:type="spellEnd"/>
      <w:r w:rsidRPr="00604FBA">
        <w:rPr>
          <w:rFonts w:eastAsia="Times New Roman" w:cs="Times New Roman"/>
          <w:color w:val="000000"/>
          <w:szCs w:val="26"/>
        </w:rPr>
        <w:t xml:space="preserve"> plaintiff has adequately </w:t>
      </w:r>
      <w:r w:rsidRPr="00EC732A">
        <w:rPr>
          <w:rFonts w:eastAsia="Times New Roman" w:cs="Times New Roman"/>
          <w:color w:val="000000"/>
          <w:szCs w:val="26"/>
        </w:rPr>
        <w:t>represented the state</w:t>
      </w:r>
      <w:r>
        <w:rPr>
          <w:rFonts w:eastAsia="Times New Roman" w:cs="Times New Roman"/>
          <w:color w:val="000000"/>
          <w:szCs w:val="26"/>
        </w:rPr>
        <w:t>’</w:t>
      </w:r>
      <w:r w:rsidRPr="00EC732A">
        <w:rPr>
          <w:rFonts w:eastAsia="Times New Roman" w:cs="Times New Roman"/>
          <w:color w:val="000000"/>
          <w:szCs w:val="26"/>
        </w:rPr>
        <w:t xml:space="preserve">s interests, and hence the </w:t>
      </w:r>
      <w:r w:rsidRPr="00041D6A">
        <w:rPr>
          <w:rFonts w:eastAsia="Times New Roman" w:cs="Times New Roman"/>
          <w:color w:val="000000"/>
          <w:szCs w:val="26"/>
        </w:rPr>
        <w:t>public interest.”  (</w:t>
      </w:r>
      <w:r w:rsidRPr="000C0E65">
        <w:rPr>
          <w:rFonts w:eastAsia="Times New Roman" w:cs="Times New Roman"/>
          <w:i/>
          <w:iCs/>
          <w:color w:val="3D3D3D"/>
          <w:szCs w:val="26"/>
          <w:bdr w:val="none" w:sz="0" w:space="0" w:color="auto" w:frame="1"/>
        </w:rPr>
        <w:t>Moniz</w:t>
      </w:r>
      <w:r w:rsidRPr="000C0E65">
        <w:rPr>
          <w:rFonts w:eastAsia="Times New Roman" w:cs="Times New Roman"/>
          <w:color w:val="000000"/>
          <w:szCs w:val="26"/>
        </w:rPr>
        <w:t xml:space="preserve">, </w:t>
      </w:r>
      <w:r w:rsidRPr="000C0E65">
        <w:rPr>
          <w:rFonts w:eastAsia="Times New Roman" w:cs="Times New Roman"/>
          <w:i/>
          <w:iCs/>
          <w:color w:val="000000"/>
          <w:szCs w:val="26"/>
        </w:rPr>
        <w:t>supra</w:t>
      </w:r>
      <w:r w:rsidRPr="000C0E65">
        <w:rPr>
          <w:rFonts w:eastAsia="Times New Roman" w:cs="Times New Roman"/>
          <w:color w:val="000000"/>
          <w:szCs w:val="26"/>
        </w:rPr>
        <w:t>, 72</w:t>
      </w:r>
      <w:r>
        <w:rPr>
          <w:rFonts w:eastAsia="Times New Roman" w:cs="Times New Roman"/>
          <w:color w:val="000000"/>
          <w:szCs w:val="26"/>
        </w:rPr>
        <w:t> </w:t>
      </w:r>
      <w:r w:rsidRPr="000C0E65">
        <w:rPr>
          <w:rFonts w:eastAsia="Times New Roman" w:cs="Times New Roman"/>
          <w:color w:val="000000"/>
          <w:szCs w:val="26"/>
        </w:rPr>
        <w:t>Cal.App.5th at p.</w:t>
      </w:r>
      <w:r>
        <w:rPr>
          <w:rFonts w:eastAsia="Times New Roman" w:cs="Times New Roman"/>
          <w:color w:val="000000"/>
          <w:szCs w:val="26"/>
        </w:rPr>
        <w:t> </w:t>
      </w:r>
      <w:r w:rsidRPr="000C0E65">
        <w:rPr>
          <w:rFonts w:eastAsia="Times New Roman" w:cs="Times New Roman"/>
          <w:color w:val="000000"/>
          <w:szCs w:val="26"/>
        </w:rPr>
        <w:t xml:space="preserve">89.) </w:t>
      </w:r>
      <w:r w:rsidRPr="00041D6A">
        <w:rPr>
          <w:rFonts w:eastAsia="Times New Roman" w:cs="Times New Roman"/>
          <w:color w:val="000000"/>
          <w:szCs w:val="26"/>
        </w:rPr>
        <w:t xml:space="preserve"> In </w:t>
      </w:r>
      <w:r>
        <w:rPr>
          <w:rFonts w:eastAsia="Times New Roman" w:cs="Times New Roman"/>
          <w:color w:val="000000"/>
          <w:szCs w:val="26"/>
        </w:rPr>
        <w:t xml:space="preserve">analyzing the </w:t>
      </w:r>
      <w:r w:rsidRPr="00041D6A">
        <w:rPr>
          <w:rFonts w:eastAsia="Times New Roman" w:cs="Times New Roman"/>
          <w:color w:val="000000"/>
          <w:szCs w:val="26"/>
        </w:rPr>
        <w:t xml:space="preserve">section 902 “aggrieved party” </w:t>
      </w:r>
      <w:r>
        <w:rPr>
          <w:rFonts w:eastAsia="Times New Roman" w:cs="Times New Roman"/>
          <w:color w:val="000000"/>
          <w:szCs w:val="26"/>
        </w:rPr>
        <w:t>is</w:t>
      </w:r>
      <w:r>
        <w:rPr>
          <w:rFonts w:eastAsia="Times New Roman" w:cs="Times New Roman"/>
          <w:color w:val="000000"/>
          <w:szCs w:val="26"/>
        </w:rPr>
        <w:t>sue in that case</w:t>
      </w:r>
      <w:r w:rsidRPr="00041D6A">
        <w:rPr>
          <w:rFonts w:eastAsia="Times New Roman" w:cs="Times New Roman"/>
          <w:color w:val="000000"/>
          <w:szCs w:val="26"/>
        </w:rPr>
        <w:t>, we stated that</w:t>
      </w:r>
      <w:r w:rsidRPr="00EC732A">
        <w:rPr>
          <w:rFonts w:eastAsia="Times New Roman" w:cs="Times New Roman"/>
          <w:color w:val="000000"/>
          <w:szCs w:val="26"/>
        </w:rPr>
        <w:t xml:space="preserve"> “where two </w:t>
      </w:r>
      <w:proofErr w:type="spellStart"/>
      <w:r w:rsidRPr="00EC732A">
        <w:rPr>
          <w:rFonts w:eastAsia="Times New Roman" w:cs="Times New Roman"/>
          <w:color w:val="000000"/>
          <w:szCs w:val="26"/>
        </w:rPr>
        <w:t>PAGA</w:t>
      </w:r>
      <w:proofErr w:type="spellEnd"/>
      <w:r w:rsidRPr="00EC732A">
        <w:rPr>
          <w:rFonts w:eastAsia="Times New Roman" w:cs="Times New Roman"/>
          <w:color w:val="000000"/>
          <w:szCs w:val="26"/>
        </w:rPr>
        <w:t xml:space="preserve"> actions involve overlapping </w:t>
      </w:r>
      <w:proofErr w:type="spellStart"/>
      <w:r w:rsidRPr="00EC732A">
        <w:rPr>
          <w:rFonts w:eastAsia="Times New Roman" w:cs="Times New Roman"/>
          <w:color w:val="000000"/>
          <w:szCs w:val="26"/>
        </w:rPr>
        <w:t>PAGA</w:t>
      </w:r>
      <w:proofErr w:type="spellEnd"/>
      <w:r w:rsidRPr="00EC732A">
        <w:rPr>
          <w:rFonts w:eastAsia="Times New Roman" w:cs="Times New Roman"/>
          <w:color w:val="000000"/>
          <w:szCs w:val="26"/>
        </w:rPr>
        <w:t xml:space="preserve"> claims and a settlement of one is purportedly unfair, it follows that the </w:t>
      </w:r>
      <w:proofErr w:type="spellStart"/>
      <w:r w:rsidRPr="00EC732A">
        <w:rPr>
          <w:rFonts w:eastAsia="Times New Roman" w:cs="Times New Roman"/>
          <w:color w:val="000000"/>
          <w:szCs w:val="26"/>
        </w:rPr>
        <w:t>PAGA</w:t>
      </w:r>
      <w:proofErr w:type="spellEnd"/>
      <w:r w:rsidRPr="00EC732A">
        <w:rPr>
          <w:rFonts w:eastAsia="Times New Roman" w:cs="Times New Roman"/>
          <w:color w:val="000000"/>
          <w:szCs w:val="26"/>
        </w:rPr>
        <w:t xml:space="preserve"> representative in the separate action may</w:t>
      </w:r>
      <w:r w:rsidRPr="00604FBA">
        <w:rPr>
          <w:rFonts w:eastAsia="Times New Roman" w:cs="Times New Roman"/>
          <w:color w:val="000000"/>
          <w:szCs w:val="26"/>
        </w:rPr>
        <w:t xml:space="preserve"> seek to become a party to the settling action.” </w:t>
      </w:r>
      <w:r>
        <w:rPr>
          <w:rFonts w:eastAsia="Times New Roman" w:cs="Times New Roman"/>
          <w:color w:val="000000"/>
          <w:szCs w:val="26"/>
        </w:rPr>
        <w:t xml:space="preserve"> (</w:t>
      </w:r>
      <w:r w:rsidRPr="002154D1">
        <w:rPr>
          <w:rFonts w:eastAsia="Times New Roman" w:cs="Times New Roman"/>
          <w:i/>
          <w:iCs/>
          <w:color w:val="000000"/>
          <w:szCs w:val="26"/>
        </w:rPr>
        <w:t>Id</w:t>
      </w:r>
      <w:r>
        <w:rPr>
          <w:rFonts w:eastAsia="Times New Roman" w:cs="Times New Roman"/>
          <w:color w:val="000000"/>
          <w:szCs w:val="26"/>
        </w:rPr>
        <w:t xml:space="preserve">. at p. 73.) </w:t>
      </w:r>
      <w:r w:rsidRPr="00604FBA">
        <w:rPr>
          <w:rFonts w:eastAsia="Times New Roman" w:cs="Times New Roman"/>
          <w:color w:val="000000"/>
          <w:szCs w:val="26"/>
        </w:rPr>
        <w:t xml:space="preserve"> </w:t>
      </w:r>
      <w:r>
        <w:rPr>
          <w:rFonts w:eastAsia="Times New Roman" w:cs="Times New Roman"/>
          <w:color w:val="000000"/>
          <w:szCs w:val="26"/>
        </w:rPr>
        <w:t xml:space="preserve">In that scenario, do nonparty </w:t>
      </w:r>
      <w:proofErr w:type="spellStart"/>
      <w:r>
        <w:rPr>
          <w:rFonts w:eastAsia="Times New Roman" w:cs="Times New Roman"/>
          <w:color w:val="000000"/>
          <w:szCs w:val="26"/>
        </w:rPr>
        <w:t>PAGA</w:t>
      </w:r>
      <w:proofErr w:type="spellEnd"/>
      <w:r>
        <w:rPr>
          <w:rFonts w:eastAsia="Times New Roman" w:cs="Times New Roman"/>
          <w:color w:val="000000"/>
          <w:szCs w:val="26"/>
        </w:rPr>
        <w:t xml:space="preserve"> claimants with overlapping claims have something significant to add to the settlement approval process?  We think they may, and we are of the view that pe</w:t>
      </w:r>
      <w:r>
        <w:rPr>
          <w:rFonts w:eastAsia="Times New Roman" w:cs="Times New Roman"/>
          <w:color w:val="000000"/>
          <w:szCs w:val="26"/>
        </w:rPr>
        <w:t xml:space="preserve">rmissive intervention supplies a means to make sure the perspective of potentially affected non-party </w:t>
      </w:r>
      <w:proofErr w:type="spellStart"/>
      <w:r>
        <w:rPr>
          <w:rFonts w:eastAsia="Times New Roman" w:cs="Times New Roman"/>
          <w:color w:val="000000"/>
          <w:szCs w:val="26"/>
        </w:rPr>
        <w:t>PAGA</w:t>
      </w:r>
      <w:proofErr w:type="spellEnd"/>
      <w:r>
        <w:rPr>
          <w:rFonts w:eastAsia="Times New Roman" w:cs="Times New Roman"/>
          <w:color w:val="000000"/>
          <w:szCs w:val="26"/>
        </w:rPr>
        <w:t xml:space="preserve"> claimants is included in the settlement approval process.</w:t>
      </w:r>
    </w:p>
    <w:p w14:paraId="1FBAF218" w14:textId="77777777" w:rsidR="00306F93" w:rsidRDefault="00B45E56" w:rsidP="00243C88">
      <w:pPr>
        <w:shd w:val="clear" w:color="auto" w:fill="FFFFFF"/>
        <w:spacing w:line="360" w:lineRule="auto"/>
        <w:ind w:firstLine="720"/>
        <w:rPr>
          <w:rFonts w:eastAsia="Times New Roman" w:cs="Times New Roman"/>
          <w:color w:val="000000"/>
          <w:szCs w:val="26"/>
        </w:rPr>
      </w:pPr>
      <w:r>
        <w:rPr>
          <w:szCs w:val="26"/>
        </w:rPr>
        <w:t>Naturally, the proponents of a hard-won settlement will have little or no incentive to poin</w:t>
      </w:r>
      <w:r>
        <w:rPr>
          <w:szCs w:val="26"/>
        </w:rPr>
        <w:t>t out that the proposed settlement terms exceed anyone’s authority; that the releases given are overbroad; that the consideration is inadequate; or that the allocation of money to be paid is in any respect unfair.  As a result, trial courts are often faced</w:t>
      </w:r>
      <w:r>
        <w:rPr>
          <w:szCs w:val="26"/>
        </w:rPr>
        <w:t xml:space="preserve"> with the </w:t>
      </w:r>
      <w:proofErr w:type="gramStart"/>
      <w:r>
        <w:rPr>
          <w:szCs w:val="26"/>
        </w:rPr>
        <w:t>sometimes challenging</w:t>
      </w:r>
      <w:proofErr w:type="gramEnd"/>
      <w:r>
        <w:rPr>
          <w:szCs w:val="26"/>
        </w:rPr>
        <w:t xml:space="preserve"> task of spotting deficiencies in a proposed </w:t>
      </w:r>
      <w:proofErr w:type="spellStart"/>
      <w:r>
        <w:rPr>
          <w:szCs w:val="26"/>
        </w:rPr>
        <w:t>PAGA</w:t>
      </w:r>
      <w:proofErr w:type="spellEnd"/>
      <w:r>
        <w:rPr>
          <w:szCs w:val="26"/>
        </w:rPr>
        <w:t xml:space="preserve"> settlement without assistance from anyone other than participants to the settlement negotiations.</w:t>
      </w:r>
      <w:r>
        <w:rPr>
          <w:rStyle w:val="FootnoteReference"/>
          <w:szCs w:val="26"/>
        </w:rPr>
        <w:footnoteReference w:id="26"/>
      </w:r>
      <w:r>
        <w:rPr>
          <w:szCs w:val="26"/>
        </w:rPr>
        <w:t xml:space="preserve">  But in </w:t>
      </w:r>
      <w:r w:rsidRPr="00F014F1">
        <w:rPr>
          <w:szCs w:val="26"/>
        </w:rPr>
        <w:lastRenderedPageBreak/>
        <w:t xml:space="preserve">situations where </w:t>
      </w:r>
      <w:proofErr w:type="spellStart"/>
      <w:r w:rsidRPr="00F014F1">
        <w:rPr>
          <w:szCs w:val="26"/>
        </w:rPr>
        <w:t>PAGA</w:t>
      </w:r>
      <w:proofErr w:type="spellEnd"/>
      <w:r w:rsidRPr="00F014F1">
        <w:rPr>
          <w:szCs w:val="26"/>
        </w:rPr>
        <w:t xml:space="preserve"> claimants with their own overlapping claims i</w:t>
      </w:r>
      <w:r w:rsidRPr="00F014F1">
        <w:rPr>
          <w:szCs w:val="26"/>
        </w:rPr>
        <w:t>n other pending cases show up and wish to provide input</w:t>
      </w:r>
      <w:r>
        <w:rPr>
          <w:szCs w:val="26"/>
        </w:rPr>
        <w:t xml:space="preserve">, we see no reason why they </w:t>
      </w:r>
      <w:r w:rsidRPr="00F014F1">
        <w:rPr>
          <w:szCs w:val="26"/>
        </w:rPr>
        <w:t xml:space="preserve">should </w:t>
      </w:r>
      <w:r>
        <w:rPr>
          <w:szCs w:val="26"/>
        </w:rPr>
        <w:t xml:space="preserve">not be </w:t>
      </w:r>
      <w:r w:rsidRPr="00F014F1">
        <w:rPr>
          <w:szCs w:val="26"/>
        </w:rPr>
        <w:t xml:space="preserve">given a seat at the table.  </w:t>
      </w:r>
      <w:r>
        <w:rPr>
          <w:szCs w:val="26"/>
        </w:rPr>
        <w:t xml:space="preserve">And should trial courts wish to ensure that such </w:t>
      </w:r>
      <w:proofErr w:type="spellStart"/>
      <w:r>
        <w:rPr>
          <w:szCs w:val="26"/>
        </w:rPr>
        <w:t>PAGA</w:t>
      </w:r>
      <w:proofErr w:type="spellEnd"/>
      <w:r>
        <w:rPr>
          <w:szCs w:val="26"/>
        </w:rPr>
        <w:t xml:space="preserve"> claimants are meaningfully involved in the settlement approval process, permi</w:t>
      </w:r>
      <w:r>
        <w:rPr>
          <w:szCs w:val="26"/>
        </w:rPr>
        <w:t xml:space="preserve">ssive intervention </w:t>
      </w:r>
      <w:r w:rsidRPr="00CF725E">
        <w:rPr>
          <w:i/>
          <w:iCs/>
          <w:szCs w:val="26"/>
        </w:rPr>
        <w:t>even before the settlement approval process begins</w:t>
      </w:r>
      <w:r>
        <w:rPr>
          <w:szCs w:val="26"/>
        </w:rPr>
        <w:t xml:space="preserve"> may be a way to ensure that they are fully prepared to do so.</w:t>
      </w:r>
    </w:p>
    <w:p w14:paraId="61E648C6" w14:textId="77777777" w:rsidR="004E561B" w:rsidRDefault="00B45E56" w:rsidP="00C37AEC">
      <w:pPr>
        <w:shd w:val="clear" w:color="auto" w:fill="FFFFFF"/>
        <w:spacing w:line="360" w:lineRule="auto"/>
        <w:ind w:firstLine="720"/>
        <w:rPr>
          <w:rFonts w:eastAsia="Times New Roman" w:cs="Times New Roman"/>
          <w:color w:val="000000"/>
          <w:szCs w:val="26"/>
        </w:rPr>
      </w:pPr>
      <w:r>
        <w:rPr>
          <w:rFonts w:eastAsia="Times New Roman" w:cs="Times New Roman"/>
          <w:color w:val="000000"/>
          <w:szCs w:val="26"/>
        </w:rPr>
        <w:t xml:space="preserve">In defense of the trial court’s out-of-hand dismissal of permissive intervention after concluding that </w:t>
      </w:r>
      <w:proofErr w:type="spellStart"/>
      <w:r w:rsidRPr="003E5C63">
        <w:rPr>
          <w:rFonts w:eastAsia="Times New Roman" w:cs="Times New Roman"/>
          <w:i/>
          <w:iCs/>
          <w:color w:val="000000"/>
          <w:szCs w:val="26"/>
        </w:rPr>
        <w:t>Turrieta</w:t>
      </w:r>
      <w:proofErr w:type="spellEnd"/>
      <w:r>
        <w:rPr>
          <w:rFonts w:eastAsia="Times New Roman" w:cs="Times New Roman"/>
          <w:color w:val="000000"/>
          <w:szCs w:val="26"/>
        </w:rPr>
        <w:t xml:space="preserve"> controls, </w:t>
      </w:r>
      <w:proofErr w:type="spellStart"/>
      <w:r>
        <w:rPr>
          <w:rFonts w:eastAsia="Times New Roman" w:cs="Times New Roman"/>
          <w:color w:val="000000"/>
          <w:szCs w:val="26"/>
        </w:rPr>
        <w:t>Ac</w:t>
      </w:r>
      <w:r>
        <w:rPr>
          <w:rFonts w:eastAsia="Times New Roman" w:cs="Times New Roman"/>
          <w:color w:val="000000"/>
          <w:szCs w:val="26"/>
        </w:rPr>
        <w:t>curso</w:t>
      </w:r>
      <w:proofErr w:type="spellEnd"/>
      <w:r>
        <w:rPr>
          <w:rFonts w:eastAsia="Times New Roman" w:cs="Times New Roman"/>
          <w:color w:val="000000"/>
          <w:szCs w:val="26"/>
        </w:rPr>
        <w:t xml:space="preserve"> suggests that </w:t>
      </w:r>
      <w:proofErr w:type="spellStart"/>
      <w:r>
        <w:rPr>
          <w:rFonts w:eastAsia="Times New Roman" w:cs="Times New Roman"/>
          <w:color w:val="000000"/>
          <w:szCs w:val="26"/>
        </w:rPr>
        <w:t>Piplack</w:t>
      </w:r>
      <w:proofErr w:type="spellEnd"/>
      <w:r>
        <w:rPr>
          <w:rFonts w:eastAsia="Times New Roman" w:cs="Times New Roman"/>
          <w:color w:val="000000"/>
          <w:szCs w:val="26"/>
        </w:rPr>
        <w:t xml:space="preserve"> and Taylor failed to present their motion for intervention under section 387, subdivision (d)(2) in a timely manner.  According to him, they “s</w:t>
      </w:r>
      <w:r w:rsidRPr="004E561B">
        <w:rPr>
          <w:rFonts w:eastAsia="Times New Roman" w:cs="Times New Roman"/>
          <w:color w:val="000000"/>
          <w:szCs w:val="26"/>
        </w:rPr>
        <w:t>ought to intervene only after failing to obtain a strong-arm consensus among six diff</w:t>
      </w:r>
      <w:r w:rsidRPr="004E561B">
        <w:rPr>
          <w:rFonts w:eastAsia="Times New Roman" w:cs="Times New Roman"/>
          <w:color w:val="000000"/>
          <w:szCs w:val="26"/>
        </w:rPr>
        <w:t>erent law firms regarding an agreement on the allocation of attorneys’ fees between the firms at the outset of joint prosecution</w:t>
      </w:r>
      <w:r>
        <w:rPr>
          <w:rFonts w:eastAsia="Times New Roman" w:cs="Times New Roman"/>
          <w:color w:val="000000"/>
          <w:szCs w:val="26"/>
        </w:rPr>
        <w:t>,” and “[o]</w:t>
      </w:r>
      <w:r w:rsidRPr="004E561B">
        <w:rPr>
          <w:rFonts w:eastAsia="Times New Roman" w:cs="Times New Roman"/>
          <w:color w:val="000000"/>
          <w:szCs w:val="26"/>
        </w:rPr>
        <w:t>n this basis alone,</w:t>
      </w:r>
      <w:r>
        <w:rPr>
          <w:rFonts w:eastAsia="Times New Roman" w:cs="Times New Roman"/>
          <w:color w:val="000000"/>
          <w:szCs w:val="26"/>
        </w:rPr>
        <w:t>” we “s</w:t>
      </w:r>
      <w:r w:rsidRPr="004E561B">
        <w:rPr>
          <w:rFonts w:eastAsia="Times New Roman" w:cs="Times New Roman"/>
          <w:color w:val="000000"/>
          <w:szCs w:val="26"/>
        </w:rPr>
        <w:t>hould affirm the trial court’s decision denying permissive intervention.</w:t>
      </w:r>
      <w:r>
        <w:rPr>
          <w:rFonts w:eastAsia="Times New Roman" w:cs="Times New Roman"/>
          <w:color w:val="000000"/>
          <w:szCs w:val="26"/>
        </w:rPr>
        <w:t xml:space="preserve">”  We disagree.  </w:t>
      </w:r>
      <w:proofErr w:type="spellStart"/>
      <w:r>
        <w:rPr>
          <w:rFonts w:eastAsia="Times New Roman" w:cs="Times New Roman"/>
          <w:color w:val="000000"/>
          <w:szCs w:val="26"/>
        </w:rPr>
        <w:t>Pi</w:t>
      </w:r>
      <w:r>
        <w:rPr>
          <w:rFonts w:eastAsia="Times New Roman" w:cs="Times New Roman"/>
          <w:color w:val="000000"/>
          <w:szCs w:val="26"/>
        </w:rPr>
        <w:t>plack</w:t>
      </w:r>
      <w:proofErr w:type="spellEnd"/>
      <w:r>
        <w:rPr>
          <w:rFonts w:eastAsia="Times New Roman" w:cs="Times New Roman"/>
          <w:color w:val="000000"/>
          <w:szCs w:val="26"/>
        </w:rPr>
        <w:t xml:space="preserve"> and Taylor point out, correctly, </w:t>
      </w:r>
      <w:r w:rsidRPr="003F01C5">
        <w:rPr>
          <w:rFonts w:eastAsia="Times New Roman" w:cs="Times New Roman"/>
          <w:color w:val="000000"/>
          <w:szCs w:val="26"/>
        </w:rPr>
        <w:t xml:space="preserve">that under section 387 timeliness </w:t>
      </w:r>
      <w:r w:rsidRPr="003F01C5">
        <w:rPr>
          <w:rFonts w:cs="TimesNewRomanPSMT"/>
          <w:szCs w:val="26"/>
        </w:rPr>
        <w:t>measures</w:t>
      </w:r>
      <w:r>
        <w:rPr>
          <w:rFonts w:cs="TimesNewRomanPSMT"/>
          <w:szCs w:val="26"/>
        </w:rPr>
        <w:t xml:space="preserve"> </w:t>
      </w:r>
      <w:r w:rsidRPr="003F01C5">
        <w:rPr>
          <w:rFonts w:cs="TimesNewRomanPSMT"/>
          <w:szCs w:val="26"/>
        </w:rPr>
        <w:t xml:space="preserve">from </w:t>
      </w:r>
      <w:proofErr w:type="gramStart"/>
      <w:r w:rsidRPr="003F01C5">
        <w:rPr>
          <w:rFonts w:cs="TimesNewRomanPSMT"/>
          <w:szCs w:val="26"/>
        </w:rPr>
        <w:t>“</w:t>
      </w:r>
      <w:r>
        <w:rPr>
          <w:rFonts w:cs="TimesNewRomanPSMT"/>
          <w:szCs w:val="26"/>
        </w:rPr>
        <w:t> ‘</w:t>
      </w:r>
      <w:proofErr w:type="gramEnd"/>
      <w:r w:rsidRPr="003F01C5">
        <w:rPr>
          <w:rFonts w:cs="TimesNewRomanPSMT"/>
          <w:szCs w:val="26"/>
        </w:rPr>
        <w:t>the date the proposed interveners knew or should have known their</w:t>
      </w:r>
      <w:r>
        <w:rPr>
          <w:rFonts w:cs="TimesNewRomanPSMT"/>
          <w:szCs w:val="26"/>
        </w:rPr>
        <w:t xml:space="preserve"> </w:t>
      </w:r>
      <w:r w:rsidRPr="003F01C5">
        <w:rPr>
          <w:rFonts w:cs="TimesNewRomanPSMT"/>
          <w:szCs w:val="26"/>
        </w:rPr>
        <w:t>interests in the litigation were not being adequately represented.</w:t>
      </w:r>
      <w:r>
        <w:rPr>
          <w:rFonts w:cs="TimesNewRomanPSMT"/>
          <w:szCs w:val="26"/>
        </w:rPr>
        <w:t>’ </w:t>
      </w:r>
      <w:r w:rsidRPr="003F01C5">
        <w:rPr>
          <w:rFonts w:cs="TimesNewRomanPSMT"/>
          <w:szCs w:val="26"/>
        </w:rPr>
        <w:t>”</w:t>
      </w:r>
      <w:r>
        <w:rPr>
          <w:rFonts w:cs="TimesNewRomanPSMT"/>
          <w:szCs w:val="26"/>
        </w:rPr>
        <w:t xml:space="preserve">  (</w:t>
      </w:r>
      <w:r w:rsidRPr="003F01C5">
        <w:rPr>
          <w:rFonts w:cs="TimesNewRomanPS-ItalicMT"/>
          <w:i/>
          <w:iCs/>
          <w:szCs w:val="26"/>
        </w:rPr>
        <w:t>Lofton v.</w:t>
      </w:r>
      <w:r>
        <w:rPr>
          <w:rFonts w:cs="TimesNewRomanPS-ItalicMT"/>
          <w:i/>
          <w:iCs/>
          <w:szCs w:val="26"/>
        </w:rPr>
        <w:t xml:space="preserve"> </w:t>
      </w:r>
      <w:r w:rsidRPr="003F01C5">
        <w:rPr>
          <w:rFonts w:cs="TimesNewRomanPS-ItalicMT"/>
          <w:i/>
          <w:iCs/>
          <w:szCs w:val="26"/>
        </w:rPr>
        <w:t xml:space="preserve">Wells Fargo </w:t>
      </w:r>
      <w:r w:rsidRPr="003F01C5">
        <w:rPr>
          <w:rFonts w:cs="TimesNewRomanPS-ItalicMT"/>
          <w:i/>
          <w:iCs/>
          <w:szCs w:val="26"/>
        </w:rPr>
        <w:lastRenderedPageBreak/>
        <w:t xml:space="preserve">Home Mortgage </w:t>
      </w:r>
      <w:r w:rsidRPr="003F01C5">
        <w:rPr>
          <w:rFonts w:cs="TimesNewRomanPSMT"/>
          <w:szCs w:val="26"/>
        </w:rPr>
        <w:t>(2018) 27</w:t>
      </w:r>
      <w:r>
        <w:rPr>
          <w:rFonts w:cs="TimesNewRomanPSMT"/>
          <w:szCs w:val="26"/>
        </w:rPr>
        <w:t> </w:t>
      </w:r>
      <w:r w:rsidRPr="003F01C5">
        <w:rPr>
          <w:rFonts w:cs="TimesNewRomanPSMT"/>
          <w:szCs w:val="26"/>
        </w:rPr>
        <w:t>Cal.App.5th 1001, 1013.</w:t>
      </w:r>
      <w:r>
        <w:rPr>
          <w:rFonts w:cs="TimesNewRomanPSMT"/>
          <w:szCs w:val="26"/>
        </w:rPr>
        <w:t>)</w:t>
      </w:r>
      <w:r w:rsidRPr="003F01C5">
        <w:rPr>
          <w:rFonts w:eastAsia="Times New Roman" w:cs="Times New Roman"/>
          <w:color w:val="000000"/>
          <w:szCs w:val="26"/>
        </w:rPr>
        <w:t xml:space="preserve"> </w:t>
      </w:r>
      <w:r>
        <w:rPr>
          <w:rFonts w:eastAsia="Times New Roman" w:cs="Times New Roman"/>
          <w:color w:val="000000"/>
          <w:szCs w:val="26"/>
        </w:rPr>
        <w:t xml:space="preserve"> The record shows that they brought their motion to intervene within a few weeks of learning that settlement activity in </w:t>
      </w:r>
      <w:proofErr w:type="spellStart"/>
      <w:r>
        <w:rPr>
          <w:rFonts w:eastAsia="Times New Roman" w:cs="Times New Roman"/>
          <w:color w:val="000000"/>
          <w:szCs w:val="26"/>
        </w:rPr>
        <w:t>Accurso’s</w:t>
      </w:r>
      <w:proofErr w:type="spellEnd"/>
      <w:r>
        <w:rPr>
          <w:rFonts w:eastAsia="Times New Roman" w:cs="Times New Roman"/>
          <w:color w:val="000000"/>
          <w:szCs w:val="26"/>
        </w:rPr>
        <w:t xml:space="preserve"> case appeared to be on the immediate horizon.</w:t>
      </w:r>
      <w:r w:rsidRPr="003F01C5">
        <w:rPr>
          <w:rFonts w:eastAsia="Times New Roman" w:cs="Times New Roman"/>
          <w:color w:val="000000"/>
          <w:szCs w:val="26"/>
        </w:rPr>
        <w:t xml:space="preserve">  </w:t>
      </w:r>
    </w:p>
    <w:p w14:paraId="5A82CDC3" w14:textId="77777777" w:rsidR="00173CF0" w:rsidRDefault="00B45E56" w:rsidP="00604FBA">
      <w:pPr>
        <w:shd w:val="clear" w:color="auto" w:fill="FFFFFF"/>
        <w:spacing w:line="360" w:lineRule="auto"/>
        <w:ind w:firstLine="720"/>
        <w:rPr>
          <w:rFonts w:eastAsia="Times New Roman" w:cs="Times New Roman"/>
          <w:color w:val="000000"/>
          <w:szCs w:val="26"/>
        </w:rPr>
      </w:pPr>
      <w:r>
        <w:rPr>
          <w:rFonts w:eastAsia="Times New Roman" w:cs="Times New Roman"/>
          <w:color w:val="000000"/>
          <w:szCs w:val="26"/>
        </w:rPr>
        <w:t>In-N-Out, for it</w:t>
      </w:r>
      <w:r>
        <w:rPr>
          <w:rFonts w:eastAsia="Times New Roman" w:cs="Times New Roman"/>
          <w:color w:val="000000"/>
          <w:szCs w:val="26"/>
        </w:rPr>
        <w:t xml:space="preserve">s part, contends that, if granted permissive intervener status, </w:t>
      </w:r>
      <w:proofErr w:type="spellStart"/>
      <w:r>
        <w:rPr>
          <w:rFonts w:eastAsia="Times New Roman" w:cs="Times New Roman"/>
          <w:color w:val="000000"/>
          <w:szCs w:val="26"/>
        </w:rPr>
        <w:t>Piplack</w:t>
      </w:r>
      <w:proofErr w:type="spellEnd"/>
      <w:r>
        <w:rPr>
          <w:rFonts w:eastAsia="Times New Roman" w:cs="Times New Roman"/>
          <w:color w:val="000000"/>
          <w:szCs w:val="26"/>
        </w:rPr>
        <w:t xml:space="preserve"> and Taylor would “disrupt” the litigation.  The trial court made no such finding, and the proposed complaint-in-intervention from </w:t>
      </w:r>
      <w:proofErr w:type="spellStart"/>
      <w:r>
        <w:rPr>
          <w:rFonts w:eastAsia="Times New Roman" w:cs="Times New Roman"/>
          <w:color w:val="000000"/>
          <w:szCs w:val="26"/>
        </w:rPr>
        <w:t>Piplack</w:t>
      </w:r>
      <w:proofErr w:type="spellEnd"/>
      <w:r>
        <w:rPr>
          <w:rFonts w:eastAsia="Times New Roman" w:cs="Times New Roman"/>
          <w:color w:val="000000"/>
          <w:szCs w:val="26"/>
        </w:rPr>
        <w:t xml:space="preserve"> and Taylor does not suggest that they wish to </w:t>
      </w:r>
      <w:r>
        <w:rPr>
          <w:rFonts w:eastAsia="Times New Roman" w:cs="Times New Roman"/>
          <w:color w:val="000000"/>
          <w:szCs w:val="26"/>
        </w:rPr>
        <w:t xml:space="preserve">expand the scope of the litigation on the merits.  Section 387, subdivision (d)(2) contemplates that a non-party may seek to join a case if it has “an interest in the success of either of the parties, </w:t>
      </w:r>
      <w:r w:rsidRPr="009C60B1">
        <w:rPr>
          <w:rFonts w:eastAsia="Times New Roman" w:cs="Times New Roman"/>
          <w:i/>
          <w:iCs/>
          <w:color w:val="000000"/>
          <w:szCs w:val="26"/>
        </w:rPr>
        <w:t>or in an interest against both</w:t>
      </w:r>
      <w:r>
        <w:rPr>
          <w:rFonts w:eastAsia="Times New Roman" w:cs="Times New Roman"/>
          <w:color w:val="000000"/>
          <w:szCs w:val="26"/>
        </w:rPr>
        <w:t>.”  (Italics added.)  B</w:t>
      </w:r>
      <w:r w:rsidRPr="00F827E5">
        <w:rPr>
          <w:rFonts w:eastAsia="Times New Roman" w:cs="Times New Roman"/>
          <w:color w:val="000000"/>
          <w:szCs w:val="26"/>
        </w:rPr>
        <w:t xml:space="preserve">y </w:t>
      </w:r>
      <w:r w:rsidRPr="00F827E5">
        <w:rPr>
          <w:rFonts w:eastAsia="Times New Roman" w:cs="Times New Roman"/>
          <w:color w:val="000000"/>
          <w:szCs w:val="26"/>
        </w:rPr>
        <w:t>raising the issue of exclusive concurrent jurisdiction</w:t>
      </w:r>
      <w:r>
        <w:rPr>
          <w:rFonts w:eastAsia="Times New Roman" w:cs="Times New Roman"/>
          <w:color w:val="000000"/>
          <w:szCs w:val="26"/>
        </w:rPr>
        <w:t xml:space="preserve">, </w:t>
      </w:r>
      <w:proofErr w:type="spellStart"/>
      <w:r w:rsidRPr="00F827E5">
        <w:rPr>
          <w:rFonts w:eastAsia="Times New Roman" w:cs="Times New Roman"/>
          <w:color w:val="000000"/>
          <w:szCs w:val="26"/>
        </w:rPr>
        <w:t>Piplack</w:t>
      </w:r>
      <w:proofErr w:type="spellEnd"/>
      <w:r w:rsidRPr="00F827E5">
        <w:rPr>
          <w:rFonts w:eastAsia="Times New Roman" w:cs="Times New Roman"/>
          <w:color w:val="000000"/>
          <w:szCs w:val="26"/>
        </w:rPr>
        <w:t xml:space="preserve"> and Taylor put in play </w:t>
      </w:r>
      <w:r>
        <w:rPr>
          <w:rFonts w:eastAsia="Times New Roman" w:cs="Times New Roman"/>
          <w:color w:val="000000"/>
          <w:szCs w:val="26"/>
        </w:rPr>
        <w:t xml:space="preserve">a set of prudential </w:t>
      </w:r>
      <w:r w:rsidRPr="00F827E5">
        <w:rPr>
          <w:rFonts w:eastAsia="Times New Roman" w:cs="Times New Roman"/>
          <w:color w:val="000000"/>
          <w:szCs w:val="26"/>
        </w:rPr>
        <w:t xml:space="preserve">judicial comity </w:t>
      </w:r>
      <w:r>
        <w:rPr>
          <w:rFonts w:eastAsia="Times New Roman" w:cs="Times New Roman"/>
          <w:color w:val="000000"/>
          <w:szCs w:val="26"/>
        </w:rPr>
        <w:t xml:space="preserve">concerns that do not neatly align with the interests of either </w:t>
      </w:r>
      <w:proofErr w:type="spellStart"/>
      <w:r>
        <w:rPr>
          <w:rFonts w:eastAsia="Times New Roman" w:cs="Times New Roman"/>
          <w:color w:val="000000"/>
          <w:szCs w:val="26"/>
        </w:rPr>
        <w:t>Accurso</w:t>
      </w:r>
      <w:proofErr w:type="spellEnd"/>
      <w:r>
        <w:rPr>
          <w:rFonts w:eastAsia="Times New Roman" w:cs="Times New Roman"/>
          <w:color w:val="000000"/>
          <w:szCs w:val="26"/>
        </w:rPr>
        <w:t xml:space="preserve"> or In-N-Out.  It is evident to us that this was an important n</w:t>
      </w:r>
      <w:r>
        <w:rPr>
          <w:rFonts w:eastAsia="Times New Roman" w:cs="Times New Roman"/>
          <w:color w:val="000000"/>
          <w:szCs w:val="26"/>
        </w:rPr>
        <w:t xml:space="preserve">ew perspective.  Neither of the parties had an incentive to raise the issue; what </w:t>
      </w:r>
      <w:proofErr w:type="spellStart"/>
      <w:r w:rsidRPr="00F827E5">
        <w:rPr>
          <w:rFonts w:eastAsia="Times New Roman" w:cs="Times New Roman"/>
          <w:color w:val="000000"/>
          <w:szCs w:val="26"/>
        </w:rPr>
        <w:t>Piplack</w:t>
      </w:r>
      <w:proofErr w:type="spellEnd"/>
      <w:r w:rsidRPr="00F827E5">
        <w:rPr>
          <w:rFonts w:eastAsia="Times New Roman" w:cs="Times New Roman"/>
          <w:color w:val="000000"/>
          <w:szCs w:val="26"/>
        </w:rPr>
        <w:t xml:space="preserve"> and Taylor </w:t>
      </w:r>
      <w:r>
        <w:rPr>
          <w:rFonts w:eastAsia="Times New Roman" w:cs="Times New Roman"/>
          <w:color w:val="000000"/>
          <w:szCs w:val="26"/>
        </w:rPr>
        <w:t>proposed did not enlarge the scope of the case; it burdened the court with nothing more than hearing the stay motion; and, arguably, in the long run they s</w:t>
      </w:r>
      <w:r>
        <w:rPr>
          <w:rFonts w:eastAsia="Times New Roman" w:cs="Times New Roman"/>
          <w:color w:val="000000"/>
          <w:szCs w:val="26"/>
        </w:rPr>
        <w:t>ought to suggest a judicial economy measure that might save judicial time in multiple courts, not take up more of it.</w:t>
      </w:r>
    </w:p>
    <w:p w14:paraId="671C9904" w14:textId="77777777" w:rsidR="00C451A3" w:rsidRDefault="00B45E56" w:rsidP="00A45373">
      <w:pPr>
        <w:shd w:val="clear" w:color="auto" w:fill="FFFFFF"/>
        <w:spacing w:line="360" w:lineRule="auto"/>
        <w:ind w:firstLine="720"/>
        <w:rPr>
          <w:rFonts w:eastAsia="Times New Roman" w:cs="Times New Roman"/>
          <w:color w:val="000000"/>
          <w:szCs w:val="26"/>
        </w:rPr>
      </w:pPr>
      <w:r>
        <w:rPr>
          <w:rFonts w:eastAsia="Times New Roman" w:cs="Times New Roman"/>
          <w:color w:val="000000"/>
          <w:szCs w:val="26"/>
        </w:rPr>
        <w:t>In-N-Out argues that exclusive concurrent jurisdiction is an affirmative defense that a defendant must raise by plea in abatement, and tha</w:t>
      </w:r>
      <w:r>
        <w:rPr>
          <w:rFonts w:eastAsia="Times New Roman" w:cs="Times New Roman"/>
          <w:color w:val="000000"/>
          <w:szCs w:val="26"/>
        </w:rPr>
        <w:t>t it had no obligation to assert such a defense in this case.  Granted, the issue of exclusive concurrent jurisdiction is typically raised by defendants, but as we read the cases no court has ever said only a defendant can raise the issue.  Given the natur</w:t>
      </w:r>
      <w:r>
        <w:rPr>
          <w:rFonts w:eastAsia="Times New Roman" w:cs="Times New Roman"/>
          <w:color w:val="000000"/>
          <w:szCs w:val="26"/>
        </w:rPr>
        <w:t xml:space="preserve">e of the exclusive jurisdiction—it is a policy rule of judicial </w:t>
      </w:r>
      <w:r>
        <w:rPr>
          <w:rFonts w:eastAsia="Times New Roman" w:cs="Times New Roman"/>
          <w:color w:val="000000"/>
          <w:szCs w:val="26"/>
        </w:rPr>
        <w:lastRenderedPageBreak/>
        <w:t>comity (</w:t>
      </w:r>
      <w:r w:rsidRPr="00155B42">
        <w:rPr>
          <w:rFonts w:eastAsia="Times New Roman" w:cs="Times New Roman"/>
          <w:i/>
          <w:iCs/>
          <w:szCs w:val="26"/>
          <w:bdr w:val="none" w:sz="0" w:space="0" w:color="auto" w:frame="1"/>
        </w:rPr>
        <w:t>Shaw</w:t>
      </w:r>
      <w:r w:rsidRPr="00155B42">
        <w:rPr>
          <w:rFonts w:eastAsia="Times New Roman" w:cs="Times New Roman"/>
          <w:szCs w:val="26"/>
        </w:rPr>
        <w:t xml:space="preserve">, </w:t>
      </w:r>
      <w:r w:rsidRPr="00321609">
        <w:rPr>
          <w:rFonts w:eastAsia="Times New Roman" w:cs="Times New Roman"/>
          <w:i/>
          <w:iCs/>
          <w:color w:val="000000"/>
          <w:szCs w:val="26"/>
        </w:rPr>
        <w:t>supra</w:t>
      </w:r>
      <w:r>
        <w:rPr>
          <w:rFonts w:eastAsia="Times New Roman" w:cs="Times New Roman"/>
          <w:color w:val="000000"/>
          <w:szCs w:val="26"/>
        </w:rPr>
        <w:t>,</w:t>
      </w:r>
      <w:r w:rsidRPr="00B07F7D">
        <w:rPr>
          <w:rFonts w:eastAsia="Times New Roman" w:cs="Times New Roman"/>
          <w:color w:val="000000"/>
          <w:szCs w:val="26"/>
        </w:rPr>
        <w:t xml:space="preserve"> 78</w:t>
      </w:r>
      <w:r>
        <w:rPr>
          <w:rFonts w:eastAsia="Times New Roman" w:cs="Times New Roman"/>
          <w:color w:val="000000"/>
          <w:szCs w:val="26"/>
        </w:rPr>
        <w:t> </w:t>
      </w:r>
      <w:r w:rsidRPr="00B07F7D">
        <w:rPr>
          <w:rFonts w:eastAsia="Times New Roman" w:cs="Times New Roman"/>
          <w:color w:val="000000"/>
          <w:szCs w:val="26"/>
        </w:rPr>
        <w:t>Cal.App.5</w:t>
      </w:r>
      <w:r w:rsidRPr="003F5577">
        <w:rPr>
          <w:rFonts w:eastAsia="Times New Roman" w:cs="Times New Roman"/>
          <w:color w:val="000000"/>
          <w:szCs w:val="26"/>
        </w:rPr>
        <w:t>th</w:t>
      </w:r>
      <w:r>
        <w:rPr>
          <w:rFonts w:eastAsia="Times New Roman" w:cs="Times New Roman"/>
          <w:color w:val="000000"/>
          <w:szCs w:val="26"/>
        </w:rPr>
        <w:t xml:space="preserve"> at p. </w:t>
      </w:r>
      <w:r w:rsidRPr="00B07F7D">
        <w:rPr>
          <w:rFonts w:eastAsia="Times New Roman" w:cs="Times New Roman"/>
          <w:color w:val="000000"/>
          <w:szCs w:val="26"/>
        </w:rPr>
        <w:t>2</w:t>
      </w:r>
      <w:r>
        <w:rPr>
          <w:rFonts w:eastAsia="Times New Roman" w:cs="Times New Roman"/>
          <w:color w:val="000000"/>
          <w:szCs w:val="26"/>
        </w:rPr>
        <w:t>56</w:t>
      </w:r>
      <w:r>
        <w:rPr>
          <w:rStyle w:val="FootnoteReference"/>
          <w:rFonts w:eastAsia="Times New Roman" w:cs="Times New Roman"/>
          <w:color w:val="000000"/>
          <w:szCs w:val="26"/>
        </w:rPr>
        <w:footnoteReference w:id="27"/>
      </w:r>
      <w:r>
        <w:rPr>
          <w:rFonts w:eastAsia="Times New Roman" w:cs="Times New Roman"/>
          <w:color w:val="000000"/>
          <w:szCs w:val="26"/>
        </w:rPr>
        <w:t xml:space="preserve">)—that would make no sense.  Certainly, a court may raise the issue on its own motion.  And since a court may raise it </w:t>
      </w:r>
      <w:proofErr w:type="spellStart"/>
      <w:r>
        <w:rPr>
          <w:rFonts w:eastAsia="Times New Roman" w:cs="Times New Roman"/>
          <w:color w:val="000000"/>
          <w:szCs w:val="26"/>
        </w:rPr>
        <w:t>sua</w:t>
      </w:r>
      <w:proofErr w:type="spellEnd"/>
      <w:r>
        <w:rPr>
          <w:rFonts w:eastAsia="Times New Roman" w:cs="Times New Roman"/>
          <w:color w:val="000000"/>
          <w:szCs w:val="26"/>
        </w:rPr>
        <w:t xml:space="preserve"> sponte, we see no reason why an intervener may not propose to raise it where no one else has done so, as </w:t>
      </w:r>
      <w:proofErr w:type="spellStart"/>
      <w:r>
        <w:rPr>
          <w:rFonts w:eastAsia="Times New Roman" w:cs="Times New Roman"/>
          <w:color w:val="000000"/>
          <w:szCs w:val="26"/>
        </w:rPr>
        <w:t>Piplack</w:t>
      </w:r>
      <w:proofErr w:type="spellEnd"/>
      <w:r>
        <w:rPr>
          <w:rFonts w:eastAsia="Times New Roman" w:cs="Times New Roman"/>
          <w:color w:val="000000"/>
          <w:szCs w:val="26"/>
        </w:rPr>
        <w:t xml:space="preserve"> and </w:t>
      </w:r>
      <w:r w:rsidRPr="00EE2ED8">
        <w:rPr>
          <w:rFonts w:eastAsia="Times New Roman" w:cs="Times New Roman"/>
          <w:szCs w:val="26"/>
        </w:rPr>
        <w:t>Taylor did here</w:t>
      </w:r>
      <w:r w:rsidRPr="00DD444D">
        <w:rPr>
          <w:rFonts w:eastAsia="Times New Roman" w:cs="Times New Roman"/>
          <w:szCs w:val="26"/>
        </w:rPr>
        <w:t>.</w:t>
      </w:r>
      <w:r w:rsidRPr="00DD444D">
        <w:rPr>
          <w:rFonts w:eastAsia="Times New Roman" w:cs="Times New Roman"/>
          <w:szCs w:val="26"/>
        </w:rPr>
        <w:t xml:space="preserve">  </w:t>
      </w:r>
      <w:r>
        <w:rPr>
          <w:rFonts w:eastAsia="Times New Roman" w:cs="Times New Roman"/>
          <w:szCs w:val="26"/>
        </w:rPr>
        <w:t>Accordingly, w</w:t>
      </w:r>
      <w:r w:rsidRPr="00EE2ED8">
        <w:rPr>
          <w:rFonts w:eastAsia="Times New Roman" w:cs="Times New Roman"/>
          <w:szCs w:val="26"/>
        </w:rPr>
        <w:t xml:space="preserve">e will remand with directions </w:t>
      </w:r>
      <w:r>
        <w:rPr>
          <w:rFonts w:eastAsia="Times New Roman" w:cs="Times New Roman"/>
          <w:color w:val="000000"/>
          <w:szCs w:val="26"/>
        </w:rPr>
        <w:t xml:space="preserve">that the court proceed to consider </w:t>
      </w:r>
      <w:proofErr w:type="spellStart"/>
      <w:r>
        <w:rPr>
          <w:rFonts w:eastAsia="Times New Roman" w:cs="Times New Roman"/>
          <w:color w:val="000000"/>
          <w:szCs w:val="26"/>
        </w:rPr>
        <w:t>Piplack</w:t>
      </w:r>
      <w:proofErr w:type="spellEnd"/>
      <w:r>
        <w:rPr>
          <w:rFonts w:eastAsia="Times New Roman" w:cs="Times New Roman"/>
          <w:color w:val="000000"/>
          <w:szCs w:val="26"/>
        </w:rPr>
        <w:t xml:space="preserve"> and Taylor’s </w:t>
      </w:r>
      <w:r w:rsidRPr="00A45373">
        <w:rPr>
          <w:rFonts w:eastAsia="Times New Roman" w:cs="Times New Roman"/>
          <w:color w:val="000000"/>
          <w:szCs w:val="26"/>
        </w:rPr>
        <w:t>motion</w:t>
      </w:r>
      <w:r>
        <w:rPr>
          <w:rFonts w:eastAsia="Times New Roman" w:cs="Times New Roman"/>
          <w:color w:val="000000"/>
          <w:szCs w:val="26"/>
        </w:rPr>
        <w:t>s</w:t>
      </w:r>
      <w:r w:rsidRPr="00A45373">
        <w:rPr>
          <w:rFonts w:eastAsia="Times New Roman" w:cs="Times New Roman"/>
          <w:color w:val="000000"/>
          <w:szCs w:val="26"/>
        </w:rPr>
        <w:t xml:space="preserve"> for </w:t>
      </w:r>
      <w:r>
        <w:rPr>
          <w:rFonts w:eastAsia="Times New Roman" w:cs="Times New Roman"/>
          <w:color w:val="000000"/>
          <w:szCs w:val="26"/>
        </w:rPr>
        <w:t xml:space="preserve">permissive intervention and for a stay, weighing arguments they make in favor of staying the case (fully or partially) against any arguments </w:t>
      </w:r>
      <w:proofErr w:type="spellStart"/>
      <w:r>
        <w:rPr>
          <w:rFonts w:eastAsia="Times New Roman" w:cs="Times New Roman"/>
          <w:color w:val="000000"/>
          <w:szCs w:val="26"/>
        </w:rPr>
        <w:t>A</w:t>
      </w:r>
      <w:r>
        <w:rPr>
          <w:rFonts w:eastAsia="Times New Roman" w:cs="Times New Roman"/>
          <w:color w:val="000000"/>
          <w:szCs w:val="26"/>
        </w:rPr>
        <w:t>ccurso</w:t>
      </w:r>
      <w:proofErr w:type="spellEnd"/>
      <w:r>
        <w:rPr>
          <w:rFonts w:eastAsia="Times New Roman" w:cs="Times New Roman"/>
          <w:color w:val="000000"/>
          <w:szCs w:val="26"/>
        </w:rPr>
        <w:t xml:space="preserve"> and In-N-Out wish to offer for why the motion should not be heard or should be denied.  </w:t>
      </w:r>
    </w:p>
    <w:p w14:paraId="4F270CDD" w14:textId="77777777" w:rsidR="00596703" w:rsidRDefault="00B45E56" w:rsidP="00A45373">
      <w:pPr>
        <w:shd w:val="clear" w:color="auto" w:fill="FFFFFF"/>
        <w:spacing w:line="360" w:lineRule="auto"/>
        <w:ind w:firstLine="720"/>
        <w:rPr>
          <w:rFonts w:eastAsia="Times New Roman" w:cs="Times New Roman"/>
          <w:color w:val="000000"/>
          <w:szCs w:val="26"/>
        </w:rPr>
      </w:pPr>
      <w:r>
        <w:rPr>
          <w:rFonts w:eastAsia="Times New Roman" w:cs="Times New Roman"/>
          <w:color w:val="000000"/>
          <w:szCs w:val="26"/>
        </w:rPr>
        <w:t xml:space="preserve">For guidance on remand, we emphasize three points.  </w:t>
      </w:r>
      <w:r w:rsidRPr="00101787">
        <w:rPr>
          <w:rFonts w:eastAsia="Times New Roman" w:cs="Times New Roman"/>
          <w:i/>
          <w:iCs/>
          <w:color w:val="000000"/>
          <w:szCs w:val="26"/>
        </w:rPr>
        <w:t>First</w:t>
      </w:r>
      <w:r>
        <w:rPr>
          <w:rFonts w:eastAsia="Times New Roman" w:cs="Times New Roman"/>
          <w:color w:val="000000"/>
          <w:szCs w:val="26"/>
        </w:rPr>
        <w:t xml:space="preserve">, on this record—because of the narrow, procedural issue </w:t>
      </w:r>
      <w:proofErr w:type="spellStart"/>
      <w:r>
        <w:rPr>
          <w:rFonts w:eastAsia="Times New Roman" w:cs="Times New Roman"/>
          <w:color w:val="000000"/>
          <w:szCs w:val="26"/>
        </w:rPr>
        <w:t>Piplack</w:t>
      </w:r>
      <w:proofErr w:type="spellEnd"/>
      <w:r>
        <w:rPr>
          <w:rFonts w:eastAsia="Times New Roman" w:cs="Times New Roman"/>
          <w:color w:val="000000"/>
          <w:szCs w:val="26"/>
        </w:rPr>
        <w:t xml:space="preserve"> and Taylor propose to litigate (i.e., </w:t>
      </w:r>
      <w:r>
        <w:rPr>
          <w:rFonts w:eastAsia="Times New Roman" w:cs="Times New Roman"/>
          <w:color w:val="000000"/>
          <w:szCs w:val="26"/>
        </w:rPr>
        <w:t>exclusive concurrent jurisdiction in support of their motion for a stay)—the issues of permissive jurisdiction and for a stay are closely intertwined.  While these two issues are formally distinct, the resolution of the stay motion will as a practical matt</w:t>
      </w:r>
      <w:r>
        <w:rPr>
          <w:rFonts w:eastAsia="Times New Roman" w:cs="Times New Roman"/>
          <w:color w:val="000000"/>
          <w:szCs w:val="26"/>
        </w:rPr>
        <w:t xml:space="preserve">er dictate the outcome of the permissive intervention motion because the court’s evaluation of the exclusive concurrent jurisdiction issue will determine whether </w:t>
      </w:r>
      <w:proofErr w:type="spellStart"/>
      <w:r>
        <w:rPr>
          <w:rFonts w:eastAsia="Times New Roman" w:cs="Times New Roman"/>
          <w:color w:val="000000"/>
          <w:szCs w:val="26"/>
        </w:rPr>
        <w:t>Piplack</w:t>
      </w:r>
      <w:proofErr w:type="spellEnd"/>
      <w:r>
        <w:rPr>
          <w:rFonts w:eastAsia="Times New Roman" w:cs="Times New Roman"/>
          <w:color w:val="000000"/>
          <w:szCs w:val="26"/>
        </w:rPr>
        <w:t xml:space="preserve"> and Taylor have something to add to this litigation that neither of the existing parti</w:t>
      </w:r>
      <w:r>
        <w:rPr>
          <w:rFonts w:eastAsia="Times New Roman" w:cs="Times New Roman"/>
          <w:color w:val="000000"/>
          <w:szCs w:val="26"/>
        </w:rPr>
        <w:t>es can bring (or is willing to bring) to the case.</w:t>
      </w:r>
    </w:p>
    <w:p w14:paraId="28254F08" w14:textId="77777777" w:rsidR="001F2180" w:rsidRDefault="00B45E56" w:rsidP="00A45373">
      <w:pPr>
        <w:shd w:val="clear" w:color="auto" w:fill="FFFFFF"/>
        <w:spacing w:line="360" w:lineRule="auto"/>
        <w:ind w:firstLine="720"/>
        <w:rPr>
          <w:rFonts w:eastAsia="Times New Roman" w:cs="Times New Roman"/>
          <w:color w:val="000000"/>
          <w:szCs w:val="26"/>
        </w:rPr>
      </w:pPr>
      <w:r w:rsidRPr="00A34C37">
        <w:rPr>
          <w:rFonts w:eastAsia="Times New Roman" w:cs="Times New Roman"/>
          <w:i/>
          <w:iCs/>
          <w:color w:val="000000"/>
          <w:szCs w:val="26"/>
        </w:rPr>
        <w:t>Second</w:t>
      </w:r>
      <w:r>
        <w:rPr>
          <w:rFonts w:eastAsia="Times New Roman" w:cs="Times New Roman"/>
          <w:color w:val="000000"/>
          <w:szCs w:val="26"/>
        </w:rPr>
        <w:t>, we have no intention of placing a thumb on the scale of what should happen when the trial court decides the motions for permissive intervention and for a stay.  Nothing we have said in this opinion</w:t>
      </w:r>
      <w:r>
        <w:rPr>
          <w:rFonts w:eastAsia="Times New Roman" w:cs="Times New Roman"/>
          <w:color w:val="000000"/>
          <w:szCs w:val="26"/>
        </w:rPr>
        <w:t xml:space="preserve"> is meant to hint, without saying directly, that we think the best exercise of discretion </w:t>
      </w:r>
      <w:r>
        <w:rPr>
          <w:rFonts w:eastAsia="Times New Roman" w:cs="Times New Roman"/>
          <w:color w:val="000000"/>
          <w:szCs w:val="26"/>
        </w:rPr>
        <w:lastRenderedPageBreak/>
        <w:t>must be to order a stay, fully or partially.  We express no such view.  We are simply remanding so that discretion may be exercised according to the correct legal cri</w:t>
      </w:r>
      <w:r>
        <w:rPr>
          <w:rFonts w:eastAsia="Times New Roman" w:cs="Times New Roman"/>
          <w:color w:val="000000"/>
          <w:szCs w:val="26"/>
        </w:rPr>
        <w:t xml:space="preserve">teria.  As we see it, our treatment of permissive intervention in this case simply confirms the availability of a case management tool busy trial judges may wish to utilize in managing </w:t>
      </w:r>
      <w:proofErr w:type="spellStart"/>
      <w:r>
        <w:rPr>
          <w:rFonts w:eastAsia="Times New Roman" w:cs="Times New Roman"/>
          <w:color w:val="000000"/>
          <w:szCs w:val="26"/>
        </w:rPr>
        <w:t>PAGA</w:t>
      </w:r>
      <w:proofErr w:type="spellEnd"/>
      <w:r>
        <w:rPr>
          <w:rFonts w:eastAsia="Times New Roman" w:cs="Times New Roman"/>
          <w:color w:val="000000"/>
          <w:szCs w:val="26"/>
        </w:rPr>
        <w:t xml:space="preserve"> cases when a potentially valuable source of information is availab</w:t>
      </w:r>
      <w:r>
        <w:rPr>
          <w:rFonts w:eastAsia="Times New Roman" w:cs="Times New Roman"/>
          <w:color w:val="000000"/>
          <w:szCs w:val="26"/>
        </w:rPr>
        <w:t xml:space="preserve">le.  Whether they use that tool is committed to their sound discretion. </w:t>
      </w:r>
    </w:p>
    <w:p w14:paraId="3A55AA17" w14:textId="77777777" w:rsidR="00D32404" w:rsidRDefault="00B45E56" w:rsidP="00C32F73">
      <w:pPr>
        <w:shd w:val="clear" w:color="auto" w:fill="FFFFFF"/>
        <w:spacing w:line="360" w:lineRule="auto"/>
        <w:ind w:firstLine="720"/>
        <w:rPr>
          <w:rFonts w:eastAsia="Times New Roman" w:cs="Times New Roman"/>
          <w:color w:val="000000"/>
          <w:szCs w:val="26"/>
        </w:rPr>
      </w:pPr>
      <w:r w:rsidRPr="0018167D">
        <w:rPr>
          <w:rFonts w:eastAsia="Times New Roman" w:cs="Times New Roman"/>
          <w:i/>
          <w:iCs/>
          <w:color w:val="000000"/>
          <w:szCs w:val="26"/>
        </w:rPr>
        <w:t>Third</w:t>
      </w:r>
      <w:r>
        <w:rPr>
          <w:rFonts w:eastAsia="Times New Roman" w:cs="Times New Roman"/>
          <w:color w:val="000000"/>
          <w:szCs w:val="26"/>
        </w:rPr>
        <w:t xml:space="preserve">, in the event the court were to issue a stay, we do not view the form of the stay as a binary issue that must be decided definitively for </w:t>
      </w:r>
      <w:proofErr w:type="spellStart"/>
      <w:r>
        <w:rPr>
          <w:rFonts w:eastAsia="Times New Roman" w:cs="Times New Roman"/>
          <w:color w:val="000000"/>
          <w:szCs w:val="26"/>
        </w:rPr>
        <w:t>Piplack</w:t>
      </w:r>
      <w:proofErr w:type="spellEnd"/>
      <w:r>
        <w:rPr>
          <w:rFonts w:eastAsia="Times New Roman" w:cs="Times New Roman"/>
          <w:color w:val="000000"/>
          <w:szCs w:val="26"/>
        </w:rPr>
        <w:t xml:space="preserve"> and Taylor, or for </w:t>
      </w:r>
      <w:proofErr w:type="spellStart"/>
      <w:r>
        <w:rPr>
          <w:rFonts w:eastAsia="Times New Roman" w:cs="Times New Roman"/>
          <w:color w:val="000000"/>
          <w:szCs w:val="26"/>
        </w:rPr>
        <w:t>Accurso</w:t>
      </w:r>
      <w:proofErr w:type="spellEnd"/>
      <w:r>
        <w:rPr>
          <w:rFonts w:eastAsia="Times New Roman" w:cs="Times New Roman"/>
          <w:color w:val="000000"/>
          <w:szCs w:val="26"/>
        </w:rPr>
        <w:t xml:space="preserve"> and In-N-Out.  It may be, for example, that depending on the status of other proceedings </w:t>
      </w:r>
      <w:proofErr w:type="spellStart"/>
      <w:r>
        <w:rPr>
          <w:rFonts w:eastAsia="Times New Roman" w:cs="Times New Roman"/>
          <w:color w:val="000000"/>
          <w:szCs w:val="26"/>
        </w:rPr>
        <w:t>Piplack</w:t>
      </w:r>
      <w:proofErr w:type="spellEnd"/>
      <w:r>
        <w:rPr>
          <w:rFonts w:eastAsia="Times New Roman" w:cs="Times New Roman"/>
          <w:color w:val="000000"/>
          <w:szCs w:val="26"/>
        </w:rPr>
        <w:t xml:space="preserve"> and Taylor claim have priority over this one,</w:t>
      </w:r>
      <w:r>
        <w:rPr>
          <w:rStyle w:val="FootnoteReference"/>
          <w:rFonts w:eastAsia="Times New Roman" w:cs="Times New Roman"/>
          <w:color w:val="000000"/>
          <w:szCs w:val="26"/>
        </w:rPr>
        <w:footnoteReference w:id="28"/>
      </w:r>
      <w:r>
        <w:rPr>
          <w:rFonts w:eastAsia="Times New Roman" w:cs="Times New Roman"/>
          <w:color w:val="000000"/>
          <w:szCs w:val="26"/>
        </w:rPr>
        <w:t xml:space="preserve"> the court might wish to consider granting </w:t>
      </w:r>
      <w:r>
        <w:rPr>
          <w:rFonts w:eastAsia="Times New Roman" w:cs="Times New Roman"/>
          <w:color w:val="000000"/>
          <w:szCs w:val="26"/>
        </w:rPr>
        <w:lastRenderedPageBreak/>
        <w:t>permissive intervention for the limited purpose</w:t>
      </w:r>
      <w:r>
        <w:rPr>
          <w:rStyle w:val="FootnoteReference"/>
          <w:rFonts w:eastAsia="Times New Roman" w:cs="Times New Roman"/>
          <w:color w:val="000000"/>
          <w:szCs w:val="26"/>
        </w:rPr>
        <w:footnoteReference w:id="29"/>
      </w:r>
      <w:r>
        <w:rPr>
          <w:rFonts w:eastAsia="Times New Roman" w:cs="Times New Roman"/>
          <w:color w:val="000000"/>
          <w:szCs w:val="26"/>
        </w:rPr>
        <w:t xml:space="preserve"> of giving </w:t>
      </w:r>
      <w:proofErr w:type="spellStart"/>
      <w:r>
        <w:rPr>
          <w:rFonts w:eastAsia="Times New Roman" w:cs="Times New Roman"/>
          <w:color w:val="000000"/>
          <w:szCs w:val="26"/>
        </w:rPr>
        <w:t>P</w:t>
      </w:r>
      <w:r>
        <w:rPr>
          <w:rFonts w:eastAsia="Times New Roman" w:cs="Times New Roman"/>
          <w:color w:val="000000"/>
          <w:szCs w:val="26"/>
        </w:rPr>
        <w:t>iplack</w:t>
      </w:r>
      <w:proofErr w:type="spellEnd"/>
      <w:r>
        <w:rPr>
          <w:rFonts w:eastAsia="Times New Roman" w:cs="Times New Roman"/>
          <w:color w:val="000000"/>
          <w:szCs w:val="26"/>
        </w:rPr>
        <w:t xml:space="preserve"> and Taylor a defined role in the case commensurate with the scope of their </w:t>
      </w:r>
      <w:proofErr w:type="spellStart"/>
      <w:r>
        <w:rPr>
          <w:rFonts w:eastAsia="Times New Roman" w:cs="Times New Roman"/>
          <w:color w:val="000000"/>
          <w:szCs w:val="26"/>
        </w:rPr>
        <w:t>LWDA</w:t>
      </w:r>
      <w:proofErr w:type="spellEnd"/>
      <w:r>
        <w:rPr>
          <w:rFonts w:eastAsia="Times New Roman" w:cs="Times New Roman"/>
          <w:color w:val="000000"/>
          <w:szCs w:val="26"/>
        </w:rPr>
        <w:t xml:space="preserve"> authority, and staying the proceedings only as to certain issues that they may be entitled to </w:t>
      </w:r>
      <w:r w:rsidRPr="00C32F73">
        <w:rPr>
          <w:rFonts w:eastAsia="Times New Roman" w:cs="Times New Roman"/>
          <w:color w:val="000000"/>
          <w:szCs w:val="26"/>
        </w:rPr>
        <w:t>litigate in another forum.</w:t>
      </w:r>
      <w:r>
        <w:rPr>
          <w:rFonts w:eastAsia="Times New Roman" w:cs="Times New Roman"/>
          <w:color w:val="000000"/>
          <w:szCs w:val="26"/>
        </w:rPr>
        <w:t xml:space="preserve">  </w:t>
      </w:r>
    </w:p>
    <w:p w14:paraId="036B1970" w14:textId="77777777" w:rsidR="00A055FD" w:rsidRPr="00C32F73" w:rsidRDefault="00B45E56" w:rsidP="00C32F73">
      <w:pPr>
        <w:shd w:val="clear" w:color="auto" w:fill="FFFFFF"/>
        <w:spacing w:line="360" w:lineRule="auto"/>
        <w:ind w:firstLine="720"/>
        <w:rPr>
          <w:rFonts w:eastAsia="Times New Roman" w:cs="Times New Roman"/>
          <w:color w:val="000000"/>
          <w:szCs w:val="26"/>
        </w:rPr>
      </w:pPr>
      <w:r>
        <w:rPr>
          <w:rFonts w:eastAsia="Times New Roman" w:cs="Times New Roman"/>
          <w:color w:val="000000"/>
          <w:szCs w:val="26"/>
        </w:rPr>
        <w:t>For example, in the absence of formal coordina</w:t>
      </w:r>
      <w:r>
        <w:rPr>
          <w:rFonts w:eastAsia="Times New Roman" w:cs="Times New Roman"/>
          <w:color w:val="000000"/>
          <w:szCs w:val="26"/>
        </w:rPr>
        <w:t xml:space="preserve">tion under the rules governing coordination of complex cases, we see no reason why trial judges in overlapping </w:t>
      </w:r>
      <w:proofErr w:type="spellStart"/>
      <w:r>
        <w:rPr>
          <w:rFonts w:eastAsia="Times New Roman" w:cs="Times New Roman"/>
          <w:color w:val="000000"/>
          <w:szCs w:val="26"/>
        </w:rPr>
        <w:t>PAGA</w:t>
      </w:r>
      <w:proofErr w:type="spellEnd"/>
      <w:r>
        <w:rPr>
          <w:rFonts w:eastAsia="Times New Roman" w:cs="Times New Roman"/>
          <w:color w:val="000000"/>
          <w:szCs w:val="26"/>
        </w:rPr>
        <w:t xml:space="preserve"> cases may not communicate amongst themselves to determine whether, say, discovery might be coordinated in the interest of judicial economy. </w:t>
      </w:r>
      <w:r>
        <w:rPr>
          <w:rFonts w:eastAsia="Times New Roman" w:cs="Times New Roman"/>
          <w:color w:val="000000"/>
          <w:szCs w:val="26"/>
        </w:rPr>
        <w:t xml:space="preserve"> In federal multidistrict litigation, that is common.</w:t>
      </w:r>
      <w:r>
        <w:rPr>
          <w:rStyle w:val="FootnoteReference"/>
          <w:rFonts w:eastAsia="Times New Roman" w:cs="Times New Roman"/>
          <w:color w:val="000000"/>
          <w:szCs w:val="26"/>
        </w:rPr>
        <w:footnoteReference w:id="30"/>
      </w:r>
      <w:r>
        <w:rPr>
          <w:rFonts w:eastAsia="Times New Roman" w:cs="Times New Roman"/>
          <w:color w:val="000000"/>
          <w:szCs w:val="26"/>
        </w:rPr>
        <w:t xml:space="preserve">  And whether a party seeking approval of a settlement has engaged in cooperative discovery under such a coordinated discovery plan is sometimes a factor courts take into account in the settlement approval process.</w:t>
      </w:r>
      <w:r>
        <w:rPr>
          <w:rStyle w:val="FootnoteReference"/>
          <w:rFonts w:eastAsia="Times New Roman" w:cs="Times New Roman"/>
          <w:color w:val="000000"/>
          <w:szCs w:val="26"/>
        </w:rPr>
        <w:footnoteReference w:id="31"/>
      </w:r>
      <w:r>
        <w:rPr>
          <w:rFonts w:eastAsia="Times New Roman" w:cs="Times New Roman"/>
          <w:color w:val="000000"/>
          <w:szCs w:val="26"/>
        </w:rPr>
        <w:t xml:space="preserve">  In providing guidance on remand, we me</w:t>
      </w:r>
      <w:r>
        <w:rPr>
          <w:rFonts w:eastAsia="Times New Roman" w:cs="Times New Roman"/>
          <w:color w:val="000000"/>
          <w:szCs w:val="26"/>
        </w:rPr>
        <w:t>ntion coordinated discovery for illustrative purposes to emphasize that we see the exclusive concurrent jurisdiction issue as a discretionary one that may be resolved in any number of ways designed to maximize efficiency, while at the same time allowing al</w:t>
      </w:r>
      <w:r>
        <w:rPr>
          <w:rFonts w:eastAsia="Times New Roman" w:cs="Times New Roman"/>
          <w:color w:val="000000"/>
          <w:szCs w:val="26"/>
        </w:rPr>
        <w:t xml:space="preserve">l </w:t>
      </w:r>
      <w:proofErr w:type="spellStart"/>
      <w:r>
        <w:rPr>
          <w:rFonts w:eastAsia="Times New Roman" w:cs="Times New Roman"/>
          <w:color w:val="000000"/>
          <w:szCs w:val="26"/>
        </w:rPr>
        <w:t>PAGA</w:t>
      </w:r>
      <w:proofErr w:type="spellEnd"/>
      <w:r>
        <w:rPr>
          <w:rFonts w:eastAsia="Times New Roman" w:cs="Times New Roman"/>
          <w:color w:val="000000"/>
          <w:szCs w:val="26"/>
        </w:rPr>
        <w:t xml:space="preserve"> claimants </w:t>
      </w:r>
      <w:r>
        <w:rPr>
          <w:rFonts w:eastAsia="Times New Roman" w:cs="Times New Roman"/>
          <w:color w:val="000000"/>
          <w:szCs w:val="26"/>
        </w:rPr>
        <w:lastRenderedPageBreak/>
        <w:t xml:space="preserve">in overlapping case scenarios to participate in litigation in which they have an interest but where the requisites for mandatory intervention have not been satisfied. </w:t>
      </w:r>
    </w:p>
    <w:p w14:paraId="3EBB9270" w14:textId="77777777" w:rsidR="008739D0" w:rsidRPr="00936330" w:rsidRDefault="00B45E56" w:rsidP="00070F4A">
      <w:pPr>
        <w:pStyle w:val="Heading1"/>
        <w:tabs>
          <w:tab w:val="clear" w:pos="720"/>
          <w:tab w:val="left" w:pos="270"/>
          <w:tab w:val="left" w:pos="450"/>
        </w:tabs>
        <w:spacing w:before="0" w:line="360" w:lineRule="auto"/>
        <w:jc w:val="center"/>
        <w:rPr>
          <w:rFonts w:ascii="Century Schoolbook" w:hAnsi="Century Schoolbook"/>
          <w:b/>
          <w:bCs/>
          <w:color w:val="auto"/>
          <w:sz w:val="26"/>
          <w:szCs w:val="26"/>
        </w:rPr>
      </w:pPr>
      <w:r w:rsidRPr="00936330">
        <w:rPr>
          <w:rFonts w:ascii="Century Schoolbook" w:hAnsi="Century Schoolbook"/>
          <w:b/>
          <w:bCs/>
          <w:color w:val="auto"/>
          <w:sz w:val="26"/>
          <w:szCs w:val="26"/>
        </w:rPr>
        <w:t>IV.</w:t>
      </w:r>
      <w:r>
        <w:rPr>
          <w:rFonts w:ascii="Century Schoolbook" w:hAnsi="Century Schoolbook"/>
          <w:b/>
          <w:bCs/>
          <w:color w:val="auto"/>
          <w:sz w:val="26"/>
          <w:szCs w:val="26"/>
        </w:rPr>
        <w:tab/>
      </w:r>
      <w:r w:rsidRPr="00936330">
        <w:rPr>
          <w:rFonts w:ascii="Century Schoolbook" w:hAnsi="Century Schoolbook"/>
          <w:b/>
          <w:bCs/>
          <w:color w:val="auto"/>
          <w:sz w:val="26"/>
          <w:szCs w:val="26"/>
        </w:rPr>
        <w:t>DISPOSITION</w:t>
      </w:r>
    </w:p>
    <w:p w14:paraId="3CEDA7BB" w14:textId="77777777" w:rsidR="00357907" w:rsidRDefault="00B45E56" w:rsidP="00F40369">
      <w:pPr>
        <w:spacing w:line="360" w:lineRule="auto"/>
        <w:ind w:firstLine="720"/>
        <w:rPr>
          <w:szCs w:val="26"/>
        </w:rPr>
      </w:pPr>
      <w:r w:rsidRPr="00C32F73">
        <w:rPr>
          <w:szCs w:val="26"/>
        </w:rPr>
        <w:t>The order denying intervention is vacated and the cause</w:t>
      </w:r>
      <w:r w:rsidRPr="00C32F73">
        <w:rPr>
          <w:szCs w:val="26"/>
        </w:rPr>
        <w:t xml:space="preserve"> is remanded for further proceedings consistent with this opinion.</w:t>
      </w:r>
      <w:r>
        <w:rPr>
          <w:szCs w:val="26"/>
        </w:rPr>
        <w:t xml:space="preserve"> </w:t>
      </w:r>
      <w:r w:rsidRPr="00C32F73">
        <w:rPr>
          <w:szCs w:val="26"/>
        </w:rPr>
        <w:t xml:space="preserve"> </w:t>
      </w:r>
      <w:r>
        <w:rPr>
          <w:szCs w:val="26"/>
        </w:rPr>
        <w:t xml:space="preserve">Appellants </w:t>
      </w:r>
      <w:proofErr w:type="spellStart"/>
      <w:r>
        <w:rPr>
          <w:szCs w:val="26"/>
        </w:rPr>
        <w:t>Piplack</w:t>
      </w:r>
      <w:proofErr w:type="spellEnd"/>
      <w:r>
        <w:rPr>
          <w:szCs w:val="26"/>
        </w:rPr>
        <w:t xml:space="preserve"> and Taylor shall recover their costs on appeal.</w:t>
      </w:r>
    </w:p>
    <w:p w14:paraId="044890FF" w14:textId="77777777" w:rsidR="00B83EC1" w:rsidRPr="00B83EC1" w:rsidRDefault="00B45E56" w:rsidP="00B83EC1">
      <w:pPr>
        <w:spacing w:line="360" w:lineRule="auto"/>
        <w:ind w:firstLine="360"/>
        <w:rPr>
          <w:szCs w:val="26"/>
        </w:rPr>
      </w:pPr>
      <w:r>
        <w:rPr>
          <w:szCs w:val="26"/>
        </w:rPr>
        <w:tab/>
      </w:r>
      <w:r>
        <w:tab/>
      </w:r>
      <w:r>
        <w:tab/>
      </w:r>
      <w:r>
        <w:tab/>
      </w:r>
      <w:r>
        <w:tab/>
      </w:r>
      <w:r>
        <w:tab/>
      </w:r>
      <w:r>
        <w:tab/>
      </w:r>
      <w:r>
        <w:tab/>
      </w:r>
      <w:r>
        <w:tab/>
        <w:t xml:space="preserve">STREETER, J. </w:t>
      </w:r>
    </w:p>
    <w:p w14:paraId="6EEF34DD" w14:textId="77777777" w:rsidR="00505CC9" w:rsidRDefault="00B45E56" w:rsidP="004B5A55">
      <w:pPr>
        <w:tabs>
          <w:tab w:val="left" w:pos="1620"/>
        </w:tabs>
        <w:spacing w:after="240" w:line="240" w:lineRule="auto"/>
      </w:pPr>
      <w:r>
        <w:t>WE CONCUR:</w:t>
      </w:r>
    </w:p>
    <w:p w14:paraId="69CC0542" w14:textId="77777777" w:rsidR="00505CC9" w:rsidRDefault="00B45E56" w:rsidP="00957B7D">
      <w:pPr>
        <w:tabs>
          <w:tab w:val="left" w:pos="1620"/>
        </w:tabs>
        <w:spacing w:line="240" w:lineRule="auto"/>
      </w:pPr>
      <w:r>
        <w:t>BROWN, P. J.</w:t>
      </w:r>
    </w:p>
    <w:p w14:paraId="52F2A24C" w14:textId="77777777" w:rsidR="0093508F" w:rsidRDefault="00B45E56" w:rsidP="004B5A55">
      <w:pPr>
        <w:tabs>
          <w:tab w:val="left" w:pos="1620"/>
        </w:tabs>
        <w:spacing w:line="240" w:lineRule="auto"/>
        <w:sectPr w:rsidR="0093508F" w:rsidSect="009E5C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t>GOLDMAN, J.</w:t>
      </w:r>
    </w:p>
    <w:p w14:paraId="414917F9" w14:textId="77777777" w:rsidR="00812BEC" w:rsidRDefault="00B45E56" w:rsidP="00812BEC">
      <w:pPr>
        <w:spacing w:line="480" w:lineRule="auto"/>
        <w:ind w:right="720"/>
      </w:pPr>
      <w:r>
        <w:lastRenderedPageBreak/>
        <w:t>Trial Court:</w:t>
      </w:r>
      <w:r>
        <w:tab/>
      </w:r>
      <w:r>
        <w:tab/>
        <w:t xml:space="preserve">Superior Court of California, County of Sonoma </w:t>
      </w:r>
    </w:p>
    <w:p w14:paraId="2C29878C" w14:textId="77777777" w:rsidR="00812BEC" w:rsidRDefault="00B45E56" w:rsidP="00812BEC">
      <w:pPr>
        <w:spacing w:line="480" w:lineRule="auto"/>
      </w:pPr>
      <w:r>
        <w:t xml:space="preserve">Trial Judge: </w:t>
      </w:r>
      <w:r>
        <w:tab/>
        <w:t xml:space="preserve">Hon. Jennifer V. Dollard </w:t>
      </w:r>
    </w:p>
    <w:p w14:paraId="5041C267" w14:textId="77777777" w:rsidR="00812BEC" w:rsidRDefault="00B45E56" w:rsidP="00812BEC">
      <w:pPr>
        <w:tabs>
          <w:tab w:val="left" w:pos="2160"/>
        </w:tabs>
        <w:spacing w:line="240" w:lineRule="auto"/>
        <w:ind w:left="2520" w:hanging="2520"/>
      </w:pPr>
      <w:r>
        <w:t xml:space="preserve">Counsel: </w:t>
      </w:r>
      <w:r>
        <w:tab/>
      </w:r>
      <w:proofErr w:type="spellStart"/>
      <w:r>
        <w:t>Aiman</w:t>
      </w:r>
      <w:proofErr w:type="spellEnd"/>
      <w:r>
        <w:t xml:space="preserve">-Smith &amp; Marcy, Randall B. </w:t>
      </w:r>
      <w:proofErr w:type="spellStart"/>
      <w:r>
        <w:t>Aiman</w:t>
      </w:r>
      <w:proofErr w:type="spellEnd"/>
      <w:r>
        <w:t>-</w:t>
      </w:r>
      <w:r>
        <w:t xml:space="preserve">Smith, Reed W.L. Marcy, Hallie von Rock, Brent A. Robinson; Lavi &amp; </w:t>
      </w:r>
      <w:proofErr w:type="spellStart"/>
      <w:r>
        <w:t>Ebrahimian</w:t>
      </w:r>
      <w:proofErr w:type="spellEnd"/>
      <w:r>
        <w:t xml:space="preserve">, Joseph Lavi, Jordan D. Bello, Vincent G. </w:t>
      </w:r>
      <w:proofErr w:type="spellStart"/>
      <w:r>
        <w:t>Granberry</w:t>
      </w:r>
      <w:proofErr w:type="spellEnd"/>
      <w:r>
        <w:t xml:space="preserve">; Law Offices of </w:t>
      </w:r>
      <w:proofErr w:type="spellStart"/>
      <w:r>
        <w:t>Sahag</w:t>
      </w:r>
      <w:proofErr w:type="spellEnd"/>
      <w:r>
        <w:t xml:space="preserve"> </w:t>
      </w:r>
      <w:proofErr w:type="spellStart"/>
      <w:r>
        <w:t>Majarian</w:t>
      </w:r>
      <w:proofErr w:type="spellEnd"/>
      <w:r>
        <w:t xml:space="preserve"> II and </w:t>
      </w:r>
      <w:proofErr w:type="spellStart"/>
      <w:r>
        <w:t>Sahag</w:t>
      </w:r>
      <w:proofErr w:type="spellEnd"/>
      <w:r>
        <w:t xml:space="preserve"> </w:t>
      </w:r>
      <w:proofErr w:type="spellStart"/>
      <w:r>
        <w:t>Majarian</w:t>
      </w:r>
      <w:proofErr w:type="spellEnd"/>
      <w:r>
        <w:t xml:space="preserve"> II for </w:t>
      </w:r>
      <w:r>
        <w:t>Movant</w:t>
      </w:r>
      <w:r>
        <w:t xml:space="preserve">s and Appellants. </w:t>
      </w:r>
    </w:p>
    <w:p w14:paraId="05CBBA45" w14:textId="77777777" w:rsidR="00812BEC" w:rsidRDefault="00B45E56" w:rsidP="00812BEC">
      <w:pPr>
        <w:spacing w:line="240" w:lineRule="auto"/>
        <w:ind w:left="1440" w:firstLine="720"/>
      </w:pPr>
    </w:p>
    <w:p w14:paraId="73B59C2A" w14:textId="77777777" w:rsidR="00812BEC" w:rsidRDefault="00B45E56" w:rsidP="00812BEC">
      <w:pPr>
        <w:spacing w:line="240" w:lineRule="auto"/>
        <w:ind w:left="2610" w:hanging="450"/>
      </w:pPr>
      <w:r>
        <w:t xml:space="preserve">Polk Kabat, Mark G. </w:t>
      </w:r>
      <w:proofErr w:type="spellStart"/>
      <w:r>
        <w:t>Humenik</w:t>
      </w:r>
      <w:proofErr w:type="spellEnd"/>
      <w:r>
        <w:t xml:space="preserve"> for Tracy Chen in her Representative </w:t>
      </w:r>
      <w:proofErr w:type="gramStart"/>
      <w:r>
        <w:t>Proxy</w:t>
      </w:r>
      <w:proofErr w:type="gramEnd"/>
      <w:r>
        <w:t xml:space="preserve"> and Private Attorney General Capacity on Behalf of the State of California as Amicus Curiae on behalf of </w:t>
      </w:r>
      <w:r>
        <w:t>Movant</w:t>
      </w:r>
      <w:r>
        <w:t>s and Appellants.</w:t>
      </w:r>
    </w:p>
    <w:p w14:paraId="1934F2D1" w14:textId="77777777" w:rsidR="00812BEC" w:rsidRDefault="00B45E56" w:rsidP="00812BEC">
      <w:pPr>
        <w:spacing w:line="240" w:lineRule="auto"/>
        <w:ind w:left="2610" w:hanging="450"/>
      </w:pPr>
    </w:p>
    <w:p w14:paraId="1F5403A2" w14:textId="77777777" w:rsidR="00812BEC" w:rsidRDefault="00B45E56" w:rsidP="00812BEC">
      <w:pPr>
        <w:spacing w:line="240" w:lineRule="auto"/>
        <w:ind w:left="2610" w:hanging="450"/>
      </w:pPr>
      <w:proofErr w:type="spellStart"/>
      <w:r>
        <w:t>Lebe</w:t>
      </w:r>
      <w:proofErr w:type="spellEnd"/>
      <w:r>
        <w:t xml:space="preserve"> Law, Jonathan M. </w:t>
      </w:r>
      <w:proofErr w:type="spellStart"/>
      <w:r>
        <w:t>Lebe</w:t>
      </w:r>
      <w:proofErr w:type="spellEnd"/>
      <w:r>
        <w:t>, Zachary T. Gershman, Briell</w:t>
      </w:r>
      <w:r>
        <w:t xml:space="preserve">e D. </w:t>
      </w:r>
      <w:proofErr w:type="spellStart"/>
      <w:r>
        <w:t>Edborg</w:t>
      </w:r>
      <w:proofErr w:type="spellEnd"/>
      <w:r>
        <w:t xml:space="preserve"> for Plaintiff and Respondent.</w:t>
      </w:r>
    </w:p>
    <w:p w14:paraId="751C312B" w14:textId="77777777" w:rsidR="00812BEC" w:rsidRDefault="00B45E56" w:rsidP="00812BEC">
      <w:pPr>
        <w:spacing w:line="240" w:lineRule="auto"/>
        <w:ind w:left="2610" w:hanging="450"/>
      </w:pPr>
    </w:p>
    <w:p w14:paraId="55973E39" w14:textId="77777777" w:rsidR="00812BEC" w:rsidRDefault="00B45E56" w:rsidP="00812BEC">
      <w:pPr>
        <w:spacing w:line="240" w:lineRule="auto"/>
        <w:ind w:left="2610" w:hanging="450"/>
      </w:pPr>
      <w:r>
        <w:t>Sheppard, Mullin, Richter &amp; Hampton, Paul S. Cowie, John D. Ellis, Sami Hasan, Amanda E. Beckwith for Defendant and Respondent.</w:t>
      </w:r>
    </w:p>
    <w:p w14:paraId="263AF770" w14:textId="77777777" w:rsidR="00742C58" w:rsidRPr="00C32F73" w:rsidRDefault="00B45E56" w:rsidP="00434F9E">
      <w:pPr>
        <w:spacing w:line="360" w:lineRule="auto"/>
        <w:rPr>
          <w:szCs w:val="26"/>
        </w:rPr>
      </w:pPr>
    </w:p>
    <w:sectPr w:rsidR="00742C58" w:rsidRPr="00C32F73" w:rsidSect="00630DB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CBB4" w14:textId="77777777" w:rsidR="00000000" w:rsidRDefault="00B45E56">
      <w:pPr>
        <w:spacing w:line="240" w:lineRule="auto"/>
      </w:pPr>
      <w:r>
        <w:separator/>
      </w:r>
    </w:p>
  </w:endnote>
  <w:endnote w:type="continuationSeparator" w:id="0">
    <w:p w14:paraId="25102F51" w14:textId="77777777" w:rsidR="00000000" w:rsidRDefault="00B45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altName w:val="Cambria"/>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urce Sans Pro">
    <w:altName w:val="Source Sans Pro"/>
    <w:charset w:val="00"/>
    <w:family w:val="swiss"/>
    <w:pitch w:val="variable"/>
    <w:sig w:usb0="600002F7" w:usb1="02000001" w:usb2="00000000" w:usb3="00000000" w:csb0="0000019F" w:csb1="00000000"/>
  </w:font>
  <w:font w:name="Cambria-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1347" w14:textId="77777777" w:rsidR="00742C58" w:rsidRDefault="00B45E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1467550D" w14:textId="77777777" w:rsidR="00742C58" w:rsidRDefault="00B45E5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5B36876C" w14:textId="77777777" w:rsidR="00742C58" w:rsidRDefault="00B45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9896" w14:textId="77777777" w:rsidR="00742C58" w:rsidRDefault="00B45E56" w:rsidP="00812471">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4CBA835" w14:textId="77777777" w:rsidR="00742C58" w:rsidRDefault="00B45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085C" w14:textId="77777777" w:rsidR="00434F9E" w:rsidRPr="00BC4CF5" w:rsidRDefault="00B45E56">
    <w:pPr>
      <w:pStyle w:val="Footer"/>
      <w:rPr>
        <w:i/>
        <w:iCs/>
        <w:sz w:val="20"/>
        <w:szCs w:val="20"/>
      </w:rPr>
    </w:pPr>
    <w:proofErr w:type="spellStart"/>
    <w:r w:rsidRPr="00BC4CF5">
      <w:rPr>
        <w:i/>
        <w:iCs/>
        <w:sz w:val="20"/>
        <w:szCs w:val="20"/>
      </w:rPr>
      <w:t>Accurso</w:t>
    </w:r>
    <w:proofErr w:type="spellEnd"/>
    <w:r w:rsidRPr="00BC4CF5">
      <w:rPr>
        <w:i/>
        <w:iCs/>
        <w:sz w:val="20"/>
        <w:szCs w:val="20"/>
      </w:rPr>
      <w:t xml:space="preserve"> v. In-</w:t>
    </w:r>
    <w:r>
      <w:rPr>
        <w:i/>
        <w:iCs/>
        <w:sz w:val="20"/>
        <w:szCs w:val="20"/>
      </w:rPr>
      <w:t>N</w:t>
    </w:r>
    <w:r w:rsidRPr="00BC4CF5">
      <w:rPr>
        <w:i/>
        <w:iCs/>
        <w:sz w:val="20"/>
        <w:szCs w:val="20"/>
      </w:rPr>
      <w:t xml:space="preserve">-Out Burgers </w:t>
    </w:r>
    <w:proofErr w:type="spellStart"/>
    <w:r w:rsidRPr="00BC4CF5">
      <w:rPr>
        <w:i/>
        <w:iCs/>
        <w:sz w:val="20"/>
        <w:szCs w:val="20"/>
      </w:rPr>
      <w:t>LWDA</w:t>
    </w:r>
    <w:proofErr w:type="spellEnd"/>
    <w:r w:rsidRPr="00BC4CF5">
      <w:rPr>
        <w:i/>
        <w:iCs/>
        <w:sz w:val="20"/>
        <w:szCs w:val="20"/>
      </w:rPr>
      <w:t xml:space="preserve"> ex rel. Tom </w:t>
    </w:r>
    <w:proofErr w:type="spellStart"/>
    <w:r w:rsidRPr="00BC4CF5">
      <w:rPr>
        <w:i/>
        <w:iCs/>
        <w:sz w:val="20"/>
        <w:szCs w:val="20"/>
      </w:rPr>
      <w:t>Piplack</w:t>
    </w:r>
    <w:proofErr w:type="spellEnd"/>
    <w:r w:rsidRPr="00BC4CF5">
      <w:rPr>
        <w:i/>
        <w:iCs/>
        <w:sz w:val="20"/>
        <w:szCs w:val="20"/>
      </w:rPr>
      <w:t xml:space="preserve"> and Brianna Marie Taylor </w:t>
    </w:r>
    <w:r w:rsidRPr="00FA5C8B">
      <w:rPr>
        <w:sz w:val="20"/>
        <w:szCs w:val="20"/>
      </w:rPr>
      <w:t>– A165320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35FE" w14:textId="77777777" w:rsidR="003D14FB" w:rsidRDefault="00B45E56" w:rsidP="00B57620">
      <w:r>
        <w:separator/>
      </w:r>
    </w:p>
  </w:footnote>
  <w:footnote w:type="continuationSeparator" w:id="0">
    <w:p w14:paraId="365CD276" w14:textId="77777777" w:rsidR="003D14FB" w:rsidRDefault="00B45E56" w:rsidP="00B57620">
      <w:r>
        <w:continuationSeparator/>
      </w:r>
    </w:p>
  </w:footnote>
  <w:footnote w:type="continuationNotice" w:id="1">
    <w:p w14:paraId="62D2CA7B" w14:textId="77777777" w:rsidR="003D14FB" w:rsidRDefault="00B45E56">
      <w:pPr>
        <w:spacing w:line="240" w:lineRule="auto"/>
      </w:pPr>
    </w:p>
  </w:footnote>
  <w:footnote w:id="2">
    <w:p w14:paraId="393832C6" w14:textId="77777777" w:rsidR="008C7EBD" w:rsidRPr="00F076CC" w:rsidRDefault="00B45E56" w:rsidP="008C7EBD">
      <w:pPr>
        <w:pStyle w:val="FootnoteText"/>
        <w:ind w:firstLine="720"/>
        <w:rPr>
          <w:szCs w:val="26"/>
        </w:rPr>
      </w:pPr>
      <w:r w:rsidRPr="00F076CC">
        <w:rPr>
          <w:rStyle w:val="FootnoteReference"/>
          <w:szCs w:val="26"/>
        </w:rPr>
        <w:footnoteRef/>
      </w:r>
      <w:r w:rsidRPr="00F076CC">
        <w:rPr>
          <w:szCs w:val="26"/>
        </w:rPr>
        <w:t xml:space="preserve"> All further undesignated statutory citations are to </w:t>
      </w:r>
      <w:r>
        <w:rPr>
          <w:szCs w:val="26"/>
        </w:rPr>
        <w:t xml:space="preserve">the </w:t>
      </w:r>
      <w:r w:rsidRPr="00F076CC">
        <w:rPr>
          <w:szCs w:val="26"/>
        </w:rPr>
        <w:t xml:space="preserve">Code of Civil Procedure. </w:t>
      </w:r>
    </w:p>
  </w:footnote>
  <w:footnote w:id="3">
    <w:p w14:paraId="3C00AAAD" w14:textId="77777777" w:rsidR="00E46245" w:rsidRDefault="00B45E56" w:rsidP="00E46245">
      <w:pPr>
        <w:pStyle w:val="FootnoteText"/>
        <w:ind w:firstLine="720"/>
        <w:rPr>
          <w:szCs w:val="26"/>
        </w:rPr>
      </w:pPr>
      <w:r w:rsidRPr="00ED3C0E">
        <w:rPr>
          <w:rStyle w:val="FootnoteReference"/>
          <w:szCs w:val="26"/>
        </w:rPr>
        <w:footnoteRef/>
      </w:r>
      <w:r w:rsidRPr="00ED3C0E">
        <w:rPr>
          <w:szCs w:val="26"/>
        </w:rPr>
        <w:t xml:space="preserve"> </w:t>
      </w:r>
      <w:r>
        <w:rPr>
          <w:szCs w:val="26"/>
        </w:rPr>
        <w:t xml:space="preserve">The original complaint in </w:t>
      </w:r>
      <w:r w:rsidRPr="00ED3C0E">
        <w:rPr>
          <w:i/>
          <w:iCs/>
          <w:szCs w:val="26"/>
        </w:rPr>
        <w:t>Taylor</w:t>
      </w:r>
      <w:r w:rsidRPr="00ED3C0E">
        <w:rPr>
          <w:szCs w:val="26"/>
        </w:rPr>
        <w:t xml:space="preserve"> allege</w:t>
      </w:r>
      <w:r>
        <w:rPr>
          <w:szCs w:val="26"/>
        </w:rPr>
        <w:t>d</w:t>
      </w:r>
      <w:r w:rsidRPr="00ED3C0E">
        <w:rPr>
          <w:szCs w:val="26"/>
        </w:rPr>
        <w:t xml:space="preserve"> </w:t>
      </w:r>
      <w:r>
        <w:rPr>
          <w:szCs w:val="26"/>
        </w:rPr>
        <w:t xml:space="preserve">various </w:t>
      </w:r>
      <w:proofErr w:type="spellStart"/>
      <w:r w:rsidRPr="00ED3C0E">
        <w:rPr>
          <w:szCs w:val="26"/>
        </w:rPr>
        <w:t>PAGA</w:t>
      </w:r>
      <w:proofErr w:type="spellEnd"/>
      <w:r w:rsidRPr="00ED3C0E">
        <w:rPr>
          <w:szCs w:val="26"/>
        </w:rPr>
        <w:t xml:space="preserve"> claims</w:t>
      </w:r>
      <w:r>
        <w:rPr>
          <w:szCs w:val="26"/>
        </w:rPr>
        <w:t>, including a claim a</w:t>
      </w:r>
      <w:r w:rsidRPr="00ED3C0E">
        <w:rPr>
          <w:szCs w:val="26"/>
        </w:rPr>
        <w:t>rising from In-</w:t>
      </w:r>
      <w:r>
        <w:rPr>
          <w:szCs w:val="26"/>
        </w:rPr>
        <w:t>N</w:t>
      </w:r>
      <w:r w:rsidRPr="00ED3C0E">
        <w:rPr>
          <w:szCs w:val="26"/>
        </w:rPr>
        <w:t xml:space="preserve">-Out’s policy of requiring employees to don and doff their uniforms while </w:t>
      </w:r>
      <w:r w:rsidRPr="00ED3C0E">
        <w:rPr>
          <w:szCs w:val="26"/>
        </w:rPr>
        <w:t>off the clock and during breaks, and to iron their uniforms while off the clock prior to reporting for work.</w:t>
      </w:r>
      <w:r>
        <w:rPr>
          <w:szCs w:val="26"/>
        </w:rPr>
        <w:t xml:space="preserve">  The court in </w:t>
      </w:r>
      <w:r w:rsidRPr="003F22EF">
        <w:rPr>
          <w:i/>
          <w:iCs/>
          <w:szCs w:val="26"/>
        </w:rPr>
        <w:t>Taylor</w:t>
      </w:r>
      <w:r>
        <w:rPr>
          <w:szCs w:val="26"/>
        </w:rPr>
        <w:t xml:space="preserve"> initially stayed that action pending completion of proceedings in </w:t>
      </w:r>
      <w:proofErr w:type="spellStart"/>
      <w:r w:rsidRPr="00C34A41">
        <w:rPr>
          <w:i/>
          <w:iCs/>
          <w:szCs w:val="26"/>
        </w:rPr>
        <w:t>Piplack</w:t>
      </w:r>
      <w:proofErr w:type="spellEnd"/>
      <w:r>
        <w:rPr>
          <w:szCs w:val="26"/>
        </w:rPr>
        <w:t>, but plaintiff Taylor, represented by the same couns</w:t>
      </w:r>
      <w:r>
        <w:rPr>
          <w:szCs w:val="26"/>
        </w:rPr>
        <w:t xml:space="preserve">el as plaintiff </w:t>
      </w:r>
      <w:proofErr w:type="spellStart"/>
      <w:r>
        <w:rPr>
          <w:szCs w:val="26"/>
        </w:rPr>
        <w:t>Piplack</w:t>
      </w:r>
      <w:proofErr w:type="spellEnd"/>
      <w:r>
        <w:rPr>
          <w:szCs w:val="26"/>
        </w:rPr>
        <w:t xml:space="preserve">, later amended her complaint to withdraw those allegations, which led to the court lifting the stay.  </w:t>
      </w:r>
    </w:p>
    <w:p w14:paraId="00A07309" w14:textId="77777777" w:rsidR="00E46245" w:rsidRPr="00ED3C0E" w:rsidRDefault="00B45E56" w:rsidP="00E46245">
      <w:pPr>
        <w:pStyle w:val="FootnoteText"/>
        <w:ind w:firstLine="720"/>
        <w:rPr>
          <w:szCs w:val="26"/>
        </w:rPr>
      </w:pPr>
    </w:p>
  </w:footnote>
  <w:footnote w:id="4">
    <w:p w14:paraId="2669DEFD" w14:textId="77777777" w:rsidR="005A7851" w:rsidRDefault="00B45E56" w:rsidP="00037B73">
      <w:pPr>
        <w:pStyle w:val="FootnoteText"/>
        <w:ind w:firstLine="720"/>
        <w:rPr>
          <w:szCs w:val="26"/>
        </w:rPr>
      </w:pPr>
      <w:r w:rsidRPr="0067586F">
        <w:rPr>
          <w:rStyle w:val="FootnoteReference"/>
          <w:szCs w:val="26"/>
        </w:rPr>
        <w:footnoteRef/>
      </w:r>
      <w:r w:rsidRPr="0067586F">
        <w:rPr>
          <w:szCs w:val="26"/>
        </w:rPr>
        <w:t xml:space="preserve"> Other than conclusory statements that largely paraphrase each of the wage-and-hour statutes and regulations th</w:t>
      </w:r>
      <w:r>
        <w:rPr>
          <w:szCs w:val="26"/>
        </w:rPr>
        <w:t xml:space="preserve">at </w:t>
      </w:r>
      <w:r w:rsidRPr="0067586F">
        <w:rPr>
          <w:szCs w:val="26"/>
        </w:rPr>
        <w:t>In-and-Out al</w:t>
      </w:r>
      <w:r w:rsidRPr="0067586F">
        <w:rPr>
          <w:szCs w:val="26"/>
        </w:rPr>
        <w:t xml:space="preserve">legedly violated, the </w:t>
      </w:r>
      <w:r>
        <w:rPr>
          <w:szCs w:val="26"/>
        </w:rPr>
        <w:t xml:space="preserve">operative </w:t>
      </w:r>
      <w:r w:rsidRPr="0067586F">
        <w:rPr>
          <w:szCs w:val="26"/>
        </w:rPr>
        <w:t xml:space="preserve">complaint in </w:t>
      </w:r>
      <w:proofErr w:type="spellStart"/>
      <w:r w:rsidRPr="00AF58A9">
        <w:rPr>
          <w:i/>
          <w:iCs/>
          <w:szCs w:val="26"/>
        </w:rPr>
        <w:t>Accurso</w:t>
      </w:r>
      <w:proofErr w:type="spellEnd"/>
      <w:r w:rsidRPr="0067586F">
        <w:rPr>
          <w:szCs w:val="26"/>
        </w:rPr>
        <w:t xml:space="preserve"> is devoid of factual content. </w:t>
      </w:r>
    </w:p>
    <w:p w14:paraId="469C44A9" w14:textId="77777777" w:rsidR="005007D2" w:rsidRPr="0067586F" w:rsidRDefault="00B45E56" w:rsidP="00037B73">
      <w:pPr>
        <w:pStyle w:val="FootnoteText"/>
        <w:ind w:firstLine="720"/>
        <w:rPr>
          <w:szCs w:val="26"/>
        </w:rPr>
      </w:pPr>
    </w:p>
  </w:footnote>
  <w:footnote w:id="5">
    <w:p w14:paraId="7402E7F0" w14:textId="77777777" w:rsidR="005007D2" w:rsidRDefault="00B45E56" w:rsidP="0070663F">
      <w:pPr>
        <w:pStyle w:val="FootnoteText"/>
        <w:ind w:firstLine="720"/>
      </w:pPr>
      <w:r>
        <w:rPr>
          <w:rStyle w:val="FootnoteReference"/>
        </w:rPr>
        <w:footnoteRef/>
      </w:r>
      <w:r>
        <w:t xml:space="preserve"> While In-N-Out now concedes overlap among the cases, its case management statements in </w:t>
      </w:r>
      <w:proofErr w:type="spellStart"/>
      <w:r>
        <w:t>Piplack’s</w:t>
      </w:r>
      <w:proofErr w:type="spellEnd"/>
      <w:r>
        <w:t xml:space="preserve"> Orange County case failed to mention any of the other cases.   </w:t>
      </w:r>
    </w:p>
    <w:p w14:paraId="2E88D0EF" w14:textId="77777777" w:rsidR="007919CD" w:rsidRDefault="00B45E56" w:rsidP="0070663F">
      <w:pPr>
        <w:pStyle w:val="FootnoteText"/>
        <w:ind w:firstLine="720"/>
      </w:pPr>
    </w:p>
  </w:footnote>
  <w:footnote w:id="6">
    <w:p w14:paraId="51C42648" w14:textId="77777777" w:rsidR="00B57620" w:rsidRDefault="00B45E56" w:rsidP="00B57620">
      <w:pPr>
        <w:pStyle w:val="FootnoteText"/>
        <w:ind w:firstLine="720"/>
        <w:rPr>
          <w:szCs w:val="26"/>
        </w:rPr>
      </w:pPr>
      <w:r>
        <w:rPr>
          <w:rStyle w:val="FootnoteReference"/>
        </w:rPr>
        <w:footnoteRef/>
      </w:r>
      <w:r>
        <w:t xml:space="preserve"> </w:t>
      </w:r>
      <w:r>
        <w:rPr>
          <w:szCs w:val="26"/>
        </w:rPr>
        <w:t>Becau</w:t>
      </w:r>
      <w:r>
        <w:rPr>
          <w:szCs w:val="26"/>
        </w:rPr>
        <w:t xml:space="preserve">se </w:t>
      </w:r>
      <w:r w:rsidRPr="006E1D3B">
        <w:rPr>
          <w:szCs w:val="26"/>
        </w:rPr>
        <w:t>the denial of a motion to intervene is an appealable order</w:t>
      </w:r>
      <w:r>
        <w:rPr>
          <w:szCs w:val="26"/>
        </w:rPr>
        <w:t>,</w:t>
      </w:r>
      <w:r w:rsidRPr="006E1D3B">
        <w:rPr>
          <w:szCs w:val="26"/>
        </w:rPr>
        <w:t xml:space="preserve"> </w:t>
      </w:r>
      <w:r>
        <w:rPr>
          <w:szCs w:val="26"/>
        </w:rPr>
        <w:t>w</w:t>
      </w:r>
      <w:r w:rsidRPr="006E1D3B">
        <w:rPr>
          <w:szCs w:val="26"/>
        </w:rPr>
        <w:t>e have jurisdiction</w:t>
      </w:r>
      <w:r>
        <w:rPr>
          <w:szCs w:val="26"/>
        </w:rPr>
        <w:t xml:space="preserve"> over this interlocutory order.</w:t>
      </w:r>
      <w:r w:rsidRPr="006E1D3B">
        <w:rPr>
          <w:szCs w:val="26"/>
        </w:rPr>
        <w:t xml:space="preserve">  </w:t>
      </w:r>
      <w:r>
        <w:rPr>
          <w:szCs w:val="26"/>
        </w:rPr>
        <w:t>(</w:t>
      </w:r>
      <w:proofErr w:type="spellStart"/>
      <w:r w:rsidRPr="006E1D3B">
        <w:rPr>
          <w:i/>
          <w:iCs/>
          <w:szCs w:val="26"/>
        </w:rPr>
        <w:t>Dobb</w:t>
      </w:r>
      <w:r>
        <w:rPr>
          <w:i/>
          <w:iCs/>
          <w:szCs w:val="26"/>
        </w:rPr>
        <w:t>a</w:t>
      </w:r>
      <w:r w:rsidRPr="006E1D3B">
        <w:rPr>
          <w:i/>
          <w:iCs/>
          <w:szCs w:val="26"/>
        </w:rPr>
        <w:t>s</w:t>
      </w:r>
      <w:proofErr w:type="spellEnd"/>
      <w:r w:rsidRPr="006E1D3B">
        <w:rPr>
          <w:i/>
          <w:iCs/>
          <w:szCs w:val="26"/>
        </w:rPr>
        <w:t xml:space="preserve"> v. Vitas </w:t>
      </w:r>
      <w:r w:rsidRPr="006E1D3B">
        <w:rPr>
          <w:szCs w:val="26"/>
        </w:rPr>
        <w:t>(2011) 191</w:t>
      </w:r>
      <w:r>
        <w:rPr>
          <w:szCs w:val="26"/>
        </w:rPr>
        <w:t> </w:t>
      </w:r>
      <w:r w:rsidRPr="006E1D3B">
        <w:rPr>
          <w:szCs w:val="26"/>
        </w:rPr>
        <w:t xml:space="preserve">Cal.App.4th 1442, 1448 </w:t>
      </w:r>
      <w:r>
        <w:rPr>
          <w:szCs w:val="26"/>
        </w:rPr>
        <w:t>[</w:t>
      </w:r>
      <w:r w:rsidRPr="006E1D3B">
        <w:rPr>
          <w:szCs w:val="26"/>
        </w:rPr>
        <w:t xml:space="preserve">“The trial court’s order denying leave to intervene is directly appealable </w:t>
      </w:r>
      <w:r w:rsidRPr="006E1D3B">
        <w:rPr>
          <w:szCs w:val="26"/>
        </w:rPr>
        <w:t>because it finally and adversely determines the moving party’s right to proceed in the action.”</w:t>
      </w:r>
      <w:r>
        <w:rPr>
          <w:szCs w:val="26"/>
        </w:rPr>
        <w:t xml:space="preserve">].)  </w:t>
      </w:r>
    </w:p>
    <w:p w14:paraId="6CFD809B" w14:textId="77777777" w:rsidR="00DB5855" w:rsidRPr="006E1D3B" w:rsidRDefault="00B45E56" w:rsidP="00B57620">
      <w:pPr>
        <w:pStyle w:val="FootnoteText"/>
        <w:ind w:firstLine="720"/>
        <w:rPr>
          <w:szCs w:val="26"/>
        </w:rPr>
      </w:pPr>
    </w:p>
  </w:footnote>
  <w:footnote w:id="7">
    <w:p w14:paraId="543B9C17" w14:textId="77777777" w:rsidR="00DB5855" w:rsidRPr="00BA6637" w:rsidRDefault="00B45E56" w:rsidP="00DB5855">
      <w:pPr>
        <w:pStyle w:val="FootnoteText"/>
        <w:ind w:firstLine="720"/>
      </w:pPr>
      <w:r w:rsidRPr="00BA6637">
        <w:rPr>
          <w:rStyle w:val="FootnoteReference"/>
        </w:rPr>
        <w:footnoteRef/>
      </w:r>
      <w:r w:rsidRPr="00BA6637">
        <w:t xml:space="preserve"> </w:t>
      </w:r>
      <w:proofErr w:type="spellStart"/>
      <w:r w:rsidRPr="00BA6637">
        <w:t>Piplack</w:t>
      </w:r>
      <w:proofErr w:type="spellEnd"/>
      <w:r w:rsidRPr="00BA6637">
        <w:t xml:space="preserve"> and Taylor filed </w:t>
      </w:r>
      <w:r>
        <w:t xml:space="preserve">two </w:t>
      </w:r>
      <w:r w:rsidRPr="00BA6637">
        <w:t>request</w:t>
      </w:r>
      <w:r>
        <w:t>s</w:t>
      </w:r>
      <w:r w:rsidRPr="00BA6637">
        <w:t xml:space="preserve"> </w:t>
      </w:r>
      <w:r>
        <w:t xml:space="preserve">asking </w:t>
      </w:r>
      <w:r w:rsidRPr="00BA6637">
        <w:t xml:space="preserve">that we take judicial notice of certain documents that were not in the record before the trial court, </w:t>
      </w:r>
      <w:r>
        <w:t xml:space="preserve">and </w:t>
      </w:r>
      <w:proofErr w:type="spellStart"/>
      <w:r w:rsidRPr="00BA6637">
        <w:t>Accurso</w:t>
      </w:r>
      <w:proofErr w:type="spellEnd"/>
      <w:r>
        <w:t xml:space="preserve"> filed one such request</w:t>
      </w:r>
      <w:r w:rsidRPr="00BA6637">
        <w:t xml:space="preserve">.  We deferred </w:t>
      </w:r>
      <w:r>
        <w:t xml:space="preserve">ruling on these </w:t>
      </w:r>
      <w:r w:rsidRPr="00BA6637">
        <w:t xml:space="preserve">requests </w:t>
      </w:r>
      <w:r>
        <w:t xml:space="preserve">until we rule </w:t>
      </w:r>
      <w:r w:rsidRPr="00BA6637">
        <w:t>on the merits</w:t>
      </w:r>
      <w:r>
        <w:t xml:space="preserve">.  </w:t>
      </w:r>
      <w:proofErr w:type="gramStart"/>
      <w:r>
        <w:t>With the exception of</w:t>
      </w:r>
      <w:proofErr w:type="gramEnd"/>
      <w:r>
        <w:t xml:space="preserve"> </w:t>
      </w:r>
      <w:proofErr w:type="spellStart"/>
      <w:r>
        <w:t>Piplack</w:t>
      </w:r>
      <w:proofErr w:type="spellEnd"/>
      <w:r>
        <w:t xml:space="preserve"> and Taylor’s request</w:t>
      </w:r>
      <w:r>
        <w:t xml:space="preserve"> that we take judicial notice of exhibits 1 and 5 of their first request (case management statements filed by In-and-Out in plaintiff </w:t>
      </w:r>
      <w:proofErr w:type="spellStart"/>
      <w:r>
        <w:t>Piplack’s</w:t>
      </w:r>
      <w:proofErr w:type="spellEnd"/>
      <w:r>
        <w:t xml:space="preserve"> Orange County action), which we grant in part under Evidence Code section 452, subdivision (d), as to those exhi</w:t>
      </w:r>
      <w:r>
        <w:t xml:space="preserve">bits, we now </w:t>
      </w:r>
      <w:r w:rsidRPr="00BA6637">
        <w:t xml:space="preserve">deny </w:t>
      </w:r>
      <w:r>
        <w:t>these requests.</w:t>
      </w:r>
    </w:p>
    <w:p w14:paraId="0DDFF9D9" w14:textId="77777777" w:rsidR="000B3817" w:rsidRPr="00BA6637" w:rsidRDefault="00B45E56" w:rsidP="00DB5855">
      <w:pPr>
        <w:pStyle w:val="FootnoteText"/>
        <w:ind w:firstLine="720"/>
      </w:pPr>
    </w:p>
  </w:footnote>
  <w:footnote w:id="8">
    <w:p w14:paraId="6480A4FD" w14:textId="77777777" w:rsidR="00D21CF1" w:rsidRPr="00BA6637" w:rsidRDefault="00B45E56" w:rsidP="00D21CF1">
      <w:pPr>
        <w:shd w:val="clear" w:color="auto" w:fill="FFFFFF"/>
        <w:spacing w:line="320" w:lineRule="atLeast"/>
      </w:pPr>
      <w:r w:rsidRPr="00BA6637">
        <w:tab/>
      </w:r>
      <w:r w:rsidRPr="00BA6637">
        <w:rPr>
          <w:rStyle w:val="FootnoteReference"/>
        </w:rPr>
        <w:footnoteRef/>
      </w:r>
      <w:r w:rsidRPr="00BA6637">
        <w:t xml:space="preserve"> </w:t>
      </w:r>
      <w:r>
        <w:t xml:space="preserve">Statutes and Amendments to the Codes </w:t>
      </w:r>
      <w:r w:rsidRPr="00BA6637">
        <w:t>1873</w:t>
      </w:r>
      <w:r>
        <w:t>–18</w:t>
      </w:r>
      <w:r w:rsidRPr="00BA6637">
        <w:t>74, c</w:t>
      </w:r>
      <w:r>
        <w:t>hapter</w:t>
      </w:r>
      <w:r w:rsidRPr="00BA6637">
        <w:t xml:space="preserve"> 383,</w:t>
      </w:r>
      <w:r>
        <w:t xml:space="preserve"> section 44,</w:t>
      </w:r>
      <w:r w:rsidRPr="00BA6637">
        <w:t xml:space="preserve"> p</w:t>
      </w:r>
      <w:r>
        <w:t>age</w:t>
      </w:r>
      <w:r w:rsidRPr="00BA6637">
        <w:t xml:space="preserve"> 296; Stat</w:t>
      </w:r>
      <w:r>
        <w:t xml:space="preserve">utes </w:t>
      </w:r>
      <w:r w:rsidRPr="00BA6637">
        <w:t>1907, c</w:t>
      </w:r>
      <w:r>
        <w:t>hapter</w:t>
      </w:r>
      <w:r w:rsidRPr="00BA6637">
        <w:t xml:space="preserve"> 371,</w:t>
      </w:r>
      <w:r>
        <w:t xml:space="preserve"> section 1,</w:t>
      </w:r>
      <w:r w:rsidRPr="00BA6637">
        <w:t xml:space="preserve"> p</w:t>
      </w:r>
      <w:r>
        <w:t>age</w:t>
      </w:r>
      <w:r w:rsidRPr="00BA6637">
        <w:t xml:space="preserve"> 703; Stat</w:t>
      </w:r>
      <w:r>
        <w:t xml:space="preserve">utes </w:t>
      </w:r>
      <w:r w:rsidRPr="00BA6637">
        <w:t>1969, c</w:t>
      </w:r>
      <w:r>
        <w:t>hapter</w:t>
      </w:r>
      <w:r w:rsidRPr="00BA6637">
        <w:t xml:space="preserve"> 1611,</w:t>
      </w:r>
      <w:r>
        <w:t xml:space="preserve"> section 5,</w:t>
      </w:r>
      <w:r w:rsidRPr="00BA6637">
        <w:t xml:space="preserve"> p</w:t>
      </w:r>
      <w:r>
        <w:t>age</w:t>
      </w:r>
      <w:r w:rsidRPr="00BA6637">
        <w:t xml:space="preserve"> 3379, operative July</w:t>
      </w:r>
      <w:r>
        <w:t> </w:t>
      </w:r>
      <w:r w:rsidRPr="00BA6637">
        <w:t>1, 1970; Stat</w:t>
      </w:r>
      <w:r>
        <w:t xml:space="preserve">utes </w:t>
      </w:r>
      <w:r w:rsidRPr="00BA6637">
        <w:t>19</w:t>
      </w:r>
      <w:r w:rsidRPr="00BA6637">
        <w:t>70, c</w:t>
      </w:r>
      <w:r>
        <w:t>hapter</w:t>
      </w:r>
      <w:r w:rsidRPr="00BA6637">
        <w:t xml:space="preserve"> 484,</w:t>
      </w:r>
      <w:r>
        <w:t xml:space="preserve"> section 1,</w:t>
      </w:r>
      <w:r w:rsidRPr="00BA6637">
        <w:t xml:space="preserve"> p</w:t>
      </w:r>
      <w:r>
        <w:t>age</w:t>
      </w:r>
      <w:r w:rsidRPr="00BA6637">
        <w:t xml:space="preserve"> 961</w:t>
      </w:r>
      <w:r>
        <w:t>.</w:t>
      </w:r>
    </w:p>
    <w:p w14:paraId="36466FBA" w14:textId="77777777" w:rsidR="00D21CF1" w:rsidRPr="00BA6637" w:rsidRDefault="00B45E56" w:rsidP="00D21CF1">
      <w:pPr>
        <w:pStyle w:val="FootnoteText"/>
        <w:ind w:firstLine="720"/>
      </w:pPr>
      <w:r w:rsidRPr="00BA6637">
        <w:t xml:space="preserve"> </w:t>
      </w:r>
    </w:p>
  </w:footnote>
  <w:footnote w:id="9">
    <w:p w14:paraId="4739090A" w14:textId="77777777" w:rsidR="00337DB2" w:rsidRPr="00BA6637" w:rsidRDefault="00B45E56" w:rsidP="00337DB2">
      <w:pPr>
        <w:pStyle w:val="FootnoteText"/>
        <w:ind w:firstLine="720"/>
      </w:pPr>
      <w:r w:rsidRPr="00BA6637">
        <w:rPr>
          <w:rStyle w:val="FootnoteReference"/>
        </w:rPr>
        <w:footnoteRef/>
      </w:r>
      <w:r w:rsidRPr="00BA6637">
        <w:t xml:space="preserve"> Sta</w:t>
      </w:r>
      <w:r>
        <w:t xml:space="preserve">tutes </w:t>
      </w:r>
      <w:r w:rsidRPr="00BA6637">
        <w:t>1977, c</w:t>
      </w:r>
      <w:r>
        <w:t>hapter</w:t>
      </w:r>
      <w:r w:rsidRPr="00BA6637">
        <w:t xml:space="preserve"> 450,</w:t>
      </w:r>
      <w:r>
        <w:t xml:space="preserve"> section 1,</w:t>
      </w:r>
      <w:r w:rsidRPr="00BA6637">
        <w:t xml:space="preserve"> p</w:t>
      </w:r>
      <w:r>
        <w:t>age</w:t>
      </w:r>
      <w:r w:rsidRPr="00BA6637">
        <w:t xml:space="preserve"> 1486.</w:t>
      </w:r>
    </w:p>
    <w:p w14:paraId="721C8FA2" w14:textId="77777777" w:rsidR="00337DB2" w:rsidRPr="00BA6637" w:rsidRDefault="00B45E56" w:rsidP="00337DB2">
      <w:pPr>
        <w:pStyle w:val="FootnoteText"/>
        <w:ind w:firstLine="720"/>
      </w:pPr>
    </w:p>
  </w:footnote>
  <w:footnote w:id="10">
    <w:p w14:paraId="4CBF333C" w14:textId="77777777" w:rsidR="0033176F" w:rsidRDefault="00B45E56" w:rsidP="0033176F">
      <w:pPr>
        <w:pStyle w:val="FootnoteText"/>
        <w:ind w:firstLine="720"/>
        <w:rPr>
          <w:szCs w:val="26"/>
        </w:rPr>
      </w:pPr>
      <w:r w:rsidRPr="00262B3D">
        <w:rPr>
          <w:rStyle w:val="FootnoteReference"/>
          <w:szCs w:val="26"/>
        </w:rPr>
        <w:footnoteRef/>
      </w:r>
      <w:r w:rsidRPr="00262B3D">
        <w:rPr>
          <w:szCs w:val="26"/>
        </w:rPr>
        <w:t xml:space="preserve"> S</w:t>
      </w:r>
      <w:r>
        <w:rPr>
          <w:szCs w:val="26"/>
        </w:rPr>
        <w:t>ection 387, s</w:t>
      </w:r>
      <w:r w:rsidRPr="00262B3D">
        <w:rPr>
          <w:szCs w:val="26"/>
        </w:rPr>
        <w:t>ubdivision (d)(1)(A)</w:t>
      </w:r>
      <w:r>
        <w:rPr>
          <w:szCs w:val="26"/>
        </w:rPr>
        <w:t xml:space="preserve"> </w:t>
      </w:r>
      <w:r w:rsidRPr="00262B3D">
        <w:rPr>
          <w:szCs w:val="26"/>
        </w:rPr>
        <w:t xml:space="preserve">provides for mandatory intervention </w:t>
      </w:r>
      <w:r>
        <w:rPr>
          <w:szCs w:val="26"/>
        </w:rPr>
        <w:t xml:space="preserve">in an alternative scenario </w:t>
      </w:r>
      <w:r w:rsidRPr="00262B3D">
        <w:rPr>
          <w:szCs w:val="26"/>
        </w:rPr>
        <w:t>whe</w:t>
      </w:r>
      <w:r>
        <w:rPr>
          <w:szCs w:val="26"/>
        </w:rPr>
        <w:t xml:space="preserve">re </w:t>
      </w:r>
      <w:r w:rsidRPr="00262B3D">
        <w:rPr>
          <w:szCs w:val="26"/>
        </w:rPr>
        <w:t>“</w:t>
      </w:r>
      <w:r>
        <w:rPr>
          <w:szCs w:val="26"/>
        </w:rPr>
        <w:t>[a]</w:t>
      </w:r>
      <w:r w:rsidRPr="00262B3D">
        <w:rPr>
          <w:szCs w:val="26"/>
        </w:rPr>
        <w:t xml:space="preserve"> provision of law confers an unconditional right to intervene</w:t>
      </w:r>
      <w:r>
        <w:rPr>
          <w:szCs w:val="26"/>
        </w:rPr>
        <w:t>,</w:t>
      </w:r>
      <w:r w:rsidRPr="00262B3D">
        <w:rPr>
          <w:szCs w:val="26"/>
        </w:rPr>
        <w:t>”</w:t>
      </w:r>
      <w:r>
        <w:rPr>
          <w:szCs w:val="26"/>
        </w:rPr>
        <w:t xml:space="preserve"> wholly apart from the nature and character of the non-parties interest in the litigation or the issue of adequacy of representation.</w:t>
      </w:r>
      <w:r w:rsidRPr="00262B3D">
        <w:rPr>
          <w:szCs w:val="26"/>
        </w:rPr>
        <w:t xml:space="preserve">  This provision</w:t>
      </w:r>
      <w:r>
        <w:rPr>
          <w:szCs w:val="26"/>
        </w:rPr>
        <w:t xml:space="preserve"> is a </w:t>
      </w:r>
      <w:r w:rsidRPr="00262B3D">
        <w:rPr>
          <w:szCs w:val="26"/>
        </w:rPr>
        <w:t>counterpart to F</w:t>
      </w:r>
      <w:r>
        <w:rPr>
          <w:szCs w:val="26"/>
        </w:rPr>
        <w:t xml:space="preserve">ederal </w:t>
      </w:r>
      <w:r w:rsidRPr="00262B3D">
        <w:rPr>
          <w:szCs w:val="26"/>
        </w:rPr>
        <w:t>R</w:t>
      </w:r>
      <w:r>
        <w:rPr>
          <w:szCs w:val="26"/>
        </w:rPr>
        <w:t xml:space="preserve">ules of </w:t>
      </w:r>
      <w:r w:rsidRPr="00262B3D">
        <w:rPr>
          <w:szCs w:val="26"/>
        </w:rPr>
        <w:t>C</w:t>
      </w:r>
      <w:r>
        <w:rPr>
          <w:szCs w:val="26"/>
        </w:rPr>
        <w:t xml:space="preserve">ivil </w:t>
      </w:r>
      <w:r w:rsidRPr="00262B3D">
        <w:rPr>
          <w:szCs w:val="26"/>
        </w:rPr>
        <w:t>P</w:t>
      </w:r>
      <w:r>
        <w:rPr>
          <w:szCs w:val="26"/>
        </w:rPr>
        <w:t>rocedure, rule</w:t>
      </w:r>
      <w:r w:rsidRPr="00262B3D">
        <w:rPr>
          <w:szCs w:val="26"/>
        </w:rPr>
        <w:t xml:space="preserve"> 24(a)(1)</w:t>
      </w:r>
      <w:r>
        <w:rPr>
          <w:szCs w:val="26"/>
        </w:rPr>
        <w:t xml:space="preserve">.  Since it is not cited or mentioned by </w:t>
      </w:r>
      <w:proofErr w:type="spellStart"/>
      <w:r>
        <w:rPr>
          <w:szCs w:val="26"/>
        </w:rPr>
        <w:t>Piplack</w:t>
      </w:r>
      <w:proofErr w:type="spellEnd"/>
      <w:r>
        <w:rPr>
          <w:szCs w:val="26"/>
        </w:rPr>
        <w:t xml:space="preserve"> and Taylor, we confine our attention to section 387, subdivision (d)(1)(B) and (d)(2), the counterparts to Federal Rules of Civil Procedure, rule 24(a)(2) and (b).</w:t>
      </w:r>
    </w:p>
    <w:p w14:paraId="5E1D6886" w14:textId="77777777" w:rsidR="00183E82" w:rsidRPr="00262B3D" w:rsidRDefault="00B45E56" w:rsidP="0033176F">
      <w:pPr>
        <w:pStyle w:val="FootnoteText"/>
        <w:ind w:firstLine="720"/>
        <w:rPr>
          <w:szCs w:val="26"/>
        </w:rPr>
      </w:pPr>
    </w:p>
  </w:footnote>
  <w:footnote w:id="11">
    <w:p w14:paraId="293FD3D1" w14:textId="77777777" w:rsidR="00A607E5" w:rsidRPr="0027514A" w:rsidRDefault="00B45E56" w:rsidP="00E122FB">
      <w:pPr>
        <w:autoSpaceDE w:val="0"/>
        <w:autoSpaceDN w:val="0"/>
        <w:adjustRightInd w:val="0"/>
        <w:spacing w:line="240" w:lineRule="auto"/>
      </w:pPr>
      <w:r>
        <w:tab/>
      </w:r>
      <w:r>
        <w:rPr>
          <w:rStyle w:val="FootnoteReference"/>
        </w:rPr>
        <w:footnoteRef/>
      </w:r>
      <w:r>
        <w:t xml:space="preserve"> </w:t>
      </w:r>
      <w:r w:rsidRPr="0029542F">
        <w:rPr>
          <w:rFonts w:eastAsia="Times New Roman" w:cs="Times New Roman"/>
          <w:color w:val="000000"/>
          <w:szCs w:val="26"/>
        </w:rPr>
        <w:t>The 1977 revisi</w:t>
      </w:r>
      <w:r w:rsidRPr="0029542F">
        <w:rPr>
          <w:rFonts w:eastAsia="Times New Roman" w:cs="Times New Roman"/>
          <w:color w:val="000000"/>
          <w:szCs w:val="26"/>
        </w:rPr>
        <w:t>on was “</w:t>
      </w:r>
      <w:r w:rsidRPr="0029542F">
        <w:rPr>
          <w:rFonts w:cs="Times New Roman"/>
          <w:szCs w:val="26"/>
        </w:rPr>
        <w:t xml:space="preserve">designed to protect the rights of interested third parties to intervene in court cases which may significantly affect their civil rights.”  </w:t>
      </w:r>
      <w:r>
        <w:rPr>
          <w:rFonts w:cs="Times New Roman"/>
          <w:szCs w:val="26"/>
        </w:rPr>
        <w:t>(</w:t>
      </w:r>
      <w:r w:rsidRPr="0029542F">
        <w:rPr>
          <w:rFonts w:cs="Times New Roman"/>
          <w:szCs w:val="26"/>
        </w:rPr>
        <w:t>Sen</w:t>
      </w:r>
      <w:r>
        <w:rPr>
          <w:rFonts w:cs="Times New Roman"/>
          <w:szCs w:val="26"/>
        </w:rPr>
        <w:t>.</w:t>
      </w:r>
      <w:r w:rsidRPr="0029542F">
        <w:rPr>
          <w:rFonts w:cs="Times New Roman"/>
          <w:szCs w:val="26"/>
        </w:rPr>
        <w:t xml:space="preserve"> Com</w:t>
      </w:r>
      <w:r>
        <w:rPr>
          <w:rFonts w:cs="Times New Roman"/>
          <w:szCs w:val="26"/>
        </w:rPr>
        <w:t>.</w:t>
      </w:r>
      <w:r w:rsidRPr="0029542F">
        <w:rPr>
          <w:rFonts w:cs="Times New Roman"/>
          <w:szCs w:val="26"/>
        </w:rPr>
        <w:t xml:space="preserve"> on Judiciary</w:t>
      </w:r>
      <w:r>
        <w:rPr>
          <w:rFonts w:cs="Times New Roman"/>
          <w:szCs w:val="26"/>
        </w:rPr>
        <w:t>,</w:t>
      </w:r>
      <w:r w:rsidRPr="0029542F">
        <w:rPr>
          <w:rFonts w:cs="Times New Roman"/>
          <w:szCs w:val="26"/>
        </w:rPr>
        <w:t xml:space="preserve"> Background Information</w:t>
      </w:r>
      <w:r>
        <w:rPr>
          <w:rFonts w:cs="Times New Roman"/>
          <w:szCs w:val="26"/>
        </w:rPr>
        <w:t xml:space="preserve"> for Sen. Bill No. 750 (1977–1978 Reg. Sess.) as introduced</w:t>
      </w:r>
      <w:r w:rsidRPr="0029542F">
        <w:rPr>
          <w:rFonts w:cs="Times New Roman"/>
          <w:szCs w:val="26"/>
        </w:rPr>
        <w:t xml:space="preserve"> M</w:t>
      </w:r>
      <w:r w:rsidRPr="0029542F">
        <w:rPr>
          <w:rFonts w:cs="Times New Roman"/>
          <w:szCs w:val="26"/>
        </w:rPr>
        <w:t>ar</w:t>
      </w:r>
      <w:r>
        <w:rPr>
          <w:rFonts w:cs="Times New Roman"/>
          <w:szCs w:val="26"/>
        </w:rPr>
        <w:t>. </w:t>
      </w:r>
      <w:r w:rsidRPr="0029542F">
        <w:rPr>
          <w:rFonts w:cs="Times New Roman"/>
          <w:szCs w:val="26"/>
        </w:rPr>
        <w:t>31, 1977</w:t>
      </w:r>
      <w:r>
        <w:rPr>
          <w:rFonts w:cs="Times New Roman"/>
          <w:szCs w:val="26"/>
        </w:rPr>
        <w:t>, p. 2 (Senate Bill 750 Background Information).)</w:t>
      </w:r>
      <w:r w:rsidRPr="0029542F">
        <w:rPr>
          <w:rFonts w:cs="Times New Roman"/>
          <w:szCs w:val="26"/>
        </w:rPr>
        <w:t xml:space="preserve">  </w:t>
      </w:r>
      <w:r>
        <w:rPr>
          <w:rFonts w:eastAsia="Times New Roman" w:cs="Times New Roman"/>
          <w:color w:val="000000"/>
          <w:szCs w:val="26"/>
        </w:rPr>
        <w:t>C</w:t>
      </w:r>
      <w:r w:rsidRPr="0029542F">
        <w:rPr>
          <w:rFonts w:eastAsia="Times New Roman" w:cs="Times New Roman"/>
          <w:color w:val="000000"/>
          <w:szCs w:val="26"/>
        </w:rPr>
        <w:t xml:space="preserve">iting failed efforts by interested parties to intervene </w:t>
      </w:r>
      <w:r w:rsidRPr="0029542F">
        <w:rPr>
          <w:rFonts w:eastAsia="Times New Roman" w:cs="Times New Roman"/>
          <w:szCs w:val="26"/>
        </w:rPr>
        <w:t xml:space="preserve">in </w:t>
      </w:r>
      <w:proofErr w:type="spellStart"/>
      <w:r w:rsidRPr="00C57DB2">
        <w:rPr>
          <w:rFonts w:cs="Cambria-Italic"/>
          <w:i/>
          <w:iCs/>
          <w:szCs w:val="26"/>
        </w:rPr>
        <w:t>De</w:t>
      </w:r>
      <w:r>
        <w:rPr>
          <w:rFonts w:cs="Cambria-Italic"/>
          <w:i/>
          <w:iCs/>
          <w:szCs w:val="26"/>
        </w:rPr>
        <w:t>R</w:t>
      </w:r>
      <w:r w:rsidRPr="00C57DB2">
        <w:rPr>
          <w:rFonts w:cs="Cambria-Italic"/>
          <w:i/>
          <w:iCs/>
          <w:szCs w:val="26"/>
        </w:rPr>
        <w:t>onde</w:t>
      </w:r>
      <w:proofErr w:type="spellEnd"/>
      <w:r w:rsidRPr="00C57DB2">
        <w:rPr>
          <w:rFonts w:cs="Cambria-Italic"/>
          <w:i/>
          <w:iCs/>
          <w:szCs w:val="26"/>
        </w:rPr>
        <w:t xml:space="preserve"> v. Regents of Univ</w:t>
      </w:r>
      <w:r>
        <w:rPr>
          <w:rFonts w:cs="Cambria-Italic"/>
          <w:i/>
          <w:iCs/>
          <w:szCs w:val="26"/>
        </w:rPr>
        <w:t>ersity</w:t>
      </w:r>
      <w:r w:rsidRPr="00C57DB2">
        <w:rPr>
          <w:rFonts w:cs="Cambria-Italic"/>
          <w:i/>
          <w:iCs/>
          <w:szCs w:val="26"/>
        </w:rPr>
        <w:t xml:space="preserve"> of California</w:t>
      </w:r>
      <w:r>
        <w:rPr>
          <w:rFonts w:cs="Cambria"/>
          <w:szCs w:val="26"/>
        </w:rPr>
        <w:t xml:space="preserve"> (1981)</w:t>
      </w:r>
      <w:r w:rsidRPr="00C57DB2">
        <w:rPr>
          <w:rFonts w:cs="Cambria"/>
          <w:szCs w:val="26"/>
        </w:rPr>
        <w:t xml:space="preserve"> 28</w:t>
      </w:r>
      <w:r>
        <w:rPr>
          <w:rFonts w:cs="Cambria"/>
          <w:szCs w:val="26"/>
        </w:rPr>
        <w:t> </w:t>
      </w:r>
      <w:r w:rsidRPr="00C57DB2">
        <w:rPr>
          <w:rFonts w:cs="Cambria"/>
          <w:szCs w:val="26"/>
        </w:rPr>
        <w:t>Cal.3d</w:t>
      </w:r>
      <w:r>
        <w:rPr>
          <w:rFonts w:cs="Cambria"/>
          <w:szCs w:val="26"/>
        </w:rPr>
        <w:t xml:space="preserve"> </w:t>
      </w:r>
      <w:r w:rsidRPr="00C57DB2">
        <w:rPr>
          <w:rFonts w:cs="Cambria"/>
          <w:szCs w:val="26"/>
        </w:rPr>
        <w:t>875</w:t>
      </w:r>
      <w:r>
        <w:rPr>
          <w:rFonts w:cs="Cambria"/>
          <w:szCs w:val="26"/>
        </w:rPr>
        <w:t>, cert. denied (1981) 454 U.S. 832, and</w:t>
      </w:r>
      <w:r w:rsidRPr="0029542F">
        <w:rPr>
          <w:rFonts w:eastAsia="Times New Roman" w:cs="Times New Roman"/>
          <w:szCs w:val="26"/>
        </w:rPr>
        <w:t xml:space="preserve"> </w:t>
      </w:r>
      <w:r w:rsidRPr="0029542F">
        <w:rPr>
          <w:rFonts w:eastAsia="Times New Roman" w:cs="Times New Roman"/>
          <w:i/>
          <w:iCs/>
          <w:szCs w:val="26"/>
          <w:bdr w:val="none" w:sz="0" w:space="0" w:color="auto" w:frame="1"/>
        </w:rPr>
        <w:t xml:space="preserve">Bakke v. </w:t>
      </w:r>
      <w:r w:rsidRPr="0029542F">
        <w:rPr>
          <w:rFonts w:eastAsia="Times New Roman" w:cs="Times New Roman"/>
          <w:i/>
          <w:szCs w:val="26"/>
          <w:bdr w:val="none" w:sz="0" w:space="0" w:color="auto" w:frame="1"/>
        </w:rPr>
        <w:t xml:space="preserve">Regents of </w:t>
      </w:r>
      <w:r w:rsidRPr="0029542F">
        <w:rPr>
          <w:rFonts w:eastAsia="Times New Roman" w:cs="Times New Roman"/>
          <w:i/>
          <w:szCs w:val="26"/>
          <w:bdr w:val="none" w:sz="0" w:space="0" w:color="auto" w:frame="1"/>
        </w:rPr>
        <w:t>University of California</w:t>
      </w:r>
      <w:r w:rsidRPr="0045242C">
        <w:rPr>
          <w:rFonts w:eastAsia="Times New Roman" w:cs="Times New Roman"/>
          <w:szCs w:val="26"/>
        </w:rPr>
        <w:t xml:space="preserve"> (1976) 18</w:t>
      </w:r>
      <w:r>
        <w:rPr>
          <w:rFonts w:eastAsia="Times New Roman" w:cs="Times New Roman"/>
          <w:szCs w:val="26"/>
        </w:rPr>
        <w:t> </w:t>
      </w:r>
      <w:r w:rsidRPr="0045242C">
        <w:rPr>
          <w:rFonts w:eastAsia="Times New Roman" w:cs="Times New Roman"/>
          <w:szCs w:val="26"/>
        </w:rPr>
        <w:t xml:space="preserve">Cal.3d 34, </w:t>
      </w:r>
      <w:r w:rsidRPr="00306B69">
        <w:rPr>
          <w:rFonts w:eastAsia="Times New Roman" w:cs="Times New Roman"/>
          <w:iCs/>
          <w:szCs w:val="26"/>
          <w:bdr w:val="none" w:sz="0" w:space="0" w:color="auto" w:frame="1"/>
        </w:rPr>
        <w:t>aff</w:t>
      </w:r>
      <w:r>
        <w:rPr>
          <w:rFonts w:eastAsia="Times New Roman" w:cs="Times New Roman"/>
          <w:iCs/>
          <w:szCs w:val="26"/>
          <w:bdr w:val="none" w:sz="0" w:space="0" w:color="auto" w:frame="1"/>
        </w:rPr>
        <w:t>irme</w:t>
      </w:r>
      <w:r w:rsidRPr="00306B69">
        <w:rPr>
          <w:rFonts w:eastAsia="Times New Roman" w:cs="Times New Roman"/>
          <w:iCs/>
          <w:szCs w:val="26"/>
          <w:bdr w:val="none" w:sz="0" w:space="0" w:color="auto" w:frame="1"/>
        </w:rPr>
        <w:t>d in part</w:t>
      </w:r>
      <w:r>
        <w:rPr>
          <w:rFonts w:eastAsia="Times New Roman" w:cs="Times New Roman"/>
          <w:iCs/>
          <w:szCs w:val="26"/>
          <w:bdr w:val="none" w:sz="0" w:space="0" w:color="auto" w:frame="1"/>
        </w:rPr>
        <w:t xml:space="preserve"> and</w:t>
      </w:r>
      <w:r w:rsidRPr="00306B69">
        <w:rPr>
          <w:rFonts w:eastAsia="Times New Roman" w:cs="Times New Roman"/>
          <w:iCs/>
          <w:szCs w:val="26"/>
          <w:bdr w:val="none" w:sz="0" w:space="0" w:color="auto" w:frame="1"/>
        </w:rPr>
        <w:t xml:space="preserve"> rev</w:t>
      </w:r>
      <w:r>
        <w:rPr>
          <w:rFonts w:eastAsia="Times New Roman" w:cs="Times New Roman"/>
          <w:iCs/>
          <w:szCs w:val="26"/>
          <w:bdr w:val="none" w:sz="0" w:space="0" w:color="auto" w:frame="1"/>
        </w:rPr>
        <w:t>erse</w:t>
      </w:r>
      <w:r w:rsidRPr="00306B69">
        <w:rPr>
          <w:rFonts w:eastAsia="Times New Roman" w:cs="Times New Roman"/>
          <w:iCs/>
          <w:szCs w:val="26"/>
          <w:bdr w:val="none" w:sz="0" w:space="0" w:color="auto" w:frame="1"/>
        </w:rPr>
        <w:t>d in part</w:t>
      </w:r>
      <w:r w:rsidRPr="0045242C">
        <w:rPr>
          <w:rFonts w:eastAsia="Times New Roman" w:cs="Times New Roman"/>
          <w:szCs w:val="26"/>
        </w:rPr>
        <w:t xml:space="preserve"> (1978) 438</w:t>
      </w:r>
      <w:r>
        <w:rPr>
          <w:rFonts w:eastAsia="Times New Roman" w:cs="Times New Roman"/>
          <w:szCs w:val="26"/>
        </w:rPr>
        <w:t> </w:t>
      </w:r>
      <w:r w:rsidRPr="0045242C">
        <w:rPr>
          <w:rFonts w:eastAsia="Times New Roman" w:cs="Times New Roman"/>
          <w:szCs w:val="26"/>
        </w:rPr>
        <w:t>U.S. 265</w:t>
      </w:r>
      <w:r>
        <w:rPr>
          <w:rFonts w:eastAsia="Times New Roman" w:cs="Times New Roman"/>
          <w:szCs w:val="26"/>
        </w:rPr>
        <w:t xml:space="preserve"> and</w:t>
      </w:r>
      <w:r w:rsidRPr="0045242C">
        <w:rPr>
          <w:rFonts w:eastAsia="Times New Roman" w:cs="Times New Roman"/>
          <w:szCs w:val="26"/>
        </w:rPr>
        <w:t xml:space="preserve"> </w:t>
      </w:r>
      <w:r w:rsidRPr="005B2445">
        <w:rPr>
          <w:rFonts w:eastAsia="Times New Roman" w:cs="Times New Roman"/>
          <w:color w:val="000000"/>
          <w:szCs w:val="26"/>
        </w:rPr>
        <w:t>abandoned</w:t>
      </w:r>
      <w:r w:rsidRPr="009A6D45">
        <w:rPr>
          <w:rFonts w:eastAsia="Times New Roman" w:cs="Times New Roman"/>
          <w:color w:val="000000"/>
          <w:szCs w:val="26"/>
        </w:rPr>
        <w:t xml:space="preserve"> </w:t>
      </w:r>
      <w:r>
        <w:rPr>
          <w:rFonts w:eastAsia="Times New Roman" w:cs="Times New Roman"/>
          <w:color w:val="000000"/>
          <w:szCs w:val="26"/>
        </w:rPr>
        <w:t xml:space="preserve">in </w:t>
      </w:r>
      <w:r w:rsidRPr="00766523">
        <w:rPr>
          <w:rFonts w:eastAsia="Times New Roman" w:cs="Times New Roman"/>
          <w:i/>
          <w:iCs/>
          <w:szCs w:val="26"/>
          <w:bdr w:val="none" w:sz="0" w:space="0" w:color="auto" w:frame="1"/>
        </w:rPr>
        <w:t>Students for Fair Admissions, Inc. v. President and Fellows of Harvard College</w:t>
      </w:r>
      <w:r w:rsidRPr="00766523">
        <w:rPr>
          <w:rFonts w:eastAsia="Times New Roman" w:cs="Times New Roman"/>
          <w:szCs w:val="26"/>
        </w:rPr>
        <w:t xml:space="preserve"> (2023</w:t>
      </w:r>
      <w:r>
        <w:rPr>
          <w:rFonts w:eastAsia="Times New Roman" w:cs="Times New Roman"/>
          <w:szCs w:val="26"/>
        </w:rPr>
        <w:t>) 600 U.S. ___ [143 </w:t>
      </w:r>
      <w:proofErr w:type="spellStart"/>
      <w:r>
        <w:rPr>
          <w:rFonts w:eastAsia="Times New Roman" w:cs="Times New Roman"/>
          <w:szCs w:val="26"/>
        </w:rPr>
        <w:t>S.Ct</w:t>
      </w:r>
      <w:proofErr w:type="spellEnd"/>
      <w:r>
        <w:rPr>
          <w:rFonts w:eastAsia="Times New Roman" w:cs="Times New Roman"/>
          <w:szCs w:val="26"/>
        </w:rPr>
        <w:t xml:space="preserve"> 2141],</w:t>
      </w:r>
      <w:r w:rsidRPr="00766523">
        <w:rPr>
          <w:rFonts w:eastAsia="Times New Roman" w:cs="Times New Roman"/>
          <w:szCs w:val="26"/>
        </w:rPr>
        <w:t xml:space="preserve"> </w:t>
      </w:r>
      <w:r>
        <w:rPr>
          <w:rFonts w:eastAsia="Times New Roman" w:cs="Times New Roman"/>
          <w:szCs w:val="26"/>
        </w:rPr>
        <w:t xml:space="preserve">the </w:t>
      </w:r>
      <w:r w:rsidRPr="0045242C">
        <w:rPr>
          <w:rFonts w:eastAsia="Times New Roman" w:cs="Times New Roman"/>
          <w:szCs w:val="26"/>
        </w:rPr>
        <w:t xml:space="preserve">bill </w:t>
      </w:r>
      <w:r>
        <w:rPr>
          <w:rFonts w:eastAsia="Times New Roman" w:cs="Times New Roman"/>
          <w:szCs w:val="26"/>
        </w:rPr>
        <w:t xml:space="preserve">sponsor </w:t>
      </w:r>
      <w:r w:rsidRPr="00766523">
        <w:rPr>
          <w:rFonts w:eastAsia="Times New Roman" w:cs="Times New Roman"/>
          <w:szCs w:val="26"/>
        </w:rPr>
        <w:t>stated</w:t>
      </w:r>
      <w:r>
        <w:rPr>
          <w:rFonts w:eastAsia="Times New Roman" w:cs="Times New Roman"/>
          <w:szCs w:val="26"/>
        </w:rPr>
        <w:t>,</w:t>
      </w:r>
      <w:r w:rsidRPr="00766523">
        <w:rPr>
          <w:rFonts w:eastAsia="Times New Roman" w:cs="Times New Roman"/>
          <w:szCs w:val="26"/>
        </w:rPr>
        <w:t xml:space="preserve"> “</w:t>
      </w:r>
      <w:r>
        <w:rPr>
          <w:rFonts w:eastAsia="Times New Roman" w:cs="Times New Roman"/>
          <w:szCs w:val="26"/>
        </w:rPr>
        <w:t> ‘</w:t>
      </w:r>
      <w:r w:rsidRPr="00766523">
        <w:rPr>
          <w:rFonts w:eastAsia="Times New Roman" w:cs="Times New Roman"/>
          <w:szCs w:val="26"/>
        </w:rPr>
        <w:t xml:space="preserve">My </w:t>
      </w:r>
      <w:r w:rsidRPr="0045242C">
        <w:rPr>
          <w:rFonts w:eastAsia="Times New Roman" w:cs="Times New Roman"/>
          <w:szCs w:val="26"/>
        </w:rPr>
        <w:t>bill will</w:t>
      </w:r>
      <w:r>
        <w:rPr>
          <w:rFonts w:eastAsia="Times New Roman" w:cs="Times New Roman"/>
          <w:szCs w:val="26"/>
        </w:rPr>
        <w:t xml:space="preserve"> . . . </w:t>
      </w:r>
      <w:r w:rsidRPr="0045242C">
        <w:rPr>
          <w:rFonts w:eastAsia="Times New Roman" w:cs="Times New Roman"/>
          <w:szCs w:val="26"/>
        </w:rPr>
        <w:t>give [marginalized groups]</w:t>
      </w:r>
      <w:r>
        <w:rPr>
          <w:rFonts w:eastAsia="Times New Roman" w:cs="Times New Roman"/>
          <w:szCs w:val="26"/>
        </w:rPr>
        <w:t xml:space="preserve"> </w:t>
      </w:r>
      <w:r w:rsidRPr="0045242C">
        <w:rPr>
          <w:rFonts w:eastAsia="Times New Roman" w:cs="Times New Roman"/>
          <w:szCs w:val="26"/>
        </w:rPr>
        <w:t>an opportunity to speak in their own behalf on any litigation which affects them</w:t>
      </w:r>
      <w:r w:rsidRPr="009A6D45">
        <w:rPr>
          <w:rFonts w:eastAsia="Times New Roman" w:cs="Times New Roman"/>
          <w:szCs w:val="26"/>
        </w:rPr>
        <w:t>.</w:t>
      </w:r>
      <w:r>
        <w:rPr>
          <w:rFonts w:eastAsia="Times New Roman" w:cs="Times New Roman"/>
          <w:szCs w:val="26"/>
        </w:rPr>
        <w:t>’ </w:t>
      </w:r>
      <w:r w:rsidRPr="009A6D45">
        <w:rPr>
          <w:rFonts w:eastAsia="Times New Roman" w:cs="Times New Roman"/>
          <w:color w:val="000000"/>
          <w:szCs w:val="26"/>
        </w:rPr>
        <w:t xml:space="preserve">” </w:t>
      </w:r>
      <w:r>
        <w:rPr>
          <w:rFonts w:eastAsia="Times New Roman" w:cs="Times New Roman"/>
          <w:color w:val="000000"/>
          <w:szCs w:val="26"/>
        </w:rPr>
        <w:t xml:space="preserve"> </w:t>
      </w:r>
      <w:r w:rsidRPr="009A6D45">
        <w:rPr>
          <w:rFonts w:eastAsia="Times New Roman" w:cs="Times New Roman"/>
          <w:color w:val="000000"/>
          <w:szCs w:val="26"/>
        </w:rPr>
        <w:t>(S</w:t>
      </w:r>
      <w:r>
        <w:rPr>
          <w:rFonts w:eastAsia="Times New Roman" w:cs="Times New Roman"/>
          <w:color w:val="000000"/>
          <w:szCs w:val="26"/>
        </w:rPr>
        <w:t xml:space="preserve">enate </w:t>
      </w:r>
      <w:r w:rsidRPr="009A6D45">
        <w:rPr>
          <w:rFonts w:eastAsia="Times New Roman" w:cs="Times New Roman"/>
          <w:color w:val="000000"/>
          <w:szCs w:val="26"/>
        </w:rPr>
        <w:t>B</w:t>
      </w:r>
      <w:r>
        <w:rPr>
          <w:rFonts w:eastAsia="Times New Roman" w:cs="Times New Roman"/>
          <w:color w:val="000000"/>
          <w:szCs w:val="26"/>
        </w:rPr>
        <w:t>ill</w:t>
      </w:r>
      <w:r w:rsidRPr="009A6D45">
        <w:rPr>
          <w:rFonts w:eastAsia="Times New Roman" w:cs="Times New Roman"/>
          <w:color w:val="000000"/>
          <w:szCs w:val="26"/>
        </w:rPr>
        <w:t xml:space="preserve"> 750</w:t>
      </w:r>
      <w:r>
        <w:rPr>
          <w:rFonts w:eastAsia="Times New Roman" w:cs="Times New Roman"/>
          <w:color w:val="000000"/>
          <w:szCs w:val="26"/>
        </w:rPr>
        <w:t xml:space="preserve"> Background Information, </w:t>
      </w:r>
      <w:r w:rsidRPr="00843ECF">
        <w:rPr>
          <w:rFonts w:eastAsia="Times New Roman" w:cs="Times New Roman"/>
          <w:i/>
          <w:iCs/>
          <w:color w:val="000000"/>
          <w:szCs w:val="26"/>
        </w:rPr>
        <w:t>supra</w:t>
      </w:r>
      <w:r>
        <w:rPr>
          <w:rFonts w:eastAsia="Times New Roman" w:cs="Times New Roman"/>
          <w:color w:val="000000"/>
          <w:szCs w:val="26"/>
        </w:rPr>
        <w:t>, at p. 3</w:t>
      </w:r>
      <w:r w:rsidRPr="009A6D45">
        <w:rPr>
          <w:rFonts w:eastAsia="Times New Roman" w:cs="Times New Roman"/>
          <w:color w:val="000000"/>
          <w:szCs w:val="26"/>
        </w:rPr>
        <w:t>; see</w:t>
      </w:r>
      <w:r>
        <w:rPr>
          <w:rFonts w:eastAsia="Times New Roman" w:cs="Times New Roman"/>
          <w:color w:val="000000"/>
          <w:szCs w:val="26"/>
        </w:rPr>
        <w:t xml:space="preserve"> Senate Bill 750, </w:t>
      </w:r>
      <w:proofErr w:type="spellStart"/>
      <w:r>
        <w:rPr>
          <w:rFonts w:eastAsia="Times New Roman" w:cs="Times New Roman"/>
          <w:color w:val="000000"/>
          <w:szCs w:val="26"/>
        </w:rPr>
        <w:t>Assem</w:t>
      </w:r>
      <w:proofErr w:type="spellEnd"/>
      <w:r>
        <w:rPr>
          <w:rFonts w:eastAsia="Times New Roman" w:cs="Times New Roman"/>
          <w:color w:val="000000"/>
          <w:szCs w:val="26"/>
        </w:rPr>
        <w:t xml:space="preserve">. 3d reading analysis </w:t>
      </w:r>
      <w:r>
        <w:rPr>
          <w:rFonts w:eastAsia="Times New Roman" w:cs="Times New Roman"/>
          <w:color w:val="000000"/>
          <w:szCs w:val="26"/>
        </w:rPr>
        <w:t xml:space="preserve">as amended June 1, 1977, p. 1 [“the purpose of this bill is to permit the adequate protection of the vital interests of third parties in public interest litigation” such as </w:t>
      </w:r>
      <w:proofErr w:type="spellStart"/>
      <w:r w:rsidRPr="00A00C0B">
        <w:rPr>
          <w:rFonts w:eastAsia="Times New Roman" w:cs="Times New Roman"/>
          <w:i/>
          <w:iCs/>
          <w:color w:val="000000"/>
          <w:szCs w:val="26"/>
        </w:rPr>
        <w:t>De</w:t>
      </w:r>
      <w:r>
        <w:rPr>
          <w:rFonts w:eastAsia="Times New Roman" w:cs="Times New Roman"/>
          <w:i/>
          <w:iCs/>
          <w:color w:val="000000"/>
          <w:szCs w:val="26"/>
        </w:rPr>
        <w:t>R</w:t>
      </w:r>
      <w:r w:rsidRPr="00A00C0B">
        <w:rPr>
          <w:rFonts w:eastAsia="Times New Roman" w:cs="Times New Roman"/>
          <w:i/>
          <w:iCs/>
          <w:color w:val="000000"/>
          <w:szCs w:val="26"/>
        </w:rPr>
        <w:t>onde</w:t>
      </w:r>
      <w:proofErr w:type="spellEnd"/>
      <w:r>
        <w:rPr>
          <w:rFonts w:eastAsia="Times New Roman" w:cs="Times New Roman"/>
          <w:color w:val="000000"/>
          <w:szCs w:val="26"/>
        </w:rPr>
        <w:t xml:space="preserve"> and </w:t>
      </w:r>
      <w:r w:rsidRPr="00715A59">
        <w:rPr>
          <w:rFonts w:eastAsia="Times New Roman" w:cs="Times New Roman"/>
          <w:i/>
          <w:iCs/>
          <w:color w:val="000000"/>
          <w:szCs w:val="26"/>
        </w:rPr>
        <w:t>Bakke</w:t>
      </w:r>
      <w:r w:rsidRPr="006F56CB">
        <w:rPr>
          <w:rFonts w:eastAsia="Times New Roman" w:cs="Times New Roman"/>
          <w:color w:val="000000"/>
          <w:szCs w:val="26"/>
        </w:rPr>
        <w:t>]</w:t>
      </w:r>
      <w:r w:rsidRPr="0027514A">
        <w:rPr>
          <w:rFonts w:eastAsia="Times New Roman" w:cs="Times New Roman"/>
          <w:color w:val="000000"/>
          <w:szCs w:val="26"/>
        </w:rPr>
        <w:t>.</w:t>
      </w:r>
      <w:r>
        <w:rPr>
          <w:rFonts w:eastAsia="Times New Roman" w:cs="Times New Roman"/>
          <w:color w:val="000000"/>
          <w:szCs w:val="26"/>
        </w:rPr>
        <w:t>)</w:t>
      </w:r>
    </w:p>
  </w:footnote>
  <w:footnote w:id="12">
    <w:p w14:paraId="10ADCB6D" w14:textId="77777777" w:rsidR="00AF0375" w:rsidRPr="00BD2FD1" w:rsidRDefault="00B45E56" w:rsidP="006261C4">
      <w:pPr>
        <w:shd w:val="clear" w:color="auto" w:fill="FFFFFF"/>
        <w:tabs>
          <w:tab w:val="clear" w:pos="720"/>
        </w:tabs>
        <w:spacing w:line="320" w:lineRule="atLeast"/>
        <w:ind w:firstLine="720"/>
        <w:rPr>
          <w:rFonts w:eastAsia="Times New Roman" w:cs="Times New Roman"/>
          <w:szCs w:val="26"/>
        </w:rPr>
      </w:pPr>
      <w:r w:rsidRPr="00E71A32">
        <w:rPr>
          <w:rStyle w:val="FootnoteReference"/>
          <w:szCs w:val="26"/>
        </w:rPr>
        <w:footnoteRef/>
      </w:r>
      <w:r w:rsidRPr="00E71A32">
        <w:rPr>
          <w:szCs w:val="26"/>
        </w:rPr>
        <w:t xml:space="preserve"> It is particularly important to avoid imprecise use of the term “standing” in </w:t>
      </w:r>
      <w:r>
        <w:rPr>
          <w:szCs w:val="26"/>
        </w:rPr>
        <w:t>this context</w:t>
      </w:r>
      <w:r w:rsidRPr="00E71A32">
        <w:rPr>
          <w:rFonts w:eastAsia="Times New Roman" w:cs="Times New Roman"/>
          <w:color w:val="000000"/>
          <w:szCs w:val="26"/>
        </w:rPr>
        <w:t xml:space="preserve">, since federal courts </w:t>
      </w:r>
      <w:r>
        <w:rPr>
          <w:rFonts w:eastAsia="Times New Roman" w:cs="Times New Roman"/>
          <w:color w:val="000000"/>
          <w:szCs w:val="26"/>
        </w:rPr>
        <w:t xml:space="preserve">sitting in diversity or exercising their supplemental jurisdiction often address standing in federal </w:t>
      </w:r>
      <w:proofErr w:type="spellStart"/>
      <w:r>
        <w:rPr>
          <w:rFonts w:eastAsia="Times New Roman" w:cs="Times New Roman"/>
          <w:color w:val="000000"/>
          <w:szCs w:val="26"/>
        </w:rPr>
        <w:t>PAGA</w:t>
      </w:r>
      <w:proofErr w:type="spellEnd"/>
      <w:r>
        <w:rPr>
          <w:rFonts w:eastAsia="Times New Roman" w:cs="Times New Roman"/>
          <w:color w:val="000000"/>
          <w:szCs w:val="26"/>
        </w:rPr>
        <w:t xml:space="preserve"> cases—a valuable source of </w:t>
      </w:r>
      <w:proofErr w:type="spellStart"/>
      <w:r>
        <w:rPr>
          <w:rFonts w:eastAsia="Times New Roman" w:cs="Times New Roman"/>
          <w:color w:val="000000"/>
          <w:szCs w:val="26"/>
        </w:rPr>
        <w:t>PAGA</w:t>
      </w:r>
      <w:proofErr w:type="spellEnd"/>
      <w:r>
        <w:rPr>
          <w:rFonts w:eastAsia="Times New Roman" w:cs="Times New Roman"/>
          <w:color w:val="000000"/>
          <w:szCs w:val="26"/>
        </w:rPr>
        <w:t xml:space="preserve"> prec</w:t>
      </w:r>
      <w:r>
        <w:rPr>
          <w:rFonts w:eastAsia="Times New Roman" w:cs="Times New Roman"/>
          <w:color w:val="000000"/>
          <w:szCs w:val="26"/>
        </w:rPr>
        <w:t>edent, albeit one that has persuasive value only—</w:t>
      </w:r>
      <w:r w:rsidRPr="00E71A32">
        <w:rPr>
          <w:rFonts w:eastAsia="Times New Roman" w:cs="Times New Roman"/>
          <w:color w:val="000000"/>
          <w:szCs w:val="26"/>
        </w:rPr>
        <w:t xml:space="preserve"> through the constitutional lens of “case or controversy” standing under </w:t>
      </w:r>
      <w:r>
        <w:rPr>
          <w:rFonts w:eastAsia="Times New Roman" w:cs="Times New Roman"/>
          <w:color w:val="000000"/>
          <w:szCs w:val="26"/>
        </w:rPr>
        <w:t>a</w:t>
      </w:r>
      <w:r w:rsidRPr="00E71A32">
        <w:rPr>
          <w:rFonts w:eastAsia="Times New Roman" w:cs="Times New Roman"/>
          <w:color w:val="000000"/>
          <w:szCs w:val="26"/>
        </w:rPr>
        <w:t>rticle III of the United States Constitution.  (E.g.</w:t>
      </w:r>
      <w:r>
        <w:rPr>
          <w:rFonts w:eastAsia="Times New Roman" w:cs="Times New Roman"/>
          <w:color w:val="000000"/>
          <w:szCs w:val="26"/>
        </w:rPr>
        <w:t>,</w:t>
      </w:r>
      <w:r w:rsidRPr="00E71A32">
        <w:rPr>
          <w:rFonts w:eastAsia="Times New Roman" w:cs="Times New Roman"/>
          <w:color w:val="000000"/>
          <w:szCs w:val="26"/>
        </w:rPr>
        <w:t xml:space="preserve"> </w:t>
      </w:r>
      <w:proofErr w:type="spellStart"/>
      <w:r w:rsidRPr="00113DB8">
        <w:rPr>
          <w:rFonts w:eastAsia="Times New Roman" w:cs="Times New Roman"/>
          <w:i/>
          <w:iCs/>
          <w:szCs w:val="26"/>
          <w:bdr w:val="none" w:sz="0" w:space="0" w:color="auto" w:frame="1"/>
        </w:rPr>
        <w:t>Magadia</w:t>
      </w:r>
      <w:proofErr w:type="spellEnd"/>
      <w:r w:rsidRPr="00113DB8">
        <w:rPr>
          <w:rFonts w:eastAsia="Times New Roman" w:cs="Times New Roman"/>
          <w:i/>
          <w:iCs/>
          <w:szCs w:val="26"/>
          <w:bdr w:val="none" w:sz="0" w:space="0" w:color="auto" w:frame="1"/>
        </w:rPr>
        <w:t xml:space="preserve"> v. Wal-Mart Associates, Inc</w:t>
      </w:r>
      <w:r w:rsidRPr="005E177F">
        <w:rPr>
          <w:rFonts w:eastAsia="Times New Roman" w:cs="Times New Roman"/>
          <w:i/>
          <w:iCs/>
          <w:color w:val="3D3D3D"/>
          <w:szCs w:val="26"/>
          <w:bdr w:val="none" w:sz="0" w:space="0" w:color="auto" w:frame="1"/>
        </w:rPr>
        <w:t>.</w:t>
      </w:r>
      <w:r w:rsidRPr="005E177F">
        <w:rPr>
          <w:rFonts w:eastAsia="Times New Roman" w:cs="Times New Roman"/>
          <w:color w:val="000000"/>
          <w:szCs w:val="26"/>
        </w:rPr>
        <w:t xml:space="preserve"> (9th Cir. 2021) 999</w:t>
      </w:r>
      <w:r>
        <w:rPr>
          <w:rFonts w:eastAsia="Times New Roman" w:cs="Times New Roman"/>
          <w:color w:val="000000"/>
          <w:szCs w:val="26"/>
        </w:rPr>
        <w:t> </w:t>
      </w:r>
      <w:r w:rsidRPr="005E177F">
        <w:rPr>
          <w:rFonts w:eastAsia="Times New Roman" w:cs="Times New Roman"/>
          <w:color w:val="000000"/>
          <w:szCs w:val="26"/>
        </w:rPr>
        <w:t>F.3d 668, 677</w:t>
      </w:r>
      <w:r>
        <w:rPr>
          <w:rFonts w:eastAsia="Times New Roman" w:cs="Times New Roman"/>
          <w:color w:val="000000"/>
          <w:szCs w:val="26"/>
        </w:rPr>
        <w:t>–</w:t>
      </w:r>
      <w:r w:rsidRPr="00E71A32">
        <w:rPr>
          <w:rFonts w:eastAsia="Times New Roman" w:cs="Times New Roman"/>
          <w:color w:val="000000"/>
          <w:szCs w:val="26"/>
        </w:rPr>
        <w:t>680.)  T</w:t>
      </w:r>
      <w:r w:rsidRPr="00E71A32">
        <w:rPr>
          <w:rFonts w:eastAsia="Times New Roman" w:cs="Times New Roman"/>
          <w:color w:val="000000"/>
          <w:szCs w:val="26"/>
        </w:rPr>
        <w:t xml:space="preserve">he </w:t>
      </w:r>
      <w:r w:rsidRPr="00FB4907">
        <w:rPr>
          <w:rFonts w:eastAsia="Times New Roman" w:cs="Times New Roman"/>
          <w:color w:val="000000"/>
          <w:szCs w:val="26"/>
        </w:rPr>
        <w:t xml:space="preserve">concept that a plaintiff must have a “personal” stake in his or her case is at the root of federal standing law under </w:t>
      </w:r>
      <w:r>
        <w:rPr>
          <w:rFonts w:eastAsia="Times New Roman" w:cs="Times New Roman"/>
          <w:color w:val="000000"/>
          <w:szCs w:val="26"/>
        </w:rPr>
        <w:t>a</w:t>
      </w:r>
      <w:r w:rsidRPr="00FB4907">
        <w:rPr>
          <w:rFonts w:eastAsia="Times New Roman" w:cs="Times New Roman"/>
          <w:color w:val="000000"/>
          <w:szCs w:val="26"/>
        </w:rPr>
        <w:t xml:space="preserve">rticle III </w:t>
      </w:r>
      <w:r w:rsidRPr="00FB4907">
        <w:rPr>
          <w:rFonts w:eastAsia="Times New Roman" w:cs="Times New Roman"/>
          <w:color w:val="000000"/>
          <w:szCs w:val="26"/>
          <w:bdr w:val="none" w:sz="0" w:space="0" w:color="auto" w:frame="1"/>
          <w:shd w:val="clear" w:color="auto" w:fill="FFFFFF"/>
        </w:rPr>
        <w:t>(</w:t>
      </w:r>
      <w:r w:rsidRPr="00FC3D00">
        <w:rPr>
          <w:rFonts w:eastAsia="Times New Roman" w:cs="Times New Roman"/>
          <w:i/>
          <w:iCs/>
          <w:szCs w:val="26"/>
          <w:bdr w:val="none" w:sz="0" w:space="0" w:color="auto" w:frame="1"/>
        </w:rPr>
        <w:t>TransUnion LLC v. Ramirez</w:t>
      </w:r>
      <w:r w:rsidRPr="00FC3D00">
        <w:rPr>
          <w:rFonts w:eastAsia="Times New Roman" w:cs="Times New Roman"/>
          <w:szCs w:val="26"/>
        </w:rPr>
        <w:t xml:space="preserve"> ( 2021) 594 U.S.___ [141 </w:t>
      </w:r>
      <w:proofErr w:type="spellStart"/>
      <w:r w:rsidRPr="00FC3D00">
        <w:rPr>
          <w:rFonts w:eastAsia="Times New Roman" w:cs="Times New Roman"/>
          <w:szCs w:val="26"/>
        </w:rPr>
        <w:t>S.Ct</w:t>
      </w:r>
      <w:proofErr w:type="spellEnd"/>
      <w:r w:rsidRPr="00FC3D00">
        <w:rPr>
          <w:rFonts w:eastAsia="Times New Roman" w:cs="Times New Roman"/>
          <w:szCs w:val="26"/>
        </w:rPr>
        <w:t>. 2190, 2203] [“For there to be a</w:t>
      </w:r>
      <w:r w:rsidRPr="00FB4907">
        <w:rPr>
          <w:rFonts w:eastAsia="Times New Roman" w:cs="Times New Roman"/>
          <w:color w:val="000000"/>
          <w:szCs w:val="26"/>
        </w:rPr>
        <w:t xml:space="preserve"> case or controversy under </w:t>
      </w:r>
      <w:r>
        <w:rPr>
          <w:rFonts w:eastAsia="Times New Roman" w:cs="Times New Roman"/>
          <w:color w:val="000000"/>
          <w:szCs w:val="26"/>
        </w:rPr>
        <w:t>A</w:t>
      </w:r>
      <w:r w:rsidRPr="00FB4907">
        <w:rPr>
          <w:rFonts w:eastAsia="Times New Roman" w:cs="Times New Roman"/>
          <w:color w:val="000000"/>
          <w:szCs w:val="26"/>
        </w:rPr>
        <w:t xml:space="preserve">rticle III, the </w:t>
      </w:r>
      <w:r w:rsidRPr="001B2CAE">
        <w:rPr>
          <w:rFonts w:eastAsia="Times New Roman" w:cs="Times New Roman"/>
          <w:color w:val="000000"/>
          <w:szCs w:val="26"/>
        </w:rPr>
        <w:t>plaintiff must have a ‘</w:t>
      </w:r>
      <w:r>
        <w:rPr>
          <w:rFonts w:eastAsia="Times New Roman" w:cs="Times New Roman"/>
          <w:color w:val="000000"/>
          <w:szCs w:val="26"/>
        </w:rPr>
        <w:t> </w:t>
      </w:r>
      <w:r w:rsidRPr="001B2CAE">
        <w:rPr>
          <w:rFonts w:eastAsia="Times New Roman" w:cs="Times New Roman"/>
          <w:color w:val="000000"/>
          <w:szCs w:val="26"/>
        </w:rPr>
        <w:t>“</w:t>
      </w:r>
      <w:r w:rsidRPr="001B2CAE">
        <w:rPr>
          <w:rFonts w:eastAsia="Times New Roman" w:cs="Times New Roman"/>
          <w:color w:val="000000"/>
          <w:szCs w:val="26"/>
          <w:bdr w:val="none" w:sz="0" w:space="0" w:color="auto" w:frame="1"/>
          <w:shd w:val="clear" w:color="auto" w:fill="FFFFFF"/>
        </w:rPr>
        <w:t>personal</w:t>
      </w:r>
      <w:r w:rsidRPr="001B2CAE">
        <w:rPr>
          <w:rFonts w:eastAsia="Times New Roman" w:cs="Times New Roman"/>
          <w:color w:val="000000"/>
          <w:szCs w:val="26"/>
        </w:rPr>
        <w:t xml:space="preserve"> </w:t>
      </w:r>
      <w:r w:rsidRPr="001B2CAE">
        <w:rPr>
          <w:rFonts w:eastAsia="Times New Roman" w:cs="Times New Roman"/>
          <w:color w:val="000000"/>
          <w:szCs w:val="26"/>
          <w:bdr w:val="none" w:sz="0" w:space="0" w:color="auto" w:frame="1"/>
          <w:shd w:val="clear" w:color="auto" w:fill="FFFFFF"/>
        </w:rPr>
        <w:t>stake</w:t>
      </w:r>
      <w:r w:rsidRPr="001B2CAE">
        <w:rPr>
          <w:rFonts w:eastAsia="Times New Roman" w:cs="Times New Roman"/>
          <w:color w:val="000000"/>
          <w:szCs w:val="26"/>
        </w:rPr>
        <w:t>”</w:t>
      </w:r>
      <w:r>
        <w:rPr>
          <w:rFonts w:eastAsia="Times New Roman" w:cs="Times New Roman"/>
          <w:color w:val="000000"/>
          <w:szCs w:val="26"/>
        </w:rPr>
        <w:t> ’</w:t>
      </w:r>
      <w:r w:rsidRPr="001B2CAE">
        <w:rPr>
          <w:rFonts w:eastAsia="Times New Roman" w:cs="Times New Roman"/>
          <w:color w:val="000000"/>
          <w:szCs w:val="26"/>
        </w:rPr>
        <w:t xml:space="preserve"> in the case—in other words, </w:t>
      </w:r>
      <w:r w:rsidRPr="001B2CAE">
        <w:rPr>
          <w:rFonts w:eastAsia="Times New Roman" w:cs="Times New Roman"/>
          <w:color w:val="000000"/>
          <w:szCs w:val="26"/>
          <w:bdr w:val="none" w:sz="0" w:space="0" w:color="auto" w:frame="1"/>
          <w:shd w:val="clear" w:color="auto" w:fill="FFFFFF"/>
        </w:rPr>
        <w:t>standing</w:t>
      </w:r>
      <w:r w:rsidRPr="001B2CAE">
        <w:rPr>
          <w:rFonts w:eastAsia="Times New Roman" w:cs="Times New Roman"/>
          <w:color w:val="000000"/>
          <w:szCs w:val="26"/>
        </w:rPr>
        <w:t>”]</w:t>
      </w:r>
      <w:r w:rsidRPr="001B2CAE">
        <w:rPr>
          <w:rFonts w:eastAsia="Times New Roman" w:cs="Times New Roman"/>
          <w:color w:val="000000"/>
          <w:szCs w:val="26"/>
          <w:bdr w:val="none" w:sz="0" w:space="0" w:color="auto" w:frame="1"/>
          <w:shd w:val="clear" w:color="auto" w:fill="FFFFFF"/>
        </w:rPr>
        <w:t xml:space="preserve">, but </w:t>
      </w:r>
      <w:r>
        <w:rPr>
          <w:rFonts w:eastAsia="Times New Roman" w:cs="Times New Roman"/>
          <w:color w:val="000000"/>
          <w:szCs w:val="26"/>
          <w:bdr w:val="none" w:sz="0" w:space="0" w:color="auto" w:frame="1"/>
          <w:shd w:val="clear" w:color="auto" w:fill="FFFFFF"/>
        </w:rPr>
        <w:t xml:space="preserve">plays no such </w:t>
      </w:r>
      <w:r w:rsidRPr="008B19D3">
        <w:rPr>
          <w:rFonts w:eastAsia="Times New Roman" w:cs="Times New Roman"/>
          <w:color w:val="000000"/>
          <w:szCs w:val="26"/>
          <w:bdr w:val="none" w:sz="0" w:space="0" w:color="auto" w:frame="1"/>
          <w:shd w:val="clear" w:color="auto" w:fill="FFFFFF"/>
        </w:rPr>
        <w:t xml:space="preserve">foundational </w:t>
      </w:r>
      <w:r>
        <w:rPr>
          <w:rFonts w:eastAsia="Times New Roman" w:cs="Times New Roman"/>
          <w:color w:val="000000"/>
          <w:szCs w:val="26"/>
          <w:bdr w:val="none" w:sz="0" w:space="0" w:color="auto" w:frame="1"/>
          <w:shd w:val="clear" w:color="auto" w:fill="FFFFFF"/>
        </w:rPr>
        <w:t xml:space="preserve">role </w:t>
      </w:r>
      <w:r w:rsidRPr="008B19D3">
        <w:rPr>
          <w:rFonts w:eastAsia="Times New Roman" w:cs="Times New Roman"/>
          <w:color w:val="000000"/>
          <w:szCs w:val="26"/>
          <w:bdr w:val="none" w:sz="0" w:space="0" w:color="auto" w:frame="1"/>
          <w:shd w:val="clear" w:color="auto" w:fill="FFFFFF"/>
        </w:rPr>
        <w:t xml:space="preserve">in the </w:t>
      </w:r>
      <w:r w:rsidRPr="001B2CAE">
        <w:rPr>
          <w:rFonts w:eastAsia="Times New Roman" w:cs="Times New Roman"/>
          <w:color w:val="000000"/>
          <w:szCs w:val="26"/>
          <w:bdr w:val="none" w:sz="0" w:space="0" w:color="auto" w:frame="1"/>
          <w:shd w:val="clear" w:color="auto" w:fill="FFFFFF"/>
        </w:rPr>
        <w:t>California</w:t>
      </w:r>
      <w:r>
        <w:rPr>
          <w:rFonts w:eastAsia="Times New Roman" w:cs="Times New Roman"/>
          <w:color w:val="000000"/>
          <w:szCs w:val="26"/>
          <w:bdr w:val="none" w:sz="0" w:space="0" w:color="auto" w:frame="1"/>
          <w:shd w:val="clear" w:color="auto" w:fill="FFFFFF"/>
        </w:rPr>
        <w:t xml:space="preserve"> </w:t>
      </w:r>
      <w:r w:rsidRPr="008B19D3">
        <w:rPr>
          <w:rFonts w:eastAsia="Times New Roman" w:cs="Times New Roman"/>
          <w:color w:val="000000"/>
          <w:szCs w:val="26"/>
          <w:bdr w:val="none" w:sz="0" w:space="0" w:color="auto" w:frame="1"/>
          <w:shd w:val="clear" w:color="auto" w:fill="FFFFFF"/>
        </w:rPr>
        <w:t xml:space="preserve">courts.  As </w:t>
      </w:r>
      <w:r w:rsidRPr="008B19D3">
        <w:rPr>
          <w:rFonts w:eastAsia="Times New Roman" w:cs="Times New Roman"/>
          <w:color w:val="000000"/>
          <w:szCs w:val="26"/>
          <w:bdr w:val="none" w:sz="0" w:space="0" w:color="auto" w:frame="1"/>
          <w:shd w:val="clear" w:color="auto" w:fill="FFFFFF"/>
        </w:rPr>
        <w:t>a matter of California procedur</w:t>
      </w:r>
      <w:r>
        <w:rPr>
          <w:rFonts w:eastAsia="Times New Roman" w:cs="Times New Roman"/>
          <w:color w:val="000000"/>
          <w:szCs w:val="26"/>
          <w:bdr w:val="none" w:sz="0" w:space="0" w:color="auto" w:frame="1"/>
          <w:shd w:val="clear" w:color="auto" w:fill="FFFFFF"/>
        </w:rPr>
        <w:t>e</w:t>
      </w:r>
      <w:r w:rsidRPr="008B19D3">
        <w:rPr>
          <w:rFonts w:eastAsia="Times New Roman" w:cs="Times New Roman"/>
          <w:color w:val="000000"/>
          <w:szCs w:val="26"/>
          <w:bdr w:val="none" w:sz="0" w:space="0" w:color="auto" w:frame="1"/>
          <w:shd w:val="clear" w:color="auto" w:fill="FFFFFF"/>
        </w:rPr>
        <w:t xml:space="preserve">, standing under </w:t>
      </w:r>
      <w:proofErr w:type="spellStart"/>
      <w:r w:rsidRPr="008B19D3">
        <w:rPr>
          <w:rFonts w:eastAsia="Times New Roman" w:cs="Times New Roman"/>
          <w:color w:val="000000"/>
          <w:szCs w:val="26"/>
          <w:bdr w:val="none" w:sz="0" w:space="0" w:color="auto" w:frame="1"/>
          <w:shd w:val="clear" w:color="auto" w:fill="FFFFFF"/>
        </w:rPr>
        <w:t>PAGA</w:t>
      </w:r>
      <w:proofErr w:type="spellEnd"/>
      <w:r w:rsidRPr="008B19D3">
        <w:rPr>
          <w:rFonts w:eastAsia="Times New Roman" w:cs="Times New Roman"/>
          <w:color w:val="000000"/>
          <w:szCs w:val="26"/>
          <w:bdr w:val="none" w:sz="0" w:space="0" w:color="auto" w:frame="1"/>
          <w:shd w:val="clear" w:color="auto" w:fill="FFFFFF"/>
        </w:rPr>
        <w:t xml:space="preserve"> is statutory in nature.</w:t>
      </w:r>
      <w:r w:rsidRPr="001B2CAE">
        <w:rPr>
          <w:rFonts w:eastAsia="Times New Roman" w:cs="Times New Roman"/>
          <w:color w:val="000000"/>
          <w:szCs w:val="26"/>
          <w:bdr w:val="none" w:sz="0" w:space="0" w:color="auto" w:frame="1"/>
          <w:shd w:val="clear" w:color="auto" w:fill="FFFFFF"/>
        </w:rPr>
        <w:t xml:space="preserve"> </w:t>
      </w:r>
      <w:r w:rsidRPr="00BD3F4F">
        <w:rPr>
          <w:rFonts w:eastAsia="Times New Roman" w:cs="Times New Roman"/>
          <w:color w:val="000000"/>
          <w:szCs w:val="26"/>
          <w:bdr w:val="none" w:sz="0" w:space="0" w:color="auto" w:frame="1"/>
          <w:shd w:val="clear" w:color="auto" w:fill="FFFFFF"/>
        </w:rPr>
        <w:t xml:space="preserve"> </w:t>
      </w:r>
      <w:r>
        <w:rPr>
          <w:rFonts w:eastAsia="Times New Roman" w:cs="Times New Roman"/>
          <w:color w:val="000000"/>
          <w:szCs w:val="26"/>
          <w:bdr w:val="none" w:sz="0" w:space="0" w:color="auto" w:frame="1"/>
          <w:shd w:val="clear" w:color="auto" w:fill="FFFFFF"/>
        </w:rPr>
        <w:t xml:space="preserve">Notably, </w:t>
      </w:r>
      <w:proofErr w:type="spellStart"/>
      <w:r w:rsidRPr="00BD3F4F">
        <w:rPr>
          <w:rFonts w:eastAsia="Times New Roman" w:cs="Times New Roman"/>
          <w:color w:val="000000"/>
          <w:szCs w:val="26"/>
          <w:bdr w:val="none" w:sz="0" w:space="0" w:color="auto" w:frame="1"/>
          <w:shd w:val="clear" w:color="auto" w:fill="FFFFFF"/>
        </w:rPr>
        <w:t>PAGA</w:t>
      </w:r>
      <w:proofErr w:type="spellEnd"/>
      <w:r w:rsidRPr="00BD3F4F">
        <w:rPr>
          <w:rFonts w:eastAsia="Times New Roman" w:cs="Times New Roman"/>
          <w:color w:val="000000"/>
          <w:szCs w:val="26"/>
          <w:bdr w:val="none" w:sz="0" w:space="0" w:color="auto" w:frame="1"/>
          <w:shd w:val="clear" w:color="auto" w:fill="FFFFFF"/>
        </w:rPr>
        <w:t xml:space="preserve"> is not the o</w:t>
      </w:r>
      <w:r w:rsidRPr="001B2CAE">
        <w:rPr>
          <w:rFonts w:eastAsia="Times New Roman" w:cs="Times New Roman"/>
          <w:color w:val="000000"/>
          <w:szCs w:val="26"/>
          <w:bdr w:val="none" w:sz="0" w:space="0" w:color="auto" w:frame="1"/>
          <w:shd w:val="clear" w:color="auto" w:fill="FFFFFF"/>
        </w:rPr>
        <w:t>n</w:t>
      </w:r>
      <w:r>
        <w:rPr>
          <w:rFonts w:eastAsia="Times New Roman" w:cs="Times New Roman"/>
          <w:color w:val="000000"/>
          <w:szCs w:val="26"/>
          <w:bdr w:val="none" w:sz="0" w:space="0" w:color="auto" w:frame="1"/>
          <w:shd w:val="clear" w:color="auto" w:fill="FFFFFF"/>
        </w:rPr>
        <w:t xml:space="preserve">ly </w:t>
      </w:r>
      <w:r w:rsidRPr="008B19D3">
        <w:rPr>
          <w:rFonts w:eastAsia="Times New Roman" w:cs="Times New Roman"/>
          <w:color w:val="000000"/>
          <w:szCs w:val="26"/>
          <w:bdr w:val="none" w:sz="0" w:space="0" w:color="auto" w:frame="1"/>
          <w:shd w:val="clear" w:color="auto" w:fill="FFFFFF"/>
        </w:rPr>
        <w:t xml:space="preserve">setting in California law where plaintiffs with </w:t>
      </w:r>
      <w:r w:rsidRPr="001B2CAE">
        <w:rPr>
          <w:rFonts w:eastAsia="Times New Roman" w:cs="Times New Roman"/>
          <w:color w:val="000000"/>
          <w:szCs w:val="26"/>
          <w:bdr w:val="none" w:sz="0" w:space="0" w:color="auto" w:frame="1"/>
          <w:shd w:val="clear" w:color="auto" w:fill="FFFFFF"/>
        </w:rPr>
        <w:t>no individualized, personal stake in the relief sought</w:t>
      </w:r>
      <w:r w:rsidRPr="008B19D3">
        <w:rPr>
          <w:rFonts w:eastAsia="Times New Roman" w:cs="Times New Roman"/>
          <w:color w:val="000000"/>
          <w:szCs w:val="26"/>
          <w:bdr w:val="none" w:sz="0" w:space="0" w:color="auto" w:frame="1"/>
          <w:shd w:val="clear" w:color="auto" w:fill="FFFFFF"/>
        </w:rPr>
        <w:t xml:space="preserve"> have standing to sue. </w:t>
      </w:r>
      <w:r>
        <w:rPr>
          <w:rFonts w:eastAsia="Times New Roman" w:cs="Times New Roman"/>
          <w:color w:val="000000"/>
          <w:szCs w:val="26"/>
          <w:bdr w:val="none" w:sz="0" w:space="0" w:color="auto" w:frame="1"/>
          <w:shd w:val="clear" w:color="auto" w:fill="FFFFFF"/>
        </w:rPr>
        <w:t xml:space="preserve"> </w:t>
      </w:r>
      <w:r w:rsidRPr="001B2CAE">
        <w:rPr>
          <w:rFonts w:eastAsia="Times New Roman" w:cs="Times New Roman"/>
          <w:color w:val="000000"/>
          <w:szCs w:val="26"/>
          <w:bdr w:val="none" w:sz="0" w:space="0" w:color="auto" w:frame="1"/>
          <w:shd w:val="clear" w:color="auto" w:fill="FFFFFF"/>
        </w:rPr>
        <w:t>(</w:t>
      </w:r>
      <w:r>
        <w:rPr>
          <w:rFonts w:eastAsia="Times New Roman" w:cs="Times New Roman"/>
          <w:color w:val="000000"/>
          <w:szCs w:val="26"/>
          <w:bdr w:val="none" w:sz="0" w:space="0" w:color="auto" w:frame="1"/>
          <w:shd w:val="clear" w:color="auto" w:fill="FFFFFF"/>
        </w:rPr>
        <w:t xml:space="preserve">See e.g., </w:t>
      </w:r>
      <w:r w:rsidRPr="005D691E">
        <w:rPr>
          <w:rFonts w:eastAsia="Times New Roman" w:cs="Times New Roman"/>
          <w:i/>
          <w:iCs/>
          <w:color w:val="3D3D3D"/>
          <w:szCs w:val="26"/>
          <w:bdr w:val="none" w:sz="0" w:space="0" w:color="auto" w:frame="1"/>
        </w:rPr>
        <w:t>Blair v. Pitchess</w:t>
      </w:r>
      <w:r w:rsidRPr="005D691E">
        <w:rPr>
          <w:rFonts w:eastAsia="Times New Roman" w:cs="Times New Roman"/>
          <w:color w:val="000000"/>
          <w:szCs w:val="26"/>
        </w:rPr>
        <w:t xml:space="preserve"> (1971) 5</w:t>
      </w:r>
      <w:r>
        <w:rPr>
          <w:rFonts w:eastAsia="Times New Roman" w:cs="Times New Roman"/>
          <w:color w:val="000000"/>
          <w:szCs w:val="26"/>
        </w:rPr>
        <w:t> </w:t>
      </w:r>
      <w:r w:rsidRPr="005D691E">
        <w:rPr>
          <w:rFonts w:eastAsia="Times New Roman" w:cs="Times New Roman"/>
          <w:color w:val="000000"/>
          <w:szCs w:val="26"/>
        </w:rPr>
        <w:t>Cal.3d 258, 267 [taxpayer standing under Code of Civil Procedur</w:t>
      </w:r>
      <w:r>
        <w:rPr>
          <w:rFonts w:eastAsia="Times New Roman" w:cs="Times New Roman"/>
          <w:color w:val="000000"/>
          <w:szCs w:val="26"/>
        </w:rPr>
        <w:t>e</w:t>
      </w:r>
      <w:r w:rsidRPr="005D691E">
        <w:rPr>
          <w:rFonts w:eastAsia="Times New Roman" w:cs="Times New Roman"/>
          <w:color w:val="000000"/>
          <w:szCs w:val="26"/>
        </w:rPr>
        <w:t xml:space="preserve"> section 526a]; </w:t>
      </w:r>
      <w:r w:rsidRPr="00BD2FD1">
        <w:rPr>
          <w:rFonts w:eastAsia="Times New Roman" w:cs="Times New Roman"/>
          <w:i/>
          <w:iCs/>
          <w:szCs w:val="26"/>
          <w:bdr w:val="none" w:sz="0" w:space="0" w:color="auto" w:frame="1"/>
        </w:rPr>
        <w:t>Silver v. City of Los Angeles</w:t>
      </w:r>
      <w:r w:rsidRPr="00BD2FD1">
        <w:rPr>
          <w:rFonts w:eastAsia="Times New Roman" w:cs="Times New Roman"/>
          <w:szCs w:val="26"/>
        </w:rPr>
        <w:t xml:space="preserve"> (1961) 57 Cal.2d 39, 40–41 [common law taxpayer standing].) </w:t>
      </w:r>
    </w:p>
    <w:p w14:paraId="7661C78C" w14:textId="77777777" w:rsidR="00355380" w:rsidRPr="00355380" w:rsidRDefault="00B45E56" w:rsidP="00BD20C7">
      <w:pPr>
        <w:shd w:val="clear" w:color="auto" w:fill="FFFFFF"/>
        <w:tabs>
          <w:tab w:val="clear" w:pos="720"/>
        </w:tabs>
        <w:spacing w:line="320" w:lineRule="atLeast"/>
        <w:ind w:firstLine="720"/>
      </w:pPr>
      <w:r w:rsidRPr="001B2CAE">
        <w:rPr>
          <w:rFonts w:eastAsia="Times New Roman" w:cs="Times New Roman"/>
          <w:color w:val="000000"/>
          <w:szCs w:val="26"/>
          <w:bdr w:val="none" w:sz="0" w:space="0" w:color="auto" w:frame="1"/>
          <w:shd w:val="clear" w:color="auto" w:fill="FFFFFF"/>
        </w:rPr>
        <w:t xml:space="preserve"> </w:t>
      </w:r>
    </w:p>
  </w:footnote>
  <w:footnote w:id="13">
    <w:p w14:paraId="2031337B" w14:textId="77777777" w:rsidR="00196124" w:rsidRPr="00A21B06" w:rsidRDefault="00B45E56" w:rsidP="00574F7D">
      <w:pPr>
        <w:shd w:val="clear" w:color="auto" w:fill="FFFFFF"/>
        <w:spacing w:line="320" w:lineRule="atLeast"/>
        <w:ind w:firstLine="720"/>
        <w:rPr>
          <w:szCs w:val="26"/>
        </w:rPr>
      </w:pPr>
      <w:r w:rsidRPr="00846656">
        <w:rPr>
          <w:rStyle w:val="FootnoteReference"/>
          <w:szCs w:val="26"/>
        </w:rPr>
        <w:footnoteRef/>
      </w:r>
      <w:r w:rsidRPr="00846656">
        <w:rPr>
          <w:szCs w:val="26"/>
        </w:rPr>
        <w:t xml:space="preserve"> </w:t>
      </w:r>
      <w:r w:rsidRPr="00A21B06">
        <w:rPr>
          <w:rFonts w:eastAsia="Times New Roman" w:cs="Times New Roman"/>
          <w:i/>
          <w:iCs/>
          <w:szCs w:val="26"/>
          <w:bdr w:val="none" w:sz="0" w:space="0" w:color="auto" w:frame="1"/>
        </w:rPr>
        <w:t xml:space="preserve">Donaldson v. United States </w:t>
      </w:r>
      <w:r w:rsidRPr="00A21B06">
        <w:rPr>
          <w:rFonts w:eastAsia="Times New Roman" w:cs="Times New Roman"/>
          <w:szCs w:val="26"/>
        </w:rPr>
        <w:t xml:space="preserve">(1971) 400 U.S. 517, 531, superseded by statute as stated in </w:t>
      </w:r>
      <w:r w:rsidRPr="00A21B06">
        <w:rPr>
          <w:rFonts w:eastAsia="Times New Roman" w:cs="Times New Roman"/>
          <w:i/>
          <w:iCs/>
          <w:szCs w:val="26"/>
          <w:bdr w:val="none" w:sz="0" w:space="0" w:color="auto" w:frame="1"/>
        </w:rPr>
        <w:t>United States v. Peoples Benefit Life Ins. Co.</w:t>
      </w:r>
      <w:r w:rsidRPr="00A21B06">
        <w:rPr>
          <w:rFonts w:eastAsia="Times New Roman" w:cs="Times New Roman"/>
          <w:szCs w:val="26"/>
        </w:rPr>
        <w:t xml:space="preserve"> (2d Cir. 2001) 271 F.3d 411, 415.  </w:t>
      </w:r>
      <w:r w:rsidRPr="00A21B06">
        <w:rPr>
          <w:szCs w:val="26"/>
        </w:rPr>
        <w:t>Another, substantially equivalent formulation frequently used in Federal Rules of Civi</w:t>
      </w:r>
      <w:r w:rsidRPr="00A21B06">
        <w:rPr>
          <w:szCs w:val="26"/>
        </w:rPr>
        <w:t>l Procedure, rule 24 case law is “</w:t>
      </w:r>
      <w:r w:rsidRPr="00A21B06">
        <w:rPr>
          <w:rFonts w:eastAsia="Times New Roman" w:cs="Times New Roman"/>
          <w:szCs w:val="26"/>
        </w:rPr>
        <w:t xml:space="preserve">direct, non-contingent, substantial and legally protectible interest.”  (See e.g., </w:t>
      </w:r>
      <w:r w:rsidRPr="00A21B06">
        <w:rPr>
          <w:rFonts w:eastAsia="Times New Roman"/>
          <w:i/>
          <w:iCs/>
          <w:szCs w:val="26"/>
          <w:bdr w:val="none" w:sz="0" w:space="0" w:color="auto" w:frame="1"/>
        </w:rPr>
        <w:t>Southern California Edison Co. v. Lynch</w:t>
      </w:r>
      <w:r w:rsidRPr="00A21B06">
        <w:rPr>
          <w:rFonts w:eastAsia="Times New Roman"/>
          <w:szCs w:val="26"/>
        </w:rPr>
        <w:t xml:space="preserve"> (9th Cir. 2002) 307 F.3d 794, 803; </w:t>
      </w:r>
      <w:r w:rsidRPr="00A21B06">
        <w:rPr>
          <w:rFonts w:eastAsia="Times New Roman" w:cs="Times New Roman"/>
          <w:i/>
          <w:iCs/>
          <w:szCs w:val="26"/>
          <w:bdr w:val="none" w:sz="0" w:space="0" w:color="auto" w:frame="1"/>
        </w:rPr>
        <w:t>Washington Elec. Co-op., Inc. v. Massachusetts Municipal Wholesa</w:t>
      </w:r>
      <w:r w:rsidRPr="00A21B06">
        <w:rPr>
          <w:rFonts w:eastAsia="Times New Roman" w:cs="Times New Roman"/>
          <w:i/>
          <w:iCs/>
          <w:szCs w:val="26"/>
          <w:bdr w:val="none" w:sz="0" w:space="0" w:color="auto" w:frame="1"/>
        </w:rPr>
        <w:t>le Electric Co.</w:t>
      </w:r>
      <w:r w:rsidRPr="00A21B06">
        <w:rPr>
          <w:rFonts w:eastAsia="Times New Roman" w:cs="Times New Roman"/>
          <w:szCs w:val="26"/>
        </w:rPr>
        <w:t xml:space="preserve"> (2d Cir. 1990) 922 F.2d 92, 97.)</w:t>
      </w:r>
    </w:p>
  </w:footnote>
  <w:footnote w:id="14">
    <w:p w14:paraId="1A90C5A2" w14:textId="77777777" w:rsidR="00574F7D" w:rsidRPr="00A21B06" w:rsidRDefault="00B45E56" w:rsidP="0026060C">
      <w:pPr>
        <w:shd w:val="clear" w:color="auto" w:fill="FFFFFF"/>
        <w:spacing w:line="320" w:lineRule="atLeast"/>
        <w:ind w:firstLine="720"/>
      </w:pPr>
    </w:p>
    <w:p w14:paraId="3EFAAA6C" w14:textId="77777777" w:rsidR="000E4928" w:rsidRDefault="00B45E56" w:rsidP="0026060C">
      <w:pPr>
        <w:shd w:val="clear" w:color="auto" w:fill="FFFFFF"/>
        <w:spacing w:line="320" w:lineRule="atLeast"/>
        <w:ind w:firstLine="720"/>
        <w:rPr>
          <w:rFonts w:eastAsia="Times New Roman" w:cs="Times New Roman"/>
          <w:color w:val="000000"/>
          <w:szCs w:val="26"/>
          <w:bdr w:val="none" w:sz="0" w:space="0" w:color="auto" w:frame="1"/>
          <w:shd w:val="clear" w:color="auto" w:fill="FFFFFF"/>
        </w:rPr>
      </w:pPr>
      <w:r w:rsidRPr="0046605F">
        <w:rPr>
          <w:rStyle w:val="FootnoteReference"/>
        </w:rPr>
        <w:footnoteRef/>
      </w:r>
      <w:r w:rsidRPr="0046605F">
        <w:t xml:space="preserve"> </w:t>
      </w:r>
      <w:r w:rsidRPr="0046605F">
        <w:rPr>
          <w:szCs w:val="26"/>
        </w:rPr>
        <w:t xml:space="preserve">See </w:t>
      </w:r>
      <w:r w:rsidRPr="0046605F">
        <w:rPr>
          <w:rFonts w:eastAsia="Times New Roman" w:cs="Times New Roman"/>
          <w:i/>
          <w:iCs/>
          <w:szCs w:val="26"/>
          <w:bdr w:val="none" w:sz="0" w:space="0" w:color="auto" w:frame="1"/>
        </w:rPr>
        <w:t xml:space="preserve">La Union del Pueblo </w:t>
      </w:r>
      <w:proofErr w:type="spellStart"/>
      <w:r w:rsidRPr="0046605F">
        <w:rPr>
          <w:rFonts w:eastAsia="Times New Roman" w:cs="Times New Roman"/>
          <w:i/>
          <w:iCs/>
          <w:szCs w:val="26"/>
          <w:bdr w:val="none" w:sz="0" w:space="0" w:color="auto" w:frame="1"/>
        </w:rPr>
        <w:t>Entero</w:t>
      </w:r>
      <w:proofErr w:type="spellEnd"/>
      <w:r w:rsidRPr="0046605F">
        <w:rPr>
          <w:rFonts w:eastAsia="Times New Roman" w:cs="Times New Roman"/>
          <w:i/>
          <w:iCs/>
          <w:szCs w:val="26"/>
          <w:bdr w:val="none" w:sz="0" w:space="0" w:color="auto" w:frame="1"/>
        </w:rPr>
        <w:t xml:space="preserve"> v. Abbott</w:t>
      </w:r>
      <w:r w:rsidRPr="0046605F">
        <w:rPr>
          <w:rFonts w:eastAsia="Times New Roman" w:cs="Times New Roman"/>
          <w:szCs w:val="26"/>
        </w:rPr>
        <w:t xml:space="preserve"> (5th Cir. 2022) 29</w:t>
      </w:r>
      <w:r>
        <w:rPr>
          <w:rFonts w:eastAsia="Times New Roman" w:cs="Times New Roman"/>
          <w:szCs w:val="26"/>
        </w:rPr>
        <w:t> </w:t>
      </w:r>
      <w:r w:rsidRPr="0046605F">
        <w:rPr>
          <w:rFonts w:eastAsia="Times New Roman" w:cs="Times New Roman"/>
          <w:szCs w:val="26"/>
        </w:rPr>
        <w:t>F.4th 299</w:t>
      </w:r>
      <w:r>
        <w:rPr>
          <w:rFonts w:eastAsia="Times New Roman" w:cs="Times New Roman"/>
          <w:szCs w:val="26"/>
        </w:rPr>
        <w:t>,</w:t>
      </w:r>
      <w:r w:rsidRPr="0046605F">
        <w:rPr>
          <w:rFonts w:eastAsia="Times New Roman" w:cs="Times New Roman"/>
          <w:szCs w:val="26"/>
        </w:rPr>
        <w:t xml:space="preserve"> 305–306 (“[A]</w:t>
      </w:r>
      <w:r w:rsidRPr="0046605F">
        <w:rPr>
          <w:rFonts w:eastAsia="Times New Roman" w:cs="Times New Roman"/>
          <w:szCs w:val="26"/>
          <w:bdr w:val="none" w:sz="0" w:space="0" w:color="auto" w:frame="1"/>
          <w:shd w:val="clear" w:color="auto" w:fill="FFFFFF"/>
        </w:rPr>
        <w:t xml:space="preserve"> ‘legally protectable interest’ does not mean the interest must be ‘</w:t>
      </w:r>
      <w:r w:rsidRPr="00D94582">
        <w:rPr>
          <w:rFonts w:eastAsia="Times New Roman" w:cs="Times New Roman"/>
          <w:szCs w:val="26"/>
          <w:bdr w:val="none" w:sz="0" w:space="0" w:color="auto" w:frame="1"/>
          <w:shd w:val="clear" w:color="auto" w:fill="FFFFFF"/>
        </w:rPr>
        <w:t xml:space="preserve">legally </w:t>
      </w:r>
      <w:r w:rsidRPr="00D94582">
        <w:rPr>
          <w:rFonts w:eastAsia="Times New Roman" w:cs="Times New Roman"/>
          <w:i/>
          <w:iCs/>
          <w:szCs w:val="26"/>
          <w:bdr w:val="none" w:sz="0" w:space="0" w:color="auto" w:frame="1"/>
          <w:shd w:val="clear" w:color="auto" w:fill="FFFFFF"/>
        </w:rPr>
        <w:t>enforceable</w:t>
      </w:r>
      <w:r w:rsidRPr="00D94582">
        <w:rPr>
          <w:rFonts w:eastAsia="Times New Roman" w:cs="Times New Roman"/>
          <w:szCs w:val="26"/>
          <w:bdr w:val="none" w:sz="0" w:space="0" w:color="auto" w:frame="1"/>
          <w:shd w:val="clear" w:color="auto" w:fill="FFFFFF"/>
        </w:rPr>
        <w:t>’:  ‘[A]</w:t>
      </w:r>
      <w:r w:rsidRPr="0046605F">
        <w:rPr>
          <w:rFonts w:eastAsia="Times New Roman" w:cs="Times New Roman"/>
          <w:szCs w:val="26"/>
          <w:bdr w:val="none" w:sz="0" w:space="0" w:color="auto" w:frame="1"/>
          <w:shd w:val="clear" w:color="auto" w:fill="FFFFFF"/>
        </w:rPr>
        <w:t xml:space="preserve">n interest is sufficient if it is of the type that the law deems worthy of protection, even if the intervenor does </w:t>
      </w:r>
      <w:r w:rsidRPr="00574F7D">
        <w:rPr>
          <w:rFonts w:eastAsia="Times New Roman" w:cs="Times New Roman"/>
          <w:color w:val="000000"/>
          <w:szCs w:val="26"/>
          <w:bdr w:val="none" w:sz="0" w:space="0" w:color="auto" w:frame="1"/>
          <w:shd w:val="clear" w:color="auto" w:fill="FFFFFF"/>
        </w:rPr>
        <w:t xml:space="preserve">not have an enforceable legal entitlement or would not have standing to pursue her own claim.’ </w:t>
      </w:r>
      <w:r>
        <w:rPr>
          <w:rFonts w:eastAsia="Times New Roman" w:cs="Times New Roman"/>
          <w:color w:val="000000"/>
          <w:szCs w:val="26"/>
          <w:bdr w:val="none" w:sz="0" w:space="0" w:color="auto" w:frame="1"/>
          <w:shd w:val="clear" w:color="auto" w:fill="FFFFFF"/>
        </w:rPr>
        <w:t xml:space="preserve"> </w:t>
      </w:r>
      <w:r w:rsidRPr="00574F7D">
        <w:rPr>
          <w:rFonts w:eastAsia="Times New Roman" w:cs="Times New Roman"/>
          <w:color w:val="000000"/>
          <w:szCs w:val="26"/>
          <w:bdr w:val="none" w:sz="0" w:space="0" w:color="auto" w:frame="1"/>
          <w:shd w:val="clear" w:color="auto" w:fill="FFFFFF"/>
        </w:rPr>
        <w:t xml:space="preserve">[Citation.]  In fact, we have said that in a </w:t>
      </w:r>
      <w:r w:rsidRPr="00574F7D">
        <w:rPr>
          <w:rFonts w:eastAsia="Times New Roman" w:cs="Times New Roman"/>
          <w:color w:val="000000"/>
          <w:szCs w:val="26"/>
          <w:bdr w:val="none" w:sz="0" w:space="0" w:color="auto" w:frame="1"/>
          <w:shd w:val="clear" w:color="auto" w:fill="FFFFFF"/>
        </w:rPr>
        <w:t xml:space="preserve">case involving ‘a public interest question’ that is ‘brought by a public interest group,’ the </w:t>
      </w:r>
      <w:r>
        <w:rPr>
          <w:rFonts w:eastAsia="Times New Roman" w:cs="Times New Roman"/>
          <w:color w:val="000000"/>
          <w:szCs w:val="26"/>
          <w:bdr w:val="none" w:sz="0" w:space="0" w:color="auto" w:frame="1"/>
          <w:shd w:val="clear" w:color="auto" w:fill="FFFFFF"/>
        </w:rPr>
        <w:t>‘</w:t>
      </w:r>
      <w:r w:rsidRPr="00574F7D">
        <w:rPr>
          <w:rFonts w:eastAsia="Times New Roman" w:cs="Times New Roman"/>
          <w:color w:val="000000"/>
          <w:szCs w:val="26"/>
          <w:bdr w:val="none" w:sz="0" w:space="0" w:color="auto" w:frame="1"/>
          <w:shd w:val="clear" w:color="auto" w:fill="FFFFFF"/>
        </w:rPr>
        <w:t>interest requirement may be judged by a more lenient standard.</w:t>
      </w:r>
      <w:proofErr w:type="gramStart"/>
      <w:r>
        <w:rPr>
          <w:rFonts w:eastAsia="Times New Roman" w:cs="Times New Roman"/>
          <w:color w:val="000000"/>
          <w:szCs w:val="26"/>
          <w:bdr w:val="none" w:sz="0" w:space="0" w:color="auto" w:frame="1"/>
          <w:shd w:val="clear" w:color="auto" w:fill="FFFFFF"/>
        </w:rPr>
        <w:t>’ </w:t>
      </w:r>
      <w:r w:rsidRPr="00574F7D">
        <w:rPr>
          <w:rFonts w:eastAsia="Times New Roman" w:cs="Times New Roman"/>
          <w:color w:val="000000"/>
          <w:szCs w:val="26"/>
          <w:bdr w:val="none" w:sz="0" w:space="0" w:color="auto" w:frame="1"/>
          <w:shd w:val="clear" w:color="auto" w:fill="FFFFFF"/>
        </w:rPr>
        <w:t>”</w:t>
      </w:r>
      <w:proofErr w:type="gramEnd"/>
      <w:r>
        <w:rPr>
          <w:rFonts w:eastAsia="Times New Roman" w:cs="Times New Roman"/>
          <w:color w:val="000000"/>
          <w:szCs w:val="26"/>
          <w:bdr w:val="none" w:sz="0" w:space="0" w:color="auto" w:frame="1"/>
          <w:shd w:val="clear" w:color="auto" w:fill="FFFFFF"/>
        </w:rPr>
        <w:t>).</w:t>
      </w:r>
      <w:r w:rsidRPr="00574F7D">
        <w:rPr>
          <w:rFonts w:eastAsia="Times New Roman" w:cs="Times New Roman"/>
          <w:color w:val="000000"/>
          <w:szCs w:val="26"/>
          <w:bdr w:val="none" w:sz="0" w:space="0" w:color="auto" w:frame="1"/>
          <w:shd w:val="clear" w:color="auto" w:fill="FFFFFF"/>
        </w:rPr>
        <w:t xml:space="preserve"> </w:t>
      </w:r>
    </w:p>
    <w:p w14:paraId="3168D185" w14:textId="77777777" w:rsidR="000F74D4" w:rsidRPr="00574F7D" w:rsidRDefault="00B45E56" w:rsidP="0026060C">
      <w:pPr>
        <w:shd w:val="clear" w:color="auto" w:fill="FFFFFF"/>
        <w:spacing w:line="320" w:lineRule="atLeast"/>
        <w:ind w:firstLine="720"/>
        <w:rPr>
          <w:szCs w:val="26"/>
        </w:rPr>
      </w:pPr>
    </w:p>
  </w:footnote>
  <w:footnote w:id="15">
    <w:p w14:paraId="1D3A9E74" w14:textId="77777777" w:rsidR="00A45253" w:rsidRPr="00BA3C98" w:rsidRDefault="00B45E56" w:rsidP="000E4928">
      <w:pPr>
        <w:shd w:val="clear" w:color="auto" w:fill="FFFFFF"/>
        <w:spacing w:line="320" w:lineRule="atLeast"/>
        <w:ind w:firstLine="720"/>
        <w:rPr>
          <w:rFonts w:eastAsia="Times New Roman" w:cs="Times New Roman"/>
          <w:color w:val="000000"/>
          <w:szCs w:val="26"/>
        </w:rPr>
      </w:pPr>
      <w:r w:rsidRPr="00BA3C98">
        <w:rPr>
          <w:rStyle w:val="FootnoteReference"/>
          <w:szCs w:val="26"/>
        </w:rPr>
        <w:footnoteRef/>
      </w:r>
      <w:r w:rsidRPr="00BA3C98">
        <w:rPr>
          <w:szCs w:val="26"/>
        </w:rPr>
        <w:t xml:space="preserve"> </w:t>
      </w:r>
      <w:r w:rsidRPr="006D5DAA">
        <w:rPr>
          <w:rFonts w:eastAsia="Times New Roman" w:cs="Times New Roman"/>
          <w:i/>
          <w:iCs/>
          <w:szCs w:val="26"/>
          <w:bdr w:val="none" w:sz="0" w:space="0" w:color="auto" w:frame="1"/>
        </w:rPr>
        <w:t>Cascade Natural Gas Corp. v. El Paso Natural Gas Co.</w:t>
      </w:r>
      <w:r w:rsidRPr="006D5DAA">
        <w:rPr>
          <w:rFonts w:eastAsia="Times New Roman" w:cs="Times New Roman"/>
          <w:szCs w:val="26"/>
        </w:rPr>
        <w:t xml:space="preserve"> (1967) 386 U.S. 129, 133 (state whos</w:t>
      </w:r>
      <w:r w:rsidRPr="006D5DAA">
        <w:rPr>
          <w:rFonts w:eastAsia="Times New Roman" w:cs="Times New Roman"/>
          <w:szCs w:val="26"/>
        </w:rPr>
        <w:t xml:space="preserve">e citizens were impacted by interstate gas prices, public utility purchaser of interstate gas, and regional distributor </w:t>
      </w:r>
      <w:r w:rsidRPr="00BA3C98">
        <w:rPr>
          <w:rFonts w:eastAsia="Times New Roman" w:cs="Times New Roman"/>
          <w:color w:val="000000"/>
          <w:szCs w:val="26"/>
        </w:rPr>
        <w:t>of interstate pipeline’s gas have right to intervene in settlement approval proceedings in antitrust case on behalf of gas users in thei</w:t>
      </w:r>
      <w:r w:rsidRPr="00BA3C98">
        <w:rPr>
          <w:rFonts w:eastAsia="Times New Roman" w:cs="Times New Roman"/>
          <w:color w:val="000000"/>
          <w:szCs w:val="26"/>
        </w:rPr>
        <w:t xml:space="preserve">r regions where consent decree requiring break up </w:t>
      </w:r>
      <w:r>
        <w:rPr>
          <w:rFonts w:eastAsia="Times New Roman" w:cs="Times New Roman"/>
          <w:color w:val="000000"/>
          <w:szCs w:val="26"/>
        </w:rPr>
        <w:t xml:space="preserve">of </w:t>
      </w:r>
      <w:r w:rsidRPr="00BA3C98">
        <w:rPr>
          <w:rFonts w:eastAsia="Times New Roman" w:cs="Times New Roman"/>
          <w:color w:val="000000"/>
          <w:szCs w:val="26"/>
        </w:rPr>
        <w:t>interstate pipeline monopoly potentially affected gas prices in those regions</w:t>
      </w:r>
      <w:r>
        <w:rPr>
          <w:rFonts w:eastAsia="Times New Roman" w:cs="Times New Roman"/>
          <w:color w:val="000000"/>
          <w:szCs w:val="26"/>
        </w:rPr>
        <w:t>)</w:t>
      </w:r>
      <w:r w:rsidRPr="00BA3C98">
        <w:rPr>
          <w:rFonts w:eastAsia="Times New Roman" w:cs="Times New Roman"/>
          <w:color w:val="000000"/>
          <w:szCs w:val="26"/>
        </w:rPr>
        <w:t>.</w:t>
      </w:r>
    </w:p>
    <w:p w14:paraId="6CDD9863" w14:textId="77777777" w:rsidR="009C7280" w:rsidRDefault="00B45E56" w:rsidP="000E4928">
      <w:pPr>
        <w:shd w:val="clear" w:color="auto" w:fill="FFFFFF"/>
        <w:spacing w:line="320" w:lineRule="atLeast"/>
        <w:ind w:firstLine="720"/>
      </w:pPr>
    </w:p>
  </w:footnote>
  <w:footnote w:id="16">
    <w:p w14:paraId="0C2BFC6A" w14:textId="77777777" w:rsidR="00574F7D" w:rsidRPr="00574F7D" w:rsidRDefault="00B45E56" w:rsidP="00574F7D">
      <w:pPr>
        <w:shd w:val="clear" w:color="auto" w:fill="FFFFFF"/>
        <w:spacing w:line="320" w:lineRule="atLeast"/>
        <w:ind w:firstLine="720"/>
        <w:rPr>
          <w:szCs w:val="26"/>
        </w:rPr>
      </w:pPr>
      <w:r>
        <w:rPr>
          <w:rStyle w:val="FootnoteReference"/>
        </w:rPr>
        <w:footnoteRef/>
      </w:r>
      <w:r>
        <w:t xml:space="preserve"> </w:t>
      </w:r>
      <w:r w:rsidRPr="00F867D8">
        <w:rPr>
          <w:rFonts w:eastAsia="Times New Roman" w:cs="Times New Roman"/>
          <w:i/>
          <w:iCs/>
          <w:szCs w:val="26"/>
          <w:bdr w:val="none" w:sz="0" w:space="0" w:color="auto" w:frame="1"/>
        </w:rPr>
        <w:t>Perry v. Brown</w:t>
      </w:r>
      <w:r w:rsidRPr="00F867D8">
        <w:rPr>
          <w:rFonts w:eastAsia="Times New Roman" w:cs="Times New Roman"/>
          <w:szCs w:val="26"/>
        </w:rPr>
        <w:t xml:space="preserve"> (2011) 52 Cal.4th 1116, 1126 (because of “the unique role of initiative proponents in the constitutional </w:t>
      </w:r>
      <w:r w:rsidRPr="00574F7D">
        <w:rPr>
          <w:rFonts w:eastAsia="Times New Roman" w:cs="Times New Roman"/>
          <w:color w:val="000000"/>
          <w:szCs w:val="26"/>
        </w:rPr>
        <w:t xml:space="preserve">initiative process as recognized by numerous provisions of the Elections Code, it would clearly constitute an abuse of discretion for a court to deny </w:t>
      </w:r>
      <w:r w:rsidRPr="00574F7D">
        <w:rPr>
          <w:rFonts w:eastAsia="Times New Roman" w:cs="Times New Roman"/>
          <w:color w:val="000000"/>
          <w:szCs w:val="26"/>
        </w:rPr>
        <w:t>the official proponents of an initiative the opportunity to participate as formal parties in the proceeding, either as interveners or as real parties in interest”</w:t>
      </w:r>
      <w:r>
        <w:rPr>
          <w:rFonts w:eastAsia="Times New Roman" w:cs="Times New Roman"/>
          <w:color w:val="000000"/>
          <w:szCs w:val="26"/>
        </w:rPr>
        <w:t>)</w:t>
      </w:r>
      <w:r w:rsidRPr="00574F7D">
        <w:rPr>
          <w:rFonts w:eastAsia="Times New Roman" w:cs="Times New Roman"/>
          <w:color w:val="000000"/>
          <w:szCs w:val="26"/>
        </w:rPr>
        <w:t>.</w:t>
      </w:r>
    </w:p>
    <w:p w14:paraId="0E7F1819" w14:textId="77777777" w:rsidR="00574F7D" w:rsidRDefault="00B45E56" w:rsidP="00574F7D">
      <w:pPr>
        <w:pStyle w:val="FootnoteText"/>
        <w:ind w:firstLine="720"/>
      </w:pPr>
    </w:p>
  </w:footnote>
  <w:footnote w:id="17">
    <w:p w14:paraId="3CCC234A" w14:textId="77777777" w:rsidR="002F00C2" w:rsidRDefault="00B45E56" w:rsidP="002F00C2">
      <w:pPr>
        <w:pStyle w:val="FootnoteText"/>
        <w:ind w:firstLine="720"/>
        <w:rPr>
          <w:rFonts w:eastAsia="Times New Roman" w:cs="Times New Roman"/>
          <w:color w:val="000000"/>
          <w:szCs w:val="26"/>
        </w:rPr>
      </w:pPr>
      <w:r>
        <w:rPr>
          <w:rStyle w:val="FootnoteReference"/>
        </w:rPr>
        <w:footnoteRef/>
      </w:r>
      <w:r>
        <w:t xml:space="preserve"> </w:t>
      </w:r>
      <w:r>
        <w:rPr>
          <w:rFonts w:eastAsia="Times New Roman" w:cs="Times New Roman"/>
          <w:color w:val="000000"/>
          <w:szCs w:val="26"/>
        </w:rPr>
        <w:t>See e.g., California Labor Code section 2786; Business and Professions Code section 1720</w:t>
      </w:r>
      <w:r>
        <w:rPr>
          <w:rFonts w:eastAsia="Times New Roman" w:cs="Times New Roman"/>
          <w:color w:val="000000"/>
          <w:szCs w:val="26"/>
        </w:rPr>
        <w:t>4.</w:t>
      </w:r>
    </w:p>
    <w:p w14:paraId="7E72AE2A" w14:textId="77777777" w:rsidR="002F00C2" w:rsidRDefault="00B45E56" w:rsidP="002F00C2">
      <w:pPr>
        <w:pStyle w:val="FootnoteText"/>
        <w:ind w:firstLine="720"/>
      </w:pPr>
      <w:r>
        <w:rPr>
          <w:rFonts w:eastAsia="Times New Roman" w:cs="Times New Roman"/>
          <w:color w:val="000000"/>
          <w:szCs w:val="26"/>
        </w:rPr>
        <w:t xml:space="preserve">  </w:t>
      </w:r>
    </w:p>
  </w:footnote>
  <w:footnote w:id="18">
    <w:p w14:paraId="10906AC3" w14:textId="77777777" w:rsidR="00D5171A" w:rsidRPr="00D5171A" w:rsidRDefault="00B45E56" w:rsidP="00FC73EE">
      <w:pPr>
        <w:shd w:val="clear" w:color="auto" w:fill="FFFFFF"/>
        <w:spacing w:line="320" w:lineRule="atLeast"/>
        <w:ind w:firstLine="720"/>
        <w:rPr>
          <w:szCs w:val="26"/>
        </w:rPr>
      </w:pPr>
      <w:r w:rsidRPr="00D5171A">
        <w:rPr>
          <w:rStyle w:val="FootnoteReference"/>
          <w:szCs w:val="26"/>
        </w:rPr>
        <w:footnoteRef/>
      </w:r>
      <w:r w:rsidRPr="00D5171A">
        <w:rPr>
          <w:szCs w:val="26"/>
        </w:rPr>
        <w:t xml:space="preserve"> Compare, e.g., </w:t>
      </w:r>
      <w:r w:rsidRPr="00475D72">
        <w:rPr>
          <w:rFonts w:eastAsia="Times New Roman" w:cs="Times New Roman"/>
          <w:i/>
          <w:iCs/>
          <w:szCs w:val="26"/>
          <w:bdr w:val="none" w:sz="0" w:space="0" w:color="auto" w:frame="1"/>
        </w:rPr>
        <w:t>Wesson v. Staples the Office Superstore, LLC</w:t>
      </w:r>
      <w:r w:rsidRPr="00475D72">
        <w:rPr>
          <w:rFonts w:eastAsia="Times New Roman" w:cs="Times New Roman"/>
          <w:szCs w:val="26"/>
        </w:rPr>
        <w:t xml:space="preserve"> </w:t>
      </w:r>
      <w:r w:rsidRPr="0083184F">
        <w:rPr>
          <w:rFonts w:eastAsia="Times New Roman" w:cs="Times New Roman"/>
          <w:color w:val="000000"/>
          <w:szCs w:val="26"/>
        </w:rPr>
        <w:t>(2021) 68</w:t>
      </w:r>
      <w:r>
        <w:rPr>
          <w:rFonts w:eastAsia="Times New Roman" w:cs="Times New Roman"/>
          <w:color w:val="000000"/>
          <w:szCs w:val="26"/>
        </w:rPr>
        <w:t> </w:t>
      </w:r>
      <w:r w:rsidRPr="0083184F">
        <w:rPr>
          <w:rFonts w:eastAsia="Times New Roman" w:cs="Times New Roman"/>
          <w:color w:val="000000"/>
          <w:szCs w:val="26"/>
        </w:rPr>
        <w:t xml:space="preserve">Cal.App.5th 746, </w:t>
      </w:r>
      <w:r>
        <w:rPr>
          <w:rFonts w:eastAsia="Times New Roman" w:cs="Times New Roman"/>
          <w:color w:val="000000"/>
          <w:szCs w:val="26"/>
        </w:rPr>
        <w:t>762–763</w:t>
      </w:r>
      <w:r w:rsidRPr="00D5171A">
        <w:rPr>
          <w:rFonts w:eastAsia="Times New Roman" w:cs="Times New Roman"/>
          <w:color w:val="000000"/>
          <w:szCs w:val="26"/>
        </w:rPr>
        <w:t xml:space="preserve"> </w:t>
      </w:r>
      <w:r>
        <w:rPr>
          <w:rFonts w:eastAsia="Times New Roman" w:cs="Times New Roman"/>
          <w:color w:val="000000"/>
          <w:szCs w:val="26"/>
        </w:rPr>
        <w:t>(</w:t>
      </w:r>
      <w:r w:rsidRPr="00D5171A">
        <w:rPr>
          <w:rFonts w:eastAsia="Times New Roman" w:cs="Times New Roman"/>
          <w:color w:val="000000"/>
          <w:szCs w:val="26"/>
        </w:rPr>
        <w:t>“</w:t>
      </w:r>
      <w:r w:rsidRPr="004B32A4">
        <w:rPr>
          <w:rFonts w:eastAsia="Times New Roman" w:cs="Times New Roman"/>
          <w:color w:val="000000"/>
          <w:szCs w:val="26"/>
        </w:rPr>
        <w:t xml:space="preserve">courts have inherent authority to ensure that a </w:t>
      </w:r>
      <w:proofErr w:type="spellStart"/>
      <w:r w:rsidRPr="004B32A4">
        <w:rPr>
          <w:rFonts w:eastAsia="Times New Roman" w:cs="Times New Roman"/>
          <w:color w:val="000000"/>
          <w:szCs w:val="26"/>
        </w:rPr>
        <w:t>PAGA</w:t>
      </w:r>
      <w:proofErr w:type="spellEnd"/>
      <w:r w:rsidRPr="004B32A4">
        <w:rPr>
          <w:rFonts w:eastAsia="Times New Roman" w:cs="Times New Roman"/>
          <w:color w:val="000000"/>
          <w:szCs w:val="26"/>
        </w:rPr>
        <w:t xml:space="preserve"> claim will be manageable at trial</w:t>
      </w:r>
      <w:r w:rsidRPr="00604FBA">
        <w:rPr>
          <w:szCs w:val="26"/>
        </w:rPr>
        <w:t>—</w:t>
      </w:r>
      <w:r w:rsidRPr="004B32A4">
        <w:rPr>
          <w:rFonts w:eastAsia="Times New Roman" w:cs="Times New Roman"/>
          <w:color w:val="000000"/>
          <w:szCs w:val="26"/>
        </w:rPr>
        <w:t>including the power to strike the claim, if necessary</w:t>
      </w:r>
      <w:r w:rsidRPr="00D5171A">
        <w:rPr>
          <w:rFonts w:eastAsia="Times New Roman" w:cs="Times New Roman"/>
          <w:color w:val="000000"/>
          <w:szCs w:val="26"/>
        </w:rPr>
        <w:t>”</w:t>
      </w:r>
      <w:r>
        <w:rPr>
          <w:rFonts w:eastAsia="Times New Roman" w:cs="Times New Roman"/>
          <w:color w:val="000000"/>
          <w:szCs w:val="26"/>
        </w:rPr>
        <w:t>)</w:t>
      </w:r>
      <w:r w:rsidRPr="00D5171A">
        <w:rPr>
          <w:rFonts w:eastAsia="Times New Roman" w:cs="Times New Roman"/>
          <w:color w:val="000000"/>
          <w:szCs w:val="26"/>
        </w:rPr>
        <w:t xml:space="preserve"> with </w:t>
      </w:r>
      <w:r w:rsidRPr="00475D72">
        <w:rPr>
          <w:rFonts w:eastAsia="Times New Roman" w:cs="Times New Roman"/>
          <w:i/>
          <w:iCs/>
          <w:szCs w:val="26"/>
          <w:bdr w:val="none" w:sz="0" w:space="0" w:color="auto" w:frame="1"/>
        </w:rPr>
        <w:t>Estrada v. Royalty Carpet Mills, Inc.</w:t>
      </w:r>
      <w:r w:rsidRPr="00475D72">
        <w:rPr>
          <w:rFonts w:eastAsia="Times New Roman" w:cs="Times New Roman"/>
          <w:szCs w:val="26"/>
        </w:rPr>
        <w:t xml:space="preserve"> (2022</w:t>
      </w:r>
      <w:r w:rsidRPr="00030393">
        <w:rPr>
          <w:rFonts w:eastAsia="Times New Roman" w:cs="Times New Roman"/>
          <w:color w:val="000000"/>
          <w:szCs w:val="26"/>
        </w:rPr>
        <w:t>) 76</w:t>
      </w:r>
      <w:r>
        <w:rPr>
          <w:rFonts w:eastAsia="Times New Roman" w:cs="Times New Roman"/>
          <w:color w:val="000000"/>
          <w:szCs w:val="26"/>
        </w:rPr>
        <w:t> </w:t>
      </w:r>
      <w:r w:rsidRPr="00030393">
        <w:rPr>
          <w:rFonts w:eastAsia="Times New Roman" w:cs="Times New Roman"/>
          <w:color w:val="000000"/>
          <w:szCs w:val="26"/>
        </w:rPr>
        <w:t>Cal.App.5th 685, 697</w:t>
      </w:r>
      <w:r w:rsidRPr="00D5171A">
        <w:rPr>
          <w:rFonts w:eastAsia="Times New Roman" w:cs="Times New Roman"/>
          <w:color w:val="000000"/>
          <w:szCs w:val="26"/>
        </w:rPr>
        <w:t xml:space="preserve"> </w:t>
      </w:r>
      <w:r>
        <w:rPr>
          <w:rFonts w:eastAsia="Times New Roman" w:cs="Times New Roman"/>
          <w:color w:val="000000"/>
          <w:szCs w:val="26"/>
        </w:rPr>
        <w:t>(</w:t>
      </w:r>
      <w:r w:rsidRPr="00D5171A">
        <w:rPr>
          <w:rFonts w:eastAsia="Times New Roman" w:cs="Times New Roman"/>
          <w:color w:val="000000"/>
          <w:szCs w:val="26"/>
        </w:rPr>
        <w:t>disagreeing that striking difficult to manage claims is consistent with the statutory scheme, but acknowledging that “[c]</w:t>
      </w:r>
      <w:proofErr w:type="spellStart"/>
      <w:r w:rsidRPr="00D5171A">
        <w:rPr>
          <w:rFonts w:eastAsia="Times New Roman" w:cs="Times New Roman"/>
          <w:color w:val="000000"/>
          <w:szCs w:val="26"/>
        </w:rPr>
        <w:t>ourts</w:t>
      </w:r>
      <w:proofErr w:type="spellEnd"/>
      <w:r w:rsidRPr="00D5171A">
        <w:rPr>
          <w:rFonts w:eastAsia="Times New Roman" w:cs="Times New Roman"/>
          <w:color w:val="000000"/>
          <w:szCs w:val="26"/>
        </w:rPr>
        <w:t xml:space="preserve"> may still, where appropriate and within reason, limit</w:t>
      </w:r>
      <w:r w:rsidRPr="00D5171A">
        <w:rPr>
          <w:rFonts w:eastAsia="Times New Roman" w:cs="Times New Roman"/>
          <w:color w:val="000000"/>
          <w:szCs w:val="26"/>
        </w:rPr>
        <w:t xml:space="preserve"> the amount of evidence </w:t>
      </w:r>
      <w:proofErr w:type="spellStart"/>
      <w:r w:rsidRPr="00D5171A">
        <w:rPr>
          <w:rFonts w:eastAsia="Times New Roman" w:cs="Times New Roman"/>
          <w:color w:val="000000"/>
          <w:szCs w:val="26"/>
          <w:bdr w:val="none" w:sz="0" w:space="0" w:color="auto" w:frame="1"/>
          <w:shd w:val="clear" w:color="auto" w:fill="FFFFFF"/>
        </w:rPr>
        <w:t>PAGA</w:t>
      </w:r>
      <w:proofErr w:type="spellEnd"/>
      <w:r w:rsidRPr="00D5171A">
        <w:rPr>
          <w:rFonts w:eastAsia="Times New Roman" w:cs="Times New Roman"/>
          <w:color w:val="000000"/>
          <w:szCs w:val="26"/>
        </w:rPr>
        <w:t xml:space="preserve"> plaintiffs may introduce at trial to prove alleged violations to other unrepresented employees”</w:t>
      </w:r>
      <w:r>
        <w:rPr>
          <w:rFonts w:eastAsia="Times New Roman" w:cs="Times New Roman"/>
          <w:color w:val="000000"/>
          <w:szCs w:val="26"/>
        </w:rPr>
        <w:t>), review granted June 22, 2022, S274340</w:t>
      </w:r>
      <w:r w:rsidRPr="00D5171A">
        <w:rPr>
          <w:rFonts w:eastAsia="Times New Roman" w:cs="Times New Roman"/>
          <w:color w:val="000000"/>
          <w:szCs w:val="26"/>
        </w:rPr>
        <w:t xml:space="preserve">. </w:t>
      </w:r>
    </w:p>
  </w:footnote>
  <w:footnote w:id="19">
    <w:p w14:paraId="0F5C64BA" w14:textId="77777777" w:rsidR="00855F57" w:rsidRPr="00855F57" w:rsidRDefault="00B45E56" w:rsidP="00855F57">
      <w:pPr>
        <w:pStyle w:val="FootnoteText"/>
        <w:ind w:firstLine="720"/>
        <w:rPr>
          <w:szCs w:val="26"/>
        </w:rPr>
      </w:pPr>
      <w:r w:rsidRPr="00855F57">
        <w:rPr>
          <w:rStyle w:val="FootnoteReference"/>
          <w:szCs w:val="26"/>
        </w:rPr>
        <w:footnoteRef/>
      </w:r>
      <w:r w:rsidRPr="00855F57">
        <w:rPr>
          <w:szCs w:val="26"/>
        </w:rPr>
        <w:t xml:space="preserve"> </w:t>
      </w:r>
      <w:r w:rsidRPr="00855F57">
        <w:rPr>
          <w:rFonts w:eastAsia="Times New Roman" w:cs="Times New Roman"/>
          <w:color w:val="000000"/>
          <w:szCs w:val="26"/>
        </w:rPr>
        <w:t>Code</w:t>
      </w:r>
      <w:r>
        <w:rPr>
          <w:rFonts w:eastAsia="Times New Roman" w:cs="Times New Roman"/>
          <w:color w:val="000000"/>
          <w:szCs w:val="26"/>
        </w:rPr>
        <w:t xml:space="preserve"> of</w:t>
      </w:r>
      <w:r w:rsidRPr="00855F57">
        <w:rPr>
          <w:rFonts w:eastAsia="Times New Roman" w:cs="Times New Roman"/>
          <w:color w:val="000000"/>
          <w:szCs w:val="26"/>
        </w:rPr>
        <w:t xml:space="preserve"> Civ</w:t>
      </w:r>
      <w:r>
        <w:rPr>
          <w:rFonts w:eastAsia="Times New Roman" w:cs="Times New Roman"/>
          <w:color w:val="000000"/>
          <w:szCs w:val="26"/>
        </w:rPr>
        <w:t>il</w:t>
      </w:r>
      <w:r w:rsidRPr="00855F57">
        <w:rPr>
          <w:rFonts w:eastAsia="Times New Roman" w:cs="Times New Roman"/>
          <w:color w:val="000000"/>
          <w:szCs w:val="26"/>
        </w:rPr>
        <w:t xml:space="preserve"> Proc</w:t>
      </w:r>
      <w:r>
        <w:rPr>
          <w:rFonts w:eastAsia="Times New Roman" w:cs="Times New Roman"/>
          <w:color w:val="000000"/>
          <w:szCs w:val="26"/>
        </w:rPr>
        <w:t>edure</w:t>
      </w:r>
      <w:r w:rsidRPr="00855F57">
        <w:rPr>
          <w:rFonts w:eastAsia="Times New Roman" w:cs="Times New Roman"/>
          <w:color w:val="000000"/>
          <w:szCs w:val="26"/>
        </w:rPr>
        <w:t xml:space="preserve">, </w:t>
      </w:r>
      <w:r>
        <w:rPr>
          <w:rFonts w:eastAsia="Times New Roman" w:cs="Times New Roman"/>
          <w:color w:val="000000"/>
          <w:szCs w:val="26"/>
        </w:rPr>
        <w:t>section</w:t>
      </w:r>
      <w:r w:rsidRPr="00855F57">
        <w:rPr>
          <w:rFonts w:eastAsia="Times New Roman" w:cs="Times New Roman"/>
          <w:color w:val="000000"/>
          <w:szCs w:val="26"/>
        </w:rPr>
        <w:t xml:space="preserve"> 404 et seq.; Cal</w:t>
      </w:r>
      <w:r>
        <w:rPr>
          <w:rFonts w:eastAsia="Times New Roman" w:cs="Times New Roman"/>
          <w:color w:val="000000"/>
          <w:szCs w:val="26"/>
        </w:rPr>
        <w:t>ifornia</w:t>
      </w:r>
      <w:r w:rsidRPr="00855F57">
        <w:rPr>
          <w:rFonts w:eastAsia="Times New Roman" w:cs="Times New Roman"/>
          <w:color w:val="000000"/>
          <w:szCs w:val="26"/>
        </w:rPr>
        <w:t xml:space="preserve"> Rules of Court, rule 3.501 et </w:t>
      </w:r>
      <w:r w:rsidRPr="00855F57">
        <w:rPr>
          <w:rFonts w:eastAsia="Times New Roman" w:cs="Times New Roman"/>
          <w:color w:val="000000"/>
          <w:szCs w:val="26"/>
        </w:rPr>
        <w:t xml:space="preserve">seq.; see </w:t>
      </w:r>
      <w:r w:rsidRPr="008B62B2">
        <w:rPr>
          <w:rFonts w:eastAsia="Times New Roman" w:cs="Times New Roman"/>
          <w:i/>
          <w:iCs/>
          <w:szCs w:val="26"/>
          <w:bdr w:val="none" w:sz="0" w:space="0" w:color="auto" w:frame="1"/>
        </w:rPr>
        <w:t>Doe v. Google, Inc.</w:t>
      </w:r>
      <w:r w:rsidRPr="008B62B2">
        <w:rPr>
          <w:rFonts w:eastAsia="Times New Roman" w:cs="Times New Roman"/>
          <w:szCs w:val="26"/>
        </w:rPr>
        <w:t xml:space="preserve"> </w:t>
      </w:r>
      <w:r w:rsidRPr="001F36C1">
        <w:rPr>
          <w:rFonts w:eastAsia="Times New Roman" w:cs="Times New Roman"/>
          <w:color w:val="000000"/>
          <w:szCs w:val="26"/>
        </w:rPr>
        <w:t>(2020) 54</w:t>
      </w:r>
      <w:r>
        <w:rPr>
          <w:rFonts w:eastAsia="Times New Roman" w:cs="Times New Roman"/>
          <w:color w:val="000000"/>
          <w:szCs w:val="26"/>
        </w:rPr>
        <w:t> </w:t>
      </w:r>
      <w:r w:rsidRPr="001F36C1">
        <w:rPr>
          <w:rFonts w:eastAsia="Times New Roman" w:cs="Times New Roman"/>
          <w:color w:val="000000"/>
          <w:szCs w:val="26"/>
        </w:rPr>
        <w:t>Cal.App.5th 948, 969</w:t>
      </w:r>
      <w:r>
        <w:rPr>
          <w:rFonts w:eastAsia="Times New Roman" w:cs="Times New Roman"/>
          <w:color w:val="000000"/>
          <w:szCs w:val="26"/>
        </w:rPr>
        <w:t xml:space="preserve">. </w:t>
      </w:r>
    </w:p>
  </w:footnote>
  <w:footnote w:id="20">
    <w:p w14:paraId="6690FBA6" w14:textId="77777777" w:rsidR="00120AC4" w:rsidRDefault="00B45E56" w:rsidP="00120AC4">
      <w:pPr>
        <w:shd w:val="clear" w:color="auto" w:fill="FFFFFF"/>
        <w:spacing w:line="320" w:lineRule="atLeast"/>
        <w:ind w:firstLine="720"/>
        <w:rPr>
          <w:szCs w:val="26"/>
        </w:rPr>
      </w:pPr>
    </w:p>
    <w:p w14:paraId="63130577" w14:textId="77777777" w:rsidR="00120AC4" w:rsidRPr="00D51346" w:rsidRDefault="00B45E56" w:rsidP="00DC63BB">
      <w:pPr>
        <w:shd w:val="clear" w:color="auto" w:fill="FFFFFF"/>
        <w:spacing w:line="320" w:lineRule="atLeast"/>
        <w:ind w:firstLine="720"/>
      </w:pPr>
      <w:r w:rsidRPr="00855F57">
        <w:rPr>
          <w:rStyle w:val="FootnoteReference"/>
          <w:szCs w:val="26"/>
        </w:rPr>
        <w:footnoteRef/>
      </w:r>
      <w:r w:rsidRPr="00855F57">
        <w:rPr>
          <w:szCs w:val="26"/>
        </w:rPr>
        <w:t xml:space="preserve"> </w:t>
      </w:r>
      <w:r>
        <w:rPr>
          <w:szCs w:val="26"/>
        </w:rPr>
        <w:t xml:space="preserve">See </w:t>
      </w:r>
      <w:r w:rsidRPr="00420B2C">
        <w:rPr>
          <w:rFonts w:eastAsia="Times New Roman" w:cs="Times New Roman"/>
          <w:i/>
          <w:bdr w:val="none" w:sz="0" w:space="0" w:color="auto" w:frame="1"/>
        </w:rPr>
        <w:t>Guerrero v. Department of Corrections &amp; Rehabilitation</w:t>
      </w:r>
      <w:r w:rsidRPr="00420B2C">
        <w:rPr>
          <w:rFonts w:eastAsia="Times New Roman" w:cs="Times New Roman"/>
        </w:rPr>
        <w:t xml:space="preserve"> (2018) 28</w:t>
      </w:r>
      <w:r>
        <w:rPr>
          <w:rFonts w:eastAsia="Times New Roman" w:cs="Times New Roman"/>
        </w:rPr>
        <w:t> </w:t>
      </w:r>
      <w:r w:rsidRPr="00420B2C">
        <w:rPr>
          <w:rFonts w:eastAsia="Times New Roman" w:cs="Times New Roman"/>
        </w:rPr>
        <w:t>Cal.App.5th 1091</w:t>
      </w:r>
      <w:r>
        <w:rPr>
          <w:rFonts w:eastAsia="Times New Roman" w:cs="Times New Roman"/>
        </w:rPr>
        <w:t xml:space="preserve"> (claim preclusion); </w:t>
      </w:r>
      <w:r w:rsidRPr="00B81107">
        <w:rPr>
          <w:rFonts w:eastAsia="Times New Roman" w:cs="Times New Roman"/>
          <w:i/>
          <w:iCs/>
          <w:szCs w:val="26"/>
          <w:bdr w:val="none" w:sz="0" w:space="0" w:color="auto" w:frame="1"/>
        </w:rPr>
        <w:t>Ayala v. Dawson</w:t>
      </w:r>
      <w:r w:rsidRPr="00B81107">
        <w:rPr>
          <w:rFonts w:eastAsia="Times New Roman" w:cs="Times New Roman"/>
          <w:szCs w:val="26"/>
        </w:rPr>
        <w:t xml:space="preserve"> (2017</w:t>
      </w:r>
      <w:r w:rsidRPr="00B70070">
        <w:rPr>
          <w:rFonts w:eastAsia="Times New Roman" w:cs="Times New Roman"/>
          <w:color w:val="000000"/>
          <w:szCs w:val="26"/>
        </w:rPr>
        <w:t>) 13</w:t>
      </w:r>
      <w:r>
        <w:rPr>
          <w:rFonts w:eastAsia="Times New Roman" w:cs="Times New Roman"/>
          <w:color w:val="000000"/>
          <w:szCs w:val="26"/>
        </w:rPr>
        <w:t> </w:t>
      </w:r>
      <w:r w:rsidRPr="00B70070">
        <w:rPr>
          <w:rFonts w:eastAsia="Times New Roman" w:cs="Times New Roman"/>
          <w:color w:val="000000"/>
          <w:szCs w:val="26"/>
        </w:rPr>
        <w:t>Cal.App.5th 1319</w:t>
      </w:r>
      <w:r>
        <w:rPr>
          <w:rFonts w:eastAsia="Times New Roman" w:cs="Times New Roman"/>
          <w:color w:val="000000"/>
          <w:szCs w:val="26"/>
        </w:rPr>
        <w:t xml:space="preserve"> (issue preclusion).  We have no occasion here to address the reach of these preclusion rules, except to note, as we did in </w:t>
      </w:r>
      <w:r w:rsidRPr="00DC63BB">
        <w:rPr>
          <w:rFonts w:eastAsia="Times New Roman" w:cs="Times New Roman"/>
          <w:i/>
          <w:iCs/>
          <w:color w:val="000000"/>
          <w:szCs w:val="26"/>
        </w:rPr>
        <w:t>Moniz</w:t>
      </w:r>
      <w:r>
        <w:rPr>
          <w:rFonts w:eastAsia="Times New Roman" w:cs="Times New Roman"/>
          <w:color w:val="000000"/>
          <w:szCs w:val="26"/>
        </w:rPr>
        <w:t xml:space="preserve">, that the </w:t>
      </w:r>
      <w:r>
        <w:rPr>
          <w:rFonts w:eastAsia="Times New Roman"/>
          <w:color w:val="000000"/>
        </w:rPr>
        <w:t xml:space="preserve">preclusive effect of a prior </w:t>
      </w:r>
      <w:proofErr w:type="spellStart"/>
      <w:r>
        <w:rPr>
          <w:rFonts w:eastAsia="Times New Roman"/>
          <w:color w:val="000000"/>
        </w:rPr>
        <w:t>PAGA</w:t>
      </w:r>
      <w:proofErr w:type="spellEnd"/>
      <w:r>
        <w:rPr>
          <w:rFonts w:eastAsia="Times New Roman"/>
          <w:color w:val="000000"/>
        </w:rPr>
        <w:t xml:space="preserve"> judgment will be determined by the court in which the defense of preclusion is ass</w:t>
      </w:r>
      <w:r>
        <w:rPr>
          <w:rFonts w:eastAsia="Times New Roman"/>
          <w:color w:val="000000"/>
        </w:rPr>
        <w:t>erted, not by the court rendering the judgment.  (</w:t>
      </w:r>
      <w:r>
        <w:rPr>
          <w:i/>
          <w:iCs/>
        </w:rPr>
        <w:t xml:space="preserve">Moniz, supra, </w:t>
      </w:r>
      <w:r>
        <w:t>72 Cal.App.5th at p. 84</w:t>
      </w:r>
      <w:r>
        <w:rPr>
          <w:rFonts w:eastAsia="Times New Roman"/>
          <w:color w:val="000000"/>
        </w:rPr>
        <w:t xml:space="preserve">.)  </w:t>
      </w:r>
    </w:p>
  </w:footnote>
  <w:footnote w:id="21">
    <w:p w14:paraId="6BC5913A" w14:textId="77777777" w:rsidR="0005160B" w:rsidRPr="00E9511E" w:rsidRDefault="00B45E56" w:rsidP="00E9511E">
      <w:pPr>
        <w:shd w:val="clear" w:color="auto" w:fill="FFFFFF"/>
        <w:tabs>
          <w:tab w:val="clear" w:pos="720"/>
        </w:tabs>
        <w:spacing w:line="320" w:lineRule="atLeast"/>
        <w:ind w:firstLine="720"/>
        <w:rPr>
          <w:szCs w:val="26"/>
        </w:rPr>
      </w:pPr>
      <w:r w:rsidRPr="00E9511E">
        <w:rPr>
          <w:rStyle w:val="FootnoteReference"/>
          <w:szCs w:val="26"/>
        </w:rPr>
        <w:footnoteRef/>
      </w:r>
      <w:r w:rsidRPr="00E9511E">
        <w:rPr>
          <w:szCs w:val="26"/>
        </w:rPr>
        <w:t xml:space="preserve"> Pushing this argument to its limits, </w:t>
      </w:r>
      <w:proofErr w:type="spellStart"/>
      <w:r w:rsidRPr="00E9511E">
        <w:rPr>
          <w:szCs w:val="26"/>
        </w:rPr>
        <w:t>Piplack</w:t>
      </w:r>
      <w:proofErr w:type="spellEnd"/>
      <w:r w:rsidRPr="00E9511E">
        <w:rPr>
          <w:szCs w:val="26"/>
        </w:rPr>
        <w:t xml:space="preserve"> and Taylor attempt to frame th</w:t>
      </w:r>
      <w:r>
        <w:rPr>
          <w:szCs w:val="26"/>
        </w:rPr>
        <w:t>e</w:t>
      </w:r>
      <w:r w:rsidRPr="00E9511E">
        <w:rPr>
          <w:szCs w:val="26"/>
        </w:rPr>
        <w:t xml:space="preserve"> issue in jurisdictional terms.  They contend the trial court lacks fundamental jurisdiction to entertain </w:t>
      </w:r>
      <w:proofErr w:type="spellStart"/>
      <w:r w:rsidRPr="00E9511E">
        <w:rPr>
          <w:szCs w:val="26"/>
        </w:rPr>
        <w:t>PAGA</w:t>
      </w:r>
      <w:proofErr w:type="spellEnd"/>
      <w:r w:rsidRPr="00E9511E">
        <w:rPr>
          <w:szCs w:val="26"/>
        </w:rPr>
        <w:t xml:space="preserve"> claims going beyond the </w:t>
      </w:r>
      <w:proofErr w:type="spellStart"/>
      <w:r w:rsidRPr="00E9511E">
        <w:rPr>
          <w:szCs w:val="26"/>
        </w:rPr>
        <w:t>Accurso</w:t>
      </w:r>
      <w:proofErr w:type="spellEnd"/>
      <w:r w:rsidRPr="00E9511E">
        <w:rPr>
          <w:szCs w:val="26"/>
        </w:rPr>
        <w:t xml:space="preserve"> </w:t>
      </w:r>
      <w:proofErr w:type="spellStart"/>
      <w:r w:rsidRPr="00E9511E">
        <w:rPr>
          <w:szCs w:val="26"/>
        </w:rPr>
        <w:t>LWDA</w:t>
      </w:r>
      <w:proofErr w:type="spellEnd"/>
      <w:r w:rsidRPr="00E9511E">
        <w:rPr>
          <w:szCs w:val="26"/>
        </w:rPr>
        <w:t xml:space="preserve"> notice and hence to enter judgment on a settlement purporting to release anything more.  A judgment in such </w:t>
      </w:r>
      <w:r w:rsidRPr="00E9511E">
        <w:rPr>
          <w:szCs w:val="26"/>
        </w:rPr>
        <w:t xml:space="preserve">a case would be void, they argue.  We disagree with that analysis and decline to go </w:t>
      </w:r>
      <w:r>
        <w:rPr>
          <w:szCs w:val="26"/>
        </w:rPr>
        <w:t>so</w:t>
      </w:r>
      <w:r w:rsidRPr="00E9511E">
        <w:rPr>
          <w:szCs w:val="26"/>
        </w:rPr>
        <w:t xml:space="preserve"> far.  In jurisdictional terms, the prospect that the scope of a settlement or adjudication of this case </w:t>
      </w:r>
      <w:r w:rsidRPr="00E9511E">
        <w:rPr>
          <w:i/>
          <w:iCs/>
          <w:szCs w:val="26"/>
        </w:rPr>
        <w:t>may</w:t>
      </w:r>
      <w:r w:rsidRPr="00E9511E">
        <w:rPr>
          <w:szCs w:val="26"/>
        </w:rPr>
        <w:t xml:space="preserve"> go beyond </w:t>
      </w:r>
      <w:proofErr w:type="spellStart"/>
      <w:r w:rsidRPr="00E9511E">
        <w:rPr>
          <w:szCs w:val="26"/>
        </w:rPr>
        <w:t>Accurso’s</w:t>
      </w:r>
      <w:proofErr w:type="spellEnd"/>
      <w:r w:rsidRPr="00E9511E">
        <w:rPr>
          <w:szCs w:val="26"/>
        </w:rPr>
        <w:t xml:space="preserve"> </w:t>
      </w:r>
      <w:proofErr w:type="spellStart"/>
      <w:r w:rsidRPr="00E9511E">
        <w:rPr>
          <w:szCs w:val="26"/>
        </w:rPr>
        <w:t>LWDA</w:t>
      </w:r>
      <w:proofErr w:type="spellEnd"/>
      <w:r w:rsidRPr="00E9511E">
        <w:rPr>
          <w:szCs w:val="26"/>
        </w:rPr>
        <w:t xml:space="preserve"> notice </w:t>
      </w:r>
      <w:r>
        <w:rPr>
          <w:szCs w:val="26"/>
        </w:rPr>
        <w:t xml:space="preserve">creates the prospect that to </w:t>
      </w:r>
      <w:r>
        <w:rPr>
          <w:szCs w:val="26"/>
        </w:rPr>
        <w:t xml:space="preserve">some extent the </w:t>
      </w:r>
      <w:r w:rsidRPr="00E9511E">
        <w:rPr>
          <w:szCs w:val="26"/>
        </w:rPr>
        <w:t>proceeding</w:t>
      </w:r>
      <w:r>
        <w:rPr>
          <w:szCs w:val="26"/>
        </w:rPr>
        <w:t xml:space="preserve">s in this case may be </w:t>
      </w:r>
      <w:proofErr w:type="gramStart"/>
      <w:r w:rsidRPr="00E9511E">
        <w:rPr>
          <w:szCs w:val="26"/>
        </w:rPr>
        <w:t>in excess of</w:t>
      </w:r>
      <w:proofErr w:type="gramEnd"/>
      <w:r w:rsidRPr="00E9511E">
        <w:rPr>
          <w:szCs w:val="26"/>
        </w:rPr>
        <w:t xml:space="preserve"> </w:t>
      </w:r>
      <w:r>
        <w:rPr>
          <w:szCs w:val="26"/>
        </w:rPr>
        <w:t xml:space="preserve">the court’s </w:t>
      </w:r>
      <w:r w:rsidRPr="00E9511E">
        <w:rPr>
          <w:szCs w:val="26"/>
        </w:rPr>
        <w:t xml:space="preserve">jurisdiction (voidability), not </w:t>
      </w:r>
      <w:r>
        <w:rPr>
          <w:szCs w:val="26"/>
        </w:rPr>
        <w:t xml:space="preserve">that the court lacks </w:t>
      </w:r>
      <w:r w:rsidRPr="00E9511E">
        <w:rPr>
          <w:szCs w:val="26"/>
        </w:rPr>
        <w:t>fundamental jurisdiction (voidness).  (</w:t>
      </w:r>
      <w:r w:rsidRPr="00E9511E">
        <w:rPr>
          <w:i/>
          <w:iCs/>
          <w:szCs w:val="26"/>
        </w:rPr>
        <w:t>Green v. City of Oceanside</w:t>
      </w:r>
      <w:r w:rsidRPr="00E9511E">
        <w:rPr>
          <w:szCs w:val="26"/>
        </w:rPr>
        <w:t xml:space="preserve"> (1987) 194</w:t>
      </w:r>
      <w:r>
        <w:rPr>
          <w:szCs w:val="26"/>
        </w:rPr>
        <w:t> </w:t>
      </w:r>
      <w:r w:rsidRPr="00E9511E">
        <w:rPr>
          <w:szCs w:val="26"/>
        </w:rPr>
        <w:t xml:space="preserve">Cal.App.3d 212, </w:t>
      </w:r>
      <w:r>
        <w:rPr>
          <w:szCs w:val="26"/>
        </w:rPr>
        <w:t>221–</w:t>
      </w:r>
      <w:r w:rsidRPr="00E9511E">
        <w:rPr>
          <w:szCs w:val="26"/>
        </w:rPr>
        <w:t xml:space="preserve">222; see </w:t>
      </w:r>
      <w:proofErr w:type="spellStart"/>
      <w:r w:rsidRPr="00E93146">
        <w:rPr>
          <w:rFonts w:eastAsia="Times New Roman" w:cs="Times New Roman"/>
          <w:i/>
          <w:iCs/>
          <w:szCs w:val="26"/>
          <w:bdr w:val="none" w:sz="0" w:space="0" w:color="auto" w:frame="1"/>
        </w:rPr>
        <w:t>Abelleira</w:t>
      </w:r>
      <w:proofErr w:type="spellEnd"/>
      <w:r w:rsidRPr="00E93146">
        <w:rPr>
          <w:rFonts w:eastAsia="Times New Roman" w:cs="Times New Roman"/>
          <w:i/>
          <w:iCs/>
          <w:szCs w:val="26"/>
          <w:bdr w:val="none" w:sz="0" w:space="0" w:color="auto" w:frame="1"/>
        </w:rPr>
        <w:t xml:space="preserve"> v. District Co</w:t>
      </w:r>
      <w:r w:rsidRPr="00E93146">
        <w:rPr>
          <w:rFonts w:eastAsia="Times New Roman" w:cs="Times New Roman"/>
          <w:i/>
          <w:iCs/>
          <w:szCs w:val="26"/>
          <w:bdr w:val="none" w:sz="0" w:space="0" w:color="auto" w:frame="1"/>
        </w:rPr>
        <w:t>urt of Appeal</w:t>
      </w:r>
      <w:r w:rsidRPr="00E93146">
        <w:rPr>
          <w:rFonts w:eastAsia="Times New Roman" w:cs="Times New Roman"/>
          <w:szCs w:val="26"/>
        </w:rPr>
        <w:t xml:space="preserve"> </w:t>
      </w:r>
      <w:r w:rsidRPr="006D1349">
        <w:rPr>
          <w:rFonts w:eastAsia="Times New Roman" w:cs="Times New Roman"/>
          <w:color w:val="000000"/>
          <w:szCs w:val="26"/>
        </w:rPr>
        <w:t>(1941) 17</w:t>
      </w:r>
      <w:r>
        <w:rPr>
          <w:rFonts w:eastAsia="Times New Roman" w:cs="Times New Roman"/>
          <w:color w:val="000000"/>
          <w:szCs w:val="26"/>
        </w:rPr>
        <w:t> </w:t>
      </w:r>
      <w:r w:rsidRPr="006D1349">
        <w:rPr>
          <w:rFonts w:eastAsia="Times New Roman" w:cs="Times New Roman"/>
          <w:color w:val="000000"/>
          <w:szCs w:val="26"/>
        </w:rPr>
        <w:t>Cal.2d 280, 291</w:t>
      </w:r>
      <w:r w:rsidRPr="00E9511E">
        <w:rPr>
          <w:rFonts w:eastAsia="Times New Roman" w:cs="Times New Roman"/>
          <w:color w:val="000000"/>
          <w:szCs w:val="26"/>
        </w:rPr>
        <w:t xml:space="preserve">.)  </w:t>
      </w:r>
    </w:p>
    <w:p w14:paraId="15614699" w14:textId="77777777" w:rsidR="0005160B" w:rsidRDefault="00B45E56">
      <w:pPr>
        <w:pStyle w:val="FootnoteText"/>
      </w:pPr>
    </w:p>
  </w:footnote>
  <w:footnote w:id="22">
    <w:p w14:paraId="4FDE1E0B" w14:textId="77777777" w:rsidR="00844F72" w:rsidRDefault="00B45E56" w:rsidP="00C418F3">
      <w:pPr>
        <w:pStyle w:val="FootnoteText"/>
        <w:ind w:firstLine="720"/>
      </w:pPr>
      <w:r>
        <w:rPr>
          <w:rStyle w:val="FootnoteReference"/>
        </w:rPr>
        <w:footnoteRef/>
      </w:r>
      <w:r>
        <w:t xml:space="preserve"> </w:t>
      </w:r>
      <w:proofErr w:type="spellStart"/>
      <w:r>
        <w:t>Accurso</w:t>
      </w:r>
      <w:proofErr w:type="spellEnd"/>
      <w:r>
        <w:t xml:space="preserve"> begins his version of this argument with the unexplained pronouncement that “As a preliminarily matter, there is no adequacy requirement in a </w:t>
      </w:r>
      <w:proofErr w:type="spellStart"/>
      <w:r>
        <w:t>PAGA</w:t>
      </w:r>
      <w:proofErr w:type="spellEnd"/>
      <w:r>
        <w:t xml:space="preserve"> action.”  This contention appears to be a reiteration </w:t>
      </w:r>
      <w:r>
        <w:t xml:space="preserve">of his reliance on </w:t>
      </w:r>
      <w:proofErr w:type="spellStart"/>
      <w:r w:rsidRPr="00C418F3">
        <w:rPr>
          <w:i/>
          <w:iCs/>
        </w:rPr>
        <w:t>Turrieta</w:t>
      </w:r>
      <w:proofErr w:type="spellEnd"/>
      <w:r>
        <w:t xml:space="preserve">; earlier in his responding brief, </w:t>
      </w:r>
      <w:proofErr w:type="spellStart"/>
      <w:r>
        <w:t>Accurso</w:t>
      </w:r>
      <w:proofErr w:type="spellEnd"/>
      <w:r>
        <w:t xml:space="preserve"> states that “</w:t>
      </w:r>
      <w:r w:rsidRPr="00C418F3">
        <w:t xml:space="preserve">the </w:t>
      </w:r>
      <w:proofErr w:type="spellStart"/>
      <w:r w:rsidRPr="00C418F3">
        <w:t>LWDA</w:t>
      </w:r>
      <w:proofErr w:type="spellEnd"/>
      <w:r w:rsidRPr="00C418F3">
        <w:t xml:space="preserve"> </w:t>
      </w:r>
      <w:r>
        <w:t xml:space="preserve">alone has the ability to express its views on the adequacy of any potential settlement of </w:t>
      </w:r>
      <w:proofErr w:type="spellStart"/>
      <w:r>
        <w:t>PAGA</w:t>
      </w:r>
      <w:proofErr w:type="spellEnd"/>
      <w:r>
        <w:t xml:space="preserve"> claims.”  That appears to be the premise of the suggestion that any a</w:t>
      </w:r>
      <w:r>
        <w:t xml:space="preserve">nalysis of adequacy of representation can be disregarded in a </w:t>
      </w:r>
      <w:proofErr w:type="spellStart"/>
      <w:r>
        <w:t>PAGA</w:t>
      </w:r>
      <w:proofErr w:type="spellEnd"/>
      <w:r>
        <w:t xml:space="preserve"> action.  As explained above, we disagree that </w:t>
      </w:r>
      <w:proofErr w:type="spellStart"/>
      <w:r w:rsidRPr="000B3895">
        <w:rPr>
          <w:i/>
          <w:iCs/>
        </w:rPr>
        <w:t>Turrieta</w:t>
      </w:r>
      <w:proofErr w:type="spellEnd"/>
      <w:r w:rsidRPr="000B3895">
        <w:rPr>
          <w:i/>
          <w:iCs/>
        </w:rPr>
        <w:t xml:space="preserve"> </w:t>
      </w:r>
      <w:r>
        <w:t xml:space="preserve">controls, and in any </w:t>
      </w:r>
      <w:proofErr w:type="gramStart"/>
      <w:r>
        <w:t>event</w:t>
      </w:r>
      <w:proofErr w:type="gramEnd"/>
      <w:r>
        <w:t xml:space="preserve"> we reject the idea that there is anything in the </w:t>
      </w:r>
      <w:proofErr w:type="spellStart"/>
      <w:r>
        <w:t>PAGA</w:t>
      </w:r>
      <w:proofErr w:type="spellEnd"/>
      <w:r>
        <w:t xml:space="preserve"> statutory scheme that makes it unnecessary to conside</w:t>
      </w:r>
      <w:r>
        <w:t xml:space="preserve">r adequacy of representation in an analysis of mandatory intervention under section 387, subdivision (b)(1)(D) in </w:t>
      </w:r>
      <w:proofErr w:type="spellStart"/>
      <w:r>
        <w:t>PAGA</w:t>
      </w:r>
      <w:proofErr w:type="spellEnd"/>
      <w:r>
        <w:t xml:space="preserve"> actions.</w:t>
      </w:r>
    </w:p>
  </w:footnote>
  <w:footnote w:id="23">
    <w:p w14:paraId="17336A42" w14:textId="77777777" w:rsidR="00C944CF" w:rsidRPr="00477BB5" w:rsidRDefault="00B45E56" w:rsidP="00DA4A50">
      <w:pPr>
        <w:shd w:val="clear" w:color="auto" w:fill="FFFFFF"/>
        <w:tabs>
          <w:tab w:val="clear" w:pos="720"/>
        </w:tabs>
        <w:spacing w:line="320" w:lineRule="atLeast"/>
        <w:ind w:firstLine="720"/>
      </w:pPr>
      <w:r w:rsidRPr="00924FA2">
        <w:rPr>
          <w:rStyle w:val="FootnoteReference"/>
          <w:szCs w:val="26"/>
        </w:rPr>
        <w:footnoteRef/>
      </w:r>
      <w:r w:rsidRPr="00924FA2">
        <w:rPr>
          <w:szCs w:val="26"/>
        </w:rPr>
        <w:t xml:space="preserve"> </w:t>
      </w:r>
      <w:r w:rsidRPr="00477BB5">
        <w:rPr>
          <w:szCs w:val="26"/>
        </w:rPr>
        <w:t xml:space="preserve">See </w:t>
      </w:r>
      <w:r w:rsidRPr="00477BB5">
        <w:rPr>
          <w:rFonts w:eastAsia="Times New Roman" w:cs="Times New Roman"/>
          <w:i/>
          <w:iCs/>
          <w:szCs w:val="26"/>
          <w:bdr w:val="none" w:sz="0" w:space="0" w:color="auto" w:frame="1"/>
        </w:rPr>
        <w:t>Berger</w:t>
      </w:r>
      <w:r w:rsidRPr="00477BB5">
        <w:rPr>
          <w:rFonts w:eastAsia="Times New Roman" w:cs="Times New Roman"/>
          <w:szCs w:val="26"/>
        </w:rPr>
        <w:t xml:space="preserve">, </w:t>
      </w:r>
      <w:r w:rsidRPr="00477BB5">
        <w:rPr>
          <w:rFonts w:eastAsia="Times New Roman" w:cs="Times New Roman"/>
          <w:i/>
          <w:iCs/>
          <w:szCs w:val="26"/>
        </w:rPr>
        <w:t>supra</w:t>
      </w:r>
      <w:r w:rsidRPr="00477BB5">
        <w:rPr>
          <w:rFonts w:eastAsia="Times New Roman" w:cs="Times New Roman"/>
          <w:szCs w:val="26"/>
        </w:rPr>
        <w:t xml:space="preserve">, 142 </w:t>
      </w:r>
      <w:proofErr w:type="spellStart"/>
      <w:r w:rsidRPr="00477BB5">
        <w:rPr>
          <w:rFonts w:eastAsia="Times New Roman" w:cs="Times New Roman"/>
          <w:szCs w:val="26"/>
        </w:rPr>
        <w:t>S.Ct</w:t>
      </w:r>
      <w:proofErr w:type="spellEnd"/>
      <w:r w:rsidRPr="00477BB5">
        <w:rPr>
          <w:rFonts w:eastAsia="Times New Roman" w:cs="Times New Roman"/>
          <w:szCs w:val="26"/>
        </w:rPr>
        <w:t>. at p. 2201 (construing Federal Rule of Civil Procedure 24(a)(2) to preclude the participation of multiple agents of the state that the Legislature contemplated representing its interests in litigation “would risk allowing a private plaintiff to</w:t>
      </w:r>
      <w:r w:rsidRPr="00477BB5">
        <w:rPr>
          <w:rFonts w:eastAsia="Times New Roman" w:cs="Times New Roman"/>
          <w:szCs w:val="26"/>
        </w:rPr>
        <w:t xml:space="preserve"> pick its preferred defendants and potentially silence those whom the State deems essential to a fair understanding of its interests.”)  “A </w:t>
      </w:r>
      <w:r w:rsidRPr="00477BB5">
        <w:rPr>
          <w:rFonts w:eastAsia="Times New Roman" w:cs="Times New Roman"/>
          <w:szCs w:val="26"/>
          <w:bdr w:val="none" w:sz="0" w:space="0" w:color="auto" w:frame="1"/>
          <w:shd w:val="clear" w:color="auto" w:fill="FFFFFF"/>
        </w:rPr>
        <w:t>reverse</w:t>
      </w:r>
      <w:r w:rsidRPr="00477BB5">
        <w:rPr>
          <w:rFonts w:eastAsia="Times New Roman" w:cs="Times New Roman"/>
          <w:szCs w:val="26"/>
        </w:rPr>
        <w:t xml:space="preserve"> </w:t>
      </w:r>
      <w:r w:rsidRPr="00477BB5">
        <w:rPr>
          <w:rFonts w:eastAsia="Times New Roman" w:cs="Times New Roman"/>
          <w:szCs w:val="26"/>
          <w:bdr w:val="none" w:sz="0" w:space="0" w:color="auto" w:frame="1"/>
          <w:shd w:val="clear" w:color="auto" w:fill="FFFFFF"/>
        </w:rPr>
        <w:t>auction</w:t>
      </w:r>
      <w:r w:rsidRPr="00477BB5">
        <w:rPr>
          <w:rFonts w:eastAsia="Times New Roman" w:cs="Times New Roman"/>
          <w:szCs w:val="26"/>
        </w:rPr>
        <w:t xml:space="preserve"> is said to occur when ‘the defendant in a series of class actions picks the most ineffectual class l</w:t>
      </w:r>
      <w:r w:rsidRPr="00477BB5">
        <w:rPr>
          <w:rFonts w:eastAsia="Times New Roman" w:cs="Times New Roman"/>
          <w:szCs w:val="26"/>
        </w:rPr>
        <w:t>awyers to negotiate a settlement with</w:t>
      </w:r>
      <w:r>
        <w:rPr>
          <w:rFonts w:eastAsia="Times New Roman" w:cs="Times New Roman"/>
          <w:szCs w:val="26"/>
        </w:rPr>
        <w:t xml:space="preserve"> . . . </w:t>
      </w:r>
      <w:r w:rsidRPr="00477BB5">
        <w:rPr>
          <w:rFonts w:eastAsia="Times New Roman" w:cs="Times New Roman"/>
          <w:szCs w:val="26"/>
        </w:rPr>
        <w:t>the hope that the district court will approve a weak settlement that will preclude other claims against the defendant.’  [Citation.]  It has an odor of mendacity about it.”  (</w:t>
      </w:r>
      <w:r w:rsidRPr="00477BB5">
        <w:rPr>
          <w:rFonts w:eastAsia="Times New Roman" w:cs="Times New Roman"/>
          <w:i/>
          <w:iCs/>
          <w:szCs w:val="26"/>
          <w:bdr w:val="none" w:sz="0" w:space="0" w:color="auto" w:frame="1"/>
        </w:rPr>
        <w:t>Negrete v. Allianz Life Ins. Co. of N</w:t>
      </w:r>
      <w:r w:rsidRPr="00477BB5">
        <w:rPr>
          <w:rFonts w:eastAsia="Times New Roman" w:cs="Times New Roman"/>
          <w:i/>
          <w:iCs/>
          <w:szCs w:val="26"/>
          <w:bdr w:val="none" w:sz="0" w:space="0" w:color="auto" w:frame="1"/>
        </w:rPr>
        <w:t>orth America</w:t>
      </w:r>
      <w:r w:rsidRPr="00477BB5">
        <w:rPr>
          <w:rFonts w:eastAsia="Times New Roman" w:cs="Times New Roman"/>
          <w:szCs w:val="26"/>
        </w:rPr>
        <w:t xml:space="preserve"> (9th Cir. 2008) 523 F.3d 1091, 1099; see </w:t>
      </w:r>
      <w:r w:rsidRPr="00477BB5">
        <w:rPr>
          <w:rFonts w:eastAsia="Times New Roman" w:cs="Times New Roman"/>
          <w:i/>
          <w:iCs/>
          <w:szCs w:val="26"/>
          <w:bdr w:val="none" w:sz="0" w:space="0" w:color="auto" w:frame="1"/>
        </w:rPr>
        <w:t>Uribe</w:t>
      </w:r>
      <w:r w:rsidRPr="00477BB5">
        <w:rPr>
          <w:rFonts w:eastAsia="Times New Roman" w:cs="Times New Roman"/>
          <w:szCs w:val="26"/>
        </w:rPr>
        <w:t xml:space="preserve">, </w:t>
      </w:r>
      <w:r w:rsidRPr="00477BB5">
        <w:rPr>
          <w:rFonts w:eastAsia="Times New Roman" w:cs="Times New Roman"/>
          <w:i/>
          <w:iCs/>
          <w:szCs w:val="26"/>
        </w:rPr>
        <w:t>supra</w:t>
      </w:r>
      <w:r w:rsidRPr="00477BB5">
        <w:rPr>
          <w:rFonts w:eastAsia="Times New Roman" w:cs="Times New Roman"/>
          <w:szCs w:val="26"/>
        </w:rPr>
        <w:t xml:space="preserve">, 70 Cal.App.5th at p. 990 &amp; fn. 2 [using the term in the </w:t>
      </w:r>
      <w:proofErr w:type="spellStart"/>
      <w:r w:rsidRPr="00477BB5">
        <w:rPr>
          <w:rFonts w:eastAsia="Times New Roman" w:cs="Times New Roman"/>
          <w:szCs w:val="26"/>
        </w:rPr>
        <w:t>PAGA</w:t>
      </w:r>
      <w:proofErr w:type="spellEnd"/>
      <w:r w:rsidRPr="00477BB5">
        <w:rPr>
          <w:rFonts w:eastAsia="Times New Roman" w:cs="Times New Roman"/>
          <w:szCs w:val="26"/>
        </w:rPr>
        <w:t xml:space="preserve"> context].)  While we have recognized that this dynamic is to some degree inherent in the </w:t>
      </w:r>
      <w:proofErr w:type="spellStart"/>
      <w:r w:rsidRPr="00477BB5">
        <w:rPr>
          <w:rFonts w:eastAsia="Times New Roman" w:cs="Times New Roman"/>
          <w:szCs w:val="26"/>
        </w:rPr>
        <w:t>PAGA</w:t>
      </w:r>
      <w:proofErr w:type="spellEnd"/>
      <w:r w:rsidRPr="00477BB5">
        <w:rPr>
          <w:rFonts w:eastAsia="Times New Roman" w:cs="Times New Roman"/>
          <w:szCs w:val="26"/>
        </w:rPr>
        <w:t xml:space="preserve"> statutory scheme (</w:t>
      </w:r>
      <w:r w:rsidRPr="00477BB5">
        <w:rPr>
          <w:rFonts w:eastAsia="Times New Roman" w:cs="Times New Roman"/>
          <w:i/>
          <w:iCs/>
          <w:szCs w:val="26"/>
          <w:bdr w:val="none" w:sz="0" w:space="0" w:color="auto" w:frame="1"/>
        </w:rPr>
        <w:t>Shaw</w:t>
      </w:r>
      <w:r w:rsidRPr="00477BB5">
        <w:rPr>
          <w:rFonts w:eastAsia="Times New Roman" w:cs="Times New Roman"/>
          <w:szCs w:val="26"/>
        </w:rPr>
        <w:t xml:space="preserve">, </w:t>
      </w:r>
      <w:r w:rsidRPr="00477BB5">
        <w:rPr>
          <w:rFonts w:eastAsia="Times New Roman" w:cs="Times New Roman"/>
          <w:i/>
          <w:iCs/>
          <w:szCs w:val="26"/>
        </w:rPr>
        <w:t>supra</w:t>
      </w:r>
      <w:r w:rsidRPr="00477BB5">
        <w:rPr>
          <w:rFonts w:eastAsia="Times New Roman" w:cs="Times New Roman"/>
          <w:szCs w:val="26"/>
        </w:rPr>
        <w:t>, 78</w:t>
      </w:r>
      <w:r w:rsidRPr="00477BB5">
        <w:rPr>
          <w:rFonts w:eastAsia="Times New Roman" w:cs="Times New Roman"/>
          <w:szCs w:val="26"/>
        </w:rPr>
        <w:t xml:space="preserve"> Cal.App.5th at p. 263), we must not overlook the real potential for abuse in it. </w:t>
      </w:r>
    </w:p>
  </w:footnote>
  <w:footnote w:id="24">
    <w:p w14:paraId="2A802CC9" w14:textId="77777777" w:rsidR="00B7020C" w:rsidRDefault="00B45E56" w:rsidP="001A6021">
      <w:pPr>
        <w:pStyle w:val="FootnoteText"/>
        <w:ind w:firstLine="720"/>
      </w:pPr>
      <w:r>
        <w:rPr>
          <w:rStyle w:val="FootnoteReference"/>
        </w:rPr>
        <w:footnoteRef/>
      </w:r>
      <w:r>
        <w:t xml:space="preserve"> On our own motion (see Evidence Code section 459), we take judicial notice under Evidence Code section 452, subdivision (h) that </w:t>
      </w:r>
      <w:proofErr w:type="spellStart"/>
      <w:r>
        <w:t>LWDA</w:t>
      </w:r>
      <w:proofErr w:type="spellEnd"/>
      <w:r>
        <w:t xml:space="preserve"> notices may be requested under the Ca</w:t>
      </w:r>
      <w:r>
        <w:t>lifornia Public Records Act.  (Govt. Code § 7920.000 et seq.)</w:t>
      </w:r>
    </w:p>
    <w:p w14:paraId="1242E773" w14:textId="77777777" w:rsidR="00B7020C" w:rsidRDefault="00B45E56" w:rsidP="001A6021">
      <w:pPr>
        <w:pStyle w:val="FootnoteText"/>
        <w:ind w:firstLine="720"/>
      </w:pPr>
    </w:p>
  </w:footnote>
  <w:footnote w:id="25">
    <w:p w14:paraId="2BB5E4BF" w14:textId="77777777" w:rsidR="005B2896" w:rsidRPr="004A771A" w:rsidRDefault="00B45E56" w:rsidP="00ED57E1">
      <w:pPr>
        <w:pStyle w:val="FootnoteText"/>
        <w:ind w:firstLine="720"/>
        <w:rPr>
          <w:szCs w:val="26"/>
        </w:rPr>
      </w:pPr>
      <w:r w:rsidRPr="004A771A">
        <w:rPr>
          <w:rStyle w:val="FootnoteReference"/>
          <w:szCs w:val="26"/>
        </w:rPr>
        <w:footnoteRef/>
      </w:r>
      <w:r w:rsidRPr="004A771A">
        <w:rPr>
          <w:szCs w:val="26"/>
        </w:rPr>
        <w:t xml:space="preserve"> Cf</w:t>
      </w:r>
      <w:r w:rsidRPr="005F7396">
        <w:rPr>
          <w:szCs w:val="26"/>
        </w:rPr>
        <w:t xml:space="preserve">. </w:t>
      </w:r>
      <w:r w:rsidRPr="005F7396">
        <w:rPr>
          <w:rFonts w:eastAsia="Times New Roman" w:cs="Times New Roman"/>
          <w:i/>
          <w:szCs w:val="26"/>
          <w:bdr w:val="none" w:sz="0" w:space="0" w:color="auto" w:frame="1"/>
        </w:rPr>
        <w:t>Callahan</w:t>
      </w:r>
      <w:r w:rsidRPr="005F7396">
        <w:rPr>
          <w:rFonts w:eastAsia="Times New Roman" w:cs="Times New Roman"/>
          <w:szCs w:val="26"/>
        </w:rPr>
        <w:t xml:space="preserve">, </w:t>
      </w:r>
      <w:r w:rsidRPr="005F7396">
        <w:rPr>
          <w:rFonts w:eastAsia="Times New Roman" w:cs="Times New Roman"/>
          <w:i/>
          <w:szCs w:val="26"/>
        </w:rPr>
        <w:t>supra</w:t>
      </w:r>
      <w:r w:rsidRPr="005F7396">
        <w:rPr>
          <w:rFonts w:eastAsia="Times New Roman" w:cs="Times New Roman"/>
          <w:szCs w:val="26"/>
        </w:rPr>
        <w:t>, 42 F.4th at pp. 1021–1022 (“[</w:t>
      </w:r>
      <w:proofErr w:type="spellStart"/>
      <w:r w:rsidRPr="005F7396">
        <w:rPr>
          <w:rFonts w:eastAsia="Times New Roman" w:cs="Times New Roman"/>
          <w:szCs w:val="26"/>
        </w:rPr>
        <w:t>PAGA</w:t>
      </w:r>
      <w:proofErr w:type="spellEnd"/>
      <w:r w:rsidRPr="005F7396">
        <w:rPr>
          <w:rFonts w:eastAsia="Times New Roman" w:cs="Times New Roman"/>
          <w:szCs w:val="26"/>
        </w:rPr>
        <w:t xml:space="preserve"> claimant] </w:t>
      </w:r>
      <w:proofErr w:type="spellStart"/>
      <w:r w:rsidRPr="005F7396">
        <w:rPr>
          <w:rFonts w:eastAsia="Times New Roman" w:cs="Times New Roman"/>
          <w:szCs w:val="26"/>
        </w:rPr>
        <w:t>Neverson</w:t>
      </w:r>
      <w:proofErr w:type="spellEnd"/>
      <w:r w:rsidRPr="005F7396">
        <w:rPr>
          <w:rFonts w:eastAsia="Times New Roman" w:cs="Times New Roman"/>
          <w:szCs w:val="26"/>
        </w:rPr>
        <w:t xml:space="preserve"> . . . argues that [</w:t>
      </w:r>
      <w:proofErr w:type="spellStart"/>
      <w:r w:rsidRPr="005F7396">
        <w:rPr>
          <w:rFonts w:eastAsia="Times New Roman" w:cs="Times New Roman"/>
          <w:szCs w:val="26"/>
        </w:rPr>
        <w:t>PAGA</w:t>
      </w:r>
      <w:proofErr w:type="spellEnd"/>
      <w:r w:rsidRPr="005F7396">
        <w:rPr>
          <w:rFonts w:eastAsia="Times New Roman" w:cs="Times New Roman"/>
          <w:szCs w:val="26"/>
        </w:rPr>
        <w:t xml:space="preserve"> claimant</w:t>
      </w:r>
      <w:r>
        <w:rPr>
          <w:rFonts w:eastAsia="Times New Roman" w:cs="Times New Roman"/>
          <w:color w:val="000000"/>
          <w:szCs w:val="26"/>
        </w:rPr>
        <w:t>]</w:t>
      </w:r>
      <w:r w:rsidRPr="00ED57E1">
        <w:rPr>
          <w:rFonts w:eastAsia="Times New Roman" w:cs="Times New Roman"/>
          <w:color w:val="000000"/>
          <w:szCs w:val="26"/>
        </w:rPr>
        <w:t xml:space="preserve"> Callahan was not properly deputized to pursue certain claims that were a part of</w:t>
      </w:r>
      <w:r>
        <w:rPr>
          <w:rFonts w:eastAsia="Times New Roman" w:cs="Times New Roman"/>
          <w:color w:val="000000"/>
          <w:szCs w:val="26"/>
        </w:rPr>
        <w:t xml:space="preserve"> . . . [Callahan’s </w:t>
      </w:r>
      <w:proofErr w:type="spellStart"/>
      <w:r>
        <w:rPr>
          <w:rFonts w:eastAsia="Times New Roman" w:cs="Times New Roman"/>
          <w:color w:val="000000"/>
          <w:szCs w:val="26"/>
        </w:rPr>
        <w:t>PAGA</w:t>
      </w:r>
      <w:proofErr w:type="spellEnd"/>
      <w:r>
        <w:rPr>
          <w:rFonts w:eastAsia="Times New Roman" w:cs="Times New Roman"/>
          <w:color w:val="000000"/>
          <w:szCs w:val="26"/>
        </w:rPr>
        <w:t>]</w:t>
      </w:r>
      <w:r w:rsidRPr="00ED57E1">
        <w:rPr>
          <w:rFonts w:eastAsia="Times New Roman" w:cs="Times New Roman"/>
          <w:color w:val="000000"/>
          <w:szCs w:val="26"/>
        </w:rPr>
        <w:t xml:space="preserve"> settlement due to the statute of limitations having run on those claims. </w:t>
      </w:r>
      <w:r>
        <w:rPr>
          <w:rFonts w:eastAsia="Times New Roman" w:cs="Times New Roman"/>
          <w:color w:val="000000"/>
          <w:szCs w:val="26"/>
        </w:rPr>
        <w:t xml:space="preserve"> </w:t>
      </w:r>
      <w:r w:rsidRPr="00ED57E1">
        <w:rPr>
          <w:rFonts w:eastAsia="Times New Roman" w:cs="Times New Roman"/>
          <w:color w:val="000000"/>
          <w:szCs w:val="26"/>
        </w:rPr>
        <w:t xml:space="preserve">However, even if </w:t>
      </w:r>
      <w:proofErr w:type="spellStart"/>
      <w:r w:rsidRPr="00ED57E1">
        <w:rPr>
          <w:rFonts w:eastAsia="Times New Roman" w:cs="Times New Roman"/>
          <w:color w:val="000000"/>
          <w:szCs w:val="26"/>
        </w:rPr>
        <w:t>Neverson</w:t>
      </w:r>
      <w:proofErr w:type="spellEnd"/>
      <w:r w:rsidRPr="00ED57E1">
        <w:rPr>
          <w:rFonts w:eastAsia="Times New Roman" w:cs="Times New Roman"/>
          <w:color w:val="000000"/>
          <w:szCs w:val="26"/>
        </w:rPr>
        <w:t xml:space="preserve"> is right, she does not establish that </w:t>
      </w:r>
      <w:r w:rsidRPr="00ED57E1">
        <w:rPr>
          <w:rFonts w:eastAsia="Times New Roman" w:cs="Times New Roman"/>
          <w:i/>
          <w:color w:val="3D3D3D"/>
          <w:szCs w:val="26"/>
          <w:bdr w:val="none" w:sz="0" w:space="0" w:color="auto" w:frame="1"/>
        </w:rPr>
        <w:t>she</w:t>
      </w:r>
      <w:r w:rsidRPr="00ED57E1">
        <w:rPr>
          <w:rFonts w:eastAsia="Times New Roman" w:cs="Times New Roman"/>
          <w:color w:val="000000"/>
          <w:szCs w:val="26"/>
        </w:rPr>
        <w:t xml:space="preserve"> is the proper party to pursue the claims for which Callahan was not properly deputized.”</w:t>
      </w:r>
      <w:r>
        <w:rPr>
          <w:rFonts w:eastAsia="Times New Roman" w:cs="Times New Roman"/>
          <w:color w:val="000000"/>
          <w:szCs w:val="26"/>
        </w:rPr>
        <w:t xml:space="preserve"> </w:t>
      </w:r>
      <w:r>
        <w:rPr>
          <w:rFonts w:eastAsia="Times New Roman" w:cs="Times New Roman"/>
          <w:color w:val="000000"/>
          <w:szCs w:val="26"/>
        </w:rPr>
        <w:t xml:space="preserve"> (Italics in original.)</w:t>
      </w:r>
      <w:r w:rsidRPr="00ED57E1">
        <w:rPr>
          <w:rFonts w:eastAsia="Times New Roman" w:cs="Times New Roman"/>
          <w:color w:val="000000"/>
          <w:szCs w:val="26"/>
        </w:rPr>
        <w:t>).</w:t>
      </w:r>
    </w:p>
  </w:footnote>
  <w:footnote w:id="26">
    <w:p w14:paraId="7C152F2D" w14:textId="77777777" w:rsidR="00306F93" w:rsidRPr="00B96612" w:rsidRDefault="00B45E56" w:rsidP="00306F93">
      <w:pPr>
        <w:spacing w:line="240" w:lineRule="auto"/>
        <w:ind w:firstLine="720"/>
        <w:rPr>
          <w:szCs w:val="26"/>
        </w:rPr>
      </w:pPr>
      <w:r w:rsidRPr="00B96612">
        <w:rPr>
          <w:rStyle w:val="FootnoteReference"/>
          <w:szCs w:val="26"/>
        </w:rPr>
        <w:footnoteRef/>
      </w:r>
      <w:r w:rsidRPr="00B96612">
        <w:rPr>
          <w:szCs w:val="26"/>
        </w:rPr>
        <w:t xml:space="preserve"> </w:t>
      </w:r>
      <w:r>
        <w:rPr>
          <w:szCs w:val="26"/>
        </w:rPr>
        <w:t xml:space="preserve">The </w:t>
      </w:r>
      <w:proofErr w:type="spellStart"/>
      <w:r>
        <w:rPr>
          <w:szCs w:val="26"/>
        </w:rPr>
        <w:t>LWDA</w:t>
      </w:r>
      <w:proofErr w:type="spellEnd"/>
      <w:r>
        <w:rPr>
          <w:szCs w:val="26"/>
        </w:rPr>
        <w:t>, as a practical matter, appears rarely in these cases.</w:t>
      </w:r>
      <w:r w:rsidRPr="00B96612">
        <w:rPr>
          <w:szCs w:val="26"/>
        </w:rPr>
        <w:t xml:space="preserve"> </w:t>
      </w:r>
      <w:r>
        <w:rPr>
          <w:szCs w:val="26"/>
        </w:rPr>
        <w:t xml:space="preserve"> </w:t>
      </w:r>
      <w:r w:rsidRPr="00B96612">
        <w:rPr>
          <w:szCs w:val="26"/>
        </w:rPr>
        <w:t xml:space="preserve">When it enacted </w:t>
      </w:r>
      <w:proofErr w:type="spellStart"/>
      <w:r w:rsidRPr="00B96612">
        <w:rPr>
          <w:szCs w:val="26"/>
        </w:rPr>
        <w:t>PAGA</w:t>
      </w:r>
      <w:proofErr w:type="spellEnd"/>
      <w:r w:rsidRPr="00B96612">
        <w:rPr>
          <w:szCs w:val="26"/>
        </w:rPr>
        <w:t xml:space="preserve"> in 2003, the Legislature was concerned that the limited resources available to the </w:t>
      </w:r>
      <w:proofErr w:type="spellStart"/>
      <w:r w:rsidRPr="00B96612">
        <w:rPr>
          <w:szCs w:val="26"/>
        </w:rPr>
        <w:t>LWDA</w:t>
      </w:r>
      <w:proofErr w:type="spellEnd"/>
      <w:r w:rsidRPr="00B96612">
        <w:rPr>
          <w:szCs w:val="26"/>
        </w:rPr>
        <w:t xml:space="preserve"> impeded robust enforcement of wage-and-hour laws.  Acc</w:t>
      </w:r>
      <w:r w:rsidRPr="00B96612">
        <w:rPr>
          <w:szCs w:val="26"/>
        </w:rPr>
        <w:t xml:space="preserve">ording to </w:t>
      </w:r>
      <w:proofErr w:type="spellStart"/>
      <w:r>
        <w:rPr>
          <w:szCs w:val="26"/>
        </w:rPr>
        <w:t>Piplack</w:t>
      </w:r>
      <w:proofErr w:type="spellEnd"/>
      <w:r>
        <w:rPr>
          <w:szCs w:val="26"/>
        </w:rPr>
        <w:t xml:space="preserve"> and Taylor, the </w:t>
      </w:r>
      <w:r w:rsidRPr="00B96612">
        <w:rPr>
          <w:szCs w:val="26"/>
        </w:rPr>
        <w:t xml:space="preserve">problem of limited state enforcement resources remains a concern under the </w:t>
      </w:r>
      <w:proofErr w:type="spellStart"/>
      <w:r w:rsidRPr="00B96612">
        <w:rPr>
          <w:szCs w:val="26"/>
        </w:rPr>
        <w:t>PAGA</w:t>
      </w:r>
      <w:proofErr w:type="spellEnd"/>
      <w:r w:rsidRPr="00B96612">
        <w:rPr>
          <w:szCs w:val="26"/>
        </w:rPr>
        <w:t xml:space="preserve"> regime, just in a different form.  </w:t>
      </w:r>
      <w:r>
        <w:rPr>
          <w:szCs w:val="26"/>
        </w:rPr>
        <w:t xml:space="preserve">Attached to </w:t>
      </w:r>
      <w:proofErr w:type="spellStart"/>
      <w:r>
        <w:rPr>
          <w:szCs w:val="26"/>
        </w:rPr>
        <w:t>Piplack</w:t>
      </w:r>
      <w:proofErr w:type="spellEnd"/>
      <w:r>
        <w:rPr>
          <w:szCs w:val="26"/>
        </w:rPr>
        <w:t xml:space="preserve"> and Taylor’s motion to intervene is a</w:t>
      </w:r>
      <w:r w:rsidRPr="00B96612">
        <w:rPr>
          <w:szCs w:val="26"/>
        </w:rPr>
        <w:t xml:space="preserve"> budget change proposal </w:t>
      </w:r>
      <w:r>
        <w:rPr>
          <w:szCs w:val="26"/>
        </w:rPr>
        <w:t>(</w:t>
      </w:r>
      <w:proofErr w:type="spellStart"/>
      <w:r>
        <w:rPr>
          <w:szCs w:val="26"/>
        </w:rPr>
        <w:t>BCP</w:t>
      </w:r>
      <w:proofErr w:type="spellEnd"/>
      <w:r>
        <w:rPr>
          <w:szCs w:val="26"/>
        </w:rPr>
        <w:t xml:space="preserve">) </w:t>
      </w:r>
      <w:r w:rsidRPr="00B96612">
        <w:rPr>
          <w:szCs w:val="26"/>
        </w:rPr>
        <w:t>submitted to the Gov</w:t>
      </w:r>
      <w:r w:rsidRPr="00B96612">
        <w:rPr>
          <w:szCs w:val="26"/>
        </w:rPr>
        <w:t xml:space="preserve">ernor’s Department of Finance in </w:t>
      </w:r>
      <w:r>
        <w:rPr>
          <w:szCs w:val="26"/>
        </w:rPr>
        <w:t xml:space="preserve">April </w:t>
      </w:r>
      <w:r w:rsidRPr="00B96612">
        <w:rPr>
          <w:szCs w:val="26"/>
        </w:rPr>
        <w:t>2019</w:t>
      </w:r>
      <w:r>
        <w:rPr>
          <w:szCs w:val="26"/>
        </w:rPr>
        <w:t xml:space="preserve">.  This 2019 </w:t>
      </w:r>
      <w:proofErr w:type="spellStart"/>
      <w:r>
        <w:rPr>
          <w:szCs w:val="26"/>
        </w:rPr>
        <w:t>BCP</w:t>
      </w:r>
      <w:proofErr w:type="spellEnd"/>
      <w:r>
        <w:rPr>
          <w:szCs w:val="26"/>
        </w:rPr>
        <w:t xml:space="preserve"> reported, “Seventy-five percent of the 1,546 settlement agreements reviewed by the </w:t>
      </w:r>
      <w:proofErr w:type="spellStart"/>
      <w:r>
        <w:rPr>
          <w:szCs w:val="26"/>
        </w:rPr>
        <w:t>PAGA</w:t>
      </w:r>
      <w:proofErr w:type="spellEnd"/>
      <w:r>
        <w:rPr>
          <w:szCs w:val="26"/>
        </w:rPr>
        <w:t xml:space="preserve"> Unit in fiscal years 2016-2017 and 2017-2018 received a grade of fail or marginal pass, reflecting the failu</w:t>
      </w:r>
      <w:r>
        <w:rPr>
          <w:szCs w:val="26"/>
        </w:rPr>
        <w:t xml:space="preserve">re of many private plaintiffs’ attorney[s] to fully protect the interests of the aggrieved employees and the state.”    </w:t>
      </w:r>
    </w:p>
    <w:p w14:paraId="53BFCF9A" w14:textId="77777777" w:rsidR="00306F93" w:rsidRDefault="00B45E56" w:rsidP="00306F93">
      <w:pPr>
        <w:pStyle w:val="FootnoteText"/>
        <w:ind w:firstLine="720"/>
      </w:pPr>
      <w:r>
        <w:t xml:space="preserve"> </w:t>
      </w:r>
    </w:p>
  </w:footnote>
  <w:footnote w:id="27">
    <w:p w14:paraId="008C2356" w14:textId="77777777" w:rsidR="00B828E0" w:rsidRPr="00101787" w:rsidRDefault="00B45E56" w:rsidP="00F02F6D">
      <w:pPr>
        <w:shd w:val="clear" w:color="auto" w:fill="FFFFFF"/>
        <w:tabs>
          <w:tab w:val="clear" w:pos="720"/>
        </w:tabs>
        <w:spacing w:line="320" w:lineRule="atLeast"/>
        <w:ind w:firstLine="720"/>
        <w:rPr>
          <w:rFonts w:eastAsia="Times New Roman" w:cs="Times New Roman"/>
          <w:szCs w:val="26"/>
        </w:rPr>
      </w:pPr>
      <w:r w:rsidRPr="00F02F6D">
        <w:rPr>
          <w:rStyle w:val="FootnoteReference"/>
          <w:szCs w:val="26"/>
        </w:rPr>
        <w:footnoteRef/>
      </w:r>
      <w:r w:rsidRPr="00F02F6D">
        <w:rPr>
          <w:szCs w:val="26"/>
        </w:rPr>
        <w:t xml:space="preserve"> See </w:t>
      </w:r>
      <w:r w:rsidRPr="00101787">
        <w:rPr>
          <w:rFonts w:eastAsia="Times New Roman" w:cs="Times New Roman"/>
          <w:i/>
          <w:iCs/>
          <w:szCs w:val="26"/>
          <w:bdr w:val="none" w:sz="0" w:space="0" w:color="auto" w:frame="1"/>
        </w:rPr>
        <w:t xml:space="preserve">People ex rel. Garamendi v. American </w:t>
      </w:r>
      <w:proofErr w:type="spellStart"/>
      <w:r w:rsidRPr="00101787">
        <w:rPr>
          <w:rFonts w:eastAsia="Times New Roman" w:cs="Times New Roman"/>
          <w:i/>
          <w:iCs/>
          <w:szCs w:val="26"/>
          <w:bdr w:val="none" w:sz="0" w:space="0" w:color="auto" w:frame="1"/>
        </w:rPr>
        <w:t>Autoplan</w:t>
      </w:r>
      <w:proofErr w:type="spellEnd"/>
      <w:r w:rsidRPr="00101787">
        <w:rPr>
          <w:rFonts w:eastAsia="Times New Roman" w:cs="Times New Roman"/>
          <w:i/>
          <w:iCs/>
          <w:szCs w:val="26"/>
          <w:bdr w:val="none" w:sz="0" w:space="0" w:color="auto" w:frame="1"/>
        </w:rPr>
        <w:t>, Inc.</w:t>
      </w:r>
      <w:r w:rsidRPr="00101787">
        <w:rPr>
          <w:rFonts w:eastAsia="Times New Roman" w:cs="Times New Roman"/>
          <w:szCs w:val="26"/>
        </w:rPr>
        <w:t xml:space="preserve"> (1993) 20</w:t>
      </w:r>
      <w:r>
        <w:rPr>
          <w:rFonts w:eastAsia="Times New Roman" w:cs="Times New Roman"/>
          <w:szCs w:val="26"/>
        </w:rPr>
        <w:t> </w:t>
      </w:r>
      <w:r w:rsidRPr="00101787">
        <w:rPr>
          <w:rFonts w:eastAsia="Times New Roman" w:cs="Times New Roman"/>
          <w:szCs w:val="26"/>
        </w:rPr>
        <w:t xml:space="preserve">Cal.App.4th 760, 764–765, 769; </w:t>
      </w:r>
      <w:r w:rsidRPr="00101787">
        <w:rPr>
          <w:rFonts w:eastAsia="Times New Roman" w:cs="Times New Roman"/>
          <w:i/>
          <w:iCs/>
          <w:szCs w:val="26"/>
          <w:bdr w:val="none" w:sz="0" w:space="0" w:color="auto" w:frame="1"/>
        </w:rPr>
        <w:t xml:space="preserve">Childs v. </w:t>
      </w:r>
      <w:proofErr w:type="spellStart"/>
      <w:r w:rsidRPr="00101787">
        <w:rPr>
          <w:rFonts w:eastAsia="Times New Roman" w:cs="Times New Roman"/>
          <w:i/>
          <w:iCs/>
          <w:szCs w:val="26"/>
          <w:bdr w:val="none" w:sz="0" w:space="0" w:color="auto" w:frame="1"/>
        </w:rPr>
        <w:t>Eltinge</w:t>
      </w:r>
      <w:proofErr w:type="spellEnd"/>
      <w:r w:rsidRPr="00101787">
        <w:rPr>
          <w:rFonts w:eastAsia="Times New Roman" w:cs="Times New Roman"/>
          <w:szCs w:val="26"/>
        </w:rPr>
        <w:t xml:space="preserve"> (1973) 29</w:t>
      </w:r>
      <w:r>
        <w:rPr>
          <w:rFonts w:eastAsia="Times New Roman" w:cs="Times New Roman"/>
          <w:szCs w:val="26"/>
        </w:rPr>
        <w:t> </w:t>
      </w:r>
      <w:r w:rsidRPr="00101787">
        <w:rPr>
          <w:rFonts w:eastAsia="Times New Roman" w:cs="Times New Roman"/>
          <w:szCs w:val="26"/>
        </w:rPr>
        <w:t>Cal.Ap</w:t>
      </w:r>
      <w:r w:rsidRPr="00101787">
        <w:rPr>
          <w:rFonts w:eastAsia="Times New Roman" w:cs="Times New Roman"/>
          <w:szCs w:val="26"/>
        </w:rPr>
        <w:t>p.3d 843, 854–855.</w:t>
      </w:r>
    </w:p>
    <w:p w14:paraId="1B344C4C" w14:textId="77777777" w:rsidR="00D23500" w:rsidRPr="00F02F6D" w:rsidRDefault="00B45E56" w:rsidP="00F02F6D">
      <w:pPr>
        <w:shd w:val="clear" w:color="auto" w:fill="FFFFFF"/>
        <w:tabs>
          <w:tab w:val="clear" w:pos="720"/>
        </w:tabs>
        <w:spacing w:line="320" w:lineRule="atLeast"/>
        <w:ind w:firstLine="720"/>
        <w:rPr>
          <w:szCs w:val="26"/>
        </w:rPr>
      </w:pPr>
    </w:p>
  </w:footnote>
  <w:footnote w:id="28">
    <w:p w14:paraId="405FBFF9" w14:textId="77777777" w:rsidR="006C40DC" w:rsidRPr="00E70052" w:rsidRDefault="00B45E56" w:rsidP="00CF1AC1">
      <w:pPr>
        <w:spacing w:line="240" w:lineRule="auto"/>
        <w:ind w:firstLine="720"/>
        <w:rPr>
          <w:szCs w:val="26"/>
        </w:rPr>
      </w:pPr>
      <w:r w:rsidRPr="00CF1AC1">
        <w:rPr>
          <w:rStyle w:val="FootnoteReference"/>
          <w:szCs w:val="26"/>
        </w:rPr>
        <w:footnoteRef/>
      </w:r>
      <w:r w:rsidRPr="00CF1AC1">
        <w:rPr>
          <w:szCs w:val="26"/>
        </w:rPr>
        <w:t xml:space="preserve"> We understand that, while this appeal has been pending, circumstances have changed in the Orange County case.  That court initially denied In-</w:t>
      </w:r>
      <w:r>
        <w:rPr>
          <w:szCs w:val="26"/>
        </w:rPr>
        <w:t>N</w:t>
      </w:r>
      <w:r w:rsidRPr="00CF1AC1">
        <w:rPr>
          <w:szCs w:val="26"/>
        </w:rPr>
        <w:t>-Out’s motion to compel arbitration, and In-</w:t>
      </w:r>
      <w:r>
        <w:rPr>
          <w:szCs w:val="26"/>
        </w:rPr>
        <w:t>N</w:t>
      </w:r>
      <w:r w:rsidRPr="00CF1AC1">
        <w:rPr>
          <w:szCs w:val="26"/>
        </w:rPr>
        <w:t xml:space="preserve">-Out appealed in the Fourth District Court of Appeal.  </w:t>
      </w:r>
      <w:r w:rsidRPr="00E572BA">
        <w:rPr>
          <w:szCs w:val="26"/>
        </w:rPr>
        <w:t xml:space="preserve">While </w:t>
      </w:r>
      <w:r w:rsidRPr="00022ED5">
        <w:rPr>
          <w:szCs w:val="26"/>
        </w:rPr>
        <w:t>the ap</w:t>
      </w:r>
      <w:r w:rsidRPr="00022ED5">
        <w:rPr>
          <w:szCs w:val="26"/>
        </w:rPr>
        <w:t xml:space="preserve">peal there was pending, the United States Supreme Court decided </w:t>
      </w:r>
      <w:r w:rsidRPr="00022ED5">
        <w:rPr>
          <w:rFonts w:eastAsia="Times New Roman" w:cs="Times New Roman"/>
          <w:i/>
          <w:szCs w:val="26"/>
          <w:bdr w:val="none" w:sz="0" w:space="0" w:color="auto" w:frame="1"/>
        </w:rPr>
        <w:t xml:space="preserve">Viking River Cruises, Inc. v. </w:t>
      </w:r>
      <w:proofErr w:type="spellStart"/>
      <w:r w:rsidRPr="00022ED5">
        <w:rPr>
          <w:rFonts w:eastAsia="Times New Roman" w:cs="Times New Roman"/>
          <w:i/>
          <w:szCs w:val="26"/>
          <w:bdr w:val="none" w:sz="0" w:space="0" w:color="auto" w:frame="1"/>
        </w:rPr>
        <w:t>Moriana</w:t>
      </w:r>
      <w:proofErr w:type="spellEnd"/>
      <w:r>
        <w:rPr>
          <w:rFonts w:eastAsia="Times New Roman" w:cs="Times New Roman"/>
          <w:szCs w:val="26"/>
        </w:rPr>
        <w:t xml:space="preserve">, </w:t>
      </w:r>
      <w:r w:rsidRPr="001D20B0">
        <w:rPr>
          <w:rFonts w:eastAsia="Times New Roman" w:cs="Times New Roman"/>
          <w:i/>
          <w:iCs/>
          <w:szCs w:val="26"/>
        </w:rPr>
        <w:t>supra</w:t>
      </w:r>
      <w:r>
        <w:rPr>
          <w:rFonts w:eastAsia="Times New Roman" w:cs="Times New Roman"/>
          <w:szCs w:val="26"/>
        </w:rPr>
        <w:t>,</w:t>
      </w:r>
      <w:r w:rsidRPr="00022ED5">
        <w:rPr>
          <w:rFonts w:eastAsia="Times New Roman" w:cs="Times New Roman"/>
          <w:szCs w:val="26"/>
        </w:rPr>
        <w:t xml:space="preserve"> </w:t>
      </w:r>
      <w:r>
        <w:rPr>
          <w:rFonts w:eastAsia="Times New Roman" w:cs="Times New Roman"/>
          <w:szCs w:val="26"/>
        </w:rPr>
        <w:t>596 </w:t>
      </w:r>
      <w:r w:rsidRPr="00022ED5">
        <w:rPr>
          <w:rFonts w:eastAsia="Times New Roman" w:cs="Times New Roman"/>
          <w:szCs w:val="26"/>
        </w:rPr>
        <w:t>U.S. ___, 142</w:t>
      </w:r>
      <w:r>
        <w:rPr>
          <w:rFonts w:eastAsia="Times New Roman" w:cs="Times New Roman"/>
          <w:szCs w:val="26"/>
        </w:rPr>
        <w:t> </w:t>
      </w:r>
      <w:proofErr w:type="spellStart"/>
      <w:r w:rsidRPr="00022ED5">
        <w:rPr>
          <w:rFonts w:eastAsia="Times New Roman" w:cs="Times New Roman"/>
          <w:szCs w:val="26"/>
        </w:rPr>
        <w:t>S.Ct</w:t>
      </w:r>
      <w:proofErr w:type="spellEnd"/>
      <w:r w:rsidRPr="00022ED5">
        <w:rPr>
          <w:rFonts w:eastAsia="Times New Roman" w:cs="Times New Roman"/>
          <w:szCs w:val="26"/>
        </w:rPr>
        <w:t xml:space="preserve">. 1906, </w:t>
      </w:r>
      <w:r w:rsidRPr="00022ED5">
        <w:rPr>
          <w:szCs w:val="26"/>
        </w:rPr>
        <w:t xml:space="preserve">which reversed in part and affirmed in part the California Supreme Court’s holding in </w:t>
      </w:r>
      <w:proofErr w:type="spellStart"/>
      <w:r w:rsidRPr="00022ED5">
        <w:rPr>
          <w:rFonts w:eastAsia="Times New Roman" w:cs="Times New Roman"/>
          <w:i/>
          <w:szCs w:val="26"/>
          <w:bdr w:val="none" w:sz="0" w:space="0" w:color="auto" w:frame="1"/>
        </w:rPr>
        <w:t>Iskanian</w:t>
      </w:r>
      <w:proofErr w:type="spellEnd"/>
      <w:r w:rsidRPr="00022ED5">
        <w:rPr>
          <w:rFonts w:eastAsia="Times New Roman" w:cs="Times New Roman"/>
          <w:i/>
          <w:szCs w:val="26"/>
          <w:bdr w:val="none" w:sz="0" w:space="0" w:color="auto" w:frame="1"/>
        </w:rPr>
        <w:t xml:space="preserve"> v. CLS Transportation</w:t>
      </w:r>
      <w:r w:rsidRPr="00022ED5">
        <w:rPr>
          <w:rFonts w:eastAsia="Times New Roman" w:cs="Times New Roman"/>
          <w:i/>
          <w:szCs w:val="26"/>
          <w:bdr w:val="none" w:sz="0" w:space="0" w:color="auto" w:frame="1"/>
        </w:rPr>
        <w:t xml:space="preserve"> Los Angeles, LLC</w:t>
      </w:r>
      <w:r>
        <w:rPr>
          <w:rFonts w:eastAsia="Times New Roman" w:cs="Times New Roman"/>
          <w:szCs w:val="26"/>
        </w:rPr>
        <w:t xml:space="preserve">, </w:t>
      </w:r>
      <w:r w:rsidRPr="00890C8B">
        <w:rPr>
          <w:rFonts w:eastAsia="Times New Roman" w:cs="Times New Roman"/>
          <w:i/>
          <w:iCs/>
          <w:szCs w:val="26"/>
        </w:rPr>
        <w:t>supra</w:t>
      </w:r>
      <w:r>
        <w:rPr>
          <w:rFonts w:eastAsia="Times New Roman" w:cs="Times New Roman"/>
          <w:szCs w:val="26"/>
        </w:rPr>
        <w:t>,</w:t>
      </w:r>
      <w:r w:rsidRPr="00022ED5">
        <w:rPr>
          <w:rFonts w:eastAsia="Times New Roman" w:cs="Times New Roman"/>
          <w:szCs w:val="26"/>
        </w:rPr>
        <w:t xml:space="preserve"> 59</w:t>
      </w:r>
      <w:r>
        <w:rPr>
          <w:rFonts w:eastAsia="Times New Roman" w:cs="Times New Roman"/>
          <w:szCs w:val="26"/>
        </w:rPr>
        <w:t> </w:t>
      </w:r>
      <w:r w:rsidRPr="00022ED5">
        <w:rPr>
          <w:rFonts w:eastAsia="Times New Roman" w:cs="Times New Roman"/>
          <w:szCs w:val="26"/>
        </w:rPr>
        <w:t xml:space="preserve">Cal.4th 348 </w:t>
      </w:r>
      <w:r w:rsidRPr="00022ED5">
        <w:rPr>
          <w:szCs w:val="26"/>
        </w:rPr>
        <w:t xml:space="preserve">that arbitration clauses requiring submission of </w:t>
      </w:r>
      <w:proofErr w:type="spellStart"/>
      <w:r w:rsidRPr="00022ED5">
        <w:rPr>
          <w:szCs w:val="26"/>
        </w:rPr>
        <w:t>PAGA</w:t>
      </w:r>
      <w:proofErr w:type="spellEnd"/>
      <w:r w:rsidRPr="00022ED5">
        <w:rPr>
          <w:szCs w:val="26"/>
        </w:rPr>
        <w:t xml:space="preserve"> claims to arbitration are not preempted under the Federal Arbitration Act.  The mixed result in </w:t>
      </w:r>
      <w:r w:rsidRPr="00022ED5">
        <w:rPr>
          <w:i/>
          <w:iCs/>
          <w:szCs w:val="26"/>
        </w:rPr>
        <w:t>Viking River</w:t>
      </w:r>
      <w:r w:rsidRPr="00022ED5">
        <w:rPr>
          <w:szCs w:val="26"/>
        </w:rPr>
        <w:t xml:space="preserve"> led to a mixed result in In-N-Out’s appeal in the Or</w:t>
      </w:r>
      <w:r w:rsidRPr="00022ED5">
        <w:rPr>
          <w:szCs w:val="26"/>
        </w:rPr>
        <w:t xml:space="preserve">ange County action.  The Court of Appeal reversed the denial </w:t>
      </w:r>
      <w:r>
        <w:rPr>
          <w:szCs w:val="26"/>
        </w:rPr>
        <w:t>of In-N-Out’s</w:t>
      </w:r>
      <w:r w:rsidRPr="00022ED5">
        <w:rPr>
          <w:szCs w:val="26"/>
        </w:rPr>
        <w:t xml:space="preserve"> motion </w:t>
      </w:r>
      <w:r>
        <w:rPr>
          <w:szCs w:val="26"/>
        </w:rPr>
        <w:t>to compel arbitration</w:t>
      </w:r>
      <w:r w:rsidRPr="00022ED5">
        <w:rPr>
          <w:szCs w:val="26"/>
        </w:rPr>
        <w:t xml:space="preserve"> of </w:t>
      </w:r>
      <w:proofErr w:type="spellStart"/>
      <w:r w:rsidRPr="00022ED5">
        <w:rPr>
          <w:szCs w:val="26"/>
        </w:rPr>
        <w:t>Piplack’s</w:t>
      </w:r>
      <w:proofErr w:type="spellEnd"/>
      <w:r w:rsidRPr="00022ED5">
        <w:rPr>
          <w:szCs w:val="26"/>
        </w:rPr>
        <w:t xml:space="preserve"> </w:t>
      </w:r>
      <w:r w:rsidRPr="00A45DC3">
        <w:rPr>
          <w:szCs w:val="26"/>
        </w:rPr>
        <w:t xml:space="preserve">individual </w:t>
      </w:r>
      <w:proofErr w:type="spellStart"/>
      <w:r w:rsidRPr="00A45DC3">
        <w:rPr>
          <w:szCs w:val="26"/>
        </w:rPr>
        <w:t>PAGA</w:t>
      </w:r>
      <w:proofErr w:type="spellEnd"/>
      <w:r w:rsidRPr="00A45DC3">
        <w:rPr>
          <w:szCs w:val="26"/>
        </w:rPr>
        <w:t xml:space="preserve"> claim (</w:t>
      </w:r>
      <w:r w:rsidRPr="00E70052">
        <w:rPr>
          <w:szCs w:val="26"/>
        </w:rPr>
        <w:t xml:space="preserve">sending that component of his </w:t>
      </w:r>
      <w:proofErr w:type="spellStart"/>
      <w:r w:rsidRPr="00E70052">
        <w:rPr>
          <w:szCs w:val="26"/>
        </w:rPr>
        <w:t>PAGA</w:t>
      </w:r>
      <w:proofErr w:type="spellEnd"/>
      <w:r w:rsidRPr="00E70052">
        <w:rPr>
          <w:szCs w:val="26"/>
        </w:rPr>
        <w:t xml:space="preserve"> claim to arbitration</w:t>
      </w:r>
      <w:proofErr w:type="gramStart"/>
      <w:r w:rsidRPr="00E70052">
        <w:rPr>
          <w:szCs w:val="26"/>
        </w:rPr>
        <w:t>), but</w:t>
      </w:r>
      <w:proofErr w:type="gramEnd"/>
      <w:r w:rsidRPr="00E70052">
        <w:rPr>
          <w:szCs w:val="26"/>
        </w:rPr>
        <w:t xml:space="preserve"> </w:t>
      </w:r>
      <w:r>
        <w:rPr>
          <w:szCs w:val="26"/>
        </w:rPr>
        <w:t>affirmed</w:t>
      </w:r>
      <w:r w:rsidRPr="00E70052">
        <w:rPr>
          <w:szCs w:val="26"/>
        </w:rPr>
        <w:t xml:space="preserve"> with respect to his representative </w:t>
      </w:r>
      <w:proofErr w:type="spellStart"/>
      <w:r w:rsidRPr="00E70052">
        <w:rPr>
          <w:szCs w:val="26"/>
        </w:rPr>
        <w:t>PAGA</w:t>
      </w:r>
      <w:proofErr w:type="spellEnd"/>
      <w:r w:rsidRPr="00E70052">
        <w:rPr>
          <w:szCs w:val="26"/>
        </w:rPr>
        <w:t xml:space="preserve"> claim</w:t>
      </w:r>
      <w:r w:rsidRPr="00E70052">
        <w:rPr>
          <w:szCs w:val="26"/>
        </w:rPr>
        <w:t xml:space="preserve">s on behalf of In-N-Out employees other than himself (which presumably means </w:t>
      </w:r>
      <w:proofErr w:type="spellStart"/>
      <w:r w:rsidRPr="00E70052">
        <w:rPr>
          <w:szCs w:val="26"/>
        </w:rPr>
        <w:t>Piplack</w:t>
      </w:r>
      <w:proofErr w:type="spellEnd"/>
      <w:r w:rsidRPr="00E70052">
        <w:rPr>
          <w:szCs w:val="26"/>
        </w:rPr>
        <w:t xml:space="preserve"> is now actively pursuing a </w:t>
      </w:r>
      <w:proofErr w:type="spellStart"/>
      <w:r w:rsidRPr="00E70052">
        <w:rPr>
          <w:szCs w:val="26"/>
        </w:rPr>
        <w:t>PAGA</w:t>
      </w:r>
      <w:proofErr w:type="spellEnd"/>
      <w:r w:rsidRPr="00E70052">
        <w:rPr>
          <w:szCs w:val="26"/>
        </w:rPr>
        <w:t xml:space="preserve"> case against In-N-Out in Orange County).</w:t>
      </w:r>
      <w:r>
        <w:rPr>
          <w:szCs w:val="26"/>
        </w:rPr>
        <w:t xml:space="preserve">  </w:t>
      </w:r>
      <w:r w:rsidRPr="00431879">
        <w:rPr>
          <w:szCs w:val="26"/>
        </w:rPr>
        <w:t>(</w:t>
      </w:r>
      <w:proofErr w:type="spellStart"/>
      <w:r w:rsidRPr="004E3F67">
        <w:rPr>
          <w:rFonts w:eastAsia="Times New Roman" w:cs="Times New Roman"/>
          <w:i/>
          <w:iCs/>
          <w:szCs w:val="26"/>
          <w:bdr w:val="none" w:sz="0" w:space="0" w:color="auto" w:frame="1"/>
        </w:rPr>
        <w:t>Piplack</w:t>
      </w:r>
      <w:proofErr w:type="spellEnd"/>
      <w:r w:rsidRPr="004E3F67">
        <w:rPr>
          <w:rFonts w:eastAsia="Times New Roman" w:cs="Times New Roman"/>
          <w:i/>
          <w:iCs/>
          <w:szCs w:val="26"/>
          <w:bdr w:val="none" w:sz="0" w:space="0" w:color="auto" w:frame="1"/>
        </w:rPr>
        <w:t xml:space="preserve"> v. In-N-Out Burgers</w:t>
      </w:r>
      <w:r w:rsidRPr="004E3F67">
        <w:rPr>
          <w:rFonts w:eastAsia="Times New Roman" w:cs="Times New Roman"/>
          <w:szCs w:val="26"/>
        </w:rPr>
        <w:t xml:space="preserve"> </w:t>
      </w:r>
      <w:r w:rsidRPr="00C04352">
        <w:rPr>
          <w:rFonts w:eastAsia="Times New Roman" w:cs="Times New Roman"/>
          <w:color w:val="000000"/>
          <w:szCs w:val="26"/>
        </w:rPr>
        <w:t>(2023) 88</w:t>
      </w:r>
      <w:r>
        <w:rPr>
          <w:rFonts w:eastAsia="Times New Roman" w:cs="Times New Roman"/>
          <w:color w:val="000000"/>
          <w:szCs w:val="26"/>
        </w:rPr>
        <w:t> </w:t>
      </w:r>
      <w:r w:rsidRPr="00C04352">
        <w:rPr>
          <w:rFonts w:eastAsia="Times New Roman" w:cs="Times New Roman"/>
          <w:color w:val="000000"/>
          <w:szCs w:val="26"/>
        </w:rPr>
        <w:t>Cal.App.5th 1281</w:t>
      </w:r>
      <w:r w:rsidRPr="00E70052">
        <w:rPr>
          <w:rFonts w:eastAsia="Times New Roman" w:cs="Times New Roman"/>
          <w:color w:val="000000"/>
          <w:szCs w:val="26"/>
        </w:rPr>
        <w:t>, 1293</w:t>
      </w:r>
      <w:r>
        <w:rPr>
          <w:rFonts w:eastAsia="Times New Roman" w:cs="Times New Roman"/>
          <w:color w:val="000000"/>
          <w:szCs w:val="26"/>
        </w:rPr>
        <w:t xml:space="preserve">, review granted </w:t>
      </w:r>
      <w:r w:rsidRPr="00A81E3C">
        <w:rPr>
          <w:rFonts w:eastAsia="Times New Roman" w:cs="Times New Roman"/>
          <w:szCs w:val="26"/>
        </w:rPr>
        <w:t>J</w:t>
      </w:r>
      <w:r>
        <w:rPr>
          <w:rFonts w:eastAsia="Times New Roman" w:cs="Times New Roman"/>
          <w:szCs w:val="26"/>
        </w:rPr>
        <w:t>une 14</w:t>
      </w:r>
      <w:r w:rsidRPr="00A81E3C">
        <w:rPr>
          <w:rFonts w:eastAsia="Times New Roman" w:cs="Times New Roman"/>
          <w:szCs w:val="26"/>
        </w:rPr>
        <w:t>, 202</w:t>
      </w:r>
      <w:r>
        <w:rPr>
          <w:rFonts w:eastAsia="Times New Roman" w:cs="Times New Roman"/>
          <w:szCs w:val="26"/>
        </w:rPr>
        <w:t>3</w:t>
      </w:r>
      <w:r w:rsidRPr="00A81E3C">
        <w:rPr>
          <w:rFonts w:eastAsia="Times New Roman" w:cs="Times New Roman"/>
          <w:szCs w:val="26"/>
        </w:rPr>
        <w:t xml:space="preserve">, </w:t>
      </w:r>
      <w:r w:rsidRPr="00A81E3C">
        <w:rPr>
          <w:rFonts w:eastAsia="Times New Roman" w:cs="Times New Roman"/>
          <w:szCs w:val="26"/>
        </w:rPr>
        <w:t>S27</w:t>
      </w:r>
      <w:r>
        <w:rPr>
          <w:rFonts w:eastAsia="Times New Roman" w:cs="Times New Roman"/>
          <w:szCs w:val="26"/>
        </w:rPr>
        <w:t>9546</w:t>
      </w:r>
      <w:r w:rsidRPr="00E70052">
        <w:rPr>
          <w:rFonts w:eastAsia="Times New Roman" w:cs="Times New Roman"/>
          <w:color w:val="000000"/>
          <w:szCs w:val="26"/>
        </w:rPr>
        <w:t xml:space="preserve">.) </w:t>
      </w:r>
    </w:p>
    <w:p w14:paraId="345499EC" w14:textId="77777777" w:rsidR="006C40DC" w:rsidRPr="00641B28" w:rsidRDefault="00B45E56" w:rsidP="00641B28">
      <w:pPr>
        <w:pStyle w:val="FootnoteText"/>
        <w:rPr>
          <w:szCs w:val="26"/>
        </w:rPr>
      </w:pPr>
    </w:p>
  </w:footnote>
  <w:footnote w:id="29">
    <w:p w14:paraId="2CA1C874" w14:textId="77777777" w:rsidR="009C7AC4" w:rsidRDefault="00B45E56" w:rsidP="00641B28">
      <w:pPr>
        <w:pStyle w:val="NormalWeb"/>
        <w:spacing w:before="0" w:beforeAutospacing="0" w:after="0" w:afterAutospacing="0" w:line="240" w:lineRule="auto"/>
        <w:textAlignment w:val="baseline"/>
        <w:rPr>
          <w:rFonts w:ascii="inherit" w:hAnsi="inherit"/>
          <w:color w:val="212121"/>
          <w:sz w:val="21"/>
          <w:szCs w:val="21"/>
          <w:bdr w:val="none" w:sz="0" w:space="0" w:color="auto" w:frame="1"/>
        </w:rPr>
      </w:pPr>
      <w:r w:rsidRPr="00641B28">
        <w:rPr>
          <w:rFonts w:ascii="Century Schoolbook" w:hAnsi="Century Schoolbook"/>
          <w:sz w:val="26"/>
          <w:szCs w:val="26"/>
        </w:rPr>
        <w:tab/>
      </w:r>
      <w:r w:rsidRPr="00641B28">
        <w:rPr>
          <w:rStyle w:val="FootnoteReference"/>
          <w:rFonts w:ascii="Century Schoolbook" w:hAnsi="Century Schoolbook"/>
          <w:sz w:val="26"/>
          <w:szCs w:val="26"/>
        </w:rPr>
        <w:footnoteRef/>
      </w:r>
      <w:r w:rsidRPr="00641B28">
        <w:rPr>
          <w:rFonts w:ascii="Century Schoolbook" w:hAnsi="Century Schoolbook"/>
          <w:sz w:val="26"/>
          <w:szCs w:val="26"/>
        </w:rPr>
        <w:t xml:space="preserve"> </w:t>
      </w:r>
      <w:r w:rsidRPr="006C6B15">
        <w:rPr>
          <w:rFonts w:ascii="Century Schoolbook" w:hAnsi="Century Schoolbook"/>
          <w:sz w:val="26"/>
          <w:szCs w:val="26"/>
        </w:rPr>
        <w:t xml:space="preserve">Limited purpose interventions are permissible.  </w:t>
      </w:r>
      <w:r>
        <w:rPr>
          <w:rFonts w:ascii="Century Schoolbook" w:hAnsi="Century Schoolbook"/>
          <w:sz w:val="26"/>
          <w:szCs w:val="26"/>
        </w:rPr>
        <w:t>(</w:t>
      </w:r>
      <w:r w:rsidRPr="00132714">
        <w:rPr>
          <w:rFonts w:ascii="Century Schoolbook" w:hAnsi="Century Schoolbook"/>
          <w:i/>
          <w:iCs/>
          <w:sz w:val="26"/>
          <w:szCs w:val="26"/>
          <w:bdr w:val="none" w:sz="0" w:space="0" w:color="auto" w:frame="1"/>
        </w:rPr>
        <w:t xml:space="preserve">Carlsbad Police </w:t>
      </w:r>
      <w:r w:rsidRPr="004E3F67">
        <w:rPr>
          <w:rFonts w:ascii="Century Schoolbook" w:hAnsi="Century Schoolbook"/>
          <w:i/>
          <w:iCs/>
          <w:sz w:val="26"/>
          <w:szCs w:val="26"/>
          <w:bdr w:val="none" w:sz="0" w:space="0" w:color="auto" w:frame="1"/>
        </w:rPr>
        <w:t>Officers Association v. City of Carlsbad</w:t>
      </w:r>
      <w:r w:rsidRPr="006C6B15">
        <w:rPr>
          <w:rFonts w:ascii="Century Schoolbook" w:hAnsi="Century Schoolbook"/>
          <w:sz w:val="26"/>
          <w:szCs w:val="26"/>
          <w:bdr w:val="none" w:sz="0" w:space="0" w:color="auto" w:frame="1"/>
        </w:rPr>
        <w:t xml:space="preserve">, </w:t>
      </w:r>
      <w:r w:rsidRPr="006C6B15">
        <w:rPr>
          <w:rFonts w:ascii="Century Schoolbook" w:hAnsi="Century Schoolbook"/>
          <w:i/>
          <w:iCs/>
          <w:sz w:val="26"/>
          <w:szCs w:val="26"/>
          <w:bdr w:val="none" w:sz="0" w:space="0" w:color="auto" w:frame="1"/>
        </w:rPr>
        <w:t>supra</w:t>
      </w:r>
      <w:r w:rsidRPr="006C6B15">
        <w:rPr>
          <w:rFonts w:ascii="Century Schoolbook" w:hAnsi="Century Schoolbook"/>
          <w:sz w:val="26"/>
          <w:szCs w:val="26"/>
          <w:bdr w:val="none" w:sz="0" w:space="0" w:color="auto" w:frame="1"/>
        </w:rPr>
        <w:t>, 49</w:t>
      </w:r>
      <w:r>
        <w:rPr>
          <w:rFonts w:ascii="Century Schoolbook" w:hAnsi="Century Schoolbook"/>
          <w:sz w:val="26"/>
          <w:szCs w:val="26"/>
          <w:bdr w:val="none" w:sz="0" w:space="0" w:color="auto" w:frame="1"/>
        </w:rPr>
        <w:t> </w:t>
      </w:r>
      <w:r w:rsidRPr="006C6B15">
        <w:rPr>
          <w:rFonts w:ascii="Century Schoolbook" w:hAnsi="Century Schoolbook"/>
          <w:sz w:val="26"/>
          <w:szCs w:val="26"/>
          <w:bdr w:val="none" w:sz="0" w:space="0" w:color="auto" w:frame="1"/>
        </w:rPr>
        <w:t>Cal.App.5th at p</w:t>
      </w:r>
      <w:r>
        <w:rPr>
          <w:rFonts w:ascii="Century Schoolbook" w:hAnsi="Century Schoolbook"/>
          <w:sz w:val="26"/>
          <w:szCs w:val="26"/>
          <w:bdr w:val="none" w:sz="0" w:space="0" w:color="auto" w:frame="1"/>
        </w:rPr>
        <w:t>. </w:t>
      </w:r>
      <w:r w:rsidRPr="006C6B15">
        <w:rPr>
          <w:rFonts w:ascii="Century Schoolbook" w:hAnsi="Century Schoolbook"/>
          <w:sz w:val="26"/>
          <w:szCs w:val="26"/>
          <w:bdr w:val="none" w:sz="0" w:space="0" w:color="auto" w:frame="1"/>
        </w:rPr>
        <w:t xml:space="preserve">151 </w:t>
      </w:r>
      <w:r>
        <w:rPr>
          <w:rFonts w:ascii="Century Schoolbook" w:hAnsi="Century Schoolbook"/>
          <w:sz w:val="26"/>
          <w:szCs w:val="26"/>
          <w:bdr w:val="none" w:sz="0" w:space="0" w:color="auto" w:frame="1"/>
        </w:rPr>
        <w:t>[</w:t>
      </w:r>
      <w:r w:rsidRPr="006C6B15">
        <w:rPr>
          <w:rFonts w:ascii="Century Schoolbook" w:hAnsi="Century Schoolbook"/>
          <w:sz w:val="26"/>
          <w:szCs w:val="26"/>
          <w:bdr w:val="none" w:sz="0" w:space="0" w:color="auto" w:frame="1"/>
        </w:rPr>
        <w:t>“</w:t>
      </w:r>
      <w:r w:rsidRPr="006C6B15">
        <w:rPr>
          <w:rFonts w:ascii="Century Schoolbook" w:hAnsi="Century Schoolbook"/>
          <w:color w:val="212121"/>
          <w:sz w:val="26"/>
          <w:szCs w:val="26"/>
        </w:rPr>
        <w:t xml:space="preserve">a trial court has inherent power to </w:t>
      </w:r>
      <w:r w:rsidRPr="004E3F67">
        <w:rPr>
          <w:rFonts w:ascii="Century Schoolbook" w:hAnsi="Century Schoolbook"/>
          <w:sz w:val="26"/>
          <w:szCs w:val="26"/>
        </w:rPr>
        <w:t>place</w:t>
      </w:r>
      <w:r>
        <w:rPr>
          <w:rFonts w:ascii="Century Schoolbook" w:hAnsi="Century Schoolbook"/>
          <w:sz w:val="26"/>
          <w:szCs w:val="26"/>
        </w:rPr>
        <w:t xml:space="preserve"> </w:t>
      </w:r>
      <w:r w:rsidRPr="004E3F67">
        <w:rPr>
          <w:rFonts w:ascii="Century Schoolbook" w:hAnsi="Century Schoolbook"/>
          <w:i/>
          <w:iCs/>
          <w:sz w:val="26"/>
          <w:szCs w:val="26"/>
          <w:bdr w:val="none" w:sz="0" w:space="0" w:color="auto" w:frame="1"/>
        </w:rPr>
        <w:t>reasonable</w:t>
      </w:r>
      <w:r>
        <w:rPr>
          <w:rFonts w:ascii="Century Schoolbook" w:hAnsi="Century Schoolbook"/>
          <w:sz w:val="26"/>
          <w:szCs w:val="26"/>
        </w:rPr>
        <w:t xml:space="preserve"> </w:t>
      </w:r>
      <w:r w:rsidRPr="006C6B15">
        <w:rPr>
          <w:rFonts w:ascii="Century Schoolbook" w:hAnsi="Century Schoolbook"/>
          <w:color w:val="212121"/>
          <w:sz w:val="26"/>
          <w:szCs w:val="26"/>
        </w:rPr>
        <w:t>conditions on</w:t>
      </w:r>
      <w:r>
        <w:rPr>
          <w:rFonts w:ascii="Century Schoolbook" w:hAnsi="Century Schoolbook"/>
          <w:color w:val="212121"/>
          <w:sz w:val="26"/>
          <w:szCs w:val="26"/>
        </w:rPr>
        <w:t xml:space="preserve"> </w:t>
      </w:r>
      <w:r w:rsidRPr="006C6B15">
        <w:rPr>
          <w:rFonts w:ascii="Century Schoolbook" w:hAnsi="Century Schoolbook"/>
          <w:color w:val="212121"/>
          <w:sz w:val="26"/>
          <w:szCs w:val="26"/>
          <w:bdr w:val="none" w:sz="0" w:space="0" w:color="auto" w:frame="1"/>
        </w:rPr>
        <w:t>intervention</w:t>
      </w:r>
      <w:r>
        <w:rPr>
          <w:rFonts w:ascii="Century Schoolbook" w:hAnsi="Century Schoolbook"/>
          <w:color w:val="212121"/>
          <w:sz w:val="26"/>
          <w:szCs w:val="26"/>
          <w:bdr w:val="none" w:sz="0" w:space="0" w:color="auto" w:frame="1"/>
        </w:rPr>
        <w:t>.</w:t>
      </w:r>
      <w:r w:rsidRPr="006C6B15">
        <w:rPr>
          <w:rFonts w:ascii="Century Schoolbook" w:hAnsi="Century Schoolbook"/>
          <w:color w:val="212121"/>
          <w:sz w:val="26"/>
          <w:szCs w:val="26"/>
          <w:bdr w:val="none" w:sz="0" w:space="0" w:color="auto" w:frame="1"/>
        </w:rPr>
        <w:t xml:space="preserve">” </w:t>
      </w:r>
      <w:r>
        <w:rPr>
          <w:rFonts w:ascii="Century Schoolbook" w:hAnsi="Century Schoolbook"/>
          <w:color w:val="212121"/>
          <w:sz w:val="26"/>
          <w:szCs w:val="26"/>
          <w:bdr w:val="none" w:sz="0" w:space="0" w:color="auto" w:frame="1"/>
        </w:rPr>
        <w:t>(I</w:t>
      </w:r>
      <w:r w:rsidRPr="006C6B15">
        <w:rPr>
          <w:rFonts w:ascii="Century Schoolbook" w:hAnsi="Century Schoolbook"/>
          <w:color w:val="212121"/>
          <w:sz w:val="26"/>
          <w:szCs w:val="26"/>
          <w:bdr w:val="none" w:sz="0" w:space="0" w:color="auto" w:frame="1"/>
        </w:rPr>
        <w:t xml:space="preserve">talics in </w:t>
      </w:r>
      <w:r w:rsidRPr="006C6B15">
        <w:rPr>
          <w:rFonts w:ascii="Century Schoolbook" w:hAnsi="Century Schoolbook"/>
          <w:color w:val="212121"/>
          <w:sz w:val="26"/>
          <w:szCs w:val="26"/>
          <w:bdr w:val="none" w:sz="0" w:space="0" w:color="auto" w:frame="1"/>
        </w:rPr>
        <w:t>original</w:t>
      </w:r>
      <w:r>
        <w:rPr>
          <w:rFonts w:ascii="Century Schoolbook" w:hAnsi="Century Schoolbook"/>
          <w:color w:val="212121"/>
          <w:sz w:val="26"/>
          <w:szCs w:val="26"/>
          <w:bdr w:val="none" w:sz="0" w:space="0" w:color="auto" w:frame="1"/>
        </w:rPr>
        <w:t>.)].)</w:t>
      </w:r>
      <w:r>
        <w:rPr>
          <w:rFonts w:ascii="inherit" w:hAnsi="inherit"/>
          <w:color w:val="212121"/>
          <w:sz w:val="21"/>
          <w:szCs w:val="21"/>
          <w:bdr w:val="none" w:sz="0" w:space="0" w:color="auto" w:frame="1"/>
        </w:rPr>
        <w:t xml:space="preserve">  </w:t>
      </w:r>
    </w:p>
    <w:p w14:paraId="5593DC30" w14:textId="77777777" w:rsidR="009C7AC4" w:rsidRPr="004C0FE5" w:rsidRDefault="00B45E56" w:rsidP="00641B28">
      <w:pPr>
        <w:pStyle w:val="NormalWeb"/>
        <w:spacing w:before="0" w:beforeAutospacing="0" w:after="0" w:afterAutospacing="0" w:line="240" w:lineRule="auto"/>
        <w:textAlignment w:val="baseline"/>
        <w:rPr>
          <w:rFonts w:ascii="Century Schoolbook" w:hAnsi="Century Schoolbook"/>
          <w:sz w:val="26"/>
          <w:szCs w:val="26"/>
        </w:rPr>
      </w:pPr>
    </w:p>
  </w:footnote>
  <w:footnote w:id="30">
    <w:p w14:paraId="2472F34F" w14:textId="77777777" w:rsidR="00972B0A" w:rsidRDefault="00B45E56" w:rsidP="003E3464">
      <w:pPr>
        <w:pStyle w:val="FootnoteText"/>
        <w:ind w:firstLine="720"/>
        <w:rPr>
          <w:rFonts w:eastAsia="Times New Roman" w:cs="Times New Roman"/>
          <w:color w:val="000000"/>
          <w:szCs w:val="26"/>
        </w:rPr>
      </w:pPr>
      <w:r w:rsidRPr="00E14F79">
        <w:rPr>
          <w:rStyle w:val="FootnoteReference"/>
          <w:szCs w:val="26"/>
        </w:rPr>
        <w:footnoteRef/>
      </w:r>
      <w:r w:rsidRPr="00E14F79">
        <w:rPr>
          <w:szCs w:val="26"/>
        </w:rPr>
        <w:t xml:space="preserve"> E.g.</w:t>
      </w:r>
      <w:r>
        <w:rPr>
          <w:szCs w:val="26"/>
        </w:rPr>
        <w:t>,</w:t>
      </w:r>
      <w:r w:rsidRPr="00EF5813">
        <w:rPr>
          <w:szCs w:val="26"/>
        </w:rPr>
        <w:t xml:space="preserve"> </w:t>
      </w:r>
      <w:r w:rsidRPr="00D52CA0">
        <w:rPr>
          <w:i/>
          <w:iCs/>
          <w:szCs w:val="26"/>
        </w:rPr>
        <w:t>Phipps Group v. Downing</w:t>
      </w:r>
      <w:r>
        <w:rPr>
          <w:szCs w:val="26"/>
        </w:rPr>
        <w:t xml:space="preserve"> (</w:t>
      </w:r>
      <w:r w:rsidRPr="00EF5813">
        <w:rPr>
          <w:rFonts w:eastAsia="Times New Roman" w:cs="Times New Roman"/>
          <w:i/>
          <w:iCs/>
          <w:szCs w:val="26"/>
          <w:bdr w:val="none" w:sz="0" w:space="0" w:color="auto" w:frame="1"/>
        </w:rPr>
        <w:t>In</w:t>
      </w:r>
      <w:r>
        <w:rPr>
          <w:rFonts w:eastAsia="Times New Roman" w:cs="Times New Roman"/>
          <w:i/>
          <w:iCs/>
          <w:szCs w:val="26"/>
          <w:bdr w:val="none" w:sz="0" w:space="0" w:color="auto" w:frame="1"/>
        </w:rPr>
        <w:t> </w:t>
      </w:r>
      <w:r w:rsidRPr="00EF5813">
        <w:rPr>
          <w:rFonts w:eastAsia="Times New Roman" w:cs="Times New Roman"/>
          <w:i/>
          <w:iCs/>
          <w:szCs w:val="26"/>
          <w:bdr w:val="none" w:sz="0" w:space="0" w:color="auto" w:frame="1"/>
        </w:rPr>
        <w:t>re Genetically Modified Rice Litigation</w:t>
      </w:r>
      <w:r w:rsidRPr="00D52CA0">
        <w:rPr>
          <w:rFonts w:eastAsia="Times New Roman" w:cs="Times New Roman"/>
          <w:szCs w:val="26"/>
          <w:bdr w:val="none" w:sz="0" w:space="0" w:color="auto" w:frame="1"/>
        </w:rPr>
        <w:t>)</w:t>
      </w:r>
      <w:r w:rsidRPr="00EF5813">
        <w:rPr>
          <w:rFonts w:eastAsia="Times New Roman" w:cs="Times New Roman"/>
          <w:szCs w:val="26"/>
        </w:rPr>
        <w:t xml:space="preserve"> (8th Cir. 2014) 764</w:t>
      </w:r>
      <w:r>
        <w:rPr>
          <w:rFonts w:eastAsia="Times New Roman" w:cs="Times New Roman"/>
          <w:szCs w:val="26"/>
        </w:rPr>
        <w:t> </w:t>
      </w:r>
      <w:r w:rsidRPr="00EF5813">
        <w:rPr>
          <w:rFonts w:eastAsia="Times New Roman" w:cs="Times New Roman"/>
          <w:szCs w:val="26"/>
        </w:rPr>
        <w:t xml:space="preserve">F.3d 864, 866; </w:t>
      </w:r>
      <w:r w:rsidRPr="00EF5813">
        <w:rPr>
          <w:rFonts w:eastAsia="Times New Roman" w:cs="Times New Roman"/>
          <w:i/>
          <w:iCs/>
          <w:szCs w:val="26"/>
          <w:bdr w:val="none" w:sz="0" w:space="0" w:color="auto" w:frame="1"/>
        </w:rPr>
        <w:t>In</w:t>
      </w:r>
      <w:r>
        <w:rPr>
          <w:rFonts w:eastAsia="Times New Roman" w:cs="Times New Roman"/>
          <w:i/>
          <w:iCs/>
          <w:szCs w:val="26"/>
          <w:bdr w:val="none" w:sz="0" w:space="0" w:color="auto" w:frame="1"/>
        </w:rPr>
        <w:t> </w:t>
      </w:r>
      <w:r w:rsidRPr="00EF5813">
        <w:rPr>
          <w:rFonts w:eastAsia="Times New Roman" w:cs="Times New Roman"/>
          <w:i/>
          <w:iCs/>
          <w:szCs w:val="26"/>
          <w:bdr w:val="none" w:sz="0" w:space="0" w:color="auto" w:frame="1"/>
        </w:rPr>
        <w:t>re Air Crash Disaster at Florida Everglades on December</w:t>
      </w:r>
      <w:r>
        <w:rPr>
          <w:rFonts w:eastAsia="Times New Roman" w:cs="Times New Roman"/>
          <w:i/>
          <w:iCs/>
          <w:szCs w:val="26"/>
          <w:bdr w:val="none" w:sz="0" w:space="0" w:color="auto" w:frame="1"/>
        </w:rPr>
        <w:t> </w:t>
      </w:r>
      <w:r w:rsidRPr="00E14F79">
        <w:rPr>
          <w:rFonts w:eastAsia="Times New Roman" w:cs="Times New Roman"/>
          <w:i/>
          <w:iCs/>
          <w:color w:val="3D3D3D"/>
          <w:szCs w:val="26"/>
          <w:bdr w:val="none" w:sz="0" w:space="0" w:color="auto" w:frame="1"/>
        </w:rPr>
        <w:t>29, 1972</w:t>
      </w:r>
      <w:r w:rsidRPr="00E14F79">
        <w:rPr>
          <w:rFonts w:eastAsia="Times New Roman" w:cs="Times New Roman"/>
          <w:color w:val="000000"/>
          <w:szCs w:val="26"/>
        </w:rPr>
        <w:t xml:space="preserve"> (</w:t>
      </w:r>
      <w:proofErr w:type="spellStart"/>
      <w:r w:rsidRPr="00E14F79">
        <w:rPr>
          <w:rFonts w:eastAsia="Times New Roman" w:cs="Times New Roman"/>
          <w:color w:val="000000"/>
          <w:szCs w:val="26"/>
        </w:rPr>
        <w:t>J.P.M.L</w:t>
      </w:r>
      <w:proofErr w:type="spellEnd"/>
      <w:r w:rsidRPr="00E14F79">
        <w:rPr>
          <w:rFonts w:eastAsia="Times New Roman" w:cs="Times New Roman"/>
          <w:color w:val="000000"/>
          <w:szCs w:val="26"/>
        </w:rPr>
        <w:t>. 1973) 360</w:t>
      </w:r>
      <w:r>
        <w:rPr>
          <w:rFonts w:eastAsia="Times New Roman" w:cs="Times New Roman"/>
          <w:color w:val="000000"/>
          <w:szCs w:val="26"/>
        </w:rPr>
        <w:t> </w:t>
      </w:r>
      <w:proofErr w:type="spellStart"/>
      <w:r w:rsidRPr="00E14F79">
        <w:rPr>
          <w:rFonts w:eastAsia="Times New Roman" w:cs="Times New Roman"/>
          <w:color w:val="000000"/>
          <w:szCs w:val="26"/>
        </w:rPr>
        <w:t>F.Supp</w:t>
      </w:r>
      <w:proofErr w:type="spellEnd"/>
      <w:r w:rsidRPr="00E14F79">
        <w:rPr>
          <w:rFonts w:eastAsia="Times New Roman" w:cs="Times New Roman"/>
          <w:color w:val="000000"/>
          <w:szCs w:val="26"/>
        </w:rPr>
        <w:t>. 1394, 1395.</w:t>
      </w:r>
    </w:p>
    <w:p w14:paraId="68ECD751" w14:textId="77777777" w:rsidR="00972B0A" w:rsidRPr="00E14F79" w:rsidRDefault="00B45E56" w:rsidP="003E3464">
      <w:pPr>
        <w:pStyle w:val="FootnoteText"/>
        <w:ind w:firstLine="720"/>
        <w:rPr>
          <w:szCs w:val="26"/>
        </w:rPr>
      </w:pPr>
    </w:p>
  </w:footnote>
  <w:footnote w:id="31">
    <w:p w14:paraId="610D326A" w14:textId="77777777" w:rsidR="00F911A7" w:rsidRPr="00D23500" w:rsidRDefault="00B45E56" w:rsidP="00D23500">
      <w:pPr>
        <w:shd w:val="clear" w:color="auto" w:fill="FFFFFF"/>
        <w:tabs>
          <w:tab w:val="clear" w:pos="720"/>
        </w:tabs>
        <w:spacing w:line="320" w:lineRule="atLeast"/>
        <w:ind w:firstLine="720"/>
        <w:rPr>
          <w:rFonts w:eastAsia="Times New Roman" w:cs="Times New Roman"/>
          <w:color w:val="000000"/>
          <w:szCs w:val="26"/>
        </w:rPr>
      </w:pPr>
      <w:r w:rsidRPr="00EF5813">
        <w:rPr>
          <w:rStyle w:val="FootnoteReference"/>
          <w:szCs w:val="26"/>
        </w:rPr>
        <w:footnoteRef/>
      </w:r>
      <w:r w:rsidRPr="00EF5813">
        <w:rPr>
          <w:rFonts w:eastAsia="Times New Roman" w:cs="Times New Roman"/>
          <w:i/>
          <w:iCs/>
          <w:szCs w:val="26"/>
          <w:bdr w:val="none" w:sz="0" w:space="0" w:color="auto" w:frame="1"/>
        </w:rPr>
        <w:t xml:space="preserve"> </w:t>
      </w:r>
      <w:r w:rsidRPr="006447F9">
        <w:rPr>
          <w:rFonts w:eastAsia="Times New Roman" w:cs="Times New Roman"/>
          <w:szCs w:val="26"/>
          <w:bdr w:val="none" w:sz="0" w:space="0" w:color="auto" w:frame="1"/>
        </w:rPr>
        <w:t>E.g</w:t>
      </w:r>
      <w:r w:rsidRPr="00EF5813">
        <w:rPr>
          <w:rFonts w:eastAsia="Times New Roman" w:cs="Times New Roman"/>
          <w:i/>
          <w:szCs w:val="26"/>
          <w:bdr w:val="none" w:sz="0" w:space="0" w:color="auto" w:frame="1"/>
        </w:rPr>
        <w:t>.,</w:t>
      </w:r>
      <w:r w:rsidRPr="00EF5813">
        <w:rPr>
          <w:rFonts w:eastAsia="Times New Roman" w:cs="Times New Roman"/>
          <w:i/>
          <w:iCs/>
          <w:szCs w:val="26"/>
          <w:bdr w:val="none" w:sz="0" w:space="0" w:color="auto" w:frame="1"/>
        </w:rPr>
        <w:t xml:space="preserve"> In re Yahoo! Inc. Customer Data Security Breach Litigation</w:t>
      </w:r>
      <w:r w:rsidRPr="00EF5813">
        <w:rPr>
          <w:rFonts w:eastAsia="Times New Roman" w:cs="Times New Roman"/>
          <w:szCs w:val="26"/>
        </w:rPr>
        <w:t xml:space="preserve"> </w:t>
      </w:r>
      <w:r w:rsidRPr="00D23500">
        <w:rPr>
          <w:rFonts w:eastAsia="Times New Roman" w:cs="Times New Roman"/>
          <w:color w:val="000000"/>
          <w:szCs w:val="26"/>
        </w:rPr>
        <w:t xml:space="preserve">(N.D. Cal., July 22, 2020, No. 16-MD-02752-LHK) 2020 WL 4212811, </w:t>
      </w:r>
      <w:r>
        <w:rPr>
          <w:rFonts w:eastAsia="Times New Roman" w:cs="Times New Roman"/>
          <w:color w:val="000000"/>
          <w:szCs w:val="26"/>
        </w:rPr>
        <w:t>page</w:t>
      </w:r>
      <w:r w:rsidRPr="00D23500">
        <w:rPr>
          <w:rFonts w:eastAsia="Times New Roman" w:cs="Times New Roman"/>
          <w:color w:val="000000"/>
          <w:szCs w:val="26"/>
        </w:rPr>
        <w:t xml:space="preserve"> *13, </w:t>
      </w:r>
      <w:r w:rsidRPr="004124C8">
        <w:rPr>
          <w:rFonts w:eastAsia="Times New Roman" w:cs="Times New Roman"/>
          <w:color w:val="3D3D3D"/>
          <w:szCs w:val="26"/>
          <w:bdr w:val="none" w:sz="0" w:space="0" w:color="auto" w:frame="1"/>
        </w:rPr>
        <w:t>aff</w:t>
      </w:r>
      <w:r>
        <w:rPr>
          <w:rFonts w:eastAsia="Times New Roman" w:cs="Times New Roman"/>
          <w:color w:val="000000"/>
          <w:szCs w:val="26"/>
        </w:rPr>
        <w:t>irmed</w:t>
      </w:r>
      <w:r w:rsidRPr="00D23500">
        <w:rPr>
          <w:rFonts w:eastAsia="Times New Roman" w:cs="Times New Roman"/>
          <w:color w:val="000000"/>
          <w:szCs w:val="26"/>
        </w:rPr>
        <w:t xml:space="preserve"> (9th Cir., June</w:t>
      </w:r>
      <w:r>
        <w:rPr>
          <w:rFonts w:eastAsia="Times New Roman" w:cs="Times New Roman"/>
          <w:color w:val="000000"/>
          <w:szCs w:val="26"/>
        </w:rPr>
        <w:t> </w:t>
      </w:r>
      <w:r w:rsidRPr="00D23500">
        <w:rPr>
          <w:rFonts w:eastAsia="Times New Roman" w:cs="Times New Roman"/>
          <w:color w:val="000000"/>
          <w:szCs w:val="26"/>
        </w:rPr>
        <w:t>27, 2022, No. 20-16633) 2022 WL 2304236.</w:t>
      </w:r>
    </w:p>
    <w:p w14:paraId="5253ED3D" w14:textId="77777777" w:rsidR="00F911A7" w:rsidRDefault="00B45E5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CE2E" w14:textId="77777777" w:rsidR="00813FD4" w:rsidRDefault="00B45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3135" w14:textId="77777777" w:rsidR="00813FD4" w:rsidRDefault="00B45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5BF1" w14:textId="77777777" w:rsidR="00813FD4" w:rsidRDefault="00B45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B0EC2"/>
    <w:multiLevelType w:val="hybridMultilevel"/>
    <w:tmpl w:val="36E45A66"/>
    <w:lvl w:ilvl="0" w:tplc="2F9AB5A2">
      <w:start w:val="1"/>
      <w:numFmt w:val="upperRoman"/>
      <w:lvlText w:val="%1."/>
      <w:lvlJc w:val="left"/>
      <w:pPr>
        <w:ind w:left="1080" w:hanging="720"/>
      </w:pPr>
      <w:rPr>
        <w:rFonts w:hint="default"/>
      </w:rPr>
    </w:lvl>
    <w:lvl w:ilvl="1" w:tplc="78582D20" w:tentative="1">
      <w:start w:val="1"/>
      <w:numFmt w:val="lowerLetter"/>
      <w:lvlText w:val="%2."/>
      <w:lvlJc w:val="left"/>
      <w:pPr>
        <w:ind w:left="1440" w:hanging="360"/>
      </w:pPr>
    </w:lvl>
    <w:lvl w:ilvl="2" w:tplc="A4C6E19A" w:tentative="1">
      <w:start w:val="1"/>
      <w:numFmt w:val="lowerRoman"/>
      <w:lvlText w:val="%3."/>
      <w:lvlJc w:val="right"/>
      <w:pPr>
        <w:ind w:left="2160" w:hanging="180"/>
      </w:pPr>
    </w:lvl>
    <w:lvl w:ilvl="3" w:tplc="7700A9DC" w:tentative="1">
      <w:start w:val="1"/>
      <w:numFmt w:val="decimal"/>
      <w:lvlText w:val="%4."/>
      <w:lvlJc w:val="left"/>
      <w:pPr>
        <w:ind w:left="2880" w:hanging="360"/>
      </w:pPr>
    </w:lvl>
    <w:lvl w:ilvl="4" w:tplc="D2301806" w:tentative="1">
      <w:start w:val="1"/>
      <w:numFmt w:val="lowerLetter"/>
      <w:lvlText w:val="%5."/>
      <w:lvlJc w:val="left"/>
      <w:pPr>
        <w:ind w:left="3600" w:hanging="360"/>
      </w:pPr>
    </w:lvl>
    <w:lvl w:ilvl="5" w:tplc="0E9AA87C" w:tentative="1">
      <w:start w:val="1"/>
      <w:numFmt w:val="lowerRoman"/>
      <w:lvlText w:val="%6."/>
      <w:lvlJc w:val="right"/>
      <w:pPr>
        <w:ind w:left="4320" w:hanging="180"/>
      </w:pPr>
    </w:lvl>
    <w:lvl w:ilvl="6" w:tplc="37204478" w:tentative="1">
      <w:start w:val="1"/>
      <w:numFmt w:val="decimal"/>
      <w:lvlText w:val="%7."/>
      <w:lvlJc w:val="left"/>
      <w:pPr>
        <w:ind w:left="5040" w:hanging="360"/>
      </w:pPr>
    </w:lvl>
    <w:lvl w:ilvl="7" w:tplc="37286682" w:tentative="1">
      <w:start w:val="1"/>
      <w:numFmt w:val="lowerLetter"/>
      <w:lvlText w:val="%8."/>
      <w:lvlJc w:val="left"/>
      <w:pPr>
        <w:ind w:left="5760" w:hanging="360"/>
      </w:pPr>
    </w:lvl>
    <w:lvl w:ilvl="8" w:tplc="FCB66F14" w:tentative="1">
      <w:start w:val="1"/>
      <w:numFmt w:val="lowerRoman"/>
      <w:lvlText w:val="%9."/>
      <w:lvlJc w:val="right"/>
      <w:pPr>
        <w:ind w:left="6480" w:hanging="180"/>
      </w:pPr>
    </w:lvl>
  </w:abstractNum>
  <w:abstractNum w:abstractNumId="1" w15:restartNumberingAfterBreak="0">
    <w:nsid w:val="40985BCB"/>
    <w:multiLevelType w:val="hybridMultilevel"/>
    <w:tmpl w:val="F64094BA"/>
    <w:lvl w:ilvl="0" w:tplc="1E5877AC">
      <w:start w:val="1"/>
      <w:numFmt w:val="upperRoman"/>
      <w:lvlText w:val="%1."/>
      <w:lvlJc w:val="left"/>
      <w:pPr>
        <w:ind w:left="1080" w:hanging="720"/>
      </w:pPr>
      <w:rPr>
        <w:rFonts w:hint="default"/>
        <w:color w:val="auto"/>
      </w:rPr>
    </w:lvl>
    <w:lvl w:ilvl="1" w:tplc="76FADA16" w:tentative="1">
      <w:start w:val="1"/>
      <w:numFmt w:val="lowerLetter"/>
      <w:lvlText w:val="%2."/>
      <w:lvlJc w:val="left"/>
      <w:pPr>
        <w:ind w:left="1440" w:hanging="360"/>
      </w:pPr>
    </w:lvl>
    <w:lvl w:ilvl="2" w:tplc="F5C2964C" w:tentative="1">
      <w:start w:val="1"/>
      <w:numFmt w:val="lowerRoman"/>
      <w:lvlText w:val="%3."/>
      <w:lvlJc w:val="right"/>
      <w:pPr>
        <w:ind w:left="2160" w:hanging="180"/>
      </w:pPr>
    </w:lvl>
    <w:lvl w:ilvl="3" w:tplc="82DA628E" w:tentative="1">
      <w:start w:val="1"/>
      <w:numFmt w:val="decimal"/>
      <w:lvlText w:val="%4."/>
      <w:lvlJc w:val="left"/>
      <w:pPr>
        <w:ind w:left="2880" w:hanging="360"/>
      </w:pPr>
    </w:lvl>
    <w:lvl w:ilvl="4" w:tplc="748462FA" w:tentative="1">
      <w:start w:val="1"/>
      <w:numFmt w:val="lowerLetter"/>
      <w:lvlText w:val="%5."/>
      <w:lvlJc w:val="left"/>
      <w:pPr>
        <w:ind w:left="3600" w:hanging="360"/>
      </w:pPr>
    </w:lvl>
    <w:lvl w:ilvl="5" w:tplc="9D4C179A" w:tentative="1">
      <w:start w:val="1"/>
      <w:numFmt w:val="lowerRoman"/>
      <w:lvlText w:val="%6."/>
      <w:lvlJc w:val="right"/>
      <w:pPr>
        <w:ind w:left="4320" w:hanging="180"/>
      </w:pPr>
    </w:lvl>
    <w:lvl w:ilvl="6" w:tplc="C220DAFC" w:tentative="1">
      <w:start w:val="1"/>
      <w:numFmt w:val="decimal"/>
      <w:lvlText w:val="%7."/>
      <w:lvlJc w:val="left"/>
      <w:pPr>
        <w:ind w:left="5040" w:hanging="360"/>
      </w:pPr>
    </w:lvl>
    <w:lvl w:ilvl="7" w:tplc="7D60557A" w:tentative="1">
      <w:start w:val="1"/>
      <w:numFmt w:val="lowerLetter"/>
      <w:lvlText w:val="%8."/>
      <w:lvlJc w:val="left"/>
      <w:pPr>
        <w:ind w:left="5760" w:hanging="360"/>
      </w:pPr>
    </w:lvl>
    <w:lvl w:ilvl="8" w:tplc="8D464440" w:tentative="1">
      <w:start w:val="1"/>
      <w:numFmt w:val="lowerRoman"/>
      <w:lvlText w:val="%9."/>
      <w:lvlJc w:val="right"/>
      <w:pPr>
        <w:ind w:left="6480" w:hanging="180"/>
      </w:pPr>
    </w:lvl>
  </w:abstractNum>
  <w:abstractNum w:abstractNumId="2" w15:restartNumberingAfterBreak="0">
    <w:nsid w:val="647D6EA6"/>
    <w:multiLevelType w:val="hybridMultilevel"/>
    <w:tmpl w:val="171E2E16"/>
    <w:lvl w:ilvl="0" w:tplc="46861950">
      <w:start w:val="1"/>
      <w:numFmt w:val="upperRoman"/>
      <w:lvlText w:val="%1."/>
      <w:lvlJc w:val="left"/>
      <w:pPr>
        <w:ind w:left="1800" w:hanging="720"/>
      </w:pPr>
      <w:rPr>
        <w:rFonts w:hint="default"/>
      </w:rPr>
    </w:lvl>
    <w:lvl w:ilvl="1" w:tplc="959ADC04" w:tentative="1">
      <w:start w:val="1"/>
      <w:numFmt w:val="lowerLetter"/>
      <w:lvlText w:val="%2."/>
      <w:lvlJc w:val="left"/>
      <w:pPr>
        <w:ind w:left="2160" w:hanging="360"/>
      </w:pPr>
    </w:lvl>
    <w:lvl w:ilvl="2" w:tplc="38AC86E8" w:tentative="1">
      <w:start w:val="1"/>
      <w:numFmt w:val="lowerRoman"/>
      <w:lvlText w:val="%3."/>
      <w:lvlJc w:val="right"/>
      <w:pPr>
        <w:ind w:left="2880" w:hanging="180"/>
      </w:pPr>
    </w:lvl>
    <w:lvl w:ilvl="3" w:tplc="F83A59C2" w:tentative="1">
      <w:start w:val="1"/>
      <w:numFmt w:val="decimal"/>
      <w:lvlText w:val="%4."/>
      <w:lvlJc w:val="left"/>
      <w:pPr>
        <w:ind w:left="3600" w:hanging="360"/>
      </w:pPr>
    </w:lvl>
    <w:lvl w:ilvl="4" w:tplc="EC6EC818" w:tentative="1">
      <w:start w:val="1"/>
      <w:numFmt w:val="lowerLetter"/>
      <w:lvlText w:val="%5."/>
      <w:lvlJc w:val="left"/>
      <w:pPr>
        <w:ind w:left="4320" w:hanging="360"/>
      </w:pPr>
    </w:lvl>
    <w:lvl w:ilvl="5" w:tplc="B950BE3C" w:tentative="1">
      <w:start w:val="1"/>
      <w:numFmt w:val="lowerRoman"/>
      <w:lvlText w:val="%6."/>
      <w:lvlJc w:val="right"/>
      <w:pPr>
        <w:ind w:left="5040" w:hanging="180"/>
      </w:pPr>
    </w:lvl>
    <w:lvl w:ilvl="6" w:tplc="984AEA8E" w:tentative="1">
      <w:start w:val="1"/>
      <w:numFmt w:val="decimal"/>
      <w:lvlText w:val="%7."/>
      <w:lvlJc w:val="left"/>
      <w:pPr>
        <w:ind w:left="5760" w:hanging="360"/>
      </w:pPr>
    </w:lvl>
    <w:lvl w:ilvl="7" w:tplc="D444B162" w:tentative="1">
      <w:start w:val="1"/>
      <w:numFmt w:val="lowerLetter"/>
      <w:lvlText w:val="%8."/>
      <w:lvlJc w:val="left"/>
      <w:pPr>
        <w:ind w:left="6480" w:hanging="360"/>
      </w:pPr>
    </w:lvl>
    <w:lvl w:ilvl="8" w:tplc="9E1C1F34" w:tentative="1">
      <w:start w:val="1"/>
      <w:numFmt w:val="lowerRoman"/>
      <w:lvlText w:val="%9."/>
      <w:lvlJc w:val="right"/>
      <w:pPr>
        <w:ind w:left="7200" w:hanging="180"/>
      </w:pPr>
    </w:lvl>
  </w:abstractNum>
  <w:num w:numId="1" w16cid:durableId="1163859258">
    <w:abstractNumId w:val="1"/>
  </w:num>
  <w:num w:numId="2" w16cid:durableId="1907912168">
    <w:abstractNumId w:val="0"/>
  </w:num>
  <w:num w:numId="3" w16cid:durableId="530190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17"/>
    <w:rsid w:val="00B45E56"/>
    <w:rsid w:val="00D10A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532"/>
    <w:pPr>
      <w:tabs>
        <w:tab w:val="left" w:pos="720"/>
      </w:tabs>
      <w:spacing w:line="480" w:lineRule="atLeast"/>
    </w:pPr>
    <w:rPr>
      <w:rFonts w:cs="Calibri"/>
      <w:szCs w:val="22"/>
    </w:rPr>
  </w:style>
  <w:style w:type="paragraph" w:styleId="Heading1">
    <w:name w:val="heading 1"/>
    <w:basedOn w:val="Normal"/>
    <w:next w:val="Normal"/>
    <w:link w:val="Heading1Char"/>
    <w:uiPriority w:val="9"/>
    <w:qFormat/>
    <w:rsid w:val="00C146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407F"/>
    <w:pPr>
      <w:keepNext/>
      <w:keepLines/>
      <w:spacing w:before="40"/>
      <w:outlineLvl w:val="1"/>
    </w:pPr>
    <w:rPr>
      <w:rFonts w:asciiTheme="majorHAnsi" w:eastAsiaTheme="majorEastAsia" w:hAnsiTheme="majorHAnsi" w:cstheme="majorBidi"/>
      <w:color w:val="2F5496" w:themeColor="accent1" w:themeShade="BF"/>
      <w:szCs w:val="26"/>
    </w:rPr>
  </w:style>
  <w:style w:type="paragraph" w:styleId="Heading3">
    <w:name w:val="heading 3"/>
    <w:basedOn w:val="Normal"/>
    <w:next w:val="Normal"/>
    <w:link w:val="Heading3Char"/>
    <w:uiPriority w:val="9"/>
    <w:unhideWhenUsed/>
    <w:qFormat/>
    <w:rsid w:val="001C793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0413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6FC"/>
    <w:rPr>
      <w:rFonts w:asciiTheme="majorHAnsi" w:eastAsiaTheme="majorEastAsia" w:hAnsiTheme="majorHAnsi" w:cstheme="majorBidi"/>
      <w:color w:val="2F5496" w:themeColor="accent1" w:themeShade="BF"/>
      <w:sz w:val="32"/>
      <w:szCs w:val="32"/>
    </w:rPr>
  </w:style>
  <w:style w:type="character" w:customStyle="1" w:styleId="cohl">
    <w:name w:val="co_hl"/>
    <w:basedOn w:val="DefaultParagraphFont"/>
    <w:rsid w:val="00C1691C"/>
  </w:style>
  <w:style w:type="paragraph" w:styleId="FootnoteText">
    <w:name w:val="footnote text"/>
    <w:link w:val="FootnoteTextChar"/>
    <w:uiPriority w:val="99"/>
    <w:unhideWhenUsed/>
    <w:rsid w:val="00B57620"/>
    <w:pPr>
      <w:spacing w:line="240" w:lineRule="auto"/>
    </w:pPr>
    <w:rPr>
      <w:rFonts w:cs="Calibri"/>
      <w:szCs w:val="20"/>
    </w:rPr>
  </w:style>
  <w:style w:type="character" w:customStyle="1" w:styleId="FootnoteTextChar">
    <w:name w:val="Footnote Text Char"/>
    <w:basedOn w:val="DefaultParagraphFont"/>
    <w:link w:val="FootnoteText"/>
    <w:uiPriority w:val="99"/>
    <w:rsid w:val="00B57620"/>
    <w:rPr>
      <w:rFonts w:cs="Calibri"/>
      <w:szCs w:val="20"/>
    </w:rPr>
  </w:style>
  <w:style w:type="character" w:styleId="FootnoteReference">
    <w:name w:val="footnote reference"/>
    <w:basedOn w:val="DefaultParagraphFont"/>
    <w:uiPriority w:val="99"/>
    <w:semiHidden/>
    <w:unhideWhenUsed/>
    <w:rsid w:val="00B57620"/>
    <w:rPr>
      <w:vertAlign w:val="superscript"/>
    </w:rPr>
  </w:style>
  <w:style w:type="character" w:styleId="Emphasis">
    <w:name w:val="Emphasis"/>
    <w:basedOn w:val="DefaultParagraphFont"/>
    <w:uiPriority w:val="20"/>
    <w:qFormat/>
    <w:rsid w:val="00146C29"/>
    <w:rPr>
      <w:i/>
      <w:iCs/>
    </w:rPr>
  </w:style>
  <w:style w:type="character" w:customStyle="1" w:styleId="cohighlightpoints">
    <w:name w:val="co_highlightpoints"/>
    <w:basedOn w:val="DefaultParagraphFont"/>
    <w:rsid w:val="00146C29"/>
  </w:style>
  <w:style w:type="character" w:customStyle="1" w:styleId="Heading2Char">
    <w:name w:val="Heading 2 Char"/>
    <w:basedOn w:val="DefaultParagraphFont"/>
    <w:link w:val="Heading2"/>
    <w:uiPriority w:val="9"/>
    <w:rsid w:val="00AE407F"/>
    <w:rPr>
      <w:rFonts w:asciiTheme="majorHAnsi" w:eastAsiaTheme="majorEastAsia" w:hAnsiTheme="majorHAnsi" w:cstheme="majorBidi"/>
      <w:color w:val="2F5496" w:themeColor="accent1" w:themeShade="BF"/>
    </w:rPr>
  </w:style>
  <w:style w:type="character" w:customStyle="1" w:styleId="coconcept1420">
    <w:name w:val="co_concept_14_20"/>
    <w:basedOn w:val="DefaultParagraphFont"/>
    <w:rsid w:val="003E50AA"/>
  </w:style>
  <w:style w:type="character" w:customStyle="1" w:styleId="costarpage">
    <w:name w:val="co_starpage"/>
    <w:basedOn w:val="DefaultParagraphFont"/>
    <w:rsid w:val="004B32A4"/>
  </w:style>
  <w:style w:type="character" w:customStyle="1" w:styleId="coconcept14">
    <w:name w:val="co_concept_1_4"/>
    <w:basedOn w:val="DefaultParagraphFont"/>
    <w:rsid w:val="00D5171A"/>
  </w:style>
  <w:style w:type="character" w:customStyle="1" w:styleId="copinpointicon">
    <w:name w:val="co_pinpointicon"/>
    <w:basedOn w:val="DefaultParagraphFont"/>
    <w:rsid w:val="00506B3E"/>
  </w:style>
  <w:style w:type="paragraph" w:styleId="NormalWeb">
    <w:name w:val="Normal (Web)"/>
    <w:basedOn w:val="Normal"/>
    <w:uiPriority w:val="99"/>
    <w:unhideWhenUsed/>
    <w:rsid w:val="004726A4"/>
    <w:pPr>
      <w:spacing w:before="100" w:beforeAutospacing="1" w:after="100" w:afterAutospacing="1"/>
    </w:pPr>
    <w:rPr>
      <w:rFonts w:ascii="Times New Roman" w:eastAsia="Times New Roman" w:hAnsi="Times New Roman" w:cs="Times New Roman"/>
      <w:sz w:val="24"/>
      <w:szCs w:val="24"/>
    </w:rPr>
  </w:style>
  <w:style w:type="character" w:customStyle="1" w:styleId="acy">
    <w:name w:val="acy"/>
    <w:basedOn w:val="DefaultParagraphFont"/>
    <w:rsid w:val="00403FD8"/>
  </w:style>
  <w:style w:type="character" w:customStyle="1" w:styleId="ssrfcpassagedeactivated">
    <w:name w:val="ss_rfcpassage_deactivated"/>
    <w:basedOn w:val="DefaultParagraphFont"/>
    <w:rsid w:val="00ED6EC8"/>
  </w:style>
  <w:style w:type="character" w:customStyle="1" w:styleId="ssit">
    <w:name w:val="ss_it"/>
    <w:basedOn w:val="DefaultParagraphFont"/>
    <w:rsid w:val="00ED6EC8"/>
  </w:style>
  <w:style w:type="character" w:customStyle="1" w:styleId="Heading3Char">
    <w:name w:val="Heading 3 Char"/>
    <w:basedOn w:val="DefaultParagraphFont"/>
    <w:link w:val="Heading3"/>
    <w:uiPriority w:val="9"/>
    <w:rsid w:val="001C793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42C58"/>
    <w:pPr>
      <w:tabs>
        <w:tab w:val="center" w:pos="4680"/>
        <w:tab w:val="right" w:pos="9360"/>
      </w:tabs>
    </w:pPr>
  </w:style>
  <w:style w:type="character" w:customStyle="1" w:styleId="HeaderChar">
    <w:name w:val="Header Char"/>
    <w:basedOn w:val="DefaultParagraphFont"/>
    <w:link w:val="Header"/>
    <w:uiPriority w:val="99"/>
    <w:rsid w:val="00742C58"/>
    <w:rPr>
      <w:rFonts w:ascii="Calibri" w:hAnsi="Calibri" w:cs="Calibri"/>
      <w:sz w:val="22"/>
      <w:szCs w:val="22"/>
    </w:rPr>
  </w:style>
  <w:style w:type="paragraph" w:styleId="Footer">
    <w:name w:val="footer"/>
    <w:basedOn w:val="Normal"/>
    <w:link w:val="FooterChar"/>
    <w:uiPriority w:val="99"/>
    <w:unhideWhenUsed/>
    <w:rsid w:val="00742C58"/>
    <w:pPr>
      <w:tabs>
        <w:tab w:val="center" w:pos="4680"/>
        <w:tab w:val="right" w:pos="9360"/>
      </w:tabs>
    </w:pPr>
  </w:style>
  <w:style w:type="character" w:customStyle="1" w:styleId="FooterChar">
    <w:name w:val="Footer Char"/>
    <w:basedOn w:val="DefaultParagraphFont"/>
    <w:link w:val="Footer"/>
    <w:uiPriority w:val="99"/>
    <w:rsid w:val="00742C58"/>
    <w:rPr>
      <w:rFonts w:ascii="Calibri" w:hAnsi="Calibri" w:cs="Calibri"/>
      <w:sz w:val="22"/>
      <w:szCs w:val="22"/>
    </w:rPr>
  </w:style>
  <w:style w:type="character" w:styleId="PageNumber">
    <w:name w:val="page number"/>
    <w:basedOn w:val="DefaultParagraphFont"/>
    <w:uiPriority w:val="99"/>
    <w:semiHidden/>
    <w:unhideWhenUsed/>
    <w:rsid w:val="00742C58"/>
  </w:style>
  <w:style w:type="paragraph" w:styleId="Revision">
    <w:name w:val="Revision"/>
    <w:hidden/>
    <w:uiPriority w:val="99"/>
    <w:semiHidden/>
    <w:rsid w:val="0016000A"/>
    <w:pPr>
      <w:spacing w:line="240" w:lineRule="auto"/>
    </w:pPr>
    <w:rPr>
      <w:rFonts w:cs="Calibri"/>
      <w:szCs w:val="22"/>
    </w:rPr>
  </w:style>
  <w:style w:type="character" w:customStyle="1" w:styleId="coconcept17">
    <w:name w:val="co_concept_1_7"/>
    <w:basedOn w:val="DefaultParagraphFont"/>
    <w:rsid w:val="00B00836"/>
  </w:style>
  <w:style w:type="character" w:customStyle="1" w:styleId="coconcept1218">
    <w:name w:val="co_concept_12_18"/>
    <w:basedOn w:val="DefaultParagraphFont"/>
    <w:rsid w:val="00B00836"/>
  </w:style>
  <w:style w:type="character" w:customStyle="1" w:styleId="sssh">
    <w:name w:val="ss_sh"/>
    <w:basedOn w:val="DefaultParagraphFont"/>
    <w:rsid w:val="00477EF5"/>
  </w:style>
  <w:style w:type="character" w:customStyle="1" w:styleId="coconcept1421">
    <w:name w:val="co_concept_14_21"/>
    <w:basedOn w:val="DefaultParagraphFont"/>
    <w:rsid w:val="00345289"/>
  </w:style>
  <w:style w:type="character" w:customStyle="1" w:styleId="coconcept2630">
    <w:name w:val="co_concept_26_30"/>
    <w:basedOn w:val="DefaultParagraphFont"/>
    <w:rsid w:val="00345289"/>
  </w:style>
  <w:style w:type="character" w:customStyle="1" w:styleId="coconcept18">
    <w:name w:val="co_concept_1_8"/>
    <w:basedOn w:val="DefaultParagraphFont"/>
    <w:rsid w:val="00345289"/>
  </w:style>
  <w:style w:type="character" w:styleId="CommentReference">
    <w:name w:val="annotation reference"/>
    <w:basedOn w:val="DefaultParagraphFont"/>
    <w:uiPriority w:val="99"/>
    <w:semiHidden/>
    <w:unhideWhenUsed/>
    <w:rsid w:val="001062DE"/>
    <w:rPr>
      <w:sz w:val="16"/>
      <w:szCs w:val="16"/>
    </w:rPr>
  </w:style>
  <w:style w:type="paragraph" w:styleId="CommentText">
    <w:name w:val="annotation text"/>
    <w:basedOn w:val="Normal"/>
    <w:link w:val="CommentTextChar"/>
    <w:uiPriority w:val="99"/>
    <w:unhideWhenUsed/>
    <w:rsid w:val="001062DE"/>
    <w:pPr>
      <w:spacing w:line="240" w:lineRule="auto"/>
    </w:pPr>
    <w:rPr>
      <w:sz w:val="20"/>
      <w:szCs w:val="20"/>
    </w:rPr>
  </w:style>
  <w:style w:type="character" w:customStyle="1" w:styleId="CommentTextChar">
    <w:name w:val="Comment Text Char"/>
    <w:basedOn w:val="DefaultParagraphFont"/>
    <w:link w:val="CommentText"/>
    <w:uiPriority w:val="99"/>
    <w:rsid w:val="001062DE"/>
    <w:rPr>
      <w:rFonts w:cs="Calibri"/>
      <w:sz w:val="20"/>
      <w:szCs w:val="20"/>
    </w:rPr>
  </w:style>
  <w:style w:type="paragraph" w:styleId="CommentSubject">
    <w:name w:val="annotation subject"/>
    <w:basedOn w:val="CommentText"/>
    <w:next w:val="CommentText"/>
    <w:link w:val="CommentSubjectChar"/>
    <w:uiPriority w:val="99"/>
    <w:semiHidden/>
    <w:unhideWhenUsed/>
    <w:rsid w:val="001062DE"/>
    <w:rPr>
      <w:b/>
      <w:bCs/>
    </w:rPr>
  </w:style>
  <w:style w:type="character" w:customStyle="1" w:styleId="CommentSubjectChar">
    <w:name w:val="Comment Subject Char"/>
    <w:basedOn w:val="CommentTextChar"/>
    <w:link w:val="CommentSubject"/>
    <w:uiPriority w:val="99"/>
    <w:semiHidden/>
    <w:rsid w:val="001062DE"/>
    <w:rPr>
      <w:rFonts w:cs="Calibri"/>
      <w:b/>
      <w:bCs/>
      <w:sz w:val="20"/>
      <w:szCs w:val="20"/>
    </w:rPr>
  </w:style>
  <w:style w:type="character" w:customStyle="1" w:styleId="Heading4Char">
    <w:name w:val="Heading 4 Char"/>
    <w:basedOn w:val="DefaultParagraphFont"/>
    <w:link w:val="Heading4"/>
    <w:uiPriority w:val="9"/>
    <w:rsid w:val="00104139"/>
    <w:rPr>
      <w:rFonts w:asciiTheme="majorHAnsi" w:eastAsiaTheme="majorEastAsia" w:hAnsiTheme="majorHAnsi" w:cstheme="majorBidi"/>
      <w:i/>
      <w:iCs/>
      <w:color w:val="2F5496" w:themeColor="accent1" w:themeShade="B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9456</Words>
  <Characters>48889</Characters>
  <Application>Microsoft Office Word</Application>
  <DocSecurity>0</DocSecurity>
  <Lines>1136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2023-11-30T20:49:00Z</dcterms:created>
  <dcterms:modified xsi:type="dcterms:W3CDTF">2023-11-30T20:49:00Z</dcterms:modified>
</cp:coreProperties>
</file>